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71830" w:rsidP="00F01D73" w14:paraId="0B6228E3" w14:textId="7F9FE7B1">
      <w:pPr>
        <w:spacing w:before="76"/>
        <w:ind w:left="2903" w:hanging="833"/>
        <w:rPr>
          <w:b/>
          <w:sz w:val="28"/>
        </w:rPr>
      </w:pPr>
      <w:r>
        <w:rPr>
          <w:b/>
          <w:sz w:val="28"/>
        </w:rPr>
        <w:t>Supporting Statement – Part A</w:t>
      </w:r>
    </w:p>
    <w:p w:rsidR="00B13380" w:rsidP="00F01D73" w14:paraId="4A61B1C5" w14:textId="3E210BE5">
      <w:pPr>
        <w:spacing w:before="1" w:line="400" w:lineRule="atLeast"/>
        <w:ind w:left="987" w:right="794"/>
        <w:jc w:val="center"/>
        <w:rPr>
          <w:b/>
          <w:sz w:val="28"/>
          <w:szCs w:val="28"/>
        </w:rPr>
      </w:pPr>
      <w:r w:rsidRPr="00DF49DB">
        <w:rPr>
          <w:b/>
          <w:bCs/>
          <w:sz w:val="28"/>
          <w:szCs w:val="28"/>
        </w:rPr>
        <w:t xml:space="preserve">Notice </w:t>
      </w:r>
      <w:r w:rsidRPr="00DF49DB">
        <w:rPr>
          <w:b/>
          <w:sz w:val="28"/>
          <w:szCs w:val="28"/>
        </w:rPr>
        <w:t>Requirements</w:t>
      </w:r>
      <w:r w:rsidRPr="2B646493">
        <w:rPr>
          <w:b/>
          <w:sz w:val="28"/>
          <w:szCs w:val="28"/>
        </w:rPr>
        <w:t xml:space="preserve"> for </w:t>
      </w:r>
      <w:r w:rsidRPr="2B646493" w:rsidR="0096329D">
        <w:rPr>
          <w:b/>
          <w:sz w:val="28"/>
          <w:szCs w:val="28"/>
        </w:rPr>
        <w:t>Fertility Excepted Benefits</w:t>
      </w:r>
    </w:p>
    <w:p w:rsidR="00271830" w:rsidP="002E06EB" w14:paraId="4FC73DC4" w14:textId="53069F93">
      <w:pPr>
        <w:spacing w:before="1" w:line="400" w:lineRule="atLeast"/>
        <w:ind w:left="987" w:right="794"/>
        <w:jc w:val="center"/>
        <w:rPr>
          <w:b/>
          <w:sz w:val="28"/>
        </w:rPr>
      </w:pPr>
      <w:r>
        <w:rPr>
          <w:b/>
          <w:sz w:val="28"/>
        </w:rPr>
        <w:t>(</w:t>
      </w:r>
      <w:r w:rsidR="00B17AF1">
        <w:rPr>
          <w:b/>
          <w:sz w:val="28"/>
        </w:rPr>
        <w:t>CMS-</w:t>
      </w:r>
      <w:r w:rsidRPr="00A50A70" w:rsidR="00A50A70">
        <w:t xml:space="preserve"> </w:t>
      </w:r>
      <w:r w:rsidRPr="00A50A70" w:rsidR="00A50A70">
        <w:rPr>
          <w:b/>
          <w:sz w:val="28"/>
        </w:rPr>
        <w:t>10947</w:t>
      </w:r>
      <w:r w:rsidR="00B17AF1">
        <w:rPr>
          <w:b/>
          <w:sz w:val="28"/>
        </w:rPr>
        <w:t>/OMB control number# 0938-</w:t>
      </w:r>
      <w:r w:rsidR="001B0FA7">
        <w:rPr>
          <w:b/>
          <w:sz w:val="28"/>
        </w:rPr>
        <w:t>NEW</w:t>
      </w:r>
      <w:r>
        <w:rPr>
          <w:b/>
          <w:sz w:val="28"/>
        </w:rPr>
        <w:t>)</w:t>
      </w:r>
    </w:p>
    <w:p w:rsidR="00055F79" w:rsidP="006D33AC" w14:paraId="4AB78B58" w14:textId="25103E47">
      <w:pPr>
        <w:spacing w:before="1" w:line="400" w:lineRule="atLeast"/>
        <w:ind w:left="987" w:right="1522"/>
        <w:jc w:val="center"/>
        <w:rPr>
          <w:b/>
          <w:sz w:val="28"/>
        </w:rPr>
      </w:pPr>
    </w:p>
    <w:p w:rsidR="00B13380" w14:paraId="7784AF8F" w14:textId="77777777">
      <w:pPr>
        <w:spacing w:before="1" w:line="400" w:lineRule="atLeast"/>
        <w:ind w:left="987" w:right="1522"/>
        <w:jc w:val="center"/>
        <w:rPr>
          <w:b/>
          <w:sz w:val="28"/>
        </w:rPr>
      </w:pPr>
    </w:p>
    <w:p w:rsidR="00271830" w14:paraId="299975FA" w14:textId="4BCD1818">
      <w:pPr>
        <w:pStyle w:val="Heading1"/>
        <w:numPr>
          <w:ilvl w:val="0"/>
          <w:numId w:val="3"/>
        </w:numPr>
        <w:tabs>
          <w:tab w:val="left" w:pos="480"/>
        </w:tabs>
        <w:spacing w:line="275" w:lineRule="exact"/>
        <w:rPr>
          <w:u w:val="none"/>
        </w:rPr>
      </w:pPr>
      <w:bookmarkStart w:id="0" w:name="A._Background"/>
      <w:bookmarkEnd w:id="0"/>
      <w:r>
        <w:rPr>
          <w:u w:val="none"/>
        </w:rPr>
        <w:t>Background</w:t>
      </w:r>
    </w:p>
    <w:p w:rsidR="00271830" w:rsidP="002826AA" w14:paraId="7F4FAF44" w14:textId="77777777">
      <w:pPr>
        <w:pStyle w:val="BodyText"/>
      </w:pPr>
    </w:p>
    <w:p w:rsidR="00A44110" w:rsidP="00A44110" w14:paraId="6A3AFF57" w14:textId="30E03C70">
      <w:pPr>
        <w:pStyle w:val="BodyText"/>
      </w:pPr>
      <w:r>
        <w:t>Section 2791(c) of the Public Health Service Act (PHS Act), section 733(c) of the Employee Retirement Income Security Act (ERISA), and section 9832(c) of the Internal Revenue Code (Code) establish</w:t>
      </w:r>
      <w:r w:rsidR="005E547F">
        <w:t xml:space="preserve"> four statutory</w:t>
      </w:r>
      <w:r>
        <w:t xml:space="preserve"> categories of </w:t>
      </w:r>
      <w:r w:rsidR="002C4388">
        <w:t>“</w:t>
      </w:r>
      <w:r>
        <w:t>excepted benefits</w:t>
      </w:r>
      <w:r w:rsidR="002C4388">
        <w:t>”</w:t>
      </w:r>
      <w:r>
        <w:t xml:space="preserve"> that are generally exempt from the </w:t>
      </w:r>
      <w:r w:rsidR="008E364F">
        <w:t>market</w:t>
      </w:r>
      <w:r>
        <w:t xml:space="preserve"> requirements added to those laws by the Health Insurance Portability and Accountability Act (HIPAA), the Patient Protection and Affordable Care Act (ACA), the No Surprises Act, and certain other federal laws specifically related to group health plans and group and individual health insurance coverage.</w:t>
      </w:r>
    </w:p>
    <w:p w:rsidR="00A44110" w:rsidP="00A44110" w14:paraId="74628C49" w14:textId="77777777">
      <w:pPr>
        <w:pStyle w:val="BodyText"/>
      </w:pPr>
    </w:p>
    <w:p w:rsidR="00A44110" w:rsidP="00A44110" w14:paraId="03ACCB01" w14:textId="257B647D">
      <w:pPr>
        <w:pStyle w:val="BodyText"/>
      </w:pPr>
      <w:r>
        <w:t xml:space="preserve">The second category of excepted benefits is </w:t>
      </w:r>
      <w:r w:rsidR="000A59E6">
        <w:t>“</w:t>
      </w:r>
      <w:r>
        <w:t>limited excepted benefits,</w:t>
      </w:r>
      <w:r w:rsidR="000A59E6">
        <w:t>”</w:t>
      </w:r>
      <w:r>
        <w:t xml:space="preserve"> which includes limited-scope vision or dental benefits, benefits for long-term care, nursing home care, home health care, or community-based care that are offered separately, or any combination thereof. Section 2791(c)(2)(C) of the PHS Act, section 733(c)(2)(C) of ERISA, and section 9832(c)(2)(C) of the Code further provide that limited excepted benefits also include </w:t>
      </w:r>
      <w:r w:rsidR="00680345">
        <w:t>“</w:t>
      </w:r>
      <w:r>
        <w:t>such other, similar limited benefits as are specified in regulations</w:t>
      </w:r>
      <w:r w:rsidR="00680345">
        <w:t>”</w:t>
      </w:r>
      <w:r>
        <w:t xml:space="preserve"> by the Departments of Health and Human Services (HHS), Labor, and the Treasury (collectively, the Departments).</w:t>
      </w:r>
    </w:p>
    <w:p w:rsidR="00A44110" w:rsidP="00A44110" w14:paraId="16F489DB" w14:textId="77777777">
      <w:pPr>
        <w:pStyle w:val="BodyText"/>
      </w:pPr>
    </w:p>
    <w:p w:rsidR="00A44110" w:rsidP="00A44110" w14:paraId="3E595BA5" w14:textId="48CD8352">
      <w:pPr>
        <w:pStyle w:val="BodyText"/>
      </w:pPr>
      <w:r>
        <w:t>On February 18, 2025, President Trump issued Executive Order 14216,</w:t>
      </w:r>
      <w:r>
        <w:rPr>
          <w:rStyle w:val="FootnoteReference"/>
        </w:rPr>
        <w:footnoteReference w:id="2"/>
      </w:r>
      <w:r>
        <w:t xml:space="preserve"> </w:t>
      </w:r>
      <w:r w:rsidR="006877FC">
        <w:t>“</w:t>
      </w:r>
      <w:r>
        <w:t>Expanding Access to In Vitro Fertilization,</w:t>
      </w:r>
      <w:r w:rsidR="006877FC">
        <w:t>”</w:t>
      </w:r>
      <w:r>
        <w:t xml:space="preserve"> which </w:t>
      </w:r>
      <w:r w:rsidR="00A211DA">
        <w:t xml:space="preserve">states the policy of the Trump Administration </w:t>
      </w:r>
      <w:r>
        <w:t>to provide support, awareness, and access to affordable fertility treatments, including reliable access to in vitro fertilization (IVF) treatment, by easing unnecessary statutory or regulatory burdens to make IVF treatment drastically more affordable. In accordance with this directive, the Departments are exercising their statutory authority to recognize fertility benefits as limited excepted benefits, if specific conditions are satisfied.</w:t>
      </w:r>
    </w:p>
    <w:p w:rsidR="00A44110" w:rsidP="00A44110" w14:paraId="051D8E8E" w14:textId="77777777">
      <w:pPr>
        <w:pStyle w:val="BodyText"/>
      </w:pPr>
    </w:p>
    <w:p w:rsidR="00BE20E2" w:rsidP="00A44110" w14:paraId="178815D5" w14:textId="7B3BD43A">
      <w:pPr>
        <w:pStyle w:val="BodyText"/>
      </w:pPr>
      <w:r>
        <w:t xml:space="preserve">In the proposed rule </w:t>
      </w:r>
      <w:r w:rsidR="006877FC">
        <w:t>“</w:t>
      </w:r>
      <w:r w:rsidR="00B55221">
        <w:t>Excepted Fe</w:t>
      </w:r>
      <w:r w:rsidR="00F03A2A">
        <w:t>r</w:t>
      </w:r>
      <w:r w:rsidR="00B55221">
        <w:t>tility</w:t>
      </w:r>
      <w:r>
        <w:t xml:space="preserve"> Benefits</w:t>
      </w:r>
      <w:r w:rsidR="006877FC">
        <w:t>”</w:t>
      </w:r>
      <w:r>
        <w:t xml:space="preserve"> (</w:t>
      </w:r>
      <w:r w:rsidR="00875D60">
        <w:t xml:space="preserve">the </w:t>
      </w:r>
      <w:r>
        <w:t xml:space="preserve">proposed rule), the Departments propose to add new paragraph (c)(3)(ix) </w:t>
      </w:r>
      <w:r w:rsidR="00875D60">
        <w:t>of</w:t>
      </w:r>
      <w:r>
        <w:t xml:space="preserve"> 26 CFR 54.9831-1 and 29 CFR 2590.732, and new paragraph (b)(3)(ix) </w:t>
      </w:r>
      <w:r w:rsidR="00875D60">
        <w:t>of</w:t>
      </w:r>
      <w:r>
        <w:t xml:space="preserve"> 45 CFR 146.145 to establish fertility benefits as a new category of limited excepted benefits. Under the proposed rule, </w:t>
      </w:r>
      <w:r w:rsidR="00567A68">
        <w:t>excepted</w:t>
      </w:r>
      <w:r>
        <w:t xml:space="preserve"> fertility benefits </w:t>
      </w:r>
      <w:r w:rsidR="00345384">
        <w:t xml:space="preserve">are benefits substantially all of which are </w:t>
      </w:r>
      <w:r>
        <w:t xml:space="preserve">for the diagnosis, mitigation, or treatment of infertility </w:t>
      </w:r>
      <w:r w:rsidR="00345384">
        <w:t xml:space="preserve">or infertility-related reproductive health conditions and substantially all of which are provided </w:t>
      </w:r>
      <w:r>
        <w:t>by medical professionals authorized to practice under applicable law.</w:t>
      </w:r>
      <w:r w:rsidR="002A45FE">
        <w:t xml:space="preserve"> </w:t>
      </w:r>
      <w:r>
        <w:t xml:space="preserve">The proposed rule </w:t>
      </w:r>
      <w:r w:rsidR="00EB3D00">
        <w:t xml:space="preserve">would </w:t>
      </w:r>
      <w:r>
        <w:t xml:space="preserve">require that plans or issuers offering </w:t>
      </w:r>
      <w:r w:rsidR="009860CF">
        <w:t>excepted</w:t>
      </w:r>
      <w:r>
        <w:t xml:space="preserve"> fertility benefits provide written notice to plan participants and beneficiaries that includes a description of the coverage, </w:t>
      </w:r>
      <w:r w:rsidR="008E33CD">
        <w:t xml:space="preserve">including </w:t>
      </w:r>
      <w:r>
        <w:t>a summary of benefits and limitations</w:t>
      </w:r>
      <w:r w:rsidR="00D45A2A">
        <w:t xml:space="preserve"> of the coverage</w:t>
      </w:r>
      <w:r>
        <w:t xml:space="preserve">, </w:t>
      </w:r>
      <w:r w:rsidRPr="00AA74EE" w:rsidR="00496697">
        <w:t xml:space="preserve">including the lifetime dollar limit established by the plan or issuer that complies with the maximum </w:t>
      </w:r>
      <w:r w:rsidRPr="00AA74EE" w:rsidR="00496697">
        <w:t>lifetime dollar limit described in proposed paragraph (c)(3)(ix)(B) (or paragraph (b)(3)(ix)(B), as applicable),</w:t>
      </w:r>
      <w:r>
        <w:t xml:space="preserve">information on </w:t>
      </w:r>
      <w:r w:rsidR="00D45A2A">
        <w:rPr>
          <w:rFonts w:eastAsia="Calibri"/>
          <w:kern w:val="2"/>
          <w14:ligatures w14:val="standardContextual"/>
        </w:rPr>
        <w:t>how to identify and utilize a network provider, if applicable,</w:t>
      </w:r>
      <w:r w:rsidR="00D45A2A">
        <w:t xml:space="preserve"> </w:t>
      </w:r>
      <w:r w:rsidR="00225B40">
        <w:t xml:space="preserve">and </w:t>
      </w:r>
      <w:r>
        <w:t xml:space="preserve">how to submit a claim for reimbursement, </w:t>
      </w:r>
      <w:r w:rsidR="00225B40">
        <w:t>in</w:t>
      </w:r>
      <w:r w:rsidR="00F34AE4">
        <w:t>clu</w:t>
      </w:r>
      <w:r w:rsidR="00225B40">
        <w:t>ding</w:t>
      </w:r>
      <w:r>
        <w:t xml:space="preserve"> whether the benefit utilizes the same claims procedure as for </w:t>
      </w:r>
      <w:r w:rsidR="00B44337">
        <w:t xml:space="preserve">the sponsor’s </w:t>
      </w:r>
      <w:r>
        <w:t xml:space="preserve">other group health plans. </w:t>
      </w:r>
      <w:r w:rsidR="00EB3D00">
        <w:t>The notice would be required to be</w:t>
      </w:r>
      <w:r w:rsidRPr="00613402" w:rsidR="00613402">
        <w:t xml:space="preserve"> written and presented in a manner calculated to be understood by the average plan participant</w:t>
      </w:r>
      <w:r w:rsidR="00613402">
        <w:t xml:space="preserve"> and</w:t>
      </w:r>
      <w:r w:rsidRPr="00613402" w:rsidR="00613402">
        <w:t xml:space="preserve"> </w:t>
      </w:r>
      <w:r w:rsidR="00EB3D00">
        <w:t xml:space="preserve">provided </w:t>
      </w:r>
      <w:r w:rsidRPr="00EB3D00" w:rsidR="00EB3D00">
        <w:t xml:space="preserve">no later than the first date on which the participant </w:t>
      </w:r>
      <w:r w:rsidR="00496697">
        <w:t xml:space="preserve">or beneficiary </w:t>
      </w:r>
      <w:r w:rsidRPr="00EB3D00" w:rsidR="00EB3D00">
        <w:t>is eligible to enroll in coverage</w:t>
      </w:r>
      <w:r w:rsidR="00D45A2A">
        <w:t xml:space="preserve"> </w:t>
      </w:r>
      <w:r w:rsidRPr="00EB3D00" w:rsidR="00EB3D00">
        <w:t>and annually thereafter</w:t>
      </w:r>
      <w:r w:rsidR="00D7745F">
        <w:t xml:space="preserve">, as well as upon request of </w:t>
      </w:r>
      <w:r w:rsidRPr="00656FF2" w:rsidR="00D7745F">
        <w:rPr>
          <w:rFonts w:eastAsia="Calibri"/>
        </w:rPr>
        <w:t>the participant or beneficiary</w:t>
      </w:r>
      <w:r w:rsidRPr="00EB3D00" w:rsidR="00EB3D00">
        <w:t xml:space="preserve">. </w:t>
      </w:r>
      <w:r>
        <w:t xml:space="preserve">This notice requirement </w:t>
      </w:r>
      <w:r w:rsidR="008B7853">
        <w:t xml:space="preserve">would </w:t>
      </w:r>
      <w:r>
        <w:t xml:space="preserve">ensure that participants and beneficiaries are fully informed about the availability and requirements of their </w:t>
      </w:r>
      <w:r w:rsidR="00496697">
        <w:t xml:space="preserve">excepted </w:t>
      </w:r>
      <w:r>
        <w:t>fertility benefits coverage.</w:t>
      </w:r>
    </w:p>
    <w:p w:rsidR="00F01D73" w:rsidP="00A44110" w14:paraId="0F6DFF1C" w14:textId="77777777">
      <w:pPr>
        <w:pStyle w:val="BodyText"/>
      </w:pPr>
    </w:p>
    <w:p w:rsidR="00F01D73" w:rsidRPr="0096494B" w:rsidP="00A44110" w14:paraId="06209765" w14:textId="15DD752B">
      <w:pPr>
        <w:pStyle w:val="BodyText"/>
      </w:pPr>
      <w:r>
        <w:t>This is a request for a new OMB control number.</w:t>
      </w:r>
    </w:p>
    <w:p w:rsidR="00271830" w:rsidP="002826AA" w14:paraId="760984AE" w14:textId="77777777">
      <w:pPr>
        <w:pStyle w:val="BodyText"/>
      </w:pPr>
    </w:p>
    <w:p w:rsidR="00271830" w14:paraId="66340217" w14:textId="77777777">
      <w:pPr>
        <w:pStyle w:val="Heading1"/>
        <w:numPr>
          <w:ilvl w:val="0"/>
          <w:numId w:val="3"/>
        </w:numPr>
        <w:tabs>
          <w:tab w:val="left" w:pos="480"/>
        </w:tabs>
        <w:rPr>
          <w:u w:val="none"/>
        </w:rPr>
      </w:pPr>
      <w:r>
        <w:rPr>
          <w:u w:val="none"/>
        </w:rPr>
        <w:t>Justification</w:t>
      </w:r>
    </w:p>
    <w:p w:rsidR="00271830" w:rsidP="002826AA" w14:paraId="7441285C" w14:textId="77777777">
      <w:pPr>
        <w:pStyle w:val="BodyText"/>
      </w:pPr>
    </w:p>
    <w:p w:rsidR="00271830" w14:paraId="02B642DE" w14:textId="6BADAC3F">
      <w:pPr>
        <w:pStyle w:val="ListParagraph"/>
        <w:numPr>
          <w:ilvl w:val="1"/>
          <w:numId w:val="3"/>
        </w:numPr>
        <w:tabs>
          <w:tab w:val="left" w:pos="480"/>
        </w:tabs>
        <w:jc w:val="left"/>
        <w:rPr>
          <w:b/>
          <w:sz w:val="24"/>
        </w:rPr>
      </w:pPr>
      <w:bookmarkStart w:id="1" w:name="B._Justification"/>
      <w:bookmarkStart w:id="2" w:name="1._Need_and_Legal_Basis"/>
      <w:bookmarkEnd w:id="1"/>
      <w:bookmarkEnd w:id="2"/>
      <w:r>
        <w:rPr>
          <w:b/>
          <w:sz w:val="24"/>
        </w:rPr>
        <w:t>Need and Legal</w:t>
      </w:r>
      <w:r>
        <w:rPr>
          <w:b/>
          <w:spacing w:val="-1"/>
          <w:sz w:val="24"/>
        </w:rPr>
        <w:t xml:space="preserve"> </w:t>
      </w:r>
      <w:r>
        <w:rPr>
          <w:b/>
          <w:sz w:val="24"/>
        </w:rPr>
        <w:t>Basis</w:t>
      </w:r>
    </w:p>
    <w:p w:rsidR="00271830" w:rsidP="002826AA" w14:paraId="252FF26D" w14:textId="77777777">
      <w:pPr>
        <w:pStyle w:val="BodyText"/>
      </w:pPr>
    </w:p>
    <w:p w:rsidR="001211BD" w:rsidP="001211BD" w14:paraId="0EE1C90F" w14:textId="21295778">
      <w:pPr>
        <w:pStyle w:val="BodyText"/>
      </w:pPr>
      <w:bookmarkStart w:id="3" w:name="_Hlk138234176"/>
      <w:r>
        <w:t>The information required under this collection is necessary to implement the Departments</w:t>
      </w:r>
      <w:r w:rsidR="008B6C32">
        <w:t>’</w:t>
      </w:r>
      <w:r>
        <w:t xml:space="preserve"> statutory authority under Code section 9832(c)(2)(C), ERISA section 733(c)(2)(C), and PHS Act section 2791(c)(2)(C) to recognize fertility benefits as limited excepted benefits</w:t>
      </w:r>
      <w:r w:rsidR="007B23F3">
        <w:t>, if specific conditions are satisfied</w:t>
      </w:r>
      <w:r>
        <w:t>. This authority allows the Departments to specify in regulations additional limited excepted benefits that are similar to the limited benefits specified in the statute</w:t>
      </w:r>
      <w:r>
        <w:rPr>
          <w:rStyle w:val="FootnoteReference"/>
        </w:rPr>
        <w:footnoteReference w:id="3"/>
      </w:r>
      <w:r>
        <w:t xml:space="preserve"> and that either are provided under a separate policy, certificate, or contract of insurance, or are otherwise not an integral part of a plan.</w:t>
      </w:r>
    </w:p>
    <w:p w:rsidR="001211BD" w:rsidP="001211BD" w14:paraId="06EAFC46" w14:textId="77777777">
      <w:pPr>
        <w:pStyle w:val="BodyText"/>
      </w:pPr>
    </w:p>
    <w:p w:rsidR="001211BD" w:rsidP="001211BD" w14:paraId="0E2A7F55" w14:textId="76BFD392">
      <w:pPr>
        <w:pStyle w:val="BodyText"/>
      </w:pPr>
      <w:r>
        <w:t>The proposed rule at paragraph (c)(3)(ix)(</w:t>
      </w:r>
      <w:r w:rsidR="00496697">
        <w:t>D</w:t>
      </w:r>
      <w:r>
        <w:t>) of 26 CFR 54.9831-1 and 29 CFR 2590.732 and paragraph (b)(3)(ix)(</w:t>
      </w:r>
      <w:r w:rsidR="00496697">
        <w:t>D</w:t>
      </w:r>
      <w:r>
        <w:t xml:space="preserve">) of 45 CFR 146.145 </w:t>
      </w:r>
      <w:r w:rsidR="00B40522">
        <w:t xml:space="preserve">would </w:t>
      </w:r>
      <w:r>
        <w:t xml:space="preserve">require plans or issuers offering limited fertility benefits to provide written notice to participants and beneficiaries. This notice requirement </w:t>
      </w:r>
      <w:r w:rsidR="007B23F3">
        <w:t>would be</w:t>
      </w:r>
      <w:r>
        <w:t xml:space="preserve"> necessary to ensure that participants and beneficiaries are fully informed about the availability of </w:t>
      </w:r>
      <w:r w:rsidR="007B23F3">
        <w:t xml:space="preserve">the </w:t>
      </w:r>
      <w:r w:rsidR="008B4316">
        <w:t>excepted</w:t>
      </w:r>
      <w:r>
        <w:t xml:space="preserve"> fertility benefits coverage, understand the benefits and limitations of such coverage, </w:t>
      </w:r>
      <w:r w:rsidR="007B23F3">
        <w:t>in order to</w:t>
      </w:r>
      <w:r>
        <w:t xml:space="preserve"> make informed decisions about whether to enroll in such coverage. Given that participants and beneficiaries may be unfamiliar with how benefits for the diagnosis, mitigation, and treatment of infertility generally work, this notice </w:t>
      </w:r>
      <w:r w:rsidR="003B7551">
        <w:t xml:space="preserve">would also </w:t>
      </w:r>
      <w:r>
        <w:t xml:space="preserve">serve as an important educational tool </w:t>
      </w:r>
      <w:r w:rsidR="003B7551">
        <w:t xml:space="preserve">to assist </w:t>
      </w:r>
      <w:r>
        <w:t xml:space="preserve">participants and beneficiaries </w:t>
      </w:r>
      <w:r w:rsidR="000178E6">
        <w:t xml:space="preserve">understand what is covered under their </w:t>
      </w:r>
      <w:r w:rsidR="008B4316">
        <w:t>excepted</w:t>
      </w:r>
      <w:r w:rsidR="000178E6">
        <w:t xml:space="preserve"> fertility benefits, as opposed to under their traditional group health plan. </w:t>
      </w:r>
    </w:p>
    <w:bookmarkEnd w:id="3"/>
    <w:p w:rsidR="00271830" w:rsidP="002826AA" w14:paraId="4FE502E8" w14:textId="77777777">
      <w:pPr>
        <w:pStyle w:val="BodyText"/>
      </w:pPr>
    </w:p>
    <w:p w:rsidR="00271830" w14:paraId="1FAD60D0" w14:textId="77777777">
      <w:pPr>
        <w:pStyle w:val="Heading1"/>
        <w:numPr>
          <w:ilvl w:val="1"/>
          <w:numId w:val="3"/>
        </w:numPr>
        <w:tabs>
          <w:tab w:val="left" w:pos="480"/>
        </w:tabs>
        <w:jc w:val="left"/>
        <w:rPr>
          <w:u w:val="none"/>
        </w:rPr>
      </w:pPr>
      <w:bookmarkStart w:id="4" w:name="2._Information_Users"/>
      <w:bookmarkEnd w:id="4"/>
      <w:r>
        <w:rPr>
          <w:u w:val="none"/>
        </w:rPr>
        <w:t>Information</w:t>
      </w:r>
      <w:r>
        <w:rPr>
          <w:spacing w:val="-1"/>
          <w:u w:val="none"/>
        </w:rPr>
        <w:t xml:space="preserve"> </w:t>
      </w:r>
      <w:r>
        <w:rPr>
          <w:u w:val="none"/>
        </w:rPr>
        <w:t>Users</w:t>
      </w:r>
    </w:p>
    <w:p w:rsidR="00271830" w:rsidP="002826AA" w14:paraId="5967DFEE" w14:textId="77777777">
      <w:pPr>
        <w:pStyle w:val="BodyText"/>
      </w:pPr>
    </w:p>
    <w:p w:rsidR="001211BD" w:rsidP="001211BD" w14:paraId="48B39E1C" w14:textId="35F701D6">
      <w:pPr>
        <w:pStyle w:val="BodyText"/>
      </w:pPr>
      <w:r>
        <w:t xml:space="preserve">Plans and issuers providing </w:t>
      </w:r>
      <w:r w:rsidR="00296E48">
        <w:t>excepted</w:t>
      </w:r>
      <w:r>
        <w:t xml:space="preserve"> fertility benefits would use the notice requirement to inform eligible participants and beneficiaries about the availability of </w:t>
      </w:r>
      <w:r w:rsidR="00496697">
        <w:t xml:space="preserve">excepted </w:t>
      </w:r>
      <w:r>
        <w:t xml:space="preserve">fertility </w:t>
      </w:r>
      <w:r w:rsidR="00496697">
        <w:t xml:space="preserve">benefits </w:t>
      </w:r>
      <w:r>
        <w:t>coverage,</w:t>
      </w:r>
      <w:r w:rsidR="003B7551">
        <w:t xml:space="preserve"> a </w:t>
      </w:r>
      <w:r>
        <w:t>summary of benefits and limitations, claims procedures, and other critical information needed to utilize their fertility benefits and receive the promised coverage.</w:t>
      </w:r>
    </w:p>
    <w:p w:rsidR="001211BD" w:rsidP="001211BD" w14:paraId="41BA72F4" w14:textId="77777777">
      <w:pPr>
        <w:pStyle w:val="BodyText"/>
      </w:pPr>
    </w:p>
    <w:p w:rsidR="00143761" w:rsidP="001211BD" w14:paraId="19F109DA" w14:textId="197AC285">
      <w:pPr>
        <w:pStyle w:val="BodyText"/>
      </w:pPr>
      <w:r>
        <w:t xml:space="preserve">Participants and beneficiaries would use this information to understand what coverage is available </w:t>
      </w:r>
      <w:r>
        <w:t xml:space="preserve">to them under their </w:t>
      </w:r>
      <w:r w:rsidR="009D1D12">
        <w:t>excepted</w:t>
      </w:r>
      <w:r>
        <w:t xml:space="preserve"> fertility benefits, how to access those benefits, and the procedures for filing claims for reimbursement. This information enables informed consumer decision-making about whether to enroll in </w:t>
      </w:r>
      <w:r w:rsidR="009D1D12">
        <w:t>excepted</w:t>
      </w:r>
      <w:r>
        <w:t xml:space="preserve"> fertility benefit coverage.</w:t>
      </w:r>
    </w:p>
    <w:p w:rsidR="00802A6A" w:rsidRPr="0096494B" w:rsidP="002826AA" w14:paraId="7559B54F" w14:textId="77777777">
      <w:pPr>
        <w:pStyle w:val="BodyText"/>
      </w:pPr>
    </w:p>
    <w:p w:rsidR="00271830" w14:paraId="5E997125" w14:textId="596A55BF">
      <w:pPr>
        <w:pStyle w:val="Heading1"/>
        <w:numPr>
          <w:ilvl w:val="1"/>
          <w:numId w:val="3"/>
        </w:numPr>
        <w:tabs>
          <w:tab w:val="left" w:pos="480"/>
        </w:tabs>
        <w:spacing w:before="1"/>
        <w:jc w:val="left"/>
        <w:rPr>
          <w:u w:val="none"/>
        </w:rPr>
      </w:pPr>
      <w:bookmarkStart w:id="5" w:name="3._Use_of_Information_Technology"/>
      <w:bookmarkEnd w:id="5"/>
      <w:r>
        <w:rPr>
          <w:u w:val="none"/>
        </w:rPr>
        <w:t>Use of Information</w:t>
      </w:r>
      <w:r>
        <w:rPr>
          <w:spacing w:val="-1"/>
          <w:u w:val="none"/>
        </w:rPr>
        <w:t xml:space="preserve"> </w:t>
      </w:r>
      <w:r>
        <w:rPr>
          <w:u w:val="none"/>
        </w:rPr>
        <w:t>Technology</w:t>
      </w:r>
    </w:p>
    <w:p w:rsidR="00271830" w:rsidP="002826AA" w14:paraId="3F967115" w14:textId="77777777">
      <w:pPr>
        <w:pStyle w:val="BodyText"/>
      </w:pPr>
    </w:p>
    <w:p w:rsidR="001211BD" w:rsidP="002826AA" w14:paraId="09B1393E" w14:textId="7EFCB050">
      <w:pPr>
        <w:pStyle w:val="BodyText"/>
      </w:pPr>
      <w:r>
        <w:t>HHS</w:t>
      </w:r>
      <w:r w:rsidRPr="001211BD">
        <w:t xml:space="preserve"> anticipate</w:t>
      </w:r>
      <w:r w:rsidR="00D76B92">
        <w:t>s</w:t>
      </w:r>
      <w:r w:rsidRPr="001211BD">
        <w:t xml:space="preserve"> that plans and issuers would distribute notices using both electronic and paper methods, consistent with existing distribution practices for other plan documents. The notice would be sent with other materials during periods of open enrollment and could be incorporated into existing communication channels.</w:t>
      </w:r>
    </w:p>
    <w:p w:rsidR="00271830" w:rsidRPr="00D6042D" w:rsidP="001211BD" w14:paraId="1CA4D128" w14:textId="77777777">
      <w:pPr>
        <w:pStyle w:val="BodyText"/>
        <w:ind w:left="0"/>
      </w:pPr>
    </w:p>
    <w:p w:rsidR="00271830" w14:paraId="79F8B3C2" w14:textId="77777777">
      <w:pPr>
        <w:pStyle w:val="Heading1"/>
        <w:numPr>
          <w:ilvl w:val="1"/>
          <w:numId w:val="3"/>
        </w:numPr>
        <w:tabs>
          <w:tab w:val="left" w:pos="480"/>
        </w:tabs>
        <w:jc w:val="left"/>
        <w:rPr>
          <w:u w:val="none"/>
        </w:rPr>
      </w:pPr>
      <w:bookmarkStart w:id="6" w:name="4._Duplication_of_Efforts"/>
      <w:bookmarkEnd w:id="6"/>
      <w:r>
        <w:rPr>
          <w:u w:val="none"/>
        </w:rPr>
        <w:t>Duplication of Efforts</w:t>
      </w:r>
    </w:p>
    <w:p w:rsidR="00271830" w:rsidP="002826AA" w14:paraId="55151D93" w14:textId="77777777">
      <w:pPr>
        <w:pStyle w:val="BodyText"/>
      </w:pPr>
    </w:p>
    <w:p w:rsidR="001211BD" w:rsidP="001211BD" w14:paraId="227ACB98" w14:textId="4183D710">
      <w:pPr>
        <w:pStyle w:val="BodyText"/>
      </w:pPr>
      <w:r w:rsidRPr="001211BD">
        <w:t>This information collection does not duplicate any current information collection.</w:t>
      </w:r>
    </w:p>
    <w:p w:rsidR="00271830" w:rsidP="002826AA" w14:paraId="261C733C" w14:textId="600912AD">
      <w:pPr>
        <w:pStyle w:val="BodyText"/>
      </w:pPr>
    </w:p>
    <w:p w:rsidR="00271830" w14:paraId="67D7606E" w14:textId="77777777">
      <w:pPr>
        <w:pStyle w:val="Heading1"/>
        <w:numPr>
          <w:ilvl w:val="1"/>
          <w:numId w:val="3"/>
        </w:numPr>
        <w:tabs>
          <w:tab w:val="left" w:pos="480"/>
        </w:tabs>
        <w:jc w:val="left"/>
        <w:rPr>
          <w:u w:val="none"/>
        </w:rPr>
      </w:pPr>
      <w:bookmarkStart w:id="7" w:name="5._Small_Businesses"/>
      <w:bookmarkEnd w:id="7"/>
      <w:r>
        <w:rPr>
          <w:u w:val="none"/>
        </w:rPr>
        <w:t>Small</w:t>
      </w:r>
      <w:r>
        <w:rPr>
          <w:spacing w:val="-1"/>
          <w:u w:val="none"/>
        </w:rPr>
        <w:t xml:space="preserve"> </w:t>
      </w:r>
      <w:r>
        <w:rPr>
          <w:u w:val="none"/>
        </w:rPr>
        <w:t>Businesses</w:t>
      </w:r>
    </w:p>
    <w:p w:rsidR="00271830" w:rsidP="002826AA" w14:paraId="4C9B5725" w14:textId="77777777">
      <w:pPr>
        <w:pStyle w:val="BodyText"/>
      </w:pPr>
    </w:p>
    <w:p w:rsidR="00271830" w:rsidRPr="00D6042D" w:rsidP="001211BD" w14:paraId="7E6AF197" w14:textId="1226EDE3">
      <w:pPr>
        <w:pStyle w:val="BodyText"/>
      </w:pPr>
      <w:r>
        <w:t xml:space="preserve">Small businesses are not significantly impacted by this </w:t>
      </w:r>
      <w:r w:rsidR="001C3EA1">
        <w:t>information collection</w:t>
      </w:r>
      <w:r w:rsidR="004D34F5">
        <w:t xml:space="preserve"> request (ICR).</w:t>
      </w:r>
      <w:r w:rsidR="00560F63">
        <w:t xml:space="preserve"> </w:t>
      </w:r>
    </w:p>
    <w:p w:rsidR="00271830" w:rsidP="002826AA" w14:paraId="67C3352D" w14:textId="77777777">
      <w:pPr>
        <w:pStyle w:val="BodyText"/>
      </w:pPr>
    </w:p>
    <w:p w:rsidR="00271830" w14:paraId="46DBDAFC" w14:textId="41551C13">
      <w:pPr>
        <w:pStyle w:val="Heading1"/>
        <w:numPr>
          <w:ilvl w:val="1"/>
          <w:numId w:val="3"/>
        </w:numPr>
        <w:tabs>
          <w:tab w:val="left" w:pos="480"/>
        </w:tabs>
        <w:jc w:val="left"/>
        <w:rPr>
          <w:u w:val="none"/>
        </w:rPr>
      </w:pPr>
      <w:bookmarkStart w:id="8" w:name="6._Less_Frequent_Collection"/>
      <w:bookmarkEnd w:id="8"/>
      <w:r>
        <w:rPr>
          <w:u w:val="none"/>
        </w:rPr>
        <w:t>Less Frequent</w:t>
      </w:r>
      <w:r>
        <w:rPr>
          <w:spacing w:val="-2"/>
          <w:u w:val="none"/>
        </w:rPr>
        <w:t xml:space="preserve"> </w:t>
      </w:r>
      <w:r>
        <w:rPr>
          <w:u w:val="none"/>
        </w:rPr>
        <w:t>Collection</w:t>
      </w:r>
    </w:p>
    <w:p w:rsidR="00271830" w:rsidP="002826AA" w14:paraId="7B6CD501" w14:textId="77777777">
      <w:pPr>
        <w:pStyle w:val="BodyText"/>
      </w:pPr>
    </w:p>
    <w:p w:rsidR="00B31468" w:rsidP="00B31468" w14:paraId="1A91E07F" w14:textId="13EE52EB">
      <w:pPr>
        <w:pStyle w:val="BodyText"/>
      </w:pPr>
      <w:r>
        <w:t xml:space="preserve">If the proposed notice is not provided to participants and beneficiaries </w:t>
      </w:r>
      <w:r w:rsidR="006A7C3E">
        <w:t xml:space="preserve">consistent with the timing standards in the proposed rule </w:t>
      </w:r>
      <w:r>
        <w:t>(</w:t>
      </w:r>
      <w:r>
        <w:t>no later than the first date on which the participant is eligible to enroll in coverage, and annually thereafter</w:t>
      </w:r>
      <w:r w:rsidR="001D0A82">
        <w:t>, and upon request of the participant or beneficiary</w:t>
      </w:r>
      <w:r w:rsidR="0044528C">
        <w:t>)</w:t>
      </w:r>
      <w:r>
        <w:t xml:space="preserve"> </w:t>
      </w:r>
      <w:r w:rsidRPr="00B31468">
        <w:t xml:space="preserve">participants and beneficiaries </w:t>
      </w:r>
      <w:r>
        <w:t xml:space="preserve">would not be able to understand </w:t>
      </w:r>
      <w:r w:rsidRPr="00660E95">
        <w:t xml:space="preserve">what is covered under their </w:t>
      </w:r>
      <w:r w:rsidR="00203EF1">
        <w:t>excepted</w:t>
      </w:r>
      <w:r w:rsidRPr="00660E95">
        <w:t xml:space="preserve"> fertility benefits and </w:t>
      </w:r>
      <w:r w:rsidR="006A4240">
        <w:t>n</w:t>
      </w:r>
      <w:r w:rsidRPr="00660E95">
        <w:t xml:space="preserve">avigate their </w:t>
      </w:r>
      <w:r w:rsidR="00496697">
        <w:t xml:space="preserve">excepted </w:t>
      </w:r>
      <w:r w:rsidRPr="00660E95">
        <w:t>fertility benefits</w:t>
      </w:r>
      <w:r w:rsidR="006A4240">
        <w:t>.</w:t>
      </w:r>
      <w:r w:rsidRPr="00660E95">
        <w:t xml:space="preserve"> </w:t>
      </w:r>
    </w:p>
    <w:p w:rsidR="00B31468" w:rsidP="00B31468" w14:paraId="1BE43B5E" w14:textId="77777777">
      <w:pPr>
        <w:pStyle w:val="BodyText"/>
      </w:pPr>
    </w:p>
    <w:p w:rsidR="0019210A" w:rsidRPr="0019210A" w:rsidP="0019210A" w14:paraId="223EDAB2" w14:textId="77777777">
      <w:pPr>
        <w:pStyle w:val="Heading1"/>
        <w:numPr>
          <w:ilvl w:val="1"/>
          <w:numId w:val="3"/>
        </w:numPr>
        <w:tabs>
          <w:tab w:val="left" w:pos="480"/>
        </w:tabs>
        <w:jc w:val="left"/>
      </w:pPr>
      <w:r>
        <w:rPr>
          <w:u w:val="none"/>
        </w:rPr>
        <w:t>Special</w:t>
      </w:r>
      <w:r>
        <w:rPr>
          <w:spacing w:val="-1"/>
          <w:u w:val="none"/>
        </w:rPr>
        <w:t xml:space="preserve"> </w:t>
      </w:r>
      <w:r>
        <w:rPr>
          <w:u w:val="none"/>
        </w:rPr>
        <w:t>Circumstances</w:t>
      </w:r>
    </w:p>
    <w:p w:rsidR="004F0E55" w:rsidP="002826AA" w14:paraId="655E9BC2" w14:textId="77777777">
      <w:pPr>
        <w:pStyle w:val="BodyText"/>
      </w:pPr>
    </w:p>
    <w:p w:rsidR="00271830" w:rsidRPr="00BA463F" w:rsidP="002826AA" w14:paraId="5AF091D7" w14:textId="2A6E5278">
      <w:pPr>
        <w:pStyle w:val="BodyText"/>
        <w:rPr>
          <w:b/>
          <w:bCs/>
        </w:rPr>
      </w:pPr>
      <w:r w:rsidRPr="00BA463F">
        <w:t>No special circumstances exist for this information collection.</w:t>
      </w:r>
    </w:p>
    <w:p w:rsidR="00271830" w:rsidP="002826AA" w14:paraId="5A17DC04" w14:textId="77777777">
      <w:pPr>
        <w:pStyle w:val="BodyText"/>
      </w:pPr>
    </w:p>
    <w:p w:rsidR="00271830" w14:paraId="60606968" w14:textId="77777777">
      <w:pPr>
        <w:pStyle w:val="Heading1"/>
        <w:numPr>
          <w:ilvl w:val="1"/>
          <w:numId w:val="3"/>
        </w:numPr>
        <w:tabs>
          <w:tab w:val="left" w:pos="477"/>
        </w:tabs>
        <w:ind w:left="476" w:hanging="357"/>
        <w:jc w:val="left"/>
        <w:rPr>
          <w:u w:val="none"/>
        </w:rPr>
      </w:pPr>
      <w:bookmarkStart w:id="9" w:name="8._Federal_Register/Outside_Consultation"/>
      <w:bookmarkEnd w:id="9"/>
      <w:r>
        <w:rPr>
          <w:u w:val="none"/>
        </w:rPr>
        <w:t>Federal Register/Outside</w:t>
      </w:r>
      <w:r>
        <w:rPr>
          <w:spacing w:val="-19"/>
          <w:u w:val="none"/>
        </w:rPr>
        <w:t xml:space="preserve"> </w:t>
      </w:r>
      <w:r>
        <w:rPr>
          <w:u w:val="none"/>
        </w:rPr>
        <w:t>Consultation</w:t>
      </w:r>
    </w:p>
    <w:p w:rsidR="00271830" w:rsidP="002826AA" w14:paraId="6DB8A075" w14:textId="77777777">
      <w:pPr>
        <w:pStyle w:val="BodyText"/>
      </w:pPr>
    </w:p>
    <w:p w:rsidR="000A236E" w:rsidP="002826AA" w14:paraId="48272337" w14:textId="51E115B6">
      <w:pPr>
        <w:pStyle w:val="BodyText"/>
      </w:pPr>
      <w:r w:rsidRPr="00C84812">
        <w:t>A notice</w:t>
      </w:r>
      <w:r w:rsidR="00672A13">
        <w:t xml:space="preserve"> of proposed rulemaking</w:t>
      </w:r>
      <w:r>
        <w:t xml:space="preserve"> (</w:t>
      </w:r>
      <w:r w:rsidRPr="000A236E">
        <w:t xml:space="preserve">proposed regulation </w:t>
      </w:r>
      <w:r w:rsidR="00203EF1">
        <w:t>“Excepted Fertility</w:t>
      </w:r>
      <w:r w:rsidRPr="000A236E">
        <w:t xml:space="preserve"> Benefits</w:t>
      </w:r>
      <w:r w:rsidR="00203EF1">
        <w:t>”</w:t>
      </w:r>
      <w:r>
        <w:t>)</w:t>
      </w:r>
      <w:r w:rsidRPr="00C84812">
        <w:t xml:space="preserve"> will publish in the Federal Register</w:t>
      </w:r>
      <w:r w:rsidR="00672A13">
        <w:t xml:space="preserve"> on May 13, 2026</w:t>
      </w:r>
      <w:r w:rsidR="00DA7DBB">
        <w:t xml:space="preserve"> (91 FR 27140)</w:t>
      </w:r>
      <w:r w:rsidRPr="00C84812">
        <w:t>, providing the public with a 60-day period to submit written comments on these information collections</w:t>
      </w:r>
      <w:r w:rsidRPr="000A236E">
        <w:t>.</w:t>
      </w:r>
    </w:p>
    <w:p w:rsidR="00672A13" w:rsidP="002826AA" w14:paraId="39E1C72D" w14:textId="77777777">
      <w:pPr>
        <w:pStyle w:val="BodyText"/>
      </w:pPr>
    </w:p>
    <w:p w:rsidR="00672A13" w:rsidP="002826AA" w14:paraId="46CB2177" w14:textId="0CBA9533">
      <w:pPr>
        <w:pStyle w:val="BodyText"/>
      </w:pPr>
      <w:r>
        <w:t>No outside consultation was sought.</w:t>
      </w:r>
    </w:p>
    <w:p w:rsidR="00D6042D" w:rsidP="002826AA" w14:paraId="6239F1C7" w14:textId="77777777">
      <w:pPr>
        <w:pStyle w:val="BodyText"/>
      </w:pPr>
    </w:p>
    <w:p w:rsidR="00271830" w14:paraId="2B0ADABF" w14:textId="77777777">
      <w:pPr>
        <w:pStyle w:val="Heading1"/>
        <w:numPr>
          <w:ilvl w:val="1"/>
          <w:numId w:val="3"/>
        </w:numPr>
        <w:tabs>
          <w:tab w:val="left" w:pos="477"/>
        </w:tabs>
        <w:spacing w:before="1"/>
        <w:ind w:left="476" w:hanging="357"/>
        <w:jc w:val="left"/>
        <w:rPr>
          <w:u w:val="none"/>
        </w:rPr>
      </w:pPr>
      <w:bookmarkStart w:id="10" w:name="9._Payments/Gifts_to_Respondents"/>
      <w:bookmarkEnd w:id="10"/>
      <w:r>
        <w:rPr>
          <w:u w:val="none"/>
        </w:rPr>
        <w:t>Payments/Gifts to</w:t>
      </w:r>
      <w:r>
        <w:rPr>
          <w:spacing w:val="-9"/>
          <w:u w:val="none"/>
        </w:rPr>
        <w:t xml:space="preserve"> </w:t>
      </w:r>
      <w:r>
        <w:rPr>
          <w:u w:val="none"/>
        </w:rPr>
        <w:t>Respondents</w:t>
      </w:r>
    </w:p>
    <w:p w:rsidR="00271830" w:rsidP="002826AA" w14:paraId="5A7689CE" w14:textId="77777777">
      <w:pPr>
        <w:pStyle w:val="BodyText"/>
      </w:pPr>
    </w:p>
    <w:p w:rsidR="00271830" w:rsidP="002826AA" w14:paraId="10919B6D" w14:textId="77777777">
      <w:pPr>
        <w:pStyle w:val="BodyText"/>
      </w:pPr>
      <w:r>
        <w:t>There is no payment or gift to respondents.</w:t>
      </w:r>
    </w:p>
    <w:p w:rsidR="00271830" w:rsidP="002826AA" w14:paraId="3D04542D" w14:textId="77777777">
      <w:pPr>
        <w:pStyle w:val="BodyText"/>
      </w:pPr>
    </w:p>
    <w:p w:rsidR="00271830" w14:paraId="6A1E294C" w14:textId="52B2D886">
      <w:pPr>
        <w:pStyle w:val="Heading1"/>
        <w:numPr>
          <w:ilvl w:val="1"/>
          <w:numId w:val="3"/>
        </w:numPr>
        <w:tabs>
          <w:tab w:val="left" w:pos="568"/>
        </w:tabs>
        <w:ind w:left="568" w:hanging="449"/>
        <w:jc w:val="left"/>
        <w:rPr>
          <w:u w:val="none"/>
        </w:rPr>
      </w:pPr>
      <w:bookmarkStart w:id="11" w:name="10._Confidentiality"/>
      <w:bookmarkEnd w:id="11"/>
      <w:r>
        <w:rPr>
          <w:u w:val="none"/>
        </w:rPr>
        <w:t>Confidentiality</w:t>
      </w:r>
    </w:p>
    <w:p w:rsidR="00271830" w:rsidP="002826AA" w14:paraId="2223387B" w14:textId="77777777">
      <w:pPr>
        <w:pStyle w:val="BodyText"/>
      </w:pPr>
    </w:p>
    <w:p w:rsidR="000A236E" w:rsidP="002826AA" w14:paraId="362FB2FE" w14:textId="25C7700C">
      <w:pPr>
        <w:pStyle w:val="BodyText"/>
      </w:pPr>
      <w:r w:rsidRPr="000A236E">
        <w:t>The information submitted under this collection is not expected to be treated as confidential. The notices would be provided to plan participants and beneficiaries and would contain general information about coverage benefits and claims procedures.</w:t>
      </w:r>
    </w:p>
    <w:p w:rsidR="00271830" w:rsidP="002826AA" w14:paraId="2B841C06" w14:textId="77777777">
      <w:pPr>
        <w:pStyle w:val="BodyText"/>
      </w:pPr>
    </w:p>
    <w:p w:rsidR="00271830" w14:paraId="0633DB77" w14:textId="77777777">
      <w:pPr>
        <w:pStyle w:val="Heading1"/>
        <w:numPr>
          <w:ilvl w:val="1"/>
          <w:numId w:val="3"/>
        </w:numPr>
        <w:tabs>
          <w:tab w:val="left" w:pos="564"/>
        </w:tabs>
        <w:ind w:left="563" w:hanging="444"/>
        <w:jc w:val="left"/>
        <w:rPr>
          <w:u w:val="none"/>
        </w:rPr>
      </w:pPr>
      <w:bookmarkStart w:id="12" w:name="11._Sensitive_Questions"/>
      <w:bookmarkEnd w:id="12"/>
      <w:r>
        <w:rPr>
          <w:u w:val="none"/>
        </w:rPr>
        <w:t>Sensitive</w:t>
      </w:r>
      <w:r>
        <w:rPr>
          <w:spacing w:val="-9"/>
          <w:u w:val="none"/>
        </w:rPr>
        <w:t xml:space="preserve"> </w:t>
      </w:r>
      <w:r>
        <w:rPr>
          <w:u w:val="none"/>
        </w:rPr>
        <w:t>Questions</w:t>
      </w:r>
    </w:p>
    <w:p w:rsidR="00271830" w:rsidP="002826AA" w14:paraId="0E770A13" w14:textId="77777777">
      <w:pPr>
        <w:pStyle w:val="BodyText"/>
      </w:pPr>
    </w:p>
    <w:p w:rsidR="00271830" w:rsidRPr="004F0E55" w:rsidP="00943990" w14:paraId="07CA23F8" w14:textId="77777777">
      <w:pPr>
        <w:ind w:left="540" w:right="474"/>
        <w:rPr>
          <w:sz w:val="24"/>
          <w:szCs w:val="24"/>
        </w:rPr>
      </w:pPr>
      <w:r w:rsidRPr="004F0E55">
        <w:rPr>
          <w:sz w:val="24"/>
          <w:szCs w:val="24"/>
        </w:rPr>
        <w:t>There are no sensitive questions included in this collection effort. HHS does not propose to collect any private information.</w:t>
      </w:r>
    </w:p>
    <w:p w:rsidR="00271830" w:rsidP="002826AA" w14:paraId="70D282E2" w14:textId="77777777">
      <w:pPr>
        <w:pStyle w:val="BodyText"/>
      </w:pPr>
    </w:p>
    <w:p w:rsidR="00271830" w14:paraId="56F4153B" w14:textId="388818F5">
      <w:pPr>
        <w:pStyle w:val="Heading1"/>
        <w:numPr>
          <w:ilvl w:val="1"/>
          <w:numId w:val="3"/>
        </w:numPr>
        <w:tabs>
          <w:tab w:val="left" w:pos="537"/>
        </w:tabs>
        <w:ind w:left="536" w:hanging="417"/>
        <w:jc w:val="left"/>
        <w:rPr>
          <w:u w:val="none"/>
        </w:rPr>
      </w:pPr>
      <w:bookmarkStart w:id="13" w:name="12._Burden_Estimates_(Hours_&amp;_Wages)"/>
      <w:bookmarkEnd w:id="13"/>
      <w:r>
        <w:rPr>
          <w:u w:val="none"/>
        </w:rPr>
        <w:t>Burden Estimates (Hours &amp;</w:t>
      </w:r>
      <w:r>
        <w:rPr>
          <w:spacing w:val="-19"/>
          <w:u w:val="none"/>
        </w:rPr>
        <w:t xml:space="preserve"> </w:t>
      </w:r>
      <w:r>
        <w:rPr>
          <w:u w:val="none"/>
        </w:rPr>
        <w:t>Wages)</w:t>
      </w:r>
    </w:p>
    <w:p w:rsidR="00271830" w:rsidP="002826AA" w14:paraId="4AFF6A65" w14:textId="77777777">
      <w:pPr>
        <w:pStyle w:val="BodyText"/>
      </w:pPr>
    </w:p>
    <w:p w:rsidR="00943990" w:rsidP="00943990" w14:paraId="3EC24022" w14:textId="4BD88B45">
      <w:pPr>
        <w:ind w:left="540"/>
        <w:rPr>
          <w:sz w:val="24"/>
        </w:rPr>
      </w:pPr>
      <w:r w:rsidRPr="004C452C">
        <w:rPr>
          <w:sz w:val="24"/>
          <w:szCs w:val="24"/>
        </w:rPr>
        <w:t xml:space="preserve">To </w:t>
      </w:r>
      <w:r>
        <w:rPr>
          <w:sz w:val="24"/>
          <w:szCs w:val="24"/>
        </w:rPr>
        <w:t>estimate the burden and equivalent</w:t>
      </w:r>
      <w:r w:rsidRPr="004C452C">
        <w:rPr>
          <w:sz w:val="24"/>
          <w:szCs w:val="24"/>
        </w:rPr>
        <w:t xml:space="preserve"> costs</w:t>
      </w:r>
      <w:r>
        <w:rPr>
          <w:sz w:val="24"/>
          <w:szCs w:val="24"/>
        </w:rPr>
        <w:t xml:space="preserve"> associated with this ICR</w:t>
      </w:r>
      <w:r w:rsidRPr="004C452C">
        <w:rPr>
          <w:sz w:val="24"/>
          <w:szCs w:val="24"/>
        </w:rPr>
        <w:t xml:space="preserve">, </w:t>
      </w:r>
      <w:r w:rsidR="003B3DED">
        <w:rPr>
          <w:sz w:val="24"/>
          <w:szCs w:val="24"/>
        </w:rPr>
        <w:t>we used wage est</w:t>
      </w:r>
      <w:r w:rsidR="00DA587A">
        <w:rPr>
          <w:sz w:val="24"/>
          <w:szCs w:val="24"/>
        </w:rPr>
        <w:t>i</w:t>
      </w:r>
      <w:r w:rsidR="003B3DED">
        <w:rPr>
          <w:sz w:val="24"/>
          <w:szCs w:val="24"/>
        </w:rPr>
        <w:t>mates developed by the Department of Labor following their standard methodology</w:t>
      </w:r>
      <w:r w:rsidR="00410E8D">
        <w:rPr>
          <w:sz w:val="24"/>
          <w:szCs w:val="24"/>
        </w:rPr>
        <w:t>.</w:t>
      </w:r>
      <w:r>
        <w:rPr>
          <w:rStyle w:val="FootnoteReference"/>
          <w:sz w:val="24"/>
          <w:szCs w:val="24"/>
        </w:rPr>
        <w:footnoteReference w:id="4"/>
      </w:r>
    </w:p>
    <w:p w:rsidR="00271830" w:rsidP="002826AA" w14:paraId="3738EF6E" w14:textId="77777777">
      <w:pPr>
        <w:pStyle w:val="BodyText"/>
      </w:pPr>
    </w:p>
    <w:p w:rsidR="00503CA0" w:rsidP="00634F7B" w14:paraId="0DA8C981" w14:textId="5CFDAD14">
      <w:pPr>
        <w:pStyle w:val="Heading3"/>
      </w:pPr>
      <w:r w:rsidRPr="00503CA0">
        <w:t xml:space="preserve">Table </w:t>
      </w:r>
      <w:r>
        <w:fldChar w:fldCharType="begin"/>
      </w:r>
      <w:r>
        <w:instrText xml:space="preserve"> SEQ Table \* ARABIC </w:instrText>
      </w:r>
      <w:r>
        <w:fldChar w:fldCharType="separate"/>
      </w:r>
      <w:r w:rsidRPr="00503CA0">
        <w:rPr>
          <w:noProof/>
        </w:rPr>
        <w:t>1</w:t>
      </w:r>
      <w:r>
        <w:rPr>
          <w:noProof/>
        </w:rPr>
        <w:fldChar w:fldCharType="end"/>
      </w:r>
      <w:r w:rsidRPr="00503CA0">
        <w:t xml:space="preserve">2.1 Adjusted </w:t>
      </w:r>
      <w:r w:rsidR="00DF6880">
        <w:t xml:space="preserve">Median </w:t>
      </w:r>
      <w:r w:rsidRPr="00503CA0">
        <w:t>Hourly Wages Used in Burden Estimates</w:t>
      </w:r>
    </w:p>
    <w:p w:rsidR="00D37C7A" w:rsidRPr="00D37C7A" w:rsidP="002826AA" w14:paraId="5911DBF1" w14:textId="77777777">
      <w:pPr>
        <w:pStyle w:val="BodyText"/>
        <w:rPr>
          <w:lang w:bidi="ar-SA"/>
        </w:rPr>
      </w:pPr>
    </w:p>
    <w:tbl>
      <w:tblPr>
        <w:tblStyle w:val="TableGrid"/>
        <w:tblCaption w:val="Table 12.1 National Occupational Employment and Adjusted Hourly Wages Used in Burden Estimates"/>
        <w:tblDescription w:val="A 5x7 Table. Column headings are: BLS occupation title, occupational code, mean hourly wage ($/hr), fringe benefits and overhead ($/hr), and adjusted hourly wage ($/hr). Row headings are: Actuaries, accoutants and auditors, financial analysts, network and computer systems administrators, information security analysts, general and operations managers."/>
        <w:tblW w:w="9357" w:type="dxa"/>
        <w:tblInd w:w="265" w:type="dxa"/>
        <w:tblLook w:val="04A0"/>
      </w:tblPr>
      <w:tblGrid>
        <w:gridCol w:w="3813"/>
        <w:gridCol w:w="2416"/>
        <w:gridCol w:w="3128"/>
      </w:tblGrid>
      <w:tr w14:paraId="3628DE43" w14:textId="77777777" w:rsidTr="00DA587A">
        <w:tblPrEx>
          <w:tblW w:w="9357" w:type="dxa"/>
          <w:tblInd w:w="265" w:type="dxa"/>
          <w:tblLook w:val="04A0"/>
        </w:tblPrEx>
        <w:trPr>
          <w:trHeight w:val="462"/>
          <w:tblHeader/>
        </w:trPr>
        <w:tc>
          <w:tcPr>
            <w:tcW w:w="3813" w:type="dxa"/>
            <w:vAlign w:val="center"/>
          </w:tcPr>
          <w:p w:rsidR="003877AA" w:rsidRPr="008675F1" w:rsidP="00285A93" w14:paraId="1CBE3999" w14:textId="68236DBB">
            <w:pPr>
              <w:pStyle w:val="BodyText"/>
              <w:ind w:left="0"/>
              <w:jc w:val="center"/>
              <w:rPr>
                <w:b/>
                <w:bCs/>
                <w:sz w:val="20"/>
                <w:szCs w:val="20"/>
              </w:rPr>
            </w:pPr>
            <w:bookmarkStart w:id="14" w:name="Title_Occupational_Adjusted_Hourly_Wages"/>
            <w:bookmarkStart w:id="15" w:name="Title_BLS_Wages_Burden_Estimates"/>
            <w:bookmarkEnd w:id="14"/>
            <w:bookmarkEnd w:id="15"/>
            <w:r w:rsidRPr="008675F1">
              <w:rPr>
                <w:b/>
                <w:bCs/>
                <w:sz w:val="20"/>
                <w:szCs w:val="20"/>
              </w:rPr>
              <w:t>Occupation Title</w:t>
            </w:r>
          </w:p>
        </w:tc>
        <w:tc>
          <w:tcPr>
            <w:tcW w:w="2416" w:type="dxa"/>
            <w:vAlign w:val="center"/>
          </w:tcPr>
          <w:p w:rsidR="003877AA" w:rsidRPr="008675F1" w:rsidP="00285A93" w14:paraId="48B47321" w14:textId="22FB6B98">
            <w:pPr>
              <w:pStyle w:val="BodyText"/>
              <w:ind w:left="0"/>
              <w:jc w:val="center"/>
              <w:rPr>
                <w:b/>
                <w:bCs/>
                <w:sz w:val="20"/>
                <w:szCs w:val="20"/>
              </w:rPr>
            </w:pPr>
            <w:r w:rsidRPr="008675F1">
              <w:rPr>
                <w:b/>
                <w:bCs/>
                <w:sz w:val="20"/>
                <w:szCs w:val="20"/>
              </w:rPr>
              <w:t>Occupational Code</w:t>
            </w:r>
          </w:p>
        </w:tc>
        <w:tc>
          <w:tcPr>
            <w:tcW w:w="3128" w:type="dxa"/>
            <w:vAlign w:val="center"/>
          </w:tcPr>
          <w:p w:rsidR="003877AA" w:rsidRPr="008675F1" w:rsidP="00285A93" w14:paraId="4DB19CF1" w14:textId="3CF523B9">
            <w:pPr>
              <w:pStyle w:val="BodyText"/>
              <w:ind w:left="0"/>
              <w:jc w:val="center"/>
              <w:rPr>
                <w:b/>
                <w:bCs/>
                <w:sz w:val="20"/>
                <w:szCs w:val="20"/>
              </w:rPr>
            </w:pPr>
            <w:r w:rsidRPr="008675F1">
              <w:rPr>
                <w:b/>
                <w:bCs/>
                <w:sz w:val="20"/>
                <w:szCs w:val="20"/>
              </w:rPr>
              <w:t>Hourly Wage ($/</w:t>
            </w:r>
            <w:r w:rsidRPr="008675F1">
              <w:rPr>
                <w:b/>
                <w:bCs/>
                <w:sz w:val="20"/>
                <w:szCs w:val="20"/>
              </w:rPr>
              <w:t>hr</w:t>
            </w:r>
            <w:r w:rsidRPr="008675F1">
              <w:rPr>
                <w:b/>
                <w:bCs/>
                <w:sz w:val="20"/>
                <w:szCs w:val="20"/>
              </w:rPr>
              <w:t>)</w:t>
            </w:r>
          </w:p>
        </w:tc>
      </w:tr>
      <w:tr w14:paraId="06AA8A2C" w14:textId="77777777" w:rsidTr="00DA587A">
        <w:tblPrEx>
          <w:tblW w:w="9357" w:type="dxa"/>
          <w:tblInd w:w="265" w:type="dxa"/>
          <w:tblLook w:val="04A0"/>
        </w:tblPrEx>
        <w:trPr>
          <w:trHeight w:val="463"/>
        </w:trPr>
        <w:tc>
          <w:tcPr>
            <w:tcW w:w="3813" w:type="dxa"/>
            <w:vAlign w:val="center"/>
          </w:tcPr>
          <w:p w:rsidR="0077717E" w:rsidRPr="00B026EB" w:rsidP="00285A93" w14:paraId="592C999C" w14:textId="2A7C844B">
            <w:pPr>
              <w:pStyle w:val="BodyText"/>
              <w:ind w:left="0"/>
              <w:jc w:val="center"/>
              <w:rPr>
                <w:sz w:val="16"/>
                <w:szCs w:val="16"/>
              </w:rPr>
            </w:pPr>
            <w:r w:rsidRPr="00B026EB">
              <w:rPr>
                <w:sz w:val="16"/>
                <w:szCs w:val="16"/>
              </w:rPr>
              <w:t>Lawyers</w:t>
            </w:r>
          </w:p>
        </w:tc>
        <w:tc>
          <w:tcPr>
            <w:tcW w:w="2416" w:type="dxa"/>
            <w:vAlign w:val="center"/>
          </w:tcPr>
          <w:p w:rsidR="0077717E" w:rsidRPr="00B026EB" w:rsidP="00285A93" w14:paraId="1F0DC852" w14:textId="49C56EEF">
            <w:pPr>
              <w:pStyle w:val="BodyText"/>
              <w:ind w:left="0"/>
              <w:jc w:val="center"/>
              <w:rPr>
                <w:bCs/>
                <w:sz w:val="16"/>
                <w:szCs w:val="16"/>
              </w:rPr>
            </w:pPr>
            <w:r w:rsidRPr="00B026EB">
              <w:rPr>
                <w:sz w:val="16"/>
                <w:szCs w:val="16"/>
              </w:rPr>
              <w:t>23-1011</w:t>
            </w:r>
          </w:p>
        </w:tc>
        <w:tc>
          <w:tcPr>
            <w:tcW w:w="3128" w:type="dxa"/>
            <w:vAlign w:val="center"/>
          </w:tcPr>
          <w:p w:rsidR="0077717E" w:rsidRPr="00B026EB" w:rsidP="00285A93" w14:paraId="6ECAB2AD" w14:textId="21F36AC2">
            <w:pPr>
              <w:pStyle w:val="BodyText"/>
              <w:ind w:left="0"/>
              <w:jc w:val="center"/>
              <w:rPr>
                <w:bCs/>
                <w:sz w:val="16"/>
                <w:szCs w:val="16"/>
              </w:rPr>
            </w:pPr>
            <w:r w:rsidRPr="00B026EB">
              <w:rPr>
                <w:sz w:val="16"/>
                <w:szCs w:val="16"/>
              </w:rPr>
              <w:t>$</w:t>
            </w:r>
            <w:r w:rsidR="009D33B1">
              <w:rPr>
                <w:sz w:val="16"/>
                <w:szCs w:val="16"/>
              </w:rPr>
              <w:t>187.</w:t>
            </w:r>
            <w:r w:rsidR="00DA587A">
              <w:rPr>
                <w:sz w:val="16"/>
                <w:szCs w:val="16"/>
              </w:rPr>
              <w:t>58</w:t>
            </w:r>
          </w:p>
        </w:tc>
      </w:tr>
    </w:tbl>
    <w:p w:rsidR="004E2490" w:rsidRPr="00150B92" w:rsidP="002826AA" w14:paraId="569D7B09" w14:textId="77777777">
      <w:pPr>
        <w:pStyle w:val="BodyText"/>
      </w:pPr>
      <w:bookmarkStart w:id="16" w:name="Coordinated_Waiver_Process_and_(33_CFR_3"/>
      <w:bookmarkEnd w:id="16"/>
    </w:p>
    <w:p w:rsidR="00271830" w:rsidRPr="00767717" w:rsidP="00634F7B" w14:paraId="504F53A8" w14:textId="6F3DA377">
      <w:pPr>
        <w:pStyle w:val="Heading2"/>
      </w:pPr>
      <w:bookmarkStart w:id="17" w:name="_Hlk207186384"/>
      <w:r>
        <w:t xml:space="preserve">Notice Requirements for Plans or Issuers Offering </w:t>
      </w:r>
      <w:r w:rsidR="000E6579">
        <w:t>Excepted</w:t>
      </w:r>
      <w:r>
        <w:t xml:space="preserve"> Fertility Benefits (</w:t>
      </w:r>
      <w:r w:rsidR="00DB7030">
        <w:t xml:space="preserve">Proposed </w:t>
      </w:r>
      <w:r w:rsidRPr="009F11AD">
        <w:t>26 CFR 54.9831-1(c)(3)(ix)(</w:t>
      </w:r>
      <w:r w:rsidR="0082549A">
        <w:t>D</w:t>
      </w:r>
      <w:r w:rsidRPr="009F11AD">
        <w:t>), 29 CFR 2590.732(c)(3)(ix)(</w:t>
      </w:r>
      <w:r w:rsidR="0082549A">
        <w:t>D</w:t>
      </w:r>
      <w:r w:rsidRPr="009F11AD">
        <w:t>), and 45 CFR 146.145(b)(3)(ix)(</w:t>
      </w:r>
      <w:r w:rsidR="008F4FAC">
        <w:t>D</w:t>
      </w:r>
      <w:r w:rsidRPr="009F11AD">
        <w:t>)</w:t>
      </w:r>
      <w:r w:rsidRPr="00767717" w:rsidR="007F4414">
        <w:t>)</w:t>
      </w:r>
    </w:p>
    <w:p w:rsidR="00767717" w:rsidP="002826AA" w14:paraId="5E6E29D2" w14:textId="77777777">
      <w:pPr>
        <w:pStyle w:val="BodyText"/>
      </w:pPr>
    </w:p>
    <w:p w:rsidR="005241B9" w:rsidP="005241B9" w14:paraId="236B62FC" w14:textId="11F195BA">
      <w:pPr>
        <w:pStyle w:val="BodyText"/>
      </w:pPr>
      <w:r>
        <w:t>Under paragraph (c)(3)(ix)(</w:t>
      </w:r>
      <w:r w:rsidR="00496697">
        <w:t>D</w:t>
      </w:r>
      <w:r>
        <w:t>) of 26 CFR 54.9831-1 and 29 CFR 2590.732 and paragraph (b)(3)(ix)(</w:t>
      </w:r>
      <w:r w:rsidR="00496697">
        <w:t>D</w:t>
      </w:r>
      <w:r>
        <w:t xml:space="preserve">) of 45 CFR 146.145, </w:t>
      </w:r>
      <w:r w:rsidR="00EB3376">
        <w:t>plans</w:t>
      </w:r>
      <w:r w:rsidR="00DE3312">
        <w:t xml:space="preserve"> or</w:t>
      </w:r>
      <w:r>
        <w:t xml:space="preserve"> issuers offering </w:t>
      </w:r>
      <w:r w:rsidR="00DE3312">
        <w:t>excepted</w:t>
      </w:r>
      <w:r>
        <w:t xml:space="preserve"> fertility benefits </w:t>
      </w:r>
      <w:r w:rsidR="00535774">
        <w:t>would be required to</w:t>
      </w:r>
      <w:r>
        <w:t xml:space="preserve"> provide written notice to plan participants and beneficiaries. The notice </w:t>
      </w:r>
      <w:r w:rsidR="0094105A">
        <w:t>would be required to</w:t>
      </w:r>
      <w:r>
        <w:t xml:space="preserve"> include a description of the coverage, including a summary of benefits and limitations of the coverage, how to submit a claim for reimbursement, </w:t>
      </w:r>
      <w:r w:rsidR="009248FA">
        <w:t>including</w:t>
      </w:r>
      <w:r>
        <w:t xml:space="preserve"> whether the benefit utilizes the same claims procedure as for the sponsor's other group health plans</w:t>
      </w:r>
      <w:r w:rsidR="00305236">
        <w:t xml:space="preserve">, and information on </w:t>
      </w:r>
      <w:r w:rsidR="00305236">
        <w:rPr>
          <w:rFonts w:eastAsia="Calibri"/>
          <w:kern w:val="2"/>
          <w14:ligatures w14:val="standardContextual"/>
        </w:rPr>
        <w:t>how to identify and utilize a network provider, if applicable</w:t>
      </w:r>
      <w:r>
        <w:t xml:space="preserve">. The notice </w:t>
      </w:r>
      <w:r w:rsidR="00B35C7F">
        <w:t xml:space="preserve">would be required to be </w:t>
      </w:r>
      <w:r>
        <w:t>provided no later than the first date on which the participant or beneficiary is eligible to enroll in coverage, and annually thereafter, as well as upon request of the participant or beneficiary.</w:t>
      </w:r>
    </w:p>
    <w:p w:rsidR="00CE0214" w:rsidP="005241B9" w14:paraId="053FFD14" w14:textId="77777777">
      <w:pPr>
        <w:pStyle w:val="BodyText"/>
      </w:pPr>
    </w:p>
    <w:p w:rsidR="00CE0214" w:rsidP="005241B9" w14:paraId="0C90679F" w14:textId="7FC56767">
      <w:pPr>
        <w:pStyle w:val="BodyText"/>
      </w:pPr>
      <w:r>
        <w:t>HHS estimates that there are 12,569 non-Federal governmental plans</w:t>
      </w:r>
      <w:r>
        <w:rPr>
          <w:rStyle w:val="FootnoteReference"/>
        </w:rPr>
        <w:footnoteReference w:id="5"/>
      </w:r>
      <w:r>
        <w:t xml:space="preserve"> that could potentially offer excepted fertility benefits. The Departments assume that the 811 group health insurance issuers</w:t>
      </w:r>
      <w:r>
        <w:rPr>
          <w:rStyle w:val="FootnoteReference"/>
        </w:rPr>
        <w:footnoteReference w:id="6"/>
      </w:r>
      <w:r>
        <w:t xml:space="preserve"> will be responsible for producing the required notice on behalf of the plans they service, consistent with the role issuers play in providing plan management and administrative support to both fully </w:t>
      </w:r>
      <w:r>
        <w:t>insured and self-insured group health plans.</w:t>
      </w:r>
    </w:p>
    <w:p w:rsidR="005241B9" w:rsidP="005241B9" w14:paraId="69C112E5" w14:textId="77777777">
      <w:pPr>
        <w:pStyle w:val="BodyText"/>
      </w:pPr>
    </w:p>
    <w:p w:rsidR="005241B9" w:rsidP="005241B9" w14:paraId="5EA515C9" w14:textId="4BF83AD8">
      <w:pPr>
        <w:pStyle w:val="BodyText"/>
      </w:pPr>
      <w:r>
        <w:t xml:space="preserve">HHS </w:t>
      </w:r>
      <w:r>
        <w:t>estimate</w:t>
      </w:r>
      <w:r>
        <w:t>s</w:t>
      </w:r>
      <w:r>
        <w:t xml:space="preserve"> that</w:t>
      </w:r>
      <w:r w:rsidR="00AD2183">
        <w:t xml:space="preserve">, </w:t>
      </w:r>
      <w:r w:rsidR="00B03F25">
        <w:t xml:space="preserve">for </w:t>
      </w:r>
      <w:r w:rsidR="00CB4D9E">
        <w:t xml:space="preserve">each </w:t>
      </w:r>
      <w:r w:rsidR="00B03F25">
        <w:t>non-Federal governmental plan</w:t>
      </w:r>
      <w:r w:rsidR="00444117">
        <w:t xml:space="preserve"> offering </w:t>
      </w:r>
      <w:r w:rsidR="00AD2183">
        <w:t>excepted</w:t>
      </w:r>
      <w:r w:rsidR="00444117">
        <w:t xml:space="preserve"> fertility benefits</w:t>
      </w:r>
      <w:r>
        <w:t xml:space="preserve">, it would require </w:t>
      </w:r>
      <w:r w:rsidR="00EC7230">
        <w:t>2</w:t>
      </w:r>
      <w:r>
        <w:t xml:space="preserve"> hours for lawyers (at an hourly rate of $1</w:t>
      </w:r>
      <w:r w:rsidR="00EC7230">
        <w:t>87.58</w:t>
      </w:r>
      <w:r>
        <w:t xml:space="preserve">) to develop and draft the initial notice in the first year. The total burden for developing the initial notice would be </w:t>
      </w:r>
      <w:r w:rsidR="00183FF6">
        <w:t>2</w:t>
      </w:r>
      <w:r>
        <w:t xml:space="preserve"> hours, with an equivalent cost of approximately $</w:t>
      </w:r>
      <w:r w:rsidR="00D0694A">
        <w:t>375.16</w:t>
      </w:r>
      <w:r>
        <w:t xml:space="preserve"> per issuer.</w:t>
      </w:r>
      <w:r w:rsidR="003E03EA">
        <w:t xml:space="preserve"> </w:t>
      </w:r>
      <w:r>
        <w:t xml:space="preserve">In subsequent years, </w:t>
      </w:r>
      <w:r>
        <w:t xml:space="preserve">HHS </w:t>
      </w:r>
      <w:r>
        <w:t>estimate</w:t>
      </w:r>
      <w:r>
        <w:t>s</w:t>
      </w:r>
      <w:r>
        <w:t xml:space="preserve"> that it would require </w:t>
      </w:r>
      <w:r w:rsidR="00EC7230">
        <w:t>1</w:t>
      </w:r>
      <w:r>
        <w:t xml:space="preserve"> hour for lawyers (at an hourly rate of $1</w:t>
      </w:r>
      <w:r w:rsidR="00EC7230">
        <w:t>87.58</w:t>
      </w:r>
      <w:r>
        <w:t xml:space="preserve">) to review and update the notice as necessary. The total burden for reviewing and updating the notice would be </w:t>
      </w:r>
      <w:r w:rsidR="00D0694A">
        <w:t>1</w:t>
      </w:r>
      <w:r>
        <w:t xml:space="preserve"> hour, with an equivalent cost of approximately $</w:t>
      </w:r>
      <w:r w:rsidR="00D0694A">
        <w:t>187.58</w:t>
      </w:r>
      <w:r>
        <w:t xml:space="preserve"> per issuer.</w:t>
      </w:r>
      <w:r w:rsidRPr="003E03EA" w:rsidR="003E03EA">
        <w:t xml:space="preserve"> </w:t>
      </w:r>
      <w:r w:rsidR="003E03EA">
        <w:t xml:space="preserve">Each issuer’s lawyer is expected to draft the notice once in the first year and review and update it once annually in subsequent years, as a single notice developed by the issuer will apply to all plans it services. </w:t>
      </w:r>
    </w:p>
    <w:p w:rsidR="005241B9" w:rsidP="005241B9" w14:paraId="7E41A6E5" w14:textId="77777777">
      <w:pPr>
        <w:pStyle w:val="BodyText"/>
      </w:pPr>
    </w:p>
    <w:p w:rsidR="005241B9" w:rsidP="005241B9" w14:paraId="37AC8818" w14:textId="455E46AA">
      <w:pPr>
        <w:pStyle w:val="BodyText"/>
      </w:pPr>
      <w:r>
        <w:t>Therefore, the total burden for all</w:t>
      </w:r>
      <w:r>
        <w:t xml:space="preserve"> </w:t>
      </w:r>
      <w:r w:rsidR="00E8443D">
        <w:t xml:space="preserve">issuers that might provide </w:t>
      </w:r>
      <w:r w:rsidR="009C3C39">
        <w:t>excepted</w:t>
      </w:r>
      <w:r w:rsidR="00E8443D">
        <w:t xml:space="preserve"> fertility benefits to </w:t>
      </w:r>
      <w:r w:rsidR="00753D3D">
        <w:t>non-Fed</w:t>
      </w:r>
      <w:r w:rsidR="00201688">
        <w:t>eral governmental</w:t>
      </w:r>
      <w:r w:rsidR="00753D3D">
        <w:t xml:space="preserve"> </w:t>
      </w:r>
      <w:r w:rsidR="00286957">
        <w:t>plans</w:t>
      </w:r>
      <w:r>
        <w:t xml:space="preserve"> to develop the initial notice in the first year would be </w:t>
      </w:r>
      <w:r w:rsidR="000F4D1E">
        <w:t>1,622</w:t>
      </w:r>
      <w:r>
        <w:t xml:space="preserve"> hours</w:t>
      </w:r>
      <w:r w:rsidR="000F4D1E">
        <w:t xml:space="preserve"> (811 issuers x 2 hours)</w:t>
      </w:r>
      <w:r>
        <w:t xml:space="preserve">, with an equivalent </w:t>
      </w:r>
      <w:r w:rsidR="00FC334F">
        <w:t xml:space="preserve">total </w:t>
      </w:r>
      <w:r>
        <w:t>cost of approximately $</w:t>
      </w:r>
      <w:r w:rsidR="000F4D1E">
        <w:t>304,255</w:t>
      </w:r>
      <w:r>
        <w:t>. In subsequent years, the total burden for all issuers</w:t>
      </w:r>
      <w:r w:rsidR="00286957">
        <w:t xml:space="preserve"> </w:t>
      </w:r>
      <w:r>
        <w:t xml:space="preserve">to review and update the notice would be </w:t>
      </w:r>
      <w:r w:rsidR="00E400BA">
        <w:t>811</w:t>
      </w:r>
      <w:r>
        <w:t xml:space="preserve"> hours</w:t>
      </w:r>
      <w:r w:rsidR="00E400BA">
        <w:t xml:space="preserve"> (811 issuers x 1 hour)</w:t>
      </w:r>
      <w:r>
        <w:t xml:space="preserve">, with an equivalent </w:t>
      </w:r>
      <w:r w:rsidR="00FC334F">
        <w:t xml:space="preserve">total </w:t>
      </w:r>
      <w:r>
        <w:t>cost of approximately $</w:t>
      </w:r>
      <w:r w:rsidR="00E400BA">
        <w:t>152,127</w:t>
      </w:r>
      <w:r>
        <w:t>.</w:t>
      </w:r>
      <w:r w:rsidR="00E1411B">
        <w:t xml:space="preserve"> These</w:t>
      </w:r>
      <w:r w:rsidR="00B11B78">
        <w:t xml:space="preserve"> 811 issuers serve as the burden</w:t>
      </w:r>
      <w:r w:rsidR="00646879">
        <w:t>-bearing entities for notice drafting across all group health plans – including both private-sector plans and non-Federal governmental plans</w:t>
      </w:r>
      <w:r w:rsidR="00F114FD">
        <w:t xml:space="preserve"> – </w:t>
      </w:r>
      <w:r w:rsidR="00646879">
        <w:t>as issuers are expected to prepare a single notice applicable to all plans they service, regardless of plan type.</w:t>
      </w:r>
      <w:r w:rsidR="00C92971">
        <w:t xml:space="preserve"> </w:t>
      </w:r>
    </w:p>
    <w:p w:rsidR="00AC6C4D" w:rsidRPr="0077310C" w:rsidP="005A6E61" w14:paraId="6FE8D88A" w14:textId="77777777">
      <w:pPr>
        <w:pStyle w:val="BodyText"/>
        <w:ind w:left="0"/>
      </w:pPr>
    </w:p>
    <w:p w:rsidR="00AC6C4D" w:rsidP="002826AA" w14:paraId="63AC4BE8" w14:textId="443D03C8">
      <w:pPr>
        <w:pStyle w:val="Heading3"/>
        <w:rPr>
          <w:u w:val="none"/>
        </w:rPr>
      </w:pPr>
      <w:r>
        <w:t>Table 12.2  Estimate</w:t>
      </w:r>
      <w:r w:rsidR="00156780">
        <w:t>d</w:t>
      </w:r>
      <w:r>
        <w:t xml:space="preserve"> </w:t>
      </w:r>
      <w:r w:rsidR="00156780">
        <w:t xml:space="preserve">Burden </w:t>
      </w:r>
      <w:r>
        <w:t>for</w:t>
      </w:r>
      <w:r w:rsidR="00AE2929">
        <w:t xml:space="preserve"> </w:t>
      </w:r>
      <w:r w:rsidR="00CB1C7F">
        <w:t>Plans to Develop Notice (First Year)</w:t>
      </w:r>
    </w:p>
    <w:tbl>
      <w:tblPr>
        <w:tblCaption w:val="Table 12.2 Estimated Annualized Burden for Renewal Notices for Issuers outside the Exchange"/>
        <w:tblpPr w:leftFromText="180" w:rightFromText="180" w:vertAnchor="text" w:horzAnchor="margin" w:tblpXSpec="center" w:tblpY="170"/>
        <w:tblW w:w="8696" w:type="dxa"/>
        <w:tblLayout w:type="fixed"/>
        <w:tblCellMar>
          <w:left w:w="0" w:type="dxa"/>
          <w:right w:w="0" w:type="dxa"/>
        </w:tblCellMar>
        <w:tblLook w:val="01E0"/>
      </w:tblPr>
      <w:tblGrid>
        <w:gridCol w:w="1364"/>
        <w:gridCol w:w="1331"/>
        <w:gridCol w:w="1370"/>
        <w:gridCol w:w="1440"/>
        <w:gridCol w:w="1530"/>
        <w:gridCol w:w="1661"/>
      </w:tblGrid>
      <w:tr w14:paraId="78CD87C2" w14:textId="77777777" w:rsidTr="00BE35DF">
        <w:tblPrEx>
          <w:tblW w:w="8696" w:type="dxa"/>
          <w:tblLayout w:type="fixed"/>
          <w:tblCellMar>
            <w:left w:w="0" w:type="dxa"/>
            <w:right w:w="0" w:type="dxa"/>
          </w:tblCellMar>
          <w:tblLook w:val="01E0"/>
        </w:tblPrEx>
        <w:trPr>
          <w:trHeight w:hRule="exact" w:val="1132"/>
        </w:trPr>
        <w:tc>
          <w:tcPr>
            <w:tcW w:w="1364" w:type="dxa"/>
            <w:tcBorders>
              <w:top w:val="single" w:sz="4" w:space="0" w:color="000000"/>
              <w:left w:val="single" w:sz="4" w:space="0" w:color="000000"/>
              <w:bottom w:val="single" w:sz="4" w:space="0" w:color="000000"/>
              <w:right w:val="single" w:sz="4" w:space="0" w:color="000000"/>
            </w:tcBorders>
            <w:vAlign w:val="center"/>
          </w:tcPr>
          <w:p w:rsidR="00B347C1" w:rsidRPr="00AA6641" w:rsidP="00263BEE" w14:paraId="7713958C" w14:textId="77777777">
            <w:pPr>
              <w:pStyle w:val="TableParagraph"/>
              <w:jc w:val="center"/>
              <w:rPr>
                <w:b/>
                <w:bCs/>
                <w:sz w:val="20"/>
                <w:szCs w:val="20"/>
              </w:rPr>
            </w:pPr>
            <w:bookmarkStart w:id="18" w:name="_Hlk207186357"/>
            <w:bookmarkEnd w:id="17"/>
            <w:r w:rsidRPr="00AA6641">
              <w:rPr>
                <w:b/>
                <w:bCs/>
                <w:sz w:val="20"/>
                <w:szCs w:val="20"/>
              </w:rPr>
              <w:t>Respondent</w:t>
            </w:r>
          </w:p>
        </w:tc>
        <w:tc>
          <w:tcPr>
            <w:tcW w:w="1331" w:type="dxa"/>
            <w:tcBorders>
              <w:top w:val="single" w:sz="4" w:space="0" w:color="000000"/>
              <w:left w:val="single" w:sz="4" w:space="0" w:color="000000"/>
              <w:bottom w:val="single" w:sz="4" w:space="0" w:color="000000"/>
              <w:right w:val="single" w:sz="4" w:space="0" w:color="000000"/>
            </w:tcBorders>
            <w:vAlign w:val="center"/>
          </w:tcPr>
          <w:p w:rsidR="00B347C1" w:rsidRPr="00AA6641" w:rsidP="00263BEE" w14:paraId="455D1A30" w14:textId="1CF1B660">
            <w:pPr>
              <w:pStyle w:val="TableParagraph"/>
              <w:spacing w:line="242" w:lineRule="auto"/>
              <w:ind w:right="106"/>
              <w:jc w:val="center"/>
              <w:rPr>
                <w:b/>
                <w:bCs/>
                <w:sz w:val="20"/>
                <w:szCs w:val="20"/>
              </w:rPr>
            </w:pPr>
            <w:r w:rsidRPr="00635BDE">
              <w:rPr>
                <w:b/>
              </w:rPr>
              <w:t>Number of Respondents</w:t>
            </w:r>
          </w:p>
        </w:tc>
        <w:tc>
          <w:tcPr>
            <w:tcW w:w="1370" w:type="dxa"/>
            <w:tcBorders>
              <w:top w:val="single" w:sz="4" w:space="0" w:color="000000"/>
              <w:left w:val="single" w:sz="4" w:space="0" w:color="000000"/>
              <w:bottom w:val="single" w:sz="4" w:space="0" w:color="000000"/>
              <w:right w:val="single" w:sz="4" w:space="0" w:color="000000"/>
            </w:tcBorders>
            <w:vAlign w:val="center"/>
          </w:tcPr>
          <w:p w:rsidR="00B347C1" w:rsidRPr="00AA6641" w:rsidP="00263BEE" w14:paraId="04BCCDEA" w14:textId="647981D6">
            <w:pPr>
              <w:pStyle w:val="TableParagraph"/>
              <w:spacing w:line="242" w:lineRule="auto"/>
              <w:ind w:right="145"/>
              <w:jc w:val="center"/>
              <w:rPr>
                <w:b/>
                <w:bCs/>
                <w:sz w:val="20"/>
                <w:szCs w:val="20"/>
              </w:rPr>
            </w:pPr>
            <w:r w:rsidRPr="00635BDE">
              <w:rPr>
                <w:b/>
              </w:rPr>
              <w:t>Burden (Hours)</w:t>
            </w:r>
          </w:p>
        </w:tc>
        <w:tc>
          <w:tcPr>
            <w:tcW w:w="1440" w:type="dxa"/>
            <w:tcBorders>
              <w:top w:val="single" w:sz="4" w:space="0" w:color="000000"/>
              <w:left w:val="single" w:sz="4" w:space="0" w:color="000000"/>
              <w:bottom w:val="single" w:sz="4" w:space="0" w:color="000000"/>
              <w:right w:val="single" w:sz="4" w:space="0" w:color="000000"/>
            </w:tcBorders>
            <w:vAlign w:val="center"/>
          </w:tcPr>
          <w:p w:rsidR="00B347C1" w:rsidRPr="00AA6641" w:rsidP="00263BEE" w14:paraId="5A3446A0" w14:textId="7F3E482A">
            <w:pPr>
              <w:pStyle w:val="TableParagraph"/>
              <w:spacing w:line="242" w:lineRule="auto"/>
              <w:ind w:right="158"/>
              <w:jc w:val="center"/>
              <w:rPr>
                <w:b/>
                <w:bCs/>
                <w:sz w:val="20"/>
                <w:szCs w:val="20"/>
              </w:rPr>
            </w:pPr>
            <w:r w:rsidRPr="00635BDE">
              <w:rPr>
                <w:b/>
              </w:rPr>
              <w:t>Labor Cost</w:t>
            </w:r>
          </w:p>
        </w:tc>
        <w:tc>
          <w:tcPr>
            <w:tcW w:w="1530" w:type="dxa"/>
            <w:tcBorders>
              <w:top w:val="single" w:sz="4" w:space="0" w:color="000000"/>
              <w:left w:val="single" w:sz="4" w:space="0" w:color="000000"/>
              <w:bottom w:val="single" w:sz="4" w:space="0" w:color="000000"/>
              <w:right w:val="single" w:sz="4" w:space="0" w:color="000000"/>
            </w:tcBorders>
            <w:vAlign w:val="center"/>
          </w:tcPr>
          <w:p w:rsidR="00B347C1" w:rsidRPr="00AA6641" w:rsidP="00263BEE" w14:paraId="22863FF1" w14:textId="67C1B983">
            <w:pPr>
              <w:pStyle w:val="TableParagraph"/>
              <w:spacing w:line="242" w:lineRule="auto"/>
              <w:ind w:right="140"/>
              <w:jc w:val="center"/>
              <w:rPr>
                <w:b/>
                <w:bCs/>
                <w:sz w:val="20"/>
                <w:szCs w:val="20"/>
              </w:rPr>
            </w:pPr>
            <w:r w:rsidRPr="00635BDE">
              <w:rPr>
                <w:b/>
              </w:rPr>
              <w:t>Total Burden (Hours)</w:t>
            </w:r>
          </w:p>
        </w:tc>
        <w:tc>
          <w:tcPr>
            <w:tcW w:w="1661" w:type="dxa"/>
            <w:tcBorders>
              <w:top w:val="single" w:sz="4" w:space="0" w:color="000000"/>
              <w:left w:val="single" w:sz="4" w:space="0" w:color="000000"/>
              <w:bottom w:val="single" w:sz="4" w:space="0" w:color="000000"/>
              <w:right w:val="single" w:sz="4" w:space="0" w:color="000000"/>
            </w:tcBorders>
            <w:vAlign w:val="center"/>
          </w:tcPr>
          <w:p w:rsidR="00B347C1" w:rsidRPr="00AA6641" w:rsidP="00263BEE" w14:paraId="134FD5E6" w14:textId="512520B8">
            <w:pPr>
              <w:pStyle w:val="TableParagraph"/>
              <w:spacing w:line="242" w:lineRule="auto"/>
              <w:ind w:right="168"/>
              <w:jc w:val="center"/>
              <w:rPr>
                <w:b/>
                <w:bCs/>
                <w:sz w:val="20"/>
                <w:szCs w:val="20"/>
              </w:rPr>
            </w:pPr>
            <w:r w:rsidRPr="00635BDE">
              <w:rPr>
                <w:b/>
                <w:bCs/>
              </w:rPr>
              <w:t>Total Cost</w:t>
            </w:r>
          </w:p>
        </w:tc>
      </w:tr>
      <w:tr w14:paraId="68833351" w14:textId="77777777" w:rsidTr="00BE35DF">
        <w:tblPrEx>
          <w:tblW w:w="8696" w:type="dxa"/>
          <w:tblLayout w:type="fixed"/>
          <w:tblCellMar>
            <w:left w:w="0" w:type="dxa"/>
            <w:right w:w="0" w:type="dxa"/>
          </w:tblCellMar>
          <w:tblLook w:val="01E0"/>
        </w:tblPrEx>
        <w:trPr>
          <w:trHeight w:hRule="exact" w:val="913"/>
        </w:trPr>
        <w:tc>
          <w:tcPr>
            <w:tcW w:w="1364" w:type="dxa"/>
            <w:tcBorders>
              <w:top w:val="single" w:sz="4" w:space="0" w:color="000000"/>
              <w:left w:val="single" w:sz="4" w:space="0" w:color="000000"/>
              <w:bottom w:val="single" w:sz="4" w:space="0" w:color="000000"/>
              <w:right w:val="single" w:sz="4" w:space="0" w:color="000000"/>
            </w:tcBorders>
            <w:vAlign w:val="center"/>
          </w:tcPr>
          <w:p w:rsidR="00CB1C7F" w:rsidRPr="00B026EB" w:rsidP="00416E43" w14:paraId="64086716" w14:textId="747F0E61">
            <w:pPr>
              <w:pStyle w:val="TableParagraph"/>
              <w:spacing w:line="242" w:lineRule="auto"/>
              <w:ind w:left="103" w:right="246"/>
              <w:jc w:val="center"/>
              <w:rPr>
                <w:sz w:val="16"/>
                <w:szCs w:val="16"/>
              </w:rPr>
            </w:pPr>
            <w:r>
              <w:rPr>
                <w:sz w:val="16"/>
                <w:szCs w:val="16"/>
              </w:rPr>
              <w:t>Issuers</w:t>
            </w:r>
          </w:p>
        </w:tc>
        <w:tc>
          <w:tcPr>
            <w:tcW w:w="1331" w:type="dxa"/>
            <w:tcBorders>
              <w:top w:val="single" w:sz="4" w:space="0" w:color="000000"/>
              <w:left w:val="single" w:sz="4" w:space="0" w:color="000000"/>
              <w:bottom w:val="single" w:sz="4" w:space="0" w:color="000000"/>
              <w:right w:val="single" w:sz="4" w:space="0" w:color="000000"/>
            </w:tcBorders>
            <w:vAlign w:val="center"/>
          </w:tcPr>
          <w:p w:rsidR="00CB1C7F" w:rsidRPr="00B026EB" w:rsidP="00416E43" w14:paraId="3167A344" w14:textId="198206B7">
            <w:pPr>
              <w:pStyle w:val="TableParagraph"/>
              <w:jc w:val="center"/>
              <w:rPr>
                <w:sz w:val="16"/>
                <w:szCs w:val="16"/>
              </w:rPr>
            </w:pPr>
            <w:r>
              <w:rPr>
                <w:sz w:val="16"/>
                <w:szCs w:val="16"/>
              </w:rPr>
              <w:t>811</w:t>
            </w:r>
          </w:p>
        </w:tc>
        <w:tc>
          <w:tcPr>
            <w:tcW w:w="1370" w:type="dxa"/>
            <w:tcBorders>
              <w:top w:val="single" w:sz="4" w:space="0" w:color="000000"/>
              <w:left w:val="single" w:sz="4" w:space="0" w:color="000000"/>
              <w:bottom w:val="single" w:sz="4" w:space="0" w:color="000000"/>
              <w:right w:val="single" w:sz="4" w:space="0" w:color="000000"/>
            </w:tcBorders>
            <w:vAlign w:val="center"/>
          </w:tcPr>
          <w:p w:rsidR="00CB1C7F" w:rsidRPr="00B026EB" w:rsidP="00416E43" w14:paraId="45A74637" w14:textId="66794A85">
            <w:pPr>
              <w:pStyle w:val="TableParagraph"/>
              <w:ind w:right="101"/>
              <w:jc w:val="center"/>
              <w:rPr>
                <w:sz w:val="16"/>
                <w:szCs w:val="16"/>
              </w:rPr>
            </w:pPr>
            <w:r>
              <w:rPr>
                <w:sz w:val="16"/>
                <w:szCs w:val="16"/>
              </w:rPr>
              <w:t>2</w:t>
            </w:r>
          </w:p>
        </w:tc>
        <w:tc>
          <w:tcPr>
            <w:tcW w:w="1440" w:type="dxa"/>
            <w:tcBorders>
              <w:top w:val="single" w:sz="4" w:space="0" w:color="000000"/>
              <w:left w:val="single" w:sz="4" w:space="0" w:color="000000"/>
              <w:bottom w:val="single" w:sz="4" w:space="0" w:color="000000"/>
              <w:right w:val="single" w:sz="4" w:space="0" w:color="000000"/>
            </w:tcBorders>
            <w:vAlign w:val="center"/>
          </w:tcPr>
          <w:p w:rsidR="00CB1C7F" w:rsidRPr="00B026EB" w:rsidP="00416E43" w14:paraId="3D3D89B7" w14:textId="62406F8C">
            <w:pPr>
              <w:pStyle w:val="TableParagraph"/>
              <w:jc w:val="center"/>
              <w:rPr>
                <w:sz w:val="16"/>
                <w:szCs w:val="16"/>
              </w:rPr>
            </w:pPr>
            <w:r>
              <w:rPr>
                <w:sz w:val="16"/>
                <w:szCs w:val="16"/>
              </w:rPr>
              <w:t>$375.16</w:t>
            </w:r>
          </w:p>
        </w:tc>
        <w:tc>
          <w:tcPr>
            <w:tcW w:w="1530" w:type="dxa"/>
            <w:tcBorders>
              <w:top w:val="single" w:sz="4" w:space="0" w:color="000000"/>
              <w:left w:val="single" w:sz="4" w:space="0" w:color="000000"/>
              <w:bottom w:val="single" w:sz="4" w:space="0" w:color="000000"/>
              <w:right w:val="single" w:sz="4" w:space="0" w:color="000000"/>
            </w:tcBorders>
            <w:vAlign w:val="center"/>
          </w:tcPr>
          <w:p w:rsidR="00CB1C7F" w:rsidRPr="00B026EB" w:rsidP="00416E43" w14:paraId="7CD9143C" w14:textId="56A4272F">
            <w:pPr>
              <w:pStyle w:val="TableParagraph"/>
              <w:jc w:val="center"/>
              <w:rPr>
                <w:sz w:val="16"/>
                <w:szCs w:val="16"/>
              </w:rPr>
            </w:pPr>
            <w:r>
              <w:rPr>
                <w:sz w:val="16"/>
                <w:szCs w:val="16"/>
              </w:rPr>
              <w:t>1,622</w:t>
            </w:r>
          </w:p>
        </w:tc>
        <w:tc>
          <w:tcPr>
            <w:tcW w:w="1661" w:type="dxa"/>
            <w:tcBorders>
              <w:top w:val="single" w:sz="4" w:space="0" w:color="000000"/>
              <w:left w:val="single" w:sz="4" w:space="0" w:color="000000"/>
              <w:bottom w:val="single" w:sz="4" w:space="0" w:color="000000"/>
              <w:right w:val="single" w:sz="4" w:space="0" w:color="000000"/>
            </w:tcBorders>
            <w:vAlign w:val="center"/>
          </w:tcPr>
          <w:p w:rsidR="00CB1C7F" w:rsidRPr="00B026EB" w:rsidP="00416E43" w14:paraId="2EEA2B13" w14:textId="5D8A6E7B">
            <w:pPr>
              <w:pStyle w:val="TableParagraph"/>
              <w:jc w:val="center"/>
              <w:rPr>
                <w:sz w:val="16"/>
                <w:szCs w:val="16"/>
              </w:rPr>
            </w:pPr>
            <w:r>
              <w:rPr>
                <w:sz w:val="16"/>
                <w:szCs w:val="16"/>
              </w:rPr>
              <w:t>$</w:t>
            </w:r>
            <w:r w:rsidRPr="00B07265" w:rsidR="00B07265">
              <w:rPr>
                <w:sz w:val="16"/>
                <w:szCs w:val="16"/>
              </w:rPr>
              <w:t>304,255</w:t>
            </w:r>
          </w:p>
        </w:tc>
      </w:tr>
    </w:tbl>
    <w:p w:rsidR="00B347C1" w:rsidP="002826AA" w14:paraId="4DA870C1" w14:textId="77777777">
      <w:pPr>
        <w:pStyle w:val="BodyText"/>
      </w:pPr>
      <w:bookmarkStart w:id="19" w:name="State_Public_Notice_Requirements_(31_CFR"/>
      <w:bookmarkEnd w:id="18"/>
      <w:bookmarkEnd w:id="19"/>
    </w:p>
    <w:p w:rsidR="00775B48" w:rsidP="00CB1C7F" w14:paraId="2C20A68A" w14:textId="77777777">
      <w:pPr>
        <w:pStyle w:val="Heading3"/>
      </w:pPr>
      <w:bookmarkStart w:id="20" w:name="Monitoring_and_Compliance_(31_CFR_33.120"/>
      <w:bookmarkStart w:id="21" w:name="State_Reporting_Requirements_(31_CFR_33."/>
      <w:bookmarkStart w:id="22" w:name="Periodic_Evaluation_Requirements_(31_CFR"/>
      <w:bookmarkEnd w:id="20"/>
      <w:bookmarkEnd w:id="21"/>
      <w:bookmarkEnd w:id="22"/>
    </w:p>
    <w:p w:rsidR="00775B48" w:rsidP="00CB1C7F" w14:paraId="05A3FC4B" w14:textId="77777777">
      <w:pPr>
        <w:pStyle w:val="Heading3"/>
      </w:pPr>
    </w:p>
    <w:p w:rsidR="00FC334F" w:rsidP="00FC334F" w14:paraId="0EE4A417" w14:textId="77777777">
      <w:pPr>
        <w:pStyle w:val="Heading3"/>
      </w:pPr>
    </w:p>
    <w:p w:rsidR="00FC334F" w:rsidP="00FC334F" w14:paraId="0827D84A" w14:textId="77777777">
      <w:pPr>
        <w:pStyle w:val="Heading3"/>
      </w:pPr>
    </w:p>
    <w:p w:rsidR="00FC334F" w:rsidP="00FC334F" w14:paraId="27D518B0" w14:textId="77777777">
      <w:pPr>
        <w:pStyle w:val="Heading3"/>
      </w:pPr>
    </w:p>
    <w:p w:rsidR="00FC334F" w:rsidP="00FC334F" w14:paraId="2A12F586" w14:textId="77777777">
      <w:pPr>
        <w:pStyle w:val="Heading3"/>
      </w:pPr>
    </w:p>
    <w:p w:rsidR="00FC334F" w:rsidP="00FC334F" w14:paraId="10D16590" w14:textId="77777777">
      <w:pPr>
        <w:pStyle w:val="Heading3"/>
      </w:pPr>
    </w:p>
    <w:p w:rsidR="00FC334F" w:rsidP="00FC334F" w14:paraId="32573CE6" w14:textId="77777777">
      <w:pPr>
        <w:pStyle w:val="Heading3"/>
      </w:pPr>
    </w:p>
    <w:p w:rsidR="00271830" w:rsidP="00B94D55" w14:paraId="14B7E566" w14:textId="72731EE8">
      <w:pPr>
        <w:pStyle w:val="Heading3"/>
      </w:pPr>
      <w:r>
        <w:t>Table 12.3  Estimated Burden for Plans to Review and Update Notice (Subsequent Years)</w:t>
      </w:r>
    </w:p>
    <w:tbl>
      <w:tblPr>
        <w:tblCaption w:val="Table 12.2 Estimated Annualized Burden for Renewal Notices for Issuers outside the Exchange"/>
        <w:tblpPr w:leftFromText="180" w:rightFromText="180" w:vertAnchor="text" w:horzAnchor="margin" w:tblpXSpec="center" w:tblpY="170"/>
        <w:tblW w:w="8696" w:type="dxa"/>
        <w:tblLayout w:type="fixed"/>
        <w:tblCellMar>
          <w:left w:w="0" w:type="dxa"/>
          <w:right w:w="0" w:type="dxa"/>
        </w:tblCellMar>
        <w:tblLook w:val="01E0"/>
      </w:tblPr>
      <w:tblGrid>
        <w:gridCol w:w="1364"/>
        <w:gridCol w:w="1331"/>
        <w:gridCol w:w="1370"/>
        <w:gridCol w:w="1440"/>
        <w:gridCol w:w="1530"/>
        <w:gridCol w:w="1661"/>
      </w:tblGrid>
      <w:tr w14:paraId="34D69DF5" w14:textId="77777777" w:rsidTr="007C15CC">
        <w:tblPrEx>
          <w:tblW w:w="8696" w:type="dxa"/>
          <w:tblLayout w:type="fixed"/>
          <w:tblCellMar>
            <w:left w:w="0" w:type="dxa"/>
            <w:right w:w="0" w:type="dxa"/>
          </w:tblCellMar>
          <w:tblLook w:val="01E0"/>
        </w:tblPrEx>
        <w:trPr>
          <w:trHeight w:hRule="exact" w:val="1132"/>
        </w:trPr>
        <w:tc>
          <w:tcPr>
            <w:tcW w:w="1364" w:type="dxa"/>
            <w:tcBorders>
              <w:top w:val="single" w:sz="4" w:space="0" w:color="000000"/>
              <w:left w:val="single" w:sz="4" w:space="0" w:color="000000"/>
              <w:bottom w:val="single" w:sz="4" w:space="0" w:color="000000"/>
              <w:right w:val="single" w:sz="4" w:space="0" w:color="000000"/>
            </w:tcBorders>
            <w:vAlign w:val="center"/>
          </w:tcPr>
          <w:p w:rsidR="00857EFD" w:rsidRPr="00635BDE" w:rsidP="007C15CC" w14:paraId="042F4648" w14:textId="77777777">
            <w:pPr>
              <w:pStyle w:val="TableParagraph"/>
              <w:jc w:val="center"/>
              <w:rPr>
                <w:b/>
                <w:bCs/>
                <w:sz w:val="20"/>
                <w:szCs w:val="20"/>
              </w:rPr>
            </w:pPr>
            <w:r w:rsidRPr="00635BDE">
              <w:rPr>
                <w:b/>
                <w:bCs/>
                <w:sz w:val="20"/>
                <w:szCs w:val="20"/>
              </w:rPr>
              <w:t>Respondent</w:t>
            </w:r>
          </w:p>
        </w:tc>
        <w:tc>
          <w:tcPr>
            <w:tcW w:w="1331" w:type="dxa"/>
            <w:tcBorders>
              <w:top w:val="single" w:sz="4" w:space="0" w:color="000000"/>
              <w:left w:val="single" w:sz="4" w:space="0" w:color="000000"/>
              <w:bottom w:val="single" w:sz="4" w:space="0" w:color="000000"/>
              <w:right w:val="single" w:sz="4" w:space="0" w:color="000000"/>
            </w:tcBorders>
            <w:vAlign w:val="center"/>
          </w:tcPr>
          <w:p w:rsidR="00857EFD" w:rsidRPr="00635BDE" w:rsidP="007C15CC" w14:paraId="24A7E20B" w14:textId="77777777">
            <w:pPr>
              <w:pStyle w:val="TableParagraph"/>
              <w:spacing w:line="242" w:lineRule="auto"/>
              <w:ind w:right="106"/>
              <w:jc w:val="center"/>
              <w:rPr>
                <w:b/>
                <w:bCs/>
                <w:sz w:val="20"/>
                <w:szCs w:val="20"/>
              </w:rPr>
            </w:pPr>
            <w:r w:rsidRPr="00635BDE">
              <w:rPr>
                <w:b/>
                <w:bCs/>
              </w:rPr>
              <w:t>Number of Respondents</w:t>
            </w:r>
          </w:p>
        </w:tc>
        <w:tc>
          <w:tcPr>
            <w:tcW w:w="1370" w:type="dxa"/>
            <w:tcBorders>
              <w:top w:val="single" w:sz="4" w:space="0" w:color="000000"/>
              <w:left w:val="single" w:sz="4" w:space="0" w:color="000000"/>
              <w:bottom w:val="single" w:sz="4" w:space="0" w:color="000000"/>
              <w:right w:val="single" w:sz="4" w:space="0" w:color="000000"/>
            </w:tcBorders>
            <w:vAlign w:val="center"/>
          </w:tcPr>
          <w:p w:rsidR="00857EFD" w:rsidRPr="00635BDE" w:rsidP="007C15CC" w14:paraId="57978813" w14:textId="77777777">
            <w:pPr>
              <w:pStyle w:val="TableParagraph"/>
              <w:spacing w:line="242" w:lineRule="auto"/>
              <w:ind w:right="145"/>
              <w:jc w:val="center"/>
              <w:rPr>
                <w:b/>
                <w:bCs/>
                <w:sz w:val="20"/>
                <w:szCs w:val="20"/>
              </w:rPr>
            </w:pPr>
            <w:r w:rsidRPr="00635BDE">
              <w:rPr>
                <w:b/>
                <w:bCs/>
              </w:rPr>
              <w:t>Burden (Hours)</w:t>
            </w:r>
          </w:p>
        </w:tc>
        <w:tc>
          <w:tcPr>
            <w:tcW w:w="1440" w:type="dxa"/>
            <w:tcBorders>
              <w:top w:val="single" w:sz="4" w:space="0" w:color="000000"/>
              <w:left w:val="single" w:sz="4" w:space="0" w:color="000000"/>
              <w:bottom w:val="single" w:sz="4" w:space="0" w:color="000000"/>
              <w:right w:val="single" w:sz="4" w:space="0" w:color="000000"/>
            </w:tcBorders>
            <w:vAlign w:val="center"/>
          </w:tcPr>
          <w:p w:rsidR="00857EFD" w:rsidRPr="00635BDE" w:rsidP="007C15CC" w14:paraId="6B4C3710" w14:textId="77777777">
            <w:pPr>
              <w:pStyle w:val="TableParagraph"/>
              <w:spacing w:line="242" w:lineRule="auto"/>
              <w:ind w:right="158"/>
              <w:jc w:val="center"/>
              <w:rPr>
                <w:b/>
                <w:bCs/>
                <w:sz w:val="20"/>
                <w:szCs w:val="20"/>
              </w:rPr>
            </w:pPr>
            <w:r w:rsidRPr="00635BDE">
              <w:rPr>
                <w:b/>
                <w:bCs/>
              </w:rPr>
              <w:t>Labor Cost</w:t>
            </w:r>
          </w:p>
        </w:tc>
        <w:tc>
          <w:tcPr>
            <w:tcW w:w="1530" w:type="dxa"/>
            <w:tcBorders>
              <w:top w:val="single" w:sz="4" w:space="0" w:color="000000"/>
              <w:left w:val="single" w:sz="4" w:space="0" w:color="000000"/>
              <w:bottom w:val="single" w:sz="4" w:space="0" w:color="000000"/>
              <w:right w:val="single" w:sz="4" w:space="0" w:color="000000"/>
            </w:tcBorders>
            <w:vAlign w:val="center"/>
          </w:tcPr>
          <w:p w:rsidR="00857EFD" w:rsidRPr="00635BDE" w:rsidP="007C15CC" w14:paraId="65E94BCF" w14:textId="77777777">
            <w:pPr>
              <w:pStyle w:val="TableParagraph"/>
              <w:spacing w:line="242" w:lineRule="auto"/>
              <w:ind w:right="140"/>
              <w:jc w:val="center"/>
              <w:rPr>
                <w:b/>
                <w:bCs/>
                <w:sz w:val="20"/>
                <w:szCs w:val="20"/>
              </w:rPr>
            </w:pPr>
            <w:r w:rsidRPr="00635BDE">
              <w:rPr>
                <w:b/>
                <w:bCs/>
              </w:rPr>
              <w:t>Total Burden (Hours)</w:t>
            </w:r>
          </w:p>
        </w:tc>
        <w:tc>
          <w:tcPr>
            <w:tcW w:w="1661" w:type="dxa"/>
            <w:tcBorders>
              <w:top w:val="single" w:sz="4" w:space="0" w:color="000000"/>
              <w:left w:val="single" w:sz="4" w:space="0" w:color="000000"/>
              <w:bottom w:val="single" w:sz="4" w:space="0" w:color="000000"/>
              <w:right w:val="single" w:sz="4" w:space="0" w:color="000000"/>
            </w:tcBorders>
            <w:vAlign w:val="center"/>
          </w:tcPr>
          <w:p w:rsidR="00857EFD" w:rsidRPr="00635BDE" w:rsidP="007C15CC" w14:paraId="420E2CB9" w14:textId="77777777">
            <w:pPr>
              <w:pStyle w:val="TableParagraph"/>
              <w:spacing w:line="242" w:lineRule="auto"/>
              <w:ind w:right="168"/>
              <w:jc w:val="center"/>
              <w:rPr>
                <w:b/>
                <w:bCs/>
                <w:sz w:val="20"/>
                <w:szCs w:val="20"/>
              </w:rPr>
            </w:pPr>
            <w:r w:rsidRPr="00635BDE">
              <w:rPr>
                <w:b/>
                <w:bCs/>
              </w:rPr>
              <w:t>Total Cost</w:t>
            </w:r>
          </w:p>
        </w:tc>
      </w:tr>
      <w:tr w14:paraId="30DE0917" w14:textId="77777777" w:rsidTr="007C15CC">
        <w:tblPrEx>
          <w:tblW w:w="8696" w:type="dxa"/>
          <w:tblLayout w:type="fixed"/>
          <w:tblCellMar>
            <w:left w:w="0" w:type="dxa"/>
            <w:right w:w="0" w:type="dxa"/>
          </w:tblCellMar>
          <w:tblLook w:val="01E0"/>
        </w:tblPrEx>
        <w:trPr>
          <w:trHeight w:hRule="exact" w:val="913"/>
        </w:trPr>
        <w:tc>
          <w:tcPr>
            <w:tcW w:w="1364" w:type="dxa"/>
            <w:tcBorders>
              <w:top w:val="single" w:sz="4" w:space="0" w:color="000000"/>
              <w:left w:val="single" w:sz="4" w:space="0" w:color="000000"/>
              <w:bottom w:val="single" w:sz="4" w:space="0" w:color="000000"/>
              <w:right w:val="single" w:sz="4" w:space="0" w:color="000000"/>
            </w:tcBorders>
            <w:vAlign w:val="center"/>
          </w:tcPr>
          <w:p w:rsidR="00857EFD" w:rsidRPr="00B026EB" w:rsidP="007C15CC" w14:paraId="2876974C" w14:textId="77777777">
            <w:pPr>
              <w:pStyle w:val="TableParagraph"/>
              <w:spacing w:line="242" w:lineRule="auto"/>
              <w:ind w:left="103" w:right="246"/>
              <w:jc w:val="center"/>
              <w:rPr>
                <w:sz w:val="16"/>
                <w:szCs w:val="16"/>
              </w:rPr>
            </w:pPr>
            <w:r>
              <w:rPr>
                <w:sz w:val="16"/>
                <w:szCs w:val="16"/>
              </w:rPr>
              <w:t>Issuers</w:t>
            </w:r>
          </w:p>
        </w:tc>
        <w:tc>
          <w:tcPr>
            <w:tcW w:w="1331" w:type="dxa"/>
            <w:tcBorders>
              <w:top w:val="single" w:sz="4" w:space="0" w:color="000000"/>
              <w:left w:val="single" w:sz="4" w:space="0" w:color="000000"/>
              <w:bottom w:val="single" w:sz="4" w:space="0" w:color="000000"/>
              <w:right w:val="single" w:sz="4" w:space="0" w:color="000000"/>
            </w:tcBorders>
            <w:vAlign w:val="center"/>
          </w:tcPr>
          <w:p w:rsidR="00857EFD" w:rsidRPr="00B026EB" w:rsidP="007C15CC" w14:paraId="68970989" w14:textId="76D8D316">
            <w:pPr>
              <w:pStyle w:val="TableParagraph"/>
              <w:jc w:val="center"/>
              <w:rPr>
                <w:sz w:val="16"/>
                <w:szCs w:val="16"/>
              </w:rPr>
            </w:pPr>
            <w:r>
              <w:rPr>
                <w:sz w:val="16"/>
                <w:szCs w:val="16"/>
              </w:rPr>
              <w:t>811</w:t>
            </w:r>
          </w:p>
        </w:tc>
        <w:tc>
          <w:tcPr>
            <w:tcW w:w="1370" w:type="dxa"/>
            <w:tcBorders>
              <w:top w:val="single" w:sz="4" w:space="0" w:color="000000"/>
              <w:left w:val="single" w:sz="4" w:space="0" w:color="000000"/>
              <w:bottom w:val="single" w:sz="4" w:space="0" w:color="000000"/>
              <w:right w:val="single" w:sz="4" w:space="0" w:color="000000"/>
            </w:tcBorders>
            <w:vAlign w:val="center"/>
          </w:tcPr>
          <w:p w:rsidR="00857EFD" w:rsidRPr="00B026EB" w:rsidP="007C15CC" w14:paraId="0555BF30" w14:textId="5A314024">
            <w:pPr>
              <w:pStyle w:val="TableParagraph"/>
              <w:ind w:right="101"/>
              <w:jc w:val="center"/>
              <w:rPr>
                <w:sz w:val="16"/>
                <w:szCs w:val="16"/>
              </w:rPr>
            </w:pPr>
            <w:r>
              <w:rPr>
                <w:sz w:val="16"/>
                <w:szCs w:val="16"/>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857EFD" w:rsidRPr="00B026EB" w:rsidP="007C15CC" w14:paraId="459455ED" w14:textId="2DE5FD52">
            <w:pPr>
              <w:pStyle w:val="TableParagraph"/>
              <w:jc w:val="center"/>
              <w:rPr>
                <w:sz w:val="16"/>
                <w:szCs w:val="16"/>
              </w:rPr>
            </w:pPr>
            <w:r>
              <w:rPr>
                <w:sz w:val="16"/>
                <w:szCs w:val="16"/>
              </w:rPr>
              <w:t>$187.58</w:t>
            </w:r>
          </w:p>
        </w:tc>
        <w:tc>
          <w:tcPr>
            <w:tcW w:w="1530" w:type="dxa"/>
            <w:tcBorders>
              <w:top w:val="single" w:sz="4" w:space="0" w:color="000000"/>
              <w:left w:val="single" w:sz="4" w:space="0" w:color="000000"/>
              <w:bottom w:val="single" w:sz="4" w:space="0" w:color="000000"/>
              <w:right w:val="single" w:sz="4" w:space="0" w:color="000000"/>
            </w:tcBorders>
            <w:vAlign w:val="center"/>
          </w:tcPr>
          <w:p w:rsidR="00857EFD" w:rsidRPr="00B026EB" w:rsidP="007C15CC" w14:paraId="66B1357E" w14:textId="20034BC9">
            <w:pPr>
              <w:pStyle w:val="TableParagraph"/>
              <w:jc w:val="center"/>
              <w:rPr>
                <w:sz w:val="16"/>
                <w:szCs w:val="16"/>
              </w:rPr>
            </w:pPr>
            <w:r>
              <w:rPr>
                <w:sz w:val="16"/>
                <w:szCs w:val="16"/>
              </w:rPr>
              <w:t>811</w:t>
            </w:r>
          </w:p>
        </w:tc>
        <w:tc>
          <w:tcPr>
            <w:tcW w:w="1661" w:type="dxa"/>
            <w:tcBorders>
              <w:top w:val="single" w:sz="4" w:space="0" w:color="000000"/>
              <w:left w:val="single" w:sz="4" w:space="0" w:color="000000"/>
              <w:bottom w:val="single" w:sz="4" w:space="0" w:color="000000"/>
              <w:right w:val="single" w:sz="4" w:space="0" w:color="000000"/>
            </w:tcBorders>
            <w:vAlign w:val="center"/>
          </w:tcPr>
          <w:p w:rsidR="00857EFD" w:rsidRPr="00B026EB" w:rsidP="007C15CC" w14:paraId="375E1F28" w14:textId="148A66B5">
            <w:pPr>
              <w:pStyle w:val="TableParagraph"/>
              <w:jc w:val="center"/>
              <w:rPr>
                <w:sz w:val="16"/>
                <w:szCs w:val="16"/>
              </w:rPr>
            </w:pPr>
            <w:r>
              <w:rPr>
                <w:sz w:val="16"/>
                <w:szCs w:val="16"/>
              </w:rPr>
              <w:t>$</w:t>
            </w:r>
            <w:r w:rsidRPr="00B07265" w:rsidR="00B07265">
              <w:rPr>
                <w:sz w:val="16"/>
                <w:szCs w:val="16"/>
              </w:rPr>
              <w:t>152,127</w:t>
            </w:r>
          </w:p>
        </w:tc>
      </w:tr>
    </w:tbl>
    <w:p w:rsidR="00A766B7" w:rsidP="00A766B7" w14:paraId="110F6644" w14:textId="77777777">
      <w:pPr>
        <w:pStyle w:val="BodyText"/>
        <w:ind w:left="0"/>
      </w:pPr>
    </w:p>
    <w:p w:rsidR="00A57FFA" w:rsidP="00FA0AEB" w14:paraId="2C237D71" w14:textId="77777777">
      <w:pPr>
        <w:pStyle w:val="BodyText"/>
        <w:kinsoku w:val="0"/>
        <w:overflowPunct w:val="0"/>
      </w:pPr>
    </w:p>
    <w:p w:rsidR="00A57FFA" w:rsidP="00FA0AEB" w14:paraId="7B25140B" w14:textId="77777777">
      <w:pPr>
        <w:pStyle w:val="BodyText"/>
        <w:kinsoku w:val="0"/>
        <w:overflowPunct w:val="0"/>
      </w:pPr>
    </w:p>
    <w:p w:rsidR="00A57FFA" w:rsidP="00FA0AEB" w14:paraId="19D14259" w14:textId="77777777">
      <w:pPr>
        <w:pStyle w:val="BodyText"/>
        <w:kinsoku w:val="0"/>
        <w:overflowPunct w:val="0"/>
      </w:pPr>
    </w:p>
    <w:p w:rsidR="00A57FFA" w:rsidP="00FA0AEB" w14:paraId="510998DD" w14:textId="77777777">
      <w:pPr>
        <w:pStyle w:val="BodyText"/>
        <w:kinsoku w:val="0"/>
        <w:overflowPunct w:val="0"/>
      </w:pPr>
    </w:p>
    <w:p w:rsidR="00A57FFA" w:rsidP="00FA0AEB" w14:paraId="6C046568" w14:textId="77777777">
      <w:pPr>
        <w:pStyle w:val="BodyText"/>
        <w:kinsoku w:val="0"/>
        <w:overflowPunct w:val="0"/>
      </w:pPr>
    </w:p>
    <w:p w:rsidR="00422737" w:rsidP="00937404" w14:paraId="19C7AA1B" w14:textId="77777777">
      <w:pPr>
        <w:pStyle w:val="BodyText"/>
        <w:kinsoku w:val="0"/>
        <w:overflowPunct w:val="0"/>
        <w:ind w:left="0"/>
      </w:pPr>
    </w:p>
    <w:p w:rsidR="00A766B7" w:rsidP="00937404" w14:paraId="4D041642" w14:textId="77777777">
      <w:pPr>
        <w:pStyle w:val="BodyText"/>
        <w:kinsoku w:val="0"/>
        <w:overflowPunct w:val="0"/>
        <w:ind w:left="0"/>
      </w:pPr>
    </w:p>
    <w:p w:rsidR="00A766B7" w:rsidP="00422737" w14:paraId="6757297F" w14:textId="77777777">
      <w:pPr>
        <w:pStyle w:val="Heading3"/>
      </w:pPr>
    </w:p>
    <w:p w:rsidR="00A766B7" w:rsidP="00A766B7" w14:paraId="61AB9559" w14:textId="1C2C351F">
      <w:pPr>
        <w:pStyle w:val="BodyText"/>
        <w:kinsoku w:val="0"/>
        <w:overflowPunct w:val="0"/>
      </w:pPr>
      <w:r w:rsidRPr="00937404">
        <w:t>Table 12.</w:t>
      </w:r>
      <w:r>
        <w:t>4</w:t>
      </w:r>
      <w:r w:rsidRPr="00937404">
        <w:t xml:space="preserve"> below provides a three-year average </w:t>
      </w:r>
      <w:r w:rsidR="00FC334F">
        <w:t xml:space="preserve">for </w:t>
      </w:r>
      <w:r w:rsidRPr="00937404">
        <w:t xml:space="preserve">the burden and costs associated with the </w:t>
      </w:r>
      <w:r>
        <w:t>notice requirement.</w:t>
      </w:r>
    </w:p>
    <w:p w:rsidR="00A766B7" w:rsidRPr="00A766B7" w:rsidP="00A766B7" w14:paraId="10AD4137" w14:textId="77777777"/>
    <w:p w:rsidR="00422737" w:rsidP="00422737" w14:paraId="68114217" w14:textId="283DD668">
      <w:pPr>
        <w:pStyle w:val="Heading3"/>
      </w:pPr>
      <w:r w:rsidRPr="00E92B2F">
        <w:t>Table 12.</w:t>
      </w:r>
      <w:r w:rsidR="00FA0AEB">
        <w:t>4</w:t>
      </w:r>
      <w:r w:rsidRPr="00E92B2F">
        <w:t xml:space="preserve"> </w:t>
      </w:r>
      <w:r w:rsidR="00125E1A">
        <w:t xml:space="preserve">Three-Year Average </w:t>
      </w:r>
      <w:r w:rsidRPr="00E92B2F">
        <w:t>Burden</w:t>
      </w:r>
      <w:r>
        <w:t xml:space="preserve"> and Costs</w:t>
      </w:r>
    </w:p>
    <w:p w:rsidR="00422737" w:rsidP="00422737" w14:paraId="6BB05DF4" w14:textId="77777777">
      <w:pPr>
        <w:pStyle w:val="BodyText"/>
        <w:kinsoku w:val="0"/>
        <w:overflowPunct w:val="0"/>
      </w:pPr>
    </w:p>
    <w:tbl>
      <w:tblPr>
        <w:tblW w:w="482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2"/>
        <w:gridCol w:w="2689"/>
        <w:gridCol w:w="2429"/>
        <w:gridCol w:w="2854"/>
      </w:tblGrid>
      <w:tr w14:paraId="2C2D0C6A" w14:textId="77777777" w:rsidTr="00D7096E">
        <w:tblPrEx>
          <w:tblW w:w="482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32"/>
          <w:tblHeader/>
        </w:trPr>
        <w:tc>
          <w:tcPr>
            <w:tcW w:w="888" w:type="pct"/>
            <w:vAlign w:val="center"/>
            <w:hideMark/>
          </w:tcPr>
          <w:p w:rsidR="00422737" w:rsidRPr="00422737" w:rsidP="008F6461" w14:paraId="16BF65CB" w14:textId="77777777">
            <w:pPr>
              <w:widowControl/>
              <w:autoSpaceDE/>
              <w:autoSpaceDN/>
              <w:jc w:val="center"/>
              <w:rPr>
                <w:rFonts w:eastAsia="Calibri"/>
                <w:b/>
                <w:bCs/>
                <w:color w:val="000000" w:themeColor="text1"/>
                <w:sz w:val="20"/>
                <w:szCs w:val="20"/>
              </w:rPr>
            </w:pPr>
            <w:r w:rsidRPr="00422737">
              <w:rPr>
                <w:b/>
                <w:bCs/>
                <w:color w:val="000000" w:themeColor="text1"/>
                <w:sz w:val="20"/>
                <w:szCs w:val="20"/>
              </w:rPr>
              <w:t>Year</w:t>
            </w:r>
          </w:p>
        </w:tc>
        <w:tc>
          <w:tcPr>
            <w:tcW w:w="1387" w:type="pct"/>
            <w:vAlign w:val="center"/>
            <w:hideMark/>
          </w:tcPr>
          <w:p w:rsidR="00422737" w:rsidRPr="00422737" w:rsidP="008F6461" w14:paraId="47B0E221" w14:textId="3BC40353">
            <w:pPr>
              <w:widowControl/>
              <w:autoSpaceDE/>
              <w:autoSpaceDN/>
              <w:jc w:val="center"/>
              <w:rPr>
                <w:rFonts w:eastAsia="Calibri"/>
                <w:b/>
                <w:bCs/>
                <w:color w:val="000000" w:themeColor="text1"/>
                <w:sz w:val="20"/>
                <w:szCs w:val="20"/>
              </w:rPr>
            </w:pPr>
            <w:r w:rsidRPr="00422737">
              <w:rPr>
                <w:b/>
                <w:bCs/>
                <w:color w:val="000000" w:themeColor="text1"/>
                <w:sz w:val="20"/>
                <w:szCs w:val="20"/>
              </w:rPr>
              <w:t>Number of Respondents</w:t>
            </w:r>
            <w:r w:rsidR="003D403C">
              <w:rPr>
                <w:b/>
                <w:bCs/>
                <w:color w:val="000000" w:themeColor="text1"/>
                <w:sz w:val="20"/>
                <w:szCs w:val="20"/>
              </w:rPr>
              <w:t xml:space="preserve"> (Issuers)</w:t>
            </w:r>
          </w:p>
        </w:tc>
        <w:tc>
          <w:tcPr>
            <w:tcW w:w="1253" w:type="pct"/>
            <w:vAlign w:val="center"/>
          </w:tcPr>
          <w:p w:rsidR="00422737" w:rsidRPr="00422737" w:rsidP="008F6461" w14:paraId="67DFED78" w14:textId="6F17CE84">
            <w:pPr>
              <w:widowControl/>
              <w:autoSpaceDE/>
              <w:autoSpaceDN/>
              <w:jc w:val="center"/>
              <w:rPr>
                <w:rFonts w:eastAsia="Calibri"/>
                <w:b/>
                <w:bCs/>
                <w:color w:val="000000" w:themeColor="text1"/>
                <w:sz w:val="20"/>
                <w:szCs w:val="20"/>
              </w:rPr>
            </w:pPr>
            <w:r>
              <w:rPr>
                <w:b/>
                <w:bCs/>
                <w:color w:val="000000" w:themeColor="text1"/>
                <w:sz w:val="20"/>
                <w:szCs w:val="20"/>
              </w:rPr>
              <w:t>Total Hours</w:t>
            </w:r>
          </w:p>
        </w:tc>
        <w:tc>
          <w:tcPr>
            <w:tcW w:w="1472" w:type="pct"/>
            <w:vAlign w:val="center"/>
          </w:tcPr>
          <w:p w:rsidR="00422737" w:rsidRPr="00422737" w:rsidP="008F6461" w14:paraId="14A5FA80" w14:textId="43CE8E79">
            <w:pPr>
              <w:widowControl/>
              <w:autoSpaceDE/>
              <w:autoSpaceDN/>
              <w:jc w:val="center"/>
              <w:rPr>
                <w:rFonts w:eastAsia="Calibri"/>
                <w:b/>
                <w:bCs/>
                <w:color w:val="000000" w:themeColor="text1"/>
                <w:sz w:val="20"/>
                <w:szCs w:val="20"/>
              </w:rPr>
            </w:pPr>
            <w:r>
              <w:rPr>
                <w:b/>
                <w:bCs/>
                <w:color w:val="000000" w:themeColor="text1"/>
                <w:sz w:val="20"/>
                <w:szCs w:val="20"/>
              </w:rPr>
              <w:t>Total Costs</w:t>
            </w:r>
          </w:p>
        </w:tc>
      </w:tr>
      <w:tr w14:paraId="63500D60" w14:textId="77777777" w:rsidTr="00336575">
        <w:tblPrEx>
          <w:tblW w:w="4823" w:type="pct"/>
          <w:tblInd w:w="355" w:type="dxa"/>
          <w:tblLook w:val="04A0"/>
        </w:tblPrEx>
        <w:trPr>
          <w:trHeight w:val="460"/>
        </w:trPr>
        <w:tc>
          <w:tcPr>
            <w:tcW w:w="888" w:type="pct"/>
            <w:noWrap/>
            <w:vAlign w:val="center"/>
          </w:tcPr>
          <w:p w:rsidR="002A3D94" w:rsidRPr="002B0EA2" w:rsidP="002B0EA2" w14:paraId="574212CD" w14:textId="77777777">
            <w:pPr>
              <w:widowControl/>
              <w:autoSpaceDE/>
              <w:autoSpaceDN/>
              <w:jc w:val="center"/>
              <w:rPr>
                <w:rFonts w:eastAsia="Calibri"/>
                <w:color w:val="000000" w:themeColor="text1"/>
                <w:sz w:val="16"/>
                <w:szCs w:val="16"/>
              </w:rPr>
            </w:pPr>
            <w:r w:rsidRPr="002B0EA2">
              <w:rPr>
                <w:color w:val="000000" w:themeColor="text1"/>
                <w:sz w:val="16"/>
                <w:szCs w:val="16"/>
              </w:rPr>
              <w:t>Year 1</w:t>
            </w:r>
          </w:p>
        </w:tc>
        <w:tc>
          <w:tcPr>
            <w:tcW w:w="1387" w:type="pct"/>
            <w:noWrap/>
            <w:vAlign w:val="center"/>
          </w:tcPr>
          <w:p w:rsidR="002A3D94" w:rsidRPr="002B0EA2" w:rsidP="002B0EA2" w14:paraId="1CD82994" w14:textId="7A7AFEB5">
            <w:pPr>
              <w:widowControl/>
              <w:autoSpaceDE/>
              <w:autoSpaceDN/>
              <w:jc w:val="center"/>
              <w:rPr>
                <w:rFonts w:eastAsia="Calibri"/>
                <w:color w:val="000000" w:themeColor="text1"/>
                <w:sz w:val="16"/>
                <w:szCs w:val="16"/>
              </w:rPr>
            </w:pPr>
            <w:r>
              <w:rPr>
                <w:sz w:val="16"/>
                <w:szCs w:val="16"/>
              </w:rPr>
              <w:t>811</w:t>
            </w:r>
          </w:p>
        </w:tc>
        <w:tc>
          <w:tcPr>
            <w:tcW w:w="1253" w:type="pct"/>
            <w:vAlign w:val="center"/>
          </w:tcPr>
          <w:p w:rsidR="002A3D94" w:rsidRPr="002B0EA2" w:rsidP="002B0EA2" w14:paraId="2BBFC3D8" w14:textId="10778E86">
            <w:pPr>
              <w:widowControl/>
              <w:autoSpaceDE/>
              <w:autoSpaceDN/>
              <w:jc w:val="center"/>
              <w:rPr>
                <w:rFonts w:eastAsia="Calibri"/>
                <w:color w:val="000000" w:themeColor="text1"/>
                <w:sz w:val="16"/>
                <w:szCs w:val="16"/>
              </w:rPr>
            </w:pPr>
            <w:r>
              <w:rPr>
                <w:sz w:val="16"/>
                <w:szCs w:val="16"/>
              </w:rPr>
              <w:t>1,622</w:t>
            </w:r>
          </w:p>
        </w:tc>
        <w:tc>
          <w:tcPr>
            <w:tcW w:w="1472" w:type="pct"/>
            <w:vAlign w:val="center"/>
          </w:tcPr>
          <w:p w:rsidR="002A3D94" w:rsidRPr="002B0EA2" w:rsidP="002B0EA2" w14:paraId="76C90E55" w14:textId="245FB156">
            <w:pPr>
              <w:widowControl/>
              <w:autoSpaceDE/>
              <w:autoSpaceDN/>
              <w:jc w:val="center"/>
              <w:rPr>
                <w:rFonts w:eastAsia="Calibri"/>
                <w:color w:val="000000" w:themeColor="text1"/>
                <w:sz w:val="16"/>
                <w:szCs w:val="16"/>
              </w:rPr>
            </w:pPr>
            <w:r w:rsidRPr="00336575">
              <w:rPr>
                <w:sz w:val="16"/>
                <w:szCs w:val="16"/>
              </w:rPr>
              <w:t>$</w:t>
            </w:r>
            <w:r w:rsidR="00630363">
              <w:rPr>
                <w:sz w:val="16"/>
                <w:szCs w:val="16"/>
              </w:rPr>
              <w:t>304,255</w:t>
            </w:r>
          </w:p>
        </w:tc>
      </w:tr>
      <w:tr w14:paraId="194ECFD5" w14:textId="77777777" w:rsidTr="00336575">
        <w:tblPrEx>
          <w:tblW w:w="4823" w:type="pct"/>
          <w:tblInd w:w="355" w:type="dxa"/>
          <w:tblLook w:val="04A0"/>
        </w:tblPrEx>
        <w:trPr>
          <w:trHeight w:val="460"/>
        </w:trPr>
        <w:tc>
          <w:tcPr>
            <w:tcW w:w="888" w:type="pct"/>
            <w:noWrap/>
            <w:vAlign w:val="center"/>
          </w:tcPr>
          <w:p w:rsidR="002A3D94" w:rsidRPr="002B0EA2" w:rsidP="002B0EA2" w14:paraId="111E114A" w14:textId="77777777">
            <w:pPr>
              <w:widowControl/>
              <w:autoSpaceDE/>
              <w:autoSpaceDN/>
              <w:jc w:val="center"/>
              <w:rPr>
                <w:rFonts w:eastAsia="Calibri"/>
                <w:color w:val="000000" w:themeColor="text1"/>
                <w:sz w:val="16"/>
                <w:szCs w:val="16"/>
              </w:rPr>
            </w:pPr>
            <w:r w:rsidRPr="002B0EA2">
              <w:rPr>
                <w:color w:val="000000" w:themeColor="text1"/>
                <w:sz w:val="16"/>
                <w:szCs w:val="16"/>
              </w:rPr>
              <w:t>Year 2</w:t>
            </w:r>
          </w:p>
        </w:tc>
        <w:tc>
          <w:tcPr>
            <w:tcW w:w="1387" w:type="pct"/>
            <w:noWrap/>
            <w:vAlign w:val="center"/>
          </w:tcPr>
          <w:p w:rsidR="002A3D94" w:rsidRPr="002B0EA2" w:rsidP="002B0EA2" w14:paraId="498A0F8F" w14:textId="4F1EF1BD">
            <w:pPr>
              <w:widowControl/>
              <w:autoSpaceDE/>
              <w:autoSpaceDN/>
              <w:jc w:val="center"/>
              <w:rPr>
                <w:rFonts w:eastAsia="Calibri"/>
                <w:color w:val="000000" w:themeColor="text1"/>
                <w:sz w:val="16"/>
                <w:szCs w:val="16"/>
              </w:rPr>
            </w:pPr>
            <w:r>
              <w:rPr>
                <w:sz w:val="16"/>
                <w:szCs w:val="16"/>
              </w:rPr>
              <w:t>811</w:t>
            </w:r>
          </w:p>
        </w:tc>
        <w:tc>
          <w:tcPr>
            <w:tcW w:w="1253" w:type="pct"/>
            <w:vAlign w:val="center"/>
          </w:tcPr>
          <w:p w:rsidR="002A3D94" w:rsidRPr="002B0EA2" w:rsidP="002B0EA2" w14:paraId="5083CC52" w14:textId="7B4A510D">
            <w:pPr>
              <w:widowControl/>
              <w:autoSpaceDE/>
              <w:autoSpaceDN/>
              <w:jc w:val="center"/>
              <w:rPr>
                <w:rFonts w:eastAsia="Calibri"/>
                <w:color w:val="000000" w:themeColor="text1"/>
                <w:sz w:val="16"/>
                <w:szCs w:val="16"/>
              </w:rPr>
            </w:pPr>
            <w:r>
              <w:rPr>
                <w:sz w:val="16"/>
                <w:szCs w:val="16"/>
              </w:rPr>
              <w:t>811</w:t>
            </w:r>
          </w:p>
        </w:tc>
        <w:tc>
          <w:tcPr>
            <w:tcW w:w="1472" w:type="pct"/>
            <w:vAlign w:val="center"/>
          </w:tcPr>
          <w:p w:rsidR="002A3D94" w:rsidRPr="002B0EA2" w:rsidP="002B0EA2" w14:paraId="6B424ACA" w14:textId="50F73805">
            <w:pPr>
              <w:widowControl/>
              <w:autoSpaceDE/>
              <w:autoSpaceDN/>
              <w:jc w:val="center"/>
              <w:rPr>
                <w:rFonts w:eastAsia="Calibri"/>
                <w:color w:val="000000" w:themeColor="text1"/>
                <w:sz w:val="16"/>
                <w:szCs w:val="16"/>
              </w:rPr>
            </w:pPr>
            <w:r w:rsidRPr="00336575">
              <w:rPr>
                <w:sz w:val="16"/>
                <w:szCs w:val="16"/>
              </w:rPr>
              <w:t>$</w:t>
            </w:r>
            <w:r w:rsidR="00630363">
              <w:rPr>
                <w:sz w:val="16"/>
                <w:szCs w:val="16"/>
              </w:rPr>
              <w:t>152,127</w:t>
            </w:r>
          </w:p>
        </w:tc>
      </w:tr>
      <w:tr w14:paraId="6199BE5D" w14:textId="77777777" w:rsidTr="00336575">
        <w:tblPrEx>
          <w:tblW w:w="4823" w:type="pct"/>
          <w:tblInd w:w="355" w:type="dxa"/>
          <w:tblLook w:val="04A0"/>
        </w:tblPrEx>
        <w:trPr>
          <w:trHeight w:val="460"/>
        </w:trPr>
        <w:tc>
          <w:tcPr>
            <w:tcW w:w="888" w:type="pct"/>
            <w:noWrap/>
            <w:vAlign w:val="center"/>
          </w:tcPr>
          <w:p w:rsidR="002A3D94" w:rsidRPr="002B0EA2" w:rsidP="002B0EA2" w14:paraId="7F87CC02" w14:textId="77777777">
            <w:pPr>
              <w:widowControl/>
              <w:autoSpaceDE/>
              <w:autoSpaceDN/>
              <w:jc w:val="center"/>
              <w:rPr>
                <w:rFonts w:eastAsia="Calibri"/>
                <w:color w:val="000000" w:themeColor="text1"/>
                <w:sz w:val="16"/>
                <w:szCs w:val="16"/>
              </w:rPr>
            </w:pPr>
            <w:r w:rsidRPr="002B0EA2">
              <w:rPr>
                <w:color w:val="000000" w:themeColor="text1"/>
                <w:sz w:val="16"/>
                <w:szCs w:val="16"/>
              </w:rPr>
              <w:t>Year 3</w:t>
            </w:r>
          </w:p>
        </w:tc>
        <w:tc>
          <w:tcPr>
            <w:tcW w:w="1387" w:type="pct"/>
            <w:noWrap/>
            <w:vAlign w:val="center"/>
          </w:tcPr>
          <w:p w:rsidR="002A3D94" w:rsidRPr="002B0EA2" w:rsidP="002B0EA2" w14:paraId="17AA5A52" w14:textId="5F61801B">
            <w:pPr>
              <w:widowControl/>
              <w:autoSpaceDE/>
              <w:autoSpaceDN/>
              <w:jc w:val="center"/>
              <w:rPr>
                <w:rFonts w:eastAsia="Calibri"/>
                <w:color w:val="000000" w:themeColor="text1"/>
                <w:sz w:val="16"/>
                <w:szCs w:val="16"/>
              </w:rPr>
            </w:pPr>
            <w:r>
              <w:rPr>
                <w:sz w:val="16"/>
                <w:szCs w:val="16"/>
              </w:rPr>
              <w:t>811</w:t>
            </w:r>
          </w:p>
        </w:tc>
        <w:tc>
          <w:tcPr>
            <w:tcW w:w="1253" w:type="pct"/>
            <w:vAlign w:val="center"/>
          </w:tcPr>
          <w:p w:rsidR="002A3D94" w:rsidRPr="002B0EA2" w:rsidP="002B0EA2" w14:paraId="7D57BD59" w14:textId="0FDF297A">
            <w:pPr>
              <w:widowControl/>
              <w:autoSpaceDE/>
              <w:autoSpaceDN/>
              <w:jc w:val="center"/>
              <w:rPr>
                <w:rFonts w:eastAsia="Calibri"/>
                <w:color w:val="000000" w:themeColor="text1"/>
                <w:sz w:val="16"/>
                <w:szCs w:val="16"/>
              </w:rPr>
            </w:pPr>
            <w:r>
              <w:rPr>
                <w:sz w:val="16"/>
                <w:szCs w:val="16"/>
              </w:rPr>
              <w:t>811</w:t>
            </w:r>
          </w:p>
        </w:tc>
        <w:tc>
          <w:tcPr>
            <w:tcW w:w="1472" w:type="pct"/>
            <w:vAlign w:val="center"/>
          </w:tcPr>
          <w:p w:rsidR="002A3D94" w:rsidRPr="002B0EA2" w:rsidP="002B0EA2" w14:paraId="2A07FD10" w14:textId="5B5215C1">
            <w:pPr>
              <w:widowControl/>
              <w:autoSpaceDE/>
              <w:autoSpaceDN/>
              <w:jc w:val="center"/>
              <w:rPr>
                <w:rFonts w:eastAsia="Calibri"/>
                <w:color w:val="000000" w:themeColor="text1"/>
                <w:sz w:val="16"/>
                <w:szCs w:val="16"/>
              </w:rPr>
            </w:pPr>
            <w:r w:rsidRPr="00336575">
              <w:rPr>
                <w:sz w:val="16"/>
                <w:szCs w:val="16"/>
              </w:rPr>
              <w:t>$</w:t>
            </w:r>
            <w:r w:rsidR="00630363">
              <w:rPr>
                <w:sz w:val="16"/>
                <w:szCs w:val="16"/>
              </w:rPr>
              <w:t>152,127</w:t>
            </w:r>
          </w:p>
        </w:tc>
      </w:tr>
      <w:tr w14:paraId="13EB44DB" w14:textId="77777777" w:rsidTr="00336575">
        <w:tblPrEx>
          <w:tblW w:w="4823" w:type="pct"/>
          <w:tblInd w:w="355" w:type="dxa"/>
          <w:tblLook w:val="04A0"/>
        </w:tblPrEx>
        <w:trPr>
          <w:trHeight w:val="460"/>
        </w:trPr>
        <w:tc>
          <w:tcPr>
            <w:tcW w:w="888" w:type="pct"/>
            <w:noWrap/>
            <w:vAlign w:val="center"/>
          </w:tcPr>
          <w:p w:rsidR="002A3D94" w:rsidRPr="002B0EA2" w:rsidP="002B0EA2" w14:paraId="6228E9C6" w14:textId="77777777">
            <w:pPr>
              <w:widowControl/>
              <w:autoSpaceDE/>
              <w:autoSpaceDN/>
              <w:jc w:val="center"/>
              <w:rPr>
                <w:color w:val="000000" w:themeColor="text1"/>
                <w:sz w:val="16"/>
                <w:szCs w:val="16"/>
              </w:rPr>
            </w:pPr>
            <w:r w:rsidRPr="002B0EA2">
              <w:rPr>
                <w:color w:val="000000" w:themeColor="text1"/>
                <w:sz w:val="16"/>
                <w:szCs w:val="16"/>
              </w:rPr>
              <w:t>3 Year Average</w:t>
            </w:r>
          </w:p>
        </w:tc>
        <w:tc>
          <w:tcPr>
            <w:tcW w:w="1387" w:type="pct"/>
            <w:noWrap/>
            <w:vAlign w:val="center"/>
          </w:tcPr>
          <w:p w:rsidR="002A3D94" w:rsidRPr="002B0EA2" w:rsidP="002B0EA2" w14:paraId="569D31A9" w14:textId="6945FA53">
            <w:pPr>
              <w:widowControl/>
              <w:autoSpaceDE/>
              <w:autoSpaceDN/>
              <w:jc w:val="center"/>
              <w:rPr>
                <w:color w:val="000000" w:themeColor="text1"/>
                <w:sz w:val="16"/>
                <w:szCs w:val="16"/>
              </w:rPr>
            </w:pPr>
            <w:r>
              <w:rPr>
                <w:sz w:val="16"/>
                <w:szCs w:val="16"/>
              </w:rPr>
              <w:t>811</w:t>
            </w:r>
          </w:p>
        </w:tc>
        <w:tc>
          <w:tcPr>
            <w:tcW w:w="1253" w:type="pct"/>
            <w:vAlign w:val="center"/>
          </w:tcPr>
          <w:p w:rsidR="002A3D94" w:rsidRPr="002B0EA2" w:rsidP="002B0EA2" w14:paraId="67870D57" w14:textId="0645C8B4">
            <w:pPr>
              <w:widowControl/>
              <w:autoSpaceDE/>
              <w:autoSpaceDN/>
              <w:jc w:val="center"/>
              <w:rPr>
                <w:color w:val="000000" w:themeColor="text1"/>
                <w:sz w:val="16"/>
                <w:szCs w:val="16"/>
              </w:rPr>
            </w:pPr>
            <w:r>
              <w:rPr>
                <w:sz w:val="16"/>
                <w:szCs w:val="16"/>
              </w:rPr>
              <w:t>1,081</w:t>
            </w:r>
          </w:p>
        </w:tc>
        <w:tc>
          <w:tcPr>
            <w:tcW w:w="1472" w:type="pct"/>
            <w:vAlign w:val="center"/>
          </w:tcPr>
          <w:p w:rsidR="002A3D94" w:rsidRPr="002B0EA2" w:rsidP="002B0EA2" w14:paraId="4317A07E" w14:textId="32B608A5">
            <w:pPr>
              <w:widowControl/>
              <w:autoSpaceDE/>
              <w:autoSpaceDN/>
              <w:jc w:val="center"/>
              <w:rPr>
                <w:color w:val="000000" w:themeColor="text1"/>
                <w:sz w:val="16"/>
                <w:szCs w:val="16"/>
              </w:rPr>
            </w:pPr>
            <w:r w:rsidRPr="00336575">
              <w:rPr>
                <w:sz w:val="16"/>
                <w:szCs w:val="16"/>
              </w:rPr>
              <w:t>$</w:t>
            </w:r>
            <w:r w:rsidR="00630363">
              <w:rPr>
                <w:sz w:val="16"/>
                <w:szCs w:val="16"/>
              </w:rPr>
              <w:t>202,837</w:t>
            </w:r>
          </w:p>
        </w:tc>
      </w:tr>
    </w:tbl>
    <w:p w:rsidR="00422737" w:rsidP="00121604" w14:paraId="1B1E4B57" w14:textId="77777777">
      <w:pPr>
        <w:pStyle w:val="BodyText"/>
      </w:pPr>
    </w:p>
    <w:p w:rsidR="00271830" w14:paraId="6DE849B3" w14:textId="40C439FF">
      <w:pPr>
        <w:pStyle w:val="Heading1"/>
        <w:numPr>
          <w:ilvl w:val="1"/>
          <w:numId w:val="3"/>
        </w:numPr>
        <w:tabs>
          <w:tab w:val="left" w:pos="937"/>
          <w:tab w:val="left" w:pos="938"/>
        </w:tabs>
        <w:spacing w:before="90"/>
        <w:ind w:left="937" w:hanging="818"/>
        <w:jc w:val="left"/>
        <w:rPr>
          <w:u w:val="none"/>
        </w:rPr>
      </w:pPr>
      <w:bookmarkStart w:id="23" w:name="13._Capital_Costs"/>
      <w:bookmarkEnd w:id="23"/>
      <w:r>
        <w:rPr>
          <w:u w:val="none"/>
        </w:rPr>
        <w:t>Capital</w:t>
      </w:r>
      <w:r>
        <w:rPr>
          <w:spacing w:val="-6"/>
          <w:u w:val="none"/>
        </w:rPr>
        <w:t xml:space="preserve"> </w:t>
      </w:r>
      <w:r>
        <w:rPr>
          <w:u w:val="none"/>
        </w:rPr>
        <w:t>Costs</w:t>
      </w:r>
    </w:p>
    <w:p w:rsidR="00271830" w:rsidP="002826AA" w14:paraId="03605B75" w14:textId="77777777">
      <w:pPr>
        <w:pStyle w:val="BodyText"/>
      </w:pPr>
    </w:p>
    <w:p w:rsidR="00FA0AEB" w:rsidP="00FA0AEB" w14:paraId="4561B2F9" w14:textId="41B9D7D9">
      <w:pPr>
        <w:pStyle w:val="BodyText"/>
      </w:pPr>
      <w:r>
        <w:t>Under paragraph (c)(3)(ix)(</w:t>
      </w:r>
      <w:r w:rsidR="00A61D01">
        <w:t>D</w:t>
      </w:r>
      <w:r>
        <w:t>) of 26 CFR 54.9831-1 and 29 CFR 2590.732 and paragraph (b)(3)(ix)(</w:t>
      </w:r>
      <w:r w:rsidR="00A61D01">
        <w:t>D</w:t>
      </w:r>
      <w:r>
        <w:t xml:space="preserve">) of 45 CFR 146.145, </w:t>
      </w:r>
      <w:r w:rsidR="00D54B51">
        <w:t xml:space="preserve">plans </w:t>
      </w:r>
      <w:r w:rsidR="001C2CAD">
        <w:t>or</w:t>
      </w:r>
      <w:r w:rsidR="00D54B51">
        <w:t xml:space="preserve"> </w:t>
      </w:r>
      <w:r>
        <w:t xml:space="preserve">issuers offering </w:t>
      </w:r>
      <w:r w:rsidR="00496697">
        <w:t xml:space="preserve">excepted </w:t>
      </w:r>
      <w:r>
        <w:t>fertility benefits must provide written notice to plan participants and beneficiaries.</w:t>
      </w:r>
    </w:p>
    <w:p w:rsidR="00BA2637" w14:paraId="02F92DB4" w14:textId="7CDA24F6">
      <w:pPr>
        <w:rPr>
          <w:sz w:val="24"/>
          <w:szCs w:val="24"/>
        </w:rPr>
      </w:pPr>
      <w:bookmarkStart w:id="24" w:name="_Hlk207270401"/>
    </w:p>
    <w:p w:rsidR="00BA2637" w:rsidP="00BA2637" w14:paraId="51892775" w14:textId="66D9C7AE">
      <w:pPr>
        <w:pStyle w:val="BodyText"/>
      </w:pPr>
      <w:r>
        <w:t xml:space="preserve">HHS estimates that each </w:t>
      </w:r>
      <w:r w:rsidR="005B050F">
        <w:t>issuer</w:t>
      </w:r>
      <w:r>
        <w:t xml:space="preserve"> would provide the notice to an average of </w:t>
      </w:r>
      <w:r w:rsidR="000115BD">
        <w:t>11,561,954</w:t>
      </w:r>
      <w:r w:rsidR="00433F7A">
        <w:t xml:space="preserve"> </w:t>
      </w:r>
      <w:r w:rsidR="0059733E">
        <w:t xml:space="preserve">non-Federal governmental plan </w:t>
      </w:r>
      <w:r w:rsidR="00943CFA">
        <w:t>participants and beneficiaries</w:t>
      </w:r>
      <w:r>
        <w:t xml:space="preserve"> annually</w:t>
      </w:r>
      <w:r w:rsidR="00191686">
        <w:t>.</w:t>
      </w:r>
      <w:r>
        <w:rPr>
          <w:rStyle w:val="FootnoteReference"/>
        </w:rPr>
        <w:footnoteReference w:id="7"/>
      </w:r>
      <w:r w:rsidR="00EF300E">
        <w:t xml:space="preserve"> </w:t>
      </w:r>
      <w:r>
        <w:t>HHS estimates that the notice would require one page, at a cost of $0.05 per page for printing and materials, and that 66 percent</w:t>
      </w:r>
      <w:r>
        <w:rPr>
          <w:rStyle w:val="FootnoteReference"/>
        </w:rPr>
        <w:footnoteReference w:id="8"/>
      </w:r>
      <w:r>
        <w:t xml:space="preserve"> of the notices</w:t>
      </w:r>
      <w:r w:rsidRPr="004C2E22" w:rsidR="004C2E22">
        <w:t xml:space="preserve"> </w:t>
      </w:r>
      <w:r w:rsidR="004C2E22">
        <w:t>would</w:t>
      </w:r>
      <w:r w:rsidRPr="00430289" w:rsidR="004C2E22">
        <w:t xml:space="preserve"> be sent to eligible</w:t>
      </w:r>
      <w:r w:rsidR="00391160">
        <w:t xml:space="preserve"> plan participants and beneficiaries</w:t>
      </w:r>
      <w:r w:rsidR="00EA737A">
        <w:t>.</w:t>
      </w:r>
      <w:r w:rsidRPr="0045434C" w:rsidR="004C2E22">
        <w:t xml:space="preserve"> </w:t>
      </w:r>
      <w:r w:rsidR="00EA737A">
        <w:t xml:space="preserve">HHS expects that </w:t>
      </w:r>
      <w:r w:rsidR="003B2860">
        <w:t xml:space="preserve">notices </w:t>
      </w:r>
      <w:r w:rsidR="00EA737A">
        <w:t>sent to plan participants and beneficiaries</w:t>
      </w:r>
      <w:r w:rsidRPr="0045434C" w:rsidR="00EA737A">
        <w:t xml:space="preserve"> </w:t>
      </w:r>
      <w:r w:rsidR="00EA737A">
        <w:t xml:space="preserve">would be sent with </w:t>
      </w:r>
      <w:r w:rsidRPr="0045434C" w:rsidR="004C2E22">
        <w:t xml:space="preserve">other plan documents </w:t>
      </w:r>
      <w:r w:rsidR="00EA737A">
        <w:t xml:space="preserve">at minimal </w:t>
      </w:r>
      <w:r w:rsidRPr="0045434C" w:rsidR="004C2E22">
        <w:t>cost</w:t>
      </w:r>
      <w:r w:rsidR="00EF1E41">
        <w:t xml:space="preserve">. </w:t>
      </w:r>
      <w:r w:rsidRPr="00106679">
        <w:t xml:space="preserve">Therefore, the total printing cost for </w:t>
      </w:r>
      <w:r>
        <w:t>providing</w:t>
      </w:r>
      <w:r w:rsidRPr="00106679">
        <w:t xml:space="preserve"> </w:t>
      </w:r>
      <w:r w:rsidR="000115BD">
        <w:t xml:space="preserve">7,630,890 </w:t>
      </w:r>
      <w:r w:rsidRPr="00106679">
        <w:t xml:space="preserve">notices by mail </w:t>
      </w:r>
      <w:r>
        <w:t>would</w:t>
      </w:r>
      <w:r w:rsidRPr="00106679">
        <w:t xml:space="preserve"> be $</w:t>
      </w:r>
      <w:r w:rsidR="00F37529">
        <w:t>381,544</w:t>
      </w:r>
      <w:r w:rsidRPr="00106679">
        <w:t xml:space="preserve"> annually. </w:t>
      </w:r>
    </w:p>
    <w:bookmarkEnd w:id="24"/>
    <w:p w:rsidR="00FA0AEB" w:rsidP="00FA0AEB" w14:paraId="06921065" w14:textId="77777777">
      <w:pPr>
        <w:pStyle w:val="BodyText"/>
        <w:ind w:left="0"/>
      </w:pPr>
    </w:p>
    <w:p w:rsidR="0084431A" w:rsidP="0084431A" w14:paraId="1BDE50D6" w14:textId="19E8D0CA">
      <w:pPr>
        <w:pStyle w:val="Heading3"/>
      </w:pPr>
      <w:r w:rsidRPr="0084431A">
        <w:t>T</w:t>
      </w:r>
      <w:r w:rsidR="00433F12">
        <w:t>able</w:t>
      </w:r>
      <w:r w:rsidRPr="0084431A">
        <w:t xml:space="preserve"> </w:t>
      </w:r>
      <w:r>
        <w:t>13</w:t>
      </w:r>
      <w:r w:rsidR="004E02D0">
        <w:t xml:space="preserve">.1 </w:t>
      </w:r>
      <w:r w:rsidRPr="0084431A">
        <w:t xml:space="preserve">Annual Cost to </w:t>
      </w:r>
      <w:r>
        <w:t>I</w:t>
      </w:r>
      <w:r w:rsidRPr="0026176B">
        <w:t>ssuers</w:t>
      </w:r>
      <w:r w:rsidR="009B3809">
        <w:t xml:space="preserve"> and Plans to Print and Mail the Notice to Participants and Beneficiaries</w:t>
      </w:r>
    </w:p>
    <w:p w:rsidR="0084431A" w:rsidP="002826AA" w14:paraId="1B5BE71A" w14:textId="77777777">
      <w:pPr>
        <w:pStyle w:val="BodyText"/>
      </w:pPr>
    </w:p>
    <w:tbl>
      <w:tblPr>
        <w:tblStyle w:val="TableGrid00"/>
        <w:tblCaption w:val="Table 12.2 Estimated Annualized Burden for Renewal Notices for Issuers outside the Exchange"/>
        <w:tblW w:w="4746" w:type="pct"/>
        <w:tblInd w:w="265" w:type="dxa"/>
        <w:tblLook w:val="01E0"/>
      </w:tblPr>
      <w:tblGrid>
        <w:gridCol w:w="2349"/>
        <w:gridCol w:w="2062"/>
        <w:gridCol w:w="1967"/>
        <w:gridCol w:w="3161"/>
      </w:tblGrid>
      <w:tr w14:paraId="15808978" w14:textId="77777777" w:rsidTr="006972AF">
        <w:tblPrEx>
          <w:tblW w:w="4746" w:type="pct"/>
          <w:tblInd w:w="265" w:type="dxa"/>
          <w:tblLook w:val="01E0"/>
        </w:tblPrEx>
        <w:trPr>
          <w:trHeight w:val="720"/>
        </w:trPr>
        <w:tc>
          <w:tcPr>
            <w:tcW w:w="1231" w:type="pct"/>
            <w:vAlign w:val="center"/>
          </w:tcPr>
          <w:p w:rsidR="00021512" w:rsidRPr="00AF0D63" w:rsidP="00085B7B" w14:paraId="7E94F341" w14:textId="77777777">
            <w:pPr>
              <w:pStyle w:val="TableParagraph"/>
              <w:jc w:val="center"/>
              <w:rPr>
                <w:b/>
                <w:bCs/>
                <w:sz w:val="20"/>
                <w:szCs w:val="20"/>
              </w:rPr>
            </w:pPr>
            <w:r w:rsidRPr="00AF0D63">
              <w:rPr>
                <w:b/>
                <w:bCs/>
                <w:sz w:val="20"/>
                <w:szCs w:val="20"/>
              </w:rPr>
              <w:t>Respondent</w:t>
            </w:r>
          </w:p>
        </w:tc>
        <w:tc>
          <w:tcPr>
            <w:tcW w:w="1081" w:type="pct"/>
            <w:vAlign w:val="center"/>
          </w:tcPr>
          <w:p w:rsidR="00021512" w:rsidRPr="00AF0D63" w:rsidP="00085B7B" w14:paraId="33450A83" w14:textId="77777777">
            <w:pPr>
              <w:pStyle w:val="TableParagraph"/>
              <w:spacing w:line="242" w:lineRule="auto"/>
              <w:ind w:right="106"/>
              <w:jc w:val="center"/>
              <w:rPr>
                <w:b/>
                <w:bCs/>
                <w:sz w:val="20"/>
                <w:szCs w:val="20"/>
              </w:rPr>
            </w:pPr>
            <w:r w:rsidRPr="00AF0D63">
              <w:rPr>
                <w:b/>
                <w:bCs/>
                <w:sz w:val="20"/>
                <w:szCs w:val="20"/>
              </w:rPr>
              <w:t>Number</w:t>
            </w:r>
            <w:r w:rsidRPr="00AF0D63">
              <w:rPr>
                <w:b/>
                <w:bCs/>
                <w:spacing w:val="-2"/>
                <w:sz w:val="20"/>
                <w:szCs w:val="20"/>
              </w:rPr>
              <w:t xml:space="preserve"> </w:t>
            </w:r>
            <w:r w:rsidRPr="00AF0D63">
              <w:rPr>
                <w:b/>
                <w:bCs/>
                <w:sz w:val="20"/>
                <w:szCs w:val="20"/>
              </w:rPr>
              <w:t>of Respondents</w:t>
            </w:r>
          </w:p>
        </w:tc>
        <w:tc>
          <w:tcPr>
            <w:tcW w:w="1031" w:type="pct"/>
            <w:vAlign w:val="center"/>
          </w:tcPr>
          <w:p w:rsidR="00021512" w:rsidRPr="00AF0D63" w:rsidP="00085B7B" w14:paraId="7AB10DD7" w14:textId="2BBFA696">
            <w:pPr>
              <w:pStyle w:val="TableParagraph"/>
              <w:spacing w:line="242" w:lineRule="auto"/>
              <w:ind w:right="141"/>
              <w:jc w:val="center"/>
              <w:rPr>
                <w:b/>
                <w:bCs/>
                <w:sz w:val="20"/>
                <w:szCs w:val="20"/>
              </w:rPr>
            </w:pPr>
            <w:r w:rsidRPr="00AF0D63">
              <w:rPr>
                <w:b/>
                <w:bCs/>
                <w:sz w:val="20"/>
                <w:szCs w:val="20"/>
              </w:rPr>
              <w:t>Number</w:t>
            </w:r>
            <w:r w:rsidRPr="00AF0D63">
              <w:rPr>
                <w:b/>
                <w:bCs/>
                <w:spacing w:val="-3"/>
                <w:sz w:val="20"/>
                <w:szCs w:val="20"/>
              </w:rPr>
              <w:t xml:space="preserve"> </w:t>
            </w:r>
            <w:r w:rsidRPr="00AF0D63">
              <w:rPr>
                <w:b/>
                <w:bCs/>
                <w:sz w:val="20"/>
                <w:szCs w:val="20"/>
              </w:rPr>
              <w:t xml:space="preserve">of </w:t>
            </w:r>
            <w:r>
              <w:rPr>
                <w:b/>
                <w:bCs/>
                <w:sz w:val="20"/>
                <w:szCs w:val="20"/>
              </w:rPr>
              <w:t>Mailed Notices</w:t>
            </w:r>
          </w:p>
        </w:tc>
        <w:tc>
          <w:tcPr>
            <w:tcW w:w="1657" w:type="pct"/>
            <w:vAlign w:val="center"/>
          </w:tcPr>
          <w:p w:rsidR="00021512" w:rsidRPr="00AF0D63" w:rsidP="00085B7B" w14:paraId="3D169814" w14:textId="58FC017A">
            <w:pPr>
              <w:pStyle w:val="TableParagraph"/>
              <w:spacing w:line="242" w:lineRule="auto"/>
              <w:ind w:right="168"/>
              <w:jc w:val="center"/>
              <w:rPr>
                <w:b/>
                <w:bCs/>
                <w:sz w:val="20"/>
                <w:szCs w:val="20"/>
              </w:rPr>
            </w:pPr>
            <w:r w:rsidRPr="00AF0D63">
              <w:rPr>
                <w:b/>
                <w:bCs/>
                <w:sz w:val="20"/>
                <w:szCs w:val="20"/>
              </w:rPr>
              <w:t xml:space="preserve">Total </w:t>
            </w:r>
            <w:r w:rsidR="00873D76">
              <w:rPr>
                <w:b/>
                <w:bCs/>
                <w:sz w:val="20"/>
                <w:szCs w:val="20"/>
              </w:rPr>
              <w:t xml:space="preserve">Annual </w:t>
            </w:r>
            <w:r w:rsidRPr="00AF0D63">
              <w:rPr>
                <w:b/>
                <w:bCs/>
                <w:sz w:val="20"/>
                <w:szCs w:val="20"/>
              </w:rPr>
              <w:t>Estimated Printing and Materials Cost</w:t>
            </w:r>
          </w:p>
        </w:tc>
      </w:tr>
      <w:tr w14:paraId="62BB4C7C" w14:textId="77777777" w:rsidTr="006972AF">
        <w:tblPrEx>
          <w:tblW w:w="4746" w:type="pct"/>
          <w:tblInd w:w="265" w:type="dxa"/>
          <w:tblLook w:val="01E0"/>
        </w:tblPrEx>
        <w:trPr>
          <w:trHeight w:val="432"/>
        </w:trPr>
        <w:tc>
          <w:tcPr>
            <w:tcW w:w="1231" w:type="pct"/>
            <w:vAlign w:val="center"/>
          </w:tcPr>
          <w:p w:rsidR="006C1171" w:rsidRPr="00085B7B" w:rsidP="00873D76" w14:paraId="484216D5" w14:textId="7AA2A992">
            <w:pPr>
              <w:pStyle w:val="TableParagraph"/>
              <w:spacing w:line="242" w:lineRule="auto"/>
              <w:ind w:left="103" w:right="246"/>
              <w:jc w:val="center"/>
              <w:rPr>
                <w:sz w:val="16"/>
                <w:szCs w:val="16"/>
              </w:rPr>
            </w:pPr>
            <w:r>
              <w:rPr>
                <w:sz w:val="16"/>
                <w:szCs w:val="16"/>
              </w:rPr>
              <w:t>Non-Federal Governmental Health Plans</w:t>
            </w:r>
          </w:p>
        </w:tc>
        <w:tc>
          <w:tcPr>
            <w:tcW w:w="1081" w:type="pct"/>
            <w:vAlign w:val="center"/>
          </w:tcPr>
          <w:p w:rsidR="006C1171" w:rsidRPr="00085B7B" w:rsidP="00873D76" w14:paraId="2A72BD9A" w14:textId="7322DD09">
            <w:pPr>
              <w:pStyle w:val="TableParagraph"/>
              <w:jc w:val="center"/>
              <w:rPr>
                <w:sz w:val="16"/>
                <w:szCs w:val="16"/>
              </w:rPr>
            </w:pPr>
            <w:r>
              <w:rPr>
                <w:sz w:val="16"/>
                <w:szCs w:val="16"/>
              </w:rPr>
              <w:t>32,545</w:t>
            </w:r>
          </w:p>
        </w:tc>
        <w:tc>
          <w:tcPr>
            <w:tcW w:w="1031" w:type="pct"/>
            <w:vAlign w:val="center"/>
          </w:tcPr>
          <w:p w:rsidR="006C1171" w:rsidRPr="00085B7B" w:rsidP="00873D76" w14:paraId="0EE076B8" w14:textId="71CC82F4">
            <w:pPr>
              <w:pStyle w:val="TableParagraph"/>
              <w:ind w:right="101"/>
              <w:jc w:val="center"/>
              <w:rPr>
                <w:sz w:val="16"/>
                <w:szCs w:val="16"/>
              </w:rPr>
            </w:pPr>
            <w:r w:rsidRPr="00140088">
              <w:rPr>
                <w:sz w:val="16"/>
                <w:szCs w:val="16"/>
              </w:rPr>
              <w:t>7,630,890</w:t>
            </w:r>
          </w:p>
        </w:tc>
        <w:tc>
          <w:tcPr>
            <w:tcW w:w="1657" w:type="pct"/>
            <w:vAlign w:val="center"/>
          </w:tcPr>
          <w:p w:rsidR="006C1171" w:rsidRPr="00085B7B" w:rsidP="00873D76" w14:paraId="44F7C7D6" w14:textId="581834AF">
            <w:pPr>
              <w:pStyle w:val="TableParagraph"/>
              <w:jc w:val="center"/>
              <w:rPr>
                <w:sz w:val="16"/>
                <w:szCs w:val="16"/>
              </w:rPr>
            </w:pPr>
            <w:r w:rsidRPr="00873D76">
              <w:rPr>
                <w:sz w:val="16"/>
                <w:szCs w:val="16"/>
              </w:rPr>
              <w:t>$</w:t>
            </w:r>
            <w:r w:rsidRPr="00140088" w:rsidR="00140088">
              <w:rPr>
                <w:sz w:val="16"/>
                <w:szCs w:val="16"/>
              </w:rPr>
              <w:t>381,544</w:t>
            </w:r>
          </w:p>
        </w:tc>
      </w:tr>
    </w:tbl>
    <w:p w:rsidR="00271830" w:rsidP="002826AA" w14:paraId="1E7BEB3E" w14:textId="77777777">
      <w:pPr>
        <w:pStyle w:val="BodyText"/>
      </w:pPr>
    </w:p>
    <w:p w:rsidR="00271830" w:rsidRPr="001439B4" w14:paraId="12FC5941" w14:textId="12D56760">
      <w:pPr>
        <w:pStyle w:val="Heading1"/>
        <w:numPr>
          <w:ilvl w:val="1"/>
          <w:numId w:val="3"/>
        </w:numPr>
        <w:tabs>
          <w:tab w:val="left" w:pos="937"/>
          <w:tab w:val="left" w:pos="938"/>
        </w:tabs>
        <w:ind w:left="937" w:hanging="818"/>
        <w:jc w:val="left"/>
        <w:rPr>
          <w:u w:val="none"/>
        </w:rPr>
      </w:pPr>
      <w:bookmarkStart w:id="25" w:name="14.__Cost_to_Federal_Government"/>
      <w:bookmarkEnd w:id="25"/>
      <w:r w:rsidRPr="001439B4">
        <w:rPr>
          <w:u w:val="none"/>
        </w:rPr>
        <w:t>Cost to Federal</w:t>
      </w:r>
      <w:r w:rsidRPr="001439B4">
        <w:rPr>
          <w:spacing w:val="-5"/>
          <w:u w:val="none"/>
        </w:rPr>
        <w:t xml:space="preserve"> </w:t>
      </w:r>
      <w:r w:rsidRPr="001439B4">
        <w:rPr>
          <w:u w:val="none"/>
        </w:rPr>
        <w:t>Government</w:t>
      </w:r>
    </w:p>
    <w:p w:rsidR="00996661" w:rsidP="002826AA" w14:paraId="0BD492DE" w14:textId="77777777">
      <w:pPr>
        <w:pStyle w:val="BodyText"/>
      </w:pPr>
    </w:p>
    <w:p w:rsidR="0069462F" w:rsidP="002826AA" w14:paraId="5C273519" w14:textId="50AC0D39">
      <w:pPr>
        <w:pStyle w:val="BodyText"/>
      </w:pPr>
      <w:r w:rsidRPr="0069462F">
        <w:t xml:space="preserve">This information collection does not impose costs on the Federal Government. </w:t>
      </w:r>
    </w:p>
    <w:p w:rsidR="00271830" w14:paraId="7E600B1D" w14:textId="77777777">
      <w:pPr>
        <w:pStyle w:val="Heading1"/>
        <w:numPr>
          <w:ilvl w:val="1"/>
          <w:numId w:val="3"/>
        </w:numPr>
        <w:tabs>
          <w:tab w:val="left" w:pos="937"/>
          <w:tab w:val="left" w:pos="938"/>
        </w:tabs>
        <w:spacing w:before="219"/>
        <w:ind w:left="937" w:hanging="717"/>
        <w:jc w:val="left"/>
        <w:rPr>
          <w:u w:val="none"/>
        </w:rPr>
      </w:pPr>
      <w:bookmarkStart w:id="26" w:name="Title_Cost_GS_Federal"/>
      <w:bookmarkStart w:id="27" w:name="15._Changes_to_Burden"/>
      <w:bookmarkEnd w:id="26"/>
      <w:bookmarkEnd w:id="27"/>
      <w:r>
        <w:rPr>
          <w:u w:val="none"/>
        </w:rPr>
        <w:t>Changes to</w:t>
      </w:r>
      <w:r>
        <w:rPr>
          <w:spacing w:val="-15"/>
          <w:u w:val="none"/>
        </w:rPr>
        <w:t xml:space="preserve"> </w:t>
      </w:r>
      <w:r>
        <w:rPr>
          <w:u w:val="none"/>
        </w:rPr>
        <w:t>Burden</w:t>
      </w:r>
    </w:p>
    <w:p w:rsidR="00271830" w:rsidRPr="00853375" w:rsidP="002826AA" w14:paraId="45976693" w14:textId="77777777">
      <w:pPr>
        <w:pStyle w:val="BodyText"/>
      </w:pPr>
    </w:p>
    <w:p w:rsidR="00881677" w:rsidRPr="001439B4" w:rsidP="002826AA" w14:paraId="12FF391D" w14:textId="0C13C16E">
      <w:pPr>
        <w:pStyle w:val="BodyText"/>
      </w:pPr>
      <w:r w:rsidRPr="000F6DF6">
        <w:t xml:space="preserve">This is a new information collection request.  </w:t>
      </w:r>
      <w:r w:rsidRPr="001439B4">
        <w:t xml:space="preserve">  </w:t>
      </w:r>
      <w:bookmarkStart w:id="28" w:name="_Hlk37316080"/>
    </w:p>
    <w:bookmarkEnd w:id="28"/>
    <w:p w:rsidR="00076177" w:rsidRPr="000A1F65" w:rsidP="00076177" w14:paraId="65164E43" w14:textId="77777777">
      <w:pPr>
        <w:spacing w:line="254" w:lineRule="auto"/>
        <w:rPr>
          <w:sz w:val="24"/>
          <w:szCs w:val="24"/>
        </w:rPr>
      </w:pPr>
    </w:p>
    <w:p w:rsidR="00271830" w14:paraId="16C10C55" w14:textId="77777777">
      <w:pPr>
        <w:pStyle w:val="Heading1"/>
        <w:numPr>
          <w:ilvl w:val="1"/>
          <w:numId w:val="3"/>
        </w:numPr>
        <w:tabs>
          <w:tab w:val="left" w:pos="937"/>
          <w:tab w:val="left" w:pos="938"/>
        </w:tabs>
        <w:spacing w:before="78"/>
        <w:ind w:left="937" w:hanging="717"/>
        <w:jc w:val="left"/>
        <w:rPr>
          <w:u w:val="none"/>
        </w:rPr>
      </w:pPr>
      <w:bookmarkStart w:id="29" w:name="16._Publication/Tabulation_Dates"/>
      <w:bookmarkEnd w:id="29"/>
      <w:r>
        <w:rPr>
          <w:u w:val="none"/>
        </w:rPr>
        <w:t>Publication/Tabulation</w:t>
      </w:r>
      <w:r>
        <w:rPr>
          <w:spacing w:val="-10"/>
          <w:u w:val="none"/>
        </w:rPr>
        <w:t xml:space="preserve"> </w:t>
      </w:r>
      <w:r>
        <w:rPr>
          <w:u w:val="none"/>
        </w:rPr>
        <w:t>Dates</w:t>
      </w:r>
    </w:p>
    <w:p w:rsidR="00CC6654" w:rsidP="002826AA" w14:paraId="6E2F154F" w14:textId="77777777">
      <w:pPr>
        <w:pStyle w:val="BodyText"/>
      </w:pPr>
    </w:p>
    <w:p w:rsidR="00271830" w:rsidP="002826AA" w14:paraId="1A880B32" w14:textId="18B1CD44">
      <w:pPr>
        <w:pStyle w:val="BodyText"/>
      </w:pPr>
      <w:r>
        <w:t>HHS</w:t>
      </w:r>
      <w:r w:rsidRPr="0069462F" w:rsidR="0069462F">
        <w:t xml:space="preserve"> do</w:t>
      </w:r>
      <w:r w:rsidR="007D7B42">
        <w:t>es</w:t>
      </w:r>
      <w:r w:rsidRPr="0069462F" w:rsidR="0069462F">
        <w:t xml:space="preserve"> not plan to publish or tabulate the information collected under this ICR.</w:t>
      </w:r>
      <w:r w:rsidR="0069462F">
        <w:br/>
      </w:r>
    </w:p>
    <w:p w:rsidR="00271830" w14:paraId="702231D6" w14:textId="77777777">
      <w:pPr>
        <w:pStyle w:val="Heading1"/>
        <w:numPr>
          <w:ilvl w:val="1"/>
          <w:numId w:val="3"/>
        </w:numPr>
        <w:tabs>
          <w:tab w:val="left" w:pos="937"/>
          <w:tab w:val="left" w:pos="938"/>
        </w:tabs>
        <w:ind w:left="937" w:hanging="717"/>
        <w:jc w:val="left"/>
        <w:rPr>
          <w:u w:val="none"/>
        </w:rPr>
      </w:pPr>
      <w:bookmarkStart w:id="30" w:name="17._Expiration_Date"/>
      <w:bookmarkEnd w:id="30"/>
      <w:r>
        <w:rPr>
          <w:u w:val="none"/>
        </w:rPr>
        <w:t>Expiration</w:t>
      </w:r>
      <w:r>
        <w:rPr>
          <w:spacing w:val="-8"/>
          <w:u w:val="none"/>
        </w:rPr>
        <w:t xml:space="preserve"> </w:t>
      </w:r>
      <w:r>
        <w:rPr>
          <w:u w:val="none"/>
        </w:rPr>
        <w:t>Date</w:t>
      </w:r>
    </w:p>
    <w:p w:rsidR="00CE0D14" w:rsidP="00CE0D14" w14:paraId="779D8381" w14:textId="77777777">
      <w:pPr>
        <w:pStyle w:val="Heading1"/>
        <w:tabs>
          <w:tab w:val="left" w:pos="937"/>
          <w:tab w:val="left" w:pos="938"/>
        </w:tabs>
        <w:rPr>
          <w:u w:val="none"/>
        </w:rPr>
      </w:pPr>
    </w:p>
    <w:p w:rsidR="00CE0D14" w:rsidP="00CE0D14" w14:paraId="230840FC" w14:textId="77777777">
      <w:pPr>
        <w:pStyle w:val="BodyText"/>
      </w:pPr>
      <w:r>
        <w:t>There are no instruments associated with this information collection.</w:t>
      </w:r>
    </w:p>
    <w:p w:rsidR="00CE0D14" w:rsidP="00B9485E" w14:paraId="47FDE05F" w14:textId="77777777">
      <w:pPr>
        <w:pStyle w:val="Heading1"/>
        <w:tabs>
          <w:tab w:val="left" w:pos="937"/>
          <w:tab w:val="left" w:pos="938"/>
        </w:tabs>
        <w:rPr>
          <w:u w:val="none"/>
        </w:rPr>
      </w:pPr>
    </w:p>
    <w:p w:rsidR="00CE0D14" w14:paraId="59A127F2" w14:textId="5B98ED49">
      <w:pPr>
        <w:pStyle w:val="Heading1"/>
        <w:numPr>
          <w:ilvl w:val="1"/>
          <w:numId w:val="3"/>
        </w:numPr>
        <w:tabs>
          <w:tab w:val="left" w:pos="937"/>
          <w:tab w:val="left" w:pos="938"/>
        </w:tabs>
        <w:ind w:left="937" w:hanging="717"/>
        <w:jc w:val="left"/>
        <w:rPr>
          <w:u w:val="none"/>
        </w:rPr>
      </w:pPr>
      <w:r w:rsidRPr="00CE0D14">
        <w:rPr>
          <w:u w:val="none"/>
        </w:rPr>
        <w:t>Certification Statement</w:t>
      </w:r>
    </w:p>
    <w:p w:rsidR="00271830" w:rsidP="002826AA" w14:paraId="6ADED32E" w14:textId="77777777">
      <w:pPr>
        <w:pStyle w:val="BodyText"/>
      </w:pPr>
    </w:p>
    <w:p w:rsidR="00CE0D14" w:rsidP="002826AA" w14:paraId="36796E6E" w14:textId="632CB657">
      <w:pPr>
        <w:pStyle w:val="BodyText"/>
      </w:pPr>
      <w:r w:rsidRPr="00CE0D14">
        <w:t>There are no exceptions to the certification statement.</w:t>
      </w:r>
    </w:p>
    <w:p w:rsidR="00CE0D14" w:rsidP="00B9485E" w14:paraId="49CE30A6" w14:textId="0E69DECE">
      <w:pPr>
        <w:pStyle w:val="BodyText"/>
      </w:pPr>
    </w:p>
    <w:sectPr>
      <w:footerReference w:type="default" r:id="rId9"/>
      <w:pgSz w:w="12240" w:h="15840"/>
      <w:pgMar w:top="1320" w:right="960" w:bottom="1920" w:left="1220" w:header="0" w:footer="16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6DA" w:rsidP="002826AA" w14:paraId="4CA8A762" w14:textId="77777777">
    <w:pPr>
      <w:pStyle w:val="BodyText"/>
      <w:rPr>
        <w:sz w:val="16"/>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3868420</wp:posOffset>
              </wp:positionH>
              <wp:positionV relativeFrom="page">
                <wp:posOffset>8826500</wp:posOffset>
              </wp:positionV>
              <wp:extent cx="206375" cy="177800"/>
              <wp:effectExtent l="1270" t="0" r="190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375"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176DA" w:rsidP="002826AA" w14:textId="77777777">
                          <w:pPr>
                            <w:pStyle w:val="BodyText"/>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25pt;height:14pt;margin-top:695pt;margin-left:304.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176DA" w:rsidP="002826AA" w14:paraId="0341C41D" w14:textId="77777777">
                    <w:pPr>
                      <w:pStyle w:val="BodyText"/>
                    </w:pPr>
                    <w:r>
                      <w:fldChar w:fldCharType="begin"/>
                    </w:r>
                    <w:r>
                      <w:instrText xml:space="preserve"> PAGE </w:instrText>
                    </w:r>
                    <w:r>
                      <w:fldChar w:fldCharType="separate"/>
                    </w:r>
                    <w:r>
                      <w:rPr>
                        <w:noProof/>
                      </w:rPr>
                      <w:t>14</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6A6E" w14:paraId="3C0FEEC0" w14:textId="77777777">
      <w:r>
        <w:separator/>
      </w:r>
    </w:p>
  </w:footnote>
  <w:footnote w:type="continuationSeparator" w:id="1">
    <w:p w:rsidR="00E06A6E" w14:paraId="25926254" w14:textId="77777777">
      <w:r>
        <w:continuationSeparator/>
      </w:r>
    </w:p>
  </w:footnote>
  <w:footnote w:id="2">
    <w:p w:rsidR="00142535" w:rsidRPr="007E7E92" w14:paraId="48D1D620" w14:textId="05F7717F">
      <w:pPr>
        <w:pStyle w:val="FootnoteText"/>
        <w:rPr>
          <w:sz w:val="16"/>
          <w:szCs w:val="16"/>
        </w:rPr>
      </w:pPr>
      <w:r w:rsidRPr="007E7E92">
        <w:rPr>
          <w:rStyle w:val="FootnoteReference"/>
          <w:sz w:val="16"/>
          <w:szCs w:val="16"/>
        </w:rPr>
        <w:footnoteRef/>
      </w:r>
      <w:r w:rsidRPr="007E7E92">
        <w:rPr>
          <w:sz w:val="16"/>
          <w:szCs w:val="16"/>
        </w:rPr>
        <w:t xml:space="preserve"> Exec. Order No. 14219, 90 FR 10</w:t>
      </w:r>
      <w:r w:rsidR="00972782">
        <w:rPr>
          <w:sz w:val="16"/>
          <w:szCs w:val="16"/>
        </w:rPr>
        <w:t>451</w:t>
      </w:r>
      <w:r w:rsidRPr="007E7E92">
        <w:rPr>
          <w:sz w:val="16"/>
          <w:szCs w:val="16"/>
        </w:rPr>
        <w:t xml:space="preserve"> (February </w:t>
      </w:r>
      <w:r w:rsidR="000349CE">
        <w:rPr>
          <w:sz w:val="16"/>
          <w:szCs w:val="16"/>
        </w:rPr>
        <w:t>24</w:t>
      </w:r>
      <w:r w:rsidRPr="007E7E92">
        <w:rPr>
          <w:sz w:val="16"/>
          <w:szCs w:val="16"/>
        </w:rPr>
        <w:t>, 2025).</w:t>
      </w:r>
    </w:p>
  </w:footnote>
  <w:footnote w:id="3">
    <w:p w:rsidR="00DB5D5F" w14:paraId="53B7ACB3" w14:textId="6566CC23">
      <w:pPr>
        <w:pStyle w:val="FootnoteText"/>
      </w:pPr>
      <w:r>
        <w:rPr>
          <w:rStyle w:val="FootnoteReference"/>
        </w:rPr>
        <w:footnoteRef/>
      </w:r>
      <w:r>
        <w:t xml:space="preserve"> S</w:t>
      </w:r>
      <w:r w:rsidRPr="00DB5D5F">
        <w:t>ection 9832(c)(2) of the Code, section 733(c)(2) of ERISA, and section 2791(c)(2) of the PHS Act</w:t>
      </w:r>
      <w:r w:rsidR="00296E48">
        <w:t>.</w:t>
      </w:r>
    </w:p>
  </w:footnote>
  <w:footnote w:id="4">
    <w:p w:rsidR="003B3DED" w:rsidRPr="007E7E92" w14:paraId="57B4DFA7" w14:textId="24BD79E5">
      <w:pPr>
        <w:pStyle w:val="FootnoteText"/>
        <w:rPr>
          <w:sz w:val="16"/>
          <w:szCs w:val="16"/>
        </w:rPr>
      </w:pPr>
      <w:r w:rsidRPr="007E7E92">
        <w:rPr>
          <w:rStyle w:val="FootnoteReference"/>
          <w:sz w:val="16"/>
          <w:szCs w:val="16"/>
        </w:rPr>
        <w:footnoteRef/>
      </w:r>
      <w:r w:rsidRPr="007E7E92">
        <w:rPr>
          <w:sz w:val="16"/>
          <w:szCs w:val="16"/>
        </w:rPr>
        <w:t xml:space="preserve"> Internal DOL calculation based on 2025 labor cost data. For a description of DOL’s methodology for calculating wage rates, see https://www.dol.gov/sites/dolgov/files/EBSA/laws-and-regulations/rules-and-regulations/technical-appendices/labor-cost-inputs-used-in-ebsa-opr-ria-and-pra-burden-calculations-june-2019.pdf.</w:t>
      </w:r>
    </w:p>
  </w:footnote>
  <w:footnote w:id="5">
    <w:p w:rsidR="00CE0214" w:rsidRPr="007E7E92" w:rsidP="00CE0214" w14:paraId="531CD7D9" w14:textId="77777777">
      <w:pPr>
        <w:pStyle w:val="FootnoteText"/>
        <w:rPr>
          <w:sz w:val="16"/>
          <w:szCs w:val="16"/>
        </w:rPr>
      </w:pPr>
      <w:r w:rsidRPr="007E7E92">
        <w:rPr>
          <w:rStyle w:val="FootnoteReference"/>
          <w:sz w:val="16"/>
          <w:szCs w:val="16"/>
        </w:rPr>
        <w:footnoteRef/>
      </w:r>
      <w:r w:rsidRPr="007E7E92">
        <w:rPr>
          <w:sz w:val="16"/>
          <w:szCs w:val="16"/>
        </w:rPr>
        <w:t xml:space="preserve"> This is calculated as: 91,489 public-sector employer-sponsored plans × 63% (not currently offering fertility-related benefits) × 37% (expected offer rate) = 27,352 state and local government employer-sponsored plans expected to offer fertility-related excepted benefits. U.S. Census Bureau, 2025 Census of Governments, Organization Tables, </w:t>
      </w:r>
      <w:r w:rsidRPr="00775B48">
        <w:rPr>
          <w:sz w:val="16"/>
          <w:szCs w:val="16"/>
        </w:rPr>
        <w:t>https://www.census.gov/data/tables/2025/econ/gus/2025-governments.html</w:t>
      </w:r>
      <w:r w:rsidRPr="007E7E92">
        <w:rPr>
          <w:sz w:val="16"/>
          <w:szCs w:val="16"/>
        </w:rPr>
        <w:t>.</w:t>
      </w:r>
    </w:p>
  </w:footnote>
  <w:footnote w:id="6">
    <w:p w:rsidR="00CE0214" w:rsidP="00CE0214" w14:paraId="14917C5F" w14:textId="77777777">
      <w:pPr>
        <w:pStyle w:val="FootnoteText"/>
      </w:pPr>
      <w:r w:rsidRPr="00DA7F2A">
        <w:rPr>
          <w:rStyle w:val="FootnoteReference"/>
          <w:sz w:val="16"/>
          <w:szCs w:val="16"/>
        </w:rPr>
        <w:footnoteRef/>
      </w:r>
      <w:r w:rsidRPr="00DA7F2A">
        <w:rPr>
          <w:sz w:val="16"/>
          <w:szCs w:val="16"/>
        </w:rPr>
        <w:t xml:space="preserve"> A health insurance company is a legal entity with subsidiaries that are each licensed to sell health insurance in one specific State, while an issuer is one of those subsidiaries. HHS estimates 811 group health insurance issuers when considering the total number of subsidiaries licensed to sell health insurance in a specific state. Data source: Centers for Medicare and Medicaid Services, 2023 Medical Loss Ratio Data, https://www.cms.gov/marketplace/resources/data/medical-loss-ratio-data-systems-resources.</w:t>
      </w:r>
    </w:p>
  </w:footnote>
  <w:footnote w:id="7">
    <w:p w:rsidR="00BA2637" w:rsidRPr="007E7E92" w:rsidP="00BA2637" w14:paraId="15BB96DD" w14:textId="00C9D967">
      <w:pPr>
        <w:pStyle w:val="FootnoteText"/>
        <w:rPr>
          <w:sz w:val="16"/>
          <w:szCs w:val="16"/>
        </w:rPr>
      </w:pPr>
      <w:r w:rsidRPr="007E7E92">
        <w:rPr>
          <w:rStyle w:val="FootnoteReference"/>
          <w:sz w:val="16"/>
          <w:szCs w:val="16"/>
        </w:rPr>
        <w:footnoteRef/>
      </w:r>
      <w:r w:rsidRPr="007E7E92" w:rsidR="00DB78E1">
        <w:rPr>
          <w:sz w:val="16"/>
          <w:szCs w:val="16"/>
        </w:rPr>
        <w:t xml:space="preserve"> </w:t>
      </w:r>
      <w:r w:rsidRPr="00C75382" w:rsidR="00C75382">
        <w:rPr>
          <w:sz w:val="16"/>
          <w:szCs w:val="16"/>
        </w:rPr>
        <w:t>The Departments estimate this figure by applying the relevant share of non-Federal governmental plan participants to the total eligible population, accounting for the share of plans not currently offering fertility benefits and the expected offer rate for excepted benefits coverage; for a full description of the methodology and underlying data sources, see the proposed regulation "</w:t>
      </w:r>
      <w:r w:rsidR="002602D6">
        <w:rPr>
          <w:sz w:val="16"/>
          <w:szCs w:val="16"/>
        </w:rPr>
        <w:t>Excepted Fertility</w:t>
      </w:r>
      <w:r w:rsidRPr="00C75382" w:rsidR="00C75382">
        <w:rPr>
          <w:sz w:val="16"/>
          <w:szCs w:val="16"/>
        </w:rPr>
        <w:t xml:space="preserve"> Benefits</w:t>
      </w:r>
      <w:r w:rsidR="007100A9">
        <w:rPr>
          <w:sz w:val="16"/>
          <w:szCs w:val="16"/>
        </w:rPr>
        <w:t>”</w:t>
      </w:r>
      <w:r w:rsidRPr="00C75382" w:rsidR="00C75382">
        <w:rPr>
          <w:sz w:val="16"/>
          <w:szCs w:val="16"/>
        </w:rPr>
        <w:t xml:space="preserve"> </w:t>
      </w:r>
      <w:r w:rsidR="00C75382">
        <w:rPr>
          <w:sz w:val="16"/>
          <w:szCs w:val="16"/>
        </w:rPr>
        <w:t>[</w:t>
      </w:r>
      <w:r w:rsidRPr="002B0C21" w:rsidR="00123BFD">
        <w:rPr>
          <w:sz w:val="16"/>
          <w:szCs w:val="16"/>
          <w:highlight w:val="cyan"/>
        </w:rPr>
        <w:t>xx-xx-2026</w:t>
      </w:r>
      <w:r w:rsidR="00123BFD">
        <w:rPr>
          <w:sz w:val="16"/>
          <w:szCs w:val="16"/>
        </w:rPr>
        <w:t>]</w:t>
      </w:r>
      <w:r w:rsidR="00C75382">
        <w:rPr>
          <w:sz w:val="16"/>
          <w:szCs w:val="16"/>
        </w:rPr>
        <w:t>.</w:t>
      </w:r>
    </w:p>
  </w:footnote>
  <w:footnote w:id="8">
    <w:p w:rsidR="007E7E92" w:rsidRPr="007E7E92" w:rsidP="007E7E92" w14:paraId="5F03964F" w14:textId="77777777">
      <w:pPr>
        <w:pStyle w:val="FootnoteText"/>
        <w:rPr>
          <w:sz w:val="16"/>
          <w:szCs w:val="16"/>
        </w:rPr>
      </w:pPr>
      <w:r w:rsidRPr="007E7E92">
        <w:rPr>
          <w:rStyle w:val="FootnoteReference"/>
          <w:sz w:val="16"/>
          <w:szCs w:val="16"/>
        </w:rPr>
        <w:footnoteRef/>
      </w:r>
      <w:r w:rsidRPr="007E7E92">
        <w:rPr>
          <w:sz w:val="16"/>
          <w:szCs w:val="16"/>
        </w:rPr>
        <w:t xml:space="preserve"> The Departments assume that approximately 34% of plan documents would be sent electronically, while 66% would be physical notices mailed to participants. According to data from the National Telecommunications and Information Agency, 34 percent of households in the United States accessed health records or health insurance online. https://www.ntia.doc.gov/blog/2020/more-half-american-households-used-internet-health-related-activities-2019-ntia-data-show.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E5AAB"/>
    <w:multiLevelType w:val="hybridMultilevel"/>
    <w:tmpl w:val="2528DF7C"/>
    <w:lvl w:ilvl="0">
      <w:start w:val="1"/>
      <w:numFmt w:val="lowerLetter"/>
      <w:lvlText w:val="%1."/>
      <w:lvlJc w:val="left"/>
      <w:pPr>
        <w:ind w:left="479" w:hanging="240"/>
      </w:pPr>
      <w:rPr>
        <w:rFonts w:ascii="Times New Roman" w:eastAsia="Times New Roman" w:hAnsi="Times New Roman" w:cs="Times New Roman" w:hint="default"/>
        <w:b/>
        <w:bCs/>
        <w:i/>
        <w:spacing w:val="-1"/>
        <w:w w:val="99"/>
        <w:sz w:val="24"/>
        <w:szCs w:val="24"/>
        <w:lang w:val="en-US" w:eastAsia="en-US" w:bidi="en-US"/>
      </w:rPr>
    </w:lvl>
    <w:lvl w:ilvl="1">
      <w:start w:val="0"/>
      <w:numFmt w:val="bullet"/>
      <w:lvlText w:val="•"/>
      <w:lvlJc w:val="left"/>
      <w:pPr>
        <w:ind w:left="1438" w:hanging="240"/>
      </w:pPr>
      <w:rPr>
        <w:rFonts w:hint="default"/>
        <w:lang w:val="en-US" w:eastAsia="en-US" w:bidi="en-US"/>
      </w:rPr>
    </w:lvl>
    <w:lvl w:ilvl="2">
      <w:start w:val="0"/>
      <w:numFmt w:val="bullet"/>
      <w:lvlText w:val="•"/>
      <w:lvlJc w:val="left"/>
      <w:pPr>
        <w:ind w:left="2396" w:hanging="240"/>
      </w:pPr>
      <w:rPr>
        <w:rFonts w:hint="default"/>
        <w:lang w:val="en-US" w:eastAsia="en-US" w:bidi="en-US"/>
      </w:rPr>
    </w:lvl>
    <w:lvl w:ilvl="3">
      <w:start w:val="0"/>
      <w:numFmt w:val="bullet"/>
      <w:lvlText w:val="•"/>
      <w:lvlJc w:val="left"/>
      <w:pPr>
        <w:ind w:left="3354" w:hanging="240"/>
      </w:pPr>
      <w:rPr>
        <w:rFonts w:hint="default"/>
        <w:lang w:val="en-US" w:eastAsia="en-US" w:bidi="en-US"/>
      </w:rPr>
    </w:lvl>
    <w:lvl w:ilvl="4">
      <w:start w:val="0"/>
      <w:numFmt w:val="bullet"/>
      <w:lvlText w:val="•"/>
      <w:lvlJc w:val="left"/>
      <w:pPr>
        <w:ind w:left="4312" w:hanging="240"/>
      </w:pPr>
      <w:rPr>
        <w:rFonts w:hint="default"/>
        <w:lang w:val="en-US" w:eastAsia="en-US" w:bidi="en-US"/>
      </w:rPr>
    </w:lvl>
    <w:lvl w:ilvl="5">
      <w:start w:val="0"/>
      <w:numFmt w:val="bullet"/>
      <w:lvlText w:val="•"/>
      <w:lvlJc w:val="left"/>
      <w:pPr>
        <w:ind w:left="5270" w:hanging="240"/>
      </w:pPr>
      <w:rPr>
        <w:rFonts w:hint="default"/>
        <w:lang w:val="en-US" w:eastAsia="en-US" w:bidi="en-US"/>
      </w:rPr>
    </w:lvl>
    <w:lvl w:ilvl="6">
      <w:start w:val="0"/>
      <w:numFmt w:val="bullet"/>
      <w:lvlText w:val="•"/>
      <w:lvlJc w:val="left"/>
      <w:pPr>
        <w:ind w:left="6228" w:hanging="240"/>
      </w:pPr>
      <w:rPr>
        <w:rFonts w:hint="default"/>
        <w:lang w:val="en-US" w:eastAsia="en-US" w:bidi="en-US"/>
      </w:rPr>
    </w:lvl>
    <w:lvl w:ilvl="7">
      <w:start w:val="0"/>
      <w:numFmt w:val="bullet"/>
      <w:lvlText w:val="•"/>
      <w:lvlJc w:val="left"/>
      <w:pPr>
        <w:ind w:left="7186" w:hanging="240"/>
      </w:pPr>
      <w:rPr>
        <w:rFonts w:hint="default"/>
        <w:lang w:val="en-US" w:eastAsia="en-US" w:bidi="en-US"/>
      </w:rPr>
    </w:lvl>
    <w:lvl w:ilvl="8">
      <w:start w:val="0"/>
      <w:numFmt w:val="bullet"/>
      <w:lvlText w:val="•"/>
      <w:lvlJc w:val="left"/>
      <w:pPr>
        <w:ind w:left="8144" w:hanging="240"/>
      </w:pPr>
      <w:rPr>
        <w:rFonts w:hint="default"/>
        <w:lang w:val="en-US" w:eastAsia="en-US" w:bidi="en-US"/>
      </w:rPr>
    </w:lvl>
  </w:abstractNum>
  <w:abstractNum w:abstractNumId="1">
    <w:nsid w:val="0BBC664B"/>
    <w:multiLevelType w:val="hybridMultilevel"/>
    <w:tmpl w:val="77CADCC8"/>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D215D72"/>
    <w:multiLevelType w:val="hybridMultilevel"/>
    <w:tmpl w:val="44802E6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35A94077"/>
    <w:multiLevelType w:val="hybridMultilevel"/>
    <w:tmpl w:val="A8CC22C6"/>
    <w:lvl w:ilvl="0">
      <w:start w:val="1"/>
      <w:numFmt w:val="lowerLetter"/>
      <w:lvlText w:val="%1."/>
      <w:lvlJc w:val="left"/>
      <w:pPr>
        <w:ind w:left="479" w:hanging="240"/>
      </w:pPr>
      <w:rPr>
        <w:rFonts w:ascii="Times New Roman" w:eastAsia="Times New Roman" w:hAnsi="Times New Roman" w:cs="Times New Roman" w:hint="default"/>
        <w:b/>
        <w:bCs/>
        <w:i/>
        <w:spacing w:val="-1"/>
        <w:w w:val="99"/>
        <w:sz w:val="24"/>
        <w:szCs w:val="24"/>
        <w:lang w:val="en-US" w:eastAsia="en-US" w:bidi="en-US"/>
      </w:rPr>
    </w:lvl>
    <w:lvl w:ilvl="1">
      <w:start w:val="0"/>
      <w:numFmt w:val="bullet"/>
      <w:lvlText w:val="•"/>
      <w:lvlJc w:val="left"/>
      <w:pPr>
        <w:ind w:left="1438" w:hanging="240"/>
      </w:pPr>
      <w:rPr>
        <w:rFonts w:hint="default"/>
        <w:lang w:val="en-US" w:eastAsia="en-US" w:bidi="en-US"/>
      </w:rPr>
    </w:lvl>
    <w:lvl w:ilvl="2">
      <w:start w:val="0"/>
      <w:numFmt w:val="bullet"/>
      <w:lvlText w:val="•"/>
      <w:lvlJc w:val="left"/>
      <w:pPr>
        <w:ind w:left="2396" w:hanging="240"/>
      </w:pPr>
      <w:rPr>
        <w:rFonts w:hint="default"/>
        <w:lang w:val="en-US" w:eastAsia="en-US" w:bidi="en-US"/>
      </w:rPr>
    </w:lvl>
    <w:lvl w:ilvl="3">
      <w:start w:val="0"/>
      <w:numFmt w:val="bullet"/>
      <w:lvlText w:val="•"/>
      <w:lvlJc w:val="left"/>
      <w:pPr>
        <w:ind w:left="3354" w:hanging="240"/>
      </w:pPr>
      <w:rPr>
        <w:rFonts w:hint="default"/>
        <w:lang w:val="en-US" w:eastAsia="en-US" w:bidi="en-US"/>
      </w:rPr>
    </w:lvl>
    <w:lvl w:ilvl="4">
      <w:start w:val="0"/>
      <w:numFmt w:val="bullet"/>
      <w:lvlText w:val="•"/>
      <w:lvlJc w:val="left"/>
      <w:pPr>
        <w:ind w:left="4312" w:hanging="240"/>
      </w:pPr>
      <w:rPr>
        <w:rFonts w:hint="default"/>
        <w:lang w:val="en-US" w:eastAsia="en-US" w:bidi="en-US"/>
      </w:rPr>
    </w:lvl>
    <w:lvl w:ilvl="5">
      <w:start w:val="0"/>
      <w:numFmt w:val="bullet"/>
      <w:lvlText w:val="•"/>
      <w:lvlJc w:val="left"/>
      <w:pPr>
        <w:ind w:left="5270" w:hanging="240"/>
      </w:pPr>
      <w:rPr>
        <w:rFonts w:hint="default"/>
        <w:lang w:val="en-US" w:eastAsia="en-US" w:bidi="en-US"/>
      </w:rPr>
    </w:lvl>
    <w:lvl w:ilvl="6">
      <w:start w:val="0"/>
      <w:numFmt w:val="bullet"/>
      <w:lvlText w:val="•"/>
      <w:lvlJc w:val="left"/>
      <w:pPr>
        <w:ind w:left="6228" w:hanging="240"/>
      </w:pPr>
      <w:rPr>
        <w:rFonts w:hint="default"/>
        <w:lang w:val="en-US" w:eastAsia="en-US" w:bidi="en-US"/>
      </w:rPr>
    </w:lvl>
    <w:lvl w:ilvl="7">
      <w:start w:val="0"/>
      <w:numFmt w:val="bullet"/>
      <w:lvlText w:val="•"/>
      <w:lvlJc w:val="left"/>
      <w:pPr>
        <w:ind w:left="7186" w:hanging="240"/>
      </w:pPr>
      <w:rPr>
        <w:rFonts w:hint="default"/>
        <w:lang w:val="en-US" w:eastAsia="en-US" w:bidi="en-US"/>
      </w:rPr>
    </w:lvl>
    <w:lvl w:ilvl="8">
      <w:start w:val="0"/>
      <w:numFmt w:val="bullet"/>
      <w:lvlText w:val="•"/>
      <w:lvlJc w:val="left"/>
      <w:pPr>
        <w:ind w:left="8144" w:hanging="240"/>
      </w:pPr>
      <w:rPr>
        <w:rFonts w:hint="default"/>
        <w:lang w:val="en-US" w:eastAsia="en-US" w:bidi="en-US"/>
      </w:rPr>
    </w:lvl>
  </w:abstractNum>
  <w:abstractNum w:abstractNumId="4">
    <w:nsid w:val="39E07887"/>
    <w:multiLevelType w:val="hybridMultilevel"/>
    <w:tmpl w:val="25DE28A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673A5B54"/>
    <w:multiLevelType w:val="hybridMultilevel"/>
    <w:tmpl w:val="F8BAADE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73362E91"/>
    <w:multiLevelType w:val="hybridMultilevel"/>
    <w:tmpl w:val="75E07378"/>
    <w:lvl w:ilvl="0">
      <w:start w:val="1"/>
      <w:numFmt w:val="upperLetter"/>
      <w:lvlText w:val="%1."/>
      <w:lvlJc w:val="left"/>
      <w:pPr>
        <w:ind w:left="479" w:hanging="360"/>
      </w:pPr>
      <w:rPr>
        <w:rFonts w:ascii="Times New Roman" w:eastAsia="Times New Roman" w:hAnsi="Times New Roman" w:cs="Times New Roman" w:hint="default"/>
        <w:b/>
        <w:bCs/>
        <w:spacing w:val="-1"/>
        <w:w w:val="99"/>
        <w:sz w:val="24"/>
        <w:szCs w:val="24"/>
        <w:lang w:val="en-US" w:eastAsia="en-US" w:bidi="en-US"/>
      </w:rPr>
    </w:lvl>
    <w:lvl w:ilvl="1">
      <w:start w:val="1"/>
      <w:numFmt w:val="decimal"/>
      <w:lvlText w:val="%2."/>
      <w:lvlJc w:val="left"/>
      <w:pPr>
        <w:ind w:left="479" w:hanging="360"/>
        <w:jc w:val="right"/>
      </w:pPr>
      <w:rPr>
        <w:rFonts w:ascii="Times New Roman" w:eastAsia="Times New Roman" w:hAnsi="Times New Roman" w:cs="Times New Roman" w:hint="default"/>
        <w:spacing w:val="-1"/>
        <w:w w:val="99"/>
        <w:sz w:val="24"/>
        <w:szCs w:val="24"/>
        <w:lang w:val="en-US" w:eastAsia="en-US" w:bidi="en-US"/>
      </w:rPr>
    </w:lvl>
    <w:lvl w:ilvl="2">
      <w:start w:val="1"/>
      <w:numFmt w:val="lowerLetter"/>
      <w:lvlText w:val="%3."/>
      <w:lvlJc w:val="left"/>
      <w:pPr>
        <w:ind w:left="479" w:hanging="240"/>
      </w:pPr>
      <w:rPr>
        <w:rFonts w:ascii="Times New Roman" w:eastAsia="Times New Roman" w:hAnsi="Times New Roman" w:cs="Times New Roman" w:hint="default"/>
        <w:b/>
        <w:bCs/>
        <w:i/>
        <w:spacing w:val="-4"/>
        <w:w w:val="99"/>
        <w:sz w:val="24"/>
        <w:szCs w:val="24"/>
        <w:lang w:val="en-US" w:eastAsia="en-US" w:bidi="en-US"/>
      </w:rPr>
    </w:lvl>
    <w:lvl w:ilvl="3">
      <w:start w:val="0"/>
      <w:numFmt w:val="bullet"/>
      <w:lvlText w:val="•"/>
      <w:lvlJc w:val="left"/>
      <w:pPr>
        <w:ind w:left="3354" w:hanging="240"/>
      </w:pPr>
      <w:rPr>
        <w:rFonts w:hint="default"/>
        <w:lang w:val="en-US" w:eastAsia="en-US" w:bidi="en-US"/>
      </w:rPr>
    </w:lvl>
    <w:lvl w:ilvl="4">
      <w:start w:val="0"/>
      <w:numFmt w:val="bullet"/>
      <w:lvlText w:val="•"/>
      <w:lvlJc w:val="left"/>
      <w:pPr>
        <w:ind w:left="4312" w:hanging="240"/>
      </w:pPr>
      <w:rPr>
        <w:rFonts w:hint="default"/>
        <w:lang w:val="en-US" w:eastAsia="en-US" w:bidi="en-US"/>
      </w:rPr>
    </w:lvl>
    <w:lvl w:ilvl="5">
      <w:start w:val="0"/>
      <w:numFmt w:val="bullet"/>
      <w:lvlText w:val="•"/>
      <w:lvlJc w:val="left"/>
      <w:pPr>
        <w:ind w:left="5270" w:hanging="240"/>
      </w:pPr>
      <w:rPr>
        <w:rFonts w:hint="default"/>
        <w:lang w:val="en-US" w:eastAsia="en-US" w:bidi="en-US"/>
      </w:rPr>
    </w:lvl>
    <w:lvl w:ilvl="6">
      <w:start w:val="0"/>
      <w:numFmt w:val="bullet"/>
      <w:lvlText w:val="•"/>
      <w:lvlJc w:val="left"/>
      <w:pPr>
        <w:ind w:left="6228" w:hanging="240"/>
      </w:pPr>
      <w:rPr>
        <w:rFonts w:hint="default"/>
        <w:lang w:val="en-US" w:eastAsia="en-US" w:bidi="en-US"/>
      </w:rPr>
    </w:lvl>
    <w:lvl w:ilvl="7">
      <w:start w:val="0"/>
      <w:numFmt w:val="bullet"/>
      <w:lvlText w:val="•"/>
      <w:lvlJc w:val="left"/>
      <w:pPr>
        <w:ind w:left="7186" w:hanging="240"/>
      </w:pPr>
      <w:rPr>
        <w:rFonts w:hint="default"/>
        <w:lang w:val="en-US" w:eastAsia="en-US" w:bidi="en-US"/>
      </w:rPr>
    </w:lvl>
    <w:lvl w:ilvl="8">
      <w:start w:val="0"/>
      <w:numFmt w:val="bullet"/>
      <w:lvlText w:val="•"/>
      <w:lvlJc w:val="left"/>
      <w:pPr>
        <w:ind w:left="8144" w:hanging="240"/>
      </w:pPr>
      <w:rPr>
        <w:rFonts w:hint="default"/>
        <w:lang w:val="en-US" w:eastAsia="en-US" w:bidi="en-US"/>
      </w:rPr>
    </w:lvl>
  </w:abstractNum>
  <w:abstractNum w:abstractNumId="7">
    <w:nsid w:val="785D68D0"/>
    <w:multiLevelType w:val="hybridMultilevel"/>
    <w:tmpl w:val="5CFA582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540245191">
    <w:abstractNumId w:val="0"/>
  </w:num>
  <w:num w:numId="2" w16cid:durableId="619531474">
    <w:abstractNumId w:val="3"/>
  </w:num>
  <w:num w:numId="3" w16cid:durableId="23140720">
    <w:abstractNumId w:val="6"/>
  </w:num>
  <w:num w:numId="4" w16cid:durableId="776753388">
    <w:abstractNumId w:val="1"/>
  </w:num>
  <w:num w:numId="5" w16cid:durableId="1334530223">
    <w:abstractNumId w:val="4"/>
  </w:num>
  <w:num w:numId="6" w16cid:durableId="1261992321">
    <w:abstractNumId w:val="2"/>
  </w:num>
  <w:num w:numId="7" w16cid:durableId="603223573">
    <w:abstractNumId w:val="7"/>
  </w:num>
  <w:num w:numId="8" w16cid:durableId="364142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830"/>
    <w:rsid w:val="000045DC"/>
    <w:rsid w:val="00005462"/>
    <w:rsid w:val="00005689"/>
    <w:rsid w:val="00006C92"/>
    <w:rsid w:val="000070FA"/>
    <w:rsid w:val="000104E8"/>
    <w:rsid w:val="000115BD"/>
    <w:rsid w:val="000132DF"/>
    <w:rsid w:val="00015CC6"/>
    <w:rsid w:val="000178E6"/>
    <w:rsid w:val="00017E96"/>
    <w:rsid w:val="00021512"/>
    <w:rsid w:val="00021DA8"/>
    <w:rsid w:val="00023A98"/>
    <w:rsid w:val="00024872"/>
    <w:rsid w:val="00024C60"/>
    <w:rsid w:val="000309EA"/>
    <w:rsid w:val="00031330"/>
    <w:rsid w:val="000349CE"/>
    <w:rsid w:val="00034EAE"/>
    <w:rsid w:val="00041DD5"/>
    <w:rsid w:val="00043A7D"/>
    <w:rsid w:val="00043E42"/>
    <w:rsid w:val="0004418D"/>
    <w:rsid w:val="00044B03"/>
    <w:rsid w:val="000465FF"/>
    <w:rsid w:val="000466FE"/>
    <w:rsid w:val="00046B9F"/>
    <w:rsid w:val="00047AC0"/>
    <w:rsid w:val="00052ADB"/>
    <w:rsid w:val="0005326F"/>
    <w:rsid w:val="00054D58"/>
    <w:rsid w:val="00055F79"/>
    <w:rsid w:val="00061F53"/>
    <w:rsid w:val="0006636B"/>
    <w:rsid w:val="0006654B"/>
    <w:rsid w:val="00066BE2"/>
    <w:rsid w:val="00066DF5"/>
    <w:rsid w:val="00067544"/>
    <w:rsid w:val="000676A1"/>
    <w:rsid w:val="0007107E"/>
    <w:rsid w:val="00071E90"/>
    <w:rsid w:val="000722EA"/>
    <w:rsid w:val="00073DA5"/>
    <w:rsid w:val="0007439F"/>
    <w:rsid w:val="0007471B"/>
    <w:rsid w:val="00074FF3"/>
    <w:rsid w:val="00075789"/>
    <w:rsid w:val="00075A8E"/>
    <w:rsid w:val="00075E47"/>
    <w:rsid w:val="00076177"/>
    <w:rsid w:val="0007637D"/>
    <w:rsid w:val="00076FFB"/>
    <w:rsid w:val="00077EB0"/>
    <w:rsid w:val="0008029F"/>
    <w:rsid w:val="00081C67"/>
    <w:rsid w:val="00081EF2"/>
    <w:rsid w:val="000826DC"/>
    <w:rsid w:val="0008277C"/>
    <w:rsid w:val="000827FB"/>
    <w:rsid w:val="00082A1C"/>
    <w:rsid w:val="0008307C"/>
    <w:rsid w:val="00085B7B"/>
    <w:rsid w:val="000864F9"/>
    <w:rsid w:val="00086AD6"/>
    <w:rsid w:val="00092F37"/>
    <w:rsid w:val="00093327"/>
    <w:rsid w:val="00097250"/>
    <w:rsid w:val="000A09F1"/>
    <w:rsid w:val="000A1F65"/>
    <w:rsid w:val="000A236E"/>
    <w:rsid w:val="000A31FD"/>
    <w:rsid w:val="000A51C2"/>
    <w:rsid w:val="000A52CB"/>
    <w:rsid w:val="000A59E6"/>
    <w:rsid w:val="000A6236"/>
    <w:rsid w:val="000A68D3"/>
    <w:rsid w:val="000A7E8C"/>
    <w:rsid w:val="000B0B0F"/>
    <w:rsid w:val="000B2310"/>
    <w:rsid w:val="000B254B"/>
    <w:rsid w:val="000B3687"/>
    <w:rsid w:val="000B3B45"/>
    <w:rsid w:val="000B449C"/>
    <w:rsid w:val="000B6432"/>
    <w:rsid w:val="000B7F32"/>
    <w:rsid w:val="000C248F"/>
    <w:rsid w:val="000C3399"/>
    <w:rsid w:val="000C5FBC"/>
    <w:rsid w:val="000C657B"/>
    <w:rsid w:val="000D113D"/>
    <w:rsid w:val="000D166B"/>
    <w:rsid w:val="000D2D69"/>
    <w:rsid w:val="000D3223"/>
    <w:rsid w:val="000D3784"/>
    <w:rsid w:val="000D5127"/>
    <w:rsid w:val="000D5740"/>
    <w:rsid w:val="000D5ABD"/>
    <w:rsid w:val="000E043F"/>
    <w:rsid w:val="000E08B5"/>
    <w:rsid w:val="000E0E7F"/>
    <w:rsid w:val="000E1123"/>
    <w:rsid w:val="000E19CD"/>
    <w:rsid w:val="000E2803"/>
    <w:rsid w:val="000E531A"/>
    <w:rsid w:val="000E592A"/>
    <w:rsid w:val="000E5F39"/>
    <w:rsid w:val="000E62D9"/>
    <w:rsid w:val="000E6579"/>
    <w:rsid w:val="000E67CC"/>
    <w:rsid w:val="000E7F54"/>
    <w:rsid w:val="000F077A"/>
    <w:rsid w:val="000F0991"/>
    <w:rsid w:val="000F2A18"/>
    <w:rsid w:val="000F4AEE"/>
    <w:rsid w:val="000F4D1E"/>
    <w:rsid w:val="000F517B"/>
    <w:rsid w:val="000F526D"/>
    <w:rsid w:val="000F64E6"/>
    <w:rsid w:val="000F6DF6"/>
    <w:rsid w:val="000F7732"/>
    <w:rsid w:val="00100221"/>
    <w:rsid w:val="001013C3"/>
    <w:rsid w:val="00101B60"/>
    <w:rsid w:val="00101D1D"/>
    <w:rsid w:val="00102597"/>
    <w:rsid w:val="00103057"/>
    <w:rsid w:val="00103871"/>
    <w:rsid w:val="00104E15"/>
    <w:rsid w:val="00105875"/>
    <w:rsid w:val="001064BE"/>
    <w:rsid w:val="00106679"/>
    <w:rsid w:val="00106E75"/>
    <w:rsid w:val="00110312"/>
    <w:rsid w:val="00110315"/>
    <w:rsid w:val="00111980"/>
    <w:rsid w:val="00111A95"/>
    <w:rsid w:val="00112587"/>
    <w:rsid w:val="00112FFC"/>
    <w:rsid w:val="00115046"/>
    <w:rsid w:val="001178C4"/>
    <w:rsid w:val="00117C03"/>
    <w:rsid w:val="001211BD"/>
    <w:rsid w:val="00121604"/>
    <w:rsid w:val="0012182F"/>
    <w:rsid w:val="00121E75"/>
    <w:rsid w:val="00123BFD"/>
    <w:rsid w:val="00125E1A"/>
    <w:rsid w:val="00126901"/>
    <w:rsid w:val="0012788C"/>
    <w:rsid w:val="00131C4F"/>
    <w:rsid w:val="00134F98"/>
    <w:rsid w:val="001358DF"/>
    <w:rsid w:val="00140088"/>
    <w:rsid w:val="00140D42"/>
    <w:rsid w:val="001411B9"/>
    <w:rsid w:val="00141471"/>
    <w:rsid w:val="00141D5D"/>
    <w:rsid w:val="00142535"/>
    <w:rsid w:val="00143761"/>
    <w:rsid w:val="001439B4"/>
    <w:rsid w:val="00143E7F"/>
    <w:rsid w:val="00144687"/>
    <w:rsid w:val="00145284"/>
    <w:rsid w:val="00150966"/>
    <w:rsid w:val="00150B92"/>
    <w:rsid w:val="00154090"/>
    <w:rsid w:val="00154320"/>
    <w:rsid w:val="00154960"/>
    <w:rsid w:val="00155686"/>
    <w:rsid w:val="00156450"/>
    <w:rsid w:val="00156780"/>
    <w:rsid w:val="001602F6"/>
    <w:rsid w:val="00160E88"/>
    <w:rsid w:val="00161E89"/>
    <w:rsid w:val="001626F7"/>
    <w:rsid w:val="0016357D"/>
    <w:rsid w:val="001644C8"/>
    <w:rsid w:val="001719A5"/>
    <w:rsid w:val="00171A47"/>
    <w:rsid w:val="00172B44"/>
    <w:rsid w:val="0017546F"/>
    <w:rsid w:val="00175957"/>
    <w:rsid w:val="001759E3"/>
    <w:rsid w:val="00177D1E"/>
    <w:rsid w:val="00181126"/>
    <w:rsid w:val="00181179"/>
    <w:rsid w:val="00182B15"/>
    <w:rsid w:val="00183F14"/>
    <w:rsid w:val="00183FF6"/>
    <w:rsid w:val="001844A7"/>
    <w:rsid w:val="00185D3F"/>
    <w:rsid w:val="00187746"/>
    <w:rsid w:val="0019102F"/>
    <w:rsid w:val="00191686"/>
    <w:rsid w:val="00191AE3"/>
    <w:rsid w:val="0019210A"/>
    <w:rsid w:val="001928B5"/>
    <w:rsid w:val="00194B8C"/>
    <w:rsid w:val="00194F30"/>
    <w:rsid w:val="0019611B"/>
    <w:rsid w:val="0019624C"/>
    <w:rsid w:val="001A1EC0"/>
    <w:rsid w:val="001A21C4"/>
    <w:rsid w:val="001A4D36"/>
    <w:rsid w:val="001A569F"/>
    <w:rsid w:val="001A5BB4"/>
    <w:rsid w:val="001A5FD4"/>
    <w:rsid w:val="001A68A0"/>
    <w:rsid w:val="001A6C08"/>
    <w:rsid w:val="001B0DD9"/>
    <w:rsid w:val="001B0FA7"/>
    <w:rsid w:val="001B406B"/>
    <w:rsid w:val="001B44DD"/>
    <w:rsid w:val="001B4516"/>
    <w:rsid w:val="001B4806"/>
    <w:rsid w:val="001B594A"/>
    <w:rsid w:val="001B60CC"/>
    <w:rsid w:val="001B6A1A"/>
    <w:rsid w:val="001B6FE2"/>
    <w:rsid w:val="001C0055"/>
    <w:rsid w:val="001C0B25"/>
    <w:rsid w:val="001C17A0"/>
    <w:rsid w:val="001C185E"/>
    <w:rsid w:val="001C1BEE"/>
    <w:rsid w:val="001C1C49"/>
    <w:rsid w:val="001C272E"/>
    <w:rsid w:val="001C2982"/>
    <w:rsid w:val="001C2CAD"/>
    <w:rsid w:val="001C3EA1"/>
    <w:rsid w:val="001C496D"/>
    <w:rsid w:val="001C4C77"/>
    <w:rsid w:val="001C4FC8"/>
    <w:rsid w:val="001D08D2"/>
    <w:rsid w:val="001D0A82"/>
    <w:rsid w:val="001D0E7B"/>
    <w:rsid w:val="001D0F32"/>
    <w:rsid w:val="001D261D"/>
    <w:rsid w:val="001D2C7D"/>
    <w:rsid w:val="001D3320"/>
    <w:rsid w:val="001D565D"/>
    <w:rsid w:val="001D5C05"/>
    <w:rsid w:val="001E09C0"/>
    <w:rsid w:val="001E111D"/>
    <w:rsid w:val="001E5B16"/>
    <w:rsid w:val="001E7FF1"/>
    <w:rsid w:val="001F1F13"/>
    <w:rsid w:val="001F2BC5"/>
    <w:rsid w:val="001F2C47"/>
    <w:rsid w:val="001F538A"/>
    <w:rsid w:val="001F7E7E"/>
    <w:rsid w:val="00200708"/>
    <w:rsid w:val="00201219"/>
    <w:rsid w:val="0020160D"/>
    <w:rsid w:val="00201688"/>
    <w:rsid w:val="00201BC7"/>
    <w:rsid w:val="00203962"/>
    <w:rsid w:val="00203B91"/>
    <w:rsid w:val="00203EF1"/>
    <w:rsid w:val="0020409A"/>
    <w:rsid w:val="002064DD"/>
    <w:rsid w:val="00206EB8"/>
    <w:rsid w:val="00207FCD"/>
    <w:rsid w:val="00210564"/>
    <w:rsid w:val="00212B71"/>
    <w:rsid w:val="00213FF3"/>
    <w:rsid w:val="0021468C"/>
    <w:rsid w:val="00214F45"/>
    <w:rsid w:val="00215085"/>
    <w:rsid w:val="00215579"/>
    <w:rsid w:val="00215D3B"/>
    <w:rsid w:val="00216D51"/>
    <w:rsid w:val="00217788"/>
    <w:rsid w:val="00220B99"/>
    <w:rsid w:val="002210AA"/>
    <w:rsid w:val="00221E1E"/>
    <w:rsid w:val="00222E6A"/>
    <w:rsid w:val="00224CC6"/>
    <w:rsid w:val="00225B40"/>
    <w:rsid w:val="00226C11"/>
    <w:rsid w:val="00226E2C"/>
    <w:rsid w:val="00227FE4"/>
    <w:rsid w:val="0023173F"/>
    <w:rsid w:val="002325D0"/>
    <w:rsid w:val="002328D0"/>
    <w:rsid w:val="00233571"/>
    <w:rsid w:val="00233CDF"/>
    <w:rsid w:val="0023413A"/>
    <w:rsid w:val="00236192"/>
    <w:rsid w:val="002401F7"/>
    <w:rsid w:val="00241CC3"/>
    <w:rsid w:val="00241F94"/>
    <w:rsid w:val="00241FA3"/>
    <w:rsid w:val="00242F60"/>
    <w:rsid w:val="00244404"/>
    <w:rsid w:val="00244C20"/>
    <w:rsid w:val="002451C3"/>
    <w:rsid w:val="0024589A"/>
    <w:rsid w:val="00245AFE"/>
    <w:rsid w:val="002467F1"/>
    <w:rsid w:val="002468EB"/>
    <w:rsid w:val="00247C01"/>
    <w:rsid w:val="00247F2D"/>
    <w:rsid w:val="00252BE6"/>
    <w:rsid w:val="00252C75"/>
    <w:rsid w:val="00255834"/>
    <w:rsid w:val="00255845"/>
    <w:rsid w:val="002563CE"/>
    <w:rsid w:val="002564B7"/>
    <w:rsid w:val="00257751"/>
    <w:rsid w:val="00257ABD"/>
    <w:rsid w:val="002602D6"/>
    <w:rsid w:val="00260E07"/>
    <w:rsid w:val="0026176B"/>
    <w:rsid w:val="0026180F"/>
    <w:rsid w:val="00261C76"/>
    <w:rsid w:val="0026216C"/>
    <w:rsid w:val="00262ADC"/>
    <w:rsid w:val="00263BEE"/>
    <w:rsid w:val="00265DD5"/>
    <w:rsid w:val="00266D6E"/>
    <w:rsid w:val="002676D0"/>
    <w:rsid w:val="00271830"/>
    <w:rsid w:val="002721F7"/>
    <w:rsid w:val="002722DD"/>
    <w:rsid w:val="00274E51"/>
    <w:rsid w:val="002766B8"/>
    <w:rsid w:val="00281A17"/>
    <w:rsid w:val="00281B37"/>
    <w:rsid w:val="002826AA"/>
    <w:rsid w:val="002829FE"/>
    <w:rsid w:val="00282D78"/>
    <w:rsid w:val="00282E73"/>
    <w:rsid w:val="00282F26"/>
    <w:rsid w:val="00283D6A"/>
    <w:rsid w:val="00283F78"/>
    <w:rsid w:val="002849F5"/>
    <w:rsid w:val="002858D2"/>
    <w:rsid w:val="00285A93"/>
    <w:rsid w:val="00285C2E"/>
    <w:rsid w:val="00285FF6"/>
    <w:rsid w:val="00286402"/>
    <w:rsid w:val="00286957"/>
    <w:rsid w:val="00286BD6"/>
    <w:rsid w:val="00287C6E"/>
    <w:rsid w:val="00287F89"/>
    <w:rsid w:val="00292838"/>
    <w:rsid w:val="002933B6"/>
    <w:rsid w:val="0029385B"/>
    <w:rsid w:val="00293A8D"/>
    <w:rsid w:val="00293CD5"/>
    <w:rsid w:val="00295B98"/>
    <w:rsid w:val="00296E48"/>
    <w:rsid w:val="002A0693"/>
    <w:rsid w:val="002A3D94"/>
    <w:rsid w:val="002A3E6D"/>
    <w:rsid w:val="002A45FE"/>
    <w:rsid w:val="002A462F"/>
    <w:rsid w:val="002A57FD"/>
    <w:rsid w:val="002A6628"/>
    <w:rsid w:val="002A72A8"/>
    <w:rsid w:val="002A78CA"/>
    <w:rsid w:val="002B0C21"/>
    <w:rsid w:val="002B0EA2"/>
    <w:rsid w:val="002B22FC"/>
    <w:rsid w:val="002B336D"/>
    <w:rsid w:val="002B6B3F"/>
    <w:rsid w:val="002B7BAD"/>
    <w:rsid w:val="002B7C99"/>
    <w:rsid w:val="002C02BB"/>
    <w:rsid w:val="002C0CFA"/>
    <w:rsid w:val="002C1ABD"/>
    <w:rsid w:val="002C1F77"/>
    <w:rsid w:val="002C2F04"/>
    <w:rsid w:val="002C4388"/>
    <w:rsid w:val="002D08D5"/>
    <w:rsid w:val="002D2F11"/>
    <w:rsid w:val="002D382A"/>
    <w:rsid w:val="002D5C52"/>
    <w:rsid w:val="002D5C8A"/>
    <w:rsid w:val="002D63CF"/>
    <w:rsid w:val="002E06EB"/>
    <w:rsid w:val="002E1342"/>
    <w:rsid w:val="002E1896"/>
    <w:rsid w:val="002E20AD"/>
    <w:rsid w:val="002E72DF"/>
    <w:rsid w:val="002E76A2"/>
    <w:rsid w:val="002F113E"/>
    <w:rsid w:val="002F1467"/>
    <w:rsid w:val="002F1FCA"/>
    <w:rsid w:val="002F5B28"/>
    <w:rsid w:val="0030388B"/>
    <w:rsid w:val="00304EBC"/>
    <w:rsid w:val="00305236"/>
    <w:rsid w:val="00307155"/>
    <w:rsid w:val="003076F0"/>
    <w:rsid w:val="003113EB"/>
    <w:rsid w:val="003122A7"/>
    <w:rsid w:val="00316557"/>
    <w:rsid w:val="00317B71"/>
    <w:rsid w:val="0032094C"/>
    <w:rsid w:val="0032160E"/>
    <w:rsid w:val="00321EB2"/>
    <w:rsid w:val="00321EE9"/>
    <w:rsid w:val="003225D1"/>
    <w:rsid w:val="003236FF"/>
    <w:rsid w:val="00324365"/>
    <w:rsid w:val="00327347"/>
    <w:rsid w:val="003306F8"/>
    <w:rsid w:val="00330721"/>
    <w:rsid w:val="003318A2"/>
    <w:rsid w:val="00332B96"/>
    <w:rsid w:val="00336575"/>
    <w:rsid w:val="003371CA"/>
    <w:rsid w:val="00340D60"/>
    <w:rsid w:val="00341F01"/>
    <w:rsid w:val="00342D82"/>
    <w:rsid w:val="00343FE0"/>
    <w:rsid w:val="00344AA7"/>
    <w:rsid w:val="00344E2B"/>
    <w:rsid w:val="00345384"/>
    <w:rsid w:val="00345B06"/>
    <w:rsid w:val="00350185"/>
    <w:rsid w:val="00351AC7"/>
    <w:rsid w:val="0035346A"/>
    <w:rsid w:val="0035557B"/>
    <w:rsid w:val="00357039"/>
    <w:rsid w:val="003579B4"/>
    <w:rsid w:val="00357A16"/>
    <w:rsid w:val="003603F3"/>
    <w:rsid w:val="00360682"/>
    <w:rsid w:val="003637B8"/>
    <w:rsid w:val="00363F70"/>
    <w:rsid w:val="00364136"/>
    <w:rsid w:val="00366719"/>
    <w:rsid w:val="0036706E"/>
    <w:rsid w:val="003671B7"/>
    <w:rsid w:val="0037084D"/>
    <w:rsid w:val="003712D3"/>
    <w:rsid w:val="00371E90"/>
    <w:rsid w:val="00371F62"/>
    <w:rsid w:val="00372175"/>
    <w:rsid w:val="0037436C"/>
    <w:rsid w:val="003745BD"/>
    <w:rsid w:val="00374A08"/>
    <w:rsid w:val="0037661C"/>
    <w:rsid w:val="003774F5"/>
    <w:rsid w:val="00381212"/>
    <w:rsid w:val="003825A3"/>
    <w:rsid w:val="003845A9"/>
    <w:rsid w:val="00384E5F"/>
    <w:rsid w:val="00385359"/>
    <w:rsid w:val="00385D2B"/>
    <w:rsid w:val="00386786"/>
    <w:rsid w:val="0038683A"/>
    <w:rsid w:val="003877AA"/>
    <w:rsid w:val="00391160"/>
    <w:rsid w:val="0039145D"/>
    <w:rsid w:val="0039186C"/>
    <w:rsid w:val="003932C1"/>
    <w:rsid w:val="00393BB0"/>
    <w:rsid w:val="00395491"/>
    <w:rsid w:val="00396672"/>
    <w:rsid w:val="003976AD"/>
    <w:rsid w:val="003A04D4"/>
    <w:rsid w:val="003A120A"/>
    <w:rsid w:val="003A2AC2"/>
    <w:rsid w:val="003A4047"/>
    <w:rsid w:val="003A4621"/>
    <w:rsid w:val="003A732B"/>
    <w:rsid w:val="003A737E"/>
    <w:rsid w:val="003B03DE"/>
    <w:rsid w:val="003B073B"/>
    <w:rsid w:val="003B2860"/>
    <w:rsid w:val="003B2BB4"/>
    <w:rsid w:val="003B2E0F"/>
    <w:rsid w:val="003B3DED"/>
    <w:rsid w:val="003B3F7F"/>
    <w:rsid w:val="003B69ED"/>
    <w:rsid w:val="003B74AD"/>
    <w:rsid w:val="003B7551"/>
    <w:rsid w:val="003B784E"/>
    <w:rsid w:val="003B7CA5"/>
    <w:rsid w:val="003C15F5"/>
    <w:rsid w:val="003C1C53"/>
    <w:rsid w:val="003C451D"/>
    <w:rsid w:val="003C6204"/>
    <w:rsid w:val="003D0032"/>
    <w:rsid w:val="003D01FE"/>
    <w:rsid w:val="003D403C"/>
    <w:rsid w:val="003E0034"/>
    <w:rsid w:val="003E03EA"/>
    <w:rsid w:val="003E2528"/>
    <w:rsid w:val="003E2A15"/>
    <w:rsid w:val="003E4957"/>
    <w:rsid w:val="003E61D8"/>
    <w:rsid w:val="003E6D7F"/>
    <w:rsid w:val="003E72EF"/>
    <w:rsid w:val="003F1DCF"/>
    <w:rsid w:val="003F2C2A"/>
    <w:rsid w:val="003F31DA"/>
    <w:rsid w:val="003F36AF"/>
    <w:rsid w:val="003F3B09"/>
    <w:rsid w:val="003F49EE"/>
    <w:rsid w:val="003F545B"/>
    <w:rsid w:val="003F5920"/>
    <w:rsid w:val="003F5C3A"/>
    <w:rsid w:val="003F6BAD"/>
    <w:rsid w:val="003F6F46"/>
    <w:rsid w:val="003F7699"/>
    <w:rsid w:val="003F7C67"/>
    <w:rsid w:val="00402C52"/>
    <w:rsid w:val="00403CD4"/>
    <w:rsid w:val="00403F45"/>
    <w:rsid w:val="00405465"/>
    <w:rsid w:val="00410E8D"/>
    <w:rsid w:val="00413104"/>
    <w:rsid w:val="00415C83"/>
    <w:rsid w:val="00416E43"/>
    <w:rsid w:val="00421CF0"/>
    <w:rsid w:val="00422376"/>
    <w:rsid w:val="00422737"/>
    <w:rsid w:val="0042309B"/>
    <w:rsid w:val="00423196"/>
    <w:rsid w:val="004247A9"/>
    <w:rsid w:val="00425B9C"/>
    <w:rsid w:val="00425C47"/>
    <w:rsid w:val="004260F6"/>
    <w:rsid w:val="00426445"/>
    <w:rsid w:val="0042687D"/>
    <w:rsid w:val="00427B1F"/>
    <w:rsid w:val="00430289"/>
    <w:rsid w:val="00430584"/>
    <w:rsid w:val="00432192"/>
    <w:rsid w:val="00433163"/>
    <w:rsid w:val="00433C82"/>
    <w:rsid w:val="00433F12"/>
    <w:rsid w:val="00433F7A"/>
    <w:rsid w:val="00434EF7"/>
    <w:rsid w:val="00435059"/>
    <w:rsid w:val="004361E9"/>
    <w:rsid w:val="00436377"/>
    <w:rsid w:val="00436E2E"/>
    <w:rsid w:val="0044000E"/>
    <w:rsid w:val="00441CBF"/>
    <w:rsid w:val="0044247A"/>
    <w:rsid w:val="00444117"/>
    <w:rsid w:val="0044528C"/>
    <w:rsid w:val="0044541F"/>
    <w:rsid w:val="00451159"/>
    <w:rsid w:val="00451880"/>
    <w:rsid w:val="0045434C"/>
    <w:rsid w:val="00455BC4"/>
    <w:rsid w:val="004574CE"/>
    <w:rsid w:val="00460823"/>
    <w:rsid w:val="00462068"/>
    <w:rsid w:val="004666EA"/>
    <w:rsid w:val="004675E5"/>
    <w:rsid w:val="00467C26"/>
    <w:rsid w:val="00470066"/>
    <w:rsid w:val="004703FD"/>
    <w:rsid w:val="00470827"/>
    <w:rsid w:val="00470E68"/>
    <w:rsid w:val="0047202B"/>
    <w:rsid w:val="00472364"/>
    <w:rsid w:val="00472986"/>
    <w:rsid w:val="004749CE"/>
    <w:rsid w:val="00474C25"/>
    <w:rsid w:val="00481124"/>
    <w:rsid w:val="00482F59"/>
    <w:rsid w:val="004834FC"/>
    <w:rsid w:val="00483802"/>
    <w:rsid w:val="0048474F"/>
    <w:rsid w:val="00485907"/>
    <w:rsid w:val="00486566"/>
    <w:rsid w:val="004874FB"/>
    <w:rsid w:val="00487C22"/>
    <w:rsid w:val="00487D95"/>
    <w:rsid w:val="0049089A"/>
    <w:rsid w:val="00490F82"/>
    <w:rsid w:val="00493546"/>
    <w:rsid w:val="00493653"/>
    <w:rsid w:val="004957A5"/>
    <w:rsid w:val="00495D60"/>
    <w:rsid w:val="00496697"/>
    <w:rsid w:val="00497780"/>
    <w:rsid w:val="004A0802"/>
    <w:rsid w:val="004A0A2C"/>
    <w:rsid w:val="004A2281"/>
    <w:rsid w:val="004A3A90"/>
    <w:rsid w:val="004A4620"/>
    <w:rsid w:val="004B2071"/>
    <w:rsid w:val="004B22F6"/>
    <w:rsid w:val="004B2E8F"/>
    <w:rsid w:val="004B41C6"/>
    <w:rsid w:val="004B480A"/>
    <w:rsid w:val="004B622D"/>
    <w:rsid w:val="004C0294"/>
    <w:rsid w:val="004C1098"/>
    <w:rsid w:val="004C2E22"/>
    <w:rsid w:val="004C2F6E"/>
    <w:rsid w:val="004C3014"/>
    <w:rsid w:val="004C3BE8"/>
    <w:rsid w:val="004C3E1F"/>
    <w:rsid w:val="004C452C"/>
    <w:rsid w:val="004C5FB8"/>
    <w:rsid w:val="004C603C"/>
    <w:rsid w:val="004C66B1"/>
    <w:rsid w:val="004C7583"/>
    <w:rsid w:val="004D0C85"/>
    <w:rsid w:val="004D0E6A"/>
    <w:rsid w:val="004D31FF"/>
    <w:rsid w:val="004D34F5"/>
    <w:rsid w:val="004D3AE6"/>
    <w:rsid w:val="004D3E9D"/>
    <w:rsid w:val="004D4205"/>
    <w:rsid w:val="004D4BF7"/>
    <w:rsid w:val="004D5FC3"/>
    <w:rsid w:val="004E02D0"/>
    <w:rsid w:val="004E040F"/>
    <w:rsid w:val="004E0839"/>
    <w:rsid w:val="004E1233"/>
    <w:rsid w:val="004E1CA5"/>
    <w:rsid w:val="004E2490"/>
    <w:rsid w:val="004E2B90"/>
    <w:rsid w:val="004E2CD9"/>
    <w:rsid w:val="004E33E3"/>
    <w:rsid w:val="004E574E"/>
    <w:rsid w:val="004F091D"/>
    <w:rsid w:val="004F0983"/>
    <w:rsid w:val="004F0E55"/>
    <w:rsid w:val="004F10D3"/>
    <w:rsid w:val="004F1168"/>
    <w:rsid w:val="004F266B"/>
    <w:rsid w:val="004F3585"/>
    <w:rsid w:val="004F4E41"/>
    <w:rsid w:val="004F5526"/>
    <w:rsid w:val="004F7B85"/>
    <w:rsid w:val="00502E00"/>
    <w:rsid w:val="00503888"/>
    <w:rsid w:val="00503CA0"/>
    <w:rsid w:val="00503D38"/>
    <w:rsid w:val="00503ED1"/>
    <w:rsid w:val="0050416F"/>
    <w:rsid w:val="0050447B"/>
    <w:rsid w:val="0050463D"/>
    <w:rsid w:val="005049E8"/>
    <w:rsid w:val="00505F30"/>
    <w:rsid w:val="005068D1"/>
    <w:rsid w:val="00511052"/>
    <w:rsid w:val="00513872"/>
    <w:rsid w:val="00513FF4"/>
    <w:rsid w:val="0051451E"/>
    <w:rsid w:val="00521242"/>
    <w:rsid w:val="005231B8"/>
    <w:rsid w:val="00523E3C"/>
    <w:rsid w:val="005241B9"/>
    <w:rsid w:val="005300FE"/>
    <w:rsid w:val="005307C4"/>
    <w:rsid w:val="00530F81"/>
    <w:rsid w:val="005318C3"/>
    <w:rsid w:val="0053270D"/>
    <w:rsid w:val="00535774"/>
    <w:rsid w:val="0053583C"/>
    <w:rsid w:val="005370C6"/>
    <w:rsid w:val="00540930"/>
    <w:rsid w:val="005460EB"/>
    <w:rsid w:val="00550EA8"/>
    <w:rsid w:val="0055126C"/>
    <w:rsid w:val="00553000"/>
    <w:rsid w:val="00553B7D"/>
    <w:rsid w:val="00554F4C"/>
    <w:rsid w:val="00560158"/>
    <w:rsid w:val="00560F63"/>
    <w:rsid w:val="005620F0"/>
    <w:rsid w:val="005644DC"/>
    <w:rsid w:val="0056525E"/>
    <w:rsid w:val="00565276"/>
    <w:rsid w:val="00565440"/>
    <w:rsid w:val="00567A68"/>
    <w:rsid w:val="0057296E"/>
    <w:rsid w:val="00572B16"/>
    <w:rsid w:val="00572C93"/>
    <w:rsid w:val="00573950"/>
    <w:rsid w:val="00575CD0"/>
    <w:rsid w:val="0057661A"/>
    <w:rsid w:val="005779CC"/>
    <w:rsid w:val="00577B7D"/>
    <w:rsid w:val="00582FBC"/>
    <w:rsid w:val="0058484D"/>
    <w:rsid w:val="00584C14"/>
    <w:rsid w:val="005867B9"/>
    <w:rsid w:val="00587732"/>
    <w:rsid w:val="00590596"/>
    <w:rsid w:val="0059205F"/>
    <w:rsid w:val="00592BB9"/>
    <w:rsid w:val="00593439"/>
    <w:rsid w:val="00593559"/>
    <w:rsid w:val="00593C6A"/>
    <w:rsid w:val="00594B76"/>
    <w:rsid w:val="0059525B"/>
    <w:rsid w:val="0059733E"/>
    <w:rsid w:val="0059734E"/>
    <w:rsid w:val="0059754C"/>
    <w:rsid w:val="005A1FAB"/>
    <w:rsid w:val="005A2251"/>
    <w:rsid w:val="005A4132"/>
    <w:rsid w:val="005A587A"/>
    <w:rsid w:val="005A6E61"/>
    <w:rsid w:val="005A6F6A"/>
    <w:rsid w:val="005B050F"/>
    <w:rsid w:val="005B2388"/>
    <w:rsid w:val="005B2A5B"/>
    <w:rsid w:val="005B2D66"/>
    <w:rsid w:val="005B3BF3"/>
    <w:rsid w:val="005B4232"/>
    <w:rsid w:val="005C2534"/>
    <w:rsid w:val="005C3942"/>
    <w:rsid w:val="005C4443"/>
    <w:rsid w:val="005C4E7B"/>
    <w:rsid w:val="005C6437"/>
    <w:rsid w:val="005C6AC3"/>
    <w:rsid w:val="005C7215"/>
    <w:rsid w:val="005D02BD"/>
    <w:rsid w:val="005D0B47"/>
    <w:rsid w:val="005D1C89"/>
    <w:rsid w:val="005D281D"/>
    <w:rsid w:val="005D28B5"/>
    <w:rsid w:val="005D3A71"/>
    <w:rsid w:val="005D43C4"/>
    <w:rsid w:val="005D4F04"/>
    <w:rsid w:val="005D5E49"/>
    <w:rsid w:val="005D6A7A"/>
    <w:rsid w:val="005E01B8"/>
    <w:rsid w:val="005E0562"/>
    <w:rsid w:val="005E1F2D"/>
    <w:rsid w:val="005E2850"/>
    <w:rsid w:val="005E30B4"/>
    <w:rsid w:val="005E3884"/>
    <w:rsid w:val="005E547F"/>
    <w:rsid w:val="005E5B47"/>
    <w:rsid w:val="005E7CD5"/>
    <w:rsid w:val="005E7E9E"/>
    <w:rsid w:val="005F2EDB"/>
    <w:rsid w:val="005F4935"/>
    <w:rsid w:val="005F52CB"/>
    <w:rsid w:val="005F73CA"/>
    <w:rsid w:val="00600D03"/>
    <w:rsid w:val="0060121B"/>
    <w:rsid w:val="00601B94"/>
    <w:rsid w:val="0060330F"/>
    <w:rsid w:val="00604ECC"/>
    <w:rsid w:val="00606792"/>
    <w:rsid w:val="0060693A"/>
    <w:rsid w:val="006074E9"/>
    <w:rsid w:val="00612318"/>
    <w:rsid w:val="00613402"/>
    <w:rsid w:val="006148AF"/>
    <w:rsid w:val="00614D5B"/>
    <w:rsid w:val="00620C53"/>
    <w:rsid w:val="0062260E"/>
    <w:rsid w:val="00622B4C"/>
    <w:rsid w:val="006238FF"/>
    <w:rsid w:val="00623AE5"/>
    <w:rsid w:val="00623EF4"/>
    <w:rsid w:val="00626828"/>
    <w:rsid w:val="00630363"/>
    <w:rsid w:val="006305AD"/>
    <w:rsid w:val="006331BD"/>
    <w:rsid w:val="00634F7B"/>
    <w:rsid w:val="00635BDE"/>
    <w:rsid w:val="00637518"/>
    <w:rsid w:val="00640CBE"/>
    <w:rsid w:val="00641931"/>
    <w:rsid w:val="00641956"/>
    <w:rsid w:val="00642510"/>
    <w:rsid w:val="0064268B"/>
    <w:rsid w:val="0064332C"/>
    <w:rsid w:val="00643399"/>
    <w:rsid w:val="0064345C"/>
    <w:rsid w:val="00646879"/>
    <w:rsid w:val="006547E4"/>
    <w:rsid w:val="006553E3"/>
    <w:rsid w:val="00656FF2"/>
    <w:rsid w:val="00657690"/>
    <w:rsid w:val="00660E95"/>
    <w:rsid w:val="006627F5"/>
    <w:rsid w:val="00663C5D"/>
    <w:rsid w:val="00663F03"/>
    <w:rsid w:val="006674AD"/>
    <w:rsid w:val="00670698"/>
    <w:rsid w:val="00671F4E"/>
    <w:rsid w:val="00672A13"/>
    <w:rsid w:val="006766FD"/>
    <w:rsid w:val="00680345"/>
    <w:rsid w:val="0068091A"/>
    <w:rsid w:val="00682F98"/>
    <w:rsid w:val="00684655"/>
    <w:rsid w:val="006853A9"/>
    <w:rsid w:val="0068688C"/>
    <w:rsid w:val="0068740A"/>
    <w:rsid w:val="006877FC"/>
    <w:rsid w:val="00690B4C"/>
    <w:rsid w:val="006920E5"/>
    <w:rsid w:val="00693C46"/>
    <w:rsid w:val="0069462F"/>
    <w:rsid w:val="006972AF"/>
    <w:rsid w:val="006972E2"/>
    <w:rsid w:val="00697466"/>
    <w:rsid w:val="00697A3E"/>
    <w:rsid w:val="00697AA5"/>
    <w:rsid w:val="006A0F8C"/>
    <w:rsid w:val="006A4240"/>
    <w:rsid w:val="006A61C7"/>
    <w:rsid w:val="006A7C3E"/>
    <w:rsid w:val="006A7DA6"/>
    <w:rsid w:val="006B01C5"/>
    <w:rsid w:val="006B3149"/>
    <w:rsid w:val="006B3FF3"/>
    <w:rsid w:val="006B450D"/>
    <w:rsid w:val="006B5208"/>
    <w:rsid w:val="006C02A7"/>
    <w:rsid w:val="006C1171"/>
    <w:rsid w:val="006C427E"/>
    <w:rsid w:val="006C5554"/>
    <w:rsid w:val="006C6AFB"/>
    <w:rsid w:val="006D1366"/>
    <w:rsid w:val="006D1A68"/>
    <w:rsid w:val="006D2DF8"/>
    <w:rsid w:val="006D3387"/>
    <w:rsid w:val="006D33AC"/>
    <w:rsid w:val="006D3B37"/>
    <w:rsid w:val="006D6AED"/>
    <w:rsid w:val="006E0BB2"/>
    <w:rsid w:val="006E0DFF"/>
    <w:rsid w:val="006E0FE2"/>
    <w:rsid w:val="006E18B4"/>
    <w:rsid w:val="006E1951"/>
    <w:rsid w:val="006E4AC4"/>
    <w:rsid w:val="006E50F2"/>
    <w:rsid w:val="006E69CF"/>
    <w:rsid w:val="006F164E"/>
    <w:rsid w:val="006F1DB5"/>
    <w:rsid w:val="006F2B57"/>
    <w:rsid w:val="006F5296"/>
    <w:rsid w:val="006F52D2"/>
    <w:rsid w:val="006F5F99"/>
    <w:rsid w:val="006F6601"/>
    <w:rsid w:val="006F6ADA"/>
    <w:rsid w:val="006F6C30"/>
    <w:rsid w:val="007017D8"/>
    <w:rsid w:val="00701899"/>
    <w:rsid w:val="007022CF"/>
    <w:rsid w:val="00703600"/>
    <w:rsid w:val="00705F66"/>
    <w:rsid w:val="007068C7"/>
    <w:rsid w:val="007100A9"/>
    <w:rsid w:val="00710854"/>
    <w:rsid w:val="00711200"/>
    <w:rsid w:val="007117F4"/>
    <w:rsid w:val="00712D2A"/>
    <w:rsid w:val="0071313F"/>
    <w:rsid w:val="00713621"/>
    <w:rsid w:val="00714058"/>
    <w:rsid w:val="0071505A"/>
    <w:rsid w:val="007158C7"/>
    <w:rsid w:val="00720256"/>
    <w:rsid w:val="007202C5"/>
    <w:rsid w:val="0072138A"/>
    <w:rsid w:val="00724379"/>
    <w:rsid w:val="007251D9"/>
    <w:rsid w:val="007264A8"/>
    <w:rsid w:val="00726E9F"/>
    <w:rsid w:val="00727C83"/>
    <w:rsid w:val="00727F6F"/>
    <w:rsid w:val="00732FD3"/>
    <w:rsid w:val="00733201"/>
    <w:rsid w:val="007349D4"/>
    <w:rsid w:val="00745462"/>
    <w:rsid w:val="00745CE6"/>
    <w:rsid w:val="00750B4F"/>
    <w:rsid w:val="00750D08"/>
    <w:rsid w:val="00751400"/>
    <w:rsid w:val="007519E9"/>
    <w:rsid w:val="007520D9"/>
    <w:rsid w:val="00752905"/>
    <w:rsid w:val="007534DE"/>
    <w:rsid w:val="00753D3D"/>
    <w:rsid w:val="00754009"/>
    <w:rsid w:val="00754A76"/>
    <w:rsid w:val="00756885"/>
    <w:rsid w:val="00757FC1"/>
    <w:rsid w:val="00760038"/>
    <w:rsid w:val="00760F81"/>
    <w:rsid w:val="007646E6"/>
    <w:rsid w:val="0076507B"/>
    <w:rsid w:val="00766D85"/>
    <w:rsid w:val="00767717"/>
    <w:rsid w:val="00772D03"/>
    <w:rsid w:val="0077310C"/>
    <w:rsid w:val="00773569"/>
    <w:rsid w:val="00775B48"/>
    <w:rsid w:val="00776C0B"/>
    <w:rsid w:val="0077717E"/>
    <w:rsid w:val="00780232"/>
    <w:rsid w:val="0078086D"/>
    <w:rsid w:val="00780D75"/>
    <w:rsid w:val="00781387"/>
    <w:rsid w:val="007815DB"/>
    <w:rsid w:val="0078296C"/>
    <w:rsid w:val="00783174"/>
    <w:rsid w:val="00783D14"/>
    <w:rsid w:val="0078453C"/>
    <w:rsid w:val="007850A7"/>
    <w:rsid w:val="00791996"/>
    <w:rsid w:val="00791A11"/>
    <w:rsid w:val="00793944"/>
    <w:rsid w:val="00796E53"/>
    <w:rsid w:val="007A1955"/>
    <w:rsid w:val="007A24B8"/>
    <w:rsid w:val="007A5231"/>
    <w:rsid w:val="007B0E67"/>
    <w:rsid w:val="007B0F02"/>
    <w:rsid w:val="007B23F3"/>
    <w:rsid w:val="007B30D9"/>
    <w:rsid w:val="007B453C"/>
    <w:rsid w:val="007B4C8D"/>
    <w:rsid w:val="007B54F9"/>
    <w:rsid w:val="007B55D4"/>
    <w:rsid w:val="007C13EF"/>
    <w:rsid w:val="007C15CC"/>
    <w:rsid w:val="007C17DA"/>
    <w:rsid w:val="007C32F5"/>
    <w:rsid w:val="007C33B6"/>
    <w:rsid w:val="007C3484"/>
    <w:rsid w:val="007C380B"/>
    <w:rsid w:val="007C3FBB"/>
    <w:rsid w:val="007C4363"/>
    <w:rsid w:val="007C5ABA"/>
    <w:rsid w:val="007D074A"/>
    <w:rsid w:val="007D1CEB"/>
    <w:rsid w:val="007D4920"/>
    <w:rsid w:val="007D59B8"/>
    <w:rsid w:val="007D7B42"/>
    <w:rsid w:val="007D7E96"/>
    <w:rsid w:val="007E2BDC"/>
    <w:rsid w:val="007E31FA"/>
    <w:rsid w:val="007E5870"/>
    <w:rsid w:val="007E61C3"/>
    <w:rsid w:val="007E77D6"/>
    <w:rsid w:val="007E7A48"/>
    <w:rsid w:val="007E7E92"/>
    <w:rsid w:val="007F0AF8"/>
    <w:rsid w:val="007F21C1"/>
    <w:rsid w:val="007F3D53"/>
    <w:rsid w:val="007F3FF7"/>
    <w:rsid w:val="007F4414"/>
    <w:rsid w:val="007F55C1"/>
    <w:rsid w:val="007F57C7"/>
    <w:rsid w:val="007F7868"/>
    <w:rsid w:val="008012EC"/>
    <w:rsid w:val="00801377"/>
    <w:rsid w:val="00802A6A"/>
    <w:rsid w:val="00802F2E"/>
    <w:rsid w:val="00805369"/>
    <w:rsid w:val="00805931"/>
    <w:rsid w:val="00805E3E"/>
    <w:rsid w:val="00807B53"/>
    <w:rsid w:val="008100B7"/>
    <w:rsid w:val="0081057A"/>
    <w:rsid w:val="00811711"/>
    <w:rsid w:val="00811C39"/>
    <w:rsid w:val="008136E9"/>
    <w:rsid w:val="00814279"/>
    <w:rsid w:val="0081647B"/>
    <w:rsid w:val="008164EB"/>
    <w:rsid w:val="00817485"/>
    <w:rsid w:val="00822507"/>
    <w:rsid w:val="0082549A"/>
    <w:rsid w:val="00825731"/>
    <w:rsid w:val="00825D67"/>
    <w:rsid w:val="008311B3"/>
    <w:rsid w:val="00831456"/>
    <w:rsid w:val="008373A4"/>
    <w:rsid w:val="008408F4"/>
    <w:rsid w:val="00840EA0"/>
    <w:rsid w:val="0084121B"/>
    <w:rsid w:val="0084246C"/>
    <w:rsid w:val="00843930"/>
    <w:rsid w:val="008442E6"/>
    <w:rsid w:val="0084431A"/>
    <w:rsid w:val="00844543"/>
    <w:rsid w:val="00845DA9"/>
    <w:rsid w:val="0084711C"/>
    <w:rsid w:val="00847566"/>
    <w:rsid w:val="0084772C"/>
    <w:rsid w:val="00847849"/>
    <w:rsid w:val="00847B4C"/>
    <w:rsid w:val="00847BD9"/>
    <w:rsid w:val="00851340"/>
    <w:rsid w:val="008519D0"/>
    <w:rsid w:val="00853375"/>
    <w:rsid w:val="00854478"/>
    <w:rsid w:val="0085555F"/>
    <w:rsid w:val="008563B2"/>
    <w:rsid w:val="00856421"/>
    <w:rsid w:val="00857EF8"/>
    <w:rsid w:val="00857EFD"/>
    <w:rsid w:val="00861A54"/>
    <w:rsid w:val="0086378F"/>
    <w:rsid w:val="008639F9"/>
    <w:rsid w:val="00865489"/>
    <w:rsid w:val="00866752"/>
    <w:rsid w:val="00866CE8"/>
    <w:rsid w:val="008675F1"/>
    <w:rsid w:val="00867B09"/>
    <w:rsid w:val="00867C58"/>
    <w:rsid w:val="0087086A"/>
    <w:rsid w:val="00873D2A"/>
    <w:rsid w:val="00873D76"/>
    <w:rsid w:val="00874EC7"/>
    <w:rsid w:val="00875D60"/>
    <w:rsid w:val="00877C57"/>
    <w:rsid w:val="0088142D"/>
    <w:rsid w:val="00881677"/>
    <w:rsid w:val="008817D5"/>
    <w:rsid w:val="00881826"/>
    <w:rsid w:val="00883C86"/>
    <w:rsid w:val="0088529B"/>
    <w:rsid w:val="00885613"/>
    <w:rsid w:val="00886CC6"/>
    <w:rsid w:val="0089019D"/>
    <w:rsid w:val="00890365"/>
    <w:rsid w:val="00890D19"/>
    <w:rsid w:val="00890D3B"/>
    <w:rsid w:val="00891751"/>
    <w:rsid w:val="0089196F"/>
    <w:rsid w:val="00893D79"/>
    <w:rsid w:val="0089639F"/>
    <w:rsid w:val="00896D87"/>
    <w:rsid w:val="008A0A8A"/>
    <w:rsid w:val="008A1032"/>
    <w:rsid w:val="008A1A47"/>
    <w:rsid w:val="008A2607"/>
    <w:rsid w:val="008A2E10"/>
    <w:rsid w:val="008A314D"/>
    <w:rsid w:val="008A444E"/>
    <w:rsid w:val="008A53A4"/>
    <w:rsid w:val="008A58AE"/>
    <w:rsid w:val="008A594F"/>
    <w:rsid w:val="008A6036"/>
    <w:rsid w:val="008A703B"/>
    <w:rsid w:val="008A79BD"/>
    <w:rsid w:val="008B210C"/>
    <w:rsid w:val="008B2F52"/>
    <w:rsid w:val="008B3E4D"/>
    <w:rsid w:val="008B4079"/>
    <w:rsid w:val="008B4316"/>
    <w:rsid w:val="008B5272"/>
    <w:rsid w:val="008B6620"/>
    <w:rsid w:val="008B6C32"/>
    <w:rsid w:val="008B7853"/>
    <w:rsid w:val="008C0A3B"/>
    <w:rsid w:val="008C430F"/>
    <w:rsid w:val="008C547A"/>
    <w:rsid w:val="008C5750"/>
    <w:rsid w:val="008C5FB5"/>
    <w:rsid w:val="008D27D0"/>
    <w:rsid w:val="008D2BCB"/>
    <w:rsid w:val="008D4184"/>
    <w:rsid w:val="008D50E2"/>
    <w:rsid w:val="008D635F"/>
    <w:rsid w:val="008E05F3"/>
    <w:rsid w:val="008E32EF"/>
    <w:rsid w:val="008E33CD"/>
    <w:rsid w:val="008E364F"/>
    <w:rsid w:val="008E47CE"/>
    <w:rsid w:val="008E4BA4"/>
    <w:rsid w:val="008E55EE"/>
    <w:rsid w:val="008E6047"/>
    <w:rsid w:val="008E6D22"/>
    <w:rsid w:val="008F1641"/>
    <w:rsid w:val="008F1B5F"/>
    <w:rsid w:val="008F4FAC"/>
    <w:rsid w:val="008F6461"/>
    <w:rsid w:val="008F73B0"/>
    <w:rsid w:val="008F74F0"/>
    <w:rsid w:val="0090028F"/>
    <w:rsid w:val="009008C8"/>
    <w:rsid w:val="009017A6"/>
    <w:rsid w:val="00901F8E"/>
    <w:rsid w:val="009031AC"/>
    <w:rsid w:val="00903C74"/>
    <w:rsid w:val="00905E4C"/>
    <w:rsid w:val="00907AFF"/>
    <w:rsid w:val="00910031"/>
    <w:rsid w:val="009101B3"/>
    <w:rsid w:val="009110BB"/>
    <w:rsid w:val="009116E1"/>
    <w:rsid w:val="0091191E"/>
    <w:rsid w:val="00911A93"/>
    <w:rsid w:val="00913705"/>
    <w:rsid w:val="0091429A"/>
    <w:rsid w:val="00916B0A"/>
    <w:rsid w:val="00920E18"/>
    <w:rsid w:val="0092271C"/>
    <w:rsid w:val="0092471A"/>
    <w:rsid w:val="0092474B"/>
    <w:rsid w:val="009248FA"/>
    <w:rsid w:val="009278BD"/>
    <w:rsid w:val="009305AF"/>
    <w:rsid w:val="009315AA"/>
    <w:rsid w:val="00932BB4"/>
    <w:rsid w:val="00933454"/>
    <w:rsid w:val="00933A08"/>
    <w:rsid w:val="00934566"/>
    <w:rsid w:val="00934D18"/>
    <w:rsid w:val="00935418"/>
    <w:rsid w:val="00936966"/>
    <w:rsid w:val="00937404"/>
    <w:rsid w:val="009374C2"/>
    <w:rsid w:val="00937E75"/>
    <w:rsid w:val="0094105A"/>
    <w:rsid w:val="00942ADD"/>
    <w:rsid w:val="00943990"/>
    <w:rsid w:val="00943CFA"/>
    <w:rsid w:val="00944935"/>
    <w:rsid w:val="00944A3D"/>
    <w:rsid w:val="009455A8"/>
    <w:rsid w:val="00950346"/>
    <w:rsid w:val="00950731"/>
    <w:rsid w:val="00953144"/>
    <w:rsid w:val="00953833"/>
    <w:rsid w:val="009543E8"/>
    <w:rsid w:val="00954509"/>
    <w:rsid w:val="00957990"/>
    <w:rsid w:val="00960387"/>
    <w:rsid w:val="00960633"/>
    <w:rsid w:val="00961306"/>
    <w:rsid w:val="0096211E"/>
    <w:rsid w:val="0096329D"/>
    <w:rsid w:val="009639CA"/>
    <w:rsid w:val="009647C1"/>
    <w:rsid w:val="009648DD"/>
    <w:rsid w:val="0096494B"/>
    <w:rsid w:val="009650C1"/>
    <w:rsid w:val="00965E34"/>
    <w:rsid w:val="009664A4"/>
    <w:rsid w:val="00966E15"/>
    <w:rsid w:val="00972157"/>
    <w:rsid w:val="0097263D"/>
    <w:rsid w:val="00972782"/>
    <w:rsid w:val="00973E84"/>
    <w:rsid w:val="00974CB0"/>
    <w:rsid w:val="0097663F"/>
    <w:rsid w:val="00976B94"/>
    <w:rsid w:val="00983341"/>
    <w:rsid w:val="009855A1"/>
    <w:rsid w:val="00985729"/>
    <w:rsid w:val="009859D5"/>
    <w:rsid w:val="00985D91"/>
    <w:rsid w:val="009860CF"/>
    <w:rsid w:val="00987374"/>
    <w:rsid w:val="00987FBB"/>
    <w:rsid w:val="00991896"/>
    <w:rsid w:val="00992A31"/>
    <w:rsid w:val="009942CA"/>
    <w:rsid w:val="00995E72"/>
    <w:rsid w:val="00996661"/>
    <w:rsid w:val="00997B93"/>
    <w:rsid w:val="009A28A8"/>
    <w:rsid w:val="009A7500"/>
    <w:rsid w:val="009B2F23"/>
    <w:rsid w:val="009B33E1"/>
    <w:rsid w:val="009B3809"/>
    <w:rsid w:val="009B43B2"/>
    <w:rsid w:val="009B4925"/>
    <w:rsid w:val="009B4A7D"/>
    <w:rsid w:val="009B5F7D"/>
    <w:rsid w:val="009B6605"/>
    <w:rsid w:val="009B6CF0"/>
    <w:rsid w:val="009C14D1"/>
    <w:rsid w:val="009C2A19"/>
    <w:rsid w:val="009C3C39"/>
    <w:rsid w:val="009C5CD3"/>
    <w:rsid w:val="009C5D2F"/>
    <w:rsid w:val="009C7503"/>
    <w:rsid w:val="009D1D12"/>
    <w:rsid w:val="009D1EA5"/>
    <w:rsid w:val="009D3000"/>
    <w:rsid w:val="009D33B1"/>
    <w:rsid w:val="009D352D"/>
    <w:rsid w:val="009D514D"/>
    <w:rsid w:val="009D59BB"/>
    <w:rsid w:val="009D5AC1"/>
    <w:rsid w:val="009E08C7"/>
    <w:rsid w:val="009E1589"/>
    <w:rsid w:val="009E15A5"/>
    <w:rsid w:val="009E16E6"/>
    <w:rsid w:val="009E28C9"/>
    <w:rsid w:val="009E7016"/>
    <w:rsid w:val="009E7ED5"/>
    <w:rsid w:val="009F11AD"/>
    <w:rsid w:val="009F1601"/>
    <w:rsid w:val="009F340D"/>
    <w:rsid w:val="009F47F9"/>
    <w:rsid w:val="009F544E"/>
    <w:rsid w:val="009F557E"/>
    <w:rsid w:val="009F602F"/>
    <w:rsid w:val="009F6647"/>
    <w:rsid w:val="009F7825"/>
    <w:rsid w:val="00A0011D"/>
    <w:rsid w:val="00A011F9"/>
    <w:rsid w:val="00A019B3"/>
    <w:rsid w:val="00A0242A"/>
    <w:rsid w:val="00A03DFF"/>
    <w:rsid w:val="00A050AA"/>
    <w:rsid w:val="00A0658F"/>
    <w:rsid w:val="00A06F53"/>
    <w:rsid w:val="00A079ED"/>
    <w:rsid w:val="00A10415"/>
    <w:rsid w:val="00A10B0A"/>
    <w:rsid w:val="00A115AE"/>
    <w:rsid w:val="00A13DCD"/>
    <w:rsid w:val="00A14757"/>
    <w:rsid w:val="00A15605"/>
    <w:rsid w:val="00A15714"/>
    <w:rsid w:val="00A176DA"/>
    <w:rsid w:val="00A211DA"/>
    <w:rsid w:val="00A22A81"/>
    <w:rsid w:val="00A22E39"/>
    <w:rsid w:val="00A24964"/>
    <w:rsid w:val="00A24A0B"/>
    <w:rsid w:val="00A25A5B"/>
    <w:rsid w:val="00A26221"/>
    <w:rsid w:val="00A279C0"/>
    <w:rsid w:val="00A27A16"/>
    <w:rsid w:val="00A30443"/>
    <w:rsid w:val="00A32209"/>
    <w:rsid w:val="00A33243"/>
    <w:rsid w:val="00A34B4E"/>
    <w:rsid w:val="00A34CA2"/>
    <w:rsid w:val="00A34F1C"/>
    <w:rsid w:val="00A351C1"/>
    <w:rsid w:val="00A35927"/>
    <w:rsid w:val="00A35B6C"/>
    <w:rsid w:val="00A37E94"/>
    <w:rsid w:val="00A403BD"/>
    <w:rsid w:val="00A413AC"/>
    <w:rsid w:val="00A41E42"/>
    <w:rsid w:val="00A4223E"/>
    <w:rsid w:val="00A43279"/>
    <w:rsid w:val="00A44110"/>
    <w:rsid w:val="00A474AB"/>
    <w:rsid w:val="00A50A70"/>
    <w:rsid w:val="00A51565"/>
    <w:rsid w:val="00A5443A"/>
    <w:rsid w:val="00A55851"/>
    <w:rsid w:val="00A56F8B"/>
    <w:rsid w:val="00A57FFA"/>
    <w:rsid w:val="00A61D01"/>
    <w:rsid w:val="00A6262E"/>
    <w:rsid w:val="00A62E5D"/>
    <w:rsid w:val="00A640CA"/>
    <w:rsid w:val="00A64DBC"/>
    <w:rsid w:val="00A65743"/>
    <w:rsid w:val="00A67F96"/>
    <w:rsid w:val="00A71338"/>
    <w:rsid w:val="00A7205A"/>
    <w:rsid w:val="00A72CD0"/>
    <w:rsid w:val="00A73815"/>
    <w:rsid w:val="00A73E7A"/>
    <w:rsid w:val="00A75778"/>
    <w:rsid w:val="00A75B79"/>
    <w:rsid w:val="00A766B7"/>
    <w:rsid w:val="00A77FCA"/>
    <w:rsid w:val="00A82020"/>
    <w:rsid w:val="00A823DD"/>
    <w:rsid w:val="00A8302B"/>
    <w:rsid w:val="00A83D7F"/>
    <w:rsid w:val="00A859BF"/>
    <w:rsid w:val="00A85A90"/>
    <w:rsid w:val="00A86D19"/>
    <w:rsid w:val="00A86F72"/>
    <w:rsid w:val="00A87251"/>
    <w:rsid w:val="00A9094F"/>
    <w:rsid w:val="00A917A2"/>
    <w:rsid w:val="00A92454"/>
    <w:rsid w:val="00A92EF7"/>
    <w:rsid w:val="00A93796"/>
    <w:rsid w:val="00A96A26"/>
    <w:rsid w:val="00A96F1C"/>
    <w:rsid w:val="00A97513"/>
    <w:rsid w:val="00A97613"/>
    <w:rsid w:val="00AA027B"/>
    <w:rsid w:val="00AA0790"/>
    <w:rsid w:val="00AA2E56"/>
    <w:rsid w:val="00AA3A4D"/>
    <w:rsid w:val="00AA3F39"/>
    <w:rsid w:val="00AA40A6"/>
    <w:rsid w:val="00AA4E41"/>
    <w:rsid w:val="00AA55E4"/>
    <w:rsid w:val="00AA62FD"/>
    <w:rsid w:val="00AA6641"/>
    <w:rsid w:val="00AA7483"/>
    <w:rsid w:val="00AA74EE"/>
    <w:rsid w:val="00AB0B18"/>
    <w:rsid w:val="00AB0B1C"/>
    <w:rsid w:val="00AB3EAE"/>
    <w:rsid w:val="00AB471D"/>
    <w:rsid w:val="00AB48F5"/>
    <w:rsid w:val="00AB69AD"/>
    <w:rsid w:val="00AB74D5"/>
    <w:rsid w:val="00AB76A2"/>
    <w:rsid w:val="00AB7E1C"/>
    <w:rsid w:val="00AC0A01"/>
    <w:rsid w:val="00AC1522"/>
    <w:rsid w:val="00AC2D05"/>
    <w:rsid w:val="00AC2F7D"/>
    <w:rsid w:val="00AC383D"/>
    <w:rsid w:val="00AC415E"/>
    <w:rsid w:val="00AC4989"/>
    <w:rsid w:val="00AC56C1"/>
    <w:rsid w:val="00AC6C4D"/>
    <w:rsid w:val="00AD0325"/>
    <w:rsid w:val="00AD1256"/>
    <w:rsid w:val="00AD2183"/>
    <w:rsid w:val="00AD7526"/>
    <w:rsid w:val="00AD7DA9"/>
    <w:rsid w:val="00AE038D"/>
    <w:rsid w:val="00AE1FDD"/>
    <w:rsid w:val="00AE2929"/>
    <w:rsid w:val="00AE2C3B"/>
    <w:rsid w:val="00AE2DBA"/>
    <w:rsid w:val="00AE38A0"/>
    <w:rsid w:val="00AE4D31"/>
    <w:rsid w:val="00AE4DAE"/>
    <w:rsid w:val="00AE51CA"/>
    <w:rsid w:val="00AE5648"/>
    <w:rsid w:val="00AF00BC"/>
    <w:rsid w:val="00AF0D63"/>
    <w:rsid w:val="00AF25B3"/>
    <w:rsid w:val="00AF2B1B"/>
    <w:rsid w:val="00AF3DE5"/>
    <w:rsid w:val="00AF4E50"/>
    <w:rsid w:val="00AF5F6F"/>
    <w:rsid w:val="00AF6066"/>
    <w:rsid w:val="00B026EB"/>
    <w:rsid w:val="00B03387"/>
    <w:rsid w:val="00B03F25"/>
    <w:rsid w:val="00B046D3"/>
    <w:rsid w:val="00B04AC1"/>
    <w:rsid w:val="00B06B2C"/>
    <w:rsid w:val="00B07265"/>
    <w:rsid w:val="00B10E09"/>
    <w:rsid w:val="00B11B78"/>
    <w:rsid w:val="00B13380"/>
    <w:rsid w:val="00B1596D"/>
    <w:rsid w:val="00B17AF1"/>
    <w:rsid w:val="00B20438"/>
    <w:rsid w:val="00B2098D"/>
    <w:rsid w:val="00B219B4"/>
    <w:rsid w:val="00B227D7"/>
    <w:rsid w:val="00B2462E"/>
    <w:rsid w:val="00B251A3"/>
    <w:rsid w:val="00B26447"/>
    <w:rsid w:val="00B30AA7"/>
    <w:rsid w:val="00B31468"/>
    <w:rsid w:val="00B3374E"/>
    <w:rsid w:val="00B347C1"/>
    <w:rsid w:val="00B35C7F"/>
    <w:rsid w:val="00B37146"/>
    <w:rsid w:val="00B37422"/>
    <w:rsid w:val="00B37E3E"/>
    <w:rsid w:val="00B40522"/>
    <w:rsid w:val="00B40B5F"/>
    <w:rsid w:val="00B40CE9"/>
    <w:rsid w:val="00B40FEE"/>
    <w:rsid w:val="00B413F0"/>
    <w:rsid w:val="00B41415"/>
    <w:rsid w:val="00B4185B"/>
    <w:rsid w:val="00B41C64"/>
    <w:rsid w:val="00B4312A"/>
    <w:rsid w:val="00B43134"/>
    <w:rsid w:val="00B43F55"/>
    <w:rsid w:val="00B44337"/>
    <w:rsid w:val="00B4452D"/>
    <w:rsid w:val="00B45E36"/>
    <w:rsid w:val="00B466C1"/>
    <w:rsid w:val="00B477B6"/>
    <w:rsid w:val="00B503BB"/>
    <w:rsid w:val="00B504AF"/>
    <w:rsid w:val="00B52889"/>
    <w:rsid w:val="00B5334E"/>
    <w:rsid w:val="00B53389"/>
    <w:rsid w:val="00B55221"/>
    <w:rsid w:val="00B555F9"/>
    <w:rsid w:val="00B5570A"/>
    <w:rsid w:val="00B55C96"/>
    <w:rsid w:val="00B56435"/>
    <w:rsid w:val="00B600B7"/>
    <w:rsid w:val="00B623F6"/>
    <w:rsid w:val="00B64D4C"/>
    <w:rsid w:val="00B64D8B"/>
    <w:rsid w:val="00B663B4"/>
    <w:rsid w:val="00B671DE"/>
    <w:rsid w:val="00B67A3B"/>
    <w:rsid w:val="00B711B5"/>
    <w:rsid w:val="00B712B5"/>
    <w:rsid w:val="00B741F2"/>
    <w:rsid w:val="00B76AFC"/>
    <w:rsid w:val="00B8015A"/>
    <w:rsid w:val="00B8142C"/>
    <w:rsid w:val="00B823A9"/>
    <w:rsid w:val="00B85921"/>
    <w:rsid w:val="00B8687E"/>
    <w:rsid w:val="00B86A34"/>
    <w:rsid w:val="00B86F58"/>
    <w:rsid w:val="00B87D24"/>
    <w:rsid w:val="00B91C0A"/>
    <w:rsid w:val="00B91C84"/>
    <w:rsid w:val="00B9214F"/>
    <w:rsid w:val="00B93C15"/>
    <w:rsid w:val="00B9485E"/>
    <w:rsid w:val="00B94D55"/>
    <w:rsid w:val="00B94EF1"/>
    <w:rsid w:val="00B9674D"/>
    <w:rsid w:val="00B96972"/>
    <w:rsid w:val="00B96E4A"/>
    <w:rsid w:val="00BA02D6"/>
    <w:rsid w:val="00BA1709"/>
    <w:rsid w:val="00BA2129"/>
    <w:rsid w:val="00BA2637"/>
    <w:rsid w:val="00BA26D1"/>
    <w:rsid w:val="00BA38AF"/>
    <w:rsid w:val="00BA38FA"/>
    <w:rsid w:val="00BA40F5"/>
    <w:rsid w:val="00BA463F"/>
    <w:rsid w:val="00BA50CF"/>
    <w:rsid w:val="00BA5662"/>
    <w:rsid w:val="00BA656D"/>
    <w:rsid w:val="00BA6B59"/>
    <w:rsid w:val="00BB1AC2"/>
    <w:rsid w:val="00BC0F93"/>
    <w:rsid w:val="00BC151F"/>
    <w:rsid w:val="00BC23E6"/>
    <w:rsid w:val="00BC5A69"/>
    <w:rsid w:val="00BC5D3B"/>
    <w:rsid w:val="00BC5F5A"/>
    <w:rsid w:val="00BC6496"/>
    <w:rsid w:val="00BD0211"/>
    <w:rsid w:val="00BD29CC"/>
    <w:rsid w:val="00BD33CC"/>
    <w:rsid w:val="00BD4952"/>
    <w:rsid w:val="00BD6F67"/>
    <w:rsid w:val="00BD74D9"/>
    <w:rsid w:val="00BD7C2F"/>
    <w:rsid w:val="00BE08D7"/>
    <w:rsid w:val="00BE20E2"/>
    <w:rsid w:val="00BE2D94"/>
    <w:rsid w:val="00BE35DF"/>
    <w:rsid w:val="00BE4AA9"/>
    <w:rsid w:val="00BE6D44"/>
    <w:rsid w:val="00BE7716"/>
    <w:rsid w:val="00BF1852"/>
    <w:rsid w:val="00BF1C39"/>
    <w:rsid w:val="00BF2410"/>
    <w:rsid w:val="00BF2937"/>
    <w:rsid w:val="00BF33EB"/>
    <w:rsid w:val="00BF5A65"/>
    <w:rsid w:val="00BF6082"/>
    <w:rsid w:val="00BF6306"/>
    <w:rsid w:val="00BF6A46"/>
    <w:rsid w:val="00C01C51"/>
    <w:rsid w:val="00C03E8F"/>
    <w:rsid w:val="00C06DAB"/>
    <w:rsid w:val="00C06EBA"/>
    <w:rsid w:val="00C07105"/>
    <w:rsid w:val="00C077D4"/>
    <w:rsid w:val="00C109B5"/>
    <w:rsid w:val="00C109E8"/>
    <w:rsid w:val="00C11881"/>
    <w:rsid w:val="00C12E3B"/>
    <w:rsid w:val="00C1388E"/>
    <w:rsid w:val="00C152BD"/>
    <w:rsid w:val="00C1619F"/>
    <w:rsid w:val="00C2358D"/>
    <w:rsid w:val="00C25DAF"/>
    <w:rsid w:val="00C265A3"/>
    <w:rsid w:val="00C301A5"/>
    <w:rsid w:val="00C3155E"/>
    <w:rsid w:val="00C3317E"/>
    <w:rsid w:val="00C33DD9"/>
    <w:rsid w:val="00C369E5"/>
    <w:rsid w:val="00C37FD6"/>
    <w:rsid w:val="00C4127D"/>
    <w:rsid w:val="00C42686"/>
    <w:rsid w:val="00C44438"/>
    <w:rsid w:val="00C44E66"/>
    <w:rsid w:val="00C45593"/>
    <w:rsid w:val="00C4611A"/>
    <w:rsid w:val="00C47750"/>
    <w:rsid w:val="00C479B2"/>
    <w:rsid w:val="00C47E83"/>
    <w:rsid w:val="00C53A15"/>
    <w:rsid w:val="00C54464"/>
    <w:rsid w:val="00C55620"/>
    <w:rsid w:val="00C55702"/>
    <w:rsid w:val="00C55F39"/>
    <w:rsid w:val="00C56A7D"/>
    <w:rsid w:val="00C60D6D"/>
    <w:rsid w:val="00C60E44"/>
    <w:rsid w:val="00C611DA"/>
    <w:rsid w:val="00C61576"/>
    <w:rsid w:val="00C63052"/>
    <w:rsid w:val="00C6573E"/>
    <w:rsid w:val="00C65DA2"/>
    <w:rsid w:val="00C6763C"/>
    <w:rsid w:val="00C70732"/>
    <w:rsid w:val="00C71E8B"/>
    <w:rsid w:val="00C720B4"/>
    <w:rsid w:val="00C739DC"/>
    <w:rsid w:val="00C74BD2"/>
    <w:rsid w:val="00C75382"/>
    <w:rsid w:val="00C76AB1"/>
    <w:rsid w:val="00C80496"/>
    <w:rsid w:val="00C82679"/>
    <w:rsid w:val="00C83563"/>
    <w:rsid w:val="00C83BB2"/>
    <w:rsid w:val="00C83E9B"/>
    <w:rsid w:val="00C84812"/>
    <w:rsid w:val="00C84DEC"/>
    <w:rsid w:val="00C853EA"/>
    <w:rsid w:val="00C873C0"/>
    <w:rsid w:val="00C87F50"/>
    <w:rsid w:val="00C91613"/>
    <w:rsid w:val="00C91B3B"/>
    <w:rsid w:val="00C91DF1"/>
    <w:rsid w:val="00C92971"/>
    <w:rsid w:val="00C94430"/>
    <w:rsid w:val="00C94A80"/>
    <w:rsid w:val="00C9576A"/>
    <w:rsid w:val="00C97C6F"/>
    <w:rsid w:val="00CA0F11"/>
    <w:rsid w:val="00CA18DC"/>
    <w:rsid w:val="00CA23F9"/>
    <w:rsid w:val="00CA3004"/>
    <w:rsid w:val="00CA5BCA"/>
    <w:rsid w:val="00CA5E7C"/>
    <w:rsid w:val="00CA7B5C"/>
    <w:rsid w:val="00CB056B"/>
    <w:rsid w:val="00CB1BCA"/>
    <w:rsid w:val="00CB1C7F"/>
    <w:rsid w:val="00CB25B5"/>
    <w:rsid w:val="00CB2F76"/>
    <w:rsid w:val="00CB4325"/>
    <w:rsid w:val="00CB44B1"/>
    <w:rsid w:val="00CB4D9E"/>
    <w:rsid w:val="00CB58ED"/>
    <w:rsid w:val="00CB6AA4"/>
    <w:rsid w:val="00CB72F0"/>
    <w:rsid w:val="00CB7574"/>
    <w:rsid w:val="00CB7FCD"/>
    <w:rsid w:val="00CC134B"/>
    <w:rsid w:val="00CC3797"/>
    <w:rsid w:val="00CC47B8"/>
    <w:rsid w:val="00CC4BAD"/>
    <w:rsid w:val="00CC5C11"/>
    <w:rsid w:val="00CC6654"/>
    <w:rsid w:val="00CD0003"/>
    <w:rsid w:val="00CD0D5C"/>
    <w:rsid w:val="00CD2271"/>
    <w:rsid w:val="00CD4A3C"/>
    <w:rsid w:val="00CD4F11"/>
    <w:rsid w:val="00CD5D56"/>
    <w:rsid w:val="00CD602A"/>
    <w:rsid w:val="00CE0214"/>
    <w:rsid w:val="00CE0D14"/>
    <w:rsid w:val="00CE50F7"/>
    <w:rsid w:val="00CE5EC0"/>
    <w:rsid w:val="00CE5F2A"/>
    <w:rsid w:val="00CE765D"/>
    <w:rsid w:val="00CF0CB9"/>
    <w:rsid w:val="00CF10EC"/>
    <w:rsid w:val="00CF1458"/>
    <w:rsid w:val="00CF3C4E"/>
    <w:rsid w:val="00CF3D65"/>
    <w:rsid w:val="00CF4170"/>
    <w:rsid w:val="00CF4219"/>
    <w:rsid w:val="00CF42A6"/>
    <w:rsid w:val="00CF42D8"/>
    <w:rsid w:val="00CF54FC"/>
    <w:rsid w:val="00CF61F1"/>
    <w:rsid w:val="00D00F1D"/>
    <w:rsid w:val="00D04E5D"/>
    <w:rsid w:val="00D053B4"/>
    <w:rsid w:val="00D06894"/>
    <w:rsid w:val="00D0694A"/>
    <w:rsid w:val="00D06C20"/>
    <w:rsid w:val="00D07ED0"/>
    <w:rsid w:val="00D107F4"/>
    <w:rsid w:val="00D116D8"/>
    <w:rsid w:val="00D11B35"/>
    <w:rsid w:val="00D11F1C"/>
    <w:rsid w:val="00D13822"/>
    <w:rsid w:val="00D214AA"/>
    <w:rsid w:val="00D226AB"/>
    <w:rsid w:val="00D2539E"/>
    <w:rsid w:val="00D256C9"/>
    <w:rsid w:val="00D26172"/>
    <w:rsid w:val="00D26884"/>
    <w:rsid w:val="00D269AC"/>
    <w:rsid w:val="00D26F4E"/>
    <w:rsid w:val="00D3395C"/>
    <w:rsid w:val="00D36076"/>
    <w:rsid w:val="00D369C8"/>
    <w:rsid w:val="00D375FA"/>
    <w:rsid w:val="00D377B0"/>
    <w:rsid w:val="00D37973"/>
    <w:rsid w:val="00D37C7A"/>
    <w:rsid w:val="00D41A7C"/>
    <w:rsid w:val="00D423F2"/>
    <w:rsid w:val="00D426F9"/>
    <w:rsid w:val="00D43566"/>
    <w:rsid w:val="00D43E23"/>
    <w:rsid w:val="00D441E3"/>
    <w:rsid w:val="00D450BA"/>
    <w:rsid w:val="00D4556D"/>
    <w:rsid w:val="00D45A2A"/>
    <w:rsid w:val="00D470E1"/>
    <w:rsid w:val="00D50834"/>
    <w:rsid w:val="00D53391"/>
    <w:rsid w:val="00D54B51"/>
    <w:rsid w:val="00D54F7B"/>
    <w:rsid w:val="00D57204"/>
    <w:rsid w:val="00D6042D"/>
    <w:rsid w:val="00D61260"/>
    <w:rsid w:val="00D6372D"/>
    <w:rsid w:val="00D64056"/>
    <w:rsid w:val="00D6789A"/>
    <w:rsid w:val="00D6795C"/>
    <w:rsid w:val="00D7096E"/>
    <w:rsid w:val="00D71FD9"/>
    <w:rsid w:val="00D73AD3"/>
    <w:rsid w:val="00D755A3"/>
    <w:rsid w:val="00D75FE1"/>
    <w:rsid w:val="00D76B92"/>
    <w:rsid w:val="00D7745F"/>
    <w:rsid w:val="00D8015F"/>
    <w:rsid w:val="00D802DF"/>
    <w:rsid w:val="00D8187B"/>
    <w:rsid w:val="00D8200B"/>
    <w:rsid w:val="00D8201B"/>
    <w:rsid w:val="00D83E83"/>
    <w:rsid w:val="00D8519B"/>
    <w:rsid w:val="00D86205"/>
    <w:rsid w:val="00D8645E"/>
    <w:rsid w:val="00D87006"/>
    <w:rsid w:val="00D90565"/>
    <w:rsid w:val="00D93689"/>
    <w:rsid w:val="00D94ADD"/>
    <w:rsid w:val="00D94E28"/>
    <w:rsid w:val="00D95A48"/>
    <w:rsid w:val="00D95B0C"/>
    <w:rsid w:val="00D968B8"/>
    <w:rsid w:val="00D96E5A"/>
    <w:rsid w:val="00DA020C"/>
    <w:rsid w:val="00DA2823"/>
    <w:rsid w:val="00DA3A7D"/>
    <w:rsid w:val="00DA4BC8"/>
    <w:rsid w:val="00DA587A"/>
    <w:rsid w:val="00DA62CA"/>
    <w:rsid w:val="00DA701B"/>
    <w:rsid w:val="00DA7AE1"/>
    <w:rsid w:val="00DA7DBB"/>
    <w:rsid w:val="00DA7F2A"/>
    <w:rsid w:val="00DB0E89"/>
    <w:rsid w:val="00DB3D92"/>
    <w:rsid w:val="00DB4189"/>
    <w:rsid w:val="00DB5444"/>
    <w:rsid w:val="00DB5939"/>
    <w:rsid w:val="00DB5D5F"/>
    <w:rsid w:val="00DB7030"/>
    <w:rsid w:val="00DB78E1"/>
    <w:rsid w:val="00DC2D18"/>
    <w:rsid w:val="00DC2F4D"/>
    <w:rsid w:val="00DC35E8"/>
    <w:rsid w:val="00DC3C35"/>
    <w:rsid w:val="00DC6453"/>
    <w:rsid w:val="00DC7B06"/>
    <w:rsid w:val="00DD2F94"/>
    <w:rsid w:val="00DD2FA1"/>
    <w:rsid w:val="00DD3CAC"/>
    <w:rsid w:val="00DD3FAE"/>
    <w:rsid w:val="00DE0777"/>
    <w:rsid w:val="00DE0C16"/>
    <w:rsid w:val="00DE3312"/>
    <w:rsid w:val="00DE547D"/>
    <w:rsid w:val="00DE577E"/>
    <w:rsid w:val="00DF204D"/>
    <w:rsid w:val="00DF2B58"/>
    <w:rsid w:val="00DF376D"/>
    <w:rsid w:val="00DF394C"/>
    <w:rsid w:val="00DF3D8F"/>
    <w:rsid w:val="00DF49DB"/>
    <w:rsid w:val="00DF4E3B"/>
    <w:rsid w:val="00DF6880"/>
    <w:rsid w:val="00DF6BB0"/>
    <w:rsid w:val="00E0041E"/>
    <w:rsid w:val="00E0320B"/>
    <w:rsid w:val="00E032A8"/>
    <w:rsid w:val="00E035E5"/>
    <w:rsid w:val="00E04056"/>
    <w:rsid w:val="00E0647C"/>
    <w:rsid w:val="00E06A6E"/>
    <w:rsid w:val="00E06E70"/>
    <w:rsid w:val="00E101FD"/>
    <w:rsid w:val="00E11F41"/>
    <w:rsid w:val="00E1226E"/>
    <w:rsid w:val="00E1293D"/>
    <w:rsid w:val="00E132E7"/>
    <w:rsid w:val="00E13650"/>
    <w:rsid w:val="00E13D0C"/>
    <w:rsid w:val="00E1411B"/>
    <w:rsid w:val="00E152C9"/>
    <w:rsid w:val="00E155E8"/>
    <w:rsid w:val="00E2091F"/>
    <w:rsid w:val="00E20C8C"/>
    <w:rsid w:val="00E21F5A"/>
    <w:rsid w:val="00E25694"/>
    <w:rsid w:val="00E26999"/>
    <w:rsid w:val="00E26C06"/>
    <w:rsid w:val="00E315A5"/>
    <w:rsid w:val="00E33A45"/>
    <w:rsid w:val="00E3658A"/>
    <w:rsid w:val="00E36ED2"/>
    <w:rsid w:val="00E36F02"/>
    <w:rsid w:val="00E400BA"/>
    <w:rsid w:val="00E40FCB"/>
    <w:rsid w:val="00E414C5"/>
    <w:rsid w:val="00E43646"/>
    <w:rsid w:val="00E43A28"/>
    <w:rsid w:val="00E45580"/>
    <w:rsid w:val="00E45C3E"/>
    <w:rsid w:val="00E46383"/>
    <w:rsid w:val="00E465A6"/>
    <w:rsid w:val="00E47BF2"/>
    <w:rsid w:val="00E50DFA"/>
    <w:rsid w:val="00E52DEA"/>
    <w:rsid w:val="00E540D0"/>
    <w:rsid w:val="00E55591"/>
    <w:rsid w:val="00E558B7"/>
    <w:rsid w:val="00E56045"/>
    <w:rsid w:val="00E56998"/>
    <w:rsid w:val="00E6135F"/>
    <w:rsid w:val="00E615F2"/>
    <w:rsid w:val="00E615FF"/>
    <w:rsid w:val="00E6489F"/>
    <w:rsid w:val="00E64EE8"/>
    <w:rsid w:val="00E6536B"/>
    <w:rsid w:val="00E6592F"/>
    <w:rsid w:val="00E65FB3"/>
    <w:rsid w:val="00E71720"/>
    <w:rsid w:val="00E72904"/>
    <w:rsid w:val="00E7365D"/>
    <w:rsid w:val="00E752D2"/>
    <w:rsid w:val="00E76263"/>
    <w:rsid w:val="00E83146"/>
    <w:rsid w:val="00E837BF"/>
    <w:rsid w:val="00E8443D"/>
    <w:rsid w:val="00E8653D"/>
    <w:rsid w:val="00E86BDF"/>
    <w:rsid w:val="00E871E9"/>
    <w:rsid w:val="00E87A8F"/>
    <w:rsid w:val="00E87B14"/>
    <w:rsid w:val="00E90931"/>
    <w:rsid w:val="00E92B2F"/>
    <w:rsid w:val="00E93AEF"/>
    <w:rsid w:val="00E959D8"/>
    <w:rsid w:val="00EA02C1"/>
    <w:rsid w:val="00EA27EF"/>
    <w:rsid w:val="00EA2A64"/>
    <w:rsid w:val="00EA737A"/>
    <w:rsid w:val="00EB04D6"/>
    <w:rsid w:val="00EB1AD3"/>
    <w:rsid w:val="00EB3376"/>
    <w:rsid w:val="00EB3D00"/>
    <w:rsid w:val="00EB58F3"/>
    <w:rsid w:val="00EB630E"/>
    <w:rsid w:val="00EB7DA9"/>
    <w:rsid w:val="00EC03FD"/>
    <w:rsid w:val="00EC0BCC"/>
    <w:rsid w:val="00EC38BE"/>
    <w:rsid w:val="00EC4202"/>
    <w:rsid w:val="00EC5557"/>
    <w:rsid w:val="00EC5D4E"/>
    <w:rsid w:val="00EC65A8"/>
    <w:rsid w:val="00EC70B1"/>
    <w:rsid w:val="00EC7230"/>
    <w:rsid w:val="00EC7346"/>
    <w:rsid w:val="00ED0749"/>
    <w:rsid w:val="00ED0C59"/>
    <w:rsid w:val="00ED1F7F"/>
    <w:rsid w:val="00ED46BB"/>
    <w:rsid w:val="00ED7883"/>
    <w:rsid w:val="00EE08E0"/>
    <w:rsid w:val="00EE1245"/>
    <w:rsid w:val="00EE4F54"/>
    <w:rsid w:val="00EE6793"/>
    <w:rsid w:val="00EE694C"/>
    <w:rsid w:val="00EF1E41"/>
    <w:rsid w:val="00EF300E"/>
    <w:rsid w:val="00EF51BC"/>
    <w:rsid w:val="00EF5A99"/>
    <w:rsid w:val="00EF5AD5"/>
    <w:rsid w:val="00EF5E0F"/>
    <w:rsid w:val="00EF5F32"/>
    <w:rsid w:val="00EF664D"/>
    <w:rsid w:val="00EF68E5"/>
    <w:rsid w:val="00EF72BA"/>
    <w:rsid w:val="00EF7C6A"/>
    <w:rsid w:val="00EF7DBC"/>
    <w:rsid w:val="00F01D73"/>
    <w:rsid w:val="00F03A2A"/>
    <w:rsid w:val="00F05CFA"/>
    <w:rsid w:val="00F06E20"/>
    <w:rsid w:val="00F071D7"/>
    <w:rsid w:val="00F112B6"/>
    <w:rsid w:val="00F114FD"/>
    <w:rsid w:val="00F12CF8"/>
    <w:rsid w:val="00F12F9A"/>
    <w:rsid w:val="00F143CC"/>
    <w:rsid w:val="00F149AB"/>
    <w:rsid w:val="00F16F24"/>
    <w:rsid w:val="00F1757A"/>
    <w:rsid w:val="00F1795F"/>
    <w:rsid w:val="00F2070F"/>
    <w:rsid w:val="00F23514"/>
    <w:rsid w:val="00F23989"/>
    <w:rsid w:val="00F24789"/>
    <w:rsid w:val="00F24CD1"/>
    <w:rsid w:val="00F24E38"/>
    <w:rsid w:val="00F251AF"/>
    <w:rsid w:val="00F26604"/>
    <w:rsid w:val="00F279EA"/>
    <w:rsid w:val="00F301B9"/>
    <w:rsid w:val="00F30A97"/>
    <w:rsid w:val="00F3332E"/>
    <w:rsid w:val="00F34628"/>
    <w:rsid w:val="00F34AE4"/>
    <w:rsid w:val="00F3585A"/>
    <w:rsid w:val="00F37529"/>
    <w:rsid w:val="00F3782A"/>
    <w:rsid w:val="00F37939"/>
    <w:rsid w:val="00F40383"/>
    <w:rsid w:val="00F4216D"/>
    <w:rsid w:val="00F447DC"/>
    <w:rsid w:val="00F456CD"/>
    <w:rsid w:val="00F46F94"/>
    <w:rsid w:val="00F52FB3"/>
    <w:rsid w:val="00F53679"/>
    <w:rsid w:val="00F56034"/>
    <w:rsid w:val="00F62DB3"/>
    <w:rsid w:val="00F64E60"/>
    <w:rsid w:val="00F6534F"/>
    <w:rsid w:val="00F66230"/>
    <w:rsid w:val="00F6789C"/>
    <w:rsid w:val="00F67BA1"/>
    <w:rsid w:val="00F70634"/>
    <w:rsid w:val="00F70A9A"/>
    <w:rsid w:val="00F71DED"/>
    <w:rsid w:val="00F7215A"/>
    <w:rsid w:val="00F72C48"/>
    <w:rsid w:val="00F7301C"/>
    <w:rsid w:val="00F74811"/>
    <w:rsid w:val="00F7518F"/>
    <w:rsid w:val="00F763B4"/>
    <w:rsid w:val="00F76BE3"/>
    <w:rsid w:val="00F76D9C"/>
    <w:rsid w:val="00F7731D"/>
    <w:rsid w:val="00F804EB"/>
    <w:rsid w:val="00F8072C"/>
    <w:rsid w:val="00F809D0"/>
    <w:rsid w:val="00F8102A"/>
    <w:rsid w:val="00F83C94"/>
    <w:rsid w:val="00F86379"/>
    <w:rsid w:val="00F867DB"/>
    <w:rsid w:val="00F87186"/>
    <w:rsid w:val="00F87221"/>
    <w:rsid w:val="00F90EEA"/>
    <w:rsid w:val="00F93AC9"/>
    <w:rsid w:val="00F93AF0"/>
    <w:rsid w:val="00F948A9"/>
    <w:rsid w:val="00F94BEA"/>
    <w:rsid w:val="00FA0AEB"/>
    <w:rsid w:val="00FA14B2"/>
    <w:rsid w:val="00FA28CC"/>
    <w:rsid w:val="00FA31FF"/>
    <w:rsid w:val="00FA33C9"/>
    <w:rsid w:val="00FA4163"/>
    <w:rsid w:val="00FA502D"/>
    <w:rsid w:val="00FA619F"/>
    <w:rsid w:val="00FA631E"/>
    <w:rsid w:val="00FA7217"/>
    <w:rsid w:val="00FB1851"/>
    <w:rsid w:val="00FB434B"/>
    <w:rsid w:val="00FB494D"/>
    <w:rsid w:val="00FB6271"/>
    <w:rsid w:val="00FB7C2B"/>
    <w:rsid w:val="00FC16D4"/>
    <w:rsid w:val="00FC18E7"/>
    <w:rsid w:val="00FC28CD"/>
    <w:rsid w:val="00FC334F"/>
    <w:rsid w:val="00FC5474"/>
    <w:rsid w:val="00FC61EE"/>
    <w:rsid w:val="00FC677B"/>
    <w:rsid w:val="00FC6A67"/>
    <w:rsid w:val="00FC715F"/>
    <w:rsid w:val="00FD08C4"/>
    <w:rsid w:val="00FD13AD"/>
    <w:rsid w:val="00FD17B8"/>
    <w:rsid w:val="00FD25E5"/>
    <w:rsid w:val="00FD3361"/>
    <w:rsid w:val="00FD3D44"/>
    <w:rsid w:val="00FD4389"/>
    <w:rsid w:val="00FD569E"/>
    <w:rsid w:val="00FD59B2"/>
    <w:rsid w:val="00FD5C0D"/>
    <w:rsid w:val="00FE014F"/>
    <w:rsid w:val="00FE16CE"/>
    <w:rsid w:val="00FE2E96"/>
    <w:rsid w:val="00FE394B"/>
    <w:rsid w:val="00FE52DF"/>
    <w:rsid w:val="00FE6E95"/>
    <w:rsid w:val="00FE7F63"/>
    <w:rsid w:val="00FF0B85"/>
    <w:rsid w:val="00FF2AC2"/>
    <w:rsid w:val="00FF36C6"/>
    <w:rsid w:val="00FF4496"/>
    <w:rsid w:val="00FF4E6B"/>
    <w:rsid w:val="00FF50F1"/>
    <w:rsid w:val="00FF7755"/>
    <w:rsid w:val="06BA5D50"/>
    <w:rsid w:val="07804EED"/>
    <w:rsid w:val="1480A5B7"/>
    <w:rsid w:val="15B01E6C"/>
    <w:rsid w:val="19E79985"/>
    <w:rsid w:val="1C9A4D62"/>
    <w:rsid w:val="214CF0B8"/>
    <w:rsid w:val="258C9432"/>
    <w:rsid w:val="2B646493"/>
    <w:rsid w:val="2FAF903F"/>
    <w:rsid w:val="352E9F33"/>
    <w:rsid w:val="37946D74"/>
    <w:rsid w:val="38344C68"/>
    <w:rsid w:val="383C7E79"/>
    <w:rsid w:val="47F8FF90"/>
    <w:rsid w:val="4F67D4CC"/>
    <w:rsid w:val="53B3AF0F"/>
    <w:rsid w:val="55136731"/>
    <w:rsid w:val="563C6382"/>
    <w:rsid w:val="5728B758"/>
    <w:rsid w:val="5911BF9E"/>
    <w:rsid w:val="5AC06E0F"/>
    <w:rsid w:val="63BF8B96"/>
    <w:rsid w:val="6771F4E4"/>
    <w:rsid w:val="6B001A9D"/>
    <w:rsid w:val="6C19975E"/>
    <w:rsid w:val="6D8D2026"/>
    <w:rsid w:val="6E6131BE"/>
    <w:rsid w:val="6FAD46D5"/>
    <w:rsid w:val="702713F3"/>
    <w:rsid w:val="721B95F3"/>
    <w:rsid w:val="73A01606"/>
    <w:rsid w:val="7EB994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02C83D"/>
  <w15:docId w15:val="{76A98895-B000-40A2-9425-6115E7A7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4"/>
      <w:outlineLvl w:val="0"/>
    </w:pPr>
    <w:rPr>
      <w:b/>
      <w:bCs/>
      <w:sz w:val="24"/>
      <w:szCs w:val="24"/>
      <w:u w:val="single" w:color="000000"/>
    </w:rPr>
  </w:style>
  <w:style w:type="paragraph" w:styleId="Heading2">
    <w:name w:val="heading 2"/>
    <w:basedOn w:val="Normal"/>
    <w:uiPriority w:val="1"/>
    <w:qFormat/>
    <w:pPr>
      <w:ind w:left="479" w:hanging="240"/>
      <w:outlineLvl w:val="1"/>
    </w:pPr>
    <w:rPr>
      <w:b/>
      <w:bCs/>
      <w:i/>
      <w:sz w:val="24"/>
      <w:szCs w:val="24"/>
    </w:rPr>
  </w:style>
  <w:style w:type="paragraph" w:styleId="Heading3">
    <w:name w:val="heading 3"/>
    <w:basedOn w:val="Heading1"/>
    <w:next w:val="Normal"/>
    <w:link w:val="Heading3Char"/>
    <w:uiPriority w:val="9"/>
    <w:unhideWhenUsed/>
    <w:qFormat/>
    <w:rsid w:val="002826AA"/>
    <w:pPr>
      <w:ind w:left="239"/>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826AA"/>
    <w:pPr>
      <w:ind w:left="450"/>
    </w:pPr>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pPr>
      <w:jc w:val="right"/>
    </w:pPr>
  </w:style>
  <w:style w:type="character" w:styleId="CommentReference">
    <w:name w:val="annotation reference"/>
    <w:basedOn w:val="DefaultParagraphFont"/>
    <w:uiPriority w:val="99"/>
    <w:semiHidden/>
    <w:unhideWhenUsed/>
    <w:rsid w:val="00DD3FAE"/>
    <w:rPr>
      <w:sz w:val="16"/>
      <w:szCs w:val="16"/>
    </w:rPr>
  </w:style>
  <w:style w:type="paragraph" w:styleId="CommentText">
    <w:name w:val="annotation text"/>
    <w:basedOn w:val="Normal"/>
    <w:link w:val="CommentTextChar"/>
    <w:uiPriority w:val="99"/>
    <w:unhideWhenUsed/>
    <w:qFormat/>
    <w:rsid w:val="00DD3FAE"/>
    <w:rPr>
      <w:sz w:val="20"/>
      <w:szCs w:val="20"/>
    </w:rPr>
  </w:style>
  <w:style w:type="character" w:customStyle="1" w:styleId="CommentTextChar">
    <w:name w:val="Comment Text Char"/>
    <w:basedOn w:val="DefaultParagraphFont"/>
    <w:link w:val="CommentText"/>
    <w:uiPriority w:val="99"/>
    <w:rsid w:val="00DD3FA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D3FAE"/>
    <w:rPr>
      <w:b/>
      <w:bCs/>
    </w:rPr>
  </w:style>
  <w:style w:type="character" w:customStyle="1" w:styleId="CommentSubjectChar">
    <w:name w:val="Comment Subject Char"/>
    <w:basedOn w:val="CommentTextChar"/>
    <w:link w:val="CommentSubject"/>
    <w:uiPriority w:val="99"/>
    <w:semiHidden/>
    <w:rsid w:val="00DD3FAE"/>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DD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FAE"/>
    <w:rPr>
      <w:rFonts w:ascii="Segoe UI" w:eastAsia="Times New Roman" w:hAnsi="Segoe UI" w:cs="Segoe UI"/>
      <w:sz w:val="18"/>
      <w:szCs w:val="18"/>
      <w:lang w:bidi="en-US"/>
    </w:rPr>
  </w:style>
  <w:style w:type="table" w:styleId="TableGrid">
    <w:name w:val="Table Grid"/>
    <w:basedOn w:val="TableNormal"/>
    <w:uiPriority w:val="39"/>
    <w:rsid w:val="00387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089A"/>
    <w:pPr>
      <w:widowControl/>
      <w:autoSpaceDE/>
      <w:autoSpaceDN/>
    </w:pPr>
    <w:rPr>
      <w:rFonts w:ascii="Times New Roman" w:eastAsia="Times New Roman" w:hAnsi="Times New Roman" w:cs="Times New Roman"/>
      <w:lang w:bidi="en-US"/>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49089A"/>
    <w:rPr>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49089A"/>
    <w:rPr>
      <w:rFonts w:ascii="Times New Roman" w:eastAsia="Times New Roman" w:hAnsi="Times New Roman" w:cs="Times New Roman"/>
      <w:sz w:val="20"/>
      <w:szCs w:val="20"/>
      <w:lang w:bidi="en-US"/>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basedOn w:val="DefaultParagraphFont"/>
    <w:uiPriority w:val="99"/>
    <w:unhideWhenUsed/>
    <w:qFormat/>
    <w:rsid w:val="0049089A"/>
    <w:rPr>
      <w:vertAlign w:val="superscript"/>
    </w:rPr>
  </w:style>
  <w:style w:type="character" w:styleId="Hyperlink">
    <w:name w:val="Hyperlink"/>
    <w:basedOn w:val="DefaultParagraphFont"/>
    <w:uiPriority w:val="99"/>
    <w:unhideWhenUsed/>
    <w:rsid w:val="00B43134"/>
    <w:rPr>
      <w:color w:val="0000FF" w:themeColor="hyperlink"/>
      <w:u w:val="single"/>
    </w:rPr>
  </w:style>
  <w:style w:type="character" w:styleId="UnresolvedMention">
    <w:name w:val="Unresolved Mention"/>
    <w:basedOn w:val="DefaultParagraphFont"/>
    <w:uiPriority w:val="99"/>
    <w:semiHidden/>
    <w:unhideWhenUsed/>
    <w:rsid w:val="00B43134"/>
    <w:rPr>
      <w:color w:val="605E5C"/>
      <w:shd w:val="clear" w:color="auto" w:fill="E1DFDD"/>
    </w:rPr>
  </w:style>
  <w:style w:type="character" w:styleId="FollowedHyperlink">
    <w:name w:val="FollowedHyperlink"/>
    <w:basedOn w:val="DefaultParagraphFont"/>
    <w:uiPriority w:val="99"/>
    <w:semiHidden/>
    <w:unhideWhenUsed/>
    <w:rsid w:val="0019210A"/>
    <w:rPr>
      <w:color w:val="800080" w:themeColor="followedHyperlink"/>
      <w:u w:val="single"/>
    </w:rPr>
  </w:style>
  <w:style w:type="paragraph" w:styleId="BodyTextIndent">
    <w:name w:val="Body Text Indent"/>
    <w:basedOn w:val="Normal"/>
    <w:link w:val="BodyTextIndentChar"/>
    <w:uiPriority w:val="99"/>
    <w:unhideWhenUsed/>
    <w:rsid w:val="00076177"/>
    <w:pPr>
      <w:spacing w:after="120"/>
      <w:ind w:left="360"/>
    </w:pPr>
  </w:style>
  <w:style w:type="character" w:customStyle="1" w:styleId="BodyTextIndentChar">
    <w:name w:val="Body Text Indent Char"/>
    <w:basedOn w:val="DefaultParagraphFont"/>
    <w:link w:val="BodyTextIndent"/>
    <w:uiPriority w:val="99"/>
    <w:rsid w:val="00076177"/>
    <w:rPr>
      <w:rFonts w:ascii="Times New Roman" w:eastAsia="Times New Roman" w:hAnsi="Times New Roman" w:cs="Times New Roman"/>
      <w:lang w:bidi="en-US"/>
    </w:rPr>
  </w:style>
  <w:style w:type="table" w:customStyle="1" w:styleId="TableGrid0">
    <w:name w:val="TableGrid"/>
    <w:rsid w:val="00076177"/>
    <w:pPr>
      <w:widowControl/>
      <w:autoSpaceDE/>
      <w:autoSpaceDN/>
    </w:pPr>
    <w:rPr>
      <w:rFonts w:eastAsiaTheme="minorEastAsia"/>
    </w:rPr>
    <w:tblPr>
      <w:tblCellMar>
        <w:top w:w="0" w:type="dxa"/>
        <w:left w:w="0" w:type="dxa"/>
        <w:bottom w:w="0" w:type="dxa"/>
        <w:right w:w="0" w:type="dxa"/>
      </w:tblCellMar>
    </w:tblPr>
  </w:style>
  <w:style w:type="paragraph" w:styleId="Caption">
    <w:name w:val="caption"/>
    <w:basedOn w:val="Normal"/>
    <w:next w:val="BodyText"/>
    <w:uiPriority w:val="99"/>
    <w:unhideWhenUsed/>
    <w:qFormat/>
    <w:rsid w:val="00881677"/>
    <w:pPr>
      <w:keepNext/>
      <w:widowControl/>
      <w:autoSpaceDE/>
      <w:autoSpaceDN/>
      <w:spacing w:before="120"/>
    </w:pPr>
    <w:rPr>
      <w:rFonts w:eastAsia="Batang"/>
      <w:b/>
      <w:bCs/>
      <w:sz w:val="20"/>
      <w:szCs w:val="24"/>
      <w:lang w:bidi="ar-SA"/>
    </w:rPr>
  </w:style>
  <w:style w:type="paragraph" w:customStyle="1" w:styleId="ParagraphSpacer10">
    <w:name w:val="Paragraph Spacer 10"/>
    <w:next w:val="BodyText"/>
    <w:uiPriority w:val="99"/>
    <w:rsid w:val="00881677"/>
    <w:pPr>
      <w:widowControl/>
      <w:autoSpaceDE/>
      <w:autoSpaceDN/>
    </w:pPr>
    <w:rPr>
      <w:rFonts w:ascii="Times New Roman" w:eastAsia="Times New Roman" w:hAnsi="Times New Roman" w:cs="Times New Roman"/>
      <w:sz w:val="20"/>
      <w:szCs w:val="24"/>
    </w:rPr>
  </w:style>
  <w:style w:type="character" w:customStyle="1" w:styleId="TableText10Char">
    <w:name w:val="Table Text 10 Char"/>
    <w:basedOn w:val="DefaultParagraphFont"/>
    <w:link w:val="TableText10"/>
    <w:locked/>
    <w:rsid w:val="00881677"/>
    <w:rPr>
      <w:szCs w:val="24"/>
    </w:rPr>
  </w:style>
  <w:style w:type="paragraph" w:customStyle="1" w:styleId="TableText10">
    <w:name w:val="Table Text 10"/>
    <w:basedOn w:val="Normal"/>
    <w:link w:val="TableText10Char"/>
    <w:rsid w:val="00881677"/>
    <w:pPr>
      <w:widowControl/>
      <w:autoSpaceDE/>
      <w:autoSpaceDN/>
      <w:spacing w:after="120"/>
    </w:pPr>
    <w:rPr>
      <w:rFonts w:asciiTheme="minorHAnsi" w:eastAsiaTheme="minorHAnsi" w:hAnsiTheme="minorHAnsi" w:cstheme="minorBidi"/>
      <w:szCs w:val="24"/>
      <w:lang w:bidi="ar-SA"/>
    </w:rPr>
  </w:style>
  <w:style w:type="character" w:customStyle="1" w:styleId="TableText10HeaderCenterChar">
    <w:name w:val="Table Text 10 Header Center Char"/>
    <w:basedOn w:val="DefaultParagraphFont"/>
    <w:link w:val="TableText10HeaderCenter"/>
    <w:uiPriority w:val="99"/>
    <w:locked/>
    <w:rsid w:val="00881677"/>
    <w:rPr>
      <w:b/>
      <w:color w:val="FFFFFF" w:themeColor="background1"/>
      <w:szCs w:val="24"/>
    </w:rPr>
  </w:style>
  <w:style w:type="paragraph" w:customStyle="1" w:styleId="TableText10HeaderCenter">
    <w:name w:val="Table Text 10 Header Center"/>
    <w:basedOn w:val="Normal"/>
    <w:link w:val="TableText10HeaderCenterChar"/>
    <w:uiPriority w:val="99"/>
    <w:rsid w:val="00881677"/>
    <w:pPr>
      <w:keepNext/>
      <w:widowControl/>
      <w:autoSpaceDE/>
      <w:autoSpaceDN/>
      <w:spacing w:after="120"/>
      <w:jc w:val="center"/>
    </w:pPr>
    <w:rPr>
      <w:rFonts w:asciiTheme="minorHAnsi" w:eastAsiaTheme="minorHAnsi" w:hAnsiTheme="minorHAnsi" w:cstheme="minorBidi"/>
      <w:b/>
      <w:color w:val="FFFFFF" w:themeColor="background1"/>
      <w:szCs w:val="24"/>
      <w:lang w:bidi="ar-SA"/>
    </w:rPr>
  </w:style>
  <w:style w:type="character" w:customStyle="1" w:styleId="TableText10RightChar">
    <w:name w:val="Table Text 10 Right Char"/>
    <w:basedOn w:val="TableText10Char"/>
    <w:link w:val="TableText10Right"/>
    <w:uiPriority w:val="99"/>
    <w:locked/>
    <w:rsid w:val="00881677"/>
    <w:rPr>
      <w:szCs w:val="24"/>
    </w:rPr>
  </w:style>
  <w:style w:type="paragraph" w:customStyle="1" w:styleId="TableText10Right">
    <w:name w:val="Table Text 10 Right"/>
    <w:basedOn w:val="TableText10"/>
    <w:link w:val="TableText10RightChar"/>
    <w:uiPriority w:val="99"/>
    <w:rsid w:val="00881677"/>
    <w:pPr>
      <w:jc w:val="right"/>
    </w:pPr>
  </w:style>
  <w:style w:type="table" w:styleId="PlainTable1">
    <w:name w:val="Plain Table 1"/>
    <w:basedOn w:val="TableNormal"/>
    <w:uiPriority w:val="41"/>
    <w:rsid w:val="00881677"/>
    <w:pPr>
      <w:widowControl/>
      <w:autoSpaceDE/>
      <w:autoSpaceDN/>
    </w:pPr>
    <w:rPr>
      <w:rFonts w:ascii="Times New Roman" w:eastAsia="Times New Roman" w:hAnsi="Times New Roman" w:cs="Times New Roman"/>
      <w:sz w:val="20"/>
      <w:szCs w:val="20"/>
      <w:lang w:eastAsia="ja-JP"/>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03CA0"/>
    <w:pPr>
      <w:tabs>
        <w:tab w:val="center" w:pos="4680"/>
        <w:tab w:val="right" w:pos="9360"/>
      </w:tabs>
    </w:pPr>
  </w:style>
  <w:style w:type="character" w:customStyle="1" w:styleId="HeaderChar">
    <w:name w:val="Header Char"/>
    <w:basedOn w:val="DefaultParagraphFont"/>
    <w:link w:val="Header"/>
    <w:uiPriority w:val="99"/>
    <w:rsid w:val="00503CA0"/>
    <w:rPr>
      <w:rFonts w:ascii="Times New Roman" w:eastAsia="Times New Roman" w:hAnsi="Times New Roman" w:cs="Times New Roman"/>
      <w:lang w:bidi="en-US"/>
    </w:rPr>
  </w:style>
  <w:style w:type="paragraph" w:styleId="Footer">
    <w:name w:val="footer"/>
    <w:basedOn w:val="Normal"/>
    <w:link w:val="FooterChar"/>
    <w:uiPriority w:val="99"/>
    <w:unhideWhenUsed/>
    <w:rsid w:val="00503CA0"/>
    <w:pPr>
      <w:tabs>
        <w:tab w:val="center" w:pos="4680"/>
        <w:tab w:val="right" w:pos="9360"/>
      </w:tabs>
    </w:pPr>
  </w:style>
  <w:style w:type="character" w:customStyle="1" w:styleId="FooterChar">
    <w:name w:val="Footer Char"/>
    <w:basedOn w:val="DefaultParagraphFont"/>
    <w:link w:val="Footer"/>
    <w:uiPriority w:val="99"/>
    <w:rsid w:val="00503CA0"/>
    <w:rPr>
      <w:rFonts w:ascii="Times New Roman" w:eastAsia="Times New Roman" w:hAnsi="Times New Roman" w:cs="Times New Roman"/>
      <w:lang w:bidi="en-US"/>
    </w:rPr>
  </w:style>
  <w:style w:type="table" w:customStyle="1" w:styleId="TableGrid00">
    <w:name w:val="Table Grid0"/>
    <w:basedOn w:val="TableNormal"/>
    <w:rsid w:val="00C55702"/>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826AA"/>
    <w:rPr>
      <w:rFonts w:ascii="Times New Roman" w:eastAsia="Times New Roman" w:hAnsi="Times New Roman" w:cs="Times New Roman"/>
      <w:b/>
      <w:bCs/>
      <w:sz w:val="24"/>
      <w:szCs w:val="24"/>
      <w:u w:val="single" w:color="000000"/>
      <w:lang w:bidi="en-US"/>
    </w:rPr>
  </w:style>
  <w:style w:type="character" w:styleId="Mention">
    <w:name w:val="Mention"/>
    <w:basedOn w:val="DefaultParagraphFont"/>
    <w:uiPriority w:val="99"/>
    <w:unhideWhenUsed/>
    <w:rsid w:val="000E043F"/>
    <w:rPr>
      <w:color w:val="2B579A"/>
      <w:shd w:val="clear" w:color="auto" w:fill="E1DFDD"/>
    </w:rPr>
  </w:style>
  <w:style w:type="character" w:customStyle="1" w:styleId="BodyTextChar">
    <w:name w:val="Body Text Char"/>
    <w:basedOn w:val="DefaultParagraphFont"/>
    <w:link w:val="BodyText"/>
    <w:uiPriority w:val="1"/>
    <w:rsid w:val="00BA2637"/>
    <w:rPr>
      <w:rFonts w:ascii="Times New Roman" w:eastAsia="Times New Roman" w:hAnsi="Times New Roman" w:cs="Times New Roman"/>
      <w:sz w:val="24"/>
      <w:szCs w:val="24"/>
      <w:lang w:bidi="en-US"/>
    </w:rPr>
  </w:style>
  <w:style w:type="character" w:styleId="Emphasis">
    <w:name w:val="Emphasis"/>
    <w:basedOn w:val="DefaultParagraphFont"/>
    <w:uiPriority w:val="20"/>
    <w:qFormat/>
    <w:rsid w:val="008475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5D42AD4747E499312BD59D0F1409A" ma:contentTypeVersion="3" ma:contentTypeDescription="Create a new document." ma:contentTypeScope="" ma:versionID="7f3e6eb4ecb80727f7de04f0409ef2d1">
  <xsd:schema xmlns:xsd="http://www.w3.org/2001/XMLSchema" xmlns:xs="http://www.w3.org/2001/XMLSchema" xmlns:p="http://schemas.microsoft.com/office/2006/metadata/properties" xmlns:ns2="8fb5fc7d-4133-497f-a3de-bd71b2a4ea9e" targetNamespace="http://schemas.microsoft.com/office/2006/metadata/properties" ma:root="true" ma:fieldsID="1986fd41d588018b7c6094d2e09be06f" ns2:_="">
    <xsd:import namespace="8fb5fc7d-4133-497f-a3de-bd71b2a4ea9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5fc7d-4133-497f-a3de-bd71b2a4e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9145E-5A8B-41C4-9B0D-98BE9D6C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5fc7d-4133-497f-a3de-bd71b2a4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C1A34-44A6-4366-81B9-2B7156F9C846}">
  <ds:schemaRefs>
    <ds:schemaRef ds:uri="http://schemas.microsoft.com/sharepoint/v3/contenttype/forms"/>
  </ds:schemaRefs>
</ds:datastoreItem>
</file>

<file path=customXml/itemProps3.xml><?xml version="1.0" encoding="utf-8"?>
<ds:datastoreItem xmlns:ds="http://schemas.openxmlformats.org/officeDocument/2006/customXml" ds:itemID="{613F4CEA-19BF-4A5E-8D4B-50DAC974CA90}">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8fb5fc7d-4133-497f-a3de-bd71b2a4ea9e"/>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0DFE4C3-2A5A-4469-9168-98811C04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2072</Words>
  <Characters>11959</Characters>
  <Application>Microsoft Office Word</Application>
  <DocSecurity>0</DocSecurity>
  <Lines>629</Lines>
  <Paragraphs>539</Paragraphs>
  <ScaleCrop>false</ScaleCrop>
  <HeadingPairs>
    <vt:vector size="2" baseType="variant">
      <vt:variant>
        <vt:lpstr>Title</vt:lpstr>
      </vt:variant>
      <vt:variant>
        <vt:i4>1</vt:i4>
      </vt:variant>
    </vt:vector>
  </HeadingPairs>
  <TitlesOfParts>
    <vt:vector size="1" baseType="lpstr">
      <vt:lpstr>Supporting Statement for the Affordable Care Act Information and Collection Requirements</vt:lpstr>
    </vt:vector>
  </TitlesOfParts>
  <Company>CMS</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Affordable Care Act Information and Collection Requirements</dc:title>
  <dc:creator>CMS</dc:creator>
  <cp:lastModifiedBy>Hill, Jamaa (CMS/OSORA)</cp:lastModifiedBy>
  <cp:revision>3</cp:revision>
  <dcterms:created xsi:type="dcterms:W3CDTF">2026-05-13T13:50:00Z</dcterms:created>
  <dcterms:modified xsi:type="dcterms:W3CDTF">2026-05-13T13:52:00Z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0x0101005E15D42AD4747E499312BD59D0F1409A</vt:lpwstr>
  </property>
  <property fmtid="{D5CDD505-2E9C-101B-9397-08002B2CF9AE}" pid="4" name="Created">
    <vt:filetime>2019-11-20T00:00:00Z</vt:filetime>
  </property>
  <property fmtid="{D5CDD505-2E9C-101B-9397-08002B2CF9AE}" pid="5" name="Creator">
    <vt:lpwstr>Acrobat PDFMaker 15 for Word</vt:lpwstr>
  </property>
  <property fmtid="{D5CDD505-2E9C-101B-9397-08002B2CF9AE}" pid="6" name="docLang">
    <vt:lpwstr>en</vt:lpwstr>
  </property>
  <property fmtid="{D5CDD505-2E9C-101B-9397-08002B2CF9AE}" pid="7" name="LastSaved">
    <vt:filetime>2020-05-29T00:00:00Z</vt:filetime>
  </property>
  <property fmtid="{D5CDD505-2E9C-101B-9397-08002B2CF9AE}" pid="8" name="MediaServiceImageTags">
    <vt:lpwstr/>
  </property>
  <property fmtid="{D5CDD505-2E9C-101B-9397-08002B2CF9AE}" pid="9" name="Order">
    <vt:r8>3800</vt:r8>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ExtendedDescription">
    <vt:lpwstr/>
  </property>
</Properties>
</file>