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72465" w:rsidRPr="00272465" w:rsidP="00272465" w14:paraId="3DD50E73" w14:textId="77777777">
      <w:pPr>
        <w:pStyle w:val="TxBrp1"/>
        <w:spacing w:line="240" w:lineRule="auto"/>
        <w:ind w:left="90"/>
        <w:jc w:val="center"/>
        <w:rPr>
          <w:b/>
          <w:bCs/>
        </w:rPr>
      </w:pPr>
      <w:r w:rsidRPr="00272465">
        <w:rPr>
          <w:b/>
        </w:rPr>
        <w:t>A</w:t>
      </w:r>
      <w:r w:rsidRPr="00272465" w:rsidR="00DB0B45">
        <w:rPr>
          <w:b/>
        </w:rPr>
        <w:t xml:space="preserve">ddendum to the </w:t>
      </w:r>
      <w:r w:rsidRPr="00272465">
        <w:rPr>
          <w:b/>
          <w:bCs/>
        </w:rPr>
        <w:t>Supporting Statement for Electronic SSDI and SSI Wage Reporting:</w:t>
      </w:r>
    </w:p>
    <w:p w:rsidR="00272465" w:rsidRPr="00272465" w:rsidP="00272465" w14:paraId="3198312A" w14:textId="77777777">
      <w:pPr>
        <w:pStyle w:val="TxBrp1"/>
        <w:spacing w:line="240" w:lineRule="auto"/>
        <w:ind w:left="90"/>
        <w:jc w:val="center"/>
        <w:rPr>
          <w:b/>
          <w:bCs/>
        </w:rPr>
      </w:pPr>
      <w:r w:rsidRPr="00272465">
        <w:rPr>
          <w:b/>
          <w:bCs/>
        </w:rPr>
        <w:t>myWageReport</w:t>
      </w:r>
      <w:r w:rsidRPr="00272465">
        <w:rPr>
          <w:b/>
          <w:bCs/>
        </w:rPr>
        <w:t xml:space="preserve">, SSA Mobile Wage Reporting, and Supplemental Security Income Telephone </w:t>
      </w:r>
      <w:r w:rsidRPr="00272465">
        <w:rPr>
          <w:b/>
          <w:bCs/>
          <w:iCs/>
        </w:rPr>
        <w:t>Wage Reporting</w:t>
      </w:r>
    </w:p>
    <w:p w:rsidR="00272465" w:rsidRPr="00272465" w:rsidP="00272465" w14:paraId="36A2D480" w14:textId="77777777">
      <w:pPr>
        <w:pStyle w:val="TxBrp1"/>
        <w:spacing w:line="240" w:lineRule="auto"/>
        <w:jc w:val="center"/>
        <w:rPr>
          <w:b/>
          <w:bCs/>
        </w:rPr>
      </w:pPr>
      <w:r w:rsidRPr="00272465">
        <w:rPr>
          <w:b/>
          <w:bCs/>
        </w:rPr>
        <w:t>20 CFR 404.1520(b), 404.1571-1576, &amp; 404.1584-1593, 20 CFR 416.701-416.732</w:t>
      </w:r>
    </w:p>
    <w:p w:rsidR="00DB0B45" w:rsidRPr="00272465" w:rsidP="00272465" w14:paraId="621C77CE" w14:textId="1FBF0DD7">
      <w:pPr>
        <w:jc w:val="center"/>
        <w:rPr>
          <w:b/>
          <w:sz w:val="24"/>
          <w:szCs w:val="24"/>
        </w:rPr>
      </w:pPr>
      <w:r w:rsidRPr="00272465">
        <w:rPr>
          <w:b/>
          <w:bCs/>
          <w:iCs/>
          <w:sz w:val="24"/>
          <w:szCs w:val="24"/>
        </w:rPr>
        <w:t>OMB No. 0960-0715</w:t>
      </w:r>
    </w:p>
    <w:p w:rsidR="00BC3EA0" w:rsidRPr="00272465" w:rsidP="00CF6128" w14:paraId="6EC9AF10" w14:textId="77777777">
      <w:pPr>
        <w:keepNext/>
        <w:widowControl w:val="0"/>
        <w:suppressAutoHyphens w:val="0"/>
        <w:snapToGrid w:val="0"/>
        <w:outlineLvl w:val="6"/>
        <w:rPr>
          <w:b/>
          <w:bCs/>
          <w:sz w:val="24"/>
          <w:szCs w:val="24"/>
          <w:u w:val="single"/>
          <w:lang w:eastAsia="en-US"/>
        </w:rPr>
      </w:pPr>
    </w:p>
    <w:p w:rsidR="00636E36" w:rsidRPr="00272465" w:rsidP="00636E36" w14:paraId="239FAF09" w14:textId="03938D4E">
      <w:pPr>
        <w:rPr>
          <w:b/>
          <w:bCs/>
          <w:sz w:val="24"/>
          <w:szCs w:val="24"/>
          <w:u w:val="single"/>
        </w:rPr>
      </w:pPr>
      <w:r w:rsidRPr="00272465">
        <w:rPr>
          <w:b/>
          <w:bCs/>
          <w:sz w:val="24"/>
          <w:szCs w:val="24"/>
          <w:u w:val="single"/>
        </w:rPr>
        <w:t>Public Comments on the Information Collection</w:t>
      </w:r>
    </w:p>
    <w:p w:rsidR="00636E36" w:rsidRPr="00272465" w:rsidP="00636E36" w14:paraId="1A419BF3" w14:textId="77777777">
      <w:pPr>
        <w:rPr>
          <w:b/>
          <w:bCs/>
          <w:sz w:val="24"/>
          <w:szCs w:val="24"/>
          <w:u w:val="single"/>
        </w:rPr>
      </w:pPr>
    </w:p>
    <w:p w:rsidR="00636E36" w:rsidRPr="00272465" w:rsidP="00636E36" w14:paraId="74944B23" w14:textId="77777777">
      <w:pPr>
        <w:pStyle w:val="Heading2"/>
        <w:rPr>
          <w:rFonts w:ascii="Times New Roman" w:hAnsi="Times New Roman" w:cs="Times New Roman"/>
          <w:b/>
          <w:bCs/>
          <w:color w:val="000000" w:themeColor="text1"/>
          <w:sz w:val="24"/>
          <w:szCs w:val="24"/>
        </w:rPr>
      </w:pPr>
      <w:r w:rsidRPr="00272465">
        <w:rPr>
          <w:rFonts w:ascii="Times New Roman" w:hAnsi="Times New Roman" w:cs="Times New Roman"/>
          <w:b/>
          <w:bCs/>
          <w:color w:val="000000" w:themeColor="text1"/>
          <w:sz w:val="24"/>
          <w:szCs w:val="24"/>
        </w:rPr>
        <w:t>60-Day Comment Period Federal Register Notice (FRN):</w:t>
      </w:r>
    </w:p>
    <w:p w:rsidR="00636E36" w:rsidRPr="00272465" w:rsidP="00636E36" w14:paraId="17F23889" w14:textId="33D3F3D8">
      <w:pPr>
        <w:rPr>
          <w:sz w:val="24"/>
          <w:szCs w:val="24"/>
        </w:rPr>
      </w:pPr>
      <w:r w:rsidRPr="00272465">
        <w:rPr>
          <w:sz w:val="24"/>
          <w:szCs w:val="24"/>
        </w:rPr>
        <w:t xml:space="preserve">The 60-day Comment Period began on March 23, 2026, and ended on May 22, 2026, at 11:59pm.  We received </w:t>
      </w:r>
      <w:r w:rsidR="004F67CE">
        <w:rPr>
          <w:sz w:val="24"/>
          <w:szCs w:val="24"/>
        </w:rPr>
        <w:t xml:space="preserve">five </w:t>
      </w:r>
      <w:r w:rsidRPr="00272465">
        <w:rPr>
          <w:sz w:val="24"/>
          <w:szCs w:val="24"/>
        </w:rPr>
        <w:t>public comment</w:t>
      </w:r>
      <w:r w:rsidR="004F67CE">
        <w:rPr>
          <w:sz w:val="24"/>
          <w:szCs w:val="24"/>
        </w:rPr>
        <w:t>s</w:t>
      </w:r>
      <w:r w:rsidRPr="00272465">
        <w:rPr>
          <w:sz w:val="24"/>
          <w:szCs w:val="24"/>
        </w:rPr>
        <w:t xml:space="preserve"> on the 60-Day Comment Period FRN from </w:t>
      </w:r>
      <w:r w:rsidRPr="00272465" w:rsidR="00E36607">
        <w:rPr>
          <w:b/>
          <w:bCs/>
          <w:sz w:val="24"/>
          <w:szCs w:val="24"/>
        </w:rPr>
        <w:t>1</w:t>
      </w:r>
      <w:r w:rsidRPr="00272465">
        <w:rPr>
          <w:sz w:val="24"/>
          <w:szCs w:val="24"/>
        </w:rPr>
        <w:t xml:space="preserve"> commenter.  We acknowledge and appreciate the thoughtful feedback from the commenter, and we responded to </w:t>
      </w:r>
      <w:r w:rsidRPr="00272465" w:rsidR="00061CB9">
        <w:rPr>
          <w:sz w:val="24"/>
          <w:szCs w:val="24"/>
        </w:rPr>
        <w:t>the</w:t>
      </w:r>
      <w:r w:rsidRPr="00272465">
        <w:rPr>
          <w:sz w:val="24"/>
          <w:szCs w:val="24"/>
        </w:rPr>
        <w:t xml:space="preserve"> comments below:</w:t>
      </w:r>
    </w:p>
    <w:p w:rsidR="00E36607" w:rsidRPr="00272465" w:rsidP="00636E36" w14:paraId="51DF33B1" w14:textId="77777777">
      <w:pPr>
        <w:rPr>
          <w:sz w:val="24"/>
          <w:szCs w:val="24"/>
        </w:rPr>
      </w:pPr>
    </w:p>
    <w:p w:rsidR="00E6579D" w:rsidRPr="00272465" w:rsidP="00636E36" w14:paraId="6694C8F1" w14:textId="6265C1E4">
      <w:pPr>
        <w:rPr>
          <w:b/>
          <w:bCs/>
          <w:sz w:val="24"/>
          <w:szCs w:val="24"/>
        </w:rPr>
      </w:pPr>
      <w:r w:rsidRPr="00272465">
        <w:rPr>
          <w:b/>
          <w:bCs/>
          <w:sz w:val="24"/>
          <w:szCs w:val="24"/>
        </w:rPr>
        <w:t>Comment</w:t>
      </w:r>
      <w:r w:rsidR="004F67CE">
        <w:rPr>
          <w:b/>
          <w:bCs/>
          <w:sz w:val="24"/>
          <w:szCs w:val="24"/>
        </w:rPr>
        <w:t>s</w:t>
      </w:r>
      <w:r w:rsidRPr="00272465">
        <w:rPr>
          <w:b/>
          <w:bCs/>
          <w:sz w:val="24"/>
          <w:szCs w:val="24"/>
        </w:rPr>
        <w:t xml:space="preserve"> </w:t>
      </w:r>
      <w:r w:rsidR="004F67CE">
        <w:rPr>
          <w:b/>
          <w:bCs/>
          <w:sz w:val="24"/>
          <w:szCs w:val="24"/>
        </w:rPr>
        <w:t>on SSA’s Electronic Wage Reporting Methods:</w:t>
      </w:r>
    </w:p>
    <w:p w:rsidR="00E6579D" w:rsidRPr="00272465" w:rsidP="00636E36" w14:paraId="4B7F9E2A" w14:textId="77777777">
      <w:pPr>
        <w:rPr>
          <w:b/>
          <w:bCs/>
          <w:sz w:val="24"/>
          <w:szCs w:val="24"/>
        </w:rPr>
      </w:pPr>
    </w:p>
    <w:p w:rsidR="00272465" w:rsidRPr="00272465" w:rsidP="00272465" w14:paraId="166AB311" w14:textId="5244440E">
      <w:pPr>
        <w:numPr>
          <w:ilvl w:val="0"/>
          <w:numId w:val="4"/>
        </w:numPr>
        <w:suppressAutoHyphens w:val="0"/>
        <w:spacing w:after="160" w:line="278" w:lineRule="auto"/>
        <w:rPr>
          <w:b/>
          <w:bCs/>
          <w:sz w:val="24"/>
          <w:szCs w:val="24"/>
        </w:rPr>
      </w:pPr>
      <w:r w:rsidRPr="00272465">
        <w:rPr>
          <w:b/>
          <w:bCs/>
          <w:sz w:val="24"/>
          <w:szCs w:val="24"/>
        </w:rPr>
        <w:t xml:space="preserve">Comment #1:  </w:t>
      </w:r>
      <w:r w:rsidRPr="004F67CE" w:rsidR="004F67CE">
        <w:rPr>
          <w:sz w:val="24"/>
          <w:szCs w:val="24"/>
        </w:rPr>
        <w:t xml:space="preserve">Community Legal Services of Philadelphia (CLS) suggested that </w:t>
      </w:r>
      <w:r w:rsidRPr="004F67CE">
        <w:rPr>
          <w:sz w:val="24"/>
          <w:szCs w:val="24"/>
        </w:rPr>
        <w:t>SSA should streamline the current wage reporting process.</w:t>
      </w:r>
    </w:p>
    <w:p w:rsidR="00DB0B45" w:rsidRPr="004F67CE" w:rsidP="004F67CE" w14:paraId="13FFB681" w14:textId="41A481A9">
      <w:pPr>
        <w:pStyle w:val="ListParagraph"/>
        <w:ind w:left="360"/>
        <w:rPr>
          <w:color w:val="0000FF"/>
          <w:sz w:val="24"/>
          <w:szCs w:val="24"/>
          <w:lang w:eastAsia="en-US"/>
        </w:rPr>
      </w:pPr>
      <w:r w:rsidRPr="004F67CE">
        <w:rPr>
          <w:b/>
          <w:bCs/>
          <w:color w:val="0000FF"/>
          <w:sz w:val="24"/>
          <w:szCs w:val="24"/>
        </w:rPr>
        <w:t>SSA Response #1:</w:t>
      </w:r>
      <w:r w:rsidRPr="004F67CE">
        <w:rPr>
          <w:color w:val="0000FF"/>
          <w:sz w:val="24"/>
          <w:szCs w:val="24"/>
        </w:rPr>
        <w:t xml:space="preserve">  </w:t>
      </w:r>
      <w:r w:rsidRPr="004F67CE" w:rsidR="00272465">
        <w:rPr>
          <w:color w:val="0000FF"/>
          <w:sz w:val="24"/>
          <w:szCs w:val="24"/>
        </w:rPr>
        <w:t xml:space="preserve">SSA strives to provide efficient and accessible wage reporting tools that meet the public’s needs, while also ensuring these tools collect the accurate and timely information required by the complex programs we administer. </w:t>
      </w:r>
      <w:r>
        <w:rPr>
          <w:color w:val="0000FF"/>
          <w:sz w:val="24"/>
          <w:szCs w:val="24"/>
        </w:rPr>
        <w:t xml:space="preserve"> </w:t>
      </w:r>
      <w:r w:rsidRPr="004F67CE" w:rsidR="00272465">
        <w:rPr>
          <w:color w:val="0000FF"/>
          <w:sz w:val="24"/>
          <w:szCs w:val="24"/>
        </w:rPr>
        <w:t>We currently offer several electronic method</w:t>
      </w:r>
      <w:r>
        <w:rPr>
          <w:color w:val="0000FF"/>
          <w:sz w:val="24"/>
          <w:szCs w:val="24"/>
        </w:rPr>
        <w:t xml:space="preserve">s:  </w:t>
      </w:r>
      <w:r w:rsidRPr="004F67CE" w:rsidR="00272465">
        <w:rPr>
          <w:color w:val="0000FF"/>
          <w:sz w:val="24"/>
          <w:szCs w:val="24"/>
        </w:rPr>
        <w:t xml:space="preserve">the SSA mobile wage reporting tool, the online reporting tool accessible on </w:t>
      </w:r>
      <w:r w:rsidRPr="004F67CE">
        <w:rPr>
          <w:i/>
          <w:iCs/>
          <w:color w:val="E01F25"/>
          <w:sz w:val="24"/>
          <w:szCs w:val="24"/>
        </w:rPr>
        <w:t>my</w:t>
      </w:r>
      <w:r w:rsidRPr="004F67CE">
        <w:rPr>
          <w:sz w:val="24"/>
          <w:szCs w:val="24"/>
        </w:rPr>
        <w:t xml:space="preserve"> </w:t>
      </w:r>
      <w:r w:rsidRPr="004F67CE">
        <w:rPr>
          <w:color w:val="0060A0"/>
          <w:sz w:val="24"/>
          <w:szCs w:val="24"/>
        </w:rPr>
        <w:t>Social Security</w:t>
      </w:r>
      <w:r>
        <w:rPr>
          <w:color w:val="0000FF"/>
          <w:sz w:val="24"/>
          <w:szCs w:val="24"/>
        </w:rPr>
        <w:t xml:space="preserve">, </w:t>
      </w:r>
      <w:r w:rsidRPr="004F67CE" w:rsidR="00272465">
        <w:rPr>
          <w:color w:val="0000FF"/>
          <w:sz w:val="24"/>
          <w:szCs w:val="24"/>
        </w:rPr>
        <w:t xml:space="preserve">and the SSI telephone wage reporting system. </w:t>
      </w:r>
      <w:r>
        <w:rPr>
          <w:color w:val="0000FF"/>
          <w:sz w:val="24"/>
          <w:szCs w:val="24"/>
        </w:rPr>
        <w:t xml:space="preserve"> </w:t>
      </w:r>
      <w:r w:rsidRPr="004F67CE" w:rsidR="00272465">
        <w:rPr>
          <w:color w:val="0000FF"/>
          <w:sz w:val="24"/>
          <w:szCs w:val="24"/>
        </w:rPr>
        <w:t xml:space="preserve">We also continue to accept pay stub information in our field offices and electronically through Upload Documents. </w:t>
      </w:r>
      <w:r>
        <w:rPr>
          <w:color w:val="0000FF"/>
          <w:sz w:val="24"/>
          <w:szCs w:val="24"/>
        </w:rPr>
        <w:t xml:space="preserve"> </w:t>
      </w:r>
      <w:r w:rsidRPr="004F67CE" w:rsidR="00272465">
        <w:rPr>
          <w:color w:val="0000FF"/>
          <w:sz w:val="24"/>
          <w:szCs w:val="24"/>
        </w:rPr>
        <w:t>We are always exploring opportunities to enhance our services and improve the wage reporting process for the public</w:t>
      </w:r>
    </w:p>
    <w:p w:rsidR="00272465" w:rsidRPr="00272465" w:rsidP="00272465" w14:paraId="230ABCFE" w14:textId="77777777">
      <w:pPr>
        <w:rPr>
          <w:color w:val="0000FF"/>
          <w:sz w:val="24"/>
          <w:szCs w:val="24"/>
          <w:lang w:eastAsia="en-US"/>
        </w:rPr>
      </w:pPr>
    </w:p>
    <w:p w:rsidR="004F67CE" w:rsidP="004F67CE" w14:paraId="1AB191C8" w14:textId="77777777">
      <w:pPr>
        <w:numPr>
          <w:ilvl w:val="0"/>
          <w:numId w:val="5"/>
        </w:numPr>
        <w:suppressAutoHyphens w:val="0"/>
        <w:spacing w:after="160" w:line="278" w:lineRule="auto"/>
        <w:rPr>
          <w:b/>
          <w:bCs/>
          <w:sz w:val="24"/>
          <w:szCs w:val="24"/>
        </w:rPr>
      </w:pPr>
      <w:r w:rsidRPr="00272465">
        <w:rPr>
          <w:b/>
          <w:bCs/>
          <w:sz w:val="24"/>
          <w:szCs w:val="24"/>
        </w:rPr>
        <w:t>Comment #2: </w:t>
      </w:r>
      <w:r w:rsidRPr="004F67CE">
        <w:rPr>
          <w:sz w:val="24"/>
          <w:szCs w:val="24"/>
        </w:rPr>
        <w:t xml:space="preserve"> </w:t>
      </w:r>
      <w:r w:rsidRPr="004F67CE">
        <w:rPr>
          <w:sz w:val="24"/>
          <w:szCs w:val="24"/>
        </w:rPr>
        <w:t xml:space="preserve">CLS </w:t>
      </w:r>
      <w:r>
        <w:rPr>
          <w:sz w:val="24"/>
          <w:szCs w:val="24"/>
        </w:rPr>
        <w:t xml:space="preserve">notes that </w:t>
      </w:r>
      <w:r w:rsidRPr="004F67CE">
        <w:rPr>
          <w:sz w:val="24"/>
          <w:szCs w:val="24"/>
        </w:rPr>
        <w:t xml:space="preserve">the </w:t>
      </w:r>
      <w:r w:rsidRPr="004F67CE">
        <w:rPr>
          <w:sz w:val="24"/>
          <w:szCs w:val="24"/>
        </w:rPr>
        <w:t>MyWage</w:t>
      </w:r>
      <w:r w:rsidRPr="004F67CE">
        <w:rPr>
          <w:sz w:val="24"/>
          <w:szCs w:val="24"/>
        </w:rPr>
        <w:t xml:space="preserve"> Report (online or app) requires an </w:t>
      </w:r>
      <w:r>
        <w:rPr>
          <w:sz w:val="24"/>
          <w:szCs w:val="24"/>
        </w:rPr>
        <w:t>Employer Identification Number (</w:t>
      </w:r>
      <w:r w:rsidRPr="004F67CE">
        <w:rPr>
          <w:sz w:val="24"/>
          <w:szCs w:val="24"/>
        </w:rPr>
        <w:t>EIN</w:t>
      </w:r>
      <w:r>
        <w:rPr>
          <w:sz w:val="24"/>
          <w:szCs w:val="24"/>
        </w:rPr>
        <w:t>)</w:t>
      </w:r>
      <w:r w:rsidRPr="004F67CE">
        <w:rPr>
          <w:sz w:val="24"/>
          <w:szCs w:val="24"/>
        </w:rPr>
        <w:t xml:space="preserve">, which their claimants state is a big obstacle to reporting wages. </w:t>
      </w:r>
      <w:r>
        <w:rPr>
          <w:sz w:val="24"/>
          <w:szCs w:val="24"/>
        </w:rPr>
        <w:t>CLS opines that requesting the EIN is</w:t>
      </w:r>
      <w:r w:rsidRPr="004F67CE">
        <w:rPr>
          <w:sz w:val="24"/>
          <w:szCs w:val="24"/>
        </w:rPr>
        <w:t xml:space="preserve"> too difficult for </w:t>
      </w:r>
      <w:r>
        <w:rPr>
          <w:sz w:val="24"/>
          <w:szCs w:val="24"/>
        </w:rPr>
        <w:t>Ticket to Work (</w:t>
      </w:r>
      <w:r w:rsidRPr="004F67CE">
        <w:rPr>
          <w:sz w:val="24"/>
          <w:szCs w:val="24"/>
        </w:rPr>
        <w:t>TTW</w:t>
      </w:r>
      <w:r>
        <w:rPr>
          <w:sz w:val="24"/>
          <w:szCs w:val="24"/>
        </w:rPr>
        <w:t>)</w:t>
      </w:r>
      <w:r w:rsidRPr="004F67CE">
        <w:rPr>
          <w:sz w:val="24"/>
          <w:szCs w:val="24"/>
        </w:rPr>
        <w:t xml:space="preserve"> respondents</w:t>
      </w:r>
      <w:r>
        <w:rPr>
          <w:sz w:val="24"/>
          <w:szCs w:val="24"/>
        </w:rPr>
        <w:t>, as t</w:t>
      </w:r>
      <w:r w:rsidRPr="004F67CE">
        <w:rPr>
          <w:sz w:val="24"/>
          <w:szCs w:val="24"/>
        </w:rPr>
        <w:t xml:space="preserve">his step requires the TTW respondent to request help from the employer to report wages, and causes respondents to stop using </w:t>
      </w:r>
      <w:r w:rsidRPr="004F67CE">
        <w:rPr>
          <w:sz w:val="24"/>
          <w:szCs w:val="24"/>
        </w:rPr>
        <w:t>MyWage</w:t>
      </w:r>
      <w:r w:rsidRPr="004F67CE">
        <w:rPr>
          <w:sz w:val="24"/>
          <w:szCs w:val="24"/>
        </w:rPr>
        <w:t xml:space="preserve"> Report to report wages.</w:t>
      </w:r>
    </w:p>
    <w:p w:rsidR="00272465" w:rsidRPr="004F67CE" w:rsidP="004F67CE" w14:paraId="1178E73B" w14:textId="1894921D">
      <w:pPr>
        <w:suppressAutoHyphens w:val="0"/>
        <w:spacing w:after="160" w:line="278" w:lineRule="auto"/>
        <w:ind w:left="360"/>
        <w:rPr>
          <w:b/>
          <w:bCs/>
          <w:color w:val="0000FF"/>
          <w:sz w:val="24"/>
          <w:szCs w:val="24"/>
        </w:rPr>
      </w:pPr>
      <w:r w:rsidRPr="004F67CE">
        <w:rPr>
          <w:b/>
          <w:bCs/>
          <w:color w:val="0000FF"/>
          <w:sz w:val="24"/>
          <w:szCs w:val="24"/>
        </w:rPr>
        <w:t>SSA Response #2:</w:t>
      </w:r>
      <w:r w:rsidRPr="004F67CE">
        <w:rPr>
          <w:color w:val="0000FF"/>
          <w:sz w:val="24"/>
          <w:szCs w:val="24"/>
        </w:rPr>
        <w:t xml:space="preserve">  </w:t>
      </w:r>
      <w:r w:rsidRPr="004F67CE">
        <w:rPr>
          <w:color w:val="0000FF"/>
          <w:sz w:val="24"/>
          <w:szCs w:val="24"/>
        </w:rPr>
        <w:t xml:space="preserve">We acknowledge that EIN information may sometimes require an extra step to obtain and report. </w:t>
      </w:r>
      <w:r>
        <w:rPr>
          <w:color w:val="0000FF"/>
          <w:sz w:val="24"/>
          <w:szCs w:val="24"/>
        </w:rPr>
        <w:t xml:space="preserve"> </w:t>
      </w:r>
      <w:r w:rsidRPr="004F67CE">
        <w:rPr>
          <w:color w:val="0000FF"/>
          <w:sz w:val="24"/>
          <w:szCs w:val="24"/>
        </w:rPr>
        <w:t xml:space="preserve">Requiring the EIN within </w:t>
      </w:r>
      <w:r w:rsidRPr="004F67CE">
        <w:rPr>
          <w:color w:val="0000FF"/>
          <w:sz w:val="24"/>
          <w:szCs w:val="24"/>
        </w:rPr>
        <w:t>myWageReport</w:t>
      </w:r>
      <w:r w:rsidRPr="004F67CE">
        <w:rPr>
          <w:color w:val="0000FF"/>
          <w:sz w:val="24"/>
          <w:szCs w:val="24"/>
        </w:rPr>
        <w:t xml:space="preserve"> was necessary in order for us to extend electronic wage reporting services to individuals with multiple employers. </w:t>
      </w:r>
      <w:r>
        <w:rPr>
          <w:color w:val="0000FF"/>
          <w:sz w:val="24"/>
          <w:szCs w:val="24"/>
        </w:rPr>
        <w:t xml:space="preserve"> </w:t>
      </w:r>
      <w:r w:rsidRPr="004F67CE">
        <w:rPr>
          <w:color w:val="0000FF"/>
          <w:sz w:val="24"/>
          <w:szCs w:val="24"/>
        </w:rPr>
        <w:t xml:space="preserve">Providing the EIN helps the user to identify which employer they are reporting </w:t>
      </w:r>
      <w:r w:rsidRPr="004F67CE">
        <w:rPr>
          <w:color w:val="0000FF"/>
          <w:sz w:val="24"/>
          <w:szCs w:val="24"/>
        </w:rPr>
        <w:t>for</w:t>
      </w:r>
      <w:r w:rsidRPr="004F67CE">
        <w:rPr>
          <w:color w:val="0000FF"/>
          <w:sz w:val="24"/>
          <w:szCs w:val="24"/>
        </w:rPr>
        <w:t xml:space="preserve"> and enables our systems to efficiently receive and process the report. </w:t>
      </w:r>
      <w:r>
        <w:rPr>
          <w:color w:val="0000FF"/>
          <w:sz w:val="24"/>
          <w:szCs w:val="24"/>
        </w:rPr>
        <w:t xml:space="preserve"> We suggest that p</w:t>
      </w:r>
      <w:r w:rsidRPr="004F67CE">
        <w:rPr>
          <w:color w:val="0000FF"/>
          <w:sz w:val="24"/>
          <w:szCs w:val="24"/>
        </w:rPr>
        <w:t xml:space="preserve">rior to using any electronic wage reporting tool, individuals should reach out to SSA to learn more about the wage reporting options available to them and get help in deciding which tool may serve them best. </w:t>
      </w:r>
    </w:p>
    <w:p w:rsidR="00272465" w:rsidRPr="004F67CE" w:rsidP="00272465" w14:paraId="664B7D2D" w14:textId="77777777">
      <w:pPr>
        <w:rPr>
          <w:color w:val="0000FF"/>
          <w:sz w:val="24"/>
          <w:szCs w:val="24"/>
        </w:rPr>
      </w:pPr>
    </w:p>
    <w:p w:rsidR="004F67CE" w:rsidP="004F67CE" w14:paraId="5A6C6248" w14:textId="77777777">
      <w:pPr>
        <w:numPr>
          <w:ilvl w:val="0"/>
          <w:numId w:val="5"/>
        </w:numPr>
        <w:suppressAutoHyphens w:val="0"/>
        <w:spacing w:after="160" w:line="278" w:lineRule="auto"/>
        <w:rPr>
          <w:b/>
          <w:bCs/>
          <w:sz w:val="24"/>
          <w:szCs w:val="24"/>
        </w:rPr>
      </w:pPr>
      <w:r w:rsidRPr="00272465">
        <w:rPr>
          <w:b/>
          <w:bCs/>
          <w:sz w:val="24"/>
          <w:szCs w:val="24"/>
        </w:rPr>
        <w:t xml:space="preserve">Comment #3:  </w:t>
      </w:r>
      <w:r w:rsidRPr="004F67CE">
        <w:rPr>
          <w:sz w:val="24"/>
          <w:szCs w:val="24"/>
        </w:rPr>
        <w:t xml:space="preserve">CLS suggests that </w:t>
      </w:r>
      <w:r w:rsidRPr="004F67CE">
        <w:rPr>
          <w:sz w:val="24"/>
          <w:szCs w:val="24"/>
        </w:rPr>
        <w:t xml:space="preserve">SSA underestimated the </w:t>
      </w:r>
      <w:r w:rsidRPr="004F67CE">
        <w:rPr>
          <w:sz w:val="24"/>
          <w:szCs w:val="24"/>
        </w:rPr>
        <w:t xml:space="preserve">overall </w:t>
      </w:r>
      <w:r w:rsidRPr="004F67CE">
        <w:rPr>
          <w:sz w:val="24"/>
          <w:szCs w:val="24"/>
        </w:rPr>
        <w:t>burden</w:t>
      </w:r>
      <w:r w:rsidRPr="004F67CE">
        <w:rPr>
          <w:sz w:val="24"/>
          <w:szCs w:val="24"/>
        </w:rPr>
        <w:t xml:space="preserve"> for the electronic wage reporting tools</w:t>
      </w:r>
      <w:r w:rsidRPr="004F67CE">
        <w:rPr>
          <w:sz w:val="24"/>
          <w:szCs w:val="24"/>
        </w:rPr>
        <w:t>.  Th</w:t>
      </w:r>
      <w:r w:rsidRPr="004F67CE">
        <w:rPr>
          <w:sz w:val="24"/>
          <w:szCs w:val="24"/>
        </w:rPr>
        <w:t>ey note that th</w:t>
      </w:r>
      <w:r w:rsidRPr="004F67CE">
        <w:rPr>
          <w:sz w:val="24"/>
          <w:szCs w:val="24"/>
        </w:rPr>
        <w:t xml:space="preserve">ere are several steps to obtaining an EIN, and the </w:t>
      </w:r>
      <w:r w:rsidRPr="004F67CE">
        <w:rPr>
          <w:sz w:val="24"/>
          <w:szCs w:val="24"/>
        </w:rPr>
        <w:t>20 minutes</w:t>
      </w:r>
      <w:r w:rsidRPr="004F67CE">
        <w:rPr>
          <w:sz w:val="24"/>
          <w:szCs w:val="24"/>
        </w:rPr>
        <w:t xml:space="preserve"> SSA is suggesting does not even cover that part.  </w:t>
      </w:r>
      <w:r w:rsidRPr="004F67CE">
        <w:rPr>
          <w:sz w:val="24"/>
          <w:szCs w:val="24"/>
        </w:rPr>
        <w:t xml:space="preserve"> </w:t>
      </w:r>
      <w:r w:rsidRPr="004F67CE">
        <w:rPr>
          <w:sz w:val="24"/>
          <w:szCs w:val="24"/>
        </w:rPr>
        <w:t xml:space="preserve">In addition, </w:t>
      </w:r>
      <w:r w:rsidRPr="004F67CE">
        <w:rPr>
          <w:sz w:val="24"/>
          <w:szCs w:val="24"/>
        </w:rPr>
        <w:t xml:space="preserve">CLS also notes that </w:t>
      </w:r>
      <w:r w:rsidRPr="004F67CE">
        <w:rPr>
          <w:sz w:val="24"/>
          <w:szCs w:val="24"/>
        </w:rPr>
        <w:t>SSAMWR and SSITWR take longer than 20 minutes as the app is glitchy and often unable to take the report.</w:t>
      </w:r>
    </w:p>
    <w:p w:rsidR="00272465" w:rsidRPr="004F67CE" w:rsidP="004F67CE" w14:paraId="2BA64536" w14:textId="2E48D9F1">
      <w:pPr>
        <w:numPr>
          <w:ilvl w:val="0"/>
          <w:numId w:val="5"/>
        </w:numPr>
        <w:suppressAutoHyphens w:val="0"/>
        <w:spacing w:after="160" w:line="278" w:lineRule="auto"/>
        <w:rPr>
          <w:b/>
          <w:bCs/>
          <w:color w:val="0000FF"/>
          <w:sz w:val="24"/>
          <w:szCs w:val="24"/>
        </w:rPr>
      </w:pPr>
      <w:r w:rsidRPr="004F67CE">
        <w:rPr>
          <w:b/>
          <w:bCs/>
          <w:color w:val="0000FF"/>
          <w:sz w:val="24"/>
          <w:szCs w:val="24"/>
        </w:rPr>
        <w:t>SSA Response #3:</w:t>
      </w:r>
      <w:r w:rsidRPr="004F67CE">
        <w:rPr>
          <w:color w:val="0000FF"/>
          <w:sz w:val="24"/>
          <w:szCs w:val="24"/>
        </w:rPr>
        <w:t xml:space="preserve">  </w:t>
      </w:r>
      <w:r w:rsidRPr="004F67CE">
        <w:rPr>
          <w:color w:val="0000FF"/>
          <w:sz w:val="24"/>
          <w:szCs w:val="24"/>
        </w:rPr>
        <w:t xml:space="preserve">Burden estimates represent average time across all transactions in a given year. </w:t>
      </w:r>
      <w:r>
        <w:rPr>
          <w:color w:val="0000FF"/>
          <w:sz w:val="24"/>
          <w:szCs w:val="24"/>
        </w:rPr>
        <w:t xml:space="preserve"> </w:t>
      </w:r>
      <w:r w:rsidRPr="004F67CE">
        <w:rPr>
          <w:color w:val="0000FF"/>
          <w:sz w:val="24"/>
          <w:szCs w:val="24"/>
        </w:rPr>
        <w:t xml:space="preserve">While it is true that initial set up and learning how to report may initially increase the response time to complete the report, subsequent reports are often faster. </w:t>
      </w:r>
      <w:r>
        <w:rPr>
          <w:color w:val="0000FF"/>
          <w:sz w:val="24"/>
          <w:szCs w:val="24"/>
        </w:rPr>
        <w:t xml:space="preserve"> </w:t>
      </w:r>
      <w:r w:rsidRPr="004F67CE">
        <w:rPr>
          <w:color w:val="0000FF"/>
          <w:sz w:val="24"/>
          <w:szCs w:val="24"/>
        </w:rPr>
        <w:t>When averaged out, 20</w:t>
      </w:r>
      <w:r>
        <w:rPr>
          <w:color w:val="0000FF"/>
          <w:sz w:val="24"/>
          <w:szCs w:val="24"/>
        </w:rPr>
        <w:t>-22</w:t>
      </w:r>
      <w:r w:rsidRPr="004F67CE">
        <w:rPr>
          <w:color w:val="0000FF"/>
          <w:sz w:val="24"/>
          <w:szCs w:val="24"/>
        </w:rPr>
        <w:t xml:space="preserve"> minutes is an accurate estimate; </w:t>
      </w:r>
      <w:r>
        <w:rPr>
          <w:color w:val="0000FF"/>
          <w:sz w:val="24"/>
          <w:szCs w:val="24"/>
        </w:rPr>
        <w:t xml:space="preserve">therefore, </w:t>
      </w:r>
      <w:r w:rsidRPr="004F67CE">
        <w:rPr>
          <w:color w:val="0000FF"/>
          <w:sz w:val="24"/>
          <w:szCs w:val="24"/>
        </w:rPr>
        <w:t xml:space="preserve">we do not believe the burden estimate requires adjustment. </w:t>
      </w:r>
      <w:r>
        <w:rPr>
          <w:color w:val="0000FF"/>
          <w:sz w:val="24"/>
          <w:szCs w:val="24"/>
        </w:rPr>
        <w:t xml:space="preserve"> In addition, s</w:t>
      </w:r>
      <w:r w:rsidRPr="004F67CE">
        <w:rPr>
          <w:color w:val="0000FF"/>
          <w:sz w:val="24"/>
          <w:szCs w:val="24"/>
        </w:rPr>
        <w:t xml:space="preserve">ome individuals who are using wage reporting tools not designed for their circumstances may experience performance issues and errors while reporting. </w:t>
      </w:r>
      <w:r>
        <w:rPr>
          <w:color w:val="0000FF"/>
          <w:sz w:val="24"/>
          <w:szCs w:val="24"/>
        </w:rPr>
        <w:t xml:space="preserve"> </w:t>
      </w:r>
      <w:r w:rsidRPr="004F67CE">
        <w:rPr>
          <w:color w:val="0000FF"/>
          <w:sz w:val="24"/>
          <w:szCs w:val="24"/>
        </w:rPr>
        <w:t xml:space="preserve">For this reason, </w:t>
      </w:r>
      <w:r>
        <w:rPr>
          <w:color w:val="0000FF"/>
          <w:sz w:val="24"/>
          <w:szCs w:val="24"/>
        </w:rPr>
        <w:t xml:space="preserve">we recommend </w:t>
      </w:r>
      <w:r w:rsidRPr="004F67CE">
        <w:rPr>
          <w:color w:val="0000FF"/>
          <w:sz w:val="24"/>
          <w:szCs w:val="24"/>
        </w:rPr>
        <w:t xml:space="preserve">individuals contact SSA when they return to work or want to change how they report their wages to learn more about the wage reporting options available to them and get help in deciding which tool may serve them best. </w:t>
      </w:r>
      <w:r>
        <w:rPr>
          <w:color w:val="0000FF"/>
          <w:sz w:val="24"/>
          <w:szCs w:val="24"/>
        </w:rPr>
        <w:t xml:space="preserve"> </w:t>
      </w:r>
      <w:r w:rsidRPr="004F67CE">
        <w:rPr>
          <w:color w:val="0000FF"/>
          <w:sz w:val="24"/>
          <w:szCs w:val="24"/>
        </w:rPr>
        <w:t xml:space="preserve">App performance issues </w:t>
      </w:r>
      <w:r>
        <w:rPr>
          <w:color w:val="0000FF"/>
          <w:sz w:val="24"/>
          <w:szCs w:val="24"/>
        </w:rPr>
        <w:t xml:space="preserve">are </w:t>
      </w:r>
      <w:r w:rsidRPr="004F67CE">
        <w:rPr>
          <w:color w:val="0000FF"/>
          <w:sz w:val="24"/>
          <w:szCs w:val="24"/>
        </w:rPr>
        <w:t>unrelated to improper use do not significantly add to burdens.</w:t>
      </w:r>
    </w:p>
    <w:p w:rsidR="00272465" w:rsidRPr="00272465" w:rsidP="00272465" w14:paraId="24B9F4F9" w14:textId="77777777">
      <w:pPr>
        <w:rPr>
          <w:b/>
          <w:bCs/>
          <w:sz w:val="24"/>
          <w:szCs w:val="24"/>
        </w:rPr>
      </w:pPr>
    </w:p>
    <w:p w:rsidR="004F67CE" w:rsidP="004F67CE" w14:paraId="5D4E0646" w14:textId="77777777">
      <w:pPr>
        <w:numPr>
          <w:ilvl w:val="0"/>
          <w:numId w:val="5"/>
        </w:numPr>
        <w:suppressAutoHyphens w:val="0"/>
        <w:spacing w:after="160" w:line="278" w:lineRule="auto"/>
        <w:rPr>
          <w:b/>
          <w:bCs/>
          <w:sz w:val="24"/>
          <w:szCs w:val="24"/>
        </w:rPr>
      </w:pPr>
      <w:r w:rsidRPr="00272465">
        <w:rPr>
          <w:b/>
          <w:bCs/>
          <w:sz w:val="24"/>
          <w:szCs w:val="24"/>
        </w:rPr>
        <w:t xml:space="preserve">Comment #4:  </w:t>
      </w:r>
      <w:r w:rsidRPr="004F67CE">
        <w:rPr>
          <w:sz w:val="24"/>
          <w:szCs w:val="24"/>
        </w:rPr>
        <w:t>CLS notes that w</w:t>
      </w:r>
      <w:r w:rsidRPr="004F67CE">
        <w:rPr>
          <w:sz w:val="24"/>
          <w:szCs w:val="24"/>
        </w:rPr>
        <w:t xml:space="preserve">orkers who are unable to use </w:t>
      </w:r>
      <w:r w:rsidRPr="004F67CE">
        <w:rPr>
          <w:sz w:val="24"/>
          <w:szCs w:val="24"/>
        </w:rPr>
        <w:t>MyWage</w:t>
      </w:r>
      <w:r w:rsidRPr="004F67CE">
        <w:rPr>
          <w:sz w:val="24"/>
          <w:szCs w:val="24"/>
        </w:rPr>
        <w:t xml:space="preserve"> Report tend to resort to faxing in pay stubs or bringing them in person, rather than using another modality, generating extra work for SSA staff and potentially adding to travel time for the respondent.</w:t>
      </w:r>
    </w:p>
    <w:p w:rsidR="004F67CE" w:rsidP="004F67CE" w14:paraId="1553A112" w14:textId="77777777">
      <w:pPr>
        <w:pStyle w:val="ListParagraph"/>
        <w:rPr>
          <w:sz w:val="24"/>
          <w:szCs w:val="24"/>
        </w:rPr>
      </w:pPr>
    </w:p>
    <w:p w:rsidR="00272465" w:rsidRPr="004F67CE" w:rsidP="004F67CE" w14:paraId="1479676C" w14:textId="7EE399E3">
      <w:pPr>
        <w:suppressAutoHyphens w:val="0"/>
        <w:spacing w:after="160" w:line="278" w:lineRule="auto"/>
        <w:ind w:left="360"/>
        <w:rPr>
          <w:b/>
          <w:bCs/>
          <w:color w:val="0000FF"/>
          <w:sz w:val="24"/>
          <w:szCs w:val="24"/>
        </w:rPr>
      </w:pPr>
      <w:r w:rsidRPr="004F67CE">
        <w:rPr>
          <w:b/>
          <w:bCs/>
          <w:color w:val="0000FF"/>
          <w:sz w:val="24"/>
          <w:szCs w:val="24"/>
        </w:rPr>
        <w:t>SSA Response #4:</w:t>
      </w:r>
      <w:r w:rsidRPr="004F67CE">
        <w:rPr>
          <w:color w:val="0000FF"/>
          <w:sz w:val="24"/>
          <w:szCs w:val="24"/>
        </w:rPr>
        <w:t xml:space="preserve">  </w:t>
      </w:r>
      <w:r w:rsidRPr="004F67CE">
        <w:rPr>
          <w:color w:val="0000FF"/>
          <w:sz w:val="24"/>
          <w:szCs w:val="24"/>
        </w:rPr>
        <w:t xml:space="preserve">We strive to offer as many service channels as possible for wage reporting and will continue to accept pay stubs at our field offices or electronically using Upload Documents for individuals who choose not to report wages using our electronic tools. </w:t>
      </w:r>
      <w:r w:rsidR="001772DA">
        <w:rPr>
          <w:color w:val="0000FF"/>
          <w:sz w:val="24"/>
          <w:szCs w:val="24"/>
        </w:rPr>
        <w:t>We also understand that s</w:t>
      </w:r>
      <w:r w:rsidRPr="004F67CE">
        <w:rPr>
          <w:color w:val="0000FF"/>
          <w:sz w:val="24"/>
          <w:szCs w:val="24"/>
        </w:rPr>
        <w:t xml:space="preserve">ome individuals whose circumstances do not </w:t>
      </w:r>
      <w:r w:rsidRPr="004F67CE">
        <w:rPr>
          <w:color w:val="0000FF"/>
          <w:sz w:val="24"/>
          <w:szCs w:val="24"/>
        </w:rPr>
        <w:t>allow for</w:t>
      </w:r>
      <w:r w:rsidRPr="004F67CE">
        <w:rPr>
          <w:color w:val="0000FF"/>
          <w:sz w:val="24"/>
          <w:szCs w:val="24"/>
        </w:rPr>
        <w:t xml:space="preserve"> </w:t>
      </w:r>
      <w:r w:rsidRPr="004F67CE">
        <w:rPr>
          <w:color w:val="0000FF"/>
          <w:sz w:val="24"/>
          <w:szCs w:val="24"/>
        </w:rPr>
        <w:t>reporting using</w:t>
      </w:r>
      <w:r w:rsidRPr="004F67CE">
        <w:rPr>
          <w:color w:val="0000FF"/>
          <w:sz w:val="24"/>
          <w:szCs w:val="24"/>
        </w:rPr>
        <w:t xml:space="preserve"> electronic wage reporting (e.g., they have impairment related work expenses or other deductions from gross wages that SSA must determine) cannot use any of our electronic tools and must continue to use traditional reporting methods.</w:t>
      </w:r>
      <w:r w:rsidR="001772DA">
        <w:rPr>
          <w:color w:val="0000FF"/>
          <w:sz w:val="24"/>
          <w:szCs w:val="24"/>
        </w:rPr>
        <w:t xml:space="preserve">  This is why we recommend respondents </w:t>
      </w:r>
      <w:r w:rsidRPr="004F67CE" w:rsidR="001772DA">
        <w:rPr>
          <w:color w:val="0000FF"/>
          <w:sz w:val="24"/>
          <w:szCs w:val="24"/>
        </w:rPr>
        <w:t>reach out to SSA to learn more about the wage reporting options available to them and get help in deciding which tool may serve them best</w:t>
      </w:r>
      <w:r w:rsidR="001772DA">
        <w:rPr>
          <w:color w:val="0000FF"/>
          <w:sz w:val="24"/>
          <w:szCs w:val="24"/>
        </w:rPr>
        <w:t>.</w:t>
      </w:r>
    </w:p>
    <w:p w:rsidR="00272465" w:rsidRPr="00272465" w:rsidP="00272465" w14:paraId="10814B64" w14:textId="77777777">
      <w:pPr>
        <w:ind w:left="720"/>
        <w:rPr>
          <w:sz w:val="24"/>
          <w:szCs w:val="24"/>
        </w:rPr>
      </w:pPr>
    </w:p>
    <w:p w:rsidR="001772DA" w:rsidRPr="001772DA" w:rsidP="00272465" w14:paraId="35161FF4" w14:textId="77777777">
      <w:pPr>
        <w:numPr>
          <w:ilvl w:val="0"/>
          <w:numId w:val="5"/>
        </w:numPr>
        <w:suppressAutoHyphens w:val="0"/>
        <w:spacing w:after="160" w:line="278" w:lineRule="auto"/>
        <w:rPr>
          <w:sz w:val="24"/>
          <w:szCs w:val="24"/>
        </w:rPr>
      </w:pPr>
      <w:r w:rsidRPr="00272465">
        <w:rPr>
          <w:b/>
          <w:bCs/>
          <w:sz w:val="24"/>
          <w:szCs w:val="24"/>
        </w:rPr>
        <w:t xml:space="preserve">Comment #5:  </w:t>
      </w:r>
      <w:r w:rsidRPr="001772DA">
        <w:rPr>
          <w:sz w:val="24"/>
          <w:szCs w:val="24"/>
        </w:rPr>
        <w:t xml:space="preserve">CLS states that </w:t>
      </w:r>
      <w:r w:rsidRPr="001772DA">
        <w:rPr>
          <w:sz w:val="24"/>
          <w:szCs w:val="24"/>
        </w:rPr>
        <w:t xml:space="preserve">SSI claimants are unable to report IREWs/BWES at the same time they report their wages, which </w:t>
      </w:r>
      <w:r w:rsidRPr="001772DA">
        <w:rPr>
          <w:sz w:val="24"/>
          <w:szCs w:val="24"/>
        </w:rPr>
        <w:t xml:space="preserve">they believe </w:t>
      </w:r>
      <w:r w:rsidRPr="001772DA">
        <w:rPr>
          <w:sz w:val="24"/>
          <w:szCs w:val="24"/>
        </w:rPr>
        <w:t xml:space="preserve">is a missed opportunity.  </w:t>
      </w:r>
      <w:r w:rsidRPr="001772DA">
        <w:rPr>
          <w:sz w:val="24"/>
          <w:szCs w:val="24"/>
        </w:rPr>
        <w:t xml:space="preserve">They note that </w:t>
      </w:r>
      <w:r w:rsidRPr="001772DA">
        <w:rPr>
          <w:sz w:val="24"/>
          <w:szCs w:val="24"/>
        </w:rPr>
        <w:t>claimants</w:t>
      </w:r>
      <w:r w:rsidRPr="001772DA">
        <w:rPr>
          <w:sz w:val="24"/>
          <w:szCs w:val="24"/>
        </w:rPr>
        <w:t xml:space="preserve"> often</w:t>
      </w:r>
      <w:r w:rsidRPr="001772DA">
        <w:rPr>
          <w:sz w:val="24"/>
          <w:szCs w:val="24"/>
        </w:rPr>
        <w:t xml:space="preserve"> forget to follow up with this separately which results in inappropriate and easily avoidable overpayments</w:t>
      </w:r>
      <w:r w:rsidRPr="001772DA">
        <w:rPr>
          <w:sz w:val="24"/>
          <w:szCs w:val="24"/>
        </w:rPr>
        <w:t>.</w:t>
      </w:r>
    </w:p>
    <w:p w:rsidR="00272465" w:rsidRPr="001772DA" w:rsidP="00272465" w14:paraId="591CECED" w14:textId="3DEA87B0">
      <w:pPr>
        <w:numPr>
          <w:ilvl w:val="0"/>
          <w:numId w:val="5"/>
        </w:numPr>
        <w:suppressAutoHyphens w:val="0"/>
        <w:spacing w:after="160" w:line="278" w:lineRule="auto"/>
        <w:rPr>
          <w:b/>
          <w:bCs/>
          <w:color w:val="0000FF"/>
          <w:sz w:val="24"/>
          <w:szCs w:val="24"/>
        </w:rPr>
      </w:pPr>
      <w:r w:rsidRPr="001772DA">
        <w:rPr>
          <w:b/>
          <w:bCs/>
          <w:color w:val="0000FF"/>
          <w:sz w:val="24"/>
          <w:szCs w:val="24"/>
        </w:rPr>
        <w:t xml:space="preserve">SSA Response #5:  </w:t>
      </w:r>
      <w:r w:rsidRPr="001772DA">
        <w:rPr>
          <w:color w:val="0000FF"/>
          <w:sz w:val="24"/>
          <w:szCs w:val="24"/>
        </w:rPr>
        <w:t xml:space="preserve">We are aware that our electronic services for wage reporting may not extend to complex cases. </w:t>
      </w:r>
      <w:r>
        <w:rPr>
          <w:color w:val="0000FF"/>
          <w:sz w:val="24"/>
          <w:szCs w:val="24"/>
        </w:rPr>
        <w:t xml:space="preserve"> </w:t>
      </w:r>
      <w:r w:rsidRPr="001772DA">
        <w:rPr>
          <w:color w:val="0000FF"/>
          <w:sz w:val="24"/>
          <w:szCs w:val="24"/>
        </w:rPr>
        <w:t xml:space="preserve">To ensure the accuracy of IRWE and BWE related deductions, </w:t>
      </w:r>
      <w:r w:rsidRPr="001772DA">
        <w:rPr>
          <w:color w:val="0000FF"/>
          <w:sz w:val="24"/>
          <w:szCs w:val="24"/>
        </w:rPr>
        <w:t>agency policy prevents support for these reports in our electronic wage reporting tools.</w:t>
      </w:r>
      <w:r>
        <w:rPr>
          <w:color w:val="0000FF"/>
          <w:sz w:val="24"/>
          <w:szCs w:val="24"/>
        </w:rPr>
        <w:t xml:space="preserve"> </w:t>
      </w:r>
      <w:r w:rsidRPr="001772DA">
        <w:rPr>
          <w:color w:val="0000FF"/>
          <w:sz w:val="24"/>
          <w:szCs w:val="24"/>
        </w:rPr>
        <w:t xml:space="preserve"> As resources and technology allow, we will continue to explore opportunities to enhance our services and improve the wage reporting process for the public.</w:t>
      </w:r>
    </w:p>
    <w:p w:rsidR="00272465" w:rsidRPr="00272465" w:rsidP="00272465" w14:paraId="44914D4C" w14:textId="77777777">
      <w:pPr>
        <w:rPr>
          <w:sz w:val="24"/>
          <w:szCs w:val="24"/>
          <w:lang w:eastAsia="en-US"/>
        </w:rPr>
      </w:pPr>
    </w:p>
    <w:p w:rsidR="00272465" w:rsidRPr="00272465" w:rsidP="00272465" w14:paraId="49BAC08F" w14:textId="77777777">
      <w:pPr>
        <w:pStyle w:val="Heading2"/>
        <w:rPr>
          <w:rFonts w:ascii="Times New Roman" w:hAnsi="Times New Roman" w:cs="Times New Roman"/>
          <w:b/>
          <w:bCs/>
          <w:i/>
          <w:iCs/>
          <w:color w:val="000000" w:themeColor="text1"/>
          <w:sz w:val="24"/>
          <w:szCs w:val="24"/>
        </w:rPr>
      </w:pPr>
      <w:r w:rsidRPr="00272465">
        <w:rPr>
          <w:rFonts w:ascii="Times New Roman" w:hAnsi="Times New Roman" w:cs="Times New Roman"/>
          <w:b/>
          <w:bCs/>
          <w:color w:val="000000" w:themeColor="text1"/>
          <w:sz w:val="24"/>
          <w:szCs w:val="24"/>
        </w:rPr>
        <w:t>30-Day Comment Period Federal Register Notice (FRN):</w:t>
      </w:r>
    </w:p>
    <w:p w:rsidR="00272465" w:rsidRPr="00272465" w:rsidP="00272465" w14:paraId="1C7A16A0" w14:textId="1A5D26BF">
      <w:pPr>
        <w:rPr>
          <w:sz w:val="24"/>
          <w:szCs w:val="24"/>
        </w:rPr>
      </w:pPr>
      <w:r w:rsidRPr="00272465">
        <w:rPr>
          <w:sz w:val="24"/>
          <w:szCs w:val="24"/>
        </w:rPr>
        <w:t xml:space="preserve">The 30-day Comment Period began on </w:t>
      </w:r>
      <w:r w:rsidR="001772DA">
        <w:rPr>
          <w:sz w:val="24"/>
          <w:szCs w:val="24"/>
        </w:rPr>
        <w:t>May 22,</w:t>
      </w:r>
      <w:r w:rsidRPr="00272465">
        <w:rPr>
          <w:sz w:val="24"/>
          <w:szCs w:val="24"/>
        </w:rPr>
        <w:t xml:space="preserve"> 202</w:t>
      </w:r>
      <w:r w:rsidR="001772DA">
        <w:rPr>
          <w:sz w:val="24"/>
          <w:szCs w:val="24"/>
        </w:rPr>
        <w:t>6</w:t>
      </w:r>
      <w:r w:rsidRPr="00272465">
        <w:rPr>
          <w:sz w:val="24"/>
          <w:szCs w:val="24"/>
        </w:rPr>
        <w:t>, and will end on J</w:t>
      </w:r>
      <w:r w:rsidR="001772DA">
        <w:rPr>
          <w:sz w:val="24"/>
          <w:szCs w:val="24"/>
        </w:rPr>
        <w:t>une</w:t>
      </w:r>
      <w:r w:rsidRPr="00272465">
        <w:rPr>
          <w:sz w:val="24"/>
          <w:szCs w:val="24"/>
        </w:rPr>
        <w:t xml:space="preserve"> </w:t>
      </w:r>
      <w:r w:rsidR="001772DA">
        <w:rPr>
          <w:sz w:val="24"/>
          <w:szCs w:val="24"/>
        </w:rPr>
        <w:t>22</w:t>
      </w:r>
      <w:r w:rsidRPr="00272465">
        <w:rPr>
          <w:sz w:val="24"/>
          <w:szCs w:val="24"/>
        </w:rPr>
        <w:t>, 2026, at 11:59pm.  We will review and respond to any public comments we receive during the 30-day comment period FRN.  If we receive any comments in response to this Notice, we will forward them to OMB.</w:t>
      </w:r>
    </w:p>
    <w:p w:rsidR="00272465" w:rsidRPr="00272465" w:rsidP="00272465" w14:paraId="679E94AE" w14:textId="77777777">
      <w:pPr>
        <w:rPr>
          <w:color w:val="0000FF"/>
          <w:sz w:val="24"/>
          <w:szCs w:val="24"/>
          <w:lang w:eastAsia="en-US"/>
        </w:rPr>
      </w:pPr>
    </w:p>
    <w:sectPr>
      <w:footerReference w:type="default" r:id="rId7"/>
      <w:footnotePr>
        <w:pos w:val="beneathText"/>
      </w:footnotePr>
      <w:pgSz w:w="12240" w:h="15840"/>
      <w:pgMar w:top="1440" w:right="1440" w:bottom="1496" w:left="1440" w:header="720" w:footer="144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B45" w14:paraId="027906DB" w14:textId="77777777">
    <w:pPr>
      <w:pStyle w:val="Footer"/>
    </w:pPr>
  </w:p>
  <w:p w:rsidR="00DB0B45" w14:paraId="7808AD69" w14:textId="77777777">
    <w:pPr>
      <w:pStyle w:val="Foote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A87761"/>
    <w:multiLevelType w:val="hybridMultilevel"/>
    <w:tmpl w:val="ADF2BC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4A137D84"/>
    <w:multiLevelType w:val="hybridMultilevel"/>
    <w:tmpl w:val="05D4E0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56025DD3"/>
    <w:multiLevelType w:val="hybridMultilevel"/>
    <w:tmpl w:val="82B4D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7F4874"/>
    <w:multiLevelType w:val="hybridMultilevel"/>
    <w:tmpl w:val="7B248E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3B71C8D"/>
    <w:multiLevelType w:val="hybridMultilevel"/>
    <w:tmpl w:val="4F085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6784437">
    <w:abstractNumId w:val="3"/>
  </w:num>
  <w:num w:numId="2" w16cid:durableId="2131170220">
    <w:abstractNumId w:val="2"/>
  </w:num>
  <w:num w:numId="3" w16cid:durableId="1261261685">
    <w:abstractNumId w:val="4"/>
  </w:num>
  <w:num w:numId="4" w16cid:durableId="1719012651">
    <w:abstractNumId w:val="0"/>
  </w:num>
  <w:num w:numId="5" w16cid:durableId="773090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D7"/>
    <w:rsid w:val="0002531A"/>
    <w:rsid w:val="00061CB9"/>
    <w:rsid w:val="00076564"/>
    <w:rsid w:val="00077466"/>
    <w:rsid w:val="00091C62"/>
    <w:rsid w:val="0009650E"/>
    <w:rsid w:val="000A0336"/>
    <w:rsid w:val="000B4629"/>
    <w:rsid w:val="0010527A"/>
    <w:rsid w:val="001772DA"/>
    <w:rsid w:val="00184557"/>
    <w:rsid w:val="001942C6"/>
    <w:rsid w:val="001D302D"/>
    <w:rsid w:val="001F384C"/>
    <w:rsid w:val="00272465"/>
    <w:rsid w:val="00275D32"/>
    <w:rsid w:val="002C592F"/>
    <w:rsid w:val="00347D0D"/>
    <w:rsid w:val="00373E7A"/>
    <w:rsid w:val="0040712E"/>
    <w:rsid w:val="00435551"/>
    <w:rsid w:val="00447DD0"/>
    <w:rsid w:val="00450156"/>
    <w:rsid w:val="004E7DC7"/>
    <w:rsid w:val="004F4FC0"/>
    <w:rsid w:val="004F67CE"/>
    <w:rsid w:val="005450D3"/>
    <w:rsid w:val="00565F6D"/>
    <w:rsid w:val="005E79BB"/>
    <w:rsid w:val="005F4DE5"/>
    <w:rsid w:val="00636E36"/>
    <w:rsid w:val="00660424"/>
    <w:rsid w:val="00661E06"/>
    <w:rsid w:val="00687F33"/>
    <w:rsid w:val="00712BB4"/>
    <w:rsid w:val="0073038B"/>
    <w:rsid w:val="00767172"/>
    <w:rsid w:val="008948C9"/>
    <w:rsid w:val="008A4313"/>
    <w:rsid w:val="00901875"/>
    <w:rsid w:val="00930C63"/>
    <w:rsid w:val="009353AF"/>
    <w:rsid w:val="00963B73"/>
    <w:rsid w:val="009865DC"/>
    <w:rsid w:val="00990C06"/>
    <w:rsid w:val="00A333DA"/>
    <w:rsid w:val="00A8774E"/>
    <w:rsid w:val="00AB6A12"/>
    <w:rsid w:val="00AF4C26"/>
    <w:rsid w:val="00B100AB"/>
    <w:rsid w:val="00B127A8"/>
    <w:rsid w:val="00B21FDD"/>
    <w:rsid w:val="00B422EE"/>
    <w:rsid w:val="00B841DF"/>
    <w:rsid w:val="00BB210F"/>
    <w:rsid w:val="00BB6982"/>
    <w:rsid w:val="00BB7F0A"/>
    <w:rsid w:val="00BC198B"/>
    <w:rsid w:val="00BC3EA0"/>
    <w:rsid w:val="00C2752F"/>
    <w:rsid w:val="00C3158A"/>
    <w:rsid w:val="00C35DE8"/>
    <w:rsid w:val="00C55A29"/>
    <w:rsid w:val="00CC741B"/>
    <w:rsid w:val="00CF6128"/>
    <w:rsid w:val="00CF72F3"/>
    <w:rsid w:val="00DB039B"/>
    <w:rsid w:val="00DB0B45"/>
    <w:rsid w:val="00DC2A20"/>
    <w:rsid w:val="00DE1550"/>
    <w:rsid w:val="00DE20D7"/>
    <w:rsid w:val="00E225F2"/>
    <w:rsid w:val="00E36607"/>
    <w:rsid w:val="00E55378"/>
    <w:rsid w:val="00E61A04"/>
    <w:rsid w:val="00E6579D"/>
    <w:rsid w:val="00E65DF4"/>
    <w:rsid w:val="00E755A9"/>
    <w:rsid w:val="00E858DF"/>
    <w:rsid w:val="00EA1B3F"/>
    <w:rsid w:val="00ED3CD1"/>
    <w:rsid w:val="00EE4F95"/>
    <w:rsid w:val="00EE6589"/>
    <w:rsid w:val="00F83CEC"/>
    <w:rsid w:val="00F85BDE"/>
    <w:rsid w:val="00F93F89"/>
    <w:rsid w:val="00FB2F1C"/>
    <w:rsid w:val="00FD0AAB"/>
    <w:rsid w:val="24BD424E"/>
    <w:rsid w:val="2B951A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6BDBC0"/>
  <w15:docId w15:val="{F0FBAF32-0EC4-4C33-B90B-96E00268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link w:val="Heading1Char"/>
    <w:qFormat/>
    <w:rsid w:val="009865DC"/>
    <w:pPr>
      <w:keepNext/>
      <w:widowControl w:val="0"/>
      <w:tabs>
        <w:tab w:val="center" w:pos="4680"/>
      </w:tabs>
      <w:jc w:val="center"/>
      <w:outlineLvl w:val="0"/>
    </w:pPr>
    <w:rPr>
      <w:b/>
      <w:bCs/>
      <w:snapToGrid w:val="0"/>
      <w:sz w:val="24"/>
      <w:szCs w:val="24"/>
      <w:lang w:eastAsia="en-US"/>
    </w:rPr>
  </w:style>
  <w:style w:type="paragraph" w:styleId="Heading2">
    <w:name w:val="heading 2"/>
    <w:basedOn w:val="Normal"/>
    <w:next w:val="Normal"/>
    <w:link w:val="Heading2Char"/>
    <w:uiPriority w:val="9"/>
    <w:semiHidden/>
    <w:unhideWhenUsed/>
    <w:qFormat/>
    <w:rsid w:val="00636E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semiHidden/>
    <w:unhideWhenUsed/>
    <w:qFormat/>
    <w:rsid w:val="00CF612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sz w:val="24"/>
    </w:rPr>
  </w:style>
  <w:style w:type="character" w:customStyle="1" w:styleId="WW8Num4z0">
    <w:name w:val="WW8Num4z0"/>
    <w:rPr>
      <w:strike w:val="0"/>
      <w:dstrike w:val="0"/>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pPr>
      <w:widowControl w:val="0"/>
    </w:pPr>
    <w:rPr>
      <w:rFonts w:ascii="Courier New" w:hAnsi="Courier New" w:cs="Courier New"/>
      <w:sz w:val="24"/>
      <w:szCs w:val="24"/>
    </w:rPr>
  </w:style>
  <w:style w:type="paragraph" w:styleId="BodyTextIndent">
    <w:name w:val="Body Text Indent"/>
    <w:basedOn w:val="Normal"/>
    <w:semiHidden/>
    <w:pPr>
      <w:widowControl w:val="0"/>
      <w:tabs>
        <w:tab w:val="left" w:pos="-720"/>
        <w:tab w:val="left" w:pos="0"/>
        <w:tab w:val="left" w:pos="720"/>
      </w:tabs>
      <w:ind w:left="1440" w:hanging="1440"/>
    </w:pPr>
    <w:rPr>
      <w:rFonts w:ascii="Courier New" w:hAnsi="Courier New" w:cs="Courier New"/>
      <w:sz w:val="24"/>
      <w:szCs w:val="24"/>
    </w:rPr>
  </w:style>
  <w:style w:type="paragraph" w:styleId="Footer">
    <w:name w:val="footer"/>
    <w:basedOn w:val="Normal"/>
    <w:semiHidden/>
    <w:pPr>
      <w:widowControl w:val="0"/>
      <w:tabs>
        <w:tab w:val="center" w:pos="4320"/>
        <w:tab w:val="right" w:pos="8640"/>
      </w:tabs>
    </w:pPr>
    <w:rPr>
      <w:rFonts w:ascii="Courier New" w:hAnsi="Courier New" w:cs="Courier New"/>
    </w:rPr>
  </w:style>
  <w:style w:type="paragraph" w:styleId="BalloonText">
    <w:name w:val="Balloon Text"/>
    <w:basedOn w:val="Normal"/>
    <w:rPr>
      <w:rFonts w:ascii="Tahoma" w:hAnsi="Tahoma" w:cs="Tahoma"/>
      <w:sz w:val="16"/>
      <w:szCs w:val="16"/>
    </w:rPr>
  </w:style>
  <w:style w:type="paragraph" w:styleId="Header">
    <w:name w:val="header"/>
    <w:basedOn w:val="Normal"/>
    <w:semiHidden/>
    <w:pPr>
      <w:tabs>
        <w:tab w:val="center" w:pos="4320"/>
        <w:tab w:val="right" w:pos="8640"/>
      </w:tabs>
    </w:pPr>
  </w:style>
  <w:style w:type="paragraph" w:customStyle="1" w:styleId="Style1">
    <w:name w:val="Style 1"/>
    <w:basedOn w:val="Normal"/>
    <w:pPr>
      <w:spacing w:before="252"/>
      <w:ind w:left="1440" w:hanging="720"/>
    </w:pPr>
  </w:style>
  <w:style w:type="character" w:customStyle="1" w:styleId="Heading1Char">
    <w:name w:val="Heading 1 Char"/>
    <w:basedOn w:val="DefaultParagraphFont"/>
    <w:link w:val="Heading1"/>
    <w:rsid w:val="009865DC"/>
    <w:rPr>
      <w:b/>
      <w:bCs/>
      <w:snapToGrid w:val="0"/>
      <w:sz w:val="24"/>
      <w:szCs w:val="24"/>
    </w:rPr>
  </w:style>
  <w:style w:type="character" w:customStyle="1" w:styleId="Heading7Char">
    <w:name w:val="Heading 7 Char"/>
    <w:basedOn w:val="DefaultParagraphFont"/>
    <w:link w:val="Heading7"/>
    <w:uiPriority w:val="9"/>
    <w:semiHidden/>
    <w:rsid w:val="00CF6128"/>
    <w:rPr>
      <w:rFonts w:asciiTheme="majorHAnsi" w:eastAsiaTheme="majorEastAsia" w:hAnsiTheme="majorHAnsi" w:cstheme="majorBidi"/>
      <w:i/>
      <w:iCs/>
      <w:color w:val="243F60" w:themeColor="accent1" w:themeShade="7F"/>
      <w:lang w:eastAsia="ar-SA"/>
    </w:rPr>
  </w:style>
  <w:style w:type="paragraph" w:styleId="ListParagraph">
    <w:name w:val="List Paragraph"/>
    <w:basedOn w:val="Normal"/>
    <w:uiPriority w:val="34"/>
    <w:qFormat/>
    <w:rsid w:val="00687F33"/>
    <w:pPr>
      <w:ind w:left="720"/>
      <w:contextualSpacing/>
    </w:pPr>
  </w:style>
  <w:style w:type="paragraph" w:styleId="Revision">
    <w:name w:val="Revision"/>
    <w:hidden/>
    <w:uiPriority w:val="99"/>
    <w:semiHidden/>
    <w:rsid w:val="00687F33"/>
    <w:rPr>
      <w:lang w:eastAsia="ar-SA"/>
    </w:rPr>
  </w:style>
  <w:style w:type="character" w:customStyle="1" w:styleId="Heading2Char">
    <w:name w:val="Heading 2 Char"/>
    <w:basedOn w:val="DefaultParagraphFont"/>
    <w:link w:val="Heading2"/>
    <w:uiPriority w:val="9"/>
    <w:semiHidden/>
    <w:rsid w:val="00636E36"/>
    <w:rPr>
      <w:rFonts w:asciiTheme="majorHAnsi" w:eastAsiaTheme="majorEastAsia" w:hAnsiTheme="majorHAnsi" w:cstheme="majorBidi"/>
      <w:color w:val="365F91" w:themeColor="accent1" w:themeShade="BF"/>
      <w:sz w:val="26"/>
      <w:szCs w:val="26"/>
      <w:lang w:eastAsia="ar-SA"/>
    </w:rPr>
  </w:style>
  <w:style w:type="paragraph" w:styleId="CommentText">
    <w:name w:val="annotation text"/>
    <w:basedOn w:val="Normal"/>
    <w:link w:val="CommentTextChar"/>
    <w:uiPriority w:val="99"/>
    <w:unhideWhenUsed/>
    <w:rsid w:val="00272465"/>
    <w:pPr>
      <w:suppressAutoHyphens w:val="0"/>
      <w:spacing w:after="160"/>
    </w:pPr>
    <w:rPr>
      <w:rFonts w:asciiTheme="minorHAnsi" w:eastAsiaTheme="minorHAnsi" w:hAnsiTheme="minorHAnsi" w:cstheme="minorBidi"/>
      <w:kern w:val="2"/>
      <w:lang w:eastAsia="en-US"/>
      <w14:ligatures w14:val="standardContextual"/>
    </w:rPr>
  </w:style>
  <w:style w:type="character" w:customStyle="1" w:styleId="CommentTextChar">
    <w:name w:val="Comment Text Char"/>
    <w:basedOn w:val="DefaultParagraphFont"/>
    <w:link w:val="CommentText"/>
    <w:uiPriority w:val="99"/>
    <w:rsid w:val="00272465"/>
    <w:rPr>
      <w:rFonts w:asciiTheme="minorHAnsi" w:eastAsiaTheme="minorHAnsi" w:hAnsiTheme="minorHAnsi" w:cstheme="minorBidi"/>
      <w:kern w:val="2"/>
      <w14:ligatures w14:val="standardContextual"/>
    </w:rPr>
  </w:style>
  <w:style w:type="paragraph" w:customStyle="1" w:styleId="TxBrp1">
    <w:name w:val="TxBr_p1"/>
    <w:basedOn w:val="Normal"/>
    <w:rsid w:val="00272465"/>
    <w:pPr>
      <w:widowControl w:val="0"/>
      <w:tabs>
        <w:tab w:val="left" w:pos="204"/>
      </w:tabs>
      <w:suppressAutoHyphens w:val="0"/>
      <w:autoSpaceDE w:val="0"/>
      <w:autoSpaceDN w:val="0"/>
      <w:adjustRightInd w:val="0"/>
      <w:spacing w:line="345" w:lineRule="atLeast"/>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03D22E5B51A4EB8BA2E3371204C1A" ma:contentTypeVersion="16" ma:contentTypeDescription="Create a new document." ma:contentTypeScope="" ma:versionID="7b9bb4a6a1a704b18a0b0b8f8cad3743">
  <xsd:schema xmlns:xsd="http://www.w3.org/2001/XMLSchema" xmlns:xs="http://www.w3.org/2001/XMLSchema" xmlns:p="http://schemas.microsoft.com/office/2006/metadata/properties" xmlns:ns3="9a16be28-60b6-44c9-9bbc-c40290e83457" xmlns:ns4="46db731c-7e17-40b5-ac35-8fa7e8e2146f" targetNamespace="http://schemas.microsoft.com/office/2006/metadata/properties" ma:root="true" ma:fieldsID="e929f6662b7317efd9e89ec486fb79fc" ns3:_="" ns4:_="">
    <xsd:import namespace="9a16be28-60b6-44c9-9bbc-c40290e83457"/>
    <xsd:import namespace="46db731c-7e17-40b5-ac35-8fa7e8e214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6be28-60b6-44c9-9bbc-c40290e83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db731c-7e17-40b5-ac35-8fa7e8e214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a16be28-60b6-44c9-9bbc-c40290e834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7F0D6-C658-496E-A8D5-996803D69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6be28-60b6-44c9-9bbc-c40290e83457"/>
    <ds:schemaRef ds:uri="46db731c-7e17-40b5-ac35-8fa7e8e21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32177-6A61-437C-A19D-1B0691C5931C}">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9a16be28-60b6-44c9-9bbc-c40290e83457"/>
    <ds:schemaRef ds:uri="46db731c-7e17-40b5-ac35-8fa7e8e2146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FCD2DC3-E60B-4792-9018-3131867D0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842</Words>
  <Characters>5122</Characters>
  <Application>Microsoft Office Word</Application>
  <DocSecurity>0</DocSecurity>
  <Lines>232</Lines>
  <Paragraphs>121</Paragraphs>
  <ScaleCrop>false</ScaleCrop>
  <HeadingPairs>
    <vt:vector size="2" baseType="variant">
      <vt:variant>
        <vt:lpstr>Title</vt:lpstr>
      </vt:variant>
      <vt:variant>
        <vt:i4>1</vt:i4>
      </vt:variant>
    </vt:vector>
  </HeadingPairs>
  <TitlesOfParts>
    <vt:vector size="1" baseType="lpstr">
      <vt:lpstr>Supporting Statement For Form HA-539, Notice Regarding Substitution of Party Upon Death of Claimant</vt:lpstr>
    </vt:vector>
  </TitlesOfParts>
  <Company>Social Security Administration</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HA-539, Notice Regarding Substitution of Party Upon Death of Claimant</dc:title>
  <dc:creator>689830</dc:creator>
  <cp:lastModifiedBy>Naomi Sipple</cp:lastModifiedBy>
  <cp:revision>3</cp:revision>
  <cp:lastPrinted>2009-08-19T10:25:00Z</cp:lastPrinted>
  <dcterms:created xsi:type="dcterms:W3CDTF">2026-05-28T20:15:00Z</dcterms:created>
  <dcterms:modified xsi:type="dcterms:W3CDTF">2026-05-28T20:25:00Z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0x010100B0703D22E5B51A4EB8BA2E3371204C1A</vt:lpwstr>
  </property>
  <property fmtid="{D5CDD505-2E9C-101B-9397-08002B2CF9AE}" pid="3" name="_AdHocReviewCycleID">
    <vt:i4>716028604</vt:i4>
  </property>
  <property fmtid="{D5CDD505-2E9C-101B-9397-08002B2CF9AE}" pid="4" name="_AuthorEmail">
    <vt:lpwstr>Naomi.Sipple@ssa.gov</vt:lpwstr>
  </property>
  <property fmtid="{D5CDD505-2E9C-101B-9397-08002B2CF9AE}" pid="5" name="_AuthorEmailDisplayName">
    <vt:lpwstr>Sipple, Naomi   LP</vt:lpwstr>
  </property>
  <property fmtid="{D5CDD505-2E9C-101B-9397-08002B2CF9AE}" pid="6" name="_EmailSubject">
    <vt:lpwstr>Revised and Reformatted- FOR YOUR REVIEW- OMB CLEARANCE PACKAGE- 0960-0794// HA-L90, HA-L90- OP1</vt:lpwstr>
  </property>
  <property fmtid="{D5CDD505-2E9C-101B-9397-08002B2CF9AE}" pid="7" name="_NewReviewCycle">
    <vt:lpwstr/>
  </property>
  <property fmtid="{D5CDD505-2E9C-101B-9397-08002B2CF9AE}" pid="8" name="_PreviousAdHocReviewCycleID">
    <vt:i4>2126790829</vt:i4>
  </property>
</Properties>
</file>