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2221C" w14:paraId="29EAB9A5" w14:textId="5949F48B">
      <w:pPr>
        <w:pStyle w:val="Title"/>
      </w:pPr>
      <w:r>
        <w:t>Request for Approval under the “Administration for Children and Families</w:t>
      </w:r>
      <w:r>
        <w:rPr>
          <w:spacing w:val="-7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Collections</w:t>
      </w:r>
      <w:r>
        <w:rPr>
          <w:spacing w:val="-3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Gatherings”</w:t>
      </w:r>
    </w:p>
    <w:p w:rsidR="0082221C" w14:paraId="29EAB9A6" w14:textId="77777777">
      <w:pPr>
        <w:spacing w:before="2"/>
        <w:ind w:right="15"/>
        <w:jc w:val="center"/>
        <w:rPr>
          <w:b/>
          <w:sz w:val="28"/>
        </w:rPr>
      </w:pPr>
      <w:r>
        <w:rPr>
          <w:b/>
          <w:sz w:val="28"/>
        </w:rPr>
        <w:t>(OMB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Control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0970-</w:t>
      </w:r>
      <w:r>
        <w:rPr>
          <w:b/>
          <w:spacing w:val="-4"/>
          <w:sz w:val="28"/>
        </w:rPr>
        <w:t>0617)</w:t>
      </w:r>
    </w:p>
    <w:p w:rsidR="0082221C" w14:paraId="29EAB9A7" w14:textId="3EFFCBC4">
      <w:pPr>
        <w:pStyle w:val="BodyText"/>
        <w:spacing w:before="229"/>
        <w:rPr>
          <w:b/>
          <w:sz w:val="28"/>
        </w:rPr>
      </w:pPr>
    </w:p>
    <w:p w:rsidR="0082221C" w:rsidRPr="00405284" w14:paraId="29EAB9A8" w14:textId="0DCEDEA9">
      <w:pPr>
        <w:pStyle w:val="Heading1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COLLECTION:</w:t>
      </w:r>
      <w:r w:rsidR="00405251">
        <w:rPr>
          <w:spacing w:val="-2"/>
        </w:rPr>
        <w:t xml:space="preserve"> </w:t>
      </w:r>
      <w:r w:rsidRPr="00405284" w:rsidR="002B19C8">
        <w:rPr>
          <w:b w:val="0"/>
          <w:bCs w:val="0"/>
          <w:spacing w:val="-2"/>
        </w:rPr>
        <w:t>Child Care Quality and Business Support Center</w:t>
      </w:r>
      <w:r w:rsidRPr="00405284" w:rsidR="00630025">
        <w:rPr>
          <w:b w:val="0"/>
          <w:bCs w:val="0"/>
          <w:spacing w:val="-2"/>
        </w:rPr>
        <w:t xml:space="preserve">, </w:t>
      </w:r>
      <w:r w:rsidRPr="00405284" w:rsidR="000365F3">
        <w:rPr>
          <w:b w:val="0"/>
          <w:bCs w:val="0"/>
          <w:spacing w:val="-2"/>
        </w:rPr>
        <w:t xml:space="preserve">Events </w:t>
      </w:r>
      <w:r w:rsidRPr="00405284" w:rsidR="00405251">
        <w:rPr>
          <w:b w:val="0"/>
          <w:bCs w:val="0"/>
          <w:spacing w:val="-2"/>
        </w:rPr>
        <w:t xml:space="preserve">Registration </w:t>
      </w:r>
      <w:r w:rsidRPr="00405284" w:rsidR="000365F3">
        <w:rPr>
          <w:b w:val="0"/>
          <w:bCs w:val="0"/>
          <w:spacing w:val="-2"/>
        </w:rPr>
        <w:t xml:space="preserve">Questions </w:t>
      </w:r>
    </w:p>
    <w:p w:rsidR="0082221C" w:rsidRPr="00405284" w14:paraId="29EAB9A9" w14:textId="6FC7D4CD">
      <w:pPr>
        <w:pStyle w:val="BodyText"/>
        <w:rPr>
          <w:b/>
        </w:rPr>
      </w:pPr>
    </w:p>
    <w:p w:rsidR="0082221C" w:rsidRPr="00405284" w14:paraId="29EAB9AA" w14:textId="3D0B9A2E">
      <w:pPr>
        <w:pStyle w:val="BodyText"/>
        <w:ind w:left="100" w:right="354"/>
      </w:pPr>
      <w:r w:rsidRPr="00405284">
        <w:rPr>
          <w:b/>
        </w:rPr>
        <w:t>PURPOSE:</w:t>
      </w:r>
      <w:r w:rsidRPr="00405284">
        <w:rPr>
          <w:b/>
          <w:spacing w:val="40"/>
        </w:rPr>
        <w:t xml:space="preserve"> </w:t>
      </w:r>
      <w:r w:rsidRPr="00405284">
        <w:t>The purpose of this information collection is to obtain basic information about registrants</w:t>
      </w:r>
      <w:r w:rsidRPr="00405284">
        <w:rPr>
          <w:spacing w:val="-4"/>
        </w:rPr>
        <w:t xml:space="preserve"> </w:t>
      </w:r>
      <w:r w:rsidRPr="00405284">
        <w:t>for</w:t>
      </w:r>
      <w:r w:rsidRPr="00405284">
        <w:rPr>
          <w:spacing w:val="-5"/>
        </w:rPr>
        <w:t xml:space="preserve"> </w:t>
      </w:r>
      <w:r w:rsidRPr="00405284">
        <w:t>webinars</w:t>
      </w:r>
      <w:r w:rsidRPr="00405284">
        <w:rPr>
          <w:spacing w:val="-2"/>
        </w:rPr>
        <w:t xml:space="preserve"> </w:t>
      </w:r>
      <w:r w:rsidRPr="00405284">
        <w:t>and</w:t>
      </w:r>
      <w:r w:rsidRPr="00405284">
        <w:rPr>
          <w:spacing w:val="-4"/>
        </w:rPr>
        <w:t xml:space="preserve"> </w:t>
      </w:r>
      <w:r w:rsidRPr="00405284">
        <w:t>professional</w:t>
      </w:r>
      <w:r w:rsidRPr="00405284">
        <w:rPr>
          <w:spacing w:val="-4"/>
        </w:rPr>
        <w:t xml:space="preserve"> </w:t>
      </w:r>
      <w:r w:rsidRPr="00405284">
        <w:t>development</w:t>
      </w:r>
      <w:r w:rsidRPr="00405284">
        <w:rPr>
          <w:spacing w:val="-4"/>
        </w:rPr>
        <w:t xml:space="preserve"> </w:t>
      </w:r>
      <w:r w:rsidRPr="00405284">
        <w:t>training</w:t>
      </w:r>
      <w:r w:rsidRPr="00405284">
        <w:rPr>
          <w:spacing w:val="-4"/>
        </w:rPr>
        <w:t xml:space="preserve"> </w:t>
      </w:r>
      <w:r w:rsidRPr="00405284">
        <w:t>offered</w:t>
      </w:r>
      <w:r w:rsidRPr="00405284">
        <w:rPr>
          <w:spacing w:val="-4"/>
        </w:rPr>
        <w:t xml:space="preserve"> </w:t>
      </w:r>
      <w:r w:rsidRPr="00405284">
        <w:t>by</w:t>
      </w:r>
      <w:r w:rsidRPr="00405284">
        <w:rPr>
          <w:spacing w:val="-2"/>
        </w:rPr>
        <w:t xml:space="preserve"> </w:t>
      </w:r>
      <w:r w:rsidRPr="00405284">
        <w:t>the</w:t>
      </w:r>
      <w:r w:rsidRPr="00405284">
        <w:rPr>
          <w:spacing w:val="-1"/>
        </w:rPr>
        <w:t xml:space="preserve"> </w:t>
      </w:r>
      <w:r w:rsidRPr="00405284" w:rsidR="00500D00">
        <w:rPr>
          <w:spacing w:val="-1"/>
        </w:rPr>
        <w:t>Child Care Quality and Business</w:t>
      </w:r>
      <w:r w:rsidRPr="00405284" w:rsidR="001D1EC5">
        <w:rPr>
          <w:spacing w:val="-1"/>
        </w:rPr>
        <w:t xml:space="preserve"> Support Center (CQBSC), formerly the </w:t>
      </w:r>
      <w:r w:rsidRPr="00405284">
        <w:t>National</w:t>
      </w:r>
      <w:r w:rsidRPr="00405284">
        <w:rPr>
          <w:spacing w:val="-4"/>
        </w:rPr>
        <w:t xml:space="preserve"> </w:t>
      </w:r>
      <w:r w:rsidRPr="00405284">
        <w:t>Center</w:t>
      </w:r>
      <w:r w:rsidRPr="00405284">
        <w:rPr>
          <w:spacing w:val="-6"/>
        </w:rPr>
        <w:t xml:space="preserve"> </w:t>
      </w:r>
      <w:r w:rsidRPr="00405284">
        <w:t>on Early Childhood Quality Assurance</w:t>
      </w:r>
      <w:r w:rsidRPr="00405284" w:rsidR="00B821F3">
        <w:t xml:space="preserve"> (NCECQA)</w:t>
      </w:r>
      <w:r w:rsidRPr="00405284">
        <w:t>, which is funded by the Office of Child Care within the Administration for Children and Families.</w:t>
      </w:r>
      <w:r w:rsidRPr="00405284">
        <w:rPr>
          <w:spacing w:val="40"/>
        </w:rPr>
        <w:t xml:space="preserve"> </w:t>
      </w:r>
      <w:r w:rsidRPr="00405284" w:rsidR="00941087">
        <w:t>CQBSC provides</w:t>
      </w:r>
      <w:r w:rsidRPr="00405284">
        <w:t xml:space="preserve"> training and technical assistance to states, territories, Tribes, and intermediaries in the areas of child care licensing; quality initiatives, including workforce strategies and professional development; financing, family child care, and supply building.</w:t>
      </w:r>
      <w:r w:rsidRPr="00405284" w:rsidR="00EA46E5">
        <w:t xml:space="preserve"> </w:t>
      </w:r>
      <w:r w:rsidRPr="00405284" w:rsidR="00EA48ED">
        <w:t xml:space="preserve">The </w:t>
      </w:r>
      <w:r w:rsidRPr="00405284" w:rsidR="00783D55">
        <w:t xml:space="preserve">collected </w:t>
      </w:r>
      <w:r w:rsidRPr="00405284" w:rsidR="00EA48ED">
        <w:t xml:space="preserve">information </w:t>
      </w:r>
      <w:r w:rsidRPr="00405284" w:rsidR="00783D55">
        <w:t>will inform event planning.</w:t>
      </w:r>
    </w:p>
    <w:p w:rsidR="0082221C" w:rsidRPr="00405284" w14:paraId="29EAB9AB" w14:textId="77777777">
      <w:pPr>
        <w:pStyle w:val="BodyText"/>
      </w:pPr>
    </w:p>
    <w:p w:rsidR="0082221C" w:rsidP="000F634C" w14:paraId="29EAB9AC" w14:textId="4F0ABAF6">
      <w:pPr>
        <w:pStyle w:val="Header"/>
        <w:tabs>
          <w:tab w:val="clear" w:pos="4320"/>
          <w:tab w:val="clear" w:pos="8640"/>
        </w:tabs>
      </w:pPr>
      <w:r w:rsidRPr="00405284">
        <w:rPr>
          <w:b/>
        </w:rPr>
        <w:t>DESCRIPTION</w:t>
      </w:r>
      <w:r w:rsidRPr="00405284">
        <w:rPr>
          <w:b/>
          <w:spacing w:val="-4"/>
        </w:rPr>
        <w:t xml:space="preserve"> </w:t>
      </w:r>
      <w:r w:rsidRPr="00405284">
        <w:rPr>
          <w:b/>
        </w:rPr>
        <w:t>OF</w:t>
      </w:r>
      <w:r w:rsidRPr="00405284">
        <w:rPr>
          <w:b/>
          <w:spacing w:val="-4"/>
        </w:rPr>
        <w:t xml:space="preserve"> </w:t>
      </w:r>
      <w:r w:rsidRPr="00405284">
        <w:rPr>
          <w:b/>
        </w:rPr>
        <w:t>RESPONDENTS</w:t>
      </w:r>
      <w:r w:rsidRPr="00405284">
        <w:t>:</w:t>
      </w:r>
      <w:r w:rsidRPr="00405284">
        <w:rPr>
          <w:spacing w:val="-4"/>
        </w:rPr>
        <w:t xml:space="preserve"> </w:t>
      </w:r>
      <w:r w:rsidRPr="00405284" w:rsidR="00B821F3">
        <w:t>Respondents will include individuals who register for</w:t>
      </w:r>
      <w:r w:rsidRPr="00405284" w:rsidR="00405251">
        <w:t xml:space="preserve"> </w:t>
      </w:r>
      <w:r w:rsidRPr="00405284" w:rsidR="00A0143D">
        <w:t xml:space="preserve">CQBSC’s </w:t>
      </w:r>
      <w:r w:rsidRPr="00405284" w:rsidR="00B821F3">
        <w:t>events</w:t>
      </w:r>
      <w:bookmarkStart w:id="0" w:name="_Hlk185836269"/>
      <w:r w:rsidRPr="00405284" w:rsidR="00B821F3">
        <w:t>—mainly</w:t>
      </w:r>
      <w:bookmarkEnd w:id="0"/>
      <w:r w:rsidRPr="00405284" w:rsidR="00B821F3">
        <w:t xml:space="preserve">, </w:t>
      </w:r>
      <w:r w:rsidRPr="00405284" w:rsidR="00A70BED">
        <w:t>s</w:t>
      </w:r>
      <w:r w:rsidRPr="00405284" w:rsidR="00B821F3">
        <w:t xml:space="preserve">tate, territory, and Tribal staff that work on the Child Care and Development Fund </w:t>
      </w:r>
      <w:r w:rsidRPr="00405284" w:rsidR="009A455A">
        <w:t xml:space="preserve">(CCDF) </w:t>
      </w:r>
      <w:r w:rsidRPr="00405284" w:rsidR="00B821F3">
        <w:t xml:space="preserve">program. Registrants may also include OCC </w:t>
      </w:r>
      <w:r w:rsidRPr="00405284" w:rsidR="00B821F3">
        <w:rPr>
          <w:rStyle w:val="normaltextrun"/>
          <w:color w:val="000000"/>
          <w:shd w:val="clear" w:color="auto" w:fill="FFFFFF"/>
        </w:rPr>
        <w:t>partner organizations</w:t>
      </w:r>
      <w:r w:rsidR="00B821F3">
        <w:rPr>
          <w:rStyle w:val="normaltextrun"/>
          <w:color w:val="000000"/>
          <w:shd w:val="clear" w:color="auto" w:fill="FFFFFF"/>
        </w:rPr>
        <w:t xml:space="preserve">, such as nongovernment statewide organization </w:t>
      </w:r>
      <w:r w:rsidR="00B25094">
        <w:rPr>
          <w:rStyle w:val="normaltextrun"/>
          <w:color w:val="000000"/>
          <w:shd w:val="clear" w:color="auto" w:fill="FFFFFF"/>
        </w:rPr>
        <w:t>staff,</w:t>
      </w:r>
      <w:r w:rsidR="00B821F3">
        <w:rPr>
          <w:rStyle w:val="normaltextrun"/>
          <w:color w:val="000000"/>
          <w:shd w:val="clear" w:color="auto" w:fill="FFFFFF"/>
        </w:rPr>
        <w:t xml:space="preserve"> and nongovernment local or regional organization staff. </w:t>
      </w:r>
      <w:r w:rsidR="00B821F3">
        <w:t xml:space="preserve"> </w:t>
      </w:r>
      <w:r w:rsidR="004B1232">
        <w:t xml:space="preserve">Some respondents are </w:t>
      </w:r>
      <w:r>
        <w:t>individuals from households</w:t>
      </w:r>
      <w:r w:rsidRPr="00442AE4" w:rsidR="00442AE4">
        <w:t>—mainly</w:t>
      </w:r>
      <w:r w:rsidR="00442AE4">
        <w:t xml:space="preserve">, </w:t>
      </w:r>
      <w:r w:rsidR="00C45421">
        <w:t>families who are eligible for CCDF</w:t>
      </w:r>
      <w:r w:rsidR="00702206">
        <w:t xml:space="preserve"> and </w:t>
      </w:r>
      <w:r w:rsidR="00251808">
        <w:t>caregivers</w:t>
      </w:r>
      <w:r w:rsidR="003C0179">
        <w:t>.</w:t>
      </w:r>
    </w:p>
    <w:p w:rsidR="0082221C" w14:paraId="29EAB9AD" w14:textId="77777777">
      <w:pPr>
        <w:pStyle w:val="Heading1"/>
        <w:spacing w:before="276"/>
      </w:pPr>
      <w:r>
        <w:rPr>
          <w:spacing w:val="-2"/>
        </w:rPr>
        <w:t>CERTIFICATION:</w:t>
      </w:r>
    </w:p>
    <w:p w:rsidR="0082221C" w14:paraId="29EAB9AE" w14:textId="77777777">
      <w:pPr>
        <w:pStyle w:val="BodyText"/>
        <w:spacing w:before="120"/>
        <w:ind w:left="100"/>
      </w:pPr>
      <w:r>
        <w:t>I</w:t>
      </w:r>
      <w:r>
        <w:rPr>
          <w:spacing w:val="-2"/>
        </w:rPr>
        <w:t xml:space="preserve"> </w:t>
      </w:r>
      <w:r>
        <w:t>certify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rPr>
          <w:spacing w:val="-2"/>
        </w:rPr>
        <w:t>true:</w:t>
      </w:r>
    </w:p>
    <w:p w:rsidR="0082221C" w14:paraId="29EAB9AF" w14:textId="7777777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82221C" w14:paraId="29EAB9B0" w14:textId="7777777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z w:val="24"/>
        </w:rPr>
        <w:t>low-burden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 and</w:t>
      </w:r>
      <w:r>
        <w:rPr>
          <w:spacing w:val="-1"/>
          <w:sz w:val="24"/>
        </w:rPr>
        <w:t xml:space="preserve"> </w:t>
      </w:r>
      <w:r>
        <w:rPr>
          <w:sz w:val="24"/>
        </w:rPr>
        <w:t>low-cost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Federal </w:t>
      </w:r>
      <w:r>
        <w:rPr>
          <w:spacing w:val="-2"/>
          <w:sz w:val="24"/>
        </w:rPr>
        <w:t>Government.</w:t>
      </w:r>
    </w:p>
    <w:p w:rsidR="0082221C" w14:paraId="29EAB9B1" w14:textId="77777777">
      <w:pPr>
        <w:pStyle w:val="ListParagraph"/>
        <w:numPr>
          <w:ilvl w:val="0"/>
          <w:numId w:val="1"/>
        </w:numPr>
        <w:tabs>
          <w:tab w:val="left" w:pos="460"/>
        </w:tabs>
        <w:ind w:right="92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82221C" w14:paraId="29EAB9B2" w14:textId="7777777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collected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 be disseminated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the </w:t>
      </w:r>
      <w:r>
        <w:rPr>
          <w:spacing w:val="-2"/>
          <w:sz w:val="24"/>
        </w:rPr>
        <w:t>public</w:t>
      </w:r>
      <w:hyperlink w:anchor="_bookmark0" w:history="1">
        <w:r>
          <w:rPr>
            <w:spacing w:val="-2"/>
            <w:sz w:val="24"/>
            <w:vertAlign w:val="superscript"/>
          </w:rPr>
          <w:t>1</w:t>
        </w:r>
      </w:hyperlink>
      <w:r>
        <w:rPr>
          <w:spacing w:val="-2"/>
          <w:sz w:val="24"/>
        </w:rPr>
        <w:t>.</w:t>
      </w:r>
    </w:p>
    <w:p w:rsidR="0082221C" w14:paraId="29EAB9B3" w14:textId="77777777">
      <w:pPr>
        <w:pStyle w:val="ListParagraph"/>
        <w:numPr>
          <w:ilvl w:val="0"/>
          <w:numId w:val="1"/>
        </w:numPr>
        <w:tabs>
          <w:tab w:val="left" w:pos="460"/>
        </w:tabs>
        <w:ind w:right="563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3"/>
          <w:sz w:val="24"/>
        </w:rPr>
        <w:t xml:space="preserve"> </w:t>
      </w:r>
      <w:r>
        <w:rPr>
          <w:sz w:val="24"/>
        </w:rPr>
        <w:t>informing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82221C" w14:paraId="29EAB9B4" w14:textId="77777777">
      <w:pPr>
        <w:pStyle w:val="BodyText"/>
      </w:pPr>
    </w:p>
    <w:p w:rsidR="0082221C" w14:paraId="29EAB9B5" w14:textId="77777777">
      <w:pPr>
        <w:pStyle w:val="BodyText"/>
        <w:ind w:left="100"/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-1"/>
        </w:rPr>
        <w:t xml:space="preserve"> </w:t>
      </w:r>
      <w:r>
        <w:rPr>
          <w:u w:val="single"/>
        </w:rPr>
        <w:t>Leatha</w:t>
      </w:r>
      <w:r>
        <w:rPr>
          <w:spacing w:val="-1"/>
          <w:u w:val="single"/>
        </w:rPr>
        <w:t xml:space="preserve"> </w:t>
      </w:r>
      <w:r>
        <w:rPr>
          <w:u w:val="single"/>
        </w:rPr>
        <w:t>Chun,</w:t>
      </w:r>
      <w:r>
        <w:rPr>
          <w:spacing w:val="-1"/>
          <w:u w:val="single"/>
        </w:rPr>
        <w:t xml:space="preserve"> </w:t>
      </w:r>
      <w:r>
        <w:rPr>
          <w:u w:val="single"/>
        </w:rPr>
        <w:t>Federal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-1"/>
          <w:u w:val="single"/>
        </w:rPr>
        <w:t xml:space="preserve"> </w:t>
      </w:r>
      <w:r>
        <w:rPr>
          <w:u w:val="single"/>
        </w:rPr>
        <w:t>Specialist,</w:t>
      </w:r>
      <w:r>
        <w:rPr>
          <w:spacing w:val="-1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Child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Care</w:t>
      </w:r>
    </w:p>
    <w:p w:rsidR="0082221C" w14:paraId="29EAB9B6" w14:textId="77777777">
      <w:pPr>
        <w:pStyle w:val="BodyText"/>
      </w:pPr>
    </w:p>
    <w:p w:rsidR="0082221C" w14:paraId="29EAB9B7" w14:textId="77777777">
      <w:pPr>
        <w:pStyle w:val="BodyText"/>
        <w:ind w:left="100"/>
      </w:pP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please provide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information:</w:t>
      </w:r>
    </w:p>
    <w:p w:rsidR="0082221C" w14:paraId="29EAB9B8" w14:textId="77777777">
      <w:pPr>
        <w:pStyle w:val="BodyText"/>
        <w:rPr>
          <w:sz w:val="20"/>
        </w:rPr>
      </w:pPr>
    </w:p>
    <w:p w:rsidR="0082221C" w14:paraId="29EAB9B9" w14:textId="77777777">
      <w:pPr>
        <w:pStyle w:val="BodyText"/>
        <w:rPr>
          <w:sz w:val="20"/>
        </w:rPr>
      </w:pPr>
    </w:p>
    <w:p w:rsidR="0082221C" w14:paraId="29EAB9BA" w14:textId="77777777">
      <w:pPr>
        <w:pStyle w:val="BodyText"/>
        <w:rPr>
          <w:sz w:val="20"/>
        </w:rPr>
      </w:pPr>
    </w:p>
    <w:p w:rsidR="0082221C" w14:paraId="29EAB9BB" w14:textId="77777777">
      <w:pPr>
        <w:pStyle w:val="BodyText"/>
        <w:rPr>
          <w:sz w:val="20"/>
        </w:rPr>
      </w:pPr>
    </w:p>
    <w:p w:rsidR="0082221C" w14:paraId="29EAB9BC" w14:textId="77777777">
      <w:pPr>
        <w:pStyle w:val="BodyText"/>
        <w:rPr>
          <w:sz w:val="20"/>
        </w:rPr>
      </w:pPr>
    </w:p>
    <w:p w:rsidR="0082221C" w14:paraId="29EAB9BD" w14:textId="77777777">
      <w:pPr>
        <w:pStyle w:val="BodyText"/>
        <w:rPr>
          <w:sz w:val="20"/>
        </w:rPr>
      </w:pPr>
    </w:p>
    <w:p w:rsidR="0082221C" w14:paraId="29EAB9C4" w14:textId="77777777">
      <w:pPr>
        <w:pStyle w:val="BodyText"/>
        <w:spacing w:before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272770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1829435" stroke="1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5" style="width:144.05pt;height:0.6pt;margin-top:21.5pt;margin-left:1in;mso-position-horizontal-relative:page;mso-wrap-distance-bottom:0;mso-wrap-distance-left:0;mso-wrap-distance-right:0;mso-wrap-distance-top:0;mso-wrap-style:square;position:absolute;visibility:visible;v-text-anchor:top;z-index:-251657216" coordsize="1829435,7620" path="m1829054,l,,,7620l1829054,7620l1829054,xe" fillcolor="black" stroked="f">
                <v:path arrowok="t"/>
                <w10:wrap type="topAndBottom"/>
              </v:shape>
            </w:pict>
          </mc:Fallback>
        </mc:AlternateContent>
      </w:r>
      <w:bookmarkStart w:id="1" w:name="_bookmark0"/>
      <w:bookmarkEnd w:id="1"/>
    </w:p>
    <w:p w:rsidR="0082221C" w14:paraId="29EAB9C5" w14:textId="77777777">
      <w:pPr>
        <w:spacing w:before="103"/>
        <w:ind w:left="100" w:right="19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collected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primarily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published.</w:t>
      </w:r>
      <w:r>
        <w:rPr>
          <w:spacing w:val="-3"/>
          <w:sz w:val="20"/>
        </w:rPr>
        <w:t xml:space="preserve"> </w:t>
      </w:r>
      <w:r>
        <w:rPr>
          <w:sz w:val="20"/>
        </w:rPr>
        <w:t>However, for certain activities information submitted by accepted participants, such as research abstracts to be presented in a poster session, may be published on an ACF website or included in a printed or online program for the activity or subsequent publication describing the activity.</w:t>
      </w:r>
    </w:p>
    <w:p w:rsidR="0082221C" w14:paraId="29EAB9C6" w14:textId="77777777">
      <w:pPr>
        <w:rPr>
          <w:sz w:val="20"/>
        </w:rPr>
        <w:sectPr>
          <w:footerReference w:type="default" r:id="rId7"/>
          <w:type w:val="continuous"/>
          <w:pgSz w:w="12240" w:h="15840"/>
          <w:pgMar w:top="920" w:right="1140" w:bottom="920" w:left="1340" w:header="0" w:footer="739" w:gutter="0"/>
          <w:pgNumType w:start="1"/>
          <w:cols w:space="720"/>
        </w:sectPr>
      </w:pPr>
    </w:p>
    <w:p w:rsidR="0082221C" w14:paraId="29EAB9C7" w14:textId="77777777">
      <w:pPr>
        <w:pStyle w:val="Heading1"/>
        <w:spacing w:before="75"/>
        <w:rPr>
          <w:spacing w:val="-4"/>
        </w:rPr>
      </w:pPr>
      <w:r>
        <w:t>BURDEN</w:t>
      </w:r>
      <w:r>
        <w:rPr>
          <w:spacing w:val="-1"/>
        </w:rPr>
        <w:t xml:space="preserve"> </w:t>
      </w:r>
      <w:r>
        <w:rPr>
          <w:spacing w:val="-4"/>
        </w:rPr>
        <w:t>HOURS</w:t>
      </w:r>
    </w:p>
    <w:p w:rsidR="00145336" w:rsidRPr="001674D9" w14:paraId="317447D8" w14:textId="1E48A536">
      <w:pPr>
        <w:pStyle w:val="Heading1"/>
        <w:spacing w:before="75"/>
        <w:rPr>
          <w:b w:val="0"/>
          <w:bCs w:val="0"/>
        </w:rPr>
      </w:pPr>
      <w:r w:rsidRPr="001674D9">
        <w:rPr>
          <w:b w:val="0"/>
          <w:bCs w:val="0"/>
        </w:rPr>
        <w:t xml:space="preserve">Burden is estimated for registration at </w:t>
      </w:r>
      <w:r w:rsidRPr="00405284" w:rsidR="009E6952">
        <w:rPr>
          <w:b w:val="0"/>
          <w:bCs w:val="0"/>
        </w:rPr>
        <w:t>CQBSC</w:t>
      </w:r>
      <w:r w:rsidRPr="001674D9" w:rsidR="009E6952">
        <w:rPr>
          <w:b w:val="0"/>
          <w:bCs w:val="0"/>
        </w:rPr>
        <w:t xml:space="preserve"> </w:t>
      </w:r>
      <w:r w:rsidRPr="001674D9">
        <w:rPr>
          <w:b w:val="0"/>
          <w:bCs w:val="0"/>
        </w:rPr>
        <w:t xml:space="preserve">training and TA opportunities </w:t>
      </w:r>
      <w:r w:rsidRPr="00493AAF" w:rsidR="007B1514">
        <w:rPr>
          <w:b w:val="0"/>
          <w:bCs w:val="0"/>
        </w:rPr>
        <w:t>on</w:t>
      </w:r>
      <w:r w:rsidR="007B1514">
        <w:rPr>
          <w:b w:val="0"/>
          <w:bCs w:val="0"/>
        </w:rPr>
        <w:t xml:space="preserve"> </w:t>
      </w:r>
      <w:r w:rsidRPr="00EF1A2B" w:rsidR="007B1514">
        <w:rPr>
          <w:b w:val="0"/>
          <w:bCs w:val="0"/>
        </w:rPr>
        <w:t>an ongoing annual basis</w:t>
      </w:r>
      <w:r w:rsidR="001674D9">
        <w:rPr>
          <w:b w:val="0"/>
          <w:bCs w:val="0"/>
        </w:rPr>
        <w:t xml:space="preserve">. </w:t>
      </w:r>
      <w:r w:rsidR="007E535A">
        <w:rPr>
          <w:b w:val="0"/>
          <w:bCs w:val="0"/>
        </w:rPr>
        <w:t xml:space="preserve">The </w:t>
      </w:r>
      <w:r w:rsidR="006949EE">
        <w:rPr>
          <w:b w:val="0"/>
          <w:bCs w:val="0"/>
        </w:rPr>
        <w:t xml:space="preserve">maximum </w:t>
      </w:r>
      <w:r w:rsidR="00166EDA">
        <w:rPr>
          <w:b w:val="0"/>
          <w:bCs w:val="0"/>
        </w:rPr>
        <w:t xml:space="preserve">estimated </w:t>
      </w:r>
      <w:r w:rsidR="007E535A">
        <w:rPr>
          <w:b w:val="0"/>
          <w:bCs w:val="0"/>
        </w:rPr>
        <w:t>number of respondents</w:t>
      </w:r>
      <w:r w:rsidR="00166EDA">
        <w:rPr>
          <w:b w:val="0"/>
          <w:bCs w:val="0"/>
        </w:rPr>
        <w:t xml:space="preserve"> </w:t>
      </w:r>
      <w:r w:rsidR="001A1B40">
        <w:rPr>
          <w:b w:val="0"/>
          <w:bCs w:val="0"/>
        </w:rPr>
        <w:t>each</w:t>
      </w:r>
      <w:r w:rsidR="00166EDA">
        <w:rPr>
          <w:b w:val="0"/>
          <w:bCs w:val="0"/>
        </w:rPr>
        <w:t xml:space="preserve"> year is </w:t>
      </w:r>
      <w:r w:rsidRPr="00405284" w:rsidR="00166EDA">
        <w:rPr>
          <w:b w:val="0"/>
          <w:bCs w:val="0"/>
        </w:rPr>
        <w:t>7,360</w:t>
      </w:r>
      <w:r w:rsidR="00166EDA">
        <w:rPr>
          <w:b w:val="0"/>
          <w:bCs w:val="0"/>
        </w:rPr>
        <w:t xml:space="preserve">. </w:t>
      </w:r>
      <w:r w:rsidR="007B1514">
        <w:rPr>
          <w:b w:val="0"/>
          <w:bCs w:val="0"/>
        </w:rPr>
        <w:t xml:space="preserve">Each </w:t>
      </w:r>
      <w:r w:rsidR="00820203">
        <w:rPr>
          <w:b w:val="0"/>
          <w:bCs w:val="0"/>
        </w:rPr>
        <w:t>person will complete only one registration form (</w:t>
      </w:r>
      <w:r w:rsidR="00630D45">
        <w:rPr>
          <w:b w:val="0"/>
          <w:bCs w:val="0"/>
        </w:rPr>
        <w:t>i.e., one response per registrant</w:t>
      </w:r>
      <w:r w:rsidR="00820203">
        <w:rPr>
          <w:b w:val="0"/>
          <w:bCs w:val="0"/>
        </w:rPr>
        <w:t>.</w:t>
      </w:r>
      <w:r w:rsidR="00630D45">
        <w:rPr>
          <w:b w:val="0"/>
          <w:bCs w:val="0"/>
        </w:rPr>
        <w:t>)</w:t>
      </w:r>
    </w:p>
    <w:p w:rsidR="0082221C" w14:paraId="29EAB9C8" w14:textId="77777777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6"/>
        <w:gridCol w:w="1711"/>
        <w:gridCol w:w="1529"/>
        <w:gridCol w:w="1620"/>
        <w:gridCol w:w="1319"/>
      </w:tblGrid>
      <w:tr w14:paraId="29EAB9CE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3056" w:type="dxa"/>
          </w:tcPr>
          <w:p w:rsidR="0082221C" w14:paraId="29EAB9C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Instrument</w:t>
            </w:r>
            <w:r>
              <w:rPr>
                <w:b/>
                <w:spacing w:val="-2"/>
                <w:sz w:val="24"/>
              </w:rPr>
              <w:t xml:space="preserve"> Title</w:t>
            </w:r>
          </w:p>
        </w:tc>
        <w:tc>
          <w:tcPr>
            <w:tcW w:w="1711" w:type="dxa"/>
          </w:tcPr>
          <w:p w:rsidR="0082221C" w14:paraId="29EAB9CA" w14:textId="77777777">
            <w:pPr>
              <w:pStyle w:val="TableParagraph"/>
              <w:spacing w:line="276" w:lineRule="exact"/>
              <w:ind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29" w:type="dxa"/>
          </w:tcPr>
          <w:p w:rsidR="0082221C" w14:paraId="29EAB9CB" w14:textId="77777777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620" w:type="dxa"/>
          </w:tcPr>
          <w:p w:rsidR="0082221C" w14:paraId="29EAB9CC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Participation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319" w:type="dxa"/>
          </w:tcPr>
          <w:p w:rsidR="0082221C" w14:paraId="29EAB9CD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14:paraId="29EAB9D5" w14:textId="77777777" w:rsidTr="00EF2F3E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056" w:type="dxa"/>
            <w:vMerge w:val="restart"/>
            <w:vAlign w:val="center"/>
          </w:tcPr>
          <w:p w:rsidR="009B7EC0" w:rsidRPr="009B7EC0" w:rsidP="000365F3" w14:paraId="74FBE5FB" w14:textId="63F6D830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sz w:val="24"/>
              </w:rPr>
              <w:t>Child</w:t>
            </w:r>
            <w:r w:rsidR="003B32E9">
              <w:rPr>
                <w:sz w:val="24"/>
              </w:rPr>
              <w:t xml:space="preserve"> Care Quality and Business Support Center</w:t>
            </w:r>
            <w:r w:rsidRPr="009B7EC0">
              <w:rPr>
                <w:sz w:val="24"/>
              </w:rPr>
              <w:t xml:space="preserve"> Generic Registration for Gatherings</w:t>
            </w:r>
          </w:p>
          <w:p w:rsidR="00080F31" w:rsidP="000365F3" w14:paraId="29EAB9CF" w14:textId="45F6550F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080F31" w14:paraId="29EAB9D0" w14:textId="4FF84DDA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>
              <w:rPr>
                <w:sz w:val="24"/>
              </w:rPr>
              <w:t>State,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territory, </w:t>
            </w:r>
            <w:r>
              <w:rPr>
                <w:spacing w:val="-2"/>
                <w:sz w:val="24"/>
              </w:rPr>
              <w:t>Tribal government</w:t>
            </w:r>
            <w:r w:rsidR="00152470">
              <w:rPr>
                <w:spacing w:val="-2"/>
                <w:sz w:val="24"/>
              </w:rPr>
              <w:t>s</w:t>
            </w:r>
          </w:p>
        </w:tc>
        <w:tc>
          <w:tcPr>
            <w:tcW w:w="1529" w:type="dxa"/>
            <w:vAlign w:val="center"/>
          </w:tcPr>
          <w:p w:rsidR="00080F31" w:rsidRPr="00D74037" w:rsidP="00EF2F3E" w14:paraId="29EAB9D1" w14:textId="0ECF2842">
            <w:pPr>
              <w:pStyle w:val="TableParagraph"/>
              <w:ind w:left="105"/>
              <w:jc w:val="center"/>
              <w:rPr>
                <w:sz w:val="24"/>
              </w:rPr>
            </w:pPr>
            <w:r w:rsidRPr="00405284">
              <w:rPr>
                <w:spacing w:val="-4"/>
                <w:sz w:val="24"/>
              </w:rPr>
              <w:t>7</w:t>
            </w:r>
            <w:r w:rsidRPr="00405284" w:rsidR="000365F3">
              <w:rPr>
                <w:spacing w:val="-4"/>
                <w:sz w:val="24"/>
              </w:rPr>
              <w:t>,</w:t>
            </w:r>
            <w:r w:rsidRPr="00405284">
              <w:rPr>
                <w:spacing w:val="-4"/>
                <w:sz w:val="24"/>
              </w:rPr>
              <w:t>135</w:t>
            </w:r>
          </w:p>
        </w:tc>
        <w:tc>
          <w:tcPr>
            <w:tcW w:w="1620" w:type="dxa"/>
            <w:vAlign w:val="center"/>
          </w:tcPr>
          <w:p w:rsidR="00080F31" w:rsidRPr="00405284" w:rsidP="00EF2F3E" w14:paraId="29EAB9D2" w14:textId="0D94CA89">
            <w:pPr>
              <w:pStyle w:val="TableParagraph"/>
              <w:jc w:val="center"/>
              <w:rPr>
                <w:sz w:val="24"/>
              </w:rPr>
            </w:pPr>
            <w:r w:rsidRPr="00405284">
              <w:rPr>
                <w:spacing w:val="-2"/>
                <w:sz w:val="24"/>
              </w:rPr>
              <w:t>0.033</w:t>
            </w:r>
            <w:r w:rsidRPr="00405284" w:rsidR="000365F3">
              <w:rPr>
                <w:spacing w:val="-2"/>
                <w:sz w:val="24"/>
              </w:rPr>
              <w:t xml:space="preserve"> hours</w:t>
            </w:r>
          </w:p>
          <w:p w:rsidR="00080F31" w:rsidRPr="00405284" w:rsidP="00EF2F3E" w14:paraId="29EAB9D3" w14:textId="0913924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405284">
              <w:rPr>
                <w:sz w:val="24"/>
              </w:rPr>
              <w:t>(</w:t>
            </w:r>
            <w:r w:rsidRPr="00405284">
              <w:rPr>
                <w:sz w:val="24"/>
              </w:rPr>
              <w:t xml:space="preserve">2 </w:t>
            </w:r>
            <w:r w:rsidRPr="00405284">
              <w:rPr>
                <w:spacing w:val="-2"/>
                <w:sz w:val="24"/>
              </w:rPr>
              <w:t>minutes</w:t>
            </w:r>
            <w:r w:rsidRPr="00405284">
              <w:rPr>
                <w:spacing w:val="-2"/>
                <w:sz w:val="24"/>
              </w:rPr>
              <w:t>)</w:t>
            </w:r>
          </w:p>
        </w:tc>
        <w:tc>
          <w:tcPr>
            <w:tcW w:w="1319" w:type="dxa"/>
            <w:vAlign w:val="center"/>
          </w:tcPr>
          <w:p w:rsidR="00080F31" w:rsidRPr="00405284" w:rsidP="00EF2F3E" w14:paraId="29EAB9D4" w14:textId="77777777">
            <w:pPr>
              <w:pStyle w:val="TableParagraph"/>
              <w:ind w:left="108"/>
              <w:jc w:val="center"/>
              <w:rPr>
                <w:sz w:val="24"/>
              </w:rPr>
            </w:pPr>
            <w:r w:rsidRPr="00405284">
              <w:rPr>
                <w:sz w:val="24"/>
              </w:rPr>
              <w:t xml:space="preserve">235 </w:t>
            </w:r>
            <w:r w:rsidRPr="00405284">
              <w:rPr>
                <w:spacing w:val="-4"/>
                <w:sz w:val="24"/>
              </w:rPr>
              <w:t>hrs.</w:t>
            </w:r>
          </w:p>
        </w:tc>
      </w:tr>
      <w:tr w14:paraId="29EAB9DC" w14:textId="77777777" w:rsidTr="00EF2F3E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056" w:type="dxa"/>
            <w:vMerge/>
          </w:tcPr>
          <w:p w:rsidR="00080F31" w14:paraId="29EAB9D6" w14:textId="682DBE14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080F31" w14:paraId="29EAB9D7" w14:textId="23EB6B4E">
            <w:pPr>
              <w:pStyle w:val="TableParagraph"/>
              <w:spacing w:line="276" w:lineRule="exact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Individuals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:rsidR="00080F31" w:rsidRPr="00D74037" w:rsidP="00EF2F3E" w14:paraId="29EAB9D8" w14:textId="77777777">
            <w:pPr>
              <w:pStyle w:val="TableParagraph"/>
              <w:ind w:left="105"/>
              <w:jc w:val="center"/>
              <w:rPr>
                <w:sz w:val="24"/>
              </w:rPr>
            </w:pPr>
            <w:r w:rsidRPr="00100569">
              <w:rPr>
                <w:spacing w:val="-5"/>
                <w:sz w:val="24"/>
              </w:rPr>
              <w:t>225</w:t>
            </w:r>
          </w:p>
        </w:tc>
        <w:tc>
          <w:tcPr>
            <w:tcW w:w="1620" w:type="dxa"/>
            <w:vAlign w:val="center"/>
          </w:tcPr>
          <w:p w:rsidR="00080F31" w:rsidRPr="00100569" w:rsidP="00EF2F3E" w14:paraId="29EAB9D9" w14:textId="0FBE6E7A">
            <w:pPr>
              <w:pStyle w:val="TableParagraph"/>
              <w:jc w:val="center"/>
              <w:rPr>
                <w:sz w:val="24"/>
              </w:rPr>
            </w:pPr>
            <w:r w:rsidRPr="00100569">
              <w:rPr>
                <w:spacing w:val="-2"/>
                <w:sz w:val="24"/>
              </w:rPr>
              <w:t>0.033</w:t>
            </w:r>
            <w:r w:rsidRPr="00100569" w:rsidR="000365F3">
              <w:rPr>
                <w:spacing w:val="-2"/>
                <w:sz w:val="24"/>
              </w:rPr>
              <w:t xml:space="preserve"> hours</w:t>
            </w:r>
          </w:p>
          <w:p w:rsidR="00080F31" w:rsidRPr="00100569" w:rsidP="00EF2F3E" w14:paraId="29EAB9DA" w14:textId="10BCA26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100569">
              <w:rPr>
                <w:sz w:val="24"/>
              </w:rPr>
              <w:t>(</w:t>
            </w:r>
            <w:r w:rsidRPr="00100569">
              <w:rPr>
                <w:sz w:val="24"/>
              </w:rPr>
              <w:t xml:space="preserve">2 </w:t>
            </w:r>
            <w:r w:rsidRPr="00100569">
              <w:rPr>
                <w:spacing w:val="-2"/>
                <w:sz w:val="24"/>
              </w:rPr>
              <w:t>minutes</w:t>
            </w:r>
            <w:r w:rsidRPr="00100569">
              <w:rPr>
                <w:spacing w:val="-2"/>
                <w:sz w:val="24"/>
              </w:rPr>
              <w:t>)</w:t>
            </w:r>
          </w:p>
        </w:tc>
        <w:tc>
          <w:tcPr>
            <w:tcW w:w="1319" w:type="dxa"/>
            <w:vAlign w:val="center"/>
          </w:tcPr>
          <w:p w:rsidR="00080F31" w:rsidRPr="00100569" w:rsidP="00EF2F3E" w14:paraId="29EAB9DB" w14:textId="77777777">
            <w:pPr>
              <w:pStyle w:val="TableParagraph"/>
              <w:ind w:left="108"/>
              <w:jc w:val="center"/>
              <w:rPr>
                <w:sz w:val="24"/>
              </w:rPr>
            </w:pPr>
            <w:r w:rsidRPr="00100569">
              <w:rPr>
                <w:sz w:val="24"/>
              </w:rPr>
              <w:t xml:space="preserve">7 </w:t>
            </w:r>
            <w:r w:rsidRPr="00100569">
              <w:rPr>
                <w:spacing w:val="-4"/>
                <w:sz w:val="24"/>
              </w:rPr>
              <w:t>hrs.</w:t>
            </w:r>
          </w:p>
        </w:tc>
      </w:tr>
      <w:tr w14:paraId="29EAB9FE" w14:textId="77777777" w:rsidTr="00EF2F3E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056" w:type="dxa"/>
            <w:vAlign w:val="center"/>
          </w:tcPr>
          <w:p w:rsidR="0082221C" w:rsidP="00EF2F3E" w14:paraId="29EAB9F9" w14:textId="77777777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711" w:type="dxa"/>
          </w:tcPr>
          <w:p w:rsidR="0082221C" w14:paraId="29EAB9FA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9" w:type="dxa"/>
            <w:vAlign w:val="center"/>
          </w:tcPr>
          <w:p w:rsidR="0082221C" w:rsidRPr="00D74037" w:rsidP="00EF2F3E" w14:paraId="29EAB9FB" w14:textId="52E6B723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 w:rsidRPr="00100569">
              <w:rPr>
                <w:b/>
                <w:spacing w:val="-2"/>
                <w:sz w:val="24"/>
              </w:rPr>
              <w:t>7,360</w:t>
            </w:r>
          </w:p>
        </w:tc>
        <w:tc>
          <w:tcPr>
            <w:tcW w:w="1620" w:type="dxa"/>
            <w:vAlign w:val="center"/>
          </w:tcPr>
          <w:p w:rsidR="000365F3" w:rsidRPr="00100569" w:rsidP="00EF2F3E" w14:paraId="10EC61A9" w14:textId="77777777">
            <w:pPr>
              <w:pStyle w:val="TableParagraph"/>
              <w:jc w:val="center"/>
              <w:rPr>
                <w:sz w:val="24"/>
              </w:rPr>
            </w:pPr>
            <w:r w:rsidRPr="00100569">
              <w:rPr>
                <w:spacing w:val="-2"/>
                <w:sz w:val="24"/>
              </w:rPr>
              <w:t>0.033 hours</w:t>
            </w:r>
          </w:p>
          <w:p w:rsidR="0082221C" w:rsidRPr="00100569" w:rsidP="00EF2F3E" w14:paraId="29EAB9FC" w14:textId="576B5DA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100569">
              <w:rPr>
                <w:sz w:val="24"/>
              </w:rPr>
              <w:t xml:space="preserve">(2 </w:t>
            </w:r>
            <w:r w:rsidRPr="00100569">
              <w:rPr>
                <w:spacing w:val="-2"/>
                <w:sz w:val="24"/>
              </w:rPr>
              <w:t>minutes)</w:t>
            </w:r>
          </w:p>
        </w:tc>
        <w:tc>
          <w:tcPr>
            <w:tcW w:w="1319" w:type="dxa"/>
            <w:vAlign w:val="center"/>
          </w:tcPr>
          <w:p w:rsidR="0082221C" w:rsidRPr="00100569" w:rsidP="00EF2F3E" w14:paraId="29EAB9FD" w14:textId="16BED22A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100569">
              <w:rPr>
                <w:b/>
                <w:sz w:val="24"/>
              </w:rPr>
              <w:t>242</w:t>
            </w:r>
            <w:r w:rsidRPr="00100569">
              <w:rPr>
                <w:b/>
                <w:spacing w:val="-2"/>
                <w:sz w:val="24"/>
              </w:rPr>
              <w:t xml:space="preserve"> </w:t>
            </w:r>
            <w:r w:rsidRPr="00100569" w:rsidR="007A3299">
              <w:rPr>
                <w:b/>
                <w:spacing w:val="-4"/>
                <w:sz w:val="24"/>
              </w:rPr>
              <w:t>hrs.</w:t>
            </w:r>
          </w:p>
        </w:tc>
      </w:tr>
    </w:tbl>
    <w:p w:rsidR="0082221C" w14:paraId="29EAB9FF" w14:textId="77777777">
      <w:pPr>
        <w:pStyle w:val="BodyText"/>
        <w:spacing w:before="2"/>
        <w:rPr>
          <w:b/>
        </w:rPr>
      </w:pPr>
    </w:p>
    <w:p w:rsidR="0082221C" w14:paraId="29EABA00" w14:textId="2F3E1359">
      <w:pPr>
        <w:pStyle w:val="BodyText"/>
        <w:spacing w:before="1"/>
        <w:ind w:left="100"/>
      </w:pP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COST:</w:t>
      </w:r>
      <w:r>
        <w:rPr>
          <w:b/>
          <w:spacing w:val="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annual cost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Federal</w:t>
      </w:r>
      <w:r>
        <w:rPr>
          <w:spacing w:val="-1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2"/>
          <w:u w:val="single"/>
        </w:rPr>
        <w:t>$</w:t>
      </w:r>
      <w:r w:rsidRPr="00100569" w:rsidR="007C1789">
        <w:rPr>
          <w:spacing w:val="-2"/>
          <w:u w:val="single"/>
        </w:rPr>
        <w:t>1810.</w:t>
      </w:r>
      <w:r w:rsidRPr="00100569" w:rsidR="003B1373">
        <w:rPr>
          <w:spacing w:val="-2"/>
          <w:u w:val="single"/>
        </w:rPr>
        <w:t>42</w:t>
      </w:r>
    </w:p>
    <w:p w:rsidR="0082221C" w14:paraId="29EABA01" w14:textId="77777777">
      <w:pPr>
        <w:pStyle w:val="BodyText"/>
      </w:pPr>
    </w:p>
    <w:p w:rsidR="0082221C" w14:paraId="29EABA02" w14:textId="77777777">
      <w:pPr>
        <w:pStyle w:val="Heading1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Instrument</w:t>
      </w:r>
    </w:p>
    <w:p w:rsidR="0082221C" w14:paraId="29EABA03" w14:textId="77777777">
      <w:pPr>
        <w:pStyle w:val="BodyText"/>
        <w:ind w:left="100"/>
      </w:pPr>
      <w:r>
        <w:t>1.</w:t>
      </w:r>
      <w:r>
        <w:rPr>
          <w:spacing w:val="26"/>
        </w:rPr>
        <w:t xml:space="preserve">  </w:t>
      </w:r>
      <w:r>
        <w:t>How will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information?</w:t>
      </w:r>
      <w:r>
        <w:rPr>
          <w:spacing w:val="-1"/>
        </w:rPr>
        <w:t xml:space="preserve"> </w:t>
      </w:r>
      <w:r>
        <w:t>(Check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apply)</w:t>
      </w:r>
    </w:p>
    <w:p w:rsidR="0082221C" w14:paraId="29EABA04" w14:textId="77777777">
      <w:pPr>
        <w:pStyle w:val="BodyText"/>
        <w:ind w:left="820" w:right="4424"/>
      </w:pPr>
      <w:r>
        <w:t>[X]</w:t>
      </w:r>
      <w:r>
        <w:rPr>
          <w:spacing w:val="-6"/>
        </w:rPr>
        <w:t xml:space="preserve"> </w:t>
      </w:r>
      <w:r>
        <w:t>Web-based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</w:t>
      </w:r>
      <w:r>
        <w:t xml:space="preserve">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Telephone</w:t>
      </w:r>
    </w:p>
    <w:p w:rsidR="0082221C" w14:paraId="29EABA05" w14:textId="77777777">
      <w:pPr>
        <w:pStyle w:val="BodyText"/>
        <w:ind w:left="820" w:right="7659"/>
      </w:pPr>
      <w:r>
        <w:t>[</w:t>
      </w:r>
      <w:r>
        <w:rPr>
          <w:spacing w:val="34"/>
        </w:rPr>
        <w:t xml:space="preserve"> </w:t>
      </w:r>
      <w:r>
        <w:t>]</w:t>
      </w:r>
      <w:r>
        <w:rPr>
          <w:spacing w:val="-13"/>
        </w:rPr>
        <w:t xml:space="preserve"> </w:t>
      </w:r>
      <w:r>
        <w:t xml:space="preserve">In-person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Mail</w:t>
      </w:r>
    </w:p>
    <w:p w:rsidR="0082221C" w14:paraId="29EABA06" w14:textId="77777777">
      <w:pPr>
        <w:pStyle w:val="BodyText"/>
        <w:ind w:left="820"/>
      </w:pP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 xml:space="preserve">Other, </w:t>
      </w:r>
      <w:r>
        <w:rPr>
          <w:spacing w:val="-2"/>
        </w:rPr>
        <w:t>Explain</w:t>
      </w:r>
    </w:p>
    <w:sectPr>
      <w:pgSz w:w="12240" w:h="15840"/>
      <w:pgMar w:top="920" w:right="1140" w:bottom="920" w:left="1340" w:header="0" w:footer="7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221C" w14:paraId="29EABA0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3816730</wp:posOffset>
              </wp:positionH>
              <wp:positionV relativeFrom="page">
                <wp:posOffset>9449568</wp:posOffset>
              </wp:positionV>
              <wp:extent cx="15240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221C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pt;height:13.05pt;margin-top:744.05pt;margin-left:300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2221C" w14:paraId="29EABA14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E0448E"/>
    <w:multiLevelType w:val="hybridMultilevel"/>
    <w:tmpl w:val="8FD2E4CA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 w16cid:durableId="53523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C"/>
    <w:rsid w:val="000365F3"/>
    <w:rsid w:val="00080F31"/>
    <w:rsid w:val="00083863"/>
    <w:rsid w:val="000911B9"/>
    <w:rsid w:val="000F634C"/>
    <w:rsid w:val="00100569"/>
    <w:rsid w:val="001100CB"/>
    <w:rsid w:val="00145336"/>
    <w:rsid w:val="00152470"/>
    <w:rsid w:val="00166EDA"/>
    <w:rsid w:val="001674D9"/>
    <w:rsid w:val="001A0DC5"/>
    <w:rsid w:val="001A1B40"/>
    <w:rsid w:val="001C0590"/>
    <w:rsid w:val="001D1EC5"/>
    <w:rsid w:val="001D51C0"/>
    <w:rsid w:val="00242AAA"/>
    <w:rsid w:val="00251808"/>
    <w:rsid w:val="002568C3"/>
    <w:rsid w:val="002A34E6"/>
    <w:rsid w:val="002B19C8"/>
    <w:rsid w:val="003B1373"/>
    <w:rsid w:val="003B32E9"/>
    <w:rsid w:val="003C0179"/>
    <w:rsid w:val="00405251"/>
    <w:rsid w:val="00405284"/>
    <w:rsid w:val="00442AE4"/>
    <w:rsid w:val="00493AAF"/>
    <w:rsid w:val="004B1232"/>
    <w:rsid w:val="00500D00"/>
    <w:rsid w:val="00536B83"/>
    <w:rsid w:val="00540AEB"/>
    <w:rsid w:val="00580DFE"/>
    <w:rsid w:val="005E1AF4"/>
    <w:rsid w:val="005F38C8"/>
    <w:rsid w:val="00615B2C"/>
    <w:rsid w:val="00620260"/>
    <w:rsid w:val="00630025"/>
    <w:rsid w:val="00630D45"/>
    <w:rsid w:val="006949EE"/>
    <w:rsid w:val="006A4FD4"/>
    <w:rsid w:val="00702206"/>
    <w:rsid w:val="00714535"/>
    <w:rsid w:val="00783D55"/>
    <w:rsid w:val="0079727C"/>
    <w:rsid w:val="007A3299"/>
    <w:rsid w:val="007B1514"/>
    <w:rsid w:val="007C1789"/>
    <w:rsid w:val="007E535A"/>
    <w:rsid w:val="00820203"/>
    <w:rsid w:val="00821F1A"/>
    <w:rsid w:val="0082221C"/>
    <w:rsid w:val="008460DD"/>
    <w:rsid w:val="008944F3"/>
    <w:rsid w:val="008C50DB"/>
    <w:rsid w:val="00941087"/>
    <w:rsid w:val="009559E5"/>
    <w:rsid w:val="009A455A"/>
    <w:rsid w:val="009B7EC0"/>
    <w:rsid w:val="009D3A6C"/>
    <w:rsid w:val="009E6952"/>
    <w:rsid w:val="00A0143D"/>
    <w:rsid w:val="00A70BED"/>
    <w:rsid w:val="00A72E02"/>
    <w:rsid w:val="00AE7339"/>
    <w:rsid w:val="00B03C62"/>
    <w:rsid w:val="00B25094"/>
    <w:rsid w:val="00B26B82"/>
    <w:rsid w:val="00B749FB"/>
    <w:rsid w:val="00B821F3"/>
    <w:rsid w:val="00B865FD"/>
    <w:rsid w:val="00BF5B83"/>
    <w:rsid w:val="00C30EB8"/>
    <w:rsid w:val="00C45421"/>
    <w:rsid w:val="00C860FC"/>
    <w:rsid w:val="00CA3CB6"/>
    <w:rsid w:val="00CD0C7F"/>
    <w:rsid w:val="00D20F64"/>
    <w:rsid w:val="00D74037"/>
    <w:rsid w:val="00D837EE"/>
    <w:rsid w:val="00DB65EC"/>
    <w:rsid w:val="00E17CB1"/>
    <w:rsid w:val="00E630CC"/>
    <w:rsid w:val="00EA46E5"/>
    <w:rsid w:val="00EA48ED"/>
    <w:rsid w:val="00EF1A2B"/>
    <w:rsid w:val="00EF2F3E"/>
    <w:rsid w:val="00F62929"/>
    <w:rsid w:val="00FF21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AB9A5"/>
  <w15:docId w15:val="{6DA7B06D-BB20-4EE9-A212-BC73119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EC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61" w:right="100" w:hanging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CommentReference">
    <w:name w:val="annotation reference"/>
    <w:basedOn w:val="DefaultParagraphFont"/>
    <w:unhideWhenUsed/>
    <w:rsid w:val="001A0D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D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50D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B821F3"/>
    <w:pPr>
      <w:tabs>
        <w:tab w:val="center" w:pos="4320"/>
        <w:tab w:val="right" w:pos="8640"/>
      </w:tabs>
      <w:autoSpaceDE/>
      <w:autoSpaceDN/>
    </w:pPr>
    <w:rPr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21F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normaltextrun">
    <w:name w:val="normaltextrun"/>
    <w:basedOn w:val="DefaultParagraphFont"/>
    <w:rsid w:val="00B8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1697b-8112-4dae-9ac0-cf5a68d6b6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5074BB3F01942B20016493F49CDAA" ma:contentTypeVersion="17" ma:contentTypeDescription="Create a new document." ma:contentTypeScope="" ma:versionID="67df32bf758d7c1a3dd4dacfebf0f17d">
  <xsd:schema xmlns:xsd="http://www.w3.org/2001/XMLSchema" xmlns:xs="http://www.w3.org/2001/XMLSchema" xmlns:p="http://schemas.microsoft.com/office/2006/metadata/properties" xmlns:ns3="2381697b-8112-4dae-9ac0-cf5a68d6b675" xmlns:ns4="3f8140f6-14d1-44af-b09e-db5d9b3d1651" targetNamespace="http://schemas.microsoft.com/office/2006/metadata/properties" ma:root="true" ma:fieldsID="ae8f43f861dda045527cccac132c87c1" ns3:_="" ns4:_="">
    <xsd:import namespace="2381697b-8112-4dae-9ac0-cf5a68d6b675"/>
    <xsd:import namespace="3f8140f6-14d1-44af-b09e-db5d9b3d1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697b-8112-4dae-9ac0-cf5a68d6b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40f6-14d1-44af-b09e-db5d9b3d1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EFD7E-E267-41E7-BE2C-DB67ACF7D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8A3B8-7102-47B7-AABE-3237F4F9E38A}">
  <ds:schemaRefs>
    <ds:schemaRef ds:uri="http://schemas.microsoft.com/office/2006/metadata/properties"/>
    <ds:schemaRef ds:uri="http://schemas.microsoft.com/office/infopath/2007/PartnerControls"/>
    <ds:schemaRef ds:uri="2381697b-8112-4dae-9ac0-cf5a68d6b675"/>
  </ds:schemaRefs>
</ds:datastoreItem>
</file>

<file path=customXml/itemProps3.xml><?xml version="1.0" encoding="utf-8"?>
<ds:datastoreItem xmlns:ds="http://schemas.openxmlformats.org/officeDocument/2006/customXml" ds:itemID="{6C562A5E-39BB-469D-8E0E-E903A0E0A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697b-8112-4dae-9ac0-cf5a68d6b675"/>
    <ds:schemaRef ds:uri="3f8140f6-14d1-44af-b09e-db5d9b3d1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2919</Characters>
  <Application>Microsoft Office Word</Application>
  <DocSecurity>0</DocSecurity>
  <Lines>97</Lines>
  <Paragraphs>51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Hartman, Carol</cp:lastModifiedBy>
  <cp:revision>15</cp:revision>
  <dcterms:created xsi:type="dcterms:W3CDTF">2026-02-12T21:17:00Z</dcterms:created>
  <dcterms:modified xsi:type="dcterms:W3CDTF">2026-02-16T19:57:00Z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0x0101004BD5074BB3F01942B20016493F49CDAA</vt:lpwstr>
  </property>
  <property fmtid="{D5CDD505-2E9C-101B-9397-08002B2CF9AE}" pid="3" name="Created">
    <vt:filetime>2024-12-16T00:00:00Z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2024-12-20T00:00:00Z</vt:filetime>
  </property>
  <property fmtid="{D5CDD505-2E9C-101B-9397-08002B2CF9AE}" pid="6" name="Producer">
    <vt:lpwstr>Microsoft® Word for Microsoft 365</vt:lpwstr>
  </property>
</Properties>
</file>