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430" w:rsidRPr="00C867C2" w:rsidP="004A654C" w14:paraId="3747B82C" w14:textId="77777777">
      <w:pPr>
        <w:rPr>
          <w:rFonts w:ascii="Times New Roman" w:hAnsi="Times New Roman" w:cs="Times New Roman"/>
          <w:sz w:val="24"/>
          <w:szCs w:val="24"/>
        </w:rPr>
      </w:pPr>
    </w:p>
    <w:p w:rsidR="00A14118" w:rsidRPr="00C867C2" w:rsidP="004A654C" w14:paraId="5571373D" w14:textId="77777777">
      <w:pPr>
        <w:rPr>
          <w:rFonts w:ascii="Times New Roman" w:hAnsi="Times New Roman" w:cs="Times New Roman"/>
          <w:sz w:val="24"/>
          <w:szCs w:val="24"/>
        </w:rPr>
        <w:sectPr w:rsidSect="005923EE">
          <w:footerReference w:type="default" r:id="rId10"/>
          <w:pgSz w:w="12240" w:h="15840" w:code="1"/>
          <w:pgMar w:top="576" w:right="1440" w:bottom="1440" w:left="1440" w:header="720" w:footer="720" w:gutter="0"/>
          <w:cols w:space="720"/>
          <w:titlePg/>
          <w:docGrid w:linePitch="360"/>
        </w:sectPr>
      </w:pPr>
      <w:r w:rsidRPr="00C867C2">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5715</wp:posOffset>
            </wp:positionV>
            <wp:extent cx="612140" cy="621665"/>
            <wp:effectExtent l="0" t="0" r="0" b="6985"/>
            <wp:wrapNone/>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r="90476" b="61310"/>
                    <a:stretch>
                      <a:fillRect/>
                    </a:stretch>
                  </pic:blipFill>
                  <pic:spPr bwMode="auto">
                    <a:xfrm>
                      <a:off x="0" y="0"/>
                      <a:ext cx="612140" cy="6216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C867C2" w:rsidR="00984898">
        <w:rPr>
          <w:rFonts w:ascii="Times New Roman" w:hAnsi="Times New Roman" w:cs="Times New Roman"/>
          <w:noProof/>
          <w:sz w:val="24"/>
          <w:szCs w:val="24"/>
        </w:rPr>
        <w:drawing>
          <wp:inline distT="0" distB="0" distL="0" distR="0">
            <wp:extent cx="6377940" cy="13944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377940" cy="1394460"/>
                    </a:xfrm>
                    <a:prstGeom prst="rect">
                      <a:avLst/>
                    </a:prstGeom>
                    <a:noFill/>
                    <a:ln>
                      <a:noFill/>
                    </a:ln>
                  </pic:spPr>
                </pic:pic>
              </a:graphicData>
            </a:graphic>
          </wp:inline>
        </w:drawing>
      </w:r>
    </w:p>
    <w:p w:rsidR="00A14118" w:rsidRPr="00C867C2" w:rsidP="004A654C" w14:paraId="73611565" w14:textId="77777777">
      <w:pPr>
        <w:rPr>
          <w:rFonts w:ascii="Times New Roman" w:hAnsi="Times New Roman" w:cs="Times New Roman"/>
          <w:sz w:val="24"/>
          <w:szCs w:val="24"/>
        </w:rPr>
        <w:sectPr w:rsidSect="00A14118">
          <w:type w:val="continuous"/>
          <w:pgSz w:w="12240" w:h="15840"/>
          <w:pgMar w:top="576" w:right="1440" w:bottom="1440" w:left="1440" w:header="720" w:footer="720" w:gutter="0"/>
          <w:cols w:space="720"/>
          <w:docGrid w:linePitch="360"/>
        </w:sectPr>
      </w:pPr>
    </w:p>
    <w:p w:rsidR="00F56485" w:rsidRPr="00F56485" w:rsidP="00F56485" w14:paraId="7EAD3C5F" w14:textId="77777777">
      <w:pPr>
        <w:widowControl w:val="0"/>
        <w:autoSpaceDE w:val="0"/>
        <w:autoSpaceDN w:val="0"/>
        <w:adjustRightInd w:val="0"/>
        <w:rPr>
          <w:rFonts w:ascii="Times New Roman" w:eastAsia="Times New Roman" w:hAnsi="Times New Roman" w:cs="Times New Roman"/>
          <w:b/>
          <w:color w:val="000000"/>
          <w:sz w:val="24"/>
          <w:szCs w:val="24"/>
        </w:rPr>
      </w:pPr>
      <w:r w:rsidRPr="00F56485">
        <w:rPr>
          <w:rFonts w:ascii="Times New Roman" w:eastAsia="Times New Roman" w:hAnsi="Times New Roman" w:cs="Times New Roman"/>
          <w:b/>
          <w:color w:val="000000"/>
          <w:sz w:val="24"/>
          <w:szCs w:val="24"/>
        </w:rPr>
        <w:t>MEMORANDUM</w:t>
      </w:r>
    </w:p>
    <w:p w:rsidR="00F56485" w:rsidRPr="00F56485" w:rsidP="00F56485" w14:paraId="56F1F84E" w14:textId="77777777">
      <w:pPr>
        <w:widowControl w:val="0"/>
        <w:autoSpaceDE w:val="0"/>
        <w:autoSpaceDN w:val="0"/>
        <w:adjustRightInd w:val="0"/>
        <w:rPr>
          <w:rFonts w:ascii="Times New Roman" w:eastAsia="Times New Roman" w:hAnsi="Times New Roman" w:cs="Times New Roman"/>
          <w:color w:val="000000"/>
        </w:rPr>
      </w:pPr>
    </w:p>
    <w:p w:rsidR="00F56485" w:rsidRPr="00F56485" w:rsidP="00F56485" w14:paraId="1BCFA27A" w14:textId="77777777">
      <w:pPr>
        <w:widowControl w:val="0"/>
        <w:autoSpaceDE w:val="0"/>
        <w:autoSpaceDN w:val="0"/>
        <w:adjustRightInd w:val="0"/>
        <w:rPr>
          <w:rFonts w:ascii="Times New Roman" w:eastAsia="Times New Roman" w:hAnsi="Times New Roman" w:cs="Times New Roman"/>
          <w:color w:val="000000"/>
        </w:rPr>
      </w:pPr>
    </w:p>
    <w:p w:rsidR="00F56485" w:rsidRPr="00F56485" w:rsidP="00F56485" w14:paraId="0798E982" w14:textId="77777777">
      <w:pPr>
        <w:rPr>
          <w:rFonts w:ascii="Times New Roman" w:eastAsia="Aptos" w:hAnsi="Times New Roman" w:cs="Times New Roman"/>
          <w:color w:val="000000"/>
          <w:sz w:val="24"/>
        </w:rPr>
      </w:pPr>
      <w:r w:rsidRPr="00F56485">
        <w:rPr>
          <w:rFonts w:ascii="Times New Roman" w:eastAsia="Aptos" w:hAnsi="Times New Roman" w:cs="Times New Roman"/>
          <w:b/>
          <w:bCs/>
          <w:color w:val="000000"/>
          <w:sz w:val="24"/>
        </w:rPr>
        <w:t>To:</w:t>
      </w:r>
      <w:r w:rsidRPr="00F56485">
        <w:rPr>
          <w:rFonts w:ascii="Times New Roman" w:eastAsia="Aptos" w:hAnsi="Times New Roman" w:cs="Times New Roman"/>
          <w:color w:val="000000"/>
          <w:sz w:val="24"/>
        </w:rPr>
        <w:t xml:space="preserve"> </w:t>
      </w:r>
      <w:r w:rsidRPr="00F56485">
        <w:rPr>
          <w:rFonts w:ascii="Times New Roman" w:eastAsia="Aptos" w:hAnsi="Times New Roman" w:cs="Times New Roman"/>
          <w:color w:val="000000"/>
          <w:sz w:val="24"/>
        </w:rPr>
        <w:tab/>
      </w:r>
      <w:r w:rsidRPr="00F56485">
        <w:rPr>
          <w:rFonts w:ascii="Times New Roman" w:eastAsia="Aptos" w:hAnsi="Times New Roman" w:cs="Times New Roman"/>
          <w:color w:val="000000"/>
          <w:sz w:val="24"/>
        </w:rPr>
        <w:tab/>
        <w:t>Office of the Chief Statistician of the United States</w:t>
      </w:r>
    </w:p>
    <w:p w:rsidR="00F56485" w:rsidRPr="00F56485" w:rsidP="00F56485" w14:paraId="1042C2C6" w14:textId="77777777">
      <w:pPr>
        <w:rPr>
          <w:rFonts w:ascii="Times New Roman" w:eastAsia="Aptos" w:hAnsi="Times New Roman" w:cs="Times New Roman"/>
          <w:color w:val="000000"/>
          <w:sz w:val="24"/>
        </w:rPr>
      </w:pPr>
      <w:r w:rsidRPr="00F56485">
        <w:rPr>
          <w:rFonts w:ascii="Times New Roman" w:eastAsia="Aptos" w:hAnsi="Times New Roman" w:cs="Times New Roman"/>
          <w:color w:val="000000"/>
          <w:sz w:val="24"/>
        </w:rPr>
        <w:tab/>
      </w:r>
      <w:r w:rsidRPr="00F56485">
        <w:rPr>
          <w:rFonts w:ascii="Times New Roman" w:eastAsia="Aptos" w:hAnsi="Times New Roman" w:cs="Times New Roman"/>
          <w:color w:val="000000"/>
          <w:sz w:val="24"/>
        </w:rPr>
        <w:tab/>
        <w:t>Office of Management and Budget</w:t>
      </w:r>
    </w:p>
    <w:p w:rsidR="00F56485" w:rsidRPr="00F56485" w:rsidP="00F56485" w14:paraId="6C36CF4A" w14:textId="77777777">
      <w:pPr>
        <w:rPr>
          <w:rFonts w:ascii="Times New Roman" w:eastAsia="Aptos" w:hAnsi="Times New Roman" w:cs="Times New Roman"/>
          <w:sz w:val="24"/>
        </w:rPr>
      </w:pPr>
    </w:p>
    <w:p w:rsidR="00F56485" w:rsidRPr="00F56485" w:rsidP="00F56485" w14:paraId="0DBB2DEA" w14:textId="77777777">
      <w:pPr>
        <w:rPr>
          <w:rFonts w:ascii="Times New Roman" w:eastAsia="Times New Roman" w:hAnsi="Times New Roman" w:cs="Times New Roman"/>
          <w:color w:val="000000"/>
          <w:sz w:val="24"/>
        </w:rPr>
      </w:pPr>
      <w:r w:rsidRPr="00F56485">
        <w:rPr>
          <w:rFonts w:ascii="Times New Roman" w:eastAsia="Times New Roman" w:hAnsi="Times New Roman" w:cs="Times New Roman"/>
          <w:b/>
          <w:bCs/>
          <w:color w:val="000000"/>
          <w:sz w:val="24"/>
        </w:rPr>
        <w:t>From:</w:t>
      </w:r>
      <w:r w:rsidRPr="00F56485">
        <w:rPr>
          <w:rFonts w:ascii="Times New Roman" w:eastAsia="Times New Roman" w:hAnsi="Times New Roman" w:cs="Times New Roman"/>
          <w:b/>
          <w:bCs/>
          <w:color w:val="000000"/>
          <w:sz w:val="24"/>
        </w:rPr>
        <w:tab/>
      </w:r>
      <w:r w:rsidRPr="00F56485">
        <w:rPr>
          <w:rFonts w:ascii="Times New Roman" w:eastAsia="Times New Roman" w:hAnsi="Times New Roman" w:cs="Times New Roman"/>
          <w:color w:val="000000"/>
          <w:sz w:val="24"/>
        </w:rPr>
        <w:tab/>
        <w:t>Bureau of Justice Statistics</w:t>
      </w:r>
    </w:p>
    <w:p w:rsidR="00F56485" w:rsidRPr="00F56485" w:rsidP="00F56485" w14:paraId="60DD305D" w14:textId="77777777">
      <w:pPr>
        <w:rPr>
          <w:rFonts w:ascii="Times New Roman" w:eastAsia="Times New Roman" w:hAnsi="Times New Roman" w:cs="Times New Roman"/>
          <w:color w:val="000000"/>
          <w:sz w:val="24"/>
        </w:rPr>
      </w:pPr>
      <w:r w:rsidRPr="00F56485">
        <w:rPr>
          <w:rFonts w:ascii="Times New Roman" w:eastAsia="Times New Roman" w:hAnsi="Times New Roman" w:cs="Times New Roman"/>
          <w:color w:val="000000"/>
          <w:sz w:val="24"/>
        </w:rPr>
        <w:tab/>
      </w:r>
      <w:r w:rsidRPr="00F56485">
        <w:rPr>
          <w:rFonts w:ascii="Times New Roman" w:eastAsia="Times New Roman" w:hAnsi="Times New Roman" w:cs="Times New Roman"/>
          <w:color w:val="000000"/>
          <w:sz w:val="24"/>
        </w:rPr>
        <w:tab/>
      </w:r>
    </w:p>
    <w:p w:rsidR="00F56485" w:rsidRPr="00F56485" w:rsidP="00F56485" w14:paraId="20954F21" w14:textId="77777777">
      <w:pPr>
        <w:rPr>
          <w:rFonts w:ascii="Times New Roman" w:eastAsia="Times New Roman" w:hAnsi="Times New Roman" w:cs="Times New Roman"/>
          <w:color w:val="000000"/>
          <w:sz w:val="24"/>
          <w:szCs w:val="24"/>
        </w:rPr>
      </w:pPr>
      <w:r w:rsidRPr="00F56485">
        <w:rPr>
          <w:rFonts w:ascii="Times New Roman" w:eastAsia="Times New Roman" w:hAnsi="Times New Roman" w:cs="Times New Roman"/>
          <w:b/>
          <w:bCs/>
          <w:color w:val="000000"/>
          <w:sz w:val="24"/>
          <w:szCs w:val="24"/>
        </w:rPr>
        <w:t>Date:</w:t>
      </w:r>
      <w:r w:rsidRPr="00F56485">
        <w:rPr>
          <w:rFonts w:ascii="Times New Roman" w:eastAsia="Times New Roman" w:hAnsi="Times New Roman" w:cs="Times New Roman"/>
          <w:color w:val="000000"/>
          <w:sz w:val="24"/>
          <w:szCs w:val="24"/>
        </w:rPr>
        <w:tab/>
      </w:r>
      <w:r w:rsidRPr="00F56485">
        <w:rPr>
          <w:rFonts w:ascii="Times New Roman" w:eastAsia="Times New Roman" w:hAnsi="Times New Roman" w:cs="Times New Roman"/>
          <w:color w:val="000000"/>
          <w:sz w:val="24"/>
          <w:szCs w:val="24"/>
        </w:rPr>
        <w:tab/>
        <w:t>May 27, 2025</w:t>
      </w:r>
    </w:p>
    <w:p w:rsidR="00F56485" w:rsidRPr="00F56485" w:rsidP="00F56485" w14:paraId="1B097BAF" w14:textId="77777777">
      <w:pPr>
        <w:rPr>
          <w:rFonts w:ascii="Times New Roman" w:eastAsia="Times New Roman" w:hAnsi="Times New Roman" w:cs="Times New Roman"/>
          <w:color w:val="000000"/>
          <w:sz w:val="24"/>
          <w:szCs w:val="24"/>
        </w:rPr>
      </w:pPr>
    </w:p>
    <w:p w:rsidR="00F56485" w:rsidRPr="00F56485" w:rsidP="00F56485" w14:paraId="55DAA21E" w14:textId="77777777">
      <w:pPr>
        <w:pBdr>
          <w:bottom w:val="single" w:sz="12" w:space="1" w:color="auto"/>
        </w:pBdr>
        <w:ind w:left="1440" w:hanging="1440"/>
        <w:rPr>
          <w:rFonts w:ascii="Times New Roman" w:eastAsia="Times New Roman" w:hAnsi="Times New Roman" w:cs="Times New Roman"/>
          <w:sz w:val="24"/>
          <w:szCs w:val="24"/>
        </w:rPr>
      </w:pPr>
      <w:r w:rsidRPr="00F56485">
        <w:rPr>
          <w:rFonts w:ascii="Times New Roman" w:eastAsia="Times New Roman" w:hAnsi="Times New Roman" w:cs="Times New Roman"/>
          <w:b/>
          <w:bCs/>
          <w:color w:val="000000"/>
          <w:sz w:val="24"/>
          <w:szCs w:val="24"/>
        </w:rPr>
        <w:t>Subject:</w:t>
      </w:r>
      <w:r w:rsidRPr="00F56485">
        <w:rPr>
          <w:rFonts w:ascii="Times New Roman" w:eastAsia="Times New Roman" w:hAnsi="Times New Roman" w:cs="Times New Roman"/>
          <w:color w:val="000000"/>
          <w:sz w:val="24"/>
          <w:szCs w:val="24"/>
        </w:rPr>
        <w:tab/>
        <w:t xml:space="preserve">Request for generic clearance to </w:t>
      </w:r>
      <w:bookmarkStart w:id="0" w:name="_Hlk198619102"/>
      <w:r w:rsidRPr="00F56485">
        <w:rPr>
          <w:rFonts w:ascii="Times New Roman" w:eastAsia="Times New Roman" w:hAnsi="Times New Roman" w:cs="Times New Roman"/>
          <w:color w:val="000000"/>
          <w:sz w:val="24"/>
          <w:szCs w:val="24"/>
        </w:rPr>
        <w:t xml:space="preserve">conduct focus groups to </w:t>
      </w:r>
      <w:r w:rsidRPr="00F56485">
        <w:rPr>
          <w:rFonts w:ascii="Times New Roman" w:eastAsia="Times New Roman" w:hAnsi="Times New Roman" w:cs="Arial"/>
          <w:sz w:val="24"/>
          <w:szCs w:val="24"/>
        </w:rPr>
        <w:t>explore how criminal justice entities 1) define digital evidence; 2) collect, analyze, and retain digital evidence; and 3) use findings acquired from digital evidence and assess its impact on their investigations</w:t>
      </w:r>
      <w:r w:rsidRPr="00F56485">
        <w:rPr>
          <w:rFonts w:ascii="Times New Roman" w:eastAsia="Times New Roman" w:hAnsi="Times New Roman" w:cs="Times New Roman"/>
          <w:color w:val="000000"/>
          <w:sz w:val="24"/>
          <w:szCs w:val="24"/>
        </w:rPr>
        <w:t xml:space="preserve">. </w:t>
      </w:r>
    </w:p>
    <w:bookmarkEnd w:id="0"/>
    <w:p w:rsidR="00F56485" w:rsidRPr="00F56485" w:rsidP="00F56485" w14:paraId="3F8A45EB" w14:textId="77777777">
      <w:pPr>
        <w:pBdr>
          <w:bottom w:val="single" w:sz="12" w:space="1" w:color="auto"/>
        </w:pBdr>
        <w:ind w:left="1440" w:hanging="1440"/>
        <w:rPr>
          <w:rFonts w:ascii="Times New Roman" w:eastAsia="Times New Roman" w:hAnsi="Times New Roman" w:cs="Times New Roman"/>
          <w:sz w:val="24"/>
          <w:szCs w:val="24"/>
        </w:rPr>
      </w:pPr>
    </w:p>
    <w:p w:rsidR="00F56485" w:rsidRPr="00F56485" w:rsidP="00F56485" w14:paraId="36A92D3A" w14:textId="77777777">
      <w:pPr>
        <w:ind w:left="1440" w:hanging="1440"/>
        <w:rPr>
          <w:rFonts w:ascii="Times New Roman" w:eastAsia="Times New Roman" w:hAnsi="Times New Roman" w:cs="Times New Roman"/>
          <w:color w:val="000000"/>
          <w:sz w:val="24"/>
          <w:szCs w:val="24"/>
        </w:rPr>
      </w:pPr>
    </w:p>
    <w:p w:rsidR="00F56485" w:rsidRPr="00F56485" w:rsidP="00F56485" w14:paraId="1338D048" w14:textId="77777777">
      <w:pPr>
        <w:numPr>
          <w:ilvl w:val="0"/>
          <w:numId w:val="7"/>
        </w:numPr>
        <w:contextualSpacing/>
        <w:rPr>
          <w:rFonts w:ascii="Times New Roman" w:eastAsia="Times New Roman" w:hAnsi="Times New Roman" w:cs="Times New Roman"/>
          <w:b/>
          <w:bCs/>
          <w:color w:val="000000"/>
          <w:sz w:val="24"/>
          <w:szCs w:val="24"/>
        </w:rPr>
      </w:pPr>
      <w:r w:rsidRPr="00F56485">
        <w:rPr>
          <w:rFonts w:ascii="Times New Roman" w:eastAsia="Times New Roman" w:hAnsi="Times New Roman" w:cs="Times New Roman"/>
          <w:b/>
          <w:bCs/>
          <w:color w:val="000000"/>
          <w:sz w:val="24"/>
          <w:szCs w:val="24"/>
        </w:rPr>
        <w:t>Introduction</w:t>
      </w:r>
    </w:p>
    <w:p w:rsidR="00F56485" w:rsidRPr="00F56485" w:rsidP="00F56485" w14:paraId="059B1534"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The Bureau of Justice Statistics (BJS), through a cooperative agreement with RTI International (Award: 15PBJS-24-GK-01761-BJSB), is exploring how </w:t>
      </w:r>
      <w:r w:rsidRPr="00F56485">
        <w:rPr>
          <w:rFonts w:ascii="Times New Roman" w:eastAsia="Times New Roman" w:hAnsi="Times New Roman" w:cs="Arial"/>
          <w:sz w:val="24"/>
          <w:szCs w:val="24"/>
        </w:rPr>
        <w:t xml:space="preserve">entities 1) define digital evidence; 2) collect, analyze, and retain digital evidence; and 3) use findings acquired from digital evidence and assess its impact on their investigations. </w:t>
      </w:r>
      <w:r w:rsidRPr="00F56485">
        <w:rPr>
          <w:rFonts w:ascii="Times New Roman" w:eastAsia="Times New Roman" w:hAnsi="Times New Roman" w:cs="Times New Roman"/>
          <w:sz w:val="24"/>
          <w:szCs w:val="24"/>
        </w:rPr>
        <w:t xml:space="preserve">BJS is requesting clearance under the BJS OMB generic clearance agreement (OMB Control #1121-0339) to conduct focus group interviews on digital evidence to understand the issues involved in measuring the prevalence, type, identification, analysis, retention and use of digital evidence in criminal cases within law enforcement, crime labs, and court practitioners. </w:t>
      </w:r>
    </w:p>
    <w:p w:rsidR="00F56485" w:rsidRPr="00F56485" w:rsidP="00F56485" w14:paraId="29892477" w14:textId="77777777">
      <w:pPr>
        <w:autoSpaceDE w:val="0"/>
        <w:autoSpaceDN w:val="0"/>
        <w:adjustRightInd w:val="0"/>
        <w:contextualSpacing/>
        <w:rPr>
          <w:rFonts w:ascii="Times New Roman" w:eastAsia="Times New Roman" w:hAnsi="Times New Roman" w:cs="Times New Roman"/>
          <w:color w:val="000000"/>
          <w:sz w:val="24"/>
          <w:szCs w:val="24"/>
        </w:rPr>
      </w:pPr>
    </w:p>
    <w:p w:rsidR="00F56485" w:rsidRPr="00F56485" w:rsidP="00F56485" w14:paraId="0D48A208"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Digital forensics plays a crucial role in solving crimes involving digital data by employing various techniques within legal boundaries to extract and analyze information relevant to understanding incidents. As technology continues to evolve, the criminal justice system has struggled to keep pace with the collection of digital information in investigations and managing digital evidence processing. Consequently, the field’s importance has grown significantly, driven by the exponential increase in digital device usage and data generation. </w:t>
      </w:r>
    </w:p>
    <w:p w:rsidR="00F56485" w:rsidRPr="00F56485" w:rsidP="00F56485" w14:paraId="367CB43F" w14:textId="77777777">
      <w:pPr>
        <w:rPr>
          <w:rFonts w:ascii="Times New Roman" w:eastAsia="Times New Roman" w:hAnsi="Times New Roman" w:cs="Times New Roman"/>
          <w:sz w:val="24"/>
          <w:szCs w:val="24"/>
        </w:rPr>
      </w:pPr>
    </w:p>
    <w:p w:rsidR="00F56485" w:rsidRPr="00F56485" w:rsidP="00F56485" w14:paraId="691B9639"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However, despite the increasing importance of digital data, the landscape of forensic science service providers that process digital evidence is not well understood. There is not even an agreed upon estimate for how many entities in the U.S. process or use digital evidence. For example, BJS’s 2020 Census of Publicly Funded Forensic Crime Laboratories (CPFFCL) </w:t>
      </w:r>
      <w:r w:rsidRPr="00F56485">
        <w:rPr>
          <w:rFonts w:ascii="Times New Roman" w:eastAsia="Times New Roman" w:hAnsi="Times New Roman" w:cs="Times New Roman"/>
          <w:sz w:val="24"/>
          <w:szCs w:val="24"/>
        </w:rPr>
        <w:t>identified 409 publicly funded crime labs, all of which may handle digital evidence.</w:t>
      </w:r>
      <w:r>
        <w:rPr>
          <w:rFonts w:ascii="Times New Roman" w:eastAsia="Times New Roman" w:hAnsi="Times New Roman" w:cs="Times New Roman"/>
          <w:sz w:val="24"/>
          <w:szCs w:val="24"/>
          <w:vertAlign w:val="superscript"/>
        </w:rPr>
        <w:footnoteReference w:id="2"/>
      </w:r>
      <w:r w:rsidRPr="00F56485">
        <w:rPr>
          <w:rFonts w:ascii="Times New Roman" w:eastAsia="Times New Roman" w:hAnsi="Times New Roman" w:cs="Times New Roman"/>
          <w:sz w:val="24"/>
          <w:szCs w:val="24"/>
        </w:rPr>
        <w:t xml:space="preserve"> In contrast, a recent NIST study used capture-recapture to attempt to estimate the number of entities that process or use digital evidence. This study identified a lower bound estimated population size of 11,000 unique entities.</w:t>
      </w:r>
      <w:r>
        <w:rPr>
          <w:rFonts w:ascii="Times New Roman" w:eastAsia="Times New Roman" w:hAnsi="Times New Roman" w:cs="Times New Roman"/>
          <w:sz w:val="24"/>
          <w:szCs w:val="24"/>
          <w:vertAlign w:val="superscript"/>
        </w:rPr>
        <w:footnoteReference w:id="3"/>
      </w:r>
      <w:r w:rsidRPr="00F56485">
        <w:rPr>
          <w:rFonts w:ascii="Times New Roman" w:eastAsia="Times New Roman" w:hAnsi="Times New Roman" w:cs="Times New Roman"/>
          <w:sz w:val="24"/>
          <w:szCs w:val="24"/>
        </w:rPr>
        <w:t xml:space="preserve"> This discrepancy highlights the need to comprehensively assess the collection and use of digital evidence across different domains. </w:t>
      </w:r>
    </w:p>
    <w:p w:rsidR="00F56485" w:rsidRPr="00F56485" w:rsidP="00F56485" w14:paraId="625EF188" w14:textId="77777777">
      <w:pPr>
        <w:autoSpaceDE w:val="0"/>
        <w:autoSpaceDN w:val="0"/>
        <w:rPr>
          <w:rFonts w:ascii="Times New Roman" w:eastAsia="Times New Roman" w:hAnsi="Times New Roman" w:cs="Arial"/>
          <w:sz w:val="24"/>
          <w:szCs w:val="24"/>
        </w:rPr>
      </w:pPr>
    </w:p>
    <w:p w:rsidR="00F56485" w:rsidRPr="00F56485" w:rsidP="00F56485" w14:paraId="6F64CCAA" w14:textId="77777777">
      <w:pPr>
        <w:rPr>
          <w:rFonts w:ascii="Times New Roman" w:eastAsia="Times New Roman" w:hAnsi="Times New Roman" w:cs="Arial"/>
          <w:sz w:val="24"/>
          <w:szCs w:val="24"/>
        </w:rPr>
      </w:pPr>
      <w:r w:rsidRPr="00F56485">
        <w:rPr>
          <w:rFonts w:ascii="Times New Roman" w:eastAsia="Times New Roman" w:hAnsi="Times New Roman" w:cs="Arial"/>
          <w:sz w:val="24"/>
          <w:szCs w:val="24"/>
        </w:rPr>
        <w:t>The purpose of this memorandum is to request approval to conduct three focus groups with approximately 15 total respondents from professionals in agencies that interact with digital evidence including law enforcement, forensic laboratories, and legal offices. The purpose of these focus groups will be to develop a more comprehensive understanding on the nature and utilization of digital evidence in the field. Further detail on this request is provided below.</w:t>
      </w:r>
    </w:p>
    <w:p w:rsidR="00F56485" w:rsidRPr="00F56485" w:rsidP="00F56485" w14:paraId="090C82EF" w14:textId="77777777">
      <w:pPr>
        <w:rPr>
          <w:rFonts w:ascii="Times New Roman" w:eastAsia="Times New Roman" w:hAnsi="Times New Roman" w:cs="Times New Roman"/>
          <w:sz w:val="24"/>
          <w:szCs w:val="24"/>
        </w:rPr>
      </w:pPr>
    </w:p>
    <w:p w:rsidR="00F56485" w:rsidRPr="00F56485" w:rsidP="00F56485" w14:paraId="4007B0F7" w14:textId="77777777">
      <w:pPr>
        <w:numPr>
          <w:ilvl w:val="0"/>
          <w:numId w:val="7"/>
        </w:num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Methodology</w:t>
      </w:r>
    </w:p>
    <w:p w:rsidR="00F56485" w:rsidRPr="00F56485" w:rsidP="00F56485" w14:paraId="021CB8AB"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Overall, this project seeks to gather qualitative information from a series of focus groups to support the design of a survey instrument that is both responsive to the needs of those collecting, processing, and utilizing digital evidence and that can collect relevant information from stakeholders across all disciplines, outside solely of forensic laboratories.  </w:t>
      </w:r>
    </w:p>
    <w:p w:rsidR="00F56485" w:rsidRPr="00F56485" w:rsidP="00F56485" w14:paraId="22E52FCB" w14:textId="77777777">
      <w:pPr>
        <w:ind w:left="360"/>
        <w:contextualSpacing/>
        <w:rPr>
          <w:rFonts w:ascii="Times New Roman" w:eastAsia="Times New Roman" w:hAnsi="Times New Roman" w:cs="Times New Roman"/>
          <w:b/>
          <w:bCs/>
          <w:sz w:val="24"/>
          <w:szCs w:val="24"/>
        </w:rPr>
      </w:pPr>
    </w:p>
    <w:p w:rsidR="00F56485" w:rsidRPr="00F56485" w:rsidP="00F56485" w14:paraId="4D675703"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BJS has contracted with RTI International to develop a semi-structured focus group protocol that will allow interviewers to cover selected topics while also allowing for new ideas and subjects to emerge organically during conversation. The protocol is organized into the following categories: 1) definitions (e.g., types and formats); 2) policies, practices, and procedures for collecting, analyzing and retaining digital evidence; and 3) how digital evidence is used and its impact on investigations (see </w:t>
      </w:r>
      <w:r w:rsidRPr="00F56485">
        <w:rPr>
          <w:rFonts w:ascii="Times New Roman" w:eastAsia="Times New Roman" w:hAnsi="Times New Roman" w:cs="Times New Roman"/>
          <w:b/>
          <w:bCs/>
          <w:sz w:val="24"/>
          <w:szCs w:val="24"/>
        </w:rPr>
        <w:t xml:space="preserve">Attachment A </w:t>
      </w:r>
      <w:r w:rsidRPr="00F56485">
        <w:rPr>
          <w:rFonts w:ascii="Times New Roman" w:eastAsia="Times New Roman" w:hAnsi="Times New Roman" w:cs="Times New Roman"/>
          <w:sz w:val="24"/>
          <w:szCs w:val="24"/>
        </w:rPr>
        <w:t>for focus group protocol). BJS is anticipating conducting three focus groups organized by practitioner expertise (i.e., law enforcement, forensic laboratories, and legal community) with approximately 5 participants each (~15 participants total).</w:t>
      </w:r>
    </w:p>
    <w:p w:rsidR="00F56485" w:rsidRPr="00F56485" w:rsidP="00F56485" w14:paraId="1081FDE3" w14:textId="77777777">
      <w:pPr>
        <w:rPr>
          <w:rFonts w:ascii="Times New Roman" w:eastAsia="Times New Roman" w:hAnsi="Times New Roman" w:cs="Times New Roman"/>
          <w:sz w:val="24"/>
          <w:szCs w:val="24"/>
        </w:rPr>
      </w:pPr>
    </w:p>
    <w:p w:rsidR="00F56485" w:rsidRPr="00F56485" w:rsidP="00F56485" w14:paraId="65F5A13D"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The project staff will review and summarize the results of the focus groups to provide suggestions for the development of a larger survey on the topic and next steps.</w:t>
      </w:r>
    </w:p>
    <w:p w:rsidR="00F56485" w:rsidRPr="00F56485" w:rsidP="00F56485" w14:paraId="1B378EB5" w14:textId="77777777">
      <w:pPr>
        <w:rPr>
          <w:rFonts w:ascii="Times New Roman" w:eastAsia="Times New Roman" w:hAnsi="Times New Roman" w:cs="Times New Roman"/>
          <w:sz w:val="24"/>
          <w:szCs w:val="24"/>
        </w:rPr>
      </w:pPr>
    </w:p>
    <w:p w:rsidR="00F56485" w:rsidRPr="00F56485" w:rsidP="00F56485" w14:paraId="3D6A7EA9" w14:textId="77777777">
      <w:pPr>
        <w:rPr>
          <w:rFonts w:ascii="Times New Roman" w:eastAsia="Times New Roman" w:hAnsi="Times New Roman" w:cs="Times New Roman"/>
          <w:b/>
          <w:bCs/>
          <w:i/>
          <w:iCs/>
          <w:sz w:val="24"/>
          <w:szCs w:val="24"/>
        </w:rPr>
      </w:pPr>
      <w:r w:rsidRPr="00F56485">
        <w:rPr>
          <w:rFonts w:ascii="Times New Roman" w:eastAsia="Times New Roman" w:hAnsi="Times New Roman" w:cs="Times New Roman"/>
          <w:b/>
          <w:bCs/>
          <w:i/>
          <w:iCs/>
          <w:sz w:val="24"/>
          <w:szCs w:val="24"/>
        </w:rPr>
        <w:t>2.1 Group Composition</w:t>
      </w:r>
    </w:p>
    <w:p w:rsidR="00F56485" w:rsidRPr="00F56485" w:rsidP="00F56485" w14:paraId="3989E91E" w14:textId="77777777">
      <w:pPr>
        <w:rPr>
          <w:rFonts w:ascii="Times New Roman" w:eastAsia="Times New Roman" w:hAnsi="Times New Roman" w:cs="Times New Roman"/>
          <w:sz w:val="24"/>
          <w:szCs w:val="24"/>
        </w:rPr>
      </w:pPr>
      <w:bookmarkStart w:id="1" w:name="_Hlk198619659"/>
      <w:r w:rsidRPr="00F56485">
        <w:rPr>
          <w:rFonts w:ascii="Times New Roman" w:eastAsia="Times New Roman" w:hAnsi="Times New Roman" w:cs="Times New Roman"/>
          <w:sz w:val="24"/>
          <w:szCs w:val="24"/>
        </w:rPr>
        <w:t xml:space="preserve">Subject matter experts and practitioners with relevant experience with digital evidence in criminal cases including practitioners and the research community will be identified through outreach to associations, working groups, and from information obtained during the environmental scan (completed previously). These include the Scientific Working Group on Digital Evidence (SWGDE), INTERPOL Digital Forensics Expert Group (DFEG), High Technology Crime Investigation Association, International Association of Computer Investigative Specialists, International Association of Chiefs of Police Computer Crime and Digital Evidence (CCDE) Committee, the Regional Computer Forensics Laboratory (RCFL), and the Organization of Scientific Area Committees (OSAC) Digital Evidence Subcommittee. Participant criteria include the following considerations: </w:t>
      </w:r>
    </w:p>
    <w:p w:rsidR="00F56485" w:rsidRPr="00F56485" w:rsidP="00F56485" w14:paraId="7AC107ED" w14:textId="77777777">
      <w:pPr>
        <w:rPr>
          <w:rFonts w:ascii="Times New Roman" w:eastAsia="Times New Roman" w:hAnsi="Times New Roman" w:cs="Times New Roman"/>
          <w:sz w:val="24"/>
          <w:szCs w:val="24"/>
        </w:rPr>
      </w:pPr>
    </w:p>
    <w:p w:rsidR="00F56485" w:rsidRPr="00F56485" w:rsidP="00F56485" w14:paraId="5A59FBBE"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Law Enforcement:</w:t>
      </w:r>
    </w:p>
    <w:p w:rsidR="00F56485" w:rsidRPr="00F56485" w:rsidP="00F56485" w14:paraId="491B908C" w14:textId="77777777">
      <w:pPr>
        <w:numPr>
          <w:ilvl w:val="0"/>
          <w:numId w:val="9"/>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Sworn or civilian officers with experience handling digital evidence</w:t>
      </w:r>
    </w:p>
    <w:p w:rsidR="00F56485" w:rsidRPr="00F56485" w:rsidP="00F56485" w14:paraId="4185339C" w14:textId="77777777">
      <w:pPr>
        <w:numPr>
          <w:ilvl w:val="0"/>
          <w:numId w:val="9"/>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Variety of ranks and specializations (e.g., Internet Crimes Against Children), cybercrime units, general investigators)</w:t>
      </w:r>
    </w:p>
    <w:p w:rsidR="00F56485" w:rsidRPr="00F56485" w:rsidP="00F56485" w14:paraId="2E19BEF7" w14:textId="77777777">
      <w:pPr>
        <w:numPr>
          <w:ilvl w:val="0"/>
          <w:numId w:val="9"/>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Representation from different jurisdictions (local, state, federal)</w:t>
      </w:r>
    </w:p>
    <w:p w:rsidR="00F56485" w:rsidRPr="00F56485" w:rsidP="00F56485" w14:paraId="2CBFD4A9" w14:textId="77777777">
      <w:pPr>
        <w:rPr>
          <w:rFonts w:ascii="Times New Roman" w:eastAsia="Times New Roman" w:hAnsi="Times New Roman" w:cs="Times New Roman"/>
          <w:sz w:val="24"/>
          <w:szCs w:val="24"/>
        </w:rPr>
      </w:pPr>
    </w:p>
    <w:p w:rsidR="00F56485" w:rsidRPr="00F56485" w:rsidP="00F56485" w14:paraId="564E2372"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Forensic Laboratories:</w:t>
      </w:r>
    </w:p>
    <w:p w:rsidR="00F56485" w:rsidRPr="00F56485" w:rsidP="00F56485" w14:paraId="0EB2B445" w14:textId="77777777">
      <w:pPr>
        <w:numPr>
          <w:ilvl w:val="0"/>
          <w:numId w:val="9"/>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Digital forensic examiners with at least 2 years of experience</w:t>
      </w:r>
    </w:p>
    <w:p w:rsidR="00F56485" w:rsidRPr="00F56485" w:rsidP="00F56485" w14:paraId="78BA6519" w14:textId="77777777">
      <w:pPr>
        <w:numPr>
          <w:ilvl w:val="0"/>
          <w:numId w:val="9"/>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Representation from public and private laboratories</w:t>
      </w:r>
    </w:p>
    <w:p w:rsidR="00F56485" w:rsidRPr="00F56485" w:rsidP="00F56485" w14:paraId="21C56C77" w14:textId="77777777">
      <w:pPr>
        <w:numPr>
          <w:ilvl w:val="0"/>
          <w:numId w:val="10"/>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Diverse expertise (e.g., mobile forensics, network forensics, computer forensics)</w:t>
      </w:r>
    </w:p>
    <w:p w:rsidR="00F56485" w:rsidRPr="00F56485" w:rsidP="00F56485" w14:paraId="2DDED8CA" w14:textId="77777777">
      <w:pPr>
        <w:rPr>
          <w:rFonts w:ascii="Times New Roman" w:eastAsia="Times New Roman" w:hAnsi="Times New Roman" w:cs="Times New Roman"/>
          <w:sz w:val="24"/>
          <w:szCs w:val="24"/>
        </w:rPr>
      </w:pPr>
    </w:p>
    <w:p w:rsidR="00F56485" w:rsidRPr="00F56485" w:rsidP="00F56485" w14:paraId="592F82C4"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Legal Community:</w:t>
      </w:r>
    </w:p>
    <w:p w:rsidR="00F56485" w:rsidRPr="00F56485" w:rsidP="00F56485" w14:paraId="0EB87AB0" w14:textId="77777777">
      <w:pPr>
        <w:numPr>
          <w:ilvl w:val="0"/>
          <w:numId w:val="10"/>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Prosecutors, defense attorneys and judges:</w:t>
      </w:r>
    </w:p>
    <w:p w:rsidR="00F56485" w:rsidRPr="00F56485" w:rsidP="00F56485" w14:paraId="5647717A" w14:textId="77777777">
      <w:pPr>
        <w:numPr>
          <w:ilvl w:val="0"/>
          <w:numId w:val="10"/>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Experience with cases involving digital evidence</w:t>
      </w:r>
    </w:p>
    <w:p w:rsidR="00F56485" w:rsidRPr="00F56485" w:rsidP="00F56485" w14:paraId="0DD9305D" w14:textId="77777777">
      <w:pPr>
        <w:numPr>
          <w:ilvl w:val="0"/>
          <w:numId w:val="10"/>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Representation from different levels (county, state, federal)</w:t>
      </w:r>
    </w:p>
    <w:p w:rsidR="00F56485" w:rsidRPr="00F56485" w:rsidP="00F56485" w14:paraId="6021077F" w14:textId="77777777">
      <w:pPr>
        <w:numPr>
          <w:ilvl w:val="0"/>
          <w:numId w:val="10"/>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Various specializations (e.g., cybercrime, white-collar crime, violent crime)</w:t>
      </w:r>
    </w:p>
    <w:p w:rsidR="00F56485" w:rsidRPr="00F56485" w:rsidP="00F56485" w14:paraId="6E297750" w14:textId="77777777">
      <w:pPr>
        <w:numPr>
          <w:ilvl w:val="0"/>
          <w:numId w:val="10"/>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Mix of public defenders and private attorneys</w:t>
      </w:r>
    </w:p>
    <w:p w:rsidR="00F56485" w:rsidRPr="00F56485" w:rsidP="00F56485" w14:paraId="47D332A5" w14:textId="77777777">
      <w:pPr>
        <w:numPr>
          <w:ilvl w:val="0"/>
          <w:numId w:val="10"/>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Experience presiding over cases with digital evidence</w:t>
      </w:r>
    </w:p>
    <w:bookmarkEnd w:id="1"/>
    <w:p w:rsidR="00F56485" w:rsidRPr="00F56485" w:rsidP="00F56485" w14:paraId="0C4AC414" w14:textId="77777777">
      <w:pPr>
        <w:rPr>
          <w:rFonts w:ascii="Times New Roman" w:eastAsia="Times New Roman" w:hAnsi="Times New Roman" w:cs="Times New Roman"/>
          <w:sz w:val="24"/>
          <w:szCs w:val="24"/>
        </w:rPr>
      </w:pPr>
    </w:p>
    <w:p w:rsidR="00F56485" w:rsidRPr="00F56485" w:rsidP="00F56485" w14:paraId="2B50E877" w14:textId="77777777">
      <w:pPr>
        <w:rPr>
          <w:rFonts w:ascii="Times New Roman" w:eastAsia="Times New Roman" w:hAnsi="Times New Roman" w:cs="Times New Roman"/>
          <w:sz w:val="24"/>
          <w:szCs w:val="24"/>
        </w:rPr>
      </w:pPr>
    </w:p>
    <w:p w:rsidR="00F56485" w:rsidRPr="00F56485" w:rsidP="00F56485" w14:paraId="59F2F5B8" w14:textId="77777777">
      <w:pPr>
        <w:rPr>
          <w:rFonts w:ascii="Times New Roman" w:eastAsia="Times New Roman" w:hAnsi="Times New Roman" w:cs="Times New Roman"/>
          <w:b/>
          <w:bCs/>
          <w:i/>
          <w:iCs/>
          <w:sz w:val="24"/>
          <w:szCs w:val="24"/>
        </w:rPr>
      </w:pPr>
      <w:r w:rsidRPr="00F56485">
        <w:rPr>
          <w:rFonts w:ascii="Times New Roman" w:eastAsia="Times New Roman" w:hAnsi="Times New Roman" w:cs="Times New Roman"/>
          <w:b/>
          <w:bCs/>
          <w:i/>
          <w:iCs/>
          <w:sz w:val="24"/>
          <w:szCs w:val="24"/>
        </w:rPr>
        <w:t xml:space="preserve">2.2 Process Recruitment of Individuals </w:t>
      </w:r>
    </w:p>
    <w:p w:rsidR="00F56485" w:rsidRPr="00F56485" w:rsidP="00F56485" w14:paraId="58C9818A"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The team will employ a multi-faceted approach to recruit participants for the focus groups while ensuring up to date contact information is collected. First, professional networks and associations will be leveraged, and relevant working groups or committees will be contacted (e.g. SWGDE, CCDE, RCFL, DFEG, OSAC) to obtain recommendation on agencies. Participant recommendations will then be collected through direct outreach to agencies in each field during which we will also confirm contact information.  </w:t>
      </w:r>
    </w:p>
    <w:p w:rsidR="00F56485" w:rsidRPr="00F56485" w:rsidP="00F56485" w14:paraId="457B61FA" w14:textId="77777777">
      <w:pPr>
        <w:rPr>
          <w:rFonts w:ascii="Times New Roman" w:eastAsia="Times New Roman" w:hAnsi="Times New Roman" w:cs="Times New Roman"/>
          <w:sz w:val="24"/>
          <w:szCs w:val="24"/>
        </w:rPr>
      </w:pPr>
    </w:p>
    <w:p w:rsidR="00F56485" w:rsidRPr="00F56485" w:rsidP="00F56485" w14:paraId="296A7B4E" w14:textId="77777777">
      <w:pPr>
        <w:jc w:val="both"/>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Prior to sending any request for focus group participation, a comprehensive screening process will be implemented to ensure the suitability of potential participants including verifying professional roles and experience and familiarity with digital evidence handling. Once suitability is determined, and availability and willingness to participate in the study is confirmed, initial contact will commence. Initial contact with agencies will be conducted by email and led by RTI using an invitation letter that explains the purpose of the study, the importance of their contribution, and the anticipated time commitment (</w:t>
      </w:r>
      <w:r w:rsidRPr="00F56485">
        <w:rPr>
          <w:rFonts w:ascii="Times New Roman" w:eastAsia="Times New Roman" w:hAnsi="Times New Roman" w:cs="Times New Roman"/>
          <w:b/>
          <w:bCs/>
          <w:sz w:val="24"/>
          <w:szCs w:val="24"/>
        </w:rPr>
        <w:t>Attachment B</w:t>
      </w:r>
      <w:r w:rsidRPr="00F56485">
        <w:rPr>
          <w:rFonts w:ascii="Times New Roman" w:eastAsia="Times New Roman" w:hAnsi="Times New Roman" w:cs="Times New Roman"/>
          <w:sz w:val="24"/>
          <w:szCs w:val="24"/>
        </w:rPr>
        <w:t xml:space="preserve">). In addition to emailed invitations, the team will also use phone calls and professional networking platforms, to maximize reach and engagement using the same language utilized in the written invitations. The project team anticipates reaching out to between 5 and 10 individuals per area for an estimated maximum of 30 total contacts and will end outreach once 5 experts per area have confirmed their willingness to participate, for a total of 5 individuals per group (15 overall). </w:t>
      </w:r>
    </w:p>
    <w:p w:rsidR="00F56485" w:rsidRPr="00F56485" w:rsidP="00F56485" w14:paraId="75091DC0" w14:textId="77777777">
      <w:pPr>
        <w:rPr>
          <w:rFonts w:ascii="Times New Roman" w:eastAsia="Times New Roman" w:hAnsi="Times New Roman" w:cs="Times New Roman"/>
          <w:sz w:val="24"/>
          <w:szCs w:val="24"/>
        </w:rPr>
      </w:pPr>
    </w:p>
    <w:p w:rsidR="00F56485" w:rsidRPr="00F56485" w:rsidP="00F56485" w14:paraId="79C73459"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Once participants have confirmed their intent to participate, RTI will send out an email confirmation that will provide details on the virtual meeting including the date and time of the focus group sessions (</w:t>
      </w:r>
      <w:r w:rsidRPr="00F56485">
        <w:rPr>
          <w:rFonts w:ascii="Times New Roman" w:eastAsia="Times New Roman" w:hAnsi="Times New Roman" w:cs="Times New Roman"/>
          <w:b/>
          <w:bCs/>
          <w:sz w:val="24"/>
          <w:szCs w:val="24"/>
        </w:rPr>
        <w:t>Attachment C</w:t>
      </w:r>
      <w:r w:rsidRPr="00F56485">
        <w:rPr>
          <w:rFonts w:ascii="Times New Roman" w:eastAsia="Times New Roman" w:hAnsi="Times New Roman" w:cs="Times New Roman"/>
          <w:sz w:val="24"/>
          <w:szCs w:val="24"/>
        </w:rPr>
        <w:t xml:space="preserve">). Informed consent will be obtained from all participants and be provided simultaneously with the confirmation date and time, ensuring they understand </w:t>
      </w:r>
      <w:r w:rsidRPr="00F56485">
        <w:rPr>
          <w:rFonts w:ascii="Times New Roman" w:eastAsia="Times New Roman" w:hAnsi="Times New Roman" w:cs="Times New Roman"/>
          <w:sz w:val="24"/>
          <w:szCs w:val="24"/>
        </w:rPr>
        <w:t>the nature and objectives of the study (</w:t>
      </w:r>
      <w:r w:rsidRPr="00F56485">
        <w:rPr>
          <w:rFonts w:ascii="Times New Roman" w:eastAsia="Times New Roman" w:hAnsi="Times New Roman" w:cs="Times New Roman"/>
          <w:b/>
          <w:bCs/>
          <w:sz w:val="24"/>
          <w:szCs w:val="24"/>
        </w:rPr>
        <w:t>Attachment D</w:t>
      </w:r>
      <w:r w:rsidRPr="00F56485">
        <w:rPr>
          <w:rFonts w:ascii="Times New Roman" w:eastAsia="Times New Roman" w:hAnsi="Times New Roman" w:cs="Times New Roman"/>
          <w:sz w:val="24"/>
          <w:szCs w:val="24"/>
        </w:rPr>
        <w:t>). Signed consent forms will be collected by RTI prior to the start of the focus groups. To minimize no-shows and ensure high participation rates, reminders will be sent to confirmed participants as the focus group date approaches.</w:t>
      </w:r>
    </w:p>
    <w:p w:rsidR="00F56485" w:rsidRPr="00F56485" w:rsidP="00F56485" w14:paraId="6A304639" w14:textId="77777777">
      <w:pPr>
        <w:rPr>
          <w:rFonts w:ascii="Times New Roman" w:eastAsia="Times New Roman" w:hAnsi="Times New Roman" w:cs="Times New Roman"/>
          <w:sz w:val="24"/>
          <w:szCs w:val="24"/>
        </w:rPr>
      </w:pPr>
    </w:p>
    <w:p w:rsidR="00F56485" w:rsidRPr="00F56485" w:rsidP="00F56485" w14:paraId="5902D757" w14:textId="77777777">
      <w:pPr>
        <w:rPr>
          <w:rFonts w:ascii="Times New Roman" w:eastAsia="Times New Roman" w:hAnsi="Times New Roman" w:cs="Times New Roman"/>
          <w:b/>
          <w:bCs/>
          <w:i/>
          <w:iCs/>
          <w:sz w:val="24"/>
          <w:szCs w:val="24"/>
        </w:rPr>
      </w:pPr>
      <w:r w:rsidRPr="00F56485">
        <w:rPr>
          <w:rFonts w:ascii="Times New Roman" w:eastAsia="Times New Roman" w:hAnsi="Times New Roman" w:cs="Times New Roman"/>
          <w:b/>
          <w:bCs/>
          <w:i/>
          <w:iCs/>
          <w:sz w:val="24"/>
          <w:szCs w:val="24"/>
        </w:rPr>
        <w:t>2.3 Virtual/Zoom Meeting Process</w:t>
      </w:r>
    </w:p>
    <w:p w:rsidR="00F56485" w:rsidRPr="00F56485" w:rsidP="00F56485" w14:paraId="5D0C0E41"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Each of the three focus group sessions featuring one expertise area (law enforcement, forensic laboratories, or legal community) will last approximately 60 minutes. A reliable virtual meeting platform such as Zoom or Microsoft Teams will be selected based on what participants have access to. Prior to the meeting, the platforms audio, video, and screensharing capabilities will be tested to avoid any technical issues. Scheduling will consider participants’ time zones and availability, with a clear agenda shared at least 24 hours in advance. </w:t>
      </w:r>
    </w:p>
    <w:p w:rsidR="00F56485" w:rsidRPr="00F56485" w:rsidP="00F56485" w14:paraId="328BB1CD" w14:textId="77777777">
      <w:pPr>
        <w:rPr>
          <w:rFonts w:ascii="Times New Roman" w:eastAsia="Times New Roman" w:hAnsi="Times New Roman" w:cs="Times New Roman"/>
          <w:sz w:val="24"/>
          <w:szCs w:val="24"/>
        </w:rPr>
      </w:pPr>
    </w:p>
    <w:p w:rsidR="00F56485" w:rsidRPr="00F56485" w:rsidP="00F56485" w14:paraId="3430C550"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The facilitator will start the meeting by reviewing the objectives and covering basic rules of participation. To encourage engagement from all participants, the facilitator will address participants by name and actively seek input from any participants that have not had a chance to contribute to the conversation throughout the session. To keep all participants engaged, interactive features such as polls and collaboration spaces will be incorporated. Participant engagement will also be enhanced by encouraging discussions among participants, using open-ended Q&amp;A sessions, and may incorporate collaborative tools such as digital white boards or visualization platforms for brainstorming or voting on others’ ideas or statements. The use of reaction and chat features will be encouraged to allow for non-verbal participation. </w:t>
      </w:r>
    </w:p>
    <w:p w:rsidR="00F56485" w:rsidRPr="00F56485" w:rsidP="00F56485" w14:paraId="4E0E5E9C" w14:textId="77777777">
      <w:pPr>
        <w:rPr>
          <w:rFonts w:ascii="Times New Roman" w:eastAsia="Times New Roman" w:hAnsi="Times New Roman" w:cs="Times New Roman"/>
          <w:b/>
          <w:bCs/>
          <w:i/>
          <w:iCs/>
          <w:sz w:val="24"/>
          <w:szCs w:val="24"/>
        </w:rPr>
      </w:pPr>
    </w:p>
    <w:p w:rsidR="00F56485" w:rsidRPr="00F56485" w:rsidP="00F56485" w14:paraId="18506AA1" w14:textId="77777777">
      <w:pPr>
        <w:rPr>
          <w:rFonts w:ascii="Times New Roman" w:eastAsia="Times New Roman" w:hAnsi="Times New Roman" w:cs="Times New Roman"/>
          <w:b/>
          <w:bCs/>
          <w:sz w:val="24"/>
          <w:szCs w:val="24"/>
        </w:rPr>
      </w:pPr>
      <w:r w:rsidRPr="00F56485">
        <w:rPr>
          <w:rFonts w:ascii="Times New Roman" w:eastAsia="Times New Roman" w:hAnsi="Times New Roman" w:cs="Times New Roman"/>
          <w:sz w:val="24"/>
          <w:szCs w:val="24"/>
        </w:rPr>
        <w:t xml:space="preserve">Upon completion of the focus groups, each participant will receive an email thanking them for their participation and provide them the opportunity to provide any additional insights or feedback (see </w:t>
      </w:r>
      <w:r w:rsidRPr="00F56485">
        <w:rPr>
          <w:rFonts w:ascii="Times New Roman" w:eastAsia="Times New Roman" w:hAnsi="Times New Roman" w:cs="Times New Roman"/>
          <w:b/>
          <w:bCs/>
          <w:sz w:val="24"/>
          <w:szCs w:val="24"/>
        </w:rPr>
        <w:t xml:space="preserve">Attachment E). </w:t>
      </w:r>
    </w:p>
    <w:p w:rsidR="00F56485" w:rsidRPr="00F56485" w:rsidP="00F56485" w14:paraId="601761CD" w14:textId="77777777">
      <w:pPr>
        <w:rPr>
          <w:rFonts w:ascii="Times New Roman" w:eastAsia="Times New Roman" w:hAnsi="Times New Roman" w:cs="Times New Roman"/>
          <w:sz w:val="24"/>
          <w:szCs w:val="24"/>
        </w:rPr>
      </w:pPr>
    </w:p>
    <w:p w:rsidR="00F56485" w:rsidRPr="00F56485" w:rsidP="00F56485" w14:paraId="7C0FE1F7" w14:textId="77777777">
      <w:pPr>
        <w:numPr>
          <w:ilvl w:val="0"/>
          <w:numId w:val="7"/>
        </w:num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 xml:space="preserve">Burden </w:t>
      </w:r>
    </w:p>
    <w:p w:rsidR="00F56485" w:rsidRPr="00F56485" w:rsidP="00F56485" w14:paraId="085CC189"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The maximum burden associated with the proposed focus groups is presented in Table 1. In total, respondent burden is estimated to be 20 hours. This burden comprises two components: scheduling focus groups with participants and conducting the focus groups. </w:t>
      </w:r>
    </w:p>
    <w:p w:rsidR="00F56485" w:rsidRPr="00F56485" w:rsidP="00F56485" w14:paraId="69796189" w14:textId="77777777">
      <w:pPr>
        <w:rPr>
          <w:rFonts w:ascii="Times New Roman" w:eastAsia="Times New Roman" w:hAnsi="Times New Roman" w:cs="Times New Roman"/>
          <w:sz w:val="24"/>
          <w:szCs w:val="24"/>
        </w:rPr>
      </w:pPr>
    </w:p>
    <w:p w:rsidR="00F56485" w:rsidRPr="00F56485" w:rsidP="00F56485" w14:paraId="709FAA85" w14:textId="77777777">
      <w:pPr>
        <w:rPr>
          <w:rFonts w:ascii="Times New Roman" w:eastAsia="Times New Roman" w:hAnsi="Times New Roman" w:cs="Times New Roman"/>
          <w:b/>
          <w:bCs/>
          <w:sz w:val="24"/>
          <w:szCs w:val="24"/>
        </w:rPr>
      </w:pPr>
    </w:p>
    <w:p w:rsidR="00F56485" w:rsidRPr="00F56485" w:rsidP="00F56485" w14:paraId="385DA3C8" w14:textId="77777777">
      <w:p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 xml:space="preserve">Table 1. Maximum Burden Associated with Planned Focus Group Activities </w:t>
      </w:r>
    </w:p>
    <w:tbl>
      <w:tblPr>
        <w:tblW w:w="8460" w:type="dxa"/>
        <w:tblInd w:w="-5" w:type="dxa"/>
        <w:tblCellMar>
          <w:left w:w="0" w:type="dxa"/>
          <w:right w:w="0" w:type="dxa"/>
        </w:tblCellMar>
        <w:tblLook w:val="04A0"/>
      </w:tblPr>
      <w:tblGrid>
        <w:gridCol w:w="2970"/>
        <w:gridCol w:w="1710"/>
        <w:gridCol w:w="1980"/>
        <w:gridCol w:w="1800"/>
      </w:tblGrid>
      <w:tr w14:paraId="0BD87569" w14:textId="77777777" w:rsidTr="001A17F7">
        <w:tblPrEx>
          <w:tblW w:w="8460" w:type="dxa"/>
          <w:tblInd w:w="-5" w:type="dxa"/>
          <w:tblCellMar>
            <w:left w:w="0" w:type="dxa"/>
            <w:right w:w="0" w:type="dxa"/>
          </w:tblCellMar>
          <w:tblLook w:val="04A0"/>
        </w:tblPrEx>
        <w:trPr>
          <w:trHeight w:val="461"/>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F56485" w:rsidRPr="00F56485" w:rsidP="00F56485" w14:paraId="7B61060C" w14:textId="77777777">
            <w:pPr>
              <w:rPr>
                <w:rFonts w:ascii="Times New Roman" w:eastAsia="Times New Roman" w:hAnsi="Times New Roman" w:cs="Times New Roman"/>
                <w:color w:val="000000"/>
              </w:rPr>
            </w:pPr>
          </w:p>
        </w:tc>
        <w:tc>
          <w:tcPr>
            <w:tcW w:w="17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56485" w:rsidRPr="00F56485" w:rsidP="00F56485" w14:paraId="5431E4C2" w14:textId="77777777">
            <w:pPr>
              <w:rPr>
                <w:rFonts w:ascii="Times New Roman" w:eastAsia="Times New Roman" w:hAnsi="Times New Roman" w:cs="Times New Roman"/>
                <w:b/>
                <w:bCs/>
                <w:color w:val="000000"/>
              </w:rPr>
            </w:pPr>
            <w:r w:rsidRPr="00F56485">
              <w:rPr>
                <w:rFonts w:ascii="Times New Roman" w:eastAsia="Times New Roman" w:hAnsi="Times New Roman" w:cs="Times New Roman"/>
                <w:b/>
                <w:bCs/>
                <w:color w:val="000000"/>
              </w:rPr>
              <w:t>Number of Respondents</w:t>
            </w:r>
          </w:p>
        </w:tc>
        <w:tc>
          <w:tcPr>
            <w:tcW w:w="1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56485" w:rsidRPr="00F56485" w:rsidP="00F56485" w14:paraId="1921BD9F" w14:textId="77777777">
            <w:pPr>
              <w:rPr>
                <w:rFonts w:ascii="Times New Roman" w:eastAsia="Times New Roman" w:hAnsi="Times New Roman" w:cs="Times New Roman"/>
                <w:b/>
                <w:bCs/>
                <w:color w:val="000000"/>
              </w:rPr>
            </w:pPr>
            <w:r w:rsidRPr="00F56485">
              <w:rPr>
                <w:rFonts w:ascii="Times New Roman" w:eastAsia="Times New Roman" w:hAnsi="Times New Roman" w:cs="Times New Roman"/>
                <w:b/>
                <w:bCs/>
                <w:color w:val="000000"/>
              </w:rPr>
              <w:t>Participation Time (minutes)</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56485" w:rsidRPr="00F56485" w:rsidP="00F56485" w14:paraId="3E7439C1" w14:textId="77777777">
            <w:pPr>
              <w:rPr>
                <w:rFonts w:ascii="Times New Roman" w:eastAsia="Times New Roman" w:hAnsi="Times New Roman" w:cs="Times New Roman"/>
                <w:b/>
                <w:bCs/>
                <w:color w:val="000000"/>
              </w:rPr>
            </w:pPr>
            <w:r w:rsidRPr="00F56485">
              <w:rPr>
                <w:rFonts w:ascii="Times New Roman" w:eastAsia="Times New Roman" w:hAnsi="Times New Roman" w:cs="Times New Roman"/>
                <w:b/>
                <w:bCs/>
                <w:color w:val="000000"/>
              </w:rPr>
              <w:t>Burden (hours)</w:t>
            </w:r>
          </w:p>
        </w:tc>
      </w:tr>
      <w:tr w14:paraId="74A1BEA4" w14:textId="77777777" w:rsidTr="001A17F7">
        <w:tblPrEx>
          <w:tblW w:w="8460" w:type="dxa"/>
          <w:tblInd w:w="-5" w:type="dxa"/>
          <w:tblCellMar>
            <w:left w:w="0" w:type="dxa"/>
            <w:right w:w="0" w:type="dxa"/>
          </w:tblCellMar>
          <w:tblLook w:val="04A0"/>
        </w:tblPrEx>
        <w:trPr>
          <w:trHeight w:val="461"/>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56485" w:rsidRPr="00F56485" w:rsidP="00F56485" w14:paraId="0A1CFDE3"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 xml:space="preserve">Private Sector </w:t>
            </w:r>
          </w:p>
          <w:p w:rsidR="00F56485" w:rsidRPr="00F56485" w:rsidP="00F56485" w14:paraId="15449E8C"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--Contact and Scheduling</w:t>
            </w:r>
          </w:p>
        </w:tc>
        <w:tc>
          <w:tcPr>
            <w:tcW w:w="17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56485" w:rsidRPr="00F56485" w:rsidP="00F56485" w14:paraId="0483135D"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Up to 10</w:t>
            </w:r>
          </w:p>
        </w:tc>
        <w:tc>
          <w:tcPr>
            <w:tcW w:w="19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56485" w:rsidRPr="00F56485" w:rsidP="00F56485" w14:paraId="338A9A99"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10</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F56485" w:rsidRPr="00F56485" w:rsidP="00F56485" w14:paraId="6759A1D1"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2</w:t>
            </w:r>
          </w:p>
        </w:tc>
      </w:tr>
      <w:tr w14:paraId="3ACEAF2C" w14:textId="77777777" w:rsidTr="001A17F7">
        <w:tblPrEx>
          <w:tblW w:w="8460" w:type="dxa"/>
          <w:tblInd w:w="-5" w:type="dxa"/>
          <w:tblCellMar>
            <w:left w:w="0" w:type="dxa"/>
            <w:right w:w="0" w:type="dxa"/>
          </w:tblCellMar>
          <w:tblLook w:val="04A0"/>
        </w:tblPrEx>
        <w:trPr>
          <w:trHeight w:val="524"/>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56485" w:rsidRPr="00F56485" w:rsidP="00F56485" w14:paraId="7C1B931C"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 xml:space="preserve">State, Local, or Tribal Governments </w:t>
            </w:r>
          </w:p>
          <w:p w:rsidR="00F56485" w:rsidRPr="00F56485" w:rsidP="00F56485" w14:paraId="48E78AFD"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--Contact and Scheduling</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75CBE273"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Up to 20</w:t>
            </w:r>
          </w:p>
        </w:tc>
        <w:tc>
          <w:tcPr>
            <w:tcW w:w="1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29BB4E1D"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10</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11B07D96"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3</w:t>
            </w:r>
          </w:p>
        </w:tc>
      </w:tr>
      <w:tr w14:paraId="1EAFB85B" w14:textId="77777777" w:rsidTr="001A17F7">
        <w:tblPrEx>
          <w:tblW w:w="8460" w:type="dxa"/>
          <w:tblInd w:w="-5" w:type="dxa"/>
          <w:tblCellMar>
            <w:left w:w="0" w:type="dxa"/>
            <w:right w:w="0" w:type="dxa"/>
          </w:tblCellMar>
          <w:tblLook w:val="04A0"/>
        </w:tblPrEx>
        <w:trPr>
          <w:trHeight w:val="524"/>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56485" w:rsidRPr="00F56485" w:rsidP="00F56485" w14:paraId="2622EFFF"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 xml:space="preserve">Private Sector </w:t>
            </w:r>
          </w:p>
          <w:p w:rsidR="00F56485" w:rsidRPr="00F56485" w:rsidP="00F56485" w14:paraId="255DC847"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--Focus Group Interviews</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19D91FF1"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5</w:t>
            </w:r>
          </w:p>
        </w:tc>
        <w:tc>
          <w:tcPr>
            <w:tcW w:w="1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39AB135A"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60</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73124360"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5</w:t>
            </w:r>
          </w:p>
        </w:tc>
      </w:tr>
      <w:tr w14:paraId="6DF99A89" w14:textId="77777777" w:rsidTr="001A17F7">
        <w:tblPrEx>
          <w:tblW w:w="8460" w:type="dxa"/>
          <w:tblInd w:w="-5" w:type="dxa"/>
          <w:tblCellMar>
            <w:left w:w="0" w:type="dxa"/>
            <w:right w:w="0" w:type="dxa"/>
          </w:tblCellMar>
          <w:tblLook w:val="04A0"/>
        </w:tblPrEx>
        <w:trPr>
          <w:trHeight w:val="524"/>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56485" w:rsidRPr="00F56485" w:rsidP="00F56485" w14:paraId="564045E9"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 xml:space="preserve">State, Local, or Tribal Governments </w:t>
            </w:r>
          </w:p>
          <w:p w:rsidR="00F56485" w:rsidRPr="00F56485" w:rsidP="00F56485" w14:paraId="7AC6E717"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--Focus Group interviews</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3B9C4954"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10</w:t>
            </w:r>
          </w:p>
        </w:tc>
        <w:tc>
          <w:tcPr>
            <w:tcW w:w="1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75B5EB9C"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60</w:t>
            </w: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5F1CC68B" w14:textId="77777777">
            <w:pPr>
              <w:rPr>
                <w:rFonts w:ascii="Times New Roman" w:eastAsia="Times New Roman" w:hAnsi="Times New Roman" w:cs="Times New Roman"/>
                <w:color w:val="000000"/>
              </w:rPr>
            </w:pPr>
            <w:r w:rsidRPr="00F56485">
              <w:rPr>
                <w:rFonts w:ascii="Times New Roman" w:eastAsia="Times New Roman" w:hAnsi="Times New Roman" w:cs="Times New Roman"/>
                <w:color w:val="000000"/>
              </w:rPr>
              <w:t>10</w:t>
            </w:r>
          </w:p>
        </w:tc>
      </w:tr>
      <w:tr w14:paraId="51BCF303" w14:textId="77777777" w:rsidTr="001A17F7">
        <w:tblPrEx>
          <w:tblW w:w="8460" w:type="dxa"/>
          <w:tblInd w:w="-5" w:type="dxa"/>
          <w:tblCellMar>
            <w:left w:w="0" w:type="dxa"/>
            <w:right w:w="0" w:type="dxa"/>
          </w:tblCellMar>
          <w:tblLook w:val="04A0"/>
        </w:tblPrEx>
        <w:trPr>
          <w:trHeight w:val="524"/>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F56485" w:rsidRPr="00F56485" w:rsidP="00F56485" w14:paraId="1BAA6405" w14:textId="77777777">
            <w:pPr>
              <w:rPr>
                <w:rFonts w:ascii="Times New Roman" w:eastAsia="Times New Roman" w:hAnsi="Times New Roman" w:cs="Times New Roman"/>
                <w:b/>
                <w:bCs/>
                <w:color w:val="000000"/>
              </w:rPr>
            </w:pPr>
            <w:r w:rsidRPr="00F56485">
              <w:rPr>
                <w:rFonts w:ascii="Times New Roman" w:eastAsia="Times New Roman" w:hAnsi="Times New Roman" w:cs="Times New Roman"/>
                <w:b/>
                <w:bCs/>
                <w:color w:val="000000"/>
              </w:rPr>
              <w:t>Total</w:t>
            </w:r>
          </w:p>
        </w:tc>
        <w:tc>
          <w:tcPr>
            <w:tcW w:w="171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72CBDD2B" w14:textId="77777777">
            <w:pPr>
              <w:rPr>
                <w:rFonts w:ascii="Times New Roman" w:eastAsia="Times New Roman" w:hAnsi="Times New Roman" w:cs="Times New Roman"/>
                <w:b/>
                <w:bCs/>
                <w:color w:val="000000"/>
              </w:rPr>
            </w:pPr>
            <w:r w:rsidRPr="00F56485">
              <w:rPr>
                <w:rFonts w:ascii="Times New Roman" w:eastAsia="Times New Roman" w:hAnsi="Times New Roman" w:cs="Times New Roman"/>
                <w:b/>
                <w:bCs/>
                <w:color w:val="000000"/>
              </w:rPr>
              <w:t>30</w:t>
            </w:r>
          </w:p>
        </w:tc>
        <w:tc>
          <w:tcPr>
            <w:tcW w:w="19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11F0B428" w14:textId="77777777">
            <w:pPr>
              <w:rPr>
                <w:rFonts w:ascii="Times New Roman" w:eastAsia="Times New Roman" w:hAnsi="Times New Roman" w:cs="Times New Roman"/>
                <w:b/>
                <w:bCs/>
                <w:color w:val="000000"/>
              </w:rPr>
            </w:pPr>
          </w:p>
        </w:tc>
        <w:tc>
          <w:tcPr>
            <w:tcW w:w="18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F56485" w:rsidRPr="00F56485" w:rsidP="00F56485" w14:paraId="5A3C2DFC" w14:textId="77777777">
            <w:pPr>
              <w:rPr>
                <w:rFonts w:ascii="Times New Roman" w:eastAsia="Times New Roman" w:hAnsi="Times New Roman" w:cs="Times New Roman"/>
                <w:b/>
                <w:bCs/>
                <w:color w:val="000000"/>
              </w:rPr>
            </w:pPr>
            <w:r w:rsidRPr="00F56485">
              <w:rPr>
                <w:rFonts w:ascii="Times New Roman" w:eastAsia="Times New Roman" w:hAnsi="Times New Roman" w:cs="Times New Roman"/>
                <w:b/>
                <w:bCs/>
                <w:color w:val="000000"/>
              </w:rPr>
              <w:t>20</w:t>
            </w:r>
          </w:p>
        </w:tc>
      </w:tr>
    </w:tbl>
    <w:p w:rsidR="00F56485" w:rsidRPr="00F56485" w:rsidP="00F56485" w14:paraId="58C3AB75" w14:textId="77777777">
      <w:pPr>
        <w:rPr>
          <w:rFonts w:ascii="Times New Roman" w:eastAsia="Times New Roman" w:hAnsi="Times New Roman" w:cs="Arial"/>
          <w:sz w:val="24"/>
          <w:szCs w:val="24"/>
        </w:rPr>
      </w:pPr>
    </w:p>
    <w:p w:rsidR="00F56485" w:rsidRPr="00F56485" w:rsidP="00F56485" w14:paraId="65957A86" w14:textId="77777777">
      <w:pPr>
        <w:numPr>
          <w:ilvl w:val="0"/>
          <w:numId w:val="7"/>
        </w:num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Language</w:t>
      </w:r>
    </w:p>
    <w:p w:rsidR="00F56485" w:rsidRPr="00F56485" w:rsidP="00F56485" w14:paraId="328A4A69"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The focus groups will be conducted in English only.</w:t>
      </w:r>
    </w:p>
    <w:p w:rsidR="00F56485" w:rsidRPr="00F56485" w:rsidP="00F56485" w14:paraId="7E556EEA" w14:textId="77777777">
      <w:pPr>
        <w:rPr>
          <w:rFonts w:ascii="Times New Roman" w:eastAsia="Times New Roman" w:hAnsi="Times New Roman" w:cs="Times New Roman"/>
          <w:sz w:val="24"/>
          <w:szCs w:val="24"/>
        </w:rPr>
      </w:pPr>
    </w:p>
    <w:p w:rsidR="00F56485" w:rsidRPr="00F56485" w:rsidP="00F56485" w14:paraId="2E8CFFDE" w14:textId="77777777">
      <w:pPr>
        <w:numPr>
          <w:ilvl w:val="0"/>
          <w:numId w:val="7"/>
        </w:num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 xml:space="preserve">Timeline </w:t>
      </w:r>
    </w:p>
    <w:tbl>
      <w:tblPr>
        <w:tblW w:w="9355" w:type="dxa"/>
        <w:tblLook w:val="04A0"/>
      </w:tblPr>
      <w:tblGrid>
        <w:gridCol w:w="6655"/>
        <w:gridCol w:w="1440"/>
        <w:gridCol w:w="1260"/>
      </w:tblGrid>
      <w:tr w14:paraId="6AD7C9D3" w14:textId="77777777" w:rsidTr="001A17F7">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shd w:val="clear" w:color="auto" w:fill="D0CECE"/>
            <w:hideMark/>
          </w:tcPr>
          <w:p w:rsidR="00F56485" w:rsidRPr="00F56485" w:rsidP="00F56485" w14:paraId="7240C109" w14:textId="77777777">
            <w:pPr>
              <w:ind w:firstLine="360"/>
              <w:rPr>
                <w:rFonts w:ascii="Times New Roman" w:eastAsia="Times New Roman" w:hAnsi="Times New Roman" w:cs="Arial"/>
                <w:b/>
                <w:iCs/>
                <w:sz w:val="24"/>
                <w:szCs w:val="24"/>
              </w:rPr>
            </w:pPr>
            <w:r w:rsidRPr="00F56485">
              <w:rPr>
                <w:rFonts w:ascii="Times New Roman" w:eastAsia="Times New Roman" w:hAnsi="Times New Roman" w:cs="Arial"/>
                <w:b/>
                <w:iCs/>
                <w:sz w:val="24"/>
                <w:szCs w:val="24"/>
              </w:rPr>
              <w:t>Milestone</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F56485" w:rsidRPr="00F56485" w:rsidP="00F56485" w14:paraId="393A6ADC" w14:textId="77777777">
            <w:pPr>
              <w:ind w:hanging="14"/>
              <w:rPr>
                <w:rFonts w:ascii="Times New Roman" w:eastAsia="Times New Roman" w:hAnsi="Times New Roman" w:cs="Arial"/>
                <w:b/>
                <w:iCs/>
                <w:sz w:val="24"/>
                <w:szCs w:val="24"/>
              </w:rPr>
            </w:pPr>
            <w:r w:rsidRPr="00F56485">
              <w:rPr>
                <w:rFonts w:ascii="Times New Roman" w:eastAsia="Times New Roman" w:hAnsi="Times New Roman" w:cs="Arial"/>
                <w:b/>
                <w:iCs/>
                <w:sz w:val="24"/>
                <w:szCs w:val="24"/>
              </w:rPr>
              <w:t>Start Date</w:t>
            </w:r>
          </w:p>
        </w:tc>
        <w:tc>
          <w:tcPr>
            <w:tcW w:w="1260" w:type="dxa"/>
            <w:tcBorders>
              <w:top w:val="single" w:sz="4" w:space="0" w:color="auto"/>
              <w:left w:val="single" w:sz="4" w:space="0" w:color="auto"/>
              <w:bottom w:val="single" w:sz="4" w:space="0" w:color="auto"/>
              <w:right w:val="single" w:sz="4" w:space="0" w:color="auto"/>
            </w:tcBorders>
            <w:shd w:val="clear" w:color="auto" w:fill="D0CECE"/>
            <w:hideMark/>
          </w:tcPr>
          <w:p w:rsidR="00F56485" w:rsidRPr="00F56485" w:rsidP="00F56485" w14:paraId="112245AD" w14:textId="77777777">
            <w:pPr>
              <w:ind w:hanging="14"/>
              <w:rPr>
                <w:rFonts w:ascii="Times New Roman" w:eastAsia="Times New Roman" w:hAnsi="Times New Roman" w:cs="Arial"/>
                <w:b/>
                <w:iCs/>
                <w:sz w:val="24"/>
                <w:szCs w:val="24"/>
              </w:rPr>
            </w:pPr>
            <w:r w:rsidRPr="00F56485">
              <w:rPr>
                <w:rFonts w:ascii="Times New Roman" w:eastAsia="Times New Roman" w:hAnsi="Times New Roman" w:cs="Arial"/>
                <w:b/>
                <w:iCs/>
                <w:sz w:val="24"/>
                <w:szCs w:val="24"/>
              </w:rPr>
              <w:t>End Date</w:t>
            </w:r>
          </w:p>
        </w:tc>
      </w:tr>
      <w:tr w14:paraId="2460DBE2" w14:textId="77777777" w:rsidTr="001A17F7">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F56485" w:rsidRPr="00F56485" w:rsidP="00F56485" w14:paraId="73668488" w14:textId="77777777">
            <w:pPr>
              <w:ind w:firstLine="360"/>
              <w:rPr>
                <w:rFonts w:ascii="Times New Roman" w:eastAsia="Times New Roman" w:hAnsi="Times New Roman" w:cs="Arial"/>
                <w:bCs/>
                <w:iCs/>
                <w:sz w:val="24"/>
                <w:szCs w:val="24"/>
              </w:rPr>
            </w:pPr>
            <w:r w:rsidRPr="00F56485">
              <w:rPr>
                <w:rFonts w:ascii="Times New Roman" w:eastAsia="Times New Roman" w:hAnsi="Times New Roman" w:cs="Arial"/>
                <w:bCs/>
                <w:iCs/>
                <w:sz w:val="24"/>
                <w:szCs w:val="24"/>
              </w:rPr>
              <w:t>Recruitment and focus group period</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485" w:rsidRPr="00F56485" w:rsidP="00F56485" w14:paraId="3EF7505D" w14:textId="77777777">
            <w:pPr>
              <w:ind w:left="-104"/>
              <w:rPr>
                <w:rFonts w:ascii="Times New Roman" w:eastAsia="Times New Roman" w:hAnsi="Times New Roman" w:cs="Arial"/>
                <w:bCs/>
                <w:iCs/>
                <w:sz w:val="24"/>
                <w:szCs w:val="24"/>
              </w:rPr>
            </w:pPr>
            <w:r w:rsidRPr="00F56485">
              <w:rPr>
                <w:rFonts w:ascii="Times New Roman" w:eastAsia="Times New Roman" w:hAnsi="Times New Roman" w:cs="Arial"/>
                <w:bCs/>
                <w:iCs/>
                <w:sz w:val="24"/>
                <w:szCs w:val="24"/>
              </w:rPr>
              <w:t>8/4/2025</w:t>
            </w:r>
          </w:p>
        </w:tc>
        <w:tc>
          <w:tcPr>
            <w:tcW w:w="1260" w:type="dxa"/>
            <w:tcBorders>
              <w:top w:val="single" w:sz="4" w:space="0" w:color="auto"/>
              <w:left w:val="single" w:sz="4" w:space="0" w:color="auto"/>
              <w:bottom w:val="single" w:sz="4" w:space="0" w:color="auto"/>
              <w:right w:val="single" w:sz="4" w:space="0" w:color="auto"/>
            </w:tcBorders>
            <w:hideMark/>
          </w:tcPr>
          <w:p w:rsidR="00F56485" w:rsidRPr="00F56485" w:rsidP="00F56485" w14:paraId="30D2DC79" w14:textId="77777777">
            <w:pPr>
              <w:ind w:left="-104"/>
              <w:rPr>
                <w:rFonts w:ascii="Times New Roman" w:eastAsia="Times New Roman" w:hAnsi="Times New Roman" w:cs="Arial"/>
                <w:sz w:val="24"/>
                <w:szCs w:val="24"/>
              </w:rPr>
            </w:pPr>
            <w:r w:rsidRPr="00F56485">
              <w:rPr>
                <w:rFonts w:ascii="Times New Roman" w:eastAsia="Times New Roman" w:hAnsi="Times New Roman" w:cs="Arial"/>
                <w:bCs/>
                <w:iCs/>
                <w:sz w:val="24"/>
                <w:szCs w:val="24"/>
              </w:rPr>
              <w:t>10/31/2025</w:t>
            </w:r>
          </w:p>
        </w:tc>
      </w:tr>
      <w:tr w14:paraId="324EDC93" w14:textId="77777777" w:rsidTr="001A17F7">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F56485" w:rsidRPr="00F56485" w:rsidP="00F56485" w14:paraId="32E04358" w14:textId="77777777">
            <w:pPr>
              <w:ind w:firstLine="360"/>
              <w:rPr>
                <w:rFonts w:ascii="Times New Roman" w:eastAsia="Times New Roman" w:hAnsi="Times New Roman" w:cs="Arial"/>
                <w:bCs/>
                <w:iCs/>
                <w:sz w:val="24"/>
                <w:szCs w:val="24"/>
              </w:rPr>
            </w:pPr>
            <w:r w:rsidRPr="00F56485">
              <w:rPr>
                <w:rFonts w:ascii="Times New Roman" w:eastAsia="Times New Roman" w:hAnsi="Times New Roman" w:cs="Arial"/>
                <w:bCs/>
                <w:iCs/>
                <w:sz w:val="24"/>
                <w:szCs w:val="24"/>
              </w:rPr>
              <w:t>Analyze data and develop instrument recommendations</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485" w:rsidRPr="00F56485" w:rsidP="00F56485" w14:paraId="6084636E" w14:textId="77777777">
            <w:pPr>
              <w:ind w:left="-149"/>
              <w:rPr>
                <w:rFonts w:ascii="Times New Roman" w:eastAsia="Times New Roman" w:hAnsi="Times New Roman" w:cs="Arial"/>
                <w:bCs/>
                <w:iCs/>
                <w:sz w:val="24"/>
                <w:szCs w:val="24"/>
              </w:rPr>
            </w:pPr>
            <w:r w:rsidRPr="00F56485">
              <w:rPr>
                <w:rFonts w:ascii="Times New Roman" w:eastAsia="Times New Roman" w:hAnsi="Times New Roman" w:cs="Arial"/>
                <w:bCs/>
                <w:iCs/>
                <w:sz w:val="24"/>
                <w:szCs w:val="24"/>
              </w:rPr>
              <w:t>10/31/2025</w:t>
            </w:r>
          </w:p>
        </w:tc>
        <w:tc>
          <w:tcPr>
            <w:tcW w:w="1260" w:type="dxa"/>
            <w:tcBorders>
              <w:top w:val="single" w:sz="4" w:space="0" w:color="auto"/>
              <w:left w:val="single" w:sz="4" w:space="0" w:color="auto"/>
              <w:bottom w:val="single" w:sz="4" w:space="0" w:color="auto"/>
              <w:right w:val="single" w:sz="4" w:space="0" w:color="auto"/>
            </w:tcBorders>
            <w:vAlign w:val="center"/>
          </w:tcPr>
          <w:p w:rsidR="00F56485" w:rsidRPr="00F56485" w:rsidP="00F56485" w14:paraId="51E75258" w14:textId="77777777">
            <w:pPr>
              <w:ind w:left="-104"/>
              <w:rPr>
                <w:rFonts w:ascii="Times New Roman" w:eastAsia="Times New Roman" w:hAnsi="Times New Roman" w:cs="Arial"/>
                <w:bCs/>
                <w:iCs/>
                <w:sz w:val="24"/>
                <w:szCs w:val="24"/>
              </w:rPr>
            </w:pPr>
            <w:r w:rsidRPr="00F56485">
              <w:rPr>
                <w:rFonts w:ascii="Times New Roman" w:eastAsia="Times New Roman" w:hAnsi="Times New Roman" w:cs="Arial"/>
                <w:bCs/>
                <w:iCs/>
                <w:sz w:val="24"/>
                <w:szCs w:val="24"/>
              </w:rPr>
              <w:t>11/17/2025</w:t>
            </w:r>
          </w:p>
        </w:tc>
      </w:tr>
      <w:tr w14:paraId="3AC9F1DE" w14:textId="77777777" w:rsidTr="001A17F7">
        <w:tblPrEx>
          <w:tblW w:w="9355" w:type="dxa"/>
          <w:tblLook w:val="04A0"/>
        </w:tblPrEx>
        <w:trPr>
          <w:trHeight w:val="368"/>
        </w:trPr>
        <w:tc>
          <w:tcPr>
            <w:tcW w:w="6655" w:type="dxa"/>
            <w:tcBorders>
              <w:top w:val="single" w:sz="4" w:space="0" w:color="auto"/>
              <w:left w:val="single" w:sz="4" w:space="0" w:color="auto"/>
              <w:bottom w:val="single" w:sz="4" w:space="0" w:color="auto"/>
              <w:right w:val="single" w:sz="4" w:space="0" w:color="auto"/>
            </w:tcBorders>
            <w:vAlign w:val="center"/>
            <w:hideMark/>
          </w:tcPr>
          <w:p w:rsidR="00F56485" w:rsidRPr="00F56485" w:rsidP="00F56485" w14:paraId="1670CEBE" w14:textId="77777777">
            <w:pPr>
              <w:ind w:firstLine="360"/>
              <w:rPr>
                <w:rFonts w:ascii="Times New Roman" w:eastAsia="Times New Roman" w:hAnsi="Times New Roman" w:cs="Arial"/>
                <w:bCs/>
                <w:iCs/>
                <w:sz w:val="24"/>
                <w:szCs w:val="24"/>
              </w:rPr>
            </w:pPr>
            <w:r w:rsidRPr="00F56485">
              <w:rPr>
                <w:rFonts w:ascii="Times New Roman" w:eastAsia="Times New Roman" w:hAnsi="Times New Roman" w:cs="Arial"/>
                <w:bCs/>
                <w:iCs/>
                <w:sz w:val="24"/>
                <w:szCs w:val="24"/>
              </w:rPr>
              <w:t>Final report and final instrument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F56485" w:rsidRPr="00F56485" w:rsidP="00F56485" w14:paraId="00B8129D" w14:textId="77777777">
            <w:pPr>
              <w:ind w:left="-104"/>
              <w:rPr>
                <w:rFonts w:ascii="Times New Roman" w:eastAsia="Times New Roman" w:hAnsi="Times New Roman" w:cs="Arial"/>
                <w:bCs/>
                <w:iCs/>
                <w:sz w:val="24"/>
                <w:szCs w:val="24"/>
              </w:rPr>
            </w:pPr>
            <w:r w:rsidRPr="00F56485">
              <w:rPr>
                <w:rFonts w:ascii="Times New Roman" w:eastAsia="Times New Roman" w:hAnsi="Times New Roman" w:cs="Arial"/>
                <w:bCs/>
                <w:iCs/>
                <w:sz w:val="24"/>
                <w:szCs w:val="24"/>
              </w:rPr>
              <w:t>11/17/2025</w:t>
            </w:r>
          </w:p>
        </w:tc>
        <w:tc>
          <w:tcPr>
            <w:tcW w:w="1260" w:type="dxa"/>
            <w:tcBorders>
              <w:top w:val="single" w:sz="4" w:space="0" w:color="auto"/>
              <w:left w:val="single" w:sz="4" w:space="0" w:color="auto"/>
              <w:bottom w:val="single" w:sz="4" w:space="0" w:color="auto"/>
              <w:right w:val="single" w:sz="4" w:space="0" w:color="auto"/>
            </w:tcBorders>
            <w:vAlign w:val="center"/>
            <w:hideMark/>
          </w:tcPr>
          <w:p w:rsidR="00F56485" w:rsidRPr="00F56485" w:rsidP="00F56485" w14:paraId="30AEBE5E" w14:textId="77777777">
            <w:pPr>
              <w:ind w:left="-104"/>
              <w:rPr>
                <w:rFonts w:ascii="Times New Roman" w:eastAsia="Times New Roman" w:hAnsi="Times New Roman" w:cs="Arial"/>
                <w:bCs/>
                <w:iCs/>
                <w:sz w:val="24"/>
                <w:szCs w:val="24"/>
              </w:rPr>
            </w:pPr>
            <w:r w:rsidRPr="00F56485">
              <w:rPr>
                <w:rFonts w:ascii="Times New Roman" w:eastAsia="Times New Roman" w:hAnsi="Times New Roman" w:cs="Arial"/>
                <w:bCs/>
                <w:iCs/>
                <w:sz w:val="24"/>
                <w:szCs w:val="24"/>
              </w:rPr>
              <w:t>11/17/2025</w:t>
            </w:r>
          </w:p>
        </w:tc>
      </w:tr>
    </w:tbl>
    <w:p w:rsidR="00F56485" w:rsidRPr="00F56485" w:rsidP="00F56485" w14:paraId="7050AF32" w14:textId="77777777">
      <w:pPr>
        <w:contextualSpacing/>
        <w:rPr>
          <w:rFonts w:ascii="Times New Roman" w:eastAsia="Times New Roman" w:hAnsi="Times New Roman" w:cs="Times New Roman"/>
          <w:sz w:val="24"/>
          <w:szCs w:val="24"/>
        </w:rPr>
      </w:pPr>
    </w:p>
    <w:p w:rsidR="00F56485" w:rsidRPr="00F56485" w:rsidP="00F56485" w14:paraId="625DF5B7" w14:textId="77777777">
      <w:pPr>
        <w:numPr>
          <w:ilvl w:val="0"/>
          <w:numId w:val="7"/>
        </w:num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 xml:space="preserve">Data Confidentiality and Data Security </w:t>
      </w:r>
    </w:p>
    <w:p w:rsidR="00F56485" w:rsidRPr="00F56485" w:rsidP="00F56485" w14:paraId="49A864B1" w14:textId="77777777">
      <w:pPr>
        <w:rPr>
          <w:rFonts w:ascii="Times New Roman" w:eastAsia="Times New Roman" w:hAnsi="Times New Roman" w:cs="Arial"/>
          <w:sz w:val="24"/>
          <w:szCs w:val="24"/>
        </w:rPr>
      </w:pPr>
      <w:r w:rsidRPr="00F56485">
        <w:rPr>
          <w:rFonts w:ascii="Times New Roman" w:eastAsia="Times New Roman" w:hAnsi="Times New Roman" w:cs="Arial"/>
          <w:sz w:val="24"/>
          <w:szCs w:val="24"/>
        </w:rPr>
        <w:t xml:space="preserve">BJS is authorized to conduct this data collection under Title 34 United States Code, Section 10132. BJS may use the information it collects only for statistical and research purposes and must gather it in a manner that precludes its use for law enforcement or any purpose relating to a private person or public agency other than statistical or research purposes [Title 34 U.S.C. Section 10134]. By law, BJS is required to protect the confidentiality of information identifiable to a private person and safeguard it against unauthorized disclosure or misuse. [Title 34 United States Code Sections 10134 and 10231] </w:t>
      </w:r>
    </w:p>
    <w:p w:rsidR="00F56485" w:rsidRPr="00F56485" w:rsidP="00F56485" w14:paraId="5C2BB3C4" w14:textId="77777777">
      <w:pPr>
        <w:rPr>
          <w:rFonts w:ascii="Times New Roman" w:eastAsia="Times New Roman" w:hAnsi="Times New Roman" w:cs="Arial"/>
          <w:sz w:val="24"/>
          <w:szCs w:val="24"/>
        </w:rPr>
      </w:pPr>
    </w:p>
    <w:p w:rsidR="00F56485" w:rsidRPr="00F56485" w:rsidP="00F56485" w14:paraId="139C3B66" w14:textId="77777777">
      <w:pPr>
        <w:keepNext/>
        <w:rPr>
          <w:rFonts w:ascii="Times New Roman" w:eastAsia="Times New Roman" w:hAnsi="Times New Roman" w:cs="Arial"/>
          <w:sz w:val="24"/>
          <w:szCs w:val="24"/>
        </w:rPr>
      </w:pPr>
      <w:r w:rsidRPr="00F56485">
        <w:rPr>
          <w:rFonts w:ascii="Times New Roman" w:eastAsia="Times New Roman" w:hAnsi="Times New Roman" w:cs="Arial"/>
          <w:sz w:val="24"/>
          <w:szCs w:val="24"/>
        </w:rPr>
        <w:t xml:space="preserve">The </w:t>
      </w:r>
      <w:hyperlink r:id="rId13" w:history="1">
        <w:r w:rsidRPr="00F56485">
          <w:rPr>
            <w:rFonts w:ascii="Times New Roman" w:eastAsia="Times New Roman" w:hAnsi="Times New Roman" w:cs="Arial"/>
            <w:color w:val="0000FF"/>
            <w:sz w:val="24"/>
            <w:szCs w:val="24"/>
            <w:u w:val="single"/>
          </w:rPr>
          <w:t>BJS Data Protection Guidelines</w:t>
        </w:r>
      </w:hyperlink>
      <w:r w:rsidRPr="00F56485">
        <w:rPr>
          <w:rFonts w:ascii="Times New Roman" w:eastAsia="Times New Roman" w:hAnsi="Times New Roman" w:cs="Arial"/>
          <w:sz w:val="24"/>
          <w:szCs w:val="24"/>
        </w:rPr>
        <w:t xml:space="preserve"> provide more detailed information on how BJS and its data </w:t>
      </w:r>
    </w:p>
    <w:p w:rsidR="00F56485" w:rsidRPr="00F56485" w:rsidP="00F56485" w14:paraId="6B9F7FAF" w14:textId="77777777">
      <w:pPr>
        <w:keepNext/>
        <w:rPr>
          <w:rFonts w:ascii="Times New Roman" w:eastAsia="Times New Roman" w:hAnsi="Times New Roman" w:cs="Calibri"/>
        </w:rPr>
      </w:pPr>
      <w:r w:rsidRPr="00F56485">
        <w:rPr>
          <w:rFonts w:ascii="Times New Roman" w:eastAsia="Times New Roman" w:hAnsi="Times New Roman" w:cs="Arial"/>
          <w:sz w:val="24"/>
          <w:szCs w:val="24"/>
        </w:rPr>
        <w:t xml:space="preserve">collection agents will use and protect data collected under BJS’s authority. All project staff are required to sign a pledge of confidentiality and privacy certificate which confirms the maintaining of data and following the procedures outlined above. </w:t>
      </w:r>
    </w:p>
    <w:p w:rsidR="00F56485" w:rsidRPr="00F56485" w:rsidP="00F56485" w14:paraId="60F24F4A" w14:textId="77777777">
      <w:pPr>
        <w:rPr>
          <w:rFonts w:ascii="Times New Roman" w:eastAsia="Times New Roman" w:hAnsi="Times New Roman" w:cs="Arial"/>
          <w:sz w:val="24"/>
          <w:szCs w:val="24"/>
          <w:highlight w:val="yellow"/>
        </w:rPr>
      </w:pPr>
    </w:p>
    <w:p w:rsidR="00F56485" w:rsidRPr="00F56485" w:rsidP="00F56485" w14:paraId="4AD8A751"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All data related to the focus groups will be stored on a secure drive, including the recordings of interviews, on password-protected RTI-issued laptops with restricted access to those directly involved in the effort. The files will be destroyed upon completion of the project.</w:t>
      </w:r>
    </w:p>
    <w:p w:rsidR="00F56485" w:rsidRPr="00F56485" w:rsidP="00F56485" w14:paraId="7497BBAB" w14:textId="77777777">
      <w:pPr>
        <w:rPr>
          <w:rFonts w:ascii="Times New Roman" w:eastAsia="Times New Roman" w:hAnsi="Times New Roman" w:cs="Times New Roman"/>
          <w:sz w:val="24"/>
          <w:szCs w:val="24"/>
        </w:rPr>
      </w:pPr>
    </w:p>
    <w:p w:rsidR="00F56485" w:rsidRPr="00F56485" w:rsidP="00F56485" w14:paraId="7C0788E0" w14:textId="77777777">
      <w:pPr>
        <w:numPr>
          <w:ilvl w:val="0"/>
          <w:numId w:val="7"/>
        </w:num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 xml:space="preserve">Consent Procedure </w:t>
      </w:r>
    </w:p>
    <w:p w:rsidR="00F56485" w:rsidRPr="00F56485" w:rsidP="00F56485" w14:paraId="481B0005" w14:textId="77777777">
      <w:p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At the start of the focus group, the interviewer will introduce themself to the participants, confirm the participant’s name, and confirm that the participant is on video and can hear the interviewer well. The interviewer will then confirm with participants their submission of the consent form previously provided with the meeting details of the focus group, (see </w:t>
      </w:r>
      <w:r w:rsidRPr="00F56485">
        <w:rPr>
          <w:rFonts w:ascii="Times New Roman" w:eastAsia="Times New Roman" w:hAnsi="Times New Roman" w:cs="Times New Roman"/>
          <w:b/>
          <w:bCs/>
          <w:sz w:val="24"/>
          <w:szCs w:val="24"/>
        </w:rPr>
        <w:t>Attachment D</w:t>
      </w:r>
      <w:r w:rsidRPr="00F56485">
        <w:rPr>
          <w:rFonts w:ascii="Times New Roman" w:eastAsia="Times New Roman" w:hAnsi="Times New Roman" w:cs="Times New Roman"/>
          <w:sz w:val="24"/>
          <w:szCs w:val="24"/>
        </w:rPr>
        <w:t xml:space="preserve"> for Informed Consent). The interviewer will maintain the document indicating the respondent’s decision to participate, including the respondent’s willingness to have the interview recorded. </w:t>
      </w:r>
    </w:p>
    <w:p w:rsidR="00F56485" w:rsidRPr="00F56485" w:rsidP="00F56485" w14:paraId="4EDCA964" w14:textId="77777777">
      <w:pPr>
        <w:ind w:left="360"/>
        <w:contextualSpacing/>
        <w:rPr>
          <w:rFonts w:ascii="Times New Roman" w:eastAsia="Times New Roman" w:hAnsi="Times New Roman" w:cs="Times New Roman"/>
          <w:b/>
          <w:bCs/>
          <w:sz w:val="24"/>
          <w:szCs w:val="24"/>
        </w:rPr>
      </w:pPr>
    </w:p>
    <w:p w:rsidR="00F56485" w:rsidRPr="00F56485" w:rsidP="00F56485" w14:paraId="025B388C" w14:textId="77777777">
      <w:pPr>
        <w:numPr>
          <w:ilvl w:val="0"/>
          <w:numId w:val="7"/>
        </w:num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Cost</w:t>
      </w:r>
    </w:p>
    <w:p w:rsidR="00F56485" w:rsidRPr="00F56485" w:rsidP="00F56485" w14:paraId="009516D3"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The estimated cost to the Federal Government is $40,745 for RTI’s portion of the work and an estimated $13,182 for the GS-12 Project manager’s work (10% of salary) resulting in a total estimated cost of $53,927 [$40,745 + $13,182] </w:t>
      </w:r>
    </w:p>
    <w:p w:rsidR="00F56485" w:rsidRPr="00F56485" w:rsidP="00F56485" w14:paraId="72994676" w14:textId="77777777">
      <w:pPr>
        <w:rPr>
          <w:rFonts w:ascii="Times New Roman" w:eastAsia="Times New Roman" w:hAnsi="Times New Roman" w:cs="Arial"/>
          <w:sz w:val="24"/>
          <w:szCs w:val="24"/>
        </w:rPr>
      </w:pPr>
    </w:p>
    <w:p w:rsidR="00F56485" w:rsidRPr="00F56485" w:rsidP="00F56485" w14:paraId="7D311B56" w14:textId="77777777">
      <w:pPr>
        <w:numPr>
          <w:ilvl w:val="0"/>
          <w:numId w:val="7"/>
        </w:numPr>
        <w:contextualSpacing/>
        <w:rPr>
          <w:rFonts w:ascii="Times New Roman" w:eastAsia="Times New Roman" w:hAnsi="Times New Roman" w:cs="Arial"/>
          <w:b/>
          <w:bCs/>
          <w:sz w:val="24"/>
          <w:szCs w:val="24"/>
        </w:rPr>
      </w:pPr>
      <w:r w:rsidRPr="00F56485">
        <w:rPr>
          <w:rFonts w:ascii="Times New Roman" w:eastAsia="Times New Roman" w:hAnsi="Times New Roman" w:cs="Arial"/>
          <w:b/>
          <w:bCs/>
          <w:sz w:val="24"/>
          <w:szCs w:val="24"/>
        </w:rPr>
        <w:t xml:space="preserve">Reporting </w:t>
      </w:r>
    </w:p>
    <w:p w:rsidR="00F56485" w:rsidRPr="00F56485" w:rsidP="00F56485" w14:paraId="5FF2B6CA" w14:textId="77777777">
      <w:pPr>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Upon completion of the focus groups, RTI will provide BJS with a report that consolidates and synthesizes the findings along with an environmental scan of relevant policies and procedures in the field. The report will provide detailed information on main themes, challenges, and recommendations emerging from the focus group discussions to be used to develop a survey instrument.</w:t>
      </w:r>
    </w:p>
    <w:p w:rsidR="00F56485" w:rsidRPr="00F56485" w:rsidP="00F56485" w14:paraId="7D5B49A8" w14:textId="77777777">
      <w:pPr>
        <w:rPr>
          <w:rFonts w:ascii="Times New Roman" w:eastAsia="Times New Roman" w:hAnsi="Times New Roman" w:cs="Times New Roman"/>
          <w:sz w:val="24"/>
          <w:szCs w:val="24"/>
        </w:rPr>
      </w:pPr>
    </w:p>
    <w:p w:rsidR="00F56485" w:rsidRPr="00F56485" w:rsidP="00F56485" w14:paraId="3225AFE9" w14:textId="77777777">
      <w:pPr>
        <w:numPr>
          <w:ilvl w:val="0"/>
          <w:numId w:val="7"/>
        </w:numPr>
        <w:contextualSpacing/>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 xml:space="preserve">Protection of Human Subjects </w:t>
      </w:r>
    </w:p>
    <w:p w:rsidR="00F56485" w:rsidRPr="00F56485" w:rsidP="00F56485" w14:paraId="6ADA5D7A" w14:textId="77777777">
      <w:pPr>
        <w:rPr>
          <w:rFonts w:ascii="Times New Roman" w:eastAsia="Calibri" w:hAnsi="Times New Roman" w:cs="Times New Roman"/>
          <w:sz w:val="24"/>
          <w:szCs w:val="24"/>
        </w:rPr>
      </w:pPr>
      <w:r w:rsidRPr="00F56485">
        <w:rPr>
          <w:rFonts w:ascii="Times New Roman" w:eastAsia="Times New Roman" w:hAnsi="Times New Roman" w:cs="Times New Roman"/>
          <w:sz w:val="24"/>
          <w:szCs w:val="24"/>
        </w:rPr>
        <w:t>The protocol described in this OMB Generic Clearance was submitted for review by the RTI institutional review board and it was determined that the activities as described by the protocol do not meet the definition of human subjects’ research (</w:t>
      </w:r>
      <w:r w:rsidRPr="00F56485">
        <w:rPr>
          <w:rFonts w:ascii="Times New Roman" w:eastAsia="Times New Roman" w:hAnsi="Times New Roman" w:cs="Times New Roman"/>
          <w:b/>
          <w:bCs/>
          <w:sz w:val="24"/>
          <w:szCs w:val="24"/>
        </w:rPr>
        <w:t>Attachment F</w:t>
      </w:r>
      <w:r w:rsidRPr="00F56485">
        <w:rPr>
          <w:rFonts w:ascii="Times New Roman" w:eastAsia="Times New Roman" w:hAnsi="Times New Roman" w:cs="Times New Roman"/>
          <w:sz w:val="24"/>
          <w:szCs w:val="24"/>
        </w:rPr>
        <w:t xml:space="preserve">). The research was certified as not meeting the definition of human subjects’ research as described under Department of Justice regulations at 28 CFR 46. </w:t>
      </w:r>
    </w:p>
    <w:p w:rsidR="00F56485" w:rsidRPr="00F56485" w:rsidP="00F56485" w14:paraId="5640F75F" w14:textId="77777777">
      <w:pPr>
        <w:rPr>
          <w:rFonts w:ascii="Times New Roman" w:eastAsia="Times New Roman" w:hAnsi="Times New Roman" w:cs="Times New Roman"/>
          <w:sz w:val="24"/>
          <w:szCs w:val="24"/>
        </w:rPr>
      </w:pPr>
    </w:p>
    <w:p w:rsidR="00F56485" w:rsidRPr="00F56485" w:rsidP="00F56485" w14:paraId="155EE0A4" w14:textId="77777777">
      <w:pPr>
        <w:widowControl w:val="0"/>
        <w:rPr>
          <w:rFonts w:ascii="Times New Roman" w:eastAsia="Times New Roman" w:hAnsi="Times New Roman" w:cs="Times New Roman"/>
          <w:b/>
          <w:sz w:val="24"/>
          <w:szCs w:val="24"/>
        </w:rPr>
      </w:pPr>
      <w:r w:rsidRPr="00F56485">
        <w:rPr>
          <w:rFonts w:ascii="Times New Roman" w:eastAsia="Times New Roman" w:hAnsi="Times New Roman" w:cs="Times New Roman"/>
          <w:b/>
          <w:sz w:val="24"/>
          <w:szCs w:val="24"/>
        </w:rPr>
        <w:t>Contact information</w:t>
      </w:r>
    </w:p>
    <w:p w:rsidR="00F56485" w:rsidRPr="00F56485" w:rsidP="00F56485" w14:paraId="73DCA0FB" w14:textId="77777777">
      <w:pPr>
        <w:widowControl w:val="0"/>
        <w:rPr>
          <w:rFonts w:ascii="Times New Roman" w:eastAsia="Times New Roman" w:hAnsi="Times New Roman" w:cs="Times New Roman"/>
          <w:iCs/>
          <w:sz w:val="24"/>
          <w:szCs w:val="24"/>
        </w:rPr>
      </w:pPr>
      <w:r w:rsidRPr="00F56485">
        <w:rPr>
          <w:rFonts w:ascii="Times New Roman" w:eastAsia="Times New Roman" w:hAnsi="Times New Roman" w:cs="Times New Roman"/>
          <w:iCs/>
          <w:sz w:val="24"/>
          <w:szCs w:val="24"/>
        </w:rPr>
        <w:t>Questions regarding any aspect of this project can be directed to:</w:t>
      </w:r>
    </w:p>
    <w:p w:rsidR="00F56485" w:rsidRPr="00F56485" w:rsidP="00F56485" w14:paraId="7218C03B" w14:textId="77777777">
      <w:pPr>
        <w:widowControl w:val="0"/>
        <w:rPr>
          <w:rFonts w:ascii="Times New Roman" w:eastAsia="Times New Roman" w:hAnsi="Times New Roman" w:cs="Times New Roman"/>
          <w:b/>
          <w:iCs/>
          <w:sz w:val="24"/>
          <w:szCs w:val="24"/>
          <w:u w:val="single"/>
        </w:rPr>
      </w:pPr>
    </w:p>
    <w:p w:rsidR="00F56485" w:rsidRPr="00F56485" w:rsidP="00F56485" w14:paraId="3A938BCC" w14:textId="77777777">
      <w:pPr>
        <w:widowControl w:val="0"/>
        <w:rPr>
          <w:rFonts w:ascii="Times New Roman" w:eastAsia="Times New Roman" w:hAnsi="Times New Roman" w:cs="Times New Roman"/>
          <w:bCs/>
          <w:iCs/>
          <w:sz w:val="24"/>
          <w:szCs w:val="24"/>
        </w:rPr>
      </w:pPr>
      <w:r w:rsidRPr="00F56485">
        <w:rPr>
          <w:rFonts w:ascii="Times New Roman" w:eastAsia="Times New Roman" w:hAnsi="Times New Roman" w:cs="Times New Roman"/>
          <w:bCs/>
          <w:iCs/>
          <w:sz w:val="24"/>
          <w:szCs w:val="24"/>
        </w:rPr>
        <w:tab/>
        <w:t>Bureau of Justice Statistics</w:t>
      </w:r>
    </w:p>
    <w:p w:rsidR="00F56485" w:rsidRPr="00F56485" w:rsidP="00F56485" w14:paraId="4966EE65" w14:textId="77777777">
      <w:pPr>
        <w:widowControl w:val="0"/>
        <w:rPr>
          <w:rFonts w:ascii="Times New Roman" w:eastAsia="Times New Roman" w:hAnsi="Times New Roman" w:cs="Times New Roman"/>
          <w:bCs/>
          <w:iCs/>
          <w:sz w:val="24"/>
          <w:szCs w:val="24"/>
        </w:rPr>
      </w:pPr>
      <w:r w:rsidRPr="00F56485">
        <w:rPr>
          <w:rFonts w:ascii="Times New Roman" w:eastAsia="Times New Roman" w:hAnsi="Times New Roman" w:cs="Times New Roman"/>
          <w:bCs/>
          <w:iCs/>
          <w:sz w:val="24"/>
          <w:szCs w:val="24"/>
        </w:rPr>
        <w:tab/>
        <w:t>U.S. Department of Justice</w:t>
      </w:r>
    </w:p>
    <w:p w:rsidR="00F56485" w:rsidRPr="00F56485" w:rsidP="00F56485" w14:paraId="0CD47801" w14:textId="77777777">
      <w:pPr>
        <w:widowControl w:val="0"/>
        <w:rPr>
          <w:rFonts w:ascii="Times New Roman" w:eastAsia="Times New Roman" w:hAnsi="Times New Roman" w:cs="Times New Roman"/>
          <w:bCs/>
          <w:iCs/>
          <w:sz w:val="24"/>
          <w:szCs w:val="24"/>
        </w:rPr>
      </w:pPr>
      <w:r w:rsidRPr="00F56485">
        <w:rPr>
          <w:rFonts w:ascii="Times New Roman" w:eastAsia="Times New Roman" w:hAnsi="Times New Roman" w:cs="Times New Roman"/>
          <w:bCs/>
          <w:iCs/>
          <w:sz w:val="24"/>
          <w:szCs w:val="24"/>
        </w:rPr>
        <w:tab/>
        <w:t>999 N. Capitol Street NE</w:t>
      </w:r>
    </w:p>
    <w:p w:rsidR="00F56485" w:rsidRPr="00F56485" w:rsidP="00F56485" w14:paraId="4E0C73A3" w14:textId="77777777">
      <w:pPr>
        <w:widowControl w:val="0"/>
        <w:rPr>
          <w:rFonts w:ascii="Times New Roman" w:eastAsia="Times New Roman" w:hAnsi="Times New Roman" w:cs="Times New Roman"/>
          <w:bCs/>
          <w:iCs/>
          <w:sz w:val="24"/>
          <w:szCs w:val="24"/>
        </w:rPr>
      </w:pPr>
      <w:r w:rsidRPr="00F56485">
        <w:rPr>
          <w:rFonts w:ascii="Times New Roman" w:eastAsia="Times New Roman" w:hAnsi="Times New Roman" w:cs="Times New Roman"/>
          <w:bCs/>
          <w:iCs/>
          <w:sz w:val="24"/>
          <w:szCs w:val="24"/>
        </w:rPr>
        <w:tab/>
        <w:t>Washington, DC 20531</w:t>
      </w:r>
    </w:p>
    <w:p w:rsidR="00F56485" w:rsidRPr="00F56485" w:rsidP="00F56485" w14:paraId="4EBD13AC" w14:textId="77777777">
      <w:pPr>
        <w:widowControl w:val="0"/>
        <w:rPr>
          <w:rFonts w:ascii="Times New Roman" w:eastAsia="Times New Roman" w:hAnsi="Times New Roman" w:cs="Times New Roman"/>
          <w:bCs/>
          <w:iCs/>
          <w:sz w:val="24"/>
          <w:szCs w:val="24"/>
        </w:rPr>
      </w:pPr>
      <w:r w:rsidRPr="00F56485">
        <w:rPr>
          <w:rFonts w:ascii="Times New Roman" w:eastAsia="Times New Roman" w:hAnsi="Times New Roman" w:cs="Times New Roman"/>
          <w:bCs/>
          <w:iCs/>
          <w:sz w:val="24"/>
          <w:szCs w:val="24"/>
        </w:rPr>
        <w:tab/>
        <w:t>Phone: (202) 307-0765</w:t>
      </w:r>
    </w:p>
    <w:p w:rsidR="00F56485" w:rsidRPr="00F56485" w:rsidP="00F56485" w14:paraId="46A8970F" w14:textId="77777777">
      <w:pPr>
        <w:rPr>
          <w:rFonts w:ascii="Times New Roman" w:eastAsia="Times New Roman" w:hAnsi="Times New Roman" w:cs="Arial"/>
          <w:sz w:val="24"/>
          <w:szCs w:val="24"/>
        </w:rPr>
      </w:pPr>
      <w:r w:rsidRPr="00F56485">
        <w:rPr>
          <w:rFonts w:ascii="Times New Roman" w:eastAsia="Times New Roman" w:hAnsi="Times New Roman" w:cs="Times New Roman"/>
          <w:bCs/>
          <w:iCs/>
          <w:sz w:val="24"/>
          <w:szCs w:val="24"/>
        </w:rPr>
        <w:tab/>
        <w:t xml:space="preserve">Email: </w:t>
      </w:r>
      <w:hyperlink r:id="rId14" w:history="1">
        <w:r w:rsidRPr="00F56485">
          <w:rPr>
            <w:rFonts w:ascii="Times New Roman" w:eastAsia="Times New Roman" w:hAnsi="Times New Roman" w:cs="Arial"/>
            <w:color w:val="0000FF"/>
            <w:sz w:val="24"/>
            <w:szCs w:val="24"/>
            <w:u w:val="single"/>
          </w:rPr>
          <w:t>askbjs@usdoj.gov</w:t>
        </w:r>
      </w:hyperlink>
    </w:p>
    <w:p w:rsidR="00F56485" w:rsidRPr="00F56485" w:rsidP="00F56485" w14:paraId="4CB7F1AA" w14:textId="77777777">
      <w:pPr>
        <w:rPr>
          <w:rFonts w:ascii="Times New Roman" w:eastAsia="Times New Roman" w:hAnsi="Times New Roman" w:cs="Times New Roman"/>
          <w:sz w:val="24"/>
          <w:szCs w:val="24"/>
        </w:rPr>
      </w:pPr>
    </w:p>
    <w:p w:rsidR="00F56485" w:rsidRPr="00F56485" w:rsidP="00F56485" w14:paraId="47BEF115" w14:textId="77777777">
      <w:pPr>
        <w:rPr>
          <w:rFonts w:ascii="Times New Roman" w:eastAsia="Times New Roman" w:hAnsi="Times New Roman" w:cs="Times New Roman"/>
          <w:b/>
          <w:bCs/>
          <w:sz w:val="24"/>
          <w:szCs w:val="24"/>
        </w:rPr>
      </w:pPr>
      <w:r w:rsidRPr="00F56485">
        <w:rPr>
          <w:rFonts w:ascii="Times New Roman" w:eastAsia="Times New Roman" w:hAnsi="Times New Roman" w:cs="Times New Roman"/>
          <w:b/>
          <w:bCs/>
          <w:sz w:val="24"/>
          <w:szCs w:val="24"/>
        </w:rPr>
        <w:t>Attachments</w:t>
      </w:r>
    </w:p>
    <w:p w:rsidR="00F56485" w:rsidRPr="00F56485" w:rsidP="00F56485" w14:paraId="033382CE" w14:textId="77777777">
      <w:pPr>
        <w:numPr>
          <w:ilvl w:val="0"/>
          <w:numId w:val="8"/>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Focus Group Protocol </w:t>
      </w:r>
    </w:p>
    <w:p w:rsidR="00F56485" w:rsidRPr="00F56485" w:rsidP="00F56485" w14:paraId="6A2DD9F2" w14:textId="77777777">
      <w:pPr>
        <w:numPr>
          <w:ilvl w:val="0"/>
          <w:numId w:val="8"/>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Draft Invitation </w:t>
      </w:r>
    </w:p>
    <w:p w:rsidR="00F56485" w:rsidRPr="00F56485" w:rsidP="00F56485" w14:paraId="7C0F1332" w14:textId="77777777">
      <w:pPr>
        <w:numPr>
          <w:ilvl w:val="0"/>
          <w:numId w:val="8"/>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Draft Email Confirmation</w:t>
      </w:r>
    </w:p>
    <w:p w:rsidR="00F56485" w:rsidRPr="00F56485" w:rsidP="00F56485" w14:paraId="696066CA" w14:textId="77777777">
      <w:pPr>
        <w:numPr>
          <w:ilvl w:val="0"/>
          <w:numId w:val="8"/>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 xml:space="preserve">Draft Consent Form </w:t>
      </w:r>
    </w:p>
    <w:p w:rsidR="00F56485" w:rsidRPr="00F56485" w:rsidP="00F56485" w14:paraId="32543684" w14:textId="77777777">
      <w:pPr>
        <w:numPr>
          <w:ilvl w:val="0"/>
          <w:numId w:val="8"/>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Draft Thank You Email</w:t>
      </w:r>
    </w:p>
    <w:p w:rsidR="00F56485" w:rsidRPr="00F56485" w:rsidP="00F56485" w14:paraId="63BC2557" w14:textId="77777777">
      <w:pPr>
        <w:numPr>
          <w:ilvl w:val="0"/>
          <w:numId w:val="8"/>
        </w:numPr>
        <w:contextualSpacing/>
        <w:rPr>
          <w:rFonts w:ascii="Times New Roman" w:eastAsia="Times New Roman" w:hAnsi="Times New Roman" w:cs="Times New Roman"/>
          <w:sz w:val="24"/>
          <w:szCs w:val="24"/>
        </w:rPr>
      </w:pPr>
      <w:r w:rsidRPr="00F56485">
        <w:rPr>
          <w:rFonts w:ascii="Times New Roman" w:eastAsia="Times New Roman" w:hAnsi="Times New Roman" w:cs="Times New Roman"/>
          <w:sz w:val="24"/>
          <w:szCs w:val="24"/>
        </w:rPr>
        <w:t>RTI IRB Approval</w:t>
      </w:r>
    </w:p>
    <w:p w:rsidR="00F56485" w:rsidRPr="00F56485" w:rsidP="00F56485" w14:paraId="43F16E12" w14:textId="77777777">
      <w:pPr>
        <w:rPr>
          <w:rFonts w:ascii="Times New Roman" w:eastAsia="Times New Roman" w:hAnsi="Times New Roman" w:cs="Arial"/>
          <w:sz w:val="24"/>
          <w:szCs w:val="24"/>
        </w:rPr>
      </w:pPr>
      <w:r w:rsidRPr="00F56485">
        <w:rPr>
          <w:rFonts w:ascii="Times New Roman" w:eastAsia="Times New Roman" w:hAnsi="Times New Roman" w:cs="Arial"/>
          <w:sz w:val="24"/>
          <w:szCs w:val="24"/>
        </w:rPr>
        <w:fldChar w:fldCharType="begin"/>
      </w:r>
      <w:r w:rsidRPr="00F56485">
        <w:rPr>
          <w:rFonts w:ascii="Times New Roman" w:eastAsia="Times New Roman" w:hAnsi="Times New Roman" w:cs="Arial"/>
          <w:sz w:val="24"/>
          <w:szCs w:val="24"/>
        </w:rPr>
        <w:instrText xml:space="preserve"> ADDIN EN.REFLIST </w:instrText>
      </w:r>
      <w:r w:rsidRPr="00F56485">
        <w:rPr>
          <w:rFonts w:ascii="Times New Roman" w:eastAsia="Times New Roman" w:hAnsi="Times New Roman" w:cs="Arial"/>
          <w:sz w:val="24"/>
          <w:szCs w:val="24"/>
        </w:rPr>
        <w:fldChar w:fldCharType="separate"/>
      </w:r>
      <w:r w:rsidRPr="00F56485">
        <w:rPr>
          <w:rFonts w:ascii="Times New Roman" w:eastAsia="Times New Roman" w:hAnsi="Times New Roman" w:cs="Arial"/>
          <w:sz w:val="24"/>
          <w:szCs w:val="24"/>
        </w:rPr>
        <w:fldChar w:fldCharType="end"/>
      </w:r>
    </w:p>
    <w:p w:rsidR="00F56FCA" w:rsidP="000F7BA1" w14:paraId="45187F02" w14:textId="77777777">
      <w:pPr>
        <w:pStyle w:val="BodyText"/>
        <w:jc w:val="both"/>
        <w:rPr>
          <w:b/>
          <w:sz w:val="19"/>
        </w:rPr>
      </w:pPr>
    </w:p>
    <w:sectPr w:rsidSect="00F56485">
      <w:headerReference w:type="default" r:id="rId15"/>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7610745"/>
      <w:docPartObj>
        <w:docPartGallery w:val="Page Numbers (Bottom of Page)"/>
        <w:docPartUnique/>
      </w:docPartObj>
    </w:sdtPr>
    <w:sdtEndPr>
      <w:rPr>
        <w:noProof/>
      </w:rPr>
    </w:sdtEndPr>
    <w:sdtContent>
      <w:p w:rsidR="00744F30" w14:paraId="0BFE1F49" w14:textId="5361DC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67C2" w14:paraId="23AA227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67C2" w:rsidP="005923EE" w14:paraId="7C32E461" w14:textId="77777777">
      <w:r>
        <w:separator/>
      </w:r>
    </w:p>
  </w:footnote>
  <w:footnote w:type="continuationSeparator" w:id="1">
    <w:p w:rsidR="00C867C2" w:rsidP="005923EE" w14:paraId="3DF6DBA0" w14:textId="77777777">
      <w:r>
        <w:continuationSeparator/>
      </w:r>
    </w:p>
  </w:footnote>
  <w:footnote w:id="2">
    <w:p w:rsidR="00F56485" w:rsidRPr="0020538D" w:rsidP="00F56485" w14:paraId="20187EDC" w14:textId="77777777">
      <w:pPr>
        <w:pStyle w:val="F11"/>
        <w:rPr>
          <w:rFonts w:ascii="Times New Roman" w:hAnsi="Times New Roman" w:cs="Times New Roman"/>
        </w:rPr>
      </w:pPr>
      <w:r w:rsidRPr="0020538D">
        <w:rPr>
          <w:rStyle w:val="FootnoteReference"/>
          <w:rFonts w:ascii="Times New Roman" w:hAnsi="Times New Roman" w:cs="Times New Roman"/>
        </w:rPr>
        <w:footnoteRef/>
      </w:r>
      <w:r w:rsidRPr="0020538D">
        <w:rPr>
          <w:rFonts w:ascii="Times New Roman" w:hAnsi="Times New Roman" w:cs="Times New Roman"/>
        </w:rPr>
        <w:t xml:space="preserve"> </w:t>
      </w:r>
      <w:r w:rsidRPr="0020538D">
        <w:rPr>
          <w:rFonts w:ascii="Times New Roman" w:hAnsi="Times New Roman" w:cs="Times New Roman"/>
          <w:noProof/>
        </w:rPr>
        <w:t xml:space="preserve">Bureau of Justice Statistics (BJS) </w:t>
      </w:r>
      <w:r w:rsidRPr="0020538D">
        <w:rPr>
          <w:rFonts w:ascii="Times New Roman" w:hAnsi="Times New Roman" w:cs="Times New Roman"/>
          <w:i/>
          <w:noProof/>
        </w:rPr>
        <w:t>Data collection: Census of publicly funded forensic crime laboratories</w:t>
      </w:r>
      <w:r w:rsidRPr="0020538D">
        <w:rPr>
          <w:rFonts w:ascii="Times New Roman" w:hAnsi="Times New Roman" w:cs="Times New Roman"/>
          <w:noProof/>
        </w:rPr>
        <w:t>. 2020, Washington, DC: Bureau of Justice Statistics (BJS).</w:t>
      </w:r>
    </w:p>
  </w:footnote>
  <w:footnote w:id="3">
    <w:p w:rsidR="00F56485" w:rsidP="00F56485" w14:paraId="66C77AFD" w14:textId="77777777">
      <w:pPr>
        <w:pStyle w:val="F11"/>
      </w:pPr>
      <w:r w:rsidRPr="0020538D">
        <w:rPr>
          <w:rStyle w:val="FootnoteReference"/>
          <w:rFonts w:ascii="Times New Roman" w:hAnsi="Times New Roman" w:cs="Times New Roman"/>
        </w:rPr>
        <w:footnoteRef/>
      </w:r>
      <w:r w:rsidRPr="0020538D">
        <w:rPr>
          <w:rFonts w:ascii="Times New Roman" w:hAnsi="Times New Roman" w:cs="Times New Roman"/>
          <w:noProof/>
        </w:rPr>
        <w:t xml:space="preserve">Lyle, J.r.G., B.; Butler, J.M.; Sauerwein, K.; Reed, C.; Lloyd, C., DIGITAL INVESTIGATION TECHNIQUES: A NIST SCIENTIFIC FOUNDATION REVIEW (NISTIR 8354). 2022, National Institute of Standards and Technology.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485" w14:paraId="0DC617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271F35"/>
    <w:multiLevelType w:val="multilevel"/>
    <w:tmpl w:val="C79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218C5"/>
    <w:multiLevelType w:val="hybridMultilevel"/>
    <w:tmpl w:val="DB0E3F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4D3111B"/>
    <w:multiLevelType w:val="hybridMultilevel"/>
    <w:tmpl w:val="C9E27154"/>
    <w:lvl w:ilvl="0">
      <w:start w:val="2"/>
      <w:numFmt w:val="decimal"/>
      <w:lvlText w:val="%1."/>
      <w:lvlJc w:val="left"/>
      <w:pPr>
        <w:ind w:left="1408" w:hanging="590"/>
        <w:jc w:val="right"/>
      </w:pPr>
      <w:rPr>
        <w:rFonts w:hint="default"/>
        <w:spacing w:val="0"/>
        <w:w w:val="105"/>
        <w:lang w:val="en-US" w:eastAsia="en-US" w:bidi="ar-SA"/>
      </w:rPr>
    </w:lvl>
    <w:lvl w:ilvl="1">
      <w:start w:val="1"/>
      <w:numFmt w:val="lowerLetter"/>
      <w:lvlText w:val="(%2)"/>
      <w:lvlJc w:val="left"/>
      <w:pPr>
        <w:ind w:left="1226" w:hanging="363"/>
        <w:jc w:val="right"/>
      </w:pPr>
      <w:rPr>
        <w:rFonts w:hint="default"/>
        <w:spacing w:val="-3"/>
        <w:w w:val="90"/>
        <w:lang w:val="en-US" w:eastAsia="en-US" w:bidi="ar-SA"/>
      </w:rPr>
    </w:lvl>
    <w:lvl w:ilvl="2">
      <w:start w:val="0"/>
      <w:numFmt w:val="bullet"/>
      <w:lvlText w:val="•"/>
      <w:lvlJc w:val="left"/>
      <w:pPr>
        <w:ind w:left="2222" w:hanging="363"/>
      </w:pPr>
      <w:rPr>
        <w:rFonts w:hint="default"/>
        <w:lang w:val="en-US" w:eastAsia="en-US" w:bidi="ar-SA"/>
      </w:rPr>
    </w:lvl>
    <w:lvl w:ilvl="3">
      <w:start w:val="0"/>
      <w:numFmt w:val="bullet"/>
      <w:lvlText w:val="•"/>
      <w:lvlJc w:val="left"/>
      <w:pPr>
        <w:ind w:left="3044" w:hanging="363"/>
      </w:pPr>
      <w:rPr>
        <w:rFonts w:hint="default"/>
        <w:lang w:val="en-US" w:eastAsia="en-US" w:bidi="ar-SA"/>
      </w:rPr>
    </w:lvl>
    <w:lvl w:ilvl="4">
      <w:start w:val="0"/>
      <w:numFmt w:val="bullet"/>
      <w:lvlText w:val="•"/>
      <w:lvlJc w:val="left"/>
      <w:pPr>
        <w:ind w:left="3866" w:hanging="363"/>
      </w:pPr>
      <w:rPr>
        <w:rFonts w:hint="default"/>
        <w:lang w:val="en-US" w:eastAsia="en-US" w:bidi="ar-SA"/>
      </w:rPr>
    </w:lvl>
    <w:lvl w:ilvl="5">
      <w:start w:val="0"/>
      <w:numFmt w:val="bullet"/>
      <w:lvlText w:val="•"/>
      <w:lvlJc w:val="left"/>
      <w:pPr>
        <w:ind w:left="4688" w:hanging="363"/>
      </w:pPr>
      <w:rPr>
        <w:rFonts w:hint="default"/>
        <w:lang w:val="en-US" w:eastAsia="en-US" w:bidi="ar-SA"/>
      </w:rPr>
    </w:lvl>
    <w:lvl w:ilvl="6">
      <w:start w:val="0"/>
      <w:numFmt w:val="bullet"/>
      <w:lvlText w:val="•"/>
      <w:lvlJc w:val="left"/>
      <w:pPr>
        <w:ind w:left="5511" w:hanging="363"/>
      </w:pPr>
      <w:rPr>
        <w:rFonts w:hint="default"/>
        <w:lang w:val="en-US" w:eastAsia="en-US" w:bidi="ar-SA"/>
      </w:rPr>
    </w:lvl>
    <w:lvl w:ilvl="7">
      <w:start w:val="0"/>
      <w:numFmt w:val="bullet"/>
      <w:lvlText w:val="•"/>
      <w:lvlJc w:val="left"/>
      <w:pPr>
        <w:ind w:left="6333" w:hanging="363"/>
      </w:pPr>
      <w:rPr>
        <w:rFonts w:hint="default"/>
        <w:lang w:val="en-US" w:eastAsia="en-US" w:bidi="ar-SA"/>
      </w:rPr>
    </w:lvl>
    <w:lvl w:ilvl="8">
      <w:start w:val="0"/>
      <w:numFmt w:val="bullet"/>
      <w:lvlText w:val="•"/>
      <w:lvlJc w:val="left"/>
      <w:pPr>
        <w:ind w:left="7155" w:hanging="363"/>
      </w:pPr>
      <w:rPr>
        <w:rFonts w:hint="default"/>
        <w:lang w:val="en-US" w:eastAsia="en-US" w:bidi="ar-SA"/>
      </w:rPr>
    </w:lvl>
  </w:abstractNum>
  <w:abstractNum w:abstractNumId="3">
    <w:nsid w:val="49AA35CE"/>
    <w:multiLevelType w:val="hybridMultilevel"/>
    <w:tmpl w:val="B616F6D0"/>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4ED91E51"/>
    <w:multiLevelType w:val="hybridMultilevel"/>
    <w:tmpl w:val="96D61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E05700"/>
    <w:multiLevelType w:val="hybridMultilevel"/>
    <w:tmpl w:val="4A48272C"/>
    <w:lvl w:ilvl="0">
      <w:start w:val="0"/>
      <w:numFmt w:val="bullet"/>
      <w:lvlText w:val="•"/>
      <w:lvlJc w:val="left"/>
      <w:pPr>
        <w:ind w:left="1080" w:hanging="72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911828"/>
    <w:multiLevelType w:val="hybridMultilevel"/>
    <w:tmpl w:val="5B72A9A4"/>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F587D06"/>
    <w:multiLevelType w:val="multilevel"/>
    <w:tmpl w:val="DE3C3668"/>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6CAE1C39"/>
    <w:multiLevelType w:val="hybridMultilevel"/>
    <w:tmpl w:val="D5DA8C28"/>
    <w:lvl w:ilvl="0">
      <w:start w:val="0"/>
      <w:numFmt w:val="bullet"/>
      <w:lvlText w:val="•"/>
      <w:lvlJc w:val="left"/>
      <w:pPr>
        <w:ind w:left="1080" w:hanging="72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14382B"/>
    <w:multiLevelType w:val="hybridMultilevel"/>
    <w:tmpl w:val="51FCA58A"/>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num w:numId="1" w16cid:durableId="1766488439">
    <w:abstractNumId w:val="0"/>
  </w:num>
  <w:num w:numId="2" w16cid:durableId="1870988860">
    <w:abstractNumId w:val="1"/>
  </w:num>
  <w:num w:numId="3" w16cid:durableId="210197132">
    <w:abstractNumId w:val="4"/>
  </w:num>
  <w:num w:numId="4" w16cid:durableId="304435648">
    <w:abstractNumId w:val="2"/>
  </w:num>
  <w:num w:numId="5" w16cid:durableId="1746294669">
    <w:abstractNumId w:val="9"/>
  </w:num>
  <w:num w:numId="6" w16cid:durableId="2070885839">
    <w:abstractNumId w:val="3"/>
  </w:num>
  <w:num w:numId="7" w16cid:durableId="1497309243">
    <w:abstractNumId w:val="7"/>
  </w:num>
  <w:num w:numId="8" w16cid:durableId="1772049687">
    <w:abstractNumId w:val="6"/>
  </w:num>
  <w:num w:numId="9" w16cid:durableId="1433404296">
    <w:abstractNumId w:val="5"/>
  </w:num>
  <w:num w:numId="10" w16cid:durableId="911084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0A"/>
    <w:rsid w:val="00003B48"/>
    <w:rsid w:val="00031548"/>
    <w:rsid w:val="00037992"/>
    <w:rsid w:val="000B76AF"/>
    <w:rsid w:val="000F646D"/>
    <w:rsid w:val="000F7BA1"/>
    <w:rsid w:val="00103A9D"/>
    <w:rsid w:val="00112A8C"/>
    <w:rsid w:val="001273AD"/>
    <w:rsid w:val="00154998"/>
    <w:rsid w:val="001722D5"/>
    <w:rsid w:val="001C2790"/>
    <w:rsid w:val="001F3705"/>
    <w:rsid w:val="001F3A0A"/>
    <w:rsid w:val="001F7235"/>
    <w:rsid w:val="0020538D"/>
    <w:rsid w:val="00276450"/>
    <w:rsid w:val="0029120A"/>
    <w:rsid w:val="002B45CE"/>
    <w:rsid w:val="002F4C81"/>
    <w:rsid w:val="00310340"/>
    <w:rsid w:val="003551FB"/>
    <w:rsid w:val="00360CAC"/>
    <w:rsid w:val="0039227E"/>
    <w:rsid w:val="003A0044"/>
    <w:rsid w:val="003E3D25"/>
    <w:rsid w:val="00401903"/>
    <w:rsid w:val="004A654C"/>
    <w:rsid w:val="004C545C"/>
    <w:rsid w:val="004D554D"/>
    <w:rsid w:val="004F0B5E"/>
    <w:rsid w:val="004F0EE8"/>
    <w:rsid w:val="004F7231"/>
    <w:rsid w:val="005923EE"/>
    <w:rsid w:val="005C71AF"/>
    <w:rsid w:val="005D13DC"/>
    <w:rsid w:val="00605515"/>
    <w:rsid w:val="006339EB"/>
    <w:rsid w:val="00645CA9"/>
    <w:rsid w:val="00653CEB"/>
    <w:rsid w:val="00654AFC"/>
    <w:rsid w:val="006A387B"/>
    <w:rsid w:val="006A77D5"/>
    <w:rsid w:val="006C7D0C"/>
    <w:rsid w:val="007270F6"/>
    <w:rsid w:val="00744F30"/>
    <w:rsid w:val="00757600"/>
    <w:rsid w:val="00781D2C"/>
    <w:rsid w:val="00784598"/>
    <w:rsid w:val="007A0233"/>
    <w:rsid w:val="007C0F44"/>
    <w:rsid w:val="007F6B69"/>
    <w:rsid w:val="00811CA3"/>
    <w:rsid w:val="00873867"/>
    <w:rsid w:val="009135A8"/>
    <w:rsid w:val="00913938"/>
    <w:rsid w:val="009324EF"/>
    <w:rsid w:val="0097204B"/>
    <w:rsid w:val="00984898"/>
    <w:rsid w:val="009C48C3"/>
    <w:rsid w:val="00A14118"/>
    <w:rsid w:val="00A34395"/>
    <w:rsid w:val="00A54C19"/>
    <w:rsid w:val="00A606A7"/>
    <w:rsid w:val="00A76F69"/>
    <w:rsid w:val="00A943D9"/>
    <w:rsid w:val="00B22214"/>
    <w:rsid w:val="00B32C94"/>
    <w:rsid w:val="00B8433B"/>
    <w:rsid w:val="00BC7A8D"/>
    <w:rsid w:val="00C0182B"/>
    <w:rsid w:val="00C110CB"/>
    <w:rsid w:val="00C37E5A"/>
    <w:rsid w:val="00C50749"/>
    <w:rsid w:val="00C50EBA"/>
    <w:rsid w:val="00C571F7"/>
    <w:rsid w:val="00C867C2"/>
    <w:rsid w:val="00CE1F20"/>
    <w:rsid w:val="00D116B2"/>
    <w:rsid w:val="00D14F75"/>
    <w:rsid w:val="00D80697"/>
    <w:rsid w:val="00D926D1"/>
    <w:rsid w:val="00DB2AF5"/>
    <w:rsid w:val="00DC4430"/>
    <w:rsid w:val="00DD3404"/>
    <w:rsid w:val="00DE4AE7"/>
    <w:rsid w:val="00E16FCC"/>
    <w:rsid w:val="00E21EAE"/>
    <w:rsid w:val="00E26ABE"/>
    <w:rsid w:val="00E30610"/>
    <w:rsid w:val="00E4099C"/>
    <w:rsid w:val="00E52E17"/>
    <w:rsid w:val="00E548EB"/>
    <w:rsid w:val="00E90E85"/>
    <w:rsid w:val="00F07656"/>
    <w:rsid w:val="00F14CED"/>
    <w:rsid w:val="00F43D13"/>
    <w:rsid w:val="00F519D2"/>
    <w:rsid w:val="00F56485"/>
    <w:rsid w:val="00F56FCA"/>
    <w:rsid w:val="00FE36A5"/>
    <w:rsid w:val="00FE44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C5F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6FCA"/>
    <w:pPr>
      <w:widowControl w:val="0"/>
      <w:autoSpaceDE w:val="0"/>
      <w:autoSpaceDN w:val="0"/>
      <w:ind w:left="1226" w:right="550" w:hanging="599"/>
      <w:outlineLvl w:val="0"/>
    </w:pPr>
    <w:rPr>
      <w:rFonts w:ascii="Times New Roman" w:eastAsia="Times New Roman" w:hAnsi="Times New Roman" w:cs="Times New Roman"/>
      <w:b/>
      <w:bCs/>
      <w:sz w:val="21"/>
      <w:szCs w:val="21"/>
    </w:rPr>
  </w:style>
  <w:style w:type="paragraph" w:styleId="Heading2">
    <w:name w:val="heading 2"/>
    <w:basedOn w:val="Normal"/>
    <w:link w:val="Heading2Char"/>
    <w:uiPriority w:val="9"/>
    <w:unhideWhenUsed/>
    <w:qFormat/>
    <w:rsid w:val="00F56FCA"/>
    <w:pPr>
      <w:widowControl w:val="0"/>
      <w:autoSpaceDE w:val="0"/>
      <w:autoSpaceDN w:val="0"/>
      <w:ind w:left="646" w:hanging="601"/>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33B"/>
    <w:rPr>
      <w:rFonts w:ascii="Segoe UI" w:hAnsi="Segoe UI" w:cs="Segoe UI"/>
      <w:sz w:val="18"/>
      <w:szCs w:val="18"/>
    </w:rPr>
  </w:style>
  <w:style w:type="paragraph" w:styleId="Header">
    <w:name w:val="header"/>
    <w:basedOn w:val="Normal"/>
    <w:link w:val="HeaderChar"/>
    <w:uiPriority w:val="99"/>
    <w:unhideWhenUsed/>
    <w:rsid w:val="005923EE"/>
    <w:pPr>
      <w:tabs>
        <w:tab w:val="center" w:pos="4680"/>
        <w:tab w:val="right" w:pos="9360"/>
      </w:tabs>
    </w:pPr>
  </w:style>
  <w:style w:type="character" w:customStyle="1" w:styleId="HeaderChar">
    <w:name w:val="Header Char"/>
    <w:basedOn w:val="DefaultParagraphFont"/>
    <w:link w:val="Header"/>
    <w:uiPriority w:val="99"/>
    <w:rsid w:val="005923EE"/>
  </w:style>
  <w:style w:type="paragraph" w:styleId="Footer">
    <w:name w:val="footer"/>
    <w:basedOn w:val="Normal"/>
    <w:link w:val="FooterChar"/>
    <w:uiPriority w:val="99"/>
    <w:unhideWhenUsed/>
    <w:rsid w:val="005923EE"/>
    <w:pPr>
      <w:tabs>
        <w:tab w:val="center" w:pos="4680"/>
        <w:tab w:val="right" w:pos="9360"/>
      </w:tabs>
    </w:pPr>
  </w:style>
  <w:style w:type="character" w:customStyle="1" w:styleId="FooterChar">
    <w:name w:val="Footer Char"/>
    <w:basedOn w:val="DefaultParagraphFont"/>
    <w:link w:val="Footer"/>
    <w:uiPriority w:val="99"/>
    <w:rsid w:val="005923EE"/>
  </w:style>
  <w:style w:type="character" w:styleId="Hyperlink">
    <w:name w:val="Hyperlink"/>
    <w:basedOn w:val="DefaultParagraphFont"/>
    <w:uiPriority w:val="99"/>
    <w:unhideWhenUsed/>
    <w:rsid w:val="00E4099C"/>
    <w:rPr>
      <w:color w:val="0563C1" w:themeColor="hyperlink"/>
      <w:u w:val="single"/>
    </w:rPr>
  </w:style>
  <w:style w:type="character" w:styleId="CommentReference">
    <w:name w:val="annotation reference"/>
    <w:basedOn w:val="DefaultParagraphFont"/>
    <w:uiPriority w:val="99"/>
    <w:semiHidden/>
    <w:unhideWhenUsed/>
    <w:rsid w:val="00DC4430"/>
    <w:rPr>
      <w:sz w:val="16"/>
      <w:szCs w:val="16"/>
    </w:rPr>
  </w:style>
  <w:style w:type="paragraph" w:styleId="CommentText">
    <w:name w:val="annotation text"/>
    <w:basedOn w:val="Normal"/>
    <w:link w:val="CommentTextChar"/>
    <w:uiPriority w:val="99"/>
    <w:unhideWhenUsed/>
    <w:rsid w:val="00DC4430"/>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DC4430"/>
    <w:rPr>
      <w:rFonts w:ascii="Times New Roman" w:eastAsia="Times New Roman" w:hAnsi="Times New Roman" w:cs="Arial"/>
      <w:sz w:val="20"/>
      <w:szCs w:val="20"/>
    </w:rPr>
  </w:style>
  <w:style w:type="paragraph" w:customStyle="1" w:styleId="SL-FlLftSgl">
    <w:name w:val="SL-Fl Lft Sgl"/>
    <w:rsid w:val="00DC4430"/>
    <w:pPr>
      <w:spacing w:line="240" w:lineRule="atLeast"/>
      <w:jc w:val="both"/>
    </w:pPr>
    <w:rPr>
      <w:rFonts w:ascii="Times New Roman" w:eastAsia="Times New Roman" w:hAnsi="Times New Roman" w:cs="Times New Roman"/>
      <w:szCs w:val="20"/>
    </w:rPr>
  </w:style>
  <w:style w:type="paragraph" w:styleId="ListParagraph">
    <w:name w:val="List Paragraph"/>
    <w:basedOn w:val="Normal"/>
    <w:uiPriority w:val="1"/>
    <w:qFormat/>
    <w:rsid w:val="00A76F69"/>
    <w:pPr>
      <w:ind w:left="720"/>
      <w:contextualSpacing/>
    </w:pPr>
    <w:rPr>
      <w:rFonts w:ascii="Times New Roman" w:eastAsia="Times New Roman" w:hAnsi="Times New Roman" w:cs="Arial"/>
      <w:sz w:val="24"/>
      <w:szCs w:val="24"/>
    </w:rPr>
  </w:style>
  <w:style w:type="paragraph" w:styleId="NoSpacing">
    <w:name w:val="No Spacing"/>
    <w:uiPriority w:val="1"/>
    <w:qFormat/>
    <w:rsid w:val="00A76F69"/>
  </w:style>
  <w:style w:type="paragraph" w:styleId="BodyText">
    <w:name w:val="Body Text"/>
    <w:basedOn w:val="Normal"/>
    <w:link w:val="BodyTextChar"/>
    <w:uiPriority w:val="1"/>
    <w:qFormat/>
    <w:rsid w:val="00A76F69"/>
    <w:pPr>
      <w:spacing w:after="160" w:line="320" w:lineRule="exact"/>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A76F69"/>
    <w:rPr>
      <w:rFonts w:ascii="Times New Roman" w:eastAsia="Times New Roman" w:hAnsi="Times New Roman" w:cs="Times New Roman"/>
    </w:rPr>
  </w:style>
  <w:style w:type="paragraph" w:customStyle="1" w:styleId="Default">
    <w:name w:val="Default"/>
    <w:basedOn w:val="Normal"/>
    <w:rsid w:val="00A76F69"/>
    <w:pPr>
      <w:autoSpaceDE w:val="0"/>
      <w:autoSpaceDN w:val="0"/>
    </w:pPr>
    <w:rPr>
      <w:rFonts w:ascii="Arial" w:eastAsia="Calibri" w:hAnsi="Arial" w:cs="Arial"/>
      <w:color w:val="000000"/>
      <w:sz w:val="24"/>
      <w:szCs w:val="24"/>
    </w:rPr>
  </w:style>
  <w:style w:type="table" w:styleId="TableGrid">
    <w:name w:val="Table Grid"/>
    <w:basedOn w:val="TableNormal"/>
    <w:uiPriority w:val="59"/>
    <w:rsid w:val="00C867C2"/>
    <w:pPr>
      <w:spacing w:before="120" w:after="1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57600"/>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57600"/>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7270F6"/>
    <w:rPr>
      <w:color w:val="954F72" w:themeColor="followedHyperlink"/>
      <w:u w:val="single"/>
    </w:rPr>
  </w:style>
  <w:style w:type="character" w:customStyle="1" w:styleId="Heading1Char">
    <w:name w:val="Heading 1 Char"/>
    <w:basedOn w:val="DefaultParagraphFont"/>
    <w:link w:val="Heading1"/>
    <w:uiPriority w:val="9"/>
    <w:rsid w:val="00F56FCA"/>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uiPriority w:val="9"/>
    <w:rsid w:val="00F56FCA"/>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F56FCA"/>
    <w:pPr>
      <w:widowControl w:val="0"/>
      <w:autoSpaceDE w:val="0"/>
      <w:autoSpaceDN w:val="0"/>
    </w:pPr>
    <w:rPr>
      <w:rFonts w:ascii="Times New Roman" w:eastAsia="Times New Roman" w:hAnsi="Times New Roman" w:cs="Times New Roman"/>
    </w:rPr>
  </w:style>
  <w:style w:type="paragraph" w:customStyle="1" w:styleId="F11">
    <w:name w:val="F11"/>
    <w:basedOn w:val="Normal"/>
    <w:next w:val="FootnoteText"/>
    <w:link w:val="FootnoteTextChar"/>
    <w:uiPriority w:val="99"/>
    <w:unhideWhenUsed/>
    <w:rsid w:val="00F56485"/>
    <w:rPr>
      <w:rFonts w:eastAsia="Times New Roman"/>
      <w:sz w:val="20"/>
      <w:szCs w:val="20"/>
    </w:rPr>
  </w:style>
  <w:style w:type="character" w:customStyle="1" w:styleId="FootnoteTextChar">
    <w:name w:val="Footnote Text Char"/>
    <w:aliases w:val="F1 Char"/>
    <w:basedOn w:val="DefaultParagraphFont"/>
    <w:link w:val="F11"/>
    <w:uiPriority w:val="99"/>
    <w:rsid w:val="00F56485"/>
    <w:rPr>
      <w:rFonts w:eastAsia="Times New Roman"/>
      <w:kern w:val="0"/>
      <w:sz w:val="20"/>
      <w:szCs w:val="20"/>
      <w14:ligatures w14:val="none"/>
    </w:rPr>
  </w:style>
  <w:style w:type="character" w:styleId="FootnoteReference">
    <w:name w:val="footnote reference"/>
    <w:basedOn w:val="DefaultParagraphFont"/>
    <w:uiPriority w:val="99"/>
    <w:unhideWhenUsed/>
    <w:rsid w:val="00F56485"/>
    <w:rPr>
      <w:vertAlign w:val="superscript"/>
    </w:rPr>
  </w:style>
  <w:style w:type="paragraph" w:styleId="FootnoteText">
    <w:name w:val="footnote text"/>
    <w:basedOn w:val="Normal"/>
    <w:link w:val="FootnoteTextChar1"/>
    <w:uiPriority w:val="99"/>
    <w:semiHidden/>
    <w:unhideWhenUsed/>
    <w:rsid w:val="00F56485"/>
    <w:rPr>
      <w:sz w:val="20"/>
      <w:szCs w:val="20"/>
    </w:rPr>
  </w:style>
  <w:style w:type="character" w:customStyle="1" w:styleId="FootnoteTextChar1">
    <w:name w:val="Footnote Text Char1"/>
    <w:basedOn w:val="DefaultParagraphFont"/>
    <w:link w:val="FootnoteText"/>
    <w:uiPriority w:val="99"/>
    <w:semiHidden/>
    <w:rsid w:val="00F564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s://bjs.ojp.gov/sites/g/files/xyckuh236/files/media/document/bjs_data_protection_guidelines.pdf" TargetMode="External" /><Relationship Id="rId14" Type="http://schemas.openxmlformats.org/officeDocument/2006/relationships/hyperlink" Target="mailto:askbjs@usdoj.gov"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3a_ xmlns="2469b7b7-981d-404c-8bc1-6f3dd9da464d">Letterhead</_x003a_>
    <PublishingExpirationDate xmlns="http://schemas.microsoft.com/sharepoint/v3" xsi:nil="true"/>
    <PublishingStartDate xmlns="http://schemas.microsoft.com/sharepoint/v3" xsi:nil="true"/>
    <Description0 xmlns="2469b7b7-981d-404c-8bc1-6f3dd9da464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1A33E4F7EC6E438B6603F30E2928E3" ma:contentTypeVersion="3" ma:contentTypeDescription="Create a new document." ma:contentTypeScope="" ma:versionID="c47063d87190a1525606c615d84007b8">
  <xsd:schema xmlns:xsd="http://www.w3.org/2001/XMLSchema" xmlns:xs="http://www.w3.org/2001/XMLSchema" xmlns:p="http://schemas.microsoft.com/office/2006/metadata/properties" xmlns:ns1="2469b7b7-981d-404c-8bc1-6f3dd9da464d" xmlns:ns2="http://schemas.microsoft.com/sharepoint/v3" xmlns:ns3="48bec08d-da6a-42fa-8c91-118b4519a163" targetNamespace="http://schemas.microsoft.com/office/2006/metadata/properties" ma:root="true" ma:fieldsID="aaf0925796d7bcad7437c7512f8a6f37" ns1:_="" ns2:_="" ns3:_="">
    <xsd:import namespace="2469b7b7-981d-404c-8bc1-6f3dd9da464d"/>
    <xsd:import namespace="http://schemas.microsoft.com/sharepoint/v3"/>
    <xsd:import namespace="48bec08d-da6a-42fa-8c91-118b4519a163"/>
    <xsd:element name="properties">
      <xsd:complexType>
        <xsd:sequence>
          <xsd:element name="documentManagement">
            <xsd:complexType>
              <xsd:all>
                <xsd:element ref="ns1:_x003a_" minOccurs="0"/>
                <xsd:element ref="ns3:_dlc_DocId" minOccurs="0"/>
                <xsd:element ref="ns3:_dlc_DocIdUrl" minOccurs="0"/>
                <xsd:element ref="ns3:_dlc_DocIdPersistId" minOccurs="0"/>
                <xsd:element ref="ns2:PublishingStartDate" minOccurs="0"/>
                <xsd:element ref="ns2:PublishingExpirationDate" minOccurs="0"/>
                <xsd:element ref="ns1: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9b7b7-981d-404c-8bc1-6f3dd9da464d" elementFormDefault="qualified">
    <xsd:import namespace="http://schemas.microsoft.com/office/2006/documentManagement/types"/>
    <xsd:import namespace="http://schemas.microsoft.com/office/infopath/2007/PartnerControls"/>
    <xsd:element name="_x003a_" ma:index="0" nillable="true" ma:displayName=":" ma:description="Resource Type" ma:format="Dropdown" ma:internalName="_x003a_">
      <xsd:simpleType>
        <xsd:restriction base="dms:Choice">
          <xsd:enumeration value="Form"/>
          <xsd:enumeration value="Guidance"/>
          <xsd:enumeration value="Letterhead"/>
          <xsd:enumeration value="SOP"/>
          <xsd:enumeration value="Template"/>
        </xsd:restriction>
      </xsd:simpleType>
    </xsd:element>
    <xsd:element name="Description0" ma:index="14"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bec08d-da6a-42fa-8c91-118b4519a163"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EA391F-A304-4C62-87DD-B3B3BDA9F527}">
  <ds:schemaRefs>
    <ds:schemaRef ds:uri="http://schemas.microsoft.com/sharepoint/v3/contenttype/forms"/>
  </ds:schemaRefs>
</ds:datastoreItem>
</file>

<file path=customXml/itemProps2.xml><?xml version="1.0" encoding="utf-8"?>
<ds:datastoreItem xmlns:ds="http://schemas.openxmlformats.org/officeDocument/2006/customXml" ds:itemID="{DFF6B42E-4638-4305-8541-23DF9E033346}">
  <ds:schemaRefs>
    <ds:schemaRef ds:uri="http://schemas.openxmlformats.org/officeDocument/2006/bibliography"/>
  </ds:schemaRefs>
</ds:datastoreItem>
</file>

<file path=customXml/itemProps3.xml><?xml version="1.0" encoding="utf-8"?>
<ds:datastoreItem xmlns:ds="http://schemas.openxmlformats.org/officeDocument/2006/customXml" ds:itemID="{7E9A4B5E-2A4C-4891-AABE-FABAF4ECAD6E}">
  <ds:schemaRefs>
    <ds:schemaRef ds:uri="http://schemas.openxmlformats.org/package/2006/metadata/core-properties"/>
    <ds:schemaRef ds:uri="http://purl.org/dc/dcmitype/"/>
    <ds:schemaRef ds:uri="48bec08d-da6a-42fa-8c91-118b4519a163"/>
    <ds:schemaRef ds:uri="2469b7b7-981d-404c-8bc1-6f3dd9da464d"/>
    <ds:schemaRef ds:uri="http://purl.org/dc/elements/1.1/"/>
    <ds:schemaRef ds:uri="http://www.w3.org/XML/1998/namespace"/>
    <ds:schemaRef ds:uri="http://schemas.microsoft.com/office/2006/documentManagement/types"/>
    <ds:schemaRef ds:uri="http://purl.org/dc/terms/"/>
    <ds:schemaRef ds:uri="http://schemas.microsoft.com/sharepoint/v3"/>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3E08E86D-8F72-4520-84EC-772FA6E5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9b7b7-981d-404c-8bc1-6f3dd9da464d"/>
    <ds:schemaRef ds:uri="http://schemas.microsoft.com/sharepoint/v3"/>
    <ds:schemaRef ds:uri="48bec08d-da6a-42fa-8c91-118b4519a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1E930B-1657-4CD2-B982-C11FF8996C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2025-05-29T14:56:00Z</dcterms:created>
  <dcterms:modified xsi:type="dcterms:W3CDTF">2025-05-29T14:56:00Z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0x010100251A33E4F7EC6E438B6603F30E2928E3</vt:lpwstr>
  </property>
</Properties>
</file>