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6556C3" w:rsidRPr="00E13F14" w:rsidP="00DE3B63" w14:paraId="21FB59FF" w14:textId="2B498741">
      <w:pPr>
        <w:spacing w:before="160" w:after="0"/>
        <w:jc w:val="center"/>
        <w:rPr>
          <w:b/>
          <w:bCs/>
        </w:rPr>
      </w:pPr>
      <w:r w:rsidRPr="00E13F14">
        <w:rPr>
          <w:b/>
          <w:bCs/>
        </w:rPr>
        <w:t>SUPPORTING STATEMENT FOR</w:t>
      </w:r>
    </w:p>
    <w:p w:rsidR="006556C3" w:rsidRPr="00E13F14" w:rsidP="00E13F14" w14:paraId="3503230C" w14:textId="436C35BC">
      <w:pPr>
        <w:spacing w:before="0" w:after="0"/>
        <w:jc w:val="center"/>
        <w:rPr>
          <w:b/>
          <w:bCs/>
        </w:rPr>
      </w:pPr>
      <w:r w:rsidRPr="00E13F14">
        <w:rPr>
          <w:b/>
          <w:bCs/>
        </w:rPr>
        <w:t>Senior Community Service Employment Program (SCSEP)</w:t>
      </w:r>
    </w:p>
    <w:p w:rsidR="00843197" w:rsidRPr="00E13F14" w:rsidP="00E13F14" w14:paraId="2D35081A" w14:textId="3854C473">
      <w:pPr>
        <w:spacing w:before="0" w:after="0"/>
        <w:jc w:val="center"/>
        <w:rPr>
          <w:b/>
          <w:bCs/>
        </w:rPr>
      </w:pPr>
      <w:r w:rsidRPr="00E13F14">
        <w:rPr>
          <w:b/>
          <w:bCs/>
        </w:rPr>
        <w:t>OMB CONTROL No. 1205-0040</w:t>
      </w:r>
    </w:p>
    <w:p w:rsidR="006556C3" w:rsidRPr="00BF737E" w:rsidP="000C16E4" w14:paraId="3FF7F666" w14:textId="60C1883B">
      <w:pPr>
        <w:rPr>
          <w:color w:val="000000" w:themeColor="text1"/>
        </w:rPr>
      </w:pPr>
      <w:r w:rsidRPr="00BF737E">
        <w:rPr>
          <w:color w:val="000000" w:themeColor="text1"/>
        </w:rPr>
        <w:t>This Information Collection Request (ICR) seeks to re</w:t>
      </w:r>
      <w:r w:rsidR="00053428">
        <w:rPr>
          <w:color w:val="000000" w:themeColor="text1"/>
        </w:rPr>
        <w:t>new</w:t>
      </w:r>
      <w:r w:rsidRPr="00BF737E">
        <w:rPr>
          <w:color w:val="000000" w:themeColor="text1"/>
        </w:rPr>
        <w:t xml:space="preserve"> the Department of Labor’s (DOL) Employment and Training Administration’s (ETA) information collection</w:t>
      </w:r>
      <w:r w:rsidRPr="00BF737E">
        <w:rPr>
          <w:color w:val="000000" w:themeColor="text1"/>
        </w:rPr>
        <w:t xml:space="preserve"> </w:t>
      </w:r>
      <w:r w:rsidR="002E02C3">
        <w:rPr>
          <w:color w:val="000000" w:themeColor="text1"/>
        </w:rPr>
        <w:t>for the</w:t>
      </w:r>
      <w:r w:rsidRPr="00BF737E">
        <w:rPr>
          <w:color w:val="000000" w:themeColor="text1"/>
        </w:rPr>
        <w:t xml:space="preserve"> Senior Community Service Employment Program (SCSEP)</w:t>
      </w:r>
      <w:r w:rsidR="00AF6D8C">
        <w:rPr>
          <w:color w:val="000000" w:themeColor="text1"/>
        </w:rPr>
        <w:t xml:space="preserve">, OMB Control Number </w:t>
      </w:r>
      <w:r w:rsidRPr="00BF737E" w:rsidR="00AF6D8C">
        <w:rPr>
          <w:color w:val="000000" w:themeColor="text1"/>
        </w:rPr>
        <w:t>1205-0040</w:t>
      </w:r>
      <w:r w:rsidRPr="00BF737E">
        <w:rPr>
          <w:color w:val="000000" w:themeColor="text1"/>
        </w:rPr>
        <w:t xml:space="preserve">. </w:t>
      </w:r>
    </w:p>
    <w:p w:rsidR="006556C3" w:rsidP="000C16E4" w14:paraId="57C37853" w14:textId="69B6B90A">
      <w:r>
        <w:t xml:space="preserve">The ICR contains the following: </w:t>
      </w:r>
      <w:r w:rsidR="007023F0">
        <w:t>GPMS Data Collection Instrument</w:t>
      </w:r>
      <w:r w:rsidR="00B63EAC">
        <w:t xml:space="preserve"> (</w:t>
      </w:r>
      <w:r w:rsidR="002E02C3">
        <w:t xml:space="preserve">Form </w:t>
      </w:r>
      <w:r w:rsidR="00B63EAC">
        <w:t>ETA-9191)</w:t>
      </w:r>
      <w:r w:rsidR="008F2EF1">
        <w:t xml:space="preserve">, </w:t>
      </w:r>
      <w:r w:rsidR="004F6E14">
        <w:t>Participant Customer Satisfaction (</w:t>
      </w:r>
      <w:r w:rsidR="002E02C3">
        <w:t xml:space="preserve">Form </w:t>
      </w:r>
      <w:r w:rsidR="004F6E14">
        <w:t>ETA-9124A), Host Agency Customer Satisfaction (</w:t>
      </w:r>
      <w:r w:rsidR="002E02C3">
        <w:t xml:space="preserve">Form </w:t>
      </w:r>
      <w:r w:rsidR="004F6E14">
        <w:t xml:space="preserve">ETA-9124B), </w:t>
      </w:r>
      <w:r w:rsidR="002E02C3">
        <w:t xml:space="preserve">and </w:t>
      </w:r>
      <w:r w:rsidR="004F6E14">
        <w:t>Employer Customer Satisfaction (</w:t>
      </w:r>
      <w:r w:rsidR="002E02C3">
        <w:t xml:space="preserve">Forms </w:t>
      </w:r>
      <w:r w:rsidR="004F6E14">
        <w:t>ETA-9124C1 and ETA-9124C2)</w:t>
      </w:r>
      <w:r w:rsidR="00B0453F">
        <w:t xml:space="preserve">. </w:t>
      </w:r>
    </w:p>
    <w:p w:rsidR="006556C3" w:rsidRPr="005A459B" w:rsidP="005A459B" w14:paraId="25B9B2BF" w14:textId="182FF88F">
      <w:pPr>
        <w:pStyle w:val="ListParagraph"/>
        <w:numPr>
          <w:ilvl w:val="0"/>
          <w:numId w:val="6"/>
        </w:numPr>
        <w:ind w:left="540" w:hanging="540"/>
        <w:rPr>
          <w:b/>
          <w:bCs/>
        </w:rPr>
      </w:pPr>
      <w:r w:rsidRPr="005A459B">
        <w:rPr>
          <w:b/>
          <w:bCs/>
        </w:rPr>
        <w:t>Justification</w:t>
      </w:r>
    </w:p>
    <w:p w:rsidR="006556C3" w:rsidRPr="00BF737E" w:rsidP="000C16E4" w14:paraId="5EA0BD66" w14:textId="674554A7">
      <w:pPr>
        <w:rPr>
          <w:color w:val="000000" w:themeColor="text1"/>
        </w:rPr>
      </w:pPr>
      <w:r w:rsidRPr="00BF737E">
        <w:rPr>
          <w:color w:val="000000" w:themeColor="text1"/>
        </w:rPr>
        <w:t>This ICR seeks to fulfill the statutory requirements for SCSEP data collection by improving ETA’s ability to collect grantee performance data, including information on participant characteristics and outcomes</w:t>
      </w:r>
      <w:r w:rsidR="003B42B5">
        <w:rPr>
          <w:color w:val="000000" w:themeColor="text1"/>
        </w:rPr>
        <w:t>,</w:t>
      </w:r>
      <w:r w:rsidRPr="00BF737E">
        <w:rPr>
          <w:color w:val="000000" w:themeColor="text1"/>
        </w:rPr>
        <w:t xml:space="preserve"> </w:t>
      </w:r>
      <w:r w:rsidR="002467AF">
        <w:rPr>
          <w:color w:val="000000" w:themeColor="text1"/>
        </w:rPr>
        <w:t xml:space="preserve">and </w:t>
      </w:r>
      <w:r w:rsidR="003B42B5">
        <w:rPr>
          <w:color w:val="000000" w:themeColor="text1"/>
        </w:rPr>
        <w:t xml:space="preserve">to </w:t>
      </w:r>
      <w:r w:rsidRPr="00BF737E">
        <w:rPr>
          <w:color w:val="000000" w:themeColor="text1"/>
        </w:rPr>
        <w:t>assess customer satisfaction with the program</w:t>
      </w:r>
      <w:r w:rsidR="002467AF">
        <w:rPr>
          <w:color w:val="000000" w:themeColor="text1"/>
        </w:rPr>
        <w:t xml:space="preserve">. </w:t>
      </w:r>
      <w:r w:rsidRPr="00E46CBB" w:rsidR="00E46CBB">
        <w:t xml:space="preserve"> </w:t>
      </w:r>
      <w:r w:rsidRPr="00E46CBB" w:rsidR="00E46CBB">
        <w:rPr>
          <w:color w:val="000000" w:themeColor="text1"/>
        </w:rPr>
        <w:t>When ETA last re</w:t>
      </w:r>
      <w:r w:rsidR="001C0BE0">
        <w:rPr>
          <w:color w:val="000000" w:themeColor="text1"/>
        </w:rPr>
        <w:t>newed</w:t>
      </w:r>
      <w:r w:rsidRPr="00E46CBB" w:rsidR="00E46CBB">
        <w:rPr>
          <w:color w:val="000000" w:themeColor="text1"/>
        </w:rPr>
        <w:t xml:space="preserve"> this ICR, an inconsistency occurred: some elements were removed from the burden table and subsequently dropped from the ICR itself. However, review of the removed items </w:t>
      </w:r>
      <w:r w:rsidR="0074186F">
        <w:rPr>
          <w:color w:val="000000" w:themeColor="text1"/>
        </w:rPr>
        <w:t>identified</w:t>
      </w:r>
      <w:r w:rsidRPr="00E46CBB" w:rsidR="0074186F">
        <w:rPr>
          <w:color w:val="000000" w:themeColor="text1"/>
        </w:rPr>
        <w:t xml:space="preserve"> </w:t>
      </w:r>
      <w:r w:rsidRPr="00E46CBB" w:rsidR="00E46CBB">
        <w:rPr>
          <w:color w:val="000000" w:themeColor="text1"/>
        </w:rPr>
        <w:t xml:space="preserve">that </w:t>
      </w:r>
      <w:r w:rsidR="00900503">
        <w:rPr>
          <w:color w:val="000000" w:themeColor="text1"/>
        </w:rPr>
        <w:t xml:space="preserve">not all removed elements were necessary; </w:t>
      </w:r>
      <w:r w:rsidRPr="00E46CBB" w:rsidR="00E46CBB">
        <w:rPr>
          <w:color w:val="000000" w:themeColor="text1"/>
        </w:rPr>
        <w:t>some were duplicative, not required, or already covered by another ICR.</w:t>
      </w:r>
      <w:r w:rsidR="002A6EC4">
        <w:rPr>
          <w:color w:val="000000" w:themeColor="text1"/>
        </w:rPr>
        <w:t xml:space="preserve"> </w:t>
      </w:r>
      <w:r w:rsidR="00E46CBB">
        <w:rPr>
          <w:color w:val="000000" w:themeColor="text1"/>
        </w:rPr>
        <w:t xml:space="preserve">This ICR </w:t>
      </w:r>
      <w:r w:rsidR="003449DE">
        <w:rPr>
          <w:color w:val="000000" w:themeColor="text1"/>
        </w:rPr>
        <w:t xml:space="preserve">renewal package requests </w:t>
      </w:r>
      <w:r w:rsidR="00E46CBB">
        <w:rPr>
          <w:color w:val="000000" w:themeColor="text1"/>
        </w:rPr>
        <w:t xml:space="preserve">revision to: </w:t>
      </w:r>
      <w:r w:rsidRPr="00BF737E">
        <w:rPr>
          <w:color w:val="000000" w:themeColor="text1"/>
        </w:rPr>
        <w:t xml:space="preserve">1) </w:t>
      </w:r>
      <w:r w:rsidR="003449DE">
        <w:rPr>
          <w:color w:val="000000" w:themeColor="text1"/>
        </w:rPr>
        <w:t>a</w:t>
      </w:r>
      <w:r w:rsidRPr="00BF737E">
        <w:rPr>
          <w:color w:val="000000" w:themeColor="text1"/>
        </w:rPr>
        <w:t>dd back in, with revisions, the Data Collection Instrument (</w:t>
      </w:r>
      <w:r w:rsidR="003449DE">
        <w:rPr>
          <w:color w:val="000000" w:themeColor="text1"/>
        </w:rPr>
        <w:t xml:space="preserve">Form </w:t>
      </w:r>
      <w:r w:rsidRPr="00BF737E">
        <w:rPr>
          <w:color w:val="000000" w:themeColor="text1"/>
        </w:rPr>
        <w:t>ETA-9191), including updated data elements with the Grant Performance Management System (GPMS)</w:t>
      </w:r>
      <w:r w:rsidR="003449DE">
        <w:rPr>
          <w:color w:val="000000" w:themeColor="text1"/>
        </w:rPr>
        <w:t xml:space="preserve"> provided by DOL</w:t>
      </w:r>
      <w:r w:rsidRPr="00BF737E">
        <w:rPr>
          <w:color w:val="000000" w:themeColor="text1"/>
        </w:rPr>
        <w:t xml:space="preserve">; </w:t>
      </w:r>
      <w:r w:rsidR="002467AF">
        <w:rPr>
          <w:color w:val="000000" w:themeColor="text1"/>
        </w:rPr>
        <w:t>2</w:t>
      </w:r>
      <w:r w:rsidRPr="00BF737E">
        <w:rPr>
          <w:color w:val="000000" w:themeColor="text1"/>
        </w:rPr>
        <w:t xml:space="preserve">) renew without changes the SCSEP customer satisfaction survey collection instruments </w:t>
      </w:r>
      <w:r w:rsidRPr="00BF737E" w:rsidR="00EA3D3E">
        <w:rPr>
          <w:color w:val="000000" w:themeColor="text1"/>
        </w:rPr>
        <w:t>(</w:t>
      </w:r>
      <w:r w:rsidR="003449DE">
        <w:rPr>
          <w:color w:val="000000" w:themeColor="text1"/>
        </w:rPr>
        <w:t xml:space="preserve">Forms </w:t>
      </w:r>
      <w:r w:rsidRPr="00BF737E" w:rsidR="00FC2FFD">
        <w:rPr>
          <w:color w:val="000000" w:themeColor="text1"/>
        </w:rPr>
        <w:t>ETA</w:t>
      </w:r>
      <w:r w:rsidRPr="00BF737E" w:rsidR="00F3073B">
        <w:rPr>
          <w:color w:val="000000" w:themeColor="text1"/>
        </w:rPr>
        <w:t>-</w:t>
      </w:r>
      <w:r w:rsidR="009F2A5B">
        <w:rPr>
          <w:color w:val="000000" w:themeColor="text1"/>
        </w:rPr>
        <w:t>9124A</w:t>
      </w:r>
      <w:r w:rsidR="00D60B30">
        <w:rPr>
          <w:color w:val="000000" w:themeColor="text1"/>
        </w:rPr>
        <w:t xml:space="preserve">, </w:t>
      </w:r>
      <w:r w:rsidR="003449DE">
        <w:rPr>
          <w:color w:val="000000" w:themeColor="text1"/>
        </w:rPr>
        <w:t>ETA-</w:t>
      </w:r>
      <w:r w:rsidR="00D60B30">
        <w:rPr>
          <w:color w:val="000000" w:themeColor="text1"/>
        </w:rPr>
        <w:t xml:space="preserve">9124B, </w:t>
      </w:r>
      <w:r w:rsidR="003449DE">
        <w:rPr>
          <w:color w:val="000000" w:themeColor="text1"/>
        </w:rPr>
        <w:t>ETA</w:t>
      </w:r>
      <w:r w:rsidR="00D60B30">
        <w:rPr>
          <w:color w:val="000000" w:themeColor="text1"/>
        </w:rPr>
        <w:t xml:space="preserve">-9124C1, and </w:t>
      </w:r>
      <w:r w:rsidR="003449DE">
        <w:rPr>
          <w:color w:val="000000" w:themeColor="text1"/>
        </w:rPr>
        <w:t>ETA-</w:t>
      </w:r>
      <w:r w:rsidR="00D60B30">
        <w:rPr>
          <w:color w:val="000000" w:themeColor="text1"/>
        </w:rPr>
        <w:t>9124C2)</w:t>
      </w:r>
      <w:r w:rsidR="00C317E5">
        <w:rPr>
          <w:color w:val="000000" w:themeColor="text1"/>
        </w:rPr>
        <w:t>; and</w:t>
      </w:r>
      <w:r w:rsidR="00D60B30">
        <w:rPr>
          <w:color w:val="000000" w:themeColor="text1"/>
        </w:rPr>
        <w:t xml:space="preserve"> </w:t>
      </w:r>
      <w:r w:rsidR="002467AF">
        <w:rPr>
          <w:color w:val="000000" w:themeColor="text1"/>
        </w:rPr>
        <w:t>3</w:t>
      </w:r>
      <w:r w:rsidR="008856FD">
        <w:rPr>
          <w:color w:val="000000" w:themeColor="text1"/>
        </w:rPr>
        <w:t xml:space="preserve">) </w:t>
      </w:r>
      <w:r w:rsidR="00C317E5">
        <w:rPr>
          <w:color w:val="000000" w:themeColor="text1"/>
        </w:rPr>
        <w:t>r</w:t>
      </w:r>
      <w:r w:rsidR="008856FD">
        <w:rPr>
          <w:color w:val="000000" w:themeColor="text1"/>
        </w:rPr>
        <w:t>emove the two satisfaction survey pilot forms as the pilots have been completed (</w:t>
      </w:r>
      <w:r w:rsidR="00C317E5">
        <w:rPr>
          <w:color w:val="000000" w:themeColor="text1"/>
        </w:rPr>
        <w:t xml:space="preserve">Form </w:t>
      </w:r>
      <w:r w:rsidR="00F50692">
        <w:t xml:space="preserve">ETA-9124A - Participant Survey Pilot Project and </w:t>
      </w:r>
      <w:r w:rsidR="00C317E5">
        <w:t xml:space="preserve">Form </w:t>
      </w:r>
      <w:r w:rsidR="00BC55EF">
        <w:t>ETA-9124C2 – Non-Host Agency Employer Survey Pilot Project)</w:t>
      </w:r>
      <w:r w:rsidR="00C317E5">
        <w:t>.</w:t>
      </w:r>
    </w:p>
    <w:p w:rsidR="00A2541D" w:rsidRPr="004A490C" w:rsidP="00A406E0" w14:paraId="2DBC52A0" w14:textId="71F28F79">
      <w:pPr>
        <w:pStyle w:val="ListParagraph"/>
        <w:numPr>
          <w:ilvl w:val="0"/>
          <w:numId w:val="7"/>
        </w:numPr>
        <w:spacing w:before="240"/>
        <w:ind w:left="360"/>
        <w:rPr>
          <w:b/>
          <w:bCs/>
          <w:szCs w:val="24"/>
        </w:rPr>
      </w:pPr>
      <w:r w:rsidRPr="00CD1ADA">
        <w:rPr>
          <w:b/>
          <w:bCs/>
          <w:szCs w:val="24"/>
        </w:rPr>
        <w:t xml:space="preserve">Explain the circumstances that make the collection of information necessary. Identify any legal or administrative requirements that necessitate the collection. </w:t>
      </w:r>
      <w:r w:rsidRPr="004A490C">
        <w:rPr>
          <w:b/>
          <w:bCs/>
          <w:szCs w:val="24"/>
        </w:rPr>
        <w:t>Attach a copy of the appropriate section of each statute and regulation mandating or authorizing the collection of information.</w:t>
      </w:r>
    </w:p>
    <w:p w:rsidR="002D2C78" w:rsidP="002D2C78" w14:paraId="64FEB1C5" w14:textId="77777777">
      <w:pPr>
        <w:pStyle w:val="ListParagraph"/>
        <w:spacing w:before="240"/>
        <w:ind w:left="360"/>
        <w:rPr>
          <w:b/>
          <w:bCs/>
          <w:szCs w:val="24"/>
        </w:rPr>
      </w:pPr>
    </w:p>
    <w:p w:rsidR="009458A6" w:rsidP="009458A6" w14:paraId="0F3F4A67" w14:textId="0D8B33FD">
      <w:pPr>
        <w:pStyle w:val="ListParagraph"/>
        <w:spacing w:before="240"/>
        <w:ind w:left="360"/>
        <w:rPr>
          <w:szCs w:val="24"/>
        </w:rPr>
      </w:pPr>
      <w:r w:rsidRPr="009458A6">
        <w:rPr>
          <w:szCs w:val="24"/>
        </w:rPr>
        <w:t>The Department of Labor, through ETA, is required to collect th</w:t>
      </w:r>
      <w:r w:rsidR="000B13E6">
        <w:rPr>
          <w:szCs w:val="24"/>
        </w:rPr>
        <w:t>is</w:t>
      </w:r>
      <w:r w:rsidRPr="009458A6">
        <w:rPr>
          <w:szCs w:val="24"/>
        </w:rPr>
        <w:t xml:space="preserve"> information to comply with the O</w:t>
      </w:r>
      <w:r w:rsidR="00995926">
        <w:rPr>
          <w:szCs w:val="24"/>
        </w:rPr>
        <w:t>l</w:t>
      </w:r>
      <w:r w:rsidR="00D87252">
        <w:rPr>
          <w:szCs w:val="24"/>
        </w:rPr>
        <w:t>d</w:t>
      </w:r>
      <w:r w:rsidR="00995926">
        <w:rPr>
          <w:szCs w:val="24"/>
        </w:rPr>
        <w:t>er American</w:t>
      </w:r>
      <w:r w:rsidR="00D87252">
        <w:rPr>
          <w:szCs w:val="24"/>
        </w:rPr>
        <w:t>s</w:t>
      </w:r>
      <w:r w:rsidR="00995926">
        <w:rPr>
          <w:szCs w:val="24"/>
        </w:rPr>
        <w:t xml:space="preserve"> Act</w:t>
      </w:r>
      <w:r w:rsidR="00D87252">
        <w:rPr>
          <w:szCs w:val="24"/>
        </w:rPr>
        <w:t>’s</w:t>
      </w:r>
      <w:r w:rsidR="00995926">
        <w:rPr>
          <w:szCs w:val="24"/>
        </w:rPr>
        <w:t xml:space="preserve"> (OAA) </w:t>
      </w:r>
      <w:r w:rsidRPr="009458A6">
        <w:rPr>
          <w:szCs w:val="24"/>
        </w:rPr>
        <w:t>statutory and regulatory requirements. The information is also necessary for grantees’ performance accountability and program management. </w:t>
      </w:r>
    </w:p>
    <w:p w:rsidR="00804CE4" w:rsidP="009458A6" w14:paraId="52FE724A" w14:textId="77777777">
      <w:pPr>
        <w:pStyle w:val="ListParagraph"/>
        <w:spacing w:before="240"/>
        <w:ind w:left="360"/>
        <w:rPr>
          <w:szCs w:val="24"/>
        </w:rPr>
      </w:pPr>
    </w:p>
    <w:p w:rsidR="00CF3CE7" w:rsidRPr="00CF3CE7" w:rsidP="00CF3CE7" w14:paraId="39F54BF9" w14:textId="43233694">
      <w:pPr>
        <w:pStyle w:val="ListParagraph"/>
        <w:spacing w:before="240" w:after="160"/>
        <w:ind w:left="360"/>
        <w:rPr>
          <w:b/>
          <w:bCs/>
          <w:szCs w:val="24"/>
        </w:rPr>
      </w:pPr>
      <w:r w:rsidRPr="00CF3CE7">
        <w:rPr>
          <w:b/>
          <w:bCs/>
          <w:szCs w:val="24"/>
        </w:rPr>
        <w:t>ETA-9191: Data Collection Instrument</w:t>
      </w:r>
    </w:p>
    <w:p w:rsidR="00CF3CE7" w:rsidP="00CF3CE7" w14:paraId="2AA16F04" w14:textId="77777777">
      <w:pPr>
        <w:pStyle w:val="ListParagraph"/>
        <w:spacing w:before="240" w:after="160"/>
        <w:ind w:left="360"/>
        <w:rPr>
          <w:szCs w:val="24"/>
        </w:rPr>
      </w:pPr>
    </w:p>
    <w:p w:rsidR="00501FE1" w:rsidP="0081249E" w14:paraId="0CECC8CD" w14:textId="662F488E">
      <w:pPr>
        <w:pStyle w:val="ListParagraph"/>
        <w:spacing w:before="240"/>
        <w:ind w:left="360"/>
        <w:rPr>
          <w:szCs w:val="24"/>
        </w:rPr>
      </w:pPr>
      <w:r>
        <w:rPr>
          <w:szCs w:val="24"/>
        </w:rPr>
        <w:t xml:space="preserve">This </w:t>
      </w:r>
      <w:r w:rsidR="00A2043E">
        <w:rPr>
          <w:szCs w:val="24"/>
        </w:rPr>
        <w:t>ICR seeks to add back in</w:t>
      </w:r>
      <w:r w:rsidR="0086129C">
        <w:rPr>
          <w:szCs w:val="24"/>
        </w:rPr>
        <w:t xml:space="preserve"> the</w:t>
      </w:r>
      <w:r w:rsidR="00FE0B76">
        <w:rPr>
          <w:szCs w:val="24"/>
        </w:rPr>
        <w:t xml:space="preserve"> Data Collection Instrument</w:t>
      </w:r>
      <w:r w:rsidR="00A2043E">
        <w:rPr>
          <w:szCs w:val="24"/>
        </w:rPr>
        <w:t xml:space="preserve"> </w:t>
      </w:r>
      <w:r w:rsidR="00FE0B76">
        <w:rPr>
          <w:szCs w:val="24"/>
        </w:rPr>
        <w:t>(</w:t>
      </w:r>
      <w:r w:rsidR="0086129C">
        <w:rPr>
          <w:szCs w:val="24"/>
        </w:rPr>
        <w:t xml:space="preserve">Form </w:t>
      </w:r>
      <w:r w:rsidR="00A2043E">
        <w:rPr>
          <w:szCs w:val="24"/>
        </w:rPr>
        <w:t>ETA-9191</w:t>
      </w:r>
      <w:r w:rsidR="00FE0B76">
        <w:rPr>
          <w:szCs w:val="24"/>
        </w:rPr>
        <w:t>)</w:t>
      </w:r>
      <w:r w:rsidR="00A2043E">
        <w:rPr>
          <w:szCs w:val="24"/>
        </w:rPr>
        <w:t xml:space="preserve"> with revisions</w:t>
      </w:r>
      <w:r w:rsidR="00130CE1">
        <w:rPr>
          <w:szCs w:val="24"/>
        </w:rPr>
        <w:t>. Th</w:t>
      </w:r>
      <w:r w:rsidR="00C60CCA">
        <w:rPr>
          <w:szCs w:val="24"/>
        </w:rPr>
        <w:t xml:space="preserve">e revisions include removing data elements </w:t>
      </w:r>
      <w:r w:rsidR="00D64DBB">
        <w:rPr>
          <w:szCs w:val="24"/>
        </w:rPr>
        <w:t>already authorized under</w:t>
      </w:r>
      <w:r w:rsidR="00ED3AF7">
        <w:rPr>
          <w:szCs w:val="24"/>
        </w:rPr>
        <w:t xml:space="preserve"> </w:t>
      </w:r>
      <w:r w:rsidR="00FE0B76">
        <w:rPr>
          <w:szCs w:val="24"/>
        </w:rPr>
        <w:t>OMB Control Number</w:t>
      </w:r>
      <w:r w:rsidR="00ED3AF7">
        <w:rPr>
          <w:szCs w:val="24"/>
        </w:rPr>
        <w:t xml:space="preserve"> </w:t>
      </w:r>
      <w:r w:rsidR="0024677E">
        <w:rPr>
          <w:szCs w:val="24"/>
        </w:rPr>
        <w:t>12</w:t>
      </w:r>
      <w:r w:rsidR="00594989">
        <w:rPr>
          <w:szCs w:val="24"/>
        </w:rPr>
        <w:t xml:space="preserve">05-0521 </w:t>
      </w:r>
      <w:r w:rsidR="006166FF">
        <w:rPr>
          <w:szCs w:val="24"/>
        </w:rPr>
        <w:t xml:space="preserve">and included in the </w:t>
      </w:r>
      <w:r w:rsidR="00AE72CA">
        <w:rPr>
          <w:szCs w:val="24"/>
        </w:rPr>
        <w:t>DOL</w:t>
      </w:r>
      <w:r w:rsidR="006166FF">
        <w:rPr>
          <w:szCs w:val="24"/>
        </w:rPr>
        <w:t xml:space="preserve"> Participant Individual Record Layout</w:t>
      </w:r>
      <w:r w:rsidR="00B717CE">
        <w:rPr>
          <w:szCs w:val="24"/>
        </w:rPr>
        <w:t xml:space="preserve"> (PIRL)</w:t>
      </w:r>
      <w:r w:rsidR="006166FF">
        <w:rPr>
          <w:szCs w:val="24"/>
        </w:rPr>
        <w:t xml:space="preserve"> </w:t>
      </w:r>
      <w:r w:rsidR="00AE72CA">
        <w:rPr>
          <w:szCs w:val="24"/>
        </w:rPr>
        <w:t>(</w:t>
      </w:r>
      <w:r w:rsidR="00FE0B76">
        <w:rPr>
          <w:szCs w:val="24"/>
        </w:rPr>
        <w:t xml:space="preserve">Form </w:t>
      </w:r>
      <w:r w:rsidR="00AE72CA">
        <w:rPr>
          <w:szCs w:val="24"/>
        </w:rPr>
        <w:t>ETA-9172)</w:t>
      </w:r>
      <w:r w:rsidR="006166FF">
        <w:rPr>
          <w:szCs w:val="24"/>
        </w:rPr>
        <w:t xml:space="preserve">. </w:t>
      </w:r>
    </w:p>
    <w:p w:rsidR="00501FE1" w:rsidP="0081249E" w14:paraId="1D4602F8" w14:textId="21EC9A6B">
      <w:pPr>
        <w:pStyle w:val="ListParagraph"/>
        <w:spacing w:before="240"/>
        <w:ind w:left="360"/>
        <w:rPr>
          <w:szCs w:val="24"/>
        </w:rPr>
      </w:pPr>
      <w:r>
        <w:rPr>
          <w:szCs w:val="24"/>
        </w:rPr>
        <w:t xml:space="preserve"> </w:t>
      </w:r>
    </w:p>
    <w:p w:rsidR="0058758D" w:rsidP="0081249E" w14:paraId="408DE481" w14:textId="51F21490">
      <w:pPr>
        <w:pStyle w:val="ListParagraph"/>
        <w:spacing w:before="240"/>
        <w:ind w:left="360"/>
        <w:rPr>
          <w:szCs w:val="24"/>
        </w:rPr>
      </w:pPr>
      <w:r w:rsidRPr="00D62C88">
        <w:rPr>
          <w:szCs w:val="24"/>
        </w:rPr>
        <w:t xml:space="preserve">The remaining data elements in </w:t>
      </w:r>
      <w:r>
        <w:rPr>
          <w:szCs w:val="24"/>
        </w:rPr>
        <w:t xml:space="preserve">the Data Collection Instrument </w:t>
      </w:r>
      <w:r w:rsidRPr="00D62C88">
        <w:rPr>
          <w:szCs w:val="24"/>
        </w:rPr>
        <w:t xml:space="preserve">cannot be obtained from other sources or modified from existing collections because they capture program-specific information unique to SCSEP's mission of serving low-income older workers. These </w:t>
      </w:r>
      <w:r w:rsidR="00F13C81">
        <w:rPr>
          <w:szCs w:val="24"/>
        </w:rPr>
        <w:t xml:space="preserve">required </w:t>
      </w:r>
      <w:r w:rsidRPr="00D62C88">
        <w:rPr>
          <w:szCs w:val="24"/>
        </w:rPr>
        <w:t>elements include</w:t>
      </w:r>
      <w:r w:rsidRPr="00D62C88">
        <w:rPr>
          <w:i/>
          <w:iCs/>
          <w:szCs w:val="24"/>
        </w:rPr>
        <w:t xml:space="preserve"> </w:t>
      </w:r>
      <w:r w:rsidRPr="008D1CE2">
        <w:rPr>
          <w:szCs w:val="24"/>
        </w:rPr>
        <w:t>host agency data</w:t>
      </w:r>
      <w:r w:rsidR="00767EF5">
        <w:rPr>
          <w:szCs w:val="24"/>
        </w:rPr>
        <w:t xml:space="preserve">. These </w:t>
      </w:r>
      <w:r>
        <w:rPr>
          <w:szCs w:val="24"/>
        </w:rPr>
        <w:t xml:space="preserve">elements are </w:t>
      </w:r>
      <w:r w:rsidRPr="00D62C88">
        <w:rPr>
          <w:szCs w:val="24"/>
        </w:rPr>
        <w:t xml:space="preserve">essential for monitoring SCSEP's distinct performance measures and statutory requirements. </w:t>
      </w:r>
    </w:p>
    <w:p w:rsidR="0058758D" w:rsidP="0081249E" w14:paraId="4B039292" w14:textId="77777777">
      <w:pPr>
        <w:pStyle w:val="ListParagraph"/>
        <w:spacing w:before="240"/>
        <w:ind w:left="360"/>
        <w:rPr>
          <w:szCs w:val="24"/>
        </w:rPr>
      </w:pPr>
    </w:p>
    <w:p w:rsidR="0058758D" w:rsidP="0081249E" w14:paraId="2C6F968B" w14:textId="7D15E626">
      <w:pPr>
        <w:pStyle w:val="ListParagraph"/>
        <w:spacing w:before="240"/>
        <w:ind w:left="360"/>
      </w:pPr>
      <w:r>
        <w:t>The Data Collection Instrument also includes non-required fields, many of which are unique to SCSEP, which can assist grantees in t</w:t>
      </w:r>
      <w:r w:rsidR="00684172">
        <w:t>racking services</w:t>
      </w:r>
      <w:r w:rsidR="00934192">
        <w:t xml:space="preserve"> and other case management relat</w:t>
      </w:r>
      <w:r w:rsidR="61C997E0">
        <w:t>ed</w:t>
      </w:r>
      <w:r w:rsidR="00934192">
        <w:t xml:space="preserve"> actions. </w:t>
      </w:r>
    </w:p>
    <w:p w:rsidR="0058758D" w:rsidP="0081249E" w14:paraId="214621CD" w14:textId="77777777">
      <w:pPr>
        <w:pStyle w:val="ListParagraph"/>
        <w:spacing w:before="240"/>
        <w:ind w:left="360"/>
        <w:rPr>
          <w:szCs w:val="24"/>
        </w:rPr>
      </w:pPr>
    </w:p>
    <w:p w:rsidR="0075639A" w:rsidP="0081249E" w14:paraId="07686110" w14:textId="20F151DF">
      <w:pPr>
        <w:pStyle w:val="ListParagraph"/>
        <w:spacing w:before="240"/>
        <w:ind w:left="360"/>
      </w:pPr>
      <w:r>
        <w:t>Additionally, t</w:t>
      </w:r>
      <w:r w:rsidR="007213EB">
        <w:t xml:space="preserve">he Data Collection </w:t>
      </w:r>
      <w:r w:rsidR="00422BAA">
        <w:t>Instrument</w:t>
      </w:r>
      <w:r w:rsidR="007213EB">
        <w:t xml:space="preserve"> </w:t>
      </w:r>
      <w:r w:rsidR="00BC7230">
        <w:t xml:space="preserve">includes data elements </w:t>
      </w:r>
      <w:r w:rsidR="004B2324">
        <w:t xml:space="preserve">related to </w:t>
      </w:r>
      <w:r w:rsidR="00462DCA">
        <w:t xml:space="preserve">the </w:t>
      </w:r>
      <w:r w:rsidRPr="002B0D98" w:rsidR="00462DCA">
        <w:rPr>
          <w:szCs w:val="24"/>
        </w:rPr>
        <w:t>Sector-Based Training for Older Workers</w:t>
      </w:r>
      <w:r w:rsidR="005F01CD">
        <w:t xml:space="preserve"> </w:t>
      </w:r>
      <w:r w:rsidR="00AD0BCE">
        <w:t>demonstration project</w:t>
      </w:r>
      <w:r w:rsidR="004144A8">
        <w:t xml:space="preserve"> </w:t>
      </w:r>
      <w:r w:rsidR="00993386">
        <w:t xml:space="preserve">that nine SCSEP grantees were awarded through </w:t>
      </w:r>
      <w:hyperlink r:id="rId8">
        <w:r w:rsidRPr="3C024A96" w:rsidR="00993386">
          <w:rPr>
            <w:rStyle w:val="Hyperlink"/>
          </w:rPr>
          <w:t>FOA-ETA-24-12</w:t>
        </w:r>
      </w:hyperlink>
      <w:r w:rsidR="005F57D5">
        <w:t>, which includes a randomized control trial evaluation</w:t>
      </w:r>
      <w:r w:rsidR="00CA2F42">
        <w:t xml:space="preserve">. </w:t>
      </w:r>
      <w:r w:rsidR="742765CB">
        <w:t>T</w:t>
      </w:r>
      <w:r w:rsidR="00CA2F42">
        <w:t>he</w:t>
      </w:r>
      <w:r w:rsidR="005F57D5">
        <w:t>se</w:t>
      </w:r>
      <w:r w:rsidR="00CA2F42">
        <w:t xml:space="preserve"> data </w:t>
      </w:r>
      <w:r w:rsidR="005F57D5">
        <w:t>elements</w:t>
      </w:r>
      <w:r w:rsidR="00CA2F42">
        <w:t xml:space="preserve"> will</w:t>
      </w:r>
      <w:r w:rsidR="00CA2F42">
        <w:t xml:space="preserve"> </w:t>
      </w:r>
      <w:r w:rsidR="00CA2F42">
        <w:t xml:space="preserve">collect data on random </w:t>
      </w:r>
      <w:r w:rsidR="00CA2F42">
        <w:t>assignment</w:t>
      </w:r>
      <w:r w:rsidR="00CA2F42">
        <w:t xml:space="preserve"> and the additional sector-based </w:t>
      </w:r>
      <w:r w:rsidR="00ED50FE">
        <w:t xml:space="preserve">services included in the program design. </w:t>
      </w:r>
      <w:r w:rsidR="00D361A4">
        <w:t>While</w:t>
      </w:r>
      <w:r w:rsidR="00D361A4">
        <w:t xml:space="preserve"> </w:t>
      </w:r>
      <w:r w:rsidR="005657DA">
        <w:t xml:space="preserve">OMB Control Number </w:t>
      </w:r>
      <w:r w:rsidR="00D361A4">
        <w:t xml:space="preserve">1290-0048 authorizes the research team’s data collection activities (including informed consent forms and baseline information), this ICR authorizes ETA’s operational data collection on randomly assigned participants to track outcomes. </w:t>
      </w:r>
      <w:r w:rsidR="00D411FD">
        <w:t xml:space="preserve"> </w:t>
      </w:r>
    </w:p>
    <w:p w:rsidR="0081249E" w:rsidRPr="0081249E" w:rsidP="0081249E" w14:paraId="5688EA83" w14:textId="77777777">
      <w:pPr>
        <w:pStyle w:val="ListParagraph"/>
        <w:spacing w:before="240"/>
        <w:ind w:left="360"/>
        <w:rPr>
          <w:szCs w:val="24"/>
        </w:rPr>
      </w:pPr>
    </w:p>
    <w:p w:rsidR="00E204A0" w:rsidRPr="00E204A0" w:rsidP="00A743F6" w14:paraId="2417ADD2" w14:textId="53E96EB7">
      <w:pPr>
        <w:pStyle w:val="ListParagraph"/>
        <w:spacing w:before="240"/>
        <w:ind w:left="360"/>
        <w:rPr>
          <w:b/>
          <w:bCs/>
          <w:szCs w:val="24"/>
        </w:rPr>
      </w:pPr>
      <w:r w:rsidRPr="00E204A0">
        <w:rPr>
          <w:b/>
          <w:bCs/>
          <w:szCs w:val="24"/>
        </w:rPr>
        <w:t>ETA-9124 Series: Customer Satisfaction Surveys</w:t>
      </w:r>
    </w:p>
    <w:p w:rsidR="00E204A0" w:rsidP="00A743F6" w14:paraId="3D8D881C" w14:textId="77777777">
      <w:pPr>
        <w:pStyle w:val="ListParagraph"/>
        <w:spacing w:before="240"/>
        <w:ind w:left="360"/>
        <w:rPr>
          <w:szCs w:val="24"/>
        </w:rPr>
      </w:pPr>
    </w:p>
    <w:p w:rsidR="004219E4" w:rsidP="00A743F6" w14:paraId="1D706DEF" w14:textId="38723D7F">
      <w:pPr>
        <w:pStyle w:val="ListParagraph"/>
        <w:spacing w:before="240"/>
        <w:ind w:left="360"/>
        <w:rPr>
          <w:szCs w:val="24"/>
        </w:rPr>
      </w:pPr>
      <w:r w:rsidRPr="005A02F8">
        <w:rPr>
          <w:szCs w:val="24"/>
        </w:rPr>
        <w:t>One of the seven core performance measures that the OAA requires the Department to report on is “</w:t>
      </w:r>
      <w:r w:rsidR="007D1669">
        <w:rPr>
          <w:szCs w:val="24"/>
        </w:rPr>
        <w:t>i</w:t>
      </w:r>
      <w:r w:rsidRPr="005A02F8">
        <w:rPr>
          <w:szCs w:val="24"/>
        </w:rPr>
        <w:t xml:space="preserve">ndicators of effectiveness in serving employers, host agencies, and participants.” </w:t>
      </w:r>
      <w:r w:rsidR="00E204A0">
        <w:rPr>
          <w:szCs w:val="24"/>
        </w:rPr>
        <w:t xml:space="preserve">In </w:t>
      </w:r>
      <w:r w:rsidR="001F2795">
        <w:rPr>
          <w:szCs w:val="24"/>
        </w:rPr>
        <w:t xml:space="preserve">20 </w:t>
      </w:r>
      <w:r w:rsidR="00E204A0">
        <w:rPr>
          <w:szCs w:val="24"/>
        </w:rPr>
        <w:t>C</w:t>
      </w:r>
      <w:r w:rsidR="007D1669">
        <w:rPr>
          <w:szCs w:val="24"/>
        </w:rPr>
        <w:t>F</w:t>
      </w:r>
      <w:r w:rsidR="00E204A0">
        <w:rPr>
          <w:szCs w:val="24"/>
        </w:rPr>
        <w:t xml:space="preserve">R 641.710, this measure is further defined as “the combined </w:t>
      </w:r>
      <w:r w:rsidRPr="004219E4">
        <w:rPr>
          <w:szCs w:val="24"/>
        </w:rPr>
        <w:t>results of customer assessments of the services received by each of these three customer groups." As stated in the SCSEP 2018 Final Rule, ETA uses customer satisfaction surveys to report the American Customer Satisfaction Index (ACSI) score to meet this statutory requirement.</w:t>
      </w:r>
      <w:r>
        <w:rPr>
          <w:szCs w:val="24"/>
        </w:rPr>
        <w:t xml:space="preserve"> </w:t>
      </w:r>
    </w:p>
    <w:p w:rsidR="004219E4" w:rsidP="00A743F6" w14:paraId="2273291A" w14:textId="77777777">
      <w:pPr>
        <w:pStyle w:val="ListParagraph"/>
        <w:spacing w:before="240"/>
        <w:ind w:left="360"/>
        <w:rPr>
          <w:szCs w:val="24"/>
        </w:rPr>
      </w:pPr>
    </w:p>
    <w:p w:rsidR="003A35F3" w:rsidP="00A743F6" w14:paraId="50E18DE1" w14:textId="7D362D42">
      <w:pPr>
        <w:pStyle w:val="ListParagraph"/>
        <w:spacing w:before="240"/>
        <w:ind w:left="360"/>
        <w:rPr>
          <w:szCs w:val="24"/>
        </w:rPr>
      </w:pPr>
      <w:r>
        <w:rPr>
          <w:szCs w:val="24"/>
        </w:rPr>
        <w:t xml:space="preserve">This ICR seeks to renew the </w:t>
      </w:r>
      <w:r>
        <w:rPr>
          <w:szCs w:val="24"/>
        </w:rPr>
        <w:t xml:space="preserve">four survey </w:t>
      </w:r>
      <w:r>
        <w:rPr>
          <w:szCs w:val="24"/>
        </w:rPr>
        <w:t xml:space="preserve">forms </w:t>
      </w:r>
      <w:r>
        <w:rPr>
          <w:szCs w:val="24"/>
        </w:rPr>
        <w:t xml:space="preserve">(ETA-9124 series) </w:t>
      </w:r>
      <w:r>
        <w:rPr>
          <w:szCs w:val="24"/>
        </w:rPr>
        <w:t xml:space="preserve">with no </w:t>
      </w:r>
      <w:r>
        <w:rPr>
          <w:szCs w:val="24"/>
        </w:rPr>
        <w:t>revisions.</w:t>
      </w:r>
    </w:p>
    <w:p w:rsidR="00804CE4" w:rsidP="00A743F6" w14:paraId="0B0B8B8E" w14:textId="05503398">
      <w:pPr>
        <w:pStyle w:val="ListParagraph"/>
        <w:spacing w:before="240"/>
        <w:ind w:left="360"/>
        <w:rPr>
          <w:szCs w:val="24"/>
        </w:rPr>
      </w:pPr>
      <w:r>
        <w:rPr>
          <w:szCs w:val="24"/>
        </w:rPr>
        <w:t xml:space="preserve">Data from GPMS is used to pull samples of the three customer groups </w:t>
      </w:r>
      <w:r w:rsidR="009B2A71">
        <w:rPr>
          <w:szCs w:val="24"/>
        </w:rPr>
        <w:t>(</w:t>
      </w:r>
      <w:r w:rsidR="009F4DD9">
        <w:rPr>
          <w:szCs w:val="24"/>
        </w:rPr>
        <w:t>participants</w:t>
      </w:r>
      <w:r>
        <w:rPr>
          <w:szCs w:val="24"/>
        </w:rPr>
        <w:t>, host agencies, and employers</w:t>
      </w:r>
      <w:r w:rsidR="009B2A71">
        <w:rPr>
          <w:szCs w:val="24"/>
        </w:rPr>
        <w:t>)</w:t>
      </w:r>
      <w:r w:rsidR="004A490C">
        <w:rPr>
          <w:szCs w:val="24"/>
        </w:rPr>
        <w:t>,</w:t>
      </w:r>
      <w:r>
        <w:rPr>
          <w:szCs w:val="24"/>
        </w:rPr>
        <w:t xml:space="preserve"> </w:t>
      </w:r>
      <w:r w:rsidR="00B033C2">
        <w:rPr>
          <w:szCs w:val="24"/>
        </w:rPr>
        <w:t xml:space="preserve">including </w:t>
      </w:r>
      <w:r w:rsidR="008F1B46">
        <w:rPr>
          <w:szCs w:val="24"/>
        </w:rPr>
        <w:t>their email addresses</w:t>
      </w:r>
      <w:r w:rsidR="009B2A71">
        <w:rPr>
          <w:szCs w:val="24"/>
        </w:rPr>
        <w:t>,</w:t>
      </w:r>
      <w:r w:rsidR="008F1B46">
        <w:rPr>
          <w:szCs w:val="24"/>
        </w:rPr>
        <w:t xml:space="preserve"> to send the surveys to the id</w:t>
      </w:r>
      <w:r w:rsidR="00B033C2">
        <w:rPr>
          <w:szCs w:val="24"/>
        </w:rPr>
        <w:t xml:space="preserve">entified </w:t>
      </w:r>
      <w:r w:rsidR="002D2B95">
        <w:rPr>
          <w:szCs w:val="24"/>
        </w:rPr>
        <w:t>individuals</w:t>
      </w:r>
      <w:r w:rsidR="00B033C2">
        <w:rPr>
          <w:szCs w:val="24"/>
        </w:rPr>
        <w:t xml:space="preserve">. </w:t>
      </w:r>
    </w:p>
    <w:p w:rsidR="008F1B46" w:rsidP="00A743F6" w14:paraId="3B2B7660" w14:textId="77777777">
      <w:pPr>
        <w:pStyle w:val="ListParagraph"/>
        <w:spacing w:before="240"/>
        <w:ind w:left="360"/>
        <w:rPr>
          <w:szCs w:val="24"/>
        </w:rPr>
      </w:pPr>
    </w:p>
    <w:p w:rsidR="008F1B46" w:rsidRPr="008354A1" w:rsidP="00A743F6" w14:paraId="12A60201" w14:textId="1C8681DE">
      <w:pPr>
        <w:pStyle w:val="ListParagraph"/>
        <w:spacing w:before="240"/>
        <w:ind w:left="360"/>
        <w:rPr>
          <w:b/>
          <w:bCs/>
          <w:szCs w:val="24"/>
        </w:rPr>
      </w:pPr>
      <w:r w:rsidRPr="008354A1">
        <w:rPr>
          <w:b/>
          <w:bCs/>
          <w:szCs w:val="24"/>
        </w:rPr>
        <w:t xml:space="preserve">Legal and Administrative Authority </w:t>
      </w:r>
    </w:p>
    <w:p w:rsidR="00A743F6" w:rsidRPr="00A743F6" w:rsidP="00A743F6" w14:paraId="189784AC" w14:textId="77777777">
      <w:pPr>
        <w:pStyle w:val="ListParagraph"/>
        <w:spacing w:before="240"/>
        <w:ind w:left="360"/>
        <w:rPr>
          <w:szCs w:val="24"/>
        </w:rPr>
      </w:pPr>
    </w:p>
    <w:p w:rsidR="00804CE4" w:rsidP="009458A6" w14:paraId="69AE9A18" w14:textId="4485CBDF">
      <w:pPr>
        <w:pStyle w:val="ListParagraph"/>
        <w:spacing w:before="240"/>
        <w:ind w:left="360"/>
        <w:rPr>
          <w:szCs w:val="24"/>
        </w:rPr>
      </w:pPr>
      <w:r w:rsidRPr="00804CE4">
        <w:rPr>
          <w:szCs w:val="24"/>
        </w:rPr>
        <w:t xml:space="preserve">ETA’s </w:t>
      </w:r>
      <w:r w:rsidR="008354A1">
        <w:rPr>
          <w:szCs w:val="24"/>
        </w:rPr>
        <w:t xml:space="preserve">authority to collect this information derives from the following </w:t>
      </w:r>
      <w:r w:rsidRPr="00804CE4">
        <w:rPr>
          <w:szCs w:val="24"/>
        </w:rPr>
        <w:t xml:space="preserve">statutory and regulatory </w:t>
      </w:r>
      <w:r w:rsidR="008354A1">
        <w:rPr>
          <w:szCs w:val="24"/>
        </w:rPr>
        <w:t xml:space="preserve">provisions: </w:t>
      </w:r>
    </w:p>
    <w:p w:rsidR="00E158F7" w:rsidP="009458A6" w14:paraId="7A43A56C" w14:textId="77777777">
      <w:pPr>
        <w:pStyle w:val="ListParagraph"/>
        <w:spacing w:before="240"/>
        <w:ind w:left="360"/>
        <w:rPr>
          <w:szCs w:val="24"/>
        </w:rPr>
      </w:pPr>
    </w:p>
    <w:p w:rsidR="002B371E" w:rsidRPr="002B371E" w:rsidP="002B371E" w14:paraId="5057877E" w14:textId="35A669BB">
      <w:pPr>
        <w:pStyle w:val="ListParagraph"/>
        <w:numPr>
          <w:ilvl w:val="0"/>
          <w:numId w:val="9"/>
        </w:numPr>
        <w:spacing w:before="240"/>
        <w:rPr>
          <w:i/>
          <w:iCs/>
          <w:szCs w:val="24"/>
        </w:rPr>
      </w:pPr>
      <w:r w:rsidRPr="002B371E">
        <w:rPr>
          <w:i/>
          <w:iCs/>
          <w:szCs w:val="24"/>
        </w:rPr>
        <w:t>OAA sec. 503(f)</w:t>
      </w:r>
      <w:r w:rsidR="00351B20">
        <w:rPr>
          <w:i/>
          <w:iCs/>
          <w:szCs w:val="24"/>
        </w:rPr>
        <w:t xml:space="preserve"> </w:t>
      </w:r>
    </w:p>
    <w:p w:rsidR="002B371E" w:rsidP="002B371E" w14:paraId="48F5DF57" w14:textId="24EAA029">
      <w:pPr>
        <w:pStyle w:val="Default"/>
        <w:ind w:left="360"/>
        <w:rPr>
          <w:sz w:val="23"/>
          <w:szCs w:val="23"/>
        </w:rPr>
      </w:pPr>
      <w:r>
        <w:rPr>
          <w:sz w:val="23"/>
          <w:szCs w:val="23"/>
        </w:rPr>
        <w:t>This section b</w:t>
      </w:r>
      <w:r>
        <w:rPr>
          <w:sz w:val="23"/>
          <w:szCs w:val="23"/>
        </w:rPr>
        <w:t xml:space="preserve">roadly addresses reports, recordkeeping, and evaluation across programs authorized under title V of the OAA. Under the provisions of section 503(f): </w:t>
      </w:r>
    </w:p>
    <w:p w:rsidR="002B371E" w:rsidP="002B371E" w14:paraId="1B85DC08" w14:textId="77777777">
      <w:pPr>
        <w:pStyle w:val="Default"/>
        <w:numPr>
          <w:ilvl w:val="0"/>
          <w:numId w:val="10"/>
        </w:numPr>
        <w:rPr>
          <w:sz w:val="23"/>
          <w:szCs w:val="23"/>
        </w:rPr>
      </w:pPr>
      <w:r>
        <w:rPr>
          <w:sz w:val="23"/>
          <w:szCs w:val="23"/>
        </w:rPr>
        <w:t xml:space="preserve">Grantees must prepare and submit a report in such manner and </w:t>
      </w:r>
      <w:r>
        <w:rPr>
          <w:sz w:val="23"/>
          <w:szCs w:val="23"/>
        </w:rPr>
        <w:t>containing</w:t>
      </w:r>
      <w:r>
        <w:rPr>
          <w:sz w:val="23"/>
          <w:szCs w:val="23"/>
        </w:rPr>
        <w:t xml:space="preserve"> such information as the Secretary may require regarding activities carried out under Title </w:t>
      </w:r>
      <w:r>
        <w:rPr>
          <w:sz w:val="23"/>
          <w:szCs w:val="23"/>
        </w:rPr>
        <w:t>V;</w:t>
      </w:r>
      <w:r>
        <w:rPr>
          <w:sz w:val="23"/>
          <w:szCs w:val="23"/>
        </w:rPr>
        <w:t xml:space="preserve"> </w:t>
      </w:r>
    </w:p>
    <w:p w:rsidR="002B371E" w:rsidP="002B371E" w14:paraId="7956E70F" w14:textId="4F26FED6">
      <w:pPr>
        <w:pStyle w:val="Default"/>
        <w:numPr>
          <w:ilvl w:val="0"/>
          <w:numId w:val="10"/>
        </w:numPr>
        <w:rPr>
          <w:sz w:val="23"/>
          <w:szCs w:val="23"/>
        </w:rPr>
      </w:pPr>
      <w:r>
        <w:rPr>
          <w:sz w:val="23"/>
          <w:szCs w:val="23"/>
        </w:rPr>
        <w:t xml:space="preserve">Grantees must keep records that: </w:t>
      </w:r>
    </w:p>
    <w:p w:rsidR="002B371E" w:rsidP="002B371E" w14:paraId="15EB2795" w14:textId="110112CD">
      <w:pPr>
        <w:pStyle w:val="Default"/>
        <w:ind w:left="1440"/>
        <w:rPr>
          <w:sz w:val="23"/>
          <w:szCs w:val="23"/>
        </w:rPr>
      </w:pPr>
      <w:r>
        <w:rPr>
          <w:sz w:val="23"/>
          <w:szCs w:val="23"/>
        </w:rPr>
        <w:t xml:space="preserve">(A) </w:t>
      </w:r>
      <w:r w:rsidR="003F0A21">
        <w:rPr>
          <w:sz w:val="23"/>
          <w:szCs w:val="23"/>
        </w:rPr>
        <w:t xml:space="preserve">are </w:t>
      </w:r>
      <w:r>
        <w:rPr>
          <w:sz w:val="23"/>
          <w:szCs w:val="23"/>
        </w:rPr>
        <w:t xml:space="preserve">sufficient records to permit the preparation of reports required by Title </w:t>
      </w:r>
      <w:r>
        <w:rPr>
          <w:sz w:val="23"/>
          <w:szCs w:val="23"/>
        </w:rPr>
        <w:t>V;</w:t>
      </w:r>
      <w:r>
        <w:rPr>
          <w:sz w:val="23"/>
          <w:szCs w:val="23"/>
        </w:rPr>
        <w:t xml:space="preserve"> </w:t>
      </w:r>
    </w:p>
    <w:p w:rsidR="002B371E" w:rsidP="002B371E" w14:paraId="795A3FCA" w14:textId="035A1684">
      <w:pPr>
        <w:pStyle w:val="Default"/>
        <w:ind w:left="1440"/>
        <w:rPr>
          <w:sz w:val="23"/>
          <w:szCs w:val="23"/>
        </w:rPr>
      </w:pPr>
      <w:r>
        <w:rPr>
          <w:sz w:val="23"/>
          <w:szCs w:val="23"/>
        </w:rPr>
        <w:t xml:space="preserve">(B) </w:t>
      </w:r>
      <w:r w:rsidR="003F0A21">
        <w:rPr>
          <w:sz w:val="23"/>
          <w:szCs w:val="23"/>
        </w:rPr>
        <w:t xml:space="preserve">are </w:t>
      </w:r>
      <w:r>
        <w:rPr>
          <w:sz w:val="23"/>
          <w:szCs w:val="23"/>
        </w:rPr>
        <w:t xml:space="preserve">sufficient to permit the tracing of funds to a level of expenditure adequate to ensure that the funds have not been spent unlawfully; and </w:t>
      </w:r>
    </w:p>
    <w:p w:rsidR="002B371E" w:rsidP="002B371E" w14:paraId="164E1F39" w14:textId="77777777">
      <w:pPr>
        <w:pStyle w:val="Default"/>
        <w:ind w:left="1440"/>
        <w:rPr>
          <w:sz w:val="23"/>
          <w:szCs w:val="23"/>
        </w:rPr>
      </w:pPr>
      <w:r>
        <w:rPr>
          <w:sz w:val="23"/>
          <w:szCs w:val="23"/>
        </w:rPr>
        <w:t xml:space="preserve">(C) </w:t>
      </w:r>
      <w:r>
        <w:rPr>
          <w:sz w:val="23"/>
          <w:szCs w:val="23"/>
        </w:rPr>
        <w:t>contain</w:t>
      </w:r>
      <w:r>
        <w:rPr>
          <w:sz w:val="23"/>
          <w:szCs w:val="23"/>
        </w:rPr>
        <w:t xml:space="preserve"> any other information that the Secretary determines to be appropriate. </w:t>
      </w:r>
    </w:p>
    <w:p w:rsidR="002B371E" w:rsidP="002B371E" w14:paraId="4E10847B" w14:textId="77777777">
      <w:pPr>
        <w:pStyle w:val="Default"/>
        <w:rPr>
          <w:sz w:val="23"/>
          <w:szCs w:val="23"/>
        </w:rPr>
      </w:pPr>
    </w:p>
    <w:p w:rsidR="002B371E" w:rsidRPr="005B4672" w:rsidP="002B371E" w14:paraId="6AB7340E" w14:textId="0D9E2A92">
      <w:pPr>
        <w:pStyle w:val="Default"/>
        <w:ind w:left="360"/>
        <w:rPr>
          <w:sz w:val="23"/>
          <w:szCs w:val="23"/>
        </w:rPr>
      </w:pPr>
      <w:r>
        <w:rPr>
          <w:sz w:val="23"/>
          <w:szCs w:val="23"/>
        </w:rPr>
        <w:t xml:space="preserve">In </w:t>
      </w:r>
      <w:r w:rsidR="0011431A">
        <w:rPr>
          <w:sz w:val="23"/>
          <w:szCs w:val="23"/>
        </w:rPr>
        <w:t xml:space="preserve">20 </w:t>
      </w:r>
      <w:r>
        <w:rPr>
          <w:sz w:val="23"/>
          <w:szCs w:val="23"/>
        </w:rPr>
        <w:t>CFR 641.879</w:t>
      </w:r>
      <w:r w:rsidR="00B67003">
        <w:rPr>
          <w:sz w:val="23"/>
          <w:szCs w:val="23"/>
        </w:rPr>
        <w:t>,</w:t>
      </w:r>
      <w:r>
        <w:rPr>
          <w:sz w:val="23"/>
          <w:szCs w:val="23"/>
        </w:rPr>
        <w:t xml:space="preserve"> financial and performance reporting requirements for recipients are further discussed, elaborating on OAA </w:t>
      </w:r>
      <w:r w:rsidR="00074F16">
        <w:rPr>
          <w:sz w:val="23"/>
          <w:szCs w:val="23"/>
        </w:rPr>
        <w:t>s</w:t>
      </w:r>
      <w:r>
        <w:rPr>
          <w:sz w:val="23"/>
          <w:szCs w:val="23"/>
        </w:rPr>
        <w:t>ec. 503(f). Under 641.879(b), “SCSEP recipients must submit updated data on participants (including data on demographic characteristics and data regarding the performance measures), host agencies, and employers in an electronic format specified by the Department via the internet</w:t>
      </w:r>
      <w:r w:rsidR="005D6D5D">
        <w:rPr>
          <w:sz w:val="23"/>
          <w:szCs w:val="23"/>
        </w:rPr>
        <w:t>.</w:t>
      </w:r>
      <w:r>
        <w:rPr>
          <w:sz w:val="23"/>
          <w:szCs w:val="23"/>
        </w:rPr>
        <w:t>”</w:t>
      </w:r>
    </w:p>
    <w:p w:rsidR="00ED74A4" w:rsidRPr="0089291F" w:rsidP="00ED74A4" w14:paraId="5FDB74D8" w14:textId="737EB5BA">
      <w:pPr>
        <w:pStyle w:val="ListParagraph"/>
        <w:numPr>
          <w:ilvl w:val="0"/>
          <w:numId w:val="9"/>
        </w:numPr>
        <w:spacing w:before="240"/>
        <w:rPr>
          <w:i/>
          <w:iCs/>
          <w:szCs w:val="24"/>
        </w:rPr>
      </w:pPr>
      <w:r w:rsidRPr="0089291F">
        <w:rPr>
          <w:i/>
          <w:iCs/>
          <w:szCs w:val="24"/>
        </w:rPr>
        <w:t>OAA Sec. 513</w:t>
      </w:r>
    </w:p>
    <w:p w:rsidR="00E56982" w:rsidP="00E56982" w14:paraId="4DD3B327" w14:textId="677E6EB1">
      <w:pPr>
        <w:pStyle w:val="Default"/>
        <w:ind w:left="360"/>
        <w:rPr>
          <w:sz w:val="23"/>
          <w:szCs w:val="23"/>
        </w:rPr>
      </w:pPr>
      <w:r>
        <w:rPr>
          <w:sz w:val="23"/>
          <w:szCs w:val="23"/>
        </w:rPr>
        <w:t>This section e</w:t>
      </w:r>
      <w:r w:rsidRPr="00E56982">
        <w:rPr>
          <w:sz w:val="23"/>
          <w:szCs w:val="23"/>
        </w:rPr>
        <w:t xml:space="preserve">stablishes the performance and accountability requirements for SCSEP. The purpose of </w:t>
      </w:r>
      <w:r>
        <w:rPr>
          <w:sz w:val="23"/>
          <w:szCs w:val="23"/>
        </w:rPr>
        <w:t>sec. 513 is to establish</w:t>
      </w:r>
      <w:r w:rsidR="003C6969">
        <w:rPr>
          <w:sz w:val="23"/>
          <w:szCs w:val="23"/>
        </w:rPr>
        <w:t xml:space="preserve"> and implement</w:t>
      </w:r>
      <w:r w:rsidR="00B47EC0">
        <w:rPr>
          <w:sz w:val="23"/>
          <w:szCs w:val="23"/>
        </w:rPr>
        <w:t>, after consultation</w:t>
      </w:r>
      <w:r w:rsidR="00126B41">
        <w:rPr>
          <w:sz w:val="23"/>
          <w:szCs w:val="23"/>
        </w:rPr>
        <w:t xml:space="preserve"> with</w:t>
      </w:r>
      <w:r>
        <w:rPr>
          <w:sz w:val="23"/>
          <w:szCs w:val="23"/>
        </w:rPr>
        <w:t xml:space="preserve"> grantees, sub-grantees, and host agencies under this title, States, older individuals, area agencies on aging, and other organizations serving older individuals, core measures of performance for each grantee for projects and services carried out under this title. (sec. 513(a)). </w:t>
      </w:r>
    </w:p>
    <w:p w:rsidR="00163271" w:rsidP="00163271" w14:paraId="3EA1A2B0" w14:textId="77777777">
      <w:pPr>
        <w:pStyle w:val="Default"/>
        <w:rPr>
          <w:sz w:val="23"/>
          <w:szCs w:val="23"/>
        </w:rPr>
      </w:pPr>
    </w:p>
    <w:p w:rsidR="00E56982" w:rsidRPr="00C26336" w:rsidP="00163271" w14:paraId="4D8CB87B" w14:textId="56F85DC9">
      <w:pPr>
        <w:pStyle w:val="Default"/>
        <w:ind w:left="360"/>
      </w:pPr>
      <w:r w:rsidRPr="00C26336">
        <w:t xml:space="preserve">Further, sec. 513 outlines the minimum requirements for the SCSEP performance reports that grantees must submit to the Department of Labor. The reports must include: </w:t>
      </w:r>
    </w:p>
    <w:p w:rsidR="00E56982" w:rsidRPr="00C26336" w:rsidP="00F348C5" w14:paraId="2C796436" w14:textId="408392F5">
      <w:pPr>
        <w:pStyle w:val="Default"/>
        <w:numPr>
          <w:ilvl w:val="0"/>
          <w:numId w:val="11"/>
        </w:numPr>
      </w:pPr>
      <w:r w:rsidRPr="00C26336">
        <w:t>Information</w:t>
      </w:r>
      <w:r w:rsidRPr="00C26336">
        <w:t xml:space="preserve"> </w:t>
      </w:r>
      <w:r w:rsidR="00FC4A3F">
        <w:t>on</w:t>
      </w:r>
      <w:r w:rsidRPr="00C26336" w:rsidR="00FC4A3F">
        <w:t xml:space="preserve"> </w:t>
      </w:r>
      <w:r w:rsidRPr="00C26336">
        <w:t xml:space="preserve">the levels of performance achieved with respect to the following primary core indicators of performance specified in sec. 513(b)(1) and the expected levels of performance applicable to each core indicator of performance: </w:t>
      </w:r>
    </w:p>
    <w:p w:rsidR="00E56982" w:rsidRPr="00C26336" w:rsidP="003A4C16" w14:paraId="48063738" w14:textId="77777777">
      <w:pPr>
        <w:pStyle w:val="Default"/>
        <w:ind w:left="1440"/>
      </w:pPr>
      <w:r w:rsidRPr="00C26336">
        <w:t xml:space="preserve">(A) hours (in the aggregate) of community service </w:t>
      </w:r>
      <w:r w:rsidRPr="00C26336">
        <w:t>employment;</w:t>
      </w:r>
      <w:r w:rsidRPr="00C26336">
        <w:t xml:space="preserve"> </w:t>
      </w:r>
    </w:p>
    <w:p w:rsidR="00E56982" w:rsidRPr="00C26336" w:rsidP="003A4C16" w14:paraId="318143C0" w14:textId="77777777">
      <w:pPr>
        <w:pStyle w:val="Default"/>
        <w:ind w:left="1440"/>
      </w:pPr>
      <w:r w:rsidRPr="00C26336">
        <w:t xml:space="preserve">(B) the percentage of project participants who </w:t>
      </w:r>
      <w:r w:rsidRPr="00C26336">
        <w:t>are in</w:t>
      </w:r>
      <w:r w:rsidRPr="00C26336">
        <w:t xml:space="preserve"> unsubsidized employment during the second quarter after </w:t>
      </w:r>
      <w:r w:rsidRPr="00C26336">
        <w:t>exit</w:t>
      </w:r>
      <w:r w:rsidRPr="00C26336">
        <w:t xml:space="preserve"> from the </w:t>
      </w:r>
      <w:r w:rsidRPr="00C26336">
        <w:t>project;</w:t>
      </w:r>
      <w:r w:rsidRPr="00C26336">
        <w:t xml:space="preserve"> </w:t>
      </w:r>
    </w:p>
    <w:p w:rsidR="00E56982" w:rsidRPr="00C26336" w:rsidP="003A4C16" w14:paraId="4710DF83" w14:textId="77777777">
      <w:pPr>
        <w:pStyle w:val="Default"/>
        <w:ind w:left="1440"/>
      </w:pPr>
      <w:r w:rsidRPr="00C26336">
        <w:t xml:space="preserve">(C) the percentage of project participants who are in unsubsidized employment during the fourth quarter after </w:t>
      </w:r>
      <w:r w:rsidRPr="00C26336">
        <w:t>exit</w:t>
      </w:r>
      <w:r w:rsidRPr="00C26336">
        <w:t xml:space="preserve"> from the </w:t>
      </w:r>
      <w:r w:rsidRPr="00C26336">
        <w:t>project;</w:t>
      </w:r>
      <w:r w:rsidRPr="00C26336">
        <w:t xml:space="preserve"> </w:t>
      </w:r>
    </w:p>
    <w:p w:rsidR="00E56982" w:rsidRPr="00C26336" w:rsidP="003A4C16" w14:paraId="6D5B785B" w14:textId="77777777">
      <w:pPr>
        <w:pStyle w:val="Default"/>
        <w:ind w:left="1440"/>
      </w:pPr>
      <w:r w:rsidRPr="00C26336">
        <w:t xml:space="preserve">(D) the median earnings of project participants who are in unsubsidized employment during the second quarter after exit from the </w:t>
      </w:r>
      <w:r w:rsidRPr="00C26336">
        <w:t>project;</w:t>
      </w:r>
      <w:r w:rsidRPr="00C26336">
        <w:t xml:space="preserve"> </w:t>
      </w:r>
    </w:p>
    <w:p w:rsidR="00163271" w:rsidRPr="00C26336" w:rsidP="003A4C16" w14:paraId="66B41155" w14:textId="77777777">
      <w:pPr>
        <w:pStyle w:val="Default"/>
        <w:ind w:left="1440"/>
      </w:pPr>
      <w:r w:rsidRPr="00C26336">
        <w:t xml:space="preserve">(E) indicators of effectiveness in serving employers, host agencies, and project participants; and </w:t>
      </w:r>
    </w:p>
    <w:p w:rsidR="00E56982" w:rsidRPr="00C26336" w:rsidP="003A4C16" w14:paraId="78535332" w14:textId="424EDE54">
      <w:pPr>
        <w:pStyle w:val="Default"/>
        <w:ind w:left="1440"/>
      </w:pPr>
      <w:r w:rsidRPr="00C26336">
        <w:t>(F) the number of eligible individuals served, including the number of participating individuals described in subsection (a)(3)(B)(ii) or (b)(2) of section 518.</w:t>
      </w:r>
    </w:p>
    <w:p w:rsidR="009458A6" w:rsidP="002D2C78" w14:paraId="17C6A18F" w14:textId="763B2150">
      <w:pPr>
        <w:pStyle w:val="ListParagraph"/>
        <w:spacing w:before="240"/>
        <w:ind w:left="360"/>
        <w:rPr>
          <w:szCs w:val="24"/>
        </w:rPr>
      </w:pPr>
      <w:r w:rsidRPr="0082506E">
        <w:rPr>
          <w:szCs w:val="24"/>
        </w:rPr>
        <w:t>The 2016 amendments to the Older Americans Act (OAA 2016) required SCSEP to align its performance indicators with WIOA core measures. The Department issued updated regulations that align with the new statutory measures in an Interim Final Rule issued on December 1, 2017, and a Final Rule issued on June 30, 2018. This rule is codified at 20 CFR Part 641 Subpart G.</w:t>
      </w:r>
    </w:p>
    <w:p w:rsidR="00247533" w:rsidP="002D2C78" w14:paraId="72A3F40D" w14:textId="77777777">
      <w:pPr>
        <w:pStyle w:val="ListParagraph"/>
        <w:spacing w:before="240"/>
        <w:ind w:left="360"/>
        <w:rPr>
          <w:szCs w:val="24"/>
        </w:rPr>
      </w:pPr>
    </w:p>
    <w:p w:rsidR="00247533" w:rsidP="00247533" w14:paraId="0987BF08" w14:textId="77777777">
      <w:pPr>
        <w:pStyle w:val="ListParagraph"/>
        <w:spacing w:before="240"/>
        <w:ind w:left="360"/>
        <w:rPr>
          <w:szCs w:val="24"/>
        </w:rPr>
      </w:pPr>
      <w:r>
        <w:rPr>
          <w:szCs w:val="24"/>
        </w:rPr>
        <w:t xml:space="preserve">The collection of data elements for measures A through D, and F are authorized under the DOL-only Performance Accountability, Information, and Reporting System, OMB Control No. 1205-0521. Data elements connected to performance measure E are outlined in ETA-9191 along with other non-performance data elements required for the case management system. </w:t>
      </w:r>
    </w:p>
    <w:p w:rsidR="00827F7A" w:rsidP="00247533" w14:paraId="64CD8FCC" w14:textId="77777777">
      <w:pPr>
        <w:pStyle w:val="ListParagraph"/>
        <w:spacing w:before="240"/>
        <w:ind w:left="360"/>
        <w:rPr>
          <w:szCs w:val="24"/>
        </w:rPr>
      </w:pPr>
    </w:p>
    <w:p w:rsidR="0053390E" w:rsidRPr="00FF7342" w:rsidP="00A13D58" w14:paraId="4BDDEB4B" w14:textId="5BB48EEC">
      <w:pPr>
        <w:pStyle w:val="ListParagraph"/>
        <w:numPr>
          <w:ilvl w:val="0"/>
          <w:numId w:val="9"/>
        </w:numPr>
        <w:spacing w:before="240"/>
        <w:rPr>
          <w:i/>
          <w:iCs/>
          <w:szCs w:val="24"/>
        </w:rPr>
      </w:pPr>
      <w:r w:rsidRPr="00FF7342">
        <w:rPr>
          <w:i/>
          <w:iCs/>
          <w:szCs w:val="24"/>
        </w:rPr>
        <w:t>OAA sec. 502(</w:t>
      </w:r>
      <w:r w:rsidRPr="00FF7342" w:rsidR="00FF7342">
        <w:rPr>
          <w:i/>
          <w:iCs/>
          <w:szCs w:val="24"/>
        </w:rPr>
        <w:t>e</w:t>
      </w:r>
      <w:r w:rsidRPr="00FF7342">
        <w:rPr>
          <w:i/>
          <w:iCs/>
          <w:szCs w:val="24"/>
        </w:rPr>
        <w:t>)</w:t>
      </w:r>
    </w:p>
    <w:p w:rsidR="00C26336" w:rsidP="00C26336" w14:paraId="414FF36C" w14:textId="77777777">
      <w:pPr>
        <w:pStyle w:val="ListParagraph"/>
        <w:spacing w:before="240"/>
        <w:rPr>
          <w:szCs w:val="24"/>
          <w:u w:val="single"/>
        </w:rPr>
      </w:pPr>
    </w:p>
    <w:p w:rsidR="00302D4B" w:rsidP="00F8176F" w14:paraId="5A282E24" w14:textId="5B5D42AF">
      <w:pPr>
        <w:pStyle w:val="ListParagraph"/>
        <w:spacing w:before="240"/>
        <w:ind w:left="360"/>
        <w:rPr>
          <w:szCs w:val="24"/>
        </w:rPr>
      </w:pPr>
      <w:r>
        <w:rPr>
          <w:szCs w:val="24"/>
        </w:rPr>
        <w:t>This section e</w:t>
      </w:r>
      <w:r w:rsidR="00B24704">
        <w:rPr>
          <w:szCs w:val="24"/>
        </w:rPr>
        <w:t xml:space="preserve">stablishes the authority for </w:t>
      </w:r>
      <w:r w:rsidR="00536E6F">
        <w:rPr>
          <w:szCs w:val="24"/>
        </w:rPr>
        <w:t>t</w:t>
      </w:r>
      <w:r w:rsidR="00B24704">
        <w:rPr>
          <w:szCs w:val="24"/>
        </w:rPr>
        <w:t>he Secretary “to carry out demonstration projects, pilot projects, and evaluation projects</w:t>
      </w:r>
      <w:r w:rsidR="000E4587">
        <w:rPr>
          <w:szCs w:val="24"/>
        </w:rPr>
        <w:t xml:space="preserve">, for the purpose of developing and implementing techniques and approaches, </w:t>
      </w:r>
      <w:r>
        <w:rPr>
          <w:szCs w:val="24"/>
        </w:rPr>
        <w:t xml:space="preserve">and </w:t>
      </w:r>
      <w:r w:rsidRPr="00302D4B">
        <w:rPr>
          <w:szCs w:val="24"/>
        </w:rPr>
        <w:t>demonstrating the effectiveness of the techniques and approaches, in addressing the employment and training needs of eligible individuals.</w:t>
      </w:r>
      <w:r>
        <w:rPr>
          <w:szCs w:val="24"/>
        </w:rPr>
        <w:t>”</w:t>
      </w:r>
    </w:p>
    <w:p w:rsidR="00F8176F" w:rsidRPr="00F8176F" w:rsidP="00F8176F" w14:paraId="1884462C" w14:textId="77777777">
      <w:pPr>
        <w:pStyle w:val="ListParagraph"/>
        <w:spacing w:before="240"/>
        <w:ind w:left="360"/>
        <w:rPr>
          <w:szCs w:val="24"/>
        </w:rPr>
      </w:pPr>
    </w:p>
    <w:p w:rsidR="008A3F51" w:rsidRPr="00A729D2" w:rsidP="002D2C78" w14:paraId="05039ABE" w14:textId="7BB2C30E">
      <w:pPr>
        <w:pStyle w:val="ListParagraph"/>
        <w:numPr>
          <w:ilvl w:val="0"/>
          <w:numId w:val="7"/>
        </w:numPr>
        <w:tabs>
          <w:tab w:val="left" w:pos="360"/>
        </w:tabs>
        <w:spacing w:before="240"/>
        <w:ind w:left="360"/>
        <w:rPr>
          <w:b/>
          <w:bCs/>
          <w:szCs w:val="24"/>
        </w:rPr>
      </w:pPr>
      <w:bookmarkStart w:id="0" w:name="_Hlk221611694"/>
      <w:r w:rsidRPr="00A729D2">
        <w:rPr>
          <w:b/>
          <w:bCs/>
          <w:szCs w:val="24"/>
        </w:rPr>
        <w:t>Indicate how, by whom, and for what purpose the information is to be used.  Except for a new collection, indicate the actual use the agency has made of the information received from the current collection.</w:t>
      </w:r>
      <w:bookmarkEnd w:id="0"/>
    </w:p>
    <w:p w:rsidR="00D520A8" w:rsidRPr="00D520A8" w:rsidP="00AF1AD2" w14:paraId="19E58DA6" w14:textId="6B12EA5B">
      <w:pPr>
        <w:tabs>
          <w:tab w:val="left" w:pos="360"/>
        </w:tabs>
        <w:ind w:left="360"/>
        <w:rPr>
          <w:szCs w:val="24"/>
        </w:rPr>
      </w:pPr>
      <w:r w:rsidRPr="00D520A8">
        <w:rPr>
          <w:szCs w:val="24"/>
        </w:rPr>
        <w:t xml:space="preserve">The information collected through this ICR is used by </w:t>
      </w:r>
      <w:r>
        <w:rPr>
          <w:szCs w:val="24"/>
        </w:rPr>
        <w:t>SCSEP grantees, ETA</w:t>
      </w:r>
      <w:r w:rsidRPr="00D520A8">
        <w:rPr>
          <w:szCs w:val="24"/>
        </w:rPr>
        <w:t xml:space="preserve">, and other stakeholders to fulfill statutory reporting requirements, monitor program performance, support effective program management, and ensure accountability in serving low-income older workers. </w:t>
      </w:r>
    </w:p>
    <w:p w:rsidR="002B0D98" w:rsidP="002B0D98" w14:paraId="3E7081F8" w14:textId="28144851">
      <w:pPr>
        <w:tabs>
          <w:tab w:val="left" w:pos="360"/>
        </w:tabs>
        <w:ind w:left="360"/>
        <w:rPr>
          <w:szCs w:val="24"/>
        </w:rPr>
      </w:pPr>
      <w:r w:rsidRPr="00B62B20">
        <w:rPr>
          <w:szCs w:val="24"/>
        </w:rPr>
        <w:t xml:space="preserve">SCSEP grantees use the collected information </w:t>
      </w:r>
      <w:r w:rsidR="00D9470E">
        <w:rPr>
          <w:szCs w:val="24"/>
        </w:rPr>
        <w:t xml:space="preserve">in </w:t>
      </w:r>
      <w:r w:rsidR="00760A96">
        <w:rPr>
          <w:szCs w:val="24"/>
        </w:rPr>
        <w:t xml:space="preserve">Form </w:t>
      </w:r>
      <w:r w:rsidR="00D9470E">
        <w:rPr>
          <w:szCs w:val="24"/>
        </w:rPr>
        <w:t xml:space="preserve">ETA-9191 </w:t>
      </w:r>
      <w:r w:rsidRPr="00B62B20">
        <w:rPr>
          <w:szCs w:val="24"/>
        </w:rPr>
        <w:t>to manage day-to-day program operations and ensure effective service delivery. Grantees manage participant enrollment, assessment, and service delivery while tracking individual participant progress and outcomes. They document host agency placements and relationships, and national grantees use the data to monitor sub-grantee performance.</w:t>
      </w:r>
      <w:r w:rsidR="0062090B">
        <w:rPr>
          <w:szCs w:val="24"/>
        </w:rPr>
        <w:t xml:space="preserve"> T</w:t>
      </w:r>
      <w:r w:rsidRPr="00B62B20">
        <w:rPr>
          <w:szCs w:val="24"/>
        </w:rPr>
        <w:t xml:space="preserve">his information </w:t>
      </w:r>
      <w:r w:rsidR="0062090B">
        <w:rPr>
          <w:szCs w:val="24"/>
        </w:rPr>
        <w:t xml:space="preserve">is further used </w:t>
      </w:r>
      <w:r w:rsidRPr="00B62B20">
        <w:rPr>
          <w:szCs w:val="24"/>
        </w:rPr>
        <w:t>to generate internal reports for program improvement, support participant success through data-informed interventions, and demonstrate compliance with grant requirements.</w:t>
      </w:r>
    </w:p>
    <w:p w:rsidR="002B0D98" w:rsidRPr="00B62B20" w:rsidP="00AF1AD2" w14:paraId="3C23D0B9" w14:textId="0F0A6852">
      <w:pPr>
        <w:tabs>
          <w:tab w:val="left" w:pos="360"/>
        </w:tabs>
        <w:ind w:left="360"/>
        <w:rPr>
          <w:szCs w:val="24"/>
        </w:rPr>
      </w:pPr>
      <w:r w:rsidRPr="002B0D98">
        <w:rPr>
          <w:szCs w:val="24"/>
        </w:rPr>
        <w:t xml:space="preserve">Data elements related to the Sector-Based Training for Older Workers demonstration </w:t>
      </w:r>
      <w:r w:rsidR="00462DCA">
        <w:rPr>
          <w:szCs w:val="24"/>
        </w:rPr>
        <w:t xml:space="preserve">project </w:t>
      </w:r>
      <w:r w:rsidRPr="002B0D98">
        <w:rPr>
          <w:szCs w:val="24"/>
        </w:rPr>
        <w:t xml:space="preserve">are used by ETA to track </w:t>
      </w:r>
      <w:r w:rsidR="00F73FE2">
        <w:rPr>
          <w:szCs w:val="24"/>
        </w:rPr>
        <w:t xml:space="preserve">enrollment progress towards grant </w:t>
      </w:r>
      <w:r w:rsidR="00462DCA">
        <w:rPr>
          <w:szCs w:val="24"/>
        </w:rPr>
        <w:t xml:space="preserve">and evaluation </w:t>
      </w:r>
      <w:r w:rsidR="00F73FE2">
        <w:rPr>
          <w:szCs w:val="24"/>
        </w:rPr>
        <w:t xml:space="preserve">goals. </w:t>
      </w:r>
      <w:r w:rsidRPr="002B0D98">
        <w:rPr>
          <w:szCs w:val="24"/>
        </w:rPr>
        <w:t xml:space="preserve">This information enables ETA to fulfill its operational oversight responsibilities while the research team (authorized under OMB </w:t>
      </w:r>
      <w:r w:rsidR="00462DCA">
        <w:rPr>
          <w:szCs w:val="24"/>
        </w:rPr>
        <w:t xml:space="preserve">Control Number </w:t>
      </w:r>
      <w:r w:rsidRPr="002B0D98">
        <w:rPr>
          <w:szCs w:val="24"/>
        </w:rPr>
        <w:t xml:space="preserve">1290-0048) conducts the formal evaluation. The demonstration data </w:t>
      </w:r>
      <w:r w:rsidR="00462DCA">
        <w:rPr>
          <w:szCs w:val="24"/>
        </w:rPr>
        <w:t>will</w:t>
      </w:r>
      <w:r w:rsidRPr="002B0D98">
        <w:rPr>
          <w:szCs w:val="24"/>
        </w:rPr>
        <w:t xml:space="preserve"> </w:t>
      </w:r>
      <w:r w:rsidR="00146D91">
        <w:rPr>
          <w:szCs w:val="24"/>
        </w:rPr>
        <w:t xml:space="preserve">help to build the evidence base </w:t>
      </w:r>
      <w:r w:rsidR="00146D91">
        <w:rPr>
          <w:szCs w:val="24"/>
        </w:rPr>
        <w:t xml:space="preserve">for </w:t>
      </w:r>
      <w:r w:rsidRPr="002B0D98">
        <w:rPr>
          <w:szCs w:val="24"/>
        </w:rPr>
        <w:t xml:space="preserve"> the</w:t>
      </w:r>
      <w:r w:rsidRPr="002B0D98">
        <w:rPr>
          <w:szCs w:val="24"/>
        </w:rPr>
        <w:t xml:space="preserve"> effectiveness of sector-based training approaches for older workers.</w:t>
      </w:r>
    </w:p>
    <w:p w:rsidR="00C35392" w:rsidP="00C35392" w14:paraId="365F9EE4" w14:textId="0D2A9330">
      <w:pPr>
        <w:pStyle w:val="ListParagraph"/>
        <w:spacing w:before="240"/>
        <w:ind w:left="360"/>
        <w:rPr>
          <w:szCs w:val="24"/>
        </w:rPr>
      </w:pPr>
      <w:r w:rsidRPr="00C35392">
        <w:rPr>
          <w:szCs w:val="24"/>
        </w:rPr>
        <w:t xml:space="preserve">ETA federal staff use the survey data to calculate and report the American Customer Satisfaction Index (ACSI) score as required by OAA </w:t>
      </w:r>
      <w:r w:rsidR="00146D91">
        <w:rPr>
          <w:szCs w:val="24"/>
        </w:rPr>
        <w:t>s</w:t>
      </w:r>
      <w:r w:rsidRPr="00C35392">
        <w:rPr>
          <w:szCs w:val="24"/>
        </w:rPr>
        <w:t>ec. 513(b)(1)(E), which meets the statutory requirement for "indicators of effectiveness in serving employers, host agencies, and project participants." The data enables ETA to monitor customer satisfaction trends over time, identify areas where service delivery may need improvement, and prepare performance reports for Congress and other stakeholders.</w:t>
      </w:r>
    </w:p>
    <w:p w:rsidR="00046633" w:rsidP="00C35392" w14:paraId="3C09C1B5" w14:textId="77777777">
      <w:pPr>
        <w:pStyle w:val="ListParagraph"/>
        <w:spacing w:before="240"/>
        <w:ind w:left="360"/>
        <w:rPr>
          <w:szCs w:val="24"/>
        </w:rPr>
      </w:pPr>
    </w:p>
    <w:p w:rsidR="00046633" w:rsidRPr="00C35392" w:rsidP="00C35392" w14:paraId="3DECD515" w14:textId="6493F0EB">
      <w:pPr>
        <w:pStyle w:val="ListParagraph"/>
        <w:spacing w:before="240"/>
        <w:ind w:left="360"/>
        <w:rPr>
          <w:b/>
          <w:bCs/>
          <w:szCs w:val="24"/>
          <w:highlight w:val="green"/>
        </w:rPr>
      </w:pPr>
      <w:r>
        <w:rPr>
          <w:szCs w:val="24"/>
        </w:rPr>
        <w:t xml:space="preserve">Through the results of the customer satisfaction surveys, </w:t>
      </w:r>
      <w:r w:rsidRPr="00046633">
        <w:rPr>
          <w:szCs w:val="24"/>
        </w:rPr>
        <w:t>SCSEP grantees receive aggregated feedback on customer satisfaction to identify strengths and areas for improvement in service delivery. They use this information to make data-informed decisions about program operations, enhance relationships with host agencies and employers, and improve participant experience and outcomes.</w:t>
      </w:r>
    </w:p>
    <w:p w:rsidR="00C35392" w:rsidRPr="00C35392" w:rsidP="00C35392" w14:paraId="1D44998F" w14:textId="77777777">
      <w:pPr>
        <w:pStyle w:val="ListParagraph"/>
        <w:spacing w:before="240"/>
        <w:ind w:left="360"/>
        <w:rPr>
          <w:b/>
          <w:bCs/>
          <w:szCs w:val="24"/>
          <w:highlight w:val="green"/>
        </w:rPr>
      </w:pPr>
    </w:p>
    <w:p w:rsidR="008A3F51" w:rsidRPr="00A729D2" w:rsidP="00A729D2" w14:paraId="14EC1D1F" w14:textId="279CF8A2">
      <w:pPr>
        <w:pStyle w:val="ListParagraph"/>
        <w:numPr>
          <w:ilvl w:val="0"/>
          <w:numId w:val="7"/>
        </w:numPr>
        <w:spacing w:before="240"/>
        <w:ind w:left="360"/>
        <w:rPr>
          <w:b/>
          <w:bCs/>
          <w:szCs w:val="24"/>
        </w:rPr>
      </w:pPr>
      <w:r w:rsidRPr="00A729D2">
        <w:rPr>
          <w:b/>
          <w:bCs/>
          <w:szCs w:val="24"/>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w:t>
      </w:r>
      <w:r w:rsidRPr="00A729D2">
        <w:rPr>
          <w:b/>
          <w:bCs/>
          <w:szCs w:val="24"/>
        </w:rPr>
        <w:t>for adopting</w:t>
      </w:r>
      <w:r w:rsidRPr="00A729D2">
        <w:rPr>
          <w:b/>
          <w:bCs/>
          <w:szCs w:val="24"/>
        </w:rPr>
        <w:t xml:space="preserve"> this means of collection.  Also, describe any consideration of using information technology to reduce burden.</w:t>
      </w:r>
    </w:p>
    <w:p w:rsidR="0047617E" w:rsidP="00A729D2" w14:paraId="2BBACB17" w14:textId="5636882A">
      <w:pPr>
        <w:ind w:left="360"/>
      </w:pPr>
      <w:r w:rsidRPr="0047617E">
        <w:t>ETA has adopted a comprehensive electronic data collection strategy to minimize burden on grantees while ensuring accurate, timely, and uniform program data. This approach leverages automated systems and information technology across all collection activities</w:t>
      </w:r>
      <w:r>
        <w:t xml:space="preserve"> included in this ICR</w:t>
      </w:r>
      <w:r w:rsidRPr="0047617E">
        <w:t>.</w:t>
      </w:r>
    </w:p>
    <w:p w:rsidR="007919F3" w:rsidP="00A406E0" w14:paraId="61C1AEC2" w14:textId="393C11B0">
      <w:pPr>
        <w:ind w:left="360"/>
      </w:pPr>
      <w:r w:rsidRPr="007919F3">
        <w:t>ETA has provided a web-based data reporting system since 2005, beginning with the SPARQ system. In Program Year 2022, ETA transitioned all grantees to GPMS, an enhanced web-based platform</w:t>
      </w:r>
      <w:r>
        <w:t xml:space="preserve">. </w:t>
      </w:r>
      <w:r w:rsidRPr="007919F3">
        <w:t>GPMS provides real-time data validation to reduce errors, automated reporting capabilities, and an improved user interface design that simplifies data entry and navigation. By requiring electronic submission through GPMS, ETA has eliminated the need for paper-based reporting and manual data entry, significantly reducing processing time and administrative costs for both grantees and the Department. The system enables immediate data availability for program monitoring and performance analysis, supporting more responsive oversight and technical assistance.</w:t>
      </w:r>
    </w:p>
    <w:p w:rsidR="00CE5151" w:rsidRPr="00664981" w:rsidP="00664981" w14:paraId="58B30071" w14:textId="2D9890A8">
      <w:pPr>
        <w:ind w:left="360"/>
      </w:pPr>
      <w:r>
        <w:t xml:space="preserve">For customer satisfaction surveys, </w:t>
      </w:r>
      <w:r w:rsidRPr="00A74C09">
        <w:t>ETA transitioned from mailed paper surveys to fully electronic collection. Sample information is extracted directly from GPMS</w:t>
      </w:r>
      <w:r w:rsidR="00C72A55">
        <w:t>,</w:t>
      </w:r>
      <w:r w:rsidRPr="00A74C09">
        <w:t xml:space="preserve"> and surveys are transmitted to participants electronically, eliminating printing and postage costs, reducing response time, and enabling automated data compilation and analysis.</w:t>
      </w:r>
      <w:r>
        <w:t xml:space="preserve"> </w:t>
      </w:r>
    </w:p>
    <w:p w:rsidR="000F7018" w:rsidRPr="004B09A6" w:rsidP="00A406E0" w14:paraId="03863A64" w14:textId="001DCB2A">
      <w:pPr>
        <w:pStyle w:val="ListParagraph"/>
        <w:numPr>
          <w:ilvl w:val="0"/>
          <w:numId w:val="7"/>
        </w:numPr>
        <w:spacing w:before="240"/>
        <w:ind w:left="360"/>
        <w:rPr>
          <w:b/>
          <w:bCs/>
          <w:szCs w:val="24"/>
        </w:rPr>
      </w:pPr>
      <w:r w:rsidRPr="004B09A6">
        <w:rPr>
          <w:b/>
          <w:bCs/>
          <w:szCs w:val="24"/>
        </w:rPr>
        <w:t>Describe efforts to identify duplication.  Show specifically why any similar information already available cannot be used or modified for use for the purposes described in Item 2 above.</w:t>
      </w:r>
    </w:p>
    <w:p w:rsidR="003F5B84" w:rsidRPr="003F5B84" w:rsidP="003F5B84" w14:paraId="2C75F12C" w14:textId="77777777">
      <w:pPr>
        <w:pStyle w:val="ListParagraph"/>
        <w:rPr>
          <w:b/>
          <w:bCs/>
          <w:szCs w:val="24"/>
        </w:rPr>
      </w:pPr>
    </w:p>
    <w:p w:rsidR="0059189F" w:rsidP="003F5B84" w14:paraId="48AE8B49" w14:textId="0ABA8648">
      <w:pPr>
        <w:pStyle w:val="ListParagraph"/>
        <w:spacing w:before="240"/>
        <w:ind w:left="360"/>
        <w:rPr>
          <w:szCs w:val="24"/>
        </w:rPr>
      </w:pPr>
      <w:r w:rsidRPr="0059189F">
        <w:rPr>
          <w:szCs w:val="24"/>
        </w:rPr>
        <w:t>ETA has undertaken systematic efforts to identify and eliminate duplication across its SCSEP data collection activities</w:t>
      </w:r>
      <w:r w:rsidR="00BD5EAE">
        <w:rPr>
          <w:szCs w:val="24"/>
        </w:rPr>
        <w:t>,</w:t>
      </w:r>
      <w:r w:rsidRPr="0059189F">
        <w:rPr>
          <w:szCs w:val="24"/>
        </w:rPr>
        <w:t xml:space="preserve"> </w:t>
      </w:r>
      <w:r w:rsidR="00881F38">
        <w:rPr>
          <w:szCs w:val="24"/>
        </w:rPr>
        <w:t xml:space="preserve">including </w:t>
      </w:r>
      <w:r w:rsidRPr="0059189F">
        <w:rPr>
          <w:szCs w:val="24"/>
        </w:rPr>
        <w:t xml:space="preserve">coordinating with other </w:t>
      </w:r>
      <w:r w:rsidR="00BD7C4C">
        <w:rPr>
          <w:szCs w:val="24"/>
        </w:rPr>
        <w:t>ETA</w:t>
      </w:r>
      <w:r w:rsidRPr="0059189F">
        <w:rPr>
          <w:szCs w:val="24"/>
        </w:rPr>
        <w:t xml:space="preserve"> information collections</w:t>
      </w:r>
      <w:r w:rsidR="00BD7C4C">
        <w:rPr>
          <w:szCs w:val="24"/>
        </w:rPr>
        <w:t xml:space="preserve">. </w:t>
      </w:r>
    </w:p>
    <w:p w:rsidR="00881F38" w:rsidP="003F5B84" w14:paraId="78696522" w14:textId="77777777">
      <w:pPr>
        <w:pStyle w:val="ListParagraph"/>
        <w:spacing w:before="240"/>
        <w:ind w:left="360"/>
        <w:rPr>
          <w:szCs w:val="24"/>
        </w:rPr>
      </w:pPr>
    </w:p>
    <w:p w:rsidR="00E73E21" w:rsidP="003F5B84" w14:paraId="6813ABDB" w14:textId="196BC753">
      <w:pPr>
        <w:pStyle w:val="ListParagraph"/>
        <w:spacing w:before="240"/>
        <w:ind w:left="360"/>
        <w:rPr>
          <w:szCs w:val="24"/>
        </w:rPr>
      </w:pPr>
      <w:r w:rsidRPr="000F1EC2">
        <w:rPr>
          <w:szCs w:val="24"/>
        </w:rPr>
        <w:t xml:space="preserve">The most recent revisions to </w:t>
      </w:r>
      <w:r w:rsidR="00BD5EAE">
        <w:rPr>
          <w:szCs w:val="24"/>
        </w:rPr>
        <w:t>Form</w:t>
      </w:r>
      <w:r w:rsidRPr="000F1EC2">
        <w:rPr>
          <w:szCs w:val="24"/>
        </w:rPr>
        <w:t xml:space="preserve"> ETA-9191 removed duplicative data elements that were already authorized under </w:t>
      </w:r>
      <w:r w:rsidR="00BD5EAE">
        <w:rPr>
          <w:szCs w:val="24"/>
        </w:rPr>
        <w:t>OMB Co</w:t>
      </w:r>
      <w:r w:rsidR="00F7086F">
        <w:rPr>
          <w:szCs w:val="24"/>
        </w:rPr>
        <w:t>ntrol</w:t>
      </w:r>
      <w:r w:rsidR="00BD5EAE">
        <w:rPr>
          <w:szCs w:val="24"/>
        </w:rPr>
        <w:t xml:space="preserve"> Number</w:t>
      </w:r>
      <w:r w:rsidRPr="000F1EC2">
        <w:rPr>
          <w:szCs w:val="24"/>
        </w:rPr>
        <w:t xml:space="preserve"> 1205-0521 and included in the DOL </w:t>
      </w:r>
      <w:r w:rsidRPr="000F1EC2">
        <w:rPr>
          <w:szCs w:val="24"/>
        </w:rPr>
        <w:t xml:space="preserve">PIRL </w:t>
      </w:r>
      <w:r>
        <w:rPr>
          <w:szCs w:val="24"/>
        </w:rPr>
        <w:t>.</w:t>
      </w:r>
      <w:r>
        <w:rPr>
          <w:szCs w:val="24"/>
        </w:rPr>
        <w:t xml:space="preserve"> </w:t>
      </w:r>
      <w:r w:rsidRPr="000F1EC2">
        <w:rPr>
          <w:szCs w:val="24"/>
        </w:rPr>
        <w:t>This consolidation ensures consistency across DOL workforce programs</w:t>
      </w:r>
      <w:r>
        <w:rPr>
          <w:szCs w:val="24"/>
        </w:rPr>
        <w:t xml:space="preserve"> and reduces </w:t>
      </w:r>
      <w:r w:rsidR="00D43CEA">
        <w:rPr>
          <w:szCs w:val="24"/>
        </w:rPr>
        <w:t xml:space="preserve">the need for revisions to multiple ICRs for changes to single elements. </w:t>
      </w:r>
    </w:p>
    <w:p w:rsidR="000F1EC2" w:rsidP="003F5B84" w14:paraId="361D8D9E" w14:textId="77777777">
      <w:pPr>
        <w:pStyle w:val="ListParagraph"/>
        <w:spacing w:before="240"/>
        <w:ind w:left="360"/>
        <w:rPr>
          <w:szCs w:val="24"/>
        </w:rPr>
      </w:pPr>
    </w:p>
    <w:p w:rsidR="00422CAD" w:rsidP="00664981" w14:paraId="605072B1" w14:textId="06B546FC">
      <w:pPr>
        <w:pStyle w:val="ListParagraph"/>
        <w:spacing w:before="240"/>
        <w:ind w:left="360"/>
        <w:rPr>
          <w:szCs w:val="24"/>
        </w:rPr>
      </w:pPr>
      <w:r w:rsidRPr="00D8349C">
        <w:rPr>
          <w:szCs w:val="24"/>
        </w:rPr>
        <w:t xml:space="preserve">The two pilot customer satisfaction surveys </w:t>
      </w:r>
      <w:r w:rsidR="001F2F22">
        <w:rPr>
          <w:szCs w:val="24"/>
        </w:rPr>
        <w:t>have been removed</w:t>
      </w:r>
      <w:r w:rsidRPr="00D8349C">
        <w:rPr>
          <w:szCs w:val="24"/>
        </w:rPr>
        <w:t xml:space="preserve"> </w:t>
      </w:r>
      <w:r w:rsidR="001F2F22">
        <w:rPr>
          <w:szCs w:val="24"/>
        </w:rPr>
        <w:t xml:space="preserve">now that the </w:t>
      </w:r>
      <w:r w:rsidRPr="00D8349C">
        <w:rPr>
          <w:szCs w:val="24"/>
        </w:rPr>
        <w:t>final participant and employer survey instruments were finalized. This eliminated the need for multiple survey versions and streamlined the feedback collection process.</w:t>
      </w:r>
    </w:p>
    <w:p w:rsidR="006561D5" w:rsidRPr="00664981" w:rsidP="00664981" w14:paraId="0F5092E7" w14:textId="77777777">
      <w:pPr>
        <w:pStyle w:val="ListParagraph"/>
        <w:spacing w:before="240"/>
        <w:ind w:left="360"/>
        <w:rPr>
          <w:szCs w:val="24"/>
        </w:rPr>
      </w:pPr>
    </w:p>
    <w:p w:rsidR="003C1680" w:rsidRPr="004B09A6" w:rsidP="00A406E0" w14:paraId="7588ED50" w14:textId="48341968">
      <w:pPr>
        <w:pStyle w:val="ListParagraph"/>
        <w:numPr>
          <w:ilvl w:val="0"/>
          <w:numId w:val="7"/>
        </w:numPr>
        <w:spacing w:before="240"/>
        <w:ind w:left="360"/>
        <w:rPr>
          <w:b/>
          <w:bCs/>
          <w:szCs w:val="24"/>
        </w:rPr>
      </w:pPr>
      <w:r w:rsidRPr="004B09A6">
        <w:rPr>
          <w:b/>
          <w:bCs/>
          <w:szCs w:val="24"/>
        </w:rPr>
        <w:t>If the collection of information impacts small businesses or other small entities, describe any methods used to minimize burden.</w:t>
      </w:r>
    </w:p>
    <w:p w:rsidR="002017DA" w:rsidP="00584AC4" w14:paraId="72CF7778" w14:textId="77777777">
      <w:pPr>
        <w:ind w:left="360"/>
        <w:rPr>
          <w:szCs w:val="24"/>
        </w:rPr>
      </w:pPr>
      <w:r w:rsidRPr="002017DA">
        <w:rPr>
          <w:szCs w:val="24"/>
        </w:rPr>
        <w:t>Small non-profit organizations and small government agencies participate in SCSEP primarily as host agencies that provide community service assignments for program participants. However, these host agencies are not directly responsible for any data reporting requirements under this information collection. All programmatic and performance reporting is handled by SCSEP grantees</w:t>
      </w:r>
    </w:p>
    <w:p w:rsidR="008163CC" w:rsidP="009E758B" w14:paraId="2BEE95F5" w14:textId="77777777">
      <w:pPr>
        <w:pStyle w:val="font-claude-response-body"/>
        <w:ind w:left="360"/>
      </w:pPr>
      <w:r>
        <w:t>The only interaction small entities have with this information collection is when they are selected to participate in voluntary customer satisfaction surveys. ETA has minimized burden on these respondents through several approaches:</w:t>
      </w:r>
    </w:p>
    <w:p w:rsidR="008163CC" w:rsidP="008163CC" w14:paraId="7AFBAFD1" w14:textId="77777777">
      <w:pPr>
        <w:pStyle w:val="whitespace-normal"/>
        <w:numPr>
          <w:ilvl w:val="0"/>
          <w:numId w:val="13"/>
        </w:numPr>
      </w:pPr>
      <w:r w:rsidRPr="00C6628C">
        <w:rPr>
          <w:rStyle w:val="Strong"/>
          <w:rFonts w:eastAsiaTheme="majorEastAsia"/>
          <w:b w:val="0"/>
          <w:bCs w:val="0"/>
          <w:i/>
          <w:iCs/>
        </w:rPr>
        <w:t>Voluntary participation</w:t>
      </w:r>
      <w:r>
        <w:rPr>
          <w:rStyle w:val="Strong"/>
          <w:rFonts w:eastAsiaTheme="majorEastAsia"/>
        </w:rPr>
        <w:t>:</w:t>
      </w:r>
      <w:r>
        <w:t xml:space="preserve"> Response to surveys is entirely voluntary, and small entities may decline without consequence</w:t>
      </w:r>
    </w:p>
    <w:p w:rsidR="008163CC" w:rsidP="008163CC" w14:paraId="2494E0A2" w14:textId="41E79BBD">
      <w:pPr>
        <w:pStyle w:val="whitespace-normal"/>
        <w:numPr>
          <w:ilvl w:val="0"/>
          <w:numId w:val="13"/>
        </w:numPr>
      </w:pPr>
      <w:r w:rsidRPr="00C6628C">
        <w:rPr>
          <w:rStyle w:val="Strong"/>
          <w:rFonts w:eastAsiaTheme="majorEastAsia"/>
          <w:b w:val="0"/>
          <w:bCs w:val="0"/>
          <w:i/>
          <w:iCs/>
        </w:rPr>
        <w:t>Brief design:</w:t>
      </w:r>
      <w:r>
        <w:t xml:space="preserve"> Surveys are designed to be completed in approximately </w:t>
      </w:r>
      <w:r w:rsidR="00C6628C">
        <w:t>5-10 min</w:t>
      </w:r>
      <w:r w:rsidR="009C79BC">
        <w:t>utes</w:t>
      </w:r>
    </w:p>
    <w:p w:rsidR="008163CC" w:rsidP="008163CC" w14:paraId="3C06DF37" w14:textId="77777777">
      <w:pPr>
        <w:pStyle w:val="whitespace-normal"/>
        <w:numPr>
          <w:ilvl w:val="0"/>
          <w:numId w:val="13"/>
        </w:numPr>
      </w:pPr>
      <w:r w:rsidRPr="00C6628C">
        <w:rPr>
          <w:rStyle w:val="Strong"/>
          <w:rFonts w:eastAsiaTheme="majorEastAsia"/>
          <w:b w:val="0"/>
          <w:bCs w:val="0"/>
          <w:i/>
          <w:iCs/>
        </w:rPr>
        <w:t>Electronic delivery:</w:t>
      </w:r>
      <w:r>
        <w:t xml:space="preserve"> Surveys are delivered electronically for convenience and ease of completion</w:t>
      </w:r>
    </w:p>
    <w:p w:rsidR="003C1680" w:rsidRPr="00C41ACE" w:rsidP="00A406E0" w14:paraId="0BAE5400" w14:textId="68B0304A">
      <w:pPr>
        <w:pStyle w:val="ListParagraph"/>
        <w:numPr>
          <w:ilvl w:val="0"/>
          <w:numId w:val="7"/>
        </w:numPr>
        <w:tabs>
          <w:tab w:val="left" w:pos="360"/>
        </w:tabs>
        <w:spacing w:before="240"/>
        <w:ind w:left="360"/>
        <w:rPr>
          <w:b/>
          <w:bCs/>
          <w:szCs w:val="24"/>
        </w:rPr>
      </w:pPr>
      <w:r w:rsidRPr="00C41ACE">
        <w:rPr>
          <w:b/>
          <w:bCs/>
          <w:szCs w:val="24"/>
        </w:rPr>
        <w:t xml:space="preserve">Describe the </w:t>
      </w:r>
      <w:r w:rsidRPr="00C41ACE">
        <w:rPr>
          <w:b/>
          <w:bCs/>
          <w:szCs w:val="24"/>
        </w:rPr>
        <w:t>consequence</w:t>
      </w:r>
      <w:r w:rsidRPr="00C41ACE">
        <w:rPr>
          <w:b/>
          <w:bCs/>
          <w:szCs w:val="24"/>
        </w:rPr>
        <w:t xml:space="preserve"> </w:t>
      </w:r>
      <w:r w:rsidRPr="00C41ACE">
        <w:rPr>
          <w:b/>
          <w:bCs/>
          <w:szCs w:val="24"/>
        </w:rPr>
        <w:t>to</w:t>
      </w:r>
      <w:r w:rsidRPr="00C41ACE">
        <w:rPr>
          <w:b/>
          <w:bCs/>
          <w:szCs w:val="24"/>
        </w:rPr>
        <w:t xml:space="preserve"> federal program or policy activities if the collection is not conducted or is conducted less frequently, as well as any technical or legal obstacles to reducing burden.</w:t>
      </w:r>
    </w:p>
    <w:p w:rsidR="000D0856" w:rsidP="000D0856" w14:paraId="367B0C88" w14:textId="77777777">
      <w:pPr>
        <w:pStyle w:val="ListParagraph"/>
        <w:tabs>
          <w:tab w:val="left" w:pos="360"/>
        </w:tabs>
        <w:spacing w:before="240"/>
        <w:ind w:left="360"/>
        <w:rPr>
          <w:b/>
          <w:bCs/>
          <w:szCs w:val="24"/>
        </w:rPr>
      </w:pPr>
    </w:p>
    <w:p w:rsidR="00534C20" w:rsidP="00884892" w14:paraId="4FEB1E90" w14:textId="77777777">
      <w:pPr>
        <w:pStyle w:val="ListParagraph"/>
        <w:tabs>
          <w:tab w:val="left" w:pos="360"/>
        </w:tabs>
        <w:spacing w:before="240"/>
        <w:ind w:left="360"/>
        <w:rPr>
          <w:szCs w:val="24"/>
        </w:rPr>
      </w:pPr>
      <w:r w:rsidRPr="00534C20">
        <w:rPr>
          <w:szCs w:val="24"/>
        </w:rPr>
        <w:t>This information collection is essential to SCSEP's statutory obligations, program integrity, and effective service delivery. Failure to conduct this collection, or conducting it less frequently, would have serious legal, programmatic, and fiscal consequences.</w:t>
      </w:r>
    </w:p>
    <w:p w:rsidR="00534C20" w:rsidP="00884892" w14:paraId="4B0D9DCE" w14:textId="77777777">
      <w:pPr>
        <w:pStyle w:val="ListParagraph"/>
        <w:tabs>
          <w:tab w:val="left" w:pos="360"/>
        </w:tabs>
        <w:spacing w:before="240"/>
        <w:ind w:left="360"/>
        <w:rPr>
          <w:szCs w:val="24"/>
        </w:rPr>
      </w:pPr>
    </w:p>
    <w:p w:rsidR="003D6DC2" w:rsidP="006561D5" w14:paraId="07E117C2" w14:textId="61237A33">
      <w:pPr>
        <w:pStyle w:val="ListParagraph"/>
        <w:tabs>
          <w:tab w:val="left" w:pos="360"/>
        </w:tabs>
        <w:spacing w:before="240"/>
        <w:ind w:left="360"/>
        <w:rPr>
          <w:szCs w:val="24"/>
        </w:rPr>
      </w:pPr>
      <w:r w:rsidRPr="00884892">
        <w:rPr>
          <w:szCs w:val="24"/>
        </w:rPr>
        <w:t>The </w:t>
      </w:r>
      <w:r>
        <w:rPr>
          <w:szCs w:val="24"/>
        </w:rPr>
        <w:t xml:space="preserve">Older Americans Act requires </w:t>
      </w:r>
      <w:r w:rsidRPr="00884892">
        <w:rPr>
          <w:szCs w:val="24"/>
        </w:rPr>
        <w:t>the Department to publicly report annual performance of the grantees</w:t>
      </w:r>
      <w:r>
        <w:rPr>
          <w:szCs w:val="24"/>
        </w:rPr>
        <w:t xml:space="preserve">; the results of the customer satisfaction surveys are rolled into the annual performance report for each grantee. </w:t>
      </w:r>
      <w:r w:rsidRPr="000D0856" w:rsidR="000D0856">
        <w:rPr>
          <w:szCs w:val="24"/>
        </w:rPr>
        <w:t>Without accurate performance data, the Department could not measure the success of its grantees and could not ensure high-</w:t>
      </w:r>
      <w:r w:rsidR="0019768B">
        <w:rPr>
          <w:szCs w:val="24"/>
        </w:rPr>
        <w:t xml:space="preserve">quality </w:t>
      </w:r>
      <w:r w:rsidR="002401E4">
        <w:rPr>
          <w:szCs w:val="24"/>
        </w:rPr>
        <w:t xml:space="preserve">services for program performance. </w:t>
      </w:r>
    </w:p>
    <w:p w:rsidR="006561D5" w:rsidRPr="006561D5" w:rsidP="006561D5" w14:paraId="602444C3" w14:textId="77777777">
      <w:pPr>
        <w:pStyle w:val="ListParagraph"/>
        <w:tabs>
          <w:tab w:val="left" w:pos="360"/>
        </w:tabs>
        <w:spacing w:before="240"/>
        <w:ind w:left="360"/>
        <w:rPr>
          <w:szCs w:val="24"/>
        </w:rPr>
      </w:pPr>
    </w:p>
    <w:p w:rsidR="00064551" w:rsidRPr="00A406E0" w:rsidP="00A406E0" w14:paraId="18E0F24B" w14:textId="24EA3899">
      <w:pPr>
        <w:pStyle w:val="ListParagraph"/>
        <w:numPr>
          <w:ilvl w:val="0"/>
          <w:numId w:val="7"/>
        </w:numPr>
        <w:tabs>
          <w:tab w:val="left" w:pos="360"/>
        </w:tabs>
        <w:spacing w:before="240"/>
        <w:ind w:left="360"/>
        <w:rPr>
          <w:b/>
          <w:bCs/>
          <w:szCs w:val="24"/>
        </w:rPr>
      </w:pPr>
      <w:r w:rsidRPr="00A406E0">
        <w:rPr>
          <w:b/>
          <w:bCs/>
          <w:szCs w:val="24"/>
        </w:rPr>
        <w:t xml:space="preserve">Explain any special circumstances that would cause an information collection to be conducted in a manner that requires further explanation pursuant to regulations 5 CFR 1320.5. </w:t>
      </w:r>
    </w:p>
    <w:p w:rsidR="00E0773D" w:rsidRPr="00E0773D" w:rsidP="00251744" w14:paraId="299EC298" w14:textId="0370DA70">
      <w:pPr>
        <w:ind w:left="360"/>
        <w:rPr>
          <w:szCs w:val="24"/>
        </w:rPr>
      </w:pPr>
      <w:r w:rsidRPr="00064551">
        <w:rPr>
          <w:szCs w:val="24"/>
        </w:rPr>
        <w:t>This request is consistent with 5 CFR 1320.5.</w:t>
      </w:r>
    </w:p>
    <w:p w:rsidR="00E0773D" w:rsidP="000C7841" w14:paraId="4F5C5007" w14:textId="18317650">
      <w:pPr>
        <w:pStyle w:val="ListParagraph"/>
        <w:numPr>
          <w:ilvl w:val="0"/>
          <w:numId w:val="7"/>
        </w:numPr>
        <w:tabs>
          <w:tab w:val="left" w:pos="360"/>
        </w:tabs>
        <w:spacing w:before="240"/>
        <w:ind w:left="360"/>
        <w:rPr>
          <w:b/>
          <w:bCs/>
          <w:szCs w:val="24"/>
        </w:rPr>
      </w:pPr>
      <w:r w:rsidRPr="00584AC4">
        <w:rPr>
          <w:b/>
          <w:bCs/>
          <w:szCs w:val="24"/>
        </w:rPr>
        <w:t xml:space="preserve">If applicable, provide a copy and identify the date and page number of </w:t>
      </w:r>
      <w:r w:rsidRPr="00584AC4">
        <w:rPr>
          <w:b/>
          <w:bCs/>
          <w:szCs w:val="24"/>
        </w:rPr>
        <w:t>publication</w:t>
      </w:r>
      <w:r w:rsidRPr="00584AC4">
        <w:rPr>
          <w:b/>
          <w:bCs/>
          <w:szCs w:val="24"/>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 </w:t>
      </w:r>
    </w:p>
    <w:p w:rsidR="000C7841" w:rsidRPr="00584AC4" w:rsidP="000C7841" w14:paraId="539EFCFF" w14:textId="77777777">
      <w:pPr>
        <w:pStyle w:val="ListParagraph"/>
        <w:tabs>
          <w:tab w:val="left" w:pos="360"/>
        </w:tabs>
        <w:spacing w:before="240"/>
        <w:ind w:left="360"/>
        <w:rPr>
          <w:b/>
          <w:bCs/>
          <w:szCs w:val="24"/>
        </w:rPr>
      </w:pPr>
    </w:p>
    <w:p w:rsidR="000C7841" w:rsidP="000C7841" w14:paraId="1D44E1FC" w14:textId="60EEEC80">
      <w:pPr>
        <w:pStyle w:val="ListParagraph"/>
        <w:tabs>
          <w:tab w:val="left" w:pos="360"/>
        </w:tabs>
        <w:spacing w:before="240"/>
        <w:ind w:left="360"/>
        <w:rPr>
          <w:b/>
          <w:bCs/>
          <w:szCs w:val="24"/>
        </w:rPr>
      </w:pPr>
      <w:r w:rsidRPr="000C7841">
        <w:rPr>
          <w:b/>
          <w:bCs/>
          <w:szCs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0C7841" w:rsidRPr="000C7841" w:rsidP="000C7841" w14:paraId="4FB975FC" w14:textId="77777777">
      <w:pPr>
        <w:pStyle w:val="ListParagraph"/>
        <w:tabs>
          <w:tab w:val="left" w:pos="360"/>
        </w:tabs>
        <w:spacing w:before="240"/>
        <w:ind w:left="360"/>
        <w:rPr>
          <w:b/>
          <w:bCs/>
          <w:szCs w:val="24"/>
        </w:rPr>
      </w:pPr>
    </w:p>
    <w:p w:rsidR="000D58FD" w:rsidP="00251744" w14:paraId="3B1C439E" w14:textId="5720C806">
      <w:pPr>
        <w:pStyle w:val="ListParagraph"/>
        <w:tabs>
          <w:tab w:val="left" w:pos="360"/>
        </w:tabs>
        <w:spacing w:before="240"/>
        <w:ind w:left="360"/>
        <w:rPr>
          <w:b/>
          <w:bCs/>
          <w:szCs w:val="24"/>
        </w:rPr>
      </w:pPr>
      <w:r w:rsidRPr="000C7841">
        <w:rPr>
          <w:b/>
          <w:bCs/>
          <w:szCs w:val="24"/>
        </w:rPr>
        <w:t>Consultation with representatives of those from whom information is to be obtained or those who must compile records should occur at least once every 3 years—even if the collection of information activity is the same as in prior periods.  There may be circumstances that may preclude consultation in a specific situation.  These circumstances should be explained.</w:t>
      </w:r>
    </w:p>
    <w:p w:rsidR="00BA3190" w:rsidP="00251744" w14:paraId="0B31C3D3" w14:textId="77777777">
      <w:pPr>
        <w:pStyle w:val="ListParagraph"/>
        <w:tabs>
          <w:tab w:val="left" w:pos="360"/>
        </w:tabs>
        <w:spacing w:before="240"/>
        <w:ind w:left="360"/>
        <w:rPr>
          <w:b/>
          <w:bCs/>
          <w:szCs w:val="24"/>
        </w:rPr>
      </w:pPr>
    </w:p>
    <w:p w:rsidR="00FC5C87" w:rsidRPr="00D24777" w:rsidP="00D24777" w14:paraId="143377DA" w14:textId="2E0D5AEB">
      <w:pPr>
        <w:pStyle w:val="ListParagraph"/>
        <w:tabs>
          <w:tab w:val="left" w:pos="360"/>
        </w:tabs>
        <w:spacing w:before="240"/>
        <w:ind w:left="360"/>
        <w:rPr>
          <w:szCs w:val="24"/>
        </w:rPr>
      </w:pPr>
      <w:r w:rsidRPr="001B5F2E">
        <w:rPr>
          <w:szCs w:val="24"/>
        </w:rPr>
        <w:t>In accordance with the Paperwork Reduction Act of 1995, the public was allowed 60 days to comment through the Federal Register Notice posted on</w:t>
      </w:r>
      <w:r>
        <w:rPr>
          <w:szCs w:val="24"/>
        </w:rPr>
        <w:t xml:space="preserve"> </w:t>
      </w:r>
      <w:r w:rsidR="00E40774">
        <w:rPr>
          <w:szCs w:val="24"/>
        </w:rPr>
        <w:t>August 4, 2023</w:t>
      </w:r>
      <w:r>
        <w:rPr>
          <w:szCs w:val="24"/>
        </w:rPr>
        <w:t xml:space="preserve">, </w:t>
      </w:r>
      <w:r w:rsidR="00F851C9">
        <w:rPr>
          <w:szCs w:val="24"/>
        </w:rPr>
        <w:t>(88 FR 51858</w:t>
      </w:r>
      <w:r>
        <w:rPr>
          <w:szCs w:val="24"/>
        </w:rPr>
        <w:t>)</w:t>
      </w:r>
      <w:r w:rsidR="009C5E4B">
        <w:rPr>
          <w:szCs w:val="24"/>
        </w:rPr>
        <w:t xml:space="preserve">. </w:t>
      </w:r>
      <w:r w:rsidRPr="00617F4D" w:rsidR="00617F4D">
        <w:rPr>
          <w:szCs w:val="24"/>
        </w:rPr>
        <w:t xml:space="preserve">The only comment submitted </w:t>
      </w:r>
      <w:r w:rsidR="00323EE7">
        <w:rPr>
          <w:szCs w:val="24"/>
        </w:rPr>
        <w:t>was not relevant</w:t>
      </w:r>
      <w:r w:rsidRPr="00617F4D" w:rsidR="00617F4D">
        <w:rPr>
          <w:szCs w:val="24"/>
        </w:rPr>
        <w:t> to the proposed changes in the ICR.</w:t>
      </w:r>
    </w:p>
    <w:p w:rsidR="00251744" w:rsidRPr="00251744" w:rsidP="00251744" w14:paraId="4E2AE54A" w14:textId="77777777">
      <w:pPr>
        <w:pStyle w:val="ListParagraph"/>
        <w:tabs>
          <w:tab w:val="left" w:pos="360"/>
        </w:tabs>
        <w:spacing w:before="240"/>
        <w:ind w:left="360"/>
        <w:rPr>
          <w:b/>
          <w:bCs/>
          <w:szCs w:val="24"/>
        </w:rPr>
      </w:pPr>
    </w:p>
    <w:p w:rsidR="000D58FD" w:rsidRPr="003D2FBE" w:rsidP="00BD2119" w14:paraId="2724A996" w14:textId="0B990174">
      <w:pPr>
        <w:pStyle w:val="ListParagraph"/>
        <w:numPr>
          <w:ilvl w:val="0"/>
          <w:numId w:val="7"/>
        </w:numPr>
        <w:spacing w:before="240"/>
        <w:ind w:left="360"/>
        <w:rPr>
          <w:b/>
          <w:bCs/>
          <w:szCs w:val="24"/>
        </w:rPr>
      </w:pPr>
      <w:r w:rsidRPr="003D2FBE">
        <w:rPr>
          <w:b/>
          <w:bCs/>
          <w:szCs w:val="24"/>
        </w:rPr>
        <w:t>Explain any decision to provide any payment or gift to respondents, other than remuneration of contractors or grantees.</w:t>
      </w:r>
    </w:p>
    <w:p w:rsidR="002767CD" w:rsidP="0045725E" w14:paraId="206C44CC" w14:textId="60B2AD8D">
      <w:pPr>
        <w:ind w:left="360"/>
        <w:rPr>
          <w:szCs w:val="24"/>
        </w:rPr>
      </w:pPr>
      <w:r w:rsidRPr="000D58FD">
        <w:rPr>
          <w:szCs w:val="24"/>
        </w:rPr>
        <w:t xml:space="preserve">This information collection does not involve any payments or gifts to respondents.  </w:t>
      </w:r>
    </w:p>
    <w:p w:rsidR="002767CD" w:rsidRPr="00BD2119" w:rsidP="00BD2119" w14:paraId="091495B7" w14:textId="14A3C7ED">
      <w:pPr>
        <w:pStyle w:val="ListParagraph"/>
        <w:numPr>
          <w:ilvl w:val="0"/>
          <w:numId w:val="7"/>
        </w:numPr>
        <w:spacing w:before="240"/>
        <w:ind w:left="360"/>
        <w:rPr>
          <w:b/>
          <w:bCs/>
          <w:szCs w:val="24"/>
        </w:rPr>
      </w:pPr>
      <w:r w:rsidRPr="00BD2119">
        <w:rPr>
          <w:b/>
          <w:bCs/>
          <w:szCs w:val="24"/>
        </w:rPr>
        <w:t>Describe any assurance of confidentiality provided to respondents and the basis for the assurance in statute, regulation, or agency policy.</w:t>
      </w:r>
    </w:p>
    <w:p w:rsidR="00C30178" w:rsidP="00C30178" w14:paraId="1953DE99" w14:textId="54F36A7F">
      <w:pPr>
        <w:pStyle w:val="paragraph"/>
        <w:spacing w:before="0" w:beforeAutospacing="0" w:after="0" w:afterAutospacing="0"/>
        <w:ind w:left="360"/>
        <w:textAlignment w:val="baseline"/>
        <w:rPr>
          <w:rFonts w:ascii="Segoe UI" w:hAnsi="Segoe UI" w:cs="Segoe UI"/>
          <w:sz w:val="18"/>
          <w:szCs w:val="18"/>
        </w:rPr>
      </w:pPr>
      <w:r>
        <w:rPr>
          <w:rStyle w:val="normaltextrun"/>
          <w:rFonts w:eastAsiaTheme="majorEastAsia"/>
        </w:rPr>
        <w:t xml:space="preserve">For services to participants and performance accountability (including the customer satisfaction surveys), individual responses are kept private using ETA’s standardized security protocols. Neither grantees </w:t>
      </w:r>
      <w:r>
        <w:rPr>
          <w:rStyle w:val="normaltextrun"/>
          <w:rFonts w:eastAsiaTheme="majorEastAsia"/>
        </w:rPr>
        <w:t>nor</w:t>
      </w:r>
      <w:r>
        <w:rPr>
          <w:rStyle w:val="normaltextrun"/>
          <w:rFonts w:eastAsiaTheme="majorEastAsia"/>
        </w:rPr>
        <w:t> the Department </w:t>
      </w:r>
      <w:r>
        <w:rPr>
          <w:rStyle w:val="normaltextrun"/>
          <w:rFonts w:eastAsiaTheme="majorEastAsia"/>
        </w:rPr>
        <w:t>has</w:t>
      </w:r>
      <w:r>
        <w:rPr>
          <w:rStyle w:val="normaltextrun"/>
          <w:rFonts w:eastAsiaTheme="majorEastAsia"/>
        </w:rPr>
        <w:t xml:space="preserve"> access to any identifiable survey data. Completion of the surveys is optional, and grantees are not requested to include any personally identifying information. Because the surveys are administered by and returned to vendors and contractors, grantees and the Department do not have any access to the survey responses of identifiable individuals. All reports provided to the Department and the grantees contain only aggregate data or de-identified written comments. For survey administration and analysis purposes, the surveys do contain codes that are used for matching survey responses to data in </w:t>
      </w:r>
      <w:r w:rsidR="00D8213A">
        <w:rPr>
          <w:rStyle w:val="normaltextrun"/>
          <w:rFonts w:eastAsiaTheme="majorEastAsia"/>
        </w:rPr>
        <w:t>GPMS</w:t>
      </w:r>
      <w:r>
        <w:rPr>
          <w:rStyle w:val="normaltextrun"/>
          <w:rFonts w:eastAsiaTheme="majorEastAsia"/>
        </w:rPr>
        <w:t>; however, no one other than the survey contractors has access to these codes.  </w:t>
      </w:r>
      <w:r>
        <w:rPr>
          <w:rStyle w:val="eop"/>
          <w:rFonts w:eastAsiaTheme="majorEastAsia"/>
        </w:rPr>
        <w:t> </w:t>
      </w:r>
    </w:p>
    <w:p w:rsidR="00C30178" w:rsidP="00C30178" w14:paraId="418F61BC" w14:textId="13323F0B">
      <w:pPr>
        <w:pStyle w:val="paragraph"/>
        <w:spacing w:before="0" w:beforeAutospacing="0" w:after="0" w:afterAutospacing="0"/>
        <w:ind w:left="360"/>
        <w:textAlignment w:val="baseline"/>
        <w:rPr>
          <w:rFonts w:ascii="Segoe UI" w:hAnsi="Segoe UI" w:cs="Segoe UI"/>
          <w:sz w:val="18"/>
          <w:szCs w:val="18"/>
        </w:rPr>
      </w:pPr>
    </w:p>
    <w:p w:rsidR="00C30178" w:rsidP="00C30178" w14:paraId="34A52E15" w14:textId="77777777">
      <w:pPr>
        <w:pStyle w:val="paragraph"/>
        <w:spacing w:before="0" w:beforeAutospacing="0" w:after="0" w:afterAutospacing="0"/>
        <w:ind w:left="360"/>
        <w:textAlignment w:val="baseline"/>
        <w:rPr>
          <w:rFonts w:ascii="Segoe UI" w:hAnsi="Segoe UI" w:cs="Segoe UI"/>
          <w:sz w:val="18"/>
          <w:szCs w:val="18"/>
        </w:rPr>
      </w:pPr>
      <w:r>
        <w:rPr>
          <w:rStyle w:val="normaltextrun"/>
          <w:rFonts w:eastAsiaTheme="majorEastAsia"/>
        </w:rPr>
        <w:t>Other data provided by customers are kept private to the extent provided under existing statutory authorities, except when privacy is waived. ETA follows Department-wide data security measures for all data systems. </w:t>
      </w:r>
      <w:r>
        <w:rPr>
          <w:rStyle w:val="eop"/>
          <w:rFonts w:eastAsiaTheme="majorEastAsia"/>
        </w:rPr>
        <w:t> </w:t>
      </w:r>
    </w:p>
    <w:p w:rsidR="00C30178" w:rsidP="00C30178" w14:paraId="3FE5ABBA" w14:textId="09A93D13">
      <w:pPr>
        <w:pStyle w:val="paragraph"/>
        <w:spacing w:before="0" w:beforeAutospacing="0" w:after="0" w:afterAutospacing="0"/>
        <w:ind w:left="360"/>
        <w:textAlignment w:val="baseline"/>
        <w:rPr>
          <w:rFonts w:ascii="Segoe UI" w:hAnsi="Segoe UI" w:cs="Segoe UI"/>
          <w:sz w:val="18"/>
          <w:szCs w:val="18"/>
        </w:rPr>
      </w:pPr>
    </w:p>
    <w:p w:rsidR="00DA4ED3" w:rsidP="00D953FD" w14:paraId="233F76BE" w14:textId="738248E8">
      <w:pPr>
        <w:pStyle w:val="paragraph"/>
        <w:spacing w:before="0" w:beforeAutospacing="0" w:after="0" w:afterAutospacing="0"/>
        <w:ind w:left="360"/>
        <w:textAlignment w:val="baseline"/>
      </w:pPr>
      <w:r>
        <w:rPr>
          <w:rStyle w:val="normaltextrun"/>
          <w:rFonts w:eastAsiaTheme="majorEastAsia"/>
        </w:rPr>
        <w:t>In TEGL 39-1</w:t>
      </w:r>
      <w:r w:rsidR="00603620">
        <w:rPr>
          <w:rStyle w:val="normaltextrun"/>
          <w:rFonts w:eastAsiaTheme="majorEastAsia"/>
        </w:rPr>
        <w:t xml:space="preserve">1, </w:t>
      </w:r>
      <w:r>
        <w:rPr>
          <w:rStyle w:val="normaltextrun"/>
          <w:rFonts w:eastAsiaTheme="majorEastAsia"/>
        </w:rPr>
        <w:t>which provides guidance related to federal l</w:t>
      </w:r>
      <w:r w:rsidR="00C30178">
        <w:rPr>
          <w:rStyle w:val="normaltextrun"/>
          <w:rFonts w:eastAsiaTheme="majorEastAsia"/>
        </w:rPr>
        <w:t xml:space="preserve">aws and policies regarding data </w:t>
      </w:r>
      <w:r>
        <w:rPr>
          <w:rStyle w:val="normaltextrun"/>
          <w:rFonts w:eastAsiaTheme="majorEastAsia"/>
        </w:rPr>
        <w:t>privacy, security, and protecting personal</w:t>
      </w:r>
      <w:r w:rsidR="00D8213A">
        <w:rPr>
          <w:rStyle w:val="normaltextrun"/>
          <w:rFonts w:eastAsiaTheme="majorEastAsia"/>
        </w:rPr>
        <w:t>ly</w:t>
      </w:r>
      <w:r>
        <w:rPr>
          <w:rStyle w:val="normaltextrun"/>
          <w:rFonts w:eastAsiaTheme="majorEastAsia"/>
        </w:rPr>
        <w:t xml:space="preserve"> identifiable, and sensitive</w:t>
      </w:r>
      <w:r w:rsidR="00D8213A">
        <w:rPr>
          <w:rStyle w:val="normaltextrun"/>
          <w:rFonts w:eastAsiaTheme="majorEastAsia"/>
        </w:rPr>
        <w:t>,</w:t>
      </w:r>
      <w:r>
        <w:rPr>
          <w:rStyle w:val="normaltextrun"/>
          <w:rFonts w:eastAsiaTheme="majorEastAsia"/>
        </w:rPr>
        <w:t xml:space="preserve"> information, ETA states that grantees must not extract information from data supplied by ETA for any purpose not stated in the grant agreement. ETA recommends that grantees collect Personally Identifiable Information (PII) for grant purposes only, and that before grantees collect PII, or other sensitive information, they ask program participants to sign a release </w:t>
      </w:r>
      <w:r w:rsidR="00446A6F">
        <w:rPr>
          <w:rStyle w:val="normaltextrun"/>
          <w:rFonts w:eastAsiaTheme="majorEastAsia"/>
        </w:rPr>
        <w:t>f</w:t>
      </w:r>
      <w:r>
        <w:rPr>
          <w:rStyle w:val="normaltextrun"/>
          <w:rFonts w:eastAsiaTheme="majorEastAsia"/>
        </w:rPr>
        <w:t xml:space="preserve">orm. ETA advised grantees that their participant </w:t>
      </w:r>
      <w:r w:rsidR="00C179FA">
        <w:rPr>
          <w:rStyle w:val="normaltextrun"/>
          <w:rFonts w:eastAsiaTheme="majorEastAsia"/>
        </w:rPr>
        <w:t xml:space="preserve">release forms should include an explanation of how and for what purposes the </w:t>
      </w:r>
      <w:r w:rsidR="00DE7199">
        <w:rPr>
          <w:rStyle w:val="normaltextrun"/>
          <w:rFonts w:eastAsiaTheme="majorEastAsia"/>
        </w:rPr>
        <w:t xml:space="preserve">collected </w:t>
      </w:r>
      <w:r w:rsidR="00C179FA">
        <w:rPr>
          <w:rStyle w:val="normaltextrun"/>
          <w:rFonts w:eastAsiaTheme="majorEastAsia"/>
        </w:rPr>
        <w:t xml:space="preserve">data will be used. </w:t>
      </w:r>
      <w:r w:rsidR="00C30178">
        <w:rPr>
          <w:rStyle w:val="normaltextrun"/>
          <w:rFonts w:eastAsiaTheme="majorEastAsia"/>
        </w:rPr>
        <w:t xml:space="preserve"> </w:t>
      </w:r>
    </w:p>
    <w:p w:rsidR="00DA4ED3" w:rsidRPr="00BD2119" w:rsidP="00BD2119" w14:paraId="1253162D" w14:textId="47B58D06">
      <w:pPr>
        <w:pStyle w:val="ListParagraph"/>
        <w:numPr>
          <w:ilvl w:val="0"/>
          <w:numId w:val="7"/>
        </w:numPr>
        <w:tabs>
          <w:tab w:val="left" w:pos="450"/>
        </w:tabs>
        <w:spacing w:before="240"/>
        <w:ind w:left="360"/>
        <w:rPr>
          <w:b/>
          <w:bCs/>
          <w:iCs/>
          <w:szCs w:val="24"/>
        </w:rPr>
      </w:pPr>
      <w:r w:rsidRPr="00BD2119">
        <w:rPr>
          <w:b/>
          <w:bCs/>
          <w:iCs/>
          <w:szCs w:val="24"/>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396087" w:rsidP="00BD2119" w14:paraId="4F55AB27" w14:textId="11D84EBA">
      <w:pPr>
        <w:ind w:left="360"/>
        <w:rPr>
          <w:iCs/>
          <w:szCs w:val="24"/>
        </w:rPr>
      </w:pPr>
      <w:r>
        <w:rPr>
          <w:iCs/>
          <w:szCs w:val="24"/>
        </w:rPr>
        <w:t xml:space="preserve">No forms included in this ICR </w:t>
      </w:r>
      <w:r w:rsidR="00A51529">
        <w:rPr>
          <w:iCs/>
          <w:szCs w:val="24"/>
        </w:rPr>
        <w:t xml:space="preserve">contain questions of a sensitive nature. </w:t>
      </w:r>
      <w:r w:rsidR="00B8430D">
        <w:rPr>
          <w:iCs/>
          <w:szCs w:val="24"/>
        </w:rPr>
        <w:t>Additionally,</w:t>
      </w:r>
      <w:r w:rsidR="004C309D">
        <w:rPr>
          <w:iCs/>
          <w:szCs w:val="24"/>
        </w:rPr>
        <w:t xml:space="preserve"> </w:t>
      </w:r>
      <w:r w:rsidR="00C919A6">
        <w:rPr>
          <w:iCs/>
          <w:szCs w:val="24"/>
        </w:rPr>
        <w:t>p</w:t>
      </w:r>
      <w:r w:rsidRPr="00344C0B" w:rsidR="00F57E4C">
        <w:rPr>
          <w:iCs/>
          <w:szCs w:val="24"/>
        </w:rPr>
        <w:t>articipation in the surveys is entirely voluntary</w:t>
      </w:r>
      <w:r w:rsidR="00016064">
        <w:rPr>
          <w:iCs/>
          <w:szCs w:val="24"/>
        </w:rPr>
        <w:t xml:space="preserve">, and </w:t>
      </w:r>
      <w:r w:rsidR="005A4761">
        <w:rPr>
          <w:iCs/>
          <w:szCs w:val="24"/>
        </w:rPr>
        <w:t>respondents</w:t>
      </w:r>
      <w:r w:rsidR="00F57E4C">
        <w:rPr>
          <w:iCs/>
          <w:szCs w:val="24"/>
        </w:rPr>
        <w:t xml:space="preserve"> </w:t>
      </w:r>
      <w:r w:rsidRPr="00344C0B" w:rsidR="00F57E4C">
        <w:rPr>
          <w:iCs/>
          <w:szCs w:val="24"/>
        </w:rPr>
        <w:t xml:space="preserve">may </w:t>
      </w:r>
      <w:r w:rsidR="005A4761">
        <w:rPr>
          <w:iCs/>
          <w:szCs w:val="24"/>
        </w:rPr>
        <w:t xml:space="preserve">decline to answer </w:t>
      </w:r>
      <w:r w:rsidRPr="00344C0B" w:rsidR="00F57E4C">
        <w:rPr>
          <w:iCs/>
          <w:szCs w:val="24"/>
        </w:rPr>
        <w:t xml:space="preserve">any </w:t>
      </w:r>
      <w:r w:rsidR="005A4761">
        <w:rPr>
          <w:iCs/>
          <w:szCs w:val="24"/>
        </w:rPr>
        <w:t xml:space="preserve">individual </w:t>
      </w:r>
      <w:r w:rsidRPr="00344C0B" w:rsidR="00F57E4C">
        <w:rPr>
          <w:iCs/>
          <w:szCs w:val="24"/>
        </w:rPr>
        <w:t>question</w:t>
      </w:r>
      <w:r w:rsidR="005A4761">
        <w:rPr>
          <w:iCs/>
          <w:szCs w:val="24"/>
        </w:rPr>
        <w:t xml:space="preserve"> at their discretion. </w:t>
      </w:r>
    </w:p>
    <w:p w:rsidR="00107C36" w:rsidRPr="006D17F1" w:rsidP="00332752" w14:paraId="74610705" w14:textId="30E3E268">
      <w:pPr>
        <w:pStyle w:val="ListParagraph"/>
        <w:numPr>
          <w:ilvl w:val="0"/>
          <w:numId w:val="7"/>
        </w:numPr>
        <w:spacing w:before="240"/>
        <w:ind w:left="360"/>
        <w:rPr>
          <w:b/>
          <w:bCs/>
          <w:iCs/>
          <w:szCs w:val="24"/>
        </w:rPr>
      </w:pPr>
      <w:r w:rsidRPr="006D17F1">
        <w:rPr>
          <w:b/>
          <w:bCs/>
          <w:iCs/>
          <w:szCs w:val="24"/>
        </w:rPr>
        <w:t>Provide estimates of the hour burden of the collection of information.</w:t>
      </w:r>
    </w:p>
    <w:p w:rsidR="006D17F1" w:rsidRPr="006D17F1" w:rsidP="006D17F1" w14:paraId="0CAC6C93" w14:textId="42505F0E">
      <w:pPr>
        <w:pStyle w:val="ListParagraph"/>
        <w:numPr>
          <w:ilvl w:val="0"/>
          <w:numId w:val="8"/>
        </w:numPr>
        <w:rPr>
          <w:b/>
          <w:bCs/>
          <w:sz w:val="23"/>
          <w:szCs w:val="23"/>
        </w:rPr>
      </w:pPr>
      <w:r w:rsidRPr="006D17F1">
        <w:rPr>
          <w:b/>
          <w:bCs/>
          <w:sz w:val="23"/>
          <w:szCs w:val="23"/>
        </w:rPr>
        <w:t xml:space="preserve">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 </w:t>
      </w:r>
    </w:p>
    <w:p w:rsidR="006D17F1" w:rsidRPr="006D17F1" w:rsidP="006D17F1" w14:paraId="3035C2B0" w14:textId="77777777">
      <w:pPr>
        <w:pStyle w:val="ListParagraph"/>
        <w:rPr>
          <w:b/>
          <w:bCs/>
          <w:sz w:val="23"/>
          <w:szCs w:val="23"/>
        </w:rPr>
      </w:pPr>
    </w:p>
    <w:p w:rsidR="006D17F1" w:rsidRPr="006D17F1" w:rsidP="006D17F1" w14:paraId="5B9EFC1B" w14:textId="1ABE140C">
      <w:pPr>
        <w:pStyle w:val="ListParagraph"/>
        <w:numPr>
          <w:ilvl w:val="0"/>
          <w:numId w:val="8"/>
        </w:numPr>
        <w:rPr>
          <w:b/>
          <w:bCs/>
          <w:sz w:val="23"/>
          <w:szCs w:val="23"/>
        </w:rPr>
      </w:pPr>
      <w:r w:rsidRPr="006D17F1">
        <w:rPr>
          <w:b/>
          <w:bCs/>
          <w:sz w:val="23"/>
          <w:szCs w:val="23"/>
        </w:rPr>
        <w:t>If this request for approval covers more than one form, provide separate hour burden estimates for each form.</w:t>
      </w:r>
    </w:p>
    <w:p w:rsidR="006D17F1" w:rsidRPr="006D17F1" w:rsidP="006D17F1" w14:paraId="37326037" w14:textId="77777777">
      <w:pPr>
        <w:pStyle w:val="ListParagraph"/>
        <w:rPr>
          <w:b/>
          <w:bCs/>
          <w:sz w:val="23"/>
          <w:szCs w:val="23"/>
        </w:rPr>
      </w:pPr>
    </w:p>
    <w:p w:rsidR="006D17F1" w:rsidRPr="006D17F1" w:rsidP="006D17F1" w14:paraId="435B37CB" w14:textId="77777777">
      <w:pPr>
        <w:pStyle w:val="ListParagraph"/>
        <w:numPr>
          <w:ilvl w:val="0"/>
          <w:numId w:val="8"/>
        </w:numPr>
        <w:rPr>
          <w:b/>
          <w:bCs/>
          <w:sz w:val="23"/>
          <w:szCs w:val="23"/>
        </w:rPr>
      </w:pPr>
      <w:r w:rsidRPr="006D17F1">
        <w:rPr>
          <w:b/>
          <w:bCs/>
          <w:sz w:val="23"/>
          <w:szCs w:val="23"/>
        </w:rPr>
        <w:t xml:space="preserve">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14. </w:t>
      </w:r>
    </w:p>
    <w:p w:rsidR="006D17F1" w:rsidRPr="00B17F90" w:rsidP="00210718" w14:paraId="566C58FE" w14:textId="49359DBE">
      <w:pPr>
        <w:pStyle w:val="NoSpacing"/>
        <w:ind w:left="360"/>
        <w:rPr>
          <w:rFonts w:ascii="Times New Roman" w:hAnsi="Times New Roman" w:cs="Times New Roman"/>
          <w:b/>
          <w:bCs/>
        </w:rPr>
      </w:pPr>
      <w:r w:rsidRPr="00B17F90">
        <w:rPr>
          <w:rFonts w:ascii="Times New Roman" w:hAnsi="Times New Roman" w:cs="Times New Roman"/>
          <w:b/>
          <w:bCs/>
        </w:rPr>
        <w:t>Data Collection Instrument (</w:t>
      </w:r>
      <w:r w:rsidR="001A5284">
        <w:rPr>
          <w:rFonts w:ascii="Times New Roman" w:hAnsi="Times New Roman" w:cs="Times New Roman"/>
          <w:b/>
          <w:bCs/>
        </w:rPr>
        <w:t xml:space="preserve">Form </w:t>
      </w:r>
      <w:r w:rsidRPr="00B17F90">
        <w:rPr>
          <w:rFonts w:ascii="Times New Roman" w:hAnsi="Times New Roman" w:cs="Times New Roman"/>
          <w:b/>
          <w:bCs/>
        </w:rPr>
        <w:t>ETA-9191)</w:t>
      </w:r>
    </w:p>
    <w:p w:rsidR="00B42EE3" w:rsidP="00210718" w14:paraId="7A922B4F" w14:textId="77777777">
      <w:pPr>
        <w:pStyle w:val="NoSpacing"/>
        <w:ind w:left="360"/>
        <w:rPr>
          <w:rFonts w:ascii="Times New Roman" w:hAnsi="Times New Roman" w:cs="Times New Roman"/>
        </w:rPr>
      </w:pPr>
    </w:p>
    <w:p w:rsidR="00B42EE3" w:rsidP="00210718" w14:paraId="5D50FE1D" w14:textId="08E5319C">
      <w:pPr>
        <w:pStyle w:val="NoSpacing"/>
        <w:ind w:left="360"/>
        <w:rPr>
          <w:rFonts w:ascii="Times New Roman" w:hAnsi="Times New Roman" w:cs="Times New Roman"/>
        </w:rPr>
      </w:pPr>
      <w:r>
        <w:rPr>
          <w:rFonts w:ascii="Times New Roman" w:hAnsi="Times New Roman" w:cs="Times New Roman"/>
        </w:rPr>
        <w:t>The annual burden for the Data Collection Instrument is calculated based on the number of participants</w:t>
      </w:r>
      <w:r w:rsidR="001A5284">
        <w:rPr>
          <w:rFonts w:ascii="Times New Roman" w:hAnsi="Times New Roman" w:cs="Times New Roman"/>
        </w:rPr>
        <w:t xml:space="preserve"> and</w:t>
      </w:r>
      <w:r>
        <w:rPr>
          <w:rFonts w:ascii="Times New Roman" w:hAnsi="Times New Roman" w:cs="Times New Roman"/>
        </w:rPr>
        <w:t xml:space="preserve"> the time it takes to complete</w:t>
      </w:r>
      <w:r w:rsidR="00FD24FF">
        <w:rPr>
          <w:rFonts w:ascii="Times New Roman" w:hAnsi="Times New Roman" w:cs="Times New Roman"/>
        </w:rPr>
        <w:t xml:space="preserve"> each field – </w:t>
      </w:r>
      <w:r w:rsidR="009D6485">
        <w:rPr>
          <w:rFonts w:ascii="Times New Roman" w:hAnsi="Times New Roman" w:cs="Times New Roman"/>
        </w:rPr>
        <w:t>considering</w:t>
      </w:r>
      <w:r w:rsidR="00FD24FF">
        <w:rPr>
          <w:rFonts w:ascii="Times New Roman" w:hAnsi="Times New Roman" w:cs="Times New Roman"/>
        </w:rPr>
        <w:t xml:space="preserve"> the number of required versus non-required fields. </w:t>
      </w:r>
      <w:r w:rsidR="009D6485">
        <w:rPr>
          <w:rFonts w:ascii="Times New Roman" w:hAnsi="Times New Roman" w:cs="Times New Roman"/>
        </w:rPr>
        <w:t>The</w:t>
      </w:r>
      <w:r w:rsidR="00E1494D">
        <w:rPr>
          <w:rFonts w:ascii="Times New Roman" w:hAnsi="Times New Roman" w:cs="Times New Roman"/>
        </w:rPr>
        <w:t xml:space="preserve"> hourly rate differs based on the type of SCSEP grantee </w:t>
      </w:r>
      <w:r w:rsidR="00E779FD">
        <w:rPr>
          <w:rFonts w:ascii="Times New Roman" w:hAnsi="Times New Roman" w:cs="Times New Roman"/>
        </w:rPr>
        <w:t>entering data</w:t>
      </w:r>
      <w:r w:rsidR="00770B11">
        <w:rPr>
          <w:rFonts w:ascii="Times New Roman" w:hAnsi="Times New Roman" w:cs="Times New Roman"/>
        </w:rPr>
        <w:t>:</w:t>
      </w:r>
      <w:r w:rsidR="00E779FD">
        <w:rPr>
          <w:rFonts w:ascii="Times New Roman" w:hAnsi="Times New Roman" w:cs="Times New Roman"/>
        </w:rPr>
        <w:t xml:space="preserve"> staff from SCSEP discretionary grants</w:t>
      </w:r>
      <w:r w:rsidR="00E779FD">
        <w:rPr>
          <w:rFonts w:ascii="Times New Roman" w:hAnsi="Times New Roman" w:cs="Times New Roman"/>
        </w:rPr>
        <w:t xml:space="preserve"> </w:t>
      </w:r>
      <w:r w:rsidR="001A5284">
        <w:rPr>
          <w:rFonts w:ascii="Times New Roman" w:hAnsi="Times New Roman" w:cs="Times New Roman"/>
        </w:rPr>
        <w:t>(</w:t>
      </w:r>
      <w:r w:rsidR="00E779FD">
        <w:rPr>
          <w:rFonts w:ascii="Times New Roman" w:hAnsi="Times New Roman" w:cs="Times New Roman"/>
        </w:rPr>
        <w:t>non-</w:t>
      </w:r>
      <w:r w:rsidR="00F76B17">
        <w:rPr>
          <w:rFonts w:ascii="Times New Roman" w:hAnsi="Times New Roman" w:cs="Times New Roman"/>
        </w:rPr>
        <w:t>profits</w:t>
      </w:r>
      <w:r w:rsidR="001A5284">
        <w:rPr>
          <w:rFonts w:ascii="Times New Roman" w:hAnsi="Times New Roman" w:cs="Times New Roman"/>
        </w:rPr>
        <w:t>)</w:t>
      </w:r>
      <w:r w:rsidR="00E779FD">
        <w:rPr>
          <w:rFonts w:ascii="Times New Roman" w:hAnsi="Times New Roman" w:cs="Times New Roman"/>
        </w:rPr>
        <w:t xml:space="preserve"> or staff from SCSEP formula grants</w:t>
      </w:r>
      <w:r w:rsidR="00E779FD">
        <w:rPr>
          <w:rFonts w:ascii="Times New Roman" w:hAnsi="Times New Roman" w:cs="Times New Roman"/>
        </w:rPr>
        <w:t xml:space="preserve"> </w:t>
      </w:r>
      <w:r w:rsidR="001A5284">
        <w:rPr>
          <w:rFonts w:ascii="Times New Roman" w:hAnsi="Times New Roman" w:cs="Times New Roman"/>
        </w:rPr>
        <w:t>(</w:t>
      </w:r>
      <w:r w:rsidR="00F76B17">
        <w:rPr>
          <w:rFonts w:ascii="Times New Roman" w:hAnsi="Times New Roman" w:cs="Times New Roman"/>
        </w:rPr>
        <w:t>State agencies</w:t>
      </w:r>
      <w:r w:rsidR="001A5284">
        <w:rPr>
          <w:rFonts w:ascii="Times New Roman" w:hAnsi="Times New Roman" w:cs="Times New Roman"/>
        </w:rPr>
        <w:t>)</w:t>
      </w:r>
      <w:r w:rsidR="00F76B17">
        <w:rPr>
          <w:rFonts w:ascii="Times New Roman" w:hAnsi="Times New Roman" w:cs="Times New Roman"/>
        </w:rPr>
        <w:t xml:space="preserve">. </w:t>
      </w:r>
    </w:p>
    <w:p w:rsidR="00F76B17" w:rsidP="00210718" w14:paraId="2DB65C14" w14:textId="77777777">
      <w:pPr>
        <w:pStyle w:val="NoSpacing"/>
        <w:ind w:left="360"/>
        <w:rPr>
          <w:rFonts w:ascii="Times New Roman" w:hAnsi="Times New Roman" w:cs="Times New Roman"/>
        </w:rPr>
      </w:pPr>
    </w:p>
    <w:p w:rsidR="00F76B17" w:rsidRPr="00ED4F16" w:rsidP="00210718" w14:paraId="7484AA15" w14:textId="582846C2">
      <w:pPr>
        <w:pStyle w:val="NoSpacing"/>
        <w:ind w:left="360"/>
        <w:rPr>
          <w:rFonts w:ascii="Times New Roman" w:hAnsi="Times New Roman" w:cs="Times New Roman"/>
          <w:b/>
          <w:bCs/>
        </w:rPr>
      </w:pPr>
      <w:r w:rsidRPr="00ED4F16">
        <w:rPr>
          <w:rFonts w:ascii="Times New Roman" w:hAnsi="Times New Roman" w:cs="Times New Roman"/>
          <w:b/>
          <w:bCs/>
        </w:rPr>
        <w:t>Customer Satisfaction Surveys (</w:t>
      </w:r>
      <w:r w:rsidR="00770B11">
        <w:rPr>
          <w:rFonts w:ascii="Times New Roman" w:hAnsi="Times New Roman" w:cs="Times New Roman"/>
          <w:b/>
          <w:bCs/>
        </w:rPr>
        <w:t xml:space="preserve">Form </w:t>
      </w:r>
      <w:r w:rsidRPr="00ED4F16">
        <w:rPr>
          <w:rFonts w:ascii="Times New Roman" w:hAnsi="Times New Roman" w:cs="Times New Roman"/>
          <w:b/>
          <w:bCs/>
        </w:rPr>
        <w:t>ETA-9124 Series)</w:t>
      </w:r>
    </w:p>
    <w:p w:rsidR="008B716F" w:rsidP="00210718" w14:paraId="4834116C" w14:textId="77777777">
      <w:pPr>
        <w:pStyle w:val="NoSpacing"/>
        <w:ind w:left="360"/>
        <w:rPr>
          <w:rFonts w:ascii="Times New Roman" w:hAnsi="Times New Roman" w:cs="Times New Roman"/>
        </w:rPr>
      </w:pPr>
    </w:p>
    <w:p w:rsidR="008B716F" w:rsidP="00210718" w14:paraId="176865A9" w14:textId="426E50C9">
      <w:pPr>
        <w:pStyle w:val="NoSpacing"/>
        <w:ind w:left="360"/>
        <w:rPr>
          <w:rFonts w:ascii="Times New Roman" w:hAnsi="Times New Roman" w:cs="Times New Roman"/>
        </w:rPr>
      </w:pPr>
      <w:r>
        <w:rPr>
          <w:rFonts w:ascii="Times New Roman" w:hAnsi="Times New Roman" w:cs="Times New Roman"/>
        </w:rPr>
        <w:t xml:space="preserve">The annual burden for the Customer </w:t>
      </w:r>
      <w:r w:rsidR="00770B11">
        <w:rPr>
          <w:rFonts w:ascii="Times New Roman" w:hAnsi="Times New Roman" w:cs="Times New Roman"/>
        </w:rPr>
        <w:t>S</w:t>
      </w:r>
      <w:r>
        <w:rPr>
          <w:rFonts w:ascii="Times New Roman" w:hAnsi="Times New Roman" w:cs="Times New Roman"/>
        </w:rPr>
        <w:t xml:space="preserve">atisfaction </w:t>
      </w:r>
      <w:r w:rsidR="00770B11">
        <w:rPr>
          <w:rFonts w:ascii="Times New Roman" w:hAnsi="Times New Roman" w:cs="Times New Roman"/>
        </w:rPr>
        <w:t>S</w:t>
      </w:r>
      <w:r>
        <w:rPr>
          <w:rFonts w:ascii="Times New Roman" w:hAnsi="Times New Roman" w:cs="Times New Roman"/>
        </w:rPr>
        <w:t xml:space="preserve">urvey is calculated based on the number of </w:t>
      </w:r>
      <w:r w:rsidR="00905AAC">
        <w:rPr>
          <w:rFonts w:ascii="Times New Roman" w:hAnsi="Times New Roman" w:cs="Times New Roman"/>
        </w:rPr>
        <w:t>respondents and the estimated time for completing the survey. The hourly rates differ based on the population completing the survey – participants,</w:t>
      </w:r>
      <w:r w:rsidR="00905AAC">
        <w:rPr>
          <w:rFonts w:ascii="Times New Roman" w:hAnsi="Times New Roman" w:cs="Times New Roman"/>
        </w:rPr>
        <w:t xml:space="preserve"> </w:t>
      </w:r>
      <w:r w:rsidR="00905AAC">
        <w:rPr>
          <w:rFonts w:ascii="Times New Roman" w:hAnsi="Times New Roman" w:cs="Times New Roman"/>
        </w:rPr>
        <w:t>host agenc</w:t>
      </w:r>
      <w:r w:rsidR="00770B11">
        <w:rPr>
          <w:rFonts w:ascii="Times New Roman" w:hAnsi="Times New Roman" w:cs="Times New Roman"/>
        </w:rPr>
        <w:t>ies,</w:t>
      </w:r>
      <w:r w:rsidR="00905AAC">
        <w:rPr>
          <w:rFonts w:ascii="Times New Roman" w:hAnsi="Times New Roman" w:cs="Times New Roman"/>
        </w:rPr>
        <w:t xml:space="preserve"> </w:t>
      </w:r>
      <w:r w:rsidR="00770B11">
        <w:rPr>
          <w:rFonts w:ascii="Times New Roman" w:hAnsi="Times New Roman" w:cs="Times New Roman"/>
        </w:rPr>
        <w:t>or</w:t>
      </w:r>
      <w:r w:rsidR="00905AAC">
        <w:rPr>
          <w:rFonts w:ascii="Times New Roman" w:hAnsi="Times New Roman" w:cs="Times New Roman"/>
        </w:rPr>
        <w:t xml:space="preserve"> employers. </w:t>
      </w:r>
    </w:p>
    <w:p w:rsidR="00770B11" w:rsidRPr="00210718" w:rsidP="00210718" w14:paraId="4EE34DAB" w14:textId="77777777">
      <w:pPr>
        <w:pStyle w:val="NoSpacing"/>
        <w:ind w:left="360"/>
        <w:rPr>
          <w:rFonts w:ascii="Times New Roman" w:hAnsi="Times New Roman" w:cs="Times New Roman"/>
        </w:rPr>
      </w:pPr>
    </w:p>
    <w:tbl>
      <w:tblPr>
        <w:tblW w:w="10751" w:type="dxa"/>
        <w:jc w:val="center"/>
        <w:tblLayout w:type="fixed"/>
        <w:tblLook w:val="04A0"/>
      </w:tblPr>
      <w:tblGrid>
        <w:gridCol w:w="1051"/>
        <w:gridCol w:w="1330"/>
        <w:gridCol w:w="1350"/>
        <w:gridCol w:w="1170"/>
        <w:gridCol w:w="1530"/>
        <w:gridCol w:w="1080"/>
        <w:gridCol w:w="990"/>
        <w:gridCol w:w="900"/>
        <w:gridCol w:w="1350"/>
      </w:tblGrid>
      <w:tr w14:paraId="1CA04B32" w14:textId="77777777" w:rsidTr="005F36DE">
        <w:tblPrEx>
          <w:tblW w:w="10751" w:type="dxa"/>
          <w:jc w:val="center"/>
          <w:tblLayout w:type="fixed"/>
          <w:tblLook w:val="04A0"/>
        </w:tblPrEx>
        <w:trPr>
          <w:trHeight w:val="1008"/>
          <w:jc w:val="center"/>
        </w:trPr>
        <w:tc>
          <w:tcPr>
            <w:tcW w:w="1051" w:type="dxa"/>
            <w:tcBorders>
              <w:top w:val="single" w:sz="4" w:space="0" w:color="auto"/>
              <w:left w:val="single" w:sz="4" w:space="0" w:color="auto"/>
              <w:bottom w:val="nil"/>
              <w:right w:val="single" w:sz="4" w:space="0" w:color="auto"/>
            </w:tcBorders>
            <w:shd w:val="clear" w:color="000000" w:fill="8DB3E2"/>
            <w:vAlign w:val="center"/>
            <w:hideMark/>
          </w:tcPr>
          <w:p w:rsidR="006C7EF7" w:rsidRPr="006C7EF7" w:rsidP="006C7EF7" w14:paraId="7AC61473" w14:textId="77777777">
            <w:pPr>
              <w:widowControl/>
              <w:autoSpaceDE/>
              <w:autoSpaceDN/>
              <w:adjustRightInd/>
              <w:spacing w:before="0" w:after="0"/>
              <w:jc w:val="center"/>
              <w:rPr>
                <w:b/>
                <w:bCs/>
                <w:color w:val="000000"/>
                <w:sz w:val="19"/>
                <w:szCs w:val="19"/>
              </w:rPr>
            </w:pPr>
            <w:r w:rsidRPr="006C7EF7">
              <w:rPr>
                <w:b/>
                <w:bCs/>
                <w:color w:val="000000"/>
                <w:sz w:val="19"/>
                <w:szCs w:val="19"/>
              </w:rPr>
              <w:t>Activity</w:t>
            </w:r>
          </w:p>
        </w:tc>
        <w:tc>
          <w:tcPr>
            <w:tcW w:w="1330" w:type="dxa"/>
            <w:tcBorders>
              <w:top w:val="single" w:sz="4" w:space="0" w:color="auto"/>
              <w:left w:val="nil"/>
              <w:bottom w:val="nil"/>
              <w:right w:val="single" w:sz="4" w:space="0" w:color="auto"/>
            </w:tcBorders>
            <w:shd w:val="clear" w:color="000000" w:fill="8DB3E2"/>
            <w:vAlign w:val="center"/>
            <w:hideMark/>
          </w:tcPr>
          <w:p w:rsidR="006C7EF7" w:rsidRPr="006C7EF7" w:rsidP="006C7EF7" w14:paraId="1C0B7F9C" w14:textId="77777777">
            <w:pPr>
              <w:widowControl/>
              <w:autoSpaceDE/>
              <w:autoSpaceDN/>
              <w:adjustRightInd/>
              <w:spacing w:before="0" w:after="0"/>
              <w:jc w:val="center"/>
              <w:rPr>
                <w:b/>
                <w:bCs/>
                <w:color w:val="000000"/>
                <w:sz w:val="19"/>
                <w:szCs w:val="19"/>
              </w:rPr>
            </w:pPr>
            <w:r w:rsidRPr="006C7EF7">
              <w:rPr>
                <w:b/>
                <w:bCs/>
                <w:color w:val="000000"/>
                <w:sz w:val="19"/>
                <w:szCs w:val="19"/>
              </w:rPr>
              <w:t xml:space="preserve">No. of Respondents </w:t>
            </w:r>
          </w:p>
        </w:tc>
        <w:tc>
          <w:tcPr>
            <w:tcW w:w="1350" w:type="dxa"/>
            <w:tcBorders>
              <w:top w:val="single" w:sz="4" w:space="0" w:color="auto"/>
              <w:left w:val="nil"/>
              <w:bottom w:val="single" w:sz="4" w:space="0" w:color="auto"/>
              <w:right w:val="single" w:sz="4" w:space="0" w:color="auto"/>
            </w:tcBorders>
            <w:shd w:val="clear" w:color="000000" w:fill="8DB3E2"/>
            <w:vAlign w:val="center"/>
            <w:hideMark/>
          </w:tcPr>
          <w:p w:rsidR="006C7EF7" w:rsidRPr="006C7EF7" w:rsidP="006C7EF7" w14:paraId="002B32A8" w14:textId="77777777">
            <w:pPr>
              <w:widowControl/>
              <w:autoSpaceDE/>
              <w:autoSpaceDN/>
              <w:adjustRightInd/>
              <w:spacing w:before="0" w:after="0"/>
              <w:jc w:val="center"/>
              <w:rPr>
                <w:b/>
                <w:bCs/>
                <w:color w:val="000000"/>
                <w:sz w:val="19"/>
                <w:szCs w:val="19"/>
              </w:rPr>
            </w:pPr>
            <w:r w:rsidRPr="006C7EF7">
              <w:rPr>
                <w:b/>
                <w:bCs/>
                <w:color w:val="000000"/>
                <w:sz w:val="19"/>
                <w:szCs w:val="19"/>
              </w:rPr>
              <w:t>No. of Responses per Respondent</w:t>
            </w:r>
          </w:p>
        </w:tc>
        <w:tc>
          <w:tcPr>
            <w:tcW w:w="1170" w:type="dxa"/>
            <w:tcBorders>
              <w:top w:val="single" w:sz="4" w:space="0" w:color="auto"/>
              <w:left w:val="nil"/>
              <w:bottom w:val="nil"/>
              <w:right w:val="single" w:sz="4" w:space="0" w:color="auto"/>
            </w:tcBorders>
            <w:shd w:val="clear" w:color="000000" w:fill="8DB3E2"/>
            <w:vAlign w:val="center"/>
            <w:hideMark/>
          </w:tcPr>
          <w:p w:rsidR="006C7EF7" w:rsidRPr="006C7EF7" w:rsidP="006C7EF7" w14:paraId="1443063D" w14:textId="77777777">
            <w:pPr>
              <w:widowControl/>
              <w:autoSpaceDE/>
              <w:autoSpaceDN/>
              <w:adjustRightInd/>
              <w:spacing w:before="0" w:after="0"/>
              <w:jc w:val="center"/>
              <w:rPr>
                <w:b/>
                <w:bCs/>
                <w:color w:val="000000"/>
                <w:sz w:val="19"/>
                <w:szCs w:val="19"/>
              </w:rPr>
            </w:pPr>
            <w:r w:rsidRPr="006C7EF7">
              <w:rPr>
                <w:b/>
                <w:bCs/>
                <w:color w:val="000000"/>
                <w:sz w:val="19"/>
                <w:szCs w:val="19"/>
              </w:rPr>
              <w:t>Frequency</w:t>
            </w:r>
          </w:p>
        </w:tc>
        <w:tc>
          <w:tcPr>
            <w:tcW w:w="1530" w:type="dxa"/>
            <w:tcBorders>
              <w:top w:val="single" w:sz="4" w:space="0" w:color="auto"/>
              <w:left w:val="nil"/>
              <w:bottom w:val="nil"/>
              <w:right w:val="single" w:sz="4" w:space="0" w:color="auto"/>
            </w:tcBorders>
            <w:shd w:val="clear" w:color="000000" w:fill="8DB3E2"/>
            <w:vAlign w:val="center"/>
            <w:hideMark/>
          </w:tcPr>
          <w:p w:rsidR="006C7EF7" w:rsidRPr="006C7EF7" w:rsidP="006C7EF7" w14:paraId="6A531645" w14:textId="77777777">
            <w:pPr>
              <w:widowControl/>
              <w:autoSpaceDE/>
              <w:autoSpaceDN/>
              <w:adjustRightInd/>
              <w:spacing w:before="0" w:after="0"/>
              <w:jc w:val="center"/>
              <w:rPr>
                <w:b/>
                <w:bCs/>
                <w:color w:val="000000"/>
                <w:sz w:val="19"/>
                <w:szCs w:val="19"/>
              </w:rPr>
            </w:pPr>
            <w:r w:rsidRPr="006C7EF7">
              <w:rPr>
                <w:b/>
                <w:bCs/>
                <w:color w:val="000000"/>
                <w:sz w:val="19"/>
                <w:szCs w:val="19"/>
              </w:rPr>
              <w:t>Total Estimated Annual Responses</w:t>
            </w:r>
          </w:p>
        </w:tc>
        <w:tc>
          <w:tcPr>
            <w:tcW w:w="1080" w:type="dxa"/>
            <w:tcBorders>
              <w:top w:val="single" w:sz="4" w:space="0" w:color="auto"/>
              <w:left w:val="nil"/>
              <w:bottom w:val="nil"/>
              <w:right w:val="single" w:sz="4" w:space="0" w:color="auto"/>
            </w:tcBorders>
            <w:shd w:val="clear" w:color="000000" w:fill="8DB3E2"/>
            <w:vAlign w:val="center"/>
            <w:hideMark/>
          </w:tcPr>
          <w:p w:rsidR="006C7EF7" w:rsidRPr="006C7EF7" w:rsidP="006C7EF7" w14:paraId="108A418C" w14:textId="77777777">
            <w:pPr>
              <w:widowControl/>
              <w:autoSpaceDE/>
              <w:autoSpaceDN/>
              <w:adjustRightInd/>
              <w:spacing w:before="0" w:after="0"/>
              <w:jc w:val="center"/>
              <w:rPr>
                <w:b/>
                <w:bCs/>
                <w:color w:val="000000"/>
                <w:sz w:val="19"/>
                <w:szCs w:val="19"/>
              </w:rPr>
            </w:pPr>
            <w:r w:rsidRPr="006C7EF7">
              <w:rPr>
                <w:b/>
                <w:bCs/>
                <w:color w:val="000000"/>
                <w:sz w:val="19"/>
                <w:szCs w:val="19"/>
              </w:rPr>
              <w:t>Time Per Response (Hours)</w:t>
            </w:r>
          </w:p>
        </w:tc>
        <w:tc>
          <w:tcPr>
            <w:tcW w:w="990" w:type="dxa"/>
            <w:tcBorders>
              <w:top w:val="single" w:sz="4" w:space="0" w:color="auto"/>
              <w:left w:val="nil"/>
              <w:bottom w:val="nil"/>
              <w:right w:val="single" w:sz="4" w:space="0" w:color="auto"/>
            </w:tcBorders>
            <w:shd w:val="clear" w:color="000000" w:fill="8DB3E2"/>
            <w:vAlign w:val="center"/>
            <w:hideMark/>
          </w:tcPr>
          <w:p w:rsidR="006C7EF7" w:rsidRPr="006C7EF7" w:rsidP="006C7EF7" w14:paraId="230153CE" w14:textId="77777777">
            <w:pPr>
              <w:widowControl/>
              <w:autoSpaceDE/>
              <w:autoSpaceDN/>
              <w:adjustRightInd/>
              <w:spacing w:before="0" w:after="0"/>
              <w:jc w:val="center"/>
              <w:rPr>
                <w:b/>
                <w:bCs/>
                <w:color w:val="000000"/>
                <w:sz w:val="19"/>
                <w:szCs w:val="19"/>
              </w:rPr>
            </w:pPr>
            <w:r w:rsidRPr="006C7EF7">
              <w:rPr>
                <w:b/>
                <w:bCs/>
                <w:color w:val="000000"/>
                <w:sz w:val="19"/>
                <w:szCs w:val="19"/>
              </w:rPr>
              <w:t>Total Annual Burden (Hours)</w:t>
            </w:r>
          </w:p>
        </w:tc>
        <w:tc>
          <w:tcPr>
            <w:tcW w:w="900" w:type="dxa"/>
            <w:tcBorders>
              <w:top w:val="single" w:sz="4" w:space="0" w:color="auto"/>
              <w:left w:val="nil"/>
              <w:bottom w:val="nil"/>
              <w:right w:val="single" w:sz="4" w:space="0" w:color="auto"/>
            </w:tcBorders>
            <w:shd w:val="clear" w:color="000000" w:fill="8DB3E2"/>
            <w:vAlign w:val="center"/>
            <w:hideMark/>
          </w:tcPr>
          <w:p w:rsidR="006C7EF7" w:rsidRPr="006C7EF7" w:rsidP="006C7EF7" w14:paraId="04F8C54E" w14:textId="77777777">
            <w:pPr>
              <w:widowControl/>
              <w:autoSpaceDE/>
              <w:autoSpaceDN/>
              <w:adjustRightInd/>
              <w:spacing w:before="0" w:after="0"/>
              <w:jc w:val="center"/>
              <w:rPr>
                <w:b/>
                <w:bCs/>
                <w:color w:val="000000"/>
                <w:sz w:val="19"/>
                <w:szCs w:val="19"/>
              </w:rPr>
            </w:pPr>
            <w:r w:rsidRPr="006C7EF7">
              <w:rPr>
                <w:b/>
                <w:bCs/>
                <w:color w:val="000000"/>
                <w:sz w:val="19"/>
                <w:szCs w:val="19"/>
              </w:rPr>
              <w:t>Hourly Rate*</w:t>
            </w:r>
          </w:p>
        </w:tc>
        <w:tc>
          <w:tcPr>
            <w:tcW w:w="1350" w:type="dxa"/>
            <w:tcBorders>
              <w:top w:val="single" w:sz="4" w:space="0" w:color="auto"/>
              <w:left w:val="nil"/>
              <w:bottom w:val="nil"/>
              <w:right w:val="single" w:sz="4" w:space="0" w:color="auto"/>
            </w:tcBorders>
            <w:shd w:val="clear" w:color="000000" w:fill="8DB3E2"/>
            <w:vAlign w:val="center"/>
            <w:hideMark/>
          </w:tcPr>
          <w:p w:rsidR="006C7EF7" w:rsidRPr="006C7EF7" w:rsidP="006C7EF7" w14:paraId="56B5EF0B" w14:textId="77777777">
            <w:pPr>
              <w:widowControl/>
              <w:autoSpaceDE/>
              <w:autoSpaceDN/>
              <w:adjustRightInd/>
              <w:spacing w:before="0" w:after="0"/>
              <w:jc w:val="center"/>
              <w:rPr>
                <w:b/>
                <w:bCs/>
                <w:color w:val="000000"/>
                <w:sz w:val="19"/>
                <w:szCs w:val="19"/>
              </w:rPr>
            </w:pPr>
            <w:r w:rsidRPr="006C7EF7">
              <w:rPr>
                <w:b/>
                <w:bCs/>
                <w:color w:val="000000"/>
                <w:sz w:val="19"/>
                <w:szCs w:val="19"/>
              </w:rPr>
              <w:t>Monetary Value of Respondent Time</w:t>
            </w:r>
          </w:p>
        </w:tc>
      </w:tr>
      <w:tr w14:paraId="53A3CFDA" w14:textId="77777777" w:rsidTr="005F36DE">
        <w:tblPrEx>
          <w:tblW w:w="10751" w:type="dxa"/>
          <w:jc w:val="center"/>
          <w:tblLayout w:type="fixed"/>
          <w:tblLook w:val="04A0"/>
        </w:tblPrEx>
        <w:trPr>
          <w:trHeight w:val="792"/>
          <w:jc w:val="center"/>
        </w:trPr>
        <w:tc>
          <w:tcPr>
            <w:tcW w:w="1051" w:type="dxa"/>
            <w:tcBorders>
              <w:top w:val="single" w:sz="4" w:space="0" w:color="auto"/>
              <w:left w:val="single" w:sz="4" w:space="0" w:color="auto"/>
              <w:bottom w:val="single" w:sz="4" w:space="0" w:color="auto"/>
              <w:right w:val="single" w:sz="4" w:space="0" w:color="auto"/>
            </w:tcBorders>
            <w:vAlign w:val="center"/>
            <w:hideMark/>
          </w:tcPr>
          <w:p w:rsidR="006C7EF7" w:rsidRPr="006C7EF7" w:rsidP="006C7EF7" w14:paraId="4C717A9B" w14:textId="77777777">
            <w:pPr>
              <w:widowControl/>
              <w:autoSpaceDE/>
              <w:autoSpaceDN/>
              <w:adjustRightInd/>
              <w:spacing w:before="0" w:after="0"/>
              <w:rPr>
                <w:color w:val="000000"/>
                <w:sz w:val="20"/>
              </w:rPr>
            </w:pPr>
            <w:r w:rsidRPr="006C7EF7">
              <w:rPr>
                <w:color w:val="000000"/>
                <w:sz w:val="20"/>
              </w:rPr>
              <w:t>ETA 9191 Combined</w:t>
            </w:r>
          </w:p>
        </w:tc>
        <w:tc>
          <w:tcPr>
            <w:tcW w:w="1330" w:type="dxa"/>
            <w:tcBorders>
              <w:top w:val="single" w:sz="4" w:space="0" w:color="auto"/>
              <w:left w:val="nil"/>
              <w:bottom w:val="single" w:sz="4" w:space="0" w:color="auto"/>
              <w:right w:val="single" w:sz="4" w:space="0" w:color="auto"/>
            </w:tcBorders>
            <w:vAlign w:val="center"/>
            <w:hideMark/>
          </w:tcPr>
          <w:p w:rsidR="006C7EF7" w:rsidRPr="006C7EF7" w:rsidP="006C7EF7" w14:paraId="3879640D" w14:textId="77777777">
            <w:pPr>
              <w:widowControl/>
              <w:autoSpaceDE/>
              <w:autoSpaceDN/>
              <w:adjustRightInd/>
              <w:spacing w:before="0" w:after="0"/>
              <w:jc w:val="center"/>
              <w:rPr>
                <w:color w:val="000000"/>
                <w:sz w:val="20"/>
              </w:rPr>
            </w:pPr>
            <w:r w:rsidRPr="006C7EF7">
              <w:rPr>
                <w:color w:val="000000"/>
                <w:sz w:val="20"/>
              </w:rPr>
              <w:t>39,770</w:t>
            </w:r>
          </w:p>
        </w:tc>
        <w:tc>
          <w:tcPr>
            <w:tcW w:w="1350" w:type="dxa"/>
            <w:tcBorders>
              <w:top w:val="nil"/>
              <w:left w:val="nil"/>
              <w:bottom w:val="single" w:sz="4" w:space="0" w:color="auto"/>
              <w:right w:val="single" w:sz="4" w:space="0" w:color="auto"/>
            </w:tcBorders>
            <w:vAlign w:val="center"/>
            <w:hideMark/>
          </w:tcPr>
          <w:p w:rsidR="006C7EF7" w:rsidRPr="006C7EF7" w:rsidP="006C7EF7" w14:paraId="2400151A" w14:textId="77777777">
            <w:pPr>
              <w:widowControl/>
              <w:autoSpaceDE/>
              <w:autoSpaceDN/>
              <w:adjustRightInd/>
              <w:spacing w:before="0" w:after="0"/>
              <w:jc w:val="center"/>
              <w:rPr>
                <w:color w:val="000000"/>
                <w:sz w:val="20"/>
              </w:rPr>
            </w:pPr>
            <w:r w:rsidRPr="006C7EF7">
              <w:rPr>
                <w:color w:val="000000"/>
                <w:sz w:val="20"/>
              </w:rPr>
              <w:t>1</w:t>
            </w:r>
          </w:p>
        </w:tc>
        <w:tc>
          <w:tcPr>
            <w:tcW w:w="1170" w:type="dxa"/>
            <w:tcBorders>
              <w:top w:val="single" w:sz="4" w:space="0" w:color="auto"/>
              <w:left w:val="nil"/>
              <w:bottom w:val="single" w:sz="4" w:space="0" w:color="auto"/>
              <w:right w:val="single" w:sz="4" w:space="0" w:color="auto"/>
            </w:tcBorders>
            <w:vAlign w:val="center"/>
            <w:hideMark/>
          </w:tcPr>
          <w:p w:rsidR="006C7EF7" w:rsidRPr="006C7EF7" w:rsidP="006C7EF7" w14:paraId="323639C6" w14:textId="77777777">
            <w:pPr>
              <w:widowControl/>
              <w:autoSpaceDE/>
              <w:autoSpaceDN/>
              <w:adjustRightInd/>
              <w:spacing w:before="0" w:after="0"/>
              <w:jc w:val="center"/>
              <w:rPr>
                <w:color w:val="000000"/>
                <w:sz w:val="20"/>
              </w:rPr>
            </w:pPr>
            <w:r w:rsidRPr="006C7EF7">
              <w:rPr>
                <w:color w:val="000000"/>
                <w:sz w:val="20"/>
              </w:rPr>
              <w:t>Ongoing</w:t>
            </w:r>
          </w:p>
        </w:tc>
        <w:tc>
          <w:tcPr>
            <w:tcW w:w="1530" w:type="dxa"/>
            <w:tcBorders>
              <w:top w:val="single" w:sz="4" w:space="0" w:color="auto"/>
              <w:left w:val="nil"/>
              <w:bottom w:val="single" w:sz="4" w:space="0" w:color="auto"/>
              <w:right w:val="single" w:sz="4" w:space="0" w:color="auto"/>
            </w:tcBorders>
            <w:vAlign w:val="center"/>
            <w:hideMark/>
          </w:tcPr>
          <w:p w:rsidR="006C7EF7" w:rsidRPr="006C7EF7" w:rsidP="006C7EF7" w14:paraId="655324AA" w14:textId="77777777">
            <w:pPr>
              <w:widowControl/>
              <w:autoSpaceDE/>
              <w:autoSpaceDN/>
              <w:adjustRightInd/>
              <w:spacing w:before="0" w:after="0"/>
              <w:jc w:val="center"/>
              <w:rPr>
                <w:color w:val="000000"/>
                <w:sz w:val="20"/>
              </w:rPr>
            </w:pPr>
            <w:r w:rsidRPr="006C7EF7">
              <w:rPr>
                <w:color w:val="000000"/>
                <w:sz w:val="20"/>
              </w:rPr>
              <w:t>39,770</w:t>
            </w:r>
          </w:p>
        </w:tc>
        <w:tc>
          <w:tcPr>
            <w:tcW w:w="1080" w:type="dxa"/>
            <w:tcBorders>
              <w:top w:val="single" w:sz="4" w:space="0" w:color="auto"/>
              <w:left w:val="nil"/>
              <w:bottom w:val="single" w:sz="4" w:space="0" w:color="auto"/>
              <w:right w:val="single" w:sz="4" w:space="0" w:color="auto"/>
            </w:tcBorders>
            <w:vAlign w:val="center"/>
            <w:hideMark/>
          </w:tcPr>
          <w:p w:rsidR="006C7EF7" w:rsidRPr="006C7EF7" w:rsidP="006C7EF7" w14:paraId="41B26F64" w14:textId="77777777">
            <w:pPr>
              <w:widowControl/>
              <w:autoSpaceDE/>
              <w:autoSpaceDN/>
              <w:adjustRightInd/>
              <w:spacing w:before="0" w:after="0"/>
              <w:jc w:val="center"/>
              <w:rPr>
                <w:color w:val="000000"/>
                <w:sz w:val="20"/>
              </w:rPr>
            </w:pPr>
            <w:r w:rsidRPr="006C7EF7">
              <w:rPr>
                <w:color w:val="000000"/>
                <w:sz w:val="20"/>
              </w:rPr>
              <w:t>0.5</w:t>
            </w:r>
          </w:p>
        </w:tc>
        <w:tc>
          <w:tcPr>
            <w:tcW w:w="990" w:type="dxa"/>
            <w:tcBorders>
              <w:top w:val="single" w:sz="4" w:space="0" w:color="auto"/>
              <w:left w:val="nil"/>
              <w:bottom w:val="single" w:sz="4" w:space="0" w:color="auto"/>
              <w:right w:val="single" w:sz="4" w:space="0" w:color="auto"/>
            </w:tcBorders>
            <w:vAlign w:val="center"/>
            <w:hideMark/>
          </w:tcPr>
          <w:p w:rsidR="006C7EF7" w:rsidRPr="006C7EF7" w:rsidP="006C7EF7" w14:paraId="75681CCD" w14:textId="77777777">
            <w:pPr>
              <w:widowControl/>
              <w:autoSpaceDE/>
              <w:autoSpaceDN/>
              <w:adjustRightInd/>
              <w:spacing w:before="0" w:after="0"/>
              <w:jc w:val="center"/>
              <w:rPr>
                <w:color w:val="000000"/>
                <w:sz w:val="20"/>
              </w:rPr>
            </w:pPr>
            <w:r w:rsidRPr="006C7EF7">
              <w:rPr>
                <w:color w:val="000000"/>
                <w:sz w:val="20"/>
              </w:rPr>
              <w:t>19,885</w:t>
            </w:r>
          </w:p>
        </w:tc>
        <w:tc>
          <w:tcPr>
            <w:tcW w:w="900" w:type="dxa"/>
            <w:tcBorders>
              <w:top w:val="single" w:sz="4" w:space="0" w:color="auto"/>
              <w:left w:val="nil"/>
              <w:bottom w:val="single" w:sz="4" w:space="0" w:color="auto"/>
              <w:right w:val="single" w:sz="4" w:space="0" w:color="auto"/>
            </w:tcBorders>
            <w:vAlign w:val="center"/>
            <w:hideMark/>
          </w:tcPr>
          <w:p w:rsidR="006C7EF7" w:rsidRPr="006C7EF7" w:rsidP="006C7EF7" w14:paraId="3625DDA2" w14:textId="77777777">
            <w:pPr>
              <w:widowControl/>
              <w:autoSpaceDE/>
              <w:autoSpaceDN/>
              <w:adjustRightInd/>
              <w:spacing w:before="0" w:after="0"/>
              <w:jc w:val="center"/>
              <w:rPr>
                <w:color w:val="000000"/>
                <w:sz w:val="20"/>
              </w:rPr>
            </w:pPr>
            <w:r w:rsidRPr="006C7EF7">
              <w:rPr>
                <w:color w:val="000000"/>
                <w:sz w:val="20"/>
              </w:rPr>
              <w:t>$44.47 / $22.19</w:t>
            </w:r>
          </w:p>
        </w:tc>
        <w:tc>
          <w:tcPr>
            <w:tcW w:w="1350" w:type="dxa"/>
            <w:tcBorders>
              <w:top w:val="single" w:sz="4" w:space="0" w:color="auto"/>
              <w:left w:val="nil"/>
              <w:bottom w:val="single" w:sz="4" w:space="0" w:color="auto"/>
              <w:right w:val="single" w:sz="4" w:space="0" w:color="auto"/>
            </w:tcBorders>
            <w:vAlign w:val="center"/>
            <w:hideMark/>
          </w:tcPr>
          <w:p w:rsidR="006C7EF7" w:rsidRPr="006C7EF7" w:rsidP="006C7EF7" w14:paraId="65B45EC0" w14:textId="77777777">
            <w:pPr>
              <w:widowControl/>
              <w:autoSpaceDE/>
              <w:autoSpaceDN/>
              <w:adjustRightInd/>
              <w:spacing w:before="0" w:after="0"/>
              <w:jc w:val="center"/>
              <w:rPr>
                <w:color w:val="000000"/>
                <w:sz w:val="20"/>
              </w:rPr>
            </w:pPr>
            <w:r w:rsidRPr="006C7EF7">
              <w:rPr>
                <w:color w:val="000000"/>
                <w:sz w:val="20"/>
              </w:rPr>
              <w:t>$194,534 / $344,178 ($538,712)</w:t>
            </w:r>
          </w:p>
        </w:tc>
      </w:tr>
      <w:tr w14:paraId="4CA2D674" w14:textId="77777777" w:rsidTr="005F36DE">
        <w:tblPrEx>
          <w:tblW w:w="10751" w:type="dxa"/>
          <w:jc w:val="center"/>
          <w:tblLayout w:type="fixed"/>
          <w:tblLook w:val="04A0"/>
        </w:tblPrEx>
        <w:trPr>
          <w:trHeight w:val="1232"/>
          <w:jc w:val="center"/>
        </w:trPr>
        <w:tc>
          <w:tcPr>
            <w:tcW w:w="10751" w:type="dxa"/>
            <w:gridSpan w:val="9"/>
            <w:tcBorders>
              <w:top w:val="single" w:sz="4" w:space="0" w:color="auto"/>
              <w:left w:val="single" w:sz="4" w:space="0" w:color="auto"/>
              <w:bottom w:val="single" w:sz="4" w:space="0" w:color="auto"/>
              <w:right w:val="single" w:sz="4" w:space="0" w:color="000000"/>
            </w:tcBorders>
            <w:hideMark/>
          </w:tcPr>
          <w:p w:rsidR="00822938" w:rsidRPr="006C7EF7" w:rsidP="006C7EF7" w14:paraId="4E69D1CF" w14:textId="6E49754C">
            <w:pPr>
              <w:widowControl/>
              <w:autoSpaceDE/>
              <w:autoSpaceDN/>
              <w:adjustRightInd/>
              <w:spacing w:before="0" w:after="0"/>
              <w:rPr>
                <w:color w:val="000000"/>
                <w:sz w:val="20"/>
              </w:rPr>
            </w:pPr>
            <w:r w:rsidRPr="006C7EF7">
              <w:rPr>
                <w:color w:val="000000"/>
                <w:sz w:val="20"/>
              </w:rPr>
              <w:t xml:space="preserve">The hourly rate used to calculate cost depends upon the type of organization receiving the grant. For state grantees, the hourly rate is based on NAICS 999200, State Government, excluding schools and hospitals for Social Workers (Occupation Code 21-1020) and 1.46 multiplier for loaded wage. For national grantees, the hourly wage is based on NAICS 8134, Civic and Social Organizations, and 1.46 multiplier for loaded wage. The number of respondents is weighted 22% for state grantees and 78% for national grantees based on the allocation of SCSEP funds. </w:t>
            </w:r>
          </w:p>
        </w:tc>
      </w:tr>
    </w:tbl>
    <w:tbl>
      <w:tblPr>
        <w:tblpPr w:leftFromText="180" w:rightFromText="180" w:vertAnchor="text" w:horzAnchor="margin" w:tblpXSpec="center" w:tblpY="567"/>
        <w:tblW w:w="10757" w:type="dxa"/>
        <w:tblLook w:val="04A0"/>
      </w:tblPr>
      <w:tblGrid>
        <w:gridCol w:w="1282"/>
        <w:gridCol w:w="1251"/>
        <w:gridCol w:w="1379"/>
        <w:gridCol w:w="1082"/>
        <w:gridCol w:w="1404"/>
        <w:gridCol w:w="1179"/>
        <w:gridCol w:w="1097"/>
        <w:gridCol w:w="797"/>
        <w:gridCol w:w="1286"/>
      </w:tblGrid>
      <w:tr w14:paraId="74075C14" w14:textId="77777777" w:rsidTr="005F36DE">
        <w:tblPrEx>
          <w:tblW w:w="10757" w:type="dxa"/>
          <w:tblLook w:val="04A0"/>
        </w:tblPrEx>
        <w:trPr>
          <w:trHeight w:val="1008"/>
        </w:trPr>
        <w:tc>
          <w:tcPr>
            <w:tcW w:w="1282" w:type="dxa"/>
            <w:tcBorders>
              <w:top w:val="single" w:sz="4" w:space="0" w:color="auto"/>
              <w:left w:val="single" w:sz="4" w:space="0" w:color="auto"/>
              <w:bottom w:val="nil"/>
              <w:right w:val="single" w:sz="4" w:space="0" w:color="auto"/>
            </w:tcBorders>
            <w:shd w:val="clear" w:color="000000" w:fill="8DB3E2"/>
            <w:vAlign w:val="center"/>
            <w:hideMark/>
          </w:tcPr>
          <w:p w:rsidR="00B75B1B" w:rsidRPr="007F5F07" w:rsidP="00B75B1B" w14:paraId="51BCF5CA" w14:textId="77777777">
            <w:pPr>
              <w:widowControl/>
              <w:autoSpaceDE/>
              <w:autoSpaceDN/>
              <w:adjustRightInd/>
              <w:spacing w:before="0" w:after="0"/>
              <w:jc w:val="center"/>
              <w:rPr>
                <w:b/>
                <w:bCs/>
                <w:color w:val="000000"/>
                <w:sz w:val="19"/>
                <w:szCs w:val="19"/>
              </w:rPr>
            </w:pPr>
            <w:r w:rsidRPr="007F5F07">
              <w:rPr>
                <w:b/>
                <w:bCs/>
                <w:color w:val="000000"/>
                <w:sz w:val="19"/>
                <w:szCs w:val="19"/>
              </w:rPr>
              <w:t>Activity</w:t>
            </w:r>
          </w:p>
        </w:tc>
        <w:tc>
          <w:tcPr>
            <w:tcW w:w="1251" w:type="dxa"/>
            <w:tcBorders>
              <w:top w:val="single" w:sz="4" w:space="0" w:color="auto"/>
              <w:left w:val="nil"/>
              <w:bottom w:val="nil"/>
              <w:right w:val="single" w:sz="4" w:space="0" w:color="auto"/>
            </w:tcBorders>
            <w:shd w:val="clear" w:color="000000" w:fill="8DB3E2"/>
            <w:vAlign w:val="center"/>
            <w:hideMark/>
          </w:tcPr>
          <w:p w:rsidR="00B75B1B" w:rsidRPr="007F5F07" w:rsidP="00B75B1B" w14:paraId="592E319B" w14:textId="77777777">
            <w:pPr>
              <w:widowControl/>
              <w:autoSpaceDE/>
              <w:autoSpaceDN/>
              <w:adjustRightInd/>
              <w:spacing w:before="0" w:after="0"/>
              <w:jc w:val="center"/>
              <w:rPr>
                <w:b/>
                <w:bCs/>
                <w:color w:val="000000"/>
                <w:sz w:val="19"/>
                <w:szCs w:val="19"/>
              </w:rPr>
            </w:pPr>
            <w:r w:rsidRPr="007F5F07">
              <w:rPr>
                <w:b/>
                <w:bCs/>
                <w:color w:val="000000"/>
                <w:sz w:val="19"/>
                <w:szCs w:val="19"/>
              </w:rPr>
              <w:t>No. of Respondents (Note 1)</w:t>
            </w:r>
          </w:p>
        </w:tc>
        <w:tc>
          <w:tcPr>
            <w:tcW w:w="1379" w:type="dxa"/>
            <w:tcBorders>
              <w:top w:val="single" w:sz="4" w:space="0" w:color="auto"/>
              <w:left w:val="nil"/>
              <w:bottom w:val="single" w:sz="4" w:space="0" w:color="auto"/>
              <w:right w:val="single" w:sz="4" w:space="0" w:color="auto"/>
            </w:tcBorders>
            <w:shd w:val="clear" w:color="000000" w:fill="8DB3E2"/>
            <w:vAlign w:val="center"/>
            <w:hideMark/>
          </w:tcPr>
          <w:p w:rsidR="00B75B1B" w:rsidRPr="007F5F07" w:rsidP="00B75B1B" w14:paraId="5C31DE60" w14:textId="77777777">
            <w:pPr>
              <w:widowControl/>
              <w:autoSpaceDE/>
              <w:autoSpaceDN/>
              <w:adjustRightInd/>
              <w:spacing w:before="0" w:after="0"/>
              <w:jc w:val="center"/>
              <w:rPr>
                <w:b/>
                <w:bCs/>
                <w:color w:val="000000"/>
                <w:sz w:val="19"/>
                <w:szCs w:val="19"/>
              </w:rPr>
            </w:pPr>
            <w:r w:rsidRPr="007F5F07">
              <w:rPr>
                <w:b/>
                <w:bCs/>
                <w:color w:val="000000"/>
                <w:sz w:val="19"/>
                <w:szCs w:val="19"/>
              </w:rPr>
              <w:t>No. of Responses per Respondent</w:t>
            </w:r>
          </w:p>
        </w:tc>
        <w:tc>
          <w:tcPr>
            <w:tcW w:w="1082" w:type="dxa"/>
            <w:tcBorders>
              <w:top w:val="single" w:sz="4" w:space="0" w:color="auto"/>
              <w:left w:val="nil"/>
              <w:bottom w:val="nil"/>
              <w:right w:val="single" w:sz="4" w:space="0" w:color="auto"/>
            </w:tcBorders>
            <w:shd w:val="clear" w:color="000000" w:fill="8DB3E2"/>
            <w:vAlign w:val="center"/>
            <w:hideMark/>
          </w:tcPr>
          <w:p w:rsidR="00B75B1B" w:rsidRPr="007F5F07" w:rsidP="00B75B1B" w14:paraId="002CE544" w14:textId="77777777">
            <w:pPr>
              <w:widowControl/>
              <w:autoSpaceDE/>
              <w:autoSpaceDN/>
              <w:adjustRightInd/>
              <w:spacing w:before="0" w:after="0"/>
              <w:jc w:val="center"/>
              <w:rPr>
                <w:b/>
                <w:bCs/>
                <w:color w:val="000000"/>
                <w:sz w:val="19"/>
                <w:szCs w:val="19"/>
              </w:rPr>
            </w:pPr>
            <w:r w:rsidRPr="007F5F07">
              <w:rPr>
                <w:b/>
                <w:bCs/>
                <w:color w:val="000000"/>
                <w:sz w:val="19"/>
                <w:szCs w:val="19"/>
              </w:rPr>
              <w:t>Frequency</w:t>
            </w:r>
          </w:p>
        </w:tc>
        <w:tc>
          <w:tcPr>
            <w:tcW w:w="1404" w:type="dxa"/>
            <w:tcBorders>
              <w:top w:val="single" w:sz="4" w:space="0" w:color="auto"/>
              <w:left w:val="nil"/>
              <w:bottom w:val="nil"/>
              <w:right w:val="single" w:sz="4" w:space="0" w:color="auto"/>
            </w:tcBorders>
            <w:shd w:val="clear" w:color="000000" w:fill="8DB3E2"/>
            <w:vAlign w:val="center"/>
            <w:hideMark/>
          </w:tcPr>
          <w:p w:rsidR="00B75B1B" w:rsidRPr="007F5F07" w:rsidP="00B75B1B" w14:paraId="556413C1" w14:textId="77777777">
            <w:pPr>
              <w:widowControl/>
              <w:autoSpaceDE/>
              <w:autoSpaceDN/>
              <w:adjustRightInd/>
              <w:spacing w:before="0" w:after="0"/>
              <w:jc w:val="center"/>
              <w:rPr>
                <w:b/>
                <w:bCs/>
                <w:color w:val="000000"/>
                <w:sz w:val="19"/>
                <w:szCs w:val="19"/>
              </w:rPr>
            </w:pPr>
            <w:r w:rsidRPr="007F5F07">
              <w:rPr>
                <w:b/>
                <w:bCs/>
                <w:color w:val="000000"/>
                <w:sz w:val="19"/>
                <w:szCs w:val="19"/>
              </w:rPr>
              <w:t>Total Estimated Annual Responses</w:t>
            </w:r>
          </w:p>
        </w:tc>
        <w:tc>
          <w:tcPr>
            <w:tcW w:w="1179" w:type="dxa"/>
            <w:tcBorders>
              <w:top w:val="single" w:sz="4" w:space="0" w:color="auto"/>
              <w:left w:val="nil"/>
              <w:bottom w:val="nil"/>
              <w:right w:val="single" w:sz="4" w:space="0" w:color="auto"/>
            </w:tcBorders>
            <w:shd w:val="clear" w:color="000000" w:fill="8DB3E2"/>
            <w:vAlign w:val="center"/>
            <w:hideMark/>
          </w:tcPr>
          <w:p w:rsidR="00B75B1B" w:rsidRPr="007F5F07" w:rsidP="00B75B1B" w14:paraId="7B56B9D7" w14:textId="77777777">
            <w:pPr>
              <w:widowControl/>
              <w:autoSpaceDE/>
              <w:autoSpaceDN/>
              <w:adjustRightInd/>
              <w:spacing w:before="0" w:after="0"/>
              <w:jc w:val="center"/>
              <w:rPr>
                <w:b/>
                <w:bCs/>
                <w:color w:val="000000"/>
                <w:sz w:val="19"/>
                <w:szCs w:val="19"/>
              </w:rPr>
            </w:pPr>
            <w:r w:rsidRPr="007F5F07">
              <w:rPr>
                <w:b/>
                <w:bCs/>
                <w:color w:val="000000"/>
                <w:sz w:val="19"/>
                <w:szCs w:val="19"/>
              </w:rPr>
              <w:t>Time Per Response (Hours)</w:t>
            </w:r>
          </w:p>
        </w:tc>
        <w:tc>
          <w:tcPr>
            <w:tcW w:w="1097" w:type="dxa"/>
            <w:tcBorders>
              <w:top w:val="single" w:sz="4" w:space="0" w:color="auto"/>
              <w:left w:val="nil"/>
              <w:bottom w:val="nil"/>
              <w:right w:val="single" w:sz="4" w:space="0" w:color="auto"/>
            </w:tcBorders>
            <w:shd w:val="clear" w:color="000000" w:fill="8DB3E2"/>
            <w:vAlign w:val="center"/>
            <w:hideMark/>
          </w:tcPr>
          <w:p w:rsidR="00B75B1B" w:rsidRPr="007F5F07" w:rsidP="00B75B1B" w14:paraId="49245674" w14:textId="77777777">
            <w:pPr>
              <w:widowControl/>
              <w:autoSpaceDE/>
              <w:autoSpaceDN/>
              <w:adjustRightInd/>
              <w:spacing w:before="0" w:after="0"/>
              <w:jc w:val="center"/>
              <w:rPr>
                <w:b/>
                <w:bCs/>
                <w:color w:val="000000"/>
                <w:sz w:val="19"/>
                <w:szCs w:val="19"/>
              </w:rPr>
            </w:pPr>
            <w:r w:rsidRPr="007F5F07">
              <w:rPr>
                <w:b/>
                <w:bCs/>
                <w:color w:val="000000"/>
                <w:sz w:val="19"/>
                <w:szCs w:val="19"/>
              </w:rPr>
              <w:t>Total Annual Burden (Hours)</w:t>
            </w:r>
          </w:p>
        </w:tc>
        <w:tc>
          <w:tcPr>
            <w:tcW w:w="797" w:type="dxa"/>
            <w:tcBorders>
              <w:top w:val="single" w:sz="4" w:space="0" w:color="auto"/>
              <w:left w:val="nil"/>
              <w:bottom w:val="nil"/>
              <w:right w:val="single" w:sz="4" w:space="0" w:color="auto"/>
            </w:tcBorders>
            <w:shd w:val="clear" w:color="000000" w:fill="8DB3E2"/>
            <w:vAlign w:val="center"/>
            <w:hideMark/>
          </w:tcPr>
          <w:p w:rsidR="00B75B1B" w:rsidRPr="007F5F07" w:rsidP="00B75B1B" w14:paraId="121588F8" w14:textId="77777777">
            <w:pPr>
              <w:widowControl/>
              <w:autoSpaceDE/>
              <w:autoSpaceDN/>
              <w:adjustRightInd/>
              <w:spacing w:before="0" w:after="0"/>
              <w:jc w:val="center"/>
              <w:rPr>
                <w:b/>
                <w:bCs/>
                <w:color w:val="000000"/>
                <w:sz w:val="19"/>
                <w:szCs w:val="19"/>
              </w:rPr>
            </w:pPr>
            <w:r w:rsidRPr="007F5F07">
              <w:rPr>
                <w:b/>
                <w:bCs/>
                <w:color w:val="000000"/>
                <w:sz w:val="19"/>
                <w:szCs w:val="19"/>
              </w:rPr>
              <w:t>Hourly Rate*</w:t>
            </w:r>
          </w:p>
        </w:tc>
        <w:tc>
          <w:tcPr>
            <w:tcW w:w="1286" w:type="dxa"/>
            <w:tcBorders>
              <w:top w:val="single" w:sz="4" w:space="0" w:color="auto"/>
              <w:left w:val="nil"/>
              <w:bottom w:val="nil"/>
              <w:right w:val="single" w:sz="4" w:space="0" w:color="auto"/>
            </w:tcBorders>
            <w:shd w:val="clear" w:color="000000" w:fill="8DB3E2"/>
            <w:vAlign w:val="center"/>
            <w:hideMark/>
          </w:tcPr>
          <w:p w:rsidR="00B75B1B" w:rsidRPr="007F5F07" w:rsidP="00B75B1B" w14:paraId="5F3449FD" w14:textId="77777777">
            <w:pPr>
              <w:widowControl/>
              <w:autoSpaceDE/>
              <w:autoSpaceDN/>
              <w:adjustRightInd/>
              <w:spacing w:before="0" w:after="0"/>
              <w:jc w:val="center"/>
              <w:rPr>
                <w:b/>
                <w:bCs/>
                <w:color w:val="000000"/>
                <w:sz w:val="19"/>
                <w:szCs w:val="19"/>
              </w:rPr>
            </w:pPr>
            <w:r w:rsidRPr="007F5F07">
              <w:rPr>
                <w:b/>
                <w:bCs/>
                <w:color w:val="000000"/>
                <w:sz w:val="19"/>
                <w:szCs w:val="19"/>
              </w:rPr>
              <w:t>Monetary Value of Respondent Time</w:t>
            </w:r>
          </w:p>
        </w:tc>
      </w:tr>
      <w:tr w14:paraId="54D94438" w14:textId="77777777" w:rsidTr="005F36DE">
        <w:tblPrEx>
          <w:tblW w:w="10757" w:type="dxa"/>
          <w:tblLook w:val="04A0"/>
        </w:tblPrEx>
        <w:trPr>
          <w:trHeight w:val="1320"/>
        </w:trPr>
        <w:tc>
          <w:tcPr>
            <w:tcW w:w="1282" w:type="dxa"/>
            <w:tcBorders>
              <w:top w:val="single" w:sz="4" w:space="0" w:color="auto"/>
              <w:left w:val="single" w:sz="4" w:space="0" w:color="auto"/>
              <w:bottom w:val="single" w:sz="4" w:space="0" w:color="auto"/>
              <w:right w:val="single" w:sz="4" w:space="0" w:color="auto"/>
            </w:tcBorders>
            <w:vAlign w:val="center"/>
            <w:hideMark/>
          </w:tcPr>
          <w:p w:rsidR="00B75B1B" w:rsidRPr="007F5F07" w:rsidP="00B75B1B" w14:paraId="59645E0E" w14:textId="77777777">
            <w:pPr>
              <w:widowControl/>
              <w:autoSpaceDE/>
              <w:autoSpaceDN/>
              <w:adjustRightInd/>
              <w:spacing w:before="0" w:after="0"/>
              <w:rPr>
                <w:color w:val="000000"/>
                <w:sz w:val="20"/>
              </w:rPr>
            </w:pPr>
            <w:r w:rsidRPr="007F5F07">
              <w:rPr>
                <w:color w:val="000000"/>
                <w:sz w:val="20"/>
              </w:rPr>
              <w:t>Participant Customer Satisfaction – ETA-9124A</w:t>
            </w:r>
          </w:p>
        </w:tc>
        <w:tc>
          <w:tcPr>
            <w:tcW w:w="1251" w:type="dxa"/>
            <w:tcBorders>
              <w:top w:val="single" w:sz="4" w:space="0" w:color="auto"/>
              <w:left w:val="nil"/>
              <w:bottom w:val="single" w:sz="4" w:space="0" w:color="auto"/>
              <w:right w:val="single" w:sz="4" w:space="0" w:color="auto"/>
            </w:tcBorders>
            <w:vAlign w:val="center"/>
            <w:hideMark/>
          </w:tcPr>
          <w:p w:rsidR="00B75B1B" w:rsidRPr="007F5F07" w:rsidP="00B75B1B" w14:paraId="7A792369" w14:textId="77777777">
            <w:pPr>
              <w:widowControl/>
              <w:autoSpaceDE/>
              <w:autoSpaceDN/>
              <w:adjustRightInd/>
              <w:spacing w:before="0" w:after="0"/>
              <w:jc w:val="center"/>
              <w:rPr>
                <w:color w:val="000000"/>
                <w:sz w:val="20"/>
              </w:rPr>
            </w:pPr>
            <w:r w:rsidRPr="007F5F07">
              <w:rPr>
                <w:color w:val="000000"/>
                <w:sz w:val="20"/>
              </w:rPr>
              <w:t>5,512</w:t>
            </w:r>
          </w:p>
        </w:tc>
        <w:tc>
          <w:tcPr>
            <w:tcW w:w="1379" w:type="dxa"/>
            <w:tcBorders>
              <w:top w:val="nil"/>
              <w:left w:val="nil"/>
              <w:bottom w:val="single" w:sz="4" w:space="0" w:color="auto"/>
              <w:right w:val="single" w:sz="4" w:space="0" w:color="auto"/>
            </w:tcBorders>
            <w:vAlign w:val="center"/>
            <w:hideMark/>
          </w:tcPr>
          <w:p w:rsidR="00B75B1B" w:rsidRPr="007F5F07" w:rsidP="00B75B1B" w14:paraId="14507BAB" w14:textId="77777777">
            <w:pPr>
              <w:widowControl/>
              <w:autoSpaceDE/>
              <w:autoSpaceDN/>
              <w:adjustRightInd/>
              <w:spacing w:before="0" w:after="0"/>
              <w:jc w:val="center"/>
              <w:rPr>
                <w:color w:val="000000"/>
                <w:sz w:val="20"/>
              </w:rPr>
            </w:pPr>
            <w:r w:rsidRPr="007F5F07">
              <w:rPr>
                <w:color w:val="000000"/>
                <w:sz w:val="20"/>
              </w:rPr>
              <w:t>1</w:t>
            </w:r>
          </w:p>
        </w:tc>
        <w:tc>
          <w:tcPr>
            <w:tcW w:w="1082" w:type="dxa"/>
            <w:tcBorders>
              <w:top w:val="single" w:sz="4" w:space="0" w:color="auto"/>
              <w:left w:val="nil"/>
              <w:bottom w:val="single" w:sz="4" w:space="0" w:color="auto"/>
              <w:right w:val="single" w:sz="4" w:space="0" w:color="auto"/>
            </w:tcBorders>
            <w:vAlign w:val="center"/>
            <w:hideMark/>
          </w:tcPr>
          <w:p w:rsidR="00B75B1B" w:rsidRPr="007F5F07" w:rsidP="00B75B1B" w14:paraId="6EA500CC" w14:textId="77777777">
            <w:pPr>
              <w:widowControl/>
              <w:autoSpaceDE/>
              <w:autoSpaceDN/>
              <w:adjustRightInd/>
              <w:spacing w:before="0" w:after="0"/>
              <w:jc w:val="center"/>
              <w:rPr>
                <w:color w:val="000000"/>
                <w:sz w:val="20"/>
              </w:rPr>
            </w:pPr>
            <w:r w:rsidRPr="007F5F07">
              <w:rPr>
                <w:color w:val="000000"/>
                <w:sz w:val="20"/>
              </w:rPr>
              <w:t>Annually</w:t>
            </w:r>
          </w:p>
        </w:tc>
        <w:tc>
          <w:tcPr>
            <w:tcW w:w="1404" w:type="dxa"/>
            <w:tcBorders>
              <w:top w:val="single" w:sz="4" w:space="0" w:color="auto"/>
              <w:left w:val="nil"/>
              <w:bottom w:val="single" w:sz="4" w:space="0" w:color="auto"/>
              <w:right w:val="single" w:sz="4" w:space="0" w:color="auto"/>
            </w:tcBorders>
            <w:vAlign w:val="center"/>
            <w:hideMark/>
          </w:tcPr>
          <w:p w:rsidR="00B75B1B" w:rsidRPr="007F5F07" w:rsidP="00B75B1B" w14:paraId="4B1C7C5B" w14:textId="77777777">
            <w:pPr>
              <w:widowControl/>
              <w:autoSpaceDE/>
              <w:autoSpaceDN/>
              <w:adjustRightInd/>
              <w:spacing w:before="0" w:after="0"/>
              <w:jc w:val="center"/>
              <w:rPr>
                <w:color w:val="000000"/>
                <w:sz w:val="20"/>
              </w:rPr>
            </w:pPr>
            <w:r w:rsidRPr="007F5F07">
              <w:rPr>
                <w:color w:val="000000"/>
                <w:sz w:val="20"/>
              </w:rPr>
              <w:t>5,512</w:t>
            </w:r>
          </w:p>
        </w:tc>
        <w:tc>
          <w:tcPr>
            <w:tcW w:w="1179" w:type="dxa"/>
            <w:tcBorders>
              <w:top w:val="single" w:sz="4" w:space="0" w:color="auto"/>
              <w:left w:val="nil"/>
              <w:bottom w:val="single" w:sz="4" w:space="0" w:color="auto"/>
              <w:right w:val="single" w:sz="4" w:space="0" w:color="auto"/>
            </w:tcBorders>
            <w:vAlign w:val="center"/>
            <w:hideMark/>
          </w:tcPr>
          <w:p w:rsidR="00B75B1B" w:rsidRPr="007F5F07" w:rsidP="00B75B1B" w14:paraId="1EDB9EC7" w14:textId="77777777">
            <w:pPr>
              <w:widowControl/>
              <w:autoSpaceDE/>
              <w:autoSpaceDN/>
              <w:adjustRightInd/>
              <w:spacing w:before="0" w:after="0"/>
              <w:jc w:val="center"/>
              <w:rPr>
                <w:color w:val="000000"/>
                <w:sz w:val="20"/>
              </w:rPr>
            </w:pPr>
            <w:r w:rsidRPr="007F5F07">
              <w:rPr>
                <w:color w:val="000000"/>
                <w:sz w:val="20"/>
              </w:rPr>
              <w:t>0.13</w:t>
            </w:r>
          </w:p>
        </w:tc>
        <w:tc>
          <w:tcPr>
            <w:tcW w:w="1097" w:type="dxa"/>
            <w:tcBorders>
              <w:top w:val="single" w:sz="4" w:space="0" w:color="auto"/>
              <w:left w:val="nil"/>
              <w:bottom w:val="single" w:sz="4" w:space="0" w:color="auto"/>
              <w:right w:val="single" w:sz="4" w:space="0" w:color="auto"/>
            </w:tcBorders>
            <w:vAlign w:val="center"/>
            <w:hideMark/>
          </w:tcPr>
          <w:p w:rsidR="00B75B1B" w:rsidRPr="007F5F07" w:rsidP="00B75B1B" w14:paraId="6A670B76" w14:textId="77777777">
            <w:pPr>
              <w:widowControl/>
              <w:autoSpaceDE/>
              <w:autoSpaceDN/>
              <w:adjustRightInd/>
              <w:spacing w:before="0" w:after="0"/>
              <w:jc w:val="center"/>
              <w:rPr>
                <w:color w:val="000000"/>
                <w:sz w:val="20"/>
              </w:rPr>
            </w:pPr>
            <w:r w:rsidRPr="007F5F07">
              <w:rPr>
                <w:color w:val="000000"/>
                <w:sz w:val="20"/>
              </w:rPr>
              <w:t>717</w:t>
            </w:r>
          </w:p>
        </w:tc>
        <w:tc>
          <w:tcPr>
            <w:tcW w:w="797" w:type="dxa"/>
            <w:tcBorders>
              <w:top w:val="single" w:sz="4" w:space="0" w:color="auto"/>
              <w:left w:val="nil"/>
              <w:bottom w:val="single" w:sz="4" w:space="0" w:color="auto"/>
              <w:right w:val="single" w:sz="4" w:space="0" w:color="auto"/>
            </w:tcBorders>
            <w:vAlign w:val="center"/>
            <w:hideMark/>
          </w:tcPr>
          <w:p w:rsidR="00B75B1B" w:rsidRPr="007F5F07" w:rsidP="00B75B1B" w14:paraId="0E2F9F89" w14:textId="77777777">
            <w:pPr>
              <w:widowControl/>
              <w:autoSpaceDE/>
              <w:autoSpaceDN/>
              <w:adjustRightInd/>
              <w:spacing w:before="0" w:after="0"/>
              <w:jc w:val="center"/>
              <w:rPr>
                <w:color w:val="000000"/>
                <w:sz w:val="20"/>
              </w:rPr>
            </w:pPr>
            <w:r w:rsidRPr="007F5F07">
              <w:rPr>
                <w:color w:val="000000"/>
                <w:sz w:val="20"/>
              </w:rPr>
              <w:t xml:space="preserve">$16.13 </w:t>
            </w:r>
          </w:p>
        </w:tc>
        <w:tc>
          <w:tcPr>
            <w:tcW w:w="1286" w:type="dxa"/>
            <w:tcBorders>
              <w:top w:val="single" w:sz="4" w:space="0" w:color="auto"/>
              <w:left w:val="nil"/>
              <w:bottom w:val="single" w:sz="4" w:space="0" w:color="auto"/>
              <w:right w:val="single" w:sz="4" w:space="0" w:color="auto"/>
            </w:tcBorders>
            <w:vAlign w:val="center"/>
            <w:hideMark/>
          </w:tcPr>
          <w:p w:rsidR="00B75B1B" w:rsidRPr="007F5F07" w:rsidP="00B75B1B" w14:paraId="5408134D" w14:textId="77777777">
            <w:pPr>
              <w:widowControl/>
              <w:autoSpaceDE/>
              <w:autoSpaceDN/>
              <w:adjustRightInd/>
              <w:spacing w:before="0" w:after="0"/>
              <w:jc w:val="center"/>
              <w:rPr>
                <w:color w:val="000000"/>
                <w:sz w:val="20"/>
              </w:rPr>
            </w:pPr>
            <w:r w:rsidRPr="007F5F07">
              <w:rPr>
                <w:color w:val="000000"/>
                <w:sz w:val="20"/>
              </w:rPr>
              <w:t>$11,558</w:t>
            </w:r>
          </w:p>
        </w:tc>
      </w:tr>
      <w:tr w14:paraId="0D9FD1C3" w14:textId="77777777" w:rsidTr="005F36DE">
        <w:tblPrEx>
          <w:tblW w:w="10757" w:type="dxa"/>
          <w:tblLook w:val="04A0"/>
        </w:tblPrEx>
        <w:trPr>
          <w:trHeight w:val="1056"/>
        </w:trPr>
        <w:tc>
          <w:tcPr>
            <w:tcW w:w="1282" w:type="dxa"/>
            <w:tcBorders>
              <w:top w:val="nil"/>
              <w:left w:val="single" w:sz="4" w:space="0" w:color="auto"/>
              <w:bottom w:val="single" w:sz="4" w:space="0" w:color="auto"/>
              <w:right w:val="single" w:sz="4" w:space="0" w:color="auto"/>
            </w:tcBorders>
            <w:vAlign w:val="center"/>
            <w:hideMark/>
          </w:tcPr>
          <w:p w:rsidR="00B75B1B" w:rsidRPr="007F5F07" w:rsidP="00B75B1B" w14:paraId="2E1AEA9E" w14:textId="77777777">
            <w:pPr>
              <w:widowControl/>
              <w:autoSpaceDE/>
              <w:autoSpaceDN/>
              <w:adjustRightInd/>
              <w:spacing w:before="0" w:after="0"/>
              <w:rPr>
                <w:color w:val="000000"/>
                <w:sz w:val="20"/>
              </w:rPr>
            </w:pPr>
            <w:r w:rsidRPr="007F5F07">
              <w:rPr>
                <w:color w:val="000000"/>
                <w:sz w:val="20"/>
              </w:rPr>
              <w:t>Host Agency Customer Satisfaction – ETA-9124B</w:t>
            </w:r>
          </w:p>
        </w:tc>
        <w:tc>
          <w:tcPr>
            <w:tcW w:w="1251" w:type="dxa"/>
            <w:tcBorders>
              <w:top w:val="nil"/>
              <w:left w:val="nil"/>
              <w:bottom w:val="single" w:sz="4" w:space="0" w:color="auto"/>
              <w:right w:val="single" w:sz="4" w:space="0" w:color="auto"/>
            </w:tcBorders>
            <w:vAlign w:val="center"/>
            <w:hideMark/>
          </w:tcPr>
          <w:p w:rsidR="00B75B1B" w:rsidRPr="007F5F07" w:rsidP="00B75B1B" w14:paraId="59A773CF" w14:textId="77777777">
            <w:pPr>
              <w:widowControl/>
              <w:autoSpaceDE/>
              <w:autoSpaceDN/>
              <w:adjustRightInd/>
              <w:spacing w:before="0" w:after="0"/>
              <w:jc w:val="center"/>
              <w:rPr>
                <w:color w:val="000000"/>
                <w:sz w:val="20"/>
              </w:rPr>
            </w:pPr>
            <w:r w:rsidRPr="007F5F07">
              <w:rPr>
                <w:color w:val="000000"/>
                <w:sz w:val="20"/>
              </w:rPr>
              <w:t>1,916</w:t>
            </w:r>
          </w:p>
        </w:tc>
        <w:tc>
          <w:tcPr>
            <w:tcW w:w="1379" w:type="dxa"/>
            <w:tcBorders>
              <w:top w:val="nil"/>
              <w:left w:val="nil"/>
              <w:bottom w:val="single" w:sz="4" w:space="0" w:color="auto"/>
              <w:right w:val="single" w:sz="4" w:space="0" w:color="auto"/>
            </w:tcBorders>
            <w:vAlign w:val="center"/>
            <w:hideMark/>
          </w:tcPr>
          <w:p w:rsidR="00B75B1B" w:rsidRPr="007F5F07" w:rsidP="00B75B1B" w14:paraId="08129FD3" w14:textId="77777777">
            <w:pPr>
              <w:widowControl/>
              <w:autoSpaceDE/>
              <w:autoSpaceDN/>
              <w:adjustRightInd/>
              <w:spacing w:before="0" w:after="0"/>
              <w:jc w:val="center"/>
              <w:rPr>
                <w:color w:val="000000"/>
                <w:sz w:val="20"/>
              </w:rPr>
            </w:pPr>
            <w:r w:rsidRPr="007F5F07">
              <w:rPr>
                <w:color w:val="000000"/>
                <w:sz w:val="20"/>
              </w:rPr>
              <w:t>1</w:t>
            </w:r>
          </w:p>
        </w:tc>
        <w:tc>
          <w:tcPr>
            <w:tcW w:w="1082" w:type="dxa"/>
            <w:tcBorders>
              <w:top w:val="nil"/>
              <w:left w:val="nil"/>
              <w:bottom w:val="single" w:sz="4" w:space="0" w:color="auto"/>
              <w:right w:val="single" w:sz="4" w:space="0" w:color="auto"/>
            </w:tcBorders>
            <w:vAlign w:val="center"/>
            <w:hideMark/>
          </w:tcPr>
          <w:p w:rsidR="00B75B1B" w:rsidRPr="007F5F07" w:rsidP="00B75B1B" w14:paraId="4D8A0A0A" w14:textId="77777777">
            <w:pPr>
              <w:widowControl/>
              <w:autoSpaceDE/>
              <w:autoSpaceDN/>
              <w:adjustRightInd/>
              <w:spacing w:before="0" w:after="0"/>
              <w:jc w:val="center"/>
              <w:rPr>
                <w:color w:val="000000"/>
                <w:sz w:val="20"/>
              </w:rPr>
            </w:pPr>
            <w:r w:rsidRPr="007F5F07">
              <w:rPr>
                <w:color w:val="000000"/>
                <w:sz w:val="20"/>
              </w:rPr>
              <w:t>Annually</w:t>
            </w:r>
          </w:p>
        </w:tc>
        <w:tc>
          <w:tcPr>
            <w:tcW w:w="1404" w:type="dxa"/>
            <w:tcBorders>
              <w:top w:val="nil"/>
              <w:left w:val="nil"/>
              <w:bottom w:val="single" w:sz="4" w:space="0" w:color="auto"/>
              <w:right w:val="single" w:sz="4" w:space="0" w:color="auto"/>
            </w:tcBorders>
            <w:vAlign w:val="center"/>
            <w:hideMark/>
          </w:tcPr>
          <w:p w:rsidR="00B75B1B" w:rsidRPr="007F5F07" w:rsidP="00B75B1B" w14:paraId="43AFF7CD" w14:textId="77777777">
            <w:pPr>
              <w:widowControl/>
              <w:autoSpaceDE/>
              <w:autoSpaceDN/>
              <w:adjustRightInd/>
              <w:spacing w:before="0" w:after="0"/>
              <w:jc w:val="center"/>
              <w:rPr>
                <w:color w:val="000000"/>
                <w:sz w:val="20"/>
              </w:rPr>
            </w:pPr>
            <w:r w:rsidRPr="007F5F07">
              <w:rPr>
                <w:color w:val="000000"/>
                <w:sz w:val="20"/>
              </w:rPr>
              <w:t>1,916</w:t>
            </w:r>
          </w:p>
        </w:tc>
        <w:tc>
          <w:tcPr>
            <w:tcW w:w="1179" w:type="dxa"/>
            <w:tcBorders>
              <w:top w:val="nil"/>
              <w:left w:val="nil"/>
              <w:bottom w:val="single" w:sz="4" w:space="0" w:color="auto"/>
              <w:right w:val="single" w:sz="4" w:space="0" w:color="auto"/>
            </w:tcBorders>
            <w:vAlign w:val="center"/>
            <w:hideMark/>
          </w:tcPr>
          <w:p w:rsidR="00B75B1B" w:rsidRPr="007F5F07" w:rsidP="00B75B1B" w14:paraId="50C248F7" w14:textId="77777777">
            <w:pPr>
              <w:widowControl/>
              <w:autoSpaceDE/>
              <w:autoSpaceDN/>
              <w:adjustRightInd/>
              <w:spacing w:before="0" w:after="0"/>
              <w:jc w:val="center"/>
              <w:rPr>
                <w:color w:val="000000"/>
                <w:sz w:val="20"/>
              </w:rPr>
            </w:pPr>
            <w:r w:rsidRPr="007F5F07">
              <w:rPr>
                <w:color w:val="000000"/>
                <w:sz w:val="20"/>
              </w:rPr>
              <w:t>0.13</w:t>
            </w:r>
          </w:p>
        </w:tc>
        <w:tc>
          <w:tcPr>
            <w:tcW w:w="1097" w:type="dxa"/>
            <w:tcBorders>
              <w:top w:val="nil"/>
              <w:left w:val="nil"/>
              <w:bottom w:val="single" w:sz="4" w:space="0" w:color="auto"/>
              <w:right w:val="single" w:sz="4" w:space="0" w:color="auto"/>
            </w:tcBorders>
            <w:vAlign w:val="center"/>
            <w:hideMark/>
          </w:tcPr>
          <w:p w:rsidR="00B75B1B" w:rsidRPr="007F5F07" w:rsidP="00B75B1B" w14:paraId="48760F3C" w14:textId="77777777">
            <w:pPr>
              <w:widowControl/>
              <w:autoSpaceDE/>
              <w:autoSpaceDN/>
              <w:adjustRightInd/>
              <w:spacing w:before="0" w:after="0"/>
              <w:jc w:val="center"/>
              <w:rPr>
                <w:color w:val="000000"/>
                <w:sz w:val="20"/>
              </w:rPr>
            </w:pPr>
            <w:r w:rsidRPr="007F5F07">
              <w:rPr>
                <w:color w:val="000000"/>
                <w:sz w:val="20"/>
              </w:rPr>
              <w:t>249</w:t>
            </w:r>
          </w:p>
        </w:tc>
        <w:tc>
          <w:tcPr>
            <w:tcW w:w="797" w:type="dxa"/>
            <w:tcBorders>
              <w:top w:val="nil"/>
              <w:left w:val="nil"/>
              <w:bottom w:val="single" w:sz="4" w:space="0" w:color="auto"/>
              <w:right w:val="single" w:sz="4" w:space="0" w:color="auto"/>
            </w:tcBorders>
            <w:vAlign w:val="center"/>
            <w:hideMark/>
          </w:tcPr>
          <w:p w:rsidR="00B75B1B" w:rsidRPr="007F5F07" w:rsidP="00B75B1B" w14:paraId="74335306" w14:textId="77777777">
            <w:pPr>
              <w:widowControl/>
              <w:autoSpaceDE/>
              <w:autoSpaceDN/>
              <w:adjustRightInd/>
              <w:spacing w:before="0" w:after="0"/>
              <w:jc w:val="center"/>
              <w:rPr>
                <w:color w:val="000000"/>
                <w:sz w:val="20"/>
              </w:rPr>
            </w:pPr>
            <w:r w:rsidRPr="007F5F07">
              <w:rPr>
                <w:color w:val="000000"/>
                <w:sz w:val="20"/>
              </w:rPr>
              <w:t xml:space="preserve">$22.19 </w:t>
            </w:r>
          </w:p>
        </w:tc>
        <w:tc>
          <w:tcPr>
            <w:tcW w:w="1286" w:type="dxa"/>
            <w:tcBorders>
              <w:top w:val="nil"/>
              <w:left w:val="nil"/>
              <w:bottom w:val="single" w:sz="4" w:space="0" w:color="auto"/>
              <w:right w:val="single" w:sz="4" w:space="0" w:color="auto"/>
            </w:tcBorders>
            <w:vAlign w:val="center"/>
            <w:hideMark/>
          </w:tcPr>
          <w:p w:rsidR="00B75B1B" w:rsidRPr="007F5F07" w:rsidP="00B75B1B" w14:paraId="70051266" w14:textId="77777777">
            <w:pPr>
              <w:widowControl/>
              <w:autoSpaceDE/>
              <w:autoSpaceDN/>
              <w:adjustRightInd/>
              <w:spacing w:before="0" w:after="0"/>
              <w:jc w:val="center"/>
              <w:rPr>
                <w:color w:val="000000"/>
                <w:sz w:val="20"/>
              </w:rPr>
            </w:pPr>
            <w:r w:rsidRPr="007F5F07">
              <w:rPr>
                <w:color w:val="000000"/>
                <w:sz w:val="20"/>
              </w:rPr>
              <w:t>$5,527</w:t>
            </w:r>
          </w:p>
        </w:tc>
      </w:tr>
      <w:tr w14:paraId="59C16F42" w14:textId="77777777" w:rsidTr="005F36DE">
        <w:tblPrEx>
          <w:tblW w:w="10757" w:type="dxa"/>
          <w:tblLook w:val="04A0"/>
        </w:tblPrEx>
        <w:trPr>
          <w:trHeight w:val="1056"/>
        </w:trPr>
        <w:tc>
          <w:tcPr>
            <w:tcW w:w="1282" w:type="dxa"/>
            <w:tcBorders>
              <w:top w:val="nil"/>
              <w:left w:val="single" w:sz="4" w:space="0" w:color="auto"/>
              <w:bottom w:val="single" w:sz="4" w:space="0" w:color="auto"/>
              <w:right w:val="single" w:sz="4" w:space="0" w:color="auto"/>
            </w:tcBorders>
            <w:vAlign w:val="center"/>
            <w:hideMark/>
          </w:tcPr>
          <w:p w:rsidR="00B75B1B" w:rsidRPr="007F5F07" w:rsidP="00B75B1B" w14:paraId="473EDF4F" w14:textId="77777777">
            <w:pPr>
              <w:widowControl/>
              <w:autoSpaceDE/>
              <w:autoSpaceDN/>
              <w:adjustRightInd/>
              <w:spacing w:before="0" w:after="0"/>
              <w:rPr>
                <w:color w:val="000000"/>
                <w:sz w:val="20"/>
              </w:rPr>
            </w:pPr>
            <w:r w:rsidRPr="007F5F07">
              <w:rPr>
                <w:color w:val="000000"/>
                <w:sz w:val="20"/>
              </w:rPr>
              <w:t>Employer Customer Satisfaction – ETA-9124C1</w:t>
            </w:r>
          </w:p>
        </w:tc>
        <w:tc>
          <w:tcPr>
            <w:tcW w:w="1251" w:type="dxa"/>
            <w:tcBorders>
              <w:top w:val="nil"/>
              <w:left w:val="nil"/>
              <w:bottom w:val="single" w:sz="4" w:space="0" w:color="auto"/>
              <w:right w:val="single" w:sz="4" w:space="0" w:color="auto"/>
            </w:tcBorders>
            <w:vAlign w:val="center"/>
            <w:hideMark/>
          </w:tcPr>
          <w:p w:rsidR="00B75B1B" w:rsidRPr="007F5F07" w:rsidP="00B75B1B" w14:paraId="5209BFC0" w14:textId="77777777">
            <w:pPr>
              <w:widowControl/>
              <w:autoSpaceDE/>
              <w:autoSpaceDN/>
              <w:adjustRightInd/>
              <w:spacing w:before="0" w:after="0"/>
              <w:jc w:val="center"/>
              <w:rPr>
                <w:color w:val="000000"/>
                <w:sz w:val="20"/>
              </w:rPr>
            </w:pPr>
            <w:r w:rsidRPr="007F5F07">
              <w:rPr>
                <w:color w:val="000000"/>
                <w:sz w:val="20"/>
              </w:rPr>
              <w:t>825</w:t>
            </w:r>
          </w:p>
        </w:tc>
        <w:tc>
          <w:tcPr>
            <w:tcW w:w="1379" w:type="dxa"/>
            <w:tcBorders>
              <w:top w:val="nil"/>
              <w:left w:val="nil"/>
              <w:bottom w:val="single" w:sz="4" w:space="0" w:color="auto"/>
              <w:right w:val="single" w:sz="4" w:space="0" w:color="auto"/>
            </w:tcBorders>
            <w:vAlign w:val="center"/>
            <w:hideMark/>
          </w:tcPr>
          <w:p w:rsidR="00B75B1B" w:rsidRPr="007F5F07" w:rsidP="00B75B1B" w14:paraId="5B0E11B9" w14:textId="77777777">
            <w:pPr>
              <w:widowControl/>
              <w:autoSpaceDE/>
              <w:autoSpaceDN/>
              <w:adjustRightInd/>
              <w:spacing w:before="0" w:after="0"/>
              <w:jc w:val="center"/>
              <w:rPr>
                <w:color w:val="000000"/>
                <w:sz w:val="20"/>
              </w:rPr>
            </w:pPr>
            <w:r w:rsidRPr="007F5F07">
              <w:rPr>
                <w:color w:val="000000"/>
                <w:sz w:val="20"/>
              </w:rPr>
              <w:t>1</w:t>
            </w:r>
          </w:p>
        </w:tc>
        <w:tc>
          <w:tcPr>
            <w:tcW w:w="1082" w:type="dxa"/>
            <w:tcBorders>
              <w:top w:val="nil"/>
              <w:left w:val="nil"/>
              <w:bottom w:val="single" w:sz="4" w:space="0" w:color="auto"/>
              <w:right w:val="single" w:sz="4" w:space="0" w:color="auto"/>
            </w:tcBorders>
            <w:vAlign w:val="center"/>
            <w:hideMark/>
          </w:tcPr>
          <w:p w:rsidR="00B75B1B" w:rsidRPr="007F5F07" w:rsidP="00B75B1B" w14:paraId="45CAD267" w14:textId="77777777">
            <w:pPr>
              <w:widowControl/>
              <w:autoSpaceDE/>
              <w:autoSpaceDN/>
              <w:adjustRightInd/>
              <w:spacing w:before="0" w:after="0"/>
              <w:jc w:val="center"/>
              <w:rPr>
                <w:color w:val="000000"/>
                <w:sz w:val="20"/>
              </w:rPr>
            </w:pPr>
            <w:r w:rsidRPr="007F5F07">
              <w:rPr>
                <w:color w:val="000000"/>
                <w:sz w:val="20"/>
              </w:rPr>
              <w:t>Annually</w:t>
            </w:r>
          </w:p>
        </w:tc>
        <w:tc>
          <w:tcPr>
            <w:tcW w:w="1404" w:type="dxa"/>
            <w:tcBorders>
              <w:top w:val="nil"/>
              <w:left w:val="nil"/>
              <w:bottom w:val="single" w:sz="4" w:space="0" w:color="auto"/>
              <w:right w:val="single" w:sz="4" w:space="0" w:color="auto"/>
            </w:tcBorders>
            <w:vAlign w:val="center"/>
            <w:hideMark/>
          </w:tcPr>
          <w:p w:rsidR="00B75B1B" w:rsidRPr="007F5F07" w:rsidP="00B75B1B" w14:paraId="10F69E59" w14:textId="77777777">
            <w:pPr>
              <w:widowControl/>
              <w:autoSpaceDE/>
              <w:autoSpaceDN/>
              <w:adjustRightInd/>
              <w:spacing w:before="0" w:after="0"/>
              <w:jc w:val="center"/>
              <w:rPr>
                <w:color w:val="000000"/>
                <w:sz w:val="20"/>
              </w:rPr>
            </w:pPr>
            <w:r w:rsidRPr="007F5F07">
              <w:rPr>
                <w:color w:val="000000"/>
                <w:sz w:val="20"/>
              </w:rPr>
              <w:t>825</w:t>
            </w:r>
          </w:p>
        </w:tc>
        <w:tc>
          <w:tcPr>
            <w:tcW w:w="1179" w:type="dxa"/>
            <w:tcBorders>
              <w:top w:val="nil"/>
              <w:left w:val="nil"/>
              <w:bottom w:val="single" w:sz="4" w:space="0" w:color="auto"/>
              <w:right w:val="single" w:sz="4" w:space="0" w:color="auto"/>
            </w:tcBorders>
            <w:vAlign w:val="center"/>
            <w:hideMark/>
          </w:tcPr>
          <w:p w:rsidR="00B75B1B" w:rsidRPr="007F5F07" w:rsidP="00B75B1B" w14:paraId="60258982" w14:textId="77777777">
            <w:pPr>
              <w:widowControl/>
              <w:autoSpaceDE/>
              <w:autoSpaceDN/>
              <w:adjustRightInd/>
              <w:spacing w:before="0" w:after="0"/>
              <w:jc w:val="center"/>
              <w:rPr>
                <w:color w:val="000000"/>
                <w:sz w:val="20"/>
              </w:rPr>
            </w:pPr>
            <w:r w:rsidRPr="007F5F07">
              <w:rPr>
                <w:color w:val="000000"/>
                <w:sz w:val="20"/>
              </w:rPr>
              <w:t>0.13</w:t>
            </w:r>
          </w:p>
        </w:tc>
        <w:tc>
          <w:tcPr>
            <w:tcW w:w="1097" w:type="dxa"/>
            <w:tcBorders>
              <w:top w:val="nil"/>
              <w:left w:val="nil"/>
              <w:bottom w:val="single" w:sz="4" w:space="0" w:color="auto"/>
              <w:right w:val="single" w:sz="4" w:space="0" w:color="auto"/>
            </w:tcBorders>
            <w:vAlign w:val="center"/>
            <w:hideMark/>
          </w:tcPr>
          <w:p w:rsidR="00B75B1B" w:rsidRPr="007F5F07" w:rsidP="00B75B1B" w14:paraId="1B191D84" w14:textId="77777777">
            <w:pPr>
              <w:widowControl/>
              <w:autoSpaceDE/>
              <w:autoSpaceDN/>
              <w:adjustRightInd/>
              <w:spacing w:before="0" w:after="0"/>
              <w:jc w:val="center"/>
              <w:rPr>
                <w:color w:val="000000"/>
                <w:sz w:val="20"/>
              </w:rPr>
            </w:pPr>
            <w:r w:rsidRPr="007F5F07">
              <w:rPr>
                <w:color w:val="000000"/>
                <w:sz w:val="20"/>
              </w:rPr>
              <w:t>107</w:t>
            </w:r>
          </w:p>
        </w:tc>
        <w:tc>
          <w:tcPr>
            <w:tcW w:w="797" w:type="dxa"/>
            <w:tcBorders>
              <w:top w:val="nil"/>
              <w:left w:val="nil"/>
              <w:bottom w:val="single" w:sz="4" w:space="0" w:color="auto"/>
              <w:right w:val="single" w:sz="4" w:space="0" w:color="auto"/>
            </w:tcBorders>
            <w:vAlign w:val="center"/>
            <w:hideMark/>
          </w:tcPr>
          <w:p w:rsidR="00B75B1B" w:rsidRPr="007F5F07" w:rsidP="00B75B1B" w14:paraId="2D8E09E6" w14:textId="77777777">
            <w:pPr>
              <w:widowControl/>
              <w:autoSpaceDE/>
              <w:autoSpaceDN/>
              <w:adjustRightInd/>
              <w:spacing w:before="0" w:after="0"/>
              <w:jc w:val="center"/>
              <w:rPr>
                <w:color w:val="000000"/>
                <w:sz w:val="20"/>
              </w:rPr>
            </w:pPr>
            <w:r w:rsidRPr="007F5F07">
              <w:rPr>
                <w:color w:val="000000"/>
                <w:sz w:val="20"/>
              </w:rPr>
              <w:t xml:space="preserve">$22.19 </w:t>
            </w:r>
          </w:p>
        </w:tc>
        <w:tc>
          <w:tcPr>
            <w:tcW w:w="1286" w:type="dxa"/>
            <w:tcBorders>
              <w:top w:val="nil"/>
              <w:left w:val="nil"/>
              <w:bottom w:val="single" w:sz="4" w:space="0" w:color="auto"/>
              <w:right w:val="single" w:sz="4" w:space="0" w:color="auto"/>
            </w:tcBorders>
            <w:vAlign w:val="center"/>
            <w:hideMark/>
          </w:tcPr>
          <w:p w:rsidR="00B75B1B" w:rsidRPr="007F5F07" w:rsidP="00B75B1B" w14:paraId="3D1E9831" w14:textId="77777777">
            <w:pPr>
              <w:widowControl/>
              <w:autoSpaceDE/>
              <w:autoSpaceDN/>
              <w:adjustRightInd/>
              <w:spacing w:before="0" w:after="0"/>
              <w:jc w:val="center"/>
              <w:rPr>
                <w:color w:val="000000"/>
                <w:sz w:val="20"/>
              </w:rPr>
            </w:pPr>
            <w:r w:rsidRPr="007F5F07">
              <w:rPr>
                <w:color w:val="000000"/>
                <w:sz w:val="20"/>
              </w:rPr>
              <w:t>$2,380</w:t>
            </w:r>
          </w:p>
        </w:tc>
      </w:tr>
      <w:tr w14:paraId="7924619F" w14:textId="77777777" w:rsidTr="005F36DE">
        <w:tblPrEx>
          <w:tblW w:w="10757" w:type="dxa"/>
          <w:tblLook w:val="04A0"/>
        </w:tblPrEx>
        <w:trPr>
          <w:trHeight w:val="1056"/>
        </w:trPr>
        <w:tc>
          <w:tcPr>
            <w:tcW w:w="1282" w:type="dxa"/>
            <w:tcBorders>
              <w:top w:val="nil"/>
              <w:left w:val="single" w:sz="4" w:space="0" w:color="auto"/>
              <w:bottom w:val="single" w:sz="4" w:space="0" w:color="auto"/>
              <w:right w:val="single" w:sz="4" w:space="0" w:color="auto"/>
            </w:tcBorders>
            <w:vAlign w:val="center"/>
            <w:hideMark/>
          </w:tcPr>
          <w:p w:rsidR="00B75B1B" w:rsidRPr="007F5F07" w:rsidP="00B75B1B" w14:paraId="6CD6208C" w14:textId="77777777">
            <w:pPr>
              <w:widowControl/>
              <w:autoSpaceDE/>
              <w:autoSpaceDN/>
              <w:adjustRightInd/>
              <w:spacing w:before="0" w:after="0"/>
              <w:rPr>
                <w:color w:val="000000"/>
                <w:sz w:val="20"/>
              </w:rPr>
            </w:pPr>
            <w:r w:rsidRPr="007F5F07">
              <w:rPr>
                <w:color w:val="000000"/>
                <w:sz w:val="20"/>
              </w:rPr>
              <w:t>Employer Customer Satisfaction – ETA-9124C2</w:t>
            </w:r>
          </w:p>
        </w:tc>
        <w:tc>
          <w:tcPr>
            <w:tcW w:w="1251" w:type="dxa"/>
            <w:tcBorders>
              <w:top w:val="nil"/>
              <w:left w:val="nil"/>
              <w:bottom w:val="single" w:sz="4" w:space="0" w:color="auto"/>
              <w:right w:val="single" w:sz="4" w:space="0" w:color="auto"/>
            </w:tcBorders>
            <w:vAlign w:val="center"/>
            <w:hideMark/>
          </w:tcPr>
          <w:p w:rsidR="00B75B1B" w:rsidRPr="007F5F07" w:rsidP="00B75B1B" w14:paraId="6DAB9870" w14:textId="77777777">
            <w:pPr>
              <w:widowControl/>
              <w:autoSpaceDE/>
              <w:autoSpaceDN/>
              <w:adjustRightInd/>
              <w:spacing w:before="0" w:after="0"/>
              <w:jc w:val="center"/>
              <w:rPr>
                <w:color w:val="000000"/>
                <w:sz w:val="20"/>
              </w:rPr>
            </w:pPr>
            <w:r w:rsidRPr="007F5F07">
              <w:rPr>
                <w:color w:val="000000"/>
                <w:sz w:val="20"/>
              </w:rPr>
              <w:t>1800</w:t>
            </w:r>
          </w:p>
        </w:tc>
        <w:tc>
          <w:tcPr>
            <w:tcW w:w="1379" w:type="dxa"/>
            <w:tcBorders>
              <w:top w:val="nil"/>
              <w:left w:val="nil"/>
              <w:bottom w:val="single" w:sz="4" w:space="0" w:color="auto"/>
              <w:right w:val="single" w:sz="4" w:space="0" w:color="auto"/>
            </w:tcBorders>
            <w:vAlign w:val="center"/>
            <w:hideMark/>
          </w:tcPr>
          <w:p w:rsidR="00B75B1B" w:rsidRPr="007F5F07" w:rsidP="00B75B1B" w14:paraId="6B03EB02" w14:textId="77777777">
            <w:pPr>
              <w:widowControl/>
              <w:autoSpaceDE/>
              <w:autoSpaceDN/>
              <w:adjustRightInd/>
              <w:spacing w:before="0" w:after="0"/>
              <w:jc w:val="center"/>
              <w:rPr>
                <w:color w:val="000000"/>
                <w:sz w:val="20"/>
              </w:rPr>
            </w:pPr>
            <w:r w:rsidRPr="007F5F07">
              <w:rPr>
                <w:color w:val="000000"/>
                <w:sz w:val="20"/>
              </w:rPr>
              <w:t>1</w:t>
            </w:r>
          </w:p>
        </w:tc>
        <w:tc>
          <w:tcPr>
            <w:tcW w:w="1082" w:type="dxa"/>
            <w:tcBorders>
              <w:top w:val="nil"/>
              <w:left w:val="nil"/>
              <w:bottom w:val="single" w:sz="4" w:space="0" w:color="auto"/>
              <w:right w:val="single" w:sz="4" w:space="0" w:color="auto"/>
            </w:tcBorders>
            <w:vAlign w:val="center"/>
            <w:hideMark/>
          </w:tcPr>
          <w:p w:rsidR="00B75B1B" w:rsidRPr="007F5F07" w:rsidP="00B75B1B" w14:paraId="105BA257" w14:textId="77777777">
            <w:pPr>
              <w:widowControl/>
              <w:autoSpaceDE/>
              <w:autoSpaceDN/>
              <w:adjustRightInd/>
              <w:spacing w:before="0" w:after="0"/>
              <w:jc w:val="center"/>
              <w:rPr>
                <w:color w:val="000000"/>
                <w:sz w:val="20"/>
              </w:rPr>
            </w:pPr>
            <w:r w:rsidRPr="007F5F07">
              <w:rPr>
                <w:color w:val="000000"/>
                <w:sz w:val="20"/>
              </w:rPr>
              <w:t>Annually</w:t>
            </w:r>
          </w:p>
        </w:tc>
        <w:tc>
          <w:tcPr>
            <w:tcW w:w="1404" w:type="dxa"/>
            <w:tcBorders>
              <w:top w:val="nil"/>
              <w:left w:val="nil"/>
              <w:bottom w:val="single" w:sz="4" w:space="0" w:color="auto"/>
              <w:right w:val="single" w:sz="4" w:space="0" w:color="auto"/>
            </w:tcBorders>
            <w:vAlign w:val="center"/>
            <w:hideMark/>
          </w:tcPr>
          <w:p w:rsidR="00B75B1B" w:rsidRPr="007F5F07" w:rsidP="00B75B1B" w14:paraId="266FABC3" w14:textId="77777777">
            <w:pPr>
              <w:widowControl/>
              <w:autoSpaceDE/>
              <w:autoSpaceDN/>
              <w:adjustRightInd/>
              <w:spacing w:before="0" w:after="0"/>
              <w:jc w:val="center"/>
              <w:rPr>
                <w:color w:val="000000"/>
                <w:sz w:val="20"/>
              </w:rPr>
            </w:pPr>
            <w:r w:rsidRPr="007F5F07">
              <w:rPr>
                <w:color w:val="000000"/>
                <w:sz w:val="20"/>
              </w:rPr>
              <w:t>1800</w:t>
            </w:r>
          </w:p>
        </w:tc>
        <w:tc>
          <w:tcPr>
            <w:tcW w:w="1179" w:type="dxa"/>
            <w:tcBorders>
              <w:top w:val="nil"/>
              <w:left w:val="nil"/>
              <w:bottom w:val="single" w:sz="4" w:space="0" w:color="auto"/>
              <w:right w:val="single" w:sz="4" w:space="0" w:color="auto"/>
            </w:tcBorders>
            <w:vAlign w:val="center"/>
            <w:hideMark/>
          </w:tcPr>
          <w:p w:rsidR="00B75B1B" w:rsidRPr="007F5F07" w:rsidP="00B75B1B" w14:paraId="251D2E9C" w14:textId="77777777">
            <w:pPr>
              <w:widowControl/>
              <w:autoSpaceDE/>
              <w:autoSpaceDN/>
              <w:adjustRightInd/>
              <w:spacing w:before="0" w:after="0"/>
              <w:jc w:val="center"/>
              <w:rPr>
                <w:color w:val="000000"/>
                <w:sz w:val="20"/>
              </w:rPr>
            </w:pPr>
            <w:r w:rsidRPr="007F5F07">
              <w:rPr>
                <w:color w:val="000000"/>
                <w:sz w:val="20"/>
              </w:rPr>
              <w:t>0.16</w:t>
            </w:r>
          </w:p>
        </w:tc>
        <w:tc>
          <w:tcPr>
            <w:tcW w:w="1097" w:type="dxa"/>
            <w:tcBorders>
              <w:top w:val="nil"/>
              <w:left w:val="nil"/>
              <w:bottom w:val="single" w:sz="4" w:space="0" w:color="auto"/>
              <w:right w:val="single" w:sz="4" w:space="0" w:color="auto"/>
            </w:tcBorders>
            <w:vAlign w:val="center"/>
            <w:hideMark/>
          </w:tcPr>
          <w:p w:rsidR="00B75B1B" w:rsidRPr="007F5F07" w:rsidP="00B75B1B" w14:paraId="6B91D72F" w14:textId="77777777">
            <w:pPr>
              <w:widowControl/>
              <w:autoSpaceDE/>
              <w:autoSpaceDN/>
              <w:adjustRightInd/>
              <w:spacing w:before="0" w:after="0"/>
              <w:jc w:val="center"/>
              <w:rPr>
                <w:color w:val="000000"/>
                <w:sz w:val="20"/>
              </w:rPr>
            </w:pPr>
            <w:r w:rsidRPr="007F5F07">
              <w:rPr>
                <w:color w:val="000000"/>
                <w:sz w:val="20"/>
              </w:rPr>
              <w:t>288</w:t>
            </w:r>
          </w:p>
        </w:tc>
        <w:tc>
          <w:tcPr>
            <w:tcW w:w="797" w:type="dxa"/>
            <w:tcBorders>
              <w:top w:val="nil"/>
              <w:left w:val="nil"/>
              <w:bottom w:val="single" w:sz="4" w:space="0" w:color="auto"/>
              <w:right w:val="single" w:sz="4" w:space="0" w:color="auto"/>
            </w:tcBorders>
            <w:vAlign w:val="center"/>
            <w:hideMark/>
          </w:tcPr>
          <w:p w:rsidR="00B75B1B" w:rsidRPr="007F5F07" w:rsidP="00B75B1B" w14:paraId="54F90EF9" w14:textId="77777777">
            <w:pPr>
              <w:widowControl/>
              <w:autoSpaceDE/>
              <w:autoSpaceDN/>
              <w:adjustRightInd/>
              <w:spacing w:before="0" w:after="0"/>
              <w:jc w:val="center"/>
              <w:rPr>
                <w:color w:val="000000"/>
                <w:sz w:val="20"/>
              </w:rPr>
            </w:pPr>
            <w:r w:rsidRPr="007F5F07">
              <w:rPr>
                <w:color w:val="000000"/>
                <w:sz w:val="20"/>
              </w:rPr>
              <w:t xml:space="preserve">$22.19 </w:t>
            </w:r>
          </w:p>
        </w:tc>
        <w:tc>
          <w:tcPr>
            <w:tcW w:w="1286" w:type="dxa"/>
            <w:tcBorders>
              <w:top w:val="nil"/>
              <w:left w:val="nil"/>
              <w:bottom w:val="single" w:sz="4" w:space="0" w:color="auto"/>
              <w:right w:val="single" w:sz="4" w:space="0" w:color="auto"/>
            </w:tcBorders>
            <w:vAlign w:val="center"/>
            <w:hideMark/>
          </w:tcPr>
          <w:p w:rsidR="00B75B1B" w:rsidRPr="007F5F07" w:rsidP="00B75B1B" w14:paraId="71C04BAF" w14:textId="77777777">
            <w:pPr>
              <w:widowControl/>
              <w:autoSpaceDE/>
              <w:autoSpaceDN/>
              <w:adjustRightInd/>
              <w:spacing w:before="0" w:after="0"/>
              <w:jc w:val="center"/>
              <w:rPr>
                <w:color w:val="000000"/>
                <w:sz w:val="20"/>
              </w:rPr>
            </w:pPr>
            <w:r w:rsidRPr="007F5F07">
              <w:rPr>
                <w:color w:val="000000"/>
                <w:sz w:val="20"/>
              </w:rPr>
              <w:t>$6,391</w:t>
            </w:r>
          </w:p>
        </w:tc>
      </w:tr>
      <w:tr w14:paraId="45233BB9" w14:textId="77777777" w:rsidTr="005F36DE">
        <w:tblPrEx>
          <w:tblW w:w="10757" w:type="dxa"/>
          <w:tblLook w:val="04A0"/>
        </w:tblPrEx>
        <w:trPr>
          <w:trHeight w:val="840"/>
        </w:trPr>
        <w:tc>
          <w:tcPr>
            <w:tcW w:w="10757" w:type="dxa"/>
            <w:gridSpan w:val="9"/>
            <w:tcBorders>
              <w:top w:val="single" w:sz="4" w:space="0" w:color="auto"/>
              <w:left w:val="single" w:sz="4" w:space="0" w:color="auto"/>
              <w:bottom w:val="single" w:sz="4" w:space="0" w:color="auto"/>
              <w:right w:val="single" w:sz="4" w:space="0" w:color="000000"/>
            </w:tcBorders>
            <w:hideMark/>
          </w:tcPr>
          <w:p w:rsidR="00B75B1B" w:rsidRPr="007F5F07" w:rsidP="00B75B1B" w14:paraId="03C20415" w14:textId="77777777">
            <w:pPr>
              <w:widowControl/>
              <w:autoSpaceDE/>
              <w:autoSpaceDN/>
              <w:adjustRightInd/>
              <w:spacing w:before="0" w:after="0"/>
              <w:rPr>
                <w:color w:val="000000"/>
                <w:sz w:val="20"/>
              </w:rPr>
            </w:pPr>
            <w:r w:rsidRPr="007F5F07">
              <w:rPr>
                <w:color w:val="000000"/>
                <w:sz w:val="20"/>
              </w:rPr>
              <w:t>Hourly rate for participant survey based on the average minimum wage, accounting for states with higher than federal minimum wage. For host agency and employer customer satisfaction surveys, hourly rate is based on NAICS 8134, Civic and Social Organizations, and 1.46 multiplier for loaded wage.</w:t>
            </w:r>
          </w:p>
        </w:tc>
      </w:tr>
    </w:tbl>
    <w:p w:rsidR="00107C36" w:rsidP="000C16E4" w14:paraId="6E9AE76D" w14:textId="77777777">
      <w:pPr>
        <w:rPr>
          <w:iCs/>
          <w:szCs w:val="24"/>
        </w:rPr>
      </w:pPr>
    </w:p>
    <w:p w:rsidR="007F5F07" w:rsidP="000C16E4" w14:paraId="6DC23C12" w14:textId="77777777">
      <w:pPr>
        <w:rPr>
          <w:iCs/>
          <w:szCs w:val="24"/>
        </w:rPr>
      </w:pPr>
    </w:p>
    <w:tbl>
      <w:tblPr>
        <w:tblW w:w="10795" w:type="dxa"/>
        <w:jc w:val="center"/>
        <w:tblLook w:val="04A0"/>
      </w:tblPr>
      <w:tblGrid>
        <w:gridCol w:w="1328"/>
        <w:gridCol w:w="1251"/>
        <w:gridCol w:w="1196"/>
        <w:gridCol w:w="1082"/>
        <w:gridCol w:w="1528"/>
        <w:gridCol w:w="1170"/>
        <w:gridCol w:w="990"/>
        <w:gridCol w:w="900"/>
        <w:gridCol w:w="1350"/>
      </w:tblGrid>
      <w:tr w14:paraId="68A5B376" w14:textId="77777777" w:rsidTr="00EB4D93">
        <w:tblPrEx>
          <w:tblW w:w="10795" w:type="dxa"/>
          <w:jc w:val="center"/>
          <w:tblLook w:val="04A0"/>
        </w:tblPrEx>
        <w:trPr>
          <w:trHeight w:val="756"/>
          <w:jc w:val="center"/>
        </w:trPr>
        <w:tc>
          <w:tcPr>
            <w:tcW w:w="1328" w:type="dxa"/>
            <w:tcBorders>
              <w:top w:val="single" w:sz="4" w:space="0" w:color="auto"/>
              <w:left w:val="single" w:sz="4" w:space="0" w:color="auto"/>
              <w:bottom w:val="nil"/>
              <w:right w:val="single" w:sz="4" w:space="0" w:color="auto"/>
            </w:tcBorders>
            <w:shd w:val="clear" w:color="000000" w:fill="8DB3E2"/>
            <w:vAlign w:val="center"/>
            <w:hideMark/>
          </w:tcPr>
          <w:p w:rsidR="008754C0" w:rsidRPr="008754C0" w:rsidP="008754C0" w14:paraId="3694A86A" w14:textId="77777777">
            <w:pPr>
              <w:widowControl/>
              <w:autoSpaceDE/>
              <w:autoSpaceDN/>
              <w:adjustRightInd/>
              <w:spacing w:before="0" w:after="0"/>
              <w:rPr>
                <w:b/>
                <w:bCs/>
                <w:color w:val="000000"/>
                <w:sz w:val="19"/>
                <w:szCs w:val="19"/>
              </w:rPr>
            </w:pPr>
            <w:r w:rsidRPr="008754C0">
              <w:rPr>
                <w:b/>
                <w:bCs/>
                <w:color w:val="000000"/>
                <w:sz w:val="19"/>
                <w:szCs w:val="19"/>
              </w:rPr>
              <w:t>Activity</w:t>
            </w:r>
          </w:p>
        </w:tc>
        <w:tc>
          <w:tcPr>
            <w:tcW w:w="1251" w:type="dxa"/>
            <w:tcBorders>
              <w:top w:val="single" w:sz="4" w:space="0" w:color="auto"/>
              <w:left w:val="nil"/>
              <w:bottom w:val="nil"/>
              <w:right w:val="single" w:sz="4" w:space="0" w:color="auto"/>
            </w:tcBorders>
            <w:shd w:val="clear" w:color="000000" w:fill="8DB3E2"/>
            <w:vAlign w:val="center"/>
            <w:hideMark/>
          </w:tcPr>
          <w:p w:rsidR="008754C0" w:rsidRPr="008754C0" w:rsidP="008754C0" w14:paraId="000DC759" w14:textId="77777777">
            <w:pPr>
              <w:widowControl/>
              <w:autoSpaceDE/>
              <w:autoSpaceDN/>
              <w:adjustRightInd/>
              <w:spacing w:before="0" w:after="0"/>
              <w:rPr>
                <w:b/>
                <w:bCs/>
                <w:color w:val="000000"/>
                <w:sz w:val="19"/>
                <w:szCs w:val="19"/>
              </w:rPr>
            </w:pPr>
            <w:r w:rsidRPr="008754C0">
              <w:rPr>
                <w:b/>
                <w:bCs/>
                <w:color w:val="000000"/>
                <w:sz w:val="19"/>
                <w:szCs w:val="19"/>
              </w:rPr>
              <w:t>No. of Respondents (Note 1)</w:t>
            </w:r>
          </w:p>
        </w:tc>
        <w:tc>
          <w:tcPr>
            <w:tcW w:w="1196" w:type="dxa"/>
            <w:tcBorders>
              <w:top w:val="single" w:sz="4" w:space="0" w:color="auto"/>
              <w:left w:val="nil"/>
              <w:bottom w:val="nil"/>
              <w:right w:val="single" w:sz="4" w:space="0" w:color="auto"/>
            </w:tcBorders>
            <w:shd w:val="clear" w:color="000000" w:fill="8DB3E2"/>
            <w:vAlign w:val="center"/>
            <w:hideMark/>
          </w:tcPr>
          <w:p w:rsidR="008754C0" w:rsidRPr="008754C0" w:rsidP="008754C0" w14:paraId="2BA556D5" w14:textId="77777777">
            <w:pPr>
              <w:widowControl/>
              <w:autoSpaceDE/>
              <w:autoSpaceDN/>
              <w:adjustRightInd/>
              <w:spacing w:before="0" w:after="0"/>
              <w:jc w:val="center"/>
              <w:rPr>
                <w:b/>
                <w:bCs/>
                <w:color w:val="000000"/>
                <w:sz w:val="19"/>
                <w:szCs w:val="19"/>
              </w:rPr>
            </w:pPr>
            <w:r w:rsidRPr="008754C0">
              <w:rPr>
                <w:b/>
                <w:bCs/>
                <w:color w:val="000000"/>
                <w:sz w:val="19"/>
                <w:szCs w:val="19"/>
              </w:rPr>
              <w:t>No. of Responses per Respondent</w:t>
            </w:r>
          </w:p>
        </w:tc>
        <w:tc>
          <w:tcPr>
            <w:tcW w:w="1082" w:type="dxa"/>
            <w:tcBorders>
              <w:top w:val="single" w:sz="4" w:space="0" w:color="auto"/>
              <w:left w:val="nil"/>
              <w:bottom w:val="nil"/>
              <w:right w:val="single" w:sz="4" w:space="0" w:color="auto"/>
            </w:tcBorders>
            <w:shd w:val="clear" w:color="000000" w:fill="8DB3E2"/>
            <w:vAlign w:val="center"/>
            <w:hideMark/>
          </w:tcPr>
          <w:p w:rsidR="008754C0" w:rsidRPr="008754C0" w:rsidP="008754C0" w14:paraId="0100F763" w14:textId="77777777">
            <w:pPr>
              <w:widowControl/>
              <w:autoSpaceDE/>
              <w:autoSpaceDN/>
              <w:adjustRightInd/>
              <w:spacing w:before="0" w:after="0"/>
              <w:rPr>
                <w:b/>
                <w:bCs/>
                <w:color w:val="000000"/>
                <w:sz w:val="19"/>
                <w:szCs w:val="19"/>
              </w:rPr>
            </w:pPr>
            <w:r w:rsidRPr="008754C0">
              <w:rPr>
                <w:b/>
                <w:bCs/>
                <w:color w:val="000000"/>
                <w:sz w:val="19"/>
                <w:szCs w:val="19"/>
              </w:rPr>
              <w:t>Frequency</w:t>
            </w:r>
          </w:p>
        </w:tc>
        <w:tc>
          <w:tcPr>
            <w:tcW w:w="1528" w:type="dxa"/>
            <w:tcBorders>
              <w:top w:val="single" w:sz="4" w:space="0" w:color="auto"/>
              <w:left w:val="nil"/>
              <w:bottom w:val="nil"/>
              <w:right w:val="single" w:sz="4" w:space="0" w:color="auto"/>
            </w:tcBorders>
            <w:shd w:val="clear" w:color="000000" w:fill="8DB3E2"/>
            <w:vAlign w:val="center"/>
            <w:hideMark/>
          </w:tcPr>
          <w:p w:rsidR="008754C0" w:rsidRPr="008754C0" w:rsidP="008754C0" w14:paraId="1D1F2F17" w14:textId="77777777">
            <w:pPr>
              <w:widowControl/>
              <w:autoSpaceDE/>
              <w:autoSpaceDN/>
              <w:adjustRightInd/>
              <w:spacing w:before="0" w:after="0"/>
              <w:rPr>
                <w:b/>
                <w:bCs/>
                <w:color w:val="000000"/>
                <w:sz w:val="19"/>
                <w:szCs w:val="19"/>
              </w:rPr>
            </w:pPr>
            <w:r w:rsidRPr="008754C0">
              <w:rPr>
                <w:b/>
                <w:bCs/>
                <w:color w:val="000000"/>
                <w:sz w:val="19"/>
                <w:szCs w:val="19"/>
              </w:rPr>
              <w:t>Total Estimated Annual Responses</w:t>
            </w:r>
          </w:p>
        </w:tc>
        <w:tc>
          <w:tcPr>
            <w:tcW w:w="1170" w:type="dxa"/>
            <w:tcBorders>
              <w:top w:val="single" w:sz="4" w:space="0" w:color="auto"/>
              <w:left w:val="nil"/>
              <w:bottom w:val="nil"/>
              <w:right w:val="single" w:sz="4" w:space="0" w:color="auto"/>
            </w:tcBorders>
            <w:shd w:val="clear" w:color="000000" w:fill="8DB3E2"/>
            <w:vAlign w:val="center"/>
            <w:hideMark/>
          </w:tcPr>
          <w:p w:rsidR="008754C0" w:rsidRPr="008754C0" w:rsidP="008754C0" w14:paraId="505E3995" w14:textId="77777777">
            <w:pPr>
              <w:widowControl/>
              <w:autoSpaceDE/>
              <w:autoSpaceDN/>
              <w:adjustRightInd/>
              <w:spacing w:before="0" w:after="0"/>
              <w:rPr>
                <w:b/>
                <w:bCs/>
                <w:color w:val="000000"/>
                <w:sz w:val="19"/>
                <w:szCs w:val="19"/>
              </w:rPr>
            </w:pPr>
            <w:r w:rsidRPr="008754C0">
              <w:rPr>
                <w:b/>
                <w:bCs/>
                <w:color w:val="000000"/>
                <w:sz w:val="19"/>
                <w:szCs w:val="19"/>
              </w:rPr>
              <w:t>Time Per Response (Hours)</w:t>
            </w:r>
          </w:p>
        </w:tc>
        <w:tc>
          <w:tcPr>
            <w:tcW w:w="990" w:type="dxa"/>
            <w:tcBorders>
              <w:top w:val="single" w:sz="4" w:space="0" w:color="auto"/>
              <w:left w:val="nil"/>
              <w:bottom w:val="nil"/>
              <w:right w:val="single" w:sz="4" w:space="0" w:color="auto"/>
            </w:tcBorders>
            <w:shd w:val="clear" w:color="000000" w:fill="8DB3E2"/>
            <w:vAlign w:val="center"/>
            <w:hideMark/>
          </w:tcPr>
          <w:p w:rsidR="008754C0" w:rsidRPr="008754C0" w:rsidP="008754C0" w14:paraId="49D3DF42" w14:textId="77777777">
            <w:pPr>
              <w:widowControl/>
              <w:autoSpaceDE/>
              <w:autoSpaceDN/>
              <w:adjustRightInd/>
              <w:spacing w:before="0" w:after="0"/>
              <w:rPr>
                <w:b/>
                <w:bCs/>
                <w:color w:val="000000"/>
                <w:sz w:val="19"/>
                <w:szCs w:val="19"/>
              </w:rPr>
            </w:pPr>
            <w:r w:rsidRPr="008754C0">
              <w:rPr>
                <w:b/>
                <w:bCs/>
                <w:color w:val="000000"/>
                <w:sz w:val="19"/>
                <w:szCs w:val="19"/>
              </w:rPr>
              <w:t>Total Annual Burden (Hours)</w:t>
            </w:r>
          </w:p>
        </w:tc>
        <w:tc>
          <w:tcPr>
            <w:tcW w:w="900" w:type="dxa"/>
            <w:tcBorders>
              <w:top w:val="single" w:sz="4" w:space="0" w:color="auto"/>
              <w:left w:val="nil"/>
              <w:bottom w:val="nil"/>
              <w:right w:val="single" w:sz="4" w:space="0" w:color="auto"/>
            </w:tcBorders>
            <w:shd w:val="clear" w:color="000000" w:fill="8DB3E2"/>
            <w:vAlign w:val="center"/>
            <w:hideMark/>
          </w:tcPr>
          <w:p w:rsidR="008754C0" w:rsidRPr="008754C0" w:rsidP="008754C0" w14:paraId="6028CC21" w14:textId="77777777">
            <w:pPr>
              <w:widowControl/>
              <w:autoSpaceDE/>
              <w:autoSpaceDN/>
              <w:adjustRightInd/>
              <w:spacing w:before="0" w:after="0"/>
              <w:rPr>
                <w:b/>
                <w:bCs/>
                <w:color w:val="000000"/>
                <w:sz w:val="19"/>
                <w:szCs w:val="19"/>
              </w:rPr>
            </w:pPr>
            <w:r w:rsidRPr="008754C0">
              <w:rPr>
                <w:b/>
                <w:bCs/>
                <w:color w:val="000000"/>
                <w:sz w:val="19"/>
                <w:szCs w:val="19"/>
              </w:rPr>
              <w:t>Hourly Rate*</w:t>
            </w:r>
          </w:p>
        </w:tc>
        <w:tc>
          <w:tcPr>
            <w:tcW w:w="1350" w:type="dxa"/>
            <w:tcBorders>
              <w:top w:val="single" w:sz="4" w:space="0" w:color="auto"/>
              <w:left w:val="nil"/>
              <w:bottom w:val="nil"/>
              <w:right w:val="single" w:sz="4" w:space="0" w:color="auto"/>
            </w:tcBorders>
            <w:shd w:val="clear" w:color="000000" w:fill="8DB3E2"/>
            <w:vAlign w:val="center"/>
            <w:hideMark/>
          </w:tcPr>
          <w:p w:rsidR="008754C0" w:rsidRPr="008754C0" w:rsidP="008754C0" w14:paraId="182BF012" w14:textId="77777777">
            <w:pPr>
              <w:widowControl/>
              <w:autoSpaceDE/>
              <w:autoSpaceDN/>
              <w:adjustRightInd/>
              <w:spacing w:before="0" w:after="0"/>
              <w:rPr>
                <w:b/>
                <w:bCs/>
                <w:color w:val="000000"/>
                <w:sz w:val="19"/>
                <w:szCs w:val="19"/>
              </w:rPr>
            </w:pPr>
            <w:r w:rsidRPr="008754C0">
              <w:rPr>
                <w:b/>
                <w:bCs/>
                <w:color w:val="000000"/>
                <w:sz w:val="19"/>
                <w:szCs w:val="19"/>
              </w:rPr>
              <w:t>Monetary Value of Respondent Time</w:t>
            </w:r>
          </w:p>
        </w:tc>
      </w:tr>
      <w:tr w14:paraId="1DCC35D4" w14:textId="77777777" w:rsidTr="00EB4D93">
        <w:tblPrEx>
          <w:tblW w:w="10795" w:type="dxa"/>
          <w:jc w:val="center"/>
          <w:tblLook w:val="04A0"/>
        </w:tblPrEx>
        <w:trPr>
          <w:trHeight w:val="552"/>
          <w:jc w:val="center"/>
        </w:trPr>
        <w:tc>
          <w:tcPr>
            <w:tcW w:w="1328" w:type="dxa"/>
            <w:tcBorders>
              <w:top w:val="single" w:sz="4" w:space="0" w:color="auto"/>
              <w:left w:val="single" w:sz="4" w:space="0" w:color="auto"/>
              <w:bottom w:val="single" w:sz="4" w:space="0" w:color="auto"/>
              <w:right w:val="single" w:sz="4" w:space="0" w:color="auto"/>
            </w:tcBorders>
            <w:vAlign w:val="bottom"/>
            <w:hideMark/>
          </w:tcPr>
          <w:p w:rsidR="008754C0" w:rsidRPr="008754C0" w:rsidP="008754C0" w14:paraId="37E2964D" w14:textId="77777777">
            <w:pPr>
              <w:widowControl/>
              <w:autoSpaceDE/>
              <w:autoSpaceDN/>
              <w:adjustRightInd/>
              <w:spacing w:before="0" w:after="0"/>
              <w:rPr>
                <w:b/>
                <w:bCs/>
                <w:i/>
                <w:iCs/>
                <w:color w:val="000000"/>
                <w:sz w:val="20"/>
              </w:rPr>
            </w:pPr>
            <w:r w:rsidRPr="008754C0">
              <w:rPr>
                <w:b/>
                <w:bCs/>
                <w:i/>
                <w:iCs/>
                <w:color w:val="000000"/>
                <w:sz w:val="20"/>
              </w:rPr>
              <w:t>Unduplicated Totals  </w:t>
            </w:r>
          </w:p>
        </w:tc>
        <w:tc>
          <w:tcPr>
            <w:tcW w:w="1251" w:type="dxa"/>
            <w:tcBorders>
              <w:top w:val="single" w:sz="4" w:space="0" w:color="auto"/>
              <w:left w:val="nil"/>
              <w:bottom w:val="single" w:sz="4" w:space="0" w:color="auto"/>
              <w:right w:val="single" w:sz="4" w:space="0" w:color="auto"/>
            </w:tcBorders>
            <w:noWrap/>
            <w:vAlign w:val="bottom"/>
            <w:hideMark/>
          </w:tcPr>
          <w:p w:rsidR="008754C0" w:rsidRPr="008754C0" w:rsidP="008754C0" w14:paraId="0AACD90C" w14:textId="77777777">
            <w:pPr>
              <w:widowControl/>
              <w:autoSpaceDE/>
              <w:autoSpaceDN/>
              <w:adjustRightInd/>
              <w:spacing w:before="0" w:after="0"/>
              <w:jc w:val="center"/>
              <w:rPr>
                <w:color w:val="000000"/>
                <w:sz w:val="20"/>
              </w:rPr>
            </w:pPr>
            <w:r w:rsidRPr="008754C0">
              <w:rPr>
                <w:color w:val="000000"/>
                <w:sz w:val="20"/>
              </w:rPr>
              <w:t>49,823</w:t>
            </w:r>
          </w:p>
        </w:tc>
        <w:tc>
          <w:tcPr>
            <w:tcW w:w="1196" w:type="dxa"/>
            <w:tcBorders>
              <w:top w:val="single" w:sz="4" w:space="0" w:color="auto"/>
              <w:left w:val="nil"/>
              <w:bottom w:val="single" w:sz="4" w:space="0" w:color="auto"/>
              <w:right w:val="single" w:sz="4" w:space="0" w:color="auto"/>
            </w:tcBorders>
            <w:noWrap/>
            <w:vAlign w:val="bottom"/>
            <w:hideMark/>
          </w:tcPr>
          <w:p w:rsidR="008754C0" w:rsidRPr="008754C0" w:rsidP="008754C0" w14:paraId="240F695E" w14:textId="77777777">
            <w:pPr>
              <w:widowControl/>
              <w:autoSpaceDE/>
              <w:autoSpaceDN/>
              <w:adjustRightInd/>
              <w:spacing w:before="0" w:after="0"/>
              <w:jc w:val="center"/>
              <w:rPr>
                <w:color w:val="000000"/>
                <w:sz w:val="20"/>
              </w:rPr>
            </w:pPr>
            <w:r w:rsidRPr="008754C0">
              <w:rPr>
                <w:color w:val="000000"/>
                <w:sz w:val="20"/>
              </w:rPr>
              <w:t>1</w:t>
            </w:r>
          </w:p>
        </w:tc>
        <w:tc>
          <w:tcPr>
            <w:tcW w:w="1082" w:type="dxa"/>
            <w:tcBorders>
              <w:top w:val="single" w:sz="4" w:space="0" w:color="auto"/>
              <w:left w:val="nil"/>
              <w:bottom w:val="single" w:sz="4" w:space="0" w:color="auto"/>
              <w:right w:val="single" w:sz="4" w:space="0" w:color="auto"/>
            </w:tcBorders>
            <w:noWrap/>
            <w:vAlign w:val="bottom"/>
            <w:hideMark/>
          </w:tcPr>
          <w:p w:rsidR="008754C0" w:rsidRPr="008754C0" w:rsidP="008754C0" w14:paraId="7E4A03FA" w14:textId="77777777">
            <w:pPr>
              <w:widowControl/>
              <w:autoSpaceDE/>
              <w:autoSpaceDN/>
              <w:adjustRightInd/>
              <w:spacing w:before="0" w:after="0"/>
              <w:jc w:val="center"/>
              <w:rPr>
                <w:color w:val="000000"/>
                <w:sz w:val="20"/>
              </w:rPr>
            </w:pPr>
            <w:r w:rsidRPr="008754C0">
              <w:rPr>
                <w:color w:val="000000"/>
                <w:sz w:val="20"/>
              </w:rPr>
              <w:t>Varies</w:t>
            </w:r>
          </w:p>
        </w:tc>
        <w:tc>
          <w:tcPr>
            <w:tcW w:w="1528" w:type="dxa"/>
            <w:tcBorders>
              <w:top w:val="single" w:sz="4" w:space="0" w:color="auto"/>
              <w:left w:val="nil"/>
              <w:bottom w:val="single" w:sz="4" w:space="0" w:color="auto"/>
              <w:right w:val="single" w:sz="4" w:space="0" w:color="auto"/>
            </w:tcBorders>
            <w:noWrap/>
            <w:vAlign w:val="bottom"/>
            <w:hideMark/>
          </w:tcPr>
          <w:p w:rsidR="008754C0" w:rsidRPr="008754C0" w:rsidP="008754C0" w14:paraId="78877CF0" w14:textId="77777777">
            <w:pPr>
              <w:widowControl/>
              <w:autoSpaceDE/>
              <w:autoSpaceDN/>
              <w:adjustRightInd/>
              <w:spacing w:before="0" w:after="0"/>
              <w:jc w:val="center"/>
              <w:rPr>
                <w:color w:val="000000"/>
                <w:sz w:val="20"/>
              </w:rPr>
            </w:pPr>
            <w:r w:rsidRPr="008754C0">
              <w:rPr>
                <w:color w:val="000000"/>
                <w:sz w:val="20"/>
              </w:rPr>
              <w:t>49,823</w:t>
            </w:r>
          </w:p>
        </w:tc>
        <w:tc>
          <w:tcPr>
            <w:tcW w:w="1170" w:type="dxa"/>
            <w:tcBorders>
              <w:top w:val="single" w:sz="4" w:space="0" w:color="auto"/>
              <w:left w:val="nil"/>
              <w:bottom w:val="single" w:sz="4" w:space="0" w:color="auto"/>
              <w:right w:val="single" w:sz="4" w:space="0" w:color="auto"/>
            </w:tcBorders>
            <w:noWrap/>
            <w:vAlign w:val="bottom"/>
            <w:hideMark/>
          </w:tcPr>
          <w:p w:rsidR="008754C0" w:rsidRPr="008754C0" w:rsidP="008754C0" w14:paraId="00D0EB6B" w14:textId="77777777">
            <w:pPr>
              <w:widowControl/>
              <w:autoSpaceDE/>
              <w:autoSpaceDN/>
              <w:adjustRightInd/>
              <w:spacing w:before="0" w:after="0"/>
              <w:jc w:val="center"/>
              <w:rPr>
                <w:color w:val="000000"/>
                <w:sz w:val="20"/>
              </w:rPr>
            </w:pPr>
            <w:r w:rsidRPr="008754C0">
              <w:rPr>
                <w:color w:val="000000"/>
                <w:sz w:val="20"/>
              </w:rPr>
              <w:t>Varies</w:t>
            </w:r>
          </w:p>
        </w:tc>
        <w:tc>
          <w:tcPr>
            <w:tcW w:w="990" w:type="dxa"/>
            <w:tcBorders>
              <w:top w:val="single" w:sz="4" w:space="0" w:color="auto"/>
              <w:left w:val="nil"/>
              <w:bottom w:val="single" w:sz="4" w:space="0" w:color="auto"/>
              <w:right w:val="single" w:sz="4" w:space="0" w:color="auto"/>
            </w:tcBorders>
            <w:noWrap/>
            <w:vAlign w:val="bottom"/>
            <w:hideMark/>
          </w:tcPr>
          <w:p w:rsidR="008754C0" w:rsidRPr="008754C0" w:rsidP="008754C0" w14:paraId="69E40E75" w14:textId="77777777">
            <w:pPr>
              <w:widowControl/>
              <w:autoSpaceDE/>
              <w:autoSpaceDN/>
              <w:adjustRightInd/>
              <w:spacing w:before="0" w:after="0"/>
              <w:jc w:val="center"/>
              <w:rPr>
                <w:color w:val="000000"/>
                <w:sz w:val="20"/>
              </w:rPr>
            </w:pPr>
            <w:r w:rsidRPr="008754C0">
              <w:rPr>
                <w:color w:val="000000"/>
                <w:sz w:val="20"/>
              </w:rPr>
              <w:t>21,246</w:t>
            </w:r>
          </w:p>
        </w:tc>
        <w:tc>
          <w:tcPr>
            <w:tcW w:w="900" w:type="dxa"/>
            <w:tcBorders>
              <w:top w:val="single" w:sz="4" w:space="0" w:color="auto"/>
              <w:left w:val="nil"/>
              <w:bottom w:val="single" w:sz="4" w:space="0" w:color="auto"/>
              <w:right w:val="single" w:sz="4" w:space="0" w:color="auto"/>
            </w:tcBorders>
            <w:noWrap/>
            <w:vAlign w:val="bottom"/>
            <w:hideMark/>
          </w:tcPr>
          <w:p w:rsidR="008754C0" w:rsidRPr="008754C0" w:rsidP="008754C0" w14:paraId="6D0B8D3F" w14:textId="77777777">
            <w:pPr>
              <w:widowControl/>
              <w:autoSpaceDE/>
              <w:autoSpaceDN/>
              <w:adjustRightInd/>
              <w:spacing w:before="0" w:after="0"/>
              <w:jc w:val="center"/>
              <w:rPr>
                <w:color w:val="000000"/>
                <w:sz w:val="20"/>
              </w:rPr>
            </w:pPr>
            <w:r w:rsidRPr="008754C0">
              <w:rPr>
                <w:color w:val="000000"/>
                <w:sz w:val="20"/>
              </w:rPr>
              <w:t>Varies</w:t>
            </w:r>
          </w:p>
        </w:tc>
        <w:tc>
          <w:tcPr>
            <w:tcW w:w="1350" w:type="dxa"/>
            <w:tcBorders>
              <w:top w:val="single" w:sz="4" w:space="0" w:color="auto"/>
              <w:left w:val="nil"/>
              <w:bottom w:val="single" w:sz="4" w:space="0" w:color="auto"/>
              <w:right w:val="single" w:sz="4" w:space="0" w:color="auto"/>
            </w:tcBorders>
            <w:noWrap/>
            <w:vAlign w:val="bottom"/>
            <w:hideMark/>
          </w:tcPr>
          <w:p w:rsidR="008754C0" w:rsidRPr="008754C0" w:rsidP="008754C0" w14:paraId="6F36A105" w14:textId="77777777">
            <w:pPr>
              <w:widowControl/>
              <w:autoSpaceDE/>
              <w:autoSpaceDN/>
              <w:adjustRightInd/>
              <w:spacing w:before="0" w:after="0"/>
              <w:jc w:val="center"/>
              <w:rPr>
                <w:color w:val="000000"/>
                <w:sz w:val="20"/>
              </w:rPr>
            </w:pPr>
            <w:r w:rsidRPr="008754C0">
              <w:rPr>
                <w:color w:val="000000"/>
                <w:sz w:val="20"/>
              </w:rPr>
              <w:t xml:space="preserve">$564,568 </w:t>
            </w:r>
          </w:p>
        </w:tc>
      </w:tr>
    </w:tbl>
    <w:p w:rsidR="007F5F07" w:rsidRPr="00420504" w:rsidP="000C16E4" w14:paraId="1B5E190D" w14:textId="77777777">
      <w:pPr>
        <w:rPr>
          <w:iCs/>
          <w:szCs w:val="24"/>
        </w:rPr>
      </w:pPr>
    </w:p>
    <w:p w:rsidR="000A3A8A" w:rsidRPr="000A3A8A" w:rsidP="00FE0513" w14:paraId="2A1E414A" w14:textId="77777777">
      <w:pPr>
        <w:ind w:left="-540"/>
        <w:rPr>
          <w:szCs w:val="24"/>
        </w:rPr>
      </w:pPr>
    </w:p>
    <w:p w:rsidR="000A3A8A" w:rsidRPr="00D24777" w:rsidP="000C16E4" w14:paraId="13144429" w14:textId="69D7589E">
      <w:pPr>
        <w:pStyle w:val="ListParagraph"/>
        <w:numPr>
          <w:ilvl w:val="0"/>
          <w:numId w:val="7"/>
        </w:numPr>
        <w:spacing w:before="240"/>
        <w:ind w:left="360"/>
        <w:rPr>
          <w:b/>
          <w:bCs/>
          <w:szCs w:val="24"/>
        </w:rPr>
      </w:pPr>
      <w:r w:rsidRPr="00D24777">
        <w:rPr>
          <w:b/>
          <w:bCs/>
          <w:szCs w:val="24"/>
        </w:rPr>
        <w:t xml:space="preserve">Provide an estimate of the total annual cost burden to respondents or recordkeepers resulting from the collection of information. (Do not include the cost of any hour burden show in Items 12 and 14). </w:t>
      </w:r>
    </w:p>
    <w:p w:rsidR="00BC5079" w:rsidP="00D454BF" w14:paraId="122E3255" w14:textId="53390DEC">
      <w:pPr>
        <w:ind w:left="360"/>
        <w:rPr>
          <w:szCs w:val="24"/>
        </w:rPr>
      </w:pPr>
      <w:r w:rsidRPr="00466379">
        <w:rPr>
          <w:szCs w:val="24"/>
        </w:rPr>
        <w:t>The data collection application is web-based and does not require any special software.  The application is designed to run on any computer with broadband Internet access and a browser, such as Chrome</w:t>
      </w:r>
      <w:r w:rsidR="00555E6E">
        <w:rPr>
          <w:szCs w:val="24"/>
        </w:rPr>
        <w:t xml:space="preserve"> or Edge</w:t>
      </w:r>
      <w:r w:rsidRPr="00466379">
        <w:rPr>
          <w:szCs w:val="24"/>
        </w:rPr>
        <w:t xml:space="preserve">. All grantees and sub-grantees have the equipment necessary to operate the application. Grantees need not incur any additional costs although there may be some minor costs (covered by grant funds) associated with training grantee staff to use the system. The data collection application </w:t>
      </w:r>
      <w:r w:rsidR="00B206B1">
        <w:rPr>
          <w:szCs w:val="24"/>
        </w:rPr>
        <w:t>is</w:t>
      </w:r>
      <w:r w:rsidRPr="00466379">
        <w:rPr>
          <w:szCs w:val="24"/>
        </w:rPr>
        <w:t xml:space="preserve"> provided for free to all grantees and sub-grantees. All grantees are required to use the ETA-provided system.  </w:t>
      </w:r>
    </w:p>
    <w:p w:rsidR="00BC5079" w:rsidRPr="006D17F1" w:rsidP="006D17F1" w14:paraId="3306AB7E" w14:textId="37385C54">
      <w:pPr>
        <w:pStyle w:val="ListParagraph"/>
        <w:numPr>
          <w:ilvl w:val="0"/>
          <w:numId w:val="7"/>
        </w:numPr>
        <w:tabs>
          <w:tab w:val="left" w:pos="360"/>
        </w:tabs>
        <w:spacing w:before="240"/>
        <w:ind w:left="360"/>
        <w:rPr>
          <w:b/>
          <w:bCs/>
        </w:rPr>
      </w:pPr>
      <w:r w:rsidRPr="006D17F1">
        <w:rPr>
          <w:b/>
          <w:bCs/>
        </w:rPr>
        <w:t xml:space="preserve">Provide estimates of the annualized cost to the Federal Government. Also, provide a description of the method used to estimate cost, which should include quantification of hours, operational expenses (such as equipment, overhead, printing, and support staff), any other expense that would not have been incurred without this collection of information. Agencies also may aggregate cost estimates from Items 12, 13, and 14 into a single table. </w:t>
      </w:r>
    </w:p>
    <w:p w:rsidR="00811E64" w:rsidP="006D17F1" w14:paraId="4DD58DA1" w14:textId="07CE250C">
      <w:pPr>
        <w:ind w:left="360"/>
      </w:pPr>
      <w:r w:rsidRPr="00811E64">
        <w:t xml:space="preserve">The estimated annualized cost to the Federal Government for oversight of performance reporting items in this ICR is </w:t>
      </w:r>
      <w:r w:rsidRPr="0043046D">
        <w:t>$</w:t>
      </w:r>
      <w:r w:rsidR="0043046D">
        <w:t>105,393</w:t>
      </w:r>
      <w:r w:rsidRPr="00811E64">
        <w:t>.</w:t>
      </w:r>
    </w:p>
    <w:p w:rsidR="005F1102" w:rsidRPr="005F1102" w:rsidP="005F1102" w14:paraId="501C8D8C" w14:textId="08DE617A">
      <w:pPr>
        <w:ind w:left="360"/>
      </w:pPr>
      <w:r w:rsidRPr="005F1102">
        <w:t>Based on anticipated review, compliance monitoring, and administrative activities associated with this collection, we estimate the following annual labor requirements:</w:t>
      </w:r>
    </w:p>
    <w:p w:rsidR="005F1102" w:rsidRPr="005F1102" w:rsidP="005F1102" w14:paraId="726F24B3" w14:textId="77777777">
      <w:pPr>
        <w:pStyle w:val="ListParagraph"/>
        <w:numPr>
          <w:ilvl w:val="0"/>
          <w:numId w:val="16"/>
        </w:numPr>
      </w:pPr>
      <w:r w:rsidRPr="005F1102">
        <w:t>830 hours from one GS-12</w:t>
      </w:r>
    </w:p>
    <w:p w:rsidR="005F1102" w:rsidRPr="005F1102" w:rsidP="005F1102" w14:paraId="2CDFD5FF" w14:textId="5AA4F859">
      <w:pPr>
        <w:pStyle w:val="ListParagraph"/>
        <w:numPr>
          <w:ilvl w:val="0"/>
          <w:numId w:val="16"/>
        </w:numPr>
      </w:pPr>
      <w:r w:rsidRPr="005F1102">
        <w:t>2</w:t>
      </w:r>
      <w:r w:rsidR="005041BD">
        <w:t>08</w:t>
      </w:r>
      <w:r w:rsidRPr="005F1102">
        <w:t xml:space="preserve"> hours from one GS-14</w:t>
      </w:r>
    </w:p>
    <w:p w:rsidR="005F1102" w:rsidRPr="005F1102" w:rsidP="005328B9" w14:paraId="222171ED" w14:textId="47E71A06">
      <w:pPr>
        <w:pStyle w:val="ListParagraph"/>
        <w:numPr>
          <w:ilvl w:val="0"/>
          <w:numId w:val="16"/>
        </w:numPr>
      </w:pPr>
      <w:r w:rsidRPr="005F1102">
        <w:t>10</w:t>
      </w:r>
      <w:r w:rsidR="005041BD">
        <w:t>4</w:t>
      </w:r>
      <w:r w:rsidRPr="005F1102">
        <w:t xml:space="preserve"> hours each from two GS-15s (20</w:t>
      </w:r>
      <w:r w:rsidR="005041BD">
        <w:t>8</w:t>
      </w:r>
      <w:r w:rsidRPr="005F1102">
        <w:t xml:space="preserve"> hours total)</w:t>
      </w:r>
    </w:p>
    <w:p w:rsidR="005F1102" w:rsidRPr="00617B17" w:rsidP="006D17F1" w14:paraId="465E1CB8" w14:textId="79590B2E">
      <w:pPr>
        <w:ind w:left="360"/>
      </w:pPr>
      <w:r w:rsidRPr="005F1102">
        <w:t xml:space="preserve">Using hourly rates from </w:t>
      </w:r>
      <w:hyperlink r:id="rId9" w:history="1">
        <w:r w:rsidRPr="00E71B40" w:rsidR="00E71B40">
          <w:rPr>
            <w:rStyle w:val="Hyperlink"/>
          </w:rPr>
          <w:t>SALARY TABLE 2026-DCB</w:t>
        </w:r>
      </w:hyperlink>
      <w:r w:rsidR="00E71B40">
        <w:t xml:space="preserve"> </w:t>
      </w:r>
      <w:r w:rsidRPr="005F1102">
        <w:t>and applying a benefits multiplier of 1.46 to account for fringe benefits and overhead, the total federal labor cost is $</w:t>
      </w:r>
      <w:r w:rsidR="0043046D">
        <w:t>105,393</w:t>
      </w:r>
      <w:r w:rsidRPr="005F1102">
        <w:t>.</w:t>
      </w:r>
    </w:p>
    <w:p w:rsidR="00277F16" w:rsidP="000C16E4" w14:paraId="31293703" w14:textId="28AAA97C">
      <w:pPr>
        <w:pStyle w:val="ListParagraph"/>
        <w:numPr>
          <w:ilvl w:val="0"/>
          <w:numId w:val="7"/>
        </w:numPr>
        <w:spacing w:before="240"/>
        <w:ind w:left="360"/>
        <w:rPr>
          <w:b/>
          <w:bCs/>
          <w:iCs/>
        </w:rPr>
      </w:pPr>
      <w:r w:rsidRPr="006D17F1">
        <w:rPr>
          <w:b/>
          <w:bCs/>
          <w:iCs/>
        </w:rPr>
        <w:t>Explain the reasons for any program changes or adjustments reported on the burden worksheet.</w:t>
      </w:r>
    </w:p>
    <w:p w:rsidR="003F269E" w:rsidP="003F269E" w14:paraId="00DE3919" w14:textId="77777777">
      <w:pPr>
        <w:pStyle w:val="ListParagraph"/>
        <w:spacing w:before="240"/>
        <w:ind w:left="360"/>
        <w:rPr>
          <w:b/>
          <w:bCs/>
          <w:iCs/>
        </w:rPr>
      </w:pPr>
    </w:p>
    <w:p w:rsidR="00C54316" w:rsidP="00AC5D5F" w14:paraId="7FA7F3A7" w14:textId="19711CCF">
      <w:pPr>
        <w:pStyle w:val="ListParagraph"/>
        <w:spacing w:before="240"/>
        <w:ind w:left="360"/>
        <w:rPr>
          <w:iCs/>
        </w:rPr>
      </w:pPr>
      <w:r w:rsidRPr="007319C1">
        <w:rPr>
          <w:iCs/>
        </w:rPr>
        <w:t>As part of this renewal request, ETA has added back in the Data Collection Instrument (</w:t>
      </w:r>
      <w:r w:rsidR="00CA3D6B">
        <w:rPr>
          <w:iCs/>
        </w:rPr>
        <w:t xml:space="preserve">Form </w:t>
      </w:r>
      <w:r w:rsidRPr="007319C1">
        <w:rPr>
          <w:iCs/>
        </w:rPr>
        <w:t>ETA-9191)</w:t>
      </w:r>
      <w:r w:rsidRPr="007319C1" w:rsidR="007319C1">
        <w:rPr>
          <w:iCs/>
        </w:rPr>
        <w:t xml:space="preserve"> which has increased the burden from the previous revision request. </w:t>
      </w:r>
    </w:p>
    <w:p w:rsidR="00914DF5" w:rsidP="00AC5D5F" w14:paraId="039AE622" w14:textId="77777777">
      <w:pPr>
        <w:pStyle w:val="ListParagraph"/>
        <w:spacing w:before="240"/>
        <w:ind w:left="360"/>
        <w:rPr>
          <w:iCs/>
        </w:rPr>
      </w:pPr>
    </w:p>
    <w:p w:rsidR="00EB695C" w:rsidP="00877104" w14:paraId="3C55BFB7" w14:textId="2333F71A">
      <w:pPr>
        <w:pStyle w:val="ListParagraph"/>
        <w:spacing w:before="240"/>
        <w:ind w:left="360"/>
        <w:rPr>
          <w:iCs/>
        </w:rPr>
      </w:pPr>
      <w:r>
        <w:rPr>
          <w:iCs/>
        </w:rPr>
        <w:t>The bur</w:t>
      </w:r>
      <w:r w:rsidR="00791FD1">
        <w:rPr>
          <w:iCs/>
        </w:rPr>
        <w:t xml:space="preserve">den for the Customer Satisfaction </w:t>
      </w:r>
      <w:r w:rsidR="00CA3D6B">
        <w:rPr>
          <w:iCs/>
        </w:rPr>
        <w:t>S</w:t>
      </w:r>
      <w:r w:rsidR="00791FD1">
        <w:rPr>
          <w:iCs/>
        </w:rPr>
        <w:t>urveys (</w:t>
      </w:r>
      <w:r w:rsidR="00CA3D6B">
        <w:rPr>
          <w:iCs/>
        </w:rPr>
        <w:t xml:space="preserve">Form </w:t>
      </w:r>
      <w:r w:rsidR="00791FD1">
        <w:rPr>
          <w:iCs/>
        </w:rPr>
        <w:t xml:space="preserve">ETA-9124 series) has decreased slightly due to 1) the removal of the pilot versions of the survey, </w:t>
      </w:r>
      <w:r w:rsidR="00CA3D6B">
        <w:rPr>
          <w:iCs/>
        </w:rPr>
        <w:t xml:space="preserve">and </w:t>
      </w:r>
      <w:r w:rsidR="00791FD1">
        <w:rPr>
          <w:iCs/>
        </w:rPr>
        <w:t xml:space="preserve">2) </w:t>
      </w:r>
      <w:r w:rsidR="00D8465D">
        <w:rPr>
          <w:iCs/>
        </w:rPr>
        <w:t xml:space="preserve">a decrease in the number of respondents. </w:t>
      </w:r>
      <w:r w:rsidR="00877104">
        <w:rPr>
          <w:iCs/>
        </w:rPr>
        <w:t>S</w:t>
      </w:r>
      <w:r w:rsidRPr="007643C9" w:rsidR="00877104">
        <w:rPr>
          <w:iCs/>
        </w:rPr>
        <w:t xml:space="preserve">CSEP grantees are required by the OAA to pay the minimum wage within the state or locality where their authorized positions are awarded. The applicable minimum wage determines how many participants the grantees can </w:t>
      </w:r>
      <w:r w:rsidR="00CA3D6B">
        <w:rPr>
          <w:iCs/>
        </w:rPr>
        <w:t xml:space="preserve">enroll. </w:t>
      </w:r>
      <w:r w:rsidR="00CA3D6B">
        <w:rPr>
          <w:iCs/>
        </w:rPr>
        <w:t>Increasing</w:t>
      </w:r>
      <w:r w:rsidR="005328B9">
        <w:rPr>
          <w:iCs/>
        </w:rPr>
        <w:t xml:space="preserve"> </w:t>
      </w:r>
      <w:r w:rsidR="00CA3D6B">
        <w:rPr>
          <w:iCs/>
        </w:rPr>
        <w:t xml:space="preserve"> </w:t>
      </w:r>
      <w:r w:rsidRPr="007643C9" w:rsidR="00877104">
        <w:rPr>
          <w:iCs/>
        </w:rPr>
        <w:t>minimum</w:t>
      </w:r>
      <w:r w:rsidRPr="007643C9" w:rsidR="00877104">
        <w:rPr>
          <w:iCs/>
        </w:rPr>
        <w:t xml:space="preserve"> wages at the state and local level have resulted in fewer modified positions each year, which, in turn, means fewer host agencies and employers each year. As a result, the number of potential respondents for each of the surveys has declined.   </w:t>
      </w:r>
    </w:p>
    <w:p w:rsidR="00877104" w:rsidRPr="00877104" w:rsidP="00877104" w14:paraId="3BA67DA8" w14:textId="77777777">
      <w:pPr>
        <w:pStyle w:val="ListParagraph"/>
        <w:spacing w:before="240"/>
        <w:ind w:left="360"/>
        <w:rPr>
          <w:iCs/>
        </w:rPr>
      </w:pPr>
    </w:p>
    <w:p w:rsidR="00EB695C" w:rsidRPr="00877104" w:rsidP="00EB695C" w14:paraId="7E7D69D7" w14:textId="2DB6A56A">
      <w:pPr>
        <w:pStyle w:val="ListParagraph"/>
        <w:numPr>
          <w:ilvl w:val="0"/>
          <w:numId w:val="7"/>
        </w:numPr>
        <w:spacing w:before="240"/>
        <w:ind w:left="360"/>
        <w:rPr>
          <w:b/>
          <w:bCs/>
          <w:iCs/>
        </w:rPr>
      </w:pPr>
      <w:r w:rsidRPr="00877104">
        <w:rPr>
          <w:b/>
          <w:bCs/>
          <w:iCs/>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EB695C" w:rsidP="00C65553" w14:paraId="0B07D66B" w14:textId="2841EA4D">
      <w:pPr>
        <w:ind w:left="360"/>
        <w:rPr>
          <w:iCs/>
        </w:rPr>
      </w:pPr>
      <w:r w:rsidRPr="00C65553">
        <w:rPr>
          <w:iCs/>
        </w:rPr>
        <w:t xml:space="preserve">SCSEP </w:t>
      </w:r>
      <w:r w:rsidR="00662543">
        <w:rPr>
          <w:iCs/>
        </w:rPr>
        <w:t xml:space="preserve">publishes performance data </w:t>
      </w:r>
      <w:r w:rsidR="00355660">
        <w:rPr>
          <w:iCs/>
        </w:rPr>
        <w:t xml:space="preserve">on the </w:t>
      </w:r>
      <w:hyperlink r:id="rId10" w:history="1">
        <w:r w:rsidRPr="00355660" w:rsidR="00355660">
          <w:rPr>
            <w:rStyle w:val="Hyperlink"/>
            <w:iCs/>
          </w:rPr>
          <w:t>SCSEP DOL website</w:t>
        </w:r>
      </w:hyperlink>
      <w:r w:rsidR="00271296">
        <w:rPr>
          <w:iCs/>
        </w:rPr>
        <w:t xml:space="preserve">. </w:t>
      </w:r>
      <w:r w:rsidR="00355660">
        <w:rPr>
          <w:iCs/>
        </w:rPr>
        <w:t xml:space="preserve">This includes </w:t>
      </w:r>
      <w:r w:rsidR="00271296">
        <w:rPr>
          <w:iCs/>
        </w:rPr>
        <w:t>annual aggregate and individual performance</w:t>
      </w:r>
      <w:r w:rsidR="000742A7">
        <w:rPr>
          <w:iCs/>
        </w:rPr>
        <w:t xml:space="preserve">, and results from the </w:t>
      </w:r>
      <w:r w:rsidR="005328B9">
        <w:rPr>
          <w:iCs/>
        </w:rPr>
        <w:t>C</w:t>
      </w:r>
      <w:r w:rsidR="000742A7">
        <w:rPr>
          <w:iCs/>
        </w:rPr>
        <w:t xml:space="preserve">ustomer </w:t>
      </w:r>
      <w:r w:rsidR="005328B9">
        <w:rPr>
          <w:iCs/>
        </w:rPr>
        <w:t>S</w:t>
      </w:r>
      <w:r w:rsidR="000742A7">
        <w:rPr>
          <w:iCs/>
        </w:rPr>
        <w:t xml:space="preserve">atisfaction </w:t>
      </w:r>
      <w:r w:rsidR="005328B9">
        <w:rPr>
          <w:iCs/>
        </w:rPr>
        <w:t>S</w:t>
      </w:r>
      <w:r w:rsidR="000742A7">
        <w:rPr>
          <w:iCs/>
        </w:rPr>
        <w:t xml:space="preserve">urvey results. </w:t>
      </w:r>
      <w:r w:rsidRPr="00B239F9" w:rsidR="00B239F9">
        <w:rPr>
          <w:iCs/>
        </w:rPr>
        <w:t>The quarterly and annual performance reports use no complex calculations. Results are generally tabulated as sums, averages, or percentage rates.</w:t>
      </w:r>
    </w:p>
    <w:p w:rsidR="005847D7" w:rsidRPr="004B25C6" w:rsidP="000C16E4" w14:paraId="4C242530" w14:textId="12A7FA60">
      <w:pPr>
        <w:pStyle w:val="ListParagraph"/>
        <w:numPr>
          <w:ilvl w:val="0"/>
          <w:numId w:val="7"/>
        </w:numPr>
        <w:spacing w:before="240"/>
        <w:ind w:left="360"/>
        <w:rPr>
          <w:b/>
          <w:bCs/>
        </w:rPr>
      </w:pPr>
      <w:r w:rsidRPr="004B25C6">
        <w:rPr>
          <w:b/>
          <w:bCs/>
        </w:rPr>
        <w:t xml:space="preserve">If seeking approval not to display the expiration date for OMB approval of the information collection, explain the reasons that display would be inappropriate. </w:t>
      </w:r>
    </w:p>
    <w:p w:rsidR="005847D7" w:rsidRPr="00EB695C" w:rsidP="00EB695C" w14:paraId="2079B74E" w14:textId="7469FCAD">
      <w:pPr>
        <w:ind w:left="360"/>
      </w:pPr>
      <w:r w:rsidRPr="00D01D23">
        <w:t xml:space="preserve">ETA displays the OMB </w:t>
      </w:r>
      <w:r>
        <w:t>c</w:t>
      </w:r>
      <w:r w:rsidRPr="00D01D23">
        <w:t xml:space="preserve">ontrol </w:t>
      </w:r>
      <w:r>
        <w:t>n</w:t>
      </w:r>
      <w:r w:rsidRPr="00D01D23">
        <w:t>umber and the expiration date.</w:t>
      </w:r>
    </w:p>
    <w:p w:rsidR="005847D7" w:rsidRPr="004B25C6" w:rsidP="00EB695C" w14:paraId="1FB37302" w14:textId="015D7149">
      <w:pPr>
        <w:pStyle w:val="ListParagraph"/>
        <w:numPr>
          <w:ilvl w:val="0"/>
          <w:numId w:val="7"/>
        </w:numPr>
        <w:spacing w:before="240"/>
        <w:ind w:left="360"/>
        <w:rPr>
          <w:b/>
          <w:bCs/>
          <w:iCs/>
        </w:rPr>
      </w:pPr>
      <w:r w:rsidRPr="004B25C6">
        <w:rPr>
          <w:b/>
          <w:bCs/>
          <w:iCs/>
        </w:rPr>
        <w:t>Explain each exception to the topics of the certification statement identified in “Certification for Paperwork Reduction Act Submissions.”</w:t>
      </w:r>
    </w:p>
    <w:p w:rsidR="005847D7" w:rsidRPr="00D01D23" w:rsidP="00EB695C" w14:paraId="096BE9A3" w14:textId="06A3828E">
      <w:pPr>
        <w:ind w:left="360"/>
      </w:pPr>
      <w:r w:rsidRPr="00D01D23">
        <w:t>There are no exceptions to the certification statement.</w:t>
      </w:r>
    </w:p>
    <w:p w:rsidR="006556C3" w:rsidRPr="006556C3" w:rsidP="000C16E4" w14:paraId="4EFA9945" w14:textId="77777777"/>
    <w:sectPr>
      <w:headerReference w:type="defaul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56C3" w:rsidRPr="006D17F1" w:rsidP="006D17F1" w14:paraId="2D970E42" w14:textId="77777777">
    <w:pPr>
      <w:pStyle w:val="NoSpacing"/>
      <w:rPr>
        <w:rFonts w:ascii="Times New Roman" w:hAnsi="Times New Roman" w:cs="Times New Roman"/>
      </w:rPr>
    </w:pPr>
    <w:r w:rsidRPr="006D17F1">
      <w:rPr>
        <w:rFonts w:ascii="Times New Roman" w:hAnsi="Times New Roman" w:cs="Times New Roman"/>
      </w:rPr>
      <w:t>Senior Community Service Employment Program (SCSEP) </w:t>
    </w:r>
  </w:p>
  <w:p w:rsidR="006556C3" w:rsidRPr="006D17F1" w:rsidP="006D17F1" w14:paraId="170AD59E" w14:textId="77777777">
    <w:pPr>
      <w:pStyle w:val="NoSpacing"/>
      <w:rPr>
        <w:rFonts w:ascii="Times New Roman" w:hAnsi="Times New Roman" w:cs="Times New Roman"/>
      </w:rPr>
    </w:pPr>
    <w:r w:rsidRPr="006D17F1">
      <w:rPr>
        <w:rFonts w:ascii="Times New Roman" w:hAnsi="Times New Roman" w:cs="Times New Roman"/>
      </w:rPr>
      <w:t>OMB Control No. 1205-0040 </w:t>
    </w:r>
  </w:p>
  <w:p w:rsidR="006556C3" w:rsidRPr="006D17F1" w:rsidP="006D17F1" w14:paraId="1D2A74A6" w14:textId="481656F8">
    <w:pPr>
      <w:pStyle w:val="NoSpacing"/>
      <w:spacing w:after="160"/>
      <w:rPr>
        <w:rFonts w:ascii="Times New Roman" w:hAnsi="Times New Roman" w:cs="Times New Roman"/>
      </w:rPr>
    </w:pPr>
    <w:r w:rsidRPr="006D17F1">
      <w:rPr>
        <w:rFonts w:ascii="Times New Roman" w:hAnsi="Times New Roman" w:cs="Times New Roman"/>
      </w:rPr>
      <w:t xml:space="preserve">OMB Expiration Date: </w:t>
    </w:r>
    <w:r w:rsidRPr="006D17F1" w:rsidR="00E703FA">
      <w:rPr>
        <w:rFonts w:ascii="Times New Roman" w:hAnsi="Times New Roman" w:cs="Times New Roman"/>
      </w:rPr>
      <w:t>07/31/2027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17015E"/>
    <w:multiLevelType w:val="hybridMultilevel"/>
    <w:tmpl w:val="7E725C6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1486050"/>
    <w:multiLevelType w:val="hybridMultilevel"/>
    <w:tmpl w:val="3E6ABA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8A54F29"/>
    <w:multiLevelType w:val="hybridMultilevel"/>
    <w:tmpl w:val="E3048D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5453A89"/>
    <w:multiLevelType w:val="hybridMultilevel"/>
    <w:tmpl w:val="FFB686C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24173547"/>
    <w:multiLevelType w:val="multilevel"/>
    <w:tmpl w:val="7910D926"/>
    <w:lvl w:ilvl="0">
      <w:start w:val="1"/>
      <w:numFmt w:val="upperLetter"/>
      <w:lvlText w:val="%1."/>
      <w:lvlJc w:val="left"/>
      <w:pPr>
        <w:ind w:left="720" w:firstLine="1080"/>
      </w:pPr>
    </w:lvl>
    <w:lvl w:ilvl="1">
      <w:start w:val="1"/>
      <w:numFmt w:val="decimal"/>
      <w:lvlText w:val="%2."/>
      <w:lvlJc w:val="left"/>
      <w:pPr>
        <w:ind w:left="-2160" w:firstLine="2520"/>
      </w:pPr>
      <w:rPr>
        <w:b/>
        <w:i w:val="0"/>
      </w:rPr>
    </w:lvl>
    <w:lvl w:ilvl="2">
      <w:start w:val="1"/>
      <w:numFmt w:val="bullet"/>
      <w:lvlText w:val="-"/>
      <w:lvlJc w:val="left"/>
      <w:pPr>
        <w:ind w:left="2340" w:firstLine="4320"/>
      </w:pPr>
      <w:rPr>
        <w:rFonts w:ascii="Arial" w:eastAsia="Arial" w:hAnsi="Arial" w:cs="Arial"/>
      </w:r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5">
    <w:nsid w:val="29C644FD"/>
    <w:multiLevelType w:val="multilevel"/>
    <w:tmpl w:val="DCCAD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222726"/>
    <w:multiLevelType w:val="hybridMultilevel"/>
    <w:tmpl w:val="30466582"/>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7">
    <w:nsid w:val="324123EB"/>
    <w:multiLevelType w:val="hybridMultilevel"/>
    <w:tmpl w:val="543844A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8E55FA2"/>
    <w:multiLevelType w:val="hybridMultilevel"/>
    <w:tmpl w:val="033A091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3AA46D0A"/>
    <w:multiLevelType w:val="hybridMultilevel"/>
    <w:tmpl w:val="C1D233E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40554DAF"/>
    <w:multiLevelType w:val="hybridMultilevel"/>
    <w:tmpl w:val="0F2667F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60E46494"/>
    <w:multiLevelType w:val="multilevel"/>
    <w:tmpl w:val="B1A0B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8235912"/>
    <w:multiLevelType w:val="hybridMultilevel"/>
    <w:tmpl w:val="9392BB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74ED716C"/>
    <w:multiLevelType w:val="hybridMultilevel"/>
    <w:tmpl w:val="CB54E18C"/>
    <w:lvl w:ilvl="0">
      <w:start w:val="1"/>
      <w:numFmt w:val="decimal"/>
      <w:lvlText w:val="%1."/>
      <w:lvlJc w:val="left"/>
      <w:pPr>
        <w:ind w:left="720" w:hanging="360"/>
      </w:pPr>
      <w:rPr>
        <w:rFonts w:ascii="Times New Roman" w:hAnsi="Times New Roman" w:hint="default"/>
        <w:b/>
        <w:bCs w:val="0"/>
        <w:i w:val="0"/>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7AE334F8"/>
    <w:multiLevelType w:val="hybridMultilevel"/>
    <w:tmpl w:val="34E45FE6"/>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B3E3D50"/>
    <w:multiLevelType w:val="hybridMultilevel"/>
    <w:tmpl w:val="D01C719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1177578080">
    <w:abstractNumId w:val="0"/>
  </w:num>
  <w:num w:numId="2" w16cid:durableId="1140536883">
    <w:abstractNumId w:val="10"/>
  </w:num>
  <w:num w:numId="3" w16cid:durableId="1723215635">
    <w:abstractNumId w:val="4"/>
  </w:num>
  <w:num w:numId="4" w16cid:durableId="788857451">
    <w:abstractNumId w:val="12"/>
  </w:num>
  <w:num w:numId="5" w16cid:durableId="1416783271">
    <w:abstractNumId w:val="1"/>
  </w:num>
  <w:num w:numId="6" w16cid:durableId="1655990689">
    <w:abstractNumId w:val="14"/>
  </w:num>
  <w:num w:numId="7" w16cid:durableId="916478894">
    <w:abstractNumId w:val="13"/>
  </w:num>
  <w:num w:numId="8" w16cid:durableId="1201825268">
    <w:abstractNumId w:val="2"/>
  </w:num>
  <w:num w:numId="9" w16cid:durableId="450367142">
    <w:abstractNumId w:val="7"/>
  </w:num>
  <w:num w:numId="10" w16cid:durableId="631862644">
    <w:abstractNumId w:val="8"/>
  </w:num>
  <w:num w:numId="11" w16cid:durableId="1576821215">
    <w:abstractNumId w:val="15"/>
  </w:num>
  <w:num w:numId="12" w16cid:durableId="2007317591">
    <w:abstractNumId w:val="11"/>
  </w:num>
  <w:num w:numId="13" w16cid:durableId="68695227">
    <w:abstractNumId w:val="3"/>
  </w:num>
  <w:num w:numId="14" w16cid:durableId="1488282632">
    <w:abstractNumId w:val="6"/>
  </w:num>
  <w:num w:numId="15" w16cid:durableId="1484733261">
    <w:abstractNumId w:val="5"/>
  </w:num>
  <w:num w:numId="16" w16cid:durableId="7855374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6C3"/>
    <w:rsid w:val="0001276A"/>
    <w:rsid w:val="00016064"/>
    <w:rsid w:val="00025659"/>
    <w:rsid w:val="0003146D"/>
    <w:rsid w:val="00045F90"/>
    <w:rsid w:val="0004619F"/>
    <w:rsid w:val="00046633"/>
    <w:rsid w:val="00053428"/>
    <w:rsid w:val="0005538A"/>
    <w:rsid w:val="0005565C"/>
    <w:rsid w:val="00056562"/>
    <w:rsid w:val="00064551"/>
    <w:rsid w:val="000656E5"/>
    <w:rsid w:val="000742A7"/>
    <w:rsid w:val="00074F16"/>
    <w:rsid w:val="0008607C"/>
    <w:rsid w:val="00086A1C"/>
    <w:rsid w:val="00087A03"/>
    <w:rsid w:val="000A040F"/>
    <w:rsid w:val="000A3A8A"/>
    <w:rsid w:val="000A4202"/>
    <w:rsid w:val="000A43AB"/>
    <w:rsid w:val="000A4CF0"/>
    <w:rsid w:val="000B13E6"/>
    <w:rsid w:val="000C16E4"/>
    <w:rsid w:val="000C7841"/>
    <w:rsid w:val="000D0856"/>
    <w:rsid w:val="000D58FD"/>
    <w:rsid w:val="000E0239"/>
    <w:rsid w:val="000E4587"/>
    <w:rsid w:val="000F1EC2"/>
    <w:rsid w:val="000F324B"/>
    <w:rsid w:val="000F7018"/>
    <w:rsid w:val="00103FE0"/>
    <w:rsid w:val="00104025"/>
    <w:rsid w:val="00107C36"/>
    <w:rsid w:val="00113673"/>
    <w:rsid w:val="0011386D"/>
    <w:rsid w:val="0011431A"/>
    <w:rsid w:val="00122C2F"/>
    <w:rsid w:val="00126B41"/>
    <w:rsid w:val="00130CE1"/>
    <w:rsid w:val="00130E0A"/>
    <w:rsid w:val="00132D4B"/>
    <w:rsid w:val="00146D91"/>
    <w:rsid w:val="00147C15"/>
    <w:rsid w:val="00151B45"/>
    <w:rsid w:val="00154F3A"/>
    <w:rsid w:val="00163271"/>
    <w:rsid w:val="00174D94"/>
    <w:rsid w:val="00180197"/>
    <w:rsid w:val="001839DF"/>
    <w:rsid w:val="00184C26"/>
    <w:rsid w:val="00184DBF"/>
    <w:rsid w:val="0019768B"/>
    <w:rsid w:val="001A5284"/>
    <w:rsid w:val="001B3193"/>
    <w:rsid w:val="001B5F2E"/>
    <w:rsid w:val="001C00A1"/>
    <w:rsid w:val="001C0BE0"/>
    <w:rsid w:val="001C1444"/>
    <w:rsid w:val="001C71E3"/>
    <w:rsid w:val="001D55E4"/>
    <w:rsid w:val="001E0510"/>
    <w:rsid w:val="001E07B4"/>
    <w:rsid w:val="001E50AB"/>
    <w:rsid w:val="001F2795"/>
    <w:rsid w:val="001F2F22"/>
    <w:rsid w:val="001F34FB"/>
    <w:rsid w:val="002017DA"/>
    <w:rsid w:val="00201FC2"/>
    <w:rsid w:val="00210718"/>
    <w:rsid w:val="002127AB"/>
    <w:rsid w:val="00222672"/>
    <w:rsid w:val="002249A6"/>
    <w:rsid w:val="002322DF"/>
    <w:rsid w:val="002401E4"/>
    <w:rsid w:val="0024677E"/>
    <w:rsid w:val="002467AF"/>
    <w:rsid w:val="00247533"/>
    <w:rsid w:val="00251744"/>
    <w:rsid w:val="00256B04"/>
    <w:rsid w:val="00264D3B"/>
    <w:rsid w:val="00270E22"/>
    <w:rsid w:val="00271296"/>
    <w:rsid w:val="002761E5"/>
    <w:rsid w:val="002767CD"/>
    <w:rsid w:val="00277F16"/>
    <w:rsid w:val="00281EA7"/>
    <w:rsid w:val="00287607"/>
    <w:rsid w:val="0029125A"/>
    <w:rsid w:val="00294C0D"/>
    <w:rsid w:val="002A098D"/>
    <w:rsid w:val="002A2B0E"/>
    <w:rsid w:val="002A4644"/>
    <w:rsid w:val="002A6EC4"/>
    <w:rsid w:val="002A7C65"/>
    <w:rsid w:val="002B0D98"/>
    <w:rsid w:val="002B17DB"/>
    <w:rsid w:val="002B371E"/>
    <w:rsid w:val="002B4D77"/>
    <w:rsid w:val="002C34A8"/>
    <w:rsid w:val="002C40E9"/>
    <w:rsid w:val="002C7242"/>
    <w:rsid w:val="002C7FE7"/>
    <w:rsid w:val="002D2B95"/>
    <w:rsid w:val="002D2C78"/>
    <w:rsid w:val="002D44F1"/>
    <w:rsid w:val="002D4541"/>
    <w:rsid w:val="002E02C3"/>
    <w:rsid w:val="002E4BFE"/>
    <w:rsid w:val="002F2FD1"/>
    <w:rsid w:val="002F64B5"/>
    <w:rsid w:val="00302D4B"/>
    <w:rsid w:val="003133A9"/>
    <w:rsid w:val="00321706"/>
    <w:rsid w:val="00323EE7"/>
    <w:rsid w:val="00330F57"/>
    <w:rsid w:val="00332475"/>
    <w:rsid w:val="00332529"/>
    <w:rsid w:val="00332752"/>
    <w:rsid w:val="00340D98"/>
    <w:rsid w:val="003449DE"/>
    <w:rsid w:val="00344C0B"/>
    <w:rsid w:val="00351B20"/>
    <w:rsid w:val="00353C4A"/>
    <w:rsid w:val="00355660"/>
    <w:rsid w:val="0036725C"/>
    <w:rsid w:val="003730E1"/>
    <w:rsid w:val="003765D1"/>
    <w:rsid w:val="0038576F"/>
    <w:rsid w:val="003915EE"/>
    <w:rsid w:val="0039253F"/>
    <w:rsid w:val="003954E1"/>
    <w:rsid w:val="0039567B"/>
    <w:rsid w:val="00395782"/>
    <w:rsid w:val="00396087"/>
    <w:rsid w:val="003A28D1"/>
    <w:rsid w:val="003A35F3"/>
    <w:rsid w:val="003A4C16"/>
    <w:rsid w:val="003A6F7E"/>
    <w:rsid w:val="003A7CDF"/>
    <w:rsid w:val="003B42B5"/>
    <w:rsid w:val="003C1680"/>
    <w:rsid w:val="003C32F7"/>
    <w:rsid w:val="003C379B"/>
    <w:rsid w:val="003C6969"/>
    <w:rsid w:val="003D2FBE"/>
    <w:rsid w:val="003D4F8F"/>
    <w:rsid w:val="003D58D0"/>
    <w:rsid w:val="003D6DC2"/>
    <w:rsid w:val="003E4458"/>
    <w:rsid w:val="003E4ECE"/>
    <w:rsid w:val="003F0659"/>
    <w:rsid w:val="003F0A21"/>
    <w:rsid w:val="003F269E"/>
    <w:rsid w:val="003F32D9"/>
    <w:rsid w:val="003F5B84"/>
    <w:rsid w:val="004008C2"/>
    <w:rsid w:val="00412856"/>
    <w:rsid w:val="004144A8"/>
    <w:rsid w:val="00420504"/>
    <w:rsid w:val="004219E4"/>
    <w:rsid w:val="00422BAA"/>
    <w:rsid w:val="00422CAD"/>
    <w:rsid w:val="0043046D"/>
    <w:rsid w:val="00440755"/>
    <w:rsid w:val="00442479"/>
    <w:rsid w:val="00446A6F"/>
    <w:rsid w:val="0045725E"/>
    <w:rsid w:val="00457B0D"/>
    <w:rsid w:val="00462DCA"/>
    <w:rsid w:val="00465EAC"/>
    <w:rsid w:val="00466379"/>
    <w:rsid w:val="00472833"/>
    <w:rsid w:val="0047617E"/>
    <w:rsid w:val="00481B90"/>
    <w:rsid w:val="00487C24"/>
    <w:rsid w:val="00490252"/>
    <w:rsid w:val="0049460A"/>
    <w:rsid w:val="004956F2"/>
    <w:rsid w:val="00496D24"/>
    <w:rsid w:val="004A490C"/>
    <w:rsid w:val="004A4B45"/>
    <w:rsid w:val="004B09A6"/>
    <w:rsid w:val="004B2324"/>
    <w:rsid w:val="004B25C6"/>
    <w:rsid w:val="004B47E0"/>
    <w:rsid w:val="004C2E9F"/>
    <w:rsid w:val="004C309D"/>
    <w:rsid w:val="004C726B"/>
    <w:rsid w:val="004D3D5A"/>
    <w:rsid w:val="004E184A"/>
    <w:rsid w:val="004E6B44"/>
    <w:rsid w:val="004F6E14"/>
    <w:rsid w:val="00501FE1"/>
    <w:rsid w:val="005041BD"/>
    <w:rsid w:val="0050775A"/>
    <w:rsid w:val="00510802"/>
    <w:rsid w:val="00516568"/>
    <w:rsid w:val="00530711"/>
    <w:rsid w:val="005328B9"/>
    <w:rsid w:val="0053390E"/>
    <w:rsid w:val="00534C20"/>
    <w:rsid w:val="00534D33"/>
    <w:rsid w:val="00536D63"/>
    <w:rsid w:val="00536E6F"/>
    <w:rsid w:val="00545B92"/>
    <w:rsid w:val="005506E2"/>
    <w:rsid w:val="00555E6E"/>
    <w:rsid w:val="005657DA"/>
    <w:rsid w:val="00573591"/>
    <w:rsid w:val="005847D7"/>
    <w:rsid w:val="00584AC4"/>
    <w:rsid w:val="00586CD7"/>
    <w:rsid w:val="00586F90"/>
    <w:rsid w:val="0058758D"/>
    <w:rsid w:val="0059189F"/>
    <w:rsid w:val="00594989"/>
    <w:rsid w:val="005A02F8"/>
    <w:rsid w:val="005A32CE"/>
    <w:rsid w:val="005A459B"/>
    <w:rsid w:val="005A4761"/>
    <w:rsid w:val="005B0398"/>
    <w:rsid w:val="005B4672"/>
    <w:rsid w:val="005B63B0"/>
    <w:rsid w:val="005D37BE"/>
    <w:rsid w:val="005D5578"/>
    <w:rsid w:val="005D6D5D"/>
    <w:rsid w:val="005E299A"/>
    <w:rsid w:val="005F01CD"/>
    <w:rsid w:val="005F1102"/>
    <w:rsid w:val="005F3430"/>
    <w:rsid w:val="005F36DE"/>
    <w:rsid w:val="005F57D5"/>
    <w:rsid w:val="00600B21"/>
    <w:rsid w:val="00603620"/>
    <w:rsid w:val="006166FF"/>
    <w:rsid w:val="00617B17"/>
    <w:rsid w:val="00617F4D"/>
    <w:rsid w:val="0062090B"/>
    <w:rsid w:val="00630E2F"/>
    <w:rsid w:val="00631AF2"/>
    <w:rsid w:val="006324BF"/>
    <w:rsid w:val="00636A40"/>
    <w:rsid w:val="00640A0A"/>
    <w:rsid w:val="006415D4"/>
    <w:rsid w:val="00644932"/>
    <w:rsid w:val="006556C3"/>
    <w:rsid w:val="006561D5"/>
    <w:rsid w:val="00661CFF"/>
    <w:rsid w:val="00662543"/>
    <w:rsid w:val="00664981"/>
    <w:rsid w:val="00670283"/>
    <w:rsid w:val="00684172"/>
    <w:rsid w:val="00692B4A"/>
    <w:rsid w:val="0069759D"/>
    <w:rsid w:val="006A011B"/>
    <w:rsid w:val="006C15AB"/>
    <w:rsid w:val="006C1A88"/>
    <w:rsid w:val="006C7979"/>
    <w:rsid w:val="006C7EF7"/>
    <w:rsid w:val="006D17F1"/>
    <w:rsid w:val="006D4549"/>
    <w:rsid w:val="006D71BA"/>
    <w:rsid w:val="006F387E"/>
    <w:rsid w:val="007023F0"/>
    <w:rsid w:val="007110F0"/>
    <w:rsid w:val="007128C2"/>
    <w:rsid w:val="00716BA1"/>
    <w:rsid w:val="007213EB"/>
    <w:rsid w:val="00721B93"/>
    <w:rsid w:val="007319C1"/>
    <w:rsid w:val="0073674A"/>
    <w:rsid w:val="0074186F"/>
    <w:rsid w:val="00747A1D"/>
    <w:rsid w:val="0075639A"/>
    <w:rsid w:val="00760A96"/>
    <w:rsid w:val="007643C9"/>
    <w:rsid w:val="00766C2A"/>
    <w:rsid w:val="00767943"/>
    <w:rsid w:val="00767EF5"/>
    <w:rsid w:val="00770B11"/>
    <w:rsid w:val="0078563E"/>
    <w:rsid w:val="00785EE3"/>
    <w:rsid w:val="007919F3"/>
    <w:rsid w:val="00791FD1"/>
    <w:rsid w:val="00796E75"/>
    <w:rsid w:val="007A60AF"/>
    <w:rsid w:val="007B00EB"/>
    <w:rsid w:val="007B19BD"/>
    <w:rsid w:val="007C0410"/>
    <w:rsid w:val="007C0FD6"/>
    <w:rsid w:val="007D1669"/>
    <w:rsid w:val="007F2F41"/>
    <w:rsid w:val="007F485F"/>
    <w:rsid w:val="007F57D4"/>
    <w:rsid w:val="007F5F07"/>
    <w:rsid w:val="007F6830"/>
    <w:rsid w:val="0080192F"/>
    <w:rsid w:val="00804CE4"/>
    <w:rsid w:val="00811E64"/>
    <w:rsid w:val="0081249E"/>
    <w:rsid w:val="008163CC"/>
    <w:rsid w:val="008203F7"/>
    <w:rsid w:val="00822938"/>
    <w:rsid w:val="0082506E"/>
    <w:rsid w:val="0082545E"/>
    <w:rsid w:val="00827F7A"/>
    <w:rsid w:val="00832D76"/>
    <w:rsid w:val="008354A1"/>
    <w:rsid w:val="008418D8"/>
    <w:rsid w:val="00843197"/>
    <w:rsid w:val="008442FA"/>
    <w:rsid w:val="00857128"/>
    <w:rsid w:val="0086129C"/>
    <w:rsid w:val="008621FF"/>
    <w:rsid w:val="00864D0F"/>
    <w:rsid w:val="00873325"/>
    <w:rsid w:val="008754C0"/>
    <w:rsid w:val="00877104"/>
    <w:rsid w:val="00881F38"/>
    <w:rsid w:val="00882CEE"/>
    <w:rsid w:val="00884892"/>
    <w:rsid w:val="008856FD"/>
    <w:rsid w:val="0089291F"/>
    <w:rsid w:val="008A3F51"/>
    <w:rsid w:val="008B5282"/>
    <w:rsid w:val="008B716F"/>
    <w:rsid w:val="008C038C"/>
    <w:rsid w:val="008C159B"/>
    <w:rsid w:val="008C17CC"/>
    <w:rsid w:val="008C21E8"/>
    <w:rsid w:val="008C6F08"/>
    <w:rsid w:val="008D1CE2"/>
    <w:rsid w:val="008D5C67"/>
    <w:rsid w:val="008F1B46"/>
    <w:rsid w:val="008F223D"/>
    <w:rsid w:val="008F2EF1"/>
    <w:rsid w:val="008F3A5C"/>
    <w:rsid w:val="008F4136"/>
    <w:rsid w:val="00900503"/>
    <w:rsid w:val="00904362"/>
    <w:rsid w:val="00905AAC"/>
    <w:rsid w:val="009061A3"/>
    <w:rsid w:val="00914DF5"/>
    <w:rsid w:val="00916B17"/>
    <w:rsid w:val="00921128"/>
    <w:rsid w:val="00926625"/>
    <w:rsid w:val="00934192"/>
    <w:rsid w:val="00937DB8"/>
    <w:rsid w:val="009425C1"/>
    <w:rsid w:val="00945269"/>
    <w:rsid w:val="009458A6"/>
    <w:rsid w:val="00955319"/>
    <w:rsid w:val="00974E35"/>
    <w:rsid w:val="00981C25"/>
    <w:rsid w:val="00983F19"/>
    <w:rsid w:val="00986B3A"/>
    <w:rsid w:val="009901D9"/>
    <w:rsid w:val="00990B49"/>
    <w:rsid w:val="0099134F"/>
    <w:rsid w:val="00991539"/>
    <w:rsid w:val="009921C8"/>
    <w:rsid w:val="009925EC"/>
    <w:rsid w:val="0099278D"/>
    <w:rsid w:val="00992E35"/>
    <w:rsid w:val="00993386"/>
    <w:rsid w:val="00995926"/>
    <w:rsid w:val="00995C24"/>
    <w:rsid w:val="009B2A71"/>
    <w:rsid w:val="009C5E4B"/>
    <w:rsid w:val="009C79BC"/>
    <w:rsid w:val="009D3C9A"/>
    <w:rsid w:val="009D4CD4"/>
    <w:rsid w:val="009D58E7"/>
    <w:rsid w:val="009D6485"/>
    <w:rsid w:val="009E3A8D"/>
    <w:rsid w:val="009E758B"/>
    <w:rsid w:val="009F18E1"/>
    <w:rsid w:val="009F2A5B"/>
    <w:rsid w:val="009F4DD9"/>
    <w:rsid w:val="009F73E8"/>
    <w:rsid w:val="009F761D"/>
    <w:rsid w:val="009F7E76"/>
    <w:rsid w:val="00A037E3"/>
    <w:rsid w:val="00A070BC"/>
    <w:rsid w:val="00A13D58"/>
    <w:rsid w:val="00A15498"/>
    <w:rsid w:val="00A2043E"/>
    <w:rsid w:val="00A2541D"/>
    <w:rsid w:val="00A31AA8"/>
    <w:rsid w:val="00A349F1"/>
    <w:rsid w:val="00A406E0"/>
    <w:rsid w:val="00A406EA"/>
    <w:rsid w:val="00A44CBD"/>
    <w:rsid w:val="00A51529"/>
    <w:rsid w:val="00A5684A"/>
    <w:rsid w:val="00A638F8"/>
    <w:rsid w:val="00A729D2"/>
    <w:rsid w:val="00A743F6"/>
    <w:rsid w:val="00A74C09"/>
    <w:rsid w:val="00A77FB8"/>
    <w:rsid w:val="00A82E76"/>
    <w:rsid w:val="00A901B6"/>
    <w:rsid w:val="00A9671D"/>
    <w:rsid w:val="00AA7C1E"/>
    <w:rsid w:val="00AB2E25"/>
    <w:rsid w:val="00AC0306"/>
    <w:rsid w:val="00AC1345"/>
    <w:rsid w:val="00AC1BE7"/>
    <w:rsid w:val="00AC3F07"/>
    <w:rsid w:val="00AC5D5F"/>
    <w:rsid w:val="00AD0BCE"/>
    <w:rsid w:val="00AD30CF"/>
    <w:rsid w:val="00AD51D0"/>
    <w:rsid w:val="00AE10B5"/>
    <w:rsid w:val="00AE23C8"/>
    <w:rsid w:val="00AE72CA"/>
    <w:rsid w:val="00AF1AD2"/>
    <w:rsid w:val="00AF6B95"/>
    <w:rsid w:val="00AF6D8C"/>
    <w:rsid w:val="00AF75FB"/>
    <w:rsid w:val="00B033C2"/>
    <w:rsid w:val="00B0453F"/>
    <w:rsid w:val="00B10DBB"/>
    <w:rsid w:val="00B17F90"/>
    <w:rsid w:val="00B206B1"/>
    <w:rsid w:val="00B2143E"/>
    <w:rsid w:val="00B239F9"/>
    <w:rsid w:val="00B23ADC"/>
    <w:rsid w:val="00B24704"/>
    <w:rsid w:val="00B26F1F"/>
    <w:rsid w:val="00B32287"/>
    <w:rsid w:val="00B41C00"/>
    <w:rsid w:val="00B427AA"/>
    <w:rsid w:val="00B42EE3"/>
    <w:rsid w:val="00B4344C"/>
    <w:rsid w:val="00B43C97"/>
    <w:rsid w:val="00B47EC0"/>
    <w:rsid w:val="00B53BC4"/>
    <w:rsid w:val="00B62B20"/>
    <w:rsid w:val="00B6353C"/>
    <w:rsid w:val="00B6357E"/>
    <w:rsid w:val="00B63EAC"/>
    <w:rsid w:val="00B67003"/>
    <w:rsid w:val="00B70B39"/>
    <w:rsid w:val="00B717CE"/>
    <w:rsid w:val="00B74234"/>
    <w:rsid w:val="00B75B1B"/>
    <w:rsid w:val="00B81994"/>
    <w:rsid w:val="00B8430D"/>
    <w:rsid w:val="00B86A90"/>
    <w:rsid w:val="00B91A2A"/>
    <w:rsid w:val="00B95025"/>
    <w:rsid w:val="00BA3190"/>
    <w:rsid w:val="00BB78A8"/>
    <w:rsid w:val="00BC108B"/>
    <w:rsid w:val="00BC29B1"/>
    <w:rsid w:val="00BC4540"/>
    <w:rsid w:val="00BC46DB"/>
    <w:rsid w:val="00BC5079"/>
    <w:rsid w:val="00BC55EF"/>
    <w:rsid w:val="00BC6D15"/>
    <w:rsid w:val="00BC7230"/>
    <w:rsid w:val="00BD1008"/>
    <w:rsid w:val="00BD2119"/>
    <w:rsid w:val="00BD2EE0"/>
    <w:rsid w:val="00BD4C21"/>
    <w:rsid w:val="00BD5EAE"/>
    <w:rsid w:val="00BD7C4C"/>
    <w:rsid w:val="00BF1D26"/>
    <w:rsid w:val="00BF614C"/>
    <w:rsid w:val="00BF737E"/>
    <w:rsid w:val="00C07B12"/>
    <w:rsid w:val="00C179FA"/>
    <w:rsid w:val="00C22A39"/>
    <w:rsid w:val="00C22E8C"/>
    <w:rsid w:val="00C24295"/>
    <w:rsid w:val="00C26336"/>
    <w:rsid w:val="00C30178"/>
    <w:rsid w:val="00C30E53"/>
    <w:rsid w:val="00C317E5"/>
    <w:rsid w:val="00C34B02"/>
    <w:rsid w:val="00C35392"/>
    <w:rsid w:val="00C40A05"/>
    <w:rsid w:val="00C41ACE"/>
    <w:rsid w:val="00C54316"/>
    <w:rsid w:val="00C5544B"/>
    <w:rsid w:val="00C573CF"/>
    <w:rsid w:val="00C60CCA"/>
    <w:rsid w:val="00C62991"/>
    <w:rsid w:val="00C63005"/>
    <w:rsid w:val="00C65553"/>
    <w:rsid w:val="00C6628C"/>
    <w:rsid w:val="00C72A55"/>
    <w:rsid w:val="00C73869"/>
    <w:rsid w:val="00C74CD8"/>
    <w:rsid w:val="00C75271"/>
    <w:rsid w:val="00C75BEF"/>
    <w:rsid w:val="00C75DBD"/>
    <w:rsid w:val="00C77AEF"/>
    <w:rsid w:val="00C8279D"/>
    <w:rsid w:val="00C835E9"/>
    <w:rsid w:val="00C919A6"/>
    <w:rsid w:val="00C948A4"/>
    <w:rsid w:val="00CA0D47"/>
    <w:rsid w:val="00CA2F42"/>
    <w:rsid w:val="00CA3D6B"/>
    <w:rsid w:val="00CA4FA2"/>
    <w:rsid w:val="00CB1721"/>
    <w:rsid w:val="00CB2769"/>
    <w:rsid w:val="00CC2F8D"/>
    <w:rsid w:val="00CC4167"/>
    <w:rsid w:val="00CC7191"/>
    <w:rsid w:val="00CC7306"/>
    <w:rsid w:val="00CD1ADA"/>
    <w:rsid w:val="00CD28D0"/>
    <w:rsid w:val="00CD3A72"/>
    <w:rsid w:val="00CD444B"/>
    <w:rsid w:val="00CE1311"/>
    <w:rsid w:val="00CE16E3"/>
    <w:rsid w:val="00CE5151"/>
    <w:rsid w:val="00CE57EE"/>
    <w:rsid w:val="00CF3CE7"/>
    <w:rsid w:val="00CF53F4"/>
    <w:rsid w:val="00CF5567"/>
    <w:rsid w:val="00D01D23"/>
    <w:rsid w:val="00D12C01"/>
    <w:rsid w:val="00D24777"/>
    <w:rsid w:val="00D34687"/>
    <w:rsid w:val="00D361A4"/>
    <w:rsid w:val="00D40729"/>
    <w:rsid w:val="00D411FD"/>
    <w:rsid w:val="00D43CEA"/>
    <w:rsid w:val="00D454BF"/>
    <w:rsid w:val="00D512B1"/>
    <w:rsid w:val="00D520A8"/>
    <w:rsid w:val="00D55288"/>
    <w:rsid w:val="00D60B30"/>
    <w:rsid w:val="00D60E52"/>
    <w:rsid w:val="00D62C88"/>
    <w:rsid w:val="00D63C67"/>
    <w:rsid w:val="00D63D82"/>
    <w:rsid w:val="00D645A4"/>
    <w:rsid w:val="00D64DBB"/>
    <w:rsid w:val="00D64F48"/>
    <w:rsid w:val="00D67D98"/>
    <w:rsid w:val="00D74DB0"/>
    <w:rsid w:val="00D8213A"/>
    <w:rsid w:val="00D8246B"/>
    <w:rsid w:val="00D8349C"/>
    <w:rsid w:val="00D83888"/>
    <w:rsid w:val="00D8465D"/>
    <w:rsid w:val="00D87252"/>
    <w:rsid w:val="00D9470E"/>
    <w:rsid w:val="00D953FD"/>
    <w:rsid w:val="00DA4ED3"/>
    <w:rsid w:val="00DB0AC2"/>
    <w:rsid w:val="00DB3E2C"/>
    <w:rsid w:val="00DD00B5"/>
    <w:rsid w:val="00DD1835"/>
    <w:rsid w:val="00DD189A"/>
    <w:rsid w:val="00DD2D33"/>
    <w:rsid w:val="00DD6D42"/>
    <w:rsid w:val="00DE1936"/>
    <w:rsid w:val="00DE2030"/>
    <w:rsid w:val="00DE3B63"/>
    <w:rsid w:val="00DE7199"/>
    <w:rsid w:val="00DE7287"/>
    <w:rsid w:val="00DF1DD9"/>
    <w:rsid w:val="00E03144"/>
    <w:rsid w:val="00E051E6"/>
    <w:rsid w:val="00E06589"/>
    <w:rsid w:val="00E0773D"/>
    <w:rsid w:val="00E13F14"/>
    <w:rsid w:val="00E1494D"/>
    <w:rsid w:val="00E158F7"/>
    <w:rsid w:val="00E204A0"/>
    <w:rsid w:val="00E23581"/>
    <w:rsid w:val="00E25F5C"/>
    <w:rsid w:val="00E36442"/>
    <w:rsid w:val="00E40774"/>
    <w:rsid w:val="00E46CBB"/>
    <w:rsid w:val="00E502DF"/>
    <w:rsid w:val="00E56982"/>
    <w:rsid w:val="00E6738F"/>
    <w:rsid w:val="00E703FA"/>
    <w:rsid w:val="00E71B40"/>
    <w:rsid w:val="00E73671"/>
    <w:rsid w:val="00E73E21"/>
    <w:rsid w:val="00E74169"/>
    <w:rsid w:val="00E74CAF"/>
    <w:rsid w:val="00E76A3D"/>
    <w:rsid w:val="00E779FD"/>
    <w:rsid w:val="00E85E9D"/>
    <w:rsid w:val="00EA1B01"/>
    <w:rsid w:val="00EA3D3E"/>
    <w:rsid w:val="00EA7BA8"/>
    <w:rsid w:val="00EB0B9A"/>
    <w:rsid w:val="00EB2BAB"/>
    <w:rsid w:val="00EB4D93"/>
    <w:rsid w:val="00EB695C"/>
    <w:rsid w:val="00ED2097"/>
    <w:rsid w:val="00ED295D"/>
    <w:rsid w:val="00ED3AF7"/>
    <w:rsid w:val="00ED4F16"/>
    <w:rsid w:val="00ED50FE"/>
    <w:rsid w:val="00ED6116"/>
    <w:rsid w:val="00ED74A4"/>
    <w:rsid w:val="00EE37CA"/>
    <w:rsid w:val="00EE4AB3"/>
    <w:rsid w:val="00EF1943"/>
    <w:rsid w:val="00EF29FF"/>
    <w:rsid w:val="00EF5FD3"/>
    <w:rsid w:val="00EF6D38"/>
    <w:rsid w:val="00F040E0"/>
    <w:rsid w:val="00F05E37"/>
    <w:rsid w:val="00F12492"/>
    <w:rsid w:val="00F13C81"/>
    <w:rsid w:val="00F3073B"/>
    <w:rsid w:val="00F348C5"/>
    <w:rsid w:val="00F45ECB"/>
    <w:rsid w:val="00F50692"/>
    <w:rsid w:val="00F51531"/>
    <w:rsid w:val="00F551C4"/>
    <w:rsid w:val="00F57A39"/>
    <w:rsid w:val="00F57E4C"/>
    <w:rsid w:val="00F62DE1"/>
    <w:rsid w:val="00F65AB8"/>
    <w:rsid w:val="00F667F9"/>
    <w:rsid w:val="00F7086F"/>
    <w:rsid w:val="00F7294C"/>
    <w:rsid w:val="00F73FE2"/>
    <w:rsid w:val="00F74017"/>
    <w:rsid w:val="00F74DFA"/>
    <w:rsid w:val="00F76B17"/>
    <w:rsid w:val="00F8176F"/>
    <w:rsid w:val="00F851C9"/>
    <w:rsid w:val="00F91560"/>
    <w:rsid w:val="00F95468"/>
    <w:rsid w:val="00FB42D5"/>
    <w:rsid w:val="00FB48A8"/>
    <w:rsid w:val="00FB5BF7"/>
    <w:rsid w:val="00FC2092"/>
    <w:rsid w:val="00FC2543"/>
    <w:rsid w:val="00FC2FFD"/>
    <w:rsid w:val="00FC4A3F"/>
    <w:rsid w:val="00FC5C87"/>
    <w:rsid w:val="00FC7DFA"/>
    <w:rsid w:val="00FD24FF"/>
    <w:rsid w:val="00FE0513"/>
    <w:rsid w:val="00FE0B76"/>
    <w:rsid w:val="00FF1533"/>
    <w:rsid w:val="00FF6245"/>
    <w:rsid w:val="00FF7342"/>
    <w:rsid w:val="15C47BDF"/>
    <w:rsid w:val="3C024A96"/>
    <w:rsid w:val="61C997E0"/>
    <w:rsid w:val="668C8F0F"/>
    <w:rsid w:val="742765C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670D692"/>
  <w15:chartTrackingRefBased/>
  <w15:docId w15:val="{475CB7D5-B46D-4FB0-9DB8-4AAACB645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23C8"/>
    <w:pPr>
      <w:widowControl w:val="0"/>
      <w:autoSpaceDE w:val="0"/>
      <w:autoSpaceDN w:val="0"/>
      <w:adjustRightInd w:val="0"/>
      <w:spacing w:before="120" w:after="120" w:line="240" w:lineRule="auto"/>
    </w:pPr>
    <w:rPr>
      <w:rFonts w:ascii="Times New Roman" w:eastAsia="Times New Roman" w:hAnsi="Times New Roman" w:cs="Times New Roman"/>
      <w:kern w:val="0"/>
      <w:szCs w:val="20"/>
      <w14:ligatures w14:val="none"/>
    </w:rPr>
  </w:style>
  <w:style w:type="paragraph" w:styleId="Heading1">
    <w:name w:val="heading 1"/>
    <w:basedOn w:val="Normal"/>
    <w:next w:val="Normal"/>
    <w:link w:val="Heading1Char"/>
    <w:uiPriority w:val="9"/>
    <w:qFormat/>
    <w:rsid w:val="006556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56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56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56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56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56C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56C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56C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56C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56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56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56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56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56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56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56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56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56C3"/>
    <w:rPr>
      <w:rFonts w:eastAsiaTheme="majorEastAsia" w:cstheme="majorBidi"/>
      <w:color w:val="272727" w:themeColor="text1" w:themeTint="D8"/>
    </w:rPr>
  </w:style>
  <w:style w:type="paragraph" w:styleId="Title">
    <w:name w:val="Title"/>
    <w:basedOn w:val="Normal"/>
    <w:next w:val="Normal"/>
    <w:link w:val="TitleChar"/>
    <w:uiPriority w:val="10"/>
    <w:qFormat/>
    <w:rsid w:val="006556C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56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56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56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56C3"/>
    <w:pPr>
      <w:spacing w:before="160"/>
      <w:jc w:val="center"/>
    </w:pPr>
    <w:rPr>
      <w:i/>
      <w:iCs/>
      <w:color w:val="404040" w:themeColor="text1" w:themeTint="BF"/>
    </w:rPr>
  </w:style>
  <w:style w:type="character" w:customStyle="1" w:styleId="QuoteChar">
    <w:name w:val="Quote Char"/>
    <w:basedOn w:val="DefaultParagraphFont"/>
    <w:link w:val="Quote"/>
    <w:uiPriority w:val="29"/>
    <w:rsid w:val="006556C3"/>
    <w:rPr>
      <w:i/>
      <w:iCs/>
      <w:color w:val="404040" w:themeColor="text1" w:themeTint="BF"/>
    </w:rPr>
  </w:style>
  <w:style w:type="paragraph" w:styleId="ListParagraph">
    <w:name w:val="List Paragraph"/>
    <w:basedOn w:val="Normal"/>
    <w:uiPriority w:val="34"/>
    <w:qFormat/>
    <w:rsid w:val="006556C3"/>
    <w:pPr>
      <w:ind w:left="720"/>
      <w:contextualSpacing/>
    </w:pPr>
  </w:style>
  <w:style w:type="character" w:styleId="IntenseEmphasis">
    <w:name w:val="Intense Emphasis"/>
    <w:basedOn w:val="DefaultParagraphFont"/>
    <w:uiPriority w:val="21"/>
    <w:qFormat/>
    <w:rsid w:val="006556C3"/>
    <w:rPr>
      <w:i/>
      <w:iCs/>
      <w:color w:val="0F4761" w:themeColor="accent1" w:themeShade="BF"/>
    </w:rPr>
  </w:style>
  <w:style w:type="paragraph" w:styleId="IntenseQuote">
    <w:name w:val="Intense Quote"/>
    <w:basedOn w:val="Normal"/>
    <w:next w:val="Normal"/>
    <w:link w:val="IntenseQuoteChar"/>
    <w:uiPriority w:val="30"/>
    <w:qFormat/>
    <w:rsid w:val="006556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56C3"/>
    <w:rPr>
      <w:i/>
      <w:iCs/>
      <w:color w:val="0F4761" w:themeColor="accent1" w:themeShade="BF"/>
    </w:rPr>
  </w:style>
  <w:style w:type="character" w:styleId="IntenseReference">
    <w:name w:val="Intense Reference"/>
    <w:basedOn w:val="DefaultParagraphFont"/>
    <w:uiPriority w:val="32"/>
    <w:qFormat/>
    <w:rsid w:val="006556C3"/>
    <w:rPr>
      <w:b/>
      <w:bCs/>
      <w:smallCaps/>
      <w:color w:val="0F4761" w:themeColor="accent1" w:themeShade="BF"/>
      <w:spacing w:val="5"/>
    </w:rPr>
  </w:style>
  <w:style w:type="paragraph" w:styleId="Header">
    <w:name w:val="header"/>
    <w:basedOn w:val="Normal"/>
    <w:link w:val="HeaderChar"/>
    <w:uiPriority w:val="99"/>
    <w:unhideWhenUsed/>
    <w:rsid w:val="006556C3"/>
    <w:pPr>
      <w:tabs>
        <w:tab w:val="center" w:pos="4680"/>
        <w:tab w:val="right" w:pos="9360"/>
      </w:tabs>
    </w:pPr>
  </w:style>
  <w:style w:type="character" w:customStyle="1" w:styleId="HeaderChar">
    <w:name w:val="Header Char"/>
    <w:basedOn w:val="DefaultParagraphFont"/>
    <w:link w:val="Header"/>
    <w:uiPriority w:val="99"/>
    <w:rsid w:val="006556C3"/>
  </w:style>
  <w:style w:type="paragraph" w:styleId="Footer">
    <w:name w:val="footer"/>
    <w:basedOn w:val="Normal"/>
    <w:link w:val="FooterChar"/>
    <w:uiPriority w:val="99"/>
    <w:unhideWhenUsed/>
    <w:rsid w:val="006556C3"/>
    <w:pPr>
      <w:tabs>
        <w:tab w:val="center" w:pos="4680"/>
        <w:tab w:val="right" w:pos="9360"/>
      </w:tabs>
    </w:pPr>
  </w:style>
  <w:style w:type="character" w:customStyle="1" w:styleId="FooterChar">
    <w:name w:val="Footer Char"/>
    <w:basedOn w:val="DefaultParagraphFont"/>
    <w:link w:val="Footer"/>
    <w:uiPriority w:val="99"/>
    <w:rsid w:val="006556C3"/>
  </w:style>
  <w:style w:type="paragraph" w:styleId="NoSpacing">
    <w:name w:val="No Spacing"/>
    <w:uiPriority w:val="1"/>
    <w:qFormat/>
    <w:rsid w:val="006556C3"/>
    <w:pPr>
      <w:spacing w:after="0" w:line="240" w:lineRule="auto"/>
    </w:pPr>
  </w:style>
  <w:style w:type="paragraph" w:customStyle="1" w:styleId="Default">
    <w:name w:val="Default"/>
    <w:rsid w:val="00107C36"/>
    <w:pPr>
      <w:autoSpaceDE w:val="0"/>
      <w:autoSpaceDN w:val="0"/>
      <w:adjustRightInd w:val="0"/>
      <w:spacing w:after="0" w:line="240" w:lineRule="auto"/>
    </w:pPr>
    <w:rPr>
      <w:rFonts w:ascii="Times New Roman" w:hAnsi="Times New Roman" w:cs="Times New Roman"/>
      <w:color w:val="000000"/>
      <w:kern w:val="0"/>
    </w:rPr>
  </w:style>
  <w:style w:type="character" w:styleId="Hyperlink">
    <w:name w:val="Hyperlink"/>
    <w:rsid w:val="00D34687"/>
    <w:rPr>
      <w:color w:val="0000FF"/>
      <w:u w:val="single"/>
    </w:rPr>
  </w:style>
  <w:style w:type="character" w:styleId="CommentReference">
    <w:name w:val="annotation reference"/>
    <w:basedOn w:val="DefaultParagraphFont"/>
    <w:uiPriority w:val="99"/>
    <w:semiHidden/>
    <w:unhideWhenUsed/>
    <w:rsid w:val="00180197"/>
    <w:rPr>
      <w:sz w:val="16"/>
      <w:szCs w:val="16"/>
    </w:rPr>
  </w:style>
  <w:style w:type="paragraph" w:styleId="CommentText">
    <w:name w:val="annotation text"/>
    <w:basedOn w:val="Normal"/>
    <w:link w:val="CommentTextChar"/>
    <w:uiPriority w:val="99"/>
    <w:unhideWhenUsed/>
    <w:rsid w:val="00180197"/>
    <w:rPr>
      <w:sz w:val="20"/>
    </w:rPr>
  </w:style>
  <w:style w:type="character" w:customStyle="1" w:styleId="CommentTextChar">
    <w:name w:val="Comment Text Char"/>
    <w:basedOn w:val="DefaultParagraphFont"/>
    <w:link w:val="CommentText"/>
    <w:uiPriority w:val="99"/>
    <w:rsid w:val="00180197"/>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80197"/>
    <w:rPr>
      <w:b/>
      <w:bCs/>
    </w:rPr>
  </w:style>
  <w:style w:type="character" w:customStyle="1" w:styleId="CommentSubjectChar">
    <w:name w:val="Comment Subject Char"/>
    <w:basedOn w:val="CommentTextChar"/>
    <w:link w:val="CommentSubject"/>
    <w:uiPriority w:val="99"/>
    <w:semiHidden/>
    <w:rsid w:val="00180197"/>
    <w:rPr>
      <w:rFonts w:ascii="Times New Roman" w:eastAsia="Times New Roman" w:hAnsi="Times New Roman" w:cs="Times New Roman"/>
      <w:b/>
      <w:bCs/>
      <w:kern w:val="0"/>
      <w:sz w:val="20"/>
      <w:szCs w:val="20"/>
      <w14:ligatures w14:val="none"/>
    </w:rPr>
  </w:style>
  <w:style w:type="paragraph" w:customStyle="1" w:styleId="paragraph">
    <w:name w:val="paragraph"/>
    <w:basedOn w:val="Normal"/>
    <w:rsid w:val="00C30178"/>
    <w:pPr>
      <w:widowControl/>
      <w:autoSpaceDE/>
      <w:autoSpaceDN/>
      <w:adjustRightInd/>
      <w:spacing w:before="100" w:beforeAutospacing="1" w:after="100" w:afterAutospacing="1"/>
    </w:pPr>
    <w:rPr>
      <w:szCs w:val="24"/>
    </w:rPr>
  </w:style>
  <w:style w:type="character" w:customStyle="1" w:styleId="normaltextrun">
    <w:name w:val="normaltextrun"/>
    <w:basedOn w:val="DefaultParagraphFont"/>
    <w:rsid w:val="00C30178"/>
  </w:style>
  <w:style w:type="character" w:customStyle="1" w:styleId="eop">
    <w:name w:val="eop"/>
    <w:basedOn w:val="DefaultParagraphFont"/>
    <w:rsid w:val="00C30178"/>
  </w:style>
  <w:style w:type="character" w:styleId="UnresolvedMention">
    <w:name w:val="Unresolved Mention"/>
    <w:basedOn w:val="DefaultParagraphFont"/>
    <w:uiPriority w:val="99"/>
    <w:semiHidden/>
    <w:unhideWhenUsed/>
    <w:rsid w:val="00A037E3"/>
    <w:rPr>
      <w:color w:val="605E5C"/>
      <w:shd w:val="clear" w:color="auto" w:fill="E1DFDD"/>
    </w:rPr>
  </w:style>
  <w:style w:type="paragraph" w:customStyle="1" w:styleId="font-claude-response-body">
    <w:name w:val="font-claude-response-body"/>
    <w:basedOn w:val="Normal"/>
    <w:rsid w:val="008163CC"/>
    <w:pPr>
      <w:widowControl/>
      <w:autoSpaceDE/>
      <w:autoSpaceDN/>
      <w:adjustRightInd/>
      <w:spacing w:before="100" w:beforeAutospacing="1" w:after="100" w:afterAutospacing="1"/>
    </w:pPr>
    <w:rPr>
      <w:szCs w:val="24"/>
    </w:rPr>
  </w:style>
  <w:style w:type="paragraph" w:customStyle="1" w:styleId="whitespace-normal">
    <w:name w:val="whitespace-normal"/>
    <w:basedOn w:val="Normal"/>
    <w:rsid w:val="008163CC"/>
    <w:pPr>
      <w:widowControl/>
      <w:autoSpaceDE/>
      <w:autoSpaceDN/>
      <w:adjustRightInd/>
      <w:spacing w:before="100" w:beforeAutospacing="1" w:after="100" w:afterAutospacing="1"/>
    </w:pPr>
    <w:rPr>
      <w:szCs w:val="24"/>
    </w:rPr>
  </w:style>
  <w:style w:type="character" w:styleId="Strong">
    <w:name w:val="Strong"/>
    <w:basedOn w:val="DefaultParagraphFont"/>
    <w:uiPriority w:val="22"/>
    <w:qFormat/>
    <w:rsid w:val="008163CC"/>
    <w:rPr>
      <w:b/>
      <w:bCs/>
    </w:rPr>
  </w:style>
  <w:style w:type="character" w:styleId="Emphasis">
    <w:name w:val="Emphasis"/>
    <w:basedOn w:val="DefaultParagraphFont"/>
    <w:uiPriority w:val="20"/>
    <w:qFormat/>
    <w:rsid w:val="008163CC"/>
    <w:rPr>
      <w:i/>
      <w:iCs/>
    </w:rPr>
  </w:style>
  <w:style w:type="paragraph" w:styleId="Revision">
    <w:name w:val="Revision"/>
    <w:hidden/>
    <w:uiPriority w:val="99"/>
    <w:semiHidden/>
    <w:rsid w:val="00287607"/>
    <w:pPr>
      <w:spacing w:after="0" w:line="240" w:lineRule="auto"/>
    </w:pPr>
    <w:rPr>
      <w:rFonts w:ascii="Times New Roman" w:eastAsia="Times New Roman" w:hAnsi="Times New Roman" w:cs="Times New Roman"/>
      <w:kern w:val="0"/>
      <w:szCs w:val="20"/>
      <w14:ligatures w14:val="none"/>
    </w:rPr>
  </w:style>
  <w:style w:type="character" w:styleId="Mention">
    <w:name w:val="Mention"/>
    <w:basedOn w:val="DefaultParagraphFont"/>
    <w:uiPriority w:val="99"/>
    <w:unhideWhenUsed/>
    <w:rsid w:val="008C038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dol.gov/agencies/eta/seniors" TargetMode="External" /><Relationship Id="rId11" Type="http://schemas.openxmlformats.org/officeDocument/2006/relationships/header" Target="head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dol.gov/sites/dolgov/files/ETA/grants/pdfs/FOA-ETA-24-12.pdf" TargetMode="External" /><Relationship Id="rId9" Type="http://schemas.openxmlformats.org/officeDocument/2006/relationships/hyperlink" Target="https://www.opm.gov/policy-data-oversight/pay-leave/salaries-wages/salary-tables/pdf/2026/DCB.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ac27de4-10ef-4897-82e0-1cf4e2b3a286">
      <Terms xmlns="http://schemas.microsoft.com/office/infopath/2007/PartnerControls"/>
    </lcf76f155ced4ddcb4097134ff3c332f>
    <TaxCatchAll xmlns="73035a13-f89e-41ae-883c-c36c9ce2aa8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F582DF522D0D040B9F43DFFA3406D99" ma:contentTypeVersion="11" ma:contentTypeDescription="Create a new document." ma:contentTypeScope="" ma:versionID="4ea5a6d2c7b92ff57e90e3e7454a846f">
  <xsd:schema xmlns:xsd="http://www.w3.org/2001/XMLSchema" xmlns:xs="http://www.w3.org/2001/XMLSchema" xmlns:p="http://schemas.microsoft.com/office/2006/metadata/properties" xmlns:ns2="eac27de4-10ef-4897-82e0-1cf4e2b3a286" xmlns:ns3="73035a13-f89e-41ae-883c-c36c9ce2aa81" targetNamespace="http://schemas.microsoft.com/office/2006/metadata/properties" ma:root="true" ma:fieldsID="2db5ea714db1ba3840435fa9b29cb371" ns2:_="" ns3:_="">
    <xsd:import namespace="eac27de4-10ef-4897-82e0-1cf4e2b3a286"/>
    <xsd:import namespace="73035a13-f89e-41ae-883c-c36c9ce2aa8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c27de4-10ef-4897-82e0-1cf4e2b3a2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035a13-f89e-41ae-883c-c36c9ce2aa8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12849280-565a-48a7-866d-8740b0d53b9c}" ma:internalName="TaxCatchAll" ma:showField="CatchAllData" ma:web="73035a13-f89e-41ae-883c-c36c9ce2aa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50E20B-B65A-47DF-85DE-AB8C1840C768}">
  <ds:schemaRefs>
    <ds:schemaRef ds:uri="http://schemas.microsoft.com/office/2006/metadata/properties"/>
    <ds:schemaRef ds:uri="http://schemas.microsoft.com/office/infopath/2007/PartnerControls"/>
    <ds:schemaRef ds:uri="eac27de4-10ef-4897-82e0-1cf4e2b3a286"/>
    <ds:schemaRef ds:uri="73035a13-f89e-41ae-883c-c36c9ce2aa81"/>
  </ds:schemaRefs>
</ds:datastoreItem>
</file>

<file path=customXml/itemProps2.xml><?xml version="1.0" encoding="utf-8"?>
<ds:datastoreItem xmlns:ds="http://schemas.openxmlformats.org/officeDocument/2006/customXml" ds:itemID="{EB459F25-DAB2-4199-81C9-69FD95C2CAD0}">
  <ds:schemaRefs>
    <ds:schemaRef ds:uri="http://schemas.openxmlformats.org/officeDocument/2006/bibliography"/>
  </ds:schemaRefs>
</ds:datastoreItem>
</file>

<file path=customXml/itemProps3.xml><?xml version="1.0" encoding="utf-8"?>
<ds:datastoreItem xmlns:ds="http://schemas.openxmlformats.org/officeDocument/2006/customXml" ds:itemID="{2BA6518A-7C2E-4286-A35A-D9FFAF09E462}">
  <ds:schemaRefs>
    <ds:schemaRef ds:uri="http://schemas.microsoft.com/sharepoint/v3/contenttype/forms"/>
  </ds:schemaRefs>
</ds:datastoreItem>
</file>

<file path=customXml/itemProps4.xml><?xml version="1.0" encoding="utf-8"?>
<ds:datastoreItem xmlns:ds="http://schemas.openxmlformats.org/officeDocument/2006/customXml" ds:itemID="{67F574B1-8A02-4497-A801-20C784FD21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c27de4-10ef-4897-82e0-1cf4e2b3a286"/>
    <ds:schemaRef ds:uri="73035a13-f89e-41ae-883c-c36c9ce2aa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4226</Words>
  <Characters>24093</Characters>
  <Application>Microsoft Office Word</Application>
  <DocSecurity>0</DocSecurity>
  <Lines>200</Lines>
  <Paragraphs>56</Paragraphs>
  <ScaleCrop>false</ScaleCrop>
  <Company/>
  <LinksUpToDate>false</LinksUpToDate>
  <CharactersWithSpaces>28263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Slaughter, Alison S - ETA</dc:creator>
  <cp:lastModifiedBy>Cockett, Kiesha N - SOL</cp:lastModifiedBy>
  <cp:revision>9</cp:revision>
  <dcterms:created xsi:type="dcterms:W3CDTF">2026-04-23T17:40:00Z</dcterms:created>
  <dcterms:modified xsi:type="dcterms:W3CDTF">2026-04-30T22:16:00Z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0x0101002F582DF522D0D040B9F43DFFA3406D99</vt:lpwstr>
  </property>
  <property fmtid="{D5CDD505-2E9C-101B-9397-08002B2CF9AE}" pid="3" name="docLang">
    <vt:lpwstr>en</vt:lpwstr>
  </property>
  <property fmtid="{D5CDD505-2E9C-101B-9397-08002B2CF9AE}" pid="4" name="MediaServiceImageTags">
    <vt:lpwstr/>
  </property>
</Properties>
</file>