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275D" w:rsidP="009E275D" w14:paraId="7E997F5A" w14:textId="316E640A">
      <w:pPr>
        <w:pStyle w:val="Header"/>
        <w:jc w:val="center"/>
        <w:rPr>
          <w:bCs w:val="0"/>
          <w:sz w:val="24"/>
          <w:szCs w:val="24"/>
        </w:rPr>
      </w:pPr>
      <w:r w:rsidRPr="00AF030E">
        <w:rPr>
          <w:bCs w:val="0"/>
          <w:sz w:val="24"/>
          <w:szCs w:val="24"/>
        </w:rPr>
        <w:t>SUPPORTING STATEMENT FOR PAPERWORK REDUCTION ACT 1995</w:t>
      </w:r>
      <w:r w:rsidR="00976299">
        <w:rPr>
          <w:bCs w:val="0"/>
          <w:sz w:val="24"/>
          <w:szCs w:val="24"/>
        </w:rPr>
        <w:t>:</w:t>
      </w:r>
      <w:r w:rsidRPr="00AF030E">
        <w:rPr>
          <w:bCs w:val="0"/>
          <w:sz w:val="24"/>
          <w:szCs w:val="24"/>
        </w:rPr>
        <w:t xml:space="preserve"> </w:t>
      </w:r>
      <w:r w:rsidR="00A235BA">
        <w:rPr>
          <w:bCs w:val="0"/>
          <w:iCs/>
          <w:sz w:val="24"/>
          <w:szCs w:val="24"/>
        </w:rPr>
        <w:t xml:space="preserve">LIMITED EXCEPTED </w:t>
      </w:r>
      <w:r w:rsidR="00231AE8">
        <w:rPr>
          <w:bCs w:val="0"/>
          <w:iCs/>
          <w:sz w:val="24"/>
          <w:szCs w:val="24"/>
        </w:rPr>
        <w:t xml:space="preserve">FERTILITY </w:t>
      </w:r>
      <w:r w:rsidR="00A235BA">
        <w:rPr>
          <w:bCs w:val="0"/>
          <w:iCs/>
          <w:sz w:val="24"/>
          <w:szCs w:val="24"/>
        </w:rPr>
        <w:t>BENEFITS</w:t>
      </w:r>
    </w:p>
    <w:p w:rsidR="005B52AF" w:rsidP="00EF4861" w14:paraId="2E0D918C" w14:textId="05FCDFB6">
      <w:pPr>
        <w:pStyle w:val="Header"/>
        <w:tabs>
          <w:tab w:val="left" w:pos="3090"/>
        </w:tabs>
        <w:rPr>
          <w:bCs w:val="0"/>
          <w:sz w:val="24"/>
          <w:szCs w:val="24"/>
        </w:rPr>
      </w:pPr>
      <w:r>
        <w:rPr>
          <w:bCs w:val="0"/>
          <w:sz w:val="24"/>
          <w:szCs w:val="24"/>
        </w:rPr>
        <w:tab/>
      </w:r>
      <w:r>
        <w:rPr>
          <w:bCs w:val="0"/>
          <w:sz w:val="24"/>
          <w:szCs w:val="24"/>
        </w:rPr>
        <w:tab/>
      </w:r>
    </w:p>
    <w:p w:rsidR="00DF1552" w:rsidP="00DF1552" w14:paraId="72147476" w14:textId="55952F06">
      <w:pPr>
        <w:widowControl/>
        <w:autoSpaceDE/>
        <w:autoSpaceDN/>
        <w:adjustRightInd/>
        <w:ind w:left="720"/>
        <w:contextualSpacing/>
        <w:rPr>
          <w:rFonts w:eastAsiaTheme="minorHAnsi"/>
          <w:b w:val="0"/>
          <w:bCs w:val="0"/>
          <w:sz w:val="24"/>
          <w:szCs w:val="24"/>
        </w:rPr>
      </w:pPr>
      <w:r w:rsidRPr="00091346">
        <w:rPr>
          <w:sz w:val="24"/>
        </w:rPr>
        <w:t xml:space="preserve">This ICR seeks approval for </w:t>
      </w:r>
      <w:r w:rsidRPr="00091346" w:rsidR="00431DF5">
        <w:rPr>
          <w:sz w:val="24"/>
        </w:rPr>
        <w:t>a</w:t>
      </w:r>
      <w:r w:rsidRPr="00091346" w:rsidR="00F4250B">
        <w:rPr>
          <w:sz w:val="24"/>
        </w:rPr>
        <w:t xml:space="preserve"> </w:t>
      </w:r>
      <w:r w:rsidR="005D6B52">
        <w:rPr>
          <w:sz w:val="24"/>
        </w:rPr>
        <w:t xml:space="preserve">new control number. </w:t>
      </w:r>
    </w:p>
    <w:p w:rsidR="005B52AF" w:rsidRPr="00B172B1" w:rsidP="00B172B1" w14:paraId="542DE946" w14:textId="77777777"/>
    <w:p w:rsidR="00CE7EE9" w:rsidRPr="0045454F" w:rsidP="0005778D" w14:paraId="005AF6E1" w14:textId="7D9E7CDE">
      <w:pPr>
        <w:pStyle w:val="Heading1"/>
      </w:pPr>
      <w:r w:rsidRPr="0045454F">
        <w:t>A.</w:t>
      </w:r>
      <w:r w:rsidR="00D309FC">
        <w:t xml:space="preserve"> </w:t>
      </w:r>
      <w:r w:rsidR="00F4250B">
        <w:tab/>
      </w:r>
      <w:r w:rsidRPr="0045454F">
        <w:t>JUSTIFICATION</w:t>
      </w:r>
    </w:p>
    <w:p w:rsidR="00CE7EE9" w:rsidRPr="0005778D" w:rsidP="0005778D" w14:paraId="3CBDBE0D" w14:textId="77777777"/>
    <w:p w:rsidR="00CE7EE9" w:rsidP="0057004B" w14:paraId="5630C7EC" w14:textId="27A63208">
      <w:pPr>
        <w:pStyle w:val="Heading1"/>
        <w:numPr>
          <w:ilvl w:val="0"/>
          <w:numId w:val="37"/>
        </w:numPr>
        <w:rPr>
          <w:iCs/>
          <w:szCs w:val="24"/>
        </w:rPr>
      </w:pPr>
      <w:r w:rsidRPr="00C20D2D">
        <w:rPr>
          <w:iCs/>
          <w:szCs w:val="24"/>
        </w:rPr>
        <w:t>Explain the circumstances that make the collection of information necessary.</w:t>
      </w:r>
      <w:r w:rsidR="00D309FC">
        <w:rPr>
          <w:iCs/>
          <w:szCs w:val="24"/>
        </w:rPr>
        <w:t xml:space="preserve"> </w:t>
      </w:r>
      <w:r w:rsidRPr="0057004B">
        <w:rPr>
          <w:iCs/>
          <w:szCs w:val="24"/>
        </w:rPr>
        <w:t>Identify any legal or administrative requirements that necessitate the collection.</w:t>
      </w:r>
      <w:r w:rsidRPr="0057004B" w:rsidR="00D309FC">
        <w:rPr>
          <w:iCs/>
          <w:szCs w:val="24"/>
        </w:rPr>
        <w:t xml:space="preserve"> </w:t>
      </w:r>
      <w:r w:rsidRPr="0057004B">
        <w:rPr>
          <w:iCs/>
          <w:szCs w:val="24"/>
        </w:rPr>
        <w:t>Attach a copy of the appropriate section of each statute and regulation mandating or authorizing the collection of information.</w:t>
      </w:r>
    </w:p>
    <w:p w:rsidR="00890BC1" w:rsidRPr="00FF77A9" w:rsidP="00FF77A9" w14:paraId="57C81656" w14:textId="77777777"/>
    <w:p w:rsidR="00B3478D" w:rsidRPr="00A235BA" w:rsidP="008504E7" w14:paraId="29AB46B9" w14:textId="7D315DEF">
      <w:pPr>
        <w:pStyle w:val="Quick1"/>
        <w:numPr>
          <w:ilvl w:val="0"/>
          <w:numId w:val="0"/>
        </w:numPr>
        <w:tabs>
          <w:tab w:val="left" w:pos="-1440"/>
        </w:tabs>
        <w:ind w:left="720"/>
        <w:rPr>
          <w:rFonts w:eastAsia="SimSun"/>
          <w:b w:val="0"/>
          <w:bCs w:val="0"/>
          <w:sz w:val="24"/>
          <w:szCs w:val="24"/>
          <w:lang w:eastAsia="zh-CN"/>
        </w:rPr>
      </w:pPr>
      <w:r w:rsidRPr="00FF77A9">
        <w:rPr>
          <w:b w:val="0"/>
          <w:bCs w:val="0"/>
          <w:sz w:val="24"/>
          <w:szCs w:val="24"/>
        </w:rPr>
        <w:t>On February 18, 2025, President Trump issued Executive Order 14216, “Expanding Access to In Vitro Fertilization” (Executive Order 14216).</w:t>
      </w:r>
      <w:r>
        <w:rPr>
          <w:rStyle w:val="FootnoteReference"/>
          <w:b w:val="0"/>
          <w:sz w:val="24"/>
          <w:szCs w:val="24"/>
          <w:vertAlign w:val="superscript"/>
        </w:rPr>
        <w:footnoteReference w:id="3"/>
      </w:r>
      <w:r w:rsidRPr="00A235BA">
        <w:rPr>
          <w:b w:val="0"/>
          <w:bCs w:val="0"/>
          <w:sz w:val="24"/>
          <w:szCs w:val="24"/>
        </w:rPr>
        <w:t xml:space="preserve"> </w:t>
      </w:r>
      <w:r w:rsidRPr="00A235BA">
        <w:rPr>
          <w:b w:val="0"/>
          <w:bCs w:val="0"/>
          <w:sz w:val="24"/>
          <w:szCs w:val="24"/>
        </w:rPr>
        <w:t xml:space="preserve">Executive Order 14216 </w:t>
      </w:r>
      <w:r w:rsidRPr="00A235BA" w:rsidR="00D46B85">
        <w:rPr>
          <w:b w:val="0"/>
          <w:bCs w:val="0"/>
          <w:sz w:val="24"/>
          <w:szCs w:val="24"/>
        </w:rPr>
        <w:t>sought</w:t>
      </w:r>
      <w:r w:rsidRPr="00A235BA">
        <w:rPr>
          <w:b w:val="0"/>
          <w:bCs w:val="0"/>
          <w:sz w:val="24"/>
          <w:szCs w:val="24"/>
        </w:rPr>
        <w:t xml:space="preserve"> to </w:t>
      </w:r>
      <w:r w:rsidRPr="00A235BA" w:rsidR="00D21EEA">
        <w:rPr>
          <w:b w:val="0"/>
          <w:bCs w:val="0"/>
          <w:sz w:val="24"/>
          <w:szCs w:val="24"/>
        </w:rPr>
        <w:t>enhance</w:t>
      </w:r>
      <w:r w:rsidRPr="00A235BA">
        <w:rPr>
          <w:b w:val="0"/>
          <w:bCs w:val="0"/>
          <w:sz w:val="24"/>
          <w:szCs w:val="24"/>
        </w:rPr>
        <w:t xml:space="preserve"> reliable access to in vitro fertilization (IVF) and provide more affordable treatment options, recognizing both the medical necessity of infertility treatment and the broader importance of supporting families in achieving their reproductive goals. </w:t>
      </w:r>
    </w:p>
    <w:p w:rsidR="00814EA8" w:rsidRPr="00A235BA" w:rsidP="008504E7" w14:paraId="099B273F" w14:textId="77777777">
      <w:pPr>
        <w:pStyle w:val="Quick1"/>
        <w:numPr>
          <w:ilvl w:val="0"/>
          <w:numId w:val="0"/>
        </w:numPr>
        <w:tabs>
          <w:tab w:val="left" w:pos="-1440"/>
        </w:tabs>
        <w:ind w:left="720"/>
        <w:rPr>
          <w:rFonts w:eastAsia="SimSun"/>
          <w:b w:val="0"/>
          <w:bCs w:val="0"/>
          <w:sz w:val="24"/>
          <w:szCs w:val="24"/>
          <w:lang w:eastAsia="zh-CN"/>
        </w:rPr>
      </w:pPr>
    </w:p>
    <w:p w:rsidR="00A8323E" w:rsidRPr="00C11B96" w:rsidP="00C11B96" w14:paraId="17697F00" w14:textId="2F6B3D8F">
      <w:pPr>
        <w:pStyle w:val="Quick1"/>
        <w:numPr>
          <w:ilvl w:val="0"/>
          <w:numId w:val="0"/>
        </w:numPr>
        <w:tabs>
          <w:tab w:val="left" w:pos="-1440"/>
        </w:tabs>
        <w:ind w:left="720"/>
        <w:rPr>
          <w:b w:val="0"/>
          <w:bCs w:val="0"/>
          <w:sz w:val="24"/>
          <w:szCs w:val="24"/>
        </w:rPr>
      </w:pPr>
      <w:r w:rsidRPr="00A235BA">
        <w:rPr>
          <w:b w:val="0"/>
          <w:bCs w:val="0"/>
          <w:sz w:val="24"/>
          <w:szCs w:val="24"/>
        </w:rPr>
        <w:t xml:space="preserve">Under section 9832(c)(2) of the Code, section 733(c)(2) of ERISA, and section 2791(c)(2) of the PHS Act, limited excepted benefits include limited scope vision or dental benefits, </w:t>
      </w:r>
      <w:r w:rsidR="0000637A">
        <w:rPr>
          <w:b w:val="0"/>
          <w:bCs w:val="0"/>
          <w:sz w:val="24"/>
          <w:szCs w:val="24"/>
        </w:rPr>
        <w:t xml:space="preserve">and </w:t>
      </w:r>
      <w:r w:rsidRPr="00A235BA">
        <w:rPr>
          <w:b w:val="0"/>
          <w:bCs w:val="0"/>
          <w:sz w:val="24"/>
          <w:szCs w:val="24"/>
        </w:rPr>
        <w:t xml:space="preserve">benefits for long-term care, nursing home care, home health care, or community-based care. </w:t>
      </w:r>
      <w:r w:rsidR="009E2D04">
        <w:rPr>
          <w:b w:val="0"/>
          <w:bCs w:val="0"/>
          <w:sz w:val="24"/>
          <w:szCs w:val="24"/>
        </w:rPr>
        <w:t>T</w:t>
      </w:r>
      <w:r w:rsidRPr="00A235BA">
        <w:rPr>
          <w:b w:val="0"/>
          <w:bCs w:val="0"/>
          <w:sz w:val="24"/>
          <w:szCs w:val="24"/>
        </w:rPr>
        <w:t xml:space="preserve">he Department </w:t>
      </w:r>
      <w:r w:rsidR="00555633">
        <w:rPr>
          <w:b w:val="0"/>
          <w:bCs w:val="0"/>
          <w:sz w:val="24"/>
          <w:szCs w:val="24"/>
        </w:rPr>
        <w:t>of Labor</w:t>
      </w:r>
      <w:r w:rsidR="004E4170">
        <w:rPr>
          <w:b w:val="0"/>
          <w:bCs w:val="0"/>
          <w:sz w:val="24"/>
          <w:szCs w:val="24"/>
        </w:rPr>
        <w:t xml:space="preserve"> (Department)</w:t>
      </w:r>
      <w:r w:rsidR="00AF0B4C">
        <w:rPr>
          <w:b w:val="0"/>
          <w:bCs w:val="0"/>
          <w:sz w:val="24"/>
          <w:szCs w:val="24"/>
        </w:rPr>
        <w:t>, together with the Department</w:t>
      </w:r>
      <w:r w:rsidR="00555633">
        <w:rPr>
          <w:b w:val="0"/>
          <w:bCs w:val="0"/>
          <w:sz w:val="24"/>
          <w:szCs w:val="24"/>
        </w:rPr>
        <w:t>s</w:t>
      </w:r>
      <w:r w:rsidR="00AF0B4C">
        <w:rPr>
          <w:b w:val="0"/>
          <w:bCs w:val="0"/>
          <w:sz w:val="24"/>
          <w:szCs w:val="24"/>
        </w:rPr>
        <w:t xml:space="preserve"> of Health and Human Services</w:t>
      </w:r>
      <w:r w:rsidR="00555633">
        <w:rPr>
          <w:b w:val="0"/>
          <w:bCs w:val="0"/>
          <w:sz w:val="24"/>
          <w:szCs w:val="24"/>
        </w:rPr>
        <w:t xml:space="preserve"> and </w:t>
      </w:r>
      <w:r w:rsidR="00BF6733">
        <w:rPr>
          <w:b w:val="0"/>
          <w:bCs w:val="0"/>
          <w:sz w:val="24"/>
          <w:szCs w:val="24"/>
        </w:rPr>
        <w:t xml:space="preserve">the </w:t>
      </w:r>
      <w:r w:rsidR="00555633">
        <w:rPr>
          <w:b w:val="0"/>
          <w:bCs w:val="0"/>
          <w:sz w:val="24"/>
          <w:szCs w:val="24"/>
        </w:rPr>
        <w:t>Treasury (collectively, the Departments)</w:t>
      </w:r>
      <w:r w:rsidRPr="00A235BA">
        <w:rPr>
          <w:b w:val="0"/>
          <w:bCs w:val="0"/>
          <w:sz w:val="24"/>
          <w:szCs w:val="24"/>
        </w:rPr>
        <w:t xml:space="preserve"> </w:t>
      </w:r>
      <w:r w:rsidR="00555633">
        <w:rPr>
          <w:b w:val="0"/>
          <w:bCs w:val="0"/>
          <w:sz w:val="24"/>
          <w:szCs w:val="24"/>
        </w:rPr>
        <w:t>are</w:t>
      </w:r>
      <w:r w:rsidRPr="00A235BA">
        <w:rPr>
          <w:b w:val="0"/>
          <w:bCs w:val="0"/>
          <w:sz w:val="24"/>
          <w:szCs w:val="24"/>
        </w:rPr>
        <w:t xml:space="preserve"> statutorily authorized under section 9832(c)(2)(C) of the Code, section 733(c)(2)(C) of ERISA, and section 2791(c)(2)(C) of the PHS Act to create</w:t>
      </w:r>
      <w:r w:rsidRPr="00A235BA">
        <w:rPr>
          <w:b w:val="0"/>
          <w:bCs w:val="0"/>
          <w:sz w:val="24"/>
          <w:szCs w:val="24"/>
        </w:rPr>
        <w:t xml:space="preserve"> </w:t>
      </w:r>
      <w:r w:rsidRPr="00A235BA">
        <w:rPr>
          <w:b w:val="0"/>
          <w:bCs w:val="0"/>
          <w:sz w:val="24"/>
          <w:szCs w:val="24"/>
        </w:rPr>
        <w:t>additional categories of limited excepted benefits that are similar to the limited benefits specified in the statute, and that either are insured under a separate policy, certificate, or contract of insurance, or are otherwise not an integral part of a plan.</w:t>
      </w:r>
      <w:r>
        <w:rPr>
          <w:rStyle w:val="FootnoteReference"/>
          <w:b w:val="0"/>
          <w:bCs w:val="0"/>
          <w:sz w:val="24"/>
          <w:szCs w:val="24"/>
          <w:vertAlign w:val="superscript"/>
        </w:rPr>
        <w:footnoteReference w:id="4"/>
      </w:r>
    </w:p>
    <w:p w:rsidR="008504E7" w:rsidRPr="00A235BA" w:rsidP="008504E7" w14:paraId="03ECA6C3" w14:textId="77777777">
      <w:pPr>
        <w:pStyle w:val="Quick1"/>
        <w:numPr>
          <w:ilvl w:val="0"/>
          <w:numId w:val="0"/>
        </w:numPr>
        <w:tabs>
          <w:tab w:val="left" w:pos="-1440"/>
        </w:tabs>
        <w:ind w:left="720" w:hanging="720"/>
        <w:rPr>
          <w:rFonts w:eastAsia="SimSun"/>
          <w:b w:val="0"/>
          <w:bCs w:val="0"/>
          <w:sz w:val="24"/>
          <w:szCs w:val="24"/>
          <w:lang w:eastAsia="zh-CN"/>
        </w:rPr>
      </w:pPr>
      <w:r w:rsidRPr="00A235BA">
        <w:rPr>
          <w:rFonts w:eastAsia="SimSun"/>
          <w:b w:val="0"/>
          <w:bCs w:val="0"/>
          <w:sz w:val="24"/>
          <w:szCs w:val="24"/>
          <w:lang w:eastAsia="zh-CN"/>
        </w:rPr>
        <w:tab/>
      </w:r>
    </w:p>
    <w:p w:rsidR="008504E7" w:rsidRPr="00A235BA" w:rsidP="008504E7" w14:paraId="040A7343" w14:textId="077476CD">
      <w:pPr>
        <w:pStyle w:val="Quick1"/>
        <w:numPr>
          <w:ilvl w:val="0"/>
          <w:numId w:val="0"/>
        </w:numPr>
        <w:tabs>
          <w:tab w:val="left" w:pos="-1440"/>
        </w:tabs>
        <w:ind w:left="720" w:hanging="720"/>
        <w:rPr>
          <w:rFonts w:eastAsia="SimSun"/>
          <w:b w:val="0"/>
          <w:bCs w:val="0"/>
          <w:sz w:val="24"/>
          <w:szCs w:val="24"/>
          <w:lang w:eastAsia="zh-CN"/>
        </w:rPr>
      </w:pPr>
      <w:r w:rsidRPr="00A235BA">
        <w:rPr>
          <w:rFonts w:eastAsia="SimSun"/>
          <w:b w:val="0"/>
          <w:bCs w:val="0"/>
          <w:sz w:val="24"/>
          <w:szCs w:val="24"/>
          <w:lang w:eastAsia="zh-CN"/>
        </w:rPr>
        <w:tab/>
        <w:t>The Departments</w:t>
      </w:r>
      <w:r w:rsidR="00555633">
        <w:rPr>
          <w:rFonts w:eastAsia="SimSun"/>
          <w:b w:val="0"/>
          <w:bCs w:val="0"/>
          <w:sz w:val="24"/>
          <w:szCs w:val="24"/>
          <w:lang w:eastAsia="zh-CN"/>
        </w:rPr>
        <w:t>’</w:t>
      </w:r>
      <w:r w:rsidRPr="00A235BA">
        <w:rPr>
          <w:rFonts w:eastAsia="SimSun"/>
          <w:b w:val="0"/>
          <w:bCs w:val="0"/>
          <w:sz w:val="24"/>
          <w:szCs w:val="24"/>
          <w:lang w:eastAsia="zh-CN"/>
        </w:rPr>
        <w:t xml:space="preserve"> proposed regulation i</w:t>
      </w:r>
      <w:r w:rsidRPr="00A235BA" w:rsidR="00A235BA">
        <w:rPr>
          <w:rFonts w:eastAsia="SimSun"/>
          <w:b w:val="0"/>
          <w:bCs w:val="0"/>
          <w:sz w:val="24"/>
          <w:szCs w:val="24"/>
          <w:lang w:eastAsia="zh-CN"/>
        </w:rPr>
        <w:t>ntends</w:t>
      </w:r>
      <w:r w:rsidRPr="00A235BA" w:rsidR="00A235BA">
        <w:rPr>
          <w:rFonts w:eastAsia="Calibri"/>
          <w:b w:val="0"/>
          <w:bCs w:val="0"/>
          <w:sz w:val="24"/>
          <w:szCs w:val="24"/>
        </w:rPr>
        <w:t xml:space="preserve"> to establish a new proposed </w:t>
      </w:r>
      <w:r w:rsidR="002B01B9">
        <w:rPr>
          <w:rFonts w:eastAsia="Calibri"/>
          <w:b w:val="0"/>
          <w:bCs w:val="0"/>
          <w:sz w:val="24"/>
          <w:szCs w:val="24"/>
        </w:rPr>
        <w:t>excepted</w:t>
      </w:r>
      <w:r w:rsidRPr="00A235BA" w:rsidR="002B01B9">
        <w:rPr>
          <w:rFonts w:eastAsia="Calibri"/>
          <w:b w:val="0"/>
          <w:bCs w:val="0"/>
          <w:sz w:val="24"/>
          <w:szCs w:val="24"/>
        </w:rPr>
        <w:t xml:space="preserve"> </w:t>
      </w:r>
      <w:r w:rsidRPr="00A235BA" w:rsidR="00A235BA">
        <w:rPr>
          <w:rFonts w:eastAsia="Calibri"/>
          <w:b w:val="0"/>
          <w:bCs w:val="0"/>
          <w:sz w:val="24"/>
          <w:szCs w:val="24"/>
        </w:rPr>
        <w:t>fertility benefit</w:t>
      </w:r>
      <w:r w:rsidR="0009612D">
        <w:rPr>
          <w:rFonts w:eastAsia="Calibri"/>
          <w:b w:val="0"/>
          <w:bCs w:val="0"/>
          <w:sz w:val="24"/>
          <w:szCs w:val="24"/>
        </w:rPr>
        <w:t xml:space="preserve"> and it include</w:t>
      </w:r>
      <w:r w:rsidR="008E1D6B">
        <w:rPr>
          <w:rFonts w:eastAsia="Calibri"/>
          <w:b w:val="0"/>
          <w:bCs w:val="0"/>
          <w:sz w:val="24"/>
          <w:szCs w:val="24"/>
        </w:rPr>
        <w:t>d</w:t>
      </w:r>
      <w:r w:rsidR="0009612D">
        <w:rPr>
          <w:rFonts w:eastAsia="Calibri"/>
          <w:b w:val="0"/>
          <w:bCs w:val="0"/>
          <w:sz w:val="24"/>
          <w:szCs w:val="24"/>
        </w:rPr>
        <w:t xml:space="preserve"> a collection of information</w:t>
      </w:r>
      <w:r w:rsidRPr="00A235BA" w:rsidR="00A235BA">
        <w:rPr>
          <w:rFonts w:eastAsia="Calibri"/>
          <w:b w:val="0"/>
          <w:bCs w:val="0"/>
          <w:sz w:val="24"/>
          <w:szCs w:val="24"/>
        </w:rPr>
        <w:t xml:space="preserve">. </w:t>
      </w:r>
      <w:r w:rsidR="00B4238E">
        <w:rPr>
          <w:rFonts w:eastAsia="Calibri"/>
          <w:b w:val="0"/>
          <w:bCs w:val="0"/>
          <w:sz w:val="24"/>
          <w:szCs w:val="24"/>
        </w:rPr>
        <w:t xml:space="preserve">The information collection is designed to inform participants and </w:t>
      </w:r>
      <w:r w:rsidR="003E6A48">
        <w:rPr>
          <w:rFonts w:eastAsia="Calibri"/>
          <w:b w:val="0"/>
          <w:bCs w:val="0"/>
          <w:sz w:val="24"/>
          <w:szCs w:val="24"/>
        </w:rPr>
        <w:t>beneficiaries</w:t>
      </w:r>
      <w:r w:rsidR="00B4238E">
        <w:rPr>
          <w:rFonts w:eastAsia="Calibri"/>
          <w:b w:val="0"/>
          <w:bCs w:val="0"/>
          <w:sz w:val="24"/>
          <w:szCs w:val="24"/>
        </w:rPr>
        <w:t xml:space="preserve"> of their eligibility for coverage </w:t>
      </w:r>
      <w:r w:rsidR="003E6A48">
        <w:rPr>
          <w:rFonts w:eastAsia="Calibri"/>
          <w:b w:val="0"/>
          <w:bCs w:val="0"/>
          <w:sz w:val="24"/>
          <w:szCs w:val="24"/>
        </w:rPr>
        <w:t>and provide a summary of the limitations and benefits of the coverage should they elect to enroll.</w:t>
      </w:r>
    </w:p>
    <w:p w:rsidR="00662510" w:rsidRPr="00594B94" w:rsidP="003501DC" w14:paraId="6FC41366" w14:textId="49CB8B65">
      <w:pPr>
        <w:pStyle w:val="Quick1"/>
        <w:widowControl/>
        <w:numPr>
          <w:ilvl w:val="0"/>
          <w:numId w:val="0"/>
        </w:numPr>
        <w:tabs>
          <w:tab w:val="left" w:pos="-1440"/>
        </w:tabs>
        <w:rPr>
          <w:rStyle w:val="footnoteref"/>
          <w:b w:val="0"/>
          <w:sz w:val="24"/>
          <w:szCs w:val="24"/>
        </w:rPr>
      </w:pPr>
    </w:p>
    <w:p w:rsidR="00312DD7" w:rsidRPr="00C20D2D" w:rsidP="0057004B" w14:paraId="5333F6B5" w14:textId="5348BF6E">
      <w:pPr>
        <w:pStyle w:val="Heading1"/>
        <w:numPr>
          <w:ilvl w:val="0"/>
          <w:numId w:val="37"/>
        </w:numPr>
      </w:pPr>
      <w:r w:rsidRPr="00C20D2D">
        <w:t>Indicate how, by whom, and for what purpose the information is to be used.</w:t>
      </w:r>
      <w:r w:rsidR="00D309FC">
        <w:t xml:space="preserve"> </w:t>
      </w:r>
      <w:r w:rsidRPr="00C20D2D" w:rsidR="00540514">
        <w:t>Except for a new collection, indicate the actual use the agency has made of the information received from the current collection.</w:t>
      </w:r>
    </w:p>
    <w:p w:rsidR="00AA1E33" w:rsidP="00A513F6" w14:paraId="0B8C6442" w14:textId="77777777">
      <w:pPr>
        <w:pStyle w:val="Quick1"/>
        <w:widowControl/>
        <w:numPr>
          <w:ilvl w:val="0"/>
          <w:numId w:val="0"/>
        </w:numPr>
        <w:ind w:left="720" w:hanging="720"/>
        <w:rPr>
          <w:b w:val="0"/>
          <w:sz w:val="24"/>
          <w:szCs w:val="24"/>
        </w:rPr>
      </w:pPr>
    </w:p>
    <w:p w:rsidR="00D54D7C" w:rsidRPr="00D54D7C" w:rsidP="00D54D7C" w14:paraId="67DE207B" w14:textId="5F2B9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D54D7C">
        <w:rPr>
          <w:b w:val="0"/>
          <w:bCs w:val="0"/>
          <w:sz w:val="24"/>
        </w:rPr>
        <w:t xml:space="preserve">The proposed regulation would </w:t>
      </w:r>
      <w:r w:rsidR="004361BA">
        <w:rPr>
          <w:b w:val="0"/>
          <w:bCs w:val="0"/>
          <w:sz w:val="24"/>
        </w:rPr>
        <w:t>allow</w:t>
      </w:r>
      <w:r w:rsidRPr="00D54D7C">
        <w:rPr>
          <w:b w:val="0"/>
          <w:bCs w:val="0"/>
          <w:sz w:val="24"/>
        </w:rPr>
        <w:t xml:space="preserve"> </w:t>
      </w:r>
      <w:r w:rsidR="00C874AA">
        <w:rPr>
          <w:b w:val="0"/>
          <w:bCs w:val="0"/>
          <w:sz w:val="24"/>
        </w:rPr>
        <w:t>employers and health insurance issuers</w:t>
      </w:r>
      <w:r w:rsidR="006C73BC">
        <w:rPr>
          <w:b w:val="0"/>
          <w:bCs w:val="0"/>
          <w:sz w:val="24"/>
        </w:rPr>
        <w:t xml:space="preserve"> to offer</w:t>
      </w:r>
      <w:r w:rsidR="00190B6F">
        <w:rPr>
          <w:b w:val="0"/>
          <w:bCs w:val="0"/>
          <w:sz w:val="24"/>
        </w:rPr>
        <w:t xml:space="preserve"> a </w:t>
      </w:r>
      <w:r w:rsidR="00190B6F">
        <w:rPr>
          <w:b w:val="0"/>
          <w:bCs w:val="0"/>
          <w:sz w:val="24"/>
        </w:rPr>
        <w:t xml:space="preserve">new </w:t>
      </w:r>
      <w:r w:rsidR="0029390B">
        <w:rPr>
          <w:b w:val="0"/>
          <w:bCs w:val="0"/>
          <w:sz w:val="24"/>
        </w:rPr>
        <w:t>category</w:t>
      </w:r>
      <w:r w:rsidR="00190B6F">
        <w:rPr>
          <w:b w:val="0"/>
          <w:bCs w:val="0"/>
          <w:sz w:val="24"/>
        </w:rPr>
        <w:t xml:space="preserve"> of limited </w:t>
      </w:r>
      <w:r w:rsidR="0029390B">
        <w:rPr>
          <w:b w:val="0"/>
          <w:bCs w:val="0"/>
          <w:sz w:val="24"/>
        </w:rPr>
        <w:t xml:space="preserve">excepted benefit </w:t>
      </w:r>
      <w:r w:rsidR="006A0210">
        <w:rPr>
          <w:b w:val="0"/>
          <w:bCs w:val="0"/>
          <w:sz w:val="24"/>
        </w:rPr>
        <w:t xml:space="preserve">covering fertility-related medical care </w:t>
      </w:r>
      <w:r w:rsidR="0029390B">
        <w:rPr>
          <w:b w:val="0"/>
          <w:bCs w:val="0"/>
          <w:sz w:val="24"/>
        </w:rPr>
        <w:t xml:space="preserve">if </w:t>
      </w:r>
      <w:r w:rsidR="00A1789E">
        <w:rPr>
          <w:b w:val="0"/>
          <w:bCs w:val="0"/>
          <w:sz w:val="24"/>
        </w:rPr>
        <w:t>it is provided under</w:t>
      </w:r>
      <w:r w:rsidR="006C73BC">
        <w:rPr>
          <w:b w:val="0"/>
          <w:bCs w:val="0"/>
          <w:sz w:val="24"/>
        </w:rPr>
        <w:t xml:space="preserve"> </w:t>
      </w:r>
      <w:r w:rsidR="00FD4B26">
        <w:rPr>
          <w:b w:val="0"/>
          <w:bCs w:val="0"/>
          <w:sz w:val="24"/>
        </w:rPr>
        <w:t>a separate policy</w:t>
      </w:r>
      <w:r w:rsidR="00A20DA3">
        <w:rPr>
          <w:b w:val="0"/>
          <w:bCs w:val="0"/>
          <w:sz w:val="24"/>
        </w:rPr>
        <w:t>, certificate, or contract</w:t>
      </w:r>
      <w:r w:rsidR="00FD4B26">
        <w:rPr>
          <w:b w:val="0"/>
          <w:bCs w:val="0"/>
          <w:sz w:val="24"/>
        </w:rPr>
        <w:t xml:space="preserve"> of insurance </w:t>
      </w:r>
      <w:r w:rsidR="00C80420">
        <w:rPr>
          <w:b w:val="0"/>
          <w:bCs w:val="0"/>
          <w:sz w:val="24"/>
        </w:rPr>
        <w:t xml:space="preserve">or is otherwise not an integral part of the plan </w:t>
      </w:r>
      <w:r w:rsidR="00243C2F">
        <w:rPr>
          <w:b w:val="0"/>
          <w:bCs w:val="0"/>
          <w:sz w:val="24"/>
        </w:rPr>
        <w:t xml:space="preserve">and </w:t>
      </w:r>
      <w:r w:rsidR="009B7BA1">
        <w:rPr>
          <w:b w:val="0"/>
          <w:bCs w:val="0"/>
          <w:sz w:val="24"/>
        </w:rPr>
        <w:t xml:space="preserve">the </w:t>
      </w:r>
      <w:r w:rsidR="009E64AD">
        <w:rPr>
          <w:b w:val="0"/>
          <w:bCs w:val="0"/>
          <w:sz w:val="24"/>
        </w:rPr>
        <w:t>fertility benefit</w:t>
      </w:r>
      <w:r w:rsidR="000A096D">
        <w:rPr>
          <w:b w:val="0"/>
          <w:bCs w:val="0"/>
          <w:sz w:val="24"/>
        </w:rPr>
        <w:t xml:space="preserve"> </w:t>
      </w:r>
      <w:r w:rsidR="00507BC1">
        <w:rPr>
          <w:b w:val="0"/>
          <w:bCs w:val="0"/>
          <w:sz w:val="24"/>
        </w:rPr>
        <w:t xml:space="preserve">satisfies the </w:t>
      </w:r>
      <w:r w:rsidR="00E84F98">
        <w:rPr>
          <w:b w:val="0"/>
          <w:bCs w:val="0"/>
          <w:sz w:val="24"/>
        </w:rPr>
        <w:t xml:space="preserve">requirements of proposed </w:t>
      </w:r>
      <w:r w:rsidR="00CE53A6">
        <w:rPr>
          <w:b w:val="0"/>
          <w:bCs w:val="0"/>
          <w:sz w:val="24"/>
        </w:rPr>
        <w:t>paragraph (b)(3)(ix)(A), (B), and (D) of</w:t>
      </w:r>
      <w:r w:rsidR="00FE5B4B">
        <w:rPr>
          <w:b w:val="0"/>
          <w:bCs w:val="0"/>
          <w:sz w:val="24"/>
        </w:rPr>
        <w:t xml:space="preserve"> </w:t>
      </w:r>
      <w:r w:rsidRPr="005E3149" w:rsidR="00C11B96">
        <w:rPr>
          <w:b w:val="0"/>
          <w:bCs w:val="0"/>
          <w:sz w:val="24"/>
          <w:szCs w:val="24"/>
        </w:rPr>
        <w:t>29 C.F.R. §</w:t>
      </w:r>
      <w:r w:rsidR="00FE5B4B">
        <w:rPr>
          <w:b w:val="0"/>
          <w:bCs w:val="0"/>
          <w:sz w:val="24"/>
        </w:rPr>
        <w:t xml:space="preserve"> 2590.732. </w:t>
      </w:r>
    </w:p>
    <w:p w:rsidR="00D54D7C" w:rsidRPr="00D54D7C" w:rsidP="00D54D7C" w14:paraId="4F90F3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bCs w:val="0"/>
          <w:sz w:val="24"/>
        </w:rPr>
      </w:pPr>
    </w:p>
    <w:p w:rsidR="00D54D7C" w:rsidP="00306798" w14:paraId="4C08F8E2" w14:textId="26EF77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eastAsia="Calibri"/>
          <w:b w:val="0"/>
          <w:bCs w:val="0"/>
          <w:sz w:val="24"/>
          <w:szCs w:val="24"/>
        </w:rPr>
      </w:pPr>
      <w:r w:rsidRPr="00306798">
        <w:rPr>
          <w:b w:val="0"/>
          <w:bCs w:val="0"/>
          <w:sz w:val="24"/>
          <w:szCs w:val="24"/>
        </w:rPr>
        <w:t xml:space="preserve">The </w:t>
      </w:r>
      <w:r w:rsidR="00246EE0">
        <w:rPr>
          <w:b w:val="0"/>
          <w:bCs w:val="0"/>
          <w:sz w:val="24"/>
          <w:szCs w:val="24"/>
        </w:rPr>
        <w:t>information collection</w:t>
      </w:r>
      <w:r w:rsidRPr="00306798">
        <w:rPr>
          <w:b w:val="0"/>
          <w:bCs w:val="0"/>
          <w:sz w:val="24"/>
          <w:szCs w:val="24"/>
        </w:rPr>
        <w:t xml:space="preserve"> of the proposed regulation</w:t>
      </w:r>
      <w:r w:rsidRPr="00306798" w:rsidR="008A37C7">
        <w:rPr>
          <w:b w:val="0"/>
          <w:bCs w:val="0"/>
          <w:sz w:val="24"/>
          <w:szCs w:val="24"/>
        </w:rPr>
        <w:t xml:space="preserve"> is a</w:t>
      </w:r>
      <w:r w:rsidRPr="00306798">
        <w:rPr>
          <w:b w:val="0"/>
          <w:bCs w:val="0"/>
          <w:sz w:val="24"/>
          <w:szCs w:val="24"/>
        </w:rPr>
        <w:t xml:space="preserve"> </w:t>
      </w:r>
      <w:r w:rsidRPr="00306798" w:rsidR="008A37C7">
        <w:rPr>
          <w:rFonts w:eastAsia="Calibri"/>
          <w:b w:val="0"/>
          <w:bCs w:val="0"/>
          <w:sz w:val="24"/>
          <w:szCs w:val="24"/>
        </w:rPr>
        <w:t xml:space="preserve">written </w:t>
      </w:r>
      <w:r w:rsidR="0010042D">
        <w:rPr>
          <w:rFonts w:eastAsia="Calibri"/>
          <w:b w:val="0"/>
          <w:bCs w:val="0"/>
          <w:sz w:val="24"/>
          <w:szCs w:val="24"/>
        </w:rPr>
        <w:t>disclosure</w:t>
      </w:r>
      <w:r w:rsidRPr="00306798" w:rsidR="008A37C7">
        <w:rPr>
          <w:rFonts w:eastAsia="Calibri"/>
          <w:b w:val="0"/>
          <w:bCs w:val="0"/>
          <w:sz w:val="24"/>
          <w:szCs w:val="24"/>
        </w:rPr>
        <w:t xml:space="preserve"> to</w:t>
      </w:r>
      <w:r w:rsidRPr="00306798" w:rsidR="00AD74B5">
        <w:rPr>
          <w:rFonts w:eastAsia="Calibri"/>
          <w:b w:val="0"/>
          <w:bCs w:val="0"/>
          <w:sz w:val="24"/>
          <w:szCs w:val="24"/>
        </w:rPr>
        <w:t xml:space="preserve"> eligible</w:t>
      </w:r>
      <w:r w:rsidRPr="00306798" w:rsidR="008A37C7">
        <w:rPr>
          <w:rFonts w:eastAsia="Calibri"/>
          <w:b w:val="0"/>
          <w:bCs w:val="0"/>
          <w:sz w:val="24"/>
          <w:szCs w:val="24"/>
        </w:rPr>
        <w:t xml:space="preserve"> participants and beneficiaries o</w:t>
      </w:r>
      <w:r w:rsidRPr="00306798" w:rsidR="00AD74B5">
        <w:rPr>
          <w:rFonts w:eastAsia="Calibri"/>
          <w:b w:val="0"/>
          <w:bCs w:val="0"/>
          <w:sz w:val="24"/>
          <w:szCs w:val="24"/>
        </w:rPr>
        <w:t>f</w:t>
      </w:r>
      <w:r w:rsidRPr="00306798" w:rsidR="008A37C7">
        <w:rPr>
          <w:rFonts w:eastAsia="Calibri"/>
          <w:b w:val="0"/>
          <w:bCs w:val="0"/>
          <w:sz w:val="24"/>
          <w:szCs w:val="24"/>
        </w:rPr>
        <w:t xml:space="preserve"> the </w:t>
      </w:r>
      <w:r w:rsidR="003D018C">
        <w:rPr>
          <w:rFonts w:eastAsia="Calibri"/>
          <w:b w:val="0"/>
          <w:bCs w:val="0"/>
          <w:sz w:val="24"/>
          <w:szCs w:val="24"/>
        </w:rPr>
        <w:t>excepted</w:t>
      </w:r>
      <w:r w:rsidRPr="00306798" w:rsidR="003D018C">
        <w:rPr>
          <w:rFonts w:eastAsia="Calibri"/>
          <w:b w:val="0"/>
          <w:bCs w:val="0"/>
          <w:sz w:val="24"/>
          <w:szCs w:val="24"/>
        </w:rPr>
        <w:t xml:space="preserve"> </w:t>
      </w:r>
      <w:r w:rsidRPr="00306798" w:rsidR="008A37C7">
        <w:rPr>
          <w:rFonts w:eastAsia="Calibri"/>
          <w:b w:val="0"/>
          <w:bCs w:val="0"/>
          <w:sz w:val="24"/>
          <w:szCs w:val="24"/>
        </w:rPr>
        <w:t xml:space="preserve">fertility benefit </w:t>
      </w:r>
      <w:r w:rsidRPr="00306798" w:rsidR="00AD74B5">
        <w:rPr>
          <w:rFonts w:eastAsia="Calibri"/>
          <w:b w:val="0"/>
          <w:bCs w:val="0"/>
          <w:sz w:val="24"/>
          <w:szCs w:val="24"/>
        </w:rPr>
        <w:t>that includes a description of the coverage, including a summary of benefits and limitations of the coverage</w:t>
      </w:r>
      <w:r w:rsidR="0035113D">
        <w:rPr>
          <w:rFonts w:eastAsia="Calibri"/>
          <w:b w:val="0"/>
          <w:bCs w:val="0"/>
          <w:sz w:val="24"/>
          <w:szCs w:val="24"/>
        </w:rPr>
        <w:t xml:space="preserve"> (including the applicable lifetime dollar limit established by the plan or issuer)</w:t>
      </w:r>
      <w:r w:rsidRPr="00306798" w:rsidR="00AD74B5">
        <w:rPr>
          <w:rFonts w:eastAsia="Calibri"/>
          <w:b w:val="0"/>
          <w:bCs w:val="0"/>
          <w:sz w:val="24"/>
          <w:szCs w:val="24"/>
        </w:rPr>
        <w:t xml:space="preserve">, </w:t>
      </w:r>
      <w:r w:rsidR="00B31D77">
        <w:rPr>
          <w:rFonts w:eastAsia="Calibri"/>
          <w:b w:val="0"/>
          <w:bCs w:val="0"/>
          <w:sz w:val="24"/>
          <w:szCs w:val="24"/>
        </w:rPr>
        <w:t>how to identify and utilize a network provider, if applicable</w:t>
      </w:r>
      <w:r w:rsidRPr="00306798" w:rsidR="00AD74B5">
        <w:rPr>
          <w:rFonts w:eastAsia="Calibri"/>
          <w:b w:val="0"/>
          <w:bCs w:val="0"/>
          <w:sz w:val="24"/>
          <w:szCs w:val="24"/>
        </w:rPr>
        <w:t xml:space="preserve">, and how to submit a claim for reimbursement, including whether the benefit utilizes the same claims procedure as for </w:t>
      </w:r>
      <w:r w:rsidR="005A5952">
        <w:rPr>
          <w:rFonts w:eastAsia="Calibri"/>
          <w:b w:val="0"/>
          <w:bCs w:val="0"/>
          <w:sz w:val="24"/>
          <w:szCs w:val="24"/>
        </w:rPr>
        <w:t xml:space="preserve">the plan sponsor’s </w:t>
      </w:r>
      <w:r w:rsidRPr="00306798" w:rsidR="00AD74B5">
        <w:rPr>
          <w:rFonts w:eastAsia="Calibri"/>
          <w:b w:val="0"/>
          <w:bCs w:val="0"/>
          <w:sz w:val="24"/>
          <w:szCs w:val="24"/>
        </w:rPr>
        <w:t xml:space="preserve">other group health plans. </w:t>
      </w:r>
      <w:r w:rsidRPr="00306798" w:rsidR="00306798">
        <w:rPr>
          <w:rFonts w:eastAsia="Calibri"/>
          <w:b w:val="0"/>
          <w:bCs w:val="0"/>
          <w:sz w:val="24"/>
          <w:szCs w:val="24"/>
        </w:rPr>
        <w:t>The plan or issuer must provide the notice no later than the first date on which the participant is eligible to enroll in coverage</w:t>
      </w:r>
      <w:r w:rsidRPr="00306798" w:rsidR="00306798">
        <w:rPr>
          <w:rFonts w:eastAsia="Calibri"/>
          <w:b w:val="0"/>
          <w:bCs w:val="0"/>
          <w:sz w:val="24"/>
          <w:szCs w:val="24"/>
        </w:rPr>
        <w:t xml:space="preserve"> </w:t>
      </w:r>
      <w:r w:rsidRPr="00306798" w:rsidR="00306798">
        <w:rPr>
          <w:rFonts w:eastAsia="Calibri"/>
          <w:b w:val="0"/>
          <w:bCs w:val="0"/>
          <w:sz w:val="24"/>
          <w:szCs w:val="24"/>
        </w:rPr>
        <w:t>and annually thereafter, as well as upon request of the participant or beneficiary.</w:t>
      </w:r>
    </w:p>
    <w:p w:rsidR="00282D88" w:rsidP="00306798" w14:paraId="50FF2A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eastAsia="Calibri"/>
          <w:b w:val="0"/>
          <w:bCs w:val="0"/>
          <w:sz w:val="24"/>
          <w:szCs w:val="24"/>
        </w:rPr>
      </w:pPr>
    </w:p>
    <w:p w:rsidR="00C52B30" w:rsidRPr="00282D88" w:rsidP="00306798" w14:paraId="12CC132A" w14:textId="6A87E4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b w:val="0"/>
          <w:bCs w:val="0"/>
          <w:sz w:val="24"/>
          <w:szCs w:val="24"/>
        </w:rPr>
      </w:pPr>
      <w:r w:rsidRPr="00FF77A9">
        <w:rPr>
          <w:b w:val="0"/>
          <w:bCs w:val="0"/>
          <w:sz w:val="24"/>
          <w:szCs w:val="24"/>
        </w:rPr>
        <w:t>The Departments are of the view that</w:t>
      </w:r>
      <w:r w:rsidRPr="00FF77A9">
        <w:rPr>
          <w:b w:val="0"/>
          <w:bCs w:val="0"/>
          <w:sz w:val="24"/>
          <w:szCs w:val="24"/>
        </w:rPr>
        <w:t xml:space="preserve"> </w:t>
      </w:r>
      <w:r w:rsidRPr="00FF77A9">
        <w:rPr>
          <w:b w:val="0"/>
          <w:bCs w:val="0"/>
          <w:sz w:val="24"/>
          <w:szCs w:val="24"/>
        </w:rPr>
        <w:t xml:space="preserve">participants and beneficiaries should be aware of the availability of any excepted fertility </w:t>
      </w:r>
      <w:r w:rsidR="00560E76">
        <w:rPr>
          <w:b w:val="0"/>
          <w:bCs w:val="0"/>
          <w:sz w:val="24"/>
          <w:szCs w:val="24"/>
        </w:rPr>
        <w:t>benefit</w:t>
      </w:r>
      <w:r w:rsidRPr="00FF77A9" w:rsidR="00560E76">
        <w:rPr>
          <w:b w:val="0"/>
          <w:bCs w:val="0"/>
          <w:sz w:val="24"/>
          <w:szCs w:val="24"/>
        </w:rPr>
        <w:t xml:space="preserve"> </w:t>
      </w:r>
      <w:r w:rsidRPr="00FF77A9">
        <w:rPr>
          <w:b w:val="0"/>
          <w:bCs w:val="0"/>
          <w:sz w:val="24"/>
          <w:szCs w:val="24"/>
        </w:rPr>
        <w:t>offered, so that they can utilize it expeditiously. Additionally, participants and beneficiaries may be unfamiliar with how benefits for the diagnosis, mitigation, and treatment of infertility generally work under the plan. Therefore, the Departments intend that the proposed notice would be an important educational tool that would help participants and beneficiaries navigate their excepted fertility benefits. It is also important that participants understand what would be covered under their excepted fertility benefits, as opposed to under their traditional group health plan.</w:t>
      </w:r>
    </w:p>
    <w:p w:rsidR="00D54D7C" w:rsidP="00A513F6" w14:paraId="56A270E1" w14:textId="77777777">
      <w:pPr>
        <w:pStyle w:val="Quick1"/>
        <w:widowControl/>
        <w:numPr>
          <w:ilvl w:val="0"/>
          <w:numId w:val="0"/>
        </w:numPr>
        <w:ind w:left="720" w:hanging="720"/>
        <w:rPr>
          <w:b w:val="0"/>
          <w:sz w:val="24"/>
          <w:szCs w:val="24"/>
        </w:rPr>
      </w:pPr>
    </w:p>
    <w:p w:rsidR="00CD45ED" w:rsidRPr="00C04CDD" w:rsidP="0057004B" w14:paraId="6BDA09A6" w14:textId="3DA8C6D2">
      <w:pPr>
        <w:pStyle w:val="Heading1"/>
        <w:numPr>
          <w:ilvl w:val="0"/>
          <w:numId w:val="37"/>
        </w:numPr>
      </w:pPr>
      <w:r w:rsidRPr="00CD45ED">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D45ED" w:rsidRPr="00CD45ED" w:rsidP="00CD45ED" w14:paraId="26B10E0E" w14:textId="77777777">
      <w:pPr>
        <w:widowControl/>
        <w:ind w:left="720"/>
        <w:rPr>
          <w:b w:val="0"/>
          <w:bCs w:val="0"/>
          <w:sz w:val="24"/>
          <w:szCs w:val="24"/>
        </w:rPr>
      </w:pPr>
    </w:p>
    <w:p w:rsidR="005E3149" w:rsidRPr="005E3149" w:rsidP="005E3149" w14:paraId="166D080F" w14:textId="0693778F">
      <w:pPr>
        <w:ind w:left="720"/>
        <w:rPr>
          <w:b w:val="0"/>
          <w:bCs w:val="0"/>
          <w:sz w:val="24"/>
          <w:szCs w:val="24"/>
        </w:rPr>
      </w:pPr>
      <w:r w:rsidRPr="005E3149">
        <w:rPr>
          <w:b w:val="0"/>
          <w:bCs w:val="0"/>
          <w:sz w:val="24"/>
          <w:szCs w:val="24"/>
        </w:rPr>
        <w:t xml:space="preserve">29 C.F.R. § 2520.104b-1(b) of ERISA states: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including the </w:t>
      </w:r>
      <w:r w:rsidR="004719BB">
        <w:rPr>
          <w:b w:val="0"/>
          <w:bCs w:val="0"/>
          <w:sz w:val="24"/>
          <w:szCs w:val="24"/>
        </w:rPr>
        <w:t>notice of eligibility</w:t>
      </w:r>
      <w:r w:rsidRPr="005E3149">
        <w:rPr>
          <w:b w:val="0"/>
          <w:bCs w:val="0"/>
          <w:sz w:val="24"/>
          <w:szCs w:val="24"/>
        </w:rPr>
        <w:t xml:space="preserve">. </w:t>
      </w:r>
    </w:p>
    <w:p w:rsidR="005E3149" w:rsidRPr="005E3149" w:rsidP="005E3149" w14:paraId="6FDADB39" w14:textId="77777777">
      <w:pPr>
        <w:ind w:left="720"/>
        <w:rPr>
          <w:b w:val="0"/>
          <w:bCs w:val="0"/>
          <w:sz w:val="24"/>
          <w:szCs w:val="24"/>
        </w:rPr>
      </w:pPr>
    </w:p>
    <w:p w:rsidR="00214214" w:rsidRPr="005E3149" w:rsidP="005E3149" w14:paraId="774831AB" w14:textId="27DD9996">
      <w:pPr>
        <w:widowControl/>
        <w:tabs>
          <w:tab w:val="left" w:pos="-1440"/>
        </w:tabs>
        <w:ind w:left="720" w:hanging="720"/>
        <w:rPr>
          <w:b w:val="0"/>
          <w:bCs w:val="0"/>
          <w:sz w:val="24"/>
          <w:szCs w:val="24"/>
        </w:rPr>
      </w:pPr>
      <w:r w:rsidRPr="005E3149">
        <w:rPr>
          <w:b w:val="0"/>
          <w:bCs w:val="0"/>
          <w:sz w:val="24"/>
          <w:szCs w:val="24"/>
        </w:rPr>
        <w:tab/>
        <w:t>The Department understands that a substantial proportion of employee benefit plans, including group health plans subject to this information collection requirement, have adopted electronic means of communication with participants.</w:t>
      </w:r>
      <w:r w:rsidR="00CD61AC">
        <w:rPr>
          <w:b w:val="0"/>
          <w:bCs w:val="0"/>
          <w:sz w:val="24"/>
          <w:szCs w:val="24"/>
        </w:rPr>
        <w:t xml:space="preserve"> The Department estimates that approximately </w:t>
      </w:r>
      <w:r w:rsidR="001643E6">
        <w:rPr>
          <w:b w:val="0"/>
          <w:bCs w:val="0"/>
          <w:sz w:val="24"/>
          <w:szCs w:val="24"/>
        </w:rPr>
        <w:t>58 percent of group health plan</w:t>
      </w:r>
      <w:r w:rsidR="00051214">
        <w:rPr>
          <w:b w:val="0"/>
          <w:bCs w:val="0"/>
          <w:sz w:val="24"/>
          <w:szCs w:val="24"/>
        </w:rPr>
        <w:t xml:space="preserve"> participants</w:t>
      </w:r>
      <w:r w:rsidR="001643E6">
        <w:rPr>
          <w:b w:val="0"/>
          <w:bCs w:val="0"/>
          <w:sz w:val="24"/>
          <w:szCs w:val="24"/>
        </w:rPr>
        <w:t xml:space="preserve"> </w:t>
      </w:r>
      <w:r w:rsidR="00051214">
        <w:rPr>
          <w:b w:val="0"/>
          <w:bCs w:val="0"/>
          <w:sz w:val="24"/>
          <w:szCs w:val="24"/>
        </w:rPr>
        <w:t>will receive</w:t>
      </w:r>
      <w:r w:rsidR="001643E6">
        <w:rPr>
          <w:b w:val="0"/>
          <w:bCs w:val="0"/>
          <w:sz w:val="24"/>
          <w:szCs w:val="24"/>
        </w:rPr>
        <w:t xml:space="preserve"> the </w:t>
      </w:r>
      <w:r w:rsidR="001643E6">
        <w:rPr>
          <w:b w:val="0"/>
          <w:bCs w:val="0"/>
          <w:sz w:val="24"/>
          <w:szCs w:val="24"/>
        </w:rPr>
        <w:t xml:space="preserve">information collection electronically and </w:t>
      </w:r>
      <w:r w:rsidR="00A23D96">
        <w:rPr>
          <w:b w:val="0"/>
          <w:bCs w:val="0"/>
          <w:sz w:val="24"/>
          <w:szCs w:val="24"/>
        </w:rPr>
        <w:t xml:space="preserve">that </w:t>
      </w:r>
      <w:r w:rsidR="00BD61F8">
        <w:rPr>
          <w:b w:val="0"/>
          <w:bCs w:val="0"/>
          <w:sz w:val="24"/>
          <w:szCs w:val="24"/>
        </w:rPr>
        <w:t>would</w:t>
      </w:r>
      <w:r w:rsidR="00E55F33">
        <w:rPr>
          <w:b w:val="0"/>
          <w:bCs w:val="0"/>
          <w:sz w:val="24"/>
          <w:szCs w:val="24"/>
        </w:rPr>
        <w:t xml:space="preserve"> not increase the incremental cost burden</w:t>
      </w:r>
      <w:r w:rsidR="001643E6">
        <w:rPr>
          <w:b w:val="0"/>
          <w:bCs w:val="0"/>
          <w:sz w:val="24"/>
          <w:szCs w:val="24"/>
        </w:rPr>
        <w:t xml:space="preserve"> </w:t>
      </w:r>
      <w:r w:rsidR="00162351">
        <w:rPr>
          <w:b w:val="0"/>
          <w:bCs w:val="0"/>
          <w:sz w:val="24"/>
          <w:szCs w:val="24"/>
        </w:rPr>
        <w:t>for the electronic distribution of these materials.</w:t>
      </w:r>
      <w:r w:rsidR="001643E6">
        <w:rPr>
          <w:b w:val="0"/>
          <w:bCs w:val="0"/>
          <w:sz w:val="24"/>
          <w:szCs w:val="24"/>
        </w:rPr>
        <w:t xml:space="preserve"> </w:t>
      </w:r>
    </w:p>
    <w:p w:rsidR="005E3149" w:rsidP="005E3149" w14:paraId="7BB16409" w14:textId="77777777">
      <w:pPr>
        <w:widowControl/>
        <w:tabs>
          <w:tab w:val="left" w:pos="-1440"/>
        </w:tabs>
        <w:ind w:left="720" w:hanging="720"/>
        <w:rPr>
          <w:bCs w:val="0"/>
          <w:sz w:val="24"/>
          <w:szCs w:val="24"/>
        </w:rPr>
      </w:pPr>
    </w:p>
    <w:p w:rsidR="00B34F3B" w:rsidP="0057004B" w14:paraId="6C82D398" w14:textId="4A8D74A3">
      <w:pPr>
        <w:pStyle w:val="Heading1"/>
        <w:numPr>
          <w:ilvl w:val="0"/>
          <w:numId w:val="37"/>
        </w:numPr>
      </w:pPr>
      <w:r w:rsidRPr="00C20D2D">
        <w:t>Describe efforts to identify duplication.</w:t>
      </w:r>
      <w:r w:rsidR="00D309FC">
        <w:t xml:space="preserve"> </w:t>
      </w:r>
      <w:r w:rsidRPr="00C20D2D" w:rsidR="00540514">
        <w:t>Show specifically why any similar information already available cannot be used or modified for use for the purposes described in Item 2 above.</w:t>
      </w:r>
    </w:p>
    <w:p w:rsidR="002D6113" w:rsidRPr="002D6113" w:rsidP="002D6113" w14:paraId="342EBA10" w14:textId="77777777">
      <w:pPr>
        <w:widowControl/>
        <w:ind w:left="720"/>
        <w:rPr>
          <w:b w:val="0"/>
          <w:bCs w:val="0"/>
          <w:sz w:val="24"/>
          <w:szCs w:val="24"/>
        </w:rPr>
      </w:pPr>
    </w:p>
    <w:p w:rsidR="00380D0F" w:rsidRPr="002D6113" w:rsidP="002D6113" w14:paraId="51135C4A" w14:textId="4C3D48DA">
      <w:pPr>
        <w:widowControl/>
        <w:ind w:left="720"/>
        <w:rPr>
          <w:b w:val="0"/>
          <w:bCs w:val="0"/>
          <w:sz w:val="24"/>
          <w:szCs w:val="24"/>
        </w:rPr>
      </w:pPr>
      <w:r w:rsidRPr="002D6113">
        <w:rPr>
          <w:b w:val="0"/>
          <w:bCs w:val="0"/>
          <w:sz w:val="24"/>
          <w:szCs w:val="24"/>
        </w:rPr>
        <w:t xml:space="preserve">No duplication with other Federal statutes exists. </w:t>
      </w:r>
    </w:p>
    <w:p w:rsidR="002D6113" w:rsidRPr="002D6113" w:rsidP="002D6113" w14:paraId="406FD80E" w14:textId="77777777">
      <w:pPr>
        <w:widowControl/>
        <w:ind w:left="720"/>
      </w:pPr>
    </w:p>
    <w:p w:rsidR="008611BC" w:rsidP="0057004B" w14:paraId="2C5255B6" w14:textId="6A0B963A">
      <w:pPr>
        <w:pStyle w:val="Heading1"/>
        <w:numPr>
          <w:ilvl w:val="0"/>
          <w:numId w:val="37"/>
        </w:numPr>
      </w:pPr>
      <w:r w:rsidRPr="00C20D2D">
        <w:t>If the collection of information impacts small businesses or other small en</w:t>
      </w:r>
      <w:r>
        <w:t>tities</w:t>
      </w:r>
      <w:r w:rsidRPr="00C20D2D">
        <w:t>, describe any methods used to minimize burden.</w:t>
      </w:r>
    </w:p>
    <w:p w:rsidR="00AF6B8B" w:rsidP="006D5B1C" w14:paraId="418DC91B" w14:textId="77777777">
      <w:pPr>
        <w:pStyle w:val="Quick1"/>
        <w:widowControl/>
        <w:numPr>
          <w:ilvl w:val="0"/>
          <w:numId w:val="0"/>
        </w:numPr>
        <w:ind w:left="720"/>
        <w:rPr>
          <w:b w:val="0"/>
          <w:bCs w:val="0"/>
          <w:sz w:val="24"/>
          <w:szCs w:val="24"/>
        </w:rPr>
      </w:pPr>
    </w:p>
    <w:p w:rsidR="00D56A46" w:rsidRPr="00D56A46" w:rsidP="00D56A46" w14:paraId="4A79015F" w14:textId="77777777">
      <w:pPr>
        <w:ind w:left="720"/>
        <w:rPr>
          <w:b w:val="0"/>
          <w:bCs w:val="0"/>
          <w:sz w:val="24"/>
          <w:szCs w:val="24"/>
        </w:rPr>
      </w:pPr>
      <w:r w:rsidRPr="00D56A46">
        <w:rPr>
          <w:b w:val="0"/>
          <w:bCs w:val="0"/>
          <w:sz w:val="24"/>
          <w:szCs w:val="24"/>
        </w:rPr>
        <w:t>For the purpose of determining burden, "small entities" are defined by the Department to include employee benefit plans covering fewer than 100 participants. Although some large employers may have small plans, most small plans are maintained by small businesses. Accordingly, assessing the impact on small plans is an appropriate substitute for evaluating the effects on small entities.</w:t>
      </w:r>
    </w:p>
    <w:p w:rsidR="00D56A46" w:rsidRPr="00D56A46" w:rsidP="00D56A46" w14:paraId="1F3663D8" w14:textId="77777777">
      <w:pPr>
        <w:ind w:left="720"/>
        <w:rPr>
          <w:b w:val="0"/>
          <w:bCs w:val="0"/>
          <w:sz w:val="24"/>
          <w:szCs w:val="24"/>
        </w:rPr>
      </w:pPr>
    </w:p>
    <w:p w:rsidR="00D56A46" w:rsidRPr="00D56A46" w:rsidP="00D56A46" w14:paraId="04A11024" w14:textId="044CC0F6">
      <w:pPr>
        <w:ind w:left="720"/>
        <w:rPr>
          <w:b w:val="0"/>
          <w:bCs w:val="0"/>
          <w:sz w:val="24"/>
          <w:szCs w:val="24"/>
        </w:rPr>
      </w:pPr>
      <w:r w:rsidRPr="00D56A46">
        <w:rPr>
          <w:b w:val="0"/>
          <w:bCs w:val="0"/>
          <w:sz w:val="24"/>
          <w:szCs w:val="24"/>
        </w:rPr>
        <w:t xml:space="preserve">The regulations do not include any special rules for small plans because the Department believes that all eligible individuals have the same need for the </w:t>
      </w:r>
      <w:r w:rsidR="00026A76">
        <w:rPr>
          <w:b w:val="0"/>
          <w:bCs w:val="0"/>
          <w:sz w:val="24"/>
          <w:szCs w:val="24"/>
        </w:rPr>
        <w:t>notice of eligibility</w:t>
      </w:r>
      <w:r w:rsidRPr="00D56A46">
        <w:rPr>
          <w:b w:val="0"/>
          <w:bCs w:val="0"/>
          <w:sz w:val="24"/>
          <w:szCs w:val="24"/>
        </w:rPr>
        <w:t xml:space="preserve">, regardless of the size of the plan; however, the Department </w:t>
      </w:r>
      <w:r w:rsidR="00026A76">
        <w:rPr>
          <w:b w:val="0"/>
          <w:bCs w:val="0"/>
          <w:sz w:val="24"/>
          <w:szCs w:val="24"/>
        </w:rPr>
        <w:t xml:space="preserve">assumes that much of the burden of producing the notice will </w:t>
      </w:r>
      <w:r w:rsidR="009935E0">
        <w:rPr>
          <w:b w:val="0"/>
          <w:bCs w:val="0"/>
          <w:sz w:val="24"/>
          <w:szCs w:val="24"/>
        </w:rPr>
        <w:t xml:space="preserve">be </w:t>
      </w:r>
      <w:r w:rsidR="00026A76">
        <w:rPr>
          <w:b w:val="0"/>
          <w:bCs w:val="0"/>
          <w:sz w:val="24"/>
          <w:szCs w:val="24"/>
        </w:rPr>
        <w:t xml:space="preserve">incurred by </w:t>
      </w:r>
      <w:r w:rsidR="006B0A74">
        <w:rPr>
          <w:b w:val="0"/>
          <w:bCs w:val="0"/>
          <w:sz w:val="24"/>
          <w:szCs w:val="24"/>
        </w:rPr>
        <w:t>issuers</w:t>
      </w:r>
      <w:r w:rsidRPr="00D56A46">
        <w:rPr>
          <w:b w:val="0"/>
          <w:bCs w:val="0"/>
          <w:sz w:val="24"/>
          <w:szCs w:val="24"/>
        </w:rPr>
        <w:t>,</w:t>
      </w:r>
      <w:r w:rsidR="006B0A74">
        <w:rPr>
          <w:b w:val="0"/>
          <w:bCs w:val="0"/>
          <w:sz w:val="24"/>
          <w:szCs w:val="24"/>
        </w:rPr>
        <w:t xml:space="preserve"> most all of whom are large entities, rather than by the small plans themselves</w:t>
      </w:r>
      <w:r w:rsidR="005C6C2E">
        <w:rPr>
          <w:b w:val="0"/>
          <w:bCs w:val="0"/>
          <w:sz w:val="24"/>
          <w:szCs w:val="24"/>
        </w:rPr>
        <w:t>.</w:t>
      </w:r>
    </w:p>
    <w:p w:rsidR="00467A7D" w:rsidRPr="00A92375" w:rsidP="00D56A46" w14:paraId="189130C4" w14:textId="77777777">
      <w:pPr>
        <w:pStyle w:val="Quick1"/>
        <w:widowControl/>
        <w:numPr>
          <w:ilvl w:val="0"/>
          <w:numId w:val="0"/>
        </w:numPr>
        <w:rPr>
          <w:b w:val="0"/>
          <w:bCs w:val="0"/>
          <w:sz w:val="24"/>
          <w:szCs w:val="24"/>
        </w:rPr>
      </w:pPr>
    </w:p>
    <w:p w:rsidR="00D914C7" w:rsidP="0057004B" w14:paraId="273292D1" w14:textId="6B63C774">
      <w:pPr>
        <w:pStyle w:val="Heading1"/>
        <w:numPr>
          <w:ilvl w:val="0"/>
          <w:numId w:val="37"/>
        </w:numPr>
      </w:pPr>
      <w:r w:rsidRPr="00C20D2D">
        <w:t>Describe the consequence to Federal program or policy activities if the collection is not conducted or is conducted less frequently, as well as any technical or legal obstacles to reducing burden.</w:t>
      </w:r>
    </w:p>
    <w:p w:rsidR="00D914C7" w:rsidP="00D914C7" w14:paraId="70B1B160" w14:textId="77777777">
      <w:pPr>
        <w:widowControl/>
        <w:tabs>
          <w:tab w:val="left" w:pos="-1440"/>
        </w:tabs>
        <w:ind w:left="1440" w:hanging="720"/>
        <w:rPr>
          <w:bCs w:val="0"/>
          <w:iCs/>
          <w:sz w:val="24"/>
          <w:szCs w:val="24"/>
        </w:rPr>
      </w:pPr>
    </w:p>
    <w:p w:rsidR="00DB152E" w:rsidRPr="00113CED" w:rsidP="00113CED" w14:paraId="2521BB3F" w14:textId="56670D0C">
      <w:pPr>
        <w:widowControl/>
        <w:tabs>
          <w:tab w:val="left" w:pos="-1440"/>
        </w:tabs>
        <w:ind w:left="720"/>
        <w:rPr>
          <w:b w:val="0"/>
          <w:bCs w:val="0"/>
          <w:sz w:val="24"/>
          <w:szCs w:val="24"/>
        </w:rPr>
      </w:pPr>
      <w:r w:rsidRPr="00D914C7">
        <w:rPr>
          <w:b w:val="0"/>
          <w:bCs w:val="0"/>
          <w:sz w:val="24"/>
          <w:szCs w:val="24"/>
        </w:rPr>
        <w:t>The purpose of the</w:t>
      </w:r>
      <w:r>
        <w:rPr>
          <w:b w:val="0"/>
          <w:bCs w:val="0"/>
          <w:sz w:val="24"/>
          <w:szCs w:val="24"/>
        </w:rPr>
        <w:t xml:space="preserve"> proposed</w:t>
      </w:r>
      <w:r w:rsidRPr="00D914C7">
        <w:rPr>
          <w:b w:val="0"/>
          <w:bCs w:val="0"/>
          <w:sz w:val="24"/>
          <w:szCs w:val="24"/>
        </w:rPr>
        <w:t xml:space="preserve"> regulation is to </w:t>
      </w:r>
      <w:r>
        <w:rPr>
          <w:b w:val="0"/>
          <w:bCs w:val="0"/>
          <w:sz w:val="24"/>
          <w:szCs w:val="24"/>
        </w:rPr>
        <w:t xml:space="preserve">provide greater coverage </w:t>
      </w:r>
      <w:r w:rsidR="00250B02">
        <w:rPr>
          <w:b w:val="0"/>
          <w:bCs w:val="0"/>
          <w:sz w:val="24"/>
          <w:szCs w:val="24"/>
        </w:rPr>
        <w:t>and access to fertility-related medical care</w:t>
      </w:r>
      <w:r w:rsidRPr="00D914C7">
        <w:rPr>
          <w:b w:val="0"/>
          <w:bCs w:val="0"/>
          <w:sz w:val="24"/>
          <w:szCs w:val="24"/>
        </w:rPr>
        <w:t>. </w:t>
      </w:r>
      <w:r w:rsidR="00250B02">
        <w:rPr>
          <w:b w:val="0"/>
          <w:bCs w:val="0"/>
          <w:sz w:val="24"/>
          <w:szCs w:val="24"/>
        </w:rPr>
        <w:t xml:space="preserve">The notice of </w:t>
      </w:r>
      <w:r w:rsidR="009F6E06">
        <w:rPr>
          <w:b w:val="0"/>
          <w:bCs w:val="0"/>
          <w:sz w:val="24"/>
          <w:szCs w:val="24"/>
        </w:rPr>
        <w:t>eligibility</w:t>
      </w:r>
      <w:r w:rsidR="00250B02">
        <w:rPr>
          <w:b w:val="0"/>
          <w:bCs w:val="0"/>
          <w:sz w:val="24"/>
          <w:szCs w:val="24"/>
        </w:rPr>
        <w:t xml:space="preserve"> is intended to inform participants and beneficiaries that </w:t>
      </w:r>
      <w:r w:rsidR="009F6E06">
        <w:rPr>
          <w:b w:val="0"/>
          <w:bCs w:val="0"/>
          <w:sz w:val="24"/>
          <w:szCs w:val="24"/>
        </w:rPr>
        <w:t>they can elect to enroll in such coverage</w:t>
      </w:r>
      <w:r w:rsidRPr="00D914C7">
        <w:rPr>
          <w:b w:val="0"/>
          <w:bCs w:val="0"/>
          <w:sz w:val="24"/>
          <w:szCs w:val="24"/>
        </w:rPr>
        <w:t>. These benefits will not be realized if the information is not collected or is collected less frequently.</w:t>
      </w:r>
    </w:p>
    <w:p w:rsidR="004C1B75" w:rsidRPr="0057004B" w:rsidP="0057004B" w14:paraId="331C1339" w14:textId="77777777"/>
    <w:p w:rsidR="001B5409" w:rsidRPr="0057004B" w:rsidP="0057004B" w14:paraId="24C02354" w14:textId="7450666F">
      <w:pPr>
        <w:pStyle w:val="Heading1"/>
        <w:numPr>
          <w:ilvl w:val="0"/>
          <w:numId w:val="37"/>
        </w:numPr>
        <w:rPr>
          <w:iCs/>
        </w:rPr>
      </w:pPr>
      <w:r w:rsidRPr="00C20D2D">
        <w:rPr>
          <w:iCs/>
        </w:rPr>
        <w:t xml:space="preserve">Explain any special circumstances that would cause an information collection to be </w:t>
      </w:r>
      <w:r w:rsidRPr="0057004B">
        <w:rPr>
          <w:iCs/>
        </w:rPr>
        <w:t>conducted in a manner:</w:t>
      </w:r>
    </w:p>
    <w:p w:rsidR="001B5409" w:rsidRPr="00C20D2D" w:rsidP="001B5409" w14:paraId="7A181DE9" w14:textId="77777777">
      <w:pPr>
        <w:widowControl/>
        <w:numPr>
          <w:ilvl w:val="0"/>
          <w:numId w:val="11"/>
        </w:numPr>
        <w:tabs>
          <w:tab w:val="left" w:pos="-1440"/>
        </w:tabs>
        <w:rPr>
          <w:bCs w:val="0"/>
          <w:iCs/>
          <w:sz w:val="24"/>
          <w:szCs w:val="24"/>
        </w:rPr>
      </w:pPr>
      <w:r w:rsidRPr="00C20D2D">
        <w:rPr>
          <w:bCs w:val="0"/>
          <w:iCs/>
          <w:sz w:val="24"/>
          <w:szCs w:val="24"/>
        </w:rPr>
        <w:t>requiring respondents to report information to the agency more often than quarterly;</w:t>
      </w:r>
    </w:p>
    <w:p w:rsidR="001B5409" w:rsidRPr="00C20D2D" w:rsidP="001B5409" w14:paraId="0A407007" w14:textId="77777777">
      <w:pPr>
        <w:widowControl/>
        <w:numPr>
          <w:ilvl w:val="0"/>
          <w:numId w:val="11"/>
        </w:numPr>
        <w:tabs>
          <w:tab w:val="left" w:pos="-1440"/>
        </w:tabs>
        <w:rPr>
          <w:bCs w:val="0"/>
          <w:iCs/>
          <w:sz w:val="24"/>
          <w:szCs w:val="24"/>
        </w:rPr>
      </w:pPr>
      <w:r w:rsidRPr="00C20D2D">
        <w:rPr>
          <w:bCs w:val="0"/>
          <w:iCs/>
          <w:sz w:val="24"/>
          <w:szCs w:val="24"/>
        </w:rPr>
        <w:t>requiring respondents to prepare a written response to a collection of information in fewer than 30 days after receipt of it;</w:t>
      </w:r>
    </w:p>
    <w:p w:rsidR="001B5409" w:rsidRPr="00C20D2D" w:rsidP="001B5409" w14:paraId="65168419" w14:textId="77777777">
      <w:pPr>
        <w:widowControl/>
        <w:numPr>
          <w:ilvl w:val="0"/>
          <w:numId w:val="11"/>
        </w:numPr>
        <w:tabs>
          <w:tab w:val="left" w:pos="-1440"/>
        </w:tabs>
        <w:rPr>
          <w:bCs w:val="0"/>
          <w:iCs/>
          <w:sz w:val="24"/>
          <w:szCs w:val="24"/>
        </w:rPr>
      </w:pPr>
      <w:r w:rsidRPr="00C20D2D">
        <w:rPr>
          <w:bCs w:val="0"/>
          <w:iCs/>
          <w:sz w:val="24"/>
          <w:szCs w:val="24"/>
        </w:rPr>
        <w:t>requiring respondents to submit more than an original and two copies of any document;</w:t>
      </w:r>
    </w:p>
    <w:p w:rsidR="001B5409" w:rsidRPr="00C20D2D" w:rsidP="001B5409" w14:paraId="2BD69ED5" w14:textId="77777777">
      <w:pPr>
        <w:widowControl/>
        <w:numPr>
          <w:ilvl w:val="0"/>
          <w:numId w:val="11"/>
        </w:numPr>
        <w:tabs>
          <w:tab w:val="left" w:pos="-1440"/>
        </w:tabs>
        <w:rPr>
          <w:bCs w:val="0"/>
          <w:iCs/>
          <w:sz w:val="24"/>
          <w:szCs w:val="24"/>
        </w:rPr>
      </w:pPr>
      <w:r w:rsidRPr="00C20D2D">
        <w:rPr>
          <w:bCs w:val="0"/>
          <w:iCs/>
          <w:sz w:val="24"/>
          <w:szCs w:val="24"/>
        </w:rPr>
        <w:t>requiring respondents to retain records, other than health, medical, government contract, grant-in-aid, or tax records for more than three years;</w:t>
      </w:r>
    </w:p>
    <w:p w:rsidR="001B5409" w:rsidRPr="00C20D2D" w:rsidP="001B5409" w14:paraId="63980C7F" w14:textId="77777777">
      <w:pPr>
        <w:widowControl/>
        <w:numPr>
          <w:ilvl w:val="0"/>
          <w:numId w:val="11"/>
        </w:numPr>
        <w:tabs>
          <w:tab w:val="left" w:pos="-1440"/>
        </w:tabs>
        <w:rPr>
          <w:bCs w:val="0"/>
          <w:iCs/>
          <w:sz w:val="24"/>
          <w:szCs w:val="24"/>
        </w:rPr>
      </w:pPr>
      <w:r w:rsidRPr="00C20D2D">
        <w:rPr>
          <w:bCs w:val="0"/>
          <w:iCs/>
          <w:sz w:val="24"/>
          <w:szCs w:val="24"/>
        </w:rPr>
        <w:t>in connection with a statistical survey, that is not designed to produce valid and reliable results that can be generalized to the universe of study;</w:t>
      </w:r>
    </w:p>
    <w:p w:rsidR="001B5409" w:rsidRPr="00C20D2D" w:rsidP="001B5409" w14:paraId="5B244A0A" w14:textId="77777777">
      <w:pPr>
        <w:widowControl/>
        <w:numPr>
          <w:ilvl w:val="0"/>
          <w:numId w:val="11"/>
        </w:numPr>
        <w:tabs>
          <w:tab w:val="left" w:pos="-1440"/>
        </w:tabs>
        <w:rPr>
          <w:bCs w:val="0"/>
          <w:iCs/>
          <w:sz w:val="24"/>
          <w:szCs w:val="24"/>
        </w:rPr>
      </w:pPr>
      <w:r w:rsidRPr="00C20D2D">
        <w:rPr>
          <w:bCs w:val="0"/>
          <w:iCs/>
          <w:sz w:val="24"/>
          <w:szCs w:val="24"/>
        </w:rPr>
        <w:t>requiring the use of a statistical data classification that has not been reviewed and approved by OMB;</w:t>
      </w:r>
    </w:p>
    <w:p w:rsidR="001B5409" w:rsidP="001B5409" w14:paraId="1A393CAC" w14:textId="77777777">
      <w:pPr>
        <w:widowControl/>
        <w:numPr>
          <w:ilvl w:val="0"/>
          <w:numId w:val="11"/>
        </w:numPr>
        <w:tabs>
          <w:tab w:val="left" w:pos="-1440"/>
        </w:tabs>
        <w:rPr>
          <w:bCs w:val="0"/>
          <w:iCs/>
          <w:sz w:val="24"/>
          <w:szCs w:val="24"/>
        </w:rPr>
      </w:pPr>
      <w:r w:rsidRPr="00C20D2D">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B5409" w:rsidP="001B5409" w14:paraId="20D96090" w14:textId="77777777">
      <w:pPr>
        <w:widowControl/>
        <w:numPr>
          <w:ilvl w:val="0"/>
          <w:numId w:val="11"/>
        </w:numPr>
        <w:tabs>
          <w:tab w:val="left" w:pos="-1440"/>
        </w:tabs>
        <w:rPr>
          <w:bCs w:val="0"/>
          <w:iCs/>
          <w:sz w:val="24"/>
          <w:szCs w:val="24"/>
        </w:rPr>
      </w:pPr>
      <w:r w:rsidRPr="00C20D2D">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A1E33" w:rsidRPr="00A92375" w:rsidP="00165DCD" w14:paraId="4E5A3221" w14:textId="77777777">
      <w:pPr>
        <w:widowControl/>
        <w:tabs>
          <w:tab w:val="left" w:pos="-1440"/>
        </w:tabs>
        <w:rPr>
          <w:b w:val="0"/>
          <w:bCs w:val="0"/>
          <w:i/>
          <w:iCs/>
          <w:sz w:val="24"/>
          <w:szCs w:val="24"/>
        </w:rPr>
      </w:pPr>
    </w:p>
    <w:p w:rsidR="00AA1E33" w:rsidRPr="008A1958" w:rsidP="008A1958" w14:paraId="7DA90162" w14:textId="3163337E">
      <w:pPr>
        <w:ind w:left="720"/>
        <w:rPr>
          <w:b w:val="0"/>
          <w:bCs w:val="0"/>
          <w:sz w:val="24"/>
          <w:szCs w:val="24"/>
        </w:rPr>
      </w:pPr>
      <w:r w:rsidRPr="008A1958">
        <w:rPr>
          <w:b w:val="0"/>
          <w:bCs w:val="0"/>
          <w:sz w:val="24"/>
          <w:szCs w:val="24"/>
        </w:rPr>
        <w:t xml:space="preserve">There are no special circumstances that require the collection to be conducted in a manner inconsistent with the guidelines </w:t>
      </w:r>
      <w:r w:rsidR="00EE1493">
        <w:rPr>
          <w:b w:val="0"/>
          <w:bCs w:val="0"/>
          <w:sz w:val="24"/>
          <w:szCs w:val="24"/>
        </w:rPr>
        <w:t>of</w:t>
      </w:r>
      <w:r w:rsidRPr="008A1958">
        <w:rPr>
          <w:b w:val="0"/>
          <w:bCs w:val="0"/>
          <w:sz w:val="24"/>
          <w:szCs w:val="24"/>
        </w:rPr>
        <w:t xml:space="preserve"> </w:t>
      </w:r>
      <w:r w:rsidR="00EE1493">
        <w:rPr>
          <w:b w:val="0"/>
          <w:bCs w:val="0"/>
          <w:sz w:val="24"/>
          <w:szCs w:val="24"/>
        </w:rPr>
        <w:t>5</w:t>
      </w:r>
      <w:r w:rsidRPr="005E3149" w:rsidR="00EE1493">
        <w:rPr>
          <w:b w:val="0"/>
          <w:bCs w:val="0"/>
          <w:sz w:val="24"/>
          <w:szCs w:val="24"/>
        </w:rPr>
        <w:t xml:space="preserve"> C.F.R. §</w:t>
      </w:r>
      <w:r w:rsidRPr="008A1958">
        <w:rPr>
          <w:b w:val="0"/>
          <w:bCs w:val="0"/>
          <w:sz w:val="24"/>
          <w:szCs w:val="24"/>
        </w:rPr>
        <w:t xml:space="preserve"> 1320.5.</w:t>
      </w:r>
    </w:p>
    <w:p w:rsidR="001F6C0A" w:rsidRPr="00A92375" w:rsidP="00A61ACE" w14:paraId="068D4C67" w14:textId="77777777">
      <w:pPr>
        <w:widowControl/>
        <w:tabs>
          <w:tab w:val="left" w:pos="-1440"/>
        </w:tabs>
        <w:ind w:left="720"/>
        <w:rPr>
          <w:b w:val="0"/>
          <w:bCs w:val="0"/>
          <w:sz w:val="24"/>
          <w:szCs w:val="24"/>
        </w:rPr>
      </w:pPr>
    </w:p>
    <w:p w:rsidR="00267932" w:rsidRPr="0057004B" w:rsidP="0057004B" w14:paraId="57A70E9A" w14:textId="58708D9E">
      <w:pPr>
        <w:pStyle w:val="Heading1"/>
        <w:numPr>
          <w:ilvl w:val="0"/>
          <w:numId w:val="37"/>
        </w:numPr>
      </w:pPr>
      <w:r w:rsidRPr="008E3DFC">
        <w:t>If applicable, provide a copy and identify the date and page number of publication in the Federal Register of the agency's notice, required by 5 CFR 1320.8(d), soliciting comments on the information collection prior to submission to OMB.</w:t>
      </w:r>
      <w:r w:rsidR="00D309FC">
        <w:t xml:space="preserve"> </w:t>
      </w:r>
      <w:r w:rsidRPr="008E3DFC">
        <w:t>Summarize public comments received in response to that notice and describe actions taken by the agency in response to these comments.</w:t>
      </w:r>
      <w:r w:rsidR="00D309FC">
        <w:t xml:space="preserve"> </w:t>
      </w:r>
      <w:r w:rsidRPr="008E3DFC">
        <w:t>Specifically address comments received on cost and hour burden.</w:t>
      </w:r>
    </w:p>
    <w:p w:rsidR="00267932" w:rsidRPr="008E3DFC" w:rsidP="00267932" w14:paraId="3EE8097B" w14:textId="77777777">
      <w:pPr>
        <w:widowControl/>
        <w:rPr>
          <w:bCs w:val="0"/>
          <w:iCs/>
          <w:sz w:val="24"/>
          <w:szCs w:val="24"/>
        </w:rPr>
      </w:pPr>
    </w:p>
    <w:p w:rsidR="00267932" w:rsidRPr="008E3DFC" w:rsidP="00267932" w14:paraId="66C07DDC" w14:textId="77777777">
      <w:pPr>
        <w:pStyle w:val="BodyText3"/>
        <w:ind w:left="720"/>
        <w:rPr>
          <w:bCs w:val="0"/>
          <w:i w:val="0"/>
          <w:sz w:val="24"/>
          <w:szCs w:val="24"/>
        </w:rPr>
      </w:pPr>
      <w:r w:rsidRPr="008E3DFC">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7932" w:rsidRPr="008E3DFC" w:rsidP="00267932" w14:paraId="01A95A62" w14:textId="77777777">
      <w:pPr>
        <w:widowControl/>
        <w:ind w:left="720"/>
        <w:rPr>
          <w:bCs w:val="0"/>
          <w:iCs/>
          <w:sz w:val="24"/>
          <w:szCs w:val="24"/>
        </w:rPr>
      </w:pPr>
    </w:p>
    <w:p w:rsidR="00267932" w:rsidP="00267932" w14:paraId="58FD25EF" w14:textId="0849F76C">
      <w:pPr>
        <w:pStyle w:val="BodyText3"/>
        <w:ind w:left="720"/>
        <w:rPr>
          <w:bCs w:val="0"/>
          <w:i w:val="0"/>
          <w:sz w:val="24"/>
          <w:szCs w:val="24"/>
        </w:rPr>
      </w:pPr>
      <w:r w:rsidRPr="008E3DFC">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D309FC">
        <w:rPr>
          <w:bCs w:val="0"/>
          <w:i w:val="0"/>
          <w:sz w:val="24"/>
          <w:szCs w:val="24"/>
        </w:rPr>
        <w:t xml:space="preserve"> </w:t>
      </w:r>
      <w:r w:rsidRPr="008E3DFC">
        <w:rPr>
          <w:bCs w:val="0"/>
          <w:i w:val="0"/>
          <w:sz w:val="24"/>
          <w:szCs w:val="24"/>
        </w:rPr>
        <w:t>There may be circumstances that may preclude consultation in a specific situation.</w:t>
      </w:r>
      <w:r w:rsidR="00D309FC">
        <w:rPr>
          <w:bCs w:val="0"/>
          <w:i w:val="0"/>
          <w:sz w:val="24"/>
          <w:szCs w:val="24"/>
        </w:rPr>
        <w:t xml:space="preserve"> </w:t>
      </w:r>
      <w:r w:rsidRPr="008E3DFC">
        <w:rPr>
          <w:bCs w:val="0"/>
          <w:i w:val="0"/>
          <w:sz w:val="24"/>
          <w:szCs w:val="24"/>
        </w:rPr>
        <w:t>These circumstances should be explained.</w:t>
      </w:r>
    </w:p>
    <w:p w:rsidR="009D063E" w:rsidP="00267932" w14:paraId="277938E7" w14:textId="310804DB">
      <w:pPr>
        <w:pStyle w:val="BodyText3"/>
        <w:ind w:left="720"/>
        <w:rPr>
          <w:bCs w:val="0"/>
          <w:i w:val="0"/>
          <w:sz w:val="24"/>
          <w:szCs w:val="24"/>
        </w:rPr>
      </w:pPr>
    </w:p>
    <w:p w:rsidR="00200C0C" w:rsidRPr="00200C0C" w:rsidP="00267932" w14:paraId="080A3E5C" w14:textId="07900D42">
      <w:pPr>
        <w:pStyle w:val="BodyText3"/>
        <w:ind w:left="720"/>
        <w:rPr>
          <w:b w:val="0"/>
          <w:bCs w:val="0"/>
          <w:i w:val="0"/>
          <w:iCs w:val="0"/>
          <w:sz w:val="24"/>
          <w:szCs w:val="24"/>
        </w:rPr>
      </w:pPr>
      <w:r w:rsidRPr="00200C0C">
        <w:rPr>
          <w:b w:val="0"/>
          <w:bCs w:val="0"/>
          <w:i w:val="0"/>
          <w:iCs w:val="0"/>
          <w:sz w:val="24"/>
          <w:szCs w:val="24"/>
        </w:rPr>
        <w:t xml:space="preserve">The Department’s notice soliciting public comment and providing 60 days for that purpose as required by </w:t>
      </w:r>
      <w:r w:rsidRPr="00EE1493" w:rsidR="00EE1493">
        <w:rPr>
          <w:b w:val="0"/>
          <w:bCs w:val="0"/>
          <w:i w:val="0"/>
          <w:iCs w:val="0"/>
          <w:sz w:val="24"/>
          <w:szCs w:val="24"/>
        </w:rPr>
        <w:t>5 C.F.R. §</w:t>
      </w:r>
      <w:r w:rsidRPr="00200C0C">
        <w:rPr>
          <w:b w:val="0"/>
          <w:bCs w:val="0"/>
          <w:i w:val="0"/>
          <w:iCs w:val="0"/>
          <w:sz w:val="24"/>
          <w:szCs w:val="24"/>
        </w:rPr>
        <w:t xml:space="preserve"> 1320.8 (d) was published in the Federal Register on</w:t>
      </w:r>
      <w:r>
        <w:rPr>
          <w:b w:val="0"/>
          <w:bCs w:val="0"/>
          <w:i w:val="0"/>
          <w:iCs w:val="0"/>
          <w:sz w:val="24"/>
          <w:szCs w:val="24"/>
        </w:rPr>
        <w:t xml:space="preserve"> </w:t>
      </w:r>
      <w:r w:rsidR="0027061E">
        <w:rPr>
          <w:b w:val="0"/>
          <w:bCs w:val="0"/>
          <w:i w:val="0"/>
          <w:iCs w:val="0"/>
          <w:sz w:val="24"/>
          <w:szCs w:val="24"/>
        </w:rPr>
        <w:t>Ma</w:t>
      </w:r>
      <w:r w:rsidR="00F835D3">
        <w:rPr>
          <w:b w:val="0"/>
          <w:bCs w:val="0"/>
          <w:i w:val="0"/>
          <w:iCs w:val="0"/>
          <w:sz w:val="24"/>
          <w:szCs w:val="24"/>
        </w:rPr>
        <w:t>y</w:t>
      </w:r>
      <w:r w:rsidRPr="00905339" w:rsidR="00905339">
        <w:rPr>
          <w:b w:val="0"/>
          <w:bCs w:val="0"/>
          <w:i w:val="0"/>
          <w:iCs w:val="0"/>
          <w:sz w:val="24"/>
          <w:szCs w:val="24"/>
        </w:rPr>
        <w:t xml:space="preserve"> </w:t>
      </w:r>
      <w:r w:rsidR="0082270C">
        <w:rPr>
          <w:b w:val="0"/>
          <w:bCs w:val="0"/>
          <w:i w:val="0"/>
          <w:iCs w:val="0"/>
          <w:sz w:val="24"/>
          <w:szCs w:val="24"/>
        </w:rPr>
        <w:t>13</w:t>
      </w:r>
      <w:r w:rsidRPr="00905339" w:rsidR="00905339">
        <w:rPr>
          <w:b w:val="0"/>
          <w:bCs w:val="0"/>
          <w:i w:val="0"/>
          <w:iCs w:val="0"/>
          <w:sz w:val="24"/>
          <w:szCs w:val="24"/>
        </w:rPr>
        <w:t>, 2026</w:t>
      </w:r>
      <w:r w:rsidR="00791E0A">
        <w:rPr>
          <w:b w:val="0"/>
          <w:bCs w:val="0"/>
          <w:i w:val="0"/>
          <w:iCs w:val="0"/>
          <w:sz w:val="24"/>
          <w:szCs w:val="24"/>
        </w:rPr>
        <w:t xml:space="preserve"> at </w:t>
      </w:r>
      <w:r w:rsidR="003E2DA1">
        <w:rPr>
          <w:b w:val="0"/>
          <w:bCs w:val="0"/>
          <w:i w:val="0"/>
          <w:iCs w:val="0"/>
          <w:sz w:val="24"/>
          <w:szCs w:val="24"/>
        </w:rPr>
        <w:t>91</w:t>
      </w:r>
      <w:r w:rsidR="00AF1411">
        <w:rPr>
          <w:b w:val="0"/>
          <w:bCs w:val="0"/>
          <w:i w:val="0"/>
          <w:iCs w:val="0"/>
          <w:sz w:val="24"/>
          <w:szCs w:val="24"/>
        </w:rPr>
        <w:t xml:space="preserve"> FR </w:t>
      </w:r>
      <w:r w:rsidR="003E2DA1">
        <w:rPr>
          <w:b w:val="0"/>
          <w:bCs w:val="0"/>
          <w:i w:val="0"/>
          <w:iCs w:val="0"/>
          <w:sz w:val="24"/>
          <w:szCs w:val="24"/>
        </w:rPr>
        <w:t>27140</w:t>
      </w:r>
      <w:r w:rsidRPr="00905339" w:rsidR="00905339">
        <w:rPr>
          <w:b w:val="0"/>
          <w:bCs w:val="0"/>
          <w:i w:val="0"/>
          <w:iCs w:val="0"/>
          <w:sz w:val="24"/>
          <w:szCs w:val="24"/>
        </w:rPr>
        <w:t>.</w:t>
      </w:r>
      <w:r w:rsidR="00905339">
        <w:rPr>
          <w:b w:val="0"/>
          <w:bCs w:val="0"/>
          <w:i w:val="0"/>
          <w:iCs w:val="0"/>
          <w:sz w:val="24"/>
          <w:szCs w:val="24"/>
        </w:rPr>
        <w:t xml:space="preserve"> </w:t>
      </w:r>
    </w:p>
    <w:p w:rsidR="00AA1E33" w:rsidRPr="00A92375" w:rsidP="00F0391B" w14:paraId="02A534D8" w14:textId="77777777">
      <w:pPr>
        <w:pStyle w:val="BodyText3"/>
      </w:pPr>
      <w:bookmarkStart w:id="0" w:name="OLE_LINK6"/>
    </w:p>
    <w:bookmarkEnd w:id="0"/>
    <w:p w:rsidR="00D16BD2" w:rsidRPr="00C20D2D" w:rsidP="0057004B" w14:paraId="77BE3330" w14:textId="4B6B4B17">
      <w:pPr>
        <w:pStyle w:val="Heading1"/>
        <w:numPr>
          <w:ilvl w:val="0"/>
          <w:numId w:val="37"/>
        </w:numPr>
      </w:pPr>
      <w:r w:rsidRPr="00C20D2D">
        <w:t>Explain any decision to provide any payment or gift to respondents, other than remuneration of contractors or grantees.</w:t>
      </w:r>
    </w:p>
    <w:p w:rsidR="00AA1E33" w:rsidRPr="00524D76" w:rsidP="005E7C77" w14:paraId="56BEA409" w14:textId="77777777">
      <w:pPr>
        <w:widowControl/>
        <w:tabs>
          <w:tab w:val="left" w:pos="-1440"/>
        </w:tabs>
        <w:rPr>
          <w:b w:val="0"/>
          <w:i/>
          <w:sz w:val="24"/>
          <w:szCs w:val="24"/>
        </w:rPr>
      </w:pPr>
    </w:p>
    <w:p w:rsidR="00AA1E33" w:rsidRPr="00A92375" w:rsidP="009B2C70" w14:paraId="6AA7C0D0" w14:textId="4C8EE30E">
      <w:pPr>
        <w:pStyle w:val="BodyText"/>
        <w:ind w:left="720"/>
        <w:rPr>
          <w:szCs w:val="24"/>
        </w:rPr>
      </w:pPr>
      <w:r>
        <w:rPr>
          <w:szCs w:val="24"/>
        </w:rPr>
        <w:t>There are no payments or gifts</w:t>
      </w:r>
      <w:r w:rsidR="00F03755">
        <w:rPr>
          <w:szCs w:val="24"/>
        </w:rPr>
        <w:t xml:space="preserve"> in this information collection. </w:t>
      </w:r>
    </w:p>
    <w:p w:rsidR="00D16BD2" w:rsidRPr="00A92375" w:rsidP="009B2C70" w14:paraId="409CD9B5" w14:textId="77777777">
      <w:pPr>
        <w:pStyle w:val="BodyText"/>
        <w:ind w:left="720"/>
        <w:rPr>
          <w:szCs w:val="24"/>
        </w:rPr>
      </w:pPr>
    </w:p>
    <w:p w:rsidR="00D16BD2" w:rsidRPr="00C20D2D" w:rsidP="0057004B" w14:paraId="5C58CF0B" w14:textId="22A3F570">
      <w:pPr>
        <w:pStyle w:val="Heading1"/>
        <w:numPr>
          <w:ilvl w:val="0"/>
          <w:numId w:val="37"/>
        </w:numPr>
      </w:pPr>
      <w:r w:rsidRPr="00C20D2D">
        <w:t>Describe any assurance of confidentiality provided to respondents and the basis for the assurance in statute, regulation, or agency policy.</w:t>
      </w:r>
    </w:p>
    <w:p w:rsidR="00AA1E33" w:rsidRPr="00A92375" w:rsidP="005E7C77" w14:paraId="560BAE1D" w14:textId="77777777">
      <w:pPr>
        <w:widowControl/>
        <w:rPr>
          <w:b w:val="0"/>
          <w:bCs w:val="0"/>
          <w:sz w:val="24"/>
          <w:szCs w:val="24"/>
        </w:rPr>
      </w:pPr>
    </w:p>
    <w:p w:rsidR="00A73525" w:rsidP="009B2C70" w14:paraId="0061E5CA" w14:textId="6BCED73F">
      <w:pPr>
        <w:widowControl/>
        <w:ind w:left="720"/>
        <w:rPr>
          <w:b w:val="0"/>
          <w:bCs w:val="0"/>
          <w:sz w:val="24"/>
          <w:szCs w:val="24"/>
        </w:rPr>
      </w:pPr>
      <w:r>
        <w:rPr>
          <w:b w:val="0"/>
          <w:bCs w:val="0"/>
          <w:sz w:val="24"/>
          <w:szCs w:val="24"/>
        </w:rPr>
        <w:t>Not applicable.</w:t>
      </w:r>
    </w:p>
    <w:p w:rsidR="00C93B49" w:rsidRPr="00A92375" w:rsidP="009B2C70" w14:paraId="6B41A197" w14:textId="77777777">
      <w:pPr>
        <w:widowControl/>
        <w:ind w:left="720"/>
        <w:rPr>
          <w:b w:val="0"/>
          <w:bCs w:val="0"/>
          <w:sz w:val="24"/>
          <w:szCs w:val="24"/>
        </w:rPr>
      </w:pPr>
    </w:p>
    <w:p w:rsidR="00C4178F" w:rsidRPr="0057004B" w:rsidP="0057004B" w14:paraId="46B92D01" w14:textId="7FBA0F8F">
      <w:pPr>
        <w:pStyle w:val="Heading1"/>
        <w:numPr>
          <w:ilvl w:val="0"/>
          <w:numId w:val="37"/>
        </w:numPr>
      </w:pPr>
      <w:r w:rsidRPr="00711BA1">
        <w:t>Provide additional justification for any questions of a sensitive nature, such as sexual behavior and attitudes, religious beliefs, and other matters that are commonly considered private.</w:t>
      </w:r>
      <w:r w:rsidR="00D309FC">
        <w:t xml:space="preserve"> </w:t>
      </w:r>
      <w:r w:rsidRPr="0057004B" w:rsidR="00540514">
        <w:rPr>
          <w:i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A1E33" w:rsidRPr="00A92375" w:rsidP="005E7C77" w14:paraId="4900692A" w14:textId="77777777">
      <w:pPr>
        <w:widowControl/>
        <w:rPr>
          <w:b w:val="0"/>
          <w:bCs w:val="0"/>
          <w:i/>
          <w:iCs/>
          <w:sz w:val="24"/>
          <w:szCs w:val="24"/>
        </w:rPr>
      </w:pPr>
    </w:p>
    <w:p w:rsidR="003E1E53" w:rsidRPr="00A92375" w:rsidP="009B2C70" w14:paraId="2FCF4467" w14:textId="1FEC8847">
      <w:pPr>
        <w:pStyle w:val="BodyText"/>
        <w:ind w:left="720"/>
        <w:rPr>
          <w:szCs w:val="24"/>
        </w:rPr>
      </w:pPr>
      <w:r>
        <w:rPr>
          <w:szCs w:val="24"/>
        </w:rPr>
        <w:t xml:space="preserve">There are no questions of sensitive nature in this information collection. </w:t>
      </w:r>
    </w:p>
    <w:p w:rsidR="00A73525" w:rsidRPr="00A92375" w:rsidP="009B2C70" w14:paraId="3D7FFC95" w14:textId="77777777">
      <w:pPr>
        <w:pStyle w:val="BodyText"/>
        <w:ind w:left="720"/>
        <w:rPr>
          <w:szCs w:val="24"/>
        </w:rPr>
      </w:pPr>
    </w:p>
    <w:p w:rsidR="00001E1B" w:rsidP="0057004B" w14:paraId="0D6773EB" w14:textId="5E44E8E4">
      <w:pPr>
        <w:pStyle w:val="Heading1"/>
        <w:numPr>
          <w:ilvl w:val="0"/>
          <w:numId w:val="37"/>
        </w:numPr>
      </w:pPr>
      <w:r w:rsidRPr="00711BA1">
        <w:t>Provide estimates of the hour burden of the collection of information.</w:t>
      </w:r>
      <w:r w:rsidR="00D309FC">
        <w:t xml:space="preserve"> </w:t>
      </w:r>
      <w:r w:rsidRPr="00711BA1">
        <w:t>The statement should</w:t>
      </w:r>
      <w:r w:rsidR="00540514">
        <w:t>:</w:t>
      </w:r>
    </w:p>
    <w:p w:rsidR="00C4178F" w:rsidRPr="00001E1B" w:rsidP="00C4178F" w14:paraId="7B1066AD" w14:textId="57C8D3AA">
      <w:pPr>
        <w:pStyle w:val="ListParagraph"/>
        <w:widowControl/>
        <w:numPr>
          <w:ilvl w:val="0"/>
          <w:numId w:val="36"/>
        </w:numPr>
        <w:tabs>
          <w:tab w:val="left" w:pos="-1440"/>
        </w:tabs>
        <w:rPr>
          <w:bCs w:val="0"/>
          <w:iCs/>
          <w:sz w:val="24"/>
          <w:szCs w:val="24"/>
        </w:rPr>
      </w:pPr>
      <w:r>
        <w:rPr>
          <w:sz w:val="24"/>
          <w:szCs w:val="24"/>
        </w:rPr>
        <w:t>I</w:t>
      </w:r>
      <w:r w:rsidRPr="00001E1B" w:rsidR="00AA1E33">
        <w:rPr>
          <w:sz w:val="24"/>
          <w:szCs w:val="24"/>
        </w:rPr>
        <w:t>ndicate the number of respondents, frequency of response, annual hour burden, and an explanation of how the burden was estimated.</w:t>
      </w:r>
      <w:r w:rsidR="00D309FC">
        <w:rPr>
          <w:sz w:val="24"/>
          <w:szCs w:val="24"/>
        </w:rPr>
        <w:t xml:space="preserve"> </w:t>
      </w:r>
      <w:r w:rsidRPr="00001E1B" w:rsidR="00AA1E33">
        <w:rPr>
          <w:sz w:val="24"/>
          <w:szCs w:val="24"/>
        </w:rPr>
        <w:t>Unless directed to do so, agencies should not conduct special surveys to obtain information on which to base hour burden estimates.</w:t>
      </w:r>
      <w:r w:rsidR="00D309FC">
        <w:rPr>
          <w:sz w:val="24"/>
          <w:szCs w:val="24"/>
        </w:rPr>
        <w:t xml:space="preserve"> </w:t>
      </w:r>
      <w:r w:rsidRPr="00001E1B" w:rsidR="00AA1E33">
        <w:rPr>
          <w:sz w:val="24"/>
          <w:szCs w:val="24"/>
        </w:rPr>
        <w:t>Consultation with a sample (fewer than 10) of potential respondents is desirable.</w:t>
      </w:r>
      <w:r w:rsidR="00D309FC">
        <w:rPr>
          <w:sz w:val="24"/>
          <w:szCs w:val="24"/>
        </w:rPr>
        <w:t xml:space="preserve"> </w:t>
      </w:r>
      <w:r w:rsidRPr="00001E1B" w:rsidR="00AA1E33">
        <w:rPr>
          <w:sz w:val="24"/>
          <w:szCs w:val="24"/>
        </w:rPr>
        <w:t>If the hour burden on respondents is expected to vary widely because of differences in activity, size, or complexity, show the range of estimated hour burden, and explain the reasons for the variance.</w:t>
      </w:r>
      <w:r w:rsidR="00D309FC">
        <w:rPr>
          <w:sz w:val="24"/>
          <w:szCs w:val="24"/>
        </w:rPr>
        <w:t xml:space="preserve"> </w:t>
      </w:r>
      <w:r w:rsidRPr="00001E1B" w:rsidR="00AA1E33">
        <w:rPr>
          <w:sz w:val="24"/>
          <w:szCs w:val="24"/>
        </w:rPr>
        <w:t>Generally, estimates should not include burden hours for customary and usual business practices.</w:t>
      </w:r>
    </w:p>
    <w:p w:rsidR="00C4178F" w:rsidRPr="00111C13" w:rsidP="00111C13" w14:paraId="12500D56" w14:textId="1E1E34A5">
      <w:pPr>
        <w:widowControl/>
        <w:numPr>
          <w:ilvl w:val="0"/>
          <w:numId w:val="10"/>
        </w:numPr>
        <w:tabs>
          <w:tab w:val="left" w:pos="-1440"/>
          <w:tab w:val="clear" w:pos="720"/>
          <w:tab w:val="num" w:pos="1440"/>
        </w:tabs>
        <w:ind w:left="1440"/>
        <w:rPr>
          <w:bCs w:val="0"/>
          <w:iCs/>
          <w:sz w:val="24"/>
          <w:szCs w:val="24"/>
        </w:rPr>
      </w:pPr>
      <w:r w:rsidRPr="002142F2">
        <w:rPr>
          <w:bCs w:val="0"/>
          <w:iCs/>
          <w:sz w:val="24"/>
          <w:szCs w:val="24"/>
        </w:rPr>
        <w:t>If this request for approval covers more than one form, provide separate hour burden estimate</w:t>
      </w:r>
      <w:r>
        <w:rPr>
          <w:bCs w:val="0"/>
          <w:iCs/>
          <w:sz w:val="24"/>
          <w:szCs w:val="24"/>
        </w:rPr>
        <w:t xml:space="preserve">s for each form. </w:t>
      </w:r>
    </w:p>
    <w:p w:rsidR="00C4178F" w:rsidRPr="00111C13" w:rsidP="00111C13" w14:paraId="70EE0C30" w14:textId="22C405D8">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Provide estimates of annualized cost to respondents for the hour burdens for collections of information, identifying and using appropriate wage rate categories.</w:t>
      </w:r>
      <w:r w:rsidR="00D309FC">
        <w:rPr>
          <w:bCs w:val="0"/>
          <w:iCs/>
          <w:sz w:val="24"/>
          <w:szCs w:val="24"/>
        </w:rPr>
        <w:t xml:space="preserve"> </w:t>
      </w:r>
      <w:r w:rsidRPr="00711BA1">
        <w:rPr>
          <w:bCs w:val="0"/>
          <w:iCs/>
          <w:sz w:val="24"/>
          <w:szCs w:val="24"/>
        </w:rPr>
        <w:t>The cost of contracting out or paying outside parties for information collection activities should not be included here.</w:t>
      </w:r>
      <w:r w:rsidR="00D309FC">
        <w:rPr>
          <w:bCs w:val="0"/>
          <w:iCs/>
          <w:sz w:val="24"/>
          <w:szCs w:val="24"/>
        </w:rPr>
        <w:t xml:space="preserve"> </w:t>
      </w:r>
      <w:r w:rsidRPr="00711BA1">
        <w:rPr>
          <w:bCs w:val="0"/>
          <w:iCs/>
          <w:sz w:val="24"/>
          <w:szCs w:val="24"/>
        </w:rPr>
        <w:t>Instead, this cost should be included in Item 14.</w:t>
      </w:r>
    </w:p>
    <w:p w:rsidR="00D158FE" w:rsidP="0057004B" w14:paraId="1B292B7C" w14:textId="78D78221">
      <w:pPr>
        <w:widowControl/>
        <w:numPr>
          <w:ilvl w:val="0"/>
          <w:numId w:val="10"/>
        </w:numPr>
        <w:tabs>
          <w:tab w:val="left" w:pos="-1440"/>
          <w:tab w:val="clear" w:pos="720"/>
          <w:tab w:val="num" w:pos="1440"/>
        </w:tabs>
        <w:ind w:left="1440"/>
        <w:rPr>
          <w:bCs w:val="0"/>
          <w:iCs/>
          <w:sz w:val="24"/>
          <w:szCs w:val="24"/>
        </w:rPr>
      </w:pPr>
      <w:r w:rsidRPr="00711BA1">
        <w:rPr>
          <w:bCs w:val="0"/>
          <w:iCs/>
          <w:sz w:val="24"/>
          <w:szCs w:val="24"/>
        </w:rPr>
        <w:t>The cost of contracting out or paying outside parties for information collection activities should not be included here.</w:t>
      </w:r>
      <w:r w:rsidR="00D309FC">
        <w:rPr>
          <w:bCs w:val="0"/>
          <w:iCs/>
          <w:sz w:val="24"/>
          <w:szCs w:val="24"/>
        </w:rPr>
        <w:t xml:space="preserve"> </w:t>
      </w:r>
      <w:r w:rsidRPr="00711BA1">
        <w:rPr>
          <w:bCs w:val="0"/>
          <w:iCs/>
          <w:sz w:val="24"/>
          <w:szCs w:val="24"/>
        </w:rPr>
        <w:t>Instead, this cost should be included in Item 14.</w:t>
      </w:r>
    </w:p>
    <w:p w:rsidR="0057004B" w:rsidRPr="0057004B" w:rsidP="0057004B" w14:paraId="3262C109" w14:textId="77777777">
      <w:pPr>
        <w:widowControl/>
        <w:tabs>
          <w:tab w:val="left" w:pos="-1440"/>
        </w:tabs>
        <w:ind w:left="1440"/>
        <w:rPr>
          <w:bCs w:val="0"/>
          <w:iCs/>
          <w:sz w:val="24"/>
          <w:szCs w:val="24"/>
        </w:rPr>
      </w:pPr>
    </w:p>
    <w:p w:rsidR="0057004B" w:rsidRPr="00BB08A8" w:rsidP="0057004B" w14:paraId="6F7EFB48" w14:textId="30E5087F">
      <w:pPr>
        <w:autoSpaceDE/>
        <w:autoSpaceDN/>
        <w:adjustRightInd/>
        <w:spacing w:line="480" w:lineRule="auto"/>
        <w:ind w:firstLine="720"/>
        <w:contextualSpacing/>
        <w:rPr>
          <w:rFonts w:eastAsia="Yu Gothic"/>
          <w:sz w:val="24"/>
          <w:szCs w:val="24"/>
          <w:u w:val="single"/>
        </w:rPr>
      </w:pPr>
      <w:r w:rsidRPr="00BB08A8">
        <w:rPr>
          <w:rFonts w:eastAsia="Yu Gothic"/>
          <w:sz w:val="24"/>
          <w:szCs w:val="24"/>
          <w:u w:val="single"/>
        </w:rPr>
        <w:t>Affected Entities</w:t>
      </w:r>
    </w:p>
    <w:p w:rsidR="00D158FE" w:rsidRPr="0057004B" w:rsidP="0057004B" w14:paraId="2E091FDE" w14:textId="515B973A">
      <w:pPr>
        <w:autoSpaceDE/>
        <w:autoSpaceDN/>
        <w:adjustRightInd/>
        <w:spacing w:line="480" w:lineRule="auto"/>
        <w:ind w:firstLine="720"/>
        <w:contextualSpacing/>
        <w:rPr>
          <w:rFonts w:eastAsia="Yu Gothic"/>
          <w:b w:val="0"/>
          <w:bCs w:val="0"/>
          <w:i/>
          <w:iCs/>
          <w:sz w:val="24"/>
          <w:szCs w:val="24"/>
          <w:u w:val="single"/>
        </w:rPr>
      </w:pPr>
      <w:r w:rsidRPr="0057004B">
        <w:rPr>
          <w:rFonts w:eastAsia="Yu Gothic"/>
          <w:b w:val="0"/>
          <w:bCs w:val="0"/>
          <w:i/>
          <w:iCs/>
          <w:sz w:val="24"/>
          <w:szCs w:val="24"/>
          <w:u w:val="single"/>
        </w:rPr>
        <w:t>Group Health Plan</w:t>
      </w:r>
      <w:r w:rsidR="00977951">
        <w:rPr>
          <w:rFonts w:eastAsia="Yu Gothic"/>
          <w:b w:val="0"/>
          <w:bCs w:val="0"/>
          <w:i/>
          <w:iCs/>
          <w:sz w:val="24"/>
          <w:szCs w:val="24"/>
          <w:u w:val="single"/>
        </w:rPr>
        <w:t xml:space="preserve"> Issuers</w:t>
      </w:r>
    </w:p>
    <w:p w:rsidR="00791A19" w:rsidRPr="00834D77" w:rsidP="00834D77" w14:paraId="499D5296" w14:textId="223C5CC0">
      <w:pPr>
        <w:widowControl/>
        <w:tabs>
          <w:tab w:val="left" w:pos="-1440"/>
        </w:tabs>
        <w:ind w:left="720"/>
        <w:rPr>
          <w:rFonts w:eastAsia="Yu Gothic"/>
          <w:b w:val="0"/>
          <w:bCs w:val="0"/>
          <w:sz w:val="24"/>
          <w:szCs w:val="24"/>
        </w:rPr>
      </w:pPr>
      <w:r w:rsidRPr="003415FC">
        <w:rPr>
          <w:b w:val="0"/>
          <w:bCs w:val="0"/>
          <w:sz w:val="24"/>
          <w:szCs w:val="24"/>
        </w:rPr>
        <w:t>The proposed rules would impact health plan issuers that offer benefits for the diagnosis, mitigation, and treatment of infertility</w:t>
      </w:r>
      <w:r w:rsidR="00523876">
        <w:rPr>
          <w:b w:val="0"/>
          <w:bCs w:val="0"/>
          <w:sz w:val="24"/>
          <w:szCs w:val="24"/>
        </w:rPr>
        <w:t xml:space="preserve"> </w:t>
      </w:r>
      <w:r w:rsidR="005006D1">
        <w:rPr>
          <w:b w:val="0"/>
          <w:bCs w:val="0"/>
          <w:sz w:val="24"/>
          <w:szCs w:val="24"/>
        </w:rPr>
        <w:t>under the</w:t>
      </w:r>
      <w:r w:rsidR="00523876">
        <w:rPr>
          <w:b w:val="0"/>
          <w:bCs w:val="0"/>
          <w:sz w:val="24"/>
          <w:szCs w:val="24"/>
        </w:rPr>
        <w:t xml:space="preserve"> </w:t>
      </w:r>
      <w:r w:rsidR="00A71210">
        <w:rPr>
          <w:b w:val="0"/>
          <w:bCs w:val="0"/>
          <w:sz w:val="24"/>
          <w:szCs w:val="24"/>
        </w:rPr>
        <w:t xml:space="preserve">proposed </w:t>
      </w:r>
      <w:r w:rsidR="00523876">
        <w:rPr>
          <w:b w:val="0"/>
          <w:bCs w:val="0"/>
          <w:sz w:val="24"/>
          <w:szCs w:val="24"/>
        </w:rPr>
        <w:t>excepted fertility benefit</w:t>
      </w:r>
      <w:r w:rsidRPr="003415FC">
        <w:rPr>
          <w:b w:val="0"/>
          <w:bCs w:val="0"/>
          <w:sz w:val="24"/>
          <w:szCs w:val="24"/>
        </w:rPr>
        <w:t xml:space="preserve">. </w:t>
      </w:r>
      <w:r w:rsidRPr="00076BF3" w:rsidR="00834D77">
        <w:rPr>
          <w:rFonts w:eastAsia="Yu Gothic"/>
          <w:b w:val="0"/>
          <w:bCs w:val="0"/>
          <w:sz w:val="24"/>
          <w:szCs w:val="24"/>
        </w:rPr>
        <w:t>The Department also estimates that the proposed rule will affect 373 issuers (i.e. health insurance companies) in the group market with 8</w:t>
      </w:r>
      <w:r w:rsidR="00834D77">
        <w:rPr>
          <w:rFonts w:eastAsia="Yu Gothic"/>
          <w:b w:val="0"/>
          <w:bCs w:val="0"/>
          <w:sz w:val="24"/>
          <w:szCs w:val="24"/>
        </w:rPr>
        <w:t>11</w:t>
      </w:r>
      <w:r w:rsidRPr="00076BF3" w:rsidR="00834D77">
        <w:rPr>
          <w:rFonts w:eastAsia="Yu Gothic"/>
          <w:b w:val="0"/>
          <w:bCs w:val="0"/>
          <w:sz w:val="24"/>
          <w:szCs w:val="24"/>
        </w:rPr>
        <w:t xml:space="preserve"> issuers/State combinations</w:t>
      </w:r>
      <w:r>
        <w:rPr>
          <w:rFonts w:eastAsia="Yu Gothic"/>
          <w:b w:val="0"/>
          <w:bCs w:val="0"/>
          <w:sz w:val="24"/>
          <w:szCs w:val="24"/>
          <w:vertAlign w:val="superscript"/>
        </w:rPr>
        <w:footnoteReference w:id="5"/>
      </w:r>
      <w:r w:rsidRPr="00076BF3" w:rsidR="00834D77">
        <w:rPr>
          <w:rFonts w:eastAsia="Yu Gothic"/>
          <w:b w:val="0"/>
          <w:bCs w:val="0"/>
          <w:sz w:val="24"/>
          <w:szCs w:val="24"/>
        </w:rPr>
        <w:t xml:space="preserve"> that provide services such as plan management to group health plans</w:t>
      </w:r>
      <w:r w:rsidR="00834D77">
        <w:rPr>
          <w:rFonts w:eastAsia="Yu Gothic"/>
          <w:b w:val="0"/>
          <w:bCs w:val="0"/>
          <w:sz w:val="24"/>
          <w:szCs w:val="24"/>
        </w:rPr>
        <w:t xml:space="preserve"> </w:t>
      </w:r>
      <w:r w:rsidRPr="003415FC">
        <w:rPr>
          <w:b w:val="0"/>
          <w:bCs w:val="0"/>
          <w:sz w:val="24"/>
          <w:szCs w:val="24"/>
        </w:rPr>
        <w:t>that might offer limited fertility benefits.</w:t>
      </w:r>
      <w:r>
        <w:rPr>
          <w:rStyle w:val="FootnoteReference"/>
          <w:b w:val="0"/>
          <w:bCs w:val="0"/>
          <w:sz w:val="24"/>
          <w:szCs w:val="24"/>
          <w:vertAlign w:val="superscript"/>
        </w:rPr>
        <w:footnoteReference w:id="6"/>
      </w:r>
    </w:p>
    <w:p w:rsidR="00A72A1B" w:rsidP="006D2E59" w14:paraId="568F325F" w14:textId="77777777">
      <w:pPr>
        <w:rPr>
          <w:rFonts w:eastAsia="Yu Gothic Light"/>
          <w:b w:val="0"/>
          <w:bCs w:val="0"/>
          <w:i/>
          <w:iCs/>
          <w:color w:val="000000"/>
          <w:sz w:val="24"/>
          <w:szCs w:val="24"/>
          <w:u w:val="single"/>
        </w:rPr>
      </w:pPr>
    </w:p>
    <w:p w:rsidR="00D158FE" w:rsidRPr="0057004B" w:rsidP="0057004B" w14:paraId="2207D6EE" w14:textId="24807969">
      <w:pPr>
        <w:ind w:firstLine="720"/>
        <w:rPr>
          <w:rFonts w:eastAsia="Yu Gothic Light"/>
          <w:b w:val="0"/>
          <w:bCs w:val="0"/>
          <w:i/>
          <w:iCs/>
          <w:color w:val="000000"/>
          <w:sz w:val="24"/>
          <w:szCs w:val="24"/>
          <w:u w:val="single"/>
        </w:rPr>
      </w:pPr>
      <w:r>
        <w:rPr>
          <w:rFonts w:eastAsia="Yu Gothic Light"/>
          <w:b w:val="0"/>
          <w:bCs w:val="0"/>
          <w:i/>
          <w:iCs/>
          <w:color w:val="000000"/>
          <w:sz w:val="24"/>
          <w:szCs w:val="24"/>
          <w:u w:val="single"/>
        </w:rPr>
        <w:t>Group Health Plans</w:t>
      </w:r>
    </w:p>
    <w:p w:rsidR="00D47BC2" w:rsidP="006D2E59" w14:paraId="5D8E1E91" w14:textId="77777777">
      <w:pPr>
        <w:widowControl/>
        <w:tabs>
          <w:tab w:val="left" w:pos="-1440"/>
        </w:tabs>
        <w:rPr>
          <w:rFonts w:eastAsia="Yu Gothic"/>
          <w:b w:val="0"/>
          <w:bCs w:val="0"/>
          <w:sz w:val="24"/>
          <w:szCs w:val="24"/>
        </w:rPr>
      </w:pPr>
    </w:p>
    <w:p w:rsidR="00D47BC2" w:rsidRPr="00864C84" w:rsidP="00864C84" w14:paraId="605A7276" w14:textId="1F740AF0">
      <w:pPr>
        <w:widowControl/>
        <w:tabs>
          <w:tab w:val="left" w:pos="-1440"/>
        </w:tabs>
        <w:ind w:left="720"/>
        <w:rPr>
          <w:b w:val="0"/>
          <w:bCs w:val="0"/>
          <w:sz w:val="24"/>
          <w:szCs w:val="24"/>
        </w:rPr>
      </w:pPr>
      <w:r w:rsidRPr="00037D49">
        <w:rPr>
          <w:b w:val="0"/>
          <w:bCs w:val="0"/>
          <w:sz w:val="24"/>
          <w:szCs w:val="24"/>
        </w:rPr>
        <w:t xml:space="preserve">Currently, 15 States and the District of Columbia have laws mandating insurance coverage for IVF.  However, issuers providing insured coverage to fully insured group health plans in States already requiring IVF coverage would likely not be able to meet State requirements by offering those benefits through excepted benefit plans. As a result, the Departments have excluded fully insured group health plan sponsors </w:t>
      </w:r>
      <w:r w:rsidR="00864C84">
        <w:rPr>
          <w:b w:val="0"/>
          <w:bCs w:val="0"/>
          <w:sz w:val="24"/>
          <w:szCs w:val="24"/>
        </w:rPr>
        <w:t>in those States</w:t>
      </w:r>
      <w:r w:rsidRPr="00037D49">
        <w:rPr>
          <w:b w:val="0"/>
          <w:bCs w:val="0"/>
          <w:sz w:val="24"/>
          <w:szCs w:val="24"/>
        </w:rPr>
        <w:t xml:space="preserve"> </w:t>
      </w:r>
      <w:r w:rsidR="00BE0EB0">
        <w:rPr>
          <w:b w:val="0"/>
          <w:bCs w:val="0"/>
          <w:sz w:val="24"/>
          <w:szCs w:val="24"/>
        </w:rPr>
        <w:t xml:space="preserve">and the District of Columbia </w:t>
      </w:r>
      <w:r w:rsidR="00864C84">
        <w:rPr>
          <w:b w:val="0"/>
          <w:bCs w:val="0"/>
          <w:sz w:val="24"/>
          <w:szCs w:val="24"/>
        </w:rPr>
        <w:t>from</w:t>
      </w:r>
      <w:r w:rsidRPr="00037D49">
        <w:rPr>
          <w:b w:val="0"/>
          <w:bCs w:val="0"/>
          <w:sz w:val="24"/>
          <w:szCs w:val="24"/>
        </w:rPr>
        <w:t xml:space="preserve"> their analysis, while including all self-insured plan sponsors and fully insured plan sponsors in all other States. Additionally, the Departments assume that plan sponsors that already offer fertility benefits as part of their comprehensive health plans would offer excepted fertility benefits </w:t>
      </w:r>
      <w:r w:rsidR="00864C84">
        <w:rPr>
          <w:b w:val="0"/>
          <w:bCs w:val="0"/>
          <w:sz w:val="24"/>
          <w:szCs w:val="24"/>
        </w:rPr>
        <w:t>at a lower rate</w:t>
      </w:r>
      <w:r w:rsidR="00935DB7">
        <w:rPr>
          <w:b w:val="0"/>
          <w:bCs w:val="0"/>
          <w:sz w:val="24"/>
          <w:szCs w:val="24"/>
        </w:rPr>
        <w:t>.</w:t>
      </w:r>
      <w:r w:rsidRPr="00037D49">
        <w:rPr>
          <w:b w:val="0"/>
          <w:bCs w:val="0"/>
          <w:sz w:val="24"/>
          <w:szCs w:val="24"/>
        </w:rPr>
        <w:t xml:space="preserve"> Finally, the Departments assume that the smallest of plans, those with fewer than 10 participants, would be unlikely to offer such an excepted benefit as the prevalence of infertility among such a small group would likely impact few, if any, participants and the potential costs may be prohibitive for these small groups. </w:t>
      </w:r>
      <w:r w:rsidRPr="00834D77">
        <w:rPr>
          <w:b w:val="0"/>
          <w:bCs w:val="0"/>
          <w:sz w:val="24"/>
          <w:szCs w:val="24"/>
        </w:rPr>
        <w:t xml:space="preserve"> Based on these assumptions, the Department estimates that there are </w:t>
      </w:r>
      <w:r w:rsidR="00690F95">
        <w:rPr>
          <w:b w:val="0"/>
          <w:bCs w:val="0"/>
          <w:sz w:val="24"/>
          <w:szCs w:val="24"/>
        </w:rPr>
        <w:t>490,266</w:t>
      </w:r>
      <w:r w:rsidRPr="00834D77">
        <w:rPr>
          <w:b w:val="0"/>
          <w:bCs w:val="0"/>
          <w:sz w:val="24"/>
          <w:szCs w:val="24"/>
        </w:rPr>
        <w:t xml:space="preserve"> private sector employer-sponsored plans, that will be affected by the proposed rule.</w:t>
      </w:r>
      <w:r>
        <w:rPr>
          <w:rStyle w:val="FootnoteReference"/>
          <w:b w:val="0"/>
          <w:bCs w:val="0"/>
          <w:sz w:val="24"/>
          <w:szCs w:val="24"/>
          <w:vertAlign w:val="superscript"/>
        </w:rPr>
        <w:footnoteReference w:id="7"/>
      </w:r>
    </w:p>
    <w:p w:rsidR="00D309FC" w:rsidP="00714313" w14:paraId="2517C1F8" w14:textId="77777777">
      <w:pPr>
        <w:widowControl/>
        <w:tabs>
          <w:tab w:val="left" w:pos="-1440"/>
        </w:tabs>
        <w:ind w:left="720"/>
        <w:rPr>
          <w:b w:val="0"/>
          <w:bCs w:val="0"/>
          <w:iCs/>
          <w:sz w:val="24"/>
          <w:szCs w:val="24"/>
        </w:rPr>
      </w:pPr>
    </w:p>
    <w:p w:rsidR="00D158FE" w:rsidP="00D158FE" w14:paraId="7BAEC43B" w14:textId="6FD16B66">
      <w:pPr>
        <w:widowControl/>
        <w:tabs>
          <w:tab w:val="left" w:pos="-1440"/>
        </w:tabs>
        <w:ind w:left="720"/>
        <w:rPr>
          <w:b w:val="0"/>
          <w:bCs w:val="0"/>
          <w:iCs/>
          <w:sz w:val="24"/>
          <w:szCs w:val="24"/>
          <w:vertAlign w:val="superscript"/>
        </w:rPr>
      </w:pPr>
      <w:r w:rsidRPr="00545F04">
        <w:rPr>
          <w:b w:val="0"/>
          <w:bCs w:val="0"/>
          <w:iCs/>
          <w:sz w:val="24"/>
          <w:szCs w:val="24"/>
        </w:rPr>
        <w:t xml:space="preserve">The </w:t>
      </w:r>
      <w:r w:rsidRPr="00D04384">
        <w:rPr>
          <w:b w:val="0"/>
          <w:bCs w:val="0"/>
          <w:iCs/>
          <w:sz w:val="24"/>
          <w:szCs w:val="24"/>
        </w:rPr>
        <w:t>following wage rates were used in this analysis: $18</w:t>
      </w:r>
      <w:r w:rsidR="002E3E47">
        <w:rPr>
          <w:b w:val="0"/>
          <w:bCs w:val="0"/>
          <w:iCs/>
          <w:sz w:val="24"/>
          <w:szCs w:val="24"/>
        </w:rPr>
        <w:t>7.58</w:t>
      </w:r>
      <w:r w:rsidRPr="00D04384">
        <w:rPr>
          <w:b w:val="0"/>
          <w:bCs w:val="0"/>
          <w:iCs/>
          <w:sz w:val="24"/>
          <w:szCs w:val="24"/>
        </w:rPr>
        <w:t xml:space="preserve"> (legal professional)</w:t>
      </w:r>
      <w:r w:rsidR="00233C44">
        <w:rPr>
          <w:b w:val="0"/>
          <w:bCs w:val="0"/>
          <w:iCs/>
          <w:sz w:val="24"/>
          <w:szCs w:val="24"/>
        </w:rPr>
        <w:t>.</w:t>
      </w:r>
      <w:r>
        <w:rPr>
          <w:rStyle w:val="FootnoteReference"/>
          <w:b w:val="0"/>
          <w:bCs w:val="0"/>
          <w:iCs/>
          <w:sz w:val="24"/>
          <w:szCs w:val="24"/>
          <w:vertAlign w:val="superscript"/>
        </w:rPr>
        <w:footnoteReference w:id="8"/>
      </w:r>
    </w:p>
    <w:p w:rsidR="00956DD0" w:rsidP="00D158FE" w14:paraId="3C0141BA" w14:textId="77777777">
      <w:pPr>
        <w:widowControl/>
        <w:tabs>
          <w:tab w:val="left" w:pos="-1440"/>
        </w:tabs>
        <w:ind w:left="720"/>
        <w:rPr>
          <w:b w:val="0"/>
          <w:bCs w:val="0"/>
          <w:iCs/>
          <w:sz w:val="24"/>
          <w:szCs w:val="24"/>
          <w:vertAlign w:val="superscript"/>
        </w:rPr>
      </w:pPr>
    </w:p>
    <w:p w:rsidR="00956DD0" w:rsidRPr="00BB08A8" w:rsidP="00BB08A8" w14:paraId="0BCB6378" w14:textId="4D019C61">
      <w:pPr>
        <w:pStyle w:val="ListParagraph"/>
        <w:widowControl/>
        <w:numPr>
          <w:ilvl w:val="0"/>
          <w:numId w:val="44"/>
        </w:numPr>
        <w:tabs>
          <w:tab w:val="left" w:pos="-1440"/>
        </w:tabs>
        <w:rPr>
          <w:sz w:val="24"/>
          <w:szCs w:val="24"/>
          <w:u w:val="single"/>
        </w:rPr>
      </w:pPr>
      <w:r>
        <w:rPr>
          <w:sz w:val="24"/>
          <w:szCs w:val="24"/>
          <w:u w:val="single"/>
        </w:rPr>
        <w:t xml:space="preserve"> </w:t>
      </w:r>
      <w:r w:rsidR="00376AE0">
        <w:rPr>
          <w:sz w:val="24"/>
          <w:szCs w:val="24"/>
          <w:u w:val="single"/>
        </w:rPr>
        <w:t>Notice of Eligibility</w:t>
      </w:r>
    </w:p>
    <w:p w:rsidR="00F95CF4" w:rsidRPr="00F95CF4" w:rsidP="008A2E3D" w14:paraId="63A87ED6" w14:textId="77777777">
      <w:pPr>
        <w:widowControl/>
        <w:tabs>
          <w:tab w:val="left" w:pos="-1440"/>
        </w:tabs>
        <w:rPr>
          <w:b w:val="0"/>
          <w:bCs w:val="0"/>
          <w:iCs/>
          <w:sz w:val="24"/>
          <w:szCs w:val="24"/>
        </w:rPr>
      </w:pPr>
    </w:p>
    <w:p w:rsidR="008778F3" w:rsidRPr="00A24BF4" w:rsidP="00995E0F" w14:paraId="275E83D0" w14:textId="18871897">
      <w:pPr>
        <w:widowControl/>
        <w:tabs>
          <w:tab w:val="left" w:pos="-1440"/>
        </w:tabs>
        <w:ind w:left="720"/>
        <w:rPr>
          <w:b w:val="0"/>
          <w:bCs w:val="0"/>
          <w:iCs/>
          <w:sz w:val="24"/>
          <w:szCs w:val="24"/>
        </w:rPr>
      </w:pPr>
      <w:r w:rsidRPr="006D1EF2">
        <w:rPr>
          <w:b w:val="0"/>
          <w:bCs w:val="0"/>
          <w:iCs/>
          <w:sz w:val="24"/>
          <w:szCs w:val="24"/>
        </w:rPr>
        <w:t>The proposed rule requires th</w:t>
      </w:r>
      <w:r w:rsidRPr="006D1EF2" w:rsidR="00504A8B">
        <w:rPr>
          <w:b w:val="0"/>
          <w:bCs w:val="0"/>
          <w:iCs/>
          <w:sz w:val="24"/>
          <w:szCs w:val="24"/>
        </w:rPr>
        <w:t>e distribution of a notice</w:t>
      </w:r>
      <w:r w:rsidR="006D1EF2">
        <w:rPr>
          <w:b w:val="0"/>
          <w:bCs w:val="0"/>
          <w:iCs/>
          <w:sz w:val="24"/>
          <w:szCs w:val="24"/>
        </w:rPr>
        <w:t xml:space="preserve"> to eligible participants</w:t>
      </w:r>
      <w:r w:rsidRPr="006D1EF2" w:rsidR="006D1EF2">
        <w:rPr>
          <w:b w:val="0"/>
          <w:bCs w:val="0"/>
          <w:iCs/>
          <w:sz w:val="24"/>
          <w:szCs w:val="24"/>
        </w:rPr>
        <w:t>,</w:t>
      </w:r>
      <w:r w:rsidRPr="006D1EF2" w:rsidR="006D1EF2">
        <w:rPr>
          <w:rFonts w:eastAsia="Calibri"/>
          <w:b w:val="0"/>
          <w:bCs w:val="0"/>
          <w:sz w:val="24"/>
          <w:szCs w:val="24"/>
        </w:rPr>
        <w:t xml:space="preserve"> which would include a description of the coverage, </w:t>
      </w:r>
      <w:r w:rsidR="00D610D5">
        <w:rPr>
          <w:rFonts w:eastAsia="Calibri"/>
          <w:b w:val="0"/>
          <w:bCs w:val="0"/>
          <w:sz w:val="24"/>
          <w:szCs w:val="24"/>
        </w:rPr>
        <w:t xml:space="preserve">including </w:t>
      </w:r>
      <w:r w:rsidRPr="006D1EF2" w:rsidR="006D1EF2">
        <w:rPr>
          <w:rFonts w:eastAsia="Calibri"/>
          <w:b w:val="0"/>
          <w:bCs w:val="0"/>
          <w:sz w:val="24"/>
          <w:szCs w:val="24"/>
        </w:rPr>
        <w:t>a summary of benefits as well as the limitations of the coverage</w:t>
      </w:r>
      <w:r w:rsidR="007B4A92">
        <w:rPr>
          <w:rFonts w:eastAsia="Calibri"/>
          <w:b w:val="0"/>
          <w:bCs w:val="0"/>
          <w:sz w:val="24"/>
          <w:szCs w:val="24"/>
        </w:rPr>
        <w:t xml:space="preserve"> (including the applicable lifetime dollar limit established by the plan or issuer)</w:t>
      </w:r>
      <w:r w:rsidRPr="00306798" w:rsidR="007B4A92">
        <w:rPr>
          <w:rFonts w:eastAsia="Calibri"/>
          <w:b w:val="0"/>
          <w:bCs w:val="0"/>
          <w:sz w:val="24"/>
          <w:szCs w:val="24"/>
        </w:rPr>
        <w:t xml:space="preserve">, </w:t>
      </w:r>
      <w:r w:rsidR="007B4A92">
        <w:rPr>
          <w:rFonts w:eastAsia="Calibri"/>
          <w:b w:val="0"/>
          <w:bCs w:val="0"/>
          <w:sz w:val="24"/>
          <w:szCs w:val="24"/>
        </w:rPr>
        <w:t xml:space="preserve">how to identify and utilize a network provider, if applicable, </w:t>
      </w:r>
      <w:r w:rsidRPr="00306798" w:rsidR="007B4A92">
        <w:rPr>
          <w:rFonts w:eastAsia="Calibri"/>
          <w:b w:val="0"/>
          <w:bCs w:val="0"/>
          <w:sz w:val="24"/>
          <w:szCs w:val="24"/>
        </w:rPr>
        <w:t xml:space="preserve">and how to submit a claim for reimbursement, including whether the benefit utilizes the same claims procedure as for </w:t>
      </w:r>
      <w:r w:rsidR="007B4A92">
        <w:rPr>
          <w:rFonts w:eastAsia="Calibri"/>
          <w:b w:val="0"/>
          <w:bCs w:val="0"/>
          <w:sz w:val="24"/>
          <w:szCs w:val="24"/>
        </w:rPr>
        <w:t xml:space="preserve">the plan sponsor’s </w:t>
      </w:r>
      <w:r w:rsidRPr="00306798" w:rsidR="007B4A92">
        <w:rPr>
          <w:rFonts w:eastAsia="Calibri"/>
          <w:b w:val="0"/>
          <w:bCs w:val="0"/>
          <w:sz w:val="24"/>
          <w:szCs w:val="24"/>
        </w:rPr>
        <w:t>other group health plans</w:t>
      </w:r>
      <w:r w:rsidR="00C4247F">
        <w:rPr>
          <w:rFonts w:eastAsia="Calibri"/>
          <w:b w:val="0"/>
          <w:bCs w:val="0"/>
          <w:sz w:val="24"/>
          <w:szCs w:val="24"/>
        </w:rPr>
        <w:t xml:space="preserve">. This information is similar to many other information requirements that </w:t>
      </w:r>
      <w:r w:rsidR="00111730">
        <w:rPr>
          <w:rFonts w:eastAsia="Calibri"/>
          <w:b w:val="0"/>
          <w:bCs w:val="0"/>
          <w:sz w:val="24"/>
          <w:szCs w:val="24"/>
        </w:rPr>
        <w:t xml:space="preserve">health plans and issuers are subject to and would be sent along with other enrollment materials. </w:t>
      </w:r>
      <w:r w:rsidR="00DA308C">
        <w:rPr>
          <w:rFonts w:eastAsia="Calibri"/>
          <w:b w:val="0"/>
          <w:bCs w:val="0"/>
          <w:sz w:val="24"/>
          <w:szCs w:val="24"/>
        </w:rPr>
        <w:t xml:space="preserve">The Department </w:t>
      </w:r>
      <w:r w:rsidR="00462C73">
        <w:rPr>
          <w:rFonts w:eastAsia="Calibri"/>
          <w:b w:val="0"/>
          <w:bCs w:val="0"/>
          <w:sz w:val="24"/>
          <w:szCs w:val="24"/>
        </w:rPr>
        <w:t xml:space="preserve">assumes that drafting the notice will </w:t>
      </w:r>
      <w:r w:rsidR="00CF0C30">
        <w:rPr>
          <w:rFonts w:eastAsia="Calibri"/>
          <w:b w:val="0"/>
          <w:bCs w:val="0"/>
          <w:sz w:val="24"/>
          <w:szCs w:val="24"/>
        </w:rPr>
        <w:t xml:space="preserve">take an </w:t>
      </w:r>
      <w:r w:rsidR="00462C73">
        <w:rPr>
          <w:rFonts w:eastAsia="Calibri"/>
          <w:b w:val="0"/>
          <w:bCs w:val="0"/>
          <w:sz w:val="24"/>
          <w:szCs w:val="24"/>
        </w:rPr>
        <w:t xml:space="preserve">attorney for a health issuer approximately </w:t>
      </w:r>
      <w:r w:rsidR="004F7510">
        <w:rPr>
          <w:rFonts w:eastAsia="Calibri"/>
          <w:b w:val="0"/>
          <w:bCs w:val="0"/>
          <w:sz w:val="24"/>
          <w:szCs w:val="24"/>
        </w:rPr>
        <w:t>two</w:t>
      </w:r>
      <w:r w:rsidR="00462C73">
        <w:rPr>
          <w:rFonts w:eastAsia="Calibri"/>
          <w:b w:val="0"/>
          <w:bCs w:val="0"/>
          <w:sz w:val="24"/>
          <w:szCs w:val="24"/>
        </w:rPr>
        <w:t xml:space="preserve"> hours </w:t>
      </w:r>
      <w:r w:rsidR="0072491D">
        <w:rPr>
          <w:rFonts w:eastAsia="Calibri"/>
          <w:b w:val="0"/>
          <w:bCs w:val="0"/>
          <w:sz w:val="24"/>
          <w:szCs w:val="24"/>
        </w:rPr>
        <w:t xml:space="preserve">in the first year and that in each subsequent year the notice will be reviewed at a burden of one hour. </w:t>
      </w:r>
      <w:r w:rsidR="0053665B">
        <w:rPr>
          <w:rFonts w:eastAsia="Calibri"/>
          <w:b w:val="0"/>
          <w:bCs w:val="0"/>
          <w:sz w:val="24"/>
          <w:szCs w:val="24"/>
        </w:rPr>
        <w:t xml:space="preserve">Please see Table </w:t>
      </w:r>
      <w:r w:rsidR="009F221B">
        <w:rPr>
          <w:rFonts w:eastAsia="Calibri"/>
          <w:b w:val="0"/>
          <w:bCs w:val="0"/>
          <w:sz w:val="24"/>
          <w:szCs w:val="24"/>
        </w:rPr>
        <w:t>1</w:t>
      </w:r>
      <w:r w:rsidR="0053665B">
        <w:rPr>
          <w:rFonts w:eastAsia="Calibri"/>
          <w:b w:val="0"/>
          <w:bCs w:val="0"/>
          <w:sz w:val="24"/>
          <w:szCs w:val="24"/>
        </w:rPr>
        <w:t xml:space="preserve"> below for </w:t>
      </w:r>
      <w:r w:rsidR="00995E0F">
        <w:rPr>
          <w:rFonts w:eastAsia="Calibri"/>
          <w:b w:val="0"/>
          <w:bCs w:val="0"/>
          <w:sz w:val="24"/>
          <w:szCs w:val="24"/>
        </w:rPr>
        <w:t>calculations of the hour and cost burdens.</w:t>
      </w:r>
    </w:p>
    <w:p w:rsidR="008778F3" w:rsidRPr="00A24BF4" w:rsidP="00A24BF4" w14:paraId="4C4C79CE" w14:textId="77777777">
      <w:pPr>
        <w:widowControl/>
        <w:tabs>
          <w:tab w:val="left" w:pos="-1440"/>
        </w:tabs>
        <w:ind w:left="720"/>
        <w:rPr>
          <w:b w:val="0"/>
          <w:bCs w:val="0"/>
          <w:iCs/>
          <w:sz w:val="24"/>
          <w:szCs w:val="24"/>
        </w:rPr>
      </w:pPr>
    </w:p>
    <w:p w:rsidR="00DA318C" w:rsidP="00C17609" w14:paraId="40347EED" w14:textId="77777777">
      <w:pPr>
        <w:widowControl/>
        <w:tabs>
          <w:tab w:val="left" w:pos="-1440"/>
        </w:tabs>
        <w:ind w:left="720"/>
        <w:rPr>
          <w:b w:val="0"/>
          <w:bCs w:val="0"/>
          <w:iCs/>
          <w:sz w:val="24"/>
          <w:szCs w:val="24"/>
        </w:rPr>
      </w:pPr>
    </w:p>
    <w:p w:rsidR="00DA318C" w:rsidRPr="00A21E27" w:rsidP="00CA7375" w14:paraId="652F3A1F" w14:textId="0BE4329E">
      <w:pPr>
        <w:pStyle w:val="Heading3"/>
      </w:pPr>
      <w:r w:rsidRPr="006E1899">
        <w:t xml:space="preserve">TABLE </w:t>
      </w:r>
      <w:r w:rsidR="00BB2A07">
        <w:t>1</w:t>
      </w:r>
      <w:r w:rsidRPr="006E1899">
        <w:t xml:space="preserve">. </w:t>
      </w:r>
      <w:r w:rsidR="0036337A">
        <w:t xml:space="preserve">Equivalent Cost of Producing </w:t>
      </w:r>
      <w:r w:rsidR="00C90B47">
        <w:t xml:space="preserve">Notice of Eligibility </w:t>
      </w:r>
    </w:p>
    <w:p w:rsidR="00DA318C" w:rsidP="00DA318C" w14:paraId="5FD5B357" w14:textId="77777777">
      <w:pPr>
        <w:widowControl/>
        <w:tabs>
          <w:tab w:val="left" w:pos="-1440"/>
        </w:tabs>
        <w:ind w:left="720"/>
        <w:rPr>
          <w:b w:val="0"/>
          <w:bCs w:val="0"/>
          <w:iCs/>
          <w:sz w:val="24"/>
          <w:szCs w:val="24"/>
        </w:rPr>
      </w:pPr>
    </w:p>
    <w:tbl>
      <w:tblPr>
        <w:tblW w:w="11515" w:type="dxa"/>
        <w:jc w:val="center"/>
        <w:tblLayout w:type="fixed"/>
        <w:tblLook w:val="04A0"/>
      </w:tblPr>
      <w:tblGrid>
        <w:gridCol w:w="2695"/>
        <w:gridCol w:w="1440"/>
        <w:gridCol w:w="1350"/>
        <w:gridCol w:w="1710"/>
        <w:gridCol w:w="1080"/>
        <w:gridCol w:w="1170"/>
        <w:gridCol w:w="2070"/>
      </w:tblGrid>
      <w:tr w14:paraId="5437CC65" w14:textId="77777777" w:rsidTr="00896EA1">
        <w:tblPrEx>
          <w:tblW w:w="11515" w:type="dxa"/>
          <w:jc w:val="center"/>
          <w:tblLayout w:type="fixed"/>
          <w:tblLook w:val="04A0"/>
        </w:tblPrEx>
        <w:trPr>
          <w:trHeight w:val="1683"/>
          <w:jc w:val="center"/>
        </w:trPr>
        <w:tc>
          <w:tcPr>
            <w:tcW w:w="2695" w:type="dxa"/>
            <w:tcBorders>
              <w:top w:val="single" w:sz="4" w:space="0" w:color="auto"/>
              <w:left w:val="single" w:sz="4" w:space="0" w:color="auto"/>
              <w:bottom w:val="single" w:sz="4" w:space="0" w:color="auto"/>
              <w:right w:val="single" w:sz="4" w:space="0" w:color="auto"/>
            </w:tcBorders>
            <w:noWrap/>
            <w:vAlign w:val="bottom"/>
            <w:hideMark/>
          </w:tcPr>
          <w:p w:rsidR="00896EA1" w:rsidRPr="00261797" w14:paraId="244E0904" w14:textId="77777777">
            <w:pPr>
              <w:widowControl/>
              <w:rPr>
                <w:bCs w:val="0"/>
                <w:sz w:val="22"/>
                <w:szCs w:val="22"/>
              </w:rPr>
            </w:pPr>
            <w:r w:rsidRPr="00261797">
              <w:rPr>
                <w:bCs w:val="0"/>
                <w:sz w:val="22"/>
                <w:szCs w:val="22"/>
              </w:rPr>
              <w:t> </w:t>
            </w:r>
          </w:p>
        </w:tc>
        <w:tc>
          <w:tcPr>
            <w:tcW w:w="1440" w:type="dxa"/>
            <w:tcBorders>
              <w:top w:val="single" w:sz="4" w:space="0" w:color="auto"/>
              <w:left w:val="nil"/>
              <w:bottom w:val="single" w:sz="4" w:space="0" w:color="auto"/>
              <w:right w:val="single" w:sz="4" w:space="0" w:color="auto"/>
            </w:tcBorders>
            <w:vAlign w:val="center"/>
            <w:hideMark/>
          </w:tcPr>
          <w:p w:rsidR="00896EA1" w:rsidRPr="00261797" w14:paraId="60BCB452" w14:textId="39AFA82B">
            <w:pPr>
              <w:widowControl/>
              <w:jc w:val="center"/>
              <w:rPr>
                <w:bCs w:val="0"/>
                <w:sz w:val="22"/>
                <w:szCs w:val="22"/>
              </w:rPr>
            </w:pPr>
            <w:r w:rsidRPr="00261797">
              <w:rPr>
                <w:bCs w:val="0"/>
                <w:sz w:val="22"/>
                <w:szCs w:val="22"/>
              </w:rPr>
              <w:t xml:space="preserve">Number of </w:t>
            </w:r>
            <w:r>
              <w:rPr>
                <w:bCs w:val="0"/>
                <w:sz w:val="22"/>
                <w:szCs w:val="22"/>
              </w:rPr>
              <w:t>Respondents</w:t>
            </w:r>
            <w:r w:rsidRPr="00261797">
              <w:rPr>
                <w:bCs w:val="0"/>
                <w:sz w:val="22"/>
                <w:szCs w:val="22"/>
              </w:rPr>
              <w:t xml:space="preserve"> </w:t>
            </w:r>
          </w:p>
        </w:tc>
        <w:tc>
          <w:tcPr>
            <w:tcW w:w="1350" w:type="dxa"/>
            <w:tcBorders>
              <w:top w:val="single" w:sz="4" w:space="0" w:color="auto"/>
              <w:left w:val="nil"/>
              <w:bottom w:val="single" w:sz="4" w:space="0" w:color="auto"/>
              <w:right w:val="single" w:sz="4" w:space="0" w:color="auto"/>
            </w:tcBorders>
            <w:vAlign w:val="center"/>
          </w:tcPr>
          <w:p w:rsidR="00896EA1" w:rsidP="00896EA1" w14:paraId="4CF3E11B" w14:textId="2F309C28">
            <w:pPr>
              <w:widowControl/>
              <w:jc w:val="center"/>
              <w:rPr>
                <w:bCs w:val="0"/>
                <w:sz w:val="22"/>
                <w:szCs w:val="22"/>
              </w:rPr>
            </w:pPr>
            <w:r>
              <w:rPr>
                <w:bCs w:val="0"/>
                <w:sz w:val="22"/>
                <w:szCs w:val="22"/>
              </w:rPr>
              <w:t xml:space="preserve">Toal </w:t>
            </w:r>
            <w:r>
              <w:rPr>
                <w:bCs w:val="0"/>
                <w:sz w:val="22"/>
                <w:szCs w:val="22"/>
              </w:rPr>
              <w:t>Number of Responses</w:t>
            </w:r>
            <w:r w:rsidR="00461489">
              <w:rPr>
                <w:bCs w:val="0"/>
                <w:sz w:val="22"/>
                <w:szCs w:val="22"/>
              </w:rPr>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896EA1" w:rsidRPr="00261797" w14:paraId="425E8DC6" w14:textId="05C0B532">
            <w:pPr>
              <w:widowControl/>
              <w:jc w:val="center"/>
              <w:rPr>
                <w:bCs w:val="0"/>
                <w:sz w:val="22"/>
                <w:szCs w:val="22"/>
              </w:rPr>
            </w:pPr>
            <w:r>
              <w:rPr>
                <w:bCs w:val="0"/>
                <w:sz w:val="22"/>
                <w:szCs w:val="22"/>
              </w:rPr>
              <w:t>Hour Burden per Notice</w:t>
            </w:r>
          </w:p>
        </w:tc>
        <w:tc>
          <w:tcPr>
            <w:tcW w:w="1080" w:type="dxa"/>
            <w:tcBorders>
              <w:top w:val="single" w:sz="4" w:space="0" w:color="auto"/>
              <w:left w:val="nil"/>
              <w:bottom w:val="single" w:sz="4" w:space="0" w:color="auto"/>
              <w:right w:val="single" w:sz="4" w:space="0" w:color="auto"/>
            </w:tcBorders>
            <w:vAlign w:val="center"/>
            <w:hideMark/>
          </w:tcPr>
          <w:p w:rsidR="00896EA1" w:rsidRPr="00261797" w14:paraId="4071B28E" w14:textId="77777777">
            <w:pPr>
              <w:widowControl/>
              <w:jc w:val="center"/>
              <w:rPr>
                <w:bCs w:val="0"/>
                <w:sz w:val="22"/>
                <w:szCs w:val="22"/>
              </w:rPr>
            </w:pPr>
            <w:r w:rsidRPr="00261797">
              <w:rPr>
                <w:bCs w:val="0"/>
                <w:sz w:val="22"/>
                <w:szCs w:val="22"/>
              </w:rPr>
              <w:t>Total Hour Burden</w:t>
            </w:r>
          </w:p>
        </w:tc>
        <w:tc>
          <w:tcPr>
            <w:tcW w:w="1170" w:type="dxa"/>
            <w:tcBorders>
              <w:top w:val="single" w:sz="4" w:space="0" w:color="auto"/>
              <w:left w:val="nil"/>
              <w:bottom w:val="single" w:sz="4" w:space="0" w:color="auto"/>
              <w:right w:val="single" w:sz="4" w:space="0" w:color="auto"/>
            </w:tcBorders>
            <w:vAlign w:val="center"/>
            <w:hideMark/>
          </w:tcPr>
          <w:p w:rsidR="00896EA1" w:rsidRPr="00261797" w14:paraId="64DBD251" w14:textId="77777777">
            <w:pPr>
              <w:widowControl/>
              <w:jc w:val="center"/>
              <w:rPr>
                <w:bCs w:val="0"/>
                <w:sz w:val="22"/>
                <w:szCs w:val="22"/>
              </w:rPr>
            </w:pPr>
            <w:r w:rsidRPr="00261797">
              <w:rPr>
                <w:bCs w:val="0"/>
                <w:sz w:val="22"/>
                <w:szCs w:val="22"/>
              </w:rPr>
              <w:t>Hourly Wage</w:t>
            </w:r>
          </w:p>
        </w:tc>
        <w:tc>
          <w:tcPr>
            <w:tcW w:w="2070" w:type="dxa"/>
            <w:tcBorders>
              <w:top w:val="single" w:sz="4" w:space="0" w:color="auto"/>
              <w:left w:val="nil"/>
              <w:bottom w:val="single" w:sz="4" w:space="0" w:color="auto"/>
              <w:right w:val="single" w:sz="4" w:space="0" w:color="auto"/>
            </w:tcBorders>
            <w:vAlign w:val="center"/>
            <w:hideMark/>
          </w:tcPr>
          <w:p w:rsidR="00896EA1" w:rsidRPr="00261797" w14:paraId="60205A5F" w14:textId="77777777">
            <w:pPr>
              <w:widowControl/>
              <w:jc w:val="center"/>
              <w:rPr>
                <w:bCs w:val="0"/>
                <w:sz w:val="22"/>
                <w:szCs w:val="22"/>
              </w:rPr>
            </w:pPr>
            <w:r w:rsidRPr="00261797">
              <w:rPr>
                <w:bCs w:val="0"/>
                <w:sz w:val="22"/>
                <w:szCs w:val="22"/>
              </w:rPr>
              <w:t xml:space="preserve">Cost Equivalent of Hour Burden </w:t>
            </w:r>
          </w:p>
        </w:tc>
      </w:tr>
      <w:tr w14:paraId="6C46B401" w14:textId="77777777" w:rsidTr="00896EA1">
        <w:tblPrEx>
          <w:tblW w:w="11515" w:type="dxa"/>
          <w:jc w:val="center"/>
          <w:tblLayout w:type="fixed"/>
          <w:tblLook w:val="04A0"/>
        </w:tblPrEx>
        <w:trPr>
          <w:trHeight w:val="489"/>
          <w:jc w:val="center"/>
        </w:trPr>
        <w:tc>
          <w:tcPr>
            <w:tcW w:w="2695" w:type="dxa"/>
            <w:tcBorders>
              <w:top w:val="nil"/>
              <w:left w:val="single" w:sz="4" w:space="0" w:color="auto"/>
              <w:bottom w:val="single" w:sz="4" w:space="0" w:color="auto"/>
              <w:right w:val="single" w:sz="4" w:space="0" w:color="auto"/>
            </w:tcBorders>
            <w:noWrap/>
            <w:vAlign w:val="bottom"/>
            <w:hideMark/>
          </w:tcPr>
          <w:p w:rsidR="00896EA1" w:rsidRPr="00C91CF4" w14:paraId="7BA92F61" w14:textId="77777777">
            <w:pPr>
              <w:widowControl/>
              <w:rPr>
                <w:bCs w:val="0"/>
              </w:rPr>
            </w:pPr>
            <w:r w:rsidRPr="00C91CF4">
              <w:rPr>
                <w:bCs w:val="0"/>
              </w:rPr>
              <w:t> </w:t>
            </w:r>
          </w:p>
        </w:tc>
        <w:tc>
          <w:tcPr>
            <w:tcW w:w="1440" w:type="dxa"/>
            <w:tcBorders>
              <w:top w:val="nil"/>
              <w:left w:val="nil"/>
              <w:bottom w:val="single" w:sz="4" w:space="0" w:color="auto"/>
              <w:right w:val="single" w:sz="4" w:space="0" w:color="auto"/>
            </w:tcBorders>
            <w:vAlign w:val="center"/>
            <w:hideMark/>
          </w:tcPr>
          <w:p w:rsidR="00896EA1" w:rsidRPr="0005778D" w14:paraId="248BA3A3" w14:textId="77777777">
            <w:pPr>
              <w:widowControl/>
              <w:jc w:val="center"/>
              <w:rPr>
                <w:bCs w:val="0"/>
                <w:sz w:val="22"/>
                <w:szCs w:val="22"/>
              </w:rPr>
            </w:pPr>
            <w:r w:rsidRPr="0005778D">
              <w:rPr>
                <w:bCs w:val="0"/>
                <w:sz w:val="22"/>
                <w:szCs w:val="22"/>
              </w:rPr>
              <w:t>(A)</w:t>
            </w:r>
          </w:p>
        </w:tc>
        <w:tc>
          <w:tcPr>
            <w:tcW w:w="1350" w:type="dxa"/>
            <w:tcBorders>
              <w:top w:val="single" w:sz="4" w:space="0" w:color="auto"/>
              <w:left w:val="nil"/>
              <w:bottom w:val="single" w:sz="4" w:space="0" w:color="auto"/>
              <w:right w:val="single" w:sz="4" w:space="0" w:color="auto"/>
            </w:tcBorders>
            <w:vAlign w:val="center"/>
          </w:tcPr>
          <w:p w:rsidR="00896EA1" w:rsidRPr="0005778D" w14:paraId="1198863F" w14:textId="6C9726FC">
            <w:pPr>
              <w:widowControl/>
              <w:jc w:val="center"/>
              <w:rPr>
                <w:bCs w:val="0"/>
                <w:sz w:val="22"/>
                <w:szCs w:val="22"/>
              </w:rPr>
            </w:pPr>
            <w:r w:rsidRPr="0005778D">
              <w:rPr>
                <w:bCs w:val="0"/>
                <w:sz w:val="22"/>
                <w:szCs w:val="22"/>
              </w:rPr>
              <w:t>(B)</w:t>
            </w:r>
          </w:p>
        </w:tc>
        <w:tc>
          <w:tcPr>
            <w:tcW w:w="1710" w:type="dxa"/>
            <w:tcBorders>
              <w:top w:val="nil"/>
              <w:left w:val="single" w:sz="4" w:space="0" w:color="auto"/>
              <w:bottom w:val="single" w:sz="4" w:space="0" w:color="auto"/>
              <w:right w:val="single" w:sz="4" w:space="0" w:color="auto"/>
            </w:tcBorders>
            <w:vAlign w:val="center"/>
            <w:hideMark/>
          </w:tcPr>
          <w:p w:rsidR="00896EA1" w:rsidRPr="0005778D" w14:paraId="1C116063" w14:textId="4F17E635">
            <w:pPr>
              <w:widowControl/>
              <w:jc w:val="center"/>
              <w:rPr>
                <w:bCs w:val="0"/>
                <w:sz w:val="22"/>
                <w:szCs w:val="22"/>
              </w:rPr>
            </w:pPr>
            <w:r w:rsidRPr="0005778D">
              <w:rPr>
                <w:bCs w:val="0"/>
                <w:sz w:val="22"/>
                <w:szCs w:val="22"/>
              </w:rPr>
              <w:t>(</w:t>
            </w:r>
            <w:r w:rsidR="00461489">
              <w:rPr>
                <w:bCs w:val="0"/>
                <w:sz w:val="22"/>
                <w:szCs w:val="22"/>
              </w:rPr>
              <w:t>C</w:t>
            </w:r>
            <w:r w:rsidRPr="0005778D">
              <w:rPr>
                <w:bCs w:val="0"/>
                <w:sz w:val="22"/>
                <w:szCs w:val="22"/>
              </w:rPr>
              <w:t>)</w:t>
            </w:r>
          </w:p>
        </w:tc>
        <w:tc>
          <w:tcPr>
            <w:tcW w:w="1080" w:type="dxa"/>
            <w:tcBorders>
              <w:top w:val="nil"/>
              <w:left w:val="nil"/>
              <w:bottom w:val="single" w:sz="4" w:space="0" w:color="auto"/>
              <w:right w:val="single" w:sz="4" w:space="0" w:color="auto"/>
            </w:tcBorders>
            <w:vAlign w:val="center"/>
            <w:hideMark/>
          </w:tcPr>
          <w:p w:rsidR="00896EA1" w:rsidRPr="0005778D" w14:paraId="61AB63F8" w14:textId="7B82D703">
            <w:pPr>
              <w:widowControl/>
              <w:jc w:val="center"/>
              <w:rPr>
                <w:bCs w:val="0"/>
                <w:sz w:val="22"/>
                <w:szCs w:val="22"/>
              </w:rPr>
            </w:pPr>
            <w:r w:rsidRPr="0005778D">
              <w:rPr>
                <w:bCs w:val="0"/>
                <w:sz w:val="22"/>
                <w:szCs w:val="22"/>
              </w:rPr>
              <w:t>(</w:t>
            </w:r>
            <w:r w:rsidR="00461489">
              <w:rPr>
                <w:bCs w:val="0"/>
                <w:sz w:val="22"/>
                <w:szCs w:val="22"/>
              </w:rPr>
              <w:t>D</w:t>
            </w:r>
            <w:r w:rsidRPr="0005778D">
              <w:rPr>
                <w:bCs w:val="0"/>
                <w:sz w:val="22"/>
                <w:szCs w:val="22"/>
              </w:rPr>
              <w:t>) = (B</w:t>
            </w:r>
            <w:r w:rsidR="00461489">
              <w:rPr>
                <w:bCs w:val="0"/>
                <w:sz w:val="22"/>
                <w:szCs w:val="22"/>
              </w:rPr>
              <w:t xml:space="preserve"> </w:t>
            </w:r>
            <w:r w:rsidRPr="0005778D" w:rsidR="00461489">
              <w:rPr>
                <w:bCs w:val="0"/>
                <w:sz w:val="22"/>
                <w:szCs w:val="22"/>
              </w:rPr>
              <w:t>x</w:t>
            </w:r>
            <w:r w:rsidR="00461489">
              <w:rPr>
                <w:bCs w:val="0"/>
                <w:sz w:val="22"/>
                <w:szCs w:val="22"/>
              </w:rPr>
              <w:t xml:space="preserve"> C</w:t>
            </w:r>
            <w:r w:rsidRPr="0005778D">
              <w:rPr>
                <w:bCs w:val="0"/>
                <w:sz w:val="22"/>
                <w:szCs w:val="22"/>
              </w:rPr>
              <w:t>)</w:t>
            </w:r>
          </w:p>
        </w:tc>
        <w:tc>
          <w:tcPr>
            <w:tcW w:w="1170" w:type="dxa"/>
            <w:tcBorders>
              <w:top w:val="nil"/>
              <w:left w:val="nil"/>
              <w:bottom w:val="single" w:sz="4" w:space="0" w:color="auto"/>
              <w:right w:val="single" w:sz="4" w:space="0" w:color="auto"/>
            </w:tcBorders>
            <w:vAlign w:val="center"/>
            <w:hideMark/>
          </w:tcPr>
          <w:p w:rsidR="00896EA1" w:rsidRPr="0005778D" w14:paraId="07270F2B" w14:textId="716C2AC3">
            <w:pPr>
              <w:widowControl/>
              <w:jc w:val="center"/>
              <w:rPr>
                <w:bCs w:val="0"/>
                <w:sz w:val="22"/>
                <w:szCs w:val="22"/>
              </w:rPr>
            </w:pPr>
            <w:r w:rsidRPr="0005778D">
              <w:rPr>
                <w:bCs w:val="0"/>
                <w:sz w:val="22"/>
                <w:szCs w:val="22"/>
              </w:rPr>
              <w:t>(</w:t>
            </w:r>
            <w:r w:rsidR="00461489">
              <w:rPr>
                <w:bCs w:val="0"/>
                <w:sz w:val="22"/>
                <w:szCs w:val="22"/>
              </w:rPr>
              <w:t>E</w:t>
            </w:r>
            <w:r w:rsidRPr="0005778D">
              <w:rPr>
                <w:bCs w:val="0"/>
                <w:sz w:val="22"/>
                <w:szCs w:val="22"/>
              </w:rPr>
              <w:t>)</w:t>
            </w:r>
          </w:p>
        </w:tc>
        <w:tc>
          <w:tcPr>
            <w:tcW w:w="2070" w:type="dxa"/>
            <w:tcBorders>
              <w:top w:val="nil"/>
              <w:left w:val="nil"/>
              <w:bottom w:val="single" w:sz="4" w:space="0" w:color="auto"/>
              <w:right w:val="single" w:sz="4" w:space="0" w:color="auto"/>
            </w:tcBorders>
            <w:vAlign w:val="center"/>
            <w:hideMark/>
          </w:tcPr>
          <w:p w:rsidR="00896EA1" w:rsidRPr="0005778D" w14:paraId="007D9195" w14:textId="271DE354">
            <w:pPr>
              <w:widowControl/>
              <w:jc w:val="center"/>
              <w:rPr>
                <w:bCs w:val="0"/>
                <w:sz w:val="22"/>
                <w:szCs w:val="22"/>
              </w:rPr>
            </w:pPr>
            <w:r w:rsidRPr="0005778D">
              <w:rPr>
                <w:bCs w:val="0"/>
                <w:sz w:val="22"/>
                <w:szCs w:val="22"/>
              </w:rPr>
              <w:t>(</w:t>
            </w:r>
            <w:r w:rsidR="00461489">
              <w:rPr>
                <w:bCs w:val="0"/>
                <w:sz w:val="22"/>
                <w:szCs w:val="22"/>
              </w:rPr>
              <w:t>F</w:t>
            </w:r>
            <w:r w:rsidRPr="0005778D">
              <w:rPr>
                <w:bCs w:val="0"/>
                <w:sz w:val="22"/>
                <w:szCs w:val="22"/>
              </w:rPr>
              <w:t>) = (</w:t>
            </w:r>
            <w:r w:rsidR="00461489">
              <w:rPr>
                <w:bCs w:val="0"/>
                <w:sz w:val="22"/>
                <w:szCs w:val="22"/>
              </w:rPr>
              <w:t>D</w:t>
            </w:r>
            <w:r w:rsidRPr="0005778D">
              <w:rPr>
                <w:bCs w:val="0"/>
                <w:sz w:val="22"/>
                <w:szCs w:val="22"/>
              </w:rPr>
              <w:t xml:space="preserve"> x </w:t>
            </w:r>
            <w:r w:rsidR="00461489">
              <w:rPr>
                <w:bCs w:val="0"/>
                <w:sz w:val="22"/>
                <w:szCs w:val="22"/>
              </w:rPr>
              <w:t>E</w:t>
            </w:r>
            <w:r w:rsidRPr="0005778D">
              <w:rPr>
                <w:bCs w:val="0"/>
                <w:sz w:val="22"/>
                <w:szCs w:val="22"/>
              </w:rPr>
              <w:t>)</w:t>
            </w:r>
          </w:p>
        </w:tc>
      </w:tr>
      <w:tr w14:paraId="1ECA2882" w14:textId="77777777" w:rsidTr="00943D7F">
        <w:tblPrEx>
          <w:tblW w:w="11515" w:type="dxa"/>
          <w:jc w:val="center"/>
          <w:tblLayout w:type="fixed"/>
          <w:tblLook w:val="04A0"/>
        </w:tblPrEx>
        <w:trPr>
          <w:trHeight w:val="107"/>
          <w:jc w:val="center"/>
        </w:trPr>
        <w:tc>
          <w:tcPr>
            <w:tcW w:w="2695" w:type="dxa"/>
            <w:tcBorders>
              <w:top w:val="single" w:sz="4" w:space="0" w:color="auto"/>
              <w:left w:val="single" w:sz="4" w:space="0" w:color="auto"/>
              <w:bottom w:val="single" w:sz="4" w:space="0" w:color="auto"/>
              <w:right w:val="single" w:sz="4" w:space="0" w:color="auto"/>
            </w:tcBorders>
            <w:vAlign w:val="bottom"/>
            <w:hideMark/>
          </w:tcPr>
          <w:p w:rsidR="00896EA1" w:rsidRPr="00D05E1F" w:rsidP="00207541" w14:paraId="19F5CF67" w14:textId="41B74A72">
            <w:pPr>
              <w:widowControl/>
              <w:rPr>
                <w:b w:val="0"/>
                <w:bCs w:val="0"/>
                <w:sz w:val="22"/>
                <w:szCs w:val="22"/>
              </w:rPr>
            </w:pPr>
            <w:r>
              <w:rPr>
                <w:b w:val="0"/>
                <w:bCs w:val="0"/>
                <w:sz w:val="22"/>
                <w:szCs w:val="22"/>
              </w:rPr>
              <w:t>Attorney</w:t>
            </w:r>
            <w:r w:rsidR="0065684B">
              <w:rPr>
                <w:b w:val="0"/>
                <w:bCs w:val="0"/>
                <w:sz w:val="22"/>
                <w:szCs w:val="22"/>
              </w:rPr>
              <w:t xml:space="preserve"> </w:t>
            </w:r>
            <w:r w:rsidR="00943D7F">
              <w:rPr>
                <w:b w:val="0"/>
                <w:bCs w:val="0"/>
                <w:sz w:val="22"/>
                <w:szCs w:val="22"/>
              </w:rPr>
              <w:t xml:space="preserve">Prepare Notice </w:t>
            </w:r>
            <w:r w:rsidR="0065684B">
              <w:rPr>
                <w:b w:val="0"/>
                <w:bCs w:val="0"/>
                <w:sz w:val="22"/>
                <w:szCs w:val="22"/>
              </w:rPr>
              <w:t>(Year 1)</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06226183" w14:textId="3BA01F63">
            <w:pPr>
              <w:widowControl/>
              <w:jc w:val="center"/>
              <w:rPr>
                <w:b w:val="0"/>
                <w:bCs w:val="0"/>
                <w:sz w:val="22"/>
                <w:szCs w:val="22"/>
              </w:rPr>
            </w:pPr>
            <w:r>
              <w:rPr>
                <w:b w:val="0"/>
                <w:bCs w:val="0"/>
                <w:sz w:val="22"/>
                <w:szCs w:val="22"/>
              </w:rPr>
              <w:t>811</w:t>
            </w:r>
          </w:p>
        </w:tc>
        <w:tc>
          <w:tcPr>
            <w:tcW w:w="1350" w:type="dxa"/>
            <w:tcBorders>
              <w:top w:val="single" w:sz="4" w:space="0" w:color="auto"/>
              <w:left w:val="single" w:sz="4" w:space="0" w:color="auto"/>
              <w:bottom w:val="single" w:sz="4" w:space="0" w:color="auto"/>
              <w:right w:val="single" w:sz="4" w:space="0" w:color="auto"/>
            </w:tcBorders>
            <w:vAlign w:val="center"/>
          </w:tcPr>
          <w:p w:rsidR="00896EA1" w:rsidP="00A62B0C" w14:paraId="1A4AB0E0" w14:textId="370BDDB2">
            <w:pPr>
              <w:widowControl/>
              <w:jc w:val="center"/>
              <w:rPr>
                <w:b w:val="0"/>
                <w:bCs w:val="0"/>
                <w:color w:val="000000"/>
                <w:sz w:val="22"/>
                <w:szCs w:val="22"/>
              </w:rPr>
            </w:pPr>
            <w:r>
              <w:rPr>
                <w:b w:val="0"/>
                <w:bCs w:val="0"/>
                <w:color w:val="000000"/>
                <w:sz w:val="22"/>
                <w:szCs w:val="22"/>
              </w:rPr>
              <w:t>81</w:t>
            </w:r>
            <w:r w:rsidR="00461489">
              <w:rPr>
                <w:b w:val="0"/>
                <w:bCs w:val="0"/>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70038FD1" w14:textId="6B7FA0DA">
            <w:pPr>
              <w:widowControl/>
              <w:jc w:val="center"/>
              <w:rPr>
                <w:b w:val="0"/>
                <w:bCs w:val="0"/>
                <w:sz w:val="22"/>
                <w:szCs w:val="22"/>
              </w:rPr>
            </w:pPr>
            <w:r>
              <w:rPr>
                <w:b w:val="0"/>
                <w:bCs w:val="0"/>
                <w:color w:val="000000"/>
                <w:sz w:val="22"/>
                <w:szCs w:val="22"/>
              </w:rPr>
              <w:t>2.00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53B12BBA" w14:textId="3D727E1D">
            <w:pPr>
              <w:widowControl/>
              <w:jc w:val="center"/>
              <w:rPr>
                <w:b w:val="0"/>
                <w:bCs w:val="0"/>
                <w:sz w:val="22"/>
                <w:szCs w:val="22"/>
              </w:rPr>
            </w:pPr>
            <w:r>
              <w:rPr>
                <w:b w:val="0"/>
                <w:bCs w:val="0"/>
                <w:color w:val="000000"/>
                <w:sz w:val="22"/>
                <w:szCs w:val="22"/>
              </w:rPr>
              <w:t>1,622</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4EE76080" w14:textId="6BA107E6">
            <w:pPr>
              <w:widowControl/>
              <w:jc w:val="center"/>
              <w:rPr>
                <w:b w:val="0"/>
                <w:bCs w:val="0"/>
                <w:sz w:val="22"/>
                <w:szCs w:val="22"/>
              </w:rPr>
            </w:pPr>
            <w:r w:rsidRPr="00207541">
              <w:rPr>
                <w:b w:val="0"/>
                <w:bCs w:val="0"/>
                <w:color w:val="000000"/>
                <w:sz w:val="22"/>
                <w:szCs w:val="22"/>
              </w:rPr>
              <w:t>$1</w:t>
            </w:r>
            <w:r>
              <w:rPr>
                <w:b w:val="0"/>
                <w:bCs w:val="0"/>
                <w:color w:val="000000"/>
                <w:sz w:val="22"/>
                <w:szCs w:val="22"/>
              </w:rPr>
              <w:t>87.58</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1D6DF7DA" w14:textId="76E53AA4">
            <w:pPr>
              <w:widowControl/>
              <w:jc w:val="center"/>
              <w:rPr>
                <w:b w:val="0"/>
                <w:bCs w:val="0"/>
                <w:sz w:val="22"/>
                <w:szCs w:val="22"/>
              </w:rPr>
            </w:pPr>
            <w:r w:rsidRPr="00207541">
              <w:rPr>
                <w:b w:val="0"/>
                <w:bCs w:val="0"/>
                <w:color w:val="000000"/>
                <w:sz w:val="22"/>
                <w:szCs w:val="22"/>
              </w:rPr>
              <w:t>$</w:t>
            </w:r>
            <w:r>
              <w:rPr>
                <w:b w:val="0"/>
                <w:bCs w:val="0"/>
                <w:color w:val="000000"/>
                <w:sz w:val="22"/>
                <w:szCs w:val="22"/>
              </w:rPr>
              <w:t>304,255</w:t>
            </w:r>
          </w:p>
        </w:tc>
      </w:tr>
      <w:tr w14:paraId="52B6955B" w14:textId="77777777" w:rsidTr="00943D7F">
        <w:tblPrEx>
          <w:tblW w:w="11515" w:type="dxa"/>
          <w:jc w:val="center"/>
          <w:tblLayout w:type="fixed"/>
          <w:tblLook w:val="04A0"/>
        </w:tblPrEx>
        <w:trPr>
          <w:trHeight w:val="125"/>
          <w:jc w:val="center"/>
        </w:trPr>
        <w:tc>
          <w:tcPr>
            <w:tcW w:w="2695" w:type="dxa"/>
            <w:tcBorders>
              <w:top w:val="single" w:sz="4" w:space="0" w:color="auto"/>
              <w:left w:val="single" w:sz="4" w:space="0" w:color="auto"/>
              <w:bottom w:val="single" w:sz="4" w:space="0" w:color="auto"/>
              <w:right w:val="single" w:sz="4" w:space="0" w:color="auto"/>
            </w:tcBorders>
            <w:vAlign w:val="bottom"/>
            <w:hideMark/>
          </w:tcPr>
          <w:p w:rsidR="00896EA1" w:rsidRPr="00261797" w:rsidP="00207541" w14:paraId="07DA9142" w14:textId="1702FEAA">
            <w:pPr>
              <w:widowControl/>
              <w:rPr>
                <w:b w:val="0"/>
                <w:bCs w:val="0"/>
                <w:sz w:val="22"/>
                <w:szCs w:val="22"/>
              </w:rPr>
            </w:pPr>
            <w:r>
              <w:rPr>
                <w:b w:val="0"/>
                <w:bCs w:val="0"/>
                <w:sz w:val="22"/>
                <w:szCs w:val="22"/>
              </w:rPr>
              <w:t>Attorney</w:t>
            </w:r>
            <w:r w:rsidR="00943D7F">
              <w:rPr>
                <w:b w:val="0"/>
                <w:bCs w:val="0"/>
                <w:sz w:val="22"/>
                <w:szCs w:val="22"/>
              </w:rPr>
              <w:t xml:space="preserve"> Modify Notice</w:t>
            </w:r>
            <w:r>
              <w:rPr>
                <w:b w:val="0"/>
                <w:bCs w:val="0"/>
                <w:sz w:val="22"/>
                <w:szCs w:val="22"/>
              </w:rPr>
              <w:t xml:space="preserve"> (Year 2)</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670337CA" w14:textId="36394C77">
            <w:pPr>
              <w:widowControl/>
              <w:jc w:val="center"/>
              <w:rPr>
                <w:b w:val="0"/>
                <w:bCs w:val="0"/>
                <w:sz w:val="22"/>
                <w:szCs w:val="22"/>
              </w:rPr>
            </w:pPr>
            <w:r>
              <w:rPr>
                <w:b w:val="0"/>
                <w:bCs w:val="0"/>
                <w:sz w:val="22"/>
                <w:szCs w:val="22"/>
              </w:rPr>
              <w:t>811</w:t>
            </w:r>
          </w:p>
        </w:tc>
        <w:tc>
          <w:tcPr>
            <w:tcW w:w="1350" w:type="dxa"/>
            <w:tcBorders>
              <w:top w:val="single" w:sz="4" w:space="0" w:color="auto"/>
              <w:left w:val="single" w:sz="4" w:space="0" w:color="auto"/>
              <w:bottom w:val="single" w:sz="4" w:space="0" w:color="auto"/>
              <w:right w:val="single" w:sz="4" w:space="0" w:color="auto"/>
            </w:tcBorders>
            <w:vAlign w:val="center"/>
          </w:tcPr>
          <w:p w:rsidR="00896EA1" w:rsidP="00A62B0C" w14:paraId="37DCE6A0" w14:textId="35662CA9">
            <w:pPr>
              <w:widowControl/>
              <w:jc w:val="center"/>
              <w:rPr>
                <w:b w:val="0"/>
                <w:bCs w:val="0"/>
                <w:color w:val="000000"/>
                <w:sz w:val="22"/>
                <w:szCs w:val="22"/>
              </w:rPr>
            </w:pPr>
            <w:r>
              <w:rPr>
                <w:b w:val="0"/>
                <w:bCs w:val="0"/>
                <w:color w:val="000000"/>
                <w:sz w:val="22"/>
                <w:szCs w:val="22"/>
              </w:rPr>
              <w:t>81</w:t>
            </w:r>
            <w:r w:rsidR="00461489">
              <w:rPr>
                <w:b w:val="0"/>
                <w:bCs w:val="0"/>
                <w:color w:val="000000"/>
                <w:sz w:val="22"/>
                <w:szCs w:val="22"/>
              </w:rPr>
              <w:t>1</w:t>
            </w:r>
          </w:p>
        </w:tc>
        <w:tc>
          <w:tcPr>
            <w:tcW w:w="171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01801DAC" w14:textId="145C66B5">
            <w:pPr>
              <w:widowControl/>
              <w:jc w:val="center"/>
              <w:rPr>
                <w:b w:val="0"/>
                <w:bCs w:val="0"/>
                <w:sz w:val="22"/>
                <w:szCs w:val="22"/>
              </w:rPr>
            </w:pPr>
            <w:r>
              <w:rPr>
                <w:b w:val="0"/>
                <w:bCs w:val="0"/>
                <w:color w:val="000000"/>
                <w:sz w:val="22"/>
                <w:szCs w:val="22"/>
              </w:rPr>
              <w:t>1.00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2AFF086E" w14:textId="5BC09F04">
            <w:pPr>
              <w:widowControl/>
              <w:jc w:val="center"/>
              <w:rPr>
                <w:b w:val="0"/>
                <w:bCs w:val="0"/>
                <w:sz w:val="22"/>
                <w:szCs w:val="22"/>
              </w:rPr>
            </w:pPr>
            <w:r>
              <w:rPr>
                <w:b w:val="0"/>
                <w:bCs w:val="0"/>
                <w:color w:val="000000"/>
                <w:sz w:val="22"/>
                <w:szCs w:val="22"/>
              </w:rPr>
              <w:t>811</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14F33F9A" w14:textId="7982814B">
            <w:pPr>
              <w:widowControl/>
              <w:jc w:val="center"/>
              <w:rPr>
                <w:b w:val="0"/>
                <w:bCs w:val="0"/>
                <w:sz w:val="22"/>
                <w:szCs w:val="22"/>
              </w:rPr>
            </w:pPr>
            <w:r w:rsidRPr="00207541">
              <w:rPr>
                <w:b w:val="0"/>
                <w:bCs w:val="0"/>
                <w:color w:val="000000"/>
                <w:sz w:val="22"/>
                <w:szCs w:val="22"/>
              </w:rPr>
              <w:t>$1</w:t>
            </w:r>
            <w:r>
              <w:rPr>
                <w:b w:val="0"/>
                <w:bCs w:val="0"/>
                <w:color w:val="000000"/>
                <w:sz w:val="22"/>
                <w:szCs w:val="22"/>
              </w:rPr>
              <w:t>87.58</w:t>
            </w:r>
          </w:p>
        </w:tc>
        <w:tc>
          <w:tcPr>
            <w:tcW w:w="2070" w:type="dxa"/>
            <w:tcBorders>
              <w:top w:val="single" w:sz="4" w:space="0" w:color="auto"/>
              <w:left w:val="single" w:sz="4" w:space="0" w:color="auto"/>
              <w:bottom w:val="single" w:sz="4" w:space="0" w:color="auto"/>
              <w:right w:val="single" w:sz="4" w:space="0" w:color="auto"/>
            </w:tcBorders>
            <w:noWrap/>
            <w:vAlign w:val="center"/>
            <w:hideMark/>
          </w:tcPr>
          <w:p w:rsidR="00896EA1" w:rsidRPr="00207541" w:rsidP="00A62B0C" w14:paraId="52DBBB8B" w14:textId="4D721DDB">
            <w:pPr>
              <w:widowControl/>
              <w:jc w:val="center"/>
              <w:rPr>
                <w:b w:val="0"/>
                <w:bCs w:val="0"/>
                <w:sz w:val="22"/>
                <w:szCs w:val="22"/>
              </w:rPr>
            </w:pPr>
            <w:r w:rsidRPr="00207541">
              <w:rPr>
                <w:b w:val="0"/>
                <w:bCs w:val="0"/>
                <w:color w:val="000000"/>
                <w:sz w:val="22"/>
                <w:szCs w:val="22"/>
              </w:rPr>
              <w:t>$</w:t>
            </w:r>
            <w:r>
              <w:rPr>
                <w:b w:val="0"/>
                <w:bCs w:val="0"/>
                <w:color w:val="000000"/>
                <w:sz w:val="22"/>
                <w:szCs w:val="22"/>
              </w:rPr>
              <w:t>152,127</w:t>
            </w:r>
          </w:p>
        </w:tc>
      </w:tr>
      <w:tr w14:paraId="09F25BFA" w14:textId="77777777" w:rsidTr="00943D7F">
        <w:tblPrEx>
          <w:tblW w:w="11515" w:type="dxa"/>
          <w:jc w:val="center"/>
          <w:tblLayout w:type="fixed"/>
          <w:tblLook w:val="04A0"/>
        </w:tblPrEx>
        <w:trPr>
          <w:trHeight w:val="125"/>
          <w:jc w:val="center"/>
        </w:trPr>
        <w:tc>
          <w:tcPr>
            <w:tcW w:w="2695" w:type="dxa"/>
            <w:tcBorders>
              <w:top w:val="single" w:sz="4" w:space="0" w:color="auto"/>
              <w:left w:val="single" w:sz="4" w:space="0" w:color="auto"/>
              <w:bottom w:val="single" w:sz="4" w:space="0" w:color="auto"/>
              <w:right w:val="single" w:sz="4" w:space="0" w:color="auto"/>
            </w:tcBorders>
            <w:vAlign w:val="bottom"/>
          </w:tcPr>
          <w:p w:rsidR="00D80C02" w:rsidP="00207541" w14:paraId="7C06A06C" w14:textId="70B929AB">
            <w:pPr>
              <w:widowControl/>
              <w:rPr>
                <w:b w:val="0"/>
                <w:bCs w:val="0"/>
                <w:sz w:val="22"/>
                <w:szCs w:val="22"/>
              </w:rPr>
            </w:pPr>
            <w:r>
              <w:rPr>
                <w:b w:val="0"/>
                <w:bCs w:val="0"/>
                <w:sz w:val="22"/>
                <w:szCs w:val="22"/>
              </w:rPr>
              <w:t>Attorney</w:t>
            </w:r>
            <w:r w:rsidR="00943D7F">
              <w:rPr>
                <w:b w:val="0"/>
                <w:bCs w:val="0"/>
                <w:sz w:val="22"/>
                <w:szCs w:val="22"/>
              </w:rPr>
              <w:t xml:space="preserve"> Modify Notice</w:t>
            </w:r>
            <w:r>
              <w:rPr>
                <w:b w:val="0"/>
                <w:bCs w:val="0"/>
                <w:sz w:val="22"/>
                <w:szCs w:val="22"/>
              </w:rPr>
              <w:t xml:space="preserve"> (Year 3)</w:t>
            </w:r>
          </w:p>
        </w:tc>
        <w:tc>
          <w:tcPr>
            <w:tcW w:w="1440" w:type="dxa"/>
            <w:tcBorders>
              <w:top w:val="single" w:sz="4" w:space="0" w:color="auto"/>
              <w:left w:val="single" w:sz="4" w:space="0" w:color="auto"/>
              <w:bottom w:val="single" w:sz="4" w:space="0" w:color="auto"/>
              <w:right w:val="single" w:sz="4" w:space="0" w:color="auto"/>
            </w:tcBorders>
            <w:noWrap/>
            <w:vAlign w:val="center"/>
          </w:tcPr>
          <w:p w:rsidR="00D80C02" w:rsidP="00A62B0C" w14:paraId="2545379D" w14:textId="3C5F678E">
            <w:pPr>
              <w:widowControl/>
              <w:jc w:val="center"/>
              <w:rPr>
                <w:b w:val="0"/>
                <w:bCs w:val="0"/>
                <w:sz w:val="22"/>
                <w:szCs w:val="22"/>
              </w:rPr>
            </w:pPr>
            <w:r>
              <w:rPr>
                <w:b w:val="0"/>
                <w:bCs w:val="0"/>
                <w:sz w:val="22"/>
                <w:szCs w:val="22"/>
              </w:rPr>
              <w:t>811</w:t>
            </w:r>
          </w:p>
        </w:tc>
        <w:tc>
          <w:tcPr>
            <w:tcW w:w="1350" w:type="dxa"/>
            <w:tcBorders>
              <w:top w:val="single" w:sz="4" w:space="0" w:color="auto"/>
              <w:left w:val="single" w:sz="4" w:space="0" w:color="auto"/>
              <w:bottom w:val="single" w:sz="4" w:space="0" w:color="auto"/>
              <w:right w:val="single" w:sz="4" w:space="0" w:color="auto"/>
            </w:tcBorders>
            <w:vAlign w:val="center"/>
          </w:tcPr>
          <w:p w:rsidR="00D80C02" w:rsidP="00A62B0C" w14:paraId="6B73368F" w14:textId="7B98F169">
            <w:pPr>
              <w:widowControl/>
              <w:jc w:val="center"/>
              <w:rPr>
                <w:b w:val="0"/>
                <w:bCs w:val="0"/>
                <w:color w:val="000000"/>
                <w:sz w:val="22"/>
                <w:szCs w:val="22"/>
              </w:rPr>
            </w:pPr>
            <w:r>
              <w:rPr>
                <w:b w:val="0"/>
                <w:bCs w:val="0"/>
                <w:color w:val="000000"/>
                <w:sz w:val="22"/>
                <w:szCs w:val="22"/>
              </w:rPr>
              <w:t>811</w:t>
            </w:r>
          </w:p>
        </w:tc>
        <w:tc>
          <w:tcPr>
            <w:tcW w:w="1710" w:type="dxa"/>
            <w:tcBorders>
              <w:top w:val="single" w:sz="4" w:space="0" w:color="auto"/>
              <w:left w:val="single" w:sz="4" w:space="0" w:color="auto"/>
              <w:bottom w:val="single" w:sz="4" w:space="0" w:color="auto"/>
              <w:right w:val="single" w:sz="4" w:space="0" w:color="auto"/>
            </w:tcBorders>
            <w:noWrap/>
            <w:vAlign w:val="center"/>
          </w:tcPr>
          <w:p w:rsidR="00D80C02" w:rsidP="00A62B0C" w14:paraId="3E00F274" w14:textId="4BE57880">
            <w:pPr>
              <w:widowControl/>
              <w:jc w:val="center"/>
              <w:rPr>
                <w:b w:val="0"/>
                <w:bCs w:val="0"/>
                <w:color w:val="000000"/>
                <w:sz w:val="22"/>
                <w:szCs w:val="22"/>
              </w:rPr>
            </w:pPr>
            <w:r>
              <w:rPr>
                <w:b w:val="0"/>
                <w:bCs w:val="0"/>
                <w:color w:val="000000"/>
                <w:sz w:val="22"/>
                <w:szCs w:val="22"/>
              </w:rPr>
              <w:t>1.00</w:t>
            </w:r>
          </w:p>
        </w:tc>
        <w:tc>
          <w:tcPr>
            <w:tcW w:w="1080" w:type="dxa"/>
            <w:tcBorders>
              <w:top w:val="single" w:sz="4" w:space="0" w:color="auto"/>
              <w:left w:val="single" w:sz="4" w:space="0" w:color="auto"/>
              <w:bottom w:val="single" w:sz="4" w:space="0" w:color="auto"/>
              <w:right w:val="single" w:sz="4" w:space="0" w:color="auto"/>
            </w:tcBorders>
            <w:noWrap/>
            <w:vAlign w:val="center"/>
          </w:tcPr>
          <w:p w:rsidR="00D80C02" w:rsidP="00A62B0C" w14:paraId="45621233" w14:textId="281AE9DB">
            <w:pPr>
              <w:widowControl/>
              <w:jc w:val="center"/>
              <w:rPr>
                <w:b w:val="0"/>
                <w:bCs w:val="0"/>
                <w:color w:val="000000"/>
                <w:sz w:val="22"/>
                <w:szCs w:val="22"/>
              </w:rPr>
            </w:pPr>
            <w:r>
              <w:rPr>
                <w:b w:val="0"/>
                <w:bCs w:val="0"/>
                <w:color w:val="000000"/>
                <w:sz w:val="22"/>
                <w:szCs w:val="22"/>
              </w:rPr>
              <w:t>811</w:t>
            </w:r>
          </w:p>
        </w:tc>
        <w:tc>
          <w:tcPr>
            <w:tcW w:w="1170" w:type="dxa"/>
            <w:tcBorders>
              <w:top w:val="single" w:sz="4" w:space="0" w:color="auto"/>
              <w:left w:val="single" w:sz="4" w:space="0" w:color="auto"/>
              <w:bottom w:val="single" w:sz="4" w:space="0" w:color="auto"/>
              <w:right w:val="single" w:sz="4" w:space="0" w:color="auto"/>
            </w:tcBorders>
            <w:noWrap/>
            <w:vAlign w:val="center"/>
          </w:tcPr>
          <w:p w:rsidR="00D80C02" w:rsidRPr="00207541" w:rsidP="00A62B0C" w14:paraId="5E6101FF" w14:textId="138898E1">
            <w:pPr>
              <w:widowControl/>
              <w:jc w:val="center"/>
              <w:rPr>
                <w:b w:val="0"/>
                <w:bCs w:val="0"/>
                <w:color w:val="000000"/>
                <w:sz w:val="22"/>
                <w:szCs w:val="22"/>
              </w:rPr>
            </w:pPr>
            <w:r>
              <w:rPr>
                <w:b w:val="0"/>
                <w:bCs w:val="0"/>
                <w:color w:val="000000"/>
                <w:sz w:val="22"/>
                <w:szCs w:val="22"/>
              </w:rPr>
              <w:t>$187.58</w:t>
            </w:r>
          </w:p>
        </w:tc>
        <w:tc>
          <w:tcPr>
            <w:tcW w:w="2070" w:type="dxa"/>
            <w:tcBorders>
              <w:top w:val="single" w:sz="4" w:space="0" w:color="auto"/>
              <w:left w:val="single" w:sz="4" w:space="0" w:color="auto"/>
              <w:bottom w:val="single" w:sz="4" w:space="0" w:color="auto"/>
              <w:right w:val="single" w:sz="4" w:space="0" w:color="auto"/>
            </w:tcBorders>
            <w:noWrap/>
            <w:vAlign w:val="center"/>
          </w:tcPr>
          <w:p w:rsidR="00D80C02" w:rsidRPr="00207541" w:rsidP="00A62B0C" w14:paraId="4A967AD0" w14:textId="1AB26D85">
            <w:pPr>
              <w:widowControl/>
              <w:jc w:val="center"/>
              <w:rPr>
                <w:b w:val="0"/>
                <w:bCs w:val="0"/>
                <w:color w:val="000000"/>
                <w:sz w:val="22"/>
                <w:szCs w:val="22"/>
              </w:rPr>
            </w:pPr>
            <w:r>
              <w:rPr>
                <w:b w:val="0"/>
                <w:bCs w:val="0"/>
                <w:color w:val="000000"/>
                <w:sz w:val="22"/>
                <w:szCs w:val="22"/>
              </w:rPr>
              <w:t>$152,127</w:t>
            </w:r>
          </w:p>
        </w:tc>
      </w:tr>
      <w:tr w14:paraId="0985CF39" w14:textId="77777777" w:rsidTr="00943D7F">
        <w:tblPrEx>
          <w:tblW w:w="11515" w:type="dxa"/>
          <w:jc w:val="center"/>
          <w:tblLayout w:type="fixed"/>
          <w:tblLook w:val="04A0"/>
        </w:tblPrEx>
        <w:trPr>
          <w:trHeight w:val="302"/>
          <w:jc w:val="center"/>
        </w:trPr>
        <w:tc>
          <w:tcPr>
            <w:tcW w:w="2695" w:type="dxa"/>
            <w:tcBorders>
              <w:top w:val="single" w:sz="4" w:space="0" w:color="auto"/>
              <w:left w:val="single" w:sz="4" w:space="0" w:color="auto"/>
              <w:bottom w:val="single" w:sz="4" w:space="0" w:color="auto"/>
              <w:right w:val="single" w:sz="4" w:space="0" w:color="auto"/>
            </w:tcBorders>
            <w:noWrap/>
            <w:vAlign w:val="bottom"/>
          </w:tcPr>
          <w:p w:rsidR="00896EA1" w:rsidP="00EB5F3D" w14:paraId="264E4AFE" w14:textId="1E73286B">
            <w:pPr>
              <w:widowControl/>
              <w:rPr>
                <w:bCs w:val="0"/>
                <w:sz w:val="22"/>
                <w:szCs w:val="22"/>
              </w:rPr>
            </w:pPr>
            <w:r>
              <w:rPr>
                <w:bCs w:val="0"/>
                <w:sz w:val="22"/>
                <w:szCs w:val="22"/>
              </w:rPr>
              <w:t xml:space="preserve">Three-Year </w:t>
            </w:r>
            <w:r>
              <w:rPr>
                <w:bCs w:val="0"/>
                <w:sz w:val="22"/>
                <w:szCs w:val="22"/>
              </w:rPr>
              <w:t>Total</w:t>
            </w:r>
          </w:p>
        </w:tc>
        <w:tc>
          <w:tcPr>
            <w:tcW w:w="1440" w:type="dxa"/>
            <w:tcBorders>
              <w:top w:val="single" w:sz="4" w:space="0" w:color="auto"/>
              <w:left w:val="single" w:sz="4" w:space="0" w:color="auto"/>
              <w:bottom w:val="single" w:sz="4" w:space="0" w:color="auto"/>
              <w:right w:val="single" w:sz="4" w:space="0" w:color="auto"/>
            </w:tcBorders>
            <w:noWrap/>
            <w:vAlign w:val="center"/>
          </w:tcPr>
          <w:p w:rsidR="00896EA1" w:rsidP="00A62B0C" w14:paraId="249FC96B" w14:textId="26F1C62F">
            <w:pPr>
              <w:widowControl/>
              <w:jc w:val="center"/>
              <w:rPr>
                <w:sz w:val="22"/>
                <w:szCs w:val="22"/>
              </w:rPr>
            </w:pPr>
            <w:r>
              <w:rPr>
                <w:sz w:val="22"/>
                <w:szCs w:val="22"/>
              </w:rPr>
              <w:t>811</w:t>
            </w:r>
          </w:p>
        </w:tc>
        <w:tc>
          <w:tcPr>
            <w:tcW w:w="1350" w:type="dxa"/>
            <w:tcBorders>
              <w:top w:val="single" w:sz="4" w:space="0" w:color="auto"/>
              <w:left w:val="nil"/>
              <w:bottom w:val="single" w:sz="4" w:space="0" w:color="auto"/>
              <w:right w:val="single" w:sz="4" w:space="0" w:color="auto"/>
            </w:tcBorders>
            <w:vAlign w:val="center"/>
          </w:tcPr>
          <w:p w:rsidR="00896EA1" w:rsidRPr="005A7777" w:rsidP="00A62B0C" w14:paraId="44637F6F" w14:textId="48307F74">
            <w:pPr>
              <w:widowControl/>
              <w:jc w:val="center"/>
              <w:rPr>
                <w:sz w:val="22"/>
                <w:szCs w:val="22"/>
              </w:rPr>
            </w:pPr>
            <w:r>
              <w:rPr>
                <w:sz w:val="22"/>
                <w:szCs w:val="22"/>
              </w:rPr>
              <w:t>17,868,973</w:t>
            </w:r>
            <w:r w:rsidR="00A53998">
              <w:rPr>
                <w:sz w:val="22"/>
                <w:szCs w:val="22"/>
              </w:rPr>
              <w:t>*</w:t>
            </w:r>
          </w:p>
        </w:tc>
        <w:tc>
          <w:tcPr>
            <w:tcW w:w="1710" w:type="dxa"/>
            <w:tcBorders>
              <w:top w:val="single" w:sz="4" w:space="0" w:color="auto"/>
              <w:left w:val="single" w:sz="4" w:space="0" w:color="auto"/>
              <w:bottom w:val="single" w:sz="4" w:space="0" w:color="auto"/>
              <w:right w:val="single" w:sz="4" w:space="0" w:color="auto"/>
            </w:tcBorders>
            <w:noWrap/>
            <w:vAlign w:val="center"/>
          </w:tcPr>
          <w:p w:rsidR="00896EA1" w:rsidRPr="005A7777" w:rsidP="00A62B0C" w14:paraId="20FECADD" w14:textId="15E60E92">
            <w:pPr>
              <w:widowControl/>
              <w:jc w:val="center"/>
              <w:rPr>
                <w:sz w:val="22"/>
                <w:szCs w:val="22"/>
              </w:rPr>
            </w:pPr>
            <w:r>
              <w:rPr>
                <w:sz w:val="22"/>
                <w:szCs w:val="22"/>
              </w:rPr>
              <w:t>-</w:t>
            </w:r>
          </w:p>
        </w:tc>
        <w:tc>
          <w:tcPr>
            <w:tcW w:w="1080" w:type="dxa"/>
            <w:tcBorders>
              <w:top w:val="single" w:sz="4" w:space="0" w:color="auto"/>
              <w:left w:val="single" w:sz="4" w:space="0" w:color="auto"/>
              <w:bottom w:val="single" w:sz="4" w:space="0" w:color="auto"/>
              <w:right w:val="single" w:sz="4" w:space="0" w:color="auto"/>
            </w:tcBorders>
            <w:noWrap/>
            <w:vAlign w:val="center"/>
          </w:tcPr>
          <w:p w:rsidR="00896EA1" w:rsidRPr="005A7777" w:rsidP="00A62B0C" w14:paraId="69B95494" w14:textId="4CB113AF">
            <w:pPr>
              <w:widowControl/>
              <w:jc w:val="center"/>
              <w:rPr>
                <w:sz w:val="22"/>
                <w:szCs w:val="22"/>
              </w:rPr>
            </w:pPr>
            <w:r>
              <w:rPr>
                <w:sz w:val="22"/>
                <w:szCs w:val="22"/>
              </w:rPr>
              <w:t>3,244</w:t>
            </w:r>
          </w:p>
        </w:tc>
        <w:tc>
          <w:tcPr>
            <w:tcW w:w="1170" w:type="dxa"/>
            <w:tcBorders>
              <w:top w:val="single" w:sz="4" w:space="0" w:color="auto"/>
              <w:left w:val="nil"/>
              <w:bottom w:val="single" w:sz="4" w:space="0" w:color="auto"/>
              <w:right w:val="single" w:sz="4" w:space="0" w:color="auto"/>
            </w:tcBorders>
            <w:noWrap/>
            <w:vAlign w:val="center"/>
          </w:tcPr>
          <w:p w:rsidR="00896EA1" w:rsidRPr="005A7777" w:rsidP="00A62B0C" w14:paraId="05EE98DF" w14:textId="657F8B4B">
            <w:pPr>
              <w:widowControl/>
              <w:jc w:val="center"/>
              <w:rPr>
                <w:sz w:val="22"/>
                <w:szCs w:val="22"/>
              </w:rPr>
            </w:pPr>
            <w:r>
              <w:rPr>
                <w:sz w:val="22"/>
                <w:szCs w:val="22"/>
              </w:rPr>
              <w:t>-</w:t>
            </w:r>
          </w:p>
        </w:tc>
        <w:tc>
          <w:tcPr>
            <w:tcW w:w="2070" w:type="dxa"/>
            <w:tcBorders>
              <w:top w:val="single" w:sz="4" w:space="0" w:color="auto"/>
              <w:left w:val="nil"/>
              <w:bottom w:val="single" w:sz="4" w:space="0" w:color="auto"/>
              <w:right w:val="single" w:sz="4" w:space="0" w:color="auto"/>
            </w:tcBorders>
            <w:noWrap/>
            <w:vAlign w:val="center"/>
          </w:tcPr>
          <w:p w:rsidR="00896EA1" w:rsidRPr="005A7777" w:rsidP="00A62B0C" w14:paraId="2D6B5417" w14:textId="11C647EB">
            <w:pPr>
              <w:widowControl/>
              <w:jc w:val="center"/>
              <w:rPr>
                <w:sz w:val="22"/>
                <w:szCs w:val="22"/>
              </w:rPr>
            </w:pPr>
            <w:r>
              <w:rPr>
                <w:sz w:val="22"/>
                <w:szCs w:val="22"/>
              </w:rPr>
              <w:t>$</w:t>
            </w:r>
            <w:r w:rsidR="00DE1DC0">
              <w:rPr>
                <w:sz w:val="22"/>
                <w:szCs w:val="22"/>
              </w:rPr>
              <w:t>608,510</w:t>
            </w:r>
          </w:p>
        </w:tc>
      </w:tr>
      <w:tr w14:paraId="5AD015FE" w14:textId="77777777" w:rsidTr="00943D7F">
        <w:tblPrEx>
          <w:tblW w:w="11515" w:type="dxa"/>
          <w:jc w:val="center"/>
          <w:tblLayout w:type="fixed"/>
          <w:tblLook w:val="04A0"/>
        </w:tblPrEx>
        <w:trPr>
          <w:trHeight w:val="302"/>
          <w:jc w:val="center"/>
        </w:trPr>
        <w:tc>
          <w:tcPr>
            <w:tcW w:w="2695" w:type="dxa"/>
            <w:tcBorders>
              <w:top w:val="single" w:sz="4" w:space="0" w:color="auto"/>
              <w:left w:val="single" w:sz="4" w:space="0" w:color="auto"/>
              <w:bottom w:val="single" w:sz="4" w:space="0" w:color="auto"/>
              <w:right w:val="single" w:sz="4" w:space="0" w:color="auto"/>
            </w:tcBorders>
            <w:noWrap/>
            <w:vAlign w:val="bottom"/>
          </w:tcPr>
          <w:p w:rsidR="00896EA1" w:rsidP="005558D2" w14:paraId="27A71F04" w14:textId="341C6FFF">
            <w:pPr>
              <w:widowControl/>
              <w:rPr>
                <w:bCs w:val="0"/>
                <w:sz w:val="22"/>
                <w:szCs w:val="22"/>
              </w:rPr>
            </w:pPr>
            <w:r>
              <w:rPr>
                <w:bCs w:val="0"/>
                <w:sz w:val="22"/>
                <w:szCs w:val="22"/>
              </w:rPr>
              <w:t xml:space="preserve">Three-Year Average </w:t>
            </w:r>
          </w:p>
        </w:tc>
        <w:tc>
          <w:tcPr>
            <w:tcW w:w="1440" w:type="dxa"/>
            <w:tcBorders>
              <w:top w:val="single" w:sz="4" w:space="0" w:color="auto"/>
              <w:left w:val="single" w:sz="4" w:space="0" w:color="auto"/>
              <w:bottom w:val="single" w:sz="4" w:space="0" w:color="auto"/>
              <w:right w:val="single" w:sz="4" w:space="0" w:color="auto"/>
            </w:tcBorders>
            <w:noWrap/>
            <w:vAlign w:val="center"/>
          </w:tcPr>
          <w:p w:rsidR="00896EA1" w:rsidP="00A62B0C" w14:paraId="515DB654" w14:textId="4F12D789">
            <w:pPr>
              <w:widowControl/>
              <w:jc w:val="center"/>
              <w:rPr>
                <w:sz w:val="22"/>
                <w:szCs w:val="22"/>
              </w:rPr>
            </w:pPr>
            <w:r>
              <w:rPr>
                <w:sz w:val="22"/>
                <w:szCs w:val="22"/>
              </w:rPr>
              <w:t>811</w:t>
            </w:r>
          </w:p>
        </w:tc>
        <w:tc>
          <w:tcPr>
            <w:tcW w:w="1350" w:type="dxa"/>
            <w:tcBorders>
              <w:top w:val="single" w:sz="4" w:space="0" w:color="auto"/>
              <w:left w:val="nil"/>
              <w:bottom w:val="single" w:sz="4" w:space="0" w:color="auto"/>
              <w:right w:val="single" w:sz="4" w:space="0" w:color="auto"/>
            </w:tcBorders>
            <w:vAlign w:val="center"/>
          </w:tcPr>
          <w:p w:rsidR="00896EA1" w:rsidP="00A62B0C" w14:paraId="3AA1D3F9" w14:textId="07ABF3E0">
            <w:pPr>
              <w:widowControl/>
              <w:jc w:val="center"/>
              <w:rPr>
                <w:sz w:val="22"/>
                <w:szCs w:val="22"/>
              </w:rPr>
            </w:pPr>
            <w:r>
              <w:rPr>
                <w:sz w:val="22"/>
                <w:szCs w:val="22"/>
              </w:rPr>
              <w:t>17,868,973</w:t>
            </w:r>
          </w:p>
        </w:tc>
        <w:tc>
          <w:tcPr>
            <w:tcW w:w="1710" w:type="dxa"/>
            <w:tcBorders>
              <w:top w:val="single" w:sz="4" w:space="0" w:color="auto"/>
              <w:left w:val="single" w:sz="4" w:space="0" w:color="auto"/>
              <w:bottom w:val="single" w:sz="4" w:space="0" w:color="auto"/>
              <w:right w:val="single" w:sz="4" w:space="0" w:color="auto"/>
            </w:tcBorders>
            <w:noWrap/>
            <w:vAlign w:val="center"/>
          </w:tcPr>
          <w:p w:rsidR="00896EA1" w:rsidP="00A62B0C" w14:paraId="13289CDB" w14:textId="1786BA21">
            <w:pPr>
              <w:widowControl/>
              <w:jc w:val="center"/>
              <w:rPr>
                <w:sz w:val="22"/>
                <w:szCs w:val="22"/>
              </w:rPr>
            </w:pPr>
            <w:r>
              <w:rPr>
                <w:sz w:val="22"/>
                <w:szCs w:val="22"/>
              </w:rPr>
              <w:t>-</w:t>
            </w:r>
          </w:p>
        </w:tc>
        <w:tc>
          <w:tcPr>
            <w:tcW w:w="1080" w:type="dxa"/>
            <w:tcBorders>
              <w:top w:val="single" w:sz="4" w:space="0" w:color="auto"/>
              <w:left w:val="single" w:sz="4" w:space="0" w:color="auto"/>
              <w:bottom w:val="single" w:sz="4" w:space="0" w:color="auto"/>
              <w:right w:val="single" w:sz="4" w:space="0" w:color="auto"/>
            </w:tcBorders>
            <w:noWrap/>
            <w:vAlign w:val="center"/>
          </w:tcPr>
          <w:p w:rsidR="00896EA1" w:rsidP="00A62B0C" w14:paraId="181641BF" w14:textId="63153759">
            <w:pPr>
              <w:widowControl/>
              <w:jc w:val="center"/>
              <w:rPr>
                <w:sz w:val="22"/>
                <w:szCs w:val="22"/>
              </w:rPr>
            </w:pPr>
            <w:r>
              <w:rPr>
                <w:sz w:val="22"/>
                <w:szCs w:val="22"/>
              </w:rPr>
              <w:t>1,081</w:t>
            </w:r>
          </w:p>
        </w:tc>
        <w:tc>
          <w:tcPr>
            <w:tcW w:w="1170" w:type="dxa"/>
            <w:tcBorders>
              <w:top w:val="single" w:sz="4" w:space="0" w:color="auto"/>
              <w:left w:val="nil"/>
              <w:bottom w:val="single" w:sz="4" w:space="0" w:color="auto"/>
              <w:right w:val="single" w:sz="4" w:space="0" w:color="auto"/>
            </w:tcBorders>
            <w:noWrap/>
            <w:vAlign w:val="center"/>
          </w:tcPr>
          <w:p w:rsidR="00896EA1" w:rsidP="00A62B0C" w14:paraId="28E4FB1A" w14:textId="3FF93270">
            <w:pPr>
              <w:widowControl/>
              <w:jc w:val="center"/>
              <w:rPr>
                <w:sz w:val="22"/>
                <w:szCs w:val="22"/>
              </w:rPr>
            </w:pPr>
            <w:r>
              <w:rPr>
                <w:sz w:val="22"/>
                <w:szCs w:val="22"/>
              </w:rPr>
              <w:t>-</w:t>
            </w:r>
          </w:p>
        </w:tc>
        <w:tc>
          <w:tcPr>
            <w:tcW w:w="2070" w:type="dxa"/>
            <w:tcBorders>
              <w:top w:val="single" w:sz="4" w:space="0" w:color="auto"/>
              <w:left w:val="nil"/>
              <w:bottom w:val="single" w:sz="4" w:space="0" w:color="auto"/>
              <w:right w:val="single" w:sz="4" w:space="0" w:color="auto"/>
            </w:tcBorders>
            <w:noWrap/>
            <w:vAlign w:val="center"/>
          </w:tcPr>
          <w:p w:rsidR="00896EA1" w:rsidRPr="00794113" w:rsidP="00A62B0C" w14:paraId="7381EF8E" w14:textId="5610DC1C">
            <w:pPr>
              <w:widowControl/>
              <w:jc w:val="center"/>
              <w:rPr>
                <w:sz w:val="22"/>
                <w:szCs w:val="22"/>
              </w:rPr>
            </w:pPr>
            <w:r w:rsidRPr="00794113">
              <w:rPr>
                <w:sz w:val="22"/>
                <w:szCs w:val="22"/>
              </w:rPr>
              <w:t>$</w:t>
            </w:r>
            <w:r>
              <w:rPr>
                <w:sz w:val="22"/>
                <w:szCs w:val="22"/>
              </w:rPr>
              <w:t>202,837</w:t>
            </w:r>
          </w:p>
        </w:tc>
      </w:tr>
      <w:tr w14:paraId="7C2C93A3" w14:textId="77777777" w:rsidTr="00943D7F">
        <w:tblPrEx>
          <w:tblW w:w="11515" w:type="dxa"/>
          <w:jc w:val="center"/>
          <w:tblLayout w:type="fixed"/>
          <w:tblLook w:val="04A0"/>
        </w:tblPrEx>
        <w:trPr>
          <w:trHeight w:val="302"/>
          <w:jc w:val="center"/>
        </w:trPr>
        <w:tc>
          <w:tcPr>
            <w:tcW w:w="2695" w:type="dxa"/>
            <w:tcBorders>
              <w:top w:val="single" w:sz="4" w:space="0" w:color="auto"/>
              <w:left w:val="single" w:sz="4" w:space="0" w:color="auto"/>
              <w:bottom w:val="single" w:sz="4" w:space="0" w:color="auto"/>
              <w:right w:val="single" w:sz="4" w:space="0" w:color="auto"/>
            </w:tcBorders>
            <w:noWrap/>
            <w:vAlign w:val="bottom"/>
          </w:tcPr>
          <w:p w:rsidR="00896EA1" w:rsidP="005558D2" w14:paraId="08B1E9CB" w14:textId="4095B5FF">
            <w:pPr>
              <w:widowControl/>
              <w:rPr>
                <w:bCs w:val="0"/>
                <w:sz w:val="22"/>
                <w:szCs w:val="22"/>
              </w:rPr>
            </w:pPr>
            <w:r>
              <w:rPr>
                <w:bCs w:val="0"/>
                <w:sz w:val="22"/>
                <w:szCs w:val="22"/>
              </w:rPr>
              <w:t>DOL Three-Year Average</w:t>
            </w:r>
          </w:p>
        </w:tc>
        <w:tc>
          <w:tcPr>
            <w:tcW w:w="1440" w:type="dxa"/>
            <w:tcBorders>
              <w:top w:val="single" w:sz="4" w:space="0" w:color="auto"/>
              <w:left w:val="single" w:sz="4" w:space="0" w:color="auto"/>
              <w:bottom w:val="single" w:sz="4" w:space="0" w:color="auto"/>
              <w:right w:val="single" w:sz="4" w:space="0" w:color="auto"/>
            </w:tcBorders>
            <w:noWrap/>
            <w:vAlign w:val="center"/>
          </w:tcPr>
          <w:p w:rsidR="00896EA1" w:rsidP="00A62B0C" w14:paraId="2C62CD24" w14:textId="4A6B5CAF">
            <w:pPr>
              <w:widowControl/>
              <w:jc w:val="center"/>
              <w:rPr>
                <w:sz w:val="22"/>
                <w:szCs w:val="22"/>
              </w:rPr>
            </w:pPr>
            <w:r>
              <w:rPr>
                <w:sz w:val="22"/>
                <w:szCs w:val="22"/>
              </w:rPr>
              <w:t>811</w:t>
            </w:r>
          </w:p>
        </w:tc>
        <w:tc>
          <w:tcPr>
            <w:tcW w:w="1350" w:type="dxa"/>
            <w:tcBorders>
              <w:top w:val="single" w:sz="4" w:space="0" w:color="auto"/>
              <w:left w:val="nil"/>
              <w:bottom w:val="single" w:sz="4" w:space="0" w:color="auto"/>
              <w:right w:val="single" w:sz="4" w:space="0" w:color="auto"/>
            </w:tcBorders>
            <w:vAlign w:val="center"/>
          </w:tcPr>
          <w:p w:rsidR="00896EA1" w:rsidP="00A62B0C" w14:paraId="1C5F9608" w14:textId="4D407623">
            <w:pPr>
              <w:widowControl/>
              <w:jc w:val="center"/>
              <w:rPr>
                <w:sz w:val="22"/>
                <w:szCs w:val="22"/>
              </w:rPr>
            </w:pPr>
            <w:r>
              <w:rPr>
                <w:sz w:val="22"/>
                <w:szCs w:val="22"/>
              </w:rPr>
              <w:t>17,868,</w:t>
            </w:r>
            <w:r w:rsidR="008D55D2">
              <w:rPr>
                <w:sz w:val="22"/>
                <w:szCs w:val="22"/>
              </w:rPr>
              <w:t>973</w:t>
            </w:r>
          </w:p>
        </w:tc>
        <w:tc>
          <w:tcPr>
            <w:tcW w:w="1710" w:type="dxa"/>
            <w:tcBorders>
              <w:top w:val="single" w:sz="4" w:space="0" w:color="auto"/>
              <w:left w:val="single" w:sz="4" w:space="0" w:color="auto"/>
              <w:bottom w:val="single" w:sz="4" w:space="0" w:color="auto"/>
              <w:right w:val="single" w:sz="4" w:space="0" w:color="auto"/>
            </w:tcBorders>
            <w:noWrap/>
            <w:vAlign w:val="center"/>
          </w:tcPr>
          <w:p w:rsidR="00896EA1" w:rsidP="00A62B0C" w14:paraId="6564A0FD" w14:textId="17432697">
            <w:pPr>
              <w:widowControl/>
              <w:jc w:val="center"/>
              <w:rPr>
                <w:sz w:val="22"/>
                <w:szCs w:val="22"/>
              </w:rPr>
            </w:pPr>
            <w:r>
              <w:rPr>
                <w:sz w:val="22"/>
                <w:szCs w:val="22"/>
              </w:rPr>
              <w:t>-</w:t>
            </w:r>
          </w:p>
        </w:tc>
        <w:tc>
          <w:tcPr>
            <w:tcW w:w="1080" w:type="dxa"/>
            <w:tcBorders>
              <w:top w:val="single" w:sz="4" w:space="0" w:color="auto"/>
              <w:left w:val="single" w:sz="4" w:space="0" w:color="auto"/>
              <w:bottom w:val="single" w:sz="4" w:space="0" w:color="auto"/>
              <w:right w:val="single" w:sz="4" w:space="0" w:color="auto"/>
            </w:tcBorders>
            <w:noWrap/>
            <w:vAlign w:val="center"/>
          </w:tcPr>
          <w:p w:rsidR="00896EA1" w:rsidP="00A62B0C" w14:paraId="6080EB9D" w14:textId="0413B484">
            <w:pPr>
              <w:widowControl/>
              <w:jc w:val="center"/>
              <w:rPr>
                <w:sz w:val="22"/>
                <w:szCs w:val="22"/>
              </w:rPr>
            </w:pPr>
            <w:r>
              <w:rPr>
                <w:sz w:val="22"/>
                <w:szCs w:val="22"/>
              </w:rPr>
              <w:t>270</w:t>
            </w:r>
          </w:p>
        </w:tc>
        <w:tc>
          <w:tcPr>
            <w:tcW w:w="1170" w:type="dxa"/>
            <w:tcBorders>
              <w:top w:val="single" w:sz="4" w:space="0" w:color="auto"/>
              <w:left w:val="nil"/>
              <w:bottom w:val="single" w:sz="4" w:space="0" w:color="auto"/>
              <w:right w:val="single" w:sz="4" w:space="0" w:color="auto"/>
            </w:tcBorders>
            <w:noWrap/>
            <w:vAlign w:val="center"/>
          </w:tcPr>
          <w:p w:rsidR="00896EA1" w:rsidP="00A62B0C" w14:paraId="4CDBE0D8" w14:textId="690FAA2A">
            <w:pPr>
              <w:widowControl/>
              <w:jc w:val="center"/>
              <w:rPr>
                <w:sz w:val="22"/>
                <w:szCs w:val="22"/>
              </w:rPr>
            </w:pPr>
            <w:r>
              <w:rPr>
                <w:sz w:val="22"/>
                <w:szCs w:val="22"/>
              </w:rPr>
              <w:t>-</w:t>
            </w:r>
          </w:p>
        </w:tc>
        <w:tc>
          <w:tcPr>
            <w:tcW w:w="2070" w:type="dxa"/>
            <w:tcBorders>
              <w:top w:val="single" w:sz="4" w:space="0" w:color="auto"/>
              <w:left w:val="nil"/>
              <w:bottom w:val="single" w:sz="4" w:space="0" w:color="auto"/>
              <w:right w:val="single" w:sz="4" w:space="0" w:color="auto"/>
            </w:tcBorders>
            <w:noWrap/>
            <w:vAlign w:val="center"/>
          </w:tcPr>
          <w:p w:rsidR="00896EA1" w:rsidRPr="00794113" w:rsidP="00A62B0C" w14:paraId="2A4D8D25" w14:textId="7EC1BAB7">
            <w:pPr>
              <w:widowControl/>
              <w:jc w:val="center"/>
              <w:rPr>
                <w:sz w:val="22"/>
                <w:szCs w:val="22"/>
              </w:rPr>
            </w:pPr>
            <w:r>
              <w:rPr>
                <w:sz w:val="22"/>
                <w:szCs w:val="22"/>
              </w:rPr>
              <w:t>$</w:t>
            </w:r>
            <w:r w:rsidR="000030AF">
              <w:rPr>
                <w:sz w:val="22"/>
                <w:szCs w:val="22"/>
              </w:rPr>
              <w:t>50</w:t>
            </w:r>
            <w:r>
              <w:rPr>
                <w:sz w:val="22"/>
                <w:szCs w:val="22"/>
              </w:rPr>
              <w:t>,709</w:t>
            </w:r>
            <w:r w:rsidR="00A53998">
              <w:rPr>
                <w:sz w:val="22"/>
                <w:szCs w:val="22"/>
              </w:rPr>
              <w:t>**</w:t>
            </w:r>
          </w:p>
        </w:tc>
      </w:tr>
    </w:tbl>
    <w:p w:rsidR="00A53998" w:rsidP="00A62B0C" w14:paraId="6F14DC4D" w14:textId="16303AD2">
      <w:pPr>
        <w:widowControl/>
        <w:tabs>
          <w:tab w:val="left" w:pos="-1440"/>
        </w:tabs>
        <w:rPr>
          <w:b w:val="0"/>
          <w:bCs w:val="0"/>
          <w:iCs/>
          <w:sz w:val="24"/>
          <w:szCs w:val="24"/>
        </w:rPr>
      </w:pPr>
      <w:r w:rsidRPr="00A53998">
        <w:rPr>
          <w:b w:val="0"/>
          <w:bCs w:val="0"/>
          <w:iCs/>
          <w:sz w:val="24"/>
          <w:szCs w:val="24"/>
          <w:u w:val="single"/>
        </w:rPr>
        <w:t>Note</w:t>
      </w:r>
      <w:r>
        <w:rPr>
          <w:b w:val="0"/>
          <w:bCs w:val="0"/>
          <w:iCs/>
          <w:sz w:val="24"/>
          <w:szCs w:val="24"/>
        </w:rPr>
        <w:t>:</w:t>
      </w:r>
    </w:p>
    <w:p w:rsidR="0057004B" w:rsidP="0057004B" w14:paraId="54BF1C0E" w14:textId="2660EA9A">
      <w:pPr>
        <w:widowControl/>
        <w:tabs>
          <w:tab w:val="left" w:pos="-1440"/>
        </w:tabs>
        <w:rPr>
          <w:b w:val="0"/>
          <w:sz w:val="24"/>
          <w:szCs w:val="24"/>
        </w:rPr>
      </w:pPr>
      <w:r>
        <w:rPr>
          <w:b w:val="0"/>
          <w:bCs w:val="0"/>
          <w:iCs/>
          <w:sz w:val="24"/>
          <w:szCs w:val="24"/>
        </w:rPr>
        <w:t>*</w:t>
      </w:r>
      <w:r w:rsidRPr="00A62B0C">
        <w:rPr>
          <w:b w:val="0"/>
          <w:sz w:val="24"/>
          <w:szCs w:val="24"/>
        </w:rPr>
        <w:t xml:space="preserve">The number of responses is equivalent to </w:t>
      </w:r>
      <w:r w:rsidRPr="00A62B0C" w:rsidR="00E24BE7">
        <w:rPr>
          <w:b w:val="0"/>
          <w:sz w:val="24"/>
          <w:szCs w:val="24"/>
        </w:rPr>
        <w:t xml:space="preserve">the number of notices mailed </w:t>
      </w:r>
      <w:r w:rsidRPr="00A62B0C" w:rsidR="00AC7575">
        <w:rPr>
          <w:b w:val="0"/>
          <w:sz w:val="24"/>
          <w:szCs w:val="24"/>
        </w:rPr>
        <w:t xml:space="preserve">(17,868,162) </w:t>
      </w:r>
      <w:r w:rsidRPr="00A62B0C" w:rsidR="00E24BE7">
        <w:rPr>
          <w:b w:val="0"/>
          <w:sz w:val="24"/>
          <w:szCs w:val="24"/>
        </w:rPr>
        <w:t>plus the number of notices drafted by each issuer (</w:t>
      </w:r>
      <w:r w:rsidRPr="00A62B0C" w:rsidR="00AC7575">
        <w:rPr>
          <w:b w:val="0"/>
          <w:sz w:val="24"/>
          <w:szCs w:val="24"/>
        </w:rPr>
        <w:t xml:space="preserve">811). </w:t>
      </w:r>
    </w:p>
    <w:p w:rsidR="00860F17" w:rsidRPr="00242CED" w:rsidP="00A62B0C" w14:paraId="49A733C9" w14:textId="0AD1EEC8">
      <w:pPr>
        <w:widowControl/>
        <w:tabs>
          <w:tab w:val="left" w:pos="-1440"/>
        </w:tabs>
        <w:rPr>
          <w:b w:val="0"/>
          <w:bCs w:val="0"/>
          <w:iCs/>
          <w:sz w:val="24"/>
          <w:szCs w:val="24"/>
        </w:rPr>
      </w:pPr>
      <w:r>
        <w:rPr>
          <w:b w:val="0"/>
          <w:bCs w:val="0"/>
          <w:iCs/>
          <w:sz w:val="24"/>
          <w:szCs w:val="24"/>
        </w:rPr>
        <w:t>**</w:t>
      </w:r>
      <w:r w:rsidR="007211D1">
        <w:rPr>
          <w:b w:val="0"/>
          <w:bCs w:val="0"/>
          <w:iCs/>
          <w:sz w:val="24"/>
          <w:szCs w:val="24"/>
        </w:rPr>
        <w:t>The equivalent cost</w:t>
      </w:r>
      <w:r w:rsidR="0096270E">
        <w:rPr>
          <w:b w:val="0"/>
          <w:bCs w:val="0"/>
          <w:iCs/>
          <w:sz w:val="24"/>
          <w:szCs w:val="24"/>
        </w:rPr>
        <w:t xml:space="preserve"> and hour </w:t>
      </w:r>
      <w:r w:rsidR="007211D1">
        <w:rPr>
          <w:b w:val="0"/>
          <w:bCs w:val="0"/>
          <w:iCs/>
          <w:sz w:val="24"/>
          <w:szCs w:val="24"/>
        </w:rPr>
        <w:t xml:space="preserve">burden </w:t>
      </w:r>
      <w:r w:rsidR="0096270E">
        <w:rPr>
          <w:b w:val="0"/>
          <w:bCs w:val="0"/>
          <w:iCs/>
          <w:sz w:val="24"/>
          <w:szCs w:val="24"/>
        </w:rPr>
        <w:t>presented above</w:t>
      </w:r>
      <w:r w:rsidR="00390658">
        <w:rPr>
          <w:b w:val="0"/>
          <w:bCs w:val="0"/>
          <w:iCs/>
          <w:sz w:val="24"/>
          <w:szCs w:val="24"/>
        </w:rPr>
        <w:t xml:space="preserve"> for public and private-sector issuers</w:t>
      </w:r>
      <w:r w:rsidR="0096270E">
        <w:rPr>
          <w:b w:val="0"/>
          <w:bCs w:val="0"/>
          <w:iCs/>
          <w:sz w:val="24"/>
          <w:szCs w:val="24"/>
        </w:rPr>
        <w:t xml:space="preserve"> </w:t>
      </w:r>
      <w:r w:rsidR="006C6ADE">
        <w:rPr>
          <w:b w:val="0"/>
          <w:bCs w:val="0"/>
          <w:iCs/>
          <w:sz w:val="24"/>
          <w:szCs w:val="24"/>
        </w:rPr>
        <w:t>is split between the Departments of Labor</w:t>
      </w:r>
      <w:r w:rsidR="000F5BC4">
        <w:rPr>
          <w:b w:val="0"/>
          <w:bCs w:val="0"/>
          <w:iCs/>
          <w:sz w:val="24"/>
          <w:szCs w:val="24"/>
        </w:rPr>
        <w:t xml:space="preserve">, </w:t>
      </w:r>
      <w:r w:rsidR="006C6ADE">
        <w:rPr>
          <w:b w:val="0"/>
          <w:bCs w:val="0"/>
          <w:iCs/>
          <w:sz w:val="24"/>
          <w:szCs w:val="24"/>
        </w:rPr>
        <w:t>Treasury</w:t>
      </w:r>
      <w:r w:rsidR="000F5BC4">
        <w:rPr>
          <w:b w:val="0"/>
          <w:bCs w:val="0"/>
          <w:iCs/>
          <w:sz w:val="24"/>
          <w:szCs w:val="24"/>
        </w:rPr>
        <w:t>, and Health and Human Services</w:t>
      </w:r>
      <w:r w:rsidR="006C6ADE">
        <w:rPr>
          <w:b w:val="0"/>
          <w:bCs w:val="0"/>
          <w:iCs/>
          <w:sz w:val="24"/>
          <w:szCs w:val="24"/>
        </w:rPr>
        <w:t xml:space="preserve">. </w:t>
      </w:r>
      <w:r w:rsidR="002B2A6A">
        <w:rPr>
          <w:b w:val="0"/>
          <w:bCs w:val="0"/>
          <w:iCs/>
          <w:sz w:val="24"/>
          <w:szCs w:val="24"/>
        </w:rPr>
        <w:t>This results in an average annual equivalent cost burden of</w:t>
      </w:r>
      <w:r w:rsidR="00311C22">
        <w:rPr>
          <w:b w:val="0"/>
          <w:bCs w:val="0"/>
          <w:iCs/>
          <w:sz w:val="24"/>
          <w:szCs w:val="24"/>
        </w:rPr>
        <w:t xml:space="preserve"> $</w:t>
      </w:r>
      <w:r w:rsidR="00E150FC">
        <w:rPr>
          <w:b w:val="0"/>
          <w:bCs w:val="0"/>
          <w:iCs/>
          <w:sz w:val="24"/>
          <w:szCs w:val="24"/>
        </w:rPr>
        <w:t xml:space="preserve">50,709 arising from </w:t>
      </w:r>
      <w:r w:rsidR="00D253AB">
        <w:rPr>
          <w:b w:val="0"/>
          <w:bCs w:val="0"/>
          <w:iCs/>
          <w:sz w:val="24"/>
          <w:szCs w:val="24"/>
        </w:rPr>
        <w:t xml:space="preserve">approximately 270 burden hours for the Department of Labor. </w:t>
      </w:r>
    </w:p>
    <w:p w:rsidR="00D309FC" w:rsidRPr="00A92375" w:rsidP="003158CA" w14:paraId="4B38A1EB" w14:textId="0F45006D">
      <w:pPr>
        <w:widowControl/>
        <w:tabs>
          <w:tab w:val="left" w:pos="-1440"/>
        </w:tabs>
        <w:rPr>
          <w:b w:val="0"/>
          <w:bCs w:val="0"/>
          <w:i/>
          <w:iCs/>
          <w:color w:val="000000"/>
          <w:sz w:val="24"/>
          <w:szCs w:val="24"/>
        </w:rPr>
      </w:pPr>
    </w:p>
    <w:p w:rsidR="0089109B" w:rsidRPr="0005778D" w:rsidP="0005778D" w14:paraId="2742926C" w14:textId="4E5591C8">
      <w:pPr>
        <w:pStyle w:val="Heading1"/>
        <w:numPr>
          <w:ilvl w:val="0"/>
          <w:numId w:val="37"/>
        </w:numPr>
      </w:pPr>
      <w:r w:rsidRPr="0005778D">
        <w:t xml:space="preserve">Provide an estimate of the total annual cost burden to respondents or record-keepers </w:t>
      </w:r>
      <w:r w:rsidRPr="0005778D" w:rsidR="00540514">
        <w:t>resulting from the collection of information.</w:t>
      </w:r>
      <w:r w:rsidRPr="0005778D" w:rsidR="00D309FC">
        <w:t xml:space="preserve"> </w:t>
      </w:r>
      <w:r w:rsidRPr="0005778D" w:rsidR="00540514">
        <w:t xml:space="preserve">(Do not include the cost of any </w:t>
      </w:r>
      <w:r w:rsidRPr="0005778D" w:rsidR="00540514">
        <w:t>hour burden shown in Items 12.)</w:t>
      </w:r>
    </w:p>
    <w:p w:rsidR="0089109B" w:rsidRPr="00355DC5" w:rsidP="00355DC5" w14:paraId="2B231006" w14:textId="435636F5">
      <w:pPr>
        <w:numPr>
          <w:ilvl w:val="0"/>
          <w:numId w:val="31"/>
        </w:numPr>
        <w:ind w:left="1260" w:hanging="270"/>
        <w:rPr>
          <w:color w:val="000000"/>
          <w:sz w:val="24"/>
          <w:szCs w:val="24"/>
        </w:rPr>
      </w:pPr>
      <w:r w:rsidRPr="002B7154">
        <w:rPr>
          <w:color w:val="000000"/>
          <w:sz w:val="24"/>
          <w:szCs w:val="24"/>
        </w:rPr>
        <w:t>The cost estimate should be split into two components: (a) a total capital</w:t>
      </w:r>
      <w:r>
        <w:rPr>
          <w:color w:val="000000"/>
          <w:sz w:val="24"/>
          <w:szCs w:val="24"/>
        </w:rPr>
        <w:t xml:space="preserve"> </w:t>
      </w:r>
      <w:r w:rsidRPr="002B7154">
        <w:rPr>
          <w:color w:val="000000"/>
          <w:sz w:val="24"/>
          <w:szCs w:val="24"/>
        </w:rPr>
        <w:t>and start up cost component (annualized over its expected useful life); and (b) a</w:t>
      </w:r>
      <w:r w:rsidR="00AC3EE8">
        <w:rPr>
          <w:color w:val="000000"/>
          <w:sz w:val="24"/>
          <w:szCs w:val="24"/>
        </w:rPr>
        <w:t xml:space="preserve"> </w:t>
      </w:r>
      <w:r w:rsidRPr="002B7154">
        <w:rPr>
          <w:color w:val="000000"/>
          <w:sz w:val="24"/>
          <w:szCs w:val="24"/>
        </w:rPr>
        <w:t>total operation and maintenance and purchase of service component</w:t>
      </w:r>
      <w:r w:rsidRPr="002B7154" w:rsidR="000F4C95">
        <w:rPr>
          <w:color w:val="000000"/>
          <w:sz w:val="24"/>
          <w:szCs w:val="24"/>
        </w:rPr>
        <w:t>.</w:t>
      </w:r>
      <w:r w:rsidR="00D309FC">
        <w:rPr>
          <w:color w:val="000000"/>
          <w:sz w:val="24"/>
          <w:szCs w:val="24"/>
        </w:rPr>
        <w:t xml:space="preserve"> </w:t>
      </w:r>
      <w:r w:rsidRPr="002B7154">
        <w:rPr>
          <w:color w:val="000000"/>
          <w:sz w:val="24"/>
          <w:szCs w:val="24"/>
        </w:rPr>
        <w:t>The estimates should take into account costs associated with generating, maintaining, and disclosing or providing the information.</w:t>
      </w:r>
      <w:r w:rsidR="00D309FC">
        <w:rPr>
          <w:color w:val="000000"/>
          <w:sz w:val="24"/>
          <w:szCs w:val="24"/>
        </w:rPr>
        <w:t xml:space="preserve"> </w:t>
      </w:r>
      <w:r w:rsidRPr="002B7154">
        <w:rPr>
          <w:color w:val="000000"/>
          <w:sz w:val="24"/>
          <w:szCs w:val="24"/>
        </w:rPr>
        <w:t>Include descriptions of methods used to estimate major cost factors including system and technology acquisition, expected useful life of capital equipment, the discount rate(s), and the time period over which costs will be incurred.</w:t>
      </w:r>
      <w:r w:rsidR="00D309FC">
        <w:rPr>
          <w:color w:val="000000"/>
          <w:sz w:val="24"/>
          <w:szCs w:val="24"/>
        </w:rPr>
        <w:t xml:space="preserve"> </w:t>
      </w:r>
      <w:r w:rsidRPr="002B7154">
        <w:rPr>
          <w:color w:val="000000"/>
          <w:sz w:val="24"/>
          <w:szCs w:val="24"/>
        </w:rPr>
        <w:t>Capital and start-up costs include, among other items, preparations for collecting information such as purchasing computers and software; monitoring, sampling, drilling and testing equipment; and record storage facilities.</w:t>
      </w:r>
    </w:p>
    <w:p w:rsidR="0089109B" w:rsidRPr="00355DC5" w:rsidP="0089109B" w14:paraId="29293568" w14:textId="19B34FE7">
      <w:pPr>
        <w:numPr>
          <w:ilvl w:val="0"/>
          <w:numId w:val="31"/>
        </w:numPr>
        <w:ind w:left="1260" w:hanging="270"/>
        <w:rPr>
          <w:color w:val="000000"/>
          <w:sz w:val="24"/>
          <w:szCs w:val="24"/>
        </w:rPr>
      </w:pPr>
      <w:r w:rsidRPr="007919A7">
        <w:rPr>
          <w:color w:val="000000"/>
          <w:sz w:val="24"/>
          <w:szCs w:val="24"/>
        </w:rPr>
        <w:t>If cost estimates are expected to vary widely, agencies should present ranges of cost burdens and explain the reasons for the variance.</w:t>
      </w:r>
      <w:r w:rsidR="00D309FC">
        <w:rPr>
          <w:color w:val="000000"/>
          <w:sz w:val="24"/>
          <w:szCs w:val="24"/>
        </w:rPr>
        <w:t xml:space="preserve"> </w:t>
      </w:r>
      <w:r w:rsidRPr="007919A7">
        <w:rPr>
          <w:color w:val="000000"/>
          <w:sz w:val="24"/>
          <w:szCs w:val="24"/>
        </w:rPr>
        <w:t>The cost of purchasing or contracting out information collection services should be a part of this cost burden estimate.</w:t>
      </w:r>
      <w:r w:rsidR="00D309FC">
        <w:rPr>
          <w:color w:val="000000"/>
          <w:sz w:val="24"/>
          <w:szCs w:val="24"/>
        </w:rPr>
        <w:t xml:space="preserve"> </w:t>
      </w:r>
      <w:r w:rsidRPr="007919A7">
        <w:rPr>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9109B" w:rsidRPr="007919A7" w:rsidP="0089109B" w14:paraId="2CF29EA4" w14:textId="77777777">
      <w:pPr>
        <w:numPr>
          <w:ilvl w:val="0"/>
          <w:numId w:val="31"/>
        </w:numPr>
        <w:ind w:left="1260" w:hanging="270"/>
        <w:rPr>
          <w:color w:val="000000"/>
          <w:sz w:val="24"/>
          <w:szCs w:val="24"/>
        </w:rPr>
      </w:pPr>
      <w:r w:rsidRPr="007919A7">
        <w:rPr>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34F3B" w:rsidP="0062736F" w14:paraId="50F26122" w14:textId="77777777">
      <w:pPr>
        <w:widowControl/>
        <w:rPr>
          <w:b w:val="0"/>
          <w:bCs w:val="0"/>
          <w:sz w:val="24"/>
          <w:szCs w:val="24"/>
        </w:rPr>
      </w:pPr>
    </w:p>
    <w:p w:rsidR="004279E2" w:rsidP="0062736F" w14:paraId="77E246D8" w14:textId="64333DFD">
      <w:pPr>
        <w:widowControl/>
        <w:rPr>
          <w:b w:val="0"/>
          <w:bCs w:val="0"/>
          <w:sz w:val="24"/>
          <w:szCs w:val="24"/>
        </w:rPr>
      </w:pPr>
      <w:r>
        <w:rPr>
          <w:b w:val="0"/>
          <w:bCs w:val="0"/>
          <w:sz w:val="24"/>
          <w:szCs w:val="24"/>
        </w:rPr>
        <w:t xml:space="preserve">The Department </w:t>
      </w:r>
      <w:r w:rsidR="003C443D">
        <w:rPr>
          <w:b w:val="0"/>
          <w:bCs w:val="0"/>
          <w:sz w:val="24"/>
          <w:szCs w:val="24"/>
        </w:rPr>
        <w:t xml:space="preserve">assumes that the notices of eligibility </w:t>
      </w:r>
      <w:r w:rsidR="0074618E">
        <w:rPr>
          <w:b w:val="0"/>
          <w:bCs w:val="0"/>
          <w:sz w:val="24"/>
          <w:szCs w:val="24"/>
        </w:rPr>
        <w:t xml:space="preserve">would </w:t>
      </w:r>
      <w:r w:rsidR="003C443D">
        <w:rPr>
          <w:b w:val="0"/>
          <w:bCs w:val="0"/>
          <w:sz w:val="24"/>
          <w:szCs w:val="24"/>
        </w:rPr>
        <w:t xml:space="preserve">be sent along with other enrollment documents by the health plans offering </w:t>
      </w:r>
      <w:r w:rsidR="00296676">
        <w:rPr>
          <w:b w:val="0"/>
          <w:bCs w:val="0"/>
          <w:sz w:val="24"/>
          <w:szCs w:val="24"/>
        </w:rPr>
        <w:t xml:space="preserve">the </w:t>
      </w:r>
      <w:r w:rsidR="00BD4CB5">
        <w:rPr>
          <w:b w:val="0"/>
          <w:bCs w:val="0"/>
          <w:sz w:val="24"/>
          <w:szCs w:val="24"/>
        </w:rPr>
        <w:t xml:space="preserve">proposed </w:t>
      </w:r>
      <w:r w:rsidR="00296676">
        <w:rPr>
          <w:b w:val="0"/>
          <w:bCs w:val="0"/>
          <w:sz w:val="24"/>
          <w:szCs w:val="24"/>
        </w:rPr>
        <w:t>excepted fertility benefit</w:t>
      </w:r>
      <w:r w:rsidR="00006F30">
        <w:rPr>
          <w:b w:val="0"/>
          <w:bCs w:val="0"/>
          <w:sz w:val="24"/>
          <w:szCs w:val="24"/>
        </w:rPr>
        <w:t>.</w:t>
      </w:r>
      <w:r w:rsidR="00632391">
        <w:rPr>
          <w:b w:val="0"/>
          <w:bCs w:val="0"/>
          <w:sz w:val="24"/>
          <w:szCs w:val="24"/>
        </w:rPr>
        <w:t xml:space="preserve"> As such, the </w:t>
      </w:r>
      <w:r w:rsidR="00B0554B">
        <w:rPr>
          <w:b w:val="0"/>
          <w:bCs w:val="0"/>
          <w:sz w:val="24"/>
          <w:szCs w:val="24"/>
        </w:rPr>
        <w:t xml:space="preserve">plans and </w:t>
      </w:r>
      <w:r w:rsidR="00632391">
        <w:rPr>
          <w:b w:val="0"/>
          <w:bCs w:val="0"/>
          <w:sz w:val="24"/>
          <w:szCs w:val="24"/>
        </w:rPr>
        <w:t xml:space="preserve">issuers do not incur an additional postage cost for this </w:t>
      </w:r>
      <w:r w:rsidR="00F227DF">
        <w:rPr>
          <w:b w:val="0"/>
          <w:bCs w:val="0"/>
          <w:sz w:val="24"/>
          <w:szCs w:val="24"/>
        </w:rPr>
        <w:t>notice,</w:t>
      </w:r>
      <w:r w:rsidR="00632391">
        <w:rPr>
          <w:b w:val="0"/>
          <w:bCs w:val="0"/>
          <w:sz w:val="24"/>
          <w:szCs w:val="24"/>
        </w:rPr>
        <w:t xml:space="preserve"> and the only burden arises from the material cost of approximately $0.05 per notice.</w:t>
      </w:r>
      <w:r w:rsidR="00F6019E">
        <w:rPr>
          <w:b w:val="0"/>
          <w:bCs w:val="0"/>
          <w:sz w:val="24"/>
          <w:szCs w:val="24"/>
        </w:rPr>
        <w:t xml:space="preserve"> </w:t>
      </w:r>
      <w:r w:rsidR="00F50F55">
        <w:rPr>
          <w:b w:val="0"/>
          <w:bCs w:val="0"/>
          <w:sz w:val="24"/>
          <w:szCs w:val="24"/>
        </w:rPr>
        <w:t xml:space="preserve">The total cost of producing the notices is estimated below in Table </w:t>
      </w:r>
      <w:r w:rsidR="00632391">
        <w:rPr>
          <w:b w:val="0"/>
          <w:bCs w:val="0"/>
          <w:sz w:val="24"/>
          <w:szCs w:val="24"/>
        </w:rPr>
        <w:t>2</w:t>
      </w:r>
      <w:r w:rsidR="00F50F55">
        <w:rPr>
          <w:b w:val="0"/>
          <w:bCs w:val="0"/>
          <w:sz w:val="24"/>
          <w:szCs w:val="24"/>
        </w:rPr>
        <w:t xml:space="preserve">. </w:t>
      </w:r>
    </w:p>
    <w:p w:rsidR="009934CC" w:rsidP="0062736F" w14:paraId="64766299" w14:textId="77777777">
      <w:pPr>
        <w:widowControl/>
        <w:rPr>
          <w:b w:val="0"/>
          <w:bCs w:val="0"/>
          <w:sz w:val="24"/>
          <w:szCs w:val="24"/>
        </w:rPr>
      </w:pPr>
    </w:p>
    <w:p w:rsidR="0036337A" w:rsidRPr="00A21E27" w:rsidP="0036337A" w14:paraId="79125BBC" w14:textId="61165F75">
      <w:pPr>
        <w:pStyle w:val="Heading3"/>
      </w:pPr>
      <w:r w:rsidRPr="006E1899">
        <w:t xml:space="preserve">TABLE </w:t>
      </w:r>
      <w:r>
        <w:t>2</w:t>
      </w:r>
      <w:r w:rsidRPr="006E1899">
        <w:t xml:space="preserve">. </w:t>
      </w:r>
      <w:r>
        <w:t xml:space="preserve">Cost Burden of Distributing Notice of Eligibility </w:t>
      </w:r>
    </w:p>
    <w:p w:rsidR="00F50F55" w:rsidP="0062736F" w14:paraId="1F7116F0" w14:textId="77777777">
      <w:pPr>
        <w:widowControl/>
        <w:rPr>
          <w:b w:val="0"/>
          <w:bCs w:val="0"/>
          <w:sz w:val="24"/>
          <w:szCs w:val="24"/>
        </w:rPr>
      </w:pPr>
    </w:p>
    <w:tbl>
      <w:tblPr>
        <w:tblW w:w="9971" w:type="dxa"/>
        <w:tblInd w:w="-185" w:type="dxa"/>
        <w:tblLayout w:type="fixed"/>
        <w:tblLook w:val="04A0"/>
      </w:tblPr>
      <w:tblGrid>
        <w:gridCol w:w="2070"/>
        <w:gridCol w:w="1440"/>
        <w:gridCol w:w="1260"/>
        <w:gridCol w:w="990"/>
        <w:gridCol w:w="1440"/>
        <w:gridCol w:w="1260"/>
        <w:gridCol w:w="1511"/>
      </w:tblGrid>
      <w:tr w14:paraId="772B79E8" w14:textId="77777777" w:rsidTr="000E1017">
        <w:tblPrEx>
          <w:tblW w:w="9971" w:type="dxa"/>
          <w:tblInd w:w="-185" w:type="dxa"/>
          <w:tblLayout w:type="fixed"/>
          <w:tblLook w:val="04A0"/>
        </w:tblPrEx>
        <w:trPr>
          <w:trHeight w:val="1367"/>
        </w:trPr>
        <w:tc>
          <w:tcPr>
            <w:tcW w:w="2070" w:type="dxa"/>
            <w:tcBorders>
              <w:top w:val="single" w:sz="4" w:space="0" w:color="auto"/>
              <w:left w:val="single" w:sz="4" w:space="0" w:color="auto"/>
              <w:bottom w:val="single" w:sz="4" w:space="0" w:color="auto"/>
              <w:right w:val="single" w:sz="4" w:space="0" w:color="auto"/>
            </w:tcBorders>
            <w:noWrap/>
            <w:vAlign w:val="bottom"/>
            <w:hideMark/>
          </w:tcPr>
          <w:p w:rsidR="00D51AF1" w:rsidRPr="00261797" w14:paraId="7FAB1740" w14:textId="77777777">
            <w:pPr>
              <w:widowControl/>
              <w:rPr>
                <w:bCs w:val="0"/>
                <w:sz w:val="22"/>
                <w:szCs w:val="22"/>
              </w:rPr>
            </w:pPr>
            <w:r w:rsidRPr="00261797">
              <w:rPr>
                <w:bCs w:val="0"/>
                <w:sz w:val="22"/>
                <w:szCs w:val="22"/>
              </w:rPr>
              <w:t> </w:t>
            </w:r>
          </w:p>
        </w:tc>
        <w:tc>
          <w:tcPr>
            <w:tcW w:w="1440" w:type="dxa"/>
            <w:tcBorders>
              <w:top w:val="single" w:sz="4" w:space="0" w:color="auto"/>
              <w:bottom w:val="single" w:sz="4" w:space="0" w:color="auto"/>
              <w:right w:val="single" w:sz="4" w:space="0" w:color="auto"/>
            </w:tcBorders>
            <w:vAlign w:val="center"/>
          </w:tcPr>
          <w:p w:rsidR="00D51AF1" w:rsidRPr="00261797" w14:paraId="4B074B39" w14:textId="376B3606">
            <w:pPr>
              <w:widowControl/>
              <w:jc w:val="center"/>
              <w:rPr>
                <w:bCs w:val="0"/>
                <w:sz w:val="22"/>
                <w:szCs w:val="22"/>
              </w:rPr>
            </w:pPr>
            <w:r>
              <w:rPr>
                <w:bCs w:val="0"/>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vAlign w:val="center"/>
            <w:hideMark/>
          </w:tcPr>
          <w:p w:rsidR="00D51AF1" w:rsidRPr="00261797" w14:paraId="61A7E736" w14:textId="656634F5">
            <w:pPr>
              <w:widowControl/>
              <w:jc w:val="center"/>
              <w:rPr>
                <w:bCs w:val="0"/>
                <w:sz w:val="22"/>
                <w:szCs w:val="22"/>
              </w:rPr>
            </w:pPr>
            <w:r w:rsidRPr="00261797">
              <w:rPr>
                <w:bCs w:val="0"/>
                <w:sz w:val="22"/>
                <w:szCs w:val="22"/>
              </w:rPr>
              <w:t xml:space="preserve">Number of </w:t>
            </w:r>
            <w:r>
              <w:rPr>
                <w:bCs w:val="0"/>
                <w:sz w:val="22"/>
                <w:szCs w:val="22"/>
              </w:rPr>
              <w:t>Responses</w:t>
            </w:r>
            <w:r w:rsidRPr="00261797">
              <w:rPr>
                <w:bCs w:val="0"/>
                <w:sz w:val="22"/>
                <w:szCs w:val="22"/>
              </w:rPr>
              <w:t xml:space="preserve"> </w:t>
            </w:r>
          </w:p>
        </w:tc>
        <w:tc>
          <w:tcPr>
            <w:tcW w:w="990" w:type="dxa"/>
            <w:tcBorders>
              <w:top w:val="single" w:sz="4" w:space="0" w:color="auto"/>
              <w:left w:val="nil"/>
              <w:bottom w:val="single" w:sz="4" w:space="0" w:color="auto"/>
              <w:right w:val="single" w:sz="4" w:space="0" w:color="auto"/>
            </w:tcBorders>
            <w:vAlign w:val="center"/>
            <w:hideMark/>
          </w:tcPr>
          <w:p w:rsidR="00D51AF1" w:rsidRPr="00261797" w14:paraId="015DF14A" w14:textId="7E088037">
            <w:pPr>
              <w:widowControl/>
              <w:jc w:val="center"/>
              <w:rPr>
                <w:bCs w:val="0"/>
                <w:sz w:val="22"/>
                <w:szCs w:val="22"/>
              </w:rPr>
            </w:pPr>
            <w:r>
              <w:rPr>
                <w:bCs w:val="0"/>
                <w:sz w:val="22"/>
                <w:szCs w:val="22"/>
              </w:rPr>
              <w:t>Mailing Rate</w:t>
            </w:r>
          </w:p>
        </w:tc>
        <w:tc>
          <w:tcPr>
            <w:tcW w:w="1440" w:type="dxa"/>
            <w:tcBorders>
              <w:top w:val="single" w:sz="4" w:space="0" w:color="auto"/>
              <w:left w:val="nil"/>
              <w:bottom w:val="single" w:sz="4" w:space="0" w:color="auto"/>
              <w:right w:val="single" w:sz="4" w:space="0" w:color="auto"/>
            </w:tcBorders>
            <w:vAlign w:val="center"/>
            <w:hideMark/>
          </w:tcPr>
          <w:p w:rsidR="00D51AF1" w:rsidRPr="00261797" w14:paraId="0BFE623A" w14:textId="537B9F8B">
            <w:pPr>
              <w:widowControl/>
              <w:jc w:val="center"/>
              <w:rPr>
                <w:bCs w:val="0"/>
                <w:sz w:val="22"/>
                <w:szCs w:val="22"/>
              </w:rPr>
            </w:pPr>
            <w:r w:rsidRPr="00261797">
              <w:rPr>
                <w:bCs w:val="0"/>
                <w:sz w:val="22"/>
                <w:szCs w:val="22"/>
              </w:rPr>
              <w:t xml:space="preserve">Total </w:t>
            </w:r>
            <w:r>
              <w:rPr>
                <w:bCs w:val="0"/>
                <w:sz w:val="22"/>
                <w:szCs w:val="22"/>
              </w:rPr>
              <w:t>Notices Mailed</w:t>
            </w:r>
          </w:p>
        </w:tc>
        <w:tc>
          <w:tcPr>
            <w:tcW w:w="1260" w:type="dxa"/>
            <w:tcBorders>
              <w:top w:val="single" w:sz="4" w:space="0" w:color="auto"/>
              <w:left w:val="nil"/>
              <w:bottom w:val="single" w:sz="4" w:space="0" w:color="auto"/>
              <w:right w:val="single" w:sz="4" w:space="0" w:color="auto"/>
            </w:tcBorders>
            <w:vAlign w:val="center"/>
            <w:hideMark/>
          </w:tcPr>
          <w:p w:rsidR="00D51AF1" w:rsidRPr="00261797" w14:paraId="390B0358" w14:textId="690FE183">
            <w:pPr>
              <w:widowControl/>
              <w:jc w:val="center"/>
              <w:rPr>
                <w:bCs w:val="0"/>
                <w:sz w:val="22"/>
                <w:szCs w:val="22"/>
              </w:rPr>
            </w:pPr>
            <w:r>
              <w:rPr>
                <w:bCs w:val="0"/>
                <w:sz w:val="22"/>
                <w:szCs w:val="22"/>
              </w:rPr>
              <w:t>Cost Burden per Notice</w:t>
            </w:r>
          </w:p>
        </w:tc>
        <w:tc>
          <w:tcPr>
            <w:tcW w:w="1511" w:type="dxa"/>
            <w:tcBorders>
              <w:top w:val="single" w:sz="4" w:space="0" w:color="auto"/>
              <w:left w:val="nil"/>
              <w:bottom w:val="single" w:sz="4" w:space="0" w:color="auto"/>
              <w:right w:val="single" w:sz="4" w:space="0" w:color="auto"/>
            </w:tcBorders>
            <w:vAlign w:val="center"/>
            <w:hideMark/>
          </w:tcPr>
          <w:p w:rsidR="00D51AF1" w:rsidRPr="00261797" w14:paraId="768C15C1" w14:textId="77777777">
            <w:pPr>
              <w:widowControl/>
              <w:jc w:val="center"/>
              <w:rPr>
                <w:bCs w:val="0"/>
                <w:sz w:val="22"/>
                <w:szCs w:val="22"/>
              </w:rPr>
            </w:pPr>
            <w:r w:rsidRPr="00261797">
              <w:rPr>
                <w:bCs w:val="0"/>
                <w:sz w:val="22"/>
                <w:szCs w:val="22"/>
              </w:rPr>
              <w:t xml:space="preserve">Cost Equivalent of Hour Burden </w:t>
            </w:r>
          </w:p>
        </w:tc>
      </w:tr>
      <w:tr w14:paraId="29619217" w14:textId="77777777" w:rsidTr="000E1017">
        <w:tblPrEx>
          <w:tblW w:w="9971" w:type="dxa"/>
          <w:tblInd w:w="-185" w:type="dxa"/>
          <w:tblLayout w:type="fixed"/>
          <w:tblLook w:val="04A0"/>
        </w:tblPrEx>
        <w:trPr>
          <w:trHeight w:val="512"/>
        </w:trPr>
        <w:tc>
          <w:tcPr>
            <w:tcW w:w="2070" w:type="dxa"/>
            <w:tcBorders>
              <w:top w:val="nil"/>
              <w:left w:val="single" w:sz="4" w:space="0" w:color="auto"/>
              <w:bottom w:val="single" w:sz="4" w:space="0" w:color="auto"/>
              <w:right w:val="single" w:sz="4" w:space="0" w:color="auto"/>
            </w:tcBorders>
            <w:noWrap/>
            <w:vAlign w:val="bottom"/>
            <w:hideMark/>
          </w:tcPr>
          <w:p w:rsidR="00D51AF1" w:rsidRPr="00C91CF4" w14:paraId="59F0AF97" w14:textId="77777777">
            <w:pPr>
              <w:widowControl/>
              <w:rPr>
                <w:bCs w:val="0"/>
              </w:rPr>
            </w:pPr>
            <w:r w:rsidRPr="00C91CF4">
              <w:rPr>
                <w:bCs w:val="0"/>
              </w:rPr>
              <w:t> </w:t>
            </w:r>
          </w:p>
        </w:tc>
        <w:tc>
          <w:tcPr>
            <w:tcW w:w="1440" w:type="dxa"/>
            <w:tcBorders>
              <w:top w:val="single" w:sz="4" w:space="0" w:color="auto"/>
              <w:bottom w:val="single" w:sz="4" w:space="0" w:color="auto"/>
              <w:right w:val="single" w:sz="4" w:space="0" w:color="auto"/>
            </w:tcBorders>
          </w:tcPr>
          <w:p w:rsidR="00D51AF1" w:rsidRPr="0005778D" w14:paraId="0E7DD569" w14:textId="77777777">
            <w:pPr>
              <w:widowControl/>
              <w:jc w:val="center"/>
              <w:rPr>
                <w:bCs w:val="0"/>
                <w:sz w:val="22"/>
                <w:szCs w:val="22"/>
              </w:rPr>
            </w:pPr>
          </w:p>
        </w:tc>
        <w:tc>
          <w:tcPr>
            <w:tcW w:w="1260" w:type="dxa"/>
            <w:tcBorders>
              <w:top w:val="nil"/>
              <w:left w:val="single" w:sz="4" w:space="0" w:color="auto"/>
              <w:bottom w:val="single" w:sz="4" w:space="0" w:color="auto"/>
              <w:right w:val="single" w:sz="4" w:space="0" w:color="auto"/>
            </w:tcBorders>
            <w:vAlign w:val="center"/>
            <w:hideMark/>
          </w:tcPr>
          <w:p w:rsidR="00D51AF1" w:rsidRPr="0005778D" w14:paraId="018D2CDE" w14:textId="4B9782B2">
            <w:pPr>
              <w:widowControl/>
              <w:jc w:val="center"/>
              <w:rPr>
                <w:bCs w:val="0"/>
                <w:sz w:val="22"/>
                <w:szCs w:val="22"/>
              </w:rPr>
            </w:pPr>
            <w:r w:rsidRPr="0005778D">
              <w:rPr>
                <w:bCs w:val="0"/>
                <w:sz w:val="22"/>
                <w:szCs w:val="22"/>
              </w:rPr>
              <w:t>(A)</w:t>
            </w:r>
          </w:p>
        </w:tc>
        <w:tc>
          <w:tcPr>
            <w:tcW w:w="990" w:type="dxa"/>
            <w:tcBorders>
              <w:top w:val="nil"/>
              <w:left w:val="nil"/>
              <w:bottom w:val="single" w:sz="4" w:space="0" w:color="auto"/>
              <w:right w:val="single" w:sz="4" w:space="0" w:color="auto"/>
            </w:tcBorders>
            <w:vAlign w:val="center"/>
            <w:hideMark/>
          </w:tcPr>
          <w:p w:rsidR="00D51AF1" w:rsidRPr="0005778D" w14:paraId="1FFF018A" w14:textId="77777777">
            <w:pPr>
              <w:widowControl/>
              <w:jc w:val="center"/>
              <w:rPr>
                <w:bCs w:val="0"/>
                <w:sz w:val="22"/>
                <w:szCs w:val="22"/>
              </w:rPr>
            </w:pPr>
            <w:r w:rsidRPr="0005778D">
              <w:rPr>
                <w:bCs w:val="0"/>
                <w:sz w:val="22"/>
                <w:szCs w:val="22"/>
              </w:rPr>
              <w:t>(B)</w:t>
            </w:r>
          </w:p>
        </w:tc>
        <w:tc>
          <w:tcPr>
            <w:tcW w:w="1440" w:type="dxa"/>
            <w:tcBorders>
              <w:top w:val="nil"/>
              <w:left w:val="nil"/>
              <w:bottom w:val="single" w:sz="4" w:space="0" w:color="auto"/>
              <w:right w:val="single" w:sz="4" w:space="0" w:color="auto"/>
            </w:tcBorders>
            <w:vAlign w:val="center"/>
            <w:hideMark/>
          </w:tcPr>
          <w:p w:rsidR="00D51AF1" w:rsidRPr="0005778D" w14:paraId="14EACA27" w14:textId="77777777">
            <w:pPr>
              <w:widowControl/>
              <w:jc w:val="center"/>
              <w:rPr>
                <w:bCs w:val="0"/>
                <w:sz w:val="22"/>
                <w:szCs w:val="22"/>
              </w:rPr>
            </w:pPr>
            <w:r w:rsidRPr="0005778D">
              <w:rPr>
                <w:bCs w:val="0"/>
                <w:sz w:val="22"/>
                <w:szCs w:val="22"/>
              </w:rPr>
              <w:t>(C) = (A x B)</w:t>
            </w:r>
          </w:p>
        </w:tc>
        <w:tc>
          <w:tcPr>
            <w:tcW w:w="1260" w:type="dxa"/>
            <w:tcBorders>
              <w:top w:val="nil"/>
              <w:left w:val="nil"/>
              <w:bottom w:val="single" w:sz="4" w:space="0" w:color="auto"/>
              <w:right w:val="single" w:sz="4" w:space="0" w:color="auto"/>
            </w:tcBorders>
            <w:vAlign w:val="center"/>
            <w:hideMark/>
          </w:tcPr>
          <w:p w:rsidR="00D51AF1" w:rsidRPr="0005778D" w14:paraId="0E59EFEF" w14:textId="77777777">
            <w:pPr>
              <w:widowControl/>
              <w:jc w:val="center"/>
              <w:rPr>
                <w:bCs w:val="0"/>
                <w:sz w:val="22"/>
                <w:szCs w:val="22"/>
              </w:rPr>
            </w:pPr>
            <w:r w:rsidRPr="0005778D">
              <w:rPr>
                <w:bCs w:val="0"/>
                <w:sz w:val="22"/>
                <w:szCs w:val="22"/>
              </w:rPr>
              <w:t>(D)</w:t>
            </w:r>
          </w:p>
        </w:tc>
        <w:tc>
          <w:tcPr>
            <w:tcW w:w="1511" w:type="dxa"/>
            <w:tcBorders>
              <w:top w:val="nil"/>
              <w:left w:val="nil"/>
              <w:bottom w:val="single" w:sz="4" w:space="0" w:color="auto"/>
              <w:right w:val="single" w:sz="4" w:space="0" w:color="auto"/>
            </w:tcBorders>
            <w:vAlign w:val="center"/>
            <w:hideMark/>
          </w:tcPr>
          <w:p w:rsidR="00D51AF1" w:rsidRPr="0005778D" w14:paraId="2B5650AC" w14:textId="77777777">
            <w:pPr>
              <w:widowControl/>
              <w:jc w:val="center"/>
              <w:rPr>
                <w:bCs w:val="0"/>
                <w:sz w:val="22"/>
                <w:szCs w:val="22"/>
              </w:rPr>
            </w:pPr>
            <w:r w:rsidRPr="0005778D">
              <w:rPr>
                <w:bCs w:val="0"/>
                <w:sz w:val="22"/>
                <w:szCs w:val="22"/>
              </w:rPr>
              <w:t>(E) = (C x D)</w:t>
            </w:r>
          </w:p>
        </w:tc>
      </w:tr>
      <w:tr w14:paraId="1B430FC4" w14:textId="77777777" w:rsidTr="000E1017">
        <w:tblPrEx>
          <w:tblW w:w="9971" w:type="dxa"/>
          <w:tblInd w:w="-185" w:type="dxa"/>
          <w:tblLayout w:type="fixed"/>
          <w:tblLook w:val="04A0"/>
        </w:tblPrEx>
        <w:trPr>
          <w:trHeight w:val="112"/>
        </w:trPr>
        <w:tc>
          <w:tcPr>
            <w:tcW w:w="9971" w:type="dxa"/>
            <w:gridSpan w:val="7"/>
            <w:tcBorders>
              <w:top w:val="single" w:sz="4" w:space="0" w:color="auto"/>
              <w:left w:val="single" w:sz="4" w:space="0" w:color="auto"/>
              <w:bottom w:val="single" w:sz="4" w:space="0" w:color="auto"/>
              <w:right w:val="single" w:sz="4" w:space="0" w:color="auto"/>
            </w:tcBorders>
            <w:vAlign w:val="bottom"/>
          </w:tcPr>
          <w:p w:rsidR="00D43B63" w:rsidRPr="00D43B63" w:rsidP="00A62B0C" w14:paraId="453B9EAC" w14:textId="16265FD8">
            <w:pPr>
              <w:widowControl/>
              <w:rPr>
                <w:b w:val="0"/>
                <w:bCs w:val="0"/>
                <w:i/>
                <w:iCs/>
                <w:color w:val="000000"/>
                <w:sz w:val="22"/>
                <w:szCs w:val="22"/>
              </w:rPr>
            </w:pPr>
            <w:r w:rsidRPr="00D43B63">
              <w:rPr>
                <w:b w:val="0"/>
                <w:bCs w:val="0"/>
                <w:i/>
                <w:iCs/>
                <w:color w:val="000000"/>
                <w:sz w:val="22"/>
                <w:szCs w:val="22"/>
              </w:rPr>
              <w:t xml:space="preserve">Health Plans </w:t>
            </w:r>
            <w:r w:rsidR="00AE5042">
              <w:rPr>
                <w:b w:val="0"/>
                <w:bCs w:val="0"/>
                <w:i/>
                <w:iCs/>
                <w:color w:val="000000"/>
                <w:sz w:val="22"/>
                <w:szCs w:val="22"/>
              </w:rPr>
              <w:t>Produce</w:t>
            </w:r>
            <w:r w:rsidRPr="00D43B63">
              <w:rPr>
                <w:b w:val="0"/>
                <w:bCs w:val="0"/>
                <w:i/>
                <w:iCs/>
                <w:color w:val="000000"/>
                <w:sz w:val="22"/>
                <w:szCs w:val="22"/>
              </w:rPr>
              <w:t xml:space="preserve"> Notices</w:t>
            </w:r>
          </w:p>
        </w:tc>
      </w:tr>
      <w:tr w14:paraId="0F960CD5" w14:textId="77777777" w:rsidTr="000E1017">
        <w:tblPrEx>
          <w:tblW w:w="9971" w:type="dxa"/>
          <w:tblInd w:w="-185" w:type="dxa"/>
          <w:tblLayout w:type="fixed"/>
          <w:tblLook w:val="04A0"/>
        </w:tblPrEx>
        <w:trPr>
          <w:trHeight w:val="112"/>
        </w:trPr>
        <w:tc>
          <w:tcPr>
            <w:tcW w:w="2070" w:type="dxa"/>
            <w:tcBorders>
              <w:top w:val="single" w:sz="4" w:space="0" w:color="auto"/>
              <w:left w:val="single" w:sz="4" w:space="0" w:color="auto"/>
              <w:bottom w:val="double" w:sz="4" w:space="0" w:color="auto"/>
              <w:right w:val="single" w:sz="4" w:space="0" w:color="auto"/>
            </w:tcBorders>
            <w:vAlign w:val="bottom"/>
            <w:hideMark/>
          </w:tcPr>
          <w:p w:rsidR="00D51AF1" w:rsidRPr="00D05E1F" w14:paraId="3C771B68" w14:textId="2D526EA9">
            <w:pPr>
              <w:widowControl/>
              <w:rPr>
                <w:b w:val="0"/>
                <w:bCs w:val="0"/>
                <w:sz w:val="22"/>
                <w:szCs w:val="22"/>
              </w:rPr>
            </w:pPr>
            <w:r>
              <w:rPr>
                <w:b w:val="0"/>
                <w:bCs w:val="0"/>
                <w:sz w:val="22"/>
                <w:szCs w:val="22"/>
              </w:rPr>
              <w:t>Third-Party Service Provider</w:t>
            </w:r>
          </w:p>
        </w:tc>
        <w:tc>
          <w:tcPr>
            <w:tcW w:w="1440" w:type="dxa"/>
            <w:tcBorders>
              <w:top w:val="single" w:sz="4" w:space="0" w:color="auto"/>
              <w:bottom w:val="double" w:sz="4" w:space="0" w:color="auto"/>
            </w:tcBorders>
            <w:vAlign w:val="center"/>
          </w:tcPr>
          <w:p w:rsidR="00D51AF1" w:rsidP="00D43B63" w14:paraId="3EA51F26" w14:textId="619160DE">
            <w:pPr>
              <w:widowControl/>
              <w:jc w:val="center"/>
              <w:rPr>
                <w:b w:val="0"/>
                <w:bCs w:val="0"/>
                <w:sz w:val="22"/>
                <w:szCs w:val="22"/>
              </w:rPr>
            </w:pPr>
            <w:r>
              <w:rPr>
                <w:b w:val="0"/>
                <w:bCs w:val="0"/>
                <w:sz w:val="22"/>
                <w:szCs w:val="22"/>
              </w:rPr>
              <w:t>490,266</w:t>
            </w:r>
          </w:p>
        </w:tc>
        <w:tc>
          <w:tcPr>
            <w:tcW w:w="1260" w:type="dxa"/>
            <w:tcBorders>
              <w:top w:val="single" w:sz="4" w:space="0" w:color="auto"/>
              <w:left w:val="single" w:sz="4" w:space="0" w:color="auto"/>
              <w:bottom w:val="double" w:sz="4" w:space="0" w:color="auto"/>
              <w:right w:val="single" w:sz="4" w:space="0" w:color="auto"/>
            </w:tcBorders>
            <w:noWrap/>
            <w:vAlign w:val="center"/>
            <w:hideMark/>
          </w:tcPr>
          <w:p w:rsidR="00D51AF1" w:rsidRPr="00207541" w14:paraId="4063321C" w14:textId="5C19D7BC">
            <w:pPr>
              <w:widowControl/>
              <w:jc w:val="right"/>
              <w:rPr>
                <w:b w:val="0"/>
                <w:bCs w:val="0"/>
                <w:sz w:val="22"/>
                <w:szCs w:val="22"/>
              </w:rPr>
            </w:pPr>
            <w:r>
              <w:rPr>
                <w:b w:val="0"/>
                <w:bCs w:val="0"/>
                <w:sz w:val="22"/>
                <w:szCs w:val="22"/>
              </w:rPr>
              <w:t>42,849,310</w:t>
            </w:r>
          </w:p>
        </w:tc>
        <w:tc>
          <w:tcPr>
            <w:tcW w:w="990" w:type="dxa"/>
            <w:tcBorders>
              <w:top w:val="single" w:sz="4" w:space="0" w:color="auto"/>
              <w:left w:val="single" w:sz="4" w:space="0" w:color="auto"/>
              <w:bottom w:val="double" w:sz="4" w:space="0" w:color="auto"/>
              <w:right w:val="single" w:sz="4" w:space="0" w:color="auto"/>
            </w:tcBorders>
            <w:noWrap/>
            <w:vAlign w:val="center"/>
            <w:hideMark/>
          </w:tcPr>
          <w:p w:rsidR="00D51AF1" w:rsidRPr="00207541" w:rsidP="00865D4E" w14:paraId="38862108" w14:textId="03943BB5">
            <w:pPr>
              <w:widowControl/>
              <w:jc w:val="center"/>
              <w:rPr>
                <w:b w:val="0"/>
                <w:bCs w:val="0"/>
                <w:sz w:val="22"/>
                <w:szCs w:val="22"/>
              </w:rPr>
            </w:pPr>
            <w:r>
              <w:rPr>
                <w:b w:val="0"/>
                <w:bCs w:val="0"/>
                <w:color w:val="000000"/>
                <w:sz w:val="22"/>
                <w:szCs w:val="22"/>
              </w:rPr>
              <w:t>42</w:t>
            </w:r>
            <w:r>
              <w:rPr>
                <w:b w:val="0"/>
                <w:bCs w:val="0"/>
                <w:color w:val="000000"/>
                <w:sz w:val="22"/>
                <w:szCs w:val="22"/>
              </w:rPr>
              <w:t>%</w:t>
            </w:r>
          </w:p>
        </w:tc>
        <w:tc>
          <w:tcPr>
            <w:tcW w:w="1440" w:type="dxa"/>
            <w:tcBorders>
              <w:top w:val="single" w:sz="4" w:space="0" w:color="auto"/>
              <w:left w:val="single" w:sz="4" w:space="0" w:color="auto"/>
              <w:bottom w:val="double" w:sz="4" w:space="0" w:color="auto"/>
              <w:right w:val="single" w:sz="4" w:space="0" w:color="auto"/>
            </w:tcBorders>
            <w:noWrap/>
            <w:vAlign w:val="center"/>
            <w:hideMark/>
          </w:tcPr>
          <w:p w:rsidR="00D51AF1" w:rsidRPr="00207541" w:rsidP="00865D4E" w14:paraId="0CAE06FA" w14:textId="5AA60BD7">
            <w:pPr>
              <w:widowControl/>
              <w:jc w:val="center"/>
              <w:rPr>
                <w:b w:val="0"/>
                <w:bCs w:val="0"/>
                <w:sz w:val="22"/>
                <w:szCs w:val="22"/>
              </w:rPr>
            </w:pPr>
            <w:r>
              <w:rPr>
                <w:b w:val="0"/>
                <w:bCs w:val="0"/>
                <w:color w:val="000000"/>
                <w:sz w:val="22"/>
                <w:szCs w:val="22"/>
              </w:rPr>
              <w:t>1</w:t>
            </w:r>
            <w:r w:rsidR="00307D1D">
              <w:rPr>
                <w:b w:val="0"/>
                <w:bCs w:val="0"/>
                <w:color w:val="000000"/>
                <w:sz w:val="22"/>
                <w:szCs w:val="22"/>
              </w:rPr>
              <w:t>7,868,</w:t>
            </w:r>
            <w:r w:rsidR="00DE31CC">
              <w:rPr>
                <w:b w:val="0"/>
                <w:bCs w:val="0"/>
                <w:color w:val="000000"/>
                <w:sz w:val="22"/>
                <w:szCs w:val="22"/>
              </w:rPr>
              <w:t>162</w:t>
            </w:r>
          </w:p>
        </w:tc>
        <w:tc>
          <w:tcPr>
            <w:tcW w:w="1260" w:type="dxa"/>
            <w:tcBorders>
              <w:top w:val="single" w:sz="4" w:space="0" w:color="auto"/>
              <w:left w:val="single" w:sz="4" w:space="0" w:color="auto"/>
              <w:bottom w:val="double" w:sz="4" w:space="0" w:color="auto"/>
              <w:right w:val="single" w:sz="4" w:space="0" w:color="auto"/>
            </w:tcBorders>
            <w:noWrap/>
            <w:vAlign w:val="center"/>
            <w:hideMark/>
          </w:tcPr>
          <w:p w:rsidR="00D51AF1" w:rsidRPr="00207541" w:rsidP="00865D4E" w14:paraId="0B4E5AD9" w14:textId="3C0B44AF">
            <w:pPr>
              <w:widowControl/>
              <w:jc w:val="center"/>
              <w:rPr>
                <w:b w:val="0"/>
                <w:bCs w:val="0"/>
                <w:sz w:val="22"/>
                <w:szCs w:val="22"/>
              </w:rPr>
            </w:pPr>
            <w:r w:rsidRPr="00207541">
              <w:rPr>
                <w:b w:val="0"/>
                <w:bCs w:val="0"/>
                <w:color w:val="000000"/>
                <w:sz w:val="22"/>
                <w:szCs w:val="22"/>
              </w:rPr>
              <w:t>$</w:t>
            </w:r>
            <w:r w:rsidR="00CF38B8">
              <w:rPr>
                <w:b w:val="0"/>
                <w:bCs w:val="0"/>
                <w:color w:val="000000"/>
                <w:sz w:val="22"/>
                <w:szCs w:val="22"/>
              </w:rPr>
              <w:t>0.05</w:t>
            </w:r>
          </w:p>
        </w:tc>
        <w:tc>
          <w:tcPr>
            <w:tcW w:w="1511" w:type="dxa"/>
            <w:tcBorders>
              <w:top w:val="single" w:sz="4" w:space="0" w:color="auto"/>
              <w:left w:val="single" w:sz="4" w:space="0" w:color="auto"/>
              <w:bottom w:val="double" w:sz="4" w:space="0" w:color="auto"/>
              <w:right w:val="single" w:sz="4" w:space="0" w:color="auto"/>
            </w:tcBorders>
            <w:noWrap/>
            <w:vAlign w:val="center"/>
            <w:hideMark/>
          </w:tcPr>
          <w:p w:rsidR="00D51AF1" w:rsidRPr="00207541" w:rsidP="00C649E1" w14:paraId="57FFE8E2" w14:textId="2EEBC051">
            <w:pPr>
              <w:widowControl/>
              <w:jc w:val="center"/>
              <w:rPr>
                <w:b w:val="0"/>
                <w:bCs w:val="0"/>
                <w:sz w:val="22"/>
                <w:szCs w:val="22"/>
              </w:rPr>
            </w:pPr>
            <w:r w:rsidRPr="00207541">
              <w:rPr>
                <w:b w:val="0"/>
                <w:bCs w:val="0"/>
                <w:color w:val="000000"/>
                <w:sz w:val="22"/>
                <w:szCs w:val="22"/>
              </w:rPr>
              <w:t>$</w:t>
            </w:r>
            <w:r w:rsidR="00B54FA2">
              <w:rPr>
                <w:b w:val="0"/>
                <w:bCs w:val="0"/>
                <w:color w:val="000000"/>
                <w:sz w:val="22"/>
                <w:szCs w:val="22"/>
              </w:rPr>
              <w:t>893,</w:t>
            </w:r>
            <w:r w:rsidR="00CA701D">
              <w:rPr>
                <w:b w:val="0"/>
                <w:bCs w:val="0"/>
                <w:color w:val="000000"/>
                <w:sz w:val="22"/>
                <w:szCs w:val="22"/>
              </w:rPr>
              <w:t>408</w:t>
            </w:r>
          </w:p>
        </w:tc>
      </w:tr>
      <w:tr w14:paraId="289227A4" w14:textId="77777777" w:rsidTr="000E1017">
        <w:tblPrEx>
          <w:tblW w:w="9971" w:type="dxa"/>
          <w:tblInd w:w="-185" w:type="dxa"/>
          <w:tblLayout w:type="fixed"/>
          <w:tblLook w:val="04A0"/>
        </w:tblPrEx>
        <w:trPr>
          <w:trHeight w:val="316"/>
        </w:trPr>
        <w:tc>
          <w:tcPr>
            <w:tcW w:w="2070" w:type="dxa"/>
            <w:tcBorders>
              <w:top w:val="double" w:sz="4" w:space="0" w:color="auto"/>
              <w:left w:val="single" w:sz="4" w:space="0" w:color="auto"/>
              <w:bottom w:val="single" w:sz="4" w:space="0" w:color="auto"/>
              <w:right w:val="single" w:sz="4" w:space="0" w:color="auto"/>
            </w:tcBorders>
            <w:noWrap/>
            <w:vAlign w:val="bottom"/>
            <w:hideMark/>
          </w:tcPr>
          <w:p w:rsidR="00D51AF1" w:rsidRPr="00261797" w:rsidP="00573189" w14:paraId="37B5B49D" w14:textId="012A745B">
            <w:pPr>
              <w:widowControl/>
              <w:rPr>
                <w:bCs w:val="0"/>
                <w:sz w:val="22"/>
                <w:szCs w:val="22"/>
              </w:rPr>
            </w:pPr>
            <w:r>
              <w:rPr>
                <w:bCs w:val="0"/>
                <w:sz w:val="22"/>
                <w:szCs w:val="22"/>
              </w:rPr>
              <w:t xml:space="preserve">Three-Year </w:t>
            </w:r>
            <w:r w:rsidRPr="00261797">
              <w:rPr>
                <w:bCs w:val="0"/>
                <w:sz w:val="22"/>
                <w:szCs w:val="22"/>
              </w:rPr>
              <w:t>Total</w:t>
            </w:r>
            <w:r>
              <w:rPr>
                <w:bCs w:val="0"/>
                <w:sz w:val="22"/>
                <w:szCs w:val="22"/>
              </w:rPr>
              <w:t xml:space="preserve"> </w:t>
            </w:r>
          </w:p>
        </w:tc>
        <w:tc>
          <w:tcPr>
            <w:tcW w:w="1440" w:type="dxa"/>
            <w:tcBorders>
              <w:top w:val="double" w:sz="4" w:space="0" w:color="auto"/>
              <w:bottom w:val="single" w:sz="4" w:space="0" w:color="auto"/>
            </w:tcBorders>
            <w:vAlign w:val="center"/>
          </w:tcPr>
          <w:p w:rsidR="00D51AF1" w:rsidRPr="00D43B63" w:rsidP="00D43B63" w14:paraId="5CC5F0D7" w14:textId="2766115E">
            <w:pPr>
              <w:widowControl/>
              <w:jc w:val="center"/>
              <w:rPr>
                <w:sz w:val="22"/>
                <w:szCs w:val="22"/>
              </w:rPr>
            </w:pPr>
            <w:r>
              <w:rPr>
                <w:sz w:val="22"/>
                <w:szCs w:val="22"/>
              </w:rPr>
              <w:t>490,266</w:t>
            </w:r>
            <w:r w:rsidR="00A53998">
              <w:rPr>
                <w:sz w:val="22"/>
                <w:szCs w:val="22"/>
              </w:rPr>
              <w:t>*</w:t>
            </w:r>
          </w:p>
        </w:tc>
        <w:tc>
          <w:tcPr>
            <w:tcW w:w="1260" w:type="dxa"/>
            <w:tcBorders>
              <w:top w:val="double" w:sz="4" w:space="0" w:color="auto"/>
              <w:left w:val="single" w:sz="4" w:space="0" w:color="auto"/>
              <w:bottom w:val="single" w:sz="4" w:space="0" w:color="auto"/>
              <w:right w:val="single" w:sz="4" w:space="0" w:color="auto"/>
            </w:tcBorders>
            <w:noWrap/>
            <w:vAlign w:val="center"/>
            <w:hideMark/>
          </w:tcPr>
          <w:p w:rsidR="00D51AF1" w:rsidRPr="00573189" w:rsidP="00573189" w14:paraId="50DEB0A5" w14:textId="133C8044">
            <w:pPr>
              <w:widowControl/>
              <w:jc w:val="right"/>
              <w:rPr>
                <w:sz w:val="22"/>
                <w:szCs w:val="22"/>
              </w:rPr>
            </w:pPr>
            <w:r>
              <w:rPr>
                <w:sz w:val="22"/>
                <w:szCs w:val="22"/>
              </w:rPr>
              <w:t>42,849,310</w:t>
            </w:r>
          </w:p>
        </w:tc>
        <w:tc>
          <w:tcPr>
            <w:tcW w:w="990" w:type="dxa"/>
            <w:tcBorders>
              <w:top w:val="double" w:sz="4" w:space="0" w:color="auto"/>
              <w:left w:val="nil"/>
              <w:bottom w:val="single" w:sz="4" w:space="0" w:color="auto"/>
              <w:right w:val="single" w:sz="4" w:space="0" w:color="auto"/>
            </w:tcBorders>
            <w:noWrap/>
            <w:vAlign w:val="center"/>
            <w:hideMark/>
          </w:tcPr>
          <w:p w:rsidR="00D51AF1" w:rsidRPr="005A7777" w:rsidP="00865D4E" w14:paraId="0A2B79F8" w14:textId="77777777">
            <w:pPr>
              <w:widowControl/>
              <w:jc w:val="center"/>
              <w:rPr>
                <w:sz w:val="22"/>
                <w:szCs w:val="22"/>
              </w:rPr>
            </w:pPr>
            <w:r w:rsidRPr="005A7777">
              <w:rPr>
                <w:sz w:val="22"/>
                <w:szCs w:val="22"/>
              </w:rPr>
              <w:t>-</w:t>
            </w:r>
          </w:p>
        </w:tc>
        <w:tc>
          <w:tcPr>
            <w:tcW w:w="1440" w:type="dxa"/>
            <w:tcBorders>
              <w:top w:val="double" w:sz="4" w:space="0" w:color="auto"/>
              <w:left w:val="single" w:sz="4" w:space="0" w:color="auto"/>
              <w:bottom w:val="single" w:sz="4" w:space="0" w:color="auto"/>
              <w:right w:val="single" w:sz="4" w:space="0" w:color="auto"/>
            </w:tcBorders>
            <w:noWrap/>
            <w:vAlign w:val="center"/>
          </w:tcPr>
          <w:p w:rsidR="00D51AF1" w:rsidRPr="00573189" w:rsidP="00865D4E" w14:paraId="40F2D245" w14:textId="25AF2954">
            <w:pPr>
              <w:widowControl/>
              <w:jc w:val="center"/>
              <w:rPr>
                <w:sz w:val="22"/>
                <w:szCs w:val="22"/>
              </w:rPr>
            </w:pPr>
            <w:r>
              <w:rPr>
                <w:color w:val="000000"/>
                <w:sz w:val="22"/>
                <w:szCs w:val="22"/>
              </w:rPr>
              <w:t>1</w:t>
            </w:r>
            <w:r w:rsidR="00307D1D">
              <w:rPr>
                <w:color w:val="000000"/>
                <w:sz w:val="22"/>
                <w:szCs w:val="22"/>
              </w:rPr>
              <w:t>7,868,</w:t>
            </w:r>
            <w:r w:rsidR="00DE31CC">
              <w:rPr>
                <w:color w:val="000000"/>
                <w:sz w:val="22"/>
                <w:szCs w:val="22"/>
              </w:rPr>
              <w:t>162</w:t>
            </w:r>
          </w:p>
        </w:tc>
        <w:tc>
          <w:tcPr>
            <w:tcW w:w="1260" w:type="dxa"/>
            <w:tcBorders>
              <w:top w:val="double" w:sz="4" w:space="0" w:color="auto"/>
              <w:left w:val="nil"/>
              <w:bottom w:val="single" w:sz="4" w:space="0" w:color="auto"/>
              <w:right w:val="single" w:sz="4" w:space="0" w:color="auto"/>
            </w:tcBorders>
            <w:noWrap/>
            <w:vAlign w:val="center"/>
            <w:hideMark/>
          </w:tcPr>
          <w:p w:rsidR="00D51AF1" w:rsidRPr="005A7777" w:rsidP="00865D4E" w14:paraId="3E797D3B" w14:textId="77777777">
            <w:pPr>
              <w:widowControl/>
              <w:jc w:val="center"/>
              <w:rPr>
                <w:sz w:val="22"/>
                <w:szCs w:val="22"/>
              </w:rPr>
            </w:pPr>
            <w:r w:rsidRPr="005A7777">
              <w:rPr>
                <w:sz w:val="22"/>
                <w:szCs w:val="22"/>
              </w:rPr>
              <w:t>-</w:t>
            </w:r>
          </w:p>
        </w:tc>
        <w:tc>
          <w:tcPr>
            <w:tcW w:w="1511" w:type="dxa"/>
            <w:tcBorders>
              <w:top w:val="double" w:sz="4" w:space="0" w:color="auto"/>
              <w:left w:val="nil"/>
              <w:bottom w:val="single" w:sz="4" w:space="0" w:color="auto"/>
              <w:right w:val="single" w:sz="4" w:space="0" w:color="auto"/>
            </w:tcBorders>
            <w:noWrap/>
            <w:vAlign w:val="center"/>
            <w:hideMark/>
          </w:tcPr>
          <w:p w:rsidR="00D51AF1" w:rsidRPr="007A1C5D" w:rsidP="00C649E1" w14:paraId="55C603F1" w14:textId="6F29FFB3">
            <w:pPr>
              <w:widowControl/>
              <w:jc w:val="center"/>
              <w:rPr>
                <w:sz w:val="22"/>
                <w:szCs w:val="22"/>
              </w:rPr>
            </w:pPr>
            <w:r w:rsidRPr="007A1C5D">
              <w:rPr>
                <w:color w:val="000000"/>
                <w:sz w:val="22"/>
                <w:szCs w:val="22"/>
              </w:rPr>
              <w:t>$</w:t>
            </w:r>
            <w:r w:rsidR="00CA701D">
              <w:rPr>
                <w:color w:val="000000"/>
                <w:sz w:val="22"/>
                <w:szCs w:val="22"/>
              </w:rPr>
              <w:t>893,408</w:t>
            </w:r>
          </w:p>
        </w:tc>
      </w:tr>
      <w:tr w14:paraId="587E5208" w14:textId="77777777" w:rsidTr="000E1017">
        <w:tblPrEx>
          <w:tblW w:w="9971" w:type="dxa"/>
          <w:tblInd w:w="-185" w:type="dxa"/>
          <w:tblLayout w:type="fixed"/>
          <w:tblLook w:val="04A0"/>
        </w:tblPrEx>
        <w:trPr>
          <w:trHeight w:val="316"/>
        </w:trPr>
        <w:tc>
          <w:tcPr>
            <w:tcW w:w="2070" w:type="dxa"/>
            <w:tcBorders>
              <w:top w:val="single" w:sz="4" w:space="0" w:color="auto"/>
              <w:left w:val="single" w:sz="4" w:space="0" w:color="auto"/>
              <w:bottom w:val="single" w:sz="4" w:space="0" w:color="auto"/>
              <w:right w:val="single" w:sz="4" w:space="0" w:color="auto"/>
            </w:tcBorders>
            <w:noWrap/>
            <w:vAlign w:val="bottom"/>
          </w:tcPr>
          <w:p w:rsidR="00CF38B8" w:rsidP="00CF38B8" w14:paraId="5D18B342" w14:textId="77777777">
            <w:pPr>
              <w:widowControl/>
              <w:rPr>
                <w:bCs w:val="0"/>
                <w:sz w:val="22"/>
                <w:szCs w:val="22"/>
              </w:rPr>
            </w:pPr>
            <w:r>
              <w:rPr>
                <w:bCs w:val="0"/>
                <w:sz w:val="22"/>
                <w:szCs w:val="22"/>
              </w:rPr>
              <w:t xml:space="preserve">Three-Year Average </w:t>
            </w:r>
          </w:p>
        </w:tc>
        <w:tc>
          <w:tcPr>
            <w:tcW w:w="1440" w:type="dxa"/>
            <w:tcBorders>
              <w:top w:val="single" w:sz="4" w:space="0" w:color="auto"/>
              <w:bottom w:val="single" w:sz="4" w:space="0" w:color="auto"/>
            </w:tcBorders>
            <w:vAlign w:val="center"/>
          </w:tcPr>
          <w:p w:rsidR="00CF38B8" w:rsidRPr="00D43B63" w:rsidP="00CF38B8" w14:paraId="139AD48E" w14:textId="55E16068">
            <w:pPr>
              <w:widowControl/>
              <w:jc w:val="center"/>
              <w:rPr>
                <w:sz w:val="22"/>
                <w:szCs w:val="22"/>
              </w:rPr>
            </w:pPr>
            <w:r>
              <w:rPr>
                <w:sz w:val="22"/>
                <w:szCs w:val="22"/>
              </w:rPr>
              <w:t>4</w:t>
            </w:r>
            <w:r w:rsidR="00A80D71">
              <w:rPr>
                <w:sz w:val="22"/>
                <w:szCs w:val="22"/>
              </w:rPr>
              <w:t>90,266</w:t>
            </w:r>
          </w:p>
        </w:tc>
        <w:tc>
          <w:tcPr>
            <w:tcW w:w="1260" w:type="dxa"/>
            <w:tcBorders>
              <w:top w:val="single" w:sz="4" w:space="0" w:color="auto"/>
              <w:left w:val="single" w:sz="4" w:space="0" w:color="auto"/>
              <w:bottom w:val="single" w:sz="4" w:space="0" w:color="auto"/>
              <w:right w:val="single" w:sz="4" w:space="0" w:color="auto"/>
            </w:tcBorders>
            <w:noWrap/>
            <w:vAlign w:val="center"/>
          </w:tcPr>
          <w:p w:rsidR="00CF38B8" w:rsidP="00CF38B8" w14:paraId="17A1C797" w14:textId="7C9E9034">
            <w:pPr>
              <w:widowControl/>
              <w:jc w:val="right"/>
              <w:rPr>
                <w:sz w:val="22"/>
                <w:szCs w:val="22"/>
              </w:rPr>
            </w:pPr>
            <w:r>
              <w:rPr>
                <w:sz w:val="22"/>
                <w:szCs w:val="22"/>
              </w:rPr>
              <w:t>42,849,310</w:t>
            </w:r>
          </w:p>
        </w:tc>
        <w:tc>
          <w:tcPr>
            <w:tcW w:w="990" w:type="dxa"/>
            <w:tcBorders>
              <w:top w:val="single" w:sz="4" w:space="0" w:color="auto"/>
              <w:left w:val="nil"/>
              <w:bottom w:val="single" w:sz="4" w:space="0" w:color="auto"/>
              <w:right w:val="single" w:sz="4" w:space="0" w:color="auto"/>
            </w:tcBorders>
            <w:noWrap/>
            <w:vAlign w:val="center"/>
          </w:tcPr>
          <w:p w:rsidR="00CF38B8" w:rsidRPr="005A7777" w:rsidP="00CF38B8" w14:paraId="3472B2D0" w14:textId="69E07CCD">
            <w:pPr>
              <w:widowControl/>
              <w:jc w:val="center"/>
              <w:rPr>
                <w:sz w:val="22"/>
                <w:szCs w:val="22"/>
              </w:rPr>
            </w:pPr>
            <w:r w:rsidRPr="005A7777">
              <w:rPr>
                <w:sz w:val="22"/>
                <w:szCs w:val="22"/>
              </w:rPr>
              <w:t>-</w:t>
            </w:r>
          </w:p>
        </w:tc>
        <w:tc>
          <w:tcPr>
            <w:tcW w:w="1440" w:type="dxa"/>
            <w:tcBorders>
              <w:top w:val="single" w:sz="4" w:space="0" w:color="auto"/>
              <w:left w:val="single" w:sz="4" w:space="0" w:color="auto"/>
              <w:bottom w:val="single" w:sz="4" w:space="0" w:color="auto"/>
              <w:right w:val="single" w:sz="4" w:space="0" w:color="auto"/>
            </w:tcBorders>
            <w:noWrap/>
            <w:vAlign w:val="center"/>
          </w:tcPr>
          <w:p w:rsidR="00CF38B8" w:rsidRPr="00573189" w:rsidP="00CF38B8" w14:paraId="2F42AFED" w14:textId="792E5DB8">
            <w:pPr>
              <w:widowControl/>
              <w:jc w:val="center"/>
              <w:rPr>
                <w:sz w:val="22"/>
                <w:szCs w:val="22"/>
              </w:rPr>
            </w:pPr>
            <w:r>
              <w:rPr>
                <w:color w:val="000000"/>
                <w:sz w:val="22"/>
                <w:szCs w:val="22"/>
              </w:rPr>
              <w:t>1</w:t>
            </w:r>
            <w:r w:rsidR="00307D1D">
              <w:rPr>
                <w:color w:val="000000"/>
                <w:sz w:val="22"/>
                <w:szCs w:val="22"/>
              </w:rPr>
              <w:t>7,868,</w:t>
            </w:r>
            <w:r w:rsidR="00DE31CC">
              <w:rPr>
                <w:color w:val="000000"/>
                <w:sz w:val="22"/>
                <w:szCs w:val="22"/>
              </w:rPr>
              <w:t>162</w:t>
            </w:r>
          </w:p>
        </w:tc>
        <w:tc>
          <w:tcPr>
            <w:tcW w:w="1260" w:type="dxa"/>
            <w:tcBorders>
              <w:top w:val="single" w:sz="4" w:space="0" w:color="auto"/>
              <w:left w:val="nil"/>
              <w:bottom w:val="single" w:sz="4" w:space="0" w:color="auto"/>
              <w:right w:val="single" w:sz="4" w:space="0" w:color="auto"/>
            </w:tcBorders>
            <w:noWrap/>
            <w:vAlign w:val="center"/>
          </w:tcPr>
          <w:p w:rsidR="00CF38B8" w:rsidRPr="005A7777" w:rsidP="00CF38B8" w14:paraId="2C63F330" w14:textId="77777777">
            <w:pPr>
              <w:widowControl/>
              <w:jc w:val="center"/>
              <w:rPr>
                <w:sz w:val="22"/>
                <w:szCs w:val="22"/>
              </w:rPr>
            </w:pPr>
            <w:r>
              <w:rPr>
                <w:sz w:val="22"/>
                <w:szCs w:val="22"/>
              </w:rPr>
              <w:t>-</w:t>
            </w:r>
          </w:p>
        </w:tc>
        <w:tc>
          <w:tcPr>
            <w:tcW w:w="1511" w:type="dxa"/>
            <w:tcBorders>
              <w:top w:val="single" w:sz="4" w:space="0" w:color="auto"/>
              <w:left w:val="nil"/>
              <w:bottom w:val="single" w:sz="4" w:space="0" w:color="auto"/>
              <w:right w:val="single" w:sz="4" w:space="0" w:color="auto"/>
            </w:tcBorders>
            <w:noWrap/>
            <w:vAlign w:val="center"/>
          </w:tcPr>
          <w:p w:rsidR="00CF38B8" w:rsidRPr="007A1C5D" w:rsidP="00CF38B8" w14:paraId="117534FC" w14:textId="36580784">
            <w:pPr>
              <w:widowControl/>
              <w:jc w:val="center"/>
              <w:rPr>
                <w:sz w:val="22"/>
                <w:szCs w:val="22"/>
              </w:rPr>
            </w:pPr>
            <w:r w:rsidRPr="007A1C5D">
              <w:rPr>
                <w:color w:val="000000"/>
                <w:sz w:val="22"/>
                <w:szCs w:val="22"/>
              </w:rPr>
              <w:t>$</w:t>
            </w:r>
            <w:r w:rsidR="00CA701D">
              <w:rPr>
                <w:color w:val="000000"/>
                <w:sz w:val="22"/>
                <w:szCs w:val="22"/>
              </w:rPr>
              <w:t>893,408</w:t>
            </w:r>
          </w:p>
        </w:tc>
      </w:tr>
      <w:tr w14:paraId="74C70B05" w14:textId="77777777" w:rsidTr="000E1017">
        <w:tblPrEx>
          <w:tblW w:w="9971" w:type="dxa"/>
          <w:tblInd w:w="-185" w:type="dxa"/>
          <w:tblLayout w:type="fixed"/>
          <w:tblLook w:val="04A0"/>
        </w:tblPrEx>
        <w:trPr>
          <w:trHeight w:val="316"/>
        </w:trPr>
        <w:tc>
          <w:tcPr>
            <w:tcW w:w="2070" w:type="dxa"/>
            <w:tcBorders>
              <w:top w:val="single" w:sz="4" w:space="0" w:color="auto"/>
              <w:left w:val="single" w:sz="4" w:space="0" w:color="auto"/>
              <w:bottom w:val="single" w:sz="4" w:space="0" w:color="auto"/>
              <w:right w:val="single" w:sz="4" w:space="0" w:color="auto"/>
            </w:tcBorders>
            <w:noWrap/>
            <w:vAlign w:val="bottom"/>
          </w:tcPr>
          <w:p w:rsidR="00A912F7" w:rsidP="00CF38B8" w14:paraId="1229EF41" w14:textId="7CD50E54">
            <w:pPr>
              <w:widowControl/>
              <w:rPr>
                <w:bCs w:val="0"/>
                <w:sz w:val="22"/>
                <w:szCs w:val="22"/>
              </w:rPr>
            </w:pPr>
            <w:r>
              <w:rPr>
                <w:bCs w:val="0"/>
                <w:sz w:val="22"/>
                <w:szCs w:val="22"/>
              </w:rPr>
              <w:t>DOL Three-Year Average</w:t>
            </w:r>
          </w:p>
        </w:tc>
        <w:tc>
          <w:tcPr>
            <w:tcW w:w="1440" w:type="dxa"/>
            <w:tcBorders>
              <w:top w:val="single" w:sz="4" w:space="0" w:color="auto"/>
              <w:bottom w:val="single" w:sz="4" w:space="0" w:color="auto"/>
            </w:tcBorders>
            <w:vAlign w:val="center"/>
          </w:tcPr>
          <w:p w:rsidR="00A912F7" w:rsidP="00CF38B8" w14:paraId="6DCC4E5A" w14:textId="42374C80">
            <w:pPr>
              <w:widowControl/>
              <w:jc w:val="center"/>
              <w:rPr>
                <w:sz w:val="22"/>
                <w:szCs w:val="22"/>
              </w:rPr>
            </w:pPr>
            <w:r>
              <w:rPr>
                <w:sz w:val="22"/>
                <w:szCs w:val="22"/>
              </w:rPr>
              <w:t>490,266</w:t>
            </w:r>
          </w:p>
        </w:tc>
        <w:tc>
          <w:tcPr>
            <w:tcW w:w="1260" w:type="dxa"/>
            <w:tcBorders>
              <w:top w:val="single" w:sz="4" w:space="0" w:color="auto"/>
              <w:left w:val="single" w:sz="4" w:space="0" w:color="auto"/>
              <w:bottom w:val="single" w:sz="4" w:space="0" w:color="auto"/>
              <w:right w:val="single" w:sz="4" w:space="0" w:color="auto"/>
            </w:tcBorders>
            <w:noWrap/>
            <w:vAlign w:val="center"/>
          </w:tcPr>
          <w:p w:rsidR="00A912F7" w:rsidP="00CF38B8" w14:paraId="51E6C64F" w14:textId="2BF33051">
            <w:pPr>
              <w:widowControl/>
              <w:jc w:val="right"/>
              <w:rPr>
                <w:sz w:val="22"/>
                <w:szCs w:val="22"/>
              </w:rPr>
            </w:pPr>
            <w:r>
              <w:rPr>
                <w:sz w:val="22"/>
                <w:szCs w:val="22"/>
              </w:rPr>
              <w:t>42,849,310</w:t>
            </w:r>
          </w:p>
        </w:tc>
        <w:tc>
          <w:tcPr>
            <w:tcW w:w="990" w:type="dxa"/>
            <w:tcBorders>
              <w:top w:val="single" w:sz="4" w:space="0" w:color="auto"/>
              <w:left w:val="nil"/>
              <w:bottom w:val="single" w:sz="4" w:space="0" w:color="auto"/>
              <w:right w:val="single" w:sz="4" w:space="0" w:color="auto"/>
            </w:tcBorders>
            <w:noWrap/>
            <w:vAlign w:val="center"/>
          </w:tcPr>
          <w:p w:rsidR="00A912F7" w:rsidRPr="005A7777" w:rsidP="00CF38B8" w14:paraId="1D52A908" w14:textId="6AFF13EB">
            <w:pPr>
              <w:widowControl/>
              <w:jc w:val="center"/>
              <w:rPr>
                <w:sz w:val="22"/>
                <w:szCs w:val="22"/>
              </w:rPr>
            </w:pPr>
            <w:r>
              <w:rPr>
                <w:sz w:val="22"/>
                <w:szCs w:val="22"/>
              </w:rPr>
              <w:t>-</w:t>
            </w:r>
          </w:p>
        </w:tc>
        <w:tc>
          <w:tcPr>
            <w:tcW w:w="1440" w:type="dxa"/>
            <w:tcBorders>
              <w:top w:val="single" w:sz="4" w:space="0" w:color="auto"/>
              <w:left w:val="single" w:sz="4" w:space="0" w:color="auto"/>
              <w:bottom w:val="single" w:sz="4" w:space="0" w:color="auto"/>
              <w:right w:val="single" w:sz="4" w:space="0" w:color="auto"/>
            </w:tcBorders>
            <w:noWrap/>
            <w:vAlign w:val="center"/>
          </w:tcPr>
          <w:p w:rsidR="00A912F7" w:rsidP="00CF38B8" w14:paraId="072B53B4" w14:textId="739343CD">
            <w:pPr>
              <w:widowControl/>
              <w:jc w:val="center"/>
              <w:rPr>
                <w:color w:val="000000"/>
                <w:sz w:val="22"/>
                <w:szCs w:val="22"/>
              </w:rPr>
            </w:pPr>
            <w:r>
              <w:rPr>
                <w:color w:val="000000"/>
                <w:sz w:val="22"/>
                <w:szCs w:val="22"/>
              </w:rPr>
              <w:t>17,868,162</w:t>
            </w:r>
          </w:p>
        </w:tc>
        <w:tc>
          <w:tcPr>
            <w:tcW w:w="1260" w:type="dxa"/>
            <w:tcBorders>
              <w:top w:val="single" w:sz="4" w:space="0" w:color="auto"/>
              <w:left w:val="nil"/>
              <w:bottom w:val="single" w:sz="4" w:space="0" w:color="auto"/>
              <w:right w:val="single" w:sz="4" w:space="0" w:color="auto"/>
            </w:tcBorders>
            <w:noWrap/>
            <w:vAlign w:val="center"/>
          </w:tcPr>
          <w:p w:rsidR="00A912F7" w:rsidP="00CF38B8" w14:paraId="2436D1EC" w14:textId="739CFB97">
            <w:pPr>
              <w:widowControl/>
              <w:jc w:val="center"/>
              <w:rPr>
                <w:sz w:val="22"/>
                <w:szCs w:val="22"/>
              </w:rPr>
            </w:pPr>
            <w:r>
              <w:rPr>
                <w:sz w:val="22"/>
                <w:szCs w:val="22"/>
              </w:rPr>
              <w:t>-</w:t>
            </w:r>
          </w:p>
        </w:tc>
        <w:tc>
          <w:tcPr>
            <w:tcW w:w="1511" w:type="dxa"/>
            <w:tcBorders>
              <w:top w:val="single" w:sz="4" w:space="0" w:color="auto"/>
              <w:left w:val="nil"/>
              <w:bottom w:val="single" w:sz="4" w:space="0" w:color="auto"/>
              <w:right w:val="single" w:sz="4" w:space="0" w:color="auto"/>
            </w:tcBorders>
            <w:noWrap/>
            <w:vAlign w:val="center"/>
          </w:tcPr>
          <w:p w:rsidR="00A912F7" w:rsidRPr="007A1C5D" w:rsidP="00CF38B8" w14:paraId="662000AE" w14:textId="6B70CFBA">
            <w:pPr>
              <w:widowControl/>
              <w:jc w:val="center"/>
              <w:rPr>
                <w:color w:val="000000"/>
                <w:sz w:val="22"/>
                <w:szCs w:val="22"/>
              </w:rPr>
            </w:pPr>
            <w:r>
              <w:rPr>
                <w:color w:val="000000"/>
                <w:sz w:val="22"/>
                <w:szCs w:val="22"/>
              </w:rPr>
              <w:t>$446,704</w:t>
            </w:r>
            <w:r w:rsidR="00A53998">
              <w:rPr>
                <w:color w:val="000000"/>
                <w:sz w:val="22"/>
                <w:szCs w:val="22"/>
              </w:rPr>
              <w:t>**</w:t>
            </w:r>
          </w:p>
        </w:tc>
      </w:tr>
    </w:tbl>
    <w:p w:rsidR="00A53998" w:rsidP="0062736F" w14:paraId="7D6853B9" w14:textId="77777777">
      <w:pPr>
        <w:widowControl/>
        <w:rPr>
          <w:b w:val="0"/>
          <w:bCs w:val="0"/>
          <w:sz w:val="24"/>
          <w:szCs w:val="24"/>
        </w:rPr>
      </w:pPr>
      <w:r w:rsidRPr="00A53998">
        <w:rPr>
          <w:b w:val="0"/>
          <w:bCs w:val="0"/>
          <w:sz w:val="24"/>
          <w:szCs w:val="24"/>
          <w:u w:val="single"/>
        </w:rPr>
        <w:t>Note</w:t>
      </w:r>
      <w:r>
        <w:rPr>
          <w:b w:val="0"/>
          <w:bCs w:val="0"/>
          <w:sz w:val="24"/>
          <w:szCs w:val="24"/>
        </w:rPr>
        <w:t xml:space="preserve">: </w:t>
      </w:r>
    </w:p>
    <w:p w:rsidR="004279E2" w:rsidP="0062736F" w14:paraId="1B188069" w14:textId="7A6B31F4">
      <w:pPr>
        <w:widowControl/>
        <w:rPr>
          <w:b w:val="0"/>
          <w:bCs w:val="0"/>
          <w:sz w:val="24"/>
          <w:szCs w:val="24"/>
        </w:rPr>
      </w:pPr>
      <w:r w:rsidRPr="00A62B0C">
        <w:rPr>
          <w:b w:val="0"/>
          <w:sz w:val="24"/>
          <w:szCs w:val="24"/>
        </w:rPr>
        <w:t>*The number of respondents (</w:t>
      </w:r>
      <w:r w:rsidRPr="00A62B0C" w:rsidR="00807265">
        <w:rPr>
          <w:b w:val="0"/>
          <w:sz w:val="24"/>
          <w:szCs w:val="24"/>
        </w:rPr>
        <w:t>4</w:t>
      </w:r>
      <w:r w:rsidRPr="00A62B0C" w:rsidR="00A80D71">
        <w:rPr>
          <w:b w:val="0"/>
          <w:sz w:val="24"/>
          <w:szCs w:val="24"/>
        </w:rPr>
        <w:t>90</w:t>
      </w:r>
      <w:r w:rsidRPr="00A62B0C" w:rsidR="00807265">
        <w:rPr>
          <w:b w:val="0"/>
          <w:sz w:val="24"/>
          <w:szCs w:val="24"/>
        </w:rPr>
        <w:t>,</w:t>
      </w:r>
      <w:r w:rsidRPr="00A62B0C" w:rsidR="00A80D71">
        <w:rPr>
          <w:b w:val="0"/>
          <w:sz w:val="24"/>
          <w:szCs w:val="24"/>
        </w:rPr>
        <w:t>266</w:t>
      </w:r>
      <w:r w:rsidRPr="00A62B0C">
        <w:rPr>
          <w:b w:val="0"/>
          <w:sz w:val="24"/>
          <w:szCs w:val="24"/>
        </w:rPr>
        <w:t xml:space="preserve">) is equal to the number of affected </w:t>
      </w:r>
      <w:r w:rsidRPr="00A62B0C" w:rsidR="00084CA3">
        <w:rPr>
          <w:b w:val="0"/>
          <w:sz w:val="24"/>
          <w:szCs w:val="24"/>
        </w:rPr>
        <w:t xml:space="preserve">private-sector </w:t>
      </w:r>
      <w:r w:rsidRPr="00A62B0C">
        <w:rPr>
          <w:b w:val="0"/>
          <w:sz w:val="24"/>
          <w:szCs w:val="24"/>
        </w:rPr>
        <w:t xml:space="preserve">group health plans, while the number of responses is equal to the number of eligible participants that will receive the notice. </w:t>
      </w:r>
    </w:p>
    <w:p w:rsidR="00494594" w:rsidRPr="00242CED" w:rsidP="00494594" w14:paraId="30F9297B" w14:textId="1E1BB7EB">
      <w:pPr>
        <w:widowControl/>
        <w:tabs>
          <w:tab w:val="left" w:pos="-1440"/>
          <w:tab w:val="left" w:pos="990"/>
        </w:tabs>
        <w:rPr>
          <w:b w:val="0"/>
          <w:bCs w:val="0"/>
          <w:iCs/>
          <w:sz w:val="24"/>
          <w:szCs w:val="24"/>
        </w:rPr>
      </w:pPr>
      <w:r>
        <w:rPr>
          <w:b w:val="0"/>
          <w:bCs w:val="0"/>
          <w:iCs/>
          <w:sz w:val="24"/>
          <w:szCs w:val="24"/>
        </w:rPr>
        <w:t>**</w:t>
      </w:r>
      <w:r>
        <w:rPr>
          <w:b w:val="0"/>
          <w:bCs w:val="0"/>
          <w:iCs/>
          <w:sz w:val="24"/>
          <w:szCs w:val="24"/>
        </w:rPr>
        <w:t>The cost burden for the private-sector plans presented above is split between the Departments of Labor and Treasury. This results in an average annual cost burden of $</w:t>
      </w:r>
      <w:r w:rsidR="0005398B">
        <w:rPr>
          <w:b w:val="0"/>
          <w:bCs w:val="0"/>
          <w:iCs/>
          <w:sz w:val="24"/>
          <w:szCs w:val="24"/>
        </w:rPr>
        <w:t>446,704</w:t>
      </w:r>
      <w:r>
        <w:rPr>
          <w:b w:val="0"/>
          <w:bCs w:val="0"/>
          <w:iCs/>
          <w:sz w:val="24"/>
          <w:szCs w:val="24"/>
        </w:rPr>
        <w:t xml:space="preserve"> arising</w:t>
      </w:r>
      <w:r w:rsidR="00A67F65">
        <w:rPr>
          <w:b w:val="0"/>
          <w:bCs w:val="0"/>
          <w:iCs/>
          <w:sz w:val="24"/>
          <w:szCs w:val="24"/>
        </w:rPr>
        <w:t xml:space="preserve"> </w:t>
      </w:r>
      <w:r>
        <w:rPr>
          <w:b w:val="0"/>
          <w:bCs w:val="0"/>
          <w:iCs/>
          <w:sz w:val="24"/>
          <w:szCs w:val="24"/>
        </w:rPr>
        <w:t xml:space="preserve">for the Department of Labor. </w:t>
      </w:r>
    </w:p>
    <w:p w:rsidR="000822F0" w:rsidRPr="00A92375" w:rsidP="0062736F" w14:paraId="05F498F2" w14:textId="77777777">
      <w:pPr>
        <w:widowControl/>
        <w:rPr>
          <w:b w:val="0"/>
          <w:bCs w:val="0"/>
          <w:sz w:val="24"/>
          <w:szCs w:val="24"/>
        </w:rPr>
      </w:pPr>
    </w:p>
    <w:p w:rsidR="00BE1236" w:rsidRPr="0005778D" w:rsidP="0005778D" w14:paraId="0AEC9E73" w14:textId="5683F5E7">
      <w:pPr>
        <w:pStyle w:val="Heading1"/>
        <w:numPr>
          <w:ilvl w:val="0"/>
          <w:numId w:val="37"/>
        </w:numPr>
      </w:pPr>
      <w:r w:rsidRPr="00BE4E63">
        <w:t>Provide estimates of annualized cost to the Federal government.</w:t>
      </w:r>
      <w:r w:rsidR="00D309FC">
        <w:t xml:space="preserve"> </w:t>
      </w:r>
      <w:r w:rsidRPr="00BE4E63">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309FC">
        <w:t xml:space="preserve"> </w:t>
      </w:r>
      <w:r w:rsidRPr="00BE4E63">
        <w:t>Agencies also may aggregate cost estimates from Items 12, 13, and 14 in a single table</w:t>
      </w:r>
      <w:r w:rsidRPr="00BE4E63" w:rsidR="00A96D34">
        <w:t>.</w:t>
      </w:r>
    </w:p>
    <w:p w:rsidR="00AA1E33" w:rsidP="0006528F" w14:paraId="32874E36" w14:textId="77777777">
      <w:pPr>
        <w:widowControl/>
        <w:rPr>
          <w:b w:val="0"/>
          <w:bCs w:val="0"/>
          <w:sz w:val="24"/>
          <w:szCs w:val="24"/>
        </w:rPr>
      </w:pPr>
    </w:p>
    <w:p w:rsidR="000700BA" w:rsidRPr="00096513" w:rsidP="0006528F" w14:paraId="37A683F9" w14:textId="793A6F3A">
      <w:pPr>
        <w:widowControl/>
        <w:rPr>
          <w:b w:val="0"/>
          <w:bCs w:val="0"/>
          <w:sz w:val="24"/>
          <w:szCs w:val="24"/>
        </w:rPr>
      </w:pPr>
      <w:r>
        <w:rPr>
          <w:b w:val="0"/>
          <w:bCs w:val="0"/>
          <w:sz w:val="24"/>
          <w:szCs w:val="24"/>
        </w:rPr>
        <w:tab/>
      </w:r>
      <w:r w:rsidRPr="00261797" w:rsidR="00261797">
        <w:rPr>
          <w:b w:val="0"/>
          <w:bCs w:val="0"/>
          <w:sz w:val="24"/>
          <w:szCs w:val="24"/>
        </w:rPr>
        <w:t>There are no costs to the Federal government associated with this information collection.</w:t>
      </w:r>
    </w:p>
    <w:p w:rsidR="00FF59F5" w:rsidRPr="00096513" w:rsidP="00917C25" w14:paraId="4EAB9830" w14:textId="77777777">
      <w:pPr>
        <w:widowControl/>
        <w:ind w:left="720"/>
        <w:rPr>
          <w:b w:val="0"/>
          <w:bCs w:val="0"/>
          <w:sz w:val="24"/>
          <w:szCs w:val="24"/>
        </w:rPr>
      </w:pPr>
    </w:p>
    <w:p w:rsidR="00BE1236" w:rsidRPr="00BE4E63" w:rsidP="0005778D" w14:paraId="27FA3AD0" w14:textId="65EADA1C">
      <w:pPr>
        <w:pStyle w:val="Heading1"/>
      </w:pPr>
      <w:r w:rsidRPr="00BE4E63">
        <w:t>15.</w:t>
      </w:r>
      <w:r w:rsidR="00D309FC">
        <w:t xml:space="preserve"> </w:t>
      </w:r>
      <w:r>
        <w:tab/>
      </w:r>
      <w:r w:rsidRPr="00BE4E63">
        <w:t>Explain the reasons for any</w:t>
      </w:r>
      <w:r>
        <w:t xml:space="preserve"> program changes or adjustments.</w:t>
      </w:r>
    </w:p>
    <w:p w:rsidR="003D5E7E" w:rsidP="00F67132" w14:paraId="714C502A" w14:textId="77777777">
      <w:pPr>
        <w:widowControl/>
        <w:tabs>
          <w:tab w:val="left" w:pos="-1440"/>
        </w:tabs>
        <w:ind w:left="720"/>
        <w:rPr>
          <w:b w:val="0"/>
          <w:bCs w:val="0"/>
          <w:iCs/>
          <w:sz w:val="24"/>
          <w:szCs w:val="24"/>
        </w:rPr>
      </w:pPr>
    </w:p>
    <w:p w:rsidR="000700BA" w:rsidRPr="00C34578" w:rsidP="00F67132" w14:paraId="290F4CE8" w14:textId="2AABAE37">
      <w:pPr>
        <w:widowControl/>
        <w:tabs>
          <w:tab w:val="left" w:pos="-1440"/>
        </w:tabs>
        <w:ind w:left="720"/>
        <w:rPr>
          <w:b w:val="0"/>
          <w:bCs w:val="0"/>
          <w:iCs/>
          <w:sz w:val="24"/>
          <w:szCs w:val="24"/>
        </w:rPr>
      </w:pPr>
      <w:r>
        <w:rPr>
          <w:b w:val="0"/>
          <w:bCs w:val="0"/>
          <w:iCs/>
          <w:sz w:val="24"/>
          <w:szCs w:val="24"/>
        </w:rPr>
        <w:t>This</w:t>
      </w:r>
      <w:r>
        <w:rPr>
          <w:b w:val="0"/>
          <w:bCs w:val="0"/>
          <w:iCs/>
          <w:sz w:val="24"/>
          <w:szCs w:val="24"/>
        </w:rPr>
        <w:t xml:space="preserve"> is a new collection of information.</w:t>
      </w:r>
    </w:p>
    <w:p w:rsidR="00E25857" w:rsidRPr="00A92375" w:rsidP="00E25857" w14:paraId="5974B4DC" w14:textId="77777777">
      <w:pPr>
        <w:widowControl/>
        <w:tabs>
          <w:tab w:val="left" w:pos="-1440"/>
        </w:tabs>
        <w:ind w:left="720"/>
        <w:rPr>
          <w:b w:val="0"/>
          <w:bCs w:val="0"/>
          <w:sz w:val="24"/>
          <w:szCs w:val="24"/>
        </w:rPr>
      </w:pPr>
    </w:p>
    <w:p w:rsidR="00AA1E33" w:rsidRPr="0005778D" w:rsidP="0005778D" w14:paraId="1DAD3878" w14:textId="41909B9B">
      <w:pPr>
        <w:pStyle w:val="Heading1"/>
        <w:numPr>
          <w:ilvl w:val="0"/>
          <w:numId w:val="38"/>
        </w:numPr>
        <w:ind w:hanging="720"/>
      </w:pPr>
      <w:r w:rsidRPr="00BE4E63">
        <w:t>For collections of information whose results will be published, outline plans for tabulation, and publication.</w:t>
      </w:r>
      <w:r w:rsidR="00D309FC">
        <w:t xml:space="preserve"> </w:t>
      </w:r>
      <w:r w:rsidRPr="00BE4E63">
        <w:t>Address any complex analytical techniques that will be used.</w:t>
      </w:r>
      <w:r w:rsidR="00D309FC">
        <w:t xml:space="preserve"> </w:t>
      </w:r>
      <w:r w:rsidRPr="00BE4E63">
        <w:t>Provide the time schedule for the entire project, including beginning and</w:t>
      </w:r>
      <w:r w:rsidR="0005778D">
        <w:t xml:space="preserve"> </w:t>
      </w:r>
      <w:r w:rsidRPr="00BE4E63">
        <w:t>ending dates of the collection of information, completion of report, publication dates, and other actions.</w:t>
      </w:r>
    </w:p>
    <w:p w:rsidR="000700BA" w:rsidP="000700BA" w14:paraId="041268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0700BA" w:rsidRPr="000700BA" w:rsidP="000700BA" w14:paraId="34ED062B" w14:textId="762B18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bCs w:val="0"/>
          <w:sz w:val="24"/>
          <w:szCs w:val="24"/>
        </w:rPr>
      </w:pPr>
      <w:r w:rsidRPr="000700BA">
        <w:rPr>
          <w:b w:val="0"/>
          <w:bCs w:val="0"/>
          <w:sz w:val="24"/>
          <w:szCs w:val="24"/>
        </w:rPr>
        <w:t>There are no plans to publish the results of this collection of information.</w:t>
      </w:r>
    </w:p>
    <w:p w:rsidR="00BE1236" w:rsidRPr="00BE4E63" w:rsidP="00BE1236" w14:paraId="195C1ADA" w14:textId="77777777">
      <w:pPr>
        <w:widowControl/>
        <w:rPr>
          <w:bCs w:val="0"/>
          <w:i/>
          <w:sz w:val="24"/>
          <w:szCs w:val="24"/>
        </w:rPr>
      </w:pPr>
    </w:p>
    <w:p w:rsidR="00BE1236" w:rsidRPr="00BE4E63" w:rsidP="0005778D" w14:paraId="7D7EED11" w14:textId="33AF2F1C">
      <w:pPr>
        <w:pStyle w:val="Heading1"/>
        <w:ind w:left="720" w:hanging="720"/>
      </w:pPr>
      <w:r w:rsidRPr="00BE4E63">
        <w:t>17.</w:t>
      </w:r>
      <w:r w:rsidR="00D309FC">
        <w:t xml:space="preserve"> </w:t>
      </w:r>
      <w:r>
        <w:tab/>
      </w:r>
      <w:r w:rsidRPr="00BE4E63">
        <w:t>If seeking approval to not display the expiration date for OMB approval of the information collection, explain the reasons that display would be inappropriate.</w:t>
      </w:r>
    </w:p>
    <w:p w:rsidR="00A7230A" w:rsidRPr="00A92375" w:rsidP="0006528F" w14:paraId="09599725" w14:textId="77777777">
      <w:pPr>
        <w:widowControl/>
        <w:tabs>
          <w:tab w:val="left" w:pos="-1440"/>
        </w:tabs>
        <w:rPr>
          <w:b w:val="0"/>
          <w:bCs w:val="0"/>
          <w:sz w:val="24"/>
          <w:szCs w:val="24"/>
        </w:rPr>
      </w:pPr>
    </w:p>
    <w:p w:rsidR="00A7230A" w:rsidRPr="00A92375" w:rsidP="00456895" w14:paraId="4D08248E" w14:textId="7FDC9F5A">
      <w:pPr>
        <w:pStyle w:val="BodyText"/>
        <w:ind w:left="720"/>
        <w:rPr>
          <w:szCs w:val="24"/>
        </w:rPr>
      </w:pPr>
      <w:r>
        <w:rPr>
          <w:szCs w:val="24"/>
        </w:rPr>
        <w:t xml:space="preserve">This information collection will display the </w:t>
      </w:r>
      <w:r w:rsidR="00934FC5">
        <w:rPr>
          <w:szCs w:val="24"/>
        </w:rPr>
        <w:t xml:space="preserve">expiration date for OMB approval. </w:t>
      </w:r>
    </w:p>
    <w:p w:rsidR="00A7230A" w:rsidRPr="00A92375" w:rsidP="00456895" w14:paraId="4C6F4BAE" w14:textId="77777777">
      <w:pPr>
        <w:widowControl/>
        <w:tabs>
          <w:tab w:val="left" w:pos="-1440"/>
        </w:tabs>
        <w:ind w:left="720"/>
        <w:rPr>
          <w:b w:val="0"/>
          <w:bCs w:val="0"/>
          <w:sz w:val="24"/>
          <w:szCs w:val="24"/>
        </w:rPr>
      </w:pPr>
    </w:p>
    <w:p w:rsidR="00BE1236" w:rsidRPr="00BE4E63" w:rsidP="0005778D" w14:paraId="64B721DC" w14:textId="2BA4BC2D">
      <w:pPr>
        <w:pStyle w:val="Heading1"/>
      </w:pPr>
      <w:r w:rsidRPr="00BE4E63">
        <w:t>18.</w:t>
      </w:r>
      <w:r w:rsidR="00D309FC">
        <w:t xml:space="preserve"> </w:t>
      </w:r>
      <w:r>
        <w:tab/>
      </w:r>
      <w:r w:rsidRPr="00BE4E63">
        <w:t>Explain each exception to the certification statement identified in Item 19</w:t>
      </w:r>
      <w:r>
        <w:t>.</w:t>
      </w:r>
    </w:p>
    <w:p w:rsidR="00AA1E33" w:rsidRPr="00A92375" w:rsidP="0006528F" w14:paraId="609AD1FB" w14:textId="77777777">
      <w:pPr>
        <w:widowControl/>
        <w:rPr>
          <w:sz w:val="24"/>
          <w:szCs w:val="24"/>
        </w:rPr>
      </w:pPr>
    </w:p>
    <w:p w:rsidR="00AA1E33" w:rsidRPr="00A92375" w:rsidP="00860F17" w14:paraId="2E767AF4" w14:textId="29F0639E">
      <w:pPr>
        <w:ind w:firstLine="720"/>
        <w:rPr>
          <w:b w:val="0"/>
          <w:bCs w:val="0"/>
          <w:sz w:val="24"/>
          <w:szCs w:val="24"/>
        </w:rPr>
      </w:pPr>
      <w:r>
        <w:rPr>
          <w:b w:val="0"/>
          <w:bCs w:val="0"/>
          <w:sz w:val="24"/>
          <w:szCs w:val="24"/>
        </w:rPr>
        <w:t xml:space="preserve">There are no exceptions to the certification statement identified in Item 19. </w:t>
      </w:r>
    </w:p>
    <w:p w:rsidR="00AA1E33" w:rsidRPr="00A92375" w:rsidP="00456895" w14:paraId="1257A448" w14:textId="77777777">
      <w:pPr>
        <w:widowControl/>
        <w:ind w:left="720"/>
        <w:rPr>
          <w:b w:val="0"/>
          <w:bCs w:val="0"/>
          <w:sz w:val="24"/>
          <w:szCs w:val="24"/>
        </w:rPr>
      </w:pPr>
    </w:p>
    <w:p w:rsidR="00BE1236" w:rsidP="0005778D" w14:paraId="47461621" w14:textId="77777777">
      <w:pPr>
        <w:pStyle w:val="Heading1"/>
      </w:pPr>
      <w:r w:rsidRPr="0005778D">
        <w:t>B.</w:t>
      </w:r>
      <w:r w:rsidRPr="0005778D">
        <w:tab/>
        <w:t>COLLECTIONS OF INFORMATION EMPLOYING STATISTICAL METHODS</w:t>
      </w:r>
    </w:p>
    <w:p w:rsidR="00AA1E33" w:rsidRPr="000700BA" w:rsidP="000700BA" w14:paraId="66CBBDC3" w14:textId="77777777"/>
    <w:p w:rsidR="00AA1E33" w:rsidRPr="00A92375" w:rsidP="00456895" w14:paraId="313BD083" w14:textId="69F8ED39">
      <w:pPr>
        <w:widowControl/>
        <w:ind w:left="720"/>
        <w:rPr>
          <w:b w:val="0"/>
          <w:bCs w:val="0"/>
          <w:sz w:val="24"/>
          <w:szCs w:val="24"/>
        </w:rPr>
      </w:pPr>
      <w:r>
        <w:rPr>
          <w:b w:val="0"/>
          <w:bCs w:val="0"/>
          <w:sz w:val="24"/>
          <w:szCs w:val="24"/>
        </w:rPr>
        <w:t>Th</w:t>
      </w:r>
      <w:r w:rsidR="00080210">
        <w:rPr>
          <w:b w:val="0"/>
          <w:bCs w:val="0"/>
          <w:sz w:val="24"/>
          <w:szCs w:val="24"/>
        </w:rPr>
        <w:t xml:space="preserve">ere are no statistical methods used in this information </w:t>
      </w:r>
      <w:r w:rsidR="00FE6578">
        <w:rPr>
          <w:b w:val="0"/>
          <w:bCs w:val="0"/>
          <w:sz w:val="24"/>
          <w:szCs w:val="24"/>
        </w:rPr>
        <w:t>collection</w:t>
      </w:r>
      <w:r w:rsidR="00A74343">
        <w:rPr>
          <w:b w:val="0"/>
          <w:bCs w:val="0"/>
          <w:sz w:val="24"/>
          <w:szCs w:val="24"/>
        </w:rPr>
        <w:t>.</w:t>
      </w:r>
    </w:p>
    <w:sectPr>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14:paraId="37F94D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15C13" w14:paraId="72106B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13" w:rsidRPr="00FF362D" w:rsidP="00FF362D" w14:paraId="292B6171" w14:textId="20A62578">
    <w:pPr>
      <w:pStyle w:val="Footer"/>
      <w:framePr w:wrap="around" w:vAnchor="text" w:hAnchor="page" w:x="6001" w:y="126"/>
      <w:rPr>
        <w:rStyle w:val="PageNumber"/>
        <w:b w:val="0"/>
        <w:bCs w:val="0"/>
        <w:sz w:val="24"/>
        <w:szCs w:val="24"/>
      </w:rPr>
    </w:pPr>
    <w:r w:rsidRPr="00FF362D">
      <w:rPr>
        <w:rStyle w:val="PageNumber"/>
        <w:b w:val="0"/>
        <w:bCs w:val="0"/>
        <w:sz w:val="24"/>
        <w:szCs w:val="24"/>
      </w:rPr>
      <w:fldChar w:fldCharType="begin"/>
    </w:r>
    <w:r w:rsidRPr="00FF362D">
      <w:rPr>
        <w:rStyle w:val="PageNumber"/>
        <w:b w:val="0"/>
        <w:bCs w:val="0"/>
        <w:sz w:val="24"/>
        <w:szCs w:val="24"/>
      </w:rPr>
      <w:instrText xml:space="preserve">PAGE  </w:instrText>
    </w:r>
    <w:r w:rsidRPr="00FF362D">
      <w:rPr>
        <w:rStyle w:val="PageNumber"/>
        <w:b w:val="0"/>
        <w:bCs w:val="0"/>
        <w:sz w:val="24"/>
        <w:szCs w:val="24"/>
      </w:rPr>
      <w:fldChar w:fldCharType="separate"/>
    </w:r>
    <w:r w:rsidRPr="00FF362D" w:rsidR="00D83A6D">
      <w:rPr>
        <w:rStyle w:val="PageNumber"/>
        <w:b w:val="0"/>
        <w:bCs w:val="0"/>
        <w:noProof/>
        <w:sz w:val="24"/>
        <w:szCs w:val="24"/>
      </w:rPr>
      <w:t>11</w:t>
    </w:r>
    <w:r w:rsidRPr="00FF362D">
      <w:rPr>
        <w:rStyle w:val="PageNumber"/>
        <w:b w:val="0"/>
        <w:bCs w:val="0"/>
        <w:sz w:val="24"/>
        <w:szCs w:val="24"/>
      </w:rPr>
      <w:fldChar w:fldCharType="end"/>
    </w:r>
  </w:p>
  <w:p w:rsidR="00C15C13" w14:paraId="0045E28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1FF" w14:paraId="789A8D08" w14:textId="77777777">
      <w:r>
        <w:separator/>
      </w:r>
    </w:p>
  </w:footnote>
  <w:footnote w:type="continuationSeparator" w:id="1">
    <w:p w:rsidR="006411FF" w14:paraId="06D05BDB" w14:textId="77777777">
      <w:r>
        <w:continuationSeparator/>
      </w:r>
    </w:p>
  </w:footnote>
  <w:footnote w:type="continuationNotice" w:id="2">
    <w:p w:rsidR="006411FF" w14:paraId="5040F63D" w14:textId="77777777"/>
  </w:footnote>
  <w:footnote w:id="3">
    <w:p w:rsidR="00506D39" w:rsidRPr="00FF77A9" w14:paraId="10FCEBA6" w14:textId="068769C1">
      <w:pPr>
        <w:pStyle w:val="FootnoteText"/>
        <w:rPr>
          <w:b w:val="0"/>
          <w:bCs w:val="0"/>
          <w:sz w:val="20"/>
        </w:rPr>
      </w:pPr>
      <w:r w:rsidRPr="00006F30">
        <w:rPr>
          <w:rStyle w:val="FootnoteReference"/>
          <w:b w:val="0"/>
          <w:sz w:val="20"/>
          <w:vertAlign w:val="superscript"/>
        </w:rPr>
        <w:footnoteRef/>
      </w:r>
      <w:r w:rsidRPr="00FF77A9">
        <w:rPr>
          <w:b w:val="0"/>
          <w:bCs w:val="0"/>
          <w:sz w:val="20"/>
        </w:rPr>
        <w:t xml:space="preserve"> Exec. Order No. 14216, 90 Fed. Reg. 10451 (Feb. 18, 2025).</w:t>
      </w:r>
    </w:p>
  </w:footnote>
  <w:footnote w:id="4">
    <w:p w:rsidR="00A8323E" w:rsidRPr="00435834" w:rsidP="00A8323E" w14:paraId="57787165" w14:textId="77777777">
      <w:pPr>
        <w:pStyle w:val="FootnoteText"/>
      </w:pPr>
      <w:r w:rsidRPr="00006F30">
        <w:rPr>
          <w:rStyle w:val="FootnoteReference"/>
          <w:sz w:val="20"/>
          <w:vertAlign w:val="superscript"/>
        </w:rPr>
        <w:footnoteRef/>
      </w:r>
      <w:r w:rsidRPr="00006F30">
        <w:rPr>
          <w:sz w:val="20"/>
          <w:vertAlign w:val="superscript"/>
        </w:rPr>
        <w:t xml:space="preserve"> </w:t>
      </w:r>
      <w:r w:rsidRPr="00C11B96">
        <w:rPr>
          <w:b w:val="0"/>
          <w:bCs w:val="0"/>
          <w:i/>
          <w:iCs/>
          <w:sz w:val="20"/>
        </w:rPr>
        <w:t>See</w:t>
      </w:r>
      <w:r w:rsidRPr="00C11B96">
        <w:rPr>
          <w:b w:val="0"/>
          <w:bCs w:val="0"/>
          <w:sz w:val="20"/>
        </w:rPr>
        <w:t xml:space="preserve"> Code section 9831(c)(1), ERISA section 732(c)(1), and PHS Act section 2722(c)(1).</w:t>
      </w:r>
    </w:p>
  </w:footnote>
  <w:footnote w:id="5">
    <w:p w:rsidR="00834D77" w:rsidRPr="008E7419" w:rsidP="00834D77" w14:paraId="281C7BA5" w14:textId="77777777">
      <w:pPr>
        <w:pStyle w:val="FootnoteText"/>
        <w:rPr>
          <w:b w:val="0"/>
          <w:bCs w:val="0"/>
          <w:sz w:val="20"/>
        </w:rPr>
      </w:pPr>
      <w:r w:rsidRPr="008E7419">
        <w:rPr>
          <w:rStyle w:val="FootnoteReference"/>
          <w:b w:val="0"/>
          <w:bCs w:val="0"/>
          <w:sz w:val="20"/>
          <w:vertAlign w:val="superscript"/>
        </w:rPr>
        <w:footnoteRef/>
      </w:r>
      <w:r w:rsidRPr="008E7419">
        <w:rPr>
          <w:b w:val="0"/>
          <w:bCs w:val="0"/>
          <w:sz w:val="20"/>
          <w:vertAlign w:val="superscript"/>
        </w:rPr>
        <w:t xml:space="preserve"> </w:t>
      </w:r>
      <w:r w:rsidRPr="008E7419">
        <w:rPr>
          <w:b w:val="0"/>
          <w:bCs w:val="0"/>
          <w:sz w:val="20"/>
        </w:rPr>
        <w:t xml:space="preserve">Centers for Medicare and Medicaid Services, </w:t>
      </w:r>
      <w:r w:rsidRPr="008E7419">
        <w:rPr>
          <w:b w:val="0"/>
          <w:bCs w:val="0"/>
          <w:i/>
          <w:sz w:val="20"/>
        </w:rPr>
        <w:t>2023 Medical Loss Ratio Data</w:t>
      </w:r>
      <w:r w:rsidRPr="008E7419">
        <w:rPr>
          <w:b w:val="0"/>
          <w:bCs w:val="0"/>
          <w:sz w:val="20"/>
        </w:rPr>
        <w:t xml:space="preserve">, </w:t>
      </w:r>
      <w:hyperlink r:id="rId1" w:history="1">
        <w:r w:rsidRPr="008E7419">
          <w:rPr>
            <w:rStyle w:val="Hyperlink"/>
            <w:rFonts w:eastAsiaTheme="majorEastAsia"/>
            <w:b w:val="0"/>
            <w:bCs w:val="0"/>
            <w:sz w:val="20"/>
          </w:rPr>
          <w:t>https://www.cms.gov/marketplace/resources/data/medical-loss-ratio-data-systems-resources</w:t>
        </w:r>
      </w:hyperlink>
      <w:r w:rsidRPr="008E7419">
        <w:rPr>
          <w:b w:val="0"/>
          <w:bCs w:val="0"/>
          <w:sz w:val="20"/>
        </w:rPr>
        <w:t>.</w:t>
      </w:r>
    </w:p>
  </w:footnote>
  <w:footnote w:id="6">
    <w:p w:rsidR="003415FC" w:rsidRPr="008E7419" w:rsidP="003415FC" w14:paraId="7B5F6DF1" w14:textId="77777777">
      <w:pPr>
        <w:pStyle w:val="FootnoteText"/>
        <w:rPr>
          <w:b w:val="0"/>
          <w:bCs w:val="0"/>
          <w:sz w:val="20"/>
        </w:rPr>
      </w:pPr>
      <w:r w:rsidRPr="008E7419">
        <w:rPr>
          <w:rStyle w:val="FootnoteReference"/>
          <w:b w:val="0"/>
          <w:bCs w:val="0"/>
          <w:sz w:val="20"/>
        </w:rPr>
        <w:footnoteRef/>
      </w:r>
      <w:r w:rsidRPr="008E7419">
        <w:rPr>
          <w:b w:val="0"/>
          <w:bCs w:val="0"/>
          <w:sz w:val="20"/>
        </w:rPr>
        <w:t xml:space="preserve"> Centers for Medicare and Medicaid Services, </w:t>
      </w:r>
      <w:r w:rsidRPr="008E7419">
        <w:rPr>
          <w:b w:val="0"/>
          <w:bCs w:val="0"/>
          <w:i/>
          <w:sz w:val="20"/>
        </w:rPr>
        <w:t>2023 Medical Loss Ratio Data</w:t>
      </w:r>
      <w:r w:rsidRPr="008E7419">
        <w:rPr>
          <w:b w:val="0"/>
          <w:bCs w:val="0"/>
          <w:sz w:val="20"/>
        </w:rPr>
        <w:t xml:space="preserve">, </w:t>
      </w:r>
      <w:hyperlink r:id="rId1" w:history="1">
        <w:r w:rsidRPr="008E7419">
          <w:rPr>
            <w:rStyle w:val="Hyperlink"/>
            <w:rFonts w:eastAsiaTheme="majorEastAsia"/>
            <w:b w:val="0"/>
            <w:bCs w:val="0"/>
            <w:sz w:val="20"/>
          </w:rPr>
          <w:t>https://www.cms.gov/marketplace/resources/data/medical-loss-ratio-data-systems-resources</w:t>
        </w:r>
      </w:hyperlink>
      <w:r w:rsidRPr="008E7419">
        <w:rPr>
          <w:b w:val="0"/>
          <w:bCs w:val="0"/>
          <w:sz w:val="20"/>
        </w:rPr>
        <w:t>.</w:t>
      </w:r>
    </w:p>
  </w:footnote>
  <w:footnote w:id="7">
    <w:p w:rsidR="00D47BC2" w:rsidRPr="008E7419" w:rsidP="00D47BC2" w14:paraId="7B8839CC" w14:textId="592933E4">
      <w:pPr>
        <w:pStyle w:val="FootnoteText"/>
        <w:rPr>
          <w:b w:val="0"/>
          <w:bCs w:val="0"/>
          <w:sz w:val="20"/>
        </w:rPr>
      </w:pPr>
      <w:r w:rsidRPr="008E7419">
        <w:rPr>
          <w:rStyle w:val="FootnoteReference"/>
          <w:b w:val="0"/>
          <w:bCs w:val="0"/>
          <w:sz w:val="20"/>
        </w:rPr>
        <w:footnoteRef/>
      </w:r>
      <w:r w:rsidRPr="008E7419">
        <w:rPr>
          <w:b w:val="0"/>
          <w:bCs w:val="0"/>
          <w:sz w:val="20"/>
        </w:rPr>
        <w:t xml:space="preserve"> These estimates are calculated as: </w:t>
      </w:r>
      <w:r w:rsidR="008D3F58">
        <w:rPr>
          <w:b w:val="0"/>
          <w:bCs w:val="0"/>
          <w:sz w:val="20"/>
        </w:rPr>
        <w:t>933,803</w:t>
      </w:r>
      <w:r w:rsidRPr="008E7419" w:rsidR="00ED6B17">
        <w:rPr>
          <w:b w:val="0"/>
          <w:bCs w:val="0"/>
          <w:sz w:val="20"/>
        </w:rPr>
        <w:t xml:space="preserve"> </w:t>
      </w:r>
      <w:r w:rsidRPr="008E7419">
        <w:rPr>
          <w:b w:val="0"/>
          <w:bCs w:val="0"/>
          <w:sz w:val="20"/>
        </w:rPr>
        <w:t>private-sector employer-sponsored health plans</w:t>
      </w:r>
      <w:r w:rsidR="008D3F58">
        <w:rPr>
          <w:b w:val="0"/>
          <w:bCs w:val="0"/>
          <w:sz w:val="20"/>
        </w:rPr>
        <w:t xml:space="preserve"> with more than 10 participants</w:t>
      </w:r>
      <w:r w:rsidRPr="008E7419">
        <w:rPr>
          <w:b w:val="0"/>
          <w:bCs w:val="0"/>
          <w:sz w:val="20"/>
        </w:rPr>
        <w:t xml:space="preserve"> × </w:t>
      </w:r>
      <w:r w:rsidR="0085163E">
        <w:rPr>
          <w:b w:val="0"/>
          <w:bCs w:val="0"/>
          <w:sz w:val="20"/>
        </w:rPr>
        <w:t>7</w:t>
      </w:r>
      <w:r w:rsidRPr="008E7419">
        <w:rPr>
          <w:b w:val="0"/>
          <w:bCs w:val="0"/>
          <w:sz w:val="20"/>
        </w:rPr>
        <w:t xml:space="preserve">3 percent of plans not currently offering fertility-related benefits = </w:t>
      </w:r>
      <w:r w:rsidR="008D3F58">
        <w:rPr>
          <w:b w:val="0"/>
          <w:bCs w:val="0"/>
          <w:sz w:val="20"/>
        </w:rPr>
        <w:t>681,677</w:t>
      </w:r>
      <w:r w:rsidRPr="008E7419">
        <w:rPr>
          <w:b w:val="0"/>
          <w:bCs w:val="0"/>
          <w:sz w:val="20"/>
        </w:rPr>
        <w:t xml:space="preserve"> private-sector employer-sponsored plans</w:t>
      </w:r>
      <w:r w:rsidR="001E29BB">
        <w:rPr>
          <w:b w:val="0"/>
          <w:bCs w:val="0"/>
          <w:sz w:val="20"/>
        </w:rPr>
        <w:t xml:space="preserve"> </w:t>
      </w:r>
      <w:r w:rsidR="0085163E">
        <w:rPr>
          <w:b w:val="0"/>
          <w:bCs w:val="0"/>
          <w:sz w:val="20"/>
        </w:rPr>
        <w:t>do not currently offer fertility-related benefits</w:t>
      </w:r>
      <w:r w:rsidRPr="008E7419">
        <w:rPr>
          <w:b w:val="0"/>
          <w:bCs w:val="0"/>
          <w:sz w:val="20"/>
        </w:rPr>
        <w:t xml:space="preserve">. Additionally, </w:t>
      </w:r>
      <w:r w:rsidR="00276CFA">
        <w:rPr>
          <w:b w:val="0"/>
          <w:bCs w:val="0"/>
          <w:sz w:val="20"/>
        </w:rPr>
        <w:t>933,803</w:t>
      </w:r>
      <w:r w:rsidR="00C17BA0">
        <w:rPr>
          <w:b w:val="0"/>
          <w:bCs w:val="0"/>
          <w:sz w:val="20"/>
        </w:rPr>
        <w:t xml:space="preserve"> </w:t>
      </w:r>
      <w:r w:rsidRPr="008E7419">
        <w:rPr>
          <w:b w:val="0"/>
          <w:bCs w:val="0"/>
          <w:sz w:val="20"/>
        </w:rPr>
        <w:t xml:space="preserve">× </w:t>
      </w:r>
      <w:r w:rsidR="008D3F58">
        <w:rPr>
          <w:b w:val="0"/>
          <w:bCs w:val="0"/>
          <w:sz w:val="20"/>
        </w:rPr>
        <w:t>2</w:t>
      </w:r>
      <w:r w:rsidRPr="008E7419">
        <w:rPr>
          <w:b w:val="0"/>
          <w:bCs w:val="0"/>
          <w:sz w:val="20"/>
        </w:rPr>
        <w:t xml:space="preserve">7 percent </w:t>
      </w:r>
      <w:r w:rsidRPr="008E7419" w:rsidR="00B47912">
        <w:rPr>
          <w:b w:val="0"/>
          <w:bCs w:val="0"/>
          <w:sz w:val="20"/>
        </w:rPr>
        <w:t>of plans currently offering fertility-related benefits</w:t>
      </w:r>
      <w:r w:rsidRPr="008E7419">
        <w:rPr>
          <w:b w:val="0"/>
          <w:bCs w:val="0"/>
          <w:sz w:val="20"/>
        </w:rPr>
        <w:t xml:space="preserve"> = </w:t>
      </w:r>
      <w:r w:rsidR="00276CFA">
        <w:rPr>
          <w:b w:val="0"/>
          <w:bCs w:val="0"/>
          <w:sz w:val="20"/>
        </w:rPr>
        <w:t>252,127</w:t>
      </w:r>
      <w:r w:rsidRPr="008E7419">
        <w:rPr>
          <w:b w:val="0"/>
          <w:bCs w:val="0"/>
          <w:sz w:val="20"/>
        </w:rPr>
        <w:t xml:space="preserve"> private-sector employer-sponsored </w:t>
      </w:r>
      <w:r w:rsidR="00B47912">
        <w:rPr>
          <w:b w:val="0"/>
          <w:bCs w:val="0"/>
          <w:sz w:val="20"/>
        </w:rPr>
        <w:t xml:space="preserve">plans </w:t>
      </w:r>
      <w:r w:rsidRPr="008E7419" w:rsidR="00B47912">
        <w:rPr>
          <w:b w:val="0"/>
          <w:bCs w:val="0"/>
          <w:sz w:val="20"/>
        </w:rPr>
        <w:t>currently offering fertility-related benefits</w:t>
      </w:r>
      <w:r w:rsidR="00B47912">
        <w:rPr>
          <w:b w:val="0"/>
          <w:bCs w:val="0"/>
          <w:sz w:val="20"/>
        </w:rPr>
        <w:t xml:space="preserve">. </w:t>
      </w:r>
      <w:r w:rsidR="002139EE">
        <w:rPr>
          <w:b w:val="0"/>
          <w:bCs w:val="0"/>
          <w:sz w:val="20"/>
        </w:rPr>
        <w:t xml:space="preserve">For the 681,677 plans not currently offering fertility-related benefits, </w:t>
      </w:r>
      <w:r w:rsidR="00871D0E">
        <w:rPr>
          <w:b w:val="0"/>
          <w:bCs w:val="0"/>
          <w:sz w:val="20"/>
        </w:rPr>
        <w:t>the Department estimates 65.3% would offe</w:t>
      </w:r>
      <w:r w:rsidR="007763EE">
        <w:rPr>
          <w:b w:val="0"/>
          <w:bCs w:val="0"/>
          <w:sz w:val="20"/>
        </w:rPr>
        <w:t xml:space="preserve">r the excepted benefits. Additionally, 17.9% of the </w:t>
      </w:r>
      <w:r w:rsidR="00D902BF">
        <w:rPr>
          <w:b w:val="0"/>
          <w:bCs w:val="0"/>
          <w:sz w:val="20"/>
        </w:rPr>
        <w:t xml:space="preserve">252,127 </w:t>
      </w:r>
      <w:r w:rsidR="007763EE">
        <w:rPr>
          <w:b w:val="0"/>
          <w:bCs w:val="0"/>
          <w:sz w:val="20"/>
        </w:rPr>
        <w:t xml:space="preserve">plans that currently offer fertility-related benefits are also expected to offer the excepted benefits. This results in approximately 490,266 </w:t>
      </w:r>
      <w:r w:rsidR="00A05FE9">
        <w:rPr>
          <w:b w:val="0"/>
          <w:bCs w:val="0"/>
          <w:sz w:val="20"/>
        </w:rPr>
        <w:t>plans expected to offer the fertility-related excepted benefits [(681,677 × .653) + (</w:t>
      </w:r>
      <w:r w:rsidR="00D902BF">
        <w:rPr>
          <w:b w:val="0"/>
          <w:bCs w:val="0"/>
          <w:sz w:val="20"/>
        </w:rPr>
        <w:t>252,127 × .179)</w:t>
      </w:r>
      <w:r w:rsidR="00A56528">
        <w:rPr>
          <w:b w:val="0"/>
          <w:bCs w:val="0"/>
          <w:sz w:val="20"/>
        </w:rPr>
        <w:t>]</w:t>
      </w:r>
      <w:r w:rsidR="00D902BF">
        <w:rPr>
          <w:b w:val="0"/>
          <w:bCs w:val="0"/>
          <w:sz w:val="20"/>
        </w:rPr>
        <w:t xml:space="preserve"> = 490,266</w:t>
      </w:r>
      <w:r w:rsidR="00A56528">
        <w:rPr>
          <w:b w:val="0"/>
          <w:bCs w:val="0"/>
          <w:sz w:val="20"/>
        </w:rPr>
        <w:t xml:space="preserve">.  </w:t>
      </w:r>
    </w:p>
  </w:footnote>
  <w:footnote w:id="8">
    <w:p w:rsidR="00852E99" w:rsidRPr="00852E99" w14:paraId="501227E2" w14:textId="1E46B169">
      <w:pPr>
        <w:pStyle w:val="FootnoteText"/>
        <w:rPr>
          <w:b w:val="0"/>
          <w:bCs w:val="0"/>
          <w:sz w:val="20"/>
        </w:rPr>
      </w:pPr>
      <w:r w:rsidRPr="00852E99">
        <w:rPr>
          <w:rStyle w:val="FootnoteReference"/>
          <w:b w:val="0"/>
          <w:bCs w:val="0"/>
          <w:sz w:val="20"/>
        </w:rPr>
        <w:footnoteRef/>
      </w:r>
      <w:r w:rsidRPr="00852E99">
        <w:rPr>
          <w:b w:val="0"/>
          <w:bCs w:val="0"/>
          <w:sz w:val="20"/>
        </w:rPr>
        <w:t xml:space="preserve"> </w:t>
      </w:r>
      <w:r w:rsidRPr="00C82707" w:rsidR="00EA46BF">
        <w:rPr>
          <w:b w:val="0"/>
          <w:bCs w:val="0"/>
          <w:sz w:val="20"/>
        </w:rPr>
        <w:t>Internal DOL calculation based on 2025 labor cost data.</w:t>
      </w:r>
      <w:r w:rsidR="00EA46BF">
        <w:rPr>
          <w:b w:val="0"/>
          <w:bCs w:val="0"/>
          <w:sz w:val="20"/>
        </w:rPr>
        <w:t xml:space="preserve"> </w:t>
      </w:r>
      <w:r w:rsidRPr="00852E99">
        <w:rPr>
          <w:b w:val="0"/>
          <w:bCs w:val="0"/>
          <w:sz w:val="20"/>
        </w:rPr>
        <w:t xml:space="preserve">For a description of DOL’s methodology for calculating wage rates, see </w:t>
      </w:r>
      <w:hyperlink r:id="rId2" w:history="1">
        <w:r w:rsidRPr="00852E99">
          <w:rPr>
            <w:rStyle w:val="Hyperlink"/>
            <w:b w:val="0"/>
            <w:bCs w:val="0"/>
            <w:sz w:val="20"/>
          </w:rPr>
          <w:t>https://www.dol.gov/sites/dolgov/files/EBSA/laws-and-regulations/rules-and-regulations/technical-appendices/labor-cost-inputs-used-in-ebsa-opr-ria-and-pra-burden-calculations-june-2019.pdf</w:t>
        </w:r>
      </w:hyperlink>
      <w:r w:rsidRPr="00852E99">
        <w:rPr>
          <w:b w:val="0"/>
          <w:bCs w:val="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B52" w:rsidP="00F0391B" w14:paraId="3D688220" w14:textId="30F05E7A">
    <w:pPr>
      <w:pStyle w:val="Header"/>
      <w:rPr>
        <w:b w:val="0"/>
        <w:bCs w:val="0"/>
      </w:rPr>
    </w:pPr>
    <w:r>
      <w:rPr>
        <w:b w:val="0"/>
        <w:bCs w:val="0"/>
      </w:rPr>
      <w:t xml:space="preserve">Limited </w:t>
    </w:r>
    <w:r w:rsidR="00282711">
      <w:rPr>
        <w:b w:val="0"/>
        <w:bCs w:val="0"/>
      </w:rPr>
      <w:t>Excepted Fertility Benefits</w:t>
    </w:r>
  </w:p>
  <w:p w:rsidR="00C15C13" w:rsidP="00F0391B" w14:paraId="177EF0BA" w14:textId="3145D4E7">
    <w:pPr>
      <w:pStyle w:val="Header"/>
      <w:rPr>
        <w:b w:val="0"/>
        <w:bCs w:val="0"/>
      </w:rPr>
    </w:pPr>
    <w:r>
      <w:rPr>
        <w:b w:val="0"/>
        <w:bCs w:val="0"/>
      </w:rPr>
      <w:t>OMB Control Number 1210</w:t>
    </w:r>
    <w:r w:rsidR="005D6B52">
      <w:rPr>
        <w:b w:val="0"/>
        <w:bCs w:val="0"/>
      </w:rPr>
      <w:t>-NEW</w:t>
    </w:r>
  </w:p>
  <w:p w:rsidR="001772CB" w:rsidP="00F0391B" w14:paraId="7BE5BE06" w14:textId="0CA4B3BC">
    <w:pPr>
      <w:pStyle w:val="Header"/>
      <w:rPr>
        <w:b w:val="0"/>
        <w:bCs w:val="0"/>
      </w:rPr>
    </w:pPr>
    <w:r>
      <w:rPr>
        <w:b w:val="0"/>
        <w:bCs w:val="0"/>
      </w:rPr>
      <w:t xml:space="preserve">Expiration Date: </w:t>
    </w:r>
  </w:p>
  <w:p w:rsidR="00C15C13" w:rsidP="00F0391B" w14:paraId="37B7DD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7F3223"/>
    <w:multiLevelType w:val="multilevel"/>
    <w:tmpl w:val="74BA6A46"/>
    <w:lvl w:ilvl="0">
      <w:start w:val="1"/>
      <w:numFmt w:val="decimal"/>
      <w:lvlText w:val="%1."/>
      <w:lvlJc w:val="left"/>
      <w:pPr>
        <w:ind w:left="360" w:hanging="360"/>
      </w:pPr>
    </w:lvl>
    <w:lvl w:ilvl="1">
      <w:start w:val="1"/>
      <w:numFmt w:val="decimal"/>
      <w:lvlText w:val="%1.%2."/>
      <w:lvlJc w:val="left"/>
      <w:pPr>
        <w:ind w:left="792" w:hanging="432"/>
      </w:pPr>
      <w:rPr>
        <w:b w:val="0"/>
        <w:bCs/>
        <w:i w:val="0"/>
        <w:iCs/>
        <w:vertAlign w:val="baseline"/>
      </w:rPr>
    </w:lvl>
    <w:lvl w:ilvl="2">
      <w:start w:val="1"/>
      <w:numFmt w:val="decimal"/>
      <w:lvlText w:val="%1.%2.%3."/>
      <w:lvlJc w:val="left"/>
      <w:pPr>
        <w:ind w:left="1224" w:hanging="504"/>
      </w:pPr>
      <w:rPr>
        <w:b w:val="0"/>
        <w:bCs w:val="0"/>
        <w:i/>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2E2D32"/>
    <w:multiLevelType w:val="hybridMultilevel"/>
    <w:tmpl w:val="65F02EA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4C7844"/>
    <w:multiLevelType w:val="hybridMultilevel"/>
    <w:tmpl w:val="A56CB3B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D52C5C"/>
    <w:multiLevelType w:val="hybridMultilevel"/>
    <w:tmpl w:val="FD9E36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3E61AA0"/>
    <w:multiLevelType w:val="hybridMultilevel"/>
    <w:tmpl w:val="8FE6F5D0"/>
    <w:lvl w:ilvl="0">
      <w:start w:val="1"/>
      <w:numFmt w:val="decimal"/>
      <w:lvlText w:val="(%1)"/>
      <w:lvlJc w:val="left"/>
      <w:pPr>
        <w:ind w:left="1080" w:hanging="360"/>
      </w:pPr>
      <w:rPr>
        <w:rFonts w:hint="default"/>
        <w: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5C976E0"/>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8407F7C"/>
    <w:multiLevelType w:val="hybridMultilevel"/>
    <w:tmpl w:val="F9D607C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D046665"/>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203F507E"/>
    <w:multiLevelType w:val="hybridMultilevel"/>
    <w:tmpl w:val="95CEADEA"/>
    <w:lvl w:ilvl="0">
      <w:start w:val="1"/>
      <w:numFmt w:val="decimal"/>
      <w:lvlText w:val="(%1)"/>
      <w:lvlJc w:val="left"/>
      <w:pPr>
        <w:ind w:left="17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1B7955"/>
    <w:multiLevelType w:val="hybridMultilevel"/>
    <w:tmpl w:val="EE445E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67D5320"/>
    <w:multiLevelType w:val="hybridMultilevel"/>
    <w:tmpl w:val="3DF448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651808"/>
    <w:multiLevelType w:val="hybridMultilevel"/>
    <w:tmpl w:val="7D50D02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F3D042E"/>
    <w:multiLevelType w:val="hybridMultilevel"/>
    <w:tmpl w:val="05CA8F9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7">
    <w:nsid w:val="2F9A6CCB"/>
    <w:multiLevelType w:val="hybridMultilevel"/>
    <w:tmpl w:val="D396991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32826821"/>
    <w:multiLevelType w:val="hybridMultilevel"/>
    <w:tmpl w:val="29506F44"/>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2DF4E66"/>
    <w:multiLevelType w:val="hybridMultilevel"/>
    <w:tmpl w:val="DAB4BFA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45D1452"/>
    <w:multiLevelType w:val="hybridMultilevel"/>
    <w:tmpl w:val="7F6856F4"/>
    <w:lvl w:ilvl="0">
      <w:start w:val="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8DB7668"/>
    <w:multiLevelType w:val="hybridMultilevel"/>
    <w:tmpl w:val="952E90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9F9564E"/>
    <w:multiLevelType w:val="hybridMultilevel"/>
    <w:tmpl w:val="825A3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2C40C23"/>
    <w:multiLevelType w:val="hybridMultilevel"/>
    <w:tmpl w:val="F1CA5354"/>
    <w:lvl w:ilvl="0">
      <w:start w:val="12"/>
      <w:numFmt w:val="decimal"/>
      <w:lvlText w:val="%1."/>
      <w:lvlJc w:val="left"/>
      <w:pPr>
        <w:tabs>
          <w:tab w:val="num" w:pos="720"/>
        </w:tabs>
        <w:ind w:left="720" w:hanging="360"/>
      </w:pPr>
      <w:rPr>
        <w:rFonts w:hint="default"/>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4D2F16"/>
    <w:multiLevelType w:val="hybridMultilevel"/>
    <w:tmpl w:val="51D015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445D5E05"/>
    <w:multiLevelType w:val="hybridMultilevel"/>
    <w:tmpl w:val="6074BA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532FA9"/>
    <w:multiLevelType w:val="hybridMultilevel"/>
    <w:tmpl w:val="4A1A3032"/>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8D54706"/>
    <w:multiLevelType w:val="hybridMultilevel"/>
    <w:tmpl w:val="0198A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5A3AA1"/>
    <w:multiLevelType w:val="hybridMultilevel"/>
    <w:tmpl w:val="58425808"/>
    <w:lvl w:ilvl="0">
      <w:start w:val="4"/>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F14DA0"/>
    <w:multiLevelType w:val="hybridMultilevel"/>
    <w:tmpl w:val="76C60E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B6D55E6"/>
    <w:multiLevelType w:val="hybridMultilevel"/>
    <w:tmpl w:val="586A36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4D613C92"/>
    <w:multiLevelType w:val="hybridMultilevel"/>
    <w:tmpl w:val="D2CE9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65843FC"/>
    <w:multiLevelType w:val="hybridMultilevel"/>
    <w:tmpl w:val="96223948"/>
    <w:lvl w:ilvl="0">
      <w:start w:val="2022"/>
      <w:numFmt w:val="decimal"/>
      <w:lvlText w:val="%1"/>
      <w:lvlJc w:val="left"/>
      <w:pPr>
        <w:ind w:left="1200" w:hanging="480"/>
      </w:pPr>
      <w:rPr>
        <w:rFonts w:hint="default"/>
        <w:i/>
        <w:i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81A2B7B"/>
    <w:multiLevelType w:val="hybridMultilevel"/>
    <w:tmpl w:val="9CA01454"/>
    <w:lvl w:ilvl="0">
      <w:start w:val="3"/>
      <w:numFmt w:val="decimal"/>
      <w:lvlText w:val="%1."/>
      <w:lvlJc w:val="left"/>
      <w:pPr>
        <w:ind w:left="28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59316EE5"/>
    <w:multiLevelType w:val="hybridMultilevel"/>
    <w:tmpl w:val="5634813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5E912CF6"/>
    <w:multiLevelType w:val="hybridMultilevel"/>
    <w:tmpl w:val="3048A8EA"/>
    <w:lvl w:ilvl="0">
      <w:start w:val="4"/>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04A32B7"/>
    <w:multiLevelType w:val="hybridMultilevel"/>
    <w:tmpl w:val="F3CC83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1AA025A"/>
    <w:multiLevelType w:val="hybridMultilevel"/>
    <w:tmpl w:val="D0B0AE6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A1F6E23"/>
    <w:multiLevelType w:val="hybridMultilevel"/>
    <w:tmpl w:val="469AF0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6A341828"/>
    <w:multiLevelType w:val="hybridMultilevel"/>
    <w:tmpl w:val="E5AEFB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
    <w:nsid w:val="73555839"/>
    <w:multiLevelType w:val="hybridMultilevel"/>
    <w:tmpl w:val="981015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61552FF"/>
    <w:multiLevelType w:val="hybridMultilevel"/>
    <w:tmpl w:val="448E853E"/>
    <w:lvl w:ilvl="0">
      <w:start w:val="12"/>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B0B38DF"/>
    <w:multiLevelType w:val="hybridMultilevel"/>
    <w:tmpl w:val="AEF44CD4"/>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9B3109"/>
    <w:multiLevelType w:val="hybridMultilevel"/>
    <w:tmpl w:val="E5EC3B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7BE00CBA"/>
    <w:multiLevelType w:val="hybridMultilevel"/>
    <w:tmpl w:val="5658FDE4"/>
    <w:lvl w:ilvl="0">
      <w:start w:val="2022"/>
      <w:numFmt w:val="decimal"/>
      <w:lvlText w:val="%1"/>
      <w:lvlJc w:val="left"/>
      <w:pPr>
        <w:ind w:left="1200" w:hanging="4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DFE4577"/>
    <w:multiLevelType w:val="hybridMultilevel"/>
    <w:tmpl w:val="6240B90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928418217">
    <w:abstractNumId w:val="0"/>
    <w:lvlOverride w:ilvl="0">
      <w:startOverride w:val="1"/>
      <w:lvl w:ilvl="0">
        <w:start w:val="1"/>
        <w:numFmt w:val="decimal"/>
        <w:pStyle w:val="Quick1"/>
        <w:lvlText w:val="%1."/>
        <w:lvlJc w:val="left"/>
      </w:lvl>
    </w:lvlOverride>
  </w:num>
  <w:num w:numId="2" w16cid:durableId="1851412261">
    <w:abstractNumId w:val="0"/>
    <w:lvlOverride w:ilvl="0">
      <w:startOverride w:val="13"/>
      <w:lvl w:ilvl="0">
        <w:start w:val="13"/>
        <w:numFmt w:val="decimal"/>
        <w:pStyle w:val="Quick1"/>
        <w:lvlText w:val="%1."/>
        <w:lvlJc w:val="left"/>
      </w:lvl>
    </w:lvlOverride>
  </w:num>
  <w:num w:numId="3" w16cid:durableId="1269384414">
    <w:abstractNumId w:val="0"/>
    <w:lvlOverride w:ilvl="0">
      <w:startOverride w:val="3"/>
      <w:lvl w:ilvl="0">
        <w:start w:val="3"/>
        <w:numFmt w:val="decimal"/>
        <w:pStyle w:val="Quick1"/>
        <w:lvlText w:val="%1."/>
        <w:lvlJc w:val="left"/>
      </w:lvl>
    </w:lvlOverride>
  </w:num>
  <w:num w:numId="4" w16cid:durableId="7023327">
    <w:abstractNumId w:val="35"/>
  </w:num>
  <w:num w:numId="5" w16cid:durableId="1571038047">
    <w:abstractNumId w:val="19"/>
  </w:num>
  <w:num w:numId="6" w16cid:durableId="662314324">
    <w:abstractNumId w:val="37"/>
  </w:num>
  <w:num w:numId="7" w16cid:durableId="962077153">
    <w:abstractNumId w:val="20"/>
  </w:num>
  <w:num w:numId="8" w16cid:durableId="2048872017">
    <w:abstractNumId w:val="9"/>
  </w:num>
  <w:num w:numId="9" w16cid:durableId="1095662958">
    <w:abstractNumId w:val="23"/>
  </w:num>
  <w:num w:numId="10" w16cid:durableId="173419921">
    <w:abstractNumId w:val="4"/>
  </w:num>
  <w:num w:numId="11" w16cid:durableId="1541700513">
    <w:abstractNumId w:val="11"/>
  </w:num>
  <w:num w:numId="12" w16cid:durableId="1174026980">
    <w:abstractNumId w:val="41"/>
  </w:num>
  <w:num w:numId="13" w16cid:durableId="715740995">
    <w:abstractNumId w:val="1"/>
  </w:num>
  <w:num w:numId="14" w16cid:durableId="986587274">
    <w:abstractNumId w:val="25"/>
  </w:num>
  <w:num w:numId="15" w16cid:durableId="881987123">
    <w:abstractNumId w:val="31"/>
  </w:num>
  <w:num w:numId="16" w16cid:durableId="840895826">
    <w:abstractNumId w:val="6"/>
  </w:num>
  <w:num w:numId="17" w16cid:durableId="1014260506">
    <w:abstractNumId w:val="45"/>
  </w:num>
  <w:num w:numId="18" w16cid:durableId="553078609">
    <w:abstractNumId w:val="13"/>
  </w:num>
  <w:num w:numId="19" w16cid:durableId="1297612978">
    <w:abstractNumId w:val="24"/>
  </w:num>
  <w:num w:numId="20" w16cid:durableId="2082293180">
    <w:abstractNumId w:val="34"/>
  </w:num>
  <w:num w:numId="21" w16cid:durableId="1453598203">
    <w:abstractNumId w:val="38"/>
  </w:num>
  <w:num w:numId="22" w16cid:durableId="1189182412">
    <w:abstractNumId w:val="40"/>
  </w:num>
  <w:num w:numId="23" w16cid:durableId="19821557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602686">
    <w:abstractNumId w:val="28"/>
  </w:num>
  <w:num w:numId="25" w16cid:durableId="453980596">
    <w:abstractNumId w:val="36"/>
  </w:num>
  <w:num w:numId="26" w16cid:durableId="1155756722">
    <w:abstractNumId w:val="10"/>
  </w:num>
  <w:num w:numId="27" w16cid:durableId="806897643">
    <w:abstractNumId w:val="26"/>
  </w:num>
  <w:num w:numId="28" w16cid:durableId="1774666367">
    <w:abstractNumId w:val="39"/>
  </w:num>
  <w:num w:numId="29" w16cid:durableId="85540247">
    <w:abstractNumId w:val="15"/>
  </w:num>
  <w:num w:numId="30" w16cid:durableId="1456830832">
    <w:abstractNumId w:val="33"/>
  </w:num>
  <w:num w:numId="31" w16cid:durableId="460466468">
    <w:abstractNumId w:val="16"/>
  </w:num>
  <w:num w:numId="32" w16cid:durableId="792334898">
    <w:abstractNumId w:val="27"/>
  </w:num>
  <w:num w:numId="33" w16cid:durableId="749698479">
    <w:abstractNumId w:val="2"/>
  </w:num>
  <w:num w:numId="34" w16cid:durableId="808788017">
    <w:abstractNumId w:val="44"/>
  </w:num>
  <w:num w:numId="35" w16cid:durableId="1851096525">
    <w:abstractNumId w:val="32"/>
  </w:num>
  <w:num w:numId="36" w16cid:durableId="188642660">
    <w:abstractNumId w:val="8"/>
  </w:num>
  <w:num w:numId="37" w16cid:durableId="334575803">
    <w:abstractNumId w:val="18"/>
  </w:num>
  <w:num w:numId="38" w16cid:durableId="1046223658">
    <w:abstractNumId w:val="42"/>
  </w:num>
  <w:num w:numId="39" w16cid:durableId="1529491875">
    <w:abstractNumId w:val="30"/>
  </w:num>
  <w:num w:numId="40" w16cid:durableId="112214389">
    <w:abstractNumId w:val="17"/>
  </w:num>
  <w:num w:numId="41" w16cid:durableId="987243284">
    <w:abstractNumId w:val="43"/>
  </w:num>
  <w:num w:numId="42" w16cid:durableId="674578205">
    <w:abstractNumId w:val="12"/>
  </w:num>
  <w:num w:numId="43" w16cid:durableId="528420752">
    <w:abstractNumId w:val="14"/>
  </w:num>
  <w:num w:numId="44" w16cid:durableId="1936592730">
    <w:abstractNumId w:val="29"/>
  </w:num>
  <w:num w:numId="45" w16cid:durableId="396171000">
    <w:abstractNumId w:val="5"/>
  </w:num>
  <w:num w:numId="46" w16cid:durableId="110982732">
    <w:abstractNumId w:val="21"/>
  </w:num>
  <w:num w:numId="47" w16cid:durableId="230580897">
    <w:abstractNumId w:val="3"/>
  </w:num>
  <w:num w:numId="48" w16cid:durableId="1031302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0033"/>
    <w:rsid w:val="0000006D"/>
    <w:rsid w:val="0000034E"/>
    <w:rsid w:val="00000728"/>
    <w:rsid w:val="00000A61"/>
    <w:rsid w:val="00000B77"/>
    <w:rsid w:val="0000116C"/>
    <w:rsid w:val="00001E1B"/>
    <w:rsid w:val="00001E80"/>
    <w:rsid w:val="0000293D"/>
    <w:rsid w:val="00002E3B"/>
    <w:rsid w:val="000030AF"/>
    <w:rsid w:val="00003256"/>
    <w:rsid w:val="000040E4"/>
    <w:rsid w:val="00004420"/>
    <w:rsid w:val="00004865"/>
    <w:rsid w:val="00005091"/>
    <w:rsid w:val="000054A2"/>
    <w:rsid w:val="000055CD"/>
    <w:rsid w:val="0000637A"/>
    <w:rsid w:val="00006E43"/>
    <w:rsid w:val="00006F30"/>
    <w:rsid w:val="00007192"/>
    <w:rsid w:val="0000729D"/>
    <w:rsid w:val="00010BB5"/>
    <w:rsid w:val="000111F1"/>
    <w:rsid w:val="00012278"/>
    <w:rsid w:val="00012FB8"/>
    <w:rsid w:val="0001380A"/>
    <w:rsid w:val="00014314"/>
    <w:rsid w:val="00015314"/>
    <w:rsid w:val="00015332"/>
    <w:rsid w:val="00015462"/>
    <w:rsid w:val="00016EBD"/>
    <w:rsid w:val="0001706F"/>
    <w:rsid w:val="000176E8"/>
    <w:rsid w:val="0002026D"/>
    <w:rsid w:val="00022B3B"/>
    <w:rsid w:val="000230DB"/>
    <w:rsid w:val="000242A5"/>
    <w:rsid w:val="00024471"/>
    <w:rsid w:val="0002489E"/>
    <w:rsid w:val="00024A47"/>
    <w:rsid w:val="000251AB"/>
    <w:rsid w:val="0002544C"/>
    <w:rsid w:val="00025884"/>
    <w:rsid w:val="00026204"/>
    <w:rsid w:val="00026A76"/>
    <w:rsid w:val="00026FD2"/>
    <w:rsid w:val="0003069C"/>
    <w:rsid w:val="00031451"/>
    <w:rsid w:val="000318AC"/>
    <w:rsid w:val="0003297D"/>
    <w:rsid w:val="00032CB0"/>
    <w:rsid w:val="000330B5"/>
    <w:rsid w:val="0003391E"/>
    <w:rsid w:val="0003431F"/>
    <w:rsid w:val="000349AA"/>
    <w:rsid w:val="00035D27"/>
    <w:rsid w:val="00037D49"/>
    <w:rsid w:val="00037FF4"/>
    <w:rsid w:val="00040237"/>
    <w:rsid w:val="000407B8"/>
    <w:rsid w:val="00041201"/>
    <w:rsid w:val="0004181B"/>
    <w:rsid w:val="00042748"/>
    <w:rsid w:val="00043206"/>
    <w:rsid w:val="000436F1"/>
    <w:rsid w:val="000442B0"/>
    <w:rsid w:val="000444E6"/>
    <w:rsid w:val="000448D8"/>
    <w:rsid w:val="00044E03"/>
    <w:rsid w:val="000457E8"/>
    <w:rsid w:val="00045A37"/>
    <w:rsid w:val="000462A2"/>
    <w:rsid w:val="0004729A"/>
    <w:rsid w:val="00047F06"/>
    <w:rsid w:val="0005001A"/>
    <w:rsid w:val="00050F45"/>
    <w:rsid w:val="00051006"/>
    <w:rsid w:val="00051214"/>
    <w:rsid w:val="0005190F"/>
    <w:rsid w:val="00052484"/>
    <w:rsid w:val="00052606"/>
    <w:rsid w:val="0005398B"/>
    <w:rsid w:val="00053FAD"/>
    <w:rsid w:val="0005444A"/>
    <w:rsid w:val="00055360"/>
    <w:rsid w:val="00055639"/>
    <w:rsid w:val="0005710C"/>
    <w:rsid w:val="000574B7"/>
    <w:rsid w:val="0005778D"/>
    <w:rsid w:val="00060407"/>
    <w:rsid w:val="00060861"/>
    <w:rsid w:val="0006243E"/>
    <w:rsid w:val="000627FC"/>
    <w:rsid w:val="00063342"/>
    <w:rsid w:val="000635E5"/>
    <w:rsid w:val="00064A52"/>
    <w:rsid w:val="00064A9F"/>
    <w:rsid w:val="00064F60"/>
    <w:rsid w:val="0006528F"/>
    <w:rsid w:val="00065DB6"/>
    <w:rsid w:val="0006615D"/>
    <w:rsid w:val="00066250"/>
    <w:rsid w:val="00066334"/>
    <w:rsid w:val="00067109"/>
    <w:rsid w:val="000672D9"/>
    <w:rsid w:val="00067AC3"/>
    <w:rsid w:val="00067C6D"/>
    <w:rsid w:val="000700BA"/>
    <w:rsid w:val="00072AF0"/>
    <w:rsid w:val="00072B55"/>
    <w:rsid w:val="00073213"/>
    <w:rsid w:val="00073748"/>
    <w:rsid w:val="00074924"/>
    <w:rsid w:val="00074D42"/>
    <w:rsid w:val="000752DD"/>
    <w:rsid w:val="00075731"/>
    <w:rsid w:val="000758E4"/>
    <w:rsid w:val="00075A54"/>
    <w:rsid w:val="00075DD6"/>
    <w:rsid w:val="000768C9"/>
    <w:rsid w:val="00076BF3"/>
    <w:rsid w:val="00077E52"/>
    <w:rsid w:val="00080210"/>
    <w:rsid w:val="00080ABC"/>
    <w:rsid w:val="00080C70"/>
    <w:rsid w:val="000822F0"/>
    <w:rsid w:val="00082771"/>
    <w:rsid w:val="00082C26"/>
    <w:rsid w:val="00082D74"/>
    <w:rsid w:val="00083274"/>
    <w:rsid w:val="000834B6"/>
    <w:rsid w:val="0008464C"/>
    <w:rsid w:val="00084CA3"/>
    <w:rsid w:val="00085B93"/>
    <w:rsid w:val="00085DE9"/>
    <w:rsid w:val="00086838"/>
    <w:rsid w:val="00087A5E"/>
    <w:rsid w:val="00087AA9"/>
    <w:rsid w:val="0009027F"/>
    <w:rsid w:val="00091346"/>
    <w:rsid w:val="00091B1B"/>
    <w:rsid w:val="000922E3"/>
    <w:rsid w:val="000949C1"/>
    <w:rsid w:val="0009612D"/>
    <w:rsid w:val="00096513"/>
    <w:rsid w:val="00096648"/>
    <w:rsid w:val="00096BDA"/>
    <w:rsid w:val="00097AE5"/>
    <w:rsid w:val="000A096D"/>
    <w:rsid w:val="000A0A4B"/>
    <w:rsid w:val="000A15AA"/>
    <w:rsid w:val="000A39FE"/>
    <w:rsid w:val="000A3DF9"/>
    <w:rsid w:val="000A4D64"/>
    <w:rsid w:val="000A4F3A"/>
    <w:rsid w:val="000A6A90"/>
    <w:rsid w:val="000A6FC5"/>
    <w:rsid w:val="000A7B10"/>
    <w:rsid w:val="000A7C85"/>
    <w:rsid w:val="000B1457"/>
    <w:rsid w:val="000B1E79"/>
    <w:rsid w:val="000B203D"/>
    <w:rsid w:val="000B2636"/>
    <w:rsid w:val="000B2925"/>
    <w:rsid w:val="000B41C2"/>
    <w:rsid w:val="000B4879"/>
    <w:rsid w:val="000B4949"/>
    <w:rsid w:val="000B49D6"/>
    <w:rsid w:val="000B5058"/>
    <w:rsid w:val="000B50CF"/>
    <w:rsid w:val="000B51DB"/>
    <w:rsid w:val="000B5DF2"/>
    <w:rsid w:val="000B6280"/>
    <w:rsid w:val="000B6CF3"/>
    <w:rsid w:val="000B7029"/>
    <w:rsid w:val="000B712C"/>
    <w:rsid w:val="000B75D1"/>
    <w:rsid w:val="000B78EA"/>
    <w:rsid w:val="000C051C"/>
    <w:rsid w:val="000C0C8C"/>
    <w:rsid w:val="000C183B"/>
    <w:rsid w:val="000C260F"/>
    <w:rsid w:val="000C2621"/>
    <w:rsid w:val="000C2789"/>
    <w:rsid w:val="000C2F10"/>
    <w:rsid w:val="000C3231"/>
    <w:rsid w:val="000C3AE1"/>
    <w:rsid w:val="000C423B"/>
    <w:rsid w:val="000C49C9"/>
    <w:rsid w:val="000C4A7B"/>
    <w:rsid w:val="000C4FBF"/>
    <w:rsid w:val="000C6BED"/>
    <w:rsid w:val="000C7AA3"/>
    <w:rsid w:val="000D006B"/>
    <w:rsid w:val="000D046F"/>
    <w:rsid w:val="000D1765"/>
    <w:rsid w:val="000D1B40"/>
    <w:rsid w:val="000D1C8E"/>
    <w:rsid w:val="000D1EEF"/>
    <w:rsid w:val="000D21B4"/>
    <w:rsid w:val="000D3063"/>
    <w:rsid w:val="000D3762"/>
    <w:rsid w:val="000D40B7"/>
    <w:rsid w:val="000D4366"/>
    <w:rsid w:val="000D4D49"/>
    <w:rsid w:val="000D7356"/>
    <w:rsid w:val="000D774A"/>
    <w:rsid w:val="000D7DC0"/>
    <w:rsid w:val="000E1017"/>
    <w:rsid w:val="000E10FD"/>
    <w:rsid w:val="000E1CAC"/>
    <w:rsid w:val="000E211A"/>
    <w:rsid w:val="000E24B7"/>
    <w:rsid w:val="000E2EB8"/>
    <w:rsid w:val="000E3176"/>
    <w:rsid w:val="000E3DEC"/>
    <w:rsid w:val="000E439D"/>
    <w:rsid w:val="000E488F"/>
    <w:rsid w:val="000E4971"/>
    <w:rsid w:val="000E538E"/>
    <w:rsid w:val="000E5A88"/>
    <w:rsid w:val="000E5B97"/>
    <w:rsid w:val="000E5FF9"/>
    <w:rsid w:val="000E6974"/>
    <w:rsid w:val="000E6A06"/>
    <w:rsid w:val="000E6D17"/>
    <w:rsid w:val="000E6E5F"/>
    <w:rsid w:val="000F0248"/>
    <w:rsid w:val="000F06AA"/>
    <w:rsid w:val="000F08F2"/>
    <w:rsid w:val="000F143A"/>
    <w:rsid w:val="000F1ADE"/>
    <w:rsid w:val="000F1DE6"/>
    <w:rsid w:val="000F23CC"/>
    <w:rsid w:val="000F24C3"/>
    <w:rsid w:val="000F2D22"/>
    <w:rsid w:val="000F3328"/>
    <w:rsid w:val="000F3F95"/>
    <w:rsid w:val="000F4BD1"/>
    <w:rsid w:val="000F4C95"/>
    <w:rsid w:val="000F4DA3"/>
    <w:rsid w:val="000F518B"/>
    <w:rsid w:val="000F5BC4"/>
    <w:rsid w:val="000F60B3"/>
    <w:rsid w:val="000F6857"/>
    <w:rsid w:val="000F724D"/>
    <w:rsid w:val="000F74B8"/>
    <w:rsid w:val="000F778A"/>
    <w:rsid w:val="000F7921"/>
    <w:rsid w:val="000F7F54"/>
    <w:rsid w:val="0010042D"/>
    <w:rsid w:val="0010092F"/>
    <w:rsid w:val="001010AC"/>
    <w:rsid w:val="00101D15"/>
    <w:rsid w:val="00102F80"/>
    <w:rsid w:val="00103034"/>
    <w:rsid w:val="0010398C"/>
    <w:rsid w:val="00103AC6"/>
    <w:rsid w:val="00104E0C"/>
    <w:rsid w:val="00104EB5"/>
    <w:rsid w:val="00105143"/>
    <w:rsid w:val="00105DC2"/>
    <w:rsid w:val="00106633"/>
    <w:rsid w:val="00107438"/>
    <w:rsid w:val="00107918"/>
    <w:rsid w:val="00110105"/>
    <w:rsid w:val="00110D19"/>
    <w:rsid w:val="00111730"/>
    <w:rsid w:val="00111C13"/>
    <w:rsid w:val="0011264D"/>
    <w:rsid w:val="00113403"/>
    <w:rsid w:val="00113CED"/>
    <w:rsid w:val="00113E21"/>
    <w:rsid w:val="00115277"/>
    <w:rsid w:val="00115594"/>
    <w:rsid w:val="00115A75"/>
    <w:rsid w:val="0011694B"/>
    <w:rsid w:val="001169AD"/>
    <w:rsid w:val="00117EFB"/>
    <w:rsid w:val="001213F7"/>
    <w:rsid w:val="00122BA4"/>
    <w:rsid w:val="00123383"/>
    <w:rsid w:val="00124F99"/>
    <w:rsid w:val="001254A9"/>
    <w:rsid w:val="00126228"/>
    <w:rsid w:val="001266C2"/>
    <w:rsid w:val="001279EF"/>
    <w:rsid w:val="00127A53"/>
    <w:rsid w:val="001305A2"/>
    <w:rsid w:val="00130644"/>
    <w:rsid w:val="00133C7C"/>
    <w:rsid w:val="00134A4E"/>
    <w:rsid w:val="00134CC1"/>
    <w:rsid w:val="00135204"/>
    <w:rsid w:val="001362AA"/>
    <w:rsid w:val="00137260"/>
    <w:rsid w:val="00137BE2"/>
    <w:rsid w:val="00140C1B"/>
    <w:rsid w:val="00140C23"/>
    <w:rsid w:val="00140FA3"/>
    <w:rsid w:val="001416FC"/>
    <w:rsid w:val="001418E2"/>
    <w:rsid w:val="00141915"/>
    <w:rsid w:val="00141C4D"/>
    <w:rsid w:val="00141E46"/>
    <w:rsid w:val="001434CA"/>
    <w:rsid w:val="00144D37"/>
    <w:rsid w:val="00144DA2"/>
    <w:rsid w:val="00145496"/>
    <w:rsid w:val="00145719"/>
    <w:rsid w:val="00145E4E"/>
    <w:rsid w:val="0014636F"/>
    <w:rsid w:val="00146713"/>
    <w:rsid w:val="00146C3F"/>
    <w:rsid w:val="0014715D"/>
    <w:rsid w:val="001479AA"/>
    <w:rsid w:val="001508A9"/>
    <w:rsid w:val="00150A08"/>
    <w:rsid w:val="0015115C"/>
    <w:rsid w:val="00151B4E"/>
    <w:rsid w:val="00151C62"/>
    <w:rsid w:val="00152ACD"/>
    <w:rsid w:val="00152DA0"/>
    <w:rsid w:val="0015410F"/>
    <w:rsid w:val="00155486"/>
    <w:rsid w:val="00157102"/>
    <w:rsid w:val="001573C0"/>
    <w:rsid w:val="00157A3A"/>
    <w:rsid w:val="001608DC"/>
    <w:rsid w:val="00160FD1"/>
    <w:rsid w:val="001616D6"/>
    <w:rsid w:val="00161CCF"/>
    <w:rsid w:val="00161E70"/>
    <w:rsid w:val="00162034"/>
    <w:rsid w:val="00162351"/>
    <w:rsid w:val="001623F5"/>
    <w:rsid w:val="00163DA0"/>
    <w:rsid w:val="00164268"/>
    <w:rsid w:val="001643E6"/>
    <w:rsid w:val="001651E6"/>
    <w:rsid w:val="00165D85"/>
    <w:rsid w:val="00165DCD"/>
    <w:rsid w:val="00165F4E"/>
    <w:rsid w:val="00166E93"/>
    <w:rsid w:val="001672F6"/>
    <w:rsid w:val="00167982"/>
    <w:rsid w:val="00170248"/>
    <w:rsid w:val="00170273"/>
    <w:rsid w:val="00170799"/>
    <w:rsid w:val="00171123"/>
    <w:rsid w:val="00171608"/>
    <w:rsid w:val="0017186E"/>
    <w:rsid w:val="00171D97"/>
    <w:rsid w:val="0017215B"/>
    <w:rsid w:val="001730BD"/>
    <w:rsid w:val="00173A14"/>
    <w:rsid w:val="001745DB"/>
    <w:rsid w:val="00175961"/>
    <w:rsid w:val="0017697D"/>
    <w:rsid w:val="0017698D"/>
    <w:rsid w:val="00176B69"/>
    <w:rsid w:val="00176D52"/>
    <w:rsid w:val="001772CB"/>
    <w:rsid w:val="00177909"/>
    <w:rsid w:val="001818F3"/>
    <w:rsid w:val="00181BFB"/>
    <w:rsid w:val="00181C9F"/>
    <w:rsid w:val="00181D9D"/>
    <w:rsid w:val="001821B2"/>
    <w:rsid w:val="001826B7"/>
    <w:rsid w:val="0018280D"/>
    <w:rsid w:val="00182857"/>
    <w:rsid w:val="00183482"/>
    <w:rsid w:val="001842C4"/>
    <w:rsid w:val="001845B3"/>
    <w:rsid w:val="00184897"/>
    <w:rsid w:val="00185321"/>
    <w:rsid w:val="001853D9"/>
    <w:rsid w:val="00186146"/>
    <w:rsid w:val="001861DA"/>
    <w:rsid w:val="00186863"/>
    <w:rsid w:val="0018706C"/>
    <w:rsid w:val="00190119"/>
    <w:rsid w:val="00190142"/>
    <w:rsid w:val="00190B6F"/>
    <w:rsid w:val="00190F13"/>
    <w:rsid w:val="00191210"/>
    <w:rsid w:val="001912CD"/>
    <w:rsid w:val="001915F3"/>
    <w:rsid w:val="001919D4"/>
    <w:rsid w:val="001921FA"/>
    <w:rsid w:val="0019238B"/>
    <w:rsid w:val="001923D0"/>
    <w:rsid w:val="00192969"/>
    <w:rsid w:val="00192C86"/>
    <w:rsid w:val="00193003"/>
    <w:rsid w:val="00194615"/>
    <w:rsid w:val="00194735"/>
    <w:rsid w:val="0019473D"/>
    <w:rsid w:val="00194D54"/>
    <w:rsid w:val="0019585A"/>
    <w:rsid w:val="001965DF"/>
    <w:rsid w:val="00196B58"/>
    <w:rsid w:val="001974F2"/>
    <w:rsid w:val="0019792E"/>
    <w:rsid w:val="00197D10"/>
    <w:rsid w:val="00197DD0"/>
    <w:rsid w:val="001A02AD"/>
    <w:rsid w:val="001A10D8"/>
    <w:rsid w:val="001A147C"/>
    <w:rsid w:val="001A2E3F"/>
    <w:rsid w:val="001A33E1"/>
    <w:rsid w:val="001A3797"/>
    <w:rsid w:val="001A38A6"/>
    <w:rsid w:val="001A3C90"/>
    <w:rsid w:val="001A4982"/>
    <w:rsid w:val="001A524F"/>
    <w:rsid w:val="001A59FB"/>
    <w:rsid w:val="001A6654"/>
    <w:rsid w:val="001A6CF4"/>
    <w:rsid w:val="001A7D35"/>
    <w:rsid w:val="001A7F41"/>
    <w:rsid w:val="001B006C"/>
    <w:rsid w:val="001B10C8"/>
    <w:rsid w:val="001B1228"/>
    <w:rsid w:val="001B1913"/>
    <w:rsid w:val="001B21C7"/>
    <w:rsid w:val="001B21D4"/>
    <w:rsid w:val="001B3570"/>
    <w:rsid w:val="001B35FD"/>
    <w:rsid w:val="001B37C2"/>
    <w:rsid w:val="001B3DB6"/>
    <w:rsid w:val="001B4DE3"/>
    <w:rsid w:val="001B5409"/>
    <w:rsid w:val="001B5D98"/>
    <w:rsid w:val="001B64A2"/>
    <w:rsid w:val="001B7420"/>
    <w:rsid w:val="001B74CF"/>
    <w:rsid w:val="001B771D"/>
    <w:rsid w:val="001B7AA6"/>
    <w:rsid w:val="001C047C"/>
    <w:rsid w:val="001C18D0"/>
    <w:rsid w:val="001C1EB3"/>
    <w:rsid w:val="001C2581"/>
    <w:rsid w:val="001C3617"/>
    <w:rsid w:val="001C4447"/>
    <w:rsid w:val="001C5232"/>
    <w:rsid w:val="001C667F"/>
    <w:rsid w:val="001C6C2D"/>
    <w:rsid w:val="001C72CF"/>
    <w:rsid w:val="001D0656"/>
    <w:rsid w:val="001D1023"/>
    <w:rsid w:val="001D102B"/>
    <w:rsid w:val="001D12F0"/>
    <w:rsid w:val="001D19F0"/>
    <w:rsid w:val="001D1D88"/>
    <w:rsid w:val="001D3CD3"/>
    <w:rsid w:val="001D4966"/>
    <w:rsid w:val="001D5414"/>
    <w:rsid w:val="001D59DC"/>
    <w:rsid w:val="001D5B76"/>
    <w:rsid w:val="001D5F7D"/>
    <w:rsid w:val="001D7974"/>
    <w:rsid w:val="001D7D31"/>
    <w:rsid w:val="001E022A"/>
    <w:rsid w:val="001E12BF"/>
    <w:rsid w:val="001E1C34"/>
    <w:rsid w:val="001E2081"/>
    <w:rsid w:val="001E29BB"/>
    <w:rsid w:val="001E365B"/>
    <w:rsid w:val="001E4882"/>
    <w:rsid w:val="001E4937"/>
    <w:rsid w:val="001E4B8B"/>
    <w:rsid w:val="001E4C84"/>
    <w:rsid w:val="001E5501"/>
    <w:rsid w:val="001E5704"/>
    <w:rsid w:val="001E6391"/>
    <w:rsid w:val="001E7500"/>
    <w:rsid w:val="001E7B4A"/>
    <w:rsid w:val="001F158D"/>
    <w:rsid w:val="001F251F"/>
    <w:rsid w:val="001F2592"/>
    <w:rsid w:val="001F3826"/>
    <w:rsid w:val="001F3B31"/>
    <w:rsid w:val="001F3E7E"/>
    <w:rsid w:val="001F5B4F"/>
    <w:rsid w:val="001F5DE4"/>
    <w:rsid w:val="001F61B9"/>
    <w:rsid w:val="001F68D0"/>
    <w:rsid w:val="001F6C0A"/>
    <w:rsid w:val="001F7342"/>
    <w:rsid w:val="001F7470"/>
    <w:rsid w:val="001F77BC"/>
    <w:rsid w:val="001F7A65"/>
    <w:rsid w:val="00200A33"/>
    <w:rsid w:val="00200C0C"/>
    <w:rsid w:val="002012EA"/>
    <w:rsid w:val="00201BC4"/>
    <w:rsid w:val="0020216A"/>
    <w:rsid w:val="00202599"/>
    <w:rsid w:val="00203FFE"/>
    <w:rsid w:val="0020516B"/>
    <w:rsid w:val="00205767"/>
    <w:rsid w:val="0020592B"/>
    <w:rsid w:val="00206390"/>
    <w:rsid w:val="00206DED"/>
    <w:rsid w:val="002074E2"/>
    <w:rsid w:val="00207541"/>
    <w:rsid w:val="0020798A"/>
    <w:rsid w:val="0021025C"/>
    <w:rsid w:val="0021058F"/>
    <w:rsid w:val="0021181A"/>
    <w:rsid w:val="00211E70"/>
    <w:rsid w:val="00211F8A"/>
    <w:rsid w:val="002120C9"/>
    <w:rsid w:val="00212913"/>
    <w:rsid w:val="00212AF6"/>
    <w:rsid w:val="002139EE"/>
    <w:rsid w:val="00213F86"/>
    <w:rsid w:val="00214214"/>
    <w:rsid w:val="002142F2"/>
    <w:rsid w:val="002143CC"/>
    <w:rsid w:val="00214504"/>
    <w:rsid w:val="00215A49"/>
    <w:rsid w:val="00215CBE"/>
    <w:rsid w:val="00215DE2"/>
    <w:rsid w:val="00215EC6"/>
    <w:rsid w:val="00216225"/>
    <w:rsid w:val="00216909"/>
    <w:rsid w:val="00217AFD"/>
    <w:rsid w:val="002218B0"/>
    <w:rsid w:val="00221F97"/>
    <w:rsid w:val="0022297B"/>
    <w:rsid w:val="002230C7"/>
    <w:rsid w:val="0022433E"/>
    <w:rsid w:val="002243A6"/>
    <w:rsid w:val="00225467"/>
    <w:rsid w:val="002255F9"/>
    <w:rsid w:val="00226772"/>
    <w:rsid w:val="00226C0B"/>
    <w:rsid w:val="00227ABA"/>
    <w:rsid w:val="00227D65"/>
    <w:rsid w:val="002308D2"/>
    <w:rsid w:val="002311D7"/>
    <w:rsid w:val="00231284"/>
    <w:rsid w:val="002312AE"/>
    <w:rsid w:val="00231AE8"/>
    <w:rsid w:val="00231C32"/>
    <w:rsid w:val="00231F9A"/>
    <w:rsid w:val="00232C5C"/>
    <w:rsid w:val="00233A82"/>
    <w:rsid w:val="00233A8B"/>
    <w:rsid w:val="00233B31"/>
    <w:rsid w:val="00233C44"/>
    <w:rsid w:val="00235077"/>
    <w:rsid w:val="0023574E"/>
    <w:rsid w:val="00235B54"/>
    <w:rsid w:val="002365F5"/>
    <w:rsid w:val="00236ED6"/>
    <w:rsid w:val="00237EEB"/>
    <w:rsid w:val="00240CAF"/>
    <w:rsid w:val="002421D4"/>
    <w:rsid w:val="002422D9"/>
    <w:rsid w:val="002424D9"/>
    <w:rsid w:val="00242624"/>
    <w:rsid w:val="00242CED"/>
    <w:rsid w:val="00243B60"/>
    <w:rsid w:val="00243C2F"/>
    <w:rsid w:val="0024588A"/>
    <w:rsid w:val="00245AD5"/>
    <w:rsid w:val="00245CC1"/>
    <w:rsid w:val="002461A7"/>
    <w:rsid w:val="002466AF"/>
    <w:rsid w:val="00246EE0"/>
    <w:rsid w:val="00246EF2"/>
    <w:rsid w:val="002475D3"/>
    <w:rsid w:val="002478BC"/>
    <w:rsid w:val="0025061E"/>
    <w:rsid w:val="002507EE"/>
    <w:rsid w:val="00250B02"/>
    <w:rsid w:val="00251186"/>
    <w:rsid w:val="00251B1C"/>
    <w:rsid w:val="00251D9F"/>
    <w:rsid w:val="00252940"/>
    <w:rsid w:val="002532E2"/>
    <w:rsid w:val="002534C9"/>
    <w:rsid w:val="00254266"/>
    <w:rsid w:val="002545E8"/>
    <w:rsid w:val="002555C8"/>
    <w:rsid w:val="00255BF4"/>
    <w:rsid w:val="00256072"/>
    <w:rsid w:val="002566D7"/>
    <w:rsid w:val="002576FD"/>
    <w:rsid w:val="002578BF"/>
    <w:rsid w:val="00260285"/>
    <w:rsid w:val="00260634"/>
    <w:rsid w:val="002608E2"/>
    <w:rsid w:val="00260914"/>
    <w:rsid w:val="00261079"/>
    <w:rsid w:val="00261328"/>
    <w:rsid w:val="00261797"/>
    <w:rsid w:val="00262790"/>
    <w:rsid w:val="002631A4"/>
    <w:rsid w:val="00263578"/>
    <w:rsid w:val="002643B8"/>
    <w:rsid w:val="0026454C"/>
    <w:rsid w:val="00264C3A"/>
    <w:rsid w:val="00264C9D"/>
    <w:rsid w:val="00265507"/>
    <w:rsid w:val="00265A3F"/>
    <w:rsid w:val="00265AC4"/>
    <w:rsid w:val="00265C9B"/>
    <w:rsid w:val="00265EB4"/>
    <w:rsid w:val="002666AD"/>
    <w:rsid w:val="00266A67"/>
    <w:rsid w:val="00267932"/>
    <w:rsid w:val="0027061E"/>
    <w:rsid w:val="002710B5"/>
    <w:rsid w:val="002713A2"/>
    <w:rsid w:val="00273C80"/>
    <w:rsid w:val="002745C2"/>
    <w:rsid w:val="002746BA"/>
    <w:rsid w:val="00275858"/>
    <w:rsid w:val="00275B1C"/>
    <w:rsid w:val="00276334"/>
    <w:rsid w:val="00276CFA"/>
    <w:rsid w:val="0027741F"/>
    <w:rsid w:val="002777B1"/>
    <w:rsid w:val="00277C40"/>
    <w:rsid w:val="00277E95"/>
    <w:rsid w:val="00280617"/>
    <w:rsid w:val="00280E3E"/>
    <w:rsid w:val="0028101E"/>
    <w:rsid w:val="00281FAC"/>
    <w:rsid w:val="00282367"/>
    <w:rsid w:val="002823A4"/>
    <w:rsid w:val="00282618"/>
    <w:rsid w:val="00282711"/>
    <w:rsid w:val="00282B87"/>
    <w:rsid w:val="00282D86"/>
    <w:rsid w:val="00282D88"/>
    <w:rsid w:val="00282E01"/>
    <w:rsid w:val="00282FF7"/>
    <w:rsid w:val="0028315B"/>
    <w:rsid w:val="0028319D"/>
    <w:rsid w:val="0028470F"/>
    <w:rsid w:val="00285325"/>
    <w:rsid w:val="00285A54"/>
    <w:rsid w:val="00285E9D"/>
    <w:rsid w:val="002865ED"/>
    <w:rsid w:val="002868C6"/>
    <w:rsid w:val="00286963"/>
    <w:rsid w:val="0028726E"/>
    <w:rsid w:val="002900FA"/>
    <w:rsid w:val="00290467"/>
    <w:rsid w:val="0029064E"/>
    <w:rsid w:val="00290D06"/>
    <w:rsid w:val="002917EB"/>
    <w:rsid w:val="0029326C"/>
    <w:rsid w:val="0029390B"/>
    <w:rsid w:val="00294B62"/>
    <w:rsid w:val="00295B8B"/>
    <w:rsid w:val="00296676"/>
    <w:rsid w:val="002969EA"/>
    <w:rsid w:val="00296CB2"/>
    <w:rsid w:val="00296E41"/>
    <w:rsid w:val="00297CA9"/>
    <w:rsid w:val="002A01BA"/>
    <w:rsid w:val="002A05BF"/>
    <w:rsid w:val="002A0A3E"/>
    <w:rsid w:val="002A0A6B"/>
    <w:rsid w:val="002A0B5A"/>
    <w:rsid w:val="002A13C8"/>
    <w:rsid w:val="002A1A89"/>
    <w:rsid w:val="002A331E"/>
    <w:rsid w:val="002A3A83"/>
    <w:rsid w:val="002A4C6D"/>
    <w:rsid w:val="002A550A"/>
    <w:rsid w:val="002A5955"/>
    <w:rsid w:val="002A5B00"/>
    <w:rsid w:val="002A6898"/>
    <w:rsid w:val="002A749A"/>
    <w:rsid w:val="002B01B9"/>
    <w:rsid w:val="002B250C"/>
    <w:rsid w:val="002B2A6A"/>
    <w:rsid w:val="002B33DD"/>
    <w:rsid w:val="002B48E2"/>
    <w:rsid w:val="002B4C67"/>
    <w:rsid w:val="002B531E"/>
    <w:rsid w:val="002B5730"/>
    <w:rsid w:val="002B618D"/>
    <w:rsid w:val="002B66CA"/>
    <w:rsid w:val="002B7154"/>
    <w:rsid w:val="002B7315"/>
    <w:rsid w:val="002B7996"/>
    <w:rsid w:val="002C00E9"/>
    <w:rsid w:val="002C028D"/>
    <w:rsid w:val="002C0590"/>
    <w:rsid w:val="002C0DF3"/>
    <w:rsid w:val="002C14B7"/>
    <w:rsid w:val="002C159F"/>
    <w:rsid w:val="002C1BE7"/>
    <w:rsid w:val="002C24F6"/>
    <w:rsid w:val="002C28C7"/>
    <w:rsid w:val="002C32B4"/>
    <w:rsid w:val="002C3790"/>
    <w:rsid w:val="002C44EC"/>
    <w:rsid w:val="002C570B"/>
    <w:rsid w:val="002C60EE"/>
    <w:rsid w:val="002C62CB"/>
    <w:rsid w:val="002C6CC7"/>
    <w:rsid w:val="002C723F"/>
    <w:rsid w:val="002C7CB0"/>
    <w:rsid w:val="002C7DCF"/>
    <w:rsid w:val="002C7F7E"/>
    <w:rsid w:val="002D05D1"/>
    <w:rsid w:val="002D1BAC"/>
    <w:rsid w:val="002D25BC"/>
    <w:rsid w:val="002D28E5"/>
    <w:rsid w:val="002D2CBF"/>
    <w:rsid w:val="002D2F1C"/>
    <w:rsid w:val="002D3AE7"/>
    <w:rsid w:val="002D3CA1"/>
    <w:rsid w:val="002D4876"/>
    <w:rsid w:val="002D4A5B"/>
    <w:rsid w:val="002D545A"/>
    <w:rsid w:val="002D5EB8"/>
    <w:rsid w:val="002D6113"/>
    <w:rsid w:val="002D6D32"/>
    <w:rsid w:val="002D7DF8"/>
    <w:rsid w:val="002E1CD8"/>
    <w:rsid w:val="002E1D3E"/>
    <w:rsid w:val="002E2C95"/>
    <w:rsid w:val="002E3421"/>
    <w:rsid w:val="002E3694"/>
    <w:rsid w:val="002E3AEE"/>
    <w:rsid w:val="002E3E47"/>
    <w:rsid w:val="002E410B"/>
    <w:rsid w:val="002E4731"/>
    <w:rsid w:val="002E6550"/>
    <w:rsid w:val="002E6ECB"/>
    <w:rsid w:val="002E786C"/>
    <w:rsid w:val="002F0724"/>
    <w:rsid w:val="002F0EB6"/>
    <w:rsid w:val="002F19A9"/>
    <w:rsid w:val="002F1C67"/>
    <w:rsid w:val="002F2E6D"/>
    <w:rsid w:val="002F305D"/>
    <w:rsid w:val="002F3AF0"/>
    <w:rsid w:val="002F5EBF"/>
    <w:rsid w:val="002F6BCB"/>
    <w:rsid w:val="002F76B8"/>
    <w:rsid w:val="002F76FB"/>
    <w:rsid w:val="002F7F70"/>
    <w:rsid w:val="0030097E"/>
    <w:rsid w:val="00300DF7"/>
    <w:rsid w:val="0030163D"/>
    <w:rsid w:val="00301F0A"/>
    <w:rsid w:val="003023C7"/>
    <w:rsid w:val="00302576"/>
    <w:rsid w:val="003027B7"/>
    <w:rsid w:val="00302A72"/>
    <w:rsid w:val="00303861"/>
    <w:rsid w:val="00303F1B"/>
    <w:rsid w:val="0030473E"/>
    <w:rsid w:val="003054A4"/>
    <w:rsid w:val="00306595"/>
    <w:rsid w:val="00306798"/>
    <w:rsid w:val="00307D1D"/>
    <w:rsid w:val="0031027C"/>
    <w:rsid w:val="00310445"/>
    <w:rsid w:val="0031046A"/>
    <w:rsid w:val="00311552"/>
    <w:rsid w:val="003119FF"/>
    <w:rsid w:val="00311C22"/>
    <w:rsid w:val="00311F9C"/>
    <w:rsid w:val="003121F8"/>
    <w:rsid w:val="00312DD7"/>
    <w:rsid w:val="0031442D"/>
    <w:rsid w:val="0031498D"/>
    <w:rsid w:val="00315824"/>
    <w:rsid w:val="003158CA"/>
    <w:rsid w:val="00316891"/>
    <w:rsid w:val="00316A73"/>
    <w:rsid w:val="003177F8"/>
    <w:rsid w:val="003207B5"/>
    <w:rsid w:val="00320EF7"/>
    <w:rsid w:val="00320F2B"/>
    <w:rsid w:val="00321053"/>
    <w:rsid w:val="00321123"/>
    <w:rsid w:val="0032132E"/>
    <w:rsid w:val="00321DF4"/>
    <w:rsid w:val="0032273F"/>
    <w:rsid w:val="00322F10"/>
    <w:rsid w:val="003247AD"/>
    <w:rsid w:val="00324D6E"/>
    <w:rsid w:val="003251D4"/>
    <w:rsid w:val="0032576E"/>
    <w:rsid w:val="00325DB8"/>
    <w:rsid w:val="00326332"/>
    <w:rsid w:val="00326DCB"/>
    <w:rsid w:val="00327182"/>
    <w:rsid w:val="003273DB"/>
    <w:rsid w:val="00327832"/>
    <w:rsid w:val="0033063B"/>
    <w:rsid w:val="003312F1"/>
    <w:rsid w:val="003313DC"/>
    <w:rsid w:val="003318F6"/>
    <w:rsid w:val="00332C61"/>
    <w:rsid w:val="003336A9"/>
    <w:rsid w:val="00333AFF"/>
    <w:rsid w:val="00334B90"/>
    <w:rsid w:val="003362F5"/>
    <w:rsid w:val="0033699D"/>
    <w:rsid w:val="00336F43"/>
    <w:rsid w:val="00337116"/>
    <w:rsid w:val="00337343"/>
    <w:rsid w:val="00340163"/>
    <w:rsid w:val="00340260"/>
    <w:rsid w:val="003408B4"/>
    <w:rsid w:val="00340CE9"/>
    <w:rsid w:val="00340E46"/>
    <w:rsid w:val="00341545"/>
    <w:rsid w:val="003415FC"/>
    <w:rsid w:val="00341959"/>
    <w:rsid w:val="00343489"/>
    <w:rsid w:val="0034449E"/>
    <w:rsid w:val="00345318"/>
    <w:rsid w:val="00345486"/>
    <w:rsid w:val="003456B7"/>
    <w:rsid w:val="00345884"/>
    <w:rsid w:val="00345E7D"/>
    <w:rsid w:val="003468A6"/>
    <w:rsid w:val="0034706F"/>
    <w:rsid w:val="003501DC"/>
    <w:rsid w:val="0035026B"/>
    <w:rsid w:val="003506AB"/>
    <w:rsid w:val="00350C3C"/>
    <w:rsid w:val="00350CDE"/>
    <w:rsid w:val="0035113D"/>
    <w:rsid w:val="0035177E"/>
    <w:rsid w:val="00352334"/>
    <w:rsid w:val="0035309C"/>
    <w:rsid w:val="0035465E"/>
    <w:rsid w:val="0035498E"/>
    <w:rsid w:val="00355DC5"/>
    <w:rsid w:val="00360F94"/>
    <w:rsid w:val="00361164"/>
    <w:rsid w:val="00362154"/>
    <w:rsid w:val="00362ECA"/>
    <w:rsid w:val="003630B9"/>
    <w:rsid w:val="0036337A"/>
    <w:rsid w:val="00363D29"/>
    <w:rsid w:val="00365684"/>
    <w:rsid w:val="003658F3"/>
    <w:rsid w:val="00366BBF"/>
    <w:rsid w:val="00366D69"/>
    <w:rsid w:val="00366F7F"/>
    <w:rsid w:val="003673C6"/>
    <w:rsid w:val="0036756A"/>
    <w:rsid w:val="00367BE0"/>
    <w:rsid w:val="00370877"/>
    <w:rsid w:val="00370F76"/>
    <w:rsid w:val="003714D2"/>
    <w:rsid w:val="00371A6E"/>
    <w:rsid w:val="00372681"/>
    <w:rsid w:val="00373356"/>
    <w:rsid w:val="00373864"/>
    <w:rsid w:val="00373FF5"/>
    <w:rsid w:val="00374188"/>
    <w:rsid w:val="00374457"/>
    <w:rsid w:val="00376007"/>
    <w:rsid w:val="00376503"/>
    <w:rsid w:val="00376AE0"/>
    <w:rsid w:val="00377003"/>
    <w:rsid w:val="00377EE5"/>
    <w:rsid w:val="00380205"/>
    <w:rsid w:val="00380756"/>
    <w:rsid w:val="003807DE"/>
    <w:rsid w:val="00380D0F"/>
    <w:rsid w:val="00381971"/>
    <w:rsid w:val="00381C43"/>
    <w:rsid w:val="003827D2"/>
    <w:rsid w:val="00383262"/>
    <w:rsid w:val="003833C1"/>
    <w:rsid w:val="003839BF"/>
    <w:rsid w:val="00383C2A"/>
    <w:rsid w:val="003846E2"/>
    <w:rsid w:val="003860F7"/>
    <w:rsid w:val="00390658"/>
    <w:rsid w:val="003909C7"/>
    <w:rsid w:val="00390D02"/>
    <w:rsid w:val="00391607"/>
    <w:rsid w:val="00392153"/>
    <w:rsid w:val="00393E09"/>
    <w:rsid w:val="003945A8"/>
    <w:rsid w:val="0039510E"/>
    <w:rsid w:val="003954B4"/>
    <w:rsid w:val="0039551D"/>
    <w:rsid w:val="003956D2"/>
    <w:rsid w:val="00395880"/>
    <w:rsid w:val="003958AD"/>
    <w:rsid w:val="00395924"/>
    <w:rsid w:val="0039677F"/>
    <w:rsid w:val="003971F5"/>
    <w:rsid w:val="0039750E"/>
    <w:rsid w:val="003975DE"/>
    <w:rsid w:val="00397AA9"/>
    <w:rsid w:val="00397D6B"/>
    <w:rsid w:val="00397DF2"/>
    <w:rsid w:val="003A041D"/>
    <w:rsid w:val="003A0C39"/>
    <w:rsid w:val="003A0E1E"/>
    <w:rsid w:val="003A1BE2"/>
    <w:rsid w:val="003A2462"/>
    <w:rsid w:val="003A2AE9"/>
    <w:rsid w:val="003A3AC7"/>
    <w:rsid w:val="003A3C25"/>
    <w:rsid w:val="003A4578"/>
    <w:rsid w:val="003A6141"/>
    <w:rsid w:val="003A6436"/>
    <w:rsid w:val="003A7493"/>
    <w:rsid w:val="003A7E73"/>
    <w:rsid w:val="003B0F36"/>
    <w:rsid w:val="003B1242"/>
    <w:rsid w:val="003B1502"/>
    <w:rsid w:val="003B1DBF"/>
    <w:rsid w:val="003B23AD"/>
    <w:rsid w:val="003B2889"/>
    <w:rsid w:val="003B3252"/>
    <w:rsid w:val="003B45B9"/>
    <w:rsid w:val="003B483C"/>
    <w:rsid w:val="003B507B"/>
    <w:rsid w:val="003B5240"/>
    <w:rsid w:val="003B6105"/>
    <w:rsid w:val="003B6DF2"/>
    <w:rsid w:val="003C094C"/>
    <w:rsid w:val="003C0B65"/>
    <w:rsid w:val="003C0E8D"/>
    <w:rsid w:val="003C248E"/>
    <w:rsid w:val="003C281C"/>
    <w:rsid w:val="003C33DC"/>
    <w:rsid w:val="003C377F"/>
    <w:rsid w:val="003C40AD"/>
    <w:rsid w:val="003C443D"/>
    <w:rsid w:val="003C4DF4"/>
    <w:rsid w:val="003C53F2"/>
    <w:rsid w:val="003C5497"/>
    <w:rsid w:val="003C59DB"/>
    <w:rsid w:val="003C5B7B"/>
    <w:rsid w:val="003C6E5E"/>
    <w:rsid w:val="003C711D"/>
    <w:rsid w:val="003C77E9"/>
    <w:rsid w:val="003C7C13"/>
    <w:rsid w:val="003C7EF5"/>
    <w:rsid w:val="003D018C"/>
    <w:rsid w:val="003D03A8"/>
    <w:rsid w:val="003D097F"/>
    <w:rsid w:val="003D146E"/>
    <w:rsid w:val="003D1768"/>
    <w:rsid w:val="003D37ED"/>
    <w:rsid w:val="003D3834"/>
    <w:rsid w:val="003D3F59"/>
    <w:rsid w:val="003D4C34"/>
    <w:rsid w:val="003D5098"/>
    <w:rsid w:val="003D537B"/>
    <w:rsid w:val="003D5B19"/>
    <w:rsid w:val="003D5E7E"/>
    <w:rsid w:val="003D623A"/>
    <w:rsid w:val="003D65FF"/>
    <w:rsid w:val="003D7B9A"/>
    <w:rsid w:val="003E02B9"/>
    <w:rsid w:val="003E0A27"/>
    <w:rsid w:val="003E1E53"/>
    <w:rsid w:val="003E2784"/>
    <w:rsid w:val="003E2B23"/>
    <w:rsid w:val="003E2B40"/>
    <w:rsid w:val="003E2DA1"/>
    <w:rsid w:val="003E3E35"/>
    <w:rsid w:val="003E3EA0"/>
    <w:rsid w:val="003E3F27"/>
    <w:rsid w:val="003E475A"/>
    <w:rsid w:val="003E5E22"/>
    <w:rsid w:val="003E65EC"/>
    <w:rsid w:val="003E6A48"/>
    <w:rsid w:val="003E7706"/>
    <w:rsid w:val="003E7A4E"/>
    <w:rsid w:val="003E7F13"/>
    <w:rsid w:val="003F038C"/>
    <w:rsid w:val="003F1839"/>
    <w:rsid w:val="003F25BE"/>
    <w:rsid w:val="003F2EC9"/>
    <w:rsid w:val="003F33F5"/>
    <w:rsid w:val="003F33F7"/>
    <w:rsid w:val="003F3B48"/>
    <w:rsid w:val="003F722F"/>
    <w:rsid w:val="003F7778"/>
    <w:rsid w:val="003F7AED"/>
    <w:rsid w:val="00400E2D"/>
    <w:rsid w:val="00401290"/>
    <w:rsid w:val="004016B2"/>
    <w:rsid w:val="004022CF"/>
    <w:rsid w:val="00403D05"/>
    <w:rsid w:val="00406A4D"/>
    <w:rsid w:val="00406F93"/>
    <w:rsid w:val="00406FE5"/>
    <w:rsid w:val="004071B0"/>
    <w:rsid w:val="00407400"/>
    <w:rsid w:val="00407570"/>
    <w:rsid w:val="0041028E"/>
    <w:rsid w:val="004111E2"/>
    <w:rsid w:val="0041126B"/>
    <w:rsid w:val="00411AFE"/>
    <w:rsid w:val="004120BC"/>
    <w:rsid w:val="004127F3"/>
    <w:rsid w:val="00412E26"/>
    <w:rsid w:val="0041395D"/>
    <w:rsid w:val="00413B64"/>
    <w:rsid w:val="004155F2"/>
    <w:rsid w:val="004179CE"/>
    <w:rsid w:val="0042020C"/>
    <w:rsid w:val="00420E94"/>
    <w:rsid w:val="00421798"/>
    <w:rsid w:val="00421A85"/>
    <w:rsid w:val="00421E91"/>
    <w:rsid w:val="00422619"/>
    <w:rsid w:val="00423C20"/>
    <w:rsid w:val="004243C5"/>
    <w:rsid w:val="0042449D"/>
    <w:rsid w:val="004247E8"/>
    <w:rsid w:val="00424E2C"/>
    <w:rsid w:val="00425B89"/>
    <w:rsid w:val="00425E5C"/>
    <w:rsid w:val="00427864"/>
    <w:rsid w:val="004279E2"/>
    <w:rsid w:val="00427E6E"/>
    <w:rsid w:val="0043081C"/>
    <w:rsid w:val="0043101A"/>
    <w:rsid w:val="004310E6"/>
    <w:rsid w:val="004313BC"/>
    <w:rsid w:val="004318C1"/>
    <w:rsid w:val="00431DF5"/>
    <w:rsid w:val="00431E68"/>
    <w:rsid w:val="00432866"/>
    <w:rsid w:val="00432A68"/>
    <w:rsid w:val="00433445"/>
    <w:rsid w:val="004336DE"/>
    <w:rsid w:val="00434C7B"/>
    <w:rsid w:val="0043577D"/>
    <w:rsid w:val="00435834"/>
    <w:rsid w:val="004359AD"/>
    <w:rsid w:val="00435D15"/>
    <w:rsid w:val="004361BA"/>
    <w:rsid w:val="00436465"/>
    <w:rsid w:val="00436F28"/>
    <w:rsid w:val="0043736F"/>
    <w:rsid w:val="004374E0"/>
    <w:rsid w:val="00437EC9"/>
    <w:rsid w:val="004404C4"/>
    <w:rsid w:val="00440574"/>
    <w:rsid w:val="00441367"/>
    <w:rsid w:val="00441E6D"/>
    <w:rsid w:val="00442248"/>
    <w:rsid w:val="00443D70"/>
    <w:rsid w:val="0044445C"/>
    <w:rsid w:val="004446C5"/>
    <w:rsid w:val="00444D2E"/>
    <w:rsid w:val="00445108"/>
    <w:rsid w:val="00445AD9"/>
    <w:rsid w:val="00446041"/>
    <w:rsid w:val="00446869"/>
    <w:rsid w:val="004479C4"/>
    <w:rsid w:val="00447B27"/>
    <w:rsid w:val="00447D41"/>
    <w:rsid w:val="004503EC"/>
    <w:rsid w:val="004504F0"/>
    <w:rsid w:val="00450A1C"/>
    <w:rsid w:val="00450A8C"/>
    <w:rsid w:val="00450D2E"/>
    <w:rsid w:val="00450F13"/>
    <w:rsid w:val="00452F43"/>
    <w:rsid w:val="0045454F"/>
    <w:rsid w:val="00455F79"/>
    <w:rsid w:val="00456895"/>
    <w:rsid w:val="0045724E"/>
    <w:rsid w:val="00457FA3"/>
    <w:rsid w:val="00461489"/>
    <w:rsid w:val="00461C38"/>
    <w:rsid w:val="00462C73"/>
    <w:rsid w:val="00462C8D"/>
    <w:rsid w:val="004637EE"/>
    <w:rsid w:val="00463BAC"/>
    <w:rsid w:val="00463F8E"/>
    <w:rsid w:val="00464215"/>
    <w:rsid w:val="004642F6"/>
    <w:rsid w:val="004647FD"/>
    <w:rsid w:val="0046638F"/>
    <w:rsid w:val="004668C3"/>
    <w:rsid w:val="00466B25"/>
    <w:rsid w:val="0046748E"/>
    <w:rsid w:val="0046798E"/>
    <w:rsid w:val="00467A7D"/>
    <w:rsid w:val="00470034"/>
    <w:rsid w:val="004707B6"/>
    <w:rsid w:val="00470911"/>
    <w:rsid w:val="0047113B"/>
    <w:rsid w:val="004719BB"/>
    <w:rsid w:val="00471D04"/>
    <w:rsid w:val="0047252F"/>
    <w:rsid w:val="00472F61"/>
    <w:rsid w:val="00473070"/>
    <w:rsid w:val="0047446B"/>
    <w:rsid w:val="004747BD"/>
    <w:rsid w:val="0047484F"/>
    <w:rsid w:val="00475035"/>
    <w:rsid w:val="00475802"/>
    <w:rsid w:val="004762B1"/>
    <w:rsid w:val="0047702C"/>
    <w:rsid w:val="00477360"/>
    <w:rsid w:val="0047771E"/>
    <w:rsid w:val="004777BB"/>
    <w:rsid w:val="00480230"/>
    <w:rsid w:val="00480856"/>
    <w:rsid w:val="00481FD2"/>
    <w:rsid w:val="004822BF"/>
    <w:rsid w:val="00482EEA"/>
    <w:rsid w:val="0048388D"/>
    <w:rsid w:val="004851DB"/>
    <w:rsid w:val="00485AA9"/>
    <w:rsid w:val="00485D6E"/>
    <w:rsid w:val="00485ECB"/>
    <w:rsid w:val="004901E2"/>
    <w:rsid w:val="00490531"/>
    <w:rsid w:val="004914C3"/>
    <w:rsid w:val="0049169F"/>
    <w:rsid w:val="00491702"/>
    <w:rsid w:val="0049199A"/>
    <w:rsid w:val="00491DFC"/>
    <w:rsid w:val="0049216D"/>
    <w:rsid w:val="00493BDC"/>
    <w:rsid w:val="00494594"/>
    <w:rsid w:val="004948BF"/>
    <w:rsid w:val="0049601B"/>
    <w:rsid w:val="00497BDE"/>
    <w:rsid w:val="004A0F90"/>
    <w:rsid w:val="004A1C39"/>
    <w:rsid w:val="004A2434"/>
    <w:rsid w:val="004A275B"/>
    <w:rsid w:val="004A3B01"/>
    <w:rsid w:val="004A3C26"/>
    <w:rsid w:val="004A44E3"/>
    <w:rsid w:val="004A5A4C"/>
    <w:rsid w:val="004A5C78"/>
    <w:rsid w:val="004A6A18"/>
    <w:rsid w:val="004A71E1"/>
    <w:rsid w:val="004A7B2F"/>
    <w:rsid w:val="004B0E2F"/>
    <w:rsid w:val="004B2931"/>
    <w:rsid w:val="004B43F5"/>
    <w:rsid w:val="004B464B"/>
    <w:rsid w:val="004B4A79"/>
    <w:rsid w:val="004B5B20"/>
    <w:rsid w:val="004B5E8E"/>
    <w:rsid w:val="004B62D2"/>
    <w:rsid w:val="004B7653"/>
    <w:rsid w:val="004C097F"/>
    <w:rsid w:val="004C1466"/>
    <w:rsid w:val="004C146D"/>
    <w:rsid w:val="004C1B75"/>
    <w:rsid w:val="004C1C08"/>
    <w:rsid w:val="004C1DE8"/>
    <w:rsid w:val="004C25A7"/>
    <w:rsid w:val="004C2A32"/>
    <w:rsid w:val="004C2EC9"/>
    <w:rsid w:val="004C3B30"/>
    <w:rsid w:val="004C3D7D"/>
    <w:rsid w:val="004C42CC"/>
    <w:rsid w:val="004C4523"/>
    <w:rsid w:val="004C476B"/>
    <w:rsid w:val="004C4F3D"/>
    <w:rsid w:val="004C5105"/>
    <w:rsid w:val="004C5CA1"/>
    <w:rsid w:val="004C7751"/>
    <w:rsid w:val="004D09D5"/>
    <w:rsid w:val="004D201A"/>
    <w:rsid w:val="004D2309"/>
    <w:rsid w:val="004D2C8C"/>
    <w:rsid w:val="004D2E89"/>
    <w:rsid w:val="004D3519"/>
    <w:rsid w:val="004D364E"/>
    <w:rsid w:val="004D4BA0"/>
    <w:rsid w:val="004D5C5B"/>
    <w:rsid w:val="004D650A"/>
    <w:rsid w:val="004D6B71"/>
    <w:rsid w:val="004D6E0F"/>
    <w:rsid w:val="004D6E7C"/>
    <w:rsid w:val="004D737D"/>
    <w:rsid w:val="004E0381"/>
    <w:rsid w:val="004E1DCE"/>
    <w:rsid w:val="004E1F63"/>
    <w:rsid w:val="004E2019"/>
    <w:rsid w:val="004E23D9"/>
    <w:rsid w:val="004E4170"/>
    <w:rsid w:val="004E48EB"/>
    <w:rsid w:val="004E4B11"/>
    <w:rsid w:val="004E4D16"/>
    <w:rsid w:val="004E5414"/>
    <w:rsid w:val="004E5BF3"/>
    <w:rsid w:val="004E62E8"/>
    <w:rsid w:val="004E6FD1"/>
    <w:rsid w:val="004E72BE"/>
    <w:rsid w:val="004E7718"/>
    <w:rsid w:val="004E780F"/>
    <w:rsid w:val="004E79FF"/>
    <w:rsid w:val="004F101A"/>
    <w:rsid w:val="004F14B6"/>
    <w:rsid w:val="004F1C1A"/>
    <w:rsid w:val="004F26A1"/>
    <w:rsid w:val="004F375B"/>
    <w:rsid w:val="004F3A10"/>
    <w:rsid w:val="004F3F27"/>
    <w:rsid w:val="004F4CAC"/>
    <w:rsid w:val="004F59A3"/>
    <w:rsid w:val="004F5E0E"/>
    <w:rsid w:val="004F6228"/>
    <w:rsid w:val="004F7510"/>
    <w:rsid w:val="004F7953"/>
    <w:rsid w:val="004F795C"/>
    <w:rsid w:val="005006D1"/>
    <w:rsid w:val="0050113E"/>
    <w:rsid w:val="00501517"/>
    <w:rsid w:val="005016FC"/>
    <w:rsid w:val="00501DE7"/>
    <w:rsid w:val="00502D6B"/>
    <w:rsid w:val="00502E64"/>
    <w:rsid w:val="00502FF3"/>
    <w:rsid w:val="005032FB"/>
    <w:rsid w:val="00503C93"/>
    <w:rsid w:val="0050481D"/>
    <w:rsid w:val="0050488E"/>
    <w:rsid w:val="00504A8B"/>
    <w:rsid w:val="00504CD0"/>
    <w:rsid w:val="00505051"/>
    <w:rsid w:val="00505683"/>
    <w:rsid w:val="005060CE"/>
    <w:rsid w:val="005067D0"/>
    <w:rsid w:val="00506803"/>
    <w:rsid w:val="00506D39"/>
    <w:rsid w:val="00506E30"/>
    <w:rsid w:val="00506EEF"/>
    <w:rsid w:val="00507744"/>
    <w:rsid w:val="00507BC1"/>
    <w:rsid w:val="0051104A"/>
    <w:rsid w:val="00511753"/>
    <w:rsid w:val="0051198B"/>
    <w:rsid w:val="005129FD"/>
    <w:rsid w:val="00512B06"/>
    <w:rsid w:val="00512D05"/>
    <w:rsid w:val="00513838"/>
    <w:rsid w:val="0051488E"/>
    <w:rsid w:val="005149FE"/>
    <w:rsid w:val="00515AEF"/>
    <w:rsid w:val="005165AA"/>
    <w:rsid w:val="005169F5"/>
    <w:rsid w:val="00516A46"/>
    <w:rsid w:val="00516C06"/>
    <w:rsid w:val="005171F8"/>
    <w:rsid w:val="00517859"/>
    <w:rsid w:val="00517A51"/>
    <w:rsid w:val="00517C14"/>
    <w:rsid w:val="00517ECB"/>
    <w:rsid w:val="00520C7E"/>
    <w:rsid w:val="00521584"/>
    <w:rsid w:val="005219F5"/>
    <w:rsid w:val="00522268"/>
    <w:rsid w:val="005228CC"/>
    <w:rsid w:val="00522E4B"/>
    <w:rsid w:val="005230DB"/>
    <w:rsid w:val="00523876"/>
    <w:rsid w:val="00524D76"/>
    <w:rsid w:val="00525475"/>
    <w:rsid w:val="00525ADE"/>
    <w:rsid w:val="00525BF4"/>
    <w:rsid w:val="00526A97"/>
    <w:rsid w:val="00527C1D"/>
    <w:rsid w:val="005309EE"/>
    <w:rsid w:val="00530FFE"/>
    <w:rsid w:val="00531193"/>
    <w:rsid w:val="005316B5"/>
    <w:rsid w:val="0053170F"/>
    <w:rsid w:val="005319A3"/>
    <w:rsid w:val="005319FC"/>
    <w:rsid w:val="00531BCB"/>
    <w:rsid w:val="005338A1"/>
    <w:rsid w:val="00534C7D"/>
    <w:rsid w:val="005354BE"/>
    <w:rsid w:val="00535772"/>
    <w:rsid w:val="0053630E"/>
    <w:rsid w:val="0053665B"/>
    <w:rsid w:val="00536E60"/>
    <w:rsid w:val="00537490"/>
    <w:rsid w:val="005375F9"/>
    <w:rsid w:val="00537F8B"/>
    <w:rsid w:val="00540096"/>
    <w:rsid w:val="00540514"/>
    <w:rsid w:val="005414E0"/>
    <w:rsid w:val="00542144"/>
    <w:rsid w:val="00543613"/>
    <w:rsid w:val="00544F0E"/>
    <w:rsid w:val="00545EDD"/>
    <w:rsid w:val="00545F04"/>
    <w:rsid w:val="00546A83"/>
    <w:rsid w:val="00546D65"/>
    <w:rsid w:val="00547029"/>
    <w:rsid w:val="005475F0"/>
    <w:rsid w:val="00547A9E"/>
    <w:rsid w:val="005511E9"/>
    <w:rsid w:val="0055161B"/>
    <w:rsid w:val="0055217B"/>
    <w:rsid w:val="00555453"/>
    <w:rsid w:val="00555633"/>
    <w:rsid w:val="005558D2"/>
    <w:rsid w:val="005571C4"/>
    <w:rsid w:val="00557845"/>
    <w:rsid w:val="00557CC5"/>
    <w:rsid w:val="0056002C"/>
    <w:rsid w:val="00560067"/>
    <w:rsid w:val="005606A8"/>
    <w:rsid w:val="00560E76"/>
    <w:rsid w:val="00561645"/>
    <w:rsid w:val="00561D3B"/>
    <w:rsid w:val="00562B11"/>
    <w:rsid w:val="00562F38"/>
    <w:rsid w:val="005630FD"/>
    <w:rsid w:val="00563537"/>
    <w:rsid w:val="0056371A"/>
    <w:rsid w:val="00564B46"/>
    <w:rsid w:val="005674AF"/>
    <w:rsid w:val="0057004B"/>
    <w:rsid w:val="0057019F"/>
    <w:rsid w:val="00570229"/>
    <w:rsid w:val="00570684"/>
    <w:rsid w:val="00570D62"/>
    <w:rsid w:val="00571B78"/>
    <w:rsid w:val="00571E82"/>
    <w:rsid w:val="00571EB3"/>
    <w:rsid w:val="00572354"/>
    <w:rsid w:val="0057287F"/>
    <w:rsid w:val="0057317F"/>
    <w:rsid w:val="00573189"/>
    <w:rsid w:val="00573207"/>
    <w:rsid w:val="00573539"/>
    <w:rsid w:val="00573BF9"/>
    <w:rsid w:val="00573E96"/>
    <w:rsid w:val="00574726"/>
    <w:rsid w:val="005748CE"/>
    <w:rsid w:val="00576195"/>
    <w:rsid w:val="0057767E"/>
    <w:rsid w:val="00577CF5"/>
    <w:rsid w:val="00577D16"/>
    <w:rsid w:val="00581063"/>
    <w:rsid w:val="0058117B"/>
    <w:rsid w:val="00582075"/>
    <w:rsid w:val="005827E4"/>
    <w:rsid w:val="0058302F"/>
    <w:rsid w:val="0058334D"/>
    <w:rsid w:val="00583BA9"/>
    <w:rsid w:val="00584D1C"/>
    <w:rsid w:val="005854AF"/>
    <w:rsid w:val="005878F5"/>
    <w:rsid w:val="00590BBA"/>
    <w:rsid w:val="00591373"/>
    <w:rsid w:val="00592D62"/>
    <w:rsid w:val="00592EB5"/>
    <w:rsid w:val="00593776"/>
    <w:rsid w:val="0059438E"/>
    <w:rsid w:val="005944CC"/>
    <w:rsid w:val="005944CD"/>
    <w:rsid w:val="0059494E"/>
    <w:rsid w:val="00594B94"/>
    <w:rsid w:val="00595429"/>
    <w:rsid w:val="005954F9"/>
    <w:rsid w:val="00596844"/>
    <w:rsid w:val="00596896"/>
    <w:rsid w:val="00596A33"/>
    <w:rsid w:val="00596A6B"/>
    <w:rsid w:val="00596EBB"/>
    <w:rsid w:val="0059719C"/>
    <w:rsid w:val="005972FC"/>
    <w:rsid w:val="0059734A"/>
    <w:rsid w:val="005974F6"/>
    <w:rsid w:val="00597A5B"/>
    <w:rsid w:val="005A177F"/>
    <w:rsid w:val="005A192A"/>
    <w:rsid w:val="005A2751"/>
    <w:rsid w:val="005A2C72"/>
    <w:rsid w:val="005A2D6B"/>
    <w:rsid w:val="005A46FD"/>
    <w:rsid w:val="005A5952"/>
    <w:rsid w:val="005A5A89"/>
    <w:rsid w:val="005A6E86"/>
    <w:rsid w:val="005A6EA6"/>
    <w:rsid w:val="005A7058"/>
    <w:rsid w:val="005A7777"/>
    <w:rsid w:val="005A7D74"/>
    <w:rsid w:val="005B0165"/>
    <w:rsid w:val="005B04B0"/>
    <w:rsid w:val="005B073F"/>
    <w:rsid w:val="005B0A4D"/>
    <w:rsid w:val="005B106C"/>
    <w:rsid w:val="005B1290"/>
    <w:rsid w:val="005B13CB"/>
    <w:rsid w:val="005B1DB2"/>
    <w:rsid w:val="005B2933"/>
    <w:rsid w:val="005B2E01"/>
    <w:rsid w:val="005B31F2"/>
    <w:rsid w:val="005B36F9"/>
    <w:rsid w:val="005B3B5A"/>
    <w:rsid w:val="005B43CA"/>
    <w:rsid w:val="005B52AF"/>
    <w:rsid w:val="005B63BF"/>
    <w:rsid w:val="005B6583"/>
    <w:rsid w:val="005B68FE"/>
    <w:rsid w:val="005B6A99"/>
    <w:rsid w:val="005B6BCC"/>
    <w:rsid w:val="005B7A6E"/>
    <w:rsid w:val="005C02A3"/>
    <w:rsid w:val="005C05D9"/>
    <w:rsid w:val="005C2756"/>
    <w:rsid w:val="005C2836"/>
    <w:rsid w:val="005C5743"/>
    <w:rsid w:val="005C599F"/>
    <w:rsid w:val="005C5EAC"/>
    <w:rsid w:val="005C6C2E"/>
    <w:rsid w:val="005D05A0"/>
    <w:rsid w:val="005D182A"/>
    <w:rsid w:val="005D3461"/>
    <w:rsid w:val="005D37CF"/>
    <w:rsid w:val="005D3AA7"/>
    <w:rsid w:val="005D4C89"/>
    <w:rsid w:val="005D4F47"/>
    <w:rsid w:val="005D4F5F"/>
    <w:rsid w:val="005D522F"/>
    <w:rsid w:val="005D59AA"/>
    <w:rsid w:val="005D5FFF"/>
    <w:rsid w:val="005D6B52"/>
    <w:rsid w:val="005D6CF4"/>
    <w:rsid w:val="005D7635"/>
    <w:rsid w:val="005E00BE"/>
    <w:rsid w:val="005E0A3B"/>
    <w:rsid w:val="005E1B95"/>
    <w:rsid w:val="005E2265"/>
    <w:rsid w:val="005E2397"/>
    <w:rsid w:val="005E270A"/>
    <w:rsid w:val="005E2886"/>
    <w:rsid w:val="005E3149"/>
    <w:rsid w:val="005E3307"/>
    <w:rsid w:val="005E4CF0"/>
    <w:rsid w:val="005E4DFD"/>
    <w:rsid w:val="005E5096"/>
    <w:rsid w:val="005E548C"/>
    <w:rsid w:val="005E699D"/>
    <w:rsid w:val="005E7BA4"/>
    <w:rsid w:val="005E7C77"/>
    <w:rsid w:val="005F06C4"/>
    <w:rsid w:val="005F08EC"/>
    <w:rsid w:val="005F0A7C"/>
    <w:rsid w:val="005F0C4C"/>
    <w:rsid w:val="005F0C5E"/>
    <w:rsid w:val="005F0DD5"/>
    <w:rsid w:val="005F1149"/>
    <w:rsid w:val="005F18B6"/>
    <w:rsid w:val="005F1C04"/>
    <w:rsid w:val="005F1C2D"/>
    <w:rsid w:val="005F1EE1"/>
    <w:rsid w:val="005F1FE6"/>
    <w:rsid w:val="005F2677"/>
    <w:rsid w:val="005F277E"/>
    <w:rsid w:val="005F2BE5"/>
    <w:rsid w:val="005F52E8"/>
    <w:rsid w:val="005F53F2"/>
    <w:rsid w:val="005F5E97"/>
    <w:rsid w:val="005F5EAE"/>
    <w:rsid w:val="005F60CA"/>
    <w:rsid w:val="005F6475"/>
    <w:rsid w:val="005F72CD"/>
    <w:rsid w:val="005F752E"/>
    <w:rsid w:val="006011A8"/>
    <w:rsid w:val="00601F6E"/>
    <w:rsid w:val="00602C8B"/>
    <w:rsid w:val="0060342D"/>
    <w:rsid w:val="006035B5"/>
    <w:rsid w:val="00605199"/>
    <w:rsid w:val="006058A2"/>
    <w:rsid w:val="00606781"/>
    <w:rsid w:val="006067C6"/>
    <w:rsid w:val="00606AC9"/>
    <w:rsid w:val="006070DC"/>
    <w:rsid w:val="00607627"/>
    <w:rsid w:val="00610A54"/>
    <w:rsid w:val="00610EE4"/>
    <w:rsid w:val="00611463"/>
    <w:rsid w:val="00611834"/>
    <w:rsid w:val="00612475"/>
    <w:rsid w:val="0061266C"/>
    <w:rsid w:val="00612B48"/>
    <w:rsid w:val="006134B9"/>
    <w:rsid w:val="00613702"/>
    <w:rsid w:val="006138E3"/>
    <w:rsid w:val="00613F6F"/>
    <w:rsid w:val="006159BA"/>
    <w:rsid w:val="00616D1C"/>
    <w:rsid w:val="00616FD4"/>
    <w:rsid w:val="00617CF0"/>
    <w:rsid w:val="00620FA3"/>
    <w:rsid w:val="006210CB"/>
    <w:rsid w:val="006213C9"/>
    <w:rsid w:val="00621DAD"/>
    <w:rsid w:val="0062342F"/>
    <w:rsid w:val="00623436"/>
    <w:rsid w:val="00623966"/>
    <w:rsid w:val="00624C7F"/>
    <w:rsid w:val="00624CAC"/>
    <w:rsid w:val="0062564D"/>
    <w:rsid w:val="006256E1"/>
    <w:rsid w:val="006269C5"/>
    <w:rsid w:val="00626BEC"/>
    <w:rsid w:val="00626E4C"/>
    <w:rsid w:val="0062736F"/>
    <w:rsid w:val="00630B6C"/>
    <w:rsid w:val="006316B5"/>
    <w:rsid w:val="00631996"/>
    <w:rsid w:val="00631A83"/>
    <w:rsid w:val="00632187"/>
    <w:rsid w:val="00632302"/>
    <w:rsid w:val="00632391"/>
    <w:rsid w:val="00632BA4"/>
    <w:rsid w:val="00633992"/>
    <w:rsid w:val="0063408D"/>
    <w:rsid w:val="0063492F"/>
    <w:rsid w:val="00634EA3"/>
    <w:rsid w:val="006357F0"/>
    <w:rsid w:val="006360D1"/>
    <w:rsid w:val="006362BE"/>
    <w:rsid w:val="00636BDB"/>
    <w:rsid w:val="00637376"/>
    <w:rsid w:val="00637B02"/>
    <w:rsid w:val="00640AE0"/>
    <w:rsid w:val="00640F86"/>
    <w:rsid w:val="006411FF"/>
    <w:rsid w:val="00643D4C"/>
    <w:rsid w:val="00644ACB"/>
    <w:rsid w:val="00645027"/>
    <w:rsid w:val="00645967"/>
    <w:rsid w:val="00645BD6"/>
    <w:rsid w:val="00647787"/>
    <w:rsid w:val="00650C19"/>
    <w:rsid w:val="00651228"/>
    <w:rsid w:val="0065160C"/>
    <w:rsid w:val="0065178E"/>
    <w:rsid w:val="006523D5"/>
    <w:rsid w:val="006528C0"/>
    <w:rsid w:val="00652C4A"/>
    <w:rsid w:val="00655D5D"/>
    <w:rsid w:val="00656163"/>
    <w:rsid w:val="0065684B"/>
    <w:rsid w:val="006569E8"/>
    <w:rsid w:val="006570FD"/>
    <w:rsid w:val="00657823"/>
    <w:rsid w:val="00657C66"/>
    <w:rsid w:val="006604F8"/>
    <w:rsid w:val="00660B1E"/>
    <w:rsid w:val="00661F27"/>
    <w:rsid w:val="00662510"/>
    <w:rsid w:val="00662685"/>
    <w:rsid w:val="006632AA"/>
    <w:rsid w:val="006637C2"/>
    <w:rsid w:val="00663CA5"/>
    <w:rsid w:val="00663EC5"/>
    <w:rsid w:val="0066472C"/>
    <w:rsid w:val="00664E48"/>
    <w:rsid w:val="0066505F"/>
    <w:rsid w:val="00665559"/>
    <w:rsid w:val="006655BC"/>
    <w:rsid w:val="00666D10"/>
    <w:rsid w:val="0066765F"/>
    <w:rsid w:val="00667696"/>
    <w:rsid w:val="0066783D"/>
    <w:rsid w:val="00667961"/>
    <w:rsid w:val="00667EE4"/>
    <w:rsid w:val="006708B5"/>
    <w:rsid w:val="00671729"/>
    <w:rsid w:val="00671A4E"/>
    <w:rsid w:val="00672CCB"/>
    <w:rsid w:val="00673D8A"/>
    <w:rsid w:val="006740BE"/>
    <w:rsid w:val="00676A82"/>
    <w:rsid w:val="00677684"/>
    <w:rsid w:val="006805A0"/>
    <w:rsid w:val="006805CE"/>
    <w:rsid w:val="0068080F"/>
    <w:rsid w:val="00680840"/>
    <w:rsid w:val="00680A0E"/>
    <w:rsid w:val="00680D6D"/>
    <w:rsid w:val="00681E8E"/>
    <w:rsid w:val="00682271"/>
    <w:rsid w:val="006829D8"/>
    <w:rsid w:val="00682F1F"/>
    <w:rsid w:val="006835CC"/>
    <w:rsid w:val="006835F3"/>
    <w:rsid w:val="00683790"/>
    <w:rsid w:val="00683D33"/>
    <w:rsid w:val="00684E0D"/>
    <w:rsid w:val="00684E28"/>
    <w:rsid w:val="00684E70"/>
    <w:rsid w:val="006871C0"/>
    <w:rsid w:val="006871F3"/>
    <w:rsid w:val="00687809"/>
    <w:rsid w:val="00687CB2"/>
    <w:rsid w:val="00690000"/>
    <w:rsid w:val="006901B0"/>
    <w:rsid w:val="00690BCB"/>
    <w:rsid w:val="00690BFC"/>
    <w:rsid w:val="00690EC8"/>
    <w:rsid w:val="00690F95"/>
    <w:rsid w:val="00691458"/>
    <w:rsid w:val="006923AC"/>
    <w:rsid w:val="00693B2B"/>
    <w:rsid w:val="00693DAC"/>
    <w:rsid w:val="00693FBC"/>
    <w:rsid w:val="006942B9"/>
    <w:rsid w:val="006949EC"/>
    <w:rsid w:val="00695031"/>
    <w:rsid w:val="006953DF"/>
    <w:rsid w:val="00696093"/>
    <w:rsid w:val="006965A6"/>
    <w:rsid w:val="00696BFE"/>
    <w:rsid w:val="006972C7"/>
    <w:rsid w:val="006A0210"/>
    <w:rsid w:val="006A0BD2"/>
    <w:rsid w:val="006A185C"/>
    <w:rsid w:val="006A272E"/>
    <w:rsid w:val="006A287A"/>
    <w:rsid w:val="006A2AEA"/>
    <w:rsid w:val="006A36FE"/>
    <w:rsid w:val="006A4541"/>
    <w:rsid w:val="006A47F3"/>
    <w:rsid w:val="006A5888"/>
    <w:rsid w:val="006A6057"/>
    <w:rsid w:val="006A6772"/>
    <w:rsid w:val="006A69AF"/>
    <w:rsid w:val="006A6C3D"/>
    <w:rsid w:val="006A7129"/>
    <w:rsid w:val="006A7289"/>
    <w:rsid w:val="006A7F75"/>
    <w:rsid w:val="006B073A"/>
    <w:rsid w:val="006B0A74"/>
    <w:rsid w:val="006B164E"/>
    <w:rsid w:val="006B180C"/>
    <w:rsid w:val="006B2503"/>
    <w:rsid w:val="006B276F"/>
    <w:rsid w:val="006B2998"/>
    <w:rsid w:val="006B36F0"/>
    <w:rsid w:val="006B4419"/>
    <w:rsid w:val="006B467B"/>
    <w:rsid w:val="006B50E4"/>
    <w:rsid w:val="006B5459"/>
    <w:rsid w:val="006B605F"/>
    <w:rsid w:val="006B68FF"/>
    <w:rsid w:val="006B7E44"/>
    <w:rsid w:val="006C1075"/>
    <w:rsid w:val="006C2914"/>
    <w:rsid w:val="006C2A6D"/>
    <w:rsid w:val="006C2D24"/>
    <w:rsid w:val="006C325B"/>
    <w:rsid w:val="006C3B2D"/>
    <w:rsid w:val="006C3D15"/>
    <w:rsid w:val="006C4BB2"/>
    <w:rsid w:val="006C5F85"/>
    <w:rsid w:val="006C607D"/>
    <w:rsid w:val="006C6ADE"/>
    <w:rsid w:val="006C6B14"/>
    <w:rsid w:val="006C6D2B"/>
    <w:rsid w:val="006C6E1A"/>
    <w:rsid w:val="006C73BC"/>
    <w:rsid w:val="006D0B32"/>
    <w:rsid w:val="006D1071"/>
    <w:rsid w:val="006D1777"/>
    <w:rsid w:val="006D19A6"/>
    <w:rsid w:val="006D1EF2"/>
    <w:rsid w:val="006D2545"/>
    <w:rsid w:val="006D2949"/>
    <w:rsid w:val="006D296C"/>
    <w:rsid w:val="006D2D5D"/>
    <w:rsid w:val="006D2E59"/>
    <w:rsid w:val="006D3CC5"/>
    <w:rsid w:val="006D4016"/>
    <w:rsid w:val="006D45FA"/>
    <w:rsid w:val="006D4648"/>
    <w:rsid w:val="006D4C90"/>
    <w:rsid w:val="006D5141"/>
    <w:rsid w:val="006D5B1C"/>
    <w:rsid w:val="006D6F4A"/>
    <w:rsid w:val="006E047C"/>
    <w:rsid w:val="006E0745"/>
    <w:rsid w:val="006E08C2"/>
    <w:rsid w:val="006E08DB"/>
    <w:rsid w:val="006E0BD5"/>
    <w:rsid w:val="006E1899"/>
    <w:rsid w:val="006E1BC6"/>
    <w:rsid w:val="006E1F5E"/>
    <w:rsid w:val="006E2999"/>
    <w:rsid w:val="006E2AD5"/>
    <w:rsid w:val="006E31E6"/>
    <w:rsid w:val="006E3510"/>
    <w:rsid w:val="006E3694"/>
    <w:rsid w:val="006E3B2B"/>
    <w:rsid w:val="006E3DB3"/>
    <w:rsid w:val="006E4415"/>
    <w:rsid w:val="006E6F12"/>
    <w:rsid w:val="006E700C"/>
    <w:rsid w:val="006E7B69"/>
    <w:rsid w:val="006E7C28"/>
    <w:rsid w:val="006F0B38"/>
    <w:rsid w:val="006F0C0C"/>
    <w:rsid w:val="006F0E4C"/>
    <w:rsid w:val="006F1704"/>
    <w:rsid w:val="006F23F7"/>
    <w:rsid w:val="006F36F8"/>
    <w:rsid w:val="006F4191"/>
    <w:rsid w:val="006F45C1"/>
    <w:rsid w:val="006F48B9"/>
    <w:rsid w:val="006F55C2"/>
    <w:rsid w:val="006F5B62"/>
    <w:rsid w:val="007017ED"/>
    <w:rsid w:val="00701AD4"/>
    <w:rsid w:val="00701DF5"/>
    <w:rsid w:val="007020BC"/>
    <w:rsid w:val="007022F4"/>
    <w:rsid w:val="00702643"/>
    <w:rsid w:val="00702A57"/>
    <w:rsid w:val="00703978"/>
    <w:rsid w:val="00703CC9"/>
    <w:rsid w:val="00704692"/>
    <w:rsid w:val="007054A7"/>
    <w:rsid w:val="007055AA"/>
    <w:rsid w:val="007055E6"/>
    <w:rsid w:val="00705B6A"/>
    <w:rsid w:val="00705CAB"/>
    <w:rsid w:val="00705F14"/>
    <w:rsid w:val="0070615A"/>
    <w:rsid w:val="0070645E"/>
    <w:rsid w:val="00706F5F"/>
    <w:rsid w:val="00707FFC"/>
    <w:rsid w:val="00710042"/>
    <w:rsid w:val="00710D1B"/>
    <w:rsid w:val="00711BA1"/>
    <w:rsid w:val="007120F1"/>
    <w:rsid w:val="00712E6F"/>
    <w:rsid w:val="00714313"/>
    <w:rsid w:val="00715029"/>
    <w:rsid w:val="007157BB"/>
    <w:rsid w:val="00716202"/>
    <w:rsid w:val="00716BE4"/>
    <w:rsid w:val="00716C88"/>
    <w:rsid w:val="00717746"/>
    <w:rsid w:val="00717FB6"/>
    <w:rsid w:val="00720996"/>
    <w:rsid w:val="007211D1"/>
    <w:rsid w:val="00721882"/>
    <w:rsid w:val="00722CF4"/>
    <w:rsid w:val="00722FF1"/>
    <w:rsid w:val="0072311A"/>
    <w:rsid w:val="00723395"/>
    <w:rsid w:val="007242FC"/>
    <w:rsid w:val="007243B1"/>
    <w:rsid w:val="0072491D"/>
    <w:rsid w:val="0072589C"/>
    <w:rsid w:val="007263D5"/>
    <w:rsid w:val="00727A84"/>
    <w:rsid w:val="00727B4B"/>
    <w:rsid w:val="00727C72"/>
    <w:rsid w:val="00730392"/>
    <w:rsid w:val="007306E7"/>
    <w:rsid w:val="00730AEC"/>
    <w:rsid w:val="00731A50"/>
    <w:rsid w:val="007323ED"/>
    <w:rsid w:val="0073254C"/>
    <w:rsid w:val="00733016"/>
    <w:rsid w:val="00734274"/>
    <w:rsid w:val="007343D0"/>
    <w:rsid w:val="00734AD3"/>
    <w:rsid w:val="00734E84"/>
    <w:rsid w:val="0073605E"/>
    <w:rsid w:val="00736387"/>
    <w:rsid w:val="00737CD2"/>
    <w:rsid w:val="0074025F"/>
    <w:rsid w:val="00742A93"/>
    <w:rsid w:val="0074392F"/>
    <w:rsid w:val="00743E92"/>
    <w:rsid w:val="00744EAF"/>
    <w:rsid w:val="0074574A"/>
    <w:rsid w:val="00746023"/>
    <w:rsid w:val="0074618E"/>
    <w:rsid w:val="00746969"/>
    <w:rsid w:val="00747109"/>
    <w:rsid w:val="00747662"/>
    <w:rsid w:val="00747968"/>
    <w:rsid w:val="00747B69"/>
    <w:rsid w:val="00751169"/>
    <w:rsid w:val="00751894"/>
    <w:rsid w:val="0075190F"/>
    <w:rsid w:val="007521BD"/>
    <w:rsid w:val="00752E98"/>
    <w:rsid w:val="00755E7C"/>
    <w:rsid w:val="0075679F"/>
    <w:rsid w:val="00756E78"/>
    <w:rsid w:val="00757243"/>
    <w:rsid w:val="0075757E"/>
    <w:rsid w:val="00757C80"/>
    <w:rsid w:val="007607C3"/>
    <w:rsid w:val="00760856"/>
    <w:rsid w:val="00760DAE"/>
    <w:rsid w:val="00761676"/>
    <w:rsid w:val="00761B67"/>
    <w:rsid w:val="00761DF9"/>
    <w:rsid w:val="00761F4C"/>
    <w:rsid w:val="00761FD8"/>
    <w:rsid w:val="00762520"/>
    <w:rsid w:val="00762F27"/>
    <w:rsid w:val="007634DD"/>
    <w:rsid w:val="00764685"/>
    <w:rsid w:val="00765592"/>
    <w:rsid w:val="00765DAB"/>
    <w:rsid w:val="00766D5F"/>
    <w:rsid w:val="00767038"/>
    <w:rsid w:val="007676C8"/>
    <w:rsid w:val="0076784C"/>
    <w:rsid w:val="00770EDF"/>
    <w:rsid w:val="0077118C"/>
    <w:rsid w:val="00771463"/>
    <w:rsid w:val="0077147A"/>
    <w:rsid w:val="00771660"/>
    <w:rsid w:val="00772D3F"/>
    <w:rsid w:val="00773CAD"/>
    <w:rsid w:val="0077459D"/>
    <w:rsid w:val="007745F9"/>
    <w:rsid w:val="00774600"/>
    <w:rsid w:val="00774856"/>
    <w:rsid w:val="00774868"/>
    <w:rsid w:val="00775313"/>
    <w:rsid w:val="00775EE4"/>
    <w:rsid w:val="00776327"/>
    <w:rsid w:val="007763EE"/>
    <w:rsid w:val="00776B7D"/>
    <w:rsid w:val="00776EC6"/>
    <w:rsid w:val="0077761E"/>
    <w:rsid w:val="007779ED"/>
    <w:rsid w:val="00777B7F"/>
    <w:rsid w:val="00780313"/>
    <w:rsid w:val="007809FB"/>
    <w:rsid w:val="00780C7D"/>
    <w:rsid w:val="00781B34"/>
    <w:rsid w:val="00781D25"/>
    <w:rsid w:val="0078262E"/>
    <w:rsid w:val="00782EAB"/>
    <w:rsid w:val="0078369C"/>
    <w:rsid w:val="007838A9"/>
    <w:rsid w:val="00783AAC"/>
    <w:rsid w:val="00784107"/>
    <w:rsid w:val="00784337"/>
    <w:rsid w:val="00784549"/>
    <w:rsid w:val="0078460A"/>
    <w:rsid w:val="00784D6A"/>
    <w:rsid w:val="007860A0"/>
    <w:rsid w:val="00787E7B"/>
    <w:rsid w:val="007912DB"/>
    <w:rsid w:val="007919A7"/>
    <w:rsid w:val="00791A19"/>
    <w:rsid w:val="00791BF8"/>
    <w:rsid w:val="00791E0A"/>
    <w:rsid w:val="00794113"/>
    <w:rsid w:val="00794879"/>
    <w:rsid w:val="00794A82"/>
    <w:rsid w:val="0079644E"/>
    <w:rsid w:val="0079756F"/>
    <w:rsid w:val="00797C6E"/>
    <w:rsid w:val="007A0114"/>
    <w:rsid w:val="007A1315"/>
    <w:rsid w:val="007A1C5D"/>
    <w:rsid w:val="007A298B"/>
    <w:rsid w:val="007A2C9E"/>
    <w:rsid w:val="007A4A94"/>
    <w:rsid w:val="007A4BC8"/>
    <w:rsid w:val="007A4D02"/>
    <w:rsid w:val="007A4EEE"/>
    <w:rsid w:val="007A52B3"/>
    <w:rsid w:val="007A5F14"/>
    <w:rsid w:val="007A63B4"/>
    <w:rsid w:val="007A653F"/>
    <w:rsid w:val="007A7625"/>
    <w:rsid w:val="007A7650"/>
    <w:rsid w:val="007A799F"/>
    <w:rsid w:val="007B05BB"/>
    <w:rsid w:val="007B0827"/>
    <w:rsid w:val="007B14C3"/>
    <w:rsid w:val="007B253C"/>
    <w:rsid w:val="007B2612"/>
    <w:rsid w:val="007B2C4C"/>
    <w:rsid w:val="007B3C4F"/>
    <w:rsid w:val="007B48E4"/>
    <w:rsid w:val="007B4A92"/>
    <w:rsid w:val="007B6964"/>
    <w:rsid w:val="007B6AE3"/>
    <w:rsid w:val="007B7A11"/>
    <w:rsid w:val="007C2A37"/>
    <w:rsid w:val="007C31F2"/>
    <w:rsid w:val="007C3C1A"/>
    <w:rsid w:val="007C513A"/>
    <w:rsid w:val="007C52E7"/>
    <w:rsid w:val="007C5493"/>
    <w:rsid w:val="007C7ED0"/>
    <w:rsid w:val="007C7FA5"/>
    <w:rsid w:val="007D03DF"/>
    <w:rsid w:val="007D0457"/>
    <w:rsid w:val="007D14D1"/>
    <w:rsid w:val="007D188D"/>
    <w:rsid w:val="007D1BE2"/>
    <w:rsid w:val="007D294D"/>
    <w:rsid w:val="007D4519"/>
    <w:rsid w:val="007D493B"/>
    <w:rsid w:val="007D5615"/>
    <w:rsid w:val="007D5CB5"/>
    <w:rsid w:val="007D5E79"/>
    <w:rsid w:val="007D6540"/>
    <w:rsid w:val="007D65F2"/>
    <w:rsid w:val="007D7673"/>
    <w:rsid w:val="007D76B8"/>
    <w:rsid w:val="007D7EDC"/>
    <w:rsid w:val="007E0F62"/>
    <w:rsid w:val="007E0F63"/>
    <w:rsid w:val="007E12DC"/>
    <w:rsid w:val="007E2A9B"/>
    <w:rsid w:val="007E2DCA"/>
    <w:rsid w:val="007E2DDB"/>
    <w:rsid w:val="007E450F"/>
    <w:rsid w:val="007E4CBE"/>
    <w:rsid w:val="007E4E6F"/>
    <w:rsid w:val="007E5035"/>
    <w:rsid w:val="007E6251"/>
    <w:rsid w:val="007E6CD2"/>
    <w:rsid w:val="007E6F8D"/>
    <w:rsid w:val="007E7709"/>
    <w:rsid w:val="007E7BB7"/>
    <w:rsid w:val="007F01CD"/>
    <w:rsid w:val="007F03F7"/>
    <w:rsid w:val="007F04F3"/>
    <w:rsid w:val="007F08F1"/>
    <w:rsid w:val="007F16AB"/>
    <w:rsid w:val="007F17F5"/>
    <w:rsid w:val="007F2095"/>
    <w:rsid w:val="007F2249"/>
    <w:rsid w:val="007F36CB"/>
    <w:rsid w:val="007F37E1"/>
    <w:rsid w:val="007F3AA3"/>
    <w:rsid w:val="007F4152"/>
    <w:rsid w:val="007F50B7"/>
    <w:rsid w:val="007F548D"/>
    <w:rsid w:val="007F5AC2"/>
    <w:rsid w:val="007F5C93"/>
    <w:rsid w:val="007F5D21"/>
    <w:rsid w:val="007F6732"/>
    <w:rsid w:val="007F6AFC"/>
    <w:rsid w:val="007F6D18"/>
    <w:rsid w:val="007F76F1"/>
    <w:rsid w:val="007F7EC7"/>
    <w:rsid w:val="008006E3"/>
    <w:rsid w:val="00800AF8"/>
    <w:rsid w:val="00801CFE"/>
    <w:rsid w:val="00801D77"/>
    <w:rsid w:val="00801DDA"/>
    <w:rsid w:val="00803AC8"/>
    <w:rsid w:val="00803EE7"/>
    <w:rsid w:val="00804383"/>
    <w:rsid w:val="0080489A"/>
    <w:rsid w:val="008064BB"/>
    <w:rsid w:val="0080676F"/>
    <w:rsid w:val="00806776"/>
    <w:rsid w:val="00806D63"/>
    <w:rsid w:val="00807265"/>
    <w:rsid w:val="00807607"/>
    <w:rsid w:val="00807E45"/>
    <w:rsid w:val="0081051F"/>
    <w:rsid w:val="00810B28"/>
    <w:rsid w:val="00811154"/>
    <w:rsid w:val="0081136E"/>
    <w:rsid w:val="008116C2"/>
    <w:rsid w:val="00812DB6"/>
    <w:rsid w:val="00812E54"/>
    <w:rsid w:val="00813E37"/>
    <w:rsid w:val="00814A2D"/>
    <w:rsid w:val="00814EA8"/>
    <w:rsid w:val="00815302"/>
    <w:rsid w:val="00816183"/>
    <w:rsid w:val="00816ABF"/>
    <w:rsid w:val="00816DB8"/>
    <w:rsid w:val="00821097"/>
    <w:rsid w:val="0082131F"/>
    <w:rsid w:val="008222C9"/>
    <w:rsid w:val="008226B6"/>
    <w:rsid w:val="0082270C"/>
    <w:rsid w:val="008230E5"/>
    <w:rsid w:val="0082363E"/>
    <w:rsid w:val="008236E0"/>
    <w:rsid w:val="0082397A"/>
    <w:rsid w:val="00823AF2"/>
    <w:rsid w:val="00823D72"/>
    <w:rsid w:val="00823FBE"/>
    <w:rsid w:val="00825165"/>
    <w:rsid w:val="00825233"/>
    <w:rsid w:val="008261CD"/>
    <w:rsid w:val="008275E4"/>
    <w:rsid w:val="00827D6D"/>
    <w:rsid w:val="00827EB7"/>
    <w:rsid w:val="008302DB"/>
    <w:rsid w:val="00830A7F"/>
    <w:rsid w:val="00830C52"/>
    <w:rsid w:val="0083101B"/>
    <w:rsid w:val="008326EB"/>
    <w:rsid w:val="008328E6"/>
    <w:rsid w:val="00832C3E"/>
    <w:rsid w:val="008332FB"/>
    <w:rsid w:val="0083332B"/>
    <w:rsid w:val="00833D66"/>
    <w:rsid w:val="00834811"/>
    <w:rsid w:val="00834D77"/>
    <w:rsid w:val="0083540C"/>
    <w:rsid w:val="00835543"/>
    <w:rsid w:val="008355AA"/>
    <w:rsid w:val="00835895"/>
    <w:rsid w:val="00836049"/>
    <w:rsid w:val="00836351"/>
    <w:rsid w:val="00840081"/>
    <w:rsid w:val="00840349"/>
    <w:rsid w:val="00840F0C"/>
    <w:rsid w:val="00842214"/>
    <w:rsid w:val="0084272E"/>
    <w:rsid w:val="00842C85"/>
    <w:rsid w:val="008431C0"/>
    <w:rsid w:val="00844258"/>
    <w:rsid w:val="00844D67"/>
    <w:rsid w:val="00844DA8"/>
    <w:rsid w:val="0084500D"/>
    <w:rsid w:val="00846018"/>
    <w:rsid w:val="00846188"/>
    <w:rsid w:val="00846BFD"/>
    <w:rsid w:val="00847298"/>
    <w:rsid w:val="0084797D"/>
    <w:rsid w:val="008479A6"/>
    <w:rsid w:val="008504E7"/>
    <w:rsid w:val="0085081D"/>
    <w:rsid w:val="0085163E"/>
    <w:rsid w:val="0085191C"/>
    <w:rsid w:val="00852E99"/>
    <w:rsid w:val="0085380B"/>
    <w:rsid w:val="008538A9"/>
    <w:rsid w:val="00853C95"/>
    <w:rsid w:val="008543AC"/>
    <w:rsid w:val="0085457D"/>
    <w:rsid w:val="00854A04"/>
    <w:rsid w:val="00855BA0"/>
    <w:rsid w:val="00855DC2"/>
    <w:rsid w:val="00856283"/>
    <w:rsid w:val="00856CAD"/>
    <w:rsid w:val="00857023"/>
    <w:rsid w:val="00857404"/>
    <w:rsid w:val="00857519"/>
    <w:rsid w:val="0085769B"/>
    <w:rsid w:val="008578E0"/>
    <w:rsid w:val="00857BFB"/>
    <w:rsid w:val="008602D6"/>
    <w:rsid w:val="00860BBE"/>
    <w:rsid w:val="00860F17"/>
    <w:rsid w:val="008611BC"/>
    <w:rsid w:val="00861D9C"/>
    <w:rsid w:val="008624B5"/>
    <w:rsid w:val="0086272D"/>
    <w:rsid w:val="00862FFB"/>
    <w:rsid w:val="00863E52"/>
    <w:rsid w:val="0086477F"/>
    <w:rsid w:val="00864C84"/>
    <w:rsid w:val="008654F6"/>
    <w:rsid w:val="00865A07"/>
    <w:rsid w:val="00865C43"/>
    <w:rsid w:val="00865D4E"/>
    <w:rsid w:val="008669E4"/>
    <w:rsid w:val="00867706"/>
    <w:rsid w:val="0086775A"/>
    <w:rsid w:val="00867CBD"/>
    <w:rsid w:val="00867E19"/>
    <w:rsid w:val="0087048C"/>
    <w:rsid w:val="0087097D"/>
    <w:rsid w:val="008713F6"/>
    <w:rsid w:val="00871C82"/>
    <w:rsid w:val="00871D0E"/>
    <w:rsid w:val="00872D21"/>
    <w:rsid w:val="008732EE"/>
    <w:rsid w:val="00873451"/>
    <w:rsid w:val="00873520"/>
    <w:rsid w:val="008741AF"/>
    <w:rsid w:val="008744E0"/>
    <w:rsid w:val="00874DD8"/>
    <w:rsid w:val="00875070"/>
    <w:rsid w:val="0087539B"/>
    <w:rsid w:val="008762E0"/>
    <w:rsid w:val="00876663"/>
    <w:rsid w:val="008778F3"/>
    <w:rsid w:val="008779B0"/>
    <w:rsid w:val="008802FA"/>
    <w:rsid w:val="008806DA"/>
    <w:rsid w:val="008815BC"/>
    <w:rsid w:val="00881B56"/>
    <w:rsid w:val="0088255E"/>
    <w:rsid w:val="00882B50"/>
    <w:rsid w:val="00882DDE"/>
    <w:rsid w:val="0088336C"/>
    <w:rsid w:val="008833BB"/>
    <w:rsid w:val="008837A9"/>
    <w:rsid w:val="00884425"/>
    <w:rsid w:val="00884CC6"/>
    <w:rsid w:val="00884CF0"/>
    <w:rsid w:val="00884D13"/>
    <w:rsid w:val="00884E3D"/>
    <w:rsid w:val="008851BE"/>
    <w:rsid w:val="00886CD1"/>
    <w:rsid w:val="008875B4"/>
    <w:rsid w:val="008876BE"/>
    <w:rsid w:val="00890AE5"/>
    <w:rsid w:val="00890BC1"/>
    <w:rsid w:val="00890DDC"/>
    <w:rsid w:val="0089109B"/>
    <w:rsid w:val="008910FE"/>
    <w:rsid w:val="00891831"/>
    <w:rsid w:val="00891FE1"/>
    <w:rsid w:val="008920A1"/>
    <w:rsid w:val="00892C76"/>
    <w:rsid w:val="008936B0"/>
    <w:rsid w:val="008959D9"/>
    <w:rsid w:val="00895F2D"/>
    <w:rsid w:val="0089683A"/>
    <w:rsid w:val="00896EA1"/>
    <w:rsid w:val="0089719D"/>
    <w:rsid w:val="008972AA"/>
    <w:rsid w:val="0089757F"/>
    <w:rsid w:val="00897EF8"/>
    <w:rsid w:val="00897F4E"/>
    <w:rsid w:val="008A1958"/>
    <w:rsid w:val="008A2E3D"/>
    <w:rsid w:val="008A37C7"/>
    <w:rsid w:val="008A39FB"/>
    <w:rsid w:val="008A3B93"/>
    <w:rsid w:val="008A3C6D"/>
    <w:rsid w:val="008A3C89"/>
    <w:rsid w:val="008A48B2"/>
    <w:rsid w:val="008A5450"/>
    <w:rsid w:val="008A58E3"/>
    <w:rsid w:val="008A645C"/>
    <w:rsid w:val="008A64D6"/>
    <w:rsid w:val="008A677B"/>
    <w:rsid w:val="008A6E2F"/>
    <w:rsid w:val="008A77C9"/>
    <w:rsid w:val="008A7AA5"/>
    <w:rsid w:val="008A7E8B"/>
    <w:rsid w:val="008B039B"/>
    <w:rsid w:val="008B0A39"/>
    <w:rsid w:val="008B1062"/>
    <w:rsid w:val="008B14A0"/>
    <w:rsid w:val="008B1644"/>
    <w:rsid w:val="008B17BB"/>
    <w:rsid w:val="008B2569"/>
    <w:rsid w:val="008B32B2"/>
    <w:rsid w:val="008B3B70"/>
    <w:rsid w:val="008B44C4"/>
    <w:rsid w:val="008B56BF"/>
    <w:rsid w:val="008B5E29"/>
    <w:rsid w:val="008B5E5C"/>
    <w:rsid w:val="008B5FA4"/>
    <w:rsid w:val="008C11AC"/>
    <w:rsid w:val="008C159B"/>
    <w:rsid w:val="008C2C24"/>
    <w:rsid w:val="008C3421"/>
    <w:rsid w:val="008C3A7B"/>
    <w:rsid w:val="008C43EB"/>
    <w:rsid w:val="008C4871"/>
    <w:rsid w:val="008C4B2D"/>
    <w:rsid w:val="008C4BBA"/>
    <w:rsid w:val="008C4D5C"/>
    <w:rsid w:val="008C524B"/>
    <w:rsid w:val="008C5258"/>
    <w:rsid w:val="008C618E"/>
    <w:rsid w:val="008C66F8"/>
    <w:rsid w:val="008C7887"/>
    <w:rsid w:val="008D0580"/>
    <w:rsid w:val="008D0C0E"/>
    <w:rsid w:val="008D0F23"/>
    <w:rsid w:val="008D0F24"/>
    <w:rsid w:val="008D1F8E"/>
    <w:rsid w:val="008D27D9"/>
    <w:rsid w:val="008D3256"/>
    <w:rsid w:val="008D3511"/>
    <w:rsid w:val="008D3679"/>
    <w:rsid w:val="008D37CA"/>
    <w:rsid w:val="008D3F58"/>
    <w:rsid w:val="008D55D2"/>
    <w:rsid w:val="008D5889"/>
    <w:rsid w:val="008D5C8D"/>
    <w:rsid w:val="008D671F"/>
    <w:rsid w:val="008D724A"/>
    <w:rsid w:val="008D7A38"/>
    <w:rsid w:val="008D7CDF"/>
    <w:rsid w:val="008D7FF8"/>
    <w:rsid w:val="008E0115"/>
    <w:rsid w:val="008E04E3"/>
    <w:rsid w:val="008E1CC0"/>
    <w:rsid w:val="008E1D6B"/>
    <w:rsid w:val="008E22FB"/>
    <w:rsid w:val="008E24F1"/>
    <w:rsid w:val="008E2866"/>
    <w:rsid w:val="008E2D28"/>
    <w:rsid w:val="008E2F80"/>
    <w:rsid w:val="008E36B3"/>
    <w:rsid w:val="008E3DFC"/>
    <w:rsid w:val="008E4911"/>
    <w:rsid w:val="008E4B6E"/>
    <w:rsid w:val="008E53E8"/>
    <w:rsid w:val="008E5A4B"/>
    <w:rsid w:val="008E5C6C"/>
    <w:rsid w:val="008E6072"/>
    <w:rsid w:val="008E6428"/>
    <w:rsid w:val="008E6AED"/>
    <w:rsid w:val="008E7045"/>
    <w:rsid w:val="008E7419"/>
    <w:rsid w:val="008F0DD2"/>
    <w:rsid w:val="008F1872"/>
    <w:rsid w:val="008F2110"/>
    <w:rsid w:val="008F2AD4"/>
    <w:rsid w:val="008F3C6B"/>
    <w:rsid w:val="008F4776"/>
    <w:rsid w:val="008F53B2"/>
    <w:rsid w:val="008F54D4"/>
    <w:rsid w:val="008F57A8"/>
    <w:rsid w:val="008F585B"/>
    <w:rsid w:val="008F58E6"/>
    <w:rsid w:val="008F6178"/>
    <w:rsid w:val="008F7C5B"/>
    <w:rsid w:val="008F7C96"/>
    <w:rsid w:val="00900370"/>
    <w:rsid w:val="00900934"/>
    <w:rsid w:val="0090128A"/>
    <w:rsid w:val="0090194B"/>
    <w:rsid w:val="00902BF3"/>
    <w:rsid w:val="00902D27"/>
    <w:rsid w:val="00902FCD"/>
    <w:rsid w:val="00904DF1"/>
    <w:rsid w:val="00905339"/>
    <w:rsid w:val="00905BC4"/>
    <w:rsid w:val="0090649A"/>
    <w:rsid w:val="0090793D"/>
    <w:rsid w:val="00907BAF"/>
    <w:rsid w:val="00907D7D"/>
    <w:rsid w:val="00910FE9"/>
    <w:rsid w:val="009110D1"/>
    <w:rsid w:val="00911FB4"/>
    <w:rsid w:val="00912617"/>
    <w:rsid w:val="00912A56"/>
    <w:rsid w:val="00912AE3"/>
    <w:rsid w:val="00915152"/>
    <w:rsid w:val="00915811"/>
    <w:rsid w:val="00915DD9"/>
    <w:rsid w:val="009176D6"/>
    <w:rsid w:val="009179F7"/>
    <w:rsid w:val="00917C25"/>
    <w:rsid w:val="00917C48"/>
    <w:rsid w:val="009200C1"/>
    <w:rsid w:val="009230EC"/>
    <w:rsid w:val="0092414B"/>
    <w:rsid w:val="00924373"/>
    <w:rsid w:val="00924433"/>
    <w:rsid w:val="00924458"/>
    <w:rsid w:val="00924E13"/>
    <w:rsid w:val="0092511B"/>
    <w:rsid w:val="00925DDF"/>
    <w:rsid w:val="009263FE"/>
    <w:rsid w:val="0092642D"/>
    <w:rsid w:val="00927009"/>
    <w:rsid w:val="009270E4"/>
    <w:rsid w:val="009274AA"/>
    <w:rsid w:val="009276B7"/>
    <w:rsid w:val="00927BBB"/>
    <w:rsid w:val="00927E79"/>
    <w:rsid w:val="00930BD0"/>
    <w:rsid w:val="0093114C"/>
    <w:rsid w:val="0093295B"/>
    <w:rsid w:val="00932A79"/>
    <w:rsid w:val="00932BB3"/>
    <w:rsid w:val="00933E8B"/>
    <w:rsid w:val="00933EC3"/>
    <w:rsid w:val="00934171"/>
    <w:rsid w:val="00934FC5"/>
    <w:rsid w:val="009352F3"/>
    <w:rsid w:val="00935CB3"/>
    <w:rsid w:val="00935DB7"/>
    <w:rsid w:val="00936426"/>
    <w:rsid w:val="00936B6E"/>
    <w:rsid w:val="00937300"/>
    <w:rsid w:val="00937636"/>
    <w:rsid w:val="009377B1"/>
    <w:rsid w:val="00937F70"/>
    <w:rsid w:val="00937FD6"/>
    <w:rsid w:val="009400CC"/>
    <w:rsid w:val="00940C35"/>
    <w:rsid w:val="00940C62"/>
    <w:rsid w:val="00941D53"/>
    <w:rsid w:val="009423FE"/>
    <w:rsid w:val="00943562"/>
    <w:rsid w:val="00943844"/>
    <w:rsid w:val="00943D7F"/>
    <w:rsid w:val="00943DE2"/>
    <w:rsid w:val="0094544B"/>
    <w:rsid w:val="0094550F"/>
    <w:rsid w:val="00945A36"/>
    <w:rsid w:val="00945D42"/>
    <w:rsid w:val="0094607B"/>
    <w:rsid w:val="0094616D"/>
    <w:rsid w:val="009461A6"/>
    <w:rsid w:val="00946A0B"/>
    <w:rsid w:val="00947503"/>
    <w:rsid w:val="00947B2C"/>
    <w:rsid w:val="009507FF"/>
    <w:rsid w:val="00950D3E"/>
    <w:rsid w:val="00951289"/>
    <w:rsid w:val="00951E48"/>
    <w:rsid w:val="009522CC"/>
    <w:rsid w:val="0095256D"/>
    <w:rsid w:val="00952BA6"/>
    <w:rsid w:val="009546E7"/>
    <w:rsid w:val="00955C8B"/>
    <w:rsid w:val="00956DD0"/>
    <w:rsid w:val="00957502"/>
    <w:rsid w:val="00957B57"/>
    <w:rsid w:val="00960834"/>
    <w:rsid w:val="00961426"/>
    <w:rsid w:val="00961DC7"/>
    <w:rsid w:val="00962460"/>
    <w:rsid w:val="00962643"/>
    <w:rsid w:val="0096270E"/>
    <w:rsid w:val="00963711"/>
    <w:rsid w:val="00964789"/>
    <w:rsid w:val="009649F1"/>
    <w:rsid w:val="00964D0F"/>
    <w:rsid w:val="00966764"/>
    <w:rsid w:val="00966FB9"/>
    <w:rsid w:val="0096789C"/>
    <w:rsid w:val="00971239"/>
    <w:rsid w:val="00971AA8"/>
    <w:rsid w:val="00971D52"/>
    <w:rsid w:val="00971F14"/>
    <w:rsid w:val="0097230D"/>
    <w:rsid w:val="009731E4"/>
    <w:rsid w:val="0097371A"/>
    <w:rsid w:val="00974282"/>
    <w:rsid w:val="0097469B"/>
    <w:rsid w:val="00975578"/>
    <w:rsid w:val="009755CC"/>
    <w:rsid w:val="00975FD2"/>
    <w:rsid w:val="00976299"/>
    <w:rsid w:val="00976DC4"/>
    <w:rsid w:val="00976F33"/>
    <w:rsid w:val="009770A9"/>
    <w:rsid w:val="009777AF"/>
    <w:rsid w:val="00977951"/>
    <w:rsid w:val="00977A15"/>
    <w:rsid w:val="009800CC"/>
    <w:rsid w:val="009806B3"/>
    <w:rsid w:val="009807E3"/>
    <w:rsid w:val="009809C6"/>
    <w:rsid w:val="00981A20"/>
    <w:rsid w:val="00981B46"/>
    <w:rsid w:val="00981E9F"/>
    <w:rsid w:val="0098333C"/>
    <w:rsid w:val="00983446"/>
    <w:rsid w:val="0098406F"/>
    <w:rsid w:val="009840C0"/>
    <w:rsid w:val="00985494"/>
    <w:rsid w:val="00985561"/>
    <w:rsid w:val="00986567"/>
    <w:rsid w:val="00987297"/>
    <w:rsid w:val="009878C5"/>
    <w:rsid w:val="00987A79"/>
    <w:rsid w:val="00991870"/>
    <w:rsid w:val="00992453"/>
    <w:rsid w:val="0099278D"/>
    <w:rsid w:val="00992DBA"/>
    <w:rsid w:val="0099320D"/>
    <w:rsid w:val="009934CC"/>
    <w:rsid w:val="009935E0"/>
    <w:rsid w:val="00993C6C"/>
    <w:rsid w:val="009944E9"/>
    <w:rsid w:val="0099460D"/>
    <w:rsid w:val="00995312"/>
    <w:rsid w:val="00995E0F"/>
    <w:rsid w:val="00996677"/>
    <w:rsid w:val="00997F7B"/>
    <w:rsid w:val="009A0807"/>
    <w:rsid w:val="009A1338"/>
    <w:rsid w:val="009A137E"/>
    <w:rsid w:val="009A13E1"/>
    <w:rsid w:val="009A1A22"/>
    <w:rsid w:val="009A2C13"/>
    <w:rsid w:val="009A2FAA"/>
    <w:rsid w:val="009A32DF"/>
    <w:rsid w:val="009A354C"/>
    <w:rsid w:val="009A3673"/>
    <w:rsid w:val="009A3E2C"/>
    <w:rsid w:val="009A4E3E"/>
    <w:rsid w:val="009A532E"/>
    <w:rsid w:val="009A5927"/>
    <w:rsid w:val="009A5A48"/>
    <w:rsid w:val="009A64A2"/>
    <w:rsid w:val="009A6787"/>
    <w:rsid w:val="009A6A38"/>
    <w:rsid w:val="009A6C56"/>
    <w:rsid w:val="009B05B8"/>
    <w:rsid w:val="009B075B"/>
    <w:rsid w:val="009B0874"/>
    <w:rsid w:val="009B2C70"/>
    <w:rsid w:val="009B34F7"/>
    <w:rsid w:val="009B47CC"/>
    <w:rsid w:val="009B4CE9"/>
    <w:rsid w:val="009B5946"/>
    <w:rsid w:val="009B5A32"/>
    <w:rsid w:val="009B61F2"/>
    <w:rsid w:val="009B67EC"/>
    <w:rsid w:val="009B690E"/>
    <w:rsid w:val="009B6D9E"/>
    <w:rsid w:val="009B713E"/>
    <w:rsid w:val="009B730B"/>
    <w:rsid w:val="009B74E5"/>
    <w:rsid w:val="009B7BA1"/>
    <w:rsid w:val="009C0155"/>
    <w:rsid w:val="009C060C"/>
    <w:rsid w:val="009C2973"/>
    <w:rsid w:val="009C2B2A"/>
    <w:rsid w:val="009C33B2"/>
    <w:rsid w:val="009C429E"/>
    <w:rsid w:val="009C4CA5"/>
    <w:rsid w:val="009C53E3"/>
    <w:rsid w:val="009C6AD8"/>
    <w:rsid w:val="009C71FE"/>
    <w:rsid w:val="009C72F3"/>
    <w:rsid w:val="009C7900"/>
    <w:rsid w:val="009D05C5"/>
    <w:rsid w:val="009D063E"/>
    <w:rsid w:val="009D0B96"/>
    <w:rsid w:val="009D1229"/>
    <w:rsid w:val="009D15F4"/>
    <w:rsid w:val="009D1B5C"/>
    <w:rsid w:val="009D1F7F"/>
    <w:rsid w:val="009D2468"/>
    <w:rsid w:val="009D2C82"/>
    <w:rsid w:val="009D2E43"/>
    <w:rsid w:val="009D36BF"/>
    <w:rsid w:val="009D37F3"/>
    <w:rsid w:val="009D3A3D"/>
    <w:rsid w:val="009D4898"/>
    <w:rsid w:val="009D4C22"/>
    <w:rsid w:val="009D75BB"/>
    <w:rsid w:val="009E03D6"/>
    <w:rsid w:val="009E1E1F"/>
    <w:rsid w:val="009E219E"/>
    <w:rsid w:val="009E237D"/>
    <w:rsid w:val="009E275D"/>
    <w:rsid w:val="009E29C8"/>
    <w:rsid w:val="009E2A0A"/>
    <w:rsid w:val="009E2D04"/>
    <w:rsid w:val="009E2FA4"/>
    <w:rsid w:val="009E3068"/>
    <w:rsid w:val="009E341E"/>
    <w:rsid w:val="009E3D75"/>
    <w:rsid w:val="009E3F5D"/>
    <w:rsid w:val="009E4305"/>
    <w:rsid w:val="009E56C3"/>
    <w:rsid w:val="009E5851"/>
    <w:rsid w:val="009E5C46"/>
    <w:rsid w:val="009E612F"/>
    <w:rsid w:val="009E64AD"/>
    <w:rsid w:val="009E6522"/>
    <w:rsid w:val="009E737F"/>
    <w:rsid w:val="009E7675"/>
    <w:rsid w:val="009F04DA"/>
    <w:rsid w:val="009F0BC5"/>
    <w:rsid w:val="009F0C07"/>
    <w:rsid w:val="009F0E05"/>
    <w:rsid w:val="009F1601"/>
    <w:rsid w:val="009F221B"/>
    <w:rsid w:val="009F35B8"/>
    <w:rsid w:val="009F3AEF"/>
    <w:rsid w:val="009F3B9A"/>
    <w:rsid w:val="009F3DD6"/>
    <w:rsid w:val="009F46B6"/>
    <w:rsid w:val="009F5826"/>
    <w:rsid w:val="009F5AE5"/>
    <w:rsid w:val="009F5D74"/>
    <w:rsid w:val="009F5E12"/>
    <w:rsid w:val="009F6187"/>
    <w:rsid w:val="009F65F0"/>
    <w:rsid w:val="009F698B"/>
    <w:rsid w:val="009F6CA7"/>
    <w:rsid w:val="009F6E06"/>
    <w:rsid w:val="00A00CAA"/>
    <w:rsid w:val="00A014F8"/>
    <w:rsid w:val="00A018FE"/>
    <w:rsid w:val="00A02D10"/>
    <w:rsid w:val="00A0372B"/>
    <w:rsid w:val="00A03C8E"/>
    <w:rsid w:val="00A03CB4"/>
    <w:rsid w:val="00A03CBB"/>
    <w:rsid w:val="00A0590E"/>
    <w:rsid w:val="00A05FE9"/>
    <w:rsid w:val="00A062AF"/>
    <w:rsid w:val="00A1067D"/>
    <w:rsid w:val="00A12DC8"/>
    <w:rsid w:val="00A13EA6"/>
    <w:rsid w:val="00A13FFA"/>
    <w:rsid w:val="00A1433C"/>
    <w:rsid w:val="00A14941"/>
    <w:rsid w:val="00A151B1"/>
    <w:rsid w:val="00A1542E"/>
    <w:rsid w:val="00A157E6"/>
    <w:rsid w:val="00A158F3"/>
    <w:rsid w:val="00A16BE8"/>
    <w:rsid w:val="00A171E6"/>
    <w:rsid w:val="00A1732E"/>
    <w:rsid w:val="00A1789E"/>
    <w:rsid w:val="00A17BB2"/>
    <w:rsid w:val="00A17C93"/>
    <w:rsid w:val="00A20B3B"/>
    <w:rsid w:val="00A20DA3"/>
    <w:rsid w:val="00A21243"/>
    <w:rsid w:val="00A21C03"/>
    <w:rsid w:val="00A21E27"/>
    <w:rsid w:val="00A224C3"/>
    <w:rsid w:val="00A235BA"/>
    <w:rsid w:val="00A23D96"/>
    <w:rsid w:val="00A24BC2"/>
    <w:rsid w:val="00A24BF4"/>
    <w:rsid w:val="00A24DEA"/>
    <w:rsid w:val="00A256DD"/>
    <w:rsid w:val="00A259C0"/>
    <w:rsid w:val="00A26FFD"/>
    <w:rsid w:val="00A2749E"/>
    <w:rsid w:val="00A279A2"/>
    <w:rsid w:val="00A27CB4"/>
    <w:rsid w:val="00A31076"/>
    <w:rsid w:val="00A31722"/>
    <w:rsid w:val="00A318B3"/>
    <w:rsid w:val="00A31F4A"/>
    <w:rsid w:val="00A3220E"/>
    <w:rsid w:val="00A324D0"/>
    <w:rsid w:val="00A32D38"/>
    <w:rsid w:val="00A33D53"/>
    <w:rsid w:val="00A360BF"/>
    <w:rsid w:val="00A3651E"/>
    <w:rsid w:val="00A366A3"/>
    <w:rsid w:val="00A37AA6"/>
    <w:rsid w:val="00A40085"/>
    <w:rsid w:val="00A40134"/>
    <w:rsid w:val="00A40CDD"/>
    <w:rsid w:val="00A41E2D"/>
    <w:rsid w:val="00A4370A"/>
    <w:rsid w:val="00A43F18"/>
    <w:rsid w:val="00A44482"/>
    <w:rsid w:val="00A446A8"/>
    <w:rsid w:val="00A4476D"/>
    <w:rsid w:val="00A44926"/>
    <w:rsid w:val="00A44A07"/>
    <w:rsid w:val="00A44FF5"/>
    <w:rsid w:val="00A45872"/>
    <w:rsid w:val="00A462D6"/>
    <w:rsid w:val="00A467F2"/>
    <w:rsid w:val="00A46A0B"/>
    <w:rsid w:val="00A46E64"/>
    <w:rsid w:val="00A46F70"/>
    <w:rsid w:val="00A470D8"/>
    <w:rsid w:val="00A47A77"/>
    <w:rsid w:val="00A51083"/>
    <w:rsid w:val="00A513F6"/>
    <w:rsid w:val="00A51677"/>
    <w:rsid w:val="00A51BB0"/>
    <w:rsid w:val="00A52844"/>
    <w:rsid w:val="00A52A92"/>
    <w:rsid w:val="00A5312F"/>
    <w:rsid w:val="00A53285"/>
    <w:rsid w:val="00A53998"/>
    <w:rsid w:val="00A53AED"/>
    <w:rsid w:val="00A5436C"/>
    <w:rsid w:val="00A54D5C"/>
    <w:rsid w:val="00A55033"/>
    <w:rsid w:val="00A5569E"/>
    <w:rsid w:val="00A55A32"/>
    <w:rsid w:val="00A56528"/>
    <w:rsid w:val="00A56A6F"/>
    <w:rsid w:val="00A56D16"/>
    <w:rsid w:val="00A57815"/>
    <w:rsid w:val="00A57C42"/>
    <w:rsid w:val="00A57CCE"/>
    <w:rsid w:val="00A57E00"/>
    <w:rsid w:val="00A60B80"/>
    <w:rsid w:val="00A61ACE"/>
    <w:rsid w:val="00A62720"/>
    <w:rsid w:val="00A62B0C"/>
    <w:rsid w:val="00A63D9F"/>
    <w:rsid w:val="00A6466E"/>
    <w:rsid w:val="00A655C9"/>
    <w:rsid w:val="00A6651F"/>
    <w:rsid w:val="00A667BB"/>
    <w:rsid w:val="00A6716C"/>
    <w:rsid w:val="00A672B1"/>
    <w:rsid w:val="00A6772D"/>
    <w:rsid w:val="00A67F65"/>
    <w:rsid w:val="00A7030D"/>
    <w:rsid w:val="00A70F5B"/>
    <w:rsid w:val="00A711EB"/>
    <w:rsid w:val="00A71210"/>
    <w:rsid w:val="00A7230A"/>
    <w:rsid w:val="00A72A1B"/>
    <w:rsid w:val="00A72D33"/>
    <w:rsid w:val="00A73525"/>
    <w:rsid w:val="00A73CCA"/>
    <w:rsid w:val="00A741D4"/>
    <w:rsid w:val="00A74343"/>
    <w:rsid w:val="00A7443C"/>
    <w:rsid w:val="00A74942"/>
    <w:rsid w:val="00A752CB"/>
    <w:rsid w:val="00A759CF"/>
    <w:rsid w:val="00A76DEA"/>
    <w:rsid w:val="00A77A2F"/>
    <w:rsid w:val="00A77C48"/>
    <w:rsid w:val="00A77EA2"/>
    <w:rsid w:val="00A80D71"/>
    <w:rsid w:val="00A81A0D"/>
    <w:rsid w:val="00A8236B"/>
    <w:rsid w:val="00A823D2"/>
    <w:rsid w:val="00A8323E"/>
    <w:rsid w:val="00A83271"/>
    <w:rsid w:val="00A843A7"/>
    <w:rsid w:val="00A84C80"/>
    <w:rsid w:val="00A84CDD"/>
    <w:rsid w:val="00A85569"/>
    <w:rsid w:val="00A85645"/>
    <w:rsid w:val="00A857A7"/>
    <w:rsid w:val="00A85B86"/>
    <w:rsid w:val="00A85E29"/>
    <w:rsid w:val="00A860D2"/>
    <w:rsid w:val="00A86320"/>
    <w:rsid w:val="00A86A0F"/>
    <w:rsid w:val="00A86E40"/>
    <w:rsid w:val="00A87D83"/>
    <w:rsid w:val="00A87F65"/>
    <w:rsid w:val="00A90073"/>
    <w:rsid w:val="00A903E1"/>
    <w:rsid w:val="00A90A79"/>
    <w:rsid w:val="00A910AF"/>
    <w:rsid w:val="00A912F7"/>
    <w:rsid w:val="00A92375"/>
    <w:rsid w:val="00A92F6A"/>
    <w:rsid w:val="00A933D1"/>
    <w:rsid w:val="00A9373D"/>
    <w:rsid w:val="00A93FB8"/>
    <w:rsid w:val="00A95449"/>
    <w:rsid w:val="00A95720"/>
    <w:rsid w:val="00A957A3"/>
    <w:rsid w:val="00A961FD"/>
    <w:rsid w:val="00A96B04"/>
    <w:rsid w:val="00A96D34"/>
    <w:rsid w:val="00A973CF"/>
    <w:rsid w:val="00A97997"/>
    <w:rsid w:val="00A97FE8"/>
    <w:rsid w:val="00AA0A03"/>
    <w:rsid w:val="00AA1241"/>
    <w:rsid w:val="00AA168F"/>
    <w:rsid w:val="00AA1E33"/>
    <w:rsid w:val="00AA1ED3"/>
    <w:rsid w:val="00AA2203"/>
    <w:rsid w:val="00AA2588"/>
    <w:rsid w:val="00AA2BCE"/>
    <w:rsid w:val="00AA2F1A"/>
    <w:rsid w:val="00AA424A"/>
    <w:rsid w:val="00AA458E"/>
    <w:rsid w:val="00AA4709"/>
    <w:rsid w:val="00AA4733"/>
    <w:rsid w:val="00AA5348"/>
    <w:rsid w:val="00AA57A6"/>
    <w:rsid w:val="00AA5C30"/>
    <w:rsid w:val="00AA5E75"/>
    <w:rsid w:val="00AA63D7"/>
    <w:rsid w:val="00AA6E23"/>
    <w:rsid w:val="00AA7E34"/>
    <w:rsid w:val="00AB00E8"/>
    <w:rsid w:val="00AB07D5"/>
    <w:rsid w:val="00AB1293"/>
    <w:rsid w:val="00AB185E"/>
    <w:rsid w:val="00AB1B27"/>
    <w:rsid w:val="00AB1D65"/>
    <w:rsid w:val="00AB26FF"/>
    <w:rsid w:val="00AB276C"/>
    <w:rsid w:val="00AB2D17"/>
    <w:rsid w:val="00AB31C7"/>
    <w:rsid w:val="00AB433F"/>
    <w:rsid w:val="00AB43F1"/>
    <w:rsid w:val="00AB4B22"/>
    <w:rsid w:val="00AB55D9"/>
    <w:rsid w:val="00AB5947"/>
    <w:rsid w:val="00AB6485"/>
    <w:rsid w:val="00AB683F"/>
    <w:rsid w:val="00AB6D3B"/>
    <w:rsid w:val="00AB73A1"/>
    <w:rsid w:val="00AB743A"/>
    <w:rsid w:val="00AC0652"/>
    <w:rsid w:val="00AC09D6"/>
    <w:rsid w:val="00AC0A8F"/>
    <w:rsid w:val="00AC2D2C"/>
    <w:rsid w:val="00AC3103"/>
    <w:rsid w:val="00AC319C"/>
    <w:rsid w:val="00AC39FF"/>
    <w:rsid w:val="00AC3EE8"/>
    <w:rsid w:val="00AC52A3"/>
    <w:rsid w:val="00AC5B1B"/>
    <w:rsid w:val="00AC7182"/>
    <w:rsid w:val="00AC71E2"/>
    <w:rsid w:val="00AC7575"/>
    <w:rsid w:val="00AC7797"/>
    <w:rsid w:val="00AC7D20"/>
    <w:rsid w:val="00AD06AD"/>
    <w:rsid w:val="00AD086F"/>
    <w:rsid w:val="00AD09B8"/>
    <w:rsid w:val="00AD1966"/>
    <w:rsid w:val="00AD19A2"/>
    <w:rsid w:val="00AD1B6F"/>
    <w:rsid w:val="00AD1D49"/>
    <w:rsid w:val="00AD32A2"/>
    <w:rsid w:val="00AD35E4"/>
    <w:rsid w:val="00AD393A"/>
    <w:rsid w:val="00AD3C4F"/>
    <w:rsid w:val="00AD48AA"/>
    <w:rsid w:val="00AD4E25"/>
    <w:rsid w:val="00AD5052"/>
    <w:rsid w:val="00AD65EF"/>
    <w:rsid w:val="00AD6CF2"/>
    <w:rsid w:val="00AD6F92"/>
    <w:rsid w:val="00AD6FB0"/>
    <w:rsid w:val="00AD74B5"/>
    <w:rsid w:val="00AD7919"/>
    <w:rsid w:val="00AD7B08"/>
    <w:rsid w:val="00AD7F64"/>
    <w:rsid w:val="00AE00AC"/>
    <w:rsid w:val="00AE0875"/>
    <w:rsid w:val="00AE0DE5"/>
    <w:rsid w:val="00AE129D"/>
    <w:rsid w:val="00AE173E"/>
    <w:rsid w:val="00AE1AB4"/>
    <w:rsid w:val="00AE1B38"/>
    <w:rsid w:val="00AE1C23"/>
    <w:rsid w:val="00AE228E"/>
    <w:rsid w:val="00AE2646"/>
    <w:rsid w:val="00AE2CE9"/>
    <w:rsid w:val="00AE416E"/>
    <w:rsid w:val="00AE43FD"/>
    <w:rsid w:val="00AE458D"/>
    <w:rsid w:val="00AE4AE5"/>
    <w:rsid w:val="00AE5042"/>
    <w:rsid w:val="00AE54FA"/>
    <w:rsid w:val="00AE5739"/>
    <w:rsid w:val="00AE57A2"/>
    <w:rsid w:val="00AE679A"/>
    <w:rsid w:val="00AE79C8"/>
    <w:rsid w:val="00AF030E"/>
    <w:rsid w:val="00AF05FB"/>
    <w:rsid w:val="00AF0B4C"/>
    <w:rsid w:val="00AF1411"/>
    <w:rsid w:val="00AF2331"/>
    <w:rsid w:val="00AF2482"/>
    <w:rsid w:val="00AF2505"/>
    <w:rsid w:val="00AF4454"/>
    <w:rsid w:val="00AF475B"/>
    <w:rsid w:val="00AF4EFB"/>
    <w:rsid w:val="00AF57B8"/>
    <w:rsid w:val="00AF5D4F"/>
    <w:rsid w:val="00AF5F49"/>
    <w:rsid w:val="00AF613F"/>
    <w:rsid w:val="00AF629E"/>
    <w:rsid w:val="00AF641B"/>
    <w:rsid w:val="00AF6671"/>
    <w:rsid w:val="00AF672F"/>
    <w:rsid w:val="00AF69DD"/>
    <w:rsid w:val="00AF6B8B"/>
    <w:rsid w:val="00AF6D5D"/>
    <w:rsid w:val="00AF6D96"/>
    <w:rsid w:val="00AF6F35"/>
    <w:rsid w:val="00AF703B"/>
    <w:rsid w:val="00AF7548"/>
    <w:rsid w:val="00AF7C03"/>
    <w:rsid w:val="00B0011B"/>
    <w:rsid w:val="00B00506"/>
    <w:rsid w:val="00B01060"/>
    <w:rsid w:val="00B01235"/>
    <w:rsid w:val="00B0172E"/>
    <w:rsid w:val="00B01F17"/>
    <w:rsid w:val="00B01F97"/>
    <w:rsid w:val="00B029B9"/>
    <w:rsid w:val="00B0310B"/>
    <w:rsid w:val="00B031EF"/>
    <w:rsid w:val="00B034B9"/>
    <w:rsid w:val="00B037E3"/>
    <w:rsid w:val="00B048DD"/>
    <w:rsid w:val="00B04D48"/>
    <w:rsid w:val="00B04EBA"/>
    <w:rsid w:val="00B0554B"/>
    <w:rsid w:val="00B060B2"/>
    <w:rsid w:val="00B062B9"/>
    <w:rsid w:val="00B073DA"/>
    <w:rsid w:val="00B074CF"/>
    <w:rsid w:val="00B07D11"/>
    <w:rsid w:val="00B101D9"/>
    <w:rsid w:val="00B10853"/>
    <w:rsid w:val="00B10F7A"/>
    <w:rsid w:val="00B11809"/>
    <w:rsid w:val="00B1187A"/>
    <w:rsid w:val="00B120FA"/>
    <w:rsid w:val="00B125C2"/>
    <w:rsid w:val="00B1261F"/>
    <w:rsid w:val="00B12AE1"/>
    <w:rsid w:val="00B12FFA"/>
    <w:rsid w:val="00B137E5"/>
    <w:rsid w:val="00B139B1"/>
    <w:rsid w:val="00B140E1"/>
    <w:rsid w:val="00B150AC"/>
    <w:rsid w:val="00B15317"/>
    <w:rsid w:val="00B16565"/>
    <w:rsid w:val="00B16B84"/>
    <w:rsid w:val="00B16C6B"/>
    <w:rsid w:val="00B172B1"/>
    <w:rsid w:val="00B172C0"/>
    <w:rsid w:val="00B17318"/>
    <w:rsid w:val="00B17985"/>
    <w:rsid w:val="00B17EBB"/>
    <w:rsid w:val="00B20293"/>
    <w:rsid w:val="00B2144E"/>
    <w:rsid w:val="00B21B83"/>
    <w:rsid w:val="00B21D03"/>
    <w:rsid w:val="00B21D3E"/>
    <w:rsid w:val="00B21D42"/>
    <w:rsid w:val="00B21FF5"/>
    <w:rsid w:val="00B2216A"/>
    <w:rsid w:val="00B22B09"/>
    <w:rsid w:val="00B22EEF"/>
    <w:rsid w:val="00B22FB8"/>
    <w:rsid w:val="00B236B7"/>
    <w:rsid w:val="00B2391B"/>
    <w:rsid w:val="00B247C8"/>
    <w:rsid w:val="00B247DD"/>
    <w:rsid w:val="00B25E55"/>
    <w:rsid w:val="00B25F71"/>
    <w:rsid w:val="00B262F1"/>
    <w:rsid w:val="00B27486"/>
    <w:rsid w:val="00B30C3F"/>
    <w:rsid w:val="00B31A9E"/>
    <w:rsid w:val="00B31CA0"/>
    <w:rsid w:val="00B31D77"/>
    <w:rsid w:val="00B320AE"/>
    <w:rsid w:val="00B33C2F"/>
    <w:rsid w:val="00B33C32"/>
    <w:rsid w:val="00B3478D"/>
    <w:rsid w:val="00B34D31"/>
    <w:rsid w:val="00B34D3A"/>
    <w:rsid w:val="00B34F3B"/>
    <w:rsid w:val="00B35D96"/>
    <w:rsid w:val="00B376E9"/>
    <w:rsid w:val="00B37A50"/>
    <w:rsid w:val="00B37B1C"/>
    <w:rsid w:val="00B37DAC"/>
    <w:rsid w:val="00B415EE"/>
    <w:rsid w:val="00B41957"/>
    <w:rsid w:val="00B419E6"/>
    <w:rsid w:val="00B4238E"/>
    <w:rsid w:val="00B4422D"/>
    <w:rsid w:val="00B446D5"/>
    <w:rsid w:val="00B448A0"/>
    <w:rsid w:val="00B44D4D"/>
    <w:rsid w:val="00B4512D"/>
    <w:rsid w:val="00B467C2"/>
    <w:rsid w:val="00B46B7C"/>
    <w:rsid w:val="00B47912"/>
    <w:rsid w:val="00B518E2"/>
    <w:rsid w:val="00B5231C"/>
    <w:rsid w:val="00B524B0"/>
    <w:rsid w:val="00B53B7D"/>
    <w:rsid w:val="00B54621"/>
    <w:rsid w:val="00B54D18"/>
    <w:rsid w:val="00B54FA2"/>
    <w:rsid w:val="00B55E54"/>
    <w:rsid w:val="00B562B6"/>
    <w:rsid w:val="00B5641F"/>
    <w:rsid w:val="00B566AE"/>
    <w:rsid w:val="00B56EEA"/>
    <w:rsid w:val="00B56F72"/>
    <w:rsid w:val="00B575E1"/>
    <w:rsid w:val="00B576C3"/>
    <w:rsid w:val="00B60A52"/>
    <w:rsid w:val="00B61542"/>
    <w:rsid w:val="00B616D5"/>
    <w:rsid w:val="00B62A1B"/>
    <w:rsid w:val="00B62ADD"/>
    <w:rsid w:val="00B62DF9"/>
    <w:rsid w:val="00B62EB4"/>
    <w:rsid w:val="00B64166"/>
    <w:rsid w:val="00B642B9"/>
    <w:rsid w:val="00B6451A"/>
    <w:rsid w:val="00B65443"/>
    <w:rsid w:val="00B656F1"/>
    <w:rsid w:val="00B65F7D"/>
    <w:rsid w:val="00B66098"/>
    <w:rsid w:val="00B668DA"/>
    <w:rsid w:val="00B67556"/>
    <w:rsid w:val="00B704E5"/>
    <w:rsid w:val="00B7069E"/>
    <w:rsid w:val="00B70CDA"/>
    <w:rsid w:val="00B71094"/>
    <w:rsid w:val="00B72FE8"/>
    <w:rsid w:val="00B73013"/>
    <w:rsid w:val="00B732AD"/>
    <w:rsid w:val="00B740A0"/>
    <w:rsid w:val="00B749D2"/>
    <w:rsid w:val="00B765FD"/>
    <w:rsid w:val="00B76962"/>
    <w:rsid w:val="00B76E2B"/>
    <w:rsid w:val="00B773D8"/>
    <w:rsid w:val="00B807D5"/>
    <w:rsid w:val="00B812BD"/>
    <w:rsid w:val="00B82674"/>
    <w:rsid w:val="00B82AF8"/>
    <w:rsid w:val="00B843D2"/>
    <w:rsid w:val="00B84EFC"/>
    <w:rsid w:val="00B85393"/>
    <w:rsid w:val="00B853BC"/>
    <w:rsid w:val="00B85A7B"/>
    <w:rsid w:val="00B85DCC"/>
    <w:rsid w:val="00B86B3E"/>
    <w:rsid w:val="00B86C15"/>
    <w:rsid w:val="00B8714D"/>
    <w:rsid w:val="00B878F0"/>
    <w:rsid w:val="00B87AD8"/>
    <w:rsid w:val="00B900E4"/>
    <w:rsid w:val="00B90F6D"/>
    <w:rsid w:val="00B910D0"/>
    <w:rsid w:val="00B91D23"/>
    <w:rsid w:val="00B92377"/>
    <w:rsid w:val="00B92661"/>
    <w:rsid w:val="00B92F60"/>
    <w:rsid w:val="00B936B6"/>
    <w:rsid w:val="00B93827"/>
    <w:rsid w:val="00B93D10"/>
    <w:rsid w:val="00B968EF"/>
    <w:rsid w:val="00BA0359"/>
    <w:rsid w:val="00BA113F"/>
    <w:rsid w:val="00BA288A"/>
    <w:rsid w:val="00BA3F35"/>
    <w:rsid w:val="00BA4C49"/>
    <w:rsid w:val="00BA4E38"/>
    <w:rsid w:val="00BA50D6"/>
    <w:rsid w:val="00BA61F6"/>
    <w:rsid w:val="00BA762C"/>
    <w:rsid w:val="00BB0584"/>
    <w:rsid w:val="00BB0744"/>
    <w:rsid w:val="00BB08A8"/>
    <w:rsid w:val="00BB0B8D"/>
    <w:rsid w:val="00BB0D48"/>
    <w:rsid w:val="00BB2A07"/>
    <w:rsid w:val="00BB3119"/>
    <w:rsid w:val="00BB3470"/>
    <w:rsid w:val="00BB3EE3"/>
    <w:rsid w:val="00BB4256"/>
    <w:rsid w:val="00BB4351"/>
    <w:rsid w:val="00BB4859"/>
    <w:rsid w:val="00BB5389"/>
    <w:rsid w:val="00BB5C10"/>
    <w:rsid w:val="00BB64F7"/>
    <w:rsid w:val="00BB6E9B"/>
    <w:rsid w:val="00BB78B6"/>
    <w:rsid w:val="00BC0D5F"/>
    <w:rsid w:val="00BC19BF"/>
    <w:rsid w:val="00BC1AB1"/>
    <w:rsid w:val="00BC2B08"/>
    <w:rsid w:val="00BC2E6A"/>
    <w:rsid w:val="00BC31AF"/>
    <w:rsid w:val="00BC3A0A"/>
    <w:rsid w:val="00BC3B3E"/>
    <w:rsid w:val="00BC47AC"/>
    <w:rsid w:val="00BC4A8C"/>
    <w:rsid w:val="00BC4BCB"/>
    <w:rsid w:val="00BC4DE5"/>
    <w:rsid w:val="00BC54C5"/>
    <w:rsid w:val="00BC56D4"/>
    <w:rsid w:val="00BC6426"/>
    <w:rsid w:val="00BC6753"/>
    <w:rsid w:val="00BC6C59"/>
    <w:rsid w:val="00BC6D45"/>
    <w:rsid w:val="00BC777A"/>
    <w:rsid w:val="00BC7B53"/>
    <w:rsid w:val="00BD0C65"/>
    <w:rsid w:val="00BD0D32"/>
    <w:rsid w:val="00BD3FBB"/>
    <w:rsid w:val="00BD40E9"/>
    <w:rsid w:val="00BD4874"/>
    <w:rsid w:val="00BD4CB5"/>
    <w:rsid w:val="00BD517E"/>
    <w:rsid w:val="00BD61F8"/>
    <w:rsid w:val="00BD6CEC"/>
    <w:rsid w:val="00BD7F44"/>
    <w:rsid w:val="00BE000A"/>
    <w:rsid w:val="00BE08ED"/>
    <w:rsid w:val="00BE0E33"/>
    <w:rsid w:val="00BE0EB0"/>
    <w:rsid w:val="00BE1236"/>
    <w:rsid w:val="00BE18D5"/>
    <w:rsid w:val="00BE1DCE"/>
    <w:rsid w:val="00BE27D1"/>
    <w:rsid w:val="00BE34D9"/>
    <w:rsid w:val="00BE37C0"/>
    <w:rsid w:val="00BE3A32"/>
    <w:rsid w:val="00BE4425"/>
    <w:rsid w:val="00BE448C"/>
    <w:rsid w:val="00BE4E63"/>
    <w:rsid w:val="00BE5CB9"/>
    <w:rsid w:val="00BE66FA"/>
    <w:rsid w:val="00BE6818"/>
    <w:rsid w:val="00BE6A62"/>
    <w:rsid w:val="00BE708F"/>
    <w:rsid w:val="00BE7179"/>
    <w:rsid w:val="00BE7524"/>
    <w:rsid w:val="00BF09EA"/>
    <w:rsid w:val="00BF1327"/>
    <w:rsid w:val="00BF23FE"/>
    <w:rsid w:val="00BF4799"/>
    <w:rsid w:val="00BF5677"/>
    <w:rsid w:val="00BF575F"/>
    <w:rsid w:val="00BF61A6"/>
    <w:rsid w:val="00BF6733"/>
    <w:rsid w:val="00BF6761"/>
    <w:rsid w:val="00BF6786"/>
    <w:rsid w:val="00BF693D"/>
    <w:rsid w:val="00BF6DD9"/>
    <w:rsid w:val="00BF7610"/>
    <w:rsid w:val="00BF76A6"/>
    <w:rsid w:val="00C005BA"/>
    <w:rsid w:val="00C00EF8"/>
    <w:rsid w:val="00C01013"/>
    <w:rsid w:val="00C012B6"/>
    <w:rsid w:val="00C019A6"/>
    <w:rsid w:val="00C0240D"/>
    <w:rsid w:val="00C02462"/>
    <w:rsid w:val="00C034D4"/>
    <w:rsid w:val="00C0373A"/>
    <w:rsid w:val="00C039CC"/>
    <w:rsid w:val="00C03E52"/>
    <w:rsid w:val="00C04BA8"/>
    <w:rsid w:val="00C04CDD"/>
    <w:rsid w:val="00C04FDF"/>
    <w:rsid w:val="00C0647C"/>
    <w:rsid w:val="00C06B38"/>
    <w:rsid w:val="00C06D3D"/>
    <w:rsid w:val="00C071DE"/>
    <w:rsid w:val="00C0747F"/>
    <w:rsid w:val="00C1007B"/>
    <w:rsid w:val="00C100D5"/>
    <w:rsid w:val="00C10306"/>
    <w:rsid w:val="00C11B96"/>
    <w:rsid w:val="00C11C92"/>
    <w:rsid w:val="00C11E41"/>
    <w:rsid w:val="00C12473"/>
    <w:rsid w:val="00C12519"/>
    <w:rsid w:val="00C129BF"/>
    <w:rsid w:val="00C13A3C"/>
    <w:rsid w:val="00C14F47"/>
    <w:rsid w:val="00C1584D"/>
    <w:rsid w:val="00C15A1A"/>
    <w:rsid w:val="00C15C13"/>
    <w:rsid w:val="00C1618C"/>
    <w:rsid w:val="00C16E62"/>
    <w:rsid w:val="00C17609"/>
    <w:rsid w:val="00C17BA0"/>
    <w:rsid w:val="00C20D2D"/>
    <w:rsid w:val="00C2115C"/>
    <w:rsid w:val="00C2202C"/>
    <w:rsid w:val="00C232FA"/>
    <w:rsid w:val="00C23C3A"/>
    <w:rsid w:val="00C23F23"/>
    <w:rsid w:val="00C24AC3"/>
    <w:rsid w:val="00C25516"/>
    <w:rsid w:val="00C256B1"/>
    <w:rsid w:val="00C26624"/>
    <w:rsid w:val="00C26B5B"/>
    <w:rsid w:val="00C26EC5"/>
    <w:rsid w:val="00C2783C"/>
    <w:rsid w:val="00C27A1C"/>
    <w:rsid w:val="00C27EE1"/>
    <w:rsid w:val="00C3136C"/>
    <w:rsid w:val="00C31468"/>
    <w:rsid w:val="00C31654"/>
    <w:rsid w:val="00C31D83"/>
    <w:rsid w:val="00C32784"/>
    <w:rsid w:val="00C32B83"/>
    <w:rsid w:val="00C32C37"/>
    <w:rsid w:val="00C33B9C"/>
    <w:rsid w:val="00C34578"/>
    <w:rsid w:val="00C347C5"/>
    <w:rsid w:val="00C34F9F"/>
    <w:rsid w:val="00C3637B"/>
    <w:rsid w:val="00C36572"/>
    <w:rsid w:val="00C37B6B"/>
    <w:rsid w:val="00C4012C"/>
    <w:rsid w:val="00C41249"/>
    <w:rsid w:val="00C4178F"/>
    <w:rsid w:val="00C4179F"/>
    <w:rsid w:val="00C41F52"/>
    <w:rsid w:val="00C4247F"/>
    <w:rsid w:val="00C42646"/>
    <w:rsid w:val="00C43F5F"/>
    <w:rsid w:val="00C44574"/>
    <w:rsid w:val="00C44C17"/>
    <w:rsid w:val="00C50031"/>
    <w:rsid w:val="00C501AA"/>
    <w:rsid w:val="00C50681"/>
    <w:rsid w:val="00C50CAE"/>
    <w:rsid w:val="00C5140B"/>
    <w:rsid w:val="00C51549"/>
    <w:rsid w:val="00C52796"/>
    <w:rsid w:val="00C52B30"/>
    <w:rsid w:val="00C53434"/>
    <w:rsid w:val="00C54772"/>
    <w:rsid w:val="00C5506A"/>
    <w:rsid w:val="00C5539E"/>
    <w:rsid w:val="00C553FC"/>
    <w:rsid w:val="00C558C1"/>
    <w:rsid w:val="00C56559"/>
    <w:rsid w:val="00C5706C"/>
    <w:rsid w:val="00C608CC"/>
    <w:rsid w:val="00C60B19"/>
    <w:rsid w:val="00C60E97"/>
    <w:rsid w:val="00C61127"/>
    <w:rsid w:val="00C61B94"/>
    <w:rsid w:val="00C61C58"/>
    <w:rsid w:val="00C6204E"/>
    <w:rsid w:val="00C63DF8"/>
    <w:rsid w:val="00C63F14"/>
    <w:rsid w:val="00C645EC"/>
    <w:rsid w:val="00C649E1"/>
    <w:rsid w:val="00C64FCD"/>
    <w:rsid w:val="00C65953"/>
    <w:rsid w:val="00C65BFD"/>
    <w:rsid w:val="00C65E7E"/>
    <w:rsid w:val="00C660C3"/>
    <w:rsid w:val="00C67CA9"/>
    <w:rsid w:val="00C70173"/>
    <w:rsid w:val="00C704D4"/>
    <w:rsid w:val="00C7255A"/>
    <w:rsid w:val="00C7273D"/>
    <w:rsid w:val="00C727C3"/>
    <w:rsid w:val="00C72B30"/>
    <w:rsid w:val="00C731AA"/>
    <w:rsid w:val="00C73767"/>
    <w:rsid w:val="00C73DA1"/>
    <w:rsid w:val="00C740EB"/>
    <w:rsid w:val="00C745DB"/>
    <w:rsid w:val="00C74B40"/>
    <w:rsid w:val="00C76954"/>
    <w:rsid w:val="00C77215"/>
    <w:rsid w:val="00C800C2"/>
    <w:rsid w:val="00C80420"/>
    <w:rsid w:val="00C81446"/>
    <w:rsid w:val="00C82243"/>
    <w:rsid w:val="00C82707"/>
    <w:rsid w:val="00C82925"/>
    <w:rsid w:val="00C83375"/>
    <w:rsid w:val="00C83891"/>
    <w:rsid w:val="00C85F4A"/>
    <w:rsid w:val="00C86574"/>
    <w:rsid w:val="00C874AA"/>
    <w:rsid w:val="00C87D65"/>
    <w:rsid w:val="00C90966"/>
    <w:rsid w:val="00C90B47"/>
    <w:rsid w:val="00C911EB"/>
    <w:rsid w:val="00C91B55"/>
    <w:rsid w:val="00C91CF4"/>
    <w:rsid w:val="00C927A0"/>
    <w:rsid w:val="00C928A1"/>
    <w:rsid w:val="00C92A82"/>
    <w:rsid w:val="00C92F7D"/>
    <w:rsid w:val="00C93B49"/>
    <w:rsid w:val="00C94073"/>
    <w:rsid w:val="00C94D27"/>
    <w:rsid w:val="00C958FA"/>
    <w:rsid w:val="00C9621C"/>
    <w:rsid w:val="00C9652C"/>
    <w:rsid w:val="00C9683E"/>
    <w:rsid w:val="00C96D21"/>
    <w:rsid w:val="00C96DEA"/>
    <w:rsid w:val="00C96F38"/>
    <w:rsid w:val="00CA008A"/>
    <w:rsid w:val="00CA0B11"/>
    <w:rsid w:val="00CA11DE"/>
    <w:rsid w:val="00CA18CA"/>
    <w:rsid w:val="00CA1F6B"/>
    <w:rsid w:val="00CA396D"/>
    <w:rsid w:val="00CA3B9C"/>
    <w:rsid w:val="00CA4983"/>
    <w:rsid w:val="00CA5325"/>
    <w:rsid w:val="00CA67EA"/>
    <w:rsid w:val="00CA6B25"/>
    <w:rsid w:val="00CA6FE9"/>
    <w:rsid w:val="00CA701D"/>
    <w:rsid w:val="00CA7061"/>
    <w:rsid w:val="00CA72FB"/>
    <w:rsid w:val="00CA7333"/>
    <w:rsid w:val="00CA7375"/>
    <w:rsid w:val="00CB00BA"/>
    <w:rsid w:val="00CB1C14"/>
    <w:rsid w:val="00CB1CB0"/>
    <w:rsid w:val="00CB20BB"/>
    <w:rsid w:val="00CB2867"/>
    <w:rsid w:val="00CB3376"/>
    <w:rsid w:val="00CB35FC"/>
    <w:rsid w:val="00CB3AFF"/>
    <w:rsid w:val="00CB3B3F"/>
    <w:rsid w:val="00CB4AC8"/>
    <w:rsid w:val="00CB5418"/>
    <w:rsid w:val="00CB58C5"/>
    <w:rsid w:val="00CB5FD2"/>
    <w:rsid w:val="00CB64F4"/>
    <w:rsid w:val="00CB6F1E"/>
    <w:rsid w:val="00CB7116"/>
    <w:rsid w:val="00CB734F"/>
    <w:rsid w:val="00CB7BFE"/>
    <w:rsid w:val="00CB7EAB"/>
    <w:rsid w:val="00CC16EB"/>
    <w:rsid w:val="00CC28C9"/>
    <w:rsid w:val="00CC2ABE"/>
    <w:rsid w:val="00CC2FB7"/>
    <w:rsid w:val="00CC39F3"/>
    <w:rsid w:val="00CC4BA3"/>
    <w:rsid w:val="00CC5A30"/>
    <w:rsid w:val="00CC5D8D"/>
    <w:rsid w:val="00CC631D"/>
    <w:rsid w:val="00CC6F16"/>
    <w:rsid w:val="00CD02ED"/>
    <w:rsid w:val="00CD0A23"/>
    <w:rsid w:val="00CD0BB4"/>
    <w:rsid w:val="00CD1D88"/>
    <w:rsid w:val="00CD2106"/>
    <w:rsid w:val="00CD3AA7"/>
    <w:rsid w:val="00CD3C1C"/>
    <w:rsid w:val="00CD3FF7"/>
    <w:rsid w:val="00CD41A3"/>
    <w:rsid w:val="00CD45ED"/>
    <w:rsid w:val="00CD5358"/>
    <w:rsid w:val="00CD61AC"/>
    <w:rsid w:val="00CD6C0D"/>
    <w:rsid w:val="00CD7248"/>
    <w:rsid w:val="00CD770A"/>
    <w:rsid w:val="00CE00AA"/>
    <w:rsid w:val="00CE08AC"/>
    <w:rsid w:val="00CE2439"/>
    <w:rsid w:val="00CE2597"/>
    <w:rsid w:val="00CE25A3"/>
    <w:rsid w:val="00CE2C34"/>
    <w:rsid w:val="00CE3AAC"/>
    <w:rsid w:val="00CE3EFC"/>
    <w:rsid w:val="00CE421E"/>
    <w:rsid w:val="00CE4344"/>
    <w:rsid w:val="00CE43B0"/>
    <w:rsid w:val="00CE449E"/>
    <w:rsid w:val="00CE48C8"/>
    <w:rsid w:val="00CE4D56"/>
    <w:rsid w:val="00CE4DDF"/>
    <w:rsid w:val="00CE51EF"/>
    <w:rsid w:val="00CE538A"/>
    <w:rsid w:val="00CE53A6"/>
    <w:rsid w:val="00CE592B"/>
    <w:rsid w:val="00CE5B88"/>
    <w:rsid w:val="00CE6709"/>
    <w:rsid w:val="00CE6798"/>
    <w:rsid w:val="00CE74C8"/>
    <w:rsid w:val="00CE7EE9"/>
    <w:rsid w:val="00CF09C3"/>
    <w:rsid w:val="00CF0C30"/>
    <w:rsid w:val="00CF0F6D"/>
    <w:rsid w:val="00CF1C73"/>
    <w:rsid w:val="00CF225E"/>
    <w:rsid w:val="00CF2668"/>
    <w:rsid w:val="00CF2741"/>
    <w:rsid w:val="00CF2B08"/>
    <w:rsid w:val="00CF2C2F"/>
    <w:rsid w:val="00CF2D3F"/>
    <w:rsid w:val="00CF311F"/>
    <w:rsid w:val="00CF32BF"/>
    <w:rsid w:val="00CF38B8"/>
    <w:rsid w:val="00CF3B56"/>
    <w:rsid w:val="00CF47FC"/>
    <w:rsid w:val="00CF4E3E"/>
    <w:rsid w:val="00CF5F16"/>
    <w:rsid w:val="00CF6239"/>
    <w:rsid w:val="00CF6468"/>
    <w:rsid w:val="00CF6BF4"/>
    <w:rsid w:val="00CF6E85"/>
    <w:rsid w:val="00CF6FCD"/>
    <w:rsid w:val="00CF70D9"/>
    <w:rsid w:val="00CF79E2"/>
    <w:rsid w:val="00CF7AB6"/>
    <w:rsid w:val="00D0131F"/>
    <w:rsid w:val="00D039BC"/>
    <w:rsid w:val="00D04384"/>
    <w:rsid w:val="00D04652"/>
    <w:rsid w:val="00D04F03"/>
    <w:rsid w:val="00D05039"/>
    <w:rsid w:val="00D05E1F"/>
    <w:rsid w:val="00D05F2D"/>
    <w:rsid w:val="00D06A42"/>
    <w:rsid w:val="00D073D7"/>
    <w:rsid w:val="00D104AC"/>
    <w:rsid w:val="00D11153"/>
    <w:rsid w:val="00D11946"/>
    <w:rsid w:val="00D120CD"/>
    <w:rsid w:val="00D12703"/>
    <w:rsid w:val="00D12B7F"/>
    <w:rsid w:val="00D131C4"/>
    <w:rsid w:val="00D13558"/>
    <w:rsid w:val="00D138E7"/>
    <w:rsid w:val="00D1530A"/>
    <w:rsid w:val="00D156ED"/>
    <w:rsid w:val="00D158FE"/>
    <w:rsid w:val="00D16BD2"/>
    <w:rsid w:val="00D16D37"/>
    <w:rsid w:val="00D16FB7"/>
    <w:rsid w:val="00D172CA"/>
    <w:rsid w:val="00D17838"/>
    <w:rsid w:val="00D20E64"/>
    <w:rsid w:val="00D212FE"/>
    <w:rsid w:val="00D21EEA"/>
    <w:rsid w:val="00D22547"/>
    <w:rsid w:val="00D234C4"/>
    <w:rsid w:val="00D253AB"/>
    <w:rsid w:val="00D257B9"/>
    <w:rsid w:val="00D2601F"/>
    <w:rsid w:val="00D26A70"/>
    <w:rsid w:val="00D27148"/>
    <w:rsid w:val="00D273C6"/>
    <w:rsid w:val="00D275B3"/>
    <w:rsid w:val="00D3030A"/>
    <w:rsid w:val="00D30432"/>
    <w:rsid w:val="00D309FC"/>
    <w:rsid w:val="00D318C8"/>
    <w:rsid w:val="00D31CF9"/>
    <w:rsid w:val="00D3218B"/>
    <w:rsid w:val="00D32E4F"/>
    <w:rsid w:val="00D339BB"/>
    <w:rsid w:val="00D34171"/>
    <w:rsid w:val="00D35E52"/>
    <w:rsid w:val="00D362D6"/>
    <w:rsid w:val="00D36482"/>
    <w:rsid w:val="00D368B5"/>
    <w:rsid w:val="00D3767A"/>
    <w:rsid w:val="00D40067"/>
    <w:rsid w:val="00D403FB"/>
    <w:rsid w:val="00D40DF0"/>
    <w:rsid w:val="00D41177"/>
    <w:rsid w:val="00D41366"/>
    <w:rsid w:val="00D41ACA"/>
    <w:rsid w:val="00D41BB2"/>
    <w:rsid w:val="00D42DC2"/>
    <w:rsid w:val="00D4330A"/>
    <w:rsid w:val="00D434AC"/>
    <w:rsid w:val="00D43B63"/>
    <w:rsid w:val="00D440E3"/>
    <w:rsid w:val="00D4444E"/>
    <w:rsid w:val="00D44D6A"/>
    <w:rsid w:val="00D4555E"/>
    <w:rsid w:val="00D45EF9"/>
    <w:rsid w:val="00D45FA6"/>
    <w:rsid w:val="00D46B85"/>
    <w:rsid w:val="00D46F47"/>
    <w:rsid w:val="00D4786C"/>
    <w:rsid w:val="00D47BC2"/>
    <w:rsid w:val="00D47C4F"/>
    <w:rsid w:val="00D51961"/>
    <w:rsid w:val="00D51AF1"/>
    <w:rsid w:val="00D51CC2"/>
    <w:rsid w:val="00D54D7C"/>
    <w:rsid w:val="00D5501B"/>
    <w:rsid w:val="00D552B8"/>
    <w:rsid w:val="00D55D75"/>
    <w:rsid w:val="00D56A46"/>
    <w:rsid w:val="00D570D7"/>
    <w:rsid w:val="00D57B21"/>
    <w:rsid w:val="00D60F59"/>
    <w:rsid w:val="00D610D5"/>
    <w:rsid w:val="00D61DAA"/>
    <w:rsid w:val="00D61DDF"/>
    <w:rsid w:val="00D625AF"/>
    <w:rsid w:val="00D62B80"/>
    <w:rsid w:val="00D63622"/>
    <w:rsid w:val="00D63F6C"/>
    <w:rsid w:val="00D6518B"/>
    <w:rsid w:val="00D666B3"/>
    <w:rsid w:val="00D70FEB"/>
    <w:rsid w:val="00D72175"/>
    <w:rsid w:val="00D72D62"/>
    <w:rsid w:val="00D736C6"/>
    <w:rsid w:val="00D738ED"/>
    <w:rsid w:val="00D73C12"/>
    <w:rsid w:val="00D747B5"/>
    <w:rsid w:val="00D749B1"/>
    <w:rsid w:val="00D74AEC"/>
    <w:rsid w:val="00D75B73"/>
    <w:rsid w:val="00D75E2E"/>
    <w:rsid w:val="00D7613D"/>
    <w:rsid w:val="00D76EA9"/>
    <w:rsid w:val="00D77401"/>
    <w:rsid w:val="00D7793C"/>
    <w:rsid w:val="00D77FB6"/>
    <w:rsid w:val="00D8047A"/>
    <w:rsid w:val="00D80794"/>
    <w:rsid w:val="00D80C02"/>
    <w:rsid w:val="00D80F26"/>
    <w:rsid w:val="00D8113D"/>
    <w:rsid w:val="00D8191A"/>
    <w:rsid w:val="00D8241E"/>
    <w:rsid w:val="00D82D88"/>
    <w:rsid w:val="00D838BA"/>
    <w:rsid w:val="00D83A6D"/>
    <w:rsid w:val="00D83EB4"/>
    <w:rsid w:val="00D84A7A"/>
    <w:rsid w:val="00D8500B"/>
    <w:rsid w:val="00D85B4B"/>
    <w:rsid w:val="00D85C1D"/>
    <w:rsid w:val="00D86C33"/>
    <w:rsid w:val="00D86CC6"/>
    <w:rsid w:val="00D902BF"/>
    <w:rsid w:val="00D9083D"/>
    <w:rsid w:val="00D90CF2"/>
    <w:rsid w:val="00D914C7"/>
    <w:rsid w:val="00D91521"/>
    <w:rsid w:val="00D91E15"/>
    <w:rsid w:val="00D91FF3"/>
    <w:rsid w:val="00D92406"/>
    <w:rsid w:val="00D92BB9"/>
    <w:rsid w:val="00D92C68"/>
    <w:rsid w:val="00D93336"/>
    <w:rsid w:val="00D935C0"/>
    <w:rsid w:val="00D940DF"/>
    <w:rsid w:val="00D94DF7"/>
    <w:rsid w:val="00D9576F"/>
    <w:rsid w:val="00D95E0D"/>
    <w:rsid w:val="00D96240"/>
    <w:rsid w:val="00D963A6"/>
    <w:rsid w:val="00D9726B"/>
    <w:rsid w:val="00D97776"/>
    <w:rsid w:val="00D97D25"/>
    <w:rsid w:val="00D97E57"/>
    <w:rsid w:val="00DA0651"/>
    <w:rsid w:val="00DA068F"/>
    <w:rsid w:val="00DA13A4"/>
    <w:rsid w:val="00DA2018"/>
    <w:rsid w:val="00DA308C"/>
    <w:rsid w:val="00DA318C"/>
    <w:rsid w:val="00DA4DBB"/>
    <w:rsid w:val="00DA4E39"/>
    <w:rsid w:val="00DA4F3C"/>
    <w:rsid w:val="00DA53B7"/>
    <w:rsid w:val="00DA5C4B"/>
    <w:rsid w:val="00DA6B77"/>
    <w:rsid w:val="00DA7237"/>
    <w:rsid w:val="00DA7A1B"/>
    <w:rsid w:val="00DB115E"/>
    <w:rsid w:val="00DB1378"/>
    <w:rsid w:val="00DB152E"/>
    <w:rsid w:val="00DB29ED"/>
    <w:rsid w:val="00DB2DE5"/>
    <w:rsid w:val="00DB2E0D"/>
    <w:rsid w:val="00DB308A"/>
    <w:rsid w:val="00DB35F8"/>
    <w:rsid w:val="00DB43CC"/>
    <w:rsid w:val="00DB4412"/>
    <w:rsid w:val="00DB4CE0"/>
    <w:rsid w:val="00DB582F"/>
    <w:rsid w:val="00DB6012"/>
    <w:rsid w:val="00DB6F81"/>
    <w:rsid w:val="00DB72EE"/>
    <w:rsid w:val="00DB7939"/>
    <w:rsid w:val="00DB7B21"/>
    <w:rsid w:val="00DC04C9"/>
    <w:rsid w:val="00DC06B7"/>
    <w:rsid w:val="00DC0CF4"/>
    <w:rsid w:val="00DC1ACE"/>
    <w:rsid w:val="00DC20BE"/>
    <w:rsid w:val="00DC3F80"/>
    <w:rsid w:val="00DC49FC"/>
    <w:rsid w:val="00DC5189"/>
    <w:rsid w:val="00DC67AF"/>
    <w:rsid w:val="00DC68F0"/>
    <w:rsid w:val="00DC7EB8"/>
    <w:rsid w:val="00DD0422"/>
    <w:rsid w:val="00DD136B"/>
    <w:rsid w:val="00DD1B1E"/>
    <w:rsid w:val="00DD2554"/>
    <w:rsid w:val="00DD28E2"/>
    <w:rsid w:val="00DD2B46"/>
    <w:rsid w:val="00DD2C40"/>
    <w:rsid w:val="00DD335B"/>
    <w:rsid w:val="00DD4871"/>
    <w:rsid w:val="00DD5308"/>
    <w:rsid w:val="00DD5728"/>
    <w:rsid w:val="00DD5F8E"/>
    <w:rsid w:val="00DD654B"/>
    <w:rsid w:val="00DD65E0"/>
    <w:rsid w:val="00DD673D"/>
    <w:rsid w:val="00DD7939"/>
    <w:rsid w:val="00DE0332"/>
    <w:rsid w:val="00DE05FB"/>
    <w:rsid w:val="00DE0F80"/>
    <w:rsid w:val="00DE1DC0"/>
    <w:rsid w:val="00DE23D8"/>
    <w:rsid w:val="00DE2599"/>
    <w:rsid w:val="00DE284C"/>
    <w:rsid w:val="00DE296E"/>
    <w:rsid w:val="00DE31CC"/>
    <w:rsid w:val="00DE3DDC"/>
    <w:rsid w:val="00DE4BEB"/>
    <w:rsid w:val="00DE5221"/>
    <w:rsid w:val="00DE53EF"/>
    <w:rsid w:val="00DE576B"/>
    <w:rsid w:val="00DE5C2D"/>
    <w:rsid w:val="00DE71CB"/>
    <w:rsid w:val="00DF1552"/>
    <w:rsid w:val="00DF2E1E"/>
    <w:rsid w:val="00DF2FF0"/>
    <w:rsid w:val="00DF38A5"/>
    <w:rsid w:val="00DF5DBA"/>
    <w:rsid w:val="00DF6A6C"/>
    <w:rsid w:val="00DF7138"/>
    <w:rsid w:val="00DF77DE"/>
    <w:rsid w:val="00E00641"/>
    <w:rsid w:val="00E00ADC"/>
    <w:rsid w:val="00E00EE9"/>
    <w:rsid w:val="00E01C03"/>
    <w:rsid w:val="00E01C49"/>
    <w:rsid w:val="00E02A90"/>
    <w:rsid w:val="00E0370E"/>
    <w:rsid w:val="00E039AF"/>
    <w:rsid w:val="00E039B6"/>
    <w:rsid w:val="00E040EE"/>
    <w:rsid w:val="00E0470D"/>
    <w:rsid w:val="00E048AB"/>
    <w:rsid w:val="00E04D96"/>
    <w:rsid w:val="00E04FE8"/>
    <w:rsid w:val="00E05902"/>
    <w:rsid w:val="00E06215"/>
    <w:rsid w:val="00E06287"/>
    <w:rsid w:val="00E07440"/>
    <w:rsid w:val="00E0799F"/>
    <w:rsid w:val="00E07D65"/>
    <w:rsid w:val="00E10F11"/>
    <w:rsid w:val="00E10F8A"/>
    <w:rsid w:val="00E11A95"/>
    <w:rsid w:val="00E123C9"/>
    <w:rsid w:val="00E12C93"/>
    <w:rsid w:val="00E12EBA"/>
    <w:rsid w:val="00E130C0"/>
    <w:rsid w:val="00E13B1B"/>
    <w:rsid w:val="00E14072"/>
    <w:rsid w:val="00E150FC"/>
    <w:rsid w:val="00E1538A"/>
    <w:rsid w:val="00E154C2"/>
    <w:rsid w:val="00E15531"/>
    <w:rsid w:val="00E15648"/>
    <w:rsid w:val="00E15BD2"/>
    <w:rsid w:val="00E15E8D"/>
    <w:rsid w:val="00E1665C"/>
    <w:rsid w:val="00E168CC"/>
    <w:rsid w:val="00E1794B"/>
    <w:rsid w:val="00E21DFC"/>
    <w:rsid w:val="00E22E78"/>
    <w:rsid w:val="00E22EE8"/>
    <w:rsid w:val="00E234D9"/>
    <w:rsid w:val="00E24B60"/>
    <w:rsid w:val="00E24BE0"/>
    <w:rsid w:val="00E24BE7"/>
    <w:rsid w:val="00E24C24"/>
    <w:rsid w:val="00E24E4F"/>
    <w:rsid w:val="00E25857"/>
    <w:rsid w:val="00E25FD0"/>
    <w:rsid w:val="00E26F0A"/>
    <w:rsid w:val="00E27635"/>
    <w:rsid w:val="00E30A93"/>
    <w:rsid w:val="00E31954"/>
    <w:rsid w:val="00E324A5"/>
    <w:rsid w:val="00E328E9"/>
    <w:rsid w:val="00E332DA"/>
    <w:rsid w:val="00E340EA"/>
    <w:rsid w:val="00E342DC"/>
    <w:rsid w:val="00E34FC0"/>
    <w:rsid w:val="00E35094"/>
    <w:rsid w:val="00E36261"/>
    <w:rsid w:val="00E36B1C"/>
    <w:rsid w:val="00E36CF8"/>
    <w:rsid w:val="00E373A8"/>
    <w:rsid w:val="00E37EF5"/>
    <w:rsid w:val="00E40073"/>
    <w:rsid w:val="00E4079B"/>
    <w:rsid w:val="00E40EA7"/>
    <w:rsid w:val="00E418C7"/>
    <w:rsid w:val="00E41C47"/>
    <w:rsid w:val="00E42EEA"/>
    <w:rsid w:val="00E442DB"/>
    <w:rsid w:val="00E44450"/>
    <w:rsid w:val="00E44495"/>
    <w:rsid w:val="00E451AD"/>
    <w:rsid w:val="00E451CD"/>
    <w:rsid w:val="00E45B1E"/>
    <w:rsid w:val="00E45B60"/>
    <w:rsid w:val="00E45DB7"/>
    <w:rsid w:val="00E460B9"/>
    <w:rsid w:val="00E47EE5"/>
    <w:rsid w:val="00E5295A"/>
    <w:rsid w:val="00E529A6"/>
    <w:rsid w:val="00E52E2F"/>
    <w:rsid w:val="00E5570C"/>
    <w:rsid w:val="00E55F33"/>
    <w:rsid w:val="00E56974"/>
    <w:rsid w:val="00E56CCA"/>
    <w:rsid w:val="00E60064"/>
    <w:rsid w:val="00E610D1"/>
    <w:rsid w:val="00E61A86"/>
    <w:rsid w:val="00E61E8D"/>
    <w:rsid w:val="00E6296D"/>
    <w:rsid w:val="00E62D2E"/>
    <w:rsid w:val="00E64054"/>
    <w:rsid w:val="00E643A3"/>
    <w:rsid w:val="00E64B1D"/>
    <w:rsid w:val="00E64D5A"/>
    <w:rsid w:val="00E66720"/>
    <w:rsid w:val="00E673D6"/>
    <w:rsid w:val="00E67919"/>
    <w:rsid w:val="00E67C7F"/>
    <w:rsid w:val="00E7116A"/>
    <w:rsid w:val="00E7167F"/>
    <w:rsid w:val="00E717B2"/>
    <w:rsid w:val="00E720DE"/>
    <w:rsid w:val="00E72319"/>
    <w:rsid w:val="00E723B6"/>
    <w:rsid w:val="00E724EA"/>
    <w:rsid w:val="00E726BB"/>
    <w:rsid w:val="00E72E87"/>
    <w:rsid w:val="00E731D3"/>
    <w:rsid w:val="00E732D7"/>
    <w:rsid w:val="00E73C36"/>
    <w:rsid w:val="00E74BE0"/>
    <w:rsid w:val="00E74DA1"/>
    <w:rsid w:val="00E74DFC"/>
    <w:rsid w:val="00E753F9"/>
    <w:rsid w:val="00E7546C"/>
    <w:rsid w:val="00E75A60"/>
    <w:rsid w:val="00E76013"/>
    <w:rsid w:val="00E77B1E"/>
    <w:rsid w:val="00E80075"/>
    <w:rsid w:val="00E80431"/>
    <w:rsid w:val="00E80BC7"/>
    <w:rsid w:val="00E8134A"/>
    <w:rsid w:val="00E81502"/>
    <w:rsid w:val="00E81541"/>
    <w:rsid w:val="00E82412"/>
    <w:rsid w:val="00E82546"/>
    <w:rsid w:val="00E83878"/>
    <w:rsid w:val="00E83D0F"/>
    <w:rsid w:val="00E83D10"/>
    <w:rsid w:val="00E84581"/>
    <w:rsid w:val="00E84A75"/>
    <w:rsid w:val="00E84F98"/>
    <w:rsid w:val="00E868FA"/>
    <w:rsid w:val="00E86C3F"/>
    <w:rsid w:val="00E90D81"/>
    <w:rsid w:val="00E90F73"/>
    <w:rsid w:val="00E91B42"/>
    <w:rsid w:val="00E93852"/>
    <w:rsid w:val="00E94283"/>
    <w:rsid w:val="00E942CE"/>
    <w:rsid w:val="00E9477D"/>
    <w:rsid w:val="00E94B41"/>
    <w:rsid w:val="00E95035"/>
    <w:rsid w:val="00E950A1"/>
    <w:rsid w:val="00E95798"/>
    <w:rsid w:val="00E966BF"/>
    <w:rsid w:val="00EA0920"/>
    <w:rsid w:val="00EA18D7"/>
    <w:rsid w:val="00EA1B91"/>
    <w:rsid w:val="00EA2064"/>
    <w:rsid w:val="00EA24E4"/>
    <w:rsid w:val="00EA2A61"/>
    <w:rsid w:val="00EA447D"/>
    <w:rsid w:val="00EA46BF"/>
    <w:rsid w:val="00EA47D8"/>
    <w:rsid w:val="00EA4986"/>
    <w:rsid w:val="00EA6840"/>
    <w:rsid w:val="00EA6DEF"/>
    <w:rsid w:val="00EA720E"/>
    <w:rsid w:val="00EA76DD"/>
    <w:rsid w:val="00EB04CE"/>
    <w:rsid w:val="00EB0870"/>
    <w:rsid w:val="00EB09C0"/>
    <w:rsid w:val="00EB0B8E"/>
    <w:rsid w:val="00EB1022"/>
    <w:rsid w:val="00EB12AF"/>
    <w:rsid w:val="00EB1362"/>
    <w:rsid w:val="00EB1A21"/>
    <w:rsid w:val="00EB1CBE"/>
    <w:rsid w:val="00EB4A4A"/>
    <w:rsid w:val="00EB531C"/>
    <w:rsid w:val="00EB5329"/>
    <w:rsid w:val="00EB5A4E"/>
    <w:rsid w:val="00EB5E4E"/>
    <w:rsid w:val="00EB5F3D"/>
    <w:rsid w:val="00EB6763"/>
    <w:rsid w:val="00EB6A7A"/>
    <w:rsid w:val="00EB7447"/>
    <w:rsid w:val="00EB7B05"/>
    <w:rsid w:val="00EB7C6D"/>
    <w:rsid w:val="00EB7EA4"/>
    <w:rsid w:val="00EC0B2C"/>
    <w:rsid w:val="00EC13A4"/>
    <w:rsid w:val="00EC17DC"/>
    <w:rsid w:val="00EC1D06"/>
    <w:rsid w:val="00EC1F40"/>
    <w:rsid w:val="00EC1FD8"/>
    <w:rsid w:val="00EC2474"/>
    <w:rsid w:val="00EC275A"/>
    <w:rsid w:val="00EC2BD5"/>
    <w:rsid w:val="00EC3058"/>
    <w:rsid w:val="00EC4C5E"/>
    <w:rsid w:val="00EC63D2"/>
    <w:rsid w:val="00EC70CF"/>
    <w:rsid w:val="00ED0AD8"/>
    <w:rsid w:val="00ED2298"/>
    <w:rsid w:val="00ED23B0"/>
    <w:rsid w:val="00ED2BF4"/>
    <w:rsid w:val="00ED2C3F"/>
    <w:rsid w:val="00ED3829"/>
    <w:rsid w:val="00ED3DF2"/>
    <w:rsid w:val="00ED3F54"/>
    <w:rsid w:val="00ED5E84"/>
    <w:rsid w:val="00ED605D"/>
    <w:rsid w:val="00ED6403"/>
    <w:rsid w:val="00ED6B17"/>
    <w:rsid w:val="00ED7AB8"/>
    <w:rsid w:val="00EE090C"/>
    <w:rsid w:val="00EE1493"/>
    <w:rsid w:val="00EE1925"/>
    <w:rsid w:val="00EE1972"/>
    <w:rsid w:val="00EE278E"/>
    <w:rsid w:val="00EE2920"/>
    <w:rsid w:val="00EE55FB"/>
    <w:rsid w:val="00EE5A6F"/>
    <w:rsid w:val="00EE5F5C"/>
    <w:rsid w:val="00EE6077"/>
    <w:rsid w:val="00EE682F"/>
    <w:rsid w:val="00EE6B60"/>
    <w:rsid w:val="00EE6FF8"/>
    <w:rsid w:val="00EE7CF2"/>
    <w:rsid w:val="00EF16C7"/>
    <w:rsid w:val="00EF1860"/>
    <w:rsid w:val="00EF4022"/>
    <w:rsid w:val="00EF4861"/>
    <w:rsid w:val="00EF4AB2"/>
    <w:rsid w:val="00EF538B"/>
    <w:rsid w:val="00EF5493"/>
    <w:rsid w:val="00EF5A8C"/>
    <w:rsid w:val="00EF5F5E"/>
    <w:rsid w:val="00EF612C"/>
    <w:rsid w:val="00EF6C9F"/>
    <w:rsid w:val="00EF702D"/>
    <w:rsid w:val="00EF79D8"/>
    <w:rsid w:val="00EF7AF1"/>
    <w:rsid w:val="00F00427"/>
    <w:rsid w:val="00F008FA"/>
    <w:rsid w:val="00F01502"/>
    <w:rsid w:val="00F020B3"/>
    <w:rsid w:val="00F029EE"/>
    <w:rsid w:val="00F02F5C"/>
    <w:rsid w:val="00F03755"/>
    <w:rsid w:val="00F0391B"/>
    <w:rsid w:val="00F03E1C"/>
    <w:rsid w:val="00F04733"/>
    <w:rsid w:val="00F04752"/>
    <w:rsid w:val="00F04C0A"/>
    <w:rsid w:val="00F05070"/>
    <w:rsid w:val="00F051AC"/>
    <w:rsid w:val="00F05A15"/>
    <w:rsid w:val="00F063AA"/>
    <w:rsid w:val="00F0725D"/>
    <w:rsid w:val="00F0747C"/>
    <w:rsid w:val="00F07EB2"/>
    <w:rsid w:val="00F110CC"/>
    <w:rsid w:val="00F11557"/>
    <w:rsid w:val="00F11AA4"/>
    <w:rsid w:val="00F13710"/>
    <w:rsid w:val="00F13FAF"/>
    <w:rsid w:val="00F15013"/>
    <w:rsid w:val="00F15B68"/>
    <w:rsid w:val="00F15CC9"/>
    <w:rsid w:val="00F20766"/>
    <w:rsid w:val="00F2079B"/>
    <w:rsid w:val="00F20E74"/>
    <w:rsid w:val="00F21224"/>
    <w:rsid w:val="00F215F3"/>
    <w:rsid w:val="00F22577"/>
    <w:rsid w:val="00F22619"/>
    <w:rsid w:val="00F227DF"/>
    <w:rsid w:val="00F230A8"/>
    <w:rsid w:val="00F24163"/>
    <w:rsid w:val="00F2506F"/>
    <w:rsid w:val="00F2649A"/>
    <w:rsid w:val="00F26CC6"/>
    <w:rsid w:val="00F27E20"/>
    <w:rsid w:val="00F30491"/>
    <w:rsid w:val="00F30F73"/>
    <w:rsid w:val="00F31038"/>
    <w:rsid w:val="00F31FAD"/>
    <w:rsid w:val="00F32121"/>
    <w:rsid w:val="00F3217B"/>
    <w:rsid w:val="00F32CA1"/>
    <w:rsid w:val="00F32D85"/>
    <w:rsid w:val="00F33714"/>
    <w:rsid w:val="00F3406B"/>
    <w:rsid w:val="00F3444A"/>
    <w:rsid w:val="00F34581"/>
    <w:rsid w:val="00F34BF2"/>
    <w:rsid w:val="00F35376"/>
    <w:rsid w:val="00F361DA"/>
    <w:rsid w:val="00F361DC"/>
    <w:rsid w:val="00F37559"/>
    <w:rsid w:val="00F37BBC"/>
    <w:rsid w:val="00F40841"/>
    <w:rsid w:val="00F40B79"/>
    <w:rsid w:val="00F40F4B"/>
    <w:rsid w:val="00F4193A"/>
    <w:rsid w:val="00F42260"/>
    <w:rsid w:val="00F4250B"/>
    <w:rsid w:val="00F43336"/>
    <w:rsid w:val="00F4360C"/>
    <w:rsid w:val="00F442F1"/>
    <w:rsid w:val="00F44309"/>
    <w:rsid w:val="00F4432A"/>
    <w:rsid w:val="00F4469E"/>
    <w:rsid w:val="00F44988"/>
    <w:rsid w:val="00F44C05"/>
    <w:rsid w:val="00F44E8B"/>
    <w:rsid w:val="00F44F3D"/>
    <w:rsid w:val="00F44F9D"/>
    <w:rsid w:val="00F456B1"/>
    <w:rsid w:val="00F46E9E"/>
    <w:rsid w:val="00F47202"/>
    <w:rsid w:val="00F5036A"/>
    <w:rsid w:val="00F5042D"/>
    <w:rsid w:val="00F50F55"/>
    <w:rsid w:val="00F52277"/>
    <w:rsid w:val="00F526E1"/>
    <w:rsid w:val="00F52E58"/>
    <w:rsid w:val="00F531F4"/>
    <w:rsid w:val="00F5349F"/>
    <w:rsid w:val="00F53FD0"/>
    <w:rsid w:val="00F54584"/>
    <w:rsid w:val="00F5538A"/>
    <w:rsid w:val="00F556FC"/>
    <w:rsid w:val="00F55B33"/>
    <w:rsid w:val="00F5609A"/>
    <w:rsid w:val="00F57019"/>
    <w:rsid w:val="00F57498"/>
    <w:rsid w:val="00F57732"/>
    <w:rsid w:val="00F6019E"/>
    <w:rsid w:val="00F607A9"/>
    <w:rsid w:val="00F60F64"/>
    <w:rsid w:val="00F62BB4"/>
    <w:rsid w:val="00F62F12"/>
    <w:rsid w:val="00F62FC8"/>
    <w:rsid w:val="00F639C4"/>
    <w:rsid w:val="00F64972"/>
    <w:rsid w:val="00F649AD"/>
    <w:rsid w:val="00F66A51"/>
    <w:rsid w:val="00F66B2C"/>
    <w:rsid w:val="00F67132"/>
    <w:rsid w:val="00F6796E"/>
    <w:rsid w:val="00F70076"/>
    <w:rsid w:val="00F702C7"/>
    <w:rsid w:val="00F704A1"/>
    <w:rsid w:val="00F7232C"/>
    <w:rsid w:val="00F72521"/>
    <w:rsid w:val="00F74126"/>
    <w:rsid w:val="00F75862"/>
    <w:rsid w:val="00F75DBA"/>
    <w:rsid w:val="00F76B94"/>
    <w:rsid w:val="00F76D56"/>
    <w:rsid w:val="00F776D3"/>
    <w:rsid w:val="00F77E89"/>
    <w:rsid w:val="00F822CA"/>
    <w:rsid w:val="00F829BF"/>
    <w:rsid w:val="00F82EF9"/>
    <w:rsid w:val="00F834E4"/>
    <w:rsid w:val="00F835D3"/>
    <w:rsid w:val="00F84A7F"/>
    <w:rsid w:val="00F84AF2"/>
    <w:rsid w:val="00F85321"/>
    <w:rsid w:val="00F85BE4"/>
    <w:rsid w:val="00F85E81"/>
    <w:rsid w:val="00F86618"/>
    <w:rsid w:val="00F876D2"/>
    <w:rsid w:val="00F90628"/>
    <w:rsid w:val="00F92AFB"/>
    <w:rsid w:val="00F92DBB"/>
    <w:rsid w:val="00F93839"/>
    <w:rsid w:val="00F9454C"/>
    <w:rsid w:val="00F9515C"/>
    <w:rsid w:val="00F95BF9"/>
    <w:rsid w:val="00F95CF4"/>
    <w:rsid w:val="00F95FAA"/>
    <w:rsid w:val="00FA0135"/>
    <w:rsid w:val="00FA1090"/>
    <w:rsid w:val="00FA1F0D"/>
    <w:rsid w:val="00FA23AB"/>
    <w:rsid w:val="00FA2583"/>
    <w:rsid w:val="00FA3625"/>
    <w:rsid w:val="00FA42C1"/>
    <w:rsid w:val="00FA4783"/>
    <w:rsid w:val="00FA4E99"/>
    <w:rsid w:val="00FA61BD"/>
    <w:rsid w:val="00FA69ED"/>
    <w:rsid w:val="00FA6CA4"/>
    <w:rsid w:val="00FA7EB3"/>
    <w:rsid w:val="00FB002C"/>
    <w:rsid w:val="00FB1CBB"/>
    <w:rsid w:val="00FB1D95"/>
    <w:rsid w:val="00FB20EC"/>
    <w:rsid w:val="00FB219B"/>
    <w:rsid w:val="00FB22DD"/>
    <w:rsid w:val="00FB5429"/>
    <w:rsid w:val="00FB621E"/>
    <w:rsid w:val="00FB7426"/>
    <w:rsid w:val="00FC04A1"/>
    <w:rsid w:val="00FC086B"/>
    <w:rsid w:val="00FC21B1"/>
    <w:rsid w:val="00FC2733"/>
    <w:rsid w:val="00FC2A11"/>
    <w:rsid w:val="00FC2BBE"/>
    <w:rsid w:val="00FC303B"/>
    <w:rsid w:val="00FC3555"/>
    <w:rsid w:val="00FC41CD"/>
    <w:rsid w:val="00FC49ED"/>
    <w:rsid w:val="00FC68DB"/>
    <w:rsid w:val="00FC7911"/>
    <w:rsid w:val="00FD030F"/>
    <w:rsid w:val="00FD0D77"/>
    <w:rsid w:val="00FD150D"/>
    <w:rsid w:val="00FD1A7E"/>
    <w:rsid w:val="00FD20BE"/>
    <w:rsid w:val="00FD286D"/>
    <w:rsid w:val="00FD2CD9"/>
    <w:rsid w:val="00FD3108"/>
    <w:rsid w:val="00FD34AD"/>
    <w:rsid w:val="00FD4304"/>
    <w:rsid w:val="00FD4B26"/>
    <w:rsid w:val="00FD664A"/>
    <w:rsid w:val="00FD694B"/>
    <w:rsid w:val="00FD6C72"/>
    <w:rsid w:val="00FD7051"/>
    <w:rsid w:val="00FD790D"/>
    <w:rsid w:val="00FD7B1F"/>
    <w:rsid w:val="00FE0199"/>
    <w:rsid w:val="00FE056E"/>
    <w:rsid w:val="00FE0BF7"/>
    <w:rsid w:val="00FE1264"/>
    <w:rsid w:val="00FE20AA"/>
    <w:rsid w:val="00FE43D4"/>
    <w:rsid w:val="00FE449D"/>
    <w:rsid w:val="00FE52AC"/>
    <w:rsid w:val="00FE58AD"/>
    <w:rsid w:val="00FE5B4B"/>
    <w:rsid w:val="00FE5ED1"/>
    <w:rsid w:val="00FE6029"/>
    <w:rsid w:val="00FE6266"/>
    <w:rsid w:val="00FE6578"/>
    <w:rsid w:val="00FE6C7B"/>
    <w:rsid w:val="00FE6E41"/>
    <w:rsid w:val="00FF0874"/>
    <w:rsid w:val="00FF089C"/>
    <w:rsid w:val="00FF0B1F"/>
    <w:rsid w:val="00FF10F2"/>
    <w:rsid w:val="00FF1950"/>
    <w:rsid w:val="00FF1E2B"/>
    <w:rsid w:val="00FF1EBA"/>
    <w:rsid w:val="00FF25B8"/>
    <w:rsid w:val="00FF2EFD"/>
    <w:rsid w:val="00FF362D"/>
    <w:rsid w:val="00FF3D31"/>
    <w:rsid w:val="00FF59F5"/>
    <w:rsid w:val="00FF63ED"/>
    <w:rsid w:val="00FF77A9"/>
    <w:rsid w:val="00FF78F0"/>
    <w:rsid w:val="00FF7D41"/>
    <w:rsid w:val="06A57FD9"/>
    <w:rsid w:val="0B904E5A"/>
    <w:rsid w:val="0F7F297E"/>
    <w:rsid w:val="192DF94A"/>
    <w:rsid w:val="466B510E"/>
    <w:rsid w:val="50E4E064"/>
    <w:rsid w:val="70C412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5B9284"/>
  <w15:docId w15:val="{2596582B-6904-41CF-A63E-DF1FA58C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5B1C"/>
    <w:pPr>
      <w:widowControl w:val="0"/>
      <w:autoSpaceDE w:val="0"/>
      <w:autoSpaceDN w:val="0"/>
      <w:adjustRightInd w:val="0"/>
    </w:pPr>
    <w:rPr>
      <w:b/>
      <w:bCs/>
    </w:rPr>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qFormat/>
    <w:pPr>
      <w:keepNext/>
      <w:widowControl/>
      <w:ind w:left="720"/>
      <w:outlineLvl w:val="1"/>
    </w:pPr>
    <w:rPr>
      <w:b w:val="0"/>
      <w:bCs w:val="0"/>
      <w:sz w:val="24"/>
    </w:rPr>
  </w:style>
  <w:style w:type="paragraph" w:styleId="Heading3">
    <w:name w:val="heading 3"/>
    <w:basedOn w:val="Normal"/>
    <w:next w:val="Normal"/>
    <w:uiPriority w:val="9"/>
    <w:qFormat/>
    <w:pPr>
      <w:keepNext/>
      <w:widowControl/>
      <w:tabs>
        <w:tab w:val="left" w:pos="-1440"/>
      </w:tabs>
      <w:ind w:left="720" w:hanging="720"/>
      <w:outlineLvl w:val="2"/>
    </w:pPr>
    <w:rPr>
      <w:sz w:val="24"/>
    </w:rPr>
  </w:style>
  <w:style w:type="paragraph" w:styleId="Heading4">
    <w:name w:val="heading 4"/>
    <w:basedOn w:val="Normal"/>
    <w:next w:val="Normal"/>
    <w:link w:val="Heading4Char"/>
    <w:uiPriority w:val="9"/>
    <w:unhideWhenUsed/>
    <w:qFormat/>
    <w:rsid w:val="006E18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E189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6E189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uiPriority w:val="99"/>
    <w:qFormat/>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uiPriority w:val="99"/>
    <w:qFormat/>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uiPriority w:val="99"/>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aliases w:val=" Char Char,Char Char,Char18 Char1,Char181 Char,Char182 Char,F1 Char1,FT Char1,Footnote Text AG Char1,Footnote Text Char Char Char Char Char1,Footnote Text Char Char Char1,Footnote Text Char1 Char Char Char,Footnote ak Char1,Text Char"/>
    <w:link w:val="FootnoteText"/>
    <w:uiPriority w:val="99"/>
    <w:rsid w:val="00742A93"/>
    <w:rPr>
      <w:b/>
      <w:bCs/>
      <w:sz w:val="16"/>
      <w:lang w:val="en-US" w:eastAsia="en-US" w:bidi="ar-SA"/>
    </w:rPr>
  </w:style>
  <w:style w:type="character" w:styleId="CommentReference">
    <w:name w:val="annotation reference"/>
    <w:basedOn w:val="DefaultParagraphFont"/>
    <w:uiPriority w:val="99"/>
    <w:rsid w:val="00AD1B6F"/>
    <w:rPr>
      <w:sz w:val="16"/>
      <w:szCs w:val="16"/>
    </w:rPr>
  </w:style>
  <w:style w:type="paragraph" w:styleId="CommentText">
    <w:name w:val="annotation text"/>
    <w:aliases w:val="Times New Roman,t"/>
    <w:basedOn w:val="Normal"/>
    <w:link w:val="CommentTextChar"/>
    <w:uiPriority w:val="99"/>
    <w:qFormat/>
    <w:rsid w:val="00AD1B6F"/>
  </w:style>
  <w:style w:type="character" w:customStyle="1" w:styleId="CommentTextChar">
    <w:name w:val="Comment Text Char"/>
    <w:aliases w:val="Times New Roman Char,t Char"/>
    <w:basedOn w:val="DefaultParagraphFont"/>
    <w:link w:val="CommentText"/>
    <w:uiPriority w:val="99"/>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 w:type="table" w:styleId="TableGrid">
    <w:name w:val="Table Grid"/>
    <w:basedOn w:val="TableNormal"/>
    <w:rsid w:val="003027B7"/>
    <w:tblPr/>
  </w:style>
  <w:style w:type="character" w:styleId="Emphasis">
    <w:name w:val="Emphasis"/>
    <w:basedOn w:val="DefaultParagraphFont"/>
    <w:qFormat/>
    <w:rsid w:val="00C41F52"/>
    <w:rPr>
      <w:i/>
      <w:iCs/>
    </w:rPr>
  </w:style>
  <w:style w:type="character" w:styleId="UnresolvedMention">
    <w:name w:val="Unresolved Mention"/>
    <w:basedOn w:val="DefaultParagraphFont"/>
    <w:uiPriority w:val="99"/>
    <w:unhideWhenUsed/>
    <w:rsid w:val="00AE54FA"/>
    <w:rPr>
      <w:color w:val="605E5C"/>
      <w:shd w:val="clear" w:color="auto" w:fill="E1DFDD"/>
    </w:rPr>
  </w:style>
  <w:style w:type="character" w:customStyle="1" w:styleId="FootnoteTextChar1">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F57732"/>
    <w:rPr>
      <w:rFonts w:ascii="Times New Roman" w:eastAsia="Times New Roman" w:hAnsi="Times New Roman" w:cs="Times New Roman"/>
      <w:sz w:val="20"/>
      <w:szCs w:val="20"/>
    </w:rPr>
  </w:style>
  <w:style w:type="character" w:styleId="Mention">
    <w:name w:val="Mention"/>
    <w:basedOn w:val="DefaultParagraphFont"/>
    <w:uiPriority w:val="99"/>
    <w:unhideWhenUsed/>
    <w:rsid w:val="001730BD"/>
    <w:rPr>
      <w:color w:val="2B579A"/>
      <w:shd w:val="clear" w:color="auto" w:fill="E1DFDD"/>
    </w:rPr>
  </w:style>
  <w:style w:type="character" w:customStyle="1" w:styleId="Heading4Char">
    <w:name w:val="Heading 4 Char"/>
    <w:basedOn w:val="DefaultParagraphFont"/>
    <w:link w:val="Heading4"/>
    <w:semiHidden/>
    <w:rsid w:val="006E1899"/>
    <w:rPr>
      <w:rFonts w:asciiTheme="majorHAnsi" w:eastAsiaTheme="majorEastAsia" w:hAnsiTheme="majorHAnsi" w:cstheme="majorBidi"/>
      <w:b/>
      <w:bCs/>
      <w:i/>
      <w:iCs/>
      <w:color w:val="365F91" w:themeColor="accent1" w:themeShade="BF"/>
    </w:rPr>
  </w:style>
  <w:style w:type="character" w:customStyle="1" w:styleId="Heading5Char">
    <w:name w:val="Heading 5 Char"/>
    <w:basedOn w:val="DefaultParagraphFont"/>
    <w:link w:val="Heading5"/>
    <w:semiHidden/>
    <w:rsid w:val="006E1899"/>
    <w:rPr>
      <w:rFonts w:asciiTheme="majorHAnsi" w:eastAsiaTheme="majorEastAsia" w:hAnsiTheme="majorHAnsi" w:cstheme="majorBidi"/>
      <w:b/>
      <w:bCs/>
      <w:color w:val="365F91" w:themeColor="accent1" w:themeShade="BF"/>
    </w:rPr>
  </w:style>
  <w:style w:type="character" w:customStyle="1" w:styleId="Heading6Char">
    <w:name w:val="Heading 6 Char"/>
    <w:basedOn w:val="DefaultParagraphFont"/>
    <w:link w:val="Heading6"/>
    <w:semiHidden/>
    <w:rsid w:val="006E1899"/>
    <w:rPr>
      <w:rFonts w:asciiTheme="majorHAnsi" w:eastAsiaTheme="majorEastAsia" w:hAnsiTheme="majorHAnsi" w:cstheme="majorBidi"/>
      <w:b/>
      <w:bCs/>
      <w:color w:val="243F60" w:themeColor="accent1" w:themeShade="7F"/>
    </w:rPr>
  </w:style>
  <w:style w:type="paragraph" w:customStyle="1" w:styleId="GPOHtml">
    <w:name w:val="GPOHtml"/>
    <w:basedOn w:val="Normal"/>
    <w:rsid w:val="00662510"/>
    <w:pPr>
      <w:widowControl/>
      <w:autoSpaceDE/>
      <w:autoSpaceDN/>
      <w:adjustRightInd/>
      <w:spacing w:after="100" w:afterAutospacing="1" w:line="480" w:lineRule="auto"/>
    </w:pPr>
    <w:rPr>
      <w:rFonts w:ascii="Arial" w:eastAsia="SimSun" w:hAnsi="Arial"/>
      <w:b w:val="0"/>
      <w:bCs w:val="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arketplace/resources/data/medical-loss-ratio-data-systems-resources" TargetMode="External" /><Relationship Id="rId2"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Baum, Beth L - EBSA</DisplayName>
        <AccountId>3002</AccountId>
        <AccountType/>
      </UserInfo>
      <UserInfo>
        <DisplayName>Sydlik, David - EBSA</DisplayName>
        <AccountId>429</AccountId>
        <AccountType/>
      </UserInfo>
      <UserInfo>
        <DisplayName>Rivers, Amber - EBSA</DisplayName>
        <AccountId>103</AccountId>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Props1.xml><?xml version="1.0" encoding="utf-8"?>
<ds:datastoreItem xmlns:ds="http://schemas.openxmlformats.org/officeDocument/2006/customXml" ds:itemID="{ED9B7439-D0C5-4AAF-8372-E8D4F387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7E18D-5B74-4ABF-93E1-CD27E7ED5FE9}">
  <ds:schemaRefs>
    <ds:schemaRef ds:uri="http://schemas.openxmlformats.org/officeDocument/2006/bibliography"/>
  </ds:schemaRefs>
</ds:datastoreItem>
</file>

<file path=customXml/itemProps3.xml><?xml version="1.0" encoding="utf-8"?>
<ds:datastoreItem xmlns:ds="http://schemas.openxmlformats.org/officeDocument/2006/customXml" ds:itemID="{559730A6-35FF-4A69-9D62-C84B5D86AE4A}">
  <ds:schemaRefs>
    <ds:schemaRef ds:uri="http://schemas.microsoft.com/sharepoint/v3/contenttype/forms"/>
  </ds:schemaRefs>
</ds:datastoreItem>
</file>

<file path=customXml/itemProps4.xml><?xml version="1.0" encoding="utf-8"?>
<ds:datastoreItem xmlns:ds="http://schemas.openxmlformats.org/officeDocument/2006/customXml" ds:itemID="{FE6CCBC5-180A-4646-B567-C9CDA2066D32}">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3f770ad9-5eb5-4717-9e53-a4191c0fe3a3"/>
    <ds:schemaRef ds:uri="http://www.w3.org/XML/1998/namespace"/>
    <ds:schemaRef ds:uri="bee3cffc-2f53-4e00-a92a-7337a39469a7"/>
    <ds:schemaRef ds:uri="702f922a-4822-456a-81ca-e751b937cee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3254</Words>
  <Characters>18158</Characters>
  <Application>Microsoft Office Word</Application>
  <DocSecurity>0</DocSecurity>
  <Lines>465</Lines>
  <Paragraphs>203</Paragraphs>
  <ScaleCrop>false</ScaleCrop>
  <Company>U.S. Department of Labor</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EBSA</cp:lastModifiedBy>
  <cp:revision>2</cp:revision>
  <cp:lastPrinted>2025-11-18T21:52:00Z</cp:lastPrinted>
  <dcterms:created xsi:type="dcterms:W3CDTF">2026-05-13T16:08:00Z</dcterms:created>
  <dcterms:modified xsi:type="dcterms:W3CDTF">2026-05-13T16:08:00Z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docLang">
    <vt:lpwstr>en</vt:lpwstr>
  </property>
  <property fmtid="{D5CDD505-2E9C-101B-9397-08002B2CF9AE}" pid="4" name="MediaServiceImageTags">
    <vt:lpwstr/>
  </property>
  <property fmtid="{D5CDD505-2E9C-101B-9397-08002B2CF9AE}" pid="5" name="_NewReviewCycle">
    <vt:lpwstr/>
  </property>
</Properties>
</file>