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4DED" w:rsidRPr="00CA33F2" w:rsidP="00C95A3C" w14:paraId="7D7A25F1" w14:textId="26116E9C">
      <w:pPr>
        <w:tabs>
          <w:tab w:val="center" w:pos="4680"/>
        </w:tabs>
        <w:jc w:val="center"/>
        <w:rPr>
          <w:rFonts w:cs="Times New Roman"/>
          <w:szCs w:val="24"/>
        </w:rPr>
      </w:pPr>
      <w:r w:rsidRPr="00CA33F2">
        <w:rPr>
          <w:rFonts w:cs="Times New Roman"/>
          <w:b/>
          <w:bCs/>
          <w:szCs w:val="24"/>
        </w:rPr>
        <w:t xml:space="preserve">Justification for No Material or </w:t>
      </w:r>
      <w:r w:rsidRPr="00CA33F2">
        <w:rPr>
          <w:rFonts w:cs="Times New Roman"/>
          <w:b/>
          <w:bCs/>
          <w:szCs w:val="24"/>
        </w:rPr>
        <w:t>Nonsubstantive</w:t>
      </w:r>
      <w:r w:rsidRPr="00CA33F2">
        <w:rPr>
          <w:rFonts w:cs="Times New Roman"/>
          <w:b/>
          <w:bCs/>
          <w:szCs w:val="24"/>
        </w:rPr>
        <w:t xml:space="preserve"> Change to Currently</w:t>
      </w:r>
      <w:r w:rsidRPr="00CA33F2" w:rsidR="001D0C99">
        <w:rPr>
          <w:rFonts w:cs="Times New Roman"/>
          <w:b/>
          <w:bCs/>
          <w:szCs w:val="24"/>
        </w:rPr>
        <w:t xml:space="preserve"> </w:t>
      </w:r>
      <w:r w:rsidRPr="00CA33F2">
        <w:rPr>
          <w:rFonts w:cs="Times New Roman"/>
          <w:b/>
          <w:bCs/>
          <w:szCs w:val="24"/>
        </w:rPr>
        <w:t>Approved Collection</w:t>
      </w:r>
    </w:p>
    <w:p w:rsidR="00F34DED" w:rsidRPr="00CA33F2" w:rsidP="00C95A3C" w14:paraId="520E8DDA" w14:textId="77777777">
      <w:pPr>
        <w:rPr>
          <w:rFonts w:cs="Times New Roman"/>
          <w:szCs w:val="24"/>
        </w:rPr>
      </w:pPr>
    </w:p>
    <w:p w:rsidR="00F34DED" w:rsidRPr="00CA33F2" w:rsidP="00C95A3C" w14:paraId="1364D56A" w14:textId="77777777">
      <w:pPr>
        <w:rPr>
          <w:rFonts w:cs="Times New Roman"/>
          <w:szCs w:val="24"/>
        </w:rPr>
      </w:pPr>
      <w:r w:rsidRPr="00CA33F2">
        <w:rPr>
          <w:rFonts w:cs="Times New Roman"/>
          <w:b/>
          <w:bCs/>
          <w:szCs w:val="24"/>
        </w:rPr>
        <w:t>AGENCY:</w:t>
      </w:r>
      <w:r w:rsidRPr="00CA33F2">
        <w:rPr>
          <w:rFonts w:cs="Times New Roman"/>
          <w:szCs w:val="24"/>
        </w:rPr>
        <w:tab/>
        <w:t>Pension Benefit Guaranty Corporation (PBGC)</w:t>
      </w:r>
    </w:p>
    <w:p w:rsidR="00F34DED" w:rsidRPr="00CA33F2" w:rsidP="00C95A3C" w14:paraId="1E5C0898" w14:textId="77777777">
      <w:pPr>
        <w:rPr>
          <w:rFonts w:cs="Times New Roman"/>
          <w:szCs w:val="24"/>
        </w:rPr>
      </w:pPr>
    </w:p>
    <w:p w:rsidR="00F34DED" w:rsidRPr="00CA33F2" w:rsidP="00C95A3C" w14:paraId="4BC274D4" w14:textId="387E074F">
      <w:pPr>
        <w:tabs>
          <w:tab w:val="left" w:pos="-1440"/>
        </w:tabs>
        <w:ind w:left="1440" w:hanging="1440"/>
        <w:rPr>
          <w:rFonts w:cs="Times New Roman"/>
          <w:szCs w:val="24"/>
        </w:rPr>
      </w:pPr>
      <w:r w:rsidRPr="00CA33F2">
        <w:rPr>
          <w:rFonts w:cs="Times New Roman"/>
          <w:b/>
          <w:bCs/>
          <w:szCs w:val="24"/>
        </w:rPr>
        <w:t>TITLE:</w:t>
      </w:r>
      <w:r w:rsidRPr="00CA33F2">
        <w:rPr>
          <w:rFonts w:cs="Times New Roman"/>
          <w:szCs w:val="24"/>
        </w:rPr>
        <w:tab/>
      </w:r>
      <w:r w:rsidRPr="00CA33F2" w:rsidR="007907C4">
        <w:rPr>
          <w:rFonts w:cs="Times New Roman"/>
          <w:szCs w:val="24"/>
        </w:rPr>
        <w:t xml:space="preserve">Application for Special Financial Assistance </w:t>
      </w:r>
      <w:r w:rsidRPr="00CA33F2" w:rsidR="006925E4">
        <w:rPr>
          <w:rFonts w:cs="Times New Roman"/>
          <w:szCs w:val="24"/>
        </w:rPr>
        <w:t>(29 CFR part 4</w:t>
      </w:r>
      <w:r w:rsidRPr="00CA33F2" w:rsidR="007907C4">
        <w:rPr>
          <w:rFonts w:cs="Times New Roman"/>
          <w:szCs w:val="24"/>
        </w:rPr>
        <w:t>262</w:t>
      </w:r>
      <w:r w:rsidRPr="00CA33F2" w:rsidR="006925E4">
        <w:rPr>
          <w:rFonts w:cs="Times New Roman"/>
          <w:szCs w:val="24"/>
        </w:rPr>
        <w:t>)</w:t>
      </w:r>
    </w:p>
    <w:p w:rsidR="00F34DED" w:rsidRPr="00CA33F2" w:rsidP="00C95A3C" w14:paraId="7E08B909" w14:textId="77777777">
      <w:pPr>
        <w:rPr>
          <w:rFonts w:cs="Times New Roman"/>
          <w:szCs w:val="24"/>
        </w:rPr>
      </w:pPr>
    </w:p>
    <w:p w:rsidR="00F34DED" w:rsidRPr="00CA33F2" w:rsidP="00C95A3C" w14:paraId="2FAF8E2C" w14:textId="172BF129">
      <w:pPr>
        <w:rPr>
          <w:rFonts w:cs="Times New Roman"/>
          <w:szCs w:val="24"/>
        </w:rPr>
      </w:pPr>
      <w:r w:rsidRPr="00CA33F2">
        <w:rPr>
          <w:rFonts w:cs="Times New Roman"/>
          <w:b/>
          <w:bCs/>
          <w:szCs w:val="24"/>
        </w:rPr>
        <w:t>STATUS:</w:t>
      </w:r>
      <w:r w:rsidRPr="00CA33F2">
        <w:rPr>
          <w:rFonts w:cs="Times New Roman"/>
          <w:szCs w:val="24"/>
        </w:rPr>
        <w:tab/>
        <w:t>OMB control number 1212</w:t>
      </w:r>
      <w:r w:rsidRPr="00CA33F2">
        <w:rPr>
          <w:rFonts w:cs="Times New Roman"/>
          <w:szCs w:val="24"/>
        </w:rPr>
        <w:noBreakHyphen/>
        <w:t>00</w:t>
      </w:r>
      <w:r w:rsidRPr="00CA33F2" w:rsidR="007907C4">
        <w:rPr>
          <w:rFonts w:cs="Times New Roman"/>
          <w:szCs w:val="24"/>
        </w:rPr>
        <w:t>74</w:t>
      </w:r>
      <w:r w:rsidRPr="00CA33F2">
        <w:rPr>
          <w:rFonts w:cs="Times New Roman"/>
          <w:szCs w:val="24"/>
        </w:rPr>
        <w:t xml:space="preserve">; expires </w:t>
      </w:r>
      <w:r w:rsidRPr="00CA33F2" w:rsidR="00F02A4D">
        <w:rPr>
          <w:rFonts w:cs="Times New Roman"/>
          <w:szCs w:val="24"/>
        </w:rPr>
        <w:t>0</w:t>
      </w:r>
      <w:r w:rsidRPr="00CA33F2" w:rsidR="00302050">
        <w:rPr>
          <w:rFonts w:cs="Times New Roman"/>
          <w:szCs w:val="24"/>
        </w:rPr>
        <w:t>5</w:t>
      </w:r>
      <w:r w:rsidRPr="00CA33F2" w:rsidR="00F02A4D">
        <w:rPr>
          <w:rFonts w:cs="Times New Roman"/>
          <w:szCs w:val="24"/>
        </w:rPr>
        <w:t>/31/202</w:t>
      </w:r>
      <w:r w:rsidRPr="00CA33F2" w:rsidR="00302050">
        <w:rPr>
          <w:rFonts w:cs="Times New Roman"/>
          <w:szCs w:val="24"/>
        </w:rPr>
        <w:t>7</w:t>
      </w:r>
    </w:p>
    <w:p w:rsidR="00F34DED" w:rsidRPr="00CA33F2" w:rsidP="00C95A3C" w14:paraId="7CEE0A38" w14:textId="77777777">
      <w:pPr>
        <w:rPr>
          <w:rFonts w:cs="Times New Roman"/>
          <w:szCs w:val="24"/>
        </w:rPr>
      </w:pPr>
    </w:p>
    <w:p w:rsidR="00F34DED" w:rsidRPr="00CA33F2" w:rsidP="00C95A3C" w14:paraId="530AF72F" w14:textId="0091AC0C">
      <w:pPr>
        <w:tabs>
          <w:tab w:val="left" w:pos="-1440"/>
        </w:tabs>
        <w:ind w:left="1440" w:hanging="1440"/>
        <w:rPr>
          <w:rFonts w:cs="Times New Roman"/>
          <w:szCs w:val="24"/>
        </w:rPr>
      </w:pPr>
      <w:r w:rsidRPr="00CA33F2">
        <w:rPr>
          <w:rFonts w:cs="Times New Roman"/>
          <w:b/>
          <w:bCs/>
          <w:szCs w:val="24"/>
        </w:rPr>
        <w:t>CONTACT:</w:t>
      </w:r>
      <w:r w:rsidRPr="00CA33F2">
        <w:rPr>
          <w:rFonts w:cs="Times New Roman"/>
          <w:szCs w:val="24"/>
        </w:rPr>
        <w:tab/>
      </w:r>
      <w:r w:rsidRPr="00CA33F2" w:rsidR="001D0C99">
        <w:rPr>
          <w:rFonts w:cs="Times New Roman"/>
          <w:szCs w:val="24"/>
        </w:rPr>
        <w:t>Monica O’Donnell</w:t>
      </w:r>
      <w:r w:rsidRPr="00CA33F2" w:rsidR="00074D7F">
        <w:rPr>
          <w:rFonts w:cs="Times New Roman"/>
          <w:szCs w:val="24"/>
        </w:rPr>
        <w:t xml:space="preserve"> (202-229-</w:t>
      </w:r>
      <w:r w:rsidRPr="00CA33F2" w:rsidR="001D0C99">
        <w:rPr>
          <w:rFonts w:cs="Times New Roman"/>
          <w:szCs w:val="24"/>
        </w:rPr>
        <w:t>5507</w:t>
      </w:r>
      <w:r w:rsidRPr="00CA33F2" w:rsidR="00074D7F">
        <w:rPr>
          <w:rFonts w:cs="Times New Roman"/>
          <w:szCs w:val="24"/>
        </w:rPr>
        <w:t>)</w:t>
      </w:r>
    </w:p>
    <w:p w:rsidR="00F34DED" w:rsidRPr="00CA33F2" w:rsidP="00C95A3C" w14:paraId="66B9B531" w14:textId="77777777">
      <w:pPr>
        <w:rPr>
          <w:rFonts w:cs="Times New Roman"/>
          <w:szCs w:val="24"/>
        </w:rPr>
      </w:pPr>
    </w:p>
    <w:p w:rsidR="00FA057C" w:rsidRPr="00CA33F2" w:rsidP="00C95A3C" w14:paraId="78FFDE57" w14:textId="200CAEC0">
      <w:pPr>
        <w:pStyle w:val="NormalWeb"/>
        <w:spacing w:before="0" w:beforeAutospacing="0" w:after="0" w:afterAutospacing="0"/>
        <w:rPr>
          <w:rStyle w:val="bumpedfont15"/>
          <w:rFonts w:ascii="Times New Roman" w:hAnsi="Times New Roman" w:cs="Times New Roman"/>
          <w:sz w:val="24"/>
          <w:szCs w:val="24"/>
        </w:rPr>
      </w:pPr>
      <w:r w:rsidRPr="00CA33F2">
        <w:rPr>
          <w:rStyle w:val="bumpedfont15"/>
          <w:rFonts w:ascii="Times New Roman" w:hAnsi="Times New Roman" w:cs="Times New Roman"/>
          <w:sz w:val="24"/>
          <w:szCs w:val="24"/>
        </w:rPr>
        <w:t>The</w:t>
      </w:r>
      <w:r w:rsidRPr="00CA33F2" w:rsidR="001D0C99">
        <w:rPr>
          <w:rStyle w:val="apple-converted-space"/>
          <w:rFonts w:ascii="Times New Roman" w:hAnsi="Times New Roman" w:cs="Times New Roman"/>
          <w:sz w:val="24"/>
          <w:szCs w:val="24"/>
        </w:rPr>
        <w:t xml:space="preserve"> </w:t>
      </w:r>
      <w:r w:rsidRPr="00CA33F2">
        <w:rPr>
          <w:rStyle w:val="bumpedfont15"/>
          <w:rFonts w:ascii="Times New Roman" w:hAnsi="Times New Roman" w:cs="Times New Roman"/>
          <w:sz w:val="24"/>
          <w:szCs w:val="24"/>
        </w:rPr>
        <w:t>Pension Benefit Guaranty Corporation (PBGC)</w:t>
      </w:r>
      <w:r w:rsidRPr="00CA33F2" w:rsidR="001D0C99">
        <w:rPr>
          <w:rStyle w:val="apple-converted-space"/>
          <w:rFonts w:ascii="Times New Roman" w:hAnsi="Times New Roman" w:cs="Times New Roman"/>
          <w:sz w:val="24"/>
          <w:szCs w:val="24"/>
        </w:rPr>
        <w:t xml:space="preserve"> </w:t>
      </w:r>
      <w:r w:rsidRPr="00CA33F2">
        <w:rPr>
          <w:rStyle w:val="bumpedfont15"/>
          <w:rFonts w:ascii="Times New Roman" w:hAnsi="Times New Roman" w:cs="Times New Roman"/>
          <w:sz w:val="24"/>
          <w:szCs w:val="24"/>
        </w:rPr>
        <w:t>is making</w:t>
      </w:r>
      <w:r w:rsidRPr="00CA33F2" w:rsidR="001D0C99">
        <w:rPr>
          <w:rStyle w:val="apple-converted-space"/>
          <w:rFonts w:ascii="Times New Roman" w:hAnsi="Times New Roman" w:cs="Times New Roman"/>
          <w:sz w:val="24"/>
          <w:szCs w:val="24"/>
        </w:rPr>
        <w:t xml:space="preserve"> </w:t>
      </w:r>
      <w:r w:rsidRPr="00CA33F2">
        <w:rPr>
          <w:rStyle w:val="apple-converted-space"/>
          <w:rFonts w:ascii="Times New Roman" w:hAnsi="Times New Roman" w:cs="Times New Roman"/>
          <w:sz w:val="24"/>
          <w:szCs w:val="24"/>
        </w:rPr>
        <w:t>changes</w:t>
      </w:r>
      <w:r w:rsidRPr="00CA33F2" w:rsidR="001D0C99">
        <w:rPr>
          <w:rStyle w:val="apple-converted-space"/>
          <w:rFonts w:ascii="Times New Roman" w:hAnsi="Times New Roman" w:cs="Times New Roman"/>
          <w:sz w:val="24"/>
          <w:szCs w:val="24"/>
        </w:rPr>
        <w:t xml:space="preserve"> </w:t>
      </w:r>
      <w:r w:rsidRPr="00CA33F2">
        <w:rPr>
          <w:rStyle w:val="bumpedfont15"/>
          <w:rFonts w:ascii="Times New Roman" w:hAnsi="Times New Roman" w:cs="Times New Roman"/>
          <w:sz w:val="24"/>
          <w:szCs w:val="24"/>
        </w:rPr>
        <w:t>that are not material</w:t>
      </w:r>
      <w:r w:rsidRPr="00CA33F2" w:rsidR="001D0C99">
        <w:rPr>
          <w:rStyle w:val="apple-converted-space"/>
          <w:rFonts w:ascii="Times New Roman" w:hAnsi="Times New Roman" w:cs="Times New Roman"/>
          <w:sz w:val="24"/>
          <w:szCs w:val="24"/>
        </w:rPr>
        <w:t xml:space="preserve"> </w:t>
      </w:r>
      <w:r w:rsidRPr="00CA33F2">
        <w:rPr>
          <w:rStyle w:val="bumpedfont15"/>
          <w:rFonts w:ascii="Times New Roman" w:hAnsi="Times New Roman" w:cs="Times New Roman"/>
          <w:sz w:val="24"/>
          <w:szCs w:val="24"/>
        </w:rPr>
        <w:t>to</w:t>
      </w:r>
      <w:r w:rsidRPr="00CA33F2" w:rsidR="009F6BFC">
        <w:rPr>
          <w:rStyle w:val="bumpedfont15"/>
          <w:rFonts w:ascii="Times New Roman" w:hAnsi="Times New Roman" w:cs="Times New Roman"/>
          <w:sz w:val="24"/>
          <w:szCs w:val="24"/>
        </w:rPr>
        <w:t xml:space="preserve"> the </w:t>
      </w:r>
      <w:r w:rsidRPr="00CA33F2" w:rsidR="001D0C99">
        <w:rPr>
          <w:rStyle w:val="bumpedfont15"/>
          <w:rFonts w:ascii="Times New Roman" w:hAnsi="Times New Roman" w:cs="Times New Roman"/>
          <w:sz w:val="24"/>
          <w:szCs w:val="24"/>
        </w:rPr>
        <w:t>currently approved</w:t>
      </w:r>
      <w:r w:rsidRPr="00CA33F2">
        <w:rPr>
          <w:rStyle w:val="bumpedfont15"/>
          <w:rFonts w:ascii="Times New Roman" w:hAnsi="Times New Roman" w:cs="Times New Roman"/>
          <w:sz w:val="24"/>
          <w:szCs w:val="24"/>
        </w:rPr>
        <w:t xml:space="preserve"> </w:t>
      </w:r>
      <w:r w:rsidRPr="00CA33F2" w:rsidR="0063727D">
        <w:rPr>
          <w:rStyle w:val="bumpedfont15"/>
          <w:rFonts w:ascii="Times New Roman" w:hAnsi="Times New Roman" w:cs="Times New Roman"/>
          <w:sz w:val="24"/>
          <w:szCs w:val="24"/>
        </w:rPr>
        <w:t xml:space="preserve">information collection for </w:t>
      </w:r>
      <w:r w:rsidRPr="00CA33F2" w:rsidR="00137F8F">
        <w:rPr>
          <w:rStyle w:val="bumpedfont15"/>
          <w:rFonts w:ascii="Times New Roman" w:hAnsi="Times New Roman" w:cs="Times New Roman"/>
          <w:sz w:val="24"/>
          <w:szCs w:val="24"/>
        </w:rPr>
        <w:t>multiemployer plans applying for spe</w:t>
      </w:r>
      <w:r w:rsidRPr="00CA33F2" w:rsidR="00395823">
        <w:rPr>
          <w:rStyle w:val="bumpedfont15"/>
          <w:rFonts w:ascii="Times New Roman" w:hAnsi="Times New Roman" w:cs="Times New Roman"/>
          <w:sz w:val="24"/>
          <w:szCs w:val="24"/>
        </w:rPr>
        <w:t>cial financial assistance (SFA)</w:t>
      </w:r>
      <w:r w:rsidRPr="00CA33F2" w:rsidR="0043369F">
        <w:rPr>
          <w:rStyle w:val="bumpedfont15"/>
          <w:rFonts w:ascii="Times New Roman" w:hAnsi="Times New Roman" w:cs="Times New Roman"/>
          <w:sz w:val="24"/>
          <w:szCs w:val="24"/>
        </w:rPr>
        <w:t xml:space="preserve"> under</w:t>
      </w:r>
      <w:r w:rsidRPr="00CA33F2" w:rsidR="00F34DF0">
        <w:rPr>
          <w:rStyle w:val="bumpedfont15"/>
          <w:rFonts w:ascii="Times New Roman" w:hAnsi="Times New Roman" w:cs="Times New Roman"/>
          <w:sz w:val="24"/>
          <w:szCs w:val="24"/>
        </w:rPr>
        <w:t xml:space="preserve"> section 4262 of the Employee Retirement Income Security Act of 1974 and</w:t>
      </w:r>
      <w:r w:rsidRPr="00CA33F2" w:rsidR="001D0C99">
        <w:rPr>
          <w:rStyle w:val="apple-converted-space"/>
          <w:rFonts w:ascii="Times New Roman" w:hAnsi="Times New Roman" w:cs="Times New Roman"/>
          <w:sz w:val="24"/>
          <w:szCs w:val="24"/>
        </w:rPr>
        <w:t xml:space="preserve"> </w:t>
      </w:r>
      <w:r w:rsidRPr="00CA33F2" w:rsidR="00F34DF0">
        <w:rPr>
          <w:rStyle w:val="bumpedfont15"/>
          <w:rFonts w:ascii="Times New Roman" w:hAnsi="Times New Roman" w:cs="Times New Roman"/>
          <w:sz w:val="24"/>
          <w:szCs w:val="24"/>
        </w:rPr>
        <w:t>part 4262 of PBGC’s regulations</w:t>
      </w:r>
      <w:r w:rsidRPr="00CA33F2" w:rsidR="00395823">
        <w:rPr>
          <w:rStyle w:val="bumpedfont15"/>
          <w:rFonts w:ascii="Times New Roman" w:hAnsi="Times New Roman" w:cs="Times New Roman"/>
          <w:sz w:val="24"/>
          <w:szCs w:val="24"/>
        </w:rPr>
        <w:t>.</w:t>
      </w:r>
    </w:p>
    <w:p w:rsidR="00816E04" w:rsidRPr="00CA33F2" w:rsidP="00816E04" w14:paraId="567061C3" w14:textId="4C8787C6">
      <w:pPr>
        <w:pStyle w:val="NormalWeb"/>
        <w:rPr>
          <w:rStyle w:val="bumpedfont15"/>
          <w:rFonts w:ascii="Times New Roman" w:hAnsi="Times New Roman" w:cs="Times New Roman"/>
          <w:sz w:val="24"/>
          <w:szCs w:val="24"/>
        </w:rPr>
      </w:pPr>
      <w:r w:rsidRPr="00CA33F2">
        <w:rPr>
          <w:rStyle w:val="bumpedfont15"/>
          <w:rFonts w:ascii="Times New Roman" w:hAnsi="Times New Roman" w:cs="Times New Roman"/>
          <w:sz w:val="24"/>
          <w:szCs w:val="24"/>
        </w:rPr>
        <w:t>To apply for SFA, a plan sponsor must file an application with PBGC and include information about the plan, plan documentation, and actuarial information, as specified in §§</w:t>
      </w:r>
      <w:r w:rsidRPr="00CA33F2" w:rsidR="00436858">
        <w:rPr>
          <w:rStyle w:val="bumpedfont15"/>
          <w:rFonts w:ascii="Times New Roman" w:hAnsi="Times New Roman" w:cs="Times New Roman"/>
          <w:sz w:val="24"/>
          <w:szCs w:val="24"/>
        </w:rPr>
        <w:t> </w:t>
      </w:r>
      <w:r w:rsidRPr="00CA33F2">
        <w:rPr>
          <w:rStyle w:val="bumpedfont15"/>
          <w:rFonts w:ascii="Times New Roman" w:hAnsi="Times New Roman" w:cs="Times New Roman"/>
          <w:sz w:val="24"/>
          <w:szCs w:val="24"/>
        </w:rPr>
        <w:t xml:space="preserve">4262.6 through 4262.9.  PBGC needs the application information to review a plan’s eligibility for SFA and amount of requested SFA. </w:t>
      </w:r>
      <w:r w:rsidRPr="00CA33F2" w:rsidR="00436858">
        <w:rPr>
          <w:rStyle w:val="bumpedfont15"/>
          <w:rFonts w:ascii="Times New Roman" w:hAnsi="Times New Roman" w:cs="Times New Roman"/>
          <w:sz w:val="24"/>
          <w:szCs w:val="24"/>
        </w:rPr>
        <w:t xml:space="preserve"> </w:t>
      </w:r>
      <w:r w:rsidRPr="00CA33F2">
        <w:rPr>
          <w:rStyle w:val="bumpedfont15"/>
          <w:rFonts w:ascii="Times New Roman" w:hAnsi="Times New Roman" w:cs="Times New Roman"/>
          <w:sz w:val="24"/>
          <w:szCs w:val="24"/>
        </w:rPr>
        <w:t>In addition</w:t>
      </w:r>
      <w:r w:rsidRPr="00CA33F2" w:rsidR="00D0604D">
        <w:rPr>
          <w:rStyle w:val="bumpedfont15"/>
          <w:rFonts w:ascii="Times New Roman" w:hAnsi="Times New Roman" w:cs="Times New Roman"/>
          <w:sz w:val="24"/>
          <w:szCs w:val="24"/>
        </w:rPr>
        <w:t xml:space="preserve">, a plan that receives SFA and wishes to </w:t>
      </w:r>
      <w:r w:rsidRPr="00CA33F2" w:rsidR="001B4D0D">
        <w:rPr>
          <w:rStyle w:val="bumpedfont15"/>
          <w:rFonts w:ascii="Times New Roman" w:hAnsi="Times New Roman" w:cs="Times New Roman"/>
          <w:sz w:val="24"/>
          <w:szCs w:val="24"/>
        </w:rPr>
        <w:t>request that P</w:t>
      </w:r>
      <w:r w:rsidRPr="00CA33F2">
        <w:rPr>
          <w:rStyle w:val="bumpedfont15"/>
          <w:rFonts w:ascii="Times New Roman" w:hAnsi="Times New Roman" w:cs="Times New Roman"/>
          <w:sz w:val="24"/>
          <w:szCs w:val="24"/>
        </w:rPr>
        <w:t>BGC approv</w:t>
      </w:r>
      <w:r w:rsidRPr="00CA33F2" w:rsidR="00D0604D">
        <w:rPr>
          <w:rStyle w:val="bumpedfont15"/>
          <w:rFonts w:ascii="Times New Roman" w:hAnsi="Times New Roman" w:cs="Times New Roman"/>
          <w:sz w:val="24"/>
          <w:szCs w:val="24"/>
        </w:rPr>
        <w:t>e</w:t>
      </w:r>
      <w:r w:rsidRPr="00CA33F2">
        <w:rPr>
          <w:rStyle w:val="bumpedfont15"/>
          <w:rFonts w:ascii="Times New Roman" w:hAnsi="Times New Roman" w:cs="Times New Roman"/>
          <w:sz w:val="24"/>
          <w:szCs w:val="24"/>
        </w:rPr>
        <w:t xml:space="preserve"> an exception </w:t>
      </w:r>
      <w:r w:rsidRPr="00CA33F2" w:rsidR="00D0604D">
        <w:rPr>
          <w:rStyle w:val="bumpedfont15"/>
          <w:rFonts w:ascii="Times New Roman" w:hAnsi="Times New Roman" w:cs="Times New Roman"/>
          <w:sz w:val="24"/>
          <w:szCs w:val="24"/>
        </w:rPr>
        <w:t>under §§ 4262.16(d), (e), (f), (g) and (h)</w:t>
      </w:r>
      <w:r w:rsidRPr="00CA33F2" w:rsidR="004D61A0">
        <w:rPr>
          <w:rStyle w:val="bumpedfont15"/>
          <w:rFonts w:ascii="Times New Roman" w:hAnsi="Times New Roman" w:cs="Times New Roman"/>
          <w:sz w:val="24"/>
          <w:szCs w:val="24"/>
        </w:rPr>
        <w:t xml:space="preserve"> </w:t>
      </w:r>
      <w:r w:rsidRPr="00CA33F2">
        <w:rPr>
          <w:rStyle w:val="bumpedfont15"/>
          <w:rFonts w:ascii="Times New Roman" w:hAnsi="Times New Roman" w:cs="Times New Roman"/>
          <w:sz w:val="24"/>
          <w:szCs w:val="24"/>
        </w:rPr>
        <w:t>for SFA conditions relating to reductions in contributions, reallocation of contributions, transfers or mergers, and withdrawal liability</w:t>
      </w:r>
      <w:r w:rsidRPr="00CA33F2" w:rsidR="00D0604D">
        <w:rPr>
          <w:rStyle w:val="bumpedfont15"/>
          <w:rFonts w:ascii="Times New Roman" w:hAnsi="Times New Roman" w:cs="Times New Roman"/>
          <w:sz w:val="24"/>
          <w:szCs w:val="24"/>
        </w:rPr>
        <w:t xml:space="preserve"> must file the request with the information required under those sections of PBGC’s regulation and related instructions</w:t>
      </w:r>
      <w:r w:rsidRPr="00CA33F2">
        <w:rPr>
          <w:rStyle w:val="bumpedfont15"/>
          <w:rFonts w:ascii="Times New Roman" w:hAnsi="Times New Roman" w:cs="Times New Roman"/>
          <w:sz w:val="24"/>
          <w:szCs w:val="24"/>
        </w:rPr>
        <w:t xml:space="preserve">.  PBGC </w:t>
      </w:r>
      <w:r w:rsidRPr="00CA33F2" w:rsidR="000112C9">
        <w:rPr>
          <w:rStyle w:val="bumpedfont15"/>
          <w:rFonts w:ascii="Times New Roman" w:hAnsi="Times New Roman" w:cs="Times New Roman"/>
          <w:sz w:val="24"/>
          <w:szCs w:val="24"/>
        </w:rPr>
        <w:t>requires this</w:t>
      </w:r>
      <w:r w:rsidRPr="00CA33F2">
        <w:rPr>
          <w:rStyle w:val="bumpedfont15"/>
          <w:rFonts w:ascii="Times New Roman" w:hAnsi="Times New Roman" w:cs="Times New Roman"/>
          <w:sz w:val="24"/>
          <w:szCs w:val="24"/>
        </w:rPr>
        <w:t xml:space="preserve"> information to decide whether to approve an exception from the specified condition of receiving SFA.   </w:t>
      </w:r>
    </w:p>
    <w:p w:rsidR="007B0F9E" w:rsidRPr="00CA33F2" w:rsidP="00081424" w14:paraId="16275A02" w14:textId="0670A168">
      <w:pPr>
        <w:pStyle w:val="NormalWeb"/>
        <w:spacing w:before="0" w:beforeAutospacing="0" w:after="0" w:afterAutospacing="0"/>
        <w:rPr>
          <w:rStyle w:val="bumpedfont15"/>
          <w:rFonts w:ascii="Times New Roman" w:hAnsi="Times New Roman" w:cs="Times New Roman"/>
          <w:sz w:val="24"/>
          <w:szCs w:val="24"/>
        </w:rPr>
      </w:pPr>
      <w:r w:rsidRPr="00CA33F2">
        <w:rPr>
          <w:rStyle w:val="bumpedfont15"/>
          <w:rFonts w:ascii="Times New Roman" w:hAnsi="Times New Roman" w:cs="Times New Roman"/>
          <w:sz w:val="24"/>
          <w:szCs w:val="24"/>
        </w:rPr>
        <w:t>PBGC received questions from practitioners about the application of the withdrawal liability conditions described under §</w:t>
      </w:r>
      <w:r w:rsidRPr="00CA33F2" w:rsidR="005F5D1A">
        <w:rPr>
          <w:rStyle w:val="bumpedfont15"/>
          <w:rFonts w:ascii="Times New Roman" w:hAnsi="Times New Roman" w:cs="Times New Roman"/>
          <w:sz w:val="24"/>
          <w:szCs w:val="24"/>
        </w:rPr>
        <w:t> </w:t>
      </w:r>
      <w:r w:rsidRPr="00CA33F2">
        <w:rPr>
          <w:rStyle w:val="bumpedfont15"/>
          <w:rFonts w:ascii="Times New Roman" w:hAnsi="Times New Roman" w:cs="Times New Roman"/>
          <w:sz w:val="24"/>
          <w:szCs w:val="24"/>
        </w:rPr>
        <w:t>4262.16(g)(1) and (2) for a plan requesting approval under §</w:t>
      </w:r>
      <w:r w:rsidRPr="00CA33F2" w:rsidR="005F5D1A">
        <w:rPr>
          <w:rStyle w:val="bumpedfont15"/>
          <w:rFonts w:ascii="Times New Roman" w:hAnsi="Times New Roman" w:cs="Times New Roman"/>
          <w:sz w:val="24"/>
          <w:szCs w:val="24"/>
        </w:rPr>
        <w:t> </w:t>
      </w:r>
      <w:r w:rsidRPr="00CA33F2">
        <w:rPr>
          <w:rStyle w:val="bumpedfont15"/>
          <w:rFonts w:ascii="Times New Roman" w:hAnsi="Times New Roman" w:cs="Times New Roman"/>
          <w:sz w:val="24"/>
          <w:szCs w:val="24"/>
        </w:rPr>
        <w:t>4262.16(f) of a plan merger involving a plan that has received SFA.  Section</w:t>
      </w:r>
      <w:r w:rsidRPr="00CA33F2" w:rsidR="005F5D1A">
        <w:rPr>
          <w:rStyle w:val="bumpedfont15"/>
          <w:rFonts w:ascii="Times New Roman" w:hAnsi="Times New Roman" w:cs="Times New Roman"/>
          <w:sz w:val="24"/>
          <w:szCs w:val="24"/>
        </w:rPr>
        <w:t> </w:t>
      </w:r>
      <w:r w:rsidRPr="00CA33F2">
        <w:rPr>
          <w:rStyle w:val="bumpedfont15"/>
          <w:rFonts w:ascii="Times New Roman" w:hAnsi="Times New Roman" w:cs="Times New Roman"/>
          <w:sz w:val="24"/>
          <w:szCs w:val="24"/>
        </w:rPr>
        <w:t>4262.16(f)(3)(iv) and (v) require that a merged plan use the conditions described in §</w:t>
      </w:r>
      <w:r w:rsidRPr="00CA33F2" w:rsidR="005F5D1A">
        <w:rPr>
          <w:rStyle w:val="bumpedfont15"/>
          <w:rFonts w:ascii="Times New Roman" w:hAnsi="Times New Roman" w:cs="Times New Roman"/>
          <w:sz w:val="24"/>
          <w:szCs w:val="24"/>
        </w:rPr>
        <w:t> </w:t>
      </w:r>
      <w:r w:rsidRPr="00CA33F2">
        <w:rPr>
          <w:rStyle w:val="bumpedfont15"/>
          <w:rFonts w:ascii="Times New Roman" w:hAnsi="Times New Roman" w:cs="Times New Roman"/>
          <w:sz w:val="24"/>
          <w:szCs w:val="24"/>
        </w:rPr>
        <w:t>4262.16(g)(1) and (2) to determine the unfunded vested benefits that arose under the SFA-recipient plan before the date of the merger.</w:t>
      </w:r>
    </w:p>
    <w:p w:rsidR="00251DAE" w:rsidRPr="00CA33F2" w:rsidP="00081424" w14:paraId="4D9E1B6A" w14:textId="77777777">
      <w:pPr>
        <w:pStyle w:val="NormalWeb"/>
        <w:spacing w:before="0" w:beforeAutospacing="0" w:after="0" w:afterAutospacing="0"/>
        <w:rPr>
          <w:rStyle w:val="bumpedfont15"/>
          <w:rFonts w:ascii="Times New Roman" w:hAnsi="Times New Roman" w:cs="Times New Roman"/>
          <w:sz w:val="24"/>
          <w:szCs w:val="24"/>
        </w:rPr>
      </w:pPr>
    </w:p>
    <w:p w:rsidR="005C70A4" w:rsidRPr="00CA33F2" w:rsidP="00081424" w14:paraId="2831C196" w14:textId="2CD810B4">
      <w:pPr>
        <w:pStyle w:val="NormalWeb"/>
        <w:spacing w:before="0" w:beforeAutospacing="0" w:after="0" w:afterAutospacing="0"/>
        <w:rPr>
          <w:rFonts w:ascii="Times New Roman" w:hAnsi="Times New Roman" w:cs="Times New Roman"/>
          <w:sz w:val="24"/>
          <w:szCs w:val="24"/>
        </w:rPr>
      </w:pPr>
      <w:r w:rsidRPr="00CA33F2">
        <w:rPr>
          <w:rStyle w:val="bumpedfont15"/>
          <w:rFonts w:ascii="Times New Roman" w:hAnsi="Times New Roman" w:cs="Times New Roman"/>
          <w:sz w:val="24"/>
          <w:szCs w:val="24"/>
        </w:rPr>
        <w:t>The withdrawal liability method</w:t>
      </w:r>
      <w:r w:rsidRPr="00CA33F2" w:rsidR="002D55E5">
        <w:rPr>
          <w:rStyle w:val="bumpedfont15"/>
          <w:rFonts w:ascii="Times New Roman" w:hAnsi="Times New Roman" w:cs="Times New Roman"/>
          <w:sz w:val="24"/>
          <w:szCs w:val="24"/>
        </w:rPr>
        <w:t xml:space="preserve"> a merged plan may use is fact specific</w:t>
      </w:r>
      <w:r w:rsidRPr="00CA33F2" w:rsidR="0082521C">
        <w:rPr>
          <w:rStyle w:val="bumpedfont15"/>
          <w:rFonts w:ascii="Times New Roman" w:hAnsi="Times New Roman" w:cs="Times New Roman"/>
          <w:sz w:val="24"/>
          <w:szCs w:val="24"/>
        </w:rPr>
        <w:t xml:space="preserve"> and must comply with the conditions in </w:t>
      </w:r>
      <w:r w:rsidRPr="00CA33F2" w:rsidR="00102C6E">
        <w:rPr>
          <w:rStyle w:val="bumpedfont15"/>
          <w:rFonts w:ascii="Times New Roman" w:hAnsi="Times New Roman" w:cs="Times New Roman"/>
          <w:sz w:val="24"/>
          <w:szCs w:val="24"/>
        </w:rPr>
        <w:t>§ </w:t>
      </w:r>
      <w:r w:rsidRPr="00CA33F2" w:rsidR="0082521C">
        <w:rPr>
          <w:rStyle w:val="bumpedfont15"/>
          <w:rFonts w:ascii="Times New Roman" w:hAnsi="Times New Roman" w:cs="Times New Roman"/>
          <w:sz w:val="24"/>
          <w:szCs w:val="24"/>
        </w:rPr>
        <w:t>4262.16(f)(3)(iv) and (v) and satisfy the standard under § 4262.16(f)(1).</w:t>
      </w:r>
      <w:r w:rsidRPr="00CA33F2" w:rsidR="00656406">
        <w:rPr>
          <w:rStyle w:val="bumpedfont15"/>
          <w:rFonts w:ascii="Times New Roman" w:hAnsi="Times New Roman" w:cs="Times New Roman"/>
          <w:sz w:val="24"/>
          <w:szCs w:val="24"/>
        </w:rPr>
        <w:t xml:space="preserve">  If the plan wants to adopt an alternative allocation method, </w:t>
      </w:r>
      <w:r w:rsidRPr="00CA33F2" w:rsidR="004519B0">
        <w:rPr>
          <w:rStyle w:val="bumpedfont15"/>
          <w:rFonts w:ascii="Times New Roman" w:hAnsi="Times New Roman" w:cs="Times New Roman"/>
          <w:sz w:val="24"/>
          <w:szCs w:val="24"/>
        </w:rPr>
        <w:t xml:space="preserve">it </w:t>
      </w:r>
      <w:r w:rsidRPr="00CA33F2" w:rsidR="00656406">
        <w:rPr>
          <w:rStyle w:val="bumpedfont15"/>
          <w:rFonts w:ascii="Times New Roman" w:hAnsi="Times New Roman" w:cs="Times New Roman"/>
          <w:sz w:val="24"/>
          <w:szCs w:val="24"/>
        </w:rPr>
        <w:t xml:space="preserve">must submit a request for approval </w:t>
      </w:r>
      <w:r w:rsidRPr="00CA33F2" w:rsidR="000112C9">
        <w:rPr>
          <w:rStyle w:val="bumpedfont15"/>
          <w:rFonts w:ascii="Times New Roman" w:hAnsi="Times New Roman" w:cs="Times New Roman"/>
          <w:sz w:val="24"/>
          <w:szCs w:val="24"/>
        </w:rPr>
        <w:t xml:space="preserve">to PBGC </w:t>
      </w:r>
      <w:r w:rsidRPr="00CA33F2" w:rsidR="00656406">
        <w:rPr>
          <w:rStyle w:val="bumpedfont15"/>
          <w:rFonts w:ascii="Times New Roman" w:hAnsi="Times New Roman" w:cs="Times New Roman"/>
          <w:sz w:val="24"/>
          <w:szCs w:val="24"/>
        </w:rPr>
        <w:t xml:space="preserve">when </w:t>
      </w:r>
      <w:r w:rsidRPr="00CA33F2" w:rsidR="000112C9">
        <w:rPr>
          <w:rStyle w:val="bumpedfont15"/>
          <w:rFonts w:ascii="Times New Roman" w:hAnsi="Times New Roman" w:cs="Times New Roman"/>
          <w:sz w:val="24"/>
          <w:szCs w:val="24"/>
        </w:rPr>
        <w:t>it</w:t>
      </w:r>
      <w:r w:rsidRPr="00CA33F2" w:rsidR="00656406">
        <w:rPr>
          <w:rStyle w:val="bumpedfont15"/>
          <w:rFonts w:ascii="Times New Roman" w:hAnsi="Times New Roman" w:cs="Times New Roman"/>
          <w:sz w:val="24"/>
          <w:szCs w:val="24"/>
        </w:rPr>
        <w:t xml:space="preserve"> submit</w:t>
      </w:r>
      <w:r w:rsidRPr="00CA33F2" w:rsidR="000112C9">
        <w:rPr>
          <w:rStyle w:val="bumpedfont15"/>
          <w:rFonts w:ascii="Times New Roman" w:hAnsi="Times New Roman" w:cs="Times New Roman"/>
          <w:sz w:val="24"/>
          <w:szCs w:val="24"/>
        </w:rPr>
        <w:t>s</w:t>
      </w:r>
      <w:r w:rsidRPr="00CA33F2" w:rsidR="00656406">
        <w:rPr>
          <w:rStyle w:val="bumpedfont15"/>
          <w:rFonts w:ascii="Times New Roman" w:hAnsi="Times New Roman" w:cs="Times New Roman"/>
          <w:sz w:val="24"/>
          <w:szCs w:val="24"/>
        </w:rPr>
        <w:t xml:space="preserve"> the request for approval of the merger.  </w:t>
      </w:r>
      <w:r w:rsidRPr="00CA33F2" w:rsidR="00D43631">
        <w:rPr>
          <w:rStyle w:val="bumpedfont15"/>
          <w:rFonts w:ascii="Times New Roman" w:hAnsi="Times New Roman" w:cs="Times New Roman"/>
          <w:sz w:val="24"/>
          <w:szCs w:val="24"/>
        </w:rPr>
        <w:t>PBGC developed an example alternative allocation method that satisfies the requirements in § 4262.16(f)(3)(iv) and (v)</w:t>
      </w:r>
      <w:r w:rsidRPr="00CA33F2" w:rsidR="004519B0">
        <w:rPr>
          <w:rStyle w:val="bumpedfont15"/>
          <w:rFonts w:ascii="Times New Roman" w:hAnsi="Times New Roman" w:cs="Times New Roman"/>
          <w:sz w:val="24"/>
          <w:szCs w:val="24"/>
        </w:rPr>
        <w:t xml:space="preserve"> </w:t>
      </w:r>
      <w:r w:rsidRPr="00CA33F2" w:rsidR="004519B0">
        <w:rPr>
          <w:rFonts w:ascii="Times New Roman" w:hAnsi="Times New Roman" w:cs="Times New Roman"/>
          <w:sz w:val="24"/>
          <w:szCs w:val="24"/>
        </w:rPr>
        <w:t>that the merged plan must use 4044 Rates until the later of 10 years or until the SFA exhaustion year (as described in</w:t>
      </w:r>
      <w:r w:rsidRPr="00CA33F2" w:rsidR="00BD2B13">
        <w:rPr>
          <w:rFonts w:ascii="Times New Roman" w:hAnsi="Times New Roman" w:cs="Times New Roman"/>
          <w:sz w:val="24"/>
          <w:szCs w:val="24"/>
        </w:rPr>
        <w:t xml:space="preserve"> </w:t>
      </w:r>
      <w:r w:rsidRPr="00CA33F2" w:rsidR="004519B0">
        <w:rPr>
          <w:rFonts w:ascii="Times New Roman" w:hAnsi="Times New Roman" w:cs="Times New Roman"/>
          <w:sz w:val="24"/>
          <w:szCs w:val="24"/>
        </w:rPr>
        <w:t>§ 4262.16(g)(1)(ii)), and must phase-in SFA, to calculate the UVBs that arose under the SFA recipient plan before the merger.</w:t>
      </w:r>
      <w:r w:rsidRPr="00CA33F2" w:rsidR="006F3673">
        <w:rPr>
          <w:rFonts w:ascii="Times New Roman" w:hAnsi="Times New Roman" w:cs="Times New Roman"/>
          <w:sz w:val="24"/>
          <w:szCs w:val="24"/>
        </w:rPr>
        <w:t xml:space="preserve">  </w:t>
      </w:r>
    </w:p>
    <w:p w:rsidR="00FA63A0" w:rsidRPr="00CA33F2" w:rsidP="00081424" w14:paraId="3ADBC4AE" w14:textId="77777777">
      <w:pPr>
        <w:pStyle w:val="NormalWeb"/>
        <w:spacing w:before="0" w:beforeAutospacing="0" w:after="0" w:afterAutospacing="0"/>
        <w:rPr>
          <w:rStyle w:val="bumpedfont15"/>
          <w:rFonts w:ascii="Times New Roman" w:hAnsi="Times New Roman" w:cs="Times New Roman"/>
          <w:sz w:val="24"/>
          <w:szCs w:val="24"/>
        </w:rPr>
      </w:pPr>
    </w:p>
    <w:p w:rsidR="004519B0" w:rsidRPr="00CA33F2" w:rsidP="004519B0" w14:paraId="471D87DB" w14:textId="405BC95B">
      <w:pPr>
        <w:rPr>
          <w:rFonts w:cs="Times New Roman"/>
        </w:rPr>
      </w:pPr>
      <w:r w:rsidRPr="00CA33F2">
        <w:rPr>
          <w:rFonts w:cs="Times New Roman"/>
        </w:rPr>
        <w:t>This example</w:t>
      </w:r>
      <w:r w:rsidRPr="00CA33F2" w:rsidR="00B4555C">
        <w:rPr>
          <w:rFonts w:cs="Times New Roman"/>
        </w:rPr>
        <w:t xml:space="preserve"> alternative allocation method</w:t>
      </w:r>
      <w:r w:rsidRPr="00CA33F2" w:rsidR="006F3673">
        <w:rPr>
          <w:rFonts w:cs="Times New Roman"/>
        </w:rPr>
        <w:t xml:space="preserve"> describes</w:t>
      </w:r>
      <w:r w:rsidRPr="00CA33F2">
        <w:rPr>
          <w:rFonts w:cs="Times New Roman"/>
        </w:rPr>
        <w:t xml:space="preserve"> a “two-pool” alternative allocation method. The method allocates plan-wide unfunded vested benefits (UVBs) into two “pools”: the “SFA Pool” and the “Merged Plan Pool.”  To calculate liabilities in the SFA Pool, the plan actuary will project future benefit payments from the plan that received SFA. </w:t>
      </w:r>
      <w:r w:rsidRPr="00CA33F2" w:rsidR="00702643">
        <w:rPr>
          <w:rFonts w:cs="Times New Roman"/>
        </w:rPr>
        <w:t xml:space="preserve"> </w:t>
      </w:r>
      <w:r w:rsidRPr="00CA33F2">
        <w:rPr>
          <w:rFonts w:cs="Times New Roman"/>
        </w:rPr>
        <w:t>Each year, liabilities will be revalued using 4044 Rates according to this projection</w:t>
      </w:r>
      <w:r w:rsidRPr="00CA33F2">
        <w:rPr>
          <w:rFonts w:cs="Times New Roman"/>
        </w:rPr>
        <w:t>.  Assets in the SFA Pool will be recalculated annually to reflect</w:t>
      </w:r>
      <w:r w:rsidRPr="00CA33F2" w:rsidR="000112C9">
        <w:rPr>
          <w:rFonts w:cs="Times New Roman"/>
        </w:rPr>
        <w:t>:</w:t>
      </w:r>
      <w:r w:rsidRPr="00CA33F2">
        <w:rPr>
          <w:rFonts w:cs="Times New Roman"/>
        </w:rPr>
        <w:t xml:space="preserve"> </w:t>
      </w:r>
      <w:r w:rsidRPr="00CA33F2" w:rsidR="000112C9">
        <w:rPr>
          <w:rFonts w:cs="Times New Roman"/>
        </w:rPr>
        <w:t>(</w:t>
      </w:r>
      <w:r w:rsidRPr="00CA33F2" w:rsidR="000112C9">
        <w:rPr>
          <w:rFonts w:cs="Times New Roman"/>
        </w:rPr>
        <w:t>i</w:t>
      </w:r>
      <w:r w:rsidRPr="00CA33F2" w:rsidR="000112C9">
        <w:rPr>
          <w:rFonts w:cs="Times New Roman"/>
        </w:rPr>
        <w:t xml:space="preserve">) </w:t>
      </w:r>
      <w:r w:rsidRPr="00CA33F2">
        <w:rPr>
          <w:rFonts w:cs="Times New Roman"/>
        </w:rPr>
        <w:t>the projected benefit payments</w:t>
      </w:r>
      <w:r w:rsidRPr="00CA33F2" w:rsidR="000112C9">
        <w:rPr>
          <w:rFonts w:cs="Times New Roman"/>
        </w:rPr>
        <w:t>;</w:t>
      </w:r>
      <w:r w:rsidRPr="00CA33F2">
        <w:rPr>
          <w:rFonts w:cs="Times New Roman"/>
        </w:rPr>
        <w:t xml:space="preserve"> </w:t>
      </w:r>
      <w:r w:rsidRPr="00CA33F2" w:rsidR="000112C9">
        <w:rPr>
          <w:rFonts w:cs="Times New Roman"/>
        </w:rPr>
        <w:t xml:space="preserve">(ii) </w:t>
      </w:r>
      <w:r w:rsidRPr="00CA33F2">
        <w:rPr>
          <w:rFonts w:cs="Times New Roman"/>
        </w:rPr>
        <w:t xml:space="preserve">a reasonable assumed investment return (using an assumption consistent with the restrictions on the investment of SFA </w:t>
      </w:r>
      <w:r w:rsidRPr="00CA33F2">
        <w:rPr>
          <w:rFonts w:cs="Times New Roman"/>
        </w:rPr>
        <w:t xml:space="preserve">funds) and any withdrawal liability payments attributable to the SFA Pool, and </w:t>
      </w:r>
      <w:r w:rsidRPr="00CA33F2" w:rsidR="000112C9">
        <w:rPr>
          <w:rFonts w:cs="Times New Roman"/>
        </w:rPr>
        <w:t xml:space="preserve">(iii) </w:t>
      </w:r>
      <w:r w:rsidRPr="00CA33F2">
        <w:rPr>
          <w:rFonts w:cs="Times New Roman"/>
        </w:rPr>
        <w:t xml:space="preserve">the phase-in of SFA under the schedule submitted with the SFA application. </w:t>
      </w:r>
    </w:p>
    <w:p w:rsidR="004519B0" w:rsidRPr="00CA33F2" w:rsidP="00A679F1" w14:paraId="6568FD20" w14:textId="77777777">
      <w:pPr>
        <w:rPr>
          <w:rFonts w:cs="Times New Roman"/>
        </w:rPr>
      </w:pPr>
    </w:p>
    <w:p w:rsidR="004519B0" w:rsidRPr="00CA33F2" w:rsidP="00A679F1" w14:paraId="4D8BD299" w14:textId="559604C1">
      <w:pPr>
        <w:rPr>
          <w:rFonts w:cs="Times New Roman"/>
        </w:rPr>
      </w:pPr>
      <w:r w:rsidRPr="00CA33F2">
        <w:rPr>
          <w:rFonts w:cs="Times New Roman"/>
        </w:rPr>
        <w:t xml:space="preserve">Merged Plan Pool liabilities will consist of total plan vested benefits, minus the remaining projected benefit payments from the SFA Pool. Merged Plan Pool assets will consist of total plan assets, minus the SFA Pool assets (including the amount of phased-in SFA). </w:t>
      </w:r>
      <w:r w:rsidRPr="00CA33F2" w:rsidR="00010AC5">
        <w:rPr>
          <w:rFonts w:cs="Times New Roman"/>
        </w:rPr>
        <w:t xml:space="preserve"> </w:t>
      </w:r>
    </w:p>
    <w:p w:rsidR="004519B0" w:rsidRPr="00CA33F2" w:rsidP="00A679F1" w14:paraId="526E55E5" w14:textId="77777777">
      <w:pPr>
        <w:rPr>
          <w:rFonts w:cs="Times New Roman"/>
        </w:rPr>
      </w:pPr>
    </w:p>
    <w:p w:rsidR="004519B0" w:rsidRPr="00CA33F2" w:rsidP="00A679F1" w14:paraId="032DAB3C" w14:textId="77777777">
      <w:pPr>
        <w:rPr>
          <w:rFonts w:cs="Times New Roman"/>
        </w:rPr>
      </w:pPr>
      <w:r w:rsidRPr="00CA33F2">
        <w:rPr>
          <w:rFonts w:cs="Times New Roman"/>
        </w:rPr>
        <w:t>For a withdrawn employer that contributed to the plan that received SFA before the merger and continued to contribute to the merged plan, withdrawal liability will be the sum of UVBs from each of the two pools.</w:t>
      </w:r>
      <w:r w:rsidRPr="00CA33F2" w:rsidR="00A679F1">
        <w:rPr>
          <w:rFonts w:cs="Times New Roman"/>
        </w:rPr>
        <w:t xml:space="preserve">  </w:t>
      </w:r>
    </w:p>
    <w:p w:rsidR="004519B0" w:rsidRPr="00CA33F2" w:rsidP="00A679F1" w14:paraId="05926F3F" w14:textId="77777777">
      <w:pPr>
        <w:rPr>
          <w:rFonts w:cs="Times New Roman"/>
        </w:rPr>
      </w:pPr>
    </w:p>
    <w:p w:rsidR="001D1C4F" w:rsidRPr="00CA33F2" w:rsidP="00A679F1" w14:paraId="1E83BFD9" w14:textId="78059690">
      <w:pPr>
        <w:rPr>
          <w:rFonts w:cs="Times New Roman"/>
          <w:szCs w:val="24"/>
        </w:rPr>
      </w:pPr>
      <w:r w:rsidRPr="00CA33F2">
        <w:rPr>
          <w:rFonts w:cs="Times New Roman"/>
          <w:szCs w:val="24"/>
        </w:rPr>
        <w:t xml:space="preserve">By segregating the SFA Pool UVBs and using the 4044 Rates and phase-in condition for the SFA Pool, </w:t>
      </w:r>
      <w:r w:rsidRPr="00CA33F2" w:rsidR="000112C9">
        <w:rPr>
          <w:rFonts w:cs="Times New Roman"/>
          <w:szCs w:val="24"/>
        </w:rPr>
        <w:t xml:space="preserve">the plan </w:t>
      </w:r>
      <w:r w:rsidRPr="00CA33F2">
        <w:rPr>
          <w:rFonts w:cs="Times New Roman"/>
          <w:szCs w:val="24"/>
        </w:rPr>
        <w:t xml:space="preserve">satisfies the requirements of </w:t>
      </w:r>
      <w:r w:rsidRPr="00CA33F2">
        <w:rPr>
          <w:rFonts w:cs="Times New Roman"/>
          <w:szCs w:val="24"/>
        </w:rPr>
        <w:t xml:space="preserve">§ </w:t>
      </w:r>
      <w:r w:rsidRPr="00CA33F2">
        <w:rPr>
          <w:rFonts w:cs="Times New Roman"/>
          <w:szCs w:val="24"/>
        </w:rPr>
        <w:t>4262.16(f)(3)(iv) and (v).</w:t>
      </w:r>
      <w:r w:rsidRPr="00CA33F2">
        <w:rPr>
          <w:rFonts w:cs="Times New Roman"/>
          <w:szCs w:val="24"/>
        </w:rPr>
        <w:t xml:space="preserve">  </w:t>
      </w:r>
    </w:p>
    <w:p w:rsidR="001D1C4F" w:rsidRPr="00CA33F2" w:rsidP="00A679F1" w14:paraId="46988613" w14:textId="77777777">
      <w:pPr>
        <w:rPr>
          <w:rFonts w:cs="Times New Roman"/>
          <w:szCs w:val="24"/>
        </w:rPr>
      </w:pPr>
    </w:p>
    <w:p w:rsidR="007C5361" w:rsidRPr="00CA33F2" w:rsidP="007C5361" w14:paraId="61F2BC14" w14:textId="5F4D5DC0">
      <w:pPr>
        <w:rPr>
          <w:rStyle w:val="bumpedfont15"/>
          <w:rFonts w:cs="Times New Roman"/>
          <w:szCs w:val="24"/>
        </w:rPr>
      </w:pPr>
      <w:r w:rsidRPr="00CA33F2">
        <w:rPr>
          <w:rFonts w:cs="Times New Roman"/>
          <w:szCs w:val="24"/>
        </w:rPr>
        <w:t>Adoption of the method does not necessarily mean that the merger will satisfy the risk of loss standard under</w:t>
      </w:r>
      <w:r w:rsidRPr="00CA33F2" w:rsidR="00BD2B13">
        <w:rPr>
          <w:rFonts w:cs="Times New Roman"/>
          <w:szCs w:val="24"/>
        </w:rPr>
        <w:t xml:space="preserve"> </w:t>
      </w:r>
      <w:r w:rsidRPr="00CA33F2">
        <w:rPr>
          <w:rFonts w:cs="Times New Roman"/>
          <w:szCs w:val="24"/>
        </w:rPr>
        <w:t xml:space="preserve">§ 4262.16(f)(1).  </w:t>
      </w:r>
      <w:r w:rsidRPr="00CA33F2" w:rsidR="00527CD3">
        <w:rPr>
          <w:rFonts w:cs="Times New Roman"/>
          <w:szCs w:val="24"/>
        </w:rPr>
        <w:t>For an employer that contributed to the SFA-recipient plan, the</w:t>
      </w:r>
      <w:r w:rsidRPr="00CA33F2" w:rsidR="005C70A4">
        <w:rPr>
          <w:rFonts w:cs="Times New Roman"/>
          <w:szCs w:val="24"/>
        </w:rPr>
        <w:t xml:space="preserve"> </w:t>
      </w:r>
      <w:r w:rsidRPr="00CA33F2" w:rsidR="00527CD3">
        <w:rPr>
          <w:rFonts w:cs="Times New Roman"/>
        </w:rPr>
        <w:t>method is designed to yield an amount of withdrawal liability comparable to the amount the SFA-recipient plan would have determined had it not merged.</w:t>
      </w:r>
      <w:r w:rsidRPr="00CA33F2" w:rsidR="00354458">
        <w:rPr>
          <w:rFonts w:cs="Times New Roman"/>
        </w:rPr>
        <w:t xml:space="preserve">  </w:t>
      </w:r>
      <w:r w:rsidRPr="00CA33F2">
        <w:rPr>
          <w:rFonts w:cs="Times New Roman"/>
          <w:szCs w:val="24"/>
        </w:rPr>
        <w:t>Nevertheless, each</w:t>
      </w:r>
      <w:r w:rsidRPr="00CA33F2" w:rsidR="005C70A4">
        <w:rPr>
          <w:rFonts w:cs="Times New Roman"/>
          <w:szCs w:val="24"/>
        </w:rPr>
        <w:t xml:space="preserve"> merger must be considered on its own terms to determine whether the merger increases the risk of loss to PBGC and whether the merger is adverse to the overall interests of participants and beneficiaries.</w:t>
      </w:r>
      <w:r w:rsidRPr="00CA33F2" w:rsidR="00641807">
        <w:rPr>
          <w:rFonts w:cs="Times New Roman"/>
          <w:szCs w:val="24"/>
        </w:rPr>
        <w:t xml:space="preserve">  </w:t>
      </w:r>
      <w:r w:rsidRPr="00CA33F2">
        <w:rPr>
          <w:rFonts w:cs="Times New Roman"/>
          <w:szCs w:val="24"/>
        </w:rPr>
        <w:t>For example, the merger of a large SFA-recipient plan with a smaller, better-funded plan or plans may fail to satisfy the risk of loss standard.  A merger of this type might accelerate the projected insolvency date of the smaller plan, putting participants and beneficiaries, and PBGC, in a worse position than if the merger did not occur.</w:t>
      </w:r>
      <w:r w:rsidRPr="00CA33F2" w:rsidR="00435AAC">
        <w:rPr>
          <w:rFonts w:cs="Times New Roman"/>
          <w:szCs w:val="24"/>
        </w:rPr>
        <w:t xml:space="preserve">  </w:t>
      </w:r>
      <w:r w:rsidRPr="00CA33F2" w:rsidR="006329B9">
        <w:rPr>
          <w:rFonts w:cs="Times New Roman"/>
          <w:szCs w:val="24"/>
        </w:rPr>
        <w:t xml:space="preserve">On the other hand, the merger of a large better-funded plan with a smaller SFA-recipient plan may often satisfy the risk of loss standard.        </w:t>
      </w:r>
    </w:p>
    <w:p w:rsidR="00641807" w:rsidRPr="00CA33F2" w:rsidP="00641807" w14:paraId="72E2DFCD" w14:textId="3826373D">
      <w:pPr>
        <w:rPr>
          <w:rStyle w:val="bumpedfont15"/>
          <w:rFonts w:cs="Times New Roman"/>
          <w:szCs w:val="24"/>
        </w:rPr>
      </w:pPr>
    </w:p>
    <w:p w:rsidR="00A679F1" w:rsidRPr="00CA33F2" w:rsidP="00A679F1" w14:paraId="06D39A3E" w14:textId="4939C808">
      <w:pPr>
        <w:rPr>
          <w:rStyle w:val="bumpedfont15"/>
          <w:rFonts w:cs="Times New Roman"/>
          <w:szCs w:val="24"/>
        </w:rPr>
      </w:pPr>
      <w:r w:rsidRPr="00CA33F2">
        <w:rPr>
          <w:rStyle w:val="bumpedfont15"/>
          <w:rFonts w:cs="Times New Roman"/>
          <w:szCs w:val="24"/>
        </w:rPr>
        <w:t xml:space="preserve">To demonstrate how this two-pool alternative allocation method works, PBGC </w:t>
      </w:r>
      <w:r w:rsidRPr="00CA33F2" w:rsidR="00080724">
        <w:rPr>
          <w:rStyle w:val="bumpedfont15"/>
          <w:rFonts w:cs="Times New Roman"/>
          <w:szCs w:val="24"/>
        </w:rPr>
        <w:t>will</w:t>
      </w:r>
      <w:r w:rsidRPr="00CA33F2">
        <w:rPr>
          <w:rStyle w:val="bumpedfont15"/>
          <w:rFonts w:cs="Times New Roman"/>
          <w:szCs w:val="24"/>
        </w:rPr>
        <w:t xml:space="preserve"> publish </w:t>
      </w:r>
      <w:r w:rsidRPr="00CA33F2" w:rsidR="00702643">
        <w:rPr>
          <w:rStyle w:val="bumpedfont15"/>
          <w:rFonts w:cs="Times New Roman"/>
          <w:szCs w:val="24"/>
        </w:rPr>
        <w:t xml:space="preserve">on its website </w:t>
      </w:r>
      <w:r w:rsidRPr="00CA33F2">
        <w:rPr>
          <w:rStyle w:val="bumpedfont15"/>
          <w:rFonts w:cs="Times New Roman"/>
          <w:szCs w:val="24"/>
        </w:rPr>
        <w:t xml:space="preserve">an example of </w:t>
      </w:r>
      <w:r w:rsidRPr="00CA33F2" w:rsidR="00080724">
        <w:rPr>
          <w:rStyle w:val="bumpedfont15"/>
          <w:rFonts w:cs="Times New Roman"/>
          <w:szCs w:val="24"/>
        </w:rPr>
        <w:t xml:space="preserve">an </w:t>
      </w:r>
      <w:r w:rsidRPr="00CA33F2">
        <w:rPr>
          <w:rStyle w:val="bumpedfont15"/>
          <w:rFonts w:cs="Times New Roman"/>
          <w:szCs w:val="24"/>
        </w:rPr>
        <w:t xml:space="preserve">amendment </w:t>
      </w:r>
      <w:r w:rsidRPr="00CA33F2" w:rsidR="00364540">
        <w:rPr>
          <w:rStyle w:val="bumpedfont15"/>
          <w:rFonts w:cs="Times New Roman"/>
          <w:szCs w:val="24"/>
        </w:rPr>
        <w:t xml:space="preserve">that would satisfy the necessary criteria under </w:t>
      </w:r>
      <w:r w:rsidRPr="00CA33F2" w:rsidR="000571D5">
        <w:rPr>
          <w:rStyle w:val="bumpedfont15"/>
          <w:rFonts w:cs="Times New Roman"/>
          <w:szCs w:val="24"/>
        </w:rPr>
        <w:t>§ 4262.16(f)(3)(iv) and (v)</w:t>
      </w:r>
      <w:r w:rsidRPr="00CA33F2" w:rsidR="00C013CC">
        <w:rPr>
          <w:rStyle w:val="bumpedfont15"/>
          <w:rFonts w:cs="Times New Roman"/>
          <w:szCs w:val="24"/>
        </w:rPr>
        <w:t>, along with a spreadsheet of illustrative calculations</w:t>
      </w:r>
      <w:r w:rsidRPr="00CA33F2" w:rsidR="00364540">
        <w:rPr>
          <w:rStyle w:val="bumpedfont15"/>
          <w:rFonts w:cs="Times New Roman"/>
          <w:szCs w:val="24"/>
        </w:rPr>
        <w:t xml:space="preserve">.  Along with this example, PBGC will be publishing Frequently Asked Questions on its website to provide background information on this alternative allocation method, as well as answer some other common questions related to </w:t>
      </w:r>
      <w:r w:rsidRPr="00CA33F2" w:rsidR="00D0604D">
        <w:rPr>
          <w:rStyle w:val="bumpedfont15"/>
          <w:rFonts w:cs="Times New Roman"/>
          <w:szCs w:val="24"/>
        </w:rPr>
        <w:t>mergers involving SFA plans</w:t>
      </w:r>
      <w:r w:rsidRPr="00CA33F2" w:rsidR="00364540">
        <w:rPr>
          <w:rStyle w:val="bumpedfont15"/>
          <w:rFonts w:cs="Times New Roman"/>
          <w:szCs w:val="24"/>
        </w:rPr>
        <w:t>.</w:t>
      </w:r>
    </w:p>
    <w:p w:rsidR="00080724" w:rsidRPr="00CA33F2" w:rsidP="00A679F1" w14:paraId="78F271F0" w14:textId="77777777">
      <w:pPr>
        <w:rPr>
          <w:rStyle w:val="bumpedfont15"/>
          <w:rFonts w:cs="Times New Roman"/>
          <w:szCs w:val="24"/>
        </w:rPr>
      </w:pPr>
    </w:p>
    <w:p w:rsidR="00080724" w:rsidRPr="00CA33F2" w:rsidP="00A679F1" w14:paraId="04FAEF32" w14:textId="6BD6095E">
      <w:pPr>
        <w:rPr>
          <w:rStyle w:val="bumpedfont15"/>
          <w:rFonts w:cs="Times New Roman"/>
          <w:szCs w:val="24"/>
        </w:rPr>
      </w:pPr>
      <w:r w:rsidRPr="00CA33F2">
        <w:rPr>
          <w:rStyle w:val="bumpedfont15"/>
          <w:rFonts w:cs="Times New Roman"/>
          <w:szCs w:val="24"/>
        </w:rPr>
        <w:t>The</w:t>
      </w:r>
      <w:r w:rsidRPr="00CA33F2" w:rsidR="00536C13">
        <w:rPr>
          <w:rStyle w:val="bumpedfont15"/>
          <w:rFonts w:cs="Times New Roman"/>
          <w:szCs w:val="24"/>
        </w:rPr>
        <w:t>se changes will not impact the time or cost burden associated with this information collection.</w:t>
      </w:r>
    </w:p>
    <w:p w:rsidR="00536C13" w:rsidRPr="00CA33F2" w:rsidP="00A679F1" w14:paraId="5F49447A" w14:textId="77777777">
      <w:pPr>
        <w:rPr>
          <w:rStyle w:val="bumpedfont15"/>
          <w:rFonts w:cs="Times New Roman"/>
          <w:szCs w:val="24"/>
        </w:rPr>
      </w:pPr>
    </w:p>
    <w:p w:rsidR="00536C13" w:rsidRPr="00CA33F2" w:rsidP="00A679F1" w14:paraId="3D501935" w14:textId="0165190F">
      <w:pPr>
        <w:rPr>
          <w:rStyle w:val="bumpedfont15"/>
          <w:rFonts w:cs="Times New Roman"/>
          <w:szCs w:val="24"/>
        </w:rPr>
      </w:pPr>
      <w:r w:rsidRPr="00CA33F2">
        <w:rPr>
          <w:rStyle w:val="bumpedfont15"/>
          <w:rFonts w:cs="Times New Roman"/>
          <w:szCs w:val="24"/>
        </w:rPr>
        <w:t>The Frequently Asked Questions are as follows.</w:t>
      </w:r>
    </w:p>
    <w:p w:rsidR="00536C13" w:rsidRPr="00CA33F2" w:rsidP="00A679F1" w14:paraId="3DF7BFCC" w14:textId="77777777">
      <w:pPr>
        <w:rPr>
          <w:rStyle w:val="bumpedfont15"/>
          <w:rFonts w:cs="Times New Roman"/>
          <w:szCs w:val="24"/>
        </w:rPr>
      </w:pPr>
    </w:p>
    <w:p w:rsidR="00E821A3" w:rsidRPr="00CA33F2" w:rsidP="00E821A3" w14:paraId="7874C8B7" w14:textId="77777777">
      <w:pPr>
        <w:jc w:val="center"/>
        <w:rPr>
          <w:rFonts w:cs="Times New Roman"/>
          <w:b/>
          <w:bCs/>
          <w:szCs w:val="24"/>
          <w:u w:val="single"/>
        </w:rPr>
      </w:pPr>
      <w:r w:rsidRPr="00CA33F2">
        <w:rPr>
          <w:rFonts w:cs="Times New Roman"/>
          <w:b/>
          <w:bCs/>
          <w:szCs w:val="24"/>
          <w:u w:val="single"/>
        </w:rPr>
        <w:t>Withdrawal Liability SFA Merger FAQs for Practitioners</w:t>
      </w:r>
    </w:p>
    <w:p w:rsidR="00E821A3" w:rsidRPr="00CA33F2" w:rsidP="00E821A3" w14:paraId="33450D44" w14:textId="77777777">
      <w:pPr>
        <w:jc w:val="center"/>
        <w:rPr>
          <w:rFonts w:cs="Times New Roman"/>
          <w:b/>
          <w:bCs/>
          <w:szCs w:val="24"/>
        </w:rPr>
      </w:pPr>
      <w:r w:rsidRPr="00CA33F2">
        <w:rPr>
          <w:rFonts w:cs="Times New Roman"/>
          <w:b/>
          <w:bCs/>
          <w:szCs w:val="24"/>
        </w:rPr>
        <w:t>Withdrawal Liability</w:t>
      </w:r>
    </w:p>
    <w:p w:rsidR="00C013CC" w:rsidRPr="00CA33F2" w:rsidP="00E821A3" w14:paraId="5F0AA032" w14:textId="77777777">
      <w:pPr>
        <w:rPr>
          <w:rFonts w:cs="Times New Roman"/>
          <w:b/>
          <w:bCs/>
        </w:rPr>
      </w:pPr>
    </w:p>
    <w:p w:rsidR="00C013CC" w:rsidRPr="00CA33F2" w:rsidP="00C013CC" w14:paraId="7FA067C0" w14:textId="77777777">
      <w:pPr>
        <w:rPr>
          <w:rFonts w:cs="Times New Roman"/>
          <w:b/>
          <w:bCs/>
        </w:rPr>
      </w:pPr>
      <w:r w:rsidRPr="00CA33F2">
        <w:rPr>
          <w:rFonts w:cs="Times New Roman"/>
          <w:b/>
          <w:bCs/>
        </w:rPr>
        <w:t>Criteria for Mergers Involving Plans that Received SFA</w:t>
      </w:r>
    </w:p>
    <w:p w:rsidR="00C013CC" w:rsidRPr="00CA33F2" w:rsidP="00C013CC" w14:paraId="5E25D1E8" w14:textId="77777777">
      <w:pPr>
        <w:rPr>
          <w:rFonts w:cs="Times New Roman"/>
          <w:b/>
          <w:bCs/>
        </w:rPr>
      </w:pPr>
    </w:p>
    <w:p w:rsidR="00C013CC" w:rsidRPr="00CA33F2" w:rsidP="00C013CC" w14:paraId="47B937D8" w14:textId="77777777">
      <w:pPr>
        <w:rPr>
          <w:rFonts w:cs="Times New Roman"/>
          <w:b/>
          <w:bCs/>
          <w:i/>
          <w:iCs/>
        </w:rPr>
      </w:pPr>
      <w:r w:rsidRPr="00CA33F2">
        <w:rPr>
          <w:rFonts w:cs="Times New Roman"/>
          <w:b/>
          <w:bCs/>
        </w:rPr>
        <w:t xml:space="preserve">Q: </w:t>
      </w:r>
      <w:r w:rsidRPr="00CA33F2">
        <w:rPr>
          <w:rFonts w:cs="Times New Roman"/>
          <w:b/>
          <w:bCs/>
          <w:i/>
          <w:iCs/>
        </w:rPr>
        <w:t>What are the eligibility requirements for a merger involving a plan that received SFA?</w:t>
      </w:r>
    </w:p>
    <w:p w:rsidR="00C013CC" w:rsidRPr="00CA33F2" w:rsidP="00C013CC" w14:paraId="550EDC11" w14:textId="77777777">
      <w:pPr>
        <w:rPr>
          <w:rFonts w:cs="Times New Roman"/>
          <w:b/>
          <w:bCs/>
        </w:rPr>
      </w:pPr>
    </w:p>
    <w:p w:rsidR="00C013CC" w:rsidRPr="00CA33F2" w:rsidP="00C013CC" w14:paraId="27A0467E" w14:textId="77777777">
      <w:pPr>
        <w:rPr>
          <w:rFonts w:cs="Times New Roman"/>
        </w:rPr>
      </w:pPr>
      <w:r w:rsidRPr="00CA33F2">
        <w:rPr>
          <w:rFonts w:cs="Times New Roman"/>
        </w:rPr>
        <w:t>A: An SFA-recipient plan must satisfy the following statutory and regulatory conditions for PBGC to approve a merger involving that plan:</w:t>
      </w:r>
    </w:p>
    <w:p w:rsidR="00C013CC" w:rsidRPr="00CA33F2" w:rsidP="00C013CC" w14:paraId="4ABD0E43" w14:textId="77777777">
      <w:pPr>
        <w:numPr>
          <w:ilvl w:val="0"/>
          <w:numId w:val="29"/>
        </w:numPr>
        <w:rPr>
          <w:rFonts w:cs="Times New Roman"/>
        </w:rPr>
      </w:pPr>
      <w:r w:rsidRPr="00CA33F2">
        <w:rPr>
          <w:rFonts w:cs="Times New Roman"/>
        </w:rPr>
        <w:t>The merger must comply with § 4231(a)-(d) of ERISA, and</w:t>
      </w:r>
    </w:p>
    <w:p w:rsidR="00C013CC" w:rsidRPr="00CA33F2" w:rsidP="00C013CC" w14:paraId="51D90CE9" w14:textId="77777777">
      <w:pPr>
        <w:numPr>
          <w:ilvl w:val="0"/>
          <w:numId w:val="29"/>
        </w:numPr>
        <w:rPr>
          <w:rFonts w:cs="Times New Roman"/>
        </w:rPr>
      </w:pPr>
      <w:r w:rsidRPr="00CA33F2">
        <w:rPr>
          <w:rFonts w:cs="Times New Roman"/>
        </w:rPr>
        <w:t>The merger must not unreasonably increase PBGC’s risk of loss and must not reasonably be expected to be adverse to the overall interests of the participants and beneficiaries of any of the plans involved in the merger.</w:t>
      </w:r>
      <w:r w:rsidRPr="00CA33F2">
        <w:rPr>
          <w:rFonts w:cs="Times New Roman"/>
          <w:vertAlign w:val="superscript"/>
        </w:rPr>
        <w:t xml:space="preserve"> </w:t>
      </w:r>
      <w:r>
        <w:rPr>
          <w:rFonts w:cs="Times New Roman"/>
          <w:vertAlign w:val="superscript"/>
        </w:rPr>
        <w:footnoteReference w:id="3"/>
      </w:r>
    </w:p>
    <w:p w:rsidR="00C013CC" w:rsidRPr="00CA33F2" w:rsidP="00C013CC" w14:paraId="20CB9381" w14:textId="77777777">
      <w:pPr>
        <w:ind w:left="720"/>
        <w:rPr>
          <w:rFonts w:cs="Times New Roman"/>
          <w:b/>
          <w:bCs/>
        </w:rPr>
      </w:pPr>
    </w:p>
    <w:p w:rsidR="00C013CC" w:rsidRPr="00CA33F2" w:rsidP="00C013CC" w14:paraId="0ED1280E" w14:textId="77777777">
      <w:pPr>
        <w:rPr>
          <w:rFonts w:cs="Times New Roman"/>
          <w:b/>
          <w:bCs/>
        </w:rPr>
      </w:pPr>
      <w:r w:rsidRPr="00CA33F2">
        <w:rPr>
          <w:rFonts w:cs="Times New Roman"/>
          <w:b/>
          <w:bCs/>
        </w:rPr>
        <w:t xml:space="preserve">Q: </w:t>
      </w:r>
      <w:r w:rsidRPr="00CA33F2">
        <w:rPr>
          <w:rFonts w:cs="Times New Roman"/>
          <w:b/>
          <w:bCs/>
          <w:i/>
          <w:iCs/>
        </w:rPr>
        <w:t>What conditions apply after the merger?</w:t>
      </w:r>
      <w:r w:rsidRPr="00CA33F2">
        <w:rPr>
          <w:rFonts w:cs="Times New Roman"/>
          <w:b/>
          <w:bCs/>
        </w:rPr>
        <w:t xml:space="preserve"> </w:t>
      </w:r>
    </w:p>
    <w:p w:rsidR="00C013CC" w:rsidRPr="00CA33F2" w:rsidP="00C013CC" w14:paraId="6FA06A65" w14:textId="77777777">
      <w:pPr>
        <w:rPr>
          <w:rFonts w:cs="Times New Roman"/>
          <w:b/>
          <w:bCs/>
        </w:rPr>
      </w:pPr>
    </w:p>
    <w:p w:rsidR="00C013CC" w:rsidRPr="00CA33F2" w:rsidP="00C013CC" w14:paraId="08FA59A9" w14:textId="77777777">
      <w:pPr>
        <w:rPr>
          <w:rFonts w:cs="Times New Roman"/>
        </w:rPr>
      </w:pPr>
      <w:r w:rsidRPr="00CA33F2">
        <w:rPr>
          <w:rFonts w:cs="Times New Roman"/>
        </w:rPr>
        <w:t>A: The following restrictions and conditions apply to the merged plan:</w:t>
      </w:r>
    </w:p>
    <w:p w:rsidR="00C013CC" w:rsidRPr="00CA33F2" w:rsidP="00C013CC" w14:paraId="074E6132" w14:textId="77777777">
      <w:pPr>
        <w:numPr>
          <w:ilvl w:val="0"/>
          <w:numId w:val="30"/>
        </w:numPr>
        <w:rPr>
          <w:rFonts w:cs="Times New Roman"/>
        </w:rPr>
      </w:pPr>
      <w:r w:rsidRPr="00CA33F2">
        <w:rPr>
          <w:rFonts w:cs="Times New Roman"/>
        </w:rPr>
        <w:t>SFA may be used only to make benefit payments and pay administrative expenses and may be used before other plan assets to do so.</w:t>
      </w:r>
      <w:r>
        <w:rPr>
          <w:rFonts w:cs="Times New Roman"/>
          <w:vertAlign w:val="superscript"/>
        </w:rPr>
        <w:footnoteReference w:id="4"/>
      </w:r>
    </w:p>
    <w:p w:rsidR="00C013CC" w:rsidRPr="00CA33F2" w:rsidP="00C013CC" w14:paraId="64F36280" w14:textId="43578BA4">
      <w:pPr>
        <w:numPr>
          <w:ilvl w:val="0"/>
          <w:numId w:val="30"/>
        </w:numPr>
        <w:rPr>
          <w:rFonts w:cs="Times New Roman"/>
        </w:rPr>
      </w:pPr>
      <w:r w:rsidRPr="00CA33F2">
        <w:rPr>
          <w:rFonts w:cs="Times New Roman"/>
        </w:rPr>
        <w:t xml:space="preserve">SFA must be segregated from other plan assets and must be invested in investment grade bonds or other investments permitted </w:t>
      </w:r>
      <w:r w:rsidRPr="00CA33F2" w:rsidR="002F68CE">
        <w:rPr>
          <w:rFonts w:cs="Times New Roman"/>
        </w:rPr>
        <w:t>unde</w:t>
      </w:r>
      <w:r w:rsidRPr="00CA33F2" w:rsidR="000C0C5F">
        <w:rPr>
          <w:rFonts w:cs="Times New Roman"/>
        </w:rPr>
        <w:t>r applicable regulations.</w:t>
      </w:r>
      <w:r>
        <w:rPr>
          <w:rFonts w:cs="Times New Roman"/>
          <w:vertAlign w:val="superscript"/>
        </w:rPr>
        <w:footnoteReference w:id="5"/>
      </w:r>
    </w:p>
    <w:p w:rsidR="00C013CC" w:rsidRPr="00CA33F2" w:rsidP="00C013CC" w14:paraId="6816B033" w14:textId="77777777">
      <w:pPr>
        <w:numPr>
          <w:ilvl w:val="0"/>
          <w:numId w:val="30"/>
        </w:numPr>
        <w:rPr>
          <w:rFonts w:cs="Times New Roman"/>
        </w:rPr>
      </w:pPr>
      <w:r w:rsidRPr="00CA33F2">
        <w:rPr>
          <w:rFonts w:cs="Times New Roman"/>
        </w:rPr>
        <w:t>When determining withdrawal liability after the merger, the merged plan must:</w:t>
      </w:r>
    </w:p>
    <w:p w:rsidR="00C013CC" w:rsidRPr="00CA33F2" w:rsidP="00C013CC" w14:paraId="49727D5A" w14:textId="3B58A0E4">
      <w:pPr>
        <w:numPr>
          <w:ilvl w:val="1"/>
          <w:numId w:val="30"/>
        </w:numPr>
        <w:rPr>
          <w:rFonts w:cs="Times New Roman"/>
        </w:rPr>
      </w:pPr>
      <w:r w:rsidRPr="00CA33F2">
        <w:rPr>
          <w:rFonts w:cs="Times New Roman"/>
        </w:rPr>
        <w:t>Use the interest assumptions in appendix B to part 4044 when determining the unfunded vested benefits (UVBs) that arose under the plan that received SFA before the date of the merger, until the later of 10 plan years after the first plan year in which the plan received SFA, or the end of the plan year in which exhaustion of SFA assets was projected,</w:t>
      </w:r>
      <w:r>
        <w:rPr>
          <w:rFonts w:cs="Times New Roman"/>
          <w:vertAlign w:val="superscript"/>
        </w:rPr>
        <w:footnoteReference w:id="6"/>
      </w:r>
      <w:r w:rsidRPr="00CA33F2">
        <w:rPr>
          <w:rFonts w:cs="Times New Roman"/>
        </w:rPr>
        <w:t xml:space="preserve"> and</w:t>
      </w:r>
    </w:p>
    <w:p w:rsidR="00C013CC" w:rsidRPr="00CA33F2" w:rsidP="00C013CC" w14:paraId="483FC3F4" w14:textId="77777777">
      <w:pPr>
        <w:numPr>
          <w:ilvl w:val="1"/>
          <w:numId w:val="30"/>
        </w:numPr>
        <w:rPr>
          <w:rFonts w:cs="Times New Roman"/>
        </w:rPr>
      </w:pPr>
      <w:r w:rsidRPr="00CA33F2">
        <w:rPr>
          <w:rFonts w:cs="Times New Roman"/>
        </w:rPr>
        <w:t>Use the SFA phase-in condition to determine the UVBs that arose under the plan that received SFA before the date of the merger.</w:t>
      </w:r>
      <w:r>
        <w:rPr>
          <w:rFonts w:cs="Times New Roman"/>
          <w:vertAlign w:val="superscript"/>
        </w:rPr>
        <w:footnoteReference w:id="7"/>
      </w:r>
      <w:r w:rsidRPr="00CA33F2">
        <w:rPr>
          <w:rFonts w:cs="Times New Roman"/>
        </w:rPr>
        <w:t xml:space="preserve"> </w:t>
      </w:r>
    </w:p>
    <w:p w:rsidR="00C013CC" w:rsidRPr="00CA33F2" w:rsidP="00C013CC" w14:paraId="514D54CF" w14:textId="77777777">
      <w:pPr>
        <w:numPr>
          <w:ilvl w:val="0"/>
          <w:numId w:val="30"/>
        </w:numPr>
        <w:rPr>
          <w:rFonts w:cs="Times New Roman"/>
        </w:rPr>
      </w:pPr>
      <w:r w:rsidRPr="00CA33F2">
        <w:rPr>
          <w:rFonts w:cs="Times New Roman"/>
        </w:rPr>
        <w:t>The merged plan must obtain PBGC approval for a proposed settlement of withdrawal liability if the amount of withdrawal liability to be settled is more than $50 million.</w:t>
      </w:r>
      <w:r>
        <w:rPr>
          <w:rFonts w:cs="Times New Roman"/>
          <w:vertAlign w:val="superscript"/>
        </w:rPr>
        <w:footnoteReference w:id="8"/>
      </w:r>
      <w:r w:rsidRPr="00CA33F2">
        <w:rPr>
          <w:rFonts w:cs="Times New Roman"/>
        </w:rPr>
        <w:t xml:space="preserve"> </w:t>
      </w:r>
    </w:p>
    <w:p w:rsidR="00C013CC" w:rsidRPr="00CA33F2" w:rsidP="00C013CC" w14:paraId="1EBB7BFE" w14:textId="77777777">
      <w:pPr>
        <w:numPr>
          <w:ilvl w:val="0"/>
          <w:numId w:val="30"/>
        </w:numPr>
        <w:rPr>
          <w:rFonts w:cs="Times New Roman"/>
        </w:rPr>
      </w:pPr>
      <w:r w:rsidRPr="00CA33F2">
        <w:rPr>
          <w:rFonts w:cs="Times New Roman"/>
        </w:rPr>
        <w:t>The merged plan must submit an annual statement of compliance through the last plan year ending in 2051.</w:t>
      </w:r>
      <w:r>
        <w:rPr>
          <w:rFonts w:cs="Times New Roman"/>
          <w:vertAlign w:val="superscript"/>
        </w:rPr>
        <w:footnoteReference w:id="9"/>
      </w:r>
      <w:r w:rsidRPr="00CA33F2">
        <w:rPr>
          <w:rFonts w:cs="Times New Roman"/>
        </w:rPr>
        <w:t xml:space="preserve"> </w:t>
      </w:r>
    </w:p>
    <w:p w:rsidR="00C013CC" w:rsidRPr="00CA33F2" w:rsidP="00C013CC" w14:paraId="19907D3E" w14:textId="77777777">
      <w:pPr>
        <w:rPr>
          <w:rFonts w:cs="Times New Roman"/>
        </w:rPr>
      </w:pPr>
      <w:r w:rsidRPr="00CA33F2">
        <w:rPr>
          <w:rFonts w:cs="Times New Roman"/>
        </w:rPr>
        <w:t>The following restrictions and conditions continue to apply only to the plan that received SFA before the merger during the SFA coverage period, unless a waiver is approved:</w:t>
      </w:r>
    </w:p>
    <w:p w:rsidR="00C013CC" w:rsidRPr="00CA33F2" w:rsidP="00C013CC" w14:paraId="57216F51" w14:textId="77777777">
      <w:pPr>
        <w:numPr>
          <w:ilvl w:val="0"/>
          <w:numId w:val="31"/>
        </w:numPr>
        <w:rPr>
          <w:rFonts w:cs="Times New Roman"/>
        </w:rPr>
      </w:pPr>
      <w:r w:rsidRPr="00CA33F2">
        <w:rPr>
          <w:rFonts w:cs="Times New Roman"/>
        </w:rPr>
        <w:t>No retrospective benefit increases for participants who were in SFA-recipient plan before the merger,</w:t>
      </w:r>
      <w:r>
        <w:rPr>
          <w:rFonts w:cs="Times New Roman"/>
          <w:vertAlign w:val="superscript"/>
        </w:rPr>
        <w:footnoteReference w:id="10"/>
      </w:r>
    </w:p>
    <w:p w:rsidR="00C013CC" w:rsidRPr="00CA33F2" w:rsidP="00C013CC" w14:paraId="38B84E51" w14:textId="77777777">
      <w:pPr>
        <w:numPr>
          <w:ilvl w:val="0"/>
          <w:numId w:val="31"/>
        </w:numPr>
        <w:rPr>
          <w:rFonts w:cs="Times New Roman"/>
        </w:rPr>
      </w:pPr>
      <w:r w:rsidRPr="00CA33F2">
        <w:rPr>
          <w:rFonts w:cs="Times New Roman"/>
        </w:rPr>
        <w:t>No contribution decreases for employers who contributed to SFA-recipient plan,</w:t>
      </w:r>
      <w:r>
        <w:rPr>
          <w:rFonts w:cs="Times New Roman"/>
          <w:vertAlign w:val="superscript"/>
        </w:rPr>
        <w:footnoteReference w:id="11"/>
      </w:r>
      <w:r w:rsidRPr="00CA33F2">
        <w:rPr>
          <w:rFonts w:cs="Times New Roman"/>
        </w:rPr>
        <w:t xml:space="preserve"> and</w:t>
      </w:r>
    </w:p>
    <w:p w:rsidR="00C013CC" w:rsidRPr="00CA33F2" w:rsidP="00C013CC" w14:paraId="11A155BE" w14:textId="22FE5A0B">
      <w:pPr>
        <w:numPr>
          <w:ilvl w:val="0"/>
          <w:numId w:val="31"/>
        </w:numPr>
        <w:rPr>
          <w:rFonts w:cs="Times New Roman"/>
        </w:rPr>
      </w:pPr>
      <w:r w:rsidRPr="00CA33F2">
        <w:rPr>
          <w:rFonts w:cs="Times New Roman"/>
        </w:rPr>
        <w:t>Where income</w:t>
      </w:r>
      <w:r w:rsidRPr="00CA33F2" w:rsidR="00076F49">
        <w:rPr>
          <w:rFonts w:cs="Times New Roman"/>
        </w:rPr>
        <w:t xml:space="preserve"> or contributions</w:t>
      </w:r>
      <w:r w:rsidRPr="00CA33F2" w:rsidR="006F3673">
        <w:rPr>
          <w:rFonts w:cs="Times New Roman"/>
        </w:rPr>
        <w:t xml:space="preserve"> </w:t>
      </w:r>
      <w:r w:rsidRPr="00CA33F2">
        <w:rPr>
          <w:rFonts w:cs="Times New Roman"/>
        </w:rPr>
        <w:t>are divided between a plan that received SFA and another benefit plan, the allocation of income to SFA-recipient plan may not decrease.</w:t>
      </w:r>
      <w:r>
        <w:rPr>
          <w:rFonts w:cs="Times New Roman"/>
          <w:vertAlign w:val="superscript"/>
        </w:rPr>
        <w:footnoteReference w:id="12"/>
      </w:r>
      <w:r w:rsidRPr="00CA33F2">
        <w:rPr>
          <w:rFonts w:cs="Times New Roman"/>
        </w:rPr>
        <w:t xml:space="preserve">  </w:t>
      </w:r>
    </w:p>
    <w:p w:rsidR="00C013CC" w:rsidRPr="00CA33F2" w:rsidP="00C013CC" w14:paraId="494FC675" w14:textId="77777777">
      <w:pPr>
        <w:rPr>
          <w:rFonts w:cs="Times New Roman"/>
          <w:b/>
          <w:bCs/>
        </w:rPr>
      </w:pPr>
    </w:p>
    <w:p w:rsidR="00C013CC" w:rsidRPr="00CA33F2" w:rsidP="00C013CC" w14:paraId="7563051B" w14:textId="522114A2">
      <w:pPr>
        <w:rPr>
          <w:rFonts w:cs="Times New Roman"/>
          <w:b/>
          <w:bCs/>
          <w:i/>
          <w:iCs/>
        </w:rPr>
      </w:pPr>
      <w:r w:rsidRPr="00CA33F2">
        <w:rPr>
          <w:rFonts w:cs="Times New Roman"/>
          <w:b/>
          <w:bCs/>
        </w:rPr>
        <w:t xml:space="preserve">Q: </w:t>
      </w:r>
      <w:r w:rsidRPr="00CA33F2">
        <w:rPr>
          <w:rFonts w:cs="Times New Roman"/>
          <w:b/>
          <w:bCs/>
          <w:i/>
          <w:iCs/>
        </w:rPr>
        <w:t>May plans request a waiver of any conditions beyond those permitted in § 4262.16(f)(4)?</w:t>
      </w:r>
    </w:p>
    <w:p w:rsidR="00C013CC" w:rsidRPr="00CA33F2" w:rsidP="00C013CC" w14:paraId="26DC0D81" w14:textId="77777777">
      <w:pPr>
        <w:rPr>
          <w:rFonts w:cs="Times New Roman"/>
          <w:b/>
          <w:bCs/>
        </w:rPr>
      </w:pPr>
    </w:p>
    <w:p w:rsidR="00C013CC" w:rsidRPr="00CA33F2" w:rsidP="00C013CC" w14:paraId="72C7C7A7" w14:textId="147D52BE">
      <w:pPr>
        <w:rPr>
          <w:rFonts w:cs="Times New Roman"/>
        </w:rPr>
      </w:pPr>
      <w:r w:rsidRPr="00CA33F2">
        <w:rPr>
          <w:rFonts w:cs="Times New Roman"/>
        </w:rPr>
        <w:t xml:space="preserve">A: No. Plans may only request a waiver of the conditions regarding retrospective benefit increase, contribution decrease, and allocation of contributions and other income for the merged plan. </w:t>
      </w:r>
    </w:p>
    <w:p w:rsidR="00C013CC" w:rsidRPr="00CA33F2" w:rsidP="00C013CC" w14:paraId="2F91E00C" w14:textId="77777777">
      <w:pPr>
        <w:rPr>
          <w:rFonts w:cs="Times New Roman"/>
        </w:rPr>
      </w:pPr>
    </w:p>
    <w:p w:rsidR="00C013CC" w:rsidRPr="00CA33F2" w:rsidP="00C013CC" w14:paraId="754352C4" w14:textId="203BC218">
      <w:pPr>
        <w:rPr>
          <w:rFonts w:cs="Times New Roman"/>
          <w:b/>
          <w:bCs/>
        </w:rPr>
      </w:pPr>
      <w:r w:rsidRPr="00CA33F2">
        <w:rPr>
          <w:rFonts w:cs="Times New Roman"/>
          <w:b/>
          <w:bCs/>
        </w:rPr>
        <w:t>Request for Approval</w:t>
      </w:r>
    </w:p>
    <w:p w:rsidR="00C013CC" w:rsidRPr="00CA33F2" w:rsidP="00C013CC" w14:paraId="657693CE" w14:textId="77777777">
      <w:pPr>
        <w:rPr>
          <w:rFonts w:cs="Times New Roman"/>
          <w:b/>
          <w:bCs/>
        </w:rPr>
      </w:pPr>
    </w:p>
    <w:p w:rsidR="00C013CC" w:rsidRPr="00CA33F2" w:rsidP="00C013CC" w14:paraId="32CB2835" w14:textId="62FED678">
      <w:pPr>
        <w:rPr>
          <w:rFonts w:cs="Times New Roman"/>
          <w:b/>
          <w:bCs/>
          <w:i/>
          <w:iCs/>
        </w:rPr>
      </w:pPr>
      <w:r w:rsidRPr="00CA33F2">
        <w:rPr>
          <w:rFonts w:cs="Times New Roman"/>
          <w:b/>
          <w:bCs/>
        </w:rPr>
        <w:t xml:space="preserve">Q: </w:t>
      </w:r>
      <w:r w:rsidRPr="00CA33F2">
        <w:rPr>
          <w:rFonts w:cs="Times New Roman"/>
          <w:b/>
          <w:bCs/>
          <w:i/>
          <w:iCs/>
        </w:rPr>
        <w:t>Where should a plan representative file a request for approval?</w:t>
      </w:r>
    </w:p>
    <w:p w:rsidR="00C013CC" w:rsidRPr="00CA33F2" w:rsidP="00C013CC" w14:paraId="5CF8537A" w14:textId="77777777">
      <w:pPr>
        <w:rPr>
          <w:rFonts w:cs="Times New Roman"/>
          <w:b/>
          <w:bCs/>
        </w:rPr>
      </w:pPr>
    </w:p>
    <w:p w:rsidR="00C013CC" w:rsidRPr="00CA33F2" w:rsidP="00C013CC" w14:paraId="36D24E99" w14:textId="11113A5A">
      <w:pPr>
        <w:rPr>
          <w:rFonts w:cs="Times New Roman"/>
        </w:rPr>
      </w:pPr>
      <w:r w:rsidRPr="00CA33F2">
        <w:rPr>
          <w:rFonts w:cs="Times New Roman"/>
        </w:rPr>
        <w:t xml:space="preserve">A: Requests for approval may be sent via email to: </w:t>
      </w:r>
      <w:hyperlink r:id="rId10" w:history="1">
        <w:r w:rsidRPr="00CA33F2">
          <w:rPr>
            <w:rStyle w:val="Hyperlink"/>
            <w:rFonts w:cs="Times New Roman"/>
          </w:rPr>
          <w:t>multiemployerprogram@pbgc.gov</w:t>
        </w:r>
      </w:hyperlink>
      <w:r w:rsidRPr="00CA33F2">
        <w:rPr>
          <w:rFonts w:cs="Times New Roman"/>
        </w:rPr>
        <w:t>.</w:t>
      </w:r>
    </w:p>
    <w:p w:rsidR="00C013CC" w:rsidRPr="00CA33F2" w:rsidP="00C013CC" w14:paraId="3D1E1927" w14:textId="77777777">
      <w:pPr>
        <w:rPr>
          <w:rFonts w:cs="Times New Roman"/>
          <w:b/>
          <w:bCs/>
        </w:rPr>
      </w:pPr>
    </w:p>
    <w:p w:rsidR="00C013CC" w:rsidRPr="00CA33F2" w:rsidP="00C013CC" w14:paraId="46B7B147" w14:textId="5A216178">
      <w:pPr>
        <w:rPr>
          <w:rFonts w:cs="Times New Roman"/>
          <w:b/>
          <w:bCs/>
        </w:rPr>
      </w:pPr>
      <w:r w:rsidRPr="00CA33F2">
        <w:rPr>
          <w:rFonts w:cs="Times New Roman"/>
          <w:b/>
          <w:bCs/>
        </w:rPr>
        <w:t xml:space="preserve">Q: </w:t>
      </w:r>
      <w:r w:rsidRPr="00CA33F2">
        <w:rPr>
          <w:rFonts w:cs="Times New Roman"/>
          <w:b/>
          <w:bCs/>
          <w:i/>
          <w:iCs/>
        </w:rPr>
        <w:t>When should a request for waiver of one or more conditions be submitted?</w:t>
      </w:r>
    </w:p>
    <w:p w:rsidR="00C013CC" w:rsidRPr="00CA33F2" w:rsidP="00C013CC" w14:paraId="59F88A2A" w14:textId="77777777">
      <w:pPr>
        <w:rPr>
          <w:rFonts w:cs="Times New Roman"/>
          <w:b/>
          <w:bCs/>
        </w:rPr>
      </w:pPr>
    </w:p>
    <w:p w:rsidR="00C013CC" w:rsidRPr="00CA33F2" w:rsidP="00C013CC" w14:paraId="1018CEE8" w14:textId="3DA765C8">
      <w:pPr>
        <w:rPr>
          <w:rFonts w:cs="Times New Roman"/>
        </w:rPr>
      </w:pPr>
      <w:r w:rsidRPr="00CA33F2">
        <w:rPr>
          <w:rFonts w:cs="Times New Roman"/>
        </w:rPr>
        <w:t xml:space="preserve">A:  A request for a waiver of conditions should be submitted with the request for approval of the merger. </w:t>
      </w:r>
    </w:p>
    <w:p w:rsidR="00C013CC" w:rsidRPr="00CA33F2" w:rsidP="00C013CC" w14:paraId="60445EDB" w14:textId="77777777">
      <w:pPr>
        <w:rPr>
          <w:rFonts w:cs="Times New Roman"/>
          <w:b/>
          <w:bCs/>
        </w:rPr>
      </w:pPr>
    </w:p>
    <w:p w:rsidR="00C013CC" w:rsidRPr="00CA33F2" w:rsidP="00C013CC" w14:paraId="22C65327" w14:textId="2ED9454D">
      <w:pPr>
        <w:rPr>
          <w:rFonts w:cs="Times New Roman"/>
          <w:b/>
          <w:bCs/>
          <w:i/>
          <w:iCs/>
        </w:rPr>
      </w:pPr>
      <w:r w:rsidRPr="00CA33F2">
        <w:rPr>
          <w:rFonts w:cs="Times New Roman"/>
          <w:b/>
          <w:bCs/>
        </w:rPr>
        <w:t xml:space="preserve">Q: </w:t>
      </w:r>
      <w:r w:rsidRPr="00CA33F2">
        <w:rPr>
          <w:rFonts w:cs="Times New Roman"/>
          <w:b/>
          <w:bCs/>
          <w:i/>
          <w:iCs/>
        </w:rPr>
        <w:t xml:space="preserve">May plans confer with PBGC before submitting a request for approval? </w:t>
      </w:r>
    </w:p>
    <w:p w:rsidR="00C013CC" w:rsidRPr="00CA33F2" w:rsidP="00C013CC" w14:paraId="766AA238" w14:textId="77777777">
      <w:pPr>
        <w:rPr>
          <w:rFonts w:cs="Times New Roman"/>
          <w:b/>
          <w:bCs/>
        </w:rPr>
      </w:pPr>
    </w:p>
    <w:p w:rsidR="00C013CC" w:rsidRPr="00CA33F2" w:rsidP="00C013CC" w14:paraId="2D70D3D7" w14:textId="21EF4AEC">
      <w:pPr>
        <w:rPr>
          <w:rFonts w:cs="Times New Roman"/>
        </w:rPr>
      </w:pPr>
      <w:r w:rsidRPr="00CA33F2">
        <w:rPr>
          <w:rFonts w:cs="Times New Roman"/>
        </w:rPr>
        <w:t>A: Yes.  PBGC encourages plans to schedule an informal consultation with PBGC prior to preparing a request for approval</w:t>
      </w:r>
      <w:r w:rsidRPr="00CA33F2" w:rsidR="000112C9">
        <w:rPr>
          <w:rFonts w:cs="Times New Roman"/>
        </w:rPr>
        <w:t xml:space="preserve"> of a merger</w:t>
      </w:r>
      <w:r w:rsidRPr="00CA33F2">
        <w:rPr>
          <w:rFonts w:cs="Times New Roman"/>
        </w:rPr>
        <w:t xml:space="preserve">.  Plans may request an informal consultation by sending an email to: </w:t>
      </w:r>
      <w:hyperlink r:id="rId10" w:history="1">
        <w:r w:rsidRPr="00CA33F2">
          <w:rPr>
            <w:rStyle w:val="Hyperlink"/>
            <w:rFonts w:cs="Times New Roman"/>
          </w:rPr>
          <w:t>multiemployerprogram@pbgc.gov</w:t>
        </w:r>
      </w:hyperlink>
      <w:r w:rsidRPr="00CA33F2">
        <w:rPr>
          <w:rFonts w:cs="Times New Roman"/>
        </w:rPr>
        <w:t>.</w:t>
      </w:r>
    </w:p>
    <w:p w:rsidR="00C013CC" w:rsidRPr="00CA33F2" w:rsidP="00C013CC" w14:paraId="2F20DD79" w14:textId="77777777">
      <w:pPr>
        <w:rPr>
          <w:rFonts w:cs="Times New Roman"/>
          <w:b/>
          <w:bCs/>
        </w:rPr>
      </w:pPr>
    </w:p>
    <w:p w:rsidR="00C013CC" w:rsidRPr="00CA33F2" w:rsidP="00C013CC" w14:paraId="5C7B9C52" w14:textId="73DE3840">
      <w:pPr>
        <w:rPr>
          <w:rFonts w:cs="Times New Roman"/>
          <w:b/>
          <w:bCs/>
          <w:i/>
          <w:iCs/>
        </w:rPr>
      </w:pPr>
      <w:r w:rsidRPr="00CA33F2">
        <w:rPr>
          <w:rFonts w:cs="Times New Roman"/>
          <w:b/>
          <w:bCs/>
        </w:rPr>
        <w:t xml:space="preserve">Q: </w:t>
      </w:r>
      <w:r w:rsidRPr="00CA33F2">
        <w:rPr>
          <w:rFonts w:cs="Times New Roman"/>
          <w:b/>
          <w:bCs/>
          <w:i/>
          <w:iCs/>
        </w:rPr>
        <w:t>When must a plan request approval of a merger involving a plan that received SFA?</w:t>
      </w:r>
    </w:p>
    <w:p w:rsidR="00C013CC" w:rsidRPr="00CA33F2" w:rsidP="00C013CC" w14:paraId="3104CD11" w14:textId="77777777">
      <w:pPr>
        <w:rPr>
          <w:rFonts w:cs="Times New Roman"/>
          <w:b/>
          <w:bCs/>
        </w:rPr>
      </w:pPr>
    </w:p>
    <w:p w:rsidR="00C013CC" w:rsidRPr="00CA33F2" w:rsidP="00C013CC" w14:paraId="0D28DEFE" w14:textId="509E7F8C">
      <w:pPr>
        <w:rPr>
          <w:rFonts w:cs="Times New Roman"/>
        </w:rPr>
      </w:pPr>
      <w:r w:rsidRPr="00CA33F2">
        <w:rPr>
          <w:rFonts w:cs="Times New Roman"/>
        </w:rPr>
        <w:t>A: Plans must submit a request for approval at least 120 days prior to the proposed effective date of the merger</w:t>
      </w:r>
      <w:r w:rsidRPr="00CA33F2" w:rsidR="000C0C5F">
        <w:rPr>
          <w:rFonts w:cs="Times New Roman"/>
        </w:rPr>
        <w:t>.</w:t>
      </w:r>
      <w:r>
        <w:rPr>
          <w:rStyle w:val="FootnoteReference"/>
          <w:rFonts w:cs="Times New Roman"/>
        </w:rPr>
        <w:footnoteReference w:id="13"/>
      </w:r>
      <w:r w:rsidRPr="00CA33F2" w:rsidR="000C0C5F">
        <w:rPr>
          <w:rFonts w:cs="Times New Roman"/>
        </w:rPr>
        <w:t xml:space="preserve"> </w:t>
      </w:r>
    </w:p>
    <w:p w:rsidR="000112C9" w:rsidRPr="00CA33F2" w:rsidP="000112C9" w14:paraId="32362680" w14:textId="77777777">
      <w:pPr>
        <w:rPr>
          <w:rFonts w:cs="Times New Roman"/>
          <w:b/>
          <w:bCs/>
        </w:rPr>
      </w:pPr>
    </w:p>
    <w:p w:rsidR="000112C9" w:rsidRPr="00CA33F2" w:rsidP="000112C9" w14:paraId="2F28E63C" w14:textId="27458CC5">
      <w:pPr>
        <w:rPr>
          <w:rFonts w:cs="Times New Roman"/>
          <w:b/>
          <w:bCs/>
          <w:i/>
          <w:iCs/>
        </w:rPr>
      </w:pPr>
      <w:r w:rsidRPr="00CA33F2">
        <w:rPr>
          <w:rFonts w:cs="Times New Roman"/>
          <w:b/>
          <w:bCs/>
        </w:rPr>
        <w:t xml:space="preserve">Q: </w:t>
      </w:r>
      <w:r w:rsidRPr="00CA33F2">
        <w:rPr>
          <w:rFonts w:cs="Times New Roman"/>
          <w:b/>
          <w:bCs/>
          <w:i/>
          <w:iCs/>
        </w:rPr>
        <w:t>If plans want to adopt an alternative allocation method for the merged plan, when should that request be submitted?</w:t>
      </w:r>
    </w:p>
    <w:p w:rsidR="000112C9" w:rsidRPr="00CA33F2" w:rsidP="000112C9" w14:paraId="4F155B72" w14:textId="77777777">
      <w:pPr>
        <w:rPr>
          <w:rFonts w:cs="Times New Roman"/>
          <w:b/>
          <w:bCs/>
          <w:i/>
          <w:iCs/>
        </w:rPr>
      </w:pPr>
    </w:p>
    <w:p w:rsidR="000C0C5F" w:rsidRPr="00CA33F2" w:rsidP="000112C9" w14:paraId="061969B7" w14:textId="0C58EBE5">
      <w:pPr>
        <w:rPr>
          <w:rFonts w:cs="Times New Roman"/>
        </w:rPr>
      </w:pPr>
      <w:r w:rsidRPr="00CA33F2">
        <w:rPr>
          <w:rFonts w:cs="Times New Roman"/>
        </w:rPr>
        <w:t>A: If the plans want to adopt an alternative allocation method, they should submit a request for approval</w:t>
      </w:r>
      <w:r>
        <w:rPr>
          <w:rStyle w:val="FootnoteReference"/>
          <w:rFonts w:cs="Times New Roman"/>
        </w:rPr>
        <w:footnoteReference w:id="14"/>
      </w:r>
      <w:r w:rsidRPr="00CA33F2">
        <w:rPr>
          <w:rFonts w:cs="Times New Roman"/>
        </w:rPr>
        <w:t xml:space="preserve"> </w:t>
      </w:r>
      <w:r w:rsidRPr="00CA33F2">
        <w:rPr>
          <w:rFonts w:cs="Times New Roman"/>
        </w:rPr>
        <w:t>a</w:t>
      </w:r>
      <w:r w:rsidRPr="00CA33F2">
        <w:rPr>
          <w:rFonts w:cs="Times New Roman"/>
        </w:rPr>
        <w:t xml:space="preserve">t the same time they submit the request for approval of the merger. </w:t>
      </w:r>
      <w:r w:rsidRPr="00CA33F2">
        <w:rPr>
          <w:rFonts w:cs="Times New Roman"/>
        </w:rPr>
        <w:t xml:space="preserve"> </w:t>
      </w:r>
    </w:p>
    <w:p w:rsidR="00C013CC" w:rsidRPr="00CA33F2" w:rsidP="00E821A3" w14:paraId="4DD051D8" w14:textId="77777777">
      <w:pPr>
        <w:rPr>
          <w:rFonts w:cs="Times New Roman"/>
          <w:b/>
          <w:bCs/>
        </w:rPr>
      </w:pPr>
    </w:p>
    <w:p w:rsidR="00E821A3" w:rsidRPr="00CA33F2" w:rsidP="00E821A3" w14:paraId="7B1ABC0C" w14:textId="22EED670">
      <w:pPr>
        <w:rPr>
          <w:rFonts w:cs="Times New Roman"/>
          <w:b/>
          <w:bCs/>
          <w:i/>
          <w:iCs/>
        </w:rPr>
      </w:pPr>
      <w:r w:rsidRPr="00CA33F2">
        <w:rPr>
          <w:rFonts w:cs="Times New Roman"/>
          <w:b/>
          <w:bCs/>
        </w:rPr>
        <w:t xml:space="preserve">Q: </w:t>
      </w:r>
      <w:r w:rsidRPr="00CA33F2">
        <w:rPr>
          <w:rFonts w:cs="Times New Roman"/>
          <w:b/>
          <w:bCs/>
          <w:i/>
          <w:iCs/>
        </w:rPr>
        <w:t xml:space="preserve">What withdrawal liability methods may a merged plan use </w:t>
      </w:r>
      <w:r w:rsidRPr="00CA33F2" w:rsidR="000C0C5F">
        <w:rPr>
          <w:rFonts w:cs="Times New Roman"/>
          <w:b/>
          <w:bCs/>
          <w:i/>
          <w:iCs/>
        </w:rPr>
        <w:t xml:space="preserve">to </w:t>
      </w:r>
      <w:r w:rsidRPr="00CA33F2">
        <w:rPr>
          <w:rFonts w:cs="Times New Roman"/>
          <w:b/>
          <w:bCs/>
          <w:i/>
          <w:iCs/>
        </w:rPr>
        <w:t xml:space="preserve">comply with </w:t>
      </w:r>
      <w:r w:rsidRPr="00CA33F2" w:rsidR="001D1C4F">
        <w:rPr>
          <w:rFonts w:cs="Times New Roman"/>
          <w:i/>
          <w:iCs/>
          <w:szCs w:val="24"/>
        </w:rPr>
        <w:t>§</w:t>
      </w:r>
      <w:r w:rsidRPr="00CA33F2" w:rsidR="004B2933">
        <w:rPr>
          <w:rFonts w:cs="Times New Roman"/>
          <w:i/>
          <w:iCs/>
          <w:szCs w:val="24"/>
        </w:rPr>
        <w:t> </w:t>
      </w:r>
      <w:r w:rsidRPr="00CA33F2">
        <w:rPr>
          <w:rFonts w:cs="Times New Roman"/>
          <w:b/>
          <w:bCs/>
          <w:i/>
          <w:iCs/>
        </w:rPr>
        <w:t>4261.16(f)(3)(iv) and (v)?</w:t>
      </w:r>
    </w:p>
    <w:p w:rsidR="00E821A3" w:rsidRPr="00CA33F2" w:rsidP="00E821A3" w14:paraId="4D695B82" w14:textId="77777777">
      <w:pPr>
        <w:rPr>
          <w:rFonts w:cs="Times New Roman"/>
          <w:b/>
          <w:bCs/>
          <w:i/>
          <w:iCs/>
        </w:rPr>
      </w:pPr>
    </w:p>
    <w:p w:rsidR="00E821A3" w:rsidRPr="00CA33F2" w:rsidP="00E821A3" w14:paraId="4BAD0A1A" w14:textId="761D703C">
      <w:pPr>
        <w:rPr>
          <w:rFonts w:cs="Times New Roman"/>
        </w:rPr>
      </w:pPr>
      <w:r w:rsidRPr="00CA33F2">
        <w:rPr>
          <w:rFonts w:cs="Times New Roman"/>
        </w:rPr>
        <w:t>A: The withdrawal liability method a merged plan may use is fact specific.</w:t>
      </w:r>
      <w:r w:rsidRPr="00CA33F2" w:rsidR="006F3673">
        <w:rPr>
          <w:rFonts w:cs="Times New Roman"/>
        </w:rPr>
        <w:t xml:space="preserve">  </w:t>
      </w:r>
      <w:r w:rsidRPr="00CA33F2">
        <w:rPr>
          <w:rFonts w:cs="Times New Roman"/>
        </w:rPr>
        <w:t xml:space="preserve">An example of a method that complies with the conditions in § 4262.16(f)(3)(iv) and (v) can be found here: </w:t>
      </w:r>
      <w:r w:rsidRPr="002E1D12">
        <w:rPr>
          <w:rFonts w:cs="Times New Roman"/>
          <w:highlight w:val="yellow"/>
        </w:rPr>
        <w:t>[INSERT LINK].</w:t>
      </w:r>
      <w:r w:rsidRPr="00CA33F2">
        <w:rPr>
          <w:rFonts w:cs="Times New Roman"/>
        </w:rPr>
        <w:t>  Plans may request an alternative allocation method</w:t>
      </w:r>
      <w:r w:rsidRPr="00CA33F2" w:rsidR="000C0C5F">
        <w:rPr>
          <w:rFonts w:cs="Times New Roman"/>
        </w:rPr>
        <w:t>,</w:t>
      </w:r>
      <w:r>
        <w:rPr>
          <w:rStyle w:val="FootnoteReference"/>
          <w:rFonts w:cs="Times New Roman"/>
        </w:rPr>
        <w:footnoteReference w:id="15"/>
      </w:r>
      <w:r w:rsidRPr="00CA33F2" w:rsidR="000C0C5F">
        <w:rPr>
          <w:rFonts w:cs="Times New Roman"/>
        </w:rPr>
        <w:t xml:space="preserve"> </w:t>
      </w:r>
      <w:r w:rsidRPr="00CA33F2">
        <w:rPr>
          <w:rFonts w:cs="Times New Roman"/>
        </w:rPr>
        <w:t>or may be able to adopt a</w:t>
      </w:r>
      <w:r w:rsidRPr="00CA33F2" w:rsidR="000C0C5F">
        <w:rPr>
          <w:rFonts w:cs="Times New Roman"/>
        </w:rPr>
        <w:t>n existing</w:t>
      </w:r>
      <w:r w:rsidRPr="00CA33F2">
        <w:rPr>
          <w:rFonts w:cs="Times New Roman"/>
        </w:rPr>
        <w:t xml:space="preserve"> method</w:t>
      </w:r>
      <w:r w:rsidRPr="00CA33F2" w:rsidR="000C0C5F">
        <w:rPr>
          <w:rFonts w:cs="Times New Roman"/>
        </w:rPr>
        <w:t>.</w:t>
      </w:r>
      <w:r>
        <w:rPr>
          <w:rStyle w:val="FootnoteReference"/>
          <w:rFonts w:cs="Times New Roman"/>
        </w:rPr>
        <w:footnoteReference w:id="16"/>
      </w:r>
      <w:r w:rsidRPr="00CA33F2">
        <w:rPr>
          <w:rFonts w:cs="Times New Roman"/>
        </w:rPr>
        <w:t xml:space="preserve"> </w:t>
      </w:r>
    </w:p>
    <w:p w:rsidR="000C0C5F" w:rsidRPr="00CA33F2" w:rsidP="00E821A3" w14:paraId="7E6FB036" w14:textId="77777777">
      <w:pPr>
        <w:rPr>
          <w:rFonts w:cs="Times New Roman"/>
        </w:rPr>
      </w:pPr>
    </w:p>
    <w:p w:rsidR="000C0C5F" w:rsidRPr="00CA33F2" w:rsidP="00E821A3" w14:paraId="5361F473" w14:textId="6267A4B5">
      <w:pPr>
        <w:rPr>
          <w:rFonts w:cs="Times New Roman"/>
        </w:rPr>
      </w:pPr>
      <w:r w:rsidRPr="00CA33F2">
        <w:rPr>
          <w:rFonts w:cs="Times New Roman"/>
        </w:rPr>
        <w:t xml:space="preserve">Plans are encouraged to request an informal consultation to discuss what method(s) may be available by sending an email to: </w:t>
      </w:r>
      <w:hyperlink r:id="rId10" w:history="1">
        <w:r w:rsidRPr="00CA33F2">
          <w:rPr>
            <w:rStyle w:val="Hyperlink"/>
            <w:rFonts w:cs="Times New Roman"/>
          </w:rPr>
          <w:t>multiemployerprogram@pbgc.gov</w:t>
        </w:r>
      </w:hyperlink>
      <w:r w:rsidRPr="00CA33F2">
        <w:rPr>
          <w:rFonts w:cs="Times New Roman"/>
        </w:rPr>
        <w:t>.</w:t>
      </w:r>
    </w:p>
    <w:p w:rsidR="00E821A3" w:rsidRPr="00CA33F2" w:rsidP="00E821A3" w14:paraId="59E15B7D" w14:textId="77777777">
      <w:pPr>
        <w:rPr>
          <w:rFonts w:cs="Times New Roman"/>
          <w:b/>
          <w:bCs/>
        </w:rPr>
      </w:pPr>
    </w:p>
    <w:p w:rsidR="00E821A3" w:rsidRPr="00CA33F2" w:rsidP="00E821A3" w14:paraId="6EDD8E72" w14:textId="71BF6CAD">
      <w:pPr>
        <w:rPr>
          <w:rFonts w:cs="Times New Roman"/>
          <w:b/>
          <w:bCs/>
        </w:rPr>
      </w:pPr>
      <w:r w:rsidRPr="00CA33F2">
        <w:rPr>
          <w:rFonts w:cs="Times New Roman"/>
          <w:b/>
          <w:bCs/>
        </w:rPr>
        <w:t xml:space="preserve">Q: </w:t>
      </w:r>
      <w:r w:rsidRPr="00CA33F2" w:rsidR="000112C9">
        <w:rPr>
          <w:rFonts w:cs="Times New Roman"/>
          <w:b/>
          <w:bCs/>
          <w:i/>
          <w:iCs/>
        </w:rPr>
        <w:t xml:space="preserve">How does the </w:t>
      </w:r>
      <w:r w:rsidRPr="00CA33F2">
        <w:rPr>
          <w:rFonts w:cs="Times New Roman"/>
          <w:b/>
          <w:bCs/>
          <w:i/>
          <w:iCs/>
        </w:rPr>
        <w:t>example of a compliant alternative allocation method</w:t>
      </w:r>
      <w:r w:rsidRPr="00CA33F2" w:rsidR="000112C9">
        <w:rPr>
          <w:rFonts w:cs="Times New Roman"/>
          <w:b/>
          <w:bCs/>
          <w:i/>
          <w:iCs/>
        </w:rPr>
        <w:t xml:space="preserve"> work</w:t>
      </w:r>
      <w:r w:rsidRPr="00CA33F2">
        <w:rPr>
          <w:rFonts w:cs="Times New Roman"/>
          <w:b/>
          <w:bCs/>
          <w:i/>
          <w:iCs/>
        </w:rPr>
        <w:t xml:space="preserve">? </w:t>
      </w:r>
    </w:p>
    <w:p w:rsidR="00E821A3" w:rsidRPr="00CA33F2" w:rsidP="00E821A3" w14:paraId="0FC4D10B" w14:textId="77777777">
      <w:pPr>
        <w:rPr>
          <w:rFonts w:cs="Times New Roman"/>
        </w:rPr>
      </w:pPr>
    </w:p>
    <w:p w:rsidR="004B10C4" w:rsidRPr="00CA33F2" w:rsidP="00E821A3" w14:paraId="5A51533C" w14:textId="3D2697C9">
      <w:pPr>
        <w:rPr>
          <w:rFonts w:cs="Times New Roman"/>
        </w:rPr>
      </w:pPr>
      <w:r w:rsidRPr="00CA33F2">
        <w:rPr>
          <w:rFonts w:cs="Times New Roman"/>
        </w:rPr>
        <w:t xml:space="preserve">A: PBGC has developed an example alternative allocation method that satisfies the requirements in § 4262.16(f)(3)(iv) and (v). Those requirements are that the merged plan must use 4044 Rates until the later of 10 years or until SFA is exhausted, and must phase-in SFA, to calculate the UVBs that arose under the SFA recipient plan before the merger.  The example method and a hypothetical showing how the method would work are available here: </w:t>
      </w:r>
      <w:r w:rsidRPr="00F85F77">
        <w:rPr>
          <w:rFonts w:cs="Times New Roman"/>
          <w:highlight w:val="yellow"/>
        </w:rPr>
        <w:t>[INSERT LINK</w:t>
      </w:r>
      <w:r w:rsidRPr="00F85F77" w:rsidR="007608D2">
        <w:rPr>
          <w:rFonts w:cs="Times New Roman"/>
          <w:highlight w:val="yellow"/>
        </w:rPr>
        <w:t xml:space="preserve"> ONCE AVAILABLE</w:t>
      </w:r>
      <w:r w:rsidRPr="00F85F77">
        <w:rPr>
          <w:rFonts w:cs="Times New Roman"/>
          <w:highlight w:val="yellow"/>
        </w:rPr>
        <w:t>]</w:t>
      </w:r>
      <w:r w:rsidRPr="00CA33F2" w:rsidR="004B2933">
        <w:rPr>
          <w:rFonts w:cs="Times New Roman"/>
        </w:rPr>
        <w:t xml:space="preserve">.  </w:t>
      </w:r>
      <w:r w:rsidRPr="00CA33F2">
        <w:rPr>
          <w:rFonts w:cs="Times New Roman"/>
        </w:rPr>
        <w:t xml:space="preserve">It is a “two-pool” alternative allocation method. </w:t>
      </w:r>
    </w:p>
    <w:p w:rsidR="004B10C4" w:rsidRPr="00CA33F2" w:rsidP="00E821A3" w14:paraId="06043914" w14:textId="77777777">
      <w:pPr>
        <w:rPr>
          <w:rFonts w:cs="Times New Roman"/>
        </w:rPr>
      </w:pPr>
    </w:p>
    <w:p w:rsidR="00E821A3" w:rsidRPr="00CA33F2" w:rsidP="00E821A3" w14:paraId="330D3BE5" w14:textId="381E85EA">
      <w:pPr>
        <w:rPr>
          <w:rFonts w:cs="Times New Roman"/>
        </w:rPr>
      </w:pPr>
      <w:r w:rsidRPr="00CA33F2">
        <w:rPr>
          <w:rFonts w:cs="Times New Roman"/>
        </w:rPr>
        <w:t>The method allocates plan-wide UVBs into two “pools”, the “SFA Pool” and the “Merged Plan Pool.” To calculate liabilities in the SFA Pool, the plan actuary will project future benefit payments from the plan that received SFA. Each year, liabilities will be revalued using 4044 Rates according to this projection. Assets in the SFA Pool will be recalculated annually to reflect the projected benefit payments, accrued interest</w:t>
      </w:r>
      <w:r w:rsidRPr="00CA33F2" w:rsidR="009F6096">
        <w:rPr>
          <w:rFonts w:cs="Times New Roman"/>
        </w:rPr>
        <w:t>, and to reflect the phase-in of SFA</w:t>
      </w:r>
      <w:r w:rsidRPr="00CA33F2">
        <w:rPr>
          <w:rFonts w:cs="Times New Roman"/>
        </w:rPr>
        <w:t xml:space="preserve"> under the phase-in schedule submitted with the SFA application. </w:t>
      </w:r>
    </w:p>
    <w:p w:rsidR="004B10C4" w:rsidRPr="00CA33F2" w:rsidP="00E821A3" w14:paraId="6C9A6AB8" w14:textId="77777777">
      <w:pPr>
        <w:rPr>
          <w:rFonts w:cs="Times New Roman"/>
        </w:rPr>
      </w:pPr>
    </w:p>
    <w:p w:rsidR="00E821A3" w:rsidRPr="00CA33F2" w:rsidP="00E821A3" w14:paraId="1DBF86C7" w14:textId="77777777">
      <w:pPr>
        <w:rPr>
          <w:rFonts w:cs="Times New Roman"/>
        </w:rPr>
      </w:pPr>
      <w:r w:rsidRPr="00CA33F2">
        <w:rPr>
          <w:rFonts w:cs="Times New Roman"/>
        </w:rPr>
        <w:t xml:space="preserve">Merged Plan Pool liabilities will consist of total plan vested benefits, minus the remaining projected benefit payments from the SFA Pool. Merged Plan Pool assets will consist of total plan assets, minus the SFA Pool assets (including the amount of phased-in SFA). </w:t>
      </w:r>
    </w:p>
    <w:p w:rsidR="004B10C4" w:rsidRPr="00CA33F2" w:rsidP="00E821A3" w14:paraId="593D802B" w14:textId="77777777">
      <w:pPr>
        <w:rPr>
          <w:rFonts w:cs="Times New Roman"/>
        </w:rPr>
      </w:pPr>
    </w:p>
    <w:p w:rsidR="00E821A3" w:rsidRPr="00CA33F2" w:rsidP="00E821A3" w14:paraId="57A237D0" w14:textId="77777777">
      <w:pPr>
        <w:rPr>
          <w:rFonts w:cs="Times New Roman"/>
        </w:rPr>
      </w:pPr>
      <w:r w:rsidRPr="00CA33F2">
        <w:rPr>
          <w:rFonts w:cs="Times New Roman"/>
        </w:rPr>
        <w:t>For a withdrawn employer that contributed to the plan that received SFA before the merger and continued to contribute to the merged plan, withdrawal liability will be the sum of UVBs from each of the two pools.</w:t>
      </w:r>
    </w:p>
    <w:p w:rsidR="00E821A3" w:rsidRPr="00CA33F2" w:rsidP="00E821A3" w14:paraId="0E875225" w14:textId="77777777">
      <w:pPr>
        <w:rPr>
          <w:rFonts w:cs="Times New Roman"/>
          <w:b/>
          <w:bCs/>
        </w:rPr>
      </w:pPr>
    </w:p>
    <w:p w:rsidR="00E821A3" w:rsidRPr="00CA33F2" w:rsidP="00E821A3" w14:paraId="05441742" w14:textId="0C99C04E">
      <w:pPr>
        <w:rPr>
          <w:rFonts w:cs="Times New Roman"/>
          <w:b/>
          <w:bCs/>
        </w:rPr>
      </w:pPr>
      <w:r w:rsidRPr="00CA33F2">
        <w:rPr>
          <w:rFonts w:cs="Times New Roman"/>
          <w:b/>
          <w:bCs/>
          <w:i/>
          <w:iCs/>
        </w:rPr>
        <w:t>Q</w:t>
      </w:r>
      <w:r w:rsidRPr="00CA33F2">
        <w:rPr>
          <w:rFonts w:cs="Times New Roman"/>
          <w:b/>
          <w:bCs/>
        </w:rPr>
        <w:t xml:space="preserve">: </w:t>
      </w:r>
      <w:r w:rsidRPr="00CA33F2">
        <w:rPr>
          <w:rFonts w:cs="Times New Roman"/>
          <w:b/>
          <w:bCs/>
          <w:i/>
          <w:iCs/>
        </w:rPr>
        <w:t>How does the example alternative allocation method satisfy the requirements of</w:t>
      </w:r>
      <w:r w:rsidRPr="00CA33F2">
        <w:rPr>
          <w:rFonts w:cs="Times New Roman"/>
          <w:b/>
          <w:bCs/>
        </w:rPr>
        <w:t xml:space="preserve"> </w:t>
      </w:r>
      <w:r w:rsidRPr="00CA33F2" w:rsidR="00527CD3">
        <w:rPr>
          <w:rFonts w:cs="Times New Roman"/>
          <w:i/>
          <w:iCs/>
        </w:rPr>
        <w:t>§</w:t>
      </w:r>
      <w:r w:rsidRPr="00CA33F2" w:rsidR="00527CD3">
        <w:rPr>
          <w:rFonts w:cs="Times New Roman"/>
        </w:rPr>
        <w:t xml:space="preserve"> </w:t>
      </w:r>
      <w:r w:rsidRPr="00CA33F2">
        <w:rPr>
          <w:rFonts w:cs="Times New Roman"/>
          <w:b/>
          <w:bCs/>
          <w:i/>
          <w:iCs/>
        </w:rPr>
        <w:t>4262.16(f)(3)(iv) and (v)?</w:t>
      </w:r>
      <w:r w:rsidRPr="00CA33F2">
        <w:rPr>
          <w:rFonts w:cs="Times New Roman"/>
          <w:b/>
          <w:bCs/>
        </w:rPr>
        <w:t xml:space="preserve"> </w:t>
      </w:r>
    </w:p>
    <w:p w:rsidR="00E821A3" w:rsidRPr="00CA33F2" w:rsidP="00E821A3" w14:paraId="14E54AD3" w14:textId="77777777">
      <w:pPr>
        <w:rPr>
          <w:rFonts w:cs="Times New Roman"/>
        </w:rPr>
      </w:pPr>
    </w:p>
    <w:p w:rsidR="001D1C4F" w:rsidRPr="00CA33F2" w:rsidP="00E821A3" w14:paraId="4688A888" w14:textId="5415CE44">
      <w:pPr>
        <w:rPr>
          <w:rFonts w:cs="Times New Roman"/>
        </w:rPr>
      </w:pPr>
      <w:r w:rsidRPr="00CA33F2">
        <w:rPr>
          <w:rFonts w:cs="Times New Roman"/>
        </w:rPr>
        <w:t xml:space="preserve">A:  By segregating the SFA Pool UVBs and using the 4044 Rates and phase-in condition for the SFA Pool, </w:t>
      </w:r>
      <w:r w:rsidRPr="00CA33F2" w:rsidR="00527CD3">
        <w:rPr>
          <w:rFonts w:cs="Times New Roman"/>
        </w:rPr>
        <w:t xml:space="preserve">the method </w:t>
      </w:r>
      <w:r w:rsidRPr="00CA33F2">
        <w:rPr>
          <w:rFonts w:cs="Times New Roman"/>
        </w:rPr>
        <w:t xml:space="preserve">satisfies the </w:t>
      </w:r>
      <w:r w:rsidRPr="00CA33F2">
        <w:rPr>
          <w:rFonts w:cs="Times New Roman"/>
        </w:rPr>
        <w:t xml:space="preserve">requirements that the merged plan use 4044 rates and phase-in SFA to determine the UVBs that arose under the plan that received SFA before the date of the merger. </w:t>
      </w:r>
    </w:p>
    <w:p w:rsidR="00641807" w:rsidRPr="00CA33F2" w:rsidP="00E821A3" w14:paraId="13F0ED61" w14:textId="77777777">
      <w:pPr>
        <w:rPr>
          <w:rFonts w:cs="Times New Roman"/>
        </w:rPr>
      </w:pPr>
    </w:p>
    <w:p w:rsidR="00641807" w:rsidRPr="00CA33F2" w:rsidP="00E821A3" w14:paraId="6EE1BD4E" w14:textId="2223AA2D">
      <w:pPr>
        <w:rPr>
          <w:rFonts w:cs="Times New Roman"/>
          <w:b/>
          <w:bCs/>
          <w:i/>
          <w:iCs/>
        </w:rPr>
      </w:pPr>
      <w:r w:rsidRPr="00CA33F2">
        <w:rPr>
          <w:rFonts w:cs="Times New Roman"/>
          <w:b/>
          <w:bCs/>
          <w:i/>
          <w:iCs/>
        </w:rPr>
        <w:t xml:space="preserve">Q: Will adoption of the example alternative allocation method satisfy the risk of loss standard? </w:t>
      </w:r>
    </w:p>
    <w:p w:rsidR="001D1C4F" w:rsidRPr="00CA33F2" w:rsidP="00E821A3" w14:paraId="34319646" w14:textId="77777777">
      <w:pPr>
        <w:rPr>
          <w:rFonts w:cs="Times New Roman"/>
        </w:rPr>
      </w:pPr>
    </w:p>
    <w:p w:rsidR="001D1C4F" w:rsidRPr="00CA33F2" w:rsidP="001D1C4F" w14:paraId="64F4CA2B" w14:textId="3034D9B0">
      <w:pPr>
        <w:rPr>
          <w:rStyle w:val="bumpedfont15"/>
          <w:rFonts w:cs="Times New Roman"/>
          <w:szCs w:val="24"/>
        </w:rPr>
      </w:pPr>
      <w:r w:rsidRPr="00CA33F2">
        <w:rPr>
          <w:rFonts w:cs="Times New Roman"/>
          <w:szCs w:val="24"/>
        </w:rPr>
        <w:t>Adoption of the method does not necessarily mean that the merger will satisfy the risk of loss standard</w:t>
      </w:r>
      <w:r w:rsidRPr="00CA33F2" w:rsidR="00E45A9B">
        <w:rPr>
          <w:rFonts w:cs="Times New Roman"/>
          <w:szCs w:val="24"/>
        </w:rPr>
        <w:t>.</w:t>
      </w:r>
      <w:r>
        <w:rPr>
          <w:rStyle w:val="FootnoteReference"/>
          <w:rFonts w:cs="Times New Roman"/>
          <w:szCs w:val="24"/>
        </w:rPr>
        <w:footnoteReference w:id="17"/>
      </w:r>
      <w:r w:rsidRPr="00CA33F2" w:rsidR="00E45A9B">
        <w:rPr>
          <w:rFonts w:cs="Times New Roman"/>
          <w:szCs w:val="24"/>
        </w:rPr>
        <w:t xml:space="preserve"> </w:t>
      </w:r>
      <w:r w:rsidRPr="00CA33F2">
        <w:rPr>
          <w:rFonts w:cs="Times New Roman"/>
          <w:szCs w:val="24"/>
        </w:rPr>
        <w:t xml:space="preserve">For an employer that contributed to the SFA-recipient plan, the </w:t>
      </w:r>
      <w:r w:rsidRPr="00CA33F2">
        <w:rPr>
          <w:rFonts w:cs="Times New Roman"/>
        </w:rPr>
        <w:t xml:space="preserve">method is designed to yield an amount of withdrawal liability comparable to the amount the SFA-recipient plan would have determined had it not merged. </w:t>
      </w:r>
      <w:r w:rsidRPr="00CA33F2">
        <w:rPr>
          <w:rFonts w:cs="Times New Roman"/>
          <w:szCs w:val="24"/>
        </w:rPr>
        <w:t>But each merger must be considered on its own terms to determine whether the merger increases the risk of loss to PBGC and is adverse to the overall interests of participants and beneficiaries.</w:t>
      </w:r>
      <w:r w:rsidRPr="00CA33F2" w:rsidR="004B10C4">
        <w:rPr>
          <w:rFonts w:cs="Times New Roman"/>
          <w:szCs w:val="24"/>
        </w:rPr>
        <w:t xml:space="preserve"> </w:t>
      </w:r>
      <w:r w:rsidRPr="00CA33F2" w:rsidR="00641807">
        <w:rPr>
          <w:rFonts w:cs="Times New Roman"/>
          <w:szCs w:val="24"/>
        </w:rPr>
        <w:t xml:space="preserve">For example, </w:t>
      </w:r>
      <w:r w:rsidRPr="00CA33F2" w:rsidR="00955240">
        <w:rPr>
          <w:rFonts w:cs="Times New Roman"/>
          <w:szCs w:val="24"/>
        </w:rPr>
        <w:t xml:space="preserve">the merger of a large </w:t>
      </w:r>
      <w:r w:rsidRPr="00CA33F2" w:rsidR="00641807">
        <w:rPr>
          <w:rFonts w:cs="Times New Roman"/>
          <w:szCs w:val="24"/>
        </w:rPr>
        <w:t>SFA-recipient plan</w:t>
      </w:r>
      <w:r w:rsidRPr="00CA33F2" w:rsidR="00955240">
        <w:rPr>
          <w:rFonts w:cs="Times New Roman"/>
          <w:szCs w:val="24"/>
        </w:rPr>
        <w:t xml:space="preserve"> with a smaller, better-funded p</w:t>
      </w:r>
      <w:r w:rsidRPr="00CA33F2" w:rsidR="00641807">
        <w:rPr>
          <w:rFonts w:cs="Times New Roman"/>
          <w:szCs w:val="24"/>
        </w:rPr>
        <w:t>lan or plans may fail to satisfy the risk of loss standard.</w:t>
      </w:r>
      <w:r w:rsidRPr="00CA33F2" w:rsidR="00955240">
        <w:rPr>
          <w:rFonts w:cs="Times New Roman"/>
          <w:szCs w:val="24"/>
        </w:rPr>
        <w:t xml:space="preserve">  A merger of this type might accelerate the projected insolvency date of the smaller plan, putting participants and beneficiaries, and PBGC, in a worse position than if the merger did not occur.  </w:t>
      </w:r>
      <w:r w:rsidRPr="00CA33F2" w:rsidR="006329B9">
        <w:rPr>
          <w:rFonts w:cs="Times New Roman"/>
          <w:szCs w:val="24"/>
        </w:rPr>
        <w:t xml:space="preserve">On the other hand, the merger of a large better-funded plan with a smaller SFA-recipient plan may often satisfy the risk of loss standard.        </w:t>
      </w:r>
      <w:r w:rsidRPr="00CA33F2" w:rsidR="00955240">
        <w:rPr>
          <w:rFonts w:cs="Times New Roman"/>
          <w:szCs w:val="24"/>
        </w:rPr>
        <w:t xml:space="preserve">  </w:t>
      </w:r>
      <w:r w:rsidRPr="00CA33F2" w:rsidR="00641807">
        <w:rPr>
          <w:rFonts w:cs="Times New Roman"/>
          <w:szCs w:val="24"/>
        </w:rPr>
        <w:t xml:space="preserve">   </w:t>
      </w:r>
    </w:p>
    <w:p w:rsidR="002079C8" w:rsidRPr="00CA33F2" w:rsidP="00E821A3" w14:paraId="7DC6BF5F" w14:textId="77777777">
      <w:pPr>
        <w:rPr>
          <w:rFonts w:cs="Times New Roman"/>
        </w:rPr>
      </w:pPr>
    </w:p>
    <w:p w:rsidR="00E821A3" w:rsidRPr="00CA33F2" w:rsidP="00E821A3" w14:paraId="5E421165" w14:textId="1927CCF2">
      <w:pPr>
        <w:rPr>
          <w:rFonts w:cs="Times New Roman"/>
        </w:rPr>
      </w:pPr>
      <w:r w:rsidRPr="00CA33F2">
        <w:rPr>
          <w:rFonts w:cs="Times New Roman"/>
        </w:rPr>
        <w:t>Other m</w:t>
      </w:r>
      <w:r w:rsidRPr="00CA33F2" w:rsidR="004D790C">
        <w:rPr>
          <w:rFonts w:cs="Times New Roman"/>
        </w:rPr>
        <w:t>ethods</w:t>
      </w:r>
      <w:r w:rsidRPr="00CA33F2">
        <w:rPr>
          <w:rFonts w:cs="Times New Roman"/>
        </w:rPr>
        <w:t>,</w:t>
      </w:r>
      <w:r w:rsidRPr="00CA33F2" w:rsidR="004D790C">
        <w:rPr>
          <w:rFonts w:cs="Times New Roman"/>
        </w:rPr>
        <w:t xml:space="preserve"> such as </w:t>
      </w:r>
      <w:r w:rsidRPr="00CA33F2">
        <w:rPr>
          <w:rFonts w:cs="Times New Roman"/>
        </w:rPr>
        <w:t xml:space="preserve">the </w:t>
      </w:r>
      <w:r w:rsidRPr="00CA33F2" w:rsidR="000C0C5F">
        <w:rPr>
          <w:rFonts w:cs="Times New Roman"/>
        </w:rPr>
        <w:t xml:space="preserve">post-merger </w:t>
      </w:r>
      <w:r w:rsidRPr="00CA33F2">
        <w:rPr>
          <w:rFonts w:cs="Times New Roman"/>
        </w:rPr>
        <w:t xml:space="preserve">presumptive </w:t>
      </w:r>
      <w:r w:rsidRPr="00CA33F2" w:rsidR="000C0C5F">
        <w:rPr>
          <w:rFonts w:cs="Times New Roman"/>
        </w:rPr>
        <w:t>method,</w:t>
      </w:r>
      <w:r>
        <w:rPr>
          <w:rStyle w:val="FootnoteReference"/>
          <w:rFonts w:cs="Times New Roman"/>
        </w:rPr>
        <w:footnoteReference w:id="18"/>
      </w:r>
      <w:r w:rsidRPr="00CA33F2" w:rsidR="000C0C5F">
        <w:rPr>
          <w:rFonts w:cs="Times New Roman"/>
        </w:rPr>
        <w:t xml:space="preserve"> </w:t>
      </w:r>
      <w:r w:rsidRPr="00CA33F2">
        <w:rPr>
          <w:rFonts w:cs="Times New Roman"/>
        </w:rPr>
        <w:t>will generally result in the collection of materially less withdrawal liability</w:t>
      </w:r>
      <w:r w:rsidRPr="00CA33F2">
        <w:rPr>
          <w:rFonts w:cs="Times New Roman"/>
        </w:rPr>
        <w:t xml:space="preserve"> than the example method</w:t>
      </w:r>
      <w:r w:rsidRPr="00CA33F2">
        <w:rPr>
          <w:rFonts w:cs="Times New Roman"/>
        </w:rPr>
        <w:t xml:space="preserve">, </w:t>
      </w:r>
      <w:r w:rsidRPr="00CA33F2">
        <w:rPr>
          <w:rFonts w:cs="Times New Roman"/>
        </w:rPr>
        <w:t>such that the merger may</w:t>
      </w:r>
      <w:r w:rsidRPr="00CA33F2">
        <w:rPr>
          <w:rFonts w:cs="Times New Roman"/>
        </w:rPr>
        <w:t xml:space="preserve"> fail to satisfy the </w:t>
      </w:r>
      <w:r w:rsidRPr="00CA33F2">
        <w:rPr>
          <w:rFonts w:cs="Times New Roman"/>
        </w:rPr>
        <w:t xml:space="preserve">risk of loss standard. </w:t>
      </w:r>
      <w:r w:rsidRPr="00CA33F2">
        <w:rPr>
          <w:rFonts w:cs="Times New Roman"/>
        </w:rPr>
        <w:t xml:space="preserve">   </w:t>
      </w:r>
    </w:p>
    <w:p w:rsidR="002079C8" w:rsidRPr="00CA33F2" w:rsidP="00E821A3" w14:paraId="5256B874" w14:textId="77777777">
      <w:pPr>
        <w:rPr>
          <w:rFonts w:cs="Times New Roman"/>
        </w:rPr>
      </w:pPr>
    </w:p>
    <w:p w:rsidR="00E821A3" w:rsidRPr="00CA33F2" w:rsidP="00E821A3" w14:paraId="27A24375" w14:textId="77777777">
      <w:pPr>
        <w:rPr>
          <w:rFonts w:cs="Times New Roman"/>
        </w:rPr>
      </w:pPr>
      <w:r w:rsidRPr="00CA33F2">
        <w:rPr>
          <w:rFonts w:cs="Times New Roman"/>
          <w:b/>
          <w:bCs/>
        </w:rPr>
        <w:t xml:space="preserve">Q: </w:t>
      </w:r>
      <w:r w:rsidRPr="00CA33F2">
        <w:rPr>
          <w:rFonts w:cs="Times New Roman"/>
          <w:b/>
          <w:bCs/>
          <w:i/>
          <w:iCs/>
        </w:rPr>
        <w:t xml:space="preserve"> May plans propose a different alternative allocation method?</w:t>
      </w:r>
    </w:p>
    <w:p w:rsidR="00E821A3" w:rsidRPr="00CA33F2" w:rsidP="00E821A3" w14:paraId="7417A69F" w14:textId="77777777">
      <w:pPr>
        <w:rPr>
          <w:rFonts w:cs="Times New Roman"/>
        </w:rPr>
      </w:pPr>
    </w:p>
    <w:p w:rsidR="00536C13" w:rsidRPr="00CA33F2" w:rsidP="00A679F1" w14:paraId="0AD89B58" w14:textId="26EE12B8">
      <w:pPr>
        <w:rPr>
          <w:rStyle w:val="bumpedfont15"/>
          <w:rFonts w:cs="Times New Roman"/>
          <w:szCs w:val="24"/>
        </w:rPr>
      </w:pPr>
      <w:r w:rsidRPr="00CA33F2">
        <w:rPr>
          <w:rFonts w:cs="Times New Roman"/>
        </w:rPr>
        <w:t xml:space="preserve">A: Yes, plans may propose their own alternative allocation method that satisfies the requirements of </w:t>
      </w:r>
      <w:r w:rsidRPr="00CA33F2" w:rsidR="001D1C4F">
        <w:rPr>
          <w:rFonts w:cs="Times New Roman"/>
        </w:rPr>
        <w:t xml:space="preserve">§ </w:t>
      </w:r>
      <w:r w:rsidRPr="00CA33F2">
        <w:rPr>
          <w:rFonts w:cs="Times New Roman"/>
        </w:rPr>
        <w:t>4262.16(f)</w:t>
      </w:r>
      <w:r w:rsidRPr="00CA33F2" w:rsidR="00E45A9B">
        <w:rPr>
          <w:rFonts w:cs="Times New Roman"/>
        </w:rPr>
        <w:t>(3)</w:t>
      </w:r>
      <w:r w:rsidRPr="00CA33F2">
        <w:rPr>
          <w:rFonts w:cs="Times New Roman"/>
        </w:rPr>
        <w:t xml:space="preserve">(iv) and (v). </w:t>
      </w:r>
    </w:p>
    <w:p w:rsidR="00A8006C" w:rsidRPr="00CA33F2" w14:paraId="04C7EBF5" w14:textId="1650D62B">
      <w:pPr>
        <w:rPr>
          <w:rStyle w:val="bumpedfont15"/>
          <w:rFonts w:cs="Times New Roman"/>
          <w:szCs w:val="24"/>
        </w:rPr>
      </w:pPr>
    </w:p>
    <w:p w:rsidR="00536C13" w:rsidRPr="00CA33F2" w:rsidP="00A679F1" w14:paraId="5D6EEFE4" w14:textId="6BBB2002">
      <w:pPr>
        <w:rPr>
          <w:rStyle w:val="bumpedfont15"/>
          <w:rFonts w:cs="Times New Roman"/>
          <w:szCs w:val="24"/>
        </w:rPr>
      </w:pPr>
      <w:r w:rsidRPr="00CA33F2">
        <w:rPr>
          <w:rStyle w:val="bumpedfont15"/>
          <w:rFonts w:cs="Times New Roman"/>
          <w:szCs w:val="24"/>
        </w:rPr>
        <w:t>The example of the two-pool alternative allocation method is as follows:</w:t>
      </w:r>
    </w:p>
    <w:p w:rsidR="00A8006C" w:rsidRPr="00CA33F2" w:rsidP="00A8006C" w14:paraId="02BDA8E8" w14:textId="77777777">
      <w:pPr>
        <w:rPr>
          <w:rFonts w:cs="Times New Roman"/>
          <w:b/>
          <w:bCs/>
          <w:szCs w:val="24"/>
        </w:rPr>
      </w:pPr>
    </w:p>
    <w:p w:rsidR="00A8006C" w:rsidRPr="00CA33F2" w:rsidP="00A8006C" w14:paraId="3F13B257" w14:textId="04B3D9F8">
      <w:pPr>
        <w:rPr>
          <w:rFonts w:cs="Times New Roman"/>
          <w:szCs w:val="24"/>
        </w:rPr>
      </w:pPr>
      <w:r w:rsidRPr="00CA33F2">
        <w:rPr>
          <w:rFonts w:cs="Times New Roman"/>
          <w:b/>
          <w:bCs/>
          <w:szCs w:val="24"/>
        </w:rPr>
        <w:t>Withdrawal Liability Plan Amendment for Mergers Involving an SFA-Recipient Plan</w:t>
      </w:r>
      <w:r w:rsidRPr="00CA33F2">
        <w:rPr>
          <w:rFonts w:cs="Times New Roman"/>
          <w:szCs w:val="24"/>
        </w:rPr>
        <w:t> </w:t>
      </w:r>
    </w:p>
    <w:p w:rsidR="00A8006C" w:rsidRPr="00CA33F2" w:rsidP="00A8006C" w14:paraId="71AD966F" w14:textId="77777777">
      <w:pPr>
        <w:rPr>
          <w:rFonts w:cs="Times New Roman"/>
          <w:szCs w:val="24"/>
        </w:rPr>
      </w:pPr>
      <w:r w:rsidRPr="00CA33F2">
        <w:rPr>
          <w:rFonts w:cs="Times New Roman"/>
          <w:szCs w:val="24"/>
        </w:rPr>
        <w:t> </w:t>
      </w:r>
    </w:p>
    <w:p w:rsidR="00A8006C" w:rsidRPr="00CA33F2" w:rsidP="00A8006C" w14:paraId="2B711092" w14:textId="4460FE6D">
      <w:pPr>
        <w:rPr>
          <w:rFonts w:cs="Times New Roman"/>
          <w:szCs w:val="24"/>
        </w:rPr>
      </w:pPr>
      <w:r w:rsidRPr="00CA33F2">
        <w:rPr>
          <w:rFonts w:cs="Times New Roman"/>
          <w:szCs w:val="24"/>
        </w:rPr>
        <w:t>A</w:t>
      </w:r>
      <w:r w:rsidRPr="00CA33F2">
        <w:rPr>
          <w:rFonts w:cs="Times New Roman"/>
          <w:szCs w:val="24"/>
        </w:rPr>
        <w:t xml:space="preserve"> merged plan may adopt its own allocation method in accordance with subpart C of 29 CFR part 4211.</w:t>
      </w:r>
      <w:r>
        <w:rPr>
          <w:rStyle w:val="FootnoteReference"/>
          <w:rFonts w:cs="Times New Roman"/>
          <w:szCs w:val="24"/>
        </w:rPr>
        <w:footnoteReference w:id="19"/>
      </w:r>
      <w:r w:rsidRPr="00CA33F2">
        <w:rPr>
          <w:rFonts w:cs="Times New Roman"/>
          <w:szCs w:val="24"/>
        </w:rPr>
        <w:t xml:space="preserve"> </w:t>
      </w:r>
      <w:r w:rsidRPr="00CA33F2" w:rsidR="006520D5">
        <w:rPr>
          <w:rFonts w:cs="Times New Roman"/>
          <w:szCs w:val="24"/>
        </w:rPr>
        <w:t>In a merger</w:t>
      </w:r>
      <w:r w:rsidRPr="00CA33F2">
        <w:rPr>
          <w:rFonts w:cs="Times New Roman"/>
          <w:szCs w:val="24"/>
        </w:rPr>
        <w:t xml:space="preserve"> that involves an SFA-recipient plan</w:t>
      </w:r>
      <w:r w:rsidRPr="00CA33F2" w:rsidR="006520D5">
        <w:rPr>
          <w:rFonts w:cs="Times New Roman"/>
          <w:szCs w:val="24"/>
        </w:rPr>
        <w:t>, the merged plan</w:t>
      </w:r>
      <w:r w:rsidRPr="00CA33F2">
        <w:rPr>
          <w:rFonts w:cs="Times New Roman"/>
          <w:szCs w:val="24"/>
        </w:rPr>
        <w:t xml:space="preserve"> </w:t>
      </w:r>
      <w:r w:rsidRPr="00CA33F2" w:rsidR="007B0C62">
        <w:rPr>
          <w:rFonts w:cs="Times New Roman"/>
          <w:szCs w:val="24"/>
        </w:rPr>
        <w:t xml:space="preserve">may </w:t>
      </w:r>
      <w:r w:rsidRPr="00CA33F2" w:rsidR="007B0C62">
        <w:rPr>
          <w:rStyle w:val="bumpedfont15"/>
          <w:rFonts w:cs="Times New Roman"/>
          <w:szCs w:val="24"/>
        </w:rPr>
        <w:t>satisfy the necessary criteria under § 4262.16(f)(3)(iv) and (v)</w:t>
      </w:r>
      <w:r w:rsidRPr="00CA33F2" w:rsidR="007B0C62">
        <w:rPr>
          <w:rFonts w:cs="Times New Roman"/>
          <w:szCs w:val="24"/>
        </w:rPr>
        <w:t xml:space="preserve"> by </w:t>
      </w:r>
      <w:r w:rsidRPr="00CA33F2">
        <w:rPr>
          <w:rFonts w:cs="Times New Roman"/>
          <w:szCs w:val="24"/>
        </w:rPr>
        <w:t>adopt</w:t>
      </w:r>
      <w:r w:rsidRPr="00CA33F2" w:rsidR="007B0C62">
        <w:rPr>
          <w:rFonts w:cs="Times New Roman"/>
          <w:szCs w:val="24"/>
        </w:rPr>
        <w:t>ing</w:t>
      </w:r>
      <w:r w:rsidRPr="00CA33F2">
        <w:rPr>
          <w:rFonts w:cs="Times New Roman"/>
          <w:szCs w:val="24"/>
        </w:rPr>
        <w:t xml:space="preserve"> the following withdrawal liability plan amendment</w:t>
      </w:r>
      <w:r w:rsidRPr="00CA33F2" w:rsidR="006520D5">
        <w:rPr>
          <w:rFonts w:cs="Times New Roman"/>
          <w:szCs w:val="24"/>
        </w:rPr>
        <w:t>, contingent on PBGC</w:t>
      </w:r>
      <w:r w:rsidRPr="00CA33F2" w:rsidR="00ED4852">
        <w:rPr>
          <w:rFonts w:cs="Times New Roman"/>
          <w:szCs w:val="24"/>
        </w:rPr>
        <w:t>’s</w:t>
      </w:r>
      <w:r w:rsidRPr="00CA33F2" w:rsidR="006520D5">
        <w:rPr>
          <w:rFonts w:cs="Times New Roman"/>
          <w:szCs w:val="24"/>
        </w:rPr>
        <w:t xml:space="preserve"> approval of the merger, and </w:t>
      </w:r>
      <w:r w:rsidRPr="00CA33F2" w:rsidR="00FA6266">
        <w:rPr>
          <w:rFonts w:cs="Times New Roman"/>
          <w:szCs w:val="24"/>
        </w:rPr>
        <w:t>submitting</w:t>
      </w:r>
      <w:r w:rsidRPr="00CA33F2">
        <w:rPr>
          <w:rFonts w:cs="Times New Roman"/>
          <w:szCs w:val="24"/>
        </w:rPr>
        <w:t xml:space="preserve"> </w:t>
      </w:r>
      <w:r w:rsidRPr="00CA33F2" w:rsidR="006520D5">
        <w:rPr>
          <w:rFonts w:cs="Times New Roman"/>
          <w:szCs w:val="24"/>
        </w:rPr>
        <w:t xml:space="preserve">the amendment </w:t>
      </w:r>
      <w:r w:rsidRPr="00CA33F2">
        <w:rPr>
          <w:rFonts w:cs="Times New Roman"/>
          <w:szCs w:val="24"/>
        </w:rPr>
        <w:t xml:space="preserve">with </w:t>
      </w:r>
      <w:r w:rsidRPr="00CA33F2" w:rsidR="006520D5">
        <w:rPr>
          <w:rFonts w:cs="Times New Roman"/>
          <w:szCs w:val="24"/>
        </w:rPr>
        <w:t xml:space="preserve">its </w:t>
      </w:r>
      <w:r w:rsidRPr="00CA33F2">
        <w:rPr>
          <w:rFonts w:cs="Times New Roman"/>
          <w:szCs w:val="24"/>
        </w:rPr>
        <w:t>request for PBGC approval of the merger:  </w:t>
      </w:r>
    </w:p>
    <w:p w:rsidR="00A8006C" w:rsidRPr="00CA33F2" w:rsidP="00A8006C" w14:paraId="2B95686A" w14:textId="77777777">
      <w:pPr>
        <w:rPr>
          <w:rFonts w:cs="Times New Roman"/>
          <w:szCs w:val="24"/>
        </w:rPr>
      </w:pPr>
      <w:r w:rsidRPr="00CA33F2">
        <w:rPr>
          <w:rFonts w:cs="Times New Roman"/>
          <w:szCs w:val="24"/>
        </w:rPr>
        <w:t> </w:t>
      </w:r>
    </w:p>
    <w:p w:rsidR="006520D5" w:rsidRPr="00CA33F2" w:rsidP="00A8006C" w14:paraId="61C124C7" w14:textId="03A4EC59">
      <w:pPr>
        <w:numPr>
          <w:ilvl w:val="0"/>
          <w:numId w:val="8"/>
        </w:numPr>
        <w:rPr>
          <w:rFonts w:cs="Times New Roman"/>
          <w:szCs w:val="24"/>
          <w:u w:val="single"/>
        </w:rPr>
      </w:pPr>
      <w:r w:rsidRPr="00CA33F2">
        <w:rPr>
          <w:rFonts w:cs="Times New Roman"/>
          <w:szCs w:val="24"/>
          <w:u w:val="single"/>
        </w:rPr>
        <w:t xml:space="preserve">General </w:t>
      </w:r>
    </w:p>
    <w:p w:rsidR="006520D5" w:rsidRPr="00CA33F2" w:rsidP="002079C8" w14:paraId="1754C547" w14:textId="77777777">
      <w:pPr>
        <w:ind w:left="720"/>
        <w:rPr>
          <w:rFonts w:cs="Times New Roman"/>
          <w:szCs w:val="24"/>
        </w:rPr>
      </w:pPr>
    </w:p>
    <w:p w:rsidR="006520D5" w:rsidRPr="00CA33F2" w:rsidP="006520D5" w14:paraId="77282A4A" w14:textId="77777777">
      <w:pPr>
        <w:pStyle w:val="ListParagraph"/>
        <w:numPr>
          <w:ilvl w:val="0"/>
          <w:numId w:val="22"/>
        </w:numPr>
        <w:rPr>
          <w:rFonts w:cs="Times New Roman"/>
          <w:szCs w:val="24"/>
        </w:rPr>
      </w:pPr>
      <w:r w:rsidRPr="00CA33F2">
        <w:rPr>
          <w:rFonts w:cs="Times New Roman"/>
          <w:szCs w:val="24"/>
        </w:rPr>
        <w:t>Withdrawal liability for employers that contributed to the SFA-recipient plan pre-merger will be an allocable share of the sum of UVBs from the (1) SFA Pool</w:t>
      </w:r>
      <w:r w:rsidRPr="00CA33F2">
        <w:rPr>
          <w:rFonts w:cs="Times New Roman"/>
          <w:b/>
          <w:bCs/>
          <w:szCs w:val="24"/>
        </w:rPr>
        <w:t xml:space="preserve"> </w:t>
      </w:r>
      <w:r w:rsidRPr="00CA33F2">
        <w:rPr>
          <w:rFonts w:cs="Times New Roman"/>
          <w:szCs w:val="24"/>
        </w:rPr>
        <w:t xml:space="preserve">and the (2) Merged Plan Pool. </w:t>
      </w:r>
    </w:p>
    <w:p w:rsidR="006520D5" w:rsidRPr="00CA33F2" w:rsidP="002079C8" w14:paraId="60441017" w14:textId="77777777">
      <w:pPr>
        <w:pStyle w:val="ListParagraph"/>
        <w:ind w:left="1080"/>
        <w:rPr>
          <w:rFonts w:cs="Times New Roman"/>
          <w:szCs w:val="24"/>
        </w:rPr>
      </w:pPr>
    </w:p>
    <w:p w:rsidR="00A8006C" w:rsidRPr="00CA33F2" w:rsidP="002079C8" w14:paraId="1DD366E7" w14:textId="27656032">
      <w:pPr>
        <w:pStyle w:val="ListParagraph"/>
        <w:numPr>
          <w:ilvl w:val="0"/>
          <w:numId w:val="22"/>
        </w:numPr>
        <w:rPr>
          <w:rFonts w:cs="Times New Roman"/>
          <w:szCs w:val="24"/>
        </w:rPr>
      </w:pPr>
      <w:r w:rsidRPr="00CA33F2">
        <w:rPr>
          <w:rFonts w:cs="Times New Roman"/>
          <w:szCs w:val="24"/>
        </w:rPr>
        <w:t>Withdrawal liability for employers that did not contribute to the SFA-recipient plan pre-merger will be an allocable share of UVBs from the Merged Plan Pool.   </w:t>
      </w:r>
    </w:p>
    <w:p w:rsidR="00A8006C" w:rsidRPr="00CA33F2" w:rsidP="00A8006C" w14:paraId="521F6ED4" w14:textId="77777777">
      <w:pPr>
        <w:rPr>
          <w:rFonts w:cs="Times New Roman"/>
          <w:szCs w:val="24"/>
        </w:rPr>
      </w:pPr>
      <w:r w:rsidRPr="00CA33F2">
        <w:rPr>
          <w:rFonts w:cs="Times New Roman"/>
          <w:szCs w:val="24"/>
        </w:rPr>
        <w:t> </w:t>
      </w:r>
    </w:p>
    <w:p w:rsidR="00A8006C" w:rsidRPr="00CA33F2" w:rsidP="00A8006C" w14:paraId="1AEB9CBA" w14:textId="42133D5E">
      <w:pPr>
        <w:numPr>
          <w:ilvl w:val="0"/>
          <w:numId w:val="9"/>
        </w:numPr>
        <w:rPr>
          <w:rFonts w:cs="Times New Roman"/>
          <w:szCs w:val="24"/>
          <w:u w:val="single"/>
        </w:rPr>
      </w:pPr>
      <w:r w:rsidRPr="00CA33F2">
        <w:rPr>
          <w:rFonts w:cs="Times New Roman"/>
          <w:szCs w:val="24"/>
          <w:u w:val="single"/>
        </w:rPr>
        <w:t>UVBs in the SFA Pool will consist of SFA Pool vested liabilities less SFA Pool assets</w:t>
      </w:r>
    </w:p>
    <w:p w:rsidR="00A8006C" w:rsidRPr="00CA33F2" w:rsidP="00A8006C" w14:paraId="5BE839A6" w14:textId="77777777">
      <w:pPr>
        <w:rPr>
          <w:rFonts w:cs="Times New Roman"/>
          <w:szCs w:val="24"/>
        </w:rPr>
      </w:pPr>
      <w:r w:rsidRPr="00CA33F2">
        <w:rPr>
          <w:rFonts w:cs="Times New Roman"/>
          <w:szCs w:val="24"/>
        </w:rPr>
        <w:t> </w:t>
      </w:r>
    </w:p>
    <w:p w:rsidR="006520D5" w:rsidRPr="00CA33F2" w:rsidP="00A8006C" w14:paraId="3B9189DE" w14:textId="77777777">
      <w:pPr>
        <w:numPr>
          <w:ilvl w:val="0"/>
          <w:numId w:val="10"/>
        </w:numPr>
        <w:rPr>
          <w:rFonts w:cs="Times New Roman"/>
          <w:szCs w:val="24"/>
        </w:rPr>
      </w:pPr>
      <w:r w:rsidRPr="00CA33F2">
        <w:rPr>
          <w:rFonts w:cs="Times New Roman"/>
          <w:szCs w:val="24"/>
        </w:rPr>
        <w:t xml:space="preserve">SFA Pool </w:t>
      </w:r>
      <w:r w:rsidRPr="00CA33F2">
        <w:rPr>
          <w:rFonts w:cs="Times New Roman"/>
          <w:szCs w:val="24"/>
        </w:rPr>
        <w:t xml:space="preserve">Vested Liabilities </w:t>
      </w:r>
    </w:p>
    <w:p w:rsidR="006520D5" w:rsidRPr="00CA33F2" w:rsidP="006520D5" w14:paraId="4E187361" w14:textId="77777777">
      <w:pPr>
        <w:ind w:left="720"/>
        <w:rPr>
          <w:rFonts w:cs="Times New Roman"/>
          <w:szCs w:val="24"/>
        </w:rPr>
      </w:pPr>
    </w:p>
    <w:p w:rsidR="006520D5" w:rsidRPr="00CA33F2" w:rsidP="006520D5" w14:paraId="21A6A8AA" w14:textId="580D6BB2">
      <w:pPr>
        <w:pStyle w:val="ListParagraph"/>
        <w:numPr>
          <w:ilvl w:val="0"/>
          <w:numId w:val="23"/>
        </w:numPr>
        <w:rPr>
          <w:rFonts w:cs="Times New Roman"/>
          <w:szCs w:val="24"/>
        </w:rPr>
      </w:pPr>
      <w:r w:rsidRPr="00CA33F2">
        <w:rPr>
          <w:rFonts w:cs="Times New Roman"/>
          <w:szCs w:val="24"/>
        </w:rPr>
        <w:t xml:space="preserve">SFA Pool </w:t>
      </w:r>
      <w:r w:rsidRPr="00CA33F2" w:rsidR="00A8006C">
        <w:rPr>
          <w:rFonts w:cs="Times New Roman"/>
          <w:szCs w:val="24"/>
        </w:rPr>
        <w:t xml:space="preserve">vested liabilities will initially consist of the vested benefits of the SFA-recipient plan </w:t>
      </w:r>
      <w:r w:rsidRPr="00CA33F2" w:rsidR="00B40E5F">
        <w:rPr>
          <w:rFonts w:cs="Times New Roman"/>
          <w:szCs w:val="24"/>
        </w:rPr>
        <w:t>on the last day of the plan year ending on or just before the merger date</w:t>
      </w:r>
      <w:r w:rsidRPr="00CA33F2" w:rsidR="00A8006C">
        <w:rPr>
          <w:rFonts w:cs="Times New Roman"/>
          <w:szCs w:val="24"/>
        </w:rPr>
        <w:t>, valued using 4044 rates consistent with § 4262.16(g)(1).  </w:t>
      </w:r>
    </w:p>
    <w:p w:rsidR="006520D5" w:rsidRPr="00CA33F2" w:rsidP="002079C8" w14:paraId="11A46573" w14:textId="0071E0A3">
      <w:pPr>
        <w:pStyle w:val="ListParagraph"/>
        <w:ind w:left="1080"/>
        <w:rPr>
          <w:rFonts w:cs="Times New Roman"/>
          <w:szCs w:val="24"/>
        </w:rPr>
      </w:pPr>
      <w:r w:rsidRPr="00CA33F2">
        <w:rPr>
          <w:rFonts w:cs="Times New Roman"/>
          <w:szCs w:val="24"/>
        </w:rPr>
        <w:t> </w:t>
      </w:r>
    </w:p>
    <w:p w:rsidR="00A8006C" w:rsidRPr="00CA33F2" w:rsidP="006520D5" w14:paraId="2C654850" w14:textId="2C3488A8">
      <w:pPr>
        <w:pStyle w:val="ListParagraph"/>
        <w:numPr>
          <w:ilvl w:val="0"/>
          <w:numId w:val="23"/>
        </w:numPr>
        <w:rPr>
          <w:rFonts w:cs="Times New Roman"/>
        </w:rPr>
      </w:pPr>
      <w:r w:rsidRPr="00CA33F2">
        <w:rPr>
          <w:rFonts w:cs="Times New Roman"/>
        </w:rPr>
        <w:t>The</w:t>
      </w:r>
      <w:r w:rsidRPr="00CA33F2">
        <w:rPr>
          <w:rFonts w:cs="Times New Roman"/>
        </w:rPr>
        <w:t xml:space="preserve"> plan actuary will project future benefit payments </w:t>
      </w:r>
      <w:r w:rsidRPr="00CA33F2" w:rsidR="00B40E5F">
        <w:rPr>
          <w:rFonts w:cs="Times New Roman"/>
        </w:rPr>
        <w:t>associated with the accumulated nonforfeitable benefits of SFA plan participants as of the last day of the plan year ending on or just before the merger date</w:t>
      </w:r>
      <w:r w:rsidRPr="00CA33F2">
        <w:rPr>
          <w:rFonts w:cs="Times New Roman"/>
        </w:rPr>
        <w:t xml:space="preserve"> </w:t>
      </w:r>
      <w:r w:rsidRPr="00CA33F2">
        <w:rPr>
          <w:rFonts w:cs="Times New Roman"/>
        </w:rPr>
        <w:t xml:space="preserve">(the SFA-Pool Benefit Projection) through the </w:t>
      </w:r>
      <w:r w:rsidRPr="00CA33F2">
        <w:rPr>
          <w:rFonts w:cs="Times New Roman"/>
        </w:rPr>
        <w:t>year the SFA-recipient plan is projected to pay its last dollar of benefit, but not to exceed 100 years</w:t>
      </w:r>
      <w:r w:rsidRPr="00CA33F2">
        <w:rPr>
          <w:rFonts w:cs="Times New Roman"/>
        </w:rPr>
        <w:t xml:space="preserve"> (the SFA </w:t>
      </w:r>
      <w:r w:rsidRPr="00CA33F2">
        <w:rPr>
          <w:rFonts w:cs="Times New Roman"/>
        </w:rPr>
        <w:t>Projection Period</w:t>
      </w:r>
      <w:r w:rsidRPr="00CA33F2">
        <w:rPr>
          <w:rFonts w:cs="Times New Roman"/>
        </w:rPr>
        <w:t xml:space="preserve">). </w:t>
      </w:r>
      <w:r w:rsidRPr="00CA33F2">
        <w:rPr>
          <w:rFonts w:cs="Times New Roman"/>
        </w:rPr>
        <w:t>For purposes of the SFA-Pool Benefit Projection, eligibility service and vesting service are assumed to continue to be earned throughout the SFA Projection Period.</w:t>
      </w:r>
    </w:p>
    <w:p w:rsidR="006520D5" w:rsidRPr="00CA33F2" w:rsidP="002079C8" w14:paraId="203F63DB" w14:textId="77777777">
      <w:pPr>
        <w:pStyle w:val="ListParagraph"/>
        <w:ind w:left="1080"/>
        <w:rPr>
          <w:rFonts w:cs="Times New Roman"/>
        </w:rPr>
      </w:pPr>
    </w:p>
    <w:p w:rsidR="006520D5" w:rsidRPr="00CA33F2" w:rsidP="002079C8" w14:paraId="09A91FC8" w14:textId="15E96C2D">
      <w:pPr>
        <w:pStyle w:val="ListParagraph"/>
        <w:numPr>
          <w:ilvl w:val="0"/>
          <w:numId w:val="23"/>
        </w:numPr>
        <w:rPr>
          <w:rFonts w:cs="Times New Roman"/>
        </w:rPr>
      </w:pPr>
      <w:r w:rsidRPr="00CA33F2">
        <w:rPr>
          <w:rFonts w:cs="Times New Roman"/>
        </w:rPr>
        <w:t xml:space="preserve">During the SFA </w:t>
      </w:r>
      <w:r w:rsidRPr="00CA33F2" w:rsidR="00B40E5F">
        <w:rPr>
          <w:rFonts w:cs="Times New Roman"/>
        </w:rPr>
        <w:t>Projection P</w:t>
      </w:r>
      <w:r w:rsidRPr="00CA33F2">
        <w:rPr>
          <w:rFonts w:cs="Times New Roman"/>
        </w:rPr>
        <w:t xml:space="preserve">eriod, and until the separate pools have ceased as described in Section VI, SFA </w:t>
      </w:r>
      <w:r w:rsidRPr="00CA33F2" w:rsidR="00B40E5F">
        <w:rPr>
          <w:rFonts w:cs="Times New Roman"/>
        </w:rPr>
        <w:t>P</w:t>
      </w:r>
      <w:r w:rsidRPr="00CA33F2">
        <w:rPr>
          <w:rFonts w:cs="Times New Roman"/>
        </w:rPr>
        <w:t xml:space="preserve">ool vested liabilities will be revalued as of the last day of each plan year following the plan year in which the merger occurs to reflect the remaining annual payments under the SFA-Pool Benefit Projection, using 4044 Rates consistent with § 4262.16(g)(1). </w:t>
      </w:r>
    </w:p>
    <w:p w:rsidR="00A8006C" w:rsidRPr="00CA33F2" w:rsidP="00A8006C" w14:paraId="4493E8CC" w14:textId="77777777">
      <w:pPr>
        <w:rPr>
          <w:rFonts w:cs="Times New Roman"/>
          <w:szCs w:val="24"/>
        </w:rPr>
      </w:pPr>
      <w:r w:rsidRPr="00CA33F2">
        <w:rPr>
          <w:rFonts w:cs="Times New Roman"/>
          <w:szCs w:val="24"/>
        </w:rPr>
        <w:t> </w:t>
      </w:r>
    </w:p>
    <w:p w:rsidR="006520D5" w:rsidRPr="00CA33F2" w:rsidP="00A8006C" w14:paraId="2089E68D" w14:textId="48872BA4">
      <w:pPr>
        <w:numPr>
          <w:ilvl w:val="0"/>
          <w:numId w:val="11"/>
        </w:numPr>
        <w:rPr>
          <w:rFonts w:cs="Times New Roman"/>
          <w:szCs w:val="24"/>
        </w:rPr>
      </w:pPr>
      <w:r w:rsidRPr="00CA33F2">
        <w:rPr>
          <w:rFonts w:cs="Times New Roman"/>
          <w:szCs w:val="24"/>
        </w:rPr>
        <w:t xml:space="preserve">SFA Pool </w:t>
      </w:r>
      <w:r w:rsidRPr="00CA33F2">
        <w:rPr>
          <w:rFonts w:cs="Times New Roman"/>
          <w:szCs w:val="24"/>
        </w:rPr>
        <w:t xml:space="preserve">Assets </w:t>
      </w:r>
    </w:p>
    <w:p w:rsidR="006520D5" w:rsidRPr="00CA33F2" w:rsidP="006520D5" w14:paraId="4D4798E7" w14:textId="77777777">
      <w:pPr>
        <w:ind w:left="720"/>
        <w:rPr>
          <w:rFonts w:cs="Times New Roman"/>
          <w:szCs w:val="24"/>
        </w:rPr>
      </w:pPr>
    </w:p>
    <w:p w:rsidR="006520D5" w:rsidRPr="00CA33F2" w:rsidP="006520D5" w14:paraId="234C19FB" w14:textId="70BF4C6D">
      <w:pPr>
        <w:pStyle w:val="ListParagraph"/>
        <w:numPr>
          <w:ilvl w:val="0"/>
          <w:numId w:val="24"/>
        </w:numPr>
        <w:rPr>
          <w:rFonts w:cs="Times New Roman"/>
          <w:szCs w:val="24"/>
        </w:rPr>
      </w:pPr>
      <w:r w:rsidRPr="00CA33F2">
        <w:rPr>
          <w:rFonts w:cs="Times New Roman"/>
          <w:szCs w:val="24"/>
        </w:rPr>
        <w:t xml:space="preserve">SFA Pool assets </w:t>
      </w:r>
      <w:r w:rsidRPr="00CA33F2" w:rsidR="00A8006C">
        <w:rPr>
          <w:rFonts w:cs="Times New Roman"/>
          <w:szCs w:val="24"/>
        </w:rPr>
        <w:t xml:space="preserve">will initially consist of the assets of the SFA-recipient plan on the last day of the plan year </w:t>
      </w:r>
      <w:r w:rsidRPr="00CA33F2" w:rsidR="00B40E5F">
        <w:rPr>
          <w:rFonts w:cs="Times New Roman"/>
          <w:szCs w:val="24"/>
        </w:rPr>
        <w:t>ending on or just before the merger date</w:t>
      </w:r>
      <w:r w:rsidRPr="00CA33F2" w:rsidR="00A8006C">
        <w:rPr>
          <w:rFonts w:cs="Times New Roman"/>
          <w:szCs w:val="24"/>
        </w:rPr>
        <w:t xml:space="preserve">, including the amount of SFA phased-in consistent with § 4262.16(g)(2). </w:t>
      </w:r>
    </w:p>
    <w:p w:rsidR="006520D5" w:rsidRPr="00CA33F2" w:rsidP="002079C8" w14:paraId="56DC5293" w14:textId="77777777">
      <w:pPr>
        <w:pStyle w:val="ListParagraph"/>
        <w:ind w:left="1080"/>
        <w:rPr>
          <w:rFonts w:cs="Times New Roman"/>
          <w:szCs w:val="24"/>
        </w:rPr>
      </w:pPr>
    </w:p>
    <w:p w:rsidR="00A8006C" w:rsidRPr="00CA33F2" w:rsidP="002079C8" w14:paraId="7956BBBD" w14:textId="64C2E15A">
      <w:pPr>
        <w:pStyle w:val="ListParagraph"/>
        <w:numPr>
          <w:ilvl w:val="0"/>
          <w:numId w:val="24"/>
        </w:numPr>
        <w:rPr>
          <w:rFonts w:cs="Times New Roman"/>
          <w:szCs w:val="24"/>
        </w:rPr>
      </w:pPr>
      <w:r w:rsidRPr="00CA33F2">
        <w:rPr>
          <w:rFonts w:cs="Times New Roman"/>
          <w:szCs w:val="24"/>
        </w:rPr>
        <w:t>During the SFA period, SFA Pool assets will be revalued as of the last day of each plan year following the plan year in which the merger occurs by:  </w:t>
      </w:r>
    </w:p>
    <w:p w:rsidR="00A8006C" w:rsidRPr="00CA33F2" w:rsidP="00A8006C" w14:paraId="0F6D3581" w14:textId="77777777">
      <w:pPr>
        <w:rPr>
          <w:rFonts w:cs="Times New Roman"/>
          <w:szCs w:val="24"/>
        </w:rPr>
      </w:pPr>
      <w:r w:rsidRPr="00CA33F2">
        <w:rPr>
          <w:rFonts w:cs="Times New Roman"/>
          <w:szCs w:val="24"/>
        </w:rPr>
        <w:t> </w:t>
      </w:r>
    </w:p>
    <w:p w:rsidR="00A8006C" w:rsidRPr="00CA33F2" w:rsidP="002079C8" w14:paraId="6BAA4271" w14:textId="55EEAB9F">
      <w:pPr>
        <w:pStyle w:val="ListParagraph"/>
        <w:numPr>
          <w:ilvl w:val="0"/>
          <w:numId w:val="25"/>
        </w:numPr>
        <w:rPr>
          <w:rFonts w:cs="Times New Roman"/>
          <w:szCs w:val="24"/>
        </w:rPr>
      </w:pPr>
      <w:r w:rsidRPr="00CA33F2">
        <w:rPr>
          <w:rFonts w:cs="Times New Roman"/>
          <w:szCs w:val="24"/>
        </w:rPr>
        <w:t>subtracting the annual benefit payment for the year determined under the SFA-Pool Benefit Projection in Section II.A; and  </w:t>
      </w:r>
    </w:p>
    <w:p w:rsidR="00A8006C" w:rsidRPr="00CA33F2" w:rsidP="00A8006C" w14:paraId="7DC3EC2C" w14:textId="77777777">
      <w:pPr>
        <w:rPr>
          <w:rFonts w:cs="Times New Roman"/>
          <w:szCs w:val="24"/>
        </w:rPr>
      </w:pPr>
      <w:r w:rsidRPr="00CA33F2">
        <w:rPr>
          <w:rFonts w:cs="Times New Roman"/>
          <w:szCs w:val="24"/>
        </w:rPr>
        <w:t> </w:t>
      </w:r>
    </w:p>
    <w:p w:rsidR="006520D5" w:rsidRPr="00CA33F2" w:rsidP="002079C8" w14:paraId="56F7A03E" w14:textId="2DA500A4">
      <w:pPr>
        <w:pStyle w:val="ListParagraph"/>
        <w:numPr>
          <w:ilvl w:val="0"/>
          <w:numId w:val="25"/>
        </w:numPr>
        <w:rPr>
          <w:rFonts w:cs="Times New Roman"/>
          <w:szCs w:val="24"/>
        </w:rPr>
      </w:pPr>
      <w:r w:rsidRPr="00CA33F2">
        <w:rPr>
          <w:rFonts w:cs="Times New Roman"/>
          <w:szCs w:val="24"/>
        </w:rPr>
        <w:t xml:space="preserve">adding </w:t>
      </w:r>
      <w:r w:rsidRPr="00CA33F2">
        <w:rPr>
          <w:rFonts w:cs="Times New Roman"/>
          <w:szCs w:val="24"/>
        </w:rPr>
        <w:t>reasonable assumed investment returns on SFA-recipient plan assets</w:t>
      </w:r>
      <w:r w:rsidRPr="00CA33F2" w:rsidR="00ED4852">
        <w:rPr>
          <w:rFonts w:cs="Times New Roman"/>
          <w:szCs w:val="24"/>
        </w:rPr>
        <w:t>;</w:t>
      </w:r>
      <w:r w:rsidRPr="00CA33F2">
        <w:rPr>
          <w:rFonts w:cs="Times New Roman"/>
          <w:szCs w:val="24"/>
        </w:rPr>
        <w:t xml:space="preserve"> and </w:t>
      </w:r>
    </w:p>
    <w:p w:rsidR="006520D5" w:rsidRPr="00CA33F2" w:rsidP="002079C8" w14:paraId="05B7A54E" w14:textId="77777777">
      <w:pPr>
        <w:pStyle w:val="ListParagraph"/>
        <w:rPr>
          <w:rFonts w:cs="Times New Roman"/>
          <w:szCs w:val="24"/>
        </w:rPr>
      </w:pPr>
    </w:p>
    <w:p w:rsidR="006520D5" w:rsidRPr="00CA33F2" w:rsidP="006520D5" w14:paraId="7AA31E18" w14:textId="16DC5BE2">
      <w:pPr>
        <w:pStyle w:val="ListParagraph"/>
        <w:numPr>
          <w:ilvl w:val="0"/>
          <w:numId w:val="25"/>
        </w:numPr>
        <w:rPr>
          <w:rFonts w:cs="Times New Roman"/>
          <w:szCs w:val="24"/>
        </w:rPr>
      </w:pPr>
      <w:r w:rsidRPr="00CA33F2">
        <w:rPr>
          <w:rFonts w:cs="Times New Roman"/>
          <w:szCs w:val="24"/>
        </w:rPr>
        <w:t>a</w:t>
      </w:r>
      <w:r w:rsidRPr="00CA33F2">
        <w:rPr>
          <w:rFonts w:cs="Times New Roman"/>
          <w:szCs w:val="24"/>
        </w:rPr>
        <w:t xml:space="preserve">dding any withdrawal liability payments made that are attributable to the SFA Pool. </w:t>
      </w:r>
    </w:p>
    <w:p w:rsidR="006520D5" w:rsidRPr="00CA33F2" w:rsidP="002079C8" w14:paraId="5EC68A4F" w14:textId="77777777">
      <w:pPr>
        <w:pStyle w:val="ListParagraph"/>
        <w:rPr>
          <w:rFonts w:cs="Times New Roman"/>
          <w:szCs w:val="24"/>
        </w:rPr>
      </w:pPr>
    </w:p>
    <w:p w:rsidR="006520D5" w:rsidRPr="00CA33F2" w:rsidP="006520D5" w14:paraId="74FA026D" w14:textId="75E3E12A">
      <w:pPr>
        <w:pStyle w:val="ListParagraph"/>
        <w:numPr>
          <w:ilvl w:val="0"/>
          <w:numId w:val="24"/>
        </w:numPr>
        <w:rPr>
          <w:rFonts w:cs="Times New Roman"/>
          <w:szCs w:val="24"/>
        </w:rPr>
      </w:pPr>
      <w:r w:rsidRPr="00CA33F2">
        <w:rPr>
          <w:rFonts w:cs="Times New Roman"/>
          <w:szCs w:val="24"/>
        </w:rPr>
        <w:t>SFA Pool assets as of the revaluation date are adjusted for the amount of SFA phased-in consistent with § 4262.16(g)(2), using the previously determined phase-in schedule.</w:t>
      </w:r>
    </w:p>
    <w:p w:rsidR="006520D5" w:rsidRPr="00CA33F2" w:rsidP="002079C8" w14:paraId="5B723E2F" w14:textId="77777777">
      <w:pPr>
        <w:pStyle w:val="ListParagraph"/>
        <w:ind w:left="1080"/>
        <w:rPr>
          <w:rFonts w:cs="Times New Roman"/>
          <w:szCs w:val="24"/>
        </w:rPr>
      </w:pPr>
    </w:p>
    <w:p w:rsidR="006520D5" w:rsidRPr="00CA33F2" w:rsidP="002079C8" w14:paraId="66A85610" w14:textId="39BF24F8">
      <w:pPr>
        <w:pStyle w:val="ListParagraph"/>
        <w:numPr>
          <w:ilvl w:val="0"/>
          <w:numId w:val="24"/>
        </w:numPr>
        <w:rPr>
          <w:rFonts w:cs="Times New Roman"/>
          <w:szCs w:val="24"/>
        </w:rPr>
      </w:pPr>
      <w:r w:rsidRPr="00CA33F2">
        <w:rPr>
          <w:rFonts w:cs="Times New Roman"/>
          <w:szCs w:val="24"/>
        </w:rPr>
        <w:t>SFA Pool assets may not be less than 0.  </w:t>
      </w:r>
    </w:p>
    <w:p w:rsidR="00A8006C" w:rsidRPr="00CA33F2" w:rsidP="00A8006C" w14:paraId="511A8F76" w14:textId="77777777">
      <w:pPr>
        <w:rPr>
          <w:rFonts w:cs="Times New Roman"/>
          <w:szCs w:val="24"/>
        </w:rPr>
      </w:pPr>
      <w:r w:rsidRPr="00CA33F2">
        <w:rPr>
          <w:rFonts w:cs="Times New Roman"/>
          <w:szCs w:val="24"/>
        </w:rPr>
        <w:t> </w:t>
      </w:r>
    </w:p>
    <w:p w:rsidR="00A8006C" w:rsidRPr="00CA33F2" w:rsidP="002079C8" w14:paraId="4E56D279" w14:textId="28C4F82A">
      <w:pPr>
        <w:pStyle w:val="ListParagraph"/>
        <w:numPr>
          <w:ilvl w:val="0"/>
          <w:numId w:val="11"/>
        </w:numPr>
        <w:rPr>
          <w:rFonts w:cs="Times New Roman"/>
        </w:rPr>
      </w:pPr>
      <w:r w:rsidRPr="00CA33F2">
        <w:rPr>
          <w:rFonts w:cs="Times New Roman"/>
        </w:rPr>
        <w:t>Investment gains and losses, administrative expenses, employer contributions, and benefit accruals after the last day of the plan year prior to the merger shall not be allocated to the SFA Pool.  </w:t>
      </w:r>
    </w:p>
    <w:p w:rsidR="00A8006C" w:rsidRPr="00CA33F2" w:rsidP="00A8006C" w14:paraId="73D559E0" w14:textId="77777777">
      <w:pPr>
        <w:rPr>
          <w:rFonts w:cs="Times New Roman"/>
          <w:szCs w:val="24"/>
        </w:rPr>
      </w:pPr>
      <w:r w:rsidRPr="00CA33F2">
        <w:rPr>
          <w:rFonts w:cs="Times New Roman"/>
          <w:szCs w:val="24"/>
        </w:rPr>
        <w:t> </w:t>
      </w:r>
    </w:p>
    <w:p w:rsidR="00A8006C" w:rsidRPr="00CA33F2" w:rsidP="00A8006C" w14:paraId="5AE5D21F" w14:textId="7737CC0C">
      <w:pPr>
        <w:numPr>
          <w:ilvl w:val="0"/>
          <w:numId w:val="13"/>
        </w:numPr>
        <w:rPr>
          <w:rFonts w:cs="Times New Roman"/>
          <w:szCs w:val="24"/>
          <w:u w:val="single"/>
        </w:rPr>
      </w:pPr>
      <w:r w:rsidRPr="00CA33F2">
        <w:rPr>
          <w:rFonts w:cs="Times New Roman"/>
          <w:szCs w:val="24"/>
          <w:u w:val="single"/>
        </w:rPr>
        <w:t>UVBs in the Merged Plan Pool will consist of Merged Plan Pool vested liabilities less Merged Plan Pool assets</w:t>
      </w:r>
      <w:r w:rsidRPr="00CA33F2">
        <w:rPr>
          <w:rFonts w:cs="Times New Roman"/>
          <w:szCs w:val="24"/>
        </w:rPr>
        <w:t> </w:t>
      </w:r>
    </w:p>
    <w:p w:rsidR="00A8006C" w:rsidRPr="00CA33F2" w:rsidP="00A8006C" w14:paraId="3DBAD0E5" w14:textId="77777777">
      <w:pPr>
        <w:rPr>
          <w:rFonts w:cs="Times New Roman"/>
          <w:szCs w:val="24"/>
        </w:rPr>
      </w:pPr>
      <w:r w:rsidRPr="00CA33F2">
        <w:rPr>
          <w:rFonts w:cs="Times New Roman"/>
          <w:szCs w:val="24"/>
        </w:rPr>
        <w:t> </w:t>
      </w:r>
    </w:p>
    <w:p w:rsidR="00ED4852" w:rsidRPr="00CA33F2" w:rsidP="00A8006C" w14:paraId="00788C3E" w14:textId="4D04C89E">
      <w:pPr>
        <w:numPr>
          <w:ilvl w:val="0"/>
          <w:numId w:val="14"/>
        </w:numPr>
        <w:rPr>
          <w:rFonts w:cs="Times New Roman"/>
          <w:szCs w:val="24"/>
        </w:rPr>
      </w:pPr>
      <w:r w:rsidRPr="00CA33F2">
        <w:rPr>
          <w:rFonts w:cs="Times New Roman"/>
          <w:szCs w:val="24"/>
        </w:rPr>
        <w:t xml:space="preserve">The Merged Plan Pool vested benefits </w:t>
      </w:r>
      <w:r w:rsidRPr="00CA33F2" w:rsidR="006520D5">
        <w:rPr>
          <w:rFonts w:cs="Times New Roman"/>
          <w:szCs w:val="24"/>
        </w:rPr>
        <w:t xml:space="preserve">each year of the </w:t>
      </w:r>
      <w:r w:rsidRPr="00CA33F2" w:rsidR="00B40E5F">
        <w:rPr>
          <w:rFonts w:cs="Times New Roman"/>
          <w:szCs w:val="24"/>
        </w:rPr>
        <w:t xml:space="preserve">SFA </w:t>
      </w:r>
      <w:r w:rsidRPr="00CA33F2" w:rsidR="006520D5">
        <w:rPr>
          <w:rFonts w:cs="Times New Roman"/>
          <w:szCs w:val="24"/>
        </w:rPr>
        <w:t xml:space="preserve">Projection Period </w:t>
      </w:r>
      <w:r w:rsidRPr="00CA33F2">
        <w:rPr>
          <w:rFonts w:cs="Times New Roman"/>
          <w:szCs w:val="24"/>
        </w:rPr>
        <w:t>shall be the total vested benefits of the Plan minus the remaining benefit payments projected from the SFA Pool under the SFA-Pool Benefit Projection described in Section II.A</w:t>
      </w:r>
      <w:r w:rsidRPr="00CA33F2">
        <w:rPr>
          <w:rFonts w:cs="Times New Roman"/>
          <w:szCs w:val="24"/>
        </w:rPr>
        <w:t xml:space="preserve"> for that year</w:t>
      </w:r>
      <w:r w:rsidRPr="00CA33F2">
        <w:rPr>
          <w:rFonts w:cs="Times New Roman"/>
          <w:szCs w:val="24"/>
        </w:rPr>
        <w:t xml:space="preserve">. </w:t>
      </w:r>
    </w:p>
    <w:p w:rsidR="00ED4852" w:rsidRPr="00CA33F2" w:rsidP="002079C8" w14:paraId="588A235E" w14:textId="77777777">
      <w:pPr>
        <w:ind w:left="720"/>
        <w:rPr>
          <w:rFonts w:cs="Times New Roman"/>
          <w:szCs w:val="24"/>
        </w:rPr>
      </w:pPr>
    </w:p>
    <w:p w:rsidR="00ED4852" w:rsidRPr="00CA33F2" w:rsidP="00A8006C" w14:paraId="1436AABC" w14:textId="5D611B33">
      <w:pPr>
        <w:numPr>
          <w:ilvl w:val="0"/>
          <w:numId w:val="14"/>
        </w:numPr>
        <w:rPr>
          <w:rFonts w:cs="Times New Roman"/>
          <w:szCs w:val="24"/>
        </w:rPr>
      </w:pPr>
      <w:r w:rsidRPr="00CA33F2">
        <w:rPr>
          <w:rFonts w:cs="Times New Roman"/>
          <w:szCs w:val="24"/>
        </w:rPr>
        <w:t xml:space="preserve">The Merged Plan Pool vested liabilities shall be the </w:t>
      </w:r>
      <w:r w:rsidRPr="00CA33F2">
        <w:rPr>
          <w:rFonts w:cs="Times New Roman"/>
          <w:szCs w:val="24"/>
        </w:rPr>
        <w:t xml:space="preserve">present </w:t>
      </w:r>
      <w:r w:rsidRPr="00CA33F2">
        <w:rPr>
          <w:rFonts w:cs="Times New Roman"/>
          <w:szCs w:val="24"/>
        </w:rPr>
        <w:t>value of the Merged Plan Pool vested benefits</w:t>
      </w:r>
      <w:r w:rsidRPr="00CA33F2">
        <w:rPr>
          <w:rFonts w:cs="Times New Roman"/>
          <w:szCs w:val="24"/>
        </w:rPr>
        <w:t xml:space="preserve"> determined using the merged plan withdrawal liability assumptions. </w:t>
      </w:r>
    </w:p>
    <w:p w:rsidR="00ED4852" w:rsidRPr="00CA33F2" w:rsidP="002079C8" w14:paraId="50A7C35F" w14:textId="715D6AE3">
      <w:pPr>
        <w:rPr>
          <w:rFonts w:cs="Times New Roman"/>
          <w:szCs w:val="24"/>
        </w:rPr>
      </w:pPr>
      <w:r w:rsidRPr="00CA33F2">
        <w:rPr>
          <w:rFonts w:cs="Times New Roman"/>
          <w:szCs w:val="24"/>
        </w:rPr>
        <w:t> </w:t>
      </w:r>
    </w:p>
    <w:p w:rsidR="00ED4852" w:rsidRPr="00CA33F2" w:rsidP="00ED4852" w14:paraId="4F970EE4" w14:textId="77777777">
      <w:pPr>
        <w:numPr>
          <w:ilvl w:val="0"/>
          <w:numId w:val="14"/>
        </w:numPr>
        <w:rPr>
          <w:rFonts w:cs="Times New Roman"/>
        </w:rPr>
      </w:pPr>
      <w:bookmarkStart w:id="0" w:name="_Hlk194387853"/>
      <w:r w:rsidRPr="00CA33F2">
        <w:rPr>
          <w:rFonts w:cs="Times New Roman"/>
        </w:rPr>
        <w:t>Merged Plan Pool assets shall equal the Plan’s total assets at the revaluation date less the amount of SFA assets not phased in as of the revaluation date, minus the assets in the SFA Pool described in Section II.B (already reflecting phase-in adjustment).</w:t>
      </w:r>
    </w:p>
    <w:p w:rsidR="00ED4852" w:rsidRPr="00CA33F2" w:rsidP="002079C8" w14:paraId="42900F40" w14:textId="77777777">
      <w:pPr>
        <w:ind w:left="720"/>
        <w:rPr>
          <w:rFonts w:cs="Times New Roman"/>
        </w:rPr>
      </w:pPr>
    </w:p>
    <w:bookmarkEnd w:id="0"/>
    <w:p w:rsidR="00ED4852" w:rsidRPr="00CA33F2" w:rsidP="00ED4852" w14:paraId="0F9978A8" w14:textId="77777777">
      <w:pPr>
        <w:pStyle w:val="ListParagraph"/>
        <w:numPr>
          <w:ilvl w:val="0"/>
          <w:numId w:val="13"/>
        </w:numPr>
        <w:rPr>
          <w:rFonts w:cs="Times New Roman"/>
          <w:u w:val="single"/>
        </w:rPr>
      </w:pPr>
      <w:r w:rsidRPr="00CA33F2">
        <w:rPr>
          <w:rFonts w:cs="Times New Roman"/>
          <w:u w:val="single"/>
        </w:rPr>
        <w:t>Allocation of UVBs to a Withdrawn Employer</w:t>
      </w:r>
    </w:p>
    <w:p w:rsidR="00ED4852" w:rsidRPr="00CA33F2" w:rsidP="002079C8" w14:paraId="1F08CC24" w14:textId="77777777">
      <w:pPr>
        <w:pStyle w:val="ListParagraph"/>
        <w:rPr>
          <w:rFonts w:cs="Times New Roman"/>
        </w:rPr>
      </w:pPr>
    </w:p>
    <w:p w:rsidR="00ED4852" w:rsidRPr="00CA33F2" w:rsidP="002079C8" w14:paraId="0DB68313" w14:textId="44A4545B">
      <w:pPr>
        <w:pStyle w:val="ListParagraph"/>
        <w:numPr>
          <w:ilvl w:val="1"/>
          <w:numId w:val="28"/>
        </w:numPr>
        <w:spacing w:after="160"/>
        <w:rPr>
          <w:rFonts w:cs="Times New Roman"/>
        </w:rPr>
      </w:pPr>
      <w:r w:rsidRPr="00CA33F2">
        <w:rPr>
          <w:rFonts w:cs="Times New Roman"/>
        </w:rPr>
        <w:t xml:space="preserve">UVBs from the SFA Pool </w:t>
      </w:r>
      <w:r w:rsidRPr="00CA33F2" w:rsidR="002079C8">
        <w:rPr>
          <w:rFonts w:cs="Times New Roman"/>
        </w:rPr>
        <w:t xml:space="preserve">shall be allocated to a withdrawn employer using </w:t>
      </w:r>
      <w:r w:rsidRPr="00CA33F2" w:rsidR="00E45A9B">
        <w:rPr>
          <w:rFonts w:cs="Times New Roman"/>
        </w:rPr>
        <w:t xml:space="preserve">an </w:t>
      </w:r>
      <w:r w:rsidRPr="00CA33F2" w:rsidR="000C0C5F">
        <w:rPr>
          <w:rFonts w:cs="Times New Roman"/>
        </w:rPr>
        <w:t>appropriate statutory method.</w:t>
      </w:r>
      <w:r>
        <w:rPr>
          <w:rStyle w:val="FootnoteReference"/>
          <w:rFonts w:cs="Times New Roman"/>
        </w:rPr>
        <w:footnoteReference w:id="20"/>
      </w:r>
      <w:r w:rsidRPr="00CA33F2" w:rsidR="002079C8">
        <w:rPr>
          <w:rFonts w:cs="Times New Roman"/>
        </w:rPr>
        <w:t xml:space="preserve"> </w:t>
      </w:r>
    </w:p>
    <w:p w:rsidR="00ED4852" w:rsidRPr="00CA33F2" w:rsidP="002079C8" w14:paraId="2DCF32AA" w14:textId="46BD0DC5">
      <w:pPr>
        <w:spacing w:after="160"/>
        <w:rPr>
          <w:rFonts w:cs="Times New Roman"/>
        </w:rPr>
      </w:pPr>
      <w:r w:rsidRPr="00CA33F2">
        <w:rPr>
          <w:rFonts w:cs="Times New Roman"/>
        </w:rPr>
        <w:t>N</w:t>
      </w:r>
      <w:r w:rsidRPr="00CA33F2" w:rsidR="00E45A9B">
        <w:rPr>
          <w:rFonts w:cs="Times New Roman"/>
        </w:rPr>
        <w:t>OTE</w:t>
      </w:r>
      <w:r w:rsidRPr="00CA33F2">
        <w:rPr>
          <w:rFonts w:cs="Times New Roman"/>
        </w:rPr>
        <w:t xml:space="preserve">: </w:t>
      </w:r>
      <w:r w:rsidRPr="00CA33F2" w:rsidR="00E45A9B">
        <w:rPr>
          <w:rFonts w:cs="Times New Roman"/>
        </w:rPr>
        <w:t xml:space="preserve">For the SFA Pool, if the Plan adopts any allocation method that requires an allocation fraction, the fraction will be frozen as of the last day of the plan year before the year of the merger. </w:t>
      </w:r>
      <w:r w:rsidRPr="00CA33F2">
        <w:rPr>
          <w:rFonts w:cs="Times New Roman"/>
        </w:rPr>
        <w:t xml:space="preserve">   </w:t>
      </w:r>
    </w:p>
    <w:p w:rsidR="00BD2B13" w:rsidRPr="00CA33F2" w:rsidP="00BD2B13" w14:paraId="32DF24CC" w14:textId="5F8BDE0B">
      <w:pPr>
        <w:pStyle w:val="ListParagraph"/>
        <w:numPr>
          <w:ilvl w:val="1"/>
          <w:numId w:val="28"/>
        </w:numPr>
        <w:rPr>
          <w:rFonts w:cs="Times New Roman"/>
        </w:rPr>
      </w:pPr>
      <w:r w:rsidRPr="00CA33F2">
        <w:rPr>
          <w:rFonts w:cs="Times New Roman"/>
        </w:rPr>
        <w:t>UVBs from the Merged Plan Pool shall be allocated to a withdrawn employer using</w:t>
      </w:r>
      <w:r w:rsidRPr="00CA33F2" w:rsidR="00E45A9B">
        <w:rPr>
          <w:rFonts w:cs="Times New Roman"/>
        </w:rPr>
        <w:t xml:space="preserve"> an</w:t>
      </w:r>
      <w:r w:rsidRPr="00CA33F2">
        <w:rPr>
          <w:rFonts w:cs="Times New Roman"/>
        </w:rPr>
        <w:t xml:space="preserve"> appropriate statutory method.</w:t>
      </w:r>
      <w:r w:rsidRPr="00CA33F2">
        <w:rPr>
          <w:rFonts w:cs="Times New Roman"/>
        </w:rPr>
        <w:t xml:space="preserve"> </w:t>
      </w:r>
    </w:p>
    <w:p w:rsidR="002079C8" w:rsidRPr="00CA33F2" w:rsidP="00BD2B13" w14:paraId="0B936FA7" w14:textId="77777777">
      <w:pPr>
        <w:pStyle w:val="ListParagraph"/>
        <w:ind w:left="1440"/>
        <w:rPr>
          <w:rFonts w:cs="Times New Roman"/>
        </w:rPr>
      </w:pPr>
    </w:p>
    <w:p w:rsidR="00ED4852" w:rsidRPr="00CA33F2" w:rsidP="002079C8" w14:paraId="00D77788" w14:textId="07CCED4E">
      <w:pPr>
        <w:pStyle w:val="ListParagraph"/>
        <w:numPr>
          <w:ilvl w:val="1"/>
          <w:numId w:val="28"/>
        </w:numPr>
        <w:rPr>
          <w:rFonts w:cs="Times New Roman"/>
        </w:rPr>
      </w:pPr>
      <w:r w:rsidRPr="00CA33F2">
        <w:rPr>
          <w:rFonts w:cs="Times New Roman"/>
        </w:rPr>
        <w:t xml:space="preserve">If the SFA Pool UVBs in any plan year are less than zero, they shall be deemed to be zero; and assets of the SFA Pool shall not include assets to the extent that they exceed the liabilities in the SFA Pool but instead such assets will be included in the Merged Plan Pool. </w:t>
      </w:r>
    </w:p>
    <w:p w:rsidR="00ED4852" w:rsidRPr="00CA33F2" w:rsidP="002079C8" w14:paraId="050DFFE5" w14:textId="77777777">
      <w:pPr>
        <w:ind w:left="720"/>
        <w:rPr>
          <w:rFonts w:cs="Times New Roman"/>
          <w:szCs w:val="24"/>
        </w:rPr>
      </w:pPr>
    </w:p>
    <w:p w:rsidR="00ED4852" w:rsidRPr="00CA33F2" w:rsidP="00ED4852" w14:paraId="52D58E7B" w14:textId="77777777">
      <w:pPr>
        <w:pStyle w:val="ListParagraph"/>
        <w:numPr>
          <w:ilvl w:val="0"/>
          <w:numId w:val="13"/>
        </w:numPr>
        <w:rPr>
          <w:rFonts w:cs="Times New Roman"/>
          <w:u w:val="single"/>
        </w:rPr>
      </w:pPr>
      <w:r w:rsidRPr="00CA33F2">
        <w:rPr>
          <w:rFonts w:cs="Times New Roman"/>
          <w:u w:val="single"/>
        </w:rPr>
        <w:t>Cessation of Pools</w:t>
      </w:r>
    </w:p>
    <w:p w:rsidR="00ED4852" w:rsidRPr="00CA33F2" w:rsidP="002079C8" w14:paraId="68B726BC" w14:textId="77777777">
      <w:pPr>
        <w:pStyle w:val="ListParagraph"/>
        <w:rPr>
          <w:rFonts w:cs="Times New Roman"/>
          <w:u w:val="single"/>
        </w:rPr>
      </w:pPr>
    </w:p>
    <w:p w:rsidR="00ED4852" w:rsidRPr="00CA33F2" w:rsidP="00ED4852" w14:paraId="65C7E989" w14:textId="1A09F020">
      <w:pPr>
        <w:pStyle w:val="ListParagraph"/>
        <w:widowControl w:val="0"/>
        <w:numPr>
          <w:ilvl w:val="1"/>
          <w:numId w:val="14"/>
        </w:numPr>
        <w:rPr>
          <w:rFonts w:cs="Times New Roman"/>
        </w:rPr>
      </w:pPr>
      <w:r w:rsidRPr="00CA33F2">
        <w:rPr>
          <w:rFonts w:cs="Times New Roman"/>
        </w:rPr>
        <w:t>The SFA Pool and the Merged Plan Pool will cease to exist at the later of the end of the tenth plan year after the first plan year in which the plan receives SFA as described under</w:t>
      </w:r>
      <w:r w:rsidRPr="00CA33F2" w:rsidR="00E45A9B">
        <w:rPr>
          <w:rFonts w:cs="Times New Roman"/>
        </w:rPr>
        <w:t xml:space="preserve"> </w:t>
      </w:r>
      <w:r w:rsidRPr="00CA33F2">
        <w:rPr>
          <w:rFonts w:cs="Times New Roman"/>
        </w:rPr>
        <w:t>§ 4262.12 or the SFA exhaustion year as described under §</w:t>
      </w:r>
      <w:r w:rsidRPr="00CA33F2" w:rsidR="001E39BE">
        <w:rPr>
          <w:rFonts w:cs="Times New Roman"/>
        </w:rPr>
        <w:t> </w:t>
      </w:r>
      <w:r w:rsidRPr="00CA33F2">
        <w:rPr>
          <w:rFonts w:cs="Times New Roman"/>
        </w:rPr>
        <w:t xml:space="preserve">4262.16(g), and the pools will consolidate into one. For any employer who withdraws from the Plan at any time beginning with the plan year following such consolidation of the pools, its allocable UVBs shall be calculated using </w:t>
      </w:r>
      <w:r w:rsidRPr="00CA33F2" w:rsidR="00E45A9B">
        <w:rPr>
          <w:rFonts w:cs="Times New Roman"/>
        </w:rPr>
        <w:t xml:space="preserve">an </w:t>
      </w:r>
      <w:r w:rsidRPr="00CA33F2" w:rsidR="00BD2B13">
        <w:rPr>
          <w:rFonts w:cs="Times New Roman"/>
        </w:rPr>
        <w:t xml:space="preserve">appropriate statutory method. </w:t>
      </w:r>
    </w:p>
    <w:p w:rsidR="00ED4852" w:rsidRPr="00CA33F2" w:rsidP="002079C8" w14:paraId="2C62E259" w14:textId="77777777">
      <w:pPr>
        <w:pStyle w:val="ListParagraph"/>
        <w:widowControl w:val="0"/>
        <w:ind w:left="1440"/>
        <w:rPr>
          <w:rFonts w:cs="Times New Roman"/>
        </w:rPr>
      </w:pPr>
    </w:p>
    <w:p w:rsidR="00ED4852" w:rsidRPr="00CA33F2" w:rsidP="002079C8" w14:paraId="41571957" w14:textId="23256483">
      <w:pPr>
        <w:pStyle w:val="ListParagraph"/>
        <w:widowControl w:val="0"/>
        <w:numPr>
          <w:ilvl w:val="1"/>
          <w:numId w:val="14"/>
        </w:numPr>
        <w:rPr>
          <w:rFonts w:cs="Times New Roman"/>
        </w:rPr>
      </w:pPr>
      <w:r w:rsidRPr="00CA33F2">
        <w:rPr>
          <w:rFonts w:cs="Times New Roman"/>
        </w:rPr>
        <w:t>If before the separate pools cease as described in Section V all employers that contributed to the plan that received SFA before the merger withdraw and the Fund’s trustees determine that the UVBs in the SFA Pool are uncollectible, the pools will consolidate into one. For any employer who withdraws from the Plan at any time beginning with the plan year following such consolidation of the pools, its allocable UVBs shall be calculated using</w:t>
      </w:r>
      <w:r w:rsidRPr="00CA33F2" w:rsidR="00E45A9B">
        <w:rPr>
          <w:rFonts w:cs="Times New Roman"/>
        </w:rPr>
        <w:t xml:space="preserve"> an</w:t>
      </w:r>
      <w:r w:rsidRPr="00CA33F2">
        <w:rPr>
          <w:rFonts w:cs="Times New Roman"/>
        </w:rPr>
        <w:t xml:space="preserve"> </w:t>
      </w:r>
      <w:r w:rsidRPr="00CA33F2" w:rsidR="00BD2B13">
        <w:rPr>
          <w:rFonts w:cs="Times New Roman"/>
        </w:rPr>
        <w:t xml:space="preserve">appropriate statutory method. </w:t>
      </w:r>
    </w:p>
    <w:p w:rsidR="00ED4852" w:rsidRPr="00CA33F2" w:rsidP="002079C8" w14:paraId="77416B20" w14:textId="77777777">
      <w:pPr>
        <w:rPr>
          <w:rFonts w:cs="Times New Roman"/>
          <w:szCs w:val="24"/>
        </w:rPr>
      </w:pPr>
    </w:p>
    <w:p w:rsidR="00A8006C" w:rsidRPr="00CA33F2" w:rsidP="00A8006C" w14:paraId="69FECD4F" w14:textId="6C8DB56D">
      <w:pPr>
        <w:numPr>
          <w:ilvl w:val="0"/>
          <w:numId w:val="20"/>
        </w:numPr>
        <w:rPr>
          <w:rFonts w:cs="Times New Roman"/>
          <w:szCs w:val="24"/>
        </w:rPr>
      </w:pPr>
      <w:r w:rsidRPr="00CA33F2">
        <w:rPr>
          <w:rFonts w:cs="Times New Roman"/>
          <w:szCs w:val="24"/>
          <w:u w:val="single"/>
        </w:rPr>
        <w:t>Mass Withdrawal</w:t>
      </w:r>
      <w:r w:rsidRPr="00CA33F2">
        <w:rPr>
          <w:rFonts w:cs="Times New Roman"/>
          <w:szCs w:val="24"/>
        </w:rPr>
        <w:t> </w:t>
      </w:r>
    </w:p>
    <w:p w:rsidR="00A8006C" w:rsidRPr="00CA33F2" w:rsidP="00A8006C" w14:paraId="6F174C3A" w14:textId="395CEB0A">
      <w:pPr>
        <w:rPr>
          <w:rFonts w:cs="Times New Roman"/>
          <w:szCs w:val="24"/>
        </w:rPr>
      </w:pPr>
      <w:r w:rsidRPr="00CA33F2">
        <w:rPr>
          <w:rFonts w:cs="Times New Roman"/>
          <w:szCs w:val="24"/>
        </w:rPr>
        <w:t xml:space="preserve">Notwithstanding anything herein to the contrary, if all or substantially all Employers withdraw from the Fund, as determined under </w:t>
      </w:r>
      <w:r w:rsidRPr="00CA33F2" w:rsidR="000868AA">
        <w:rPr>
          <w:rFonts w:cs="Times New Roman"/>
          <w:szCs w:val="24"/>
        </w:rPr>
        <w:t>§</w:t>
      </w:r>
      <w:r w:rsidRPr="00CA33F2" w:rsidR="00A34882">
        <w:rPr>
          <w:rFonts w:cs="Times New Roman"/>
          <w:szCs w:val="24"/>
        </w:rPr>
        <w:t xml:space="preserve"> </w:t>
      </w:r>
      <w:r w:rsidRPr="00CA33F2">
        <w:rPr>
          <w:rFonts w:cs="Times New Roman"/>
          <w:szCs w:val="24"/>
        </w:rPr>
        <w:t>4219(c)(1)(D)</w:t>
      </w:r>
      <w:r w:rsidRPr="00CA33F2" w:rsidR="000868AA">
        <w:rPr>
          <w:rFonts w:cs="Times New Roman"/>
          <w:szCs w:val="24"/>
        </w:rPr>
        <w:t xml:space="preserve"> of ERISA</w:t>
      </w:r>
      <w:r w:rsidRPr="00CA33F2">
        <w:rPr>
          <w:rFonts w:cs="Times New Roman"/>
          <w:szCs w:val="24"/>
        </w:rPr>
        <w:t>, that ERISA section and the regulations thereunder will apply to determine the withdrawal liability of each Employer. </w:t>
      </w:r>
    </w:p>
    <w:p w:rsidR="00A8006C" w:rsidRPr="00CA33F2" w:rsidP="00A8006C" w14:paraId="6BD448ED" w14:textId="77777777">
      <w:pPr>
        <w:rPr>
          <w:rFonts w:cs="Times New Roman"/>
          <w:szCs w:val="24"/>
        </w:rPr>
      </w:pPr>
      <w:r w:rsidRPr="00CA33F2">
        <w:rPr>
          <w:rFonts w:cs="Times New Roman"/>
          <w:szCs w:val="24"/>
        </w:rPr>
        <w:t> </w:t>
      </w:r>
    </w:p>
    <w:p w:rsidR="002317D5" w:rsidRPr="00CA33F2" w:rsidP="00A8006C" w14:paraId="47BE3445" w14:textId="77777777">
      <w:pPr>
        <w:numPr>
          <w:ilvl w:val="0"/>
          <w:numId w:val="21"/>
        </w:numPr>
        <w:rPr>
          <w:rFonts w:cs="Times New Roman"/>
          <w:szCs w:val="24"/>
        </w:rPr>
      </w:pPr>
      <w:r w:rsidRPr="00CA33F2">
        <w:rPr>
          <w:rFonts w:cs="Times New Roman"/>
          <w:szCs w:val="24"/>
          <w:u w:val="single"/>
        </w:rPr>
        <w:t>PBGC Approval Required for a Change in Method </w:t>
      </w:r>
      <w:r w:rsidRPr="00CA33F2">
        <w:rPr>
          <w:rFonts w:cs="Times New Roman"/>
          <w:szCs w:val="24"/>
        </w:rPr>
        <w:t> </w:t>
      </w:r>
    </w:p>
    <w:p w:rsidR="00A8006C" w:rsidRPr="00CA33F2" w:rsidP="002317D5" w14:paraId="45DAC91F" w14:textId="13760D83">
      <w:pPr>
        <w:rPr>
          <w:rFonts w:cs="Times New Roman"/>
          <w:szCs w:val="24"/>
        </w:rPr>
      </w:pPr>
      <w:r w:rsidRPr="00CA33F2">
        <w:rPr>
          <w:rFonts w:cs="Times New Roman"/>
          <w:szCs w:val="24"/>
        </w:rPr>
        <w:t xml:space="preserve">Consistent with the requirements of §§ 4262.16 and 4211.22, the Plan shall not modify this method, or adopt any other method, without the advance written approval of the </w:t>
      </w:r>
      <w:r w:rsidRPr="00CA33F2" w:rsidR="006530DE">
        <w:rPr>
          <w:rFonts w:cs="Times New Roman"/>
          <w:szCs w:val="24"/>
        </w:rPr>
        <w:t>PBGC</w:t>
      </w:r>
      <w:r w:rsidRPr="00CA33F2">
        <w:rPr>
          <w:rFonts w:cs="Times New Roman"/>
          <w:szCs w:val="24"/>
        </w:rPr>
        <w:t>.</w:t>
      </w:r>
    </w:p>
    <w:p w:rsidR="00A8006C" w:rsidRPr="00CA33F2" w:rsidP="00A679F1" w14:paraId="5046913B" w14:textId="77777777">
      <w:pPr>
        <w:rPr>
          <w:rStyle w:val="bumpedfont15"/>
          <w:rFonts w:cs="Times New Roman"/>
          <w:szCs w:val="24"/>
        </w:rPr>
      </w:pPr>
    </w:p>
    <w:p w:rsidR="00536C13" w:rsidRPr="00CA33F2" w:rsidP="00A679F1" w14:paraId="3696E719" w14:textId="65C189F1">
      <w:pPr>
        <w:rPr>
          <w:rStyle w:val="bumpedfont15"/>
          <w:rFonts w:cs="Times New Roman"/>
        </w:rPr>
      </w:pPr>
    </w:p>
    <w:sectPr w:rsidSect="00DF611B">
      <w:footerReference w:type="default" r:id="rId11"/>
      <w:footerReference w:type="first" r:id="rId12"/>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4F65" w14:paraId="1774390B" w14:textId="77777777">
      <w:r>
        <w:separator/>
      </w:r>
    </w:p>
  </w:footnote>
  <w:footnote w:type="continuationSeparator" w:id="1">
    <w:p w:rsidR="001C4F65" w14:paraId="521D0FE4" w14:textId="77777777">
      <w:r>
        <w:continuationSeparator/>
      </w:r>
    </w:p>
  </w:footnote>
  <w:footnote w:type="continuationNotice" w:id="2">
    <w:p w:rsidR="001C4F65" w14:paraId="173A6451" w14:textId="77777777"/>
  </w:footnote>
  <w:footnote w:id="3">
    <w:p w:rsidR="00C013CC" w:rsidRPr="00CA33F2" w:rsidP="00C013CC" w14:paraId="73FF6AA5" w14:textId="77777777">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29 C.F.R. § 4262.16(f)(1).</w:t>
      </w:r>
    </w:p>
  </w:footnote>
  <w:footnote w:id="4">
    <w:p w:rsidR="00C013CC" w:rsidRPr="00CA33F2" w:rsidP="00C013CC" w14:paraId="28AB3ADF" w14:textId="77777777">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29 C.F.R. § 4262.16(f)(3)(</w:t>
      </w:r>
      <w:r w:rsidRPr="00CA33F2">
        <w:rPr>
          <w:rFonts w:ascii="Times New Roman" w:hAnsi="Times New Roman" w:cs="Times New Roman"/>
        </w:rPr>
        <w:t>i</w:t>
      </w:r>
      <w:r w:rsidRPr="00CA33F2">
        <w:rPr>
          <w:rFonts w:ascii="Times New Roman" w:hAnsi="Times New Roman" w:cs="Times New Roman"/>
        </w:rPr>
        <w:t>).</w:t>
      </w:r>
    </w:p>
  </w:footnote>
  <w:footnote w:id="5">
    <w:p w:rsidR="00C013CC" w:rsidRPr="00CA33F2" w:rsidP="00C013CC" w14:paraId="4BFE4B76" w14:textId="67517A4F">
      <w:pPr>
        <w:pStyle w:val="FootnoteText"/>
        <w:rPr>
          <w:rFonts w:ascii="Times New Roman" w:hAnsi="Times New Roman" w:cs="Times New Roman"/>
          <w:i/>
          <w:iCs/>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Id</w:t>
      </w:r>
      <w:r w:rsidRPr="00CA33F2" w:rsidR="00BD2B13">
        <w:rPr>
          <w:rFonts w:ascii="Times New Roman" w:hAnsi="Times New Roman" w:cs="Times New Roman"/>
          <w:i/>
          <w:iCs/>
        </w:rPr>
        <w:t>.</w:t>
      </w:r>
      <w:r w:rsidRPr="00CA33F2" w:rsidR="000C0C5F">
        <w:rPr>
          <w:rFonts w:ascii="Times New Roman" w:hAnsi="Times New Roman" w:cs="Times New Roman"/>
          <w:i/>
          <w:iCs/>
        </w:rPr>
        <w:t xml:space="preserve">; see </w:t>
      </w:r>
      <w:r w:rsidRPr="00CA33F2" w:rsidR="000C0C5F">
        <w:rPr>
          <w:rFonts w:ascii="Times New Roman" w:hAnsi="Times New Roman" w:cs="Times New Roman"/>
        </w:rPr>
        <w:t>29 C.F.R. § 4262.14</w:t>
      </w:r>
      <w:r w:rsidRPr="00CA33F2">
        <w:rPr>
          <w:rFonts w:ascii="Times New Roman" w:hAnsi="Times New Roman" w:cs="Times New Roman"/>
          <w:i/>
          <w:iCs/>
        </w:rPr>
        <w:t xml:space="preserve">. </w:t>
      </w:r>
    </w:p>
  </w:footnote>
  <w:footnote w:id="6">
    <w:p w:rsidR="00C013CC" w:rsidRPr="00CA33F2" w:rsidP="00C013CC" w14:paraId="75A1CE86" w14:textId="77777777">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29 C.F.R. § 4262.16(f)(3)(iv), (g)(1).</w:t>
      </w:r>
    </w:p>
  </w:footnote>
  <w:footnote w:id="7">
    <w:p w:rsidR="00C013CC" w:rsidRPr="00CA33F2" w:rsidP="00C013CC" w14:paraId="5B7CD0A8" w14:textId="77777777">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29 C.F.R. § 4262.16(f)(3)(v), (g)(2).</w:t>
      </w:r>
    </w:p>
  </w:footnote>
  <w:footnote w:id="8">
    <w:p w:rsidR="00C013CC" w:rsidRPr="00CA33F2" w:rsidP="00C013CC" w14:paraId="5E5D9F1C" w14:textId="77777777">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29 C.F.R. § 4262.16(h).</w:t>
      </w:r>
    </w:p>
  </w:footnote>
  <w:footnote w:id="9">
    <w:p w:rsidR="00C013CC" w:rsidRPr="00CA33F2" w:rsidP="00C013CC" w14:paraId="48ADEC75" w14:textId="77777777">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29 C.F.R. § 4262.16(</w:t>
      </w:r>
      <w:r w:rsidRPr="00CA33F2">
        <w:rPr>
          <w:rFonts w:ascii="Times New Roman" w:hAnsi="Times New Roman" w:cs="Times New Roman"/>
        </w:rPr>
        <w:t>i</w:t>
      </w:r>
      <w:r w:rsidRPr="00CA33F2">
        <w:rPr>
          <w:rFonts w:ascii="Times New Roman" w:hAnsi="Times New Roman" w:cs="Times New Roman"/>
        </w:rPr>
        <w:t>).</w:t>
      </w:r>
    </w:p>
  </w:footnote>
  <w:footnote w:id="10">
    <w:p w:rsidR="00C013CC" w:rsidRPr="00CA33F2" w:rsidP="00C013CC" w14:paraId="535524F0" w14:textId="77777777">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29 C.F.R. § 4262.16(f)(4).</w:t>
      </w:r>
    </w:p>
  </w:footnote>
  <w:footnote w:id="11">
    <w:p w:rsidR="00C013CC" w:rsidRPr="00CA33F2" w:rsidP="00C013CC" w14:paraId="0476DC44" w14:textId="5C427443">
      <w:pPr>
        <w:pStyle w:val="FootnoteText"/>
        <w:rPr>
          <w:rFonts w:ascii="Times New Roman" w:hAnsi="Times New Roman" w:cs="Times New Roman"/>
          <w:i/>
          <w:iCs/>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sidR="004B10C4">
        <w:rPr>
          <w:rFonts w:ascii="Times New Roman" w:hAnsi="Times New Roman" w:cs="Times New Roman"/>
        </w:rPr>
        <w:t xml:space="preserve"> </w:t>
      </w:r>
      <w:r w:rsidRPr="00CA33F2">
        <w:rPr>
          <w:rFonts w:ascii="Times New Roman" w:hAnsi="Times New Roman" w:cs="Times New Roman"/>
          <w:i/>
          <w:iCs/>
        </w:rPr>
        <w:t>Id.</w:t>
      </w:r>
    </w:p>
  </w:footnote>
  <w:footnote w:id="12">
    <w:p w:rsidR="00C013CC" w:rsidRPr="00CA33F2" w:rsidP="00C013CC" w14:paraId="5EECBE58" w14:textId="77777777">
      <w:pPr>
        <w:pStyle w:val="FootnoteText"/>
        <w:rPr>
          <w:rFonts w:ascii="Times New Roman" w:hAnsi="Times New Roman" w:cs="Times New Roman"/>
          <w:i/>
          <w:iCs/>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Id.</w:t>
      </w:r>
    </w:p>
  </w:footnote>
  <w:footnote w:id="13">
    <w:p w:rsidR="000C0C5F" w:rsidRPr="00CA33F2" w14:paraId="3251F3BB" w14:textId="579BEB98">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 xml:space="preserve">See </w:t>
      </w:r>
      <w:r w:rsidRPr="00CA33F2">
        <w:rPr>
          <w:rFonts w:ascii="Times New Roman" w:hAnsi="Times New Roman" w:cs="Times New Roman"/>
        </w:rPr>
        <w:t>29 C.F.R. § 4231.8.</w:t>
      </w:r>
    </w:p>
  </w:footnote>
  <w:footnote w:id="14">
    <w:p w:rsidR="000C0C5F" w:rsidRPr="00CA33F2" w14:paraId="14760D44" w14:textId="76CB67E8">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See</w:t>
      </w:r>
      <w:r w:rsidRPr="00CA33F2">
        <w:rPr>
          <w:rFonts w:ascii="Times New Roman" w:hAnsi="Times New Roman" w:cs="Times New Roman"/>
        </w:rPr>
        <w:t xml:space="preserve"> 29 C.F.R. 4211 Subpart C. </w:t>
      </w:r>
    </w:p>
  </w:footnote>
  <w:footnote w:id="15">
    <w:p w:rsidR="000C0C5F" w:rsidRPr="00CA33F2" w14:paraId="761E7D08" w14:textId="27AC3338">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See id.</w:t>
      </w:r>
      <w:r w:rsidRPr="00CA33F2">
        <w:rPr>
          <w:rFonts w:ascii="Times New Roman" w:hAnsi="Times New Roman" w:cs="Times New Roman"/>
        </w:rPr>
        <w:t xml:space="preserve"> </w:t>
      </w:r>
    </w:p>
  </w:footnote>
  <w:footnote w:id="16">
    <w:p w:rsidR="000C0C5F" w:rsidRPr="00CA33F2" w14:paraId="674492FF" w14:textId="781C75BD">
      <w:pPr>
        <w:pStyle w:val="FootnoteText"/>
        <w:rPr>
          <w:rFonts w:ascii="Times New Roman" w:hAnsi="Times New Roman" w:cs="Times New Roman"/>
          <w:i/>
          <w:iCs/>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 xml:space="preserve">See </w:t>
      </w:r>
      <w:r w:rsidRPr="00CA33F2">
        <w:rPr>
          <w:rFonts w:ascii="Times New Roman" w:hAnsi="Times New Roman" w:cs="Times New Roman"/>
        </w:rPr>
        <w:t>29 C.F.R. § 4211 Subpart D</w:t>
      </w:r>
      <w:r w:rsidRPr="00CA33F2" w:rsidR="005F4BB1">
        <w:rPr>
          <w:rFonts w:ascii="Times New Roman" w:hAnsi="Times New Roman" w:cs="Times New Roman"/>
        </w:rPr>
        <w:t>.</w:t>
      </w:r>
    </w:p>
  </w:footnote>
  <w:footnote w:id="17">
    <w:p w:rsidR="00E45A9B" w:rsidRPr="00CA33F2" w14:paraId="01D97432" w14:textId="59161E62">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 xml:space="preserve">See </w:t>
      </w:r>
      <w:r w:rsidRPr="00CA33F2">
        <w:rPr>
          <w:rFonts w:ascii="Times New Roman" w:hAnsi="Times New Roman" w:cs="Times New Roman"/>
          <w:szCs w:val="24"/>
        </w:rPr>
        <w:t>§ 4262.16(f)(1)</w:t>
      </w:r>
      <w:r w:rsidRPr="00CA33F2" w:rsidR="005F4BB1">
        <w:rPr>
          <w:rFonts w:ascii="Times New Roman" w:hAnsi="Times New Roman" w:cs="Times New Roman"/>
          <w:szCs w:val="24"/>
        </w:rPr>
        <w:t>.</w:t>
      </w:r>
    </w:p>
  </w:footnote>
  <w:footnote w:id="18">
    <w:p w:rsidR="000C0C5F" w:rsidRPr="00CA33F2" w14:paraId="3095B9E6" w14:textId="74240441">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 xml:space="preserve">See </w:t>
      </w:r>
      <w:r w:rsidRPr="00CA33F2">
        <w:rPr>
          <w:rFonts w:ascii="Times New Roman" w:hAnsi="Times New Roman" w:cs="Times New Roman"/>
        </w:rPr>
        <w:t xml:space="preserve">29 C.F.R. § 4211.32. </w:t>
      </w:r>
    </w:p>
  </w:footnote>
  <w:footnote w:id="19">
    <w:p w:rsidR="00BD2B13" w:rsidRPr="00CA33F2" w14:paraId="66CC6AC1" w14:textId="666FA64B">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 xml:space="preserve">See </w:t>
      </w:r>
      <w:r w:rsidRPr="00CA33F2">
        <w:rPr>
          <w:rFonts w:ascii="Times New Roman" w:hAnsi="Times New Roman" w:cs="Times New Roman"/>
        </w:rPr>
        <w:t xml:space="preserve">29  C.F.R. </w:t>
      </w:r>
      <w:r w:rsidRPr="00CA33F2">
        <w:rPr>
          <w:rFonts w:ascii="Times New Roman" w:hAnsi="Times New Roman" w:cs="Times New Roman"/>
          <w:szCs w:val="24"/>
        </w:rPr>
        <w:t xml:space="preserve">§ 4211.31(a). </w:t>
      </w:r>
    </w:p>
  </w:footnote>
  <w:footnote w:id="20">
    <w:p w:rsidR="000C0C5F" w:rsidRPr="00E45A9B" w14:paraId="56562476" w14:textId="1D84C53A">
      <w:pPr>
        <w:pStyle w:val="FootnoteText"/>
        <w:rPr>
          <w:rFonts w:ascii="Times New Roman" w:hAnsi="Times New Roman" w:cs="Times New Roman"/>
        </w:rPr>
      </w:pPr>
      <w:r w:rsidRPr="00CA33F2">
        <w:rPr>
          <w:rStyle w:val="FootnoteReference"/>
          <w:rFonts w:ascii="Times New Roman" w:hAnsi="Times New Roman" w:cs="Times New Roman"/>
        </w:rPr>
        <w:footnoteRef/>
      </w:r>
      <w:r w:rsidRPr="00CA33F2">
        <w:rPr>
          <w:rFonts w:ascii="Times New Roman" w:hAnsi="Times New Roman" w:cs="Times New Roman"/>
        </w:rPr>
        <w:t xml:space="preserve"> </w:t>
      </w:r>
      <w:r w:rsidRPr="00CA33F2">
        <w:rPr>
          <w:rFonts w:ascii="Times New Roman" w:hAnsi="Times New Roman" w:cs="Times New Roman"/>
          <w:i/>
          <w:iCs/>
        </w:rPr>
        <w:t xml:space="preserve">See </w:t>
      </w:r>
      <w:r w:rsidRPr="00CA33F2">
        <w:rPr>
          <w:rFonts w:ascii="Times New Roman" w:hAnsi="Times New Roman" w:cs="Times New Roman"/>
        </w:rPr>
        <w:t>the methods described in</w:t>
      </w:r>
      <w:r w:rsidRPr="00CA33F2" w:rsidR="00BD2B13">
        <w:rPr>
          <w:rFonts w:ascii="Times New Roman" w:hAnsi="Times New Roman" w:cs="Times New Roman"/>
        </w:rPr>
        <w:t xml:space="preserve"> § </w:t>
      </w:r>
      <w:r w:rsidRPr="00CA33F2">
        <w:rPr>
          <w:rFonts w:ascii="Times New Roman" w:hAnsi="Times New Roman" w:cs="Times New Roman"/>
        </w:rPr>
        <w:t>4211(b)</w:t>
      </w:r>
      <w:r w:rsidRPr="00CA33F2" w:rsidR="00BD2B13">
        <w:rPr>
          <w:rFonts w:ascii="Times New Roman" w:hAnsi="Times New Roman" w:cs="Times New Roman"/>
        </w:rPr>
        <w:t xml:space="preserve"> (presumptive method), (c)(2) (modified presumptive method), (c)(3) (rolling-5 method), and (c)(4) (direct attribution method) of ERISA.</w:t>
      </w:r>
      <w:r w:rsidRPr="00E45A9B" w:rsidR="00BD2B1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1545"/>
    <w:multiLevelType w:val="multilevel"/>
    <w:tmpl w:val="4448CEF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nsid w:val="04D75316"/>
    <w:multiLevelType w:val="hybridMultilevel"/>
    <w:tmpl w:val="DB0871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D96E51"/>
    <w:multiLevelType w:val="multilevel"/>
    <w:tmpl w:val="DC149148"/>
    <w:lvl w:ilvl="0">
      <w:start w:val="6"/>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08B35B62"/>
    <w:multiLevelType w:val="multilevel"/>
    <w:tmpl w:val="BD90DA24"/>
    <w:styleLink w:val="Headings"/>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ascii="Times New Roman" w:hAnsi="Times New Roman" w:eastAsiaTheme="majorEastAsia" w:cstheme="majorBidi"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nsid w:val="0BA01F9E"/>
    <w:multiLevelType w:val="hybridMultilevel"/>
    <w:tmpl w:val="73723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B80C5B"/>
    <w:multiLevelType w:val="hybridMultilevel"/>
    <w:tmpl w:val="C7EE772E"/>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F3BB5"/>
    <w:multiLevelType w:val="hybridMultilevel"/>
    <w:tmpl w:val="71FAF6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412719"/>
    <w:multiLevelType w:val="multilevel"/>
    <w:tmpl w:val="62220E70"/>
    <w:lvl w:ilvl="0">
      <w:start w:val="1"/>
      <w:numFmt w:val="upperLetter"/>
      <w:lvlText w:val="%1."/>
      <w:lvlJc w:val="left"/>
      <w:pPr>
        <w:tabs>
          <w:tab w:val="num" w:pos="720"/>
        </w:tabs>
        <w:ind w:left="720" w:hanging="360"/>
      </w:pPr>
    </w:lvl>
    <w:lvl w:ilvl="1">
      <w:start w:val="1"/>
      <w:numFmt w:val="upperLetter"/>
      <w:lvlText w:val="%2."/>
      <w:lvlJc w:val="left"/>
      <w:pPr>
        <w:tabs>
          <w:tab w:val="num" w:pos="720"/>
        </w:tabs>
        <w:ind w:left="72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nsid w:val="1B1416A0"/>
    <w:multiLevelType w:val="multilevel"/>
    <w:tmpl w:val="700E3980"/>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nsid w:val="22B940BF"/>
    <w:multiLevelType w:val="hybridMultilevel"/>
    <w:tmpl w:val="4DC85F88"/>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AC1153"/>
    <w:multiLevelType w:val="multilevel"/>
    <w:tmpl w:val="A1EAF576"/>
    <w:lvl w:ilvl="0">
      <w:start w:val="7"/>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nsid w:val="25F14974"/>
    <w:multiLevelType w:val="multilevel"/>
    <w:tmpl w:val="75CA697C"/>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2">
    <w:nsid w:val="28F50C7A"/>
    <w:multiLevelType w:val="hybridMultilevel"/>
    <w:tmpl w:val="B5BEA7F8"/>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3C096E"/>
    <w:multiLevelType w:val="hybridMultilevel"/>
    <w:tmpl w:val="D7FC945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DB35736"/>
    <w:multiLevelType w:val="multilevel"/>
    <w:tmpl w:val="EE888A9A"/>
    <w:lvl w:ilvl="0">
      <w:start w:val="8"/>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5">
    <w:nsid w:val="32523A55"/>
    <w:multiLevelType w:val="multilevel"/>
    <w:tmpl w:val="BD90DA24"/>
    <w:numStyleLink w:val="Headings"/>
  </w:abstractNum>
  <w:abstractNum w:abstractNumId="16">
    <w:nsid w:val="33673D5A"/>
    <w:multiLevelType w:val="hybridMultilevel"/>
    <w:tmpl w:val="EB76C34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5344CD0"/>
    <w:multiLevelType w:val="multilevel"/>
    <w:tmpl w:val="208AAD34"/>
    <w:lvl w:ilvl="0">
      <w:start w:val="3"/>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nsid w:val="36257A07"/>
    <w:multiLevelType w:val="multilevel"/>
    <w:tmpl w:val="6D5849CA"/>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nsid w:val="393E37C6"/>
    <w:multiLevelType w:val="hybridMultilevel"/>
    <w:tmpl w:val="C0A27D30"/>
    <w:lvl w:ilvl="0">
      <w:start w:val="40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D42103"/>
    <w:multiLevelType w:val="multilevel"/>
    <w:tmpl w:val="5D0AE17A"/>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1">
    <w:nsid w:val="4B083CE7"/>
    <w:multiLevelType w:val="hybridMultilevel"/>
    <w:tmpl w:val="39C47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B926792"/>
    <w:multiLevelType w:val="hybridMultilevel"/>
    <w:tmpl w:val="18F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062A2A"/>
    <w:multiLevelType w:val="multilevel"/>
    <w:tmpl w:val="7D72E022"/>
    <w:lvl w:ilvl="0">
      <w:start w:val="4"/>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5">
    <w:nsid w:val="55265127"/>
    <w:multiLevelType w:val="hybridMultilevel"/>
    <w:tmpl w:val="0D7C9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D41B4E"/>
    <w:multiLevelType w:val="hybridMultilevel"/>
    <w:tmpl w:val="B8926B0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9721268"/>
    <w:multiLevelType w:val="multilevel"/>
    <w:tmpl w:val="C9EE2F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9">
    <w:nsid w:val="6CEB4257"/>
    <w:multiLevelType w:val="multilevel"/>
    <w:tmpl w:val="A8C622F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0">
    <w:nsid w:val="7C935CA0"/>
    <w:multiLevelType w:val="multilevel"/>
    <w:tmpl w:val="6A56C26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1414737179">
    <w:abstractNumId w:val="23"/>
  </w:num>
  <w:num w:numId="2" w16cid:durableId="4486640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29758">
    <w:abstractNumId w:val="4"/>
  </w:num>
  <w:num w:numId="4" w16cid:durableId="1375042505">
    <w:abstractNumId w:val="5"/>
  </w:num>
  <w:num w:numId="5" w16cid:durableId="1558781478">
    <w:abstractNumId w:val="19"/>
  </w:num>
  <w:num w:numId="6" w16cid:durableId="1582056432">
    <w:abstractNumId w:val="9"/>
  </w:num>
  <w:num w:numId="7" w16cid:durableId="1466200726">
    <w:abstractNumId w:val="12"/>
  </w:num>
  <w:num w:numId="8" w16cid:durableId="952395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83068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739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231605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63930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99556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968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578534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9704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65260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9294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975930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044853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069228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498020">
    <w:abstractNumId w:val="26"/>
  </w:num>
  <w:num w:numId="23" w16cid:durableId="1748456615">
    <w:abstractNumId w:val="1"/>
  </w:num>
  <w:num w:numId="24" w16cid:durableId="461509178">
    <w:abstractNumId w:val="6"/>
  </w:num>
  <w:num w:numId="25" w16cid:durableId="443693603">
    <w:abstractNumId w:val="13"/>
  </w:num>
  <w:num w:numId="26" w16cid:durableId="1740667331">
    <w:abstractNumId w:val="16"/>
  </w:num>
  <w:num w:numId="27" w16cid:durableId="1407414001">
    <w:abstractNumId w:val="3"/>
  </w:num>
  <w:num w:numId="28" w16cid:durableId="284821753">
    <w:abstractNumId w:val="15"/>
  </w:num>
  <w:num w:numId="29" w16cid:durableId="1797135783">
    <w:abstractNumId w:val="25"/>
  </w:num>
  <w:num w:numId="30" w16cid:durableId="365764579">
    <w:abstractNumId w:val="22"/>
  </w:num>
  <w:num w:numId="31" w16cid:durableId="489625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0AC5"/>
    <w:rsid w:val="000112C9"/>
    <w:rsid w:val="00014968"/>
    <w:rsid w:val="00016F8A"/>
    <w:rsid w:val="00020600"/>
    <w:rsid w:val="00025120"/>
    <w:rsid w:val="000266D7"/>
    <w:rsid w:val="00027B3F"/>
    <w:rsid w:val="00033CA5"/>
    <w:rsid w:val="000571D5"/>
    <w:rsid w:val="00062B89"/>
    <w:rsid w:val="0006734A"/>
    <w:rsid w:val="00070EB7"/>
    <w:rsid w:val="0007287C"/>
    <w:rsid w:val="000728A3"/>
    <w:rsid w:val="00074D7F"/>
    <w:rsid w:val="00076F49"/>
    <w:rsid w:val="00080724"/>
    <w:rsid w:val="0008093D"/>
    <w:rsid w:val="00081424"/>
    <w:rsid w:val="000868AA"/>
    <w:rsid w:val="00086CA2"/>
    <w:rsid w:val="000A4CBC"/>
    <w:rsid w:val="000A6DED"/>
    <w:rsid w:val="000B19F5"/>
    <w:rsid w:val="000B56E1"/>
    <w:rsid w:val="000C036E"/>
    <w:rsid w:val="000C0C5F"/>
    <w:rsid w:val="000C2C31"/>
    <w:rsid w:val="000C5398"/>
    <w:rsid w:val="000C7752"/>
    <w:rsid w:val="000C7DBE"/>
    <w:rsid w:val="000D3CA2"/>
    <w:rsid w:val="000D761D"/>
    <w:rsid w:val="000E6BD8"/>
    <w:rsid w:val="000F6C37"/>
    <w:rsid w:val="000F72F2"/>
    <w:rsid w:val="00102C6E"/>
    <w:rsid w:val="00105C0B"/>
    <w:rsid w:val="001105B9"/>
    <w:rsid w:val="00116CF6"/>
    <w:rsid w:val="00120448"/>
    <w:rsid w:val="00124256"/>
    <w:rsid w:val="001301C7"/>
    <w:rsid w:val="00132391"/>
    <w:rsid w:val="00137F8F"/>
    <w:rsid w:val="001444FB"/>
    <w:rsid w:val="00152829"/>
    <w:rsid w:val="00172104"/>
    <w:rsid w:val="00172543"/>
    <w:rsid w:val="00183EC0"/>
    <w:rsid w:val="00186539"/>
    <w:rsid w:val="001925E6"/>
    <w:rsid w:val="001963C8"/>
    <w:rsid w:val="001A4C5B"/>
    <w:rsid w:val="001A5544"/>
    <w:rsid w:val="001A5C8A"/>
    <w:rsid w:val="001B08A9"/>
    <w:rsid w:val="001B10A7"/>
    <w:rsid w:val="001B15C8"/>
    <w:rsid w:val="001B3AEB"/>
    <w:rsid w:val="001B4D0D"/>
    <w:rsid w:val="001B5802"/>
    <w:rsid w:val="001B5E32"/>
    <w:rsid w:val="001B5FAA"/>
    <w:rsid w:val="001B74AA"/>
    <w:rsid w:val="001C3BD7"/>
    <w:rsid w:val="001C4744"/>
    <w:rsid w:val="001C4F65"/>
    <w:rsid w:val="001C5847"/>
    <w:rsid w:val="001C746B"/>
    <w:rsid w:val="001D0C99"/>
    <w:rsid w:val="001D0FAC"/>
    <w:rsid w:val="001D1C4F"/>
    <w:rsid w:val="001D5DD6"/>
    <w:rsid w:val="001E39BE"/>
    <w:rsid w:val="001E5CD0"/>
    <w:rsid w:val="002008D1"/>
    <w:rsid w:val="002079C8"/>
    <w:rsid w:val="002139B3"/>
    <w:rsid w:val="00217516"/>
    <w:rsid w:val="00221FE2"/>
    <w:rsid w:val="0022452C"/>
    <w:rsid w:val="00225448"/>
    <w:rsid w:val="002317D5"/>
    <w:rsid w:val="00233F00"/>
    <w:rsid w:val="0024229E"/>
    <w:rsid w:val="002465D5"/>
    <w:rsid w:val="00251DAE"/>
    <w:rsid w:val="0025762B"/>
    <w:rsid w:val="0026718E"/>
    <w:rsid w:val="00267AB0"/>
    <w:rsid w:val="00271237"/>
    <w:rsid w:val="00283837"/>
    <w:rsid w:val="002856E3"/>
    <w:rsid w:val="002A33DB"/>
    <w:rsid w:val="002A4F4B"/>
    <w:rsid w:val="002B25D0"/>
    <w:rsid w:val="002B324E"/>
    <w:rsid w:val="002B464A"/>
    <w:rsid w:val="002C1D2C"/>
    <w:rsid w:val="002C239E"/>
    <w:rsid w:val="002C2F30"/>
    <w:rsid w:val="002C419F"/>
    <w:rsid w:val="002C4937"/>
    <w:rsid w:val="002C5AF9"/>
    <w:rsid w:val="002C5FA0"/>
    <w:rsid w:val="002D1A15"/>
    <w:rsid w:val="002D2129"/>
    <w:rsid w:val="002D27D4"/>
    <w:rsid w:val="002D55E5"/>
    <w:rsid w:val="002E1D12"/>
    <w:rsid w:val="002F1292"/>
    <w:rsid w:val="002F1F45"/>
    <w:rsid w:val="002F4245"/>
    <w:rsid w:val="002F5F9A"/>
    <w:rsid w:val="002F68CE"/>
    <w:rsid w:val="00300CA5"/>
    <w:rsid w:val="00302050"/>
    <w:rsid w:val="00305E7E"/>
    <w:rsid w:val="00314353"/>
    <w:rsid w:val="003150E4"/>
    <w:rsid w:val="0032311D"/>
    <w:rsid w:val="00323315"/>
    <w:rsid w:val="0033116A"/>
    <w:rsid w:val="0034049C"/>
    <w:rsid w:val="003436B5"/>
    <w:rsid w:val="00346155"/>
    <w:rsid w:val="00347152"/>
    <w:rsid w:val="003506A0"/>
    <w:rsid w:val="0035089E"/>
    <w:rsid w:val="003527F5"/>
    <w:rsid w:val="00354458"/>
    <w:rsid w:val="00361FE8"/>
    <w:rsid w:val="0036282D"/>
    <w:rsid w:val="00364540"/>
    <w:rsid w:val="00364C1E"/>
    <w:rsid w:val="00365209"/>
    <w:rsid w:val="003653BE"/>
    <w:rsid w:val="00365858"/>
    <w:rsid w:val="00370167"/>
    <w:rsid w:val="00372414"/>
    <w:rsid w:val="00372AD2"/>
    <w:rsid w:val="003740F3"/>
    <w:rsid w:val="00377240"/>
    <w:rsid w:val="003823FB"/>
    <w:rsid w:val="00385E59"/>
    <w:rsid w:val="0039077E"/>
    <w:rsid w:val="00390C77"/>
    <w:rsid w:val="00391140"/>
    <w:rsid w:val="00393836"/>
    <w:rsid w:val="00395823"/>
    <w:rsid w:val="0039700D"/>
    <w:rsid w:val="003A1991"/>
    <w:rsid w:val="003A2B3D"/>
    <w:rsid w:val="003A3E42"/>
    <w:rsid w:val="003A4DBC"/>
    <w:rsid w:val="003A56F3"/>
    <w:rsid w:val="003B5EE8"/>
    <w:rsid w:val="003B6265"/>
    <w:rsid w:val="003C0384"/>
    <w:rsid w:val="003C7390"/>
    <w:rsid w:val="003D259E"/>
    <w:rsid w:val="003D3F59"/>
    <w:rsid w:val="003D4226"/>
    <w:rsid w:val="003D4D65"/>
    <w:rsid w:val="003D7AC1"/>
    <w:rsid w:val="003E5366"/>
    <w:rsid w:val="003F4552"/>
    <w:rsid w:val="003F4A94"/>
    <w:rsid w:val="003F6A48"/>
    <w:rsid w:val="00412A0D"/>
    <w:rsid w:val="00412E43"/>
    <w:rsid w:val="00422D40"/>
    <w:rsid w:val="00426A73"/>
    <w:rsid w:val="00427C04"/>
    <w:rsid w:val="004324B3"/>
    <w:rsid w:val="004327E7"/>
    <w:rsid w:val="0043369F"/>
    <w:rsid w:val="00435AAC"/>
    <w:rsid w:val="00436858"/>
    <w:rsid w:val="004401C9"/>
    <w:rsid w:val="00442F53"/>
    <w:rsid w:val="004519B0"/>
    <w:rsid w:val="00453278"/>
    <w:rsid w:val="004542B8"/>
    <w:rsid w:val="00470DF6"/>
    <w:rsid w:val="00472A7B"/>
    <w:rsid w:val="004826A3"/>
    <w:rsid w:val="00482D85"/>
    <w:rsid w:val="00482EB0"/>
    <w:rsid w:val="00486D28"/>
    <w:rsid w:val="00486D67"/>
    <w:rsid w:val="00492C22"/>
    <w:rsid w:val="00495B40"/>
    <w:rsid w:val="004A0E0F"/>
    <w:rsid w:val="004A3D62"/>
    <w:rsid w:val="004A72B2"/>
    <w:rsid w:val="004B10C4"/>
    <w:rsid w:val="004B2933"/>
    <w:rsid w:val="004B7F42"/>
    <w:rsid w:val="004D0A23"/>
    <w:rsid w:val="004D61A0"/>
    <w:rsid w:val="004D7121"/>
    <w:rsid w:val="004D790C"/>
    <w:rsid w:val="004E0277"/>
    <w:rsid w:val="004E08A5"/>
    <w:rsid w:val="004E65AD"/>
    <w:rsid w:val="004F5774"/>
    <w:rsid w:val="0050556A"/>
    <w:rsid w:val="0052791C"/>
    <w:rsid w:val="00527CD3"/>
    <w:rsid w:val="00536C13"/>
    <w:rsid w:val="00546765"/>
    <w:rsid w:val="0055005A"/>
    <w:rsid w:val="00551602"/>
    <w:rsid w:val="0055164B"/>
    <w:rsid w:val="005527CB"/>
    <w:rsid w:val="005562EB"/>
    <w:rsid w:val="00556CD9"/>
    <w:rsid w:val="00560DA6"/>
    <w:rsid w:val="00571CAF"/>
    <w:rsid w:val="0057401E"/>
    <w:rsid w:val="00575EB1"/>
    <w:rsid w:val="005844B1"/>
    <w:rsid w:val="005847FB"/>
    <w:rsid w:val="00585703"/>
    <w:rsid w:val="00593C9F"/>
    <w:rsid w:val="005A079F"/>
    <w:rsid w:val="005A0CAE"/>
    <w:rsid w:val="005A3D17"/>
    <w:rsid w:val="005A761C"/>
    <w:rsid w:val="005B5696"/>
    <w:rsid w:val="005C70A4"/>
    <w:rsid w:val="005C76A8"/>
    <w:rsid w:val="005D4F2F"/>
    <w:rsid w:val="005D53C3"/>
    <w:rsid w:val="005E1EBB"/>
    <w:rsid w:val="005E2E26"/>
    <w:rsid w:val="005E548A"/>
    <w:rsid w:val="005F4BB1"/>
    <w:rsid w:val="005F57D1"/>
    <w:rsid w:val="005F5D1A"/>
    <w:rsid w:val="00605E6D"/>
    <w:rsid w:val="00605F81"/>
    <w:rsid w:val="00610217"/>
    <w:rsid w:val="00631990"/>
    <w:rsid w:val="006329B9"/>
    <w:rsid w:val="0063366A"/>
    <w:rsid w:val="0063717D"/>
    <w:rsid w:val="0063727D"/>
    <w:rsid w:val="0064161D"/>
    <w:rsid w:val="00641807"/>
    <w:rsid w:val="0064407B"/>
    <w:rsid w:val="00650A07"/>
    <w:rsid w:val="006517D0"/>
    <w:rsid w:val="006520D5"/>
    <w:rsid w:val="006522A0"/>
    <w:rsid w:val="006530DE"/>
    <w:rsid w:val="0065442B"/>
    <w:rsid w:val="00656406"/>
    <w:rsid w:val="0065764A"/>
    <w:rsid w:val="006607AD"/>
    <w:rsid w:val="00664E3B"/>
    <w:rsid w:val="006663D0"/>
    <w:rsid w:val="006665CD"/>
    <w:rsid w:val="006804DF"/>
    <w:rsid w:val="00691A71"/>
    <w:rsid w:val="006925E4"/>
    <w:rsid w:val="00696689"/>
    <w:rsid w:val="006A3299"/>
    <w:rsid w:val="006A66B0"/>
    <w:rsid w:val="006B60AF"/>
    <w:rsid w:val="006C2763"/>
    <w:rsid w:val="006E0DE0"/>
    <w:rsid w:val="006E2AAF"/>
    <w:rsid w:val="006E537F"/>
    <w:rsid w:val="006E55E2"/>
    <w:rsid w:val="006F1183"/>
    <w:rsid w:val="006F3673"/>
    <w:rsid w:val="006F42CD"/>
    <w:rsid w:val="00702643"/>
    <w:rsid w:val="00710FDD"/>
    <w:rsid w:val="00711336"/>
    <w:rsid w:val="00714237"/>
    <w:rsid w:val="00714A67"/>
    <w:rsid w:val="007209FC"/>
    <w:rsid w:val="00722427"/>
    <w:rsid w:val="00725AA5"/>
    <w:rsid w:val="007358F1"/>
    <w:rsid w:val="00744C5D"/>
    <w:rsid w:val="007478D6"/>
    <w:rsid w:val="007608D2"/>
    <w:rsid w:val="00764966"/>
    <w:rsid w:val="007811C8"/>
    <w:rsid w:val="007812E9"/>
    <w:rsid w:val="00784D2A"/>
    <w:rsid w:val="007907C4"/>
    <w:rsid w:val="00791687"/>
    <w:rsid w:val="007951FA"/>
    <w:rsid w:val="00796027"/>
    <w:rsid w:val="00796C33"/>
    <w:rsid w:val="00797BCC"/>
    <w:rsid w:val="007A0A21"/>
    <w:rsid w:val="007A4CF6"/>
    <w:rsid w:val="007A69AC"/>
    <w:rsid w:val="007A6DA1"/>
    <w:rsid w:val="007B0C62"/>
    <w:rsid w:val="007B0F9E"/>
    <w:rsid w:val="007B2F1C"/>
    <w:rsid w:val="007B35E3"/>
    <w:rsid w:val="007B783E"/>
    <w:rsid w:val="007C356E"/>
    <w:rsid w:val="007C3BA0"/>
    <w:rsid w:val="007C5361"/>
    <w:rsid w:val="007C653B"/>
    <w:rsid w:val="007C7F77"/>
    <w:rsid w:val="007E1873"/>
    <w:rsid w:val="007E1B2E"/>
    <w:rsid w:val="007E2D43"/>
    <w:rsid w:val="007E4135"/>
    <w:rsid w:val="007F5F35"/>
    <w:rsid w:val="00806AF9"/>
    <w:rsid w:val="0080754B"/>
    <w:rsid w:val="0081673F"/>
    <w:rsid w:val="00816E04"/>
    <w:rsid w:val="00824481"/>
    <w:rsid w:val="0082521C"/>
    <w:rsid w:val="008347B8"/>
    <w:rsid w:val="00837F20"/>
    <w:rsid w:val="0084493E"/>
    <w:rsid w:val="00851246"/>
    <w:rsid w:val="00863606"/>
    <w:rsid w:val="00864E11"/>
    <w:rsid w:val="00865269"/>
    <w:rsid w:val="00866AD3"/>
    <w:rsid w:val="008722B0"/>
    <w:rsid w:val="0087659A"/>
    <w:rsid w:val="0088153A"/>
    <w:rsid w:val="0088391C"/>
    <w:rsid w:val="00883A9F"/>
    <w:rsid w:val="008A0FCA"/>
    <w:rsid w:val="008A48A7"/>
    <w:rsid w:val="008A5566"/>
    <w:rsid w:val="008B3822"/>
    <w:rsid w:val="008C349E"/>
    <w:rsid w:val="008D0AC7"/>
    <w:rsid w:val="008D19AE"/>
    <w:rsid w:val="008D50E8"/>
    <w:rsid w:val="008E3D12"/>
    <w:rsid w:val="008E498A"/>
    <w:rsid w:val="008E5CD3"/>
    <w:rsid w:val="00905F3E"/>
    <w:rsid w:val="0091220B"/>
    <w:rsid w:val="00913581"/>
    <w:rsid w:val="009144C1"/>
    <w:rsid w:val="009177D5"/>
    <w:rsid w:val="00921068"/>
    <w:rsid w:val="00922E62"/>
    <w:rsid w:val="00923B96"/>
    <w:rsid w:val="00926887"/>
    <w:rsid w:val="009313C2"/>
    <w:rsid w:val="009332CB"/>
    <w:rsid w:val="00933506"/>
    <w:rsid w:val="00947CF0"/>
    <w:rsid w:val="00951C3C"/>
    <w:rsid w:val="009543A5"/>
    <w:rsid w:val="00955240"/>
    <w:rsid w:val="00961934"/>
    <w:rsid w:val="0096265C"/>
    <w:rsid w:val="009627E7"/>
    <w:rsid w:val="00963601"/>
    <w:rsid w:val="009637D1"/>
    <w:rsid w:val="00965614"/>
    <w:rsid w:val="00971412"/>
    <w:rsid w:val="00971C2F"/>
    <w:rsid w:val="00974129"/>
    <w:rsid w:val="00984202"/>
    <w:rsid w:val="00984710"/>
    <w:rsid w:val="00985B45"/>
    <w:rsid w:val="009913CD"/>
    <w:rsid w:val="009A0633"/>
    <w:rsid w:val="009A35E2"/>
    <w:rsid w:val="009B1C08"/>
    <w:rsid w:val="009B5944"/>
    <w:rsid w:val="009C52C0"/>
    <w:rsid w:val="009D056F"/>
    <w:rsid w:val="009D22D6"/>
    <w:rsid w:val="009D2E63"/>
    <w:rsid w:val="009D5532"/>
    <w:rsid w:val="009E1BE6"/>
    <w:rsid w:val="009E42FA"/>
    <w:rsid w:val="009E768E"/>
    <w:rsid w:val="009E78BB"/>
    <w:rsid w:val="009E7D50"/>
    <w:rsid w:val="009F4D4D"/>
    <w:rsid w:val="009F6096"/>
    <w:rsid w:val="009F65A4"/>
    <w:rsid w:val="009F6BFC"/>
    <w:rsid w:val="00A05F7D"/>
    <w:rsid w:val="00A061EE"/>
    <w:rsid w:val="00A11051"/>
    <w:rsid w:val="00A11B93"/>
    <w:rsid w:val="00A146A8"/>
    <w:rsid w:val="00A17D3B"/>
    <w:rsid w:val="00A20E9F"/>
    <w:rsid w:val="00A21448"/>
    <w:rsid w:val="00A235DE"/>
    <w:rsid w:val="00A32A56"/>
    <w:rsid w:val="00A32AF2"/>
    <w:rsid w:val="00A34878"/>
    <w:rsid w:val="00A34882"/>
    <w:rsid w:val="00A41DD7"/>
    <w:rsid w:val="00A47BB3"/>
    <w:rsid w:val="00A512C9"/>
    <w:rsid w:val="00A534B4"/>
    <w:rsid w:val="00A53BF9"/>
    <w:rsid w:val="00A6037F"/>
    <w:rsid w:val="00A62A49"/>
    <w:rsid w:val="00A64B90"/>
    <w:rsid w:val="00A679F1"/>
    <w:rsid w:val="00A755FC"/>
    <w:rsid w:val="00A8006C"/>
    <w:rsid w:val="00A844DD"/>
    <w:rsid w:val="00A924BC"/>
    <w:rsid w:val="00A9655A"/>
    <w:rsid w:val="00AA5A62"/>
    <w:rsid w:val="00AB0814"/>
    <w:rsid w:val="00AB0FA6"/>
    <w:rsid w:val="00AB1D3E"/>
    <w:rsid w:val="00AB1E5C"/>
    <w:rsid w:val="00AB6379"/>
    <w:rsid w:val="00AB664F"/>
    <w:rsid w:val="00AB75D8"/>
    <w:rsid w:val="00AC422A"/>
    <w:rsid w:val="00AE1C90"/>
    <w:rsid w:val="00AE6EC4"/>
    <w:rsid w:val="00AE6FFD"/>
    <w:rsid w:val="00AF13FB"/>
    <w:rsid w:val="00B002FE"/>
    <w:rsid w:val="00B00DE1"/>
    <w:rsid w:val="00B0153D"/>
    <w:rsid w:val="00B04998"/>
    <w:rsid w:val="00B05E50"/>
    <w:rsid w:val="00B061C3"/>
    <w:rsid w:val="00B071EE"/>
    <w:rsid w:val="00B13B0F"/>
    <w:rsid w:val="00B150D2"/>
    <w:rsid w:val="00B2796F"/>
    <w:rsid w:val="00B3774B"/>
    <w:rsid w:val="00B405D0"/>
    <w:rsid w:val="00B40E5F"/>
    <w:rsid w:val="00B4555C"/>
    <w:rsid w:val="00B53497"/>
    <w:rsid w:val="00B544BF"/>
    <w:rsid w:val="00B5551D"/>
    <w:rsid w:val="00B63EB6"/>
    <w:rsid w:val="00B64C7B"/>
    <w:rsid w:val="00B823D5"/>
    <w:rsid w:val="00B823F6"/>
    <w:rsid w:val="00B83E3B"/>
    <w:rsid w:val="00B90FF3"/>
    <w:rsid w:val="00B918FE"/>
    <w:rsid w:val="00B91E03"/>
    <w:rsid w:val="00B920D2"/>
    <w:rsid w:val="00B951A4"/>
    <w:rsid w:val="00B95808"/>
    <w:rsid w:val="00B96A39"/>
    <w:rsid w:val="00BA1BC8"/>
    <w:rsid w:val="00BA4DC3"/>
    <w:rsid w:val="00BA7F07"/>
    <w:rsid w:val="00BC1D2B"/>
    <w:rsid w:val="00BC36F0"/>
    <w:rsid w:val="00BC439B"/>
    <w:rsid w:val="00BD1603"/>
    <w:rsid w:val="00BD2B13"/>
    <w:rsid w:val="00BD4E25"/>
    <w:rsid w:val="00BD556E"/>
    <w:rsid w:val="00BE03BC"/>
    <w:rsid w:val="00BE277F"/>
    <w:rsid w:val="00BE2D46"/>
    <w:rsid w:val="00BE3EA2"/>
    <w:rsid w:val="00BE451A"/>
    <w:rsid w:val="00BF7E2C"/>
    <w:rsid w:val="00C013CC"/>
    <w:rsid w:val="00C044A8"/>
    <w:rsid w:val="00C0509B"/>
    <w:rsid w:val="00C122D0"/>
    <w:rsid w:val="00C2001A"/>
    <w:rsid w:val="00C2793F"/>
    <w:rsid w:val="00C345CD"/>
    <w:rsid w:val="00C34DC2"/>
    <w:rsid w:val="00C471E6"/>
    <w:rsid w:val="00C4796E"/>
    <w:rsid w:val="00C50770"/>
    <w:rsid w:val="00C51FEB"/>
    <w:rsid w:val="00C57358"/>
    <w:rsid w:val="00C67C30"/>
    <w:rsid w:val="00C81BE4"/>
    <w:rsid w:val="00C82D55"/>
    <w:rsid w:val="00C92A82"/>
    <w:rsid w:val="00C95A3C"/>
    <w:rsid w:val="00C95FFB"/>
    <w:rsid w:val="00CA33F2"/>
    <w:rsid w:val="00CA71D7"/>
    <w:rsid w:val="00CA7E53"/>
    <w:rsid w:val="00CB0017"/>
    <w:rsid w:val="00CB301B"/>
    <w:rsid w:val="00CC02AF"/>
    <w:rsid w:val="00CC4EB3"/>
    <w:rsid w:val="00CD7372"/>
    <w:rsid w:val="00CE494C"/>
    <w:rsid w:val="00CE5000"/>
    <w:rsid w:val="00CE75FE"/>
    <w:rsid w:val="00CF147B"/>
    <w:rsid w:val="00CF5991"/>
    <w:rsid w:val="00D0308B"/>
    <w:rsid w:val="00D05855"/>
    <w:rsid w:val="00D0604D"/>
    <w:rsid w:val="00D07D2F"/>
    <w:rsid w:val="00D138EC"/>
    <w:rsid w:val="00D1439E"/>
    <w:rsid w:val="00D17427"/>
    <w:rsid w:val="00D1776F"/>
    <w:rsid w:val="00D17C88"/>
    <w:rsid w:val="00D31452"/>
    <w:rsid w:val="00D43631"/>
    <w:rsid w:val="00D45C8F"/>
    <w:rsid w:val="00D45C9A"/>
    <w:rsid w:val="00D45EA6"/>
    <w:rsid w:val="00D51200"/>
    <w:rsid w:val="00D51CF4"/>
    <w:rsid w:val="00D53368"/>
    <w:rsid w:val="00D555E9"/>
    <w:rsid w:val="00D57850"/>
    <w:rsid w:val="00D64749"/>
    <w:rsid w:val="00D6656A"/>
    <w:rsid w:val="00D70CDF"/>
    <w:rsid w:val="00D71646"/>
    <w:rsid w:val="00D71F37"/>
    <w:rsid w:val="00D731EE"/>
    <w:rsid w:val="00D821DD"/>
    <w:rsid w:val="00D87F02"/>
    <w:rsid w:val="00D92B8E"/>
    <w:rsid w:val="00D96A05"/>
    <w:rsid w:val="00D97846"/>
    <w:rsid w:val="00DA36FF"/>
    <w:rsid w:val="00DA47C5"/>
    <w:rsid w:val="00DA4CAC"/>
    <w:rsid w:val="00DB369B"/>
    <w:rsid w:val="00DB4949"/>
    <w:rsid w:val="00DB672F"/>
    <w:rsid w:val="00DB7057"/>
    <w:rsid w:val="00DB71C9"/>
    <w:rsid w:val="00DC4259"/>
    <w:rsid w:val="00DE0DA9"/>
    <w:rsid w:val="00DE3584"/>
    <w:rsid w:val="00DE5DEB"/>
    <w:rsid w:val="00DE76FE"/>
    <w:rsid w:val="00DF611B"/>
    <w:rsid w:val="00E016E1"/>
    <w:rsid w:val="00E04FAB"/>
    <w:rsid w:val="00E12324"/>
    <w:rsid w:val="00E22C30"/>
    <w:rsid w:val="00E254F2"/>
    <w:rsid w:val="00E27396"/>
    <w:rsid w:val="00E31778"/>
    <w:rsid w:val="00E31CE8"/>
    <w:rsid w:val="00E37FEB"/>
    <w:rsid w:val="00E44A6C"/>
    <w:rsid w:val="00E45A9B"/>
    <w:rsid w:val="00E469BE"/>
    <w:rsid w:val="00E51C17"/>
    <w:rsid w:val="00E61DBE"/>
    <w:rsid w:val="00E70ACF"/>
    <w:rsid w:val="00E77E32"/>
    <w:rsid w:val="00E81498"/>
    <w:rsid w:val="00E821A3"/>
    <w:rsid w:val="00E839FC"/>
    <w:rsid w:val="00E874D3"/>
    <w:rsid w:val="00E922FE"/>
    <w:rsid w:val="00EA37DD"/>
    <w:rsid w:val="00EA5AB8"/>
    <w:rsid w:val="00EA6303"/>
    <w:rsid w:val="00EB1C5A"/>
    <w:rsid w:val="00EB5C4E"/>
    <w:rsid w:val="00EC13A5"/>
    <w:rsid w:val="00EC1BA6"/>
    <w:rsid w:val="00EC3288"/>
    <w:rsid w:val="00EC3AA8"/>
    <w:rsid w:val="00EC4582"/>
    <w:rsid w:val="00EC5E49"/>
    <w:rsid w:val="00ED4633"/>
    <w:rsid w:val="00ED4852"/>
    <w:rsid w:val="00EE2829"/>
    <w:rsid w:val="00EE574C"/>
    <w:rsid w:val="00EF0F84"/>
    <w:rsid w:val="00EF34AD"/>
    <w:rsid w:val="00EF54F2"/>
    <w:rsid w:val="00EF6DA4"/>
    <w:rsid w:val="00EF7BF4"/>
    <w:rsid w:val="00F02A4D"/>
    <w:rsid w:val="00F104AB"/>
    <w:rsid w:val="00F143FC"/>
    <w:rsid w:val="00F22E02"/>
    <w:rsid w:val="00F25413"/>
    <w:rsid w:val="00F25AC5"/>
    <w:rsid w:val="00F34DED"/>
    <w:rsid w:val="00F34DF0"/>
    <w:rsid w:val="00F4055E"/>
    <w:rsid w:val="00F46DCF"/>
    <w:rsid w:val="00F51987"/>
    <w:rsid w:val="00F52A9F"/>
    <w:rsid w:val="00F543B6"/>
    <w:rsid w:val="00F659D5"/>
    <w:rsid w:val="00F70DA0"/>
    <w:rsid w:val="00F8283C"/>
    <w:rsid w:val="00F842ED"/>
    <w:rsid w:val="00F844F0"/>
    <w:rsid w:val="00F85BBD"/>
    <w:rsid w:val="00F85F77"/>
    <w:rsid w:val="00FA057C"/>
    <w:rsid w:val="00FA6266"/>
    <w:rsid w:val="00FA63A0"/>
    <w:rsid w:val="00FB31C0"/>
    <w:rsid w:val="00FC4F1C"/>
    <w:rsid w:val="00FD0A63"/>
    <w:rsid w:val="00FD35CD"/>
    <w:rsid w:val="00FD4D7F"/>
    <w:rsid w:val="00FD7F10"/>
    <w:rsid w:val="00FE17BB"/>
    <w:rsid w:val="00FE5F79"/>
    <w:rsid w:val="00FF6516"/>
    <w:rsid w:val="141D47FA"/>
    <w:rsid w:val="1E6528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unhideWhenUsed/>
    <w:rsid w:val="004D0A23"/>
    <w:rPr>
      <w:sz w:val="20"/>
      <w:szCs w:val="20"/>
    </w:rPr>
  </w:style>
  <w:style w:type="character" w:customStyle="1" w:styleId="CommentTextChar">
    <w:name w:val="Comment Text Char"/>
    <w:basedOn w:val="DefaultParagraphFont"/>
    <w:link w:val="CommentText"/>
    <w:uiPriority w:val="99"/>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 w:type="paragraph" w:customStyle="1" w:styleId="Default">
    <w:name w:val="Default"/>
    <w:rsid w:val="00081424"/>
    <w:pPr>
      <w:autoSpaceDE w:val="0"/>
      <w:autoSpaceDN w:val="0"/>
      <w:adjustRightInd w:val="0"/>
    </w:pPr>
    <w:rPr>
      <w:rFonts w:cs="Times New Roman"/>
      <w:color w:val="000000"/>
      <w:szCs w:val="24"/>
    </w:rPr>
  </w:style>
  <w:style w:type="numbering" w:customStyle="1" w:styleId="Headings">
    <w:name w:val="Headings"/>
    <w:uiPriority w:val="99"/>
    <w:rsid w:val="00ED4852"/>
    <w:pPr>
      <w:numPr>
        <w:numId w:val="27"/>
      </w:numPr>
    </w:pPr>
  </w:style>
  <w:style w:type="paragraph" w:styleId="FootnoteText">
    <w:name w:val="footnote text"/>
    <w:basedOn w:val="Normal"/>
    <w:link w:val="FootnoteTextChar"/>
    <w:uiPriority w:val="99"/>
    <w:semiHidden/>
    <w:unhideWhenUsed/>
    <w:rsid w:val="00C013CC"/>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013CC"/>
    <w:rPr>
      <w:rFonts w:asciiTheme="minorHAnsi" w:hAnsiTheme="minorHAnsi"/>
      <w:kern w:val="2"/>
      <w:sz w:val="20"/>
      <w:szCs w:val="20"/>
      <w14:ligatures w14:val="standardContextual"/>
    </w:rPr>
  </w:style>
  <w:style w:type="character" w:styleId="FootnoteReference">
    <w:name w:val="footnote reference"/>
    <w:basedOn w:val="DefaultParagraphFont"/>
    <w:uiPriority w:val="99"/>
    <w:semiHidden/>
    <w:unhideWhenUsed/>
    <w:rsid w:val="00C01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ultiemployerprogram@pbgc.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BGCCUI xmlns="42a8a83a-5e27-410c-a1fc-7c5ac4e503f4" xsi:nil="true"/>
    <Marking xmlns="42a8a83a-5e27-410c-a1fc-7c5ac4e503f4" xsi:nil="true"/>
  </documentManagement>
</p:properties>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80A333454EC0734FA57241899DC77FFB" ma:contentTypeVersion="16" ma:contentTypeDescription="Documents with Controlled Unclassified Information (CUI) flag and markings." ma:contentTypeScope="" ma:versionID="dd446bc71a35184cc4252fc20f130660">
  <xsd:schema xmlns:xsd="http://www.w3.org/2001/XMLSchema" xmlns:xs="http://www.w3.org/2001/XMLSchema" xmlns:p="http://schemas.microsoft.com/office/2006/metadata/properties" xmlns:ns2="42a8a83a-5e27-410c-a1fc-7c5ac4e503f4" targetNamespace="http://schemas.microsoft.com/office/2006/metadata/properties" ma:root="true" ma:fieldsID="fb188f52d21a8e6cd9727c9688d75141" ns2:_="">
    <xsd:import namespace="42a8a83a-5e27-410c-a1fc-7c5ac4e503f4"/>
    <xsd:element name="properties">
      <xsd:complexType>
        <xsd:sequence>
          <xsd:element name="documentManagement">
            <xsd:complexType>
              <xsd:all>
                <xsd:element ref="ns2:PBGCCUI" minOccurs="0"/>
                <xsd:element ref="ns2:Ma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0CF6008F-70C3-4E6E-AF16-4107638F84E8}">
  <ds:schemaRefs>
    <ds:schemaRef ds:uri="Microsoft.SharePoint.Taxonomy.ContentTypeSync"/>
  </ds:schemaRefs>
</ds:datastoreItem>
</file>

<file path=customXml/itemProps3.xml><?xml version="1.0" encoding="utf-8"?>
<ds:datastoreItem xmlns:ds="http://schemas.openxmlformats.org/officeDocument/2006/customXml" ds:itemID="{ECFA78F7-A33E-4DBF-BF6E-F1356CB1588C}">
  <ds:schemaRefs>
    <ds:schemaRef ds:uri="http://schemas.openxmlformats.org/officeDocument/2006/bibliography"/>
  </ds:schemaRefs>
</ds:datastoreItem>
</file>

<file path=customXml/itemProps4.xml><?xml version="1.0" encoding="utf-8"?>
<ds:datastoreItem xmlns:ds="http://schemas.openxmlformats.org/officeDocument/2006/customXml" ds:itemID="{BEA67AAE-C548-4086-985D-F671DC5E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890B16-A781-4190-9642-88BA393C4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Thomas LaTasha</cp:lastModifiedBy>
  <cp:revision>3</cp:revision>
  <dcterms:created xsi:type="dcterms:W3CDTF">2026-05-06T17:20:00Z</dcterms:created>
  <dcterms:modified xsi:type="dcterms:W3CDTF">2026-05-07T20:15:00Z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0x010100E09C6A4FD85CD94DB99934580C239257190080A333454EC0734FA57241899DC77FFB</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y fmtid="{D5CDD505-2E9C-101B-9397-08002B2CF9AE}" pid="7" name="Order">
    <vt:r8>100</vt:r8>
  </property>
  <property fmtid="{D5CDD505-2E9C-101B-9397-08002B2CF9AE}" pid="8" name="Source Library">
    <vt:lpwstr/>
  </property>
  <property fmtid="{D5CDD505-2E9C-101B-9397-08002B2CF9AE}" pid="9" name="Source Type">
    <vt:lpwstr>File share</vt:lpwstr>
  </property>
  <property fmtid="{D5CDD505-2E9C-101B-9397-08002B2CF9AE}" pid="10" name="TaxCatchAll">
    <vt:lpwstr/>
  </property>
</Properties>
</file>