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7148" w:rsidRPr="00207148" w:rsidP="00827243" w14:paraId="777C64CC" w14:textId="77777777">
      <w:pPr>
        <w:jc w:val="center"/>
        <w:rPr>
          <w:rFonts w:ascii="Times New Roman" w:hAnsi="Times New Roman"/>
          <w:b/>
          <w:bCs/>
        </w:rPr>
      </w:pPr>
      <w:r w:rsidRPr="00207148">
        <w:rPr>
          <w:rFonts w:ascii="Times New Roman" w:hAnsi="Times New Roman"/>
          <w:b/>
          <w:bCs/>
        </w:rPr>
        <w:t>SUPPORTING STATEMENT FOR</w:t>
      </w:r>
    </w:p>
    <w:p w:rsidR="00207148" w:rsidRPr="00207148" w:rsidP="00827243" w14:paraId="7A33EA81" w14:textId="2F8FD662">
      <w:pPr>
        <w:jc w:val="center"/>
        <w:rPr>
          <w:rFonts w:ascii="Times New Roman" w:hAnsi="Times New Roman"/>
          <w:b/>
          <w:bCs/>
        </w:rPr>
      </w:pPr>
      <w:r w:rsidRPr="00207148">
        <w:rPr>
          <w:rFonts w:ascii="Times New Roman" w:hAnsi="Times New Roman"/>
          <w:b/>
          <w:bCs/>
        </w:rPr>
        <w:t>National Longitudinal Survey of Youth 2027 Pretest</w:t>
      </w:r>
    </w:p>
    <w:p w:rsidR="00207148" w:rsidRPr="00207148" w:rsidP="00827243" w14:paraId="34B85591" w14:textId="4F7D2F73">
      <w:pPr>
        <w:jc w:val="center"/>
        <w:rPr>
          <w:rFonts w:ascii="Times New Roman" w:hAnsi="Times New Roman"/>
        </w:rPr>
      </w:pPr>
      <w:r w:rsidRPr="00207148">
        <w:rPr>
          <w:rFonts w:ascii="Times New Roman" w:hAnsi="Times New Roman"/>
        </w:rPr>
        <w:t xml:space="preserve">OMB CONTROL NO. </w:t>
      </w:r>
      <w:r>
        <w:rPr>
          <w:rFonts w:ascii="Times New Roman" w:hAnsi="Times New Roman"/>
        </w:rPr>
        <w:t>1220-</w:t>
      </w:r>
      <w:r w:rsidRPr="00207148">
        <w:rPr>
          <w:rFonts w:ascii="Times New Roman" w:hAnsi="Times New Roman"/>
        </w:rPr>
        <w:t>XXXX</w:t>
      </w:r>
    </w:p>
    <w:p w:rsidR="001D4386" w:rsidRPr="00107E37" w:rsidP="001D4386" w14:paraId="30A1F74B" w14:textId="77777777">
      <w:pPr>
        <w:rPr>
          <w:rFonts w:ascii="Times New Roman" w:hAnsi="Times New Roman"/>
        </w:rPr>
      </w:pPr>
    </w:p>
    <w:p w:rsidR="001D4386" w:rsidRPr="00107E37" w:rsidP="001D4386" w14:paraId="32EB9B9B" w14:textId="77777777">
      <w:pPr>
        <w:numPr>
          <w:ilvl w:val="0"/>
          <w:numId w:val="10"/>
        </w:numPr>
        <w:autoSpaceDE w:val="0"/>
        <w:autoSpaceDN w:val="0"/>
        <w:adjustRightInd w:val="0"/>
        <w:ind w:left="360"/>
        <w:rPr>
          <w:rFonts w:ascii="Aptos" w:hAnsi="Aptos"/>
          <w:b/>
          <w:bCs/>
        </w:rPr>
      </w:pPr>
      <w:r w:rsidRPr="00107E37">
        <w:rPr>
          <w:rFonts w:ascii="Aptos" w:hAnsi="Aptos"/>
          <w:b/>
          <w:bCs/>
        </w:rPr>
        <w:t>COLLECTIONS OF INFORMATION EMPLOYING STATISTICAL METHODS</w:t>
      </w:r>
    </w:p>
    <w:p w:rsidR="001D4386" w:rsidRPr="00107E37" w:rsidP="001D4386" w14:paraId="13BD5ECE" w14:textId="77777777">
      <w:pPr>
        <w:rPr>
          <w:rFonts w:ascii="Aptos" w:hAnsi="Aptos"/>
          <w:b/>
        </w:rPr>
      </w:pPr>
    </w:p>
    <w:p w:rsidR="001D4386" w:rsidRPr="00107E37" w:rsidP="00466245" w14:paraId="62EACF9D" w14:textId="7A65B806">
      <w:pPr>
        <w:pStyle w:val="ListParagraph"/>
        <w:numPr>
          <w:ilvl w:val="0"/>
          <w:numId w:val="7"/>
        </w:numPr>
        <w:ind w:left="360"/>
        <w:rPr>
          <w:rFonts w:ascii="Aptos" w:hAnsi="Aptos"/>
          <w:b/>
          <w:bCs/>
          <w:sz w:val="22"/>
          <w:szCs w:val="22"/>
        </w:rPr>
      </w:pPr>
      <w:r w:rsidRPr="00107E37">
        <w:rPr>
          <w:rFonts w:ascii="Aptos" w:hAnsi="Aptos"/>
          <w:b/>
          <w:bCs/>
          <w:sz w:val="22"/>
          <w:szCs w:val="22"/>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107E37">
        <w:rPr>
          <w:rFonts w:ascii="Aptos" w:hAnsi="Aptos"/>
          <w:b/>
          <w:bCs/>
          <w:sz w:val="22"/>
          <w:szCs w:val="22"/>
        </w:rPr>
        <w:t>collection as a whole</w:t>
      </w:r>
      <w:r w:rsidRPr="00107E37">
        <w:rPr>
          <w:rFonts w:ascii="Aptos" w:hAnsi="Aptos"/>
          <w:b/>
          <w:bCs/>
          <w:sz w:val="22"/>
          <w:szCs w:val="22"/>
        </w:rPr>
        <w:t>. If the collection had been conducted previously, include the actual response rate achieved during the last collection.</w:t>
      </w:r>
    </w:p>
    <w:p w:rsidR="001D4386" w:rsidRPr="00107E37" w:rsidP="001D4386" w14:paraId="652B9E83" w14:textId="77777777">
      <w:pPr>
        <w:rPr>
          <w:rFonts w:ascii="Aptos" w:hAnsi="Aptos"/>
        </w:rPr>
      </w:pPr>
    </w:p>
    <w:p w:rsidR="00EF7142" w:rsidRPr="00107E37" w:rsidP="007A4A44" w14:paraId="12811390" w14:textId="5DF1C50D">
      <w:pPr>
        <w:rPr>
          <w:rFonts w:ascii="Aptos" w:hAnsi="Aptos"/>
        </w:rPr>
      </w:pPr>
      <w:r w:rsidRPr="00107E37">
        <w:rPr>
          <w:rFonts w:ascii="Aptos" w:hAnsi="Aptos"/>
        </w:rPr>
        <w:t>This statement covers the National Longitudinal Survey of Youth 2027 (NLSY27)</w:t>
      </w:r>
      <w:r w:rsidRPr="00107E37" w:rsidR="00466245">
        <w:rPr>
          <w:rFonts w:ascii="Aptos" w:hAnsi="Aptos"/>
        </w:rPr>
        <w:t xml:space="preserve"> Pretest</w:t>
      </w:r>
      <w:r w:rsidRPr="00107E37">
        <w:rPr>
          <w:rFonts w:ascii="Aptos" w:hAnsi="Aptos"/>
        </w:rPr>
        <w:t xml:space="preserve">. </w:t>
      </w:r>
      <w:r w:rsidRPr="00107E37" w:rsidR="006B1517">
        <w:rPr>
          <w:rFonts w:ascii="Aptos" w:hAnsi="Aptos" w:cs="Arial"/>
        </w:rPr>
        <w:t>This Pretest will ensure all systems, protocols, and procedures are operating successfully for Round 1 data collection and experiment with certain aspects of data collection to improve efficiencies and reduce respondent burden</w:t>
      </w:r>
      <w:r w:rsidR="00BC3F4F">
        <w:rPr>
          <w:rFonts w:ascii="Aptos" w:hAnsi="Aptos" w:cs="Arial"/>
        </w:rPr>
        <w:t>.</w:t>
      </w:r>
    </w:p>
    <w:p w:rsidR="00EF7142" w:rsidRPr="00107E37" w:rsidP="001D4386" w14:paraId="33094BD4" w14:textId="77777777">
      <w:pPr>
        <w:rPr>
          <w:rFonts w:ascii="Aptos" w:hAnsi="Aptos"/>
        </w:rPr>
      </w:pPr>
    </w:p>
    <w:p w:rsidR="006B1517" w:rsidRPr="00107E37" w:rsidP="001D4386" w14:paraId="2C672F5D" w14:textId="5557717D">
      <w:pPr>
        <w:rPr>
          <w:rFonts w:ascii="Aptos" w:hAnsi="Aptos"/>
        </w:rPr>
      </w:pPr>
      <w:r w:rsidRPr="00107E37">
        <w:rPr>
          <w:rFonts w:ascii="Aptos" w:hAnsi="Aptos"/>
        </w:rPr>
        <w:t xml:space="preserve">The target population for the NLSY27 is </w:t>
      </w:r>
      <w:r w:rsidRPr="00107E37" w:rsidR="003C4251">
        <w:rPr>
          <w:rFonts w:ascii="Aptos" w:hAnsi="Aptos"/>
        </w:rPr>
        <w:t xml:space="preserve">youth </w:t>
      </w:r>
      <w:r w:rsidRPr="00107E37" w:rsidR="00B25D28">
        <w:rPr>
          <w:rFonts w:ascii="Aptos" w:hAnsi="Aptos"/>
        </w:rPr>
        <w:t>age</w:t>
      </w:r>
      <w:r w:rsidR="00B25D28">
        <w:rPr>
          <w:rFonts w:ascii="Aptos" w:hAnsi="Aptos"/>
        </w:rPr>
        <w:t>d</w:t>
      </w:r>
      <w:r w:rsidRPr="00107E37" w:rsidR="00B25D28">
        <w:rPr>
          <w:rFonts w:ascii="Aptos" w:hAnsi="Aptos"/>
        </w:rPr>
        <w:t xml:space="preserve"> </w:t>
      </w:r>
      <w:r w:rsidRPr="00107E37" w:rsidR="003C4251">
        <w:rPr>
          <w:rFonts w:ascii="Aptos" w:hAnsi="Aptos"/>
        </w:rPr>
        <w:t>11</w:t>
      </w:r>
      <w:r w:rsidR="00B25D28">
        <w:rPr>
          <w:rFonts w:ascii="Aptos" w:hAnsi="Aptos"/>
        </w:rPr>
        <w:t>–</w:t>
      </w:r>
      <w:r w:rsidRPr="00107E37" w:rsidR="003C4251">
        <w:rPr>
          <w:rFonts w:ascii="Aptos" w:hAnsi="Aptos"/>
        </w:rPr>
        <w:t xml:space="preserve">16 </w:t>
      </w:r>
      <w:r w:rsidR="00B25D28">
        <w:rPr>
          <w:rFonts w:ascii="Aptos" w:hAnsi="Aptos"/>
        </w:rPr>
        <w:t xml:space="preserve">years </w:t>
      </w:r>
      <w:r w:rsidRPr="00107E37" w:rsidR="003C4251">
        <w:rPr>
          <w:rFonts w:ascii="Aptos" w:hAnsi="Aptos"/>
        </w:rPr>
        <w:t xml:space="preserve">as of December 31, </w:t>
      </w:r>
      <w:r w:rsidRPr="00107E37" w:rsidR="00191932">
        <w:rPr>
          <w:rFonts w:ascii="Aptos" w:hAnsi="Aptos"/>
        </w:rPr>
        <w:t>2026,</w:t>
      </w:r>
      <w:r w:rsidRPr="00107E37" w:rsidR="006368C0">
        <w:rPr>
          <w:rFonts w:ascii="Aptos" w:hAnsi="Aptos"/>
        </w:rPr>
        <w:t xml:space="preserve"> in households in the U</w:t>
      </w:r>
      <w:r w:rsidR="00107E37">
        <w:rPr>
          <w:rFonts w:ascii="Aptos" w:hAnsi="Aptos"/>
        </w:rPr>
        <w:t xml:space="preserve">nited </w:t>
      </w:r>
      <w:r w:rsidRPr="00107E37" w:rsidR="006368C0">
        <w:rPr>
          <w:rFonts w:ascii="Aptos" w:hAnsi="Aptos"/>
        </w:rPr>
        <w:t>S</w:t>
      </w:r>
      <w:r w:rsidR="00107E37">
        <w:rPr>
          <w:rFonts w:ascii="Aptos" w:hAnsi="Aptos"/>
        </w:rPr>
        <w:t>tates</w:t>
      </w:r>
      <w:r w:rsidRPr="00107E37" w:rsidR="00F271EF">
        <w:rPr>
          <w:rFonts w:ascii="Aptos" w:hAnsi="Aptos"/>
        </w:rPr>
        <w:t xml:space="preserve"> (population size </w:t>
      </w:r>
      <w:r w:rsidRPr="00107E37" w:rsidR="00EC2045">
        <w:rPr>
          <w:rFonts w:ascii="Aptos" w:hAnsi="Aptos"/>
        </w:rPr>
        <w:t>25,</w:t>
      </w:r>
      <w:r w:rsidR="00D61245">
        <w:rPr>
          <w:rFonts w:ascii="Aptos" w:hAnsi="Aptos"/>
        </w:rPr>
        <w:t>933</w:t>
      </w:r>
      <w:r w:rsidRPr="00107E37" w:rsidR="00EC2045">
        <w:rPr>
          <w:rFonts w:ascii="Aptos" w:hAnsi="Aptos"/>
        </w:rPr>
        <w:t>,</w:t>
      </w:r>
      <w:r w:rsidR="00D61245">
        <w:rPr>
          <w:rFonts w:ascii="Aptos" w:hAnsi="Aptos"/>
        </w:rPr>
        <w:t>328</w:t>
      </w:r>
      <w:r w:rsidRPr="00107E37" w:rsidR="00B03163">
        <w:rPr>
          <w:rFonts w:ascii="Aptos" w:hAnsi="Aptos"/>
        </w:rPr>
        <w:t xml:space="preserve"> </w:t>
      </w:r>
      <w:r w:rsidRPr="00107E37" w:rsidR="00F271EF">
        <w:rPr>
          <w:rFonts w:ascii="Aptos" w:hAnsi="Aptos"/>
        </w:rPr>
        <w:t>youth</w:t>
      </w:r>
      <w:r w:rsidRPr="00107E37" w:rsidR="00EC2045">
        <w:rPr>
          <w:rFonts w:ascii="Aptos" w:hAnsi="Aptos"/>
        </w:rPr>
        <w:t xml:space="preserve"> per A</w:t>
      </w:r>
      <w:r w:rsidRPr="00107E37" w:rsidR="00875E11">
        <w:rPr>
          <w:rFonts w:ascii="Aptos" w:hAnsi="Aptos"/>
        </w:rPr>
        <w:t xml:space="preserve">merican </w:t>
      </w:r>
      <w:r w:rsidRPr="00107E37" w:rsidR="00EC2045">
        <w:rPr>
          <w:rFonts w:ascii="Aptos" w:hAnsi="Aptos"/>
        </w:rPr>
        <w:t>C</w:t>
      </w:r>
      <w:r w:rsidRPr="00107E37" w:rsidR="00875E11">
        <w:rPr>
          <w:rFonts w:ascii="Aptos" w:hAnsi="Aptos"/>
        </w:rPr>
        <w:t xml:space="preserve">ommunity </w:t>
      </w:r>
      <w:r w:rsidRPr="00107E37" w:rsidR="00EC2045">
        <w:rPr>
          <w:rFonts w:ascii="Aptos" w:hAnsi="Aptos"/>
        </w:rPr>
        <w:t>S</w:t>
      </w:r>
      <w:r w:rsidRPr="00107E37" w:rsidR="00875E11">
        <w:rPr>
          <w:rFonts w:ascii="Aptos" w:hAnsi="Aptos"/>
        </w:rPr>
        <w:t>urvey</w:t>
      </w:r>
      <w:r w:rsidRPr="00107E37" w:rsidR="00B03163">
        <w:rPr>
          <w:rFonts w:ascii="Aptos" w:hAnsi="Aptos"/>
        </w:rPr>
        <w:t xml:space="preserve"> P</w:t>
      </w:r>
      <w:r w:rsidRPr="00107E37" w:rsidR="00875E11">
        <w:rPr>
          <w:rFonts w:ascii="Aptos" w:hAnsi="Aptos"/>
        </w:rPr>
        <w:t xml:space="preserve">ublic </w:t>
      </w:r>
      <w:r w:rsidRPr="00107E37" w:rsidR="00B03163">
        <w:rPr>
          <w:rFonts w:ascii="Aptos" w:hAnsi="Aptos"/>
        </w:rPr>
        <w:t>U</w:t>
      </w:r>
      <w:r w:rsidRPr="00107E37" w:rsidR="00875E11">
        <w:rPr>
          <w:rFonts w:ascii="Aptos" w:hAnsi="Aptos"/>
        </w:rPr>
        <w:t xml:space="preserve">se </w:t>
      </w:r>
      <w:r w:rsidRPr="00107E37" w:rsidR="00B03163">
        <w:rPr>
          <w:rFonts w:ascii="Aptos" w:hAnsi="Aptos"/>
        </w:rPr>
        <w:t>M</w:t>
      </w:r>
      <w:r w:rsidRPr="00107E37" w:rsidR="00875E11">
        <w:rPr>
          <w:rFonts w:ascii="Aptos" w:hAnsi="Aptos"/>
        </w:rPr>
        <w:t xml:space="preserve">icrodata </w:t>
      </w:r>
      <w:r w:rsidRPr="00107E37" w:rsidR="00B03163">
        <w:rPr>
          <w:rFonts w:ascii="Aptos" w:hAnsi="Aptos"/>
        </w:rPr>
        <w:t>S</w:t>
      </w:r>
      <w:r w:rsidRPr="00107E37" w:rsidR="00D00F73">
        <w:rPr>
          <w:rFonts w:ascii="Aptos" w:hAnsi="Aptos"/>
        </w:rPr>
        <w:t>ample</w:t>
      </w:r>
      <w:r w:rsidRPr="00107E37" w:rsidR="00B03163">
        <w:rPr>
          <w:rFonts w:ascii="Aptos" w:hAnsi="Aptos"/>
        </w:rPr>
        <w:t xml:space="preserve"> </w:t>
      </w:r>
      <w:r w:rsidRPr="00107E37" w:rsidR="00D61245">
        <w:rPr>
          <w:rFonts w:ascii="Aptos" w:hAnsi="Aptos"/>
        </w:rPr>
        <w:t>202</w:t>
      </w:r>
      <w:r w:rsidR="00D61245">
        <w:rPr>
          <w:rFonts w:ascii="Aptos" w:hAnsi="Aptos"/>
        </w:rPr>
        <w:t>3</w:t>
      </w:r>
      <w:r w:rsidR="00FA08BC">
        <w:rPr>
          <w:rFonts w:ascii="Aptos" w:hAnsi="Aptos"/>
        </w:rPr>
        <w:t>,</w:t>
      </w:r>
      <w:r w:rsidRPr="00107E37" w:rsidR="00B03163">
        <w:rPr>
          <w:rFonts w:ascii="Aptos" w:hAnsi="Aptos"/>
        </w:rPr>
        <w:t>1</w:t>
      </w:r>
      <w:r w:rsidRPr="00107E37" w:rsidR="00466245">
        <w:rPr>
          <w:rFonts w:ascii="Aptos" w:hAnsi="Aptos"/>
        </w:rPr>
        <w:t xml:space="preserve"> </w:t>
      </w:r>
      <w:r w:rsidRPr="00107E37" w:rsidR="00B03163">
        <w:rPr>
          <w:rFonts w:ascii="Aptos" w:hAnsi="Aptos"/>
        </w:rPr>
        <w:t>y</w:t>
      </w:r>
      <w:r w:rsidRPr="00107E37" w:rsidR="00466245">
        <w:rPr>
          <w:rFonts w:ascii="Aptos" w:hAnsi="Aptos"/>
        </w:rPr>
        <w:t>ea</w:t>
      </w:r>
      <w:r w:rsidRPr="00107E37" w:rsidR="00B03163">
        <w:rPr>
          <w:rFonts w:ascii="Aptos" w:hAnsi="Aptos"/>
        </w:rPr>
        <w:t>r</w:t>
      </w:r>
      <w:r w:rsidRPr="00107E37" w:rsidR="00F271EF">
        <w:rPr>
          <w:rFonts w:ascii="Aptos" w:hAnsi="Aptos"/>
        </w:rPr>
        <w:t>)</w:t>
      </w:r>
      <w:r w:rsidRPr="00107E37" w:rsidR="006368C0">
        <w:rPr>
          <w:rFonts w:ascii="Aptos" w:hAnsi="Aptos"/>
        </w:rPr>
        <w:t xml:space="preserve">. </w:t>
      </w:r>
    </w:p>
    <w:p w:rsidR="006B1517" w:rsidRPr="00107E37" w:rsidP="001D4386" w14:paraId="0719B292" w14:textId="77777777">
      <w:pPr>
        <w:rPr>
          <w:rFonts w:ascii="Aptos" w:hAnsi="Aptos"/>
        </w:rPr>
      </w:pPr>
    </w:p>
    <w:p w:rsidR="00113A5D" w:rsidRPr="00107E37" w:rsidP="001D4386" w14:paraId="2483B536" w14:textId="7AFC8D5C">
      <w:pPr>
        <w:rPr>
          <w:rFonts w:ascii="Aptos" w:hAnsi="Aptos"/>
        </w:rPr>
      </w:pPr>
      <w:r>
        <w:rPr>
          <w:rFonts w:ascii="Aptos" w:hAnsi="Aptos"/>
        </w:rPr>
        <w:t>Because</w:t>
      </w:r>
      <w:r w:rsidRPr="00107E37">
        <w:rPr>
          <w:rFonts w:ascii="Aptos" w:hAnsi="Aptos"/>
        </w:rPr>
        <w:t xml:space="preserve"> </w:t>
      </w:r>
      <w:r w:rsidRPr="00107E37" w:rsidR="75B23B10">
        <w:rPr>
          <w:rFonts w:ascii="Aptos" w:hAnsi="Aptos"/>
        </w:rPr>
        <w:t>t</w:t>
      </w:r>
      <w:r w:rsidRPr="00107E37" w:rsidR="0052482D">
        <w:rPr>
          <w:rFonts w:ascii="Aptos" w:hAnsi="Aptos"/>
        </w:rPr>
        <w:t xml:space="preserve">he </w:t>
      </w:r>
      <w:r w:rsidRPr="00107E37">
        <w:rPr>
          <w:rFonts w:ascii="Aptos" w:hAnsi="Aptos"/>
        </w:rPr>
        <w:t xml:space="preserve">NLSY27 </w:t>
      </w:r>
      <w:r w:rsidRPr="00107E37" w:rsidR="00466245">
        <w:rPr>
          <w:rFonts w:ascii="Aptos" w:hAnsi="Aptos"/>
        </w:rPr>
        <w:t xml:space="preserve">Pretest </w:t>
      </w:r>
      <w:r w:rsidRPr="00107E37" w:rsidR="00CF407B">
        <w:rPr>
          <w:rFonts w:ascii="Aptos" w:hAnsi="Aptos"/>
        </w:rPr>
        <w:t xml:space="preserve">is occurring </w:t>
      </w:r>
      <w:r>
        <w:rPr>
          <w:rFonts w:ascii="Aptos" w:hAnsi="Aptos"/>
        </w:rPr>
        <w:t>1</w:t>
      </w:r>
      <w:r w:rsidRPr="00107E37">
        <w:rPr>
          <w:rFonts w:ascii="Aptos" w:hAnsi="Aptos"/>
        </w:rPr>
        <w:t xml:space="preserve"> </w:t>
      </w:r>
      <w:r w:rsidRPr="00107E37" w:rsidR="00CF407B">
        <w:rPr>
          <w:rFonts w:ascii="Aptos" w:hAnsi="Aptos"/>
        </w:rPr>
        <w:t>year prior</w:t>
      </w:r>
      <w:r w:rsidRPr="00107E37" w:rsidR="6CFBE8F9">
        <w:rPr>
          <w:rFonts w:ascii="Aptos" w:hAnsi="Aptos"/>
        </w:rPr>
        <w:t xml:space="preserve"> to the cohort formation</w:t>
      </w:r>
      <w:r w:rsidRPr="00107E37" w:rsidR="00A93C61">
        <w:rPr>
          <w:rFonts w:ascii="Aptos" w:hAnsi="Aptos"/>
        </w:rPr>
        <w:t xml:space="preserve"> in the Round 1 survey</w:t>
      </w:r>
      <w:r w:rsidRPr="00107E37" w:rsidR="00CF407B">
        <w:rPr>
          <w:rFonts w:ascii="Aptos" w:hAnsi="Aptos"/>
        </w:rPr>
        <w:t xml:space="preserve">, the </w:t>
      </w:r>
      <w:r w:rsidRPr="00107E37">
        <w:rPr>
          <w:rFonts w:ascii="Aptos" w:hAnsi="Aptos"/>
        </w:rPr>
        <w:t xml:space="preserve">age </w:t>
      </w:r>
      <w:r w:rsidRPr="00107E37" w:rsidR="00CF407B">
        <w:rPr>
          <w:rFonts w:ascii="Aptos" w:hAnsi="Aptos"/>
        </w:rPr>
        <w:t>eligibility criteria will be adjusted appropriately.</w:t>
      </w:r>
      <w:r w:rsidRPr="00107E37">
        <w:rPr>
          <w:rFonts w:ascii="Aptos" w:hAnsi="Aptos"/>
        </w:rPr>
        <w:t xml:space="preserve"> </w:t>
      </w:r>
      <w:r w:rsidRPr="00107E37" w:rsidR="002A150A">
        <w:rPr>
          <w:rFonts w:ascii="Aptos" w:hAnsi="Aptos"/>
        </w:rPr>
        <w:t xml:space="preserve">The </w:t>
      </w:r>
      <w:r w:rsidRPr="00107E37" w:rsidR="00466245">
        <w:rPr>
          <w:rFonts w:ascii="Aptos" w:hAnsi="Aptos"/>
        </w:rPr>
        <w:t>P</w:t>
      </w:r>
      <w:r w:rsidRPr="00107E37" w:rsidR="002A150A">
        <w:rPr>
          <w:rFonts w:ascii="Aptos" w:hAnsi="Aptos"/>
        </w:rPr>
        <w:t xml:space="preserve">retest is expected to yield </w:t>
      </w:r>
      <w:r w:rsidR="007A4A44">
        <w:rPr>
          <w:rFonts w:ascii="Aptos" w:hAnsi="Aptos"/>
        </w:rPr>
        <w:t xml:space="preserve">approximately </w:t>
      </w:r>
      <w:r w:rsidRPr="00107E37" w:rsidR="002A150A">
        <w:rPr>
          <w:rFonts w:ascii="Aptos" w:hAnsi="Aptos"/>
        </w:rPr>
        <w:t xml:space="preserve">800 completed youth interviews with youth </w:t>
      </w:r>
      <w:r w:rsidRPr="00107E37" w:rsidR="00DF0D22">
        <w:rPr>
          <w:rFonts w:ascii="Aptos" w:hAnsi="Aptos"/>
        </w:rPr>
        <w:t>age</w:t>
      </w:r>
      <w:r w:rsidR="00DF0D22">
        <w:rPr>
          <w:rFonts w:ascii="Aptos" w:hAnsi="Aptos"/>
        </w:rPr>
        <w:t>d</w:t>
      </w:r>
      <w:r w:rsidRPr="00107E37" w:rsidR="00DF0D22">
        <w:rPr>
          <w:rFonts w:ascii="Aptos" w:hAnsi="Aptos"/>
        </w:rPr>
        <w:t xml:space="preserve"> </w:t>
      </w:r>
      <w:r w:rsidRPr="00107E37" w:rsidR="002A150A">
        <w:rPr>
          <w:rFonts w:ascii="Aptos" w:hAnsi="Aptos"/>
        </w:rPr>
        <w:t>11</w:t>
      </w:r>
      <w:r w:rsidR="00DF0D22">
        <w:rPr>
          <w:rFonts w:ascii="Aptos" w:hAnsi="Aptos"/>
        </w:rPr>
        <w:t>–</w:t>
      </w:r>
      <w:r w:rsidRPr="00107E37" w:rsidR="002A150A">
        <w:rPr>
          <w:rFonts w:ascii="Aptos" w:hAnsi="Aptos"/>
        </w:rPr>
        <w:t xml:space="preserve">16 </w:t>
      </w:r>
      <w:r w:rsidR="00DF0D22">
        <w:rPr>
          <w:rFonts w:ascii="Aptos" w:hAnsi="Aptos"/>
        </w:rPr>
        <w:t xml:space="preserve">years </w:t>
      </w:r>
      <w:r w:rsidRPr="00107E37" w:rsidR="002A150A">
        <w:rPr>
          <w:rFonts w:ascii="Aptos" w:hAnsi="Aptos"/>
        </w:rPr>
        <w:t xml:space="preserve">as of December 31, 2025, along with 518 surveys from their parents or caregivers. </w:t>
      </w:r>
      <w:r w:rsidRPr="00107E37" w:rsidR="373FA1FB">
        <w:rPr>
          <w:rFonts w:ascii="Aptos" w:hAnsi="Aptos"/>
        </w:rPr>
        <w:t>W</w:t>
      </w:r>
      <w:r w:rsidRPr="00107E37" w:rsidR="002A150A">
        <w:rPr>
          <w:rFonts w:ascii="Aptos" w:hAnsi="Aptos"/>
        </w:rPr>
        <w:t xml:space="preserve">e present planned </w:t>
      </w:r>
      <w:r w:rsidR="008C491E">
        <w:rPr>
          <w:rFonts w:ascii="Aptos" w:hAnsi="Aptos"/>
        </w:rPr>
        <w:t>P</w:t>
      </w:r>
      <w:r w:rsidRPr="00107E37" w:rsidR="002A150A">
        <w:rPr>
          <w:rFonts w:ascii="Aptos" w:hAnsi="Aptos"/>
        </w:rPr>
        <w:t xml:space="preserve">retest sample sizes starting with the </w:t>
      </w:r>
      <w:r w:rsidR="008E3351">
        <w:rPr>
          <w:rFonts w:ascii="Aptos" w:hAnsi="Aptos"/>
        </w:rPr>
        <w:t>13,381</w:t>
      </w:r>
      <w:r w:rsidRPr="00107E37" w:rsidR="002A150A">
        <w:rPr>
          <w:rFonts w:ascii="Aptos" w:hAnsi="Aptos"/>
        </w:rPr>
        <w:t xml:space="preserve"> housing units (HUs) selected </w:t>
      </w:r>
      <w:r w:rsidRPr="00107E37" w:rsidR="00114091">
        <w:rPr>
          <w:rFonts w:ascii="Aptos" w:hAnsi="Aptos"/>
        </w:rPr>
        <w:t xml:space="preserve">from </w:t>
      </w:r>
      <w:r w:rsidRPr="00107E37" w:rsidR="002A150A">
        <w:rPr>
          <w:rFonts w:ascii="Aptos" w:hAnsi="Aptos"/>
        </w:rPr>
        <w:t xml:space="preserve">occupied and screened HUs (i.e., households) to </w:t>
      </w:r>
      <w:r w:rsidRPr="00107E37" w:rsidR="00191932">
        <w:rPr>
          <w:rFonts w:ascii="Aptos" w:hAnsi="Aptos"/>
        </w:rPr>
        <w:t>arrive</w:t>
      </w:r>
      <w:r w:rsidRPr="00107E37" w:rsidR="002A150A">
        <w:rPr>
          <w:rFonts w:ascii="Aptos" w:hAnsi="Aptos"/>
        </w:rPr>
        <w:t xml:space="preserve"> at the desired 800 youth completes</w:t>
      </w:r>
      <w:r w:rsidRPr="00107E37" w:rsidR="5B6C7BDF">
        <w:rPr>
          <w:rFonts w:ascii="Aptos" w:hAnsi="Aptos"/>
        </w:rPr>
        <w:t xml:space="preserve"> below</w:t>
      </w:r>
      <w:r w:rsidRPr="00107E37" w:rsidR="002A150A">
        <w:rPr>
          <w:rFonts w:ascii="Aptos" w:hAnsi="Aptos"/>
        </w:rPr>
        <w:t>.</w:t>
      </w:r>
      <w:r w:rsidRPr="00107E37" w:rsidR="00E5328F">
        <w:rPr>
          <w:rFonts w:ascii="Aptos" w:hAnsi="Aptos"/>
        </w:rPr>
        <w:t xml:space="preserve"> </w:t>
      </w:r>
    </w:p>
    <w:p w:rsidR="003A478B" w:rsidRPr="00107E37" w:rsidP="001D4386" w14:paraId="109B0E7C" w14:textId="213A5415">
      <w:pPr>
        <w:rPr>
          <w:rFonts w:ascii="Times New Roman" w:hAnsi="Times New Roman"/>
        </w:rPr>
      </w:pPr>
      <w:r w:rsidRPr="00107E37">
        <w:rPr>
          <w:rFonts w:ascii="Times New Roman" w:hAnsi="Times New Roman"/>
        </w:rPr>
        <w:t xml:space="preserve"> </w:t>
      </w:r>
    </w:p>
    <w:p w:rsidR="003A478B" w:rsidRPr="00107E37" w:rsidP="003A478B" w14:paraId="16F686FC" w14:textId="77777777">
      <w:pPr>
        <w:pStyle w:val="table-title"/>
        <w:spacing w:before="0" w:after="0"/>
        <w:rPr>
          <w:rStyle w:val="blueboldemphasis"/>
        </w:rPr>
      </w:pPr>
      <w:bookmarkStart w:id="0" w:name="_Toc175909039"/>
      <w:bookmarkStart w:id="1" w:name="_Toc102478562"/>
    </w:p>
    <w:p w:rsidR="00466245" w:rsidRPr="00107E37" w14:paraId="37926D07" w14:textId="77777777">
      <w:pPr>
        <w:spacing w:after="160" w:line="259" w:lineRule="auto"/>
        <w:rPr>
          <w:rStyle w:val="blueboldemphasis"/>
          <w:rFonts w:ascii="Arial" w:eastAsia="SimSun" w:hAnsi="Arial" w:cs="Times New Roman"/>
          <w:bCs/>
          <w:lang w:eastAsia="zh-CN"/>
        </w:rPr>
      </w:pPr>
      <w:r w:rsidRPr="00107E37">
        <w:rPr>
          <w:rStyle w:val="blueboldemphasis"/>
        </w:rPr>
        <w:br w:type="page"/>
      </w:r>
    </w:p>
    <w:p w:rsidR="003A478B" w:rsidRPr="00107E37" w:rsidP="003A478B" w14:paraId="0AA53B5B" w14:textId="3FC65AB3">
      <w:pPr>
        <w:pStyle w:val="table-title"/>
        <w:spacing w:before="0" w:after="0"/>
        <w:rPr>
          <w:rFonts w:ascii="Aptos" w:hAnsi="Aptos"/>
        </w:rPr>
      </w:pPr>
      <w:r w:rsidRPr="00107E37">
        <w:rPr>
          <w:rStyle w:val="blueboldemphasis"/>
          <w:rFonts w:ascii="Aptos" w:hAnsi="Aptos"/>
        </w:rPr>
        <w:t>Exhibit</w:t>
      </w:r>
      <w:r w:rsidRPr="00107E37" w:rsidR="7C5F2FA3">
        <w:rPr>
          <w:rStyle w:val="blueboldemphasis"/>
          <w:rFonts w:ascii="Aptos" w:hAnsi="Aptos"/>
        </w:rPr>
        <w:t xml:space="preserve"> 1.</w:t>
      </w:r>
      <w:r w:rsidRPr="00107E37">
        <w:rPr>
          <w:rFonts w:ascii="Aptos" w:hAnsi="Aptos"/>
        </w:rPr>
        <w:tab/>
      </w:r>
      <w:r w:rsidRPr="00107E37" w:rsidR="7C5F2FA3">
        <w:rPr>
          <w:rFonts w:ascii="Aptos" w:hAnsi="Aptos"/>
        </w:rPr>
        <w:t>NLSY27 Pretest Sample Sizes and Assumed Rates</w:t>
      </w:r>
      <w:bookmarkEnd w:id="0"/>
      <w:r w:rsidRPr="00107E37" w:rsidR="7C5F2FA3">
        <w:rPr>
          <w:rFonts w:ascii="Aptos" w:hAnsi="Aptos"/>
        </w:rPr>
        <w:t xml:space="preserve"> </w:t>
      </w:r>
      <w:bookmarkEnd w:id="1"/>
    </w:p>
    <w:p w:rsidR="003A478B" w:rsidRPr="00107E37" w:rsidP="003A478B" w14:paraId="7FE2C24F" w14:textId="77777777">
      <w:pPr>
        <w:rPr>
          <w:rFonts w:ascii="Times New Roman" w:hAnsi="Times New Roman"/>
        </w:rPr>
      </w:pPr>
    </w:p>
    <w:tbl>
      <w:tblPr>
        <w:tblStyle w:val="ReportTableStyle"/>
        <w:tblW w:w="7560" w:type="dxa"/>
        <w:tblLayout w:type="fixed"/>
        <w:tblCellMar>
          <w:left w:w="58" w:type="dxa"/>
          <w:right w:w="58" w:type="dxa"/>
        </w:tblCellMar>
        <w:tblLook w:val="02E0"/>
      </w:tblPr>
      <w:tblGrid>
        <w:gridCol w:w="4470"/>
        <w:gridCol w:w="1560"/>
        <w:gridCol w:w="1530"/>
      </w:tblGrid>
      <w:tr w14:paraId="64D3EF91" w14:textId="77777777" w:rsidTr="00767BEA">
        <w:tblPrEx>
          <w:tblW w:w="7560" w:type="dxa"/>
          <w:tblLayout w:type="fixed"/>
          <w:tblCellMar>
            <w:left w:w="58" w:type="dxa"/>
            <w:right w:w="58" w:type="dxa"/>
          </w:tblCellMar>
          <w:tblLook w:val="02E0"/>
        </w:tblPrEx>
        <w:trPr>
          <w:trHeight w:val="300"/>
          <w:tblHeader/>
        </w:trPr>
        <w:tc>
          <w:tcPr>
            <w:tcW w:w="4470" w:type="dxa"/>
            <w:noWrap/>
          </w:tcPr>
          <w:p w:rsidR="003A478B" w:rsidRPr="00107E37" w:rsidP="007747D5" w14:paraId="39455001" w14:textId="77777777">
            <w:pPr>
              <w:pStyle w:val="table-headers"/>
              <w:rPr>
                <w:rFonts w:ascii="Arial Narrow" w:hAnsi="Arial Narrow"/>
                <w:sz w:val="20"/>
                <w:szCs w:val="20"/>
              </w:rPr>
            </w:pPr>
          </w:p>
        </w:tc>
        <w:tc>
          <w:tcPr>
            <w:tcW w:w="1560" w:type="dxa"/>
            <w:noWrap/>
            <w:vAlign w:val="bottom"/>
          </w:tcPr>
          <w:p w:rsidR="003A478B" w:rsidRPr="00107E37" w:rsidP="00805745" w14:paraId="331B0138" w14:textId="77777777">
            <w:pPr>
              <w:pStyle w:val="table-headers"/>
              <w:ind w:right="300"/>
              <w:jc w:val="right"/>
              <w:rPr>
                <w:rFonts w:ascii="Arial Narrow" w:hAnsi="Arial Narrow"/>
                <w:sz w:val="20"/>
                <w:szCs w:val="20"/>
              </w:rPr>
            </w:pPr>
            <w:r w:rsidRPr="00107E37">
              <w:rPr>
                <w:rFonts w:ascii="Arial Narrow" w:hAnsi="Arial Narrow"/>
                <w:sz w:val="20"/>
                <w:szCs w:val="20"/>
              </w:rPr>
              <w:t>Count</w:t>
            </w:r>
          </w:p>
        </w:tc>
        <w:tc>
          <w:tcPr>
            <w:tcW w:w="1530" w:type="dxa"/>
            <w:noWrap/>
            <w:vAlign w:val="bottom"/>
          </w:tcPr>
          <w:p w:rsidR="003A478B" w:rsidRPr="00107E37" w:rsidP="00805745" w14:paraId="2E0A866E" w14:textId="77777777">
            <w:pPr>
              <w:pStyle w:val="table-headers"/>
              <w:ind w:right="300"/>
              <w:jc w:val="right"/>
              <w:rPr>
                <w:rFonts w:ascii="Arial Narrow" w:hAnsi="Arial Narrow"/>
                <w:sz w:val="20"/>
                <w:szCs w:val="20"/>
              </w:rPr>
            </w:pPr>
            <w:r w:rsidRPr="00107E37">
              <w:rPr>
                <w:rFonts w:ascii="Arial Narrow" w:hAnsi="Arial Narrow"/>
                <w:sz w:val="20"/>
                <w:szCs w:val="20"/>
              </w:rPr>
              <w:t>Rate, %</w:t>
            </w:r>
          </w:p>
        </w:tc>
      </w:tr>
      <w:tr w14:paraId="596FBE6E"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319A8410"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Housing Unit (HU) sample </w:t>
            </w:r>
          </w:p>
        </w:tc>
        <w:tc>
          <w:tcPr>
            <w:tcW w:w="1560" w:type="dxa"/>
            <w:noWrap/>
          </w:tcPr>
          <w:p w:rsidR="003A478B" w:rsidRPr="00107E37" w:rsidP="00805745" w14:paraId="0FC9335B" w14:textId="05A72703">
            <w:pPr>
              <w:pStyle w:val="table-text"/>
              <w:ind w:right="288"/>
              <w:jc w:val="right"/>
              <w:rPr>
                <w:rFonts w:ascii="Arial Narrow" w:hAnsi="Arial Narrow"/>
                <w:sz w:val="20"/>
                <w:szCs w:val="20"/>
              </w:rPr>
            </w:pPr>
            <w:r>
              <w:rPr>
                <w:rFonts w:ascii="Arial Narrow" w:hAnsi="Arial Narrow"/>
                <w:sz w:val="20"/>
                <w:szCs w:val="20"/>
              </w:rPr>
              <w:t>13,381</w:t>
            </w:r>
          </w:p>
        </w:tc>
        <w:tc>
          <w:tcPr>
            <w:tcW w:w="1530" w:type="dxa"/>
            <w:noWrap/>
          </w:tcPr>
          <w:p w:rsidR="003A478B" w:rsidRPr="00107E37" w:rsidP="00805745" w14:paraId="34C3DFDC" w14:textId="77777777">
            <w:pPr>
              <w:pStyle w:val="table-text"/>
              <w:ind w:right="288"/>
              <w:jc w:val="right"/>
              <w:rPr>
                <w:rFonts w:ascii="Arial Narrow" w:hAnsi="Arial Narrow"/>
                <w:sz w:val="20"/>
                <w:szCs w:val="20"/>
              </w:rPr>
            </w:pPr>
          </w:p>
        </w:tc>
      </w:tr>
      <w:tr w14:paraId="2DE0C2F0"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2EE9750D"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Occupied HUs </w:t>
            </w:r>
          </w:p>
        </w:tc>
        <w:tc>
          <w:tcPr>
            <w:tcW w:w="1560" w:type="dxa"/>
            <w:noWrap/>
          </w:tcPr>
          <w:p w:rsidR="003A478B" w:rsidRPr="00107E37" w:rsidP="00805745" w14:paraId="4D3C4D90" w14:textId="2699E8F4">
            <w:pPr>
              <w:pStyle w:val="table-text"/>
              <w:ind w:right="288"/>
              <w:jc w:val="right"/>
              <w:rPr>
                <w:rFonts w:ascii="Arial Narrow" w:hAnsi="Arial Narrow"/>
                <w:sz w:val="20"/>
                <w:szCs w:val="20"/>
              </w:rPr>
            </w:pPr>
            <w:r>
              <w:rPr>
                <w:rFonts w:ascii="Arial Narrow" w:hAnsi="Arial Narrow"/>
                <w:sz w:val="20"/>
                <w:szCs w:val="20"/>
              </w:rPr>
              <w:t>12,177</w:t>
            </w:r>
          </w:p>
        </w:tc>
        <w:tc>
          <w:tcPr>
            <w:tcW w:w="1530" w:type="dxa"/>
            <w:noWrap/>
          </w:tcPr>
          <w:p w:rsidR="003A478B" w:rsidRPr="00107E37" w:rsidP="00805745" w14:paraId="1D785EFD" w14:textId="77777777">
            <w:pPr>
              <w:pStyle w:val="table-text"/>
              <w:ind w:right="288"/>
              <w:jc w:val="right"/>
              <w:rPr>
                <w:rFonts w:ascii="Arial Narrow" w:hAnsi="Arial Narrow"/>
                <w:sz w:val="20"/>
                <w:szCs w:val="20"/>
              </w:rPr>
            </w:pPr>
            <w:r w:rsidRPr="00107E37">
              <w:rPr>
                <w:rFonts w:ascii="Arial Narrow" w:hAnsi="Arial Narrow"/>
                <w:sz w:val="20"/>
                <w:szCs w:val="20"/>
              </w:rPr>
              <w:t>91.0</w:t>
            </w:r>
          </w:p>
        </w:tc>
      </w:tr>
      <w:tr w14:paraId="418B9B75"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22A33F6A"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Screened HUs </w:t>
            </w:r>
          </w:p>
        </w:tc>
        <w:tc>
          <w:tcPr>
            <w:tcW w:w="1560" w:type="dxa"/>
            <w:noWrap/>
          </w:tcPr>
          <w:p w:rsidR="003A478B" w:rsidRPr="00107E37" w:rsidP="00805745" w14:paraId="6BC49142" w14:textId="77777777">
            <w:pPr>
              <w:pStyle w:val="table-text"/>
              <w:ind w:right="288"/>
              <w:jc w:val="right"/>
              <w:rPr>
                <w:rFonts w:ascii="Arial Narrow" w:hAnsi="Arial Narrow"/>
                <w:sz w:val="20"/>
                <w:szCs w:val="20"/>
              </w:rPr>
            </w:pPr>
            <w:r w:rsidRPr="00107E37">
              <w:rPr>
                <w:rFonts w:ascii="Arial Narrow" w:hAnsi="Arial Narrow"/>
                <w:sz w:val="20"/>
                <w:szCs w:val="20"/>
              </w:rPr>
              <w:t>6,088</w:t>
            </w:r>
          </w:p>
        </w:tc>
        <w:tc>
          <w:tcPr>
            <w:tcW w:w="1530" w:type="dxa"/>
            <w:noWrap/>
          </w:tcPr>
          <w:p w:rsidR="003A478B" w:rsidRPr="00107E37" w:rsidP="00805745" w14:paraId="6F058351" w14:textId="798A93AE">
            <w:pPr>
              <w:pStyle w:val="table-text"/>
              <w:ind w:right="288"/>
              <w:jc w:val="right"/>
              <w:rPr>
                <w:rFonts w:ascii="Arial Narrow" w:hAnsi="Arial Narrow"/>
                <w:sz w:val="20"/>
                <w:szCs w:val="20"/>
              </w:rPr>
            </w:pPr>
            <w:r>
              <w:rPr>
                <w:rFonts w:ascii="Arial Narrow" w:hAnsi="Arial Narrow"/>
                <w:sz w:val="20"/>
                <w:szCs w:val="20"/>
              </w:rPr>
              <w:t>50</w:t>
            </w:r>
            <w:r w:rsidRPr="00107E37">
              <w:rPr>
                <w:rFonts w:ascii="Arial Narrow" w:hAnsi="Arial Narrow"/>
                <w:sz w:val="20"/>
                <w:szCs w:val="20"/>
              </w:rPr>
              <w:t>.0</w:t>
            </w:r>
          </w:p>
        </w:tc>
      </w:tr>
      <w:tr w14:paraId="560CC9D7"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23D7BA09"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Households with age-eligible youth </w:t>
            </w:r>
          </w:p>
        </w:tc>
        <w:tc>
          <w:tcPr>
            <w:tcW w:w="1560" w:type="dxa"/>
            <w:noWrap/>
          </w:tcPr>
          <w:p w:rsidR="003A478B" w:rsidRPr="00107E37" w:rsidP="00805745" w14:paraId="2608BFA4" w14:textId="77777777">
            <w:pPr>
              <w:pStyle w:val="table-text"/>
              <w:ind w:right="288"/>
              <w:jc w:val="right"/>
              <w:rPr>
                <w:rFonts w:ascii="Arial Narrow" w:hAnsi="Arial Narrow"/>
                <w:sz w:val="20"/>
                <w:szCs w:val="20"/>
              </w:rPr>
            </w:pPr>
            <w:r w:rsidRPr="00107E37">
              <w:rPr>
                <w:rFonts w:ascii="Arial Narrow" w:hAnsi="Arial Narrow"/>
                <w:sz w:val="20"/>
                <w:szCs w:val="20"/>
              </w:rPr>
              <w:t>1,218</w:t>
            </w:r>
          </w:p>
        </w:tc>
        <w:tc>
          <w:tcPr>
            <w:tcW w:w="1530" w:type="dxa"/>
            <w:noWrap/>
          </w:tcPr>
          <w:p w:rsidR="003A478B" w:rsidRPr="00107E37" w:rsidP="00805745" w14:paraId="38ACBE49" w14:textId="77777777">
            <w:pPr>
              <w:pStyle w:val="table-text"/>
              <w:ind w:right="288"/>
              <w:jc w:val="right"/>
              <w:rPr>
                <w:rFonts w:ascii="Arial Narrow" w:hAnsi="Arial Narrow"/>
                <w:sz w:val="20"/>
                <w:szCs w:val="20"/>
              </w:rPr>
            </w:pPr>
            <w:r w:rsidRPr="00107E37">
              <w:rPr>
                <w:rFonts w:ascii="Arial Narrow" w:hAnsi="Arial Narrow"/>
                <w:sz w:val="20"/>
                <w:szCs w:val="20"/>
              </w:rPr>
              <w:t>20.0</w:t>
            </w:r>
          </w:p>
        </w:tc>
      </w:tr>
      <w:tr w14:paraId="21763CB5"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43A81658"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Households selected for interview </w:t>
            </w:r>
          </w:p>
        </w:tc>
        <w:tc>
          <w:tcPr>
            <w:tcW w:w="1560" w:type="dxa"/>
            <w:noWrap/>
          </w:tcPr>
          <w:p w:rsidR="003A478B" w:rsidRPr="00107E37" w:rsidP="00805745" w14:paraId="226E149F" w14:textId="77777777">
            <w:pPr>
              <w:pStyle w:val="table-text"/>
              <w:ind w:right="288"/>
              <w:jc w:val="right"/>
              <w:rPr>
                <w:rFonts w:ascii="Arial Narrow" w:hAnsi="Arial Narrow"/>
                <w:sz w:val="20"/>
                <w:szCs w:val="20"/>
              </w:rPr>
            </w:pPr>
            <w:r w:rsidRPr="00107E37">
              <w:rPr>
                <w:rFonts w:ascii="Arial Narrow" w:hAnsi="Arial Narrow"/>
                <w:sz w:val="20"/>
                <w:szCs w:val="20"/>
              </w:rPr>
              <w:t>895</w:t>
            </w:r>
          </w:p>
        </w:tc>
        <w:tc>
          <w:tcPr>
            <w:tcW w:w="1530" w:type="dxa"/>
            <w:noWrap/>
          </w:tcPr>
          <w:p w:rsidR="003A478B" w:rsidRPr="00107E37" w:rsidP="00805745" w14:paraId="7419EBC1" w14:textId="77777777">
            <w:pPr>
              <w:pStyle w:val="table-text"/>
              <w:ind w:right="288"/>
              <w:jc w:val="right"/>
              <w:rPr>
                <w:rFonts w:ascii="Arial Narrow" w:hAnsi="Arial Narrow"/>
                <w:sz w:val="20"/>
                <w:szCs w:val="20"/>
              </w:rPr>
            </w:pPr>
            <w:r w:rsidRPr="00107E37">
              <w:rPr>
                <w:rFonts w:ascii="Arial Narrow" w:hAnsi="Arial Narrow"/>
                <w:sz w:val="20"/>
                <w:szCs w:val="20"/>
              </w:rPr>
              <w:t>73.5</w:t>
            </w:r>
          </w:p>
        </w:tc>
      </w:tr>
      <w:tr w14:paraId="285155E0"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5003AD51"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Average eligible youth per household </w:t>
            </w:r>
          </w:p>
        </w:tc>
        <w:tc>
          <w:tcPr>
            <w:tcW w:w="1560" w:type="dxa"/>
            <w:noWrap/>
          </w:tcPr>
          <w:p w:rsidR="003A478B" w:rsidRPr="00107E37" w:rsidP="00805745" w14:paraId="381CD3CB" w14:textId="77777777">
            <w:pPr>
              <w:pStyle w:val="table-text"/>
              <w:ind w:right="288"/>
              <w:jc w:val="right"/>
              <w:rPr>
                <w:rFonts w:ascii="Arial Narrow" w:hAnsi="Arial Narrow"/>
                <w:sz w:val="20"/>
                <w:szCs w:val="20"/>
              </w:rPr>
            </w:pPr>
            <w:r w:rsidRPr="00107E37">
              <w:rPr>
                <w:rFonts w:ascii="Arial Narrow" w:hAnsi="Arial Narrow"/>
                <w:sz w:val="20"/>
                <w:szCs w:val="20"/>
              </w:rPr>
              <w:t>1.39</w:t>
            </w:r>
          </w:p>
        </w:tc>
        <w:tc>
          <w:tcPr>
            <w:tcW w:w="1530" w:type="dxa"/>
            <w:noWrap/>
          </w:tcPr>
          <w:p w:rsidR="003A478B" w:rsidRPr="00107E37" w:rsidP="00805745" w14:paraId="44F5E4A5" w14:textId="77777777">
            <w:pPr>
              <w:pStyle w:val="table-text"/>
              <w:ind w:right="288"/>
              <w:jc w:val="right"/>
              <w:rPr>
                <w:rFonts w:ascii="Arial Narrow" w:hAnsi="Arial Narrow"/>
                <w:sz w:val="20"/>
                <w:szCs w:val="20"/>
              </w:rPr>
            </w:pPr>
          </w:p>
        </w:tc>
      </w:tr>
      <w:tr w14:paraId="38626FDD"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5358343C"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Eligible youth </w:t>
            </w:r>
          </w:p>
        </w:tc>
        <w:tc>
          <w:tcPr>
            <w:tcW w:w="1560" w:type="dxa"/>
            <w:noWrap/>
          </w:tcPr>
          <w:p w:rsidR="003A478B" w:rsidRPr="00107E37" w:rsidP="00805745" w14:paraId="79D8D509" w14:textId="77777777">
            <w:pPr>
              <w:pStyle w:val="table-text"/>
              <w:ind w:right="288"/>
              <w:jc w:val="right"/>
              <w:rPr>
                <w:rFonts w:ascii="Arial Narrow" w:hAnsi="Arial Narrow"/>
                <w:sz w:val="20"/>
                <w:szCs w:val="20"/>
              </w:rPr>
            </w:pPr>
            <w:r w:rsidRPr="00107E37">
              <w:rPr>
                <w:rFonts w:ascii="Arial Narrow" w:hAnsi="Arial Narrow"/>
                <w:sz w:val="20"/>
                <w:szCs w:val="20"/>
              </w:rPr>
              <w:t>1,244</w:t>
            </w:r>
          </w:p>
        </w:tc>
        <w:tc>
          <w:tcPr>
            <w:tcW w:w="1530" w:type="dxa"/>
            <w:noWrap/>
          </w:tcPr>
          <w:p w:rsidR="003A478B" w:rsidRPr="00107E37" w:rsidP="00805745" w14:paraId="0E71A20C" w14:textId="77777777">
            <w:pPr>
              <w:pStyle w:val="table-text"/>
              <w:ind w:right="288"/>
              <w:jc w:val="right"/>
              <w:rPr>
                <w:rFonts w:ascii="Arial Narrow" w:hAnsi="Arial Narrow"/>
                <w:sz w:val="20"/>
                <w:szCs w:val="20"/>
              </w:rPr>
            </w:pPr>
          </w:p>
        </w:tc>
      </w:tr>
      <w:tr w14:paraId="0D3C16E6"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336A5265"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Household screening and consent </w:t>
            </w:r>
          </w:p>
        </w:tc>
        <w:tc>
          <w:tcPr>
            <w:tcW w:w="1560" w:type="dxa"/>
            <w:noWrap/>
          </w:tcPr>
          <w:p w:rsidR="003A478B" w:rsidRPr="00107E37" w:rsidP="00805745" w14:paraId="10E7AFC1" w14:textId="77777777">
            <w:pPr>
              <w:pStyle w:val="table-text"/>
              <w:ind w:right="288"/>
              <w:jc w:val="right"/>
              <w:rPr>
                <w:rFonts w:ascii="Arial Narrow" w:hAnsi="Arial Narrow"/>
                <w:sz w:val="20"/>
                <w:szCs w:val="20"/>
              </w:rPr>
            </w:pPr>
            <w:r w:rsidRPr="00107E37">
              <w:rPr>
                <w:rFonts w:ascii="Arial Narrow" w:hAnsi="Arial Narrow"/>
                <w:sz w:val="20"/>
                <w:szCs w:val="20"/>
              </w:rPr>
              <w:t>931</w:t>
            </w:r>
          </w:p>
        </w:tc>
        <w:tc>
          <w:tcPr>
            <w:tcW w:w="1530" w:type="dxa"/>
            <w:noWrap/>
          </w:tcPr>
          <w:p w:rsidR="003A478B" w:rsidRPr="00107E37" w:rsidP="00805745" w14:paraId="234E4865" w14:textId="77777777">
            <w:pPr>
              <w:pStyle w:val="table-text"/>
              <w:ind w:right="288"/>
              <w:jc w:val="right"/>
              <w:rPr>
                <w:rFonts w:ascii="Arial Narrow" w:hAnsi="Arial Narrow"/>
                <w:sz w:val="20"/>
                <w:szCs w:val="20"/>
              </w:rPr>
            </w:pPr>
            <w:r w:rsidRPr="00107E37">
              <w:rPr>
                <w:rFonts w:ascii="Arial Narrow" w:hAnsi="Arial Narrow"/>
                <w:sz w:val="20"/>
                <w:szCs w:val="20"/>
              </w:rPr>
              <w:t>74.9</w:t>
            </w:r>
          </w:p>
        </w:tc>
      </w:tr>
      <w:tr w14:paraId="7FC7BC91"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55471E9D"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Youth interviews </w:t>
            </w:r>
          </w:p>
        </w:tc>
        <w:tc>
          <w:tcPr>
            <w:tcW w:w="1560" w:type="dxa"/>
            <w:noWrap/>
          </w:tcPr>
          <w:p w:rsidR="003A478B" w:rsidRPr="00107E37" w:rsidP="00805745" w14:paraId="246E5B8E" w14:textId="77777777">
            <w:pPr>
              <w:pStyle w:val="table-text"/>
              <w:ind w:right="288"/>
              <w:jc w:val="right"/>
              <w:rPr>
                <w:rFonts w:ascii="Arial Narrow" w:hAnsi="Arial Narrow"/>
                <w:sz w:val="20"/>
                <w:szCs w:val="20"/>
              </w:rPr>
            </w:pPr>
            <w:r w:rsidRPr="00107E37">
              <w:rPr>
                <w:rFonts w:ascii="Arial Narrow" w:hAnsi="Arial Narrow"/>
                <w:sz w:val="20"/>
                <w:szCs w:val="20"/>
              </w:rPr>
              <w:t>800</w:t>
            </w:r>
          </w:p>
        </w:tc>
        <w:tc>
          <w:tcPr>
            <w:tcW w:w="1530" w:type="dxa"/>
            <w:noWrap/>
          </w:tcPr>
          <w:p w:rsidR="003A478B" w:rsidRPr="00107E37" w:rsidP="00805745" w14:paraId="38BB2D5B" w14:textId="77777777">
            <w:pPr>
              <w:pStyle w:val="table-text"/>
              <w:ind w:right="288"/>
              <w:jc w:val="right"/>
              <w:rPr>
                <w:rFonts w:ascii="Arial Narrow" w:hAnsi="Arial Narrow"/>
                <w:sz w:val="20"/>
                <w:szCs w:val="20"/>
              </w:rPr>
            </w:pPr>
            <w:r w:rsidRPr="00107E37">
              <w:rPr>
                <w:rFonts w:ascii="Arial Narrow" w:hAnsi="Arial Narrow"/>
                <w:sz w:val="20"/>
                <w:szCs w:val="20"/>
              </w:rPr>
              <w:t>85.9</w:t>
            </w:r>
          </w:p>
        </w:tc>
      </w:tr>
      <w:tr w14:paraId="58ED1EC0"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2C9A15F1"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Eligible parents or caregivers </w:t>
            </w:r>
          </w:p>
        </w:tc>
        <w:tc>
          <w:tcPr>
            <w:tcW w:w="1560" w:type="dxa"/>
            <w:noWrap/>
          </w:tcPr>
          <w:p w:rsidR="003A478B" w:rsidRPr="00107E37" w:rsidP="00805745" w14:paraId="2E487D6B" w14:textId="77777777">
            <w:pPr>
              <w:pStyle w:val="table-text"/>
              <w:ind w:right="288"/>
              <w:jc w:val="right"/>
              <w:rPr>
                <w:rFonts w:ascii="Arial Narrow" w:hAnsi="Arial Narrow"/>
                <w:sz w:val="20"/>
                <w:szCs w:val="20"/>
              </w:rPr>
            </w:pPr>
            <w:r w:rsidRPr="00107E37">
              <w:rPr>
                <w:rFonts w:ascii="Arial Narrow" w:hAnsi="Arial Narrow"/>
                <w:sz w:val="20"/>
                <w:szCs w:val="20"/>
              </w:rPr>
              <w:t>576</w:t>
            </w:r>
          </w:p>
        </w:tc>
        <w:tc>
          <w:tcPr>
            <w:tcW w:w="1530" w:type="dxa"/>
            <w:noWrap/>
          </w:tcPr>
          <w:p w:rsidR="003A478B" w:rsidRPr="00107E37" w:rsidP="00805745" w14:paraId="2E00348F" w14:textId="77777777">
            <w:pPr>
              <w:pStyle w:val="table-text"/>
              <w:ind w:right="288"/>
              <w:jc w:val="right"/>
              <w:rPr>
                <w:rFonts w:ascii="Arial Narrow" w:hAnsi="Arial Narrow"/>
                <w:sz w:val="20"/>
                <w:szCs w:val="20"/>
              </w:rPr>
            </w:pPr>
            <w:r w:rsidRPr="00107E37">
              <w:rPr>
                <w:rFonts w:ascii="Arial Narrow" w:hAnsi="Arial Narrow"/>
                <w:sz w:val="20"/>
                <w:szCs w:val="20"/>
              </w:rPr>
              <w:t>71.9</w:t>
            </w:r>
          </w:p>
        </w:tc>
      </w:tr>
      <w:tr w14:paraId="7380F28E" w14:textId="77777777" w:rsidTr="00767BEA">
        <w:tblPrEx>
          <w:tblW w:w="7560" w:type="dxa"/>
          <w:tblLayout w:type="fixed"/>
          <w:tblCellMar>
            <w:left w:w="58" w:type="dxa"/>
            <w:right w:w="58" w:type="dxa"/>
          </w:tblCellMar>
          <w:tblLook w:val="02E0"/>
        </w:tblPrEx>
        <w:trPr>
          <w:trHeight w:val="300"/>
        </w:trPr>
        <w:tc>
          <w:tcPr>
            <w:tcW w:w="4470" w:type="dxa"/>
            <w:noWrap/>
          </w:tcPr>
          <w:p w:rsidR="003A478B" w:rsidRPr="00107E37" w:rsidP="007747D5" w14:paraId="1BC18C8F" w14:textId="77777777">
            <w:pPr>
              <w:pStyle w:val="table-first-column"/>
              <w:spacing w:before="40" w:after="40"/>
              <w:rPr>
                <w:rFonts w:ascii="Arial Narrow" w:hAnsi="Arial Narrow" w:cstheme="minorHAnsi"/>
                <w:sz w:val="20"/>
                <w:szCs w:val="20"/>
              </w:rPr>
            </w:pPr>
            <w:r w:rsidRPr="00107E37">
              <w:rPr>
                <w:rFonts w:ascii="Arial Narrow" w:hAnsi="Arial Narrow" w:cstheme="minorHAnsi"/>
                <w:sz w:val="20"/>
                <w:szCs w:val="20"/>
              </w:rPr>
              <w:t>Parent/caregiver interviews </w:t>
            </w:r>
          </w:p>
        </w:tc>
        <w:tc>
          <w:tcPr>
            <w:tcW w:w="1560" w:type="dxa"/>
            <w:noWrap/>
          </w:tcPr>
          <w:p w:rsidR="003A478B" w:rsidRPr="00107E37" w:rsidP="00805745" w14:paraId="6B3A177F" w14:textId="77777777">
            <w:pPr>
              <w:pStyle w:val="table-text"/>
              <w:ind w:right="288"/>
              <w:jc w:val="right"/>
              <w:rPr>
                <w:rFonts w:ascii="Arial Narrow" w:hAnsi="Arial Narrow"/>
                <w:sz w:val="20"/>
                <w:szCs w:val="20"/>
              </w:rPr>
            </w:pPr>
            <w:r w:rsidRPr="00107E37">
              <w:rPr>
                <w:rFonts w:ascii="Arial Narrow" w:hAnsi="Arial Narrow"/>
                <w:sz w:val="20"/>
                <w:szCs w:val="20"/>
              </w:rPr>
              <w:t>518</w:t>
            </w:r>
          </w:p>
        </w:tc>
        <w:tc>
          <w:tcPr>
            <w:tcW w:w="1530" w:type="dxa"/>
            <w:noWrap/>
          </w:tcPr>
          <w:p w:rsidR="003A478B" w:rsidRPr="00107E37" w:rsidP="00805745" w14:paraId="2EA46344" w14:textId="77777777">
            <w:pPr>
              <w:pStyle w:val="table-text"/>
              <w:ind w:right="288"/>
              <w:jc w:val="right"/>
              <w:rPr>
                <w:rFonts w:ascii="Arial Narrow" w:hAnsi="Arial Narrow"/>
                <w:sz w:val="20"/>
                <w:szCs w:val="20"/>
              </w:rPr>
            </w:pPr>
            <w:r w:rsidRPr="00107E37">
              <w:rPr>
                <w:rFonts w:ascii="Arial Narrow" w:hAnsi="Arial Narrow"/>
                <w:sz w:val="20"/>
                <w:szCs w:val="20"/>
              </w:rPr>
              <w:t>90.0</w:t>
            </w:r>
          </w:p>
        </w:tc>
      </w:tr>
    </w:tbl>
    <w:p w:rsidR="003A478B" w:rsidRPr="00107E37" w:rsidP="003A478B" w14:paraId="34E61D09" w14:textId="77777777">
      <w:pPr>
        <w:pStyle w:val="table-source-note"/>
        <w:rPr>
          <w:rFonts w:ascii="Arial Narrow" w:hAnsi="Arial Narrow"/>
          <w:sz w:val="20"/>
          <w:szCs w:val="20"/>
        </w:rPr>
      </w:pPr>
      <w:r w:rsidRPr="00107E37">
        <w:rPr>
          <w:rFonts w:ascii="Arial Narrow" w:hAnsi="Arial Narrow"/>
          <w:sz w:val="20"/>
          <w:szCs w:val="20"/>
        </w:rPr>
        <w:t xml:space="preserve">Note: Numbers and percentages are rounded. </w:t>
      </w:r>
    </w:p>
    <w:p w:rsidR="003A478B" w:rsidRPr="00107E37" w:rsidP="7B4B6533" w14:paraId="7FEE4A57" w14:textId="78480896">
      <w:pPr>
        <w:rPr>
          <w:rFonts w:ascii="Aptos" w:hAnsi="Aptos"/>
          <w:bCs/>
        </w:rPr>
      </w:pPr>
      <w:r w:rsidRPr="00107E37">
        <w:rPr>
          <w:rFonts w:ascii="Aptos" w:hAnsi="Aptos"/>
        </w:rPr>
        <w:t xml:space="preserve">The </w:t>
      </w:r>
      <w:r w:rsidRPr="00107E37" w:rsidR="001B3907">
        <w:rPr>
          <w:rFonts w:ascii="Aptos" w:hAnsi="Aptos"/>
        </w:rPr>
        <w:t>P</w:t>
      </w:r>
      <w:r w:rsidRPr="00107E37">
        <w:rPr>
          <w:rFonts w:ascii="Aptos" w:hAnsi="Aptos"/>
        </w:rPr>
        <w:t xml:space="preserve">retest will </w:t>
      </w:r>
      <w:r w:rsidRPr="00107E37" w:rsidR="001B3907">
        <w:rPr>
          <w:rFonts w:ascii="Aptos" w:hAnsi="Aptos"/>
        </w:rPr>
        <w:t xml:space="preserve">be conducted in </w:t>
      </w:r>
      <w:r w:rsidRPr="7B4B6533" w:rsidR="00C6253A">
        <w:rPr>
          <w:rFonts w:ascii="Aptos" w:hAnsi="Aptos"/>
        </w:rPr>
        <w:t xml:space="preserve">nine </w:t>
      </w:r>
      <w:r w:rsidRPr="00107E37">
        <w:rPr>
          <w:rFonts w:ascii="Aptos" w:hAnsi="Aptos"/>
        </w:rPr>
        <w:t xml:space="preserve">areas that will be selected purposively. </w:t>
      </w:r>
      <w:r w:rsidR="007D1B3E">
        <w:rPr>
          <w:rFonts w:ascii="Aptos" w:hAnsi="Aptos"/>
        </w:rPr>
        <w:t>D</w:t>
      </w:r>
      <w:r w:rsidRPr="00107E37" w:rsidR="00180AA5">
        <w:rPr>
          <w:rFonts w:ascii="Aptos" w:hAnsi="Aptos"/>
        </w:rPr>
        <w:t xml:space="preserve">eliberately selecting </w:t>
      </w:r>
      <w:r w:rsidRPr="00107E37" w:rsidR="00767BEA">
        <w:rPr>
          <w:rFonts w:ascii="Aptos" w:hAnsi="Aptos"/>
        </w:rPr>
        <w:t>P</w:t>
      </w:r>
      <w:r w:rsidRPr="00107E37" w:rsidR="00180AA5">
        <w:rPr>
          <w:rFonts w:ascii="Aptos" w:hAnsi="Aptos"/>
        </w:rPr>
        <w:t>retest areas</w:t>
      </w:r>
      <w:r w:rsidR="007D1B3E">
        <w:rPr>
          <w:rFonts w:ascii="Aptos" w:hAnsi="Aptos"/>
        </w:rPr>
        <w:t xml:space="preserve"> allows a focus </w:t>
      </w:r>
      <w:r w:rsidRPr="00107E37" w:rsidR="00180AA5">
        <w:rPr>
          <w:rFonts w:ascii="Aptos" w:hAnsi="Aptos"/>
        </w:rPr>
        <w:t>on</w:t>
      </w:r>
      <w:r w:rsidRPr="00107E37">
        <w:rPr>
          <w:rFonts w:ascii="Aptos" w:hAnsi="Aptos"/>
        </w:rPr>
        <w:t xml:space="preserve"> ensuring</w:t>
      </w:r>
      <w:r w:rsidRPr="00107E37" w:rsidR="00180AA5">
        <w:rPr>
          <w:rFonts w:ascii="Aptos" w:hAnsi="Aptos"/>
        </w:rPr>
        <w:t xml:space="preserve"> population</w:t>
      </w:r>
      <w:r w:rsidR="00D30C80">
        <w:rPr>
          <w:rFonts w:ascii="Aptos" w:hAnsi="Aptos"/>
        </w:rPr>
        <w:t xml:space="preserve"> representation</w:t>
      </w:r>
      <w:r w:rsidRPr="00107E37" w:rsidR="00180AA5">
        <w:rPr>
          <w:rFonts w:ascii="Aptos" w:hAnsi="Aptos"/>
        </w:rPr>
        <w:t>, accommodat</w:t>
      </w:r>
      <w:r w:rsidRPr="00107E37">
        <w:rPr>
          <w:rFonts w:ascii="Aptos" w:hAnsi="Aptos"/>
        </w:rPr>
        <w:t>ing</w:t>
      </w:r>
      <w:r w:rsidRPr="00107E37" w:rsidR="00180AA5">
        <w:rPr>
          <w:rFonts w:ascii="Aptos" w:hAnsi="Aptos"/>
        </w:rPr>
        <w:t xml:space="preserve"> data collection preferences for where the </w:t>
      </w:r>
      <w:r w:rsidRPr="00107E37" w:rsidR="00767BEA">
        <w:rPr>
          <w:rFonts w:ascii="Aptos" w:hAnsi="Aptos"/>
        </w:rPr>
        <w:t>P</w:t>
      </w:r>
      <w:r w:rsidRPr="00107E37" w:rsidR="00180AA5">
        <w:rPr>
          <w:rFonts w:ascii="Aptos" w:hAnsi="Aptos"/>
        </w:rPr>
        <w:t>retest locations are, and avoid</w:t>
      </w:r>
      <w:r w:rsidRPr="00107E37">
        <w:rPr>
          <w:rFonts w:ascii="Aptos" w:hAnsi="Aptos"/>
        </w:rPr>
        <w:t>ing</w:t>
      </w:r>
      <w:r w:rsidRPr="00107E37" w:rsidR="00180AA5">
        <w:rPr>
          <w:rFonts w:ascii="Aptos" w:hAnsi="Aptos"/>
        </w:rPr>
        <w:t xml:space="preserve"> 2026 Census test sites.</w:t>
      </w:r>
      <w:r>
        <w:rPr>
          <w:rFonts w:ascii="Aptos" w:hAnsi="Aptos"/>
          <w:vertAlign w:val="superscript"/>
        </w:rPr>
        <w:footnoteReference w:id="3"/>
      </w:r>
      <w:r w:rsidRPr="00107E37" w:rsidR="00F33507">
        <w:rPr>
          <w:rFonts w:ascii="Aptos" w:hAnsi="Aptos"/>
        </w:rPr>
        <w:t xml:space="preserve"> The </w:t>
      </w:r>
      <w:r w:rsidR="00276960">
        <w:rPr>
          <w:rFonts w:ascii="Aptos" w:hAnsi="Aptos"/>
        </w:rPr>
        <w:t>P</w:t>
      </w:r>
      <w:r w:rsidRPr="00107E37" w:rsidR="00F33507">
        <w:rPr>
          <w:rFonts w:ascii="Aptos" w:hAnsi="Aptos"/>
        </w:rPr>
        <w:t xml:space="preserve">retest </w:t>
      </w:r>
      <w:r w:rsidRPr="00107E37">
        <w:rPr>
          <w:rFonts w:ascii="Aptos" w:hAnsi="Aptos"/>
        </w:rPr>
        <w:t>study</w:t>
      </w:r>
      <w:r w:rsidRPr="00107E37" w:rsidR="00F33507">
        <w:rPr>
          <w:rFonts w:ascii="Aptos" w:hAnsi="Aptos"/>
        </w:rPr>
        <w:t xml:space="preserve"> </w:t>
      </w:r>
      <w:r w:rsidR="00455E3A">
        <w:rPr>
          <w:rFonts w:ascii="Aptos" w:hAnsi="Aptos"/>
        </w:rPr>
        <w:t xml:space="preserve">will include </w:t>
      </w:r>
      <w:r w:rsidRPr="00107E37" w:rsidR="00F33507">
        <w:rPr>
          <w:rFonts w:ascii="Aptos" w:hAnsi="Aptos"/>
        </w:rPr>
        <w:t>areas within the 48 contiguous states that meet the criteria of having significant Black</w:t>
      </w:r>
      <w:r w:rsidR="00455E3A">
        <w:rPr>
          <w:rFonts w:ascii="Aptos" w:hAnsi="Aptos"/>
        </w:rPr>
        <w:t>,</w:t>
      </w:r>
      <w:r w:rsidRPr="00107E37" w:rsidR="00F33507">
        <w:rPr>
          <w:rFonts w:ascii="Aptos" w:hAnsi="Aptos"/>
        </w:rPr>
        <w:t xml:space="preserve"> Hispanic/Latin</w:t>
      </w:r>
      <w:r w:rsidR="00207148">
        <w:rPr>
          <w:rFonts w:ascii="Aptos" w:hAnsi="Aptos"/>
        </w:rPr>
        <w:t>o</w:t>
      </w:r>
      <w:r w:rsidR="00455E3A">
        <w:rPr>
          <w:rFonts w:ascii="Aptos" w:hAnsi="Aptos"/>
        </w:rPr>
        <w:t>, and rural</w:t>
      </w:r>
      <w:r w:rsidRPr="00107E37" w:rsidR="00F33507">
        <w:rPr>
          <w:rFonts w:ascii="Aptos" w:hAnsi="Aptos"/>
        </w:rPr>
        <w:t xml:space="preserve"> youth populations as well </w:t>
      </w:r>
      <w:r w:rsidR="00455E3A">
        <w:rPr>
          <w:rFonts w:ascii="Aptos" w:hAnsi="Aptos"/>
        </w:rPr>
        <w:t xml:space="preserve">as </w:t>
      </w:r>
      <w:r w:rsidRPr="00107E37" w:rsidR="00F33507">
        <w:rPr>
          <w:rFonts w:ascii="Aptos" w:hAnsi="Aptos"/>
        </w:rPr>
        <w:t xml:space="preserve">geographic spread across </w:t>
      </w:r>
      <w:r w:rsidR="00455E3A">
        <w:rPr>
          <w:rFonts w:ascii="Aptos" w:hAnsi="Aptos"/>
        </w:rPr>
        <w:t>U.S.</w:t>
      </w:r>
      <w:r w:rsidRPr="00107E37" w:rsidR="00455E3A">
        <w:rPr>
          <w:rFonts w:ascii="Aptos" w:hAnsi="Aptos"/>
        </w:rPr>
        <w:t xml:space="preserve"> </w:t>
      </w:r>
      <w:r w:rsidRPr="00107E37" w:rsidR="00F33507">
        <w:rPr>
          <w:rFonts w:ascii="Aptos" w:hAnsi="Aptos"/>
        </w:rPr>
        <w:t xml:space="preserve">regions. </w:t>
      </w:r>
      <w:r w:rsidRPr="7B4B6533" w:rsidR="00EE6557">
        <w:rPr>
          <w:rFonts w:ascii="Aptos" w:hAnsi="Aptos"/>
        </w:rPr>
        <w:t>This focus is informed by the decision to oversample the Black and Hispanic populations in line with the NLSY79 and NLSY97 studies. Additionally, steps are being taken to ensure significant representation of rural households</w:t>
      </w:r>
      <w:r w:rsidRPr="7B4B6533" w:rsidR="008D35F1">
        <w:rPr>
          <w:rFonts w:ascii="Aptos" w:hAnsi="Aptos"/>
        </w:rPr>
        <w:t xml:space="preserve">. For the Pretest, we </w:t>
      </w:r>
      <w:r w:rsidRPr="7B4B6533" w:rsidR="00B81ACC">
        <w:rPr>
          <w:rFonts w:ascii="Aptos" w:hAnsi="Aptos"/>
        </w:rPr>
        <w:t xml:space="preserve">also </w:t>
      </w:r>
      <w:r w:rsidRPr="7B4B6533" w:rsidR="008D35F1">
        <w:rPr>
          <w:rFonts w:ascii="Aptos" w:hAnsi="Aptos"/>
        </w:rPr>
        <w:t>aim to observe logistical or response-oriented factors that may be associated with these subpopulations, such as issues related to connectivity, to ensure that these subgroups are effectively included in the study design.</w:t>
      </w:r>
    </w:p>
    <w:p w:rsidR="00767BEA" w:rsidRPr="00107E37" w:rsidP="003A478B" w14:paraId="0535C60E" w14:textId="77777777">
      <w:pPr>
        <w:rPr>
          <w:rFonts w:ascii="Aptos" w:hAnsi="Aptos"/>
          <w:bCs/>
        </w:rPr>
      </w:pPr>
    </w:p>
    <w:p w:rsidR="00016887" w:rsidRPr="00107E37" w:rsidP="003A478B" w14:paraId="5374CB00" w14:textId="30323D25">
      <w:pPr>
        <w:rPr>
          <w:rFonts w:ascii="Aptos" w:hAnsi="Aptos" w:cs="Times New Roman"/>
        </w:rPr>
      </w:pPr>
      <w:r w:rsidRPr="00107E37">
        <w:rPr>
          <w:rFonts w:ascii="Aptos" w:hAnsi="Aptos"/>
          <w:bCs/>
        </w:rPr>
        <w:t xml:space="preserve">Although </w:t>
      </w:r>
      <w:r w:rsidRPr="00107E37" w:rsidR="001B3907">
        <w:rPr>
          <w:rFonts w:ascii="Aptos" w:hAnsi="Aptos"/>
          <w:bCs/>
        </w:rPr>
        <w:t>P</w:t>
      </w:r>
      <w:r w:rsidRPr="00107E37">
        <w:rPr>
          <w:rFonts w:ascii="Aptos" w:hAnsi="Aptos"/>
          <w:bCs/>
        </w:rPr>
        <w:t xml:space="preserve">retest areas will not necessarily be equivalent in administrative or geographic structure to the primary sampling units in the </w:t>
      </w:r>
      <w:r w:rsidR="007A4A44">
        <w:rPr>
          <w:rFonts w:ascii="Aptos" w:hAnsi="Aptos"/>
          <w:bCs/>
        </w:rPr>
        <w:t xml:space="preserve">NLSY27 </w:t>
      </w:r>
      <w:r w:rsidRPr="00107E37">
        <w:rPr>
          <w:rFonts w:ascii="Aptos" w:hAnsi="Aptos"/>
          <w:bCs/>
        </w:rPr>
        <w:t xml:space="preserve">Round 1 sample, </w:t>
      </w:r>
      <w:r w:rsidRPr="00107E37" w:rsidR="00C70B3C">
        <w:rPr>
          <w:rFonts w:ascii="Aptos" w:hAnsi="Aptos"/>
          <w:bCs/>
        </w:rPr>
        <w:t xml:space="preserve">the </w:t>
      </w:r>
      <w:r w:rsidRPr="00107E37" w:rsidR="001B3907">
        <w:rPr>
          <w:rFonts w:ascii="Aptos" w:hAnsi="Aptos"/>
          <w:bCs/>
        </w:rPr>
        <w:t>P</w:t>
      </w:r>
      <w:r w:rsidRPr="00107E37" w:rsidR="00C70B3C">
        <w:rPr>
          <w:rFonts w:ascii="Aptos" w:hAnsi="Aptos"/>
          <w:bCs/>
        </w:rPr>
        <w:t>retest will</w:t>
      </w:r>
      <w:r w:rsidRPr="00107E37">
        <w:rPr>
          <w:rFonts w:ascii="Aptos" w:hAnsi="Aptos"/>
          <w:bCs/>
        </w:rPr>
        <w:t xml:space="preserve"> use the same administrative structure for the secondary sampling units (SSUs) as will be used in Round 1: Census Block Groups (CBGs). When the </w:t>
      </w:r>
      <w:r w:rsidRPr="00107E37" w:rsidR="001B3907">
        <w:rPr>
          <w:rFonts w:ascii="Aptos" w:hAnsi="Aptos"/>
          <w:bCs/>
        </w:rPr>
        <w:t>P</w:t>
      </w:r>
      <w:r w:rsidRPr="00107E37">
        <w:rPr>
          <w:rFonts w:ascii="Aptos" w:hAnsi="Aptos"/>
          <w:bCs/>
        </w:rPr>
        <w:t>retest areas are defined, the CBGs within them will be assessed first for their A</w:t>
      </w:r>
      <w:r w:rsidRPr="00107E37" w:rsidR="004F53F6">
        <w:rPr>
          <w:rFonts w:ascii="Aptos" w:hAnsi="Aptos"/>
          <w:bCs/>
        </w:rPr>
        <w:t>ddress-</w:t>
      </w:r>
      <w:r w:rsidRPr="00107E37">
        <w:rPr>
          <w:rFonts w:ascii="Aptos" w:hAnsi="Aptos"/>
          <w:bCs/>
        </w:rPr>
        <w:t>B</w:t>
      </w:r>
      <w:r w:rsidRPr="00107E37" w:rsidR="004F53F6">
        <w:rPr>
          <w:rFonts w:ascii="Aptos" w:hAnsi="Aptos"/>
          <w:bCs/>
        </w:rPr>
        <w:t xml:space="preserve">ased </w:t>
      </w:r>
      <w:r w:rsidRPr="00107E37">
        <w:rPr>
          <w:rFonts w:ascii="Aptos" w:hAnsi="Aptos"/>
          <w:bCs/>
        </w:rPr>
        <w:t>S</w:t>
      </w:r>
      <w:r w:rsidRPr="00107E37" w:rsidR="004F53F6">
        <w:rPr>
          <w:rFonts w:ascii="Aptos" w:hAnsi="Aptos"/>
          <w:bCs/>
        </w:rPr>
        <w:t>ampling (ABS)</w:t>
      </w:r>
      <w:r w:rsidRPr="00107E37">
        <w:rPr>
          <w:rFonts w:ascii="Aptos" w:hAnsi="Aptos"/>
          <w:bCs/>
        </w:rPr>
        <w:t xml:space="preserve"> frame coverage. </w:t>
      </w:r>
      <w:r w:rsidRPr="00107E37">
        <w:rPr>
          <w:rFonts w:ascii="Aptos" w:hAnsi="Aptos" w:cs="Times New Roman"/>
        </w:rPr>
        <w:t xml:space="preserve">ABS frames are a high-quality, cost-effective household sampling frame for in-person, mail, and multi-mode surveys of populations in residential households. The foundation of ABS frames is the U.S. Postal Service’s </w:t>
      </w:r>
      <w:r w:rsidRPr="00107E37">
        <w:rPr>
          <w:rFonts w:ascii="Aptos" w:hAnsi="Aptos" w:cs="Times New Roman"/>
        </w:rPr>
        <w:t>Computerized Delivery Sequence file, which is made available through non-exclusive license agreements with qualified private companies (</w:t>
      </w:r>
      <w:r w:rsidRPr="00107E37">
        <w:rPr>
          <w:rFonts w:ascii="Aptos" w:hAnsi="Aptos" w:cs="Times New Roman"/>
        </w:rPr>
        <w:t>Iannacchione</w:t>
      </w:r>
      <w:r w:rsidRPr="00107E37">
        <w:rPr>
          <w:rFonts w:ascii="Aptos" w:hAnsi="Aptos" w:cs="Times New Roman"/>
        </w:rPr>
        <w:t>, 2011)</w:t>
      </w:r>
      <w:r w:rsidR="00D71E58">
        <w:rPr>
          <w:rFonts w:ascii="Aptos" w:hAnsi="Aptos" w:cs="Times New Roman"/>
        </w:rPr>
        <w:t>.</w:t>
      </w:r>
      <w:r>
        <w:rPr>
          <w:rStyle w:val="FootnoteReference"/>
          <w:rFonts w:ascii="Aptos" w:hAnsi="Aptos" w:cs="Times New Roman"/>
        </w:rPr>
        <w:footnoteReference w:id="4"/>
      </w:r>
      <w:r w:rsidRPr="00107E37">
        <w:rPr>
          <w:rFonts w:ascii="Aptos" w:hAnsi="Aptos" w:cs="Times New Roman"/>
        </w:rPr>
        <w:t xml:space="preserve"> </w:t>
      </w:r>
    </w:p>
    <w:p w:rsidR="00D9122D" w:rsidRPr="00107E37" w:rsidP="003A478B" w14:paraId="75EBAAEB" w14:textId="77777777">
      <w:pPr>
        <w:rPr>
          <w:rFonts w:ascii="Aptos" w:hAnsi="Aptos" w:cs="Times New Roman"/>
        </w:rPr>
      </w:pPr>
    </w:p>
    <w:p w:rsidR="003A478B" w:rsidRPr="00107E37" w:rsidP="003A478B" w14:paraId="6F6B2276" w14:textId="54DB2321">
      <w:pPr>
        <w:rPr>
          <w:rFonts w:ascii="Aptos" w:hAnsi="Aptos"/>
          <w:bCs/>
        </w:rPr>
      </w:pPr>
      <w:r w:rsidRPr="00107E37">
        <w:rPr>
          <w:rFonts w:ascii="Aptos" w:hAnsi="Aptos"/>
          <w:bCs/>
        </w:rPr>
        <w:t xml:space="preserve">An </w:t>
      </w:r>
      <w:r w:rsidRPr="00107E37" w:rsidR="00C86FA8">
        <w:rPr>
          <w:rFonts w:ascii="Aptos" w:hAnsi="Aptos"/>
          <w:bCs/>
        </w:rPr>
        <w:t xml:space="preserve">in-person interviewing </w:t>
      </w:r>
      <w:r w:rsidRPr="00107E37">
        <w:rPr>
          <w:rFonts w:ascii="Aptos" w:hAnsi="Aptos"/>
          <w:bCs/>
        </w:rPr>
        <w:t xml:space="preserve">ABS coverage rate (i.e., the estimated proportion of </w:t>
      </w:r>
      <w:r w:rsidRPr="00107E37" w:rsidR="00C86FA8">
        <w:rPr>
          <w:rFonts w:ascii="Aptos" w:hAnsi="Aptos"/>
          <w:bCs/>
        </w:rPr>
        <w:t>occupied housing units in a</w:t>
      </w:r>
      <w:r w:rsidR="007D1B3E">
        <w:rPr>
          <w:rFonts w:ascii="Aptos" w:hAnsi="Aptos"/>
          <w:bCs/>
        </w:rPr>
        <w:t xml:space="preserve"> Secondary Sampling Unit</w:t>
      </w:r>
      <w:r w:rsidRPr="00107E37" w:rsidR="00C86FA8">
        <w:rPr>
          <w:rFonts w:ascii="Aptos" w:hAnsi="Aptos"/>
          <w:bCs/>
        </w:rPr>
        <w:t xml:space="preserve"> </w:t>
      </w:r>
      <w:r w:rsidR="007D1B3E">
        <w:rPr>
          <w:rFonts w:ascii="Aptos" w:hAnsi="Aptos"/>
          <w:bCs/>
        </w:rPr>
        <w:t>(</w:t>
      </w:r>
      <w:r w:rsidRPr="00107E37" w:rsidR="00C86FA8">
        <w:rPr>
          <w:rFonts w:ascii="Aptos" w:hAnsi="Aptos"/>
          <w:bCs/>
        </w:rPr>
        <w:t>SSU</w:t>
      </w:r>
      <w:r w:rsidR="007D1B3E">
        <w:rPr>
          <w:rFonts w:ascii="Aptos" w:hAnsi="Aptos"/>
          <w:bCs/>
        </w:rPr>
        <w:t>)</w:t>
      </w:r>
      <w:r w:rsidRPr="00107E37" w:rsidR="00C86FA8">
        <w:rPr>
          <w:rFonts w:ascii="Aptos" w:hAnsi="Aptos"/>
          <w:bCs/>
        </w:rPr>
        <w:t xml:space="preserve"> with a locatable mailing address) will be calculated to subset</w:t>
      </w:r>
      <w:r>
        <w:rPr>
          <w:rStyle w:val="FootnoteReference"/>
          <w:rFonts w:ascii="Aptos" w:hAnsi="Aptos"/>
          <w:bCs/>
        </w:rPr>
        <w:footnoteReference w:id="5"/>
      </w:r>
      <w:r w:rsidRPr="00107E37" w:rsidR="00C86FA8">
        <w:rPr>
          <w:rFonts w:ascii="Aptos" w:hAnsi="Aptos"/>
          <w:bCs/>
        </w:rPr>
        <w:t xml:space="preserve"> </w:t>
      </w:r>
      <w:r w:rsidRPr="00107E37" w:rsidR="005A465F">
        <w:rPr>
          <w:rFonts w:ascii="Aptos" w:hAnsi="Aptos"/>
          <w:bCs/>
        </w:rPr>
        <w:t>the pretest segments down to those with sufficient ABS coverage</w:t>
      </w:r>
      <w:r w:rsidRPr="00107E37" w:rsidR="008F093D">
        <w:rPr>
          <w:rFonts w:ascii="Aptos" w:hAnsi="Aptos"/>
          <w:bCs/>
        </w:rPr>
        <w:t xml:space="preserve">. </w:t>
      </w:r>
      <w:r w:rsidRPr="00107E37">
        <w:rPr>
          <w:rFonts w:ascii="Aptos" w:hAnsi="Aptos"/>
          <w:bCs/>
        </w:rPr>
        <w:t xml:space="preserve">The SSUs with sufficient ABS coverage will be stratified by race, ethnicity, and urbanicity, and </w:t>
      </w:r>
      <w:r w:rsidRPr="00107E37" w:rsidR="00FD2CA0">
        <w:rPr>
          <w:rFonts w:ascii="Aptos" w:hAnsi="Aptos"/>
          <w:bCs/>
        </w:rPr>
        <w:t>a random selection of</w:t>
      </w:r>
      <w:r w:rsidRPr="00107E37">
        <w:rPr>
          <w:rFonts w:ascii="Aptos" w:hAnsi="Aptos"/>
          <w:bCs/>
        </w:rPr>
        <w:t xml:space="preserve"> approximately 50 SSUs (each SSU will contain around 2</w:t>
      </w:r>
      <w:r w:rsidR="00D27B19">
        <w:rPr>
          <w:rFonts w:ascii="Aptos" w:hAnsi="Aptos"/>
          <w:bCs/>
        </w:rPr>
        <w:t>8</w:t>
      </w:r>
      <w:r w:rsidRPr="00107E37">
        <w:rPr>
          <w:rFonts w:ascii="Aptos" w:hAnsi="Aptos"/>
          <w:bCs/>
        </w:rPr>
        <w:t xml:space="preserve">0 or fewer </w:t>
      </w:r>
      <w:r w:rsidR="009A2F9F">
        <w:rPr>
          <w:rFonts w:ascii="Aptos" w:hAnsi="Aptos"/>
          <w:bCs/>
        </w:rPr>
        <w:t xml:space="preserve">sampled </w:t>
      </w:r>
      <w:r w:rsidRPr="00107E37">
        <w:rPr>
          <w:rFonts w:ascii="Aptos" w:hAnsi="Aptos"/>
          <w:bCs/>
        </w:rPr>
        <w:t xml:space="preserve">households) </w:t>
      </w:r>
      <w:r w:rsidRPr="00107E37" w:rsidR="00FD2CA0">
        <w:rPr>
          <w:rFonts w:ascii="Aptos" w:hAnsi="Aptos"/>
          <w:bCs/>
        </w:rPr>
        <w:t xml:space="preserve">will be drawn </w:t>
      </w:r>
      <w:r w:rsidRPr="00107E37">
        <w:rPr>
          <w:rFonts w:ascii="Aptos" w:hAnsi="Aptos"/>
          <w:bCs/>
        </w:rPr>
        <w:t xml:space="preserve">across the </w:t>
      </w:r>
      <w:r w:rsidRPr="00107E37" w:rsidR="00767BEA">
        <w:rPr>
          <w:rFonts w:ascii="Aptos" w:hAnsi="Aptos"/>
          <w:bCs/>
        </w:rPr>
        <w:t>P</w:t>
      </w:r>
      <w:r w:rsidRPr="00107E37">
        <w:rPr>
          <w:rFonts w:ascii="Aptos" w:hAnsi="Aptos"/>
          <w:bCs/>
        </w:rPr>
        <w:t xml:space="preserve">retest areas. The stratified SSU sample allocation will be designed to achieve the desired diversity of </w:t>
      </w:r>
      <w:r w:rsidRPr="00107E37" w:rsidR="00767BEA">
        <w:rPr>
          <w:rFonts w:ascii="Aptos" w:hAnsi="Aptos"/>
          <w:bCs/>
        </w:rPr>
        <w:t xml:space="preserve">Pretest </w:t>
      </w:r>
      <w:r w:rsidRPr="00107E37">
        <w:rPr>
          <w:rFonts w:ascii="Aptos" w:hAnsi="Aptos"/>
          <w:bCs/>
        </w:rPr>
        <w:t>sample members.</w:t>
      </w:r>
    </w:p>
    <w:p w:rsidR="00F876E6" w:rsidRPr="00107E37" w:rsidP="003A478B" w14:paraId="37870ECE" w14:textId="77777777">
      <w:pPr>
        <w:rPr>
          <w:rFonts w:ascii="Aptos" w:hAnsi="Aptos"/>
          <w:bCs/>
        </w:rPr>
      </w:pPr>
    </w:p>
    <w:p w:rsidR="00F876E6" w:rsidRPr="00107E37" w:rsidP="00F876E6" w14:paraId="7A271754" w14:textId="1ABC0FEA">
      <w:pPr>
        <w:pStyle w:val="BodyText"/>
        <w:rPr>
          <w:rFonts w:ascii="Aptos" w:hAnsi="Aptos" w:cs="Times New Roman"/>
        </w:rPr>
      </w:pPr>
      <w:r w:rsidRPr="00107E37">
        <w:rPr>
          <w:rFonts w:ascii="Aptos" w:hAnsi="Aptos" w:cs="Times New Roman"/>
        </w:rPr>
        <w:t xml:space="preserve">The NLSY27 </w:t>
      </w:r>
      <w:r w:rsidRPr="00107E37" w:rsidR="001B3907">
        <w:rPr>
          <w:rFonts w:ascii="Aptos" w:hAnsi="Aptos" w:cs="Times New Roman"/>
        </w:rPr>
        <w:t>P</w:t>
      </w:r>
      <w:r w:rsidRPr="00107E37">
        <w:rPr>
          <w:rFonts w:ascii="Aptos" w:hAnsi="Aptos" w:cs="Times New Roman"/>
        </w:rPr>
        <w:t>retest ABS frame will be limited to residential addresses</w:t>
      </w:r>
      <w:r w:rsidR="006F0FDE">
        <w:rPr>
          <w:rFonts w:ascii="Aptos" w:hAnsi="Aptos" w:cs="Times New Roman"/>
        </w:rPr>
        <w:t>,</w:t>
      </w:r>
      <w:r w:rsidRPr="00107E37">
        <w:rPr>
          <w:rFonts w:ascii="Aptos" w:hAnsi="Aptos" w:cs="Times New Roman"/>
        </w:rPr>
        <w:t xml:space="preserve"> geocode</w:t>
      </w:r>
      <w:r w:rsidR="007A4A44">
        <w:rPr>
          <w:rFonts w:ascii="Aptos" w:hAnsi="Aptos" w:cs="Times New Roman"/>
        </w:rPr>
        <w:t>d</w:t>
      </w:r>
      <w:r w:rsidRPr="00107E37">
        <w:rPr>
          <w:rFonts w:ascii="Aptos" w:hAnsi="Aptos" w:cs="Times New Roman"/>
        </w:rPr>
        <w:t xml:space="preserve"> into selected SSUs</w:t>
      </w:r>
      <w:r w:rsidR="007A4A44">
        <w:rPr>
          <w:rFonts w:ascii="Aptos" w:hAnsi="Aptos" w:cs="Times New Roman"/>
        </w:rPr>
        <w:t>, which</w:t>
      </w:r>
      <w:r w:rsidR="00BC3F4F">
        <w:rPr>
          <w:rFonts w:ascii="Aptos" w:hAnsi="Aptos" w:cs="Times New Roman"/>
        </w:rPr>
        <w:t xml:space="preserve"> </w:t>
      </w:r>
      <w:r w:rsidRPr="00107E37">
        <w:rPr>
          <w:rFonts w:ascii="Aptos" w:hAnsi="Aptos" w:cs="Times New Roman"/>
        </w:rPr>
        <w:t>will include city-style addresses but exclude non-locatable addresses like OWGM</w:t>
      </w:r>
      <w:r>
        <w:rPr>
          <w:rStyle w:val="FootnoteReference"/>
          <w:rFonts w:ascii="Aptos" w:hAnsi="Aptos" w:cs="Times New Roman"/>
        </w:rPr>
        <w:footnoteReference w:id="6"/>
      </w:r>
      <w:r w:rsidRPr="00107E37">
        <w:rPr>
          <w:rFonts w:ascii="Aptos" w:hAnsi="Aptos" w:cs="Times New Roman"/>
        </w:rPr>
        <w:t xml:space="preserve"> PO boxes (McMichael </w:t>
      </w:r>
      <w:r w:rsidR="006F0FDE">
        <w:rPr>
          <w:rFonts w:ascii="Aptos" w:hAnsi="Aptos" w:cs="Times New Roman"/>
        </w:rPr>
        <w:t>&amp;</w:t>
      </w:r>
      <w:r w:rsidRPr="00107E37" w:rsidR="006F0FDE">
        <w:rPr>
          <w:rFonts w:ascii="Aptos" w:hAnsi="Aptos" w:cs="Times New Roman"/>
        </w:rPr>
        <w:t xml:space="preserve"> </w:t>
      </w:r>
      <w:r w:rsidRPr="00107E37">
        <w:rPr>
          <w:rFonts w:ascii="Aptos" w:hAnsi="Aptos" w:cs="Times New Roman"/>
        </w:rPr>
        <w:t>Brown, 2018)</w:t>
      </w:r>
      <w:r>
        <w:rPr>
          <w:rStyle w:val="FootnoteReference"/>
          <w:rFonts w:ascii="Aptos" w:hAnsi="Aptos" w:cs="Times New Roman"/>
        </w:rPr>
        <w:footnoteReference w:id="7"/>
      </w:r>
      <w:r w:rsidRPr="00107E37">
        <w:rPr>
          <w:rFonts w:ascii="Aptos" w:hAnsi="Aptos" w:cs="Times New Roman"/>
        </w:rPr>
        <w:t>, highway contract</w:t>
      </w:r>
      <w:r w:rsidR="007D1B3E">
        <w:rPr>
          <w:rFonts w:ascii="Aptos" w:hAnsi="Aptos" w:cs="Times New Roman"/>
        </w:rPr>
        <w:t xml:space="preserve"> boxes</w:t>
      </w:r>
      <w:r w:rsidRPr="00107E37">
        <w:rPr>
          <w:rFonts w:ascii="Aptos" w:hAnsi="Aptos" w:cs="Times New Roman"/>
        </w:rPr>
        <w:t xml:space="preserve">, and rural route boxes. </w:t>
      </w:r>
      <w:r w:rsidRPr="00107E37" w:rsidR="00202E10">
        <w:rPr>
          <w:rFonts w:ascii="Aptos" w:hAnsi="Aptos" w:cs="Times New Roman"/>
        </w:rPr>
        <w:t xml:space="preserve">The NLSY27 </w:t>
      </w:r>
      <w:r w:rsidRPr="00107E37" w:rsidR="001B3907">
        <w:rPr>
          <w:rFonts w:ascii="Aptos" w:hAnsi="Aptos" w:cs="Times New Roman"/>
        </w:rPr>
        <w:t>P</w:t>
      </w:r>
      <w:r w:rsidRPr="00107E37" w:rsidR="00202E10">
        <w:rPr>
          <w:rFonts w:ascii="Aptos" w:hAnsi="Aptos" w:cs="Times New Roman"/>
        </w:rPr>
        <w:t>retest ABS frame will also exclude “No-Stat” addresses</w:t>
      </w:r>
      <w:r>
        <w:rPr>
          <w:rFonts w:ascii="Aptos" w:hAnsi="Aptos" w:cs="Times New Roman"/>
          <w:vertAlign w:val="superscript"/>
        </w:rPr>
        <w:footnoteReference w:id="8"/>
      </w:r>
      <w:r w:rsidR="006F0FDE">
        <w:rPr>
          <w:rFonts w:ascii="Aptos" w:hAnsi="Aptos" w:cs="Times New Roman"/>
        </w:rPr>
        <w:t>.</w:t>
      </w:r>
    </w:p>
    <w:p w:rsidR="001D4386" w:rsidRPr="00107E37" w:rsidP="00C53102" w14:paraId="0BD759DD" w14:textId="10B90E23">
      <w:pPr>
        <w:rPr>
          <w:rFonts w:ascii="Aptos" w:hAnsi="Aptos"/>
          <w:bCs/>
        </w:rPr>
      </w:pPr>
      <w:r w:rsidRPr="00107E37">
        <w:rPr>
          <w:rFonts w:ascii="Aptos" w:hAnsi="Aptos"/>
          <w:bCs/>
        </w:rPr>
        <w:t xml:space="preserve">No </w:t>
      </w:r>
      <w:r w:rsidRPr="00107E37" w:rsidR="00D728F1">
        <w:rPr>
          <w:rFonts w:ascii="Aptos" w:hAnsi="Aptos"/>
          <w:bCs/>
        </w:rPr>
        <w:t xml:space="preserve">estimation of population characteristics will be done with the </w:t>
      </w:r>
      <w:r w:rsidRPr="00107E37" w:rsidR="001B3907">
        <w:rPr>
          <w:rFonts w:ascii="Aptos" w:hAnsi="Aptos"/>
          <w:bCs/>
        </w:rPr>
        <w:t>P</w:t>
      </w:r>
      <w:r w:rsidRPr="00107E37" w:rsidR="00D728F1">
        <w:rPr>
          <w:rFonts w:ascii="Aptos" w:hAnsi="Aptos"/>
          <w:bCs/>
        </w:rPr>
        <w:t>retest data</w:t>
      </w:r>
      <w:r w:rsidR="006F0FDE">
        <w:rPr>
          <w:rFonts w:ascii="Aptos" w:hAnsi="Aptos"/>
          <w:bCs/>
        </w:rPr>
        <w:t>,</w:t>
      </w:r>
      <w:r w:rsidRPr="00107E37" w:rsidR="00D728F1">
        <w:rPr>
          <w:rFonts w:ascii="Aptos" w:hAnsi="Aptos"/>
          <w:bCs/>
        </w:rPr>
        <w:t xml:space="preserve"> and </w:t>
      </w:r>
      <w:r w:rsidRPr="00107E37" w:rsidR="00C53102">
        <w:rPr>
          <w:rFonts w:ascii="Aptos" w:hAnsi="Aptos"/>
          <w:bCs/>
        </w:rPr>
        <w:t>subsequently no defined accuracy is needed.</w:t>
      </w:r>
    </w:p>
    <w:p w:rsidR="00EF7142" w:rsidRPr="00107E37" w:rsidP="00C53102" w14:paraId="576407FC" w14:textId="77777777">
      <w:pPr>
        <w:rPr>
          <w:rFonts w:ascii="Aptos" w:hAnsi="Aptos"/>
          <w:bCs/>
        </w:rPr>
      </w:pPr>
    </w:p>
    <w:p w:rsidR="00EF7142" w:rsidRPr="00107E37" w:rsidP="00767BEA" w14:paraId="158D620E" w14:textId="463169B4">
      <w:pPr>
        <w:pStyle w:val="ListParagraph"/>
        <w:numPr>
          <w:ilvl w:val="0"/>
          <w:numId w:val="7"/>
        </w:numPr>
        <w:ind w:left="360"/>
        <w:rPr>
          <w:rFonts w:ascii="Aptos" w:hAnsi="Aptos"/>
          <w:b/>
          <w:sz w:val="22"/>
          <w:szCs w:val="22"/>
        </w:rPr>
      </w:pPr>
      <w:r w:rsidRPr="00107E37">
        <w:rPr>
          <w:rFonts w:ascii="Aptos" w:hAnsi="Aptos"/>
          <w:b/>
          <w:sz w:val="22"/>
          <w:szCs w:val="22"/>
        </w:rPr>
        <w:t>Describe the procedures for the collection of information including:</w:t>
      </w:r>
    </w:p>
    <w:p w:rsidR="006B375C" w:rsidRPr="00107E37" w:rsidP="006B375C" w14:paraId="5AB77457" w14:textId="77777777">
      <w:pPr>
        <w:pStyle w:val="ListParagraph"/>
        <w:numPr>
          <w:ilvl w:val="0"/>
          <w:numId w:val="17"/>
        </w:numPr>
        <w:ind w:left="720"/>
        <w:rPr>
          <w:rFonts w:ascii="Aptos" w:hAnsi="Aptos"/>
          <w:b/>
          <w:sz w:val="22"/>
          <w:szCs w:val="22"/>
        </w:rPr>
      </w:pPr>
      <w:r w:rsidRPr="00107E37">
        <w:rPr>
          <w:rFonts w:ascii="Aptos" w:hAnsi="Aptos"/>
          <w:b/>
          <w:sz w:val="22"/>
          <w:szCs w:val="22"/>
        </w:rPr>
        <w:t>Statistical methodology for stratification and sample selection,</w:t>
      </w:r>
    </w:p>
    <w:p w:rsidR="006B375C" w:rsidRPr="00107E37" w:rsidP="006B375C" w14:paraId="4AF70839" w14:textId="2CC82077">
      <w:pPr>
        <w:pStyle w:val="ListParagraph"/>
        <w:numPr>
          <w:ilvl w:val="1"/>
          <w:numId w:val="17"/>
        </w:numPr>
        <w:ind w:left="720"/>
        <w:rPr>
          <w:rFonts w:ascii="Aptos" w:hAnsi="Aptos"/>
          <w:b/>
          <w:sz w:val="22"/>
          <w:szCs w:val="22"/>
        </w:rPr>
      </w:pPr>
      <w:r w:rsidRPr="00107E37">
        <w:rPr>
          <w:rFonts w:ascii="Aptos" w:hAnsi="Aptos"/>
          <w:b/>
          <w:sz w:val="22"/>
          <w:szCs w:val="22"/>
        </w:rPr>
        <w:t>Estimation procedure,</w:t>
      </w:r>
    </w:p>
    <w:p w:rsidR="006B375C" w:rsidRPr="00107E37" w:rsidP="006B375C" w14:paraId="020344C2" w14:textId="606ED4EC">
      <w:pPr>
        <w:pStyle w:val="ListParagraph"/>
        <w:numPr>
          <w:ilvl w:val="1"/>
          <w:numId w:val="17"/>
        </w:numPr>
        <w:ind w:left="720"/>
        <w:rPr>
          <w:rFonts w:ascii="Aptos" w:hAnsi="Aptos"/>
          <w:b/>
          <w:sz w:val="22"/>
          <w:szCs w:val="22"/>
        </w:rPr>
      </w:pPr>
      <w:r w:rsidRPr="00107E37">
        <w:rPr>
          <w:rFonts w:ascii="Aptos" w:hAnsi="Aptos"/>
          <w:b/>
          <w:sz w:val="22"/>
          <w:szCs w:val="22"/>
        </w:rPr>
        <w:t>Degree of accuracy needed for the purpose described in the justification,</w:t>
      </w:r>
    </w:p>
    <w:p w:rsidR="006B375C" w:rsidRPr="00107E37" w:rsidP="006B375C" w14:paraId="527175FB" w14:textId="16EB520E">
      <w:pPr>
        <w:pStyle w:val="ListParagraph"/>
        <w:numPr>
          <w:ilvl w:val="1"/>
          <w:numId w:val="17"/>
        </w:numPr>
        <w:ind w:left="720"/>
        <w:rPr>
          <w:rFonts w:ascii="Aptos" w:hAnsi="Aptos"/>
          <w:b/>
          <w:sz w:val="22"/>
          <w:szCs w:val="22"/>
        </w:rPr>
      </w:pPr>
      <w:r w:rsidRPr="00107E37">
        <w:rPr>
          <w:rFonts w:ascii="Aptos" w:hAnsi="Aptos"/>
          <w:b/>
          <w:sz w:val="22"/>
          <w:szCs w:val="22"/>
        </w:rPr>
        <w:t>Unusual problems requiring specialized sampling procedures, and</w:t>
      </w:r>
    </w:p>
    <w:p w:rsidR="006B375C" w:rsidRPr="00107E37" w:rsidP="006B375C" w14:paraId="4FFEE34E" w14:textId="5CB7A146">
      <w:pPr>
        <w:pStyle w:val="ListParagraph"/>
        <w:numPr>
          <w:ilvl w:val="1"/>
          <w:numId w:val="17"/>
        </w:numPr>
        <w:ind w:left="720"/>
        <w:rPr>
          <w:rFonts w:ascii="Aptos" w:hAnsi="Aptos"/>
          <w:b/>
          <w:sz w:val="22"/>
          <w:szCs w:val="22"/>
        </w:rPr>
      </w:pPr>
      <w:r w:rsidRPr="00107E37">
        <w:rPr>
          <w:rFonts w:ascii="Aptos" w:hAnsi="Aptos"/>
          <w:b/>
          <w:sz w:val="22"/>
          <w:szCs w:val="22"/>
        </w:rPr>
        <w:t>Any use of periodic (less frequent than annual) data collection cycles to reduce burden.</w:t>
      </w:r>
    </w:p>
    <w:p w:rsidR="00EF7142" w:rsidRPr="00107E37" w:rsidP="00C53102" w14:paraId="63B7A8D7" w14:textId="77777777">
      <w:pPr>
        <w:rPr>
          <w:rFonts w:ascii="Aptos" w:hAnsi="Aptos"/>
          <w:b/>
        </w:rPr>
      </w:pPr>
    </w:p>
    <w:p w:rsidR="00AE5BAD" w:rsidRPr="00107E37" w:rsidP="00AE5BAD" w14:paraId="7B9597FA" w14:textId="51219605">
      <w:pPr>
        <w:rPr>
          <w:rFonts w:ascii="Aptos" w:hAnsi="Aptos"/>
          <w:bCs/>
        </w:rPr>
      </w:pPr>
      <w:r w:rsidRPr="00107E37">
        <w:rPr>
          <w:rFonts w:ascii="Aptos" w:hAnsi="Aptos"/>
        </w:rPr>
        <w:t xml:space="preserve">The Pretest will be conducted in </w:t>
      </w:r>
      <w:r>
        <w:rPr>
          <w:rFonts w:ascii="Aptos" w:hAnsi="Aptos"/>
        </w:rPr>
        <w:t xml:space="preserve">nine </w:t>
      </w:r>
      <w:r w:rsidRPr="00107E37">
        <w:rPr>
          <w:rFonts w:ascii="Aptos" w:hAnsi="Aptos"/>
        </w:rPr>
        <w:t>areas that will be selected purposively.</w:t>
      </w:r>
      <w:r w:rsidR="00365A37">
        <w:rPr>
          <w:rFonts w:ascii="Aptos" w:hAnsi="Aptos"/>
        </w:rPr>
        <w:t xml:space="preserve"> Within each area,</w:t>
      </w:r>
      <w:r w:rsidRPr="00107E37">
        <w:rPr>
          <w:rFonts w:ascii="Aptos" w:hAnsi="Aptos"/>
        </w:rPr>
        <w:t xml:space="preserve"> </w:t>
      </w:r>
      <w:r w:rsidR="00295B99">
        <w:rPr>
          <w:rFonts w:ascii="Aptos" w:hAnsi="Aptos"/>
          <w:bCs/>
        </w:rPr>
        <w:t>t</w:t>
      </w:r>
      <w:r w:rsidRPr="00107E37" w:rsidR="00AA3C6E">
        <w:rPr>
          <w:rFonts w:ascii="Aptos" w:hAnsi="Aptos"/>
          <w:bCs/>
        </w:rPr>
        <w:t xml:space="preserve">he SSUs </w:t>
      </w:r>
      <w:r w:rsidR="00AA3C6E">
        <w:rPr>
          <w:rFonts w:ascii="Aptos" w:hAnsi="Aptos"/>
          <w:bCs/>
        </w:rPr>
        <w:t xml:space="preserve">(which will be CBGs) </w:t>
      </w:r>
      <w:r w:rsidRPr="00107E37" w:rsidR="00AA3C6E">
        <w:rPr>
          <w:rFonts w:ascii="Aptos" w:hAnsi="Aptos"/>
          <w:bCs/>
        </w:rPr>
        <w:t xml:space="preserve">will be stratified by race, ethnicity, and urbanicity, and a random selection of approximately 50 SSUs </w:t>
      </w:r>
      <w:r w:rsidRPr="00107E37">
        <w:rPr>
          <w:rFonts w:ascii="Aptos" w:hAnsi="Aptos"/>
          <w:bCs/>
        </w:rPr>
        <w:t>will be drawn across the Pretest areas.</w:t>
      </w:r>
      <w:r w:rsidR="00690292">
        <w:rPr>
          <w:rFonts w:ascii="Aptos" w:hAnsi="Aptos"/>
          <w:bCs/>
        </w:rPr>
        <w:t xml:space="preserve"> </w:t>
      </w:r>
      <w:r w:rsidR="00394B65">
        <w:rPr>
          <w:rFonts w:ascii="Aptos" w:hAnsi="Aptos"/>
          <w:bCs/>
        </w:rPr>
        <w:t xml:space="preserve">Given the target sample of </w:t>
      </w:r>
      <w:r w:rsidR="00D0317C">
        <w:rPr>
          <w:rFonts w:ascii="Aptos" w:hAnsi="Aptos"/>
          <w:bCs/>
        </w:rPr>
        <w:t xml:space="preserve">selecting </w:t>
      </w:r>
      <w:r w:rsidR="00394B65">
        <w:rPr>
          <w:rFonts w:ascii="Aptos" w:hAnsi="Aptos"/>
          <w:bCs/>
        </w:rPr>
        <w:t>13,381 households,</w:t>
      </w:r>
      <w:r w:rsidR="00D0317C">
        <w:rPr>
          <w:rFonts w:ascii="Aptos" w:hAnsi="Aptos"/>
          <w:bCs/>
        </w:rPr>
        <w:t xml:space="preserve"> around 280 households or less will be selected per SSU and contacted </w:t>
      </w:r>
      <w:r w:rsidR="006A43CC">
        <w:rPr>
          <w:rFonts w:ascii="Aptos" w:hAnsi="Aptos"/>
          <w:bCs/>
        </w:rPr>
        <w:t xml:space="preserve">in the Pretest. </w:t>
      </w:r>
    </w:p>
    <w:p w:rsidR="002B5779" w:rsidP="00EF7142" w14:paraId="4DD2F4D6" w14:textId="77777777">
      <w:pPr>
        <w:pStyle w:val="BodyText"/>
        <w:rPr>
          <w:rStyle w:val="eop"/>
          <w:rFonts w:ascii="Aptos" w:hAnsi="Aptos" w:cs="Times New Roman"/>
          <w:color w:val="000000"/>
          <w:shd w:val="clear" w:color="auto" w:fill="FFFFFF"/>
        </w:rPr>
      </w:pPr>
    </w:p>
    <w:p w:rsidR="008F093D" w:rsidRPr="00107E37" w:rsidP="00EF7142" w14:paraId="05E48AF4" w14:textId="75EADAA5">
      <w:pPr>
        <w:pStyle w:val="BodyText"/>
        <w:rPr>
          <w:rStyle w:val="eop"/>
          <w:rFonts w:ascii="Aptos" w:hAnsi="Aptos" w:cs="Times New Roman"/>
          <w:color w:val="000000"/>
          <w:shd w:val="clear" w:color="auto" w:fill="FFFFFF"/>
        </w:rPr>
      </w:pPr>
      <w:r w:rsidRPr="00107E37">
        <w:rPr>
          <w:rStyle w:val="eop"/>
          <w:rFonts w:ascii="Aptos" w:hAnsi="Aptos" w:cs="Times New Roman"/>
          <w:color w:val="000000"/>
          <w:shd w:val="clear" w:color="auto" w:fill="FFFFFF"/>
        </w:rPr>
        <w:t xml:space="preserve">Pretest data collection will comprise three main components: (1) </w:t>
      </w:r>
      <w:r w:rsidR="006315FA">
        <w:rPr>
          <w:rStyle w:val="eop"/>
          <w:rFonts w:ascii="Aptos" w:hAnsi="Aptos" w:cs="Times New Roman"/>
          <w:color w:val="000000"/>
          <w:shd w:val="clear" w:color="auto" w:fill="FFFFFF"/>
        </w:rPr>
        <w:t xml:space="preserve">household </w:t>
      </w:r>
      <w:r w:rsidRPr="00107E37">
        <w:rPr>
          <w:rStyle w:val="eop"/>
          <w:rFonts w:ascii="Aptos" w:hAnsi="Aptos" w:cs="Times New Roman"/>
          <w:color w:val="000000"/>
          <w:shd w:val="clear" w:color="auto" w:fill="FFFFFF"/>
        </w:rPr>
        <w:t xml:space="preserve">screening, (2) youth interviews, and (3) parent/caregiver </w:t>
      </w:r>
      <w:r w:rsidRPr="00107E37" w:rsidR="00004B99">
        <w:rPr>
          <w:rStyle w:val="eop"/>
          <w:rFonts w:ascii="Aptos" w:hAnsi="Aptos" w:cs="Times New Roman"/>
          <w:color w:val="000000"/>
          <w:shd w:val="clear" w:color="auto" w:fill="FFFFFF"/>
        </w:rPr>
        <w:t>survey</w:t>
      </w:r>
      <w:r w:rsidR="007D1B3E">
        <w:rPr>
          <w:rStyle w:val="eop"/>
          <w:rFonts w:ascii="Aptos" w:hAnsi="Aptos" w:cs="Times New Roman"/>
          <w:color w:val="000000"/>
          <w:shd w:val="clear" w:color="auto" w:fill="FFFFFF"/>
        </w:rPr>
        <w:t>s</w:t>
      </w:r>
      <w:r w:rsidRPr="00107E37">
        <w:rPr>
          <w:rStyle w:val="eop"/>
          <w:rFonts w:ascii="Aptos" w:hAnsi="Aptos" w:cs="Times New Roman"/>
          <w:color w:val="000000"/>
          <w:shd w:val="clear" w:color="auto" w:fill="FFFFFF"/>
        </w:rPr>
        <w:t>. Each household will be contacted by mail or in</w:t>
      </w:r>
      <w:r w:rsidR="00FC39E9">
        <w:rPr>
          <w:rStyle w:val="eop"/>
          <w:rFonts w:ascii="Aptos" w:hAnsi="Aptos" w:cs="Times New Roman"/>
          <w:color w:val="000000"/>
          <w:shd w:val="clear" w:color="auto" w:fill="FFFFFF"/>
        </w:rPr>
        <w:t>-</w:t>
      </w:r>
      <w:r w:rsidRPr="00107E37">
        <w:rPr>
          <w:rStyle w:val="eop"/>
          <w:rFonts w:ascii="Aptos" w:hAnsi="Aptos" w:cs="Times New Roman"/>
          <w:color w:val="000000"/>
          <w:shd w:val="clear" w:color="auto" w:fill="FFFFFF"/>
        </w:rPr>
        <w:t xml:space="preserve">person to complete the Eligibility Screener. Respondents </w:t>
      </w:r>
      <w:r w:rsidR="007A4A44">
        <w:rPr>
          <w:rStyle w:val="eop"/>
          <w:rFonts w:ascii="Aptos" w:hAnsi="Aptos" w:cs="Times New Roman"/>
          <w:color w:val="000000"/>
          <w:shd w:val="clear" w:color="auto" w:fill="FFFFFF"/>
        </w:rPr>
        <w:t>will be able to</w:t>
      </w:r>
      <w:r w:rsidRPr="00107E37" w:rsidR="007A4A44">
        <w:rPr>
          <w:rStyle w:val="eop"/>
          <w:rFonts w:ascii="Aptos" w:hAnsi="Aptos" w:cs="Times New Roman"/>
          <w:color w:val="000000"/>
          <w:shd w:val="clear" w:color="auto" w:fill="FFFFFF"/>
        </w:rPr>
        <w:t xml:space="preserve"> </w:t>
      </w:r>
      <w:r w:rsidRPr="00107E37">
        <w:rPr>
          <w:rStyle w:val="eop"/>
          <w:rFonts w:ascii="Aptos" w:hAnsi="Aptos" w:cs="Times New Roman"/>
          <w:color w:val="000000"/>
          <w:shd w:val="clear" w:color="auto" w:fill="FFFFFF"/>
        </w:rPr>
        <w:t xml:space="preserve">complete the Eligibility Screener </w:t>
      </w:r>
      <w:r w:rsidRPr="00107E37">
        <w:rPr>
          <w:rStyle w:val="eop"/>
          <w:rFonts w:ascii="Aptos" w:hAnsi="Aptos" w:cs="Times New Roman"/>
          <w:color w:val="000000"/>
          <w:shd w:val="clear" w:color="auto" w:fill="FFFFFF"/>
        </w:rPr>
        <w:t>by web, mail, telephone, or in</w:t>
      </w:r>
      <w:r w:rsidR="00FC39E9">
        <w:rPr>
          <w:rStyle w:val="eop"/>
          <w:rFonts w:ascii="Aptos" w:hAnsi="Aptos" w:cs="Times New Roman"/>
          <w:color w:val="000000"/>
          <w:shd w:val="clear" w:color="auto" w:fill="FFFFFF"/>
        </w:rPr>
        <w:t>-</w:t>
      </w:r>
      <w:r w:rsidRPr="00107E37">
        <w:rPr>
          <w:rStyle w:val="eop"/>
          <w:rFonts w:ascii="Aptos" w:hAnsi="Aptos" w:cs="Times New Roman"/>
          <w:color w:val="000000"/>
          <w:shd w:val="clear" w:color="auto" w:fill="FFFFFF"/>
        </w:rPr>
        <w:t>person. Households identified with eligible youth will be asked to complete the Household Screener by web or in</w:t>
      </w:r>
      <w:r w:rsidR="00FC39E9">
        <w:rPr>
          <w:rStyle w:val="eop"/>
          <w:rFonts w:ascii="Aptos" w:hAnsi="Aptos" w:cs="Times New Roman"/>
          <w:color w:val="000000"/>
          <w:shd w:val="clear" w:color="auto" w:fill="FFFFFF"/>
        </w:rPr>
        <w:t>-</w:t>
      </w:r>
      <w:r w:rsidRPr="00107E37">
        <w:rPr>
          <w:rStyle w:val="eop"/>
          <w:rFonts w:ascii="Aptos" w:hAnsi="Aptos" w:cs="Times New Roman"/>
          <w:color w:val="000000"/>
          <w:shd w:val="clear" w:color="auto" w:fill="FFFFFF"/>
        </w:rPr>
        <w:t xml:space="preserve">person. </w:t>
      </w:r>
    </w:p>
    <w:p w:rsidR="008F093D" w:rsidRPr="00107E37" w:rsidP="00765EEB" w14:paraId="1DF3CC78" w14:textId="1A1DB846">
      <w:pPr>
        <w:pStyle w:val="BodyText"/>
        <w:rPr>
          <w:rStyle w:val="eop"/>
          <w:rFonts w:ascii="Aptos" w:hAnsi="Aptos" w:cs="Times New Roman"/>
          <w:color w:val="000000"/>
          <w:shd w:val="clear" w:color="auto" w:fill="FFFFFF"/>
        </w:rPr>
      </w:pPr>
      <w:r w:rsidRPr="00107E37">
        <w:rPr>
          <w:rStyle w:val="eop"/>
          <w:rFonts w:ascii="Aptos" w:hAnsi="Aptos" w:cs="Times New Roman"/>
          <w:color w:val="000000"/>
          <w:shd w:val="clear" w:color="auto" w:fill="FFFFFF"/>
        </w:rPr>
        <w:t>After completing the Household Screener, all eligible youth</w:t>
      </w:r>
      <w:r w:rsidR="001D7C53">
        <w:rPr>
          <w:rStyle w:val="eop"/>
          <w:rFonts w:ascii="Aptos" w:hAnsi="Aptos" w:cs="Times New Roman"/>
          <w:color w:val="000000"/>
          <w:shd w:val="clear" w:color="auto" w:fill="FFFFFF"/>
        </w:rPr>
        <w:t xml:space="preserve"> </w:t>
      </w:r>
      <w:r w:rsidRPr="00107E37">
        <w:rPr>
          <w:rStyle w:val="eop"/>
          <w:rFonts w:ascii="Aptos" w:hAnsi="Aptos" w:cs="Times New Roman"/>
          <w:color w:val="000000"/>
          <w:shd w:val="clear" w:color="auto" w:fill="FFFFFF"/>
        </w:rPr>
        <w:t xml:space="preserve">in the household </w:t>
      </w:r>
      <w:r w:rsidRPr="001D7C53" w:rsidR="001D7C53">
        <w:rPr>
          <w:rStyle w:val="eop"/>
          <w:rFonts w:ascii="Aptos" w:hAnsi="Aptos" w:cs="Times New Roman"/>
          <w:color w:val="000000"/>
          <w:shd w:val="clear" w:color="auto" w:fill="FFFFFF"/>
        </w:rPr>
        <w:t xml:space="preserve">who are </w:t>
      </w:r>
      <w:r w:rsidR="00AD40FB">
        <w:rPr>
          <w:rStyle w:val="eop"/>
          <w:rFonts w:ascii="Aptos" w:hAnsi="Aptos" w:cs="Times New Roman"/>
          <w:color w:val="000000"/>
          <w:shd w:val="clear" w:color="auto" w:fill="FFFFFF"/>
        </w:rPr>
        <w:t xml:space="preserve">either </w:t>
      </w:r>
      <w:r w:rsidRPr="001D7C53" w:rsidR="001D7C53">
        <w:rPr>
          <w:rStyle w:val="eop"/>
          <w:rFonts w:ascii="Aptos" w:hAnsi="Aptos" w:cs="Times New Roman"/>
          <w:color w:val="000000"/>
          <w:shd w:val="clear" w:color="auto" w:fill="FFFFFF"/>
        </w:rPr>
        <w:t>Hispanic or non-Hispanic Black</w:t>
      </w:r>
      <w:r w:rsidR="00946FD6">
        <w:rPr>
          <w:rStyle w:val="eop"/>
          <w:rFonts w:ascii="Aptos" w:hAnsi="Aptos" w:cs="Times New Roman"/>
          <w:color w:val="000000"/>
          <w:shd w:val="clear" w:color="auto" w:fill="FFFFFF"/>
        </w:rPr>
        <w:t xml:space="preserve"> will be selected for the study</w:t>
      </w:r>
      <w:r w:rsidR="0038296C">
        <w:rPr>
          <w:rStyle w:val="eop"/>
          <w:rFonts w:ascii="Aptos" w:hAnsi="Aptos" w:cs="Times New Roman"/>
          <w:color w:val="000000"/>
          <w:shd w:val="clear" w:color="auto" w:fill="FFFFFF"/>
        </w:rPr>
        <w:t xml:space="preserve">, </w:t>
      </w:r>
      <w:r w:rsidRPr="0038296C" w:rsidR="0038296C">
        <w:rPr>
          <w:rFonts w:ascii="Aptos" w:hAnsi="Aptos"/>
          <w:color w:val="000000"/>
          <w:shd w:val="clear" w:color="auto" w:fill="FFFFFF"/>
        </w:rPr>
        <w:t>while approximately 75% of eligible youth from other racial or ethnic groups will be selected</w:t>
      </w:r>
      <w:r w:rsidR="00765EEB">
        <w:rPr>
          <w:rFonts w:ascii="Aptos" w:hAnsi="Aptos"/>
          <w:color w:val="000000"/>
          <w:shd w:val="clear" w:color="auto" w:fill="FFFFFF"/>
        </w:rPr>
        <w:t xml:space="preserve">. </w:t>
      </w:r>
      <w:r w:rsidR="00765EEB">
        <w:rPr>
          <w:rStyle w:val="eop"/>
          <w:rFonts w:ascii="Aptos" w:hAnsi="Aptos" w:cs="Times New Roman"/>
          <w:color w:val="000000"/>
          <w:shd w:val="clear" w:color="auto" w:fill="FFFFFF"/>
        </w:rPr>
        <w:t>O</w:t>
      </w:r>
      <w:r w:rsidRPr="00107E37">
        <w:rPr>
          <w:rStyle w:val="eop"/>
          <w:rFonts w:ascii="Aptos" w:hAnsi="Aptos" w:cs="Times New Roman"/>
          <w:color w:val="000000"/>
          <w:shd w:val="clear" w:color="auto" w:fill="FFFFFF"/>
        </w:rPr>
        <w:t>ne parent/caregiver for each</w:t>
      </w:r>
      <w:r w:rsidR="005D3019">
        <w:rPr>
          <w:rStyle w:val="eop"/>
          <w:rFonts w:ascii="Aptos" w:hAnsi="Aptos" w:cs="Times New Roman"/>
          <w:color w:val="000000"/>
          <w:shd w:val="clear" w:color="auto" w:fill="FFFFFF"/>
        </w:rPr>
        <w:t xml:space="preserve"> </w:t>
      </w:r>
      <w:r w:rsidR="00216947">
        <w:rPr>
          <w:rStyle w:val="eop"/>
          <w:rFonts w:ascii="Aptos" w:hAnsi="Aptos" w:cs="Times New Roman"/>
          <w:color w:val="000000"/>
          <w:shd w:val="clear" w:color="auto" w:fill="FFFFFF"/>
        </w:rPr>
        <w:t>household with selected youths</w:t>
      </w:r>
      <w:r w:rsidRPr="00107E37">
        <w:rPr>
          <w:rStyle w:val="eop"/>
          <w:rFonts w:ascii="Aptos" w:hAnsi="Aptos" w:cs="Times New Roman"/>
          <w:color w:val="000000"/>
          <w:shd w:val="clear" w:color="auto" w:fill="FFFFFF"/>
        </w:rPr>
        <w:t xml:space="preserve"> will be asked to complete the </w:t>
      </w:r>
      <w:r w:rsidR="00FC39E9">
        <w:rPr>
          <w:rStyle w:val="eop"/>
          <w:rFonts w:ascii="Aptos" w:hAnsi="Aptos" w:cs="Times New Roman"/>
          <w:color w:val="000000"/>
          <w:shd w:val="clear" w:color="auto" w:fill="FFFFFF"/>
        </w:rPr>
        <w:t>p</w:t>
      </w:r>
      <w:r w:rsidRPr="00107E37">
        <w:rPr>
          <w:rStyle w:val="eop"/>
          <w:rFonts w:ascii="Aptos" w:hAnsi="Aptos" w:cs="Times New Roman"/>
          <w:color w:val="000000"/>
          <w:shd w:val="clear" w:color="auto" w:fill="FFFFFF"/>
        </w:rPr>
        <w:t xml:space="preserve">arent/caregiver </w:t>
      </w:r>
      <w:r w:rsidR="00FC39E9">
        <w:rPr>
          <w:rStyle w:val="eop"/>
          <w:rFonts w:ascii="Aptos" w:hAnsi="Aptos" w:cs="Times New Roman"/>
          <w:color w:val="000000"/>
          <w:shd w:val="clear" w:color="auto" w:fill="FFFFFF"/>
        </w:rPr>
        <w:t>s</w:t>
      </w:r>
      <w:r w:rsidRPr="00107E37">
        <w:rPr>
          <w:rStyle w:val="eop"/>
          <w:rFonts w:ascii="Aptos" w:hAnsi="Aptos" w:cs="Times New Roman"/>
          <w:color w:val="000000"/>
          <w:shd w:val="clear" w:color="auto" w:fill="FFFFFF"/>
        </w:rPr>
        <w:t xml:space="preserve">urvey. The screening respondent will be immediately notified whether anyone in the household is selected to complete the youth and parent/caregiver interviews. </w:t>
      </w:r>
    </w:p>
    <w:p w:rsidR="00EF7142" w:rsidRPr="00107E37" w:rsidP="00EF7142" w14:paraId="2E572901" w14:textId="2BB3709C">
      <w:pPr>
        <w:pStyle w:val="BodyText"/>
        <w:rPr>
          <w:rStyle w:val="eop"/>
          <w:rFonts w:ascii="Aptos" w:hAnsi="Aptos" w:cs="Times New Roman"/>
          <w:color w:val="000000"/>
          <w:shd w:val="clear" w:color="auto" w:fill="FFFFFF"/>
        </w:rPr>
      </w:pPr>
      <w:r w:rsidRPr="00107E37">
        <w:rPr>
          <w:rStyle w:val="eop"/>
          <w:rFonts w:ascii="Aptos" w:hAnsi="Aptos" w:cs="Times New Roman"/>
          <w:color w:val="000000"/>
          <w:shd w:val="clear" w:color="auto" w:fill="FFFFFF"/>
        </w:rPr>
        <w:t xml:space="preserve">Parent/caregiver and youth respondents will complete consent or assent procedures for their participation at the start of their interviews. If the </w:t>
      </w:r>
      <w:r w:rsidRPr="00107E37" w:rsidR="00A74C90">
        <w:rPr>
          <w:rStyle w:val="eop"/>
          <w:rFonts w:ascii="Aptos" w:hAnsi="Aptos" w:cs="Times New Roman"/>
          <w:color w:val="000000"/>
          <w:shd w:val="clear" w:color="auto" w:fill="FFFFFF"/>
        </w:rPr>
        <w:t xml:space="preserve">interviewer </w:t>
      </w:r>
      <w:r w:rsidRPr="00107E37">
        <w:rPr>
          <w:rStyle w:val="eop"/>
          <w:rFonts w:ascii="Aptos" w:hAnsi="Aptos" w:cs="Times New Roman"/>
          <w:color w:val="000000"/>
          <w:shd w:val="clear" w:color="auto" w:fill="FFFFFF"/>
        </w:rPr>
        <w:t xml:space="preserve">is unable to complete the parent/caregiver and/or youth interviews during the same visit, they will schedule an appointment to complete the interviews at another time. Cases will be kept open for the entire </w:t>
      </w:r>
      <w:r w:rsidRPr="00107E37" w:rsidR="00D93DE0">
        <w:rPr>
          <w:rStyle w:val="eop"/>
          <w:rFonts w:ascii="Aptos" w:hAnsi="Aptos" w:cs="Times New Roman"/>
          <w:color w:val="000000"/>
          <w:shd w:val="clear" w:color="auto" w:fill="FFFFFF"/>
        </w:rPr>
        <w:t>P</w:t>
      </w:r>
      <w:r w:rsidRPr="00107E37">
        <w:rPr>
          <w:rStyle w:val="eop"/>
          <w:rFonts w:ascii="Aptos" w:hAnsi="Aptos" w:cs="Times New Roman"/>
          <w:color w:val="000000"/>
          <w:shd w:val="clear" w:color="auto" w:fill="FFFFFF"/>
        </w:rPr>
        <w:t>retest data collection period to allow for repeated follow-u</w:t>
      </w:r>
      <w:r w:rsidRPr="00107E37" w:rsidR="00004B99">
        <w:rPr>
          <w:rStyle w:val="eop"/>
          <w:rFonts w:ascii="Aptos" w:hAnsi="Aptos" w:cs="Times New Roman"/>
          <w:color w:val="000000"/>
          <w:shd w:val="clear" w:color="auto" w:fill="FFFFFF"/>
        </w:rPr>
        <w:t>p attempts</w:t>
      </w:r>
      <w:r w:rsidRPr="00107E37">
        <w:rPr>
          <w:rStyle w:val="eop"/>
          <w:rFonts w:ascii="Aptos" w:hAnsi="Aptos" w:cs="Times New Roman"/>
          <w:color w:val="000000"/>
          <w:shd w:val="clear" w:color="auto" w:fill="FFFFFF"/>
        </w:rPr>
        <w:t xml:space="preserve">. </w:t>
      </w:r>
    </w:p>
    <w:p w:rsidR="000B160B" w:rsidP="001D4386" w14:paraId="2B3E95D4" w14:textId="38DEE935">
      <w:pPr>
        <w:rPr>
          <w:rFonts w:ascii="Aptos" w:hAnsi="Aptos"/>
        </w:rPr>
      </w:pPr>
      <w:r w:rsidRPr="001015E7">
        <w:rPr>
          <w:rFonts w:ascii="Aptos" w:hAnsi="Aptos"/>
        </w:rPr>
        <w:t>As outlined in Section 4, the Pretest will include a youth video interview experiment.</w:t>
      </w:r>
      <w:r w:rsidR="00630A0F">
        <w:rPr>
          <w:rFonts w:ascii="Aptos" w:hAnsi="Aptos"/>
        </w:rPr>
        <w:t xml:space="preserve"> For</w:t>
      </w:r>
      <w:r w:rsidRPr="001015E7" w:rsidR="00630A0F">
        <w:rPr>
          <w:rFonts w:ascii="Aptos" w:hAnsi="Aptos"/>
        </w:rPr>
        <w:t xml:space="preserve"> this experiment, </w:t>
      </w:r>
      <w:r w:rsidRPr="00F161E5" w:rsidR="00630A0F">
        <w:rPr>
          <w:rFonts w:ascii="Aptos" w:hAnsi="Aptos"/>
        </w:rPr>
        <w:t xml:space="preserve">households will be randomly assigned to an experimental or control group upon completion of the Household Screener. </w:t>
      </w:r>
      <w:r w:rsidR="003838D8">
        <w:rPr>
          <w:rFonts w:ascii="Aptos" w:hAnsi="Aptos"/>
        </w:rPr>
        <w:t>I</w:t>
      </w:r>
      <w:r w:rsidRPr="00F161E5" w:rsidR="00630A0F">
        <w:rPr>
          <w:rFonts w:ascii="Aptos" w:hAnsi="Aptos"/>
        </w:rPr>
        <w:t xml:space="preserve">n the experimental group, </w:t>
      </w:r>
      <w:r w:rsidRPr="00F74C17" w:rsidR="00F74C17">
        <w:rPr>
          <w:rFonts w:ascii="Aptos" w:hAnsi="Aptos"/>
        </w:rPr>
        <w:t>if a selected youth is unable to complete the interview during the in-home visit and does not schedule a follow-up in-person interview, the case will be referred to the Video Interviewing Team for contact and completion. In the control group, face-to-face interviewers will continue visiting the household, with the video interview option becoming available only in Week 8 of data collection.</w:t>
      </w:r>
    </w:p>
    <w:p w:rsidR="00F74C17" w:rsidP="001D4386" w14:paraId="3FB53497" w14:textId="77777777">
      <w:pPr>
        <w:rPr>
          <w:rFonts w:ascii="Aptos" w:hAnsi="Aptos"/>
        </w:rPr>
      </w:pPr>
    </w:p>
    <w:p w:rsidR="001D4386" w:rsidP="001D4386" w14:paraId="645BF095" w14:textId="1150886A">
      <w:pPr>
        <w:rPr>
          <w:rFonts w:ascii="Aptos" w:hAnsi="Aptos"/>
        </w:rPr>
      </w:pPr>
      <w:r w:rsidRPr="00C16AD7">
        <w:rPr>
          <w:rFonts w:ascii="Aptos" w:hAnsi="Aptos"/>
        </w:rPr>
        <w:t xml:space="preserve">We anticipate </w:t>
      </w:r>
      <w:r w:rsidR="00065B09">
        <w:rPr>
          <w:rFonts w:ascii="Aptos" w:hAnsi="Aptos"/>
        </w:rPr>
        <w:t xml:space="preserve">that </w:t>
      </w:r>
      <w:r w:rsidRPr="00C16AD7">
        <w:rPr>
          <w:rFonts w:ascii="Aptos" w:hAnsi="Aptos"/>
        </w:rPr>
        <w:t>670</w:t>
      </w:r>
      <w:r w:rsidR="003838D8">
        <w:rPr>
          <w:rFonts w:ascii="Aptos" w:hAnsi="Aptos"/>
        </w:rPr>
        <w:t xml:space="preserve"> youths and their</w:t>
      </w:r>
      <w:r w:rsidRPr="00C16AD7">
        <w:rPr>
          <w:rFonts w:ascii="Aptos" w:hAnsi="Aptos"/>
        </w:rPr>
        <w:t xml:space="preserve"> households</w:t>
      </w:r>
      <w:r w:rsidR="00E36D13">
        <w:rPr>
          <w:rFonts w:ascii="Aptos" w:hAnsi="Aptos"/>
        </w:rPr>
        <w:t xml:space="preserve"> </w:t>
      </w:r>
      <w:r w:rsidRPr="00C16AD7">
        <w:rPr>
          <w:rFonts w:ascii="Aptos" w:hAnsi="Aptos"/>
        </w:rPr>
        <w:t xml:space="preserve">will be included in the experiment, </w:t>
      </w:r>
      <w:r w:rsidR="008F3502">
        <w:rPr>
          <w:rFonts w:ascii="Aptos" w:hAnsi="Aptos"/>
        </w:rPr>
        <w:t>based on expected</w:t>
      </w:r>
      <w:r w:rsidRPr="00C16AD7">
        <w:rPr>
          <w:rFonts w:ascii="Aptos" w:hAnsi="Aptos"/>
        </w:rPr>
        <w:t xml:space="preserve"> 1,244 eligible </w:t>
      </w:r>
      <w:r w:rsidRPr="00CD4F01">
        <w:rPr>
          <w:rFonts w:ascii="Aptos" w:hAnsi="Aptos"/>
        </w:rPr>
        <w:t xml:space="preserve">youths from </w:t>
      </w:r>
      <w:r w:rsidRPr="00F161E5">
        <w:rPr>
          <w:rFonts w:ascii="Aptos" w:hAnsi="Aptos"/>
        </w:rPr>
        <w:t>895 screened households</w:t>
      </w:r>
      <w:r w:rsidR="003838D8">
        <w:rPr>
          <w:rFonts w:ascii="Aptos" w:hAnsi="Aptos"/>
        </w:rPr>
        <w:t xml:space="preserve">, assuming </w:t>
      </w:r>
      <w:r w:rsidRPr="00C16AD7">
        <w:rPr>
          <w:rFonts w:ascii="Aptos" w:hAnsi="Aptos"/>
        </w:rPr>
        <w:t xml:space="preserve">54% of them </w:t>
      </w:r>
      <w:r w:rsidR="009A67CD">
        <w:rPr>
          <w:rFonts w:ascii="Aptos" w:hAnsi="Aptos"/>
        </w:rPr>
        <w:t>are</w:t>
      </w:r>
      <w:r w:rsidRPr="00C16AD7">
        <w:rPr>
          <w:rFonts w:ascii="Aptos" w:hAnsi="Aptos"/>
        </w:rPr>
        <w:t xml:space="preserve"> contacted during face-to-face data collection and complete the Household Screener. These cases </w:t>
      </w:r>
      <w:r w:rsidRPr="00F161E5">
        <w:rPr>
          <w:rFonts w:ascii="Aptos" w:hAnsi="Aptos"/>
        </w:rPr>
        <w:t xml:space="preserve">are eligible for the experiment and </w:t>
      </w:r>
      <w:r w:rsidRPr="00C16AD7">
        <w:rPr>
          <w:rFonts w:ascii="Aptos" w:hAnsi="Aptos"/>
        </w:rPr>
        <w:t xml:space="preserve">will be randomized into the two treatments with approximately 335 </w:t>
      </w:r>
      <w:r w:rsidR="00FD035E">
        <w:rPr>
          <w:rFonts w:ascii="Aptos" w:hAnsi="Aptos"/>
        </w:rPr>
        <w:t xml:space="preserve">youths and </w:t>
      </w:r>
      <w:r w:rsidRPr="00C16AD7">
        <w:rPr>
          <w:rFonts w:ascii="Aptos" w:hAnsi="Aptos"/>
        </w:rPr>
        <w:t xml:space="preserve">for each treatment. Assuming an average youth response rate of approximately 64%, we can detect an 8.9 percentage point decrease with 80% power using a Pearson’s chi-square test with a one-sided significance level of 0.05. This assumes a design effect of 1.2 due to an </w:t>
      </w:r>
      <w:r w:rsidRPr="00C16AD7">
        <w:rPr>
          <w:rFonts w:ascii="Aptos" w:hAnsi="Aptos"/>
        </w:rPr>
        <w:t>intracluster</w:t>
      </w:r>
      <w:r w:rsidRPr="00C16AD7">
        <w:rPr>
          <w:rFonts w:ascii="Aptos" w:hAnsi="Aptos"/>
        </w:rPr>
        <w:t xml:space="preserve"> correlation (ICC) of 0.5 among youth</w:t>
      </w:r>
      <w:r w:rsidR="008F1A05">
        <w:rPr>
          <w:rFonts w:ascii="Aptos" w:hAnsi="Aptos"/>
        </w:rPr>
        <w:t>s</w:t>
      </w:r>
      <w:r w:rsidRPr="00C16AD7">
        <w:rPr>
          <w:rFonts w:ascii="Aptos" w:hAnsi="Aptos"/>
        </w:rPr>
        <w:t xml:space="preserve"> within household</w:t>
      </w:r>
      <w:r w:rsidR="008F1A05">
        <w:rPr>
          <w:rFonts w:ascii="Aptos" w:hAnsi="Aptos"/>
        </w:rPr>
        <w:t>s</w:t>
      </w:r>
      <w:r w:rsidRPr="00C16AD7">
        <w:rPr>
          <w:rFonts w:ascii="Aptos" w:hAnsi="Aptos"/>
        </w:rPr>
        <w:t>.</w:t>
      </w:r>
      <w:r w:rsidR="007D29B3">
        <w:rPr>
          <w:rFonts w:ascii="Aptos" w:hAnsi="Aptos"/>
        </w:rPr>
        <w:t xml:space="preserve"> </w:t>
      </w:r>
      <w:r w:rsidRPr="00923E36" w:rsidR="00923E36">
        <w:rPr>
          <w:rFonts w:ascii="Aptos" w:hAnsi="Aptos"/>
        </w:rPr>
        <w:t>Th</w:t>
      </w:r>
      <w:r w:rsidR="00545570">
        <w:rPr>
          <w:rFonts w:ascii="Aptos" w:hAnsi="Aptos"/>
        </w:rPr>
        <w:t>is</w:t>
      </w:r>
      <w:r w:rsidRPr="00923E36" w:rsidR="00923E36">
        <w:rPr>
          <w:rFonts w:ascii="Aptos" w:hAnsi="Aptos"/>
        </w:rPr>
        <w:t xml:space="preserve"> detectable difference</w:t>
      </w:r>
      <w:r w:rsidR="00545570">
        <w:rPr>
          <w:rFonts w:ascii="Aptos" w:hAnsi="Aptos"/>
        </w:rPr>
        <w:t xml:space="preserve">, </w:t>
      </w:r>
      <w:r w:rsidRPr="00545570" w:rsidR="00545570">
        <w:rPr>
          <w:rFonts w:ascii="Aptos" w:hAnsi="Aptos"/>
        </w:rPr>
        <w:t>which means identifying a drop in the response rate from 64% to 5</w:t>
      </w:r>
      <w:r w:rsidR="00545570">
        <w:rPr>
          <w:rFonts w:ascii="Aptos" w:hAnsi="Aptos"/>
        </w:rPr>
        <w:t>5</w:t>
      </w:r>
      <w:r w:rsidR="00404383">
        <w:rPr>
          <w:rFonts w:ascii="Aptos" w:hAnsi="Aptos"/>
        </w:rPr>
        <w:t>.1</w:t>
      </w:r>
      <w:r w:rsidRPr="00545570" w:rsidR="00545570">
        <w:rPr>
          <w:rFonts w:ascii="Aptos" w:hAnsi="Aptos"/>
        </w:rPr>
        <w:t>%</w:t>
      </w:r>
      <w:r w:rsidR="00D80DE3">
        <w:rPr>
          <w:rFonts w:ascii="Aptos" w:hAnsi="Aptos"/>
        </w:rPr>
        <w:t xml:space="preserve"> or </w:t>
      </w:r>
      <w:r w:rsidR="00D80DE3">
        <w:rPr>
          <w:rFonts w:ascii="Aptos" w:hAnsi="Aptos"/>
        </w:rPr>
        <w:t>lower</w:t>
      </w:r>
      <w:r w:rsidRPr="00545570" w:rsidR="00545570">
        <w:rPr>
          <w:rFonts w:ascii="Aptos" w:hAnsi="Aptos"/>
        </w:rPr>
        <w:t xml:space="preserve">, </w:t>
      </w:r>
      <w:r w:rsidRPr="00923E36" w:rsidR="00923E36">
        <w:rPr>
          <w:rFonts w:ascii="Aptos" w:hAnsi="Aptos"/>
        </w:rPr>
        <w:t xml:space="preserve"> is</w:t>
      </w:r>
      <w:r w:rsidRPr="00923E36" w:rsidR="00923E36">
        <w:rPr>
          <w:rFonts w:ascii="Aptos" w:hAnsi="Aptos"/>
        </w:rPr>
        <w:t xml:space="preserve"> within a reasonable range for this type of experiment</w:t>
      </w:r>
      <w:r w:rsidR="0042006D">
        <w:rPr>
          <w:rFonts w:ascii="Aptos" w:hAnsi="Aptos"/>
        </w:rPr>
        <w:t>.</w:t>
      </w:r>
    </w:p>
    <w:p w:rsidR="00AD16DE" w:rsidRPr="00107E37" w:rsidP="001D4386" w14:paraId="0C223C63" w14:textId="77777777">
      <w:pPr>
        <w:rPr>
          <w:rFonts w:ascii="Aptos" w:hAnsi="Aptos"/>
        </w:rPr>
      </w:pPr>
    </w:p>
    <w:p w:rsidR="001D4386" w:rsidRPr="00107E37" w:rsidP="00004B99" w14:paraId="36296DDB" w14:textId="7DB7EEC5">
      <w:pPr>
        <w:pStyle w:val="ListParagraph"/>
        <w:numPr>
          <w:ilvl w:val="0"/>
          <w:numId w:val="5"/>
        </w:numPr>
        <w:ind w:left="360"/>
        <w:rPr>
          <w:rFonts w:ascii="Aptos" w:hAnsi="Aptos"/>
          <w:b/>
          <w:bCs/>
        </w:rPr>
      </w:pPr>
      <w:r w:rsidRPr="00107E37">
        <w:rPr>
          <w:rFonts w:ascii="Aptos" w:hAnsi="Aptos"/>
          <w:b/>
          <w:bCs/>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19746B" w:rsidRPr="00107E37" w:rsidP="001D4386" w14:paraId="256E33B9" w14:textId="77777777">
      <w:pPr>
        <w:rPr>
          <w:rFonts w:ascii="Aptos" w:hAnsi="Aptos"/>
          <w:b/>
        </w:rPr>
      </w:pPr>
    </w:p>
    <w:p w:rsidR="001D4386" w:rsidRPr="00107E37" w:rsidP="001D4386" w14:paraId="6E682959" w14:textId="0D151FD5">
      <w:pPr>
        <w:rPr>
          <w:rFonts w:ascii="Aptos" w:hAnsi="Aptos"/>
        </w:rPr>
      </w:pPr>
      <w:r w:rsidRPr="00107E37">
        <w:rPr>
          <w:rFonts w:ascii="Aptos" w:hAnsi="Aptos"/>
        </w:rPr>
        <w:t xml:space="preserve">No statistical method has been established to maximize response rates or address issues of non-response in the </w:t>
      </w:r>
      <w:r w:rsidRPr="00107E37" w:rsidR="00D93DE0">
        <w:rPr>
          <w:rFonts w:ascii="Aptos" w:hAnsi="Aptos"/>
        </w:rPr>
        <w:t>P</w:t>
      </w:r>
      <w:r w:rsidRPr="00107E37">
        <w:rPr>
          <w:rFonts w:ascii="Aptos" w:hAnsi="Aptos"/>
        </w:rPr>
        <w:t xml:space="preserve">retest. </w:t>
      </w:r>
      <w:r w:rsidRPr="00107E37" w:rsidR="00752E64">
        <w:rPr>
          <w:rFonts w:ascii="Aptos" w:hAnsi="Aptos"/>
        </w:rPr>
        <w:t xml:space="preserve">No statistical inference </w:t>
      </w:r>
      <w:r w:rsidRPr="00107E37">
        <w:rPr>
          <w:rFonts w:ascii="Aptos" w:hAnsi="Aptos"/>
        </w:rPr>
        <w:t xml:space="preserve">about the target population </w:t>
      </w:r>
      <w:r w:rsidRPr="00107E37" w:rsidR="00752E64">
        <w:rPr>
          <w:rFonts w:ascii="Aptos" w:hAnsi="Aptos"/>
        </w:rPr>
        <w:t xml:space="preserve">will be made with this </w:t>
      </w:r>
      <w:r w:rsidRPr="00107E37" w:rsidR="00191932">
        <w:rPr>
          <w:rFonts w:ascii="Aptos" w:hAnsi="Aptos"/>
        </w:rPr>
        <w:t>data because</w:t>
      </w:r>
      <w:r w:rsidRPr="00107E37" w:rsidR="00752E64">
        <w:rPr>
          <w:rFonts w:ascii="Aptos" w:hAnsi="Aptos"/>
        </w:rPr>
        <w:t xml:space="preserve"> </w:t>
      </w:r>
      <w:r w:rsidRPr="00107E37">
        <w:rPr>
          <w:rFonts w:ascii="Aptos" w:hAnsi="Aptos"/>
        </w:rPr>
        <w:t xml:space="preserve">the purpose of the </w:t>
      </w:r>
      <w:r w:rsidRPr="00107E37" w:rsidR="00D93DE0">
        <w:rPr>
          <w:rFonts w:ascii="Aptos" w:hAnsi="Aptos"/>
        </w:rPr>
        <w:t>P</w:t>
      </w:r>
      <w:r w:rsidRPr="00107E37">
        <w:rPr>
          <w:rFonts w:ascii="Aptos" w:hAnsi="Aptos"/>
        </w:rPr>
        <w:t xml:space="preserve">retest </w:t>
      </w:r>
      <w:r w:rsidRPr="00107E37" w:rsidR="00752E64">
        <w:rPr>
          <w:rFonts w:ascii="Aptos" w:hAnsi="Aptos"/>
        </w:rPr>
        <w:t>is only for testing methods, procedures, and materials in preparation for Round 1.</w:t>
      </w:r>
    </w:p>
    <w:p w:rsidR="001D4386" w:rsidRPr="00107E37" w:rsidP="001D4386" w14:paraId="2D071D6A" w14:textId="77777777">
      <w:pPr>
        <w:rPr>
          <w:rFonts w:ascii="Aptos" w:hAnsi="Aptos"/>
        </w:rPr>
      </w:pPr>
    </w:p>
    <w:p w:rsidR="001D4386" w:rsidRPr="00107E37" w:rsidP="00D93DE0" w14:paraId="05003C82" w14:textId="6351B81B">
      <w:pPr>
        <w:pStyle w:val="ListParagraph"/>
        <w:numPr>
          <w:ilvl w:val="0"/>
          <w:numId w:val="3"/>
        </w:numPr>
        <w:ind w:left="360"/>
        <w:rPr>
          <w:rFonts w:ascii="Aptos" w:hAnsi="Aptos"/>
          <w:b/>
          <w:bCs/>
          <w:sz w:val="22"/>
          <w:szCs w:val="22"/>
        </w:rPr>
      </w:pPr>
      <w:r w:rsidRPr="00107E37">
        <w:rPr>
          <w:rFonts w:ascii="Aptos" w:hAnsi="Aptos"/>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Pr="00107E37" w:rsidR="00D93DE0">
        <w:rPr>
          <w:rFonts w:ascii="Aptos" w:hAnsi="Aptos"/>
          <w:b/>
          <w:bCs/>
          <w:sz w:val="22"/>
          <w:szCs w:val="22"/>
        </w:rPr>
        <w:t>s</w:t>
      </w:r>
      <w:r w:rsidRPr="00107E37">
        <w:rPr>
          <w:rFonts w:ascii="Aptos" w:hAnsi="Aptos"/>
          <w:b/>
          <w:bCs/>
          <w:sz w:val="22"/>
          <w:szCs w:val="22"/>
        </w:rPr>
        <w:t xml:space="preserve"> may be submitted for approval separately or in combination with the main collection of information.</w:t>
      </w:r>
    </w:p>
    <w:p w:rsidR="00BB54DB" w:rsidRPr="00107E37" w:rsidP="001D4386" w14:paraId="66EDEC22" w14:textId="77777777">
      <w:pPr>
        <w:rPr>
          <w:rFonts w:ascii="Aptos" w:hAnsi="Aptos"/>
          <w:b/>
        </w:rPr>
      </w:pPr>
    </w:p>
    <w:p w:rsidR="00C234EF" w:rsidRPr="00107E37" w:rsidP="3120CD1D" w14:paraId="49D01C6F" w14:textId="0644F87E">
      <w:pPr>
        <w:rPr>
          <w:rFonts w:ascii="Aptos" w:hAnsi="Aptos"/>
        </w:rPr>
      </w:pPr>
      <w:r w:rsidRPr="00107E37">
        <w:rPr>
          <w:rFonts w:ascii="Aptos" w:hAnsi="Aptos"/>
        </w:rPr>
        <w:t xml:space="preserve">The </w:t>
      </w:r>
      <w:r w:rsidRPr="00107E37" w:rsidR="00D93DE0">
        <w:rPr>
          <w:rFonts w:ascii="Aptos" w:hAnsi="Aptos"/>
        </w:rPr>
        <w:t xml:space="preserve">U.S. </w:t>
      </w:r>
      <w:r w:rsidRPr="00107E37">
        <w:rPr>
          <w:rFonts w:ascii="Aptos" w:hAnsi="Aptos"/>
        </w:rPr>
        <w:t>Bureau of Labor Statistics</w:t>
      </w:r>
      <w:r w:rsidRPr="00107E37" w:rsidR="3DC38256">
        <w:rPr>
          <w:rFonts w:ascii="Aptos" w:hAnsi="Aptos"/>
        </w:rPr>
        <w:t xml:space="preserve"> will </w:t>
      </w:r>
      <w:r w:rsidRPr="00107E37" w:rsidR="077F974E">
        <w:rPr>
          <w:rFonts w:ascii="Aptos" w:hAnsi="Aptos"/>
        </w:rPr>
        <w:t>embed</w:t>
      </w:r>
      <w:r w:rsidRPr="00107E37" w:rsidR="3DC38256">
        <w:rPr>
          <w:rFonts w:ascii="Aptos" w:hAnsi="Aptos"/>
        </w:rPr>
        <w:t xml:space="preserve"> the </w:t>
      </w:r>
      <w:r w:rsidRPr="00107E37" w:rsidR="13D5A9EE">
        <w:rPr>
          <w:rFonts w:ascii="Aptos" w:hAnsi="Aptos"/>
        </w:rPr>
        <w:t xml:space="preserve">following </w:t>
      </w:r>
      <w:r w:rsidRPr="00107E37">
        <w:rPr>
          <w:rFonts w:ascii="Aptos" w:hAnsi="Aptos"/>
        </w:rPr>
        <w:t xml:space="preserve">experiment in the </w:t>
      </w:r>
      <w:r w:rsidRPr="00107E37" w:rsidR="00D93DE0">
        <w:rPr>
          <w:rFonts w:ascii="Aptos" w:hAnsi="Aptos"/>
        </w:rPr>
        <w:t>P</w:t>
      </w:r>
      <w:r w:rsidRPr="00107E37">
        <w:rPr>
          <w:rFonts w:ascii="Aptos" w:hAnsi="Aptos"/>
        </w:rPr>
        <w:t>retest</w:t>
      </w:r>
      <w:r w:rsidRPr="00107E37" w:rsidR="7509722A">
        <w:rPr>
          <w:rFonts w:ascii="Aptos" w:hAnsi="Aptos"/>
        </w:rPr>
        <w:t xml:space="preserve">. The </w:t>
      </w:r>
      <w:r w:rsidRPr="00107E37" w:rsidR="627BB4B3">
        <w:rPr>
          <w:rFonts w:ascii="Aptos" w:hAnsi="Aptos"/>
        </w:rPr>
        <w:t>purpose</w:t>
      </w:r>
      <w:r w:rsidRPr="00107E37" w:rsidR="7509722A">
        <w:rPr>
          <w:rFonts w:ascii="Aptos" w:hAnsi="Aptos"/>
        </w:rPr>
        <w:t xml:space="preserve"> of evaluating the video interviewing mode </w:t>
      </w:r>
      <w:r w:rsidRPr="00107E37" w:rsidR="3C3E7C05">
        <w:rPr>
          <w:rFonts w:ascii="Aptos" w:hAnsi="Aptos"/>
        </w:rPr>
        <w:t>experiment</w:t>
      </w:r>
      <w:r w:rsidRPr="00107E37" w:rsidR="7509722A">
        <w:rPr>
          <w:rFonts w:ascii="Aptos" w:hAnsi="Aptos"/>
        </w:rPr>
        <w:t xml:space="preserve"> is to plan for future cost efficiencies</w:t>
      </w:r>
      <w:r w:rsidRPr="00107E37" w:rsidR="5F47FD32">
        <w:rPr>
          <w:rFonts w:ascii="Aptos" w:hAnsi="Aptos"/>
        </w:rPr>
        <w:t xml:space="preserve"> </w:t>
      </w:r>
      <w:r w:rsidRPr="00107E37" w:rsidR="453ABA61">
        <w:rPr>
          <w:rFonts w:ascii="Aptos" w:hAnsi="Aptos"/>
        </w:rPr>
        <w:t xml:space="preserve">and </w:t>
      </w:r>
      <w:r w:rsidRPr="00107E37" w:rsidR="7509722A">
        <w:rPr>
          <w:rFonts w:ascii="Aptos" w:hAnsi="Aptos"/>
        </w:rPr>
        <w:t xml:space="preserve">to </w:t>
      </w:r>
      <w:r w:rsidRPr="00107E37" w:rsidR="5143B42C">
        <w:rPr>
          <w:rFonts w:ascii="Aptos" w:hAnsi="Aptos"/>
        </w:rPr>
        <w:t>maximize</w:t>
      </w:r>
      <w:r w:rsidRPr="00107E37" w:rsidR="7509722A">
        <w:rPr>
          <w:rFonts w:ascii="Aptos" w:hAnsi="Aptos"/>
        </w:rPr>
        <w:t xml:space="preserve"> re</w:t>
      </w:r>
      <w:r w:rsidRPr="00107E37" w:rsidR="51128580">
        <w:rPr>
          <w:rFonts w:ascii="Aptos" w:hAnsi="Aptos"/>
        </w:rPr>
        <w:t xml:space="preserve">sponse rates and the </w:t>
      </w:r>
      <w:r w:rsidRPr="00107E37" w:rsidR="6492C19B">
        <w:rPr>
          <w:rFonts w:ascii="Aptos" w:hAnsi="Aptos"/>
        </w:rPr>
        <w:t>representativeness</w:t>
      </w:r>
      <w:r w:rsidRPr="00107E37" w:rsidR="51128580">
        <w:rPr>
          <w:rFonts w:ascii="Aptos" w:hAnsi="Aptos"/>
        </w:rPr>
        <w:t xml:space="preserve"> of </w:t>
      </w:r>
      <w:r w:rsidRPr="00107E37" w:rsidR="137D43F9">
        <w:rPr>
          <w:rFonts w:ascii="Aptos" w:hAnsi="Aptos"/>
        </w:rPr>
        <w:t>participants</w:t>
      </w:r>
      <w:r w:rsidRPr="00107E37" w:rsidR="51128580">
        <w:rPr>
          <w:rFonts w:ascii="Aptos" w:hAnsi="Aptos"/>
        </w:rPr>
        <w:t xml:space="preserve"> in the </w:t>
      </w:r>
      <w:r w:rsidRPr="00107E37" w:rsidR="59A11B0A">
        <w:rPr>
          <w:rFonts w:ascii="Aptos" w:hAnsi="Aptos"/>
        </w:rPr>
        <w:t>national</w:t>
      </w:r>
      <w:r w:rsidRPr="00107E37" w:rsidR="51128580">
        <w:rPr>
          <w:rFonts w:ascii="Aptos" w:hAnsi="Aptos"/>
        </w:rPr>
        <w:t xml:space="preserve"> cohort. </w:t>
      </w:r>
    </w:p>
    <w:p w:rsidR="00C234EF" w:rsidRPr="00107E37" w:rsidP="00D835A9" w14:paraId="18019B77" w14:textId="77777777">
      <w:pPr>
        <w:rPr>
          <w:rFonts w:ascii="Aptos" w:hAnsi="Aptos"/>
          <w:bCs/>
        </w:rPr>
      </w:pPr>
    </w:p>
    <w:p w:rsidR="00C234EF" w:rsidRPr="00107E37" w:rsidP="3120CD1D" w14:paraId="2E6586CB" w14:textId="3D6C101A">
      <w:pPr>
        <w:rPr>
          <w:rFonts w:ascii="Aptos" w:hAnsi="Aptos"/>
          <w:u w:val="single"/>
        </w:rPr>
      </w:pPr>
      <w:r w:rsidRPr="00107E37">
        <w:rPr>
          <w:rFonts w:ascii="Aptos" w:hAnsi="Aptos"/>
          <w:u w:val="single"/>
        </w:rPr>
        <w:t>Video Interviewing for Youth</w:t>
      </w:r>
      <w:r w:rsidRPr="00107E37" w:rsidR="00D93DE0">
        <w:rPr>
          <w:rFonts w:ascii="Aptos" w:hAnsi="Aptos"/>
          <w:u w:val="single"/>
        </w:rPr>
        <w:t>, Experiment:</w:t>
      </w:r>
    </w:p>
    <w:p w:rsidR="00015610" w:rsidRPr="00FC217A" w:rsidP="3CFE5F5F" w14:paraId="35204FEE" w14:textId="7FB112A4">
      <w:pPr>
        <w:rPr>
          <w:rFonts w:ascii="Aptos" w:hAnsi="Aptos"/>
        </w:rPr>
      </w:pPr>
      <w:r w:rsidRPr="00301ACE">
        <w:rPr>
          <w:rFonts w:ascii="Aptos" w:hAnsi="Aptos"/>
        </w:rPr>
        <w:t>Youth who do not complete an interview during the in-person interviewer visit will have the option to complete their interview virtually, but the timing of when video interviews are offered depends on whether the household is assigned to the experimental or control group of the NLSY27 Pretest video interview experiment.</w:t>
      </w:r>
      <w:r w:rsidRPr="00FC217A" w:rsidR="009E037A">
        <w:rPr>
          <w:rFonts w:ascii="Aptos" w:hAnsi="Aptos"/>
        </w:rPr>
        <w:t xml:space="preserve"> </w:t>
      </w:r>
      <w:r w:rsidRPr="00301ACE" w:rsidR="46D59BD9">
        <w:rPr>
          <w:rFonts w:ascii="Aptos" w:hAnsi="Aptos"/>
        </w:rPr>
        <w:t xml:space="preserve">For cases in the experimental group, if they are unable to complete the interview when the interviewer is in the house, the interviewer will offer the video interview option. The remaining half of the sample will be offered the video interview option in Week 8 of data collection and no earlier. </w:t>
      </w:r>
      <w:r w:rsidRPr="00FC217A" w:rsidR="009E037A">
        <w:rPr>
          <w:rFonts w:ascii="Aptos" w:hAnsi="Aptos"/>
        </w:rPr>
        <w:t xml:space="preserve">Households will be randomly assigned to the control or experimental group upon completion of the Eligibility Screener. </w:t>
      </w:r>
    </w:p>
    <w:p w:rsidR="00015610" w:rsidRPr="00FC217A" w:rsidP="009E037A" w14:paraId="2F2CCBBA" w14:textId="77777777">
      <w:pPr>
        <w:rPr>
          <w:rFonts w:ascii="Aptos" w:hAnsi="Aptos"/>
        </w:rPr>
      </w:pPr>
    </w:p>
    <w:p w:rsidR="009E037A" w:rsidRPr="00107E37" w:rsidP="009E037A" w14:paraId="1E31BE1D" w14:textId="33A72B16">
      <w:pPr>
        <w:rPr>
          <w:rFonts w:ascii="Aptos" w:hAnsi="Aptos"/>
          <w:bCs/>
        </w:rPr>
      </w:pPr>
      <w:r w:rsidRPr="00107E37">
        <w:rPr>
          <w:rFonts w:ascii="Aptos" w:hAnsi="Aptos"/>
          <w:bCs/>
        </w:rPr>
        <w:t xml:space="preserve">The primary questions underlying this experiment are the following: </w:t>
      </w:r>
    </w:p>
    <w:p w:rsidR="009E037A" w:rsidRPr="00107E37" w:rsidP="00015610" w14:paraId="75570EA3" w14:textId="1028DA51">
      <w:pPr>
        <w:numPr>
          <w:ilvl w:val="0"/>
          <w:numId w:val="12"/>
        </w:numPr>
        <w:rPr>
          <w:rFonts w:ascii="Aptos" w:hAnsi="Aptos"/>
          <w:bCs/>
        </w:rPr>
      </w:pPr>
      <w:r w:rsidRPr="00107E37">
        <w:rPr>
          <w:rFonts w:ascii="Aptos" w:hAnsi="Aptos"/>
          <w:bCs/>
        </w:rPr>
        <w:t>Does offering video interviewing earlier in data collection increase youth response rates?</w:t>
      </w:r>
    </w:p>
    <w:p w:rsidR="009E037A" w:rsidRPr="00107E37" w:rsidP="00015610" w14:paraId="27D97495" w14:textId="77777777">
      <w:pPr>
        <w:numPr>
          <w:ilvl w:val="0"/>
          <w:numId w:val="12"/>
        </w:numPr>
        <w:rPr>
          <w:rFonts w:ascii="Aptos" w:hAnsi="Aptos"/>
          <w:bCs/>
        </w:rPr>
      </w:pPr>
      <w:r w:rsidRPr="00107E37">
        <w:rPr>
          <w:rFonts w:ascii="Aptos" w:hAnsi="Aptos"/>
          <w:bCs/>
        </w:rPr>
        <w:t xml:space="preserve">Does video interviewing encourage quicker response by youth? </w:t>
      </w:r>
    </w:p>
    <w:p w:rsidR="009E037A" w:rsidRPr="00107E37" w:rsidP="00015610" w14:paraId="5C5A4B39" w14:textId="12A07D4A">
      <w:pPr>
        <w:numPr>
          <w:ilvl w:val="0"/>
          <w:numId w:val="12"/>
        </w:numPr>
        <w:rPr>
          <w:rFonts w:ascii="Aptos" w:hAnsi="Aptos"/>
          <w:bCs/>
        </w:rPr>
      </w:pPr>
      <w:r w:rsidRPr="00107E37">
        <w:rPr>
          <w:rFonts w:ascii="Aptos" w:hAnsi="Aptos"/>
          <w:bCs/>
        </w:rPr>
        <w:t>Are there significant differences in data quality based on mode of completion (video interview vs. in</w:t>
      </w:r>
      <w:r w:rsidR="00FC39E9">
        <w:rPr>
          <w:rFonts w:ascii="Aptos" w:hAnsi="Aptos"/>
          <w:bCs/>
        </w:rPr>
        <w:t>-</w:t>
      </w:r>
      <w:r w:rsidRPr="00107E37">
        <w:rPr>
          <w:rFonts w:ascii="Aptos" w:hAnsi="Aptos"/>
          <w:bCs/>
        </w:rPr>
        <w:t xml:space="preserve">person)? We will assess data quality by comparing key data quality metrics such as item missingness and data edits across the two modes of data collection completion. </w:t>
      </w:r>
    </w:p>
    <w:p w:rsidR="009E037A" w:rsidRPr="00107E37" w:rsidP="00015610" w14:paraId="0F04B469" w14:textId="204F2AFE">
      <w:pPr>
        <w:numPr>
          <w:ilvl w:val="0"/>
          <w:numId w:val="12"/>
        </w:numPr>
        <w:rPr>
          <w:rFonts w:ascii="Aptos" w:hAnsi="Aptos"/>
          <w:bCs/>
        </w:rPr>
      </w:pPr>
      <w:r w:rsidRPr="00107E37">
        <w:rPr>
          <w:rFonts w:ascii="Aptos" w:hAnsi="Aptos"/>
          <w:bCs/>
        </w:rPr>
        <w:t xml:space="preserve">Does offering video interviewing earlier in data collection decrease non-response follow-up thereby decreasing data collection costs? </w:t>
      </w:r>
    </w:p>
    <w:p w:rsidR="001D4386" w:rsidRPr="00107E37" w:rsidP="001D4386" w14:paraId="1C2FE5A8" w14:textId="77777777">
      <w:pPr>
        <w:rPr>
          <w:rFonts w:ascii="Times New Roman" w:hAnsi="Times New Roman"/>
        </w:rPr>
      </w:pPr>
    </w:p>
    <w:p w:rsidR="008F093D" w:rsidRPr="00107E37" w14:paraId="38EB8693" w14:textId="77777777">
      <w:pPr>
        <w:spacing w:after="160" w:line="259" w:lineRule="auto"/>
        <w:rPr>
          <w:rFonts w:ascii="Aptos" w:eastAsia="Times New Roman" w:hAnsi="Aptos" w:cs="Times New Roman"/>
          <w:b/>
          <w:bCs/>
          <w:sz w:val="24"/>
          <w:szCs w:val="24"/>
        </w:rPr>
      </w:pPr>
      <w:r w:rsidRPr="00107E37">
        <w:rPr>
          <w:rFonts w:ascii="Aptos" w:hAnsi="Aptos"/>
          <w:b/>
          <w:bCs/>
        </w:rPr>
        <w:br w:type="page"/>
      </w:r>
    </w:p>
    <w:p w:rsidR="001D4386" w:rsidRPr="00107E37" w:rsidP="00D93DE0" w14:paraId="748A267C" w14:textId="5DB57D79">
      <w:pPr>
        <w:pStyle w:val="ListParagraph"/>
        <w:numPr>
          <w:ilvl w:val="0"/>
          <w:numId w:val="1"/>
        </w:numPr>
        <w:ind w:left="360"/>
        <w:rPr>
          <w:rFonts w:ascii="Aptos" w:hAnsi="Aptos"/>
          <w:b/>
          <w:bCs/>
        </w:rPr>
      </w:pPr>
      <w:r w:rsidRPr="00107E37">
        <w:rPr>
          <w:rFonts w:ascii="Aptos" w:hAnsi="Aptos"/>
          <w:b/>
          <w:bCs/>
        </w:rPr>
        <w:t xml:space="preserve">Provide the name and telephone number of individuals consulted on statistical aspects of the design and the name of the agency unit, contractor(s), grantee(s), or other person(s) who </w:t>
      </w:r>
      <w:r w:rsidRPr="00827243">
        <w:rPr>
          <w:rFonts w:ascii="Aptos" w:hAnsi="Aptos"/>
          <w:b/>
          <w:bCs/>
          <w:color w:val="000000" w:themeColor="text1"/>
        </w:rPr>
        <w:t xml:space="preserve">will </w:t>
      </w:r>
      <w:r w:rsidRPr="00207148" w:rsidR="00FC39E9">
        <w:rPr>
          <w:rFonts w:ascii="Aptos" w:hAnsi="Aptos"/>
          <w:b/>
          <w:bCs/>
        </w:rPr>
        <w:t xml:space="preserve">actually </w:t>
      </w:r>
      <w:r w:rsidRPr="00827243" w:rsidR="00191932">
        <w:rPr>
          <w:rFonts w:ascii="Aptos" w:hAnsi="Aptos"/>
          <w:b/>
          <w:bCs/>
          <w:color w:val="000000" w:themeColor="text1"/>
        </w:rPr>
        <w:t>collect</w:t>
      </w:r>
      <w:r w:rsidRPr="00827243">
        <w:rPr>
          <w:rFonts w:ascii="Aptos" w:hAnsi="Aptos"/>
          <w:b/>
          <w:bCs/>
          <w:color w:val="000000" w:themeColor="text1"/>
        </w:rPr>
        <w:t xml:space="preserve"> and/or analyze person(s) who will </w:t>
      </w:r>
      <w:r w:rsidRPr="00827243">
        <w:rPr>
          <w:rFonts w:ascii="Aptos" w:hAnsi="Aptos"/>
          <w:b/>
          <w:bCs/>
          <w:color w:val="000000" w:themeColor="text1"/>
        </w:rPr>
        <w:t>actually collect</w:t>
      </w:r>
      <w:r w:rsidRPr="00827243">
        <w:rPr>
          <w:rFonts w:ascii="Aptos" w:hAnsi="Aptos"/>
          <w:b/>
          <w:bCs/>
          <w:color w:val="000000" w:themeColor="text1"/>
        </w:rPr>
        <w:t xml:space="preserve"> and/or analyze the information for the </w:t>
      </w:r>
      <w:r w:rsidRPr="00107E37">
        <w:rPr>
          <w:rFonts w:ascii="Aptos" w:hAnsi="Aptos"/>
          <w:b/>
          <w:bCs/>
        </w:rPr>
        <w:t>agency.</w:t>
      </w:r>
    </w:p>
    <w:p w:rsidR="001D4386" w:rsidRPr="00107E37" w:rsidP="001D4386" w14:paraId="72F355AF" w14:textId="77777777">
      <w:pPr>
        <w:rPr>
          <w:rFonts w:ascii="Aptos" w:hAnsi="Aptos"/>
        </w:rPr>
      </w:pPr>
    </w:p>
    <w:p w:rsidR="001D4386" w:rsidRPr="00107E37" w:rsidP="001D4386" w14:paraId="7C2B177A" w14:textId="39EC8759">
      <w:pPr>
        <w:rPr>
          <w:rFonts w:ascii="Aptos" w:hAnsi="Aptos"/>
        </w:rPr>
      </w:pPr>
      <w:r w:rsidRPr="00107E37">
        <w:rPr>
          <w:rFonts w:ascii="Aptos" w:hAnsi="Aptos"/>
        </w:rPr>
        <w:t xml:space="preserve">RTI International developed the </w:t>
      </w:r>
      <w:r w:rsidRPr="00107E37" w:rsidR="008F093D">
        <w:rPr>
          <w:rFonts w:ascii="Aptos" w:hAnsi="Aptos"/>
        </w:rPr>
        <w:t>Pretest</w:t>
      </w:r>
      <w:r w:rsidR="003476C8">
        <w:rPr>
          <w:rFonts w:ascii="Aptos" w:hAnsi="Aptos"/>
        </w:rPr>
        <w:t xml:space="preserve"> plan</w:t>
      </w:r>
      <w:r w:rsidRPr="00107E37">
        <w:rPr>
          <w:rFonts w:ascii="Aptos" w:hAnsi="Aptos"/>
        </w:rPr>
        <w:t xml:space="preserve">. </w:t>
      </w:r>
      <w:r w:rsidRPr="00107E37" w:rsidR="00191932">
        <w:rPr>
          <w:rFonts w:ascii="Aptos" w:hAnsi="Aptos"/>
        </w:rPr>
        <w:t>The following individuals</w:t>
      </w:r>
      <w:r w:rsidR="00F161E5">
        <w:rPr>
          <w:rFonts w:ascii="Aptos" w:hAnsi="Aptos"/>
        </w:rPr>
        <w:t xml:space="preserve"> </w:t>
      </w:r>
      <w:r w:rsidR="00F161E5">
        <w:rPr>
          <w:rFonts w:ascii="Aptos" w:hAnsi="Aptos"/>
        </w:rPr>
        <w:t>is</w:t>
      </w:r>
      <w:r w:rsidR="00F161E5">
        <w:rPr>
          <w:rFonts w:ascii="Aptos" w:hAnsi="Aptos"/>
        </w:rPr>
        <w:t xml:space="preserve"> the statistical contact</w:t>
      </w:r>
      <w:r w:rsidRPr="00107E37">
        <w:rPr>
          <w:rFonts w:ascii="Aptos" w:hAnsi="Aptos"/>
        </w:rPr>
        <w:t>:</w:t>
      </w:r>
    </w:p>
    <w:p w:rsidR="00094166" w:rsidRPr="00970DBE" w:rsidP="00970DBE" w14:paraId="7CF9A8C5" w14:textId="06CF4B1B">
      <w:pPr>
        <w:pStyle w:val="ListParagraph"/>
        <w:numPr>
          <w:ilvl w:val="0"/>
          <w:numId w:val="14"/>
        </w:numPr>
        <w:rPr>
          <w:rFonts w:ascii="Aptos" w:hAnsi="Aptos"/>
          <w:sz w:val="22"/>
          <w:szCs w:val="22"/>
        </w:rPr>
      </w:pPr>
      <w:r w:rsidRPr="00107E37">
        <w:rPr>
          <w:rFonts w:ascii="Aptos" w:hAnsi="Aptos"/>
          <w:sz w:val="22"/>
          <w:szCs w:val="22"/>
        </w:rPr>
        <w:t>Dan Liao, RTI, NLSY27 Director of Statistics</w:t>
      </w:r>
      <w:r w:rsidRPr="00107E37" w:rsidR="22D9A4BF">
        <w:rPr>
          <w:rFonts w:ascii="Aptos" w:hAnsi="Aptos"/>
          <w:sz w:val="22"/>
          <w:szCs w:val="22"/>
        </w:rPr>
        <w:t>, 301-</w:t>
      </w:r>
      <w:r w:rsidRPr="00107E37" w:rsidR="56988543">
        <w:rPr>
          <w:rFonts w:ascii="Aptos" w:hAnsi="Aptos"/>
          <w:sz w:val="22"/>
          <w:szCs w:val="22"/>
        </w:rPr>
        <w:t>816-4605</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6245" w:rsidRPr="00466245" w:rsidP="1A77F66C" w14:paraId="369E27A4" w14:textId="2C073D15">
    <w:pPr>
      <w:pStyle w:val="Footer"/>
      <w:rPr>
        <w:rFonts w:ascii="Aptos" w:hAnsi="Aptos"/>
        <w:i/>
        <w:iCs/>
        <w:sz w:val="14"/>
        <w:szCs w:val="14"/>
      </w:rPr>
    </w:pPr>
    <w:r w:rsidRPr="1A77F66C">
      <w:rPr>
        <w:rFonts w:ascii="Aptos" w:hAnsi="Aptos"/>
        <w:i/>
        <w:iCs/>
        <w:sz w:val="14"/>
        <w:szCs w:val="14"/>
      </w:rPr>
      <w:t xml:space="preserve">NLSY27 Pretest OMB </w:t>
    </w:r>
    <w:r>
      <w:ptab w:relativeTo="margin" w:alignment="center" w:leader="none"/>
    </w:r>
    <w:r w:rsidRPr="1A77F66C">
      <w:rPr>
        <w:rFonts w:ascii="Aptos" w:hAnsi="Aptos"/>
        <w:i/>
        <w:iCs/>
        <w:sz w:val="14"/>
        <w:szCs w:val="14"/>
      </w:rPr>
      <w:t>Part B Draft</w:t>
    </w:r>
    <w:r>
      <w:ptab w:relativeTo="margin" w:alignment="right" w:leader="none"/>
    </w:r>
    <w:r w:rsidRPr="1A77F66C">
      <w:rPr>
        <w:rFonts w:ascii="Aptos" w:hAnsi="Aptos"/>
        <w:i/>
        <w:iCs/>
        <w:sz w:val="14"/>
        <w:szCs w:val="14"/>
      </w:rPr>
      <w:t xml:space="preserve">Page </w:t>
    </w:r>
    <w:r w:rsidRPr="1A77F66C">
      <w:rPr>
        <w:rFonts w:ascii="Aptos" w:hAnsi="Aptos"/>
        <w:i/>
        <w:iCs/>
        <w:sz w:val="14"/>
        <w:szCs w:val="14"/>
      </w:rPr>
      <w:fldChar w:fldCharType="begin"/>
    </w:r>
    <w:r w:rsidRPr="1A77F66C">
      <w:rPr>
        <w:rFonts w:ascii="Aptos" w:hAnsi="Aptos"/>
        <w:i/>
        <w:iCs/>
        <w:sz w:val="14"/>
        <w:szCs w:val="14"/>
      </w:rPr>
      <w:instrText xml:space="preserve"> PAGE  \* Arabic  \* MERGEFORMAT </w:instrText>
    </w:r>
    <w:r w:rsidRPr="1A77F66C">
      <w:rPr>
        <w:rFonts w:ascii="Aptos" w:hAnsi="Aptos"/>
        <w:i/>
        <w:iCs/>
        <w:sz w:val="14"/>
        <w:szCs w:val="14"/>
      </w:rPr>
      <w:fldChar w:fldCharType="separate"/>
    </w:r>
    <w:r w:rsidRPr="1A77F66C">
      <w:rPr>
        <w:rFonts w:ascii="Aptos" w:hAnsi="Aptos"/>
        <w:i/>
        <w:iCs/>
        <w:sz w:val="14"/>
        <w:szCs w:val="14"/>
      </w:rPr>
      <w:t>1</w:t>
    </w:r>
    <w:r w:rsidRPr="1A77F66C">
      <w:rPr>
        <w:rFonts w:ascii="Aptos" w:hAnsi="Aptos"/>
        <w:i/>
        <w:iCs/>
        <w:sz w:val="14"/>
        <w:szCs w:val="14"/>
      </w:rPr>
      <w:fldChar w:fldCharType="end"/>
    </w:r>
    <w:r w:rsidRPr="1A77F66C">
      <w:rPr>
        <w:rFonts w:ascii="Aptos" w:hAnsi="Aptos"/>
        <w:i/>
        <w:iCs/>
        <w:sz w:val="14"/>
        <w:szCs w:val="14"/>
      </w:rPr>
      <w:t xml:space="preserve"> of </w:t>
    </w:r>
    <w:r w:rsidRPr="1A77F66C">
      <w:rPr>
        <w:rFonts w:ascii="Aptos" w:hAnsi="Aptos"/>
        <w:i/>
        <w:iCs/>
        <w:sz w:val="14"/>
        <w:szCs w:val="14"/>
      </w:rPr>
      <w:fldChar w:fldCharType="begin"/>
    </w:r>
    <w:r w:rsidRPr="1A77F66C">
      <w:rPr>
        <w:rFonts w:ascii="Aptos" w:hAnsi="Aptos"/>
        <w:i/>
        <w:iCs/>
        <w:sz w:val="14"/>
        <w:szCs w:val="14"/>
      </w:rPr>
      <w:instrText xml:space="preserve"> NUMPAGES  \* Arabic  \* MERGEFORMAT </w:instrText>
    </w:r>
    <w:r w:rsidRPr="1A77F66C">
      <w:rPr>
        <w:rFonts w:ascii="Aptos" w:hAnsi="Aptos"/>
        <w:i/>
        <w:iCs/>
        <w:sz w:val="14"/>
        <w:szCs w:val="14"/>
      </w:rPr>
      <w:fldChar w:fldCharType="separate"/>
    </w:r>
    <w:r w:rsidRPr="1A77F66C">
      <w:rPr>
        <w:rFonts w:ascii="Aptos" w:hAnsi="Aptos"/>
        <w:i/>
        <w:iCs/>
        <w:sz w:val="14"/>
        <w:szCs w:val="14"/>
      </w:rPr>
      <w:t>27</w:t>
    </w:r>
    <w:r w:rsidRPr="1A77F66C">
      <w:rPr>
        <w:rFonts w:ascii="Aptos" w:hAnsi="Aptos"/>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0956" w:rsidP="00107B9C" w14:paraId="4A6C100A" w14:textId="77777777">
      <w:r>
        <w:separator/>
      </w:r>
    </w:p>
  </w:footnote>
  <w:footnote w:type="continuationSeparator" w:id="1">
    <w:p w:rsidR="00110956" w:rsidP="00107B9C" w14:paraId="38368CFE" w14:textId="77777777">
      <w:r>
        <w:continuationSeparator/>
      </w:r>
    </w:p>
  </w:footnote>
  <w:footnote w:type="continuationNotice" w:id="2">
    <w:p w:rsidR="00110956" w14:paraId="6393C536" w14:textId="77777777"/>
  </w:footnote>
  <w:footnote w:id="3">
    <w:p w:rsidR="00180AA5" w:rsidRPr="00D4448B" w:rsidP="00180AA5" w14:paraId="4BC8DE6A" w14:textId="77777777">
      <w:pPr>
        <w:pStyle w:val="FootnoteText"/>
        <w:rPr>
          <w:rFonts w:ascii="Times New Roman" w:hAnsi="Times New Roman" w:cs="Times New Roman"/>
        </w:rPr>
      </w:pPr>
      <w:r w:rsidRPr="00D4448B">
        <w:rPr>
          <w:rStyle w:val="FootnoteReference"/>
          <w:rFonts w:ascii="Times New Roman" w:hAnsi="Times New Roman" w:cs="Times New Roman"/>
        </w:rPr>
        <w:footnoteRef/>
      </w:r>
      <w:r w:rsidRPr="00D4448B">
        <w:rPr>
          <w:rFonts w:ascii="Times New Roman" w:hAnsi="Times New Roman" w:cs="Times New Roman"/>
        </w:rPr>
        <w:t xml:space="preserve"> </w:t>
      </w:r>
      <w:hyperlink r:id="rId1" w:history="1">
        <w:r w:rsidRPr="00D4448B">
          <w:rPr>
            <w:rStyle w:val="Hyperlink"/>
            <w:rFonts w:ascii="Times New Roman" w:hAnsi="Times New Roman" w:cs="Times New Roman"/>
          </w:rPr>
          <w:t>https://www.census.gov/newsroom/press-releases/202</w:t>
        </w:r>
        <w:bookmarkStart w:id="2" w:name="_Hlt178589660"/>
        <w:bookmarkStart w:id="3" w:name="_Hlt178589661"/>
        <w:r w:rsidRPr="00D4448B">
          <w:rPr>
            <w:rStyle w:val="Hyperlink"/>
            <w:rFonts w:ascii="Times New Roman" w:hAnsi="Times New Roman" w:cs="Times New Roman"/>
          </w:rPr>
          <w:t>4</w:t>
        </w:r>
        <w:bookmarkEnd w:id="2"/>
        <w:bookmarkEnd w:id="3"/>
        <w:r w:rsidRPr="00D4448B">
          <w:rPr>
            <w:rStyle w:val="Hyperlink"/>
            <w:rFonts w:ascii="Times New Roman" w:hAnsi="Times New Roman" w:cs="Times New Roman"/>
          </w:rPr>
          <w:t>/2026-census-test-site-selection.html</w:t>
        </w:r>
      </w:hyperlink>
      <w:r w:rsidRPr="00D4448B">
        <w:rPr>
          <w:rFonts w:ascii="Times New Roman" w:hAnsi="Times New Roman" w:cs="Times New Roman"/>
        </w:rPr>
        <w:t xml:space="preserve"> </w:t>
      </w:r>
    </w:p>
  </w:footnote>
  <w:footnote w:id="4">
    <w:p w:rsidR="00767454" w:rsidRPr="00466245" w14:paraId="7DF0F99D" w14:textId="3EE2F6BD">
      <w:pPr>
        <w:pStyle w:val="FootnoteText"/>
        <w:rPr>
          <w:rFonts w:ascii="Times New Roman" w:hAnsi="Times New Roman" w:cs="Times New Roman"/>
        </w:rPr>
      </w:pPr>
      <w:r w:rsidRPr="00466245">
        <w:rPr>
          <w:rStyle w:val="FootnoteReference"/>
          <w:rFonts w:ascii="Times New Roman" w:hAnsi="Times New Roman" w:cs="Times New Roman"/>
        </w:rPr>
        <w:footnoteRef/>
      </w:r>
      <w:r w:rsidRPr="00466245">
        <w:rPr>
          <w:rFonts w:ascii="Times New Roman" w:hAnsi="Times New Roman" w:cs="Times New Roman"/>
        </w:rPr>
        <w:t xml:space="preserve"> </w:t>
      </w:r>
      <w:r w:rsidRPr="00466245">
        <w:rPr>
          <w:rStyle w:val="cf01"/>
          <w:rFonts w:ascii="Times New Roman" w:hAnsi="Times New Roman" w:cs="Times New Roman"/>
          <w:sz w:val="20"/>
          <w:szCs w:val="20"/>
        </w:rPr>
        <w:t xml:space="preserve">Iannacchione, </w:t>
      </w:r>
      <w:r w:rsidR="002A6B44">
        <w:rPr>
          <w:rStyle w:val="cf01"/>
          <w:rFonts w:ascii="Times New Roman" w:hAnsi="Times New Roman" w:cs="Times New Roman"/>
          <w:sz w:val="20"/>
          <w:szCs w:val="20"/>
        </w:rPr>
        <w:t xml:space="preserve">V. G. (2011). </w:t>
      </w:r>
      <w:r w:rsidRPr="00466245">
        <w:rPr>
          <w:rStyle w:val="cf01"/>
          <w:rFonts w:ascii="Times New Roman" w:hAnsi="Times New Roman" w:cs="Times New Roman"/>
          <w:sz w:val="20"/>
          <w:szCs w:val="20"/>
        </w:rPr>
        <w:t xml:space="preserve">The </w:t>
      </w:r>
      <w:r w:rsidRPr="00466245" w:rsidR="002A6B44">
        <w:rPr>
          <w:rStyle w:val="cf01"/>
          <w:rFonts w:ascii="Times New Roman" w:hAnsi="Times New Roman" w:cs="Times New Roman"/>
          <w:sz w:val="20"/>
          <w:szCs w:val="20"/>
        </w:rPr>
        <w:t>changing role of address-based sampling in survey research</w:t>
      </w:r>
      <w:r w:rsidRPr="00466245">
        <w:rPr>
          <w:rStyle w:val="cf01"/>
          <w:rFonts w:ascii="Times New Roman" w:hAnsi="Times New Roman" w:cs="Times New Roman"/>
          <w:sz w:val="20"/>
          <w:szCs w:val="20"/>
        </w:rPr>
        <w:t>, </w:t>
      </w:r>
      <w:r w:rsidRPr="00466245">
        <w:rPr>
          <w:rStyle w:val="cf11"/>
          <w:rFonts w:ascii="Times New Roman" w:hAnsi="Times New Roman" w:cs="Times New Roman"/>
          <w:sz w:val="20"/>
          <w:szCs w:val="20"/>
        </w:rPr>
        <w:t>Public Opinion Quarterly</w:t>
      </w:r>
      <w:r w:rsidRPr="00466245">
        <w:rPr>
          <w:rStyle w:val="cf01"/>
          <w:rFonts w:ascii="Times New Roman" w:hAnsi="Times New Roman" w:cs="Times New Roman"/>
          <w:sz w:val="20"/>
          <w:szCs w:val="20"/>
        </w:rPr>
        <w:t xml:space="preserve">, </w:t>
      </w:r>
      <w:r w:rsidRPr="00F02231">
        <w:rPr>
          <w:rStyle w:val="cf01"/>
          <w:rFonts w:ascii="Times New Roman" w:hAnsi="Times New Roman" w:cs="Times New Roman"/>
          <w:i/>
          <w:iCs/>
          <w:sz w:val="20"/>
          <w:szCs w:val="20"/>
        </w:rPr>
        <w:t>75</w:t>
      </w:r>
      <w:r w:rsidR="002A6B44">
        <w:rPr>
          <w:rStyle w:val="cf01"/>
          <w:rFonts w:ascii="Times New Roman" w:hAnsi="Times New Roman" w:cs="Times New Roman"/>
          <w:sz w:val="20"/>
          <w:szCs w:val="20"/>
        </w:rPr>
        <w:t>(</w:t>
      </w:r>
      <w:r w:rsidRPr="00466245">
        <w:rPr>
          <w:rStyle w:val="cf01"/>
          <w:rFonts w:ascii="Times New Roman" w:hAnsi="Times New Roman" w:cs="Times New Roman"/>
          <w:sz w:val="20"/>
          <w:szCs w:val="20"/>
        </w:rPr>
        <w:t>3</w:t>
      </w:r>
      <w:r w:rsidR="002A6B44">
        <w:rPr>
          <w:rStyle w:val="cf01"/>
          <w:rFonts w:ascii="Times New Roman" w:hAnsi="Times New Roman" w:cs="Times New Roman"/>
          <w:sz w:val="20"/>
          <w:szCs w:val="20"/>
        </w:rPr>
        <w:t>)</w:t>
      </w:r>
      <w:r w:rsidRPr="00466245">
        <w:rPr>
          <w:rStyle w:val="cf01"/>
          <w:rFonts w:ascii="Times New Roman" w:hAnsi="Times New Roman" w:cs="Times New Roman"/>
          <w:sz w:val="20"/>
          <w:szCs w:val="20"/>
        </w:rPr>
        <w:t>, 556–575</w:t>
      </w:r>
      <w:r w:rsidR="002A6B44">
        <w:rPr>
          <w:rStyle w:val="cf01"/>
          <w:rFonts w:ascii="Times New Roman" w:hAnsi="Times New Roman" w:cs="Times New Roman"/>
          <w:sz w:val="20"/>
          <w:szCs w:val="20"/>
        </w:rPr>
        <w:t>.</w:t>
      </w:r>
      <w:r w:rsidRPr="00466245">
        <w:rPr>
          <w:rStyle w:val="cf01"/>
          <w:rFonts w:ascii="Times New Roman" w:hAnsi="Times New Roman" w:cs="Times New Roman"/>
          <w:sz w:val="20"/>
          <w:szCs w:val="20"/>
        </w:rPr>
        <w:t> </w:t>
      </w:r>
      <w:hyperlink r:id="rId2" w:history="1">
        <w:r w:rsidRPr="00466245">
          <w:rPr>
            <w:rStyle w:val="cf21"/>
            <w:rFonts w:ascii="Times New Roman" w:hAnsi="Times New Roman" w:cs="Times New Roman"/>
            <w:color w:val="2A2A2A"/>
            <w:sz w:val="20"/>
            <w:szCs w:val="20"/>
            <w:u w:val="single"/>
            <w:shd w:val="clear" w:color="auto" w:fill="FFFFFF"/>
          </w:rPr>
          <w:t>https://doi.org/10.1093/poq/nfr017</w:t>
        </w:r>
      </w:hyperlink>
    </w:p>
  </w:footnote>
  <w:footnote w:id="5">
    <w:p w:rsidR="005A465F" w:rsidRPr="00D4448B" w14:paraId="1180AC2A" w14:textId="209CF9E3">
      <w:pPr>
        <w:pStyle w:val="FootnoteText"/>
        <w:rPr>
          <w:rFonts w:ascii="Times New Roman" w:hAnsi="Times New Roman" w:cs="Times New Roman"/>
        </w:rPr>
      </w:pPr>
      <w:r w:rsidRPr="00D4448B">
        <w:rPr>
          <w:rStyle w:val="FootnoteReference"/>
          <w:rFonts w:ascii="Times New Roman" w:hAnsi="Times New Roman" w:cs="Times New Roman"/>
        </w:rPr>
        <w:footnoteRef/>
      </w:r>
      <w:r w:rsidRPr="00D4448B">
        <w:rPr>
          <w:rFonts w:ascii="Times New Roman" w:hAnsi="Times New Roman" w:cs="Times New Roman"/>
        </w:rPr>
        <w:t xml:space="preserve"> Round 1 will not exclude low coverage SSUs; rather, those SSUs will be field enumerated.</w:t>
      </w:r>
    </w:p>
  </w:footnote>
  <w:footnote w:id="6">
    <w:p w:rsidR="00F876E6" w:rsidP="00F876E6" w14:paraId="48B6F517" w14:textId="242089D4">
      <w:pPr>
        <w:pStyle w:val="FootnoteText"/>
      </w:pPr>
      <w:r w:rsidRPr="00D4448B">
        <w:rPr>
          <w:rStyle w:val="FootnoteReference"/>
          <w:rFonts w:ascii="Times New Roman" w:hAnsi="Times New Roman" w:cs="Times New Roman"/>
        </w:rPr>
        <w:footnoteRef/>
      </w:r>
      <w:r w:rsidRPr="00D4448B">
        <w:rPr>
          <w:rFonts w:ascii="Times New Roman" w:hAnsi="Times New Roman" w:cs="Times New Roman"/>
        </w:rPr>
        <w:t xml:space="preserve"> OWGM stands for “Only Way to Get Mail</w:t>
      </w:r>
      <w:r w:rsidR="00537495">
        <w:rPr>
          <w:rFonts w:ascii="Times New Roman" w:hAnsi="Times New Roman" w:cs="Times New Roman"/>
        </w:rPr>
        <w:t>.</w:t>
      </w:r>
      <w:r w:rsidRPr="00D4448B">
        <w:rPr>
          <w:rFonts w:ascii="Times New Roman" w:hAnsi="Times New Roman" w:cs="Times New Roman"/>
        </w:rPr>
        <w:t>”</w:t>
      </w:r>
      <w:r>
        <w:t xml:space="preserve"> </w:t>
      </w:r>
    </w:p>
  </w:footnote>
  <w:footnote w:id="7">
    <w:p w:rsidR="00767454" w:rsidRPr="00466245" w14:paraId="07501D90" w14:textId="6EBEF23A">
      <w:pPr>
        <w:pStyle w:val="FootnoteText"/>
        <w:rPr>
          <w:rFonts w:ascii="Times New Roman" w:hAnsi="Times New Roman" w:cs="Times New Roman"/>
        </w:rPr>
      </w:pPr>
      <w:r w:rsidRPr="00466245">
        <w:rPr>
          <w:rStyle w:val="FootnoteReference"/>
          <w:rFonts w:ascii="Times New Roman" w:hAnsi="Times New Roman" w:cs="Times New Roman"/>
        </w:rPr>
        <w:footnoteRef/>
      </w:r>
      <w:r w:rsidRPr="00466245">
        <w:rPr>
          <w:rFonts w:ascii="Times New Roman" w:hAnsi="Times New Roman" w:cs="Times New Roman"/>
        </w:rPr>
        <w:t xml:space="preserve"> McMichael, J., &amp; Brown</w:t>
      </w:r>
      <w:r w:rsidR="00AD16DE">
        <w:rPr>
          <w:rFonts w:ascii="Times New Roman" w:hAnsi="Times New Roman" w:cs="Times New Roman"/>
        </w:rPr>
        <w:t xml:space="preserve">, </w:t>
      </w:r>
      <w:r w:rsidRPr="00466245" w:rsidR="00AD16DE">
        <w:rPr>
          <w:rFonts w:ascii="Times New Roman" w:hAnsi="Times New Roman" w:cs="Times New Roman"/>
        </w:rPr>
        <w:t>D.</w:t>
      </w:r>
      <w:r w:rsidR="00AD16DE">
        <w:rPr>
          <w:rFonts w:ascii="Times New Roman" w:hAnsi="Times New Roman" w:cs="Times New Roman"/>
        </w:rPr>
        <w:t xml:space="preserve"> (</w:t>
      </w:r>
      <w:r w:rsidRPr="00466245">
        <w:rPr>
          <w:rFonts w:ascii="Times New Roman" w:hAnsi="Times New Roman" w:cs="Times New Roman"/>
        </w:rPr>
        <w:t>2018</w:t>
      </w:r>
      <w:r w:rsidR="00AD16DE">
        <w:rPr>
          <w:rFonts w:ascii="Times New Roman" w:hAnsi="Times New Roman" w:cs="Times New Roman"/>
        </w:rPr>
        <w:t>)</w:t>
      </w:r>
      <w:r w:rsidRPr="00466245">
        <w:rPr>
          <w:rFonts w:ascii="Times New Roman" w:hAnsi="Times New Roman" w:cs="Times New Roman"/>
        </w:rPr>
        <w:t xml:space="preserve">. PO </w:t>
      </w:r>
      <w:r w:rsidRPr="00466245" w:rsidR="00A4663E">
        <w:rPr>
          <w:rFonts w:ascii="Times New Roman" w:hAnsi="Times New Roman" w:cs="Times New Roman"/>
        </w:rPr>
        <w:t xml:space="preserve">boxes on </w:t>
      </w:r>
      <w:r w:rsidRPr="00466245" w:rsidR="00191932">
        <w:rPr>
          <w:rFonts w:ascii="Times New Roman" w:hAnsi="Times New Roman" w:cs="Times New Roman"/>
        </w:rPr>
        <w:t>address-based</w:t>
      </w:r>
      <w:r w:rsidRPr="00466245" w:rsidR="00A4663E">
        <w:rPr>
          <w:rFonts w:ascii="Times New Roman" w:hAnsi="Times New Roman" w:cs="Times New Roman"/>
        </w:rPr>
        <w:t xml:space="preserve"> sampling</w:t>
      </w:r>
      <w:r w:rsidRPr="00466245">
        <w:rPr>
          <w:rFonts w:ascii="Times New Roman" w:hAnsi="Times New Roman" w:cs="Times New Roman"/>
        </w:rPr>
        <w:t xml:space="preserve"> (ABS) frames: Under- or over-coverage or both? In</w:t>
      </w:r>
      <w:r w:rsidRPr="00F02231">
        <w:rPr>
          <w:rFonts w:ascii="Times New Roman" w:hAnsi="Times New Roman" w:cs="Times New Roman"/>
          <w:i/>
          <w:iCs/>
        </w:rPr>
        <w:t xml:space="preserve"> JSM Proceedings, Survey Research Methods Section</w:t>
      </w:r>
      <w:r w:rsidRPr="00466245">
        <w:rPr>
          <w:rFonts w:ascii="Times New Roman" w:hAnsi="Times New Roman" w:cs="Times New Roman"/>
        </w:rPr>
        <w:t>. Alexandria: American Statistical Association.</w:t>
      </w:r>
    </w:p>
  </w:footnote>
  <w:footnote w:id="8">
    <w:p w:rsidR="00202E10" w:rsidRPr="00D4448B" w:rsidP="00202E10" w14:paraId="65D94D30" w14:textId="00D51E48">
      <w:pPr>
        <w:pStyle w:val="FootnoteText"/>
        <w:rPr>
          <w:rFonts w:ascii="Times New Roman" w:hAnsi="Times New Roman" w:cs="Times New Roman"/>
        </w:rPr>
      </w:pPr>
      <w:r w:rsidRPr="00D4448B">
        <w:rPr>
          <w:rStyle w:val="FootnoteReference"/>
          <w:rFonts w:ascii="Times New Roman" w:hAnsi="Times New Roman" w:cs="Times New Roman"/>
        </w:rPr>
        <w:footnoteRef/>
      </w:r>
      <w:r w:rsidRPr="00D4448B">
        <w:rPr>
          <w:rFonts w:ascii="Times New Roman" w:hAnsi="Times New Roman" w:cs="Times New Roman"/>
        </w:rPr>
        <w:t xml:space="preserve"> A "No-</w:t>
      </w:r>
      <w:r w:rsidR="00A4663E">
        <w:rPr>
          <w:rFonts w:ascii="Times New Roman" w:hAnsi="Times New Roman" w:cs="Times New Roman"/>
        </w:rPr>
        <w:t>S</w:t>
      </w:r>
      <w:r w:rsidRPr="00D4448B">
        <w:rPr>
          <w:rFonts w:ascii="Times New Roman" w:hAnsi="Times New Roman" w:cs="Times New Roman"/>
        </w:rPr>
        <w:t>tat" address refers to an address that the United States Postal Service (USPS) designates as not receiving regular mail delivery.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148" w:rsidRPr="00207148" w:rsidP="00827243" w14:paraId="079478CA" w14:textId="77777777">
    <w:pPr>
      <w:tabs>
        <w:tab w:val="left" w:pos="720"/>
      </w:tabs>
      <w:ind w:left="720" w:hanging="1440"/>
      <w:rPr>
        <w:rFonts w:ascii="Times New Roman" w:hAnsi="Times New Roman"/>
        <w:b/>
        <w:bCs/>
        <w:sz w:val="20"/>
        <w:szCs w:val="20"/>
      </w:rPr>
    </w:pPr>
    <w:r w:rsidRPr="00207148">
      <w:rPr>
        <w:rFonts w:ascii="Times New Roman" w:hAnsi="Times New Roman"/>
        <w:b/>
        <w:bCs/>
        <w:sz w:val="20"/>
        <w:szCs w:val="20"/>
      </w:rPr>
      <w:t>National Longitudinal Survey of Youth 2027 Pretest</w:t>
    </w:r>
  </w:p>
  <w:p w:rsidR="00207148" w:rsidRPr="00207148" w:rsidP="00827243" w14:paraId="65EA8578" w14:textId="77777777">
    <w:pPr>
      <w:tabs>
        <w:tab w:val="left" w:pos="720"/>
      </w:tabs>
      <w:ind w:left="720" w:hanging="1440"/>
      <w:rPr>
        <w:rFonts w:ascii="Times New Roman" w:hAnsi="Times New Roman"/>
        <w:b/>
        <w:bCs/>
        <w:sz w:val="20"/>
        <w:szCs w:val="20"/>
      </w:rPr>
    </w:pPr>
    <w:r w:rsidRPr="00207148">
      <w:rPr>
        <w:rFonts w:ascii="Times New Roman" w:hAnsi="Times New Roman"/>
        <w:b/>
        <w:bCs/>
        <w:sz w:val="20"/>
        <w:szCs w:val="20"/>
      </w:rPr>
      <w:t>OMB Control Number 1220-xxxx</w:t>
    </w:r>
  </w:p>
  <w:p w:rsidR="00207148" w:rsidRPr="00207148" w:rsidP="00827243" w14:paraId="710F2D40" w14:textId="77777777">
    <w:pPr>
      <w:tabs>
        <w:tab w:val="left" w:pos="720"/>
      </w:tabs>
      <w:ind w:left="720" w:hanging="1440"/>
      <w:rPr>
        <w:rFonts w:ascii="Times New Roman" w:hAnsi="Times New Roman"/>
        <w:b/>
        <w:bCs/>
        <w:sz w:val="20"/>
        <w:szCs w:val="20"/>
      </w:rPr>
    </w:pPr>
    <w:r w:rsidRPr="00207148">
      <w:rPr>
        <w:rFonts w:ascii="Times New Roman" w:hAnsi="Times New Roman"/>
        <w:b/>
        <w:bCs/>
        <w:sz w:val="20"/>
        <w:szCs w:val="20"/>
      </w:rPr>
      <w:t>OMB Expiration Date: N/A</w:t>
    </w:r>
  </w:p>
  <w:p w:rsidR="00207148" w:rsidRPr="00207148" w:rsidP="00207148" w14:paraId="6E47D63A" w14:textId="77777777">
    <w:pPr>
      <w:tabs>
        <w:tab w:val="left" w:pos="720"/>
      </w:tabs>
      <w:ind w:left="720" w:hanging="1440"/>
      <w:jc w:val="center"/>
      <w:rPr>
        <w:rFonts w:ascii="Times New Roman" w:hAnsi="Times New Roman"/>
        <w:b/>
        <w:bCs/>
        <w:sz w:val="20"/>
        <w:szCs w:val="20"/>
      </w:rPr>
    </w:pPr>
  </w:p>
  <w:p w:rsidR="00207148" w:rsidP="00466245" w14:paraId="764FE87F" w14:textId="77777777">
    <w:pPr>
      <w:tabs>
        <w:tab w:val="left" w:pos="720"/>
      </w:tabs>
      <w:ind w:left="720" w:hanging="1440"/>
      <w:jc w:val="center"/>
      <w:rPr>
        <w:rFonts w:ascii="Times New Roman" w:hAnsi="Times New Roman"/>
        <w:b/>
        <w:bCs/>
        <w:sz w:val="20"/>
        <w:szCs w:val="20"/>
      </w:rPr>
    </w:pPr>
  </w:p>
  <w:p w:rsidR="00207148" w:rsidP="00466245" w14:paraId="2DAC9AF4" w14:textId="77777777">
    <w:pPr>
      <w:tabs>
        <w:tab w:val="left" w:pos="720"/>
      </w:tabs>
      <w:ind w:left="720" w:hanging="1440"/>
      <w:jc w:val="center"/>
      <w:rPr>
        <w:rFonts w:ascii="Times New Roman" w:hAnsi="Times New Roman"/>
        <w:b/>
        <w:bCs/>
        <w:sz w:val="20"/>
        <w:szCs w:val="20"/>
      </w:rPr>
    </w:pPr>
  </w:p>
  <w:p w:rsidR="00107B9C" w:rsidRPr="00466245" w:rsidP="00466245" w14:paraId="4FA7012D" w14:textId="6E82F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725F5"/>
    <w:multiLevelType w:val="hybridMultilevel"/>
    <w:tmpl w:val="CF9E6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F4800"/>
    <w:multiLevelType w:val="multilevel"/>
    <w:tmpl w:val="B5D88C50"/>
    <w:lvl w:ilvl="0">
      <w:start w:val="1"/>
      <w:numFmt w:val="decimal"/>
      <w:lvlText w:val="%1."/>
      <w:lvlJc w:val="left"/>
      <w:pPr>
        <w:ind w:left="30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nsid w:val="0DA0C80F"/>
    <w:multiLevelType w:val="hybridMultilevel"/>
    <w:tmpl w:val="C1D6C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876888"/>
    <w:multiLevelType w:val="hybridMultilevel"/>
    <w:tmpl w:val="D7429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6D09D7"/>
    <w:multiLevelType w:val="hybridMultilevel"/>
    <w:tmpl w:val="9E327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196593"/>
    <w:multiLevelType w:val="hybridMultilevel"/>
    <w:tmpl w:val="048008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940D89"/>
    <w:multiLevelType w:val="hybridMultilevel"/>
    <w:tmpl w:val="E6A6F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46BC9F"/>
    <w:multiLevelType w:val="hybridMultilevel"/>
    <w:tmpl w:val="14D6B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5D28A4"/>
    <w:multiLevelType w:val="hybridMultilevel"/>
    <w:tmpl w:val="0958C75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Aptos" w:eastAsia="Times New Roman" w:hAnsi="Apto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5DF7BC3"/>
    <w:multiLevelType w:val="hybridMultilevel"/>
    <w:tmpl w:val="7AB84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1B7F98"/>
    <w:multiLevelType w:val="hybridMultilevel"/>
    <w:tmpl w:val="60561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D89862"/>
    <w:multiLevelType w:val="hybridMultilevel"/>
    <w:tmpl w:val="12A21E3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DC7C25F"/>
    <w:multiLevelType w:val="hybridMultilevel"/>
    <w:tmpl w:val="EF2CF6B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F5CA2B1"/>
    <w:multiLevelType w:val="hybridMultilevel"/>
    <w:tmpl w:val="DC902C0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1200454">
    <w:abstractNumId w:val="15"/>
  </w:num>
  <w:num w:numId="2" w16cid:durableId="1847164623">
    <w:abstractNumId w:val="2"/>
  </w:num>
  <w:num w:numId="3" w16cid:durableId="1557931726">
    <w:abstractNumId w:val="16"/>
  </w:num>
  <w:num w:numId="4" w16cid:durableId="1773356986">
    <w:abstractNumId w:val="4"/>
  </w:num>
  <w:num w:numId="5" w16cid:durableId="1057777966">
    <w:abstractNumId w:val="14"/>
  </w:num>
  <w:num w:numId="6" w16cid:durableId="122502985">
    <w:abstractNumId w:val="8"/>
  </w:num>
  <w:num w:numId="7" w16cid:durableId="1665741283">
    <w:abstractNumId w:val="1"/>
  </w:num>
  <w:num w:numId="8" w16cid:durableId="2141989640">
    <w:abstractNumId w:val="6"/>
  </w:num>
  <w:num w:numId="9" w16cid:durableId="2113428127">
    <w:abstractNumId w:val="9"/>
  </w:num>
  <w:num w:numId="10" w16cid:durableId="1415400206">
    <w:abstractNumId w:val="12"/>
  </w:num>
  <w:num w:numId="11" w16cid:durableId="498932008">
    <w:abstractNumId w:val="7"/>
  </w:num>
  <w:num w:numId="12" w16cid:durableId="1701391122">
    <w:abstractNumId w:val="3"/>
  </w:num>
  <w:num w:numId="13" w16cid:durableId="26492090">
    <w:abstractNumId w:val="13"/>
  </w:num>
  <w:num w:numId="14" w16cid:durableId="1790319380">
    <w:abstractNumId w:val="0"/>
  </w:num>
  <w:num w:numId="15" w16cid:durableId="754784796">
    <w:abstractNumId w:val="11"/>
  </w:num>
  <w:num w:numId="16" w16cid:durableId="1247417622">
    <w:abstractNumId w:val="5"/>
  </w:num>
  <w:num w:numId="17" w16cid:durableId="57660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1E"/>
    <w:rsid w:val="0000302C"/>
    <w:rsid w:val="00004B99"/>
    <w:rsid w:val="00015610"/>
    <w:rsid w:val="00016887"/>
    <w:rsid w:val="0001C2AF"/>
    <w:rsid w:val="000269F6"/>
    <w:rsid w:val="00042C79"/>
    <w:rsid w:val="0004331B"/>
    <w:rsid w:val="00044FA5"/>
    <w:rsid w:val="0005225F"/>
    <w:rsid w:val="00065B09"/>
    <w:rsid w:val="00067738"/>
    <w:rsid w:val="00073E33"/>
    <w:rsid w:val="000812BD"/>
    <w:rsid w:val="0009294B"/>
    <w:rsid w:val="00094166"/>
    <w:rsid w:val="000B160B"/>
    <w:rsid w:val="000B356D"/>
    <w:rsid w:val="000E06D7"/>
    <w:rsid w:val="000F7C05"/>
    <w:rsid w:val="001015E7"/>
    <w:rsid w:val="001030EE"/>
    <w:rsid w:val="00107B9C"/>
    <w:rsid w:val="00107E37"/>
    <w:rsid w:val="00110297"/>
    <w:rsid w:val="001104E4"/>
    <w:rsid w:val="00110956"/>
    <w:rsid w:val="00111840"/>
    <w:rsid w:val="00111895"/>
    <w:rsid w:val="00113A5D"/>
    <w:rsid w:val="00114091"/>
    <w:rsid w:val="00124339"/>
    <w:rsid w:val="00124FB0"/>
    <w:rsid w:val="0012524F"/>
    <w:rsid w:val="00132297"/>
    <w:rsid w:val="00137CD1"/>
    <w:rsid w:val="00157859"/>
    <w:rsid w:val="00162657"/>
    <w:rsid w:val="00175E4B"/>
    <w:rsid w:val="00180AA5"/>
    <w:rsid w:val="001838E1"/>
    <w:rsid w:val="001847E9"/>
    <w:rsid w:val="00191932"/>
    <w:rsid w:val="0019746B"/>
    <w:rsid w:val="001A498E"/>
    <w:rsid w:val="001B0B50"/>
    <w:rsid w:val="001B3907"/>
    <w:rsid w:val="001B68A5"/>
    <w:rsid w:val="001D4386"/>
    <w:rsid w:val="001D4F0E"/>
    <w:rsid w:val="001D7C53"/>
    <w:rsid w:val="001E238E"/>
    <w:rsid w:val="00202E10"/>
    <w:rsid w:val="00203174"/>
    <w:rsid w:val="00207148"/>
    <w:rsid w:val="00215D1E"/>
    <w:rsid w:val="00216947"/>
    <w:rsid w:val="00224353"/>
    <w:rsid w:val="002302B9"/>
    <w:rsid w:val="0024000D"/>
    <w:rsid w:val="00261047"/>
    <w:rsid w:val="00265422"/>
    <w:rsid w:val="00265880"/>
    <w:rsid w:val="002675E1"/>
    <w:rsid w:val="00267AE3"/>
    <w:rsid w:val="00267F76"/>
    <w:rsid w:val="00276960"/>
    <w:rsid w:val="00277627"/>
    <w:rsid w:val="002870EB"/>
    <w:rsid w:val="00295B99"/>
    <w:rsid w:val="00296DDE"/>
    <w:rsid w:val="002A1087"/>
    <w:rsid w:val="002A150A"/>
    <w:rsid w:val="002A59CA"/>
    <w:rsid w:val="002A6B44"/>
    <w:rsid w:val="002B344C"/>
    <w:rsid w:val="002B525A"/>
    <w:rsid w:val="002B5779"/>
    <w:rsid w:val="002D1497"/>
    <w:rsid w:val="002D15B1"/>
    <w:rsid w:val="002D16E6"/>
    <w:rsid w:val="002E3292"/>
    <w:rsid w:val="002F6C1D"/>
    <w:rsid w:val="00301ACE"/>
    <w:rsid w:val="0030486F"/>
    <w:rsid w:val="00304B05"/>
    <w:rsid w:val="00304D9A"/>
    <w:rsid w:val="003052FA"/>
    <w:rsid w:val="0031077D"/>
    <w:rsid w:val="00311801"/>
    <w:rsid w:val="003160FA"/>
    <w:rsid w:val="003206C9"/>
    <w:rsid w:val="00325A2C"/>
    <w:rsid w:val="00327356"/>
    <w:rsid w:val="00334B31"/>
    <w:rsid w:val="00342ACD"/>
    <w:rsid w:val="003476C8"/>
    <w:rsid w:val="00355891"/>
    <w:rsid w:val="00357041"/>
    <w:rsid w:val="00360669"/>
    <w:rsid w:val="00363522"/>
    <w:rsid w:val="00365A37"/>
    <w:rsid w:val="00367D2F"/>
    <w:rsid w:val="0038296C"/>
    <w:rsid w:val="003838D8"/>
    <w:rsid w:val="00385D67"/>
    <w:rsid w:val="00386F75"/>
    <w:rsid w:val="00391844"/>
    <w:rsid w:val="00394659"/>
    <w:rsid w:val="00394B65"/>
    <w:rsid w:val="00395BBF"/>
    <w:rsid w:val="003A478B"/>
    <w:rsid w:val="003B55D2"/>
    <w:rsid w:val="003C4251"/>
    <w:rsid w:val="003D2A3C"/>
    <w:rsid w:val="003D7D6B"/>
    <w:rsid w:val="003E42A0"/>
    <w:rsid w:val="003F104D"/>
    <w:rsid w:val="00404383"/>
    <w:rsid w:val="0042006D"/>
    <w:rsid w:val="004339E8"/>
    <w:rsid w:val="00437AE2"/>
    <w:rsid w:val="00437CC1"/>
    <w:rsid w:val="00441C51"/>
    <w:rsid w:val="00450F8E"/>
    <w:rsid w:val="00455E3A"/>
    <w:rsid w:val="00456A41"/>
    <w:rsid w:val="00466245"/>
    <w:rsid w:val="0047527F"/>
    <w:rsid w:val="00480027"/>
    <w:rsid w:val="004B2A71"/>
    <w:rsid w:val="004C02F6"/>
    <w:rsid w:val="004C3BBE"/>
    <w:rsid w:val="004E06E7"/>
    <w:rsid w:val="004E47B3"/>
    <w:rsid w:val="004E5042"/>
    <w:rsid w:val="004F53F6"/>
    <w:rsid w:val="005011F3"/>
    <w:rsid w:val="00501742"/>
    <w:rsid w:val="00501CC0"/>
    <w:rsid w:val="00507C24"/>
    <w:rsid w:val="005112F9"/>
    <w:rsid w:val="0052482D"/>
    <w:rsid w:val="005273C9"/>
    <w:rsid w:val="00527A25"/>
    <w:rsid w:val="005325F7"/>
    <w:rsid w:val="00537495"/>
    <w:rsid w:val="00545570"/>
    <w:rsid w:val="00547697"/>
    <w:rsid w:val="00551902"/>
    <w:rsid w:val="0055539E"/>
    <w:rsid w:val="0057242D"/>
    <w:rsid w:val="00580A19"/>
    <w:rsid w:val="005821D4"/>
    <w:rsid w:val="00585DD6"/>
    <w:rsid w:val="005A465F"/>
    <w:rsid w:val="005D3019"/>
    <w:rsid w:val="005D38DF"/>
    <w:rsid w:val="005E27E7"/>
    <w:rsid w:val="005E6CF4"/>
    <w:rsid w:val="0063078A"/>
    <w:rsid w:val="00630A0F"/>
    <w:rsid w:val="006315FA"/>
    <w:rsid w:val="006368C0"/>
    <w:rsid w:val="00643BCA"/>
    <w:rsid w:val="006501DB"/>
    <w:rsid w:val="00651B8C"/>
    <w:rsid w:val="0065553B"/>
    <w:rsid w:val="00671CA9"/>
    <w:rsid w:val="006763A2"/>
    <w:rsid w:val="00681B5D"/>
    <w:rsid w:val="00690292"/>
    <w:rsid w:val="006A04A0"/>
    <w:rsid w:val="006A43CC"/>
    <w:rsid w:val="006A48F1"/>
    <w:rsid w:val="006A5958"/>
    <w:rsid w:val="006B1517"/>
    <w:rsid w:val="006B1A62"/>
    <w:rsid w:val="006B375C"/>
    <w:rsid w:val="006C12A7"/>
    <w:rsid w:val="006C3567"/>
    <w:rsid w:val="006C5328"/>
    <w:rsid w:val="006D1A6E"/>
    <w:rsid w:val="006E55A4"/>
    <w:rsid w:val="006F08F0"/>
    <w:rsid w:val="006F0FDE"/>
    <w:rsid w:val="006F35D5"/>
    <w:rsid w:val="007055BB"/>
    <w:rsid w:val="0075042E"/>
    <w:rsid w:val="00752E64"/>
    <w:rsid w:val="0076442D"/>
    <w:rsid w:val="00765EEB"/>
    <w:rsid w:val="00767454"/>
    <w:rsid w:val="00767BEA"/>
    <w:rsid w:val="007747D5"/>
    <w:rsid w:val="0077481F"/>
    <w:rsid w:val="00777E38"/>
    <w:rsid w:val="00790E77"/>
    <w:rsid w:val="007955FE"/>
    <w:rsid w:val="00796047"/>
    <w:rsid w:val="007977E9"/>
    <w:rsid w:val="00797D5A"/>
    <w:rsid w:val="007A4A44"/>
    <w:rsid w:val="007B2A20"/>
    <w:rsid w:val="007C578C"/>
    <w:rsid w:val="007C6D7E"/>
    <w:rsid w:val="007D1B3E"/>
    <w:rsid w:val="007D29B3"/>
    <w:rsid w:val="007D5E6B"/>
    <w:rsid w:val="007D5EEF"/>
    <w:rsid w:val="007E38DC"/>
    <w:rsid w:val="007F42A7"/>
    <w:rsid w:val="007F695A"/>
    <w:rsid w:val="00800DB7"/>
    <w:rsid w:val="00801219"/>
    <w:rsid w:val="008042EB"/>
    <w:rsid w:val="00805745"/>
    <w:rsid w:val="00810563"/>
    <w:rsid w:val="00810744"/>
    <w:rsid w:val="00827243"/>
    <w:rsid w:val="00840623"/>
    <w:rsid w:val="00843AAD"/>
    <w:rsid w:val="00844574"/>
    <w:rsid w:val="00853ED2"/>
    <w:rsid w:val="0086278F"/>
    <w:rsid w:val="00864DE4"/>
    <w:rsid w:val="00875E11"/>
    <w:rsid w:val="00887BD6"/>
    <w:rsid w:val="008A1A62"/>
    <w:rsid w:val="008A6005"/>
    <w:rsid w:val="008C2CF9"/>
    <w:rsid w:val="008C491E"/>
    <w:rsid w:val="008C7B12"/>
    <w:rsid w:val="008D35F1"/>
    <w:rsid w:val="008D6A73"/>
    <w:rsid w:val="008E3351"/>
    <w:rsid w:val="008F02CC"/>
    <w:rsid w:val="008F068B"/>
    <w:rsid w:val="008F093D"/>
    <w:rsid w:val="008F1A05"/>
    <w:rsid w:val="008F308D"/>
    <w:rsid w:val="008F3502"/>
    <w:rsid w:val="008F5E6B"/>
    <w:rsid w:val="00906C99"/>
    <w:rsid w:val="0092123D"/>
    <w:rsid w:val="00921E08"/>
    <w:rsid w:val="00923E36"/>
    <w:rsid w:val="00934EFC"/>
    <w:rsid w:val="00940C1D"/>
    <w:rsid w:val="009426D3"/>
    <w:rsid w:val="00946FD6"/>
    <w:rsid w:val="00955271"/>
    <w:rsid w:val="00957452"/>
    <w:rsid w:val="00970DBE"/>
    <w:rsid w:val="009868DC"/>
    <w:rsid w:val="009A09F9"/>
    <w:rsid w:val="009A2E91"/>
    <w:rsid w:val="009A2F9F"/>
    <w:rsid w:val="009A54CF"/>
    <w:rsid w:val="009A67CD"/>
    <w:rsid w:val="009B6A42"/>
    <w:rsid w:val="009D3003"/>
    <w:rsid w:val="009E037A"/>
    <w:rsid w:val="00A00340"/>
    <w:rsid w:val="00A10198"/>
    <w:rsid w:val="00A24AB9"/>
    <w:rsid w:val="00A32BCA"/>
    <w:rsid w:val="00A37097"/>
    <w:rsid w:val="00A41307"/>
    <w:rsid w:val="00A462FD"/>
    <w:rsid w:val="00A4663E"/>
    <w:rsid w:val="00A61F6F"/>
    <w:rsid w:val="00A627AB"/>
    <w:rsid w:val="00A74C90"/>
    <w:rsid w:val="00A85DD7"/>
    <w:rsid w:val="00A915F2"/>
    <w:rsid w:val="00A93C61"/>
    <w:rsid w:val="00A94777"/>
    <w:rsid w:val="00A96FFA"/>
    <w:rsid w:val="00AA1702"/>
    <w:rsid w:val="00AA3C6E"/>
    <w:rsid w:val="00AA5616"/>
    <w:rsid w:val="00AC684D"/>
    <w:rsid w:val="00AC750B"/>
    <w:rsid w:val="00AD053D"/>
    <w:rsid w:val="00AD16DE"/>
    <w:rsid w:val="00AD40BD"/>
    <w:rsid w:val="00AD40FB"/>
    <w:rsid w:val="00AD425A"/>
    <w:rsid w:val="00AD5C22"/>
    <w:rsid w:val="00AE42F2"/>
    <w:rsid w:val="00AE49AE"/>
    <w:rsid w:val="00AE5BAD"/>
    <w:rsid w:val="00AE6397"/>
    <w:rsid w:val="00B03163"/>
    <w:rsid w:val="00B171F7"/>
    <w:rsid w:val="00B25D28"/>
    <w:rsid w:val="00B27939"/>
    <w:rsid w:val="00B3139E"/>
    <w:rsid w:val="00B644DA"/>
    <w:rsid w:val="00B81ACC"/>
    <w:rsid w:val="00B831FA"/>
    <w:rsid w:val="00B8369C"/>
    <w:rsid w:val="00B841B7"/>
    <w:rsid w:val="00B87F89"/>
    <w:rsid w:val="00B91324"/>
    <w:rsid w:val="00BA14AF"/>
    <w:rsid w:val="00BA1F6C"/>
    <w:rsid w:val="00BA6943"/>
    <w:rsid w:val="00BB54DB"/>
    <w:rsid w:val="00BC0E22"/>
    <w:rsid w:val="00BC3F4F"/>
    <w:rsid w:val="00BD20DC"/>
    <w:rsid w:val="00BE6BB6"/>
    <w:rsid w:val="00C16AD7"/>
    <w:rsid w:val="00C2259A"/>
    <w:rsid w:val="00C234EF"/>
    <w:rsid w:val="00C267CD"/>
    <w:rsid w:val="00C3354C"/>
    <w:rsid w:val="00C451C2"/>
    <w:rsid w:val="00C53102"/>
    <w:rsid w:val="00C60ACF"/>
    <w:rsid w:val="00C6253A"/>
    <w:rsid w:val="00C70467"/>
    <w:rsid w:val="00C70B3C"/>
    <w:rsid w:val="00C73A57"/>
    <w:rsid w:val="00C856E0"/>
    <w:rsid w:val="00C86FA8"/>
    <w:rsid w:val="00C879BF"/>
    <w:rsid w:val="00C87B37"/>
    <w:rsid w:val="00C918B2"/>
    <w:rsid w:val="00C96711"/>
    <w:rsid w:val="00CA07DF"/>
    <w:rsid w:val="00CA1CF4"/>
    <w:rsid w:val="00CA4F1A"/>
    <w:rsid w:val="00CC7183"/>
    <w:rsid w:val="00CD4F01"/>
    <w:rsid w:val="00CD5FDD"/>
    <w:rsid w:val="00CF407B"/>
    <w:rsid w:val="00CF43F6"/>
    <w:rsid w:val="00CF4DE4"/>
    <w:rsid w:val="00D00F73"/>
    <w:rsid w:val="00D01500"/>
    <w:rsid w:val="00D0317C"/>
    <w:rsid w:val="00D07235"/>
    <w:rsid w:val="00D2504F"/>
    <w:rsid w:val="00D27B19"/>
    <w:rsid w:val="00D30C80"/>
    <w:rsid w:val="00D4448B"/>
    <w:rsid w:val="00D450C2"/>
    <w:rsid w:val="00D4600A"/>
    <w:rsid w:val="00D50778"/>
    <w:rsid w:val="00D51425"/>
    <w:rsid w:val="00D61245"/>
    <w:rsid w:val="00D65014"/>
    <w:rsid w:val="00D66E15"/>
    <w:rsid w:val="00D71E58"/>
    <w:rsid w:val="00D728F1"/>
    <w:rsid w:val="00D80DE3"/>
    <w:rsid w:val="00D835A9"/>
    <w:rsid w:val="00D84CAB"/>
    <w:rsid w:val="00D9122D"/>
    <w:rsid w:val="00D93DE0"/>
    <w:rsid w:val="00DB0960"/>
    <w:rsid w:val="00DB75D4"/>
    <w:rsid w:val="00DC1638"/>
    <w:rsid w:val="00DC2ACC"/>
    <w:rsid w:val="00DC5859"/>
    <w:rsid w:val="00DD0250"/>
    <w:rsid w:val="00DD6B65"/>
    <w:rsid w:val="00DE155A"/>
    <w:rsid w:val="00DE554E"/>
    <w:rsid w:val="00DE576A"/>
    <w:rsid w:val="00DF0D22"/>
    <w:rsid w:val="00DF562C"/>
    <w:rsid w:val="00DF5C54"/>
    <w:rsid w:val="00E134E1"/>
    <w:rsid w:val="00E26ADF"/>
    <w:rsid w:val="00E36D13"/>
    <w:rsid w:val="00E5328F"/>
    <w:rsid w:val="00E606FA"/>
    <w:rsid w:val="00E652CF"/>
    <w:rsid w:val="00E66451"/>
    <w:rsid w:val="00E70310"/>
    <w:rsid w:val="00E75068"/>
    <w:rsid w:val="00EA4924"/>
    <w:rsid w:val="00EA56B9"/>
    <w:rsid w:val="00EB01B5"/>
    <w:rsid w:val="00EB6FEF"/>
    <w:rsid w:val="00EC2045"/>
    <w:rsid w:val="00EC5E80"/>
    <w:rsid w:val="00ED40A7"/>
    <w:rsid w:val="00ED4DC1"/>
    <w:rsid w:val="00ED65EE"/>
    <w:rsid w:val="00EE6557"/>
    <w:rsid w:val="00EF273F"/>
    <w:rsid w:val="00EF3DA2"/>
    <w:rsid w:val="00EF63B8"/>
    <w:rsid w:val="00EF7142"/>
    <w:rsid w:val="00EF7A97"/>
    <w:rsid w:val="00F02231"/>
    <w:rsid w:val="00F06F52"/>
    <w:rsid w:val="00F11D58"/>
    <w:rsid w:val="00F12E6F"/>
    <w:rsid w:val="00F161E5"/>
    <w:rsid w:val="00F2067C"/>
    <w:rsid w:val="00F229AA"/>
    <w:rsid w:val="00F271EF"/>
    <w:rsid w:val="00F30D6C"/>
    <w:rsid w:val="00F33507"/>
    <w:rsid w:val="00F40DE9"/>
    <w:rsid w:val="00F52E4E"/>
    <w:rsid w:val="00F5668D"/>
    <w:rsid w:val="00F6037A"/>
    <w:rsid w:val="00F6727A"/>
    <w:rsid w:val="00F70E8E"/>
    <w:rsid w:val="00F71658"/>
    <w:rsid w:val="00F74C17"/>
    <w:rsid w:val="00F83C0D"/>
    <w:rsid w:val="00F876E6"/>
    <w:rsid w:val="00F91835"/>
    <w:rsid w:val="00FA08BC"/>
    <w:rsid w:val="00FC0CB9"/>
    <w:rsid w:val="00FC217A"/>
    <w:rsid w:val="00FC32EC"/>
    <w:rsid w:val="00FC39E9"/>
    <w:rsid w:val="00FD035E"/>
    <w:rsid w:val="00FD2CA0"/>
    <w:rsid w:val="00FD399A"/>
    <w:rsid w:val="00FD6506"/>
    <w:rsid w:val="00FD67BE"/>
    <w:rsid w:val="00FE184E"/>
    <w:rsid w:val="00FE43F2"/>
    <w:rsid w:val="00FF3BA0"/>
    <w:rsid w:val="03A52558"/>
    <w:rsid w:val="077F974E"/>
    <w:rsid w:val="079A1925"/>
    <w:rsid w:val="0CAAC489"/>
    <w:rsid w:val="0F02A21A"/>
    <w:rsid w:val="0F503DAF"/>
    <w:rsid w:val="125CDBCF"/>
    <w:rsid w:val="137D43F9"/>
    <w:rsid w:val="13D5A9EE"/>
    <w:rsid w:val="14590F68"/>
    <w:rsid w:val="15294861"/>
    <w:rsid w:val="1A77F66C"/>
    <w:rsid w:val="1C8ADB81"/>
    <w:rsid w:val="1DE491F7"/>
    <w:rsid w:val="1ED4B08C"/>
    <w:rsid w:val="227A00F2"/>
    <w:rsid w:val="22D9A4BF"/>
    <w:rsid w:val="23B67E7C"/>
    <w:rsid w:val="23EA402C"/>
    <w:rsid w:val="24D35B70"/>
    <w:rsid w:val="280CA8E1"/>
    <w:rsid w:val="289AA90F"/>
    <w:rsid w:val="2B2F80BE"/>
    <w:rsid w:val="2D3CF009"/>
    <w:rsid w:val="30E269E0"/>
    <w:rsid w:val="3120CD1D"/>
    <w:rsid w:val="314FACFA"/>
    <w:rsid w:val="36DF9843"/>
    <w:rsid w:val="37210949"/>
    <w:rsid w:val="373FA1FB"/>
    <w:rsid w:val="385FE6F5"/>
    <w:rsid w:val="394BB6EB"/>
    <w:rsid w:val="3AD75E41"/>
    <w:rsid w:val="3C3E7C05"/>
    <w:rsid w:val="3CFE5F5F"/>
    <w:rsid w:val="3DC38256"/>
    <w:rsid w:val="40F161DD"/>
    <w:rsid w:val="4206F849"/>
    <w:rsid w:val="4402DA4D"/>
    <w:rsid w:val="453ABA61"/>
    <w:rsid w:val="46D59BD9"/>
    <w:rsid w:val="47CD9A05"/>
    <w:rsid w:val="47E41F9D"/>
    <w:rsid w:val="4900ABC2"/>
    <w:rsid w:val="4983320E"/>
    <w:rsid w:val="4AC76577"/>
    <w:rsid w:val="4C5CA6DC"/>
    <w:rsid w:val="4D34A06B"/>
    <w:rsid w:val="4D674808"/>
    <w:rsid w:val="4DDC62E7"/>
    <w:rsid w:val="51128580"/>
    <w:rsid w:val="5143B42C"/>
    <w:rsid w:val="56988543"/>
    <w:rsid w:val="57807753"/>
    <w:rsid w:val="59A11B0A"/>
    <w:rsid w:val="5B6C7BDF"/>
    <w:rsid w:val="5BB3EEE6"/>
    <w:rsid w:val="5C57392A"/>
    <w:rsid w:val="5DE128C3"/>
    <w:rsid w:val="5F47FD32"/>
    <w:rsid w:val="5FC092BB"/>
    <w:rsid w:val="627BB4B3"/>
    <w:rsid w:val="63729516"/>
    <w:rsid w:val="6492C19B"/>
    <w:rsid w:val="65A7EDB4"/>
    <w:rsid w:val="65F79D4F"/>
    <w:rsid w:val="67A46802"/>
    <w:rsid w:val="6AF52F26"/>
    <w:rsid w:val="6CFBE8F9"/>
    <w:rsid w:val="6D473E04"/>
    <w:rsid w:val="6F9E507E"/>
    <w:rsid w:val="702487B1"/>
    <w:rsid w:val="711E5EB7"/>
    <w:rsid w:val="72033C2B"/>
    <w:rsid w:val="72B08C68"/>
    <w:rsid w:val="7509722A"/>
    <w:rsid w:val="75B23B10"/>
    <w:rsid w:val="77F5EBE5"/>
    <w:rsid w:val="78DE4E16"/>
    <w:rsid w:val="7A0615CB"/>
    <w:rsid w:val="7B4B6533"/>
    <w:rsid w:val="7C5F2FA3"/>
    <w:rsid w:val="7ED0AB1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3A1E785"/>
  <w15:chartTrackingRefBased/>
  <w15:docId w15:val="{9D5E1DC1-BE76-4F36-8BA4-D988BBD8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1C2"/>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B9C"/>
    <w:pPr>
      <w:tabs>
        <w:tab w:val="center" w:pos="4680"/>
        <w:tab w:val="right" w:pos="9360"/>
      </w:tabs>
    </w:pPr>
  </w:style>
  <w:style w:type="character" w:customStyle="1" w:styleId="HeaderChar">
    <w:name w:val="Header Char"/>
    <w:basedOn w:val="DefaultParagraphFont"/>
    <w:link w:val="Header"/>
    <w:uiPriority w:val="99"/>
    <w:rsid w:val="00107B9C"/>
    <w:rPr>
      <w:rFonts w:ascii="Calibri" w:hAnsi="Calibri" w:cs="Calibri"/>
      <w:kern w:val="0"/>
      <w14:ligatures w14:val="none"/>
    </w:rPr>
  </w:style>
  <w:style w:type="paragraph" w:styleId="Footer">
    <w:name w:val="footer"/>
    <w:basedOn w:val="Normal"/>
    <w:link w:val="FooterChar"/>
    <w:uiPriority w:val="99"/>
    <w:unhideWhenUsed/>
    <w:rsid w:val="00107B9C"/>
    <w:pPr>
      <w:tabs>
        <w:tab w:val="center" w:pos="4680"/>
        <w:tab w:val="right" w:pos="9360"/>
      </w:tabs>
    </w:pPr>
  </w:style>
  <w:style w:type="character" w:customStyle="1" w:styleId="FooterChar">
    <w:name w:val="Footer Char"/>
    <w:basedOn w:val="DefaultParagraphFont"/>
    <w:link w:val="Footer"/>
    <w:uiPriority w:val="99"/>
    <w:rsid w:val="00107B9C"/>
    <w:rPr>
      <w:rFonts w:ascii="Calibri" w:hAnsi="Calibri" w:cs="Calibri"/>
      <w:kern w:val="0"/>
      <w14:ligatures w14:val="none"/>
    </w:rPr>
  </w:style>
  <w:style w:type="paragraph" w:styleId="ListParagraph">
    <w:name w:val="List Paragraph"/>
    <w:basedOn w:val="Normal"/>
    <w:uiPriority w:val="34"/>
    <w:qFormat/>
    <w:rsid w:val="001D4386"/>
    <w:pPr>
      <w:widowControl w:val="0"/>
      <w:autoSpaceDE w:val="0"/>
      <w:autoSpaceDN w:val="0"/>
      <w:adjustRightInd w:val="0"/>
      <w:ind w:left="720"/>
      <w:contextualSpacing/>
    </w:pPr>
    <w:rPr>
      <w:rFonts w:ascii="Courier 12cpi" w:eastAsia="Times New Roman" w:hAnsi="Courier 12cpi" w:cs="Times New Roman"/>
      <w:sz w:val="24"/>
      <w:szCs w:val="24"/>
    </w:rPr>
  </w:style>
  <w:style w:type="character" w:styleId="CommentReference">
    <w:name w:val="annotation reference"/>
    <w:basedOn w:val="DefaultParagraphFont"/>
    <w:uiPriority w:val="99"/>
    <w:semiHidden/>
    <w:unhideWhenUsed/>
    <w:rsid w:val="002D1497"/>
    <w:rPr>
      <w:sz w:val="16"/>
      <w:szCs w:val="16"/>
    </w:rPr>
  </w:style>
  <w:style w:type="paragraph" w:styleId="CommentText">
    <w:name w:val="annotation text"/>
    <w:basedOn w:val="Normal"/>
    <w:link w:val="CommentTextChar"/>
    <w:uiPriority w:val="99"/>
    <w:unhideWhenUsed/>
    <w:rsid w:val="002D1497"/>
    <w:rPr>
      <w:sz w:val="20"/>
      <w:szCs w:val="20"/>
    </w:rPr>
  </w:style>
  <w:style w:type="character" w:customStyle="1" w:styleId="CommentTextChar">
    <w:name w:val="Comment Text Char"/>
    <w:basedOn w:val="DefaultParagraphFont"/>
    <w:link w:val="CommentText"/>
    <w:uiPriority w:val="99"/>
    <w:rsid w:val="002D1497"/>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1497"/>
    <w:rPr>
      <w:b/>
      <w:bCs/>
    </w:rPr>
  </w:style>
  <w:style w:type="character" w:customStyle="1" w:styleId="CommentSubjectChar">
    <w:name w:val="Comment Subject Char"/>
    <w:basedOn w:val="CommentTextChar"/>
    <w:link w:val="CommentSubject"/>
    <w:uiPriority w:val="99"/>
    <w:semiHidden/>
    <w:rsid w:val="002D1497"/>
    <w:rPr>
      <w:rFonts w:ascii="Calibri" w:hAnsi="Calibri" w:cs="Calibri"/>
      <w:b/>
      <w:bCs/>
      <w:kern w:val="0"/>
      <w:sz w:val="20"/>
      <w:szCs w:val="20"/>
      <w14:ligatures w14:val="none"/>
    </w:rPr>
  </w:style>
  <w:style w:type="paragraph" w:styleId="BodyText">
    <w:name w:val="Body Text"/>
    <w:basedOn w:val="Normal"/>
    <w:link w:val="BodyTextChar"/>
    <w:uiPriority w:val="99"/>
    <w:unhideWhenUsed/>
    <w:rsid w:val="00D835A9"/>
    <w:pPr>
      <w:spacing w:after="120"/>
    </w:pPr>
  </w:style>
  <w:style w:type="character" w:customStyle="1" w:styleId="BodyTextChar">
    <w:name w:val="Body Text Char"/>
    <w:basedOn w:val="DefaultParagraphFont"/>
    <w:link w:val="BodyText"/>
    <w:uiPriority w:val="99"/>
    <w:rsid w:val="00D835A9"/>
    <w:rPr>
      <w:rFonts w:ascii="Calibri" w:hAnsi="Calibri" w:cs="Calibri"/>
      <w:kern w:val="0"/>
      <w14:ligatures w14:val="none"/>
    </w:rPr>
  </w:style>
  <w:style w:type="paragraph" w:customStyle="1" w:styleId="table-headers">
    <w:name w:val="table-headers"/>
    <w:basedOn w:val="Normal"/>
    <w:rsid w:val="00265422"/>
    <w:pPr>
      <w:spacing w:before="240" w:after="120"/>
      <w:jc w:val="center"/>
    </w:pPr>
    <w:rPr>
      <w:rFonts w:ascii="Arial" w:eastAsia="SimSun" w:hAnsi="Arial" w:cs="Times New Roman"/>
      <w:bCs/>
      <w:color w:val="C45911" w:themeColor="accent2" w:themeShade="BF"/>
      <w:sz w:val="18"/>
      <w:szCs w:val="18"/>
      <w:lang w:eastAsia="zh-CN"/>
    </w:rPr>
  </w:style>
  <w:style w:type="paragraph" w:customStyle="1" w:styleId="table-text">
    <w:name w:val="table-text"/>
    <w:basedOn w:val="Normal"/>
    <w:rsid w:val="00265422"/>
    <w:pPr>
      <w:spacing w:before="60" w:after="60"/>
    </w:pPr>
    <w:rPr>
      <w:rFonts w:ascii="Arial" w:eastAsia="SimSun" w:hAnsi="Arial" w:cs="Times New Roman"/>
      <w:sz w:val="18"/>
      <w:lang w:eastAsia="zh-CN"/>
    </w:rPr>
  </w:style>
  <w:style w:type="table" w:customStyle="1" w:styleId="ReportTableStyle">
    <w:name w:val="Report Table Style"/>
    <w:basedOn w:val="TableNormal"/>
    <w:uiPriority w:val="99"/>
    <w:rsid w:val="00265422"/>
    <w:pPr>
      <w:spacing w:after="0" w:line="240" w:lineRule="auto"/>
    </w:pPr>
    <w:rPr>
      <w:rFonts w:eastAsia="SimSun" w:cs="Times New Roman"/>
      <w:kern w:val="0"/>
      <w14:ligatures w14:val="none"/>
    </w:rPr>
    <w:tblPr>
      <w:tblStyleRowBandSize w:val="1"/>
      <w:tblBorders>
        <w:top w:val="single" w:sz="4" w:space="0" w:color="00A3E0"/>
        <w:bottom w:val="single" w:sz="4" w:space="0" w:color="ED7D31" w:themeColor="accent2"/>
        <w:insideH w:val="single" w:sz="4" w:space="0" w:color="ED7D31" w:themeColor="accent2"/>
      </w:tblBorders>
    </w:tblPr>
    <w:tblStylePr w:type="firstRow">
      <w:tblPr/>
      <w:tcPr>
        <w:tcBorders>
          <w:bottom w:val="single" w:sz="18" w:space="0" w:color="ED7D31" w:themeColor="accent2"/>
        </w:tcBorders>
      </w:tcPr>
    </w:tblStylePr>
    <w:tblStylePr w:type="lastRow">
      <w:tblPr/>
      <w:tcPr>
        <w:tcBorders>
          <w:bottom w:val="single" w:sz="18" w:space="0" w:color="ED7D31" w:themeColor="accent2"/>
        </w:tcBorders>
      </w:tcPr>
    </w:tblStylePr>
    <w:tblStylePr w:type="firstCol">
      <w:tblPr/>
      <w:tcPr>
        <w:shd w:val="clear" w:color="auto" w:fill="EBF0F9" w:themeFill="accent1" w:themeFillTint="1A"/>
      </w:tcPr>
    </w:tblStylePr>
    <w:tblStylePr w:type="band2Horz">
      <w:tblPr/>
      <w:tcPr>
        <w:shd w:val="clear" w:color="auto" w:fill="EBF0F9" w:themeFill="accent1" w:themeFillTint="1A"/>
      </w:tcPr>
    </w:tblStylePr>
  </w:style>
  <w:style w:type="paragraph" w:customStyle="1" w:styleId="table-first-column">
    <w:name w:val="table-first-column"/>
    <w:basedOn w:val="table-text"/>
    <w:rsid w:val="00265422"/>
    <w:rPr>
      <w:b/>
      <w:bCs/>
      <w:color w:val="44546A" w:themeColor="text2"/>
    </w:rPr>
  </w:style>
  <w:style w:type="paragraph" w:customStyle="1" w:styleId="table-title">
    <w:name w:val="table-title"/>
    <w:basedOn w:val="Normal"/>
    <w:rsid w:val="005E27E7"/>
    <w:pPr>
      <w:keepNext/>
      <w:keepLines/>
      <w:spacing w:before="320" w:after="120"/>
      <w:ind w:left="1440" w:hanging="1440"/>
    </w:pPr>
    <w:rPr>
      <w:rFonts w:ascii="Arial" w:eastAsia="SimSun" w:hAnsi="Arial" w:cs="Times New Roman"/>
      <w:bCs/>
      <w:lang w:eastAsia="zh-CN"/>
    </w:rPr>
  </w:style>
  <w:style w:type="character" w:customStyle="1" w:styleId="blueboldemphasis">
    <w:name w:val="blue_bold_emphasis"/>
    <w:basedOn w:val="DefaultParagraphFont"/>
    <w:uiPriority w:val="1"/>
    <w:rsid w:val="005E27E7"/>
    <w:rPr>
      <w:b/>
      <w:color w:val="44546A" w:themeColor="text2"/>
    </w:rPr>
  </w:style>
  <w:style w:type="paragraph" w:customStyle="1" w:styleId="table-source-note">
    <w:name w:val="table-source-note"/>
    <w:basedOn w:val="Normal"/>
    <w:rsid w:val="003D2A3C"/>
    <w:pPr>
      <w:keepLines/>
      <w:spacing w:before="60" w:after="360"/>
      <w:ind w:left="187" w:hanging="187"/>
      <w:contextualSpacing/>
    </w:pPr>
    <w:rPr>
      <w:rFonts w:ascii="Arial" w:eastAsia="SimSun" w:hAnsi="Arial" w:cs="Times New Roman"/>
      <w:sz w:val="18"/>
      <w:lang w:eastAsia="zh-CN"/>
    </w:rPr>
  </w:style>
  <w:style w:type="paragraph" w:styleId="FootnoteText">
    <w:name w:val="footnote text"/>
    <w:aliases w:val="F1"/>
    <w:basedOn w:val="Normal"/>
    <w:link w:val="FootnoteTextChar"/>
    <w:uiPriority w:val="99"/>
    <w:unhideWhenUsed/>
    <w:rsid w:val="00180AA5"/>
    <w:rPr>
      <w:sz w:val="20"/>
      <w:szCs w:val="20"/>
    </w:rPr>
  </w:style>
  <w:style w:type="character" w:customStyle="1" w:styleId="FootnoteTextChar">
    <w:name w:val="Footnote Text Char"/>
    <w:aliases w:val="F1 Char"/>
    <w:basedOn w:val="DefaultParagraphFont"/>
    <w:link w:val="FootnoteText"/>
    <w:uiPriority w:val="99"/>
    <w:rsid w:val="00180AA5"/>
    <w:rPr>
      <w:rFonts w:ascii="Calibri" w:hAnsi="Calibri" w:cs="Calibri"/>
      <w:kern w:val="0"/>
      <w:sz w:val="20"/>
      <w:szCs w:val="20"/>
      <w14:ligatures w14:val="none"/>
    </w:rPr>
  </w:style>
  <w:style w:type="character" w:styleId="FootnoteReference">
    <w:name w:val="footnote reference"/>
    <w:uiPriority w:val="99"/>
    <w:rsid w:val="00180AA5"/>
    <w:rPr>
      <w:rFonts w:ascii="Verdana" w:hAnsi="Verdana"/>
      <w:spacing w:val="0"/>
      <w:w w:val="100"/>
      <w:kern w:val="0"/>
      <w:position w:val="0"/>
      <w:vertAlign w:val="superscript"/>
    </w:rPr>
  </w:style>
  <w:style w:type="character" w:styleId="Hyperlink">
    <w:name w:val="Hyperlink"/>
    <w:uiPriority w:val="99"/>
    <w:rsid w:val="00180AA5"/>
    <w:rPr>
      <w:color w:val="1F419A"/>
      <w:u w:val="single"/>
      <w:lang w:val="en-US"/>
    </w:rPr>
  </w:style>
  <w:style w:type="paragraph" w:styleId="Revision">
    <w:name w:val="Revision"/>
    <w:hidden/>
    <w:uiPriority w:val="99"/>
    <w:semiHidden/>
    <w:rsid w:val="006A5958"/>
    <w:pPr>
      <w:spacing w:after="0" w:line="240" w:lineRule="auto"/>
    </w:pPr>
    <w:rPr>
      <w:rFonts w:ascii="Calibri" w:hAnsi="Calibri" w:cs="Calibri"/>
      <w:kern w:val="0"/>
      <w14:ligatures w14:val="none"/>
    </w:rPr>
  </w:style>
  <w:style w:type="character" w:customStyle="1" w:styleId="eop">
    <w:name w:val="eop"/>
    <w:basedOn w:val="DefaultParagraphFont"/>
    <w:rsid w:val="00EF7142"/>
  </w:style>
  <w:style w:type="character" w:styleId="Mention">
    <w:name w:val="Mention"/>
    <w:basedOn w:val="DefaultParagraphFont"/>
    <w:uiPriority w:val="99"/>
    <w:unhideWhenUsed/>
    <w:rsid w:val="00304B05"/>
    <w:rPr>
      <w:color w:val="2B579A"/>
      <w:shd w:val="clear" w:color="auto" w:fill="E1DFDD"/>
    </w:rPr>
  </w:style>
  <w:style w:type="character" w:styleId="FollowedHyperlink">
    <w:name w:val="FollowedHyperlink"/>
    <w:basedOn w:val="DefaultParagraphFont"/>
    <w:uiPriority w:val="99"/>
    <w:semiHidden/>
    <w:unhideWhenUsed/>
    <w:rsid w:val="001A498E"/>
    <w:rPr>
      <w:color w:val="954F72" w:themeColor="followedHyperlink"/>
      <w:u w:val="single"/>
    </w:rPr>
  </w:style>
  <w:style w:type="character" w:styleId="UnresolvedMention">
    <w:name w:val="Unresolved Mention"/>
    <w:basedOn w:val="DefaultParagraphFont"/>
    <w:uiPriority w:val="99"/>
    <w:semiHidden/>
    <w:unhideWhenUsed/>
    <w:rsid w:val="00124339"/>
    <w:rPr>
      <w:color w:val="605E5C"/>
      <w:shd w:val="clear" w:color="auto" w:fill="E1DFDD"/>
    </w:rPr>
  </w:style>
  <w:style w:type="character" w:customStyle="1" w:styleId="cf01">
    <w:name w:val="cf01"/>
    <w:basedOn w:val="DefaultParagraphFont"/>
    <w:rsid w:val="00767454"/>
    <w:rPr>
      <w:rFonts w:ascii="Segoe UI" w:hAnsi="Segoe UI" w:cs="Segoe UI" w:hint="default"/>
      <w:color w:val="2A2A2A"/>
      <w:sz w:val="18"/>
      <w:szCs w:val="18"/>
      <w:shd w:val="clear" w:color="auto" w:fill="FFFFFF"/>
    </w:rPr>
  </w:style>
  <w:style w:type="character" w:customStyle="1" w:styleId="cf11">
    <w:name w:val="cf11"/>
    <w:basedOn w:val="DefaultParagraphFont"/>
    <w:rsid w:val="00767454"/>
    <w:rPr>
      <w:rFonts w:ascii="Segoe UI" w:hAnsi="Segoe UI" w:cs="Segoe UI" w:hint="default"/>
      <w:i/>
      <w:iCs/>
      <w:color w:val="2A2A2A"/>
      <w:sz w:val="18"/>
      <w:szCs w:val="18"/>
      <w:shd w:val="clear" w:color="auto" w:fill="FFFFFF"/>
    </w:rPr>
  </w:style>
  <w:style w:type="character" w:customStyle="1" w:styleId="cf21">
    <w:name w:val="cf21"/>
    <w:basedOn w:val="DefaultParagraphFont"/>
    <w:rsid w:val="00767454"/>
    <w:rPr>
      <w:rFonts w:ascii="Segoe UI" w:hAnsi="Segoe UI" w:cs="Segoe UI" w:hint="default"/>
      <w:sz w:val="18"/>
      <w:szCs w:val="18"/>
    </w:rPr>
  </w:style>
  <w:style w:type="paragraph" w:styleId="NormalWeb">
    <w:name w:val="Normal (Web)"/>
    <w:basedOn w:val="Normal"/>
    <w:uiPriority w:val="99"/>
    <w:semiHidden/>
    <w:unhideWhenUsed/>
    <w:rsid w:val="003829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newsroom/press-releases/2024/2026-census-test-site-selection.html" TargetMode="External" /><Relationship Id="rId2" Type="http://schemas.openxmlformats.org/officeDocument/2006/relationships/hyperlink" Target="https://doi.org/10.1093/poq/nfr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4A704-2C49-4471-9F05-E5F28585F240}">
  <ds:schemaRefs>
    <ds:schemaRef ds:uri="http://schemas.openxmlformats.org/officeDocument/2006/bibliography"/>
  </ds:schemaRefs>
</ds:datastoreItem>
</file>

<file path=customXml/itemProps2.xml><?xml version="1.0" encoding="utf-8"?>
<ds:datastoreItem xmlns:ds="http://schemas.openxmlformats.org/officeDocument/2006/customXml" ds:itemID="{1E9D89DC-07E8-409A-A592-CC7B6A887A82}">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customXml/itemProps3.xml><?xml version="1.0" encoding="utf-8"?>
<ds:datastoreItem xmlns:ds="http://schemas.openxmlformats.org/officeDocument/2006/customXml" ds:itemID="{C9E4BEE2-893C-4F48-AB51-F6686B79B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ED936-F7E5-4EAA-92AD-FC1E944CE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Scheinin, Morgan - BLS</cp:lastModifiedBy>
  <cp:revision>2</cp:revision>
  <dcterms:created xsi:type="dcterms:W3CDTF">2025-09-15T10:13:00Z</dcterms:created>
  <dcterms:modified xsi:type="dcterms:W3CDTF">2025-09-15T10:13:00Z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441000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