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73D9" w:rsidRPr="002934B7" w:rsidP="00F41250" w14:paraId="5A283F40" w14:textId="2CF2958E">
      <w:pPr>
        <w:jc w:val="center"/>
        <w:rPr>
          <w:b/>
          <w:bCs/>
        </w:rPr>
      </w:pPr>
      <w:r w:rsidRPr="002934B7">
        <w:rPr>
          <w:b/>
          <w:bCs/>
        </w:rPr>
        <w:t>SUPPORTING STATEMENT</w:t>
      </w:r>
    </w:p>
    <w:p w:rsidR="00BB73D9" w:rsidRPr="002934B7" w:rsidP="00F41250" w14:paraId="550F5716" w14:textId="77777777">
      <w:pPr>
        <w:jc w:val="center"/>
        <w:rPr>
          <w:b/>
          <w:bCs/>
        </w:rPr>
      </w:pPr>
    </w:p>
    <w:p w:rsidR="00BB73D9" w:rsidRPr="002934B7" w:rsidP="00F41250" w14:paraId="488CC2DB" w14:textId="3F593F9D">
      <w:pPr>
        <w:jc w:val="center"/>
        <w:rPr>
          <w:b/>
          <w:bCs/>
        </w:rPr>
      </w:pPr>
      <w:r w:rsidRPr="002934B7">
        <w:rPr>
          <w:b/>
          <w:bCs/>
        </w:rPr>
        <w:t>Revision of Treasury International Capital (TIC)</w:t>
      </w:r>
    </w:p>
    <w:p w:rsidR="00BB73D9" w:rsidRPr="002934B7" w:rsidP="00F41250" w14:paraId="5B1C198F" w14:textId="7A33B130">
      <w:pPr>
        <w:jc w:val="center"/>
        <w:rPr>
          <w:b/>
          <w:bCs/>
        </w:rPr>
      </w:pPr>
      <w:r w:rsidRPr="002934B7">
        <w:rPr>
          <w:b/>
          <w:bCs/>
        </w:rPr>
        <w:t>B Forms</w:t>
      </w:r>
      <w:r w:rsidRPr="002934B7" w:rsidR="008A6570">
        <w:rPr>
          <w:b/>
          <w:bCs/>
        </w:rPr>
        <w:t xml:space="preserve"> </w:t>
      </w:r>
      <w:r w:rsidRPr="002934B7" w:rsidR="0089061C">
        <w:rPr>
          <w:b/>
          <w:bCs/>
        </w:rPr>
        <w:t>(BC, BL-1, BL-2,</w:t>
      </w:r>
      <w:r w:rsidRPr="002934B7">
        <w:rPr>
          <w:b/>
          <w:bCs/>
        </w:rPr>
        <w:t xml:space="preserve"> BQ-1</w:t>
      </w:r>
      <w:r w:rsidRPr="002934B7" w:rsidR="0089061C">
        <w:rPr>
          <w:b/>
          <w:bCs/>
        </w:rPr>
        <w:t>, BQ-2, BQ-3</w:t>
      </w:r>
      <w:r w:rsidRPr="002934B7" w:rsidR="00AD5606">
        <w:rPr>
          <w:b/>
          <w:bCs/>
        </w:rPr>
        <w:t>)</w:t>
      </w:r>
      <w:r w:rsidRPr="002934B7">
        <w:rPr>
          <w:b/>
          <w:bCs/>
        </w:rPr>
        <w:t xml:space="preserve"> (OMB No. 1505-0016)</w:t>
      </w:r>
    </w:p>
    <w:p w:rsidR="00BB73D9" w:rsidRPr="002934B7" w:rsidP="00F41250" w14:paraId="600D6029" w14:textId="77777777">
      <w:pPr>
        <w:jc w:val="center"/>
        <w:rPr>
          <w:b/>
          <w:bCs/>
        </w:rPr>
      </w:pPr>
    </w:p>
    <w:p w:rsidR="00BB73D9" w:rsidRPr="002934B7" w:rsidP="00F41250" w14:paraId="7C2EDD3B" w14:textId="77777777">
      <w:pPr>
        <w:rPr>
          <w:b/>
          <w:bCs/>
        </w:rPr>
      </w:pPr>
      <w:r w:rsidRPr="002934B7">
        <w:rPr>
          <w:b/>
          <w:bCs/>
        </w:rPr>
        <w:t>A.  Justification</w:t>
      </w:r>
    </w:p>
    <w:p w:rsidR="00BB73D9" w:rsidRPr="002934B7" w:rsidP="00F41250" w14:paraId="2CEA268F" w14:textId="26BC62DE">
      <w:pPr>
        <w:rPr>
          <w:b/>
          <w:bCs/>
        </w:rPr>
      </w:pPr>
      <w:r w:rsidRPr="002934B7">
        <w:rPr>
          <w:b/>
          <w:bCs/>
        </w:rPr>
        <w:t xml:space="preserve">  </w:t>
      </w:r>
    </w:p>
    <w:p w:rsidR="004905BF" w:rsidRPr="002934B7" w:rsidP="00F41250" w14:paraId="2DD5F4D2" w14:textId="6E5293B1">
      <w:pPr>
        <w:rPr>
          <w:b/>
          <w:bCs/>
        </w:rPr>
      </w:pPr>
      <w:r w:rsidRPr="002934B7">
        <w:rPr>
          <w:b/>
          <w:bCs/>
        </w:rPr>
        <w:t>1</w:t>
      </w:r>
      <w:r w:rsidRPr="002934B7">
        <w:rPr>
          <w:b/>
          <w:bCs/>
        </w:rPr>
        <w:t>.</w:t>
      </w:r>
      <w:r w:rsidRPr="002934B7" w:rsidR="00F617FD">
        <w:rPr>
          <w:b/>
          <w:bCs/>
        </w:rPr>
        <w:t xml:space="preserve">  </w:t>
      </w:r>
      <w:r w:rsidRPr="002934B7" w:rsidR="00BD27B6">
        <w:rPr>
          <w:b/>
          <w:bCs/>
        </w:rPr>
        <w:t>Circumstances</w:t>
      </w:r>
      <w:r w:rsidRPr="002934B7" w:rsidR="00BD27B6">
        <w:rPr>
          <w:b/>
          <w:bCs/>
        </w:rPr>
        <w:t xml:space="preserve"> necessitating the collection of information</w:t>
      </w:r>
    </w:p>
    <w:p w:rsidR="004905BF" w:rsidRPr="00F41250" w:rsidP="00F41250" w14:paraId="041DF0F6" w14:textId="77777777"/>
    <w:p w:rsidR="00EB73C7" w:rsidRPr="00F41250" w:rsidP="00F41250" w14:paraId="0BB1CA96" w14:textId="29937F8F">
      <w:r w:rsidRPr="00F41250">
        <w:t xml:space="preserve">The Treasury International Capital (TIC) B </w:t>
      </w:r>
      <w:r w:rsidR="009A37AB">
        <w:t>F</w:t>
      </w:r>
      <w:r w:rsidRPr="00F41250">
        <w:t>orms comprise the following</w:t>
      </w:r>
      <w:r w:rsidRPr="00F41250" w:rsidR="005D0049">
        <w:t xml:space="preserve"> six forms</w:t>
      </w:r>
      <w:r w:rsidRPr="00F41250" w:rsidR="00C25B0E">
        <w:t>, filed by banks, other depository institutions, bank holding companies, financial holding companies, securities brokers and dealers, and other financial institutions in the United States</w:t>
      </w:r>
      <w:r w:rsidRPr="00F41250">
        <w:t>:</w:t>
      </w:r>
    </w:p>
    <w:p w:rsidR="00EB73C7" w:rsidRPr="00F41250" w:rsidP="00F41250" w14:paraId="3EB59F54" w14:textId="4DC1D6DA">
      <w:pPr>
        <w:pStyle w:val="ListParagraph"/>
        <w:numPr>
          <w:ilvl w:val="0"/>
          <w:numId w:val="3"/>
        </w:numPr>
      </w:pPr>
      <w:r w:rsidRPr="00F41250">
        <w:t>Form BC</w:t>
      </w:r>
      <w:r w:rsidRPr="00F41250" w:rsidR="00810BE6">
        <w:t xml:space="preserve"> (monthly)</w:t>
      </w:r>
      <w:r w:rsidRPr="00F41250">
        <w:t>, “Report of U.S. Dollar Claims of Financial Institutions on Foreign Residents”</w:t>
      </w:r>
      <w:r w:rsidRPr="00F41250" w:rsidR="00C25B0E">
        <w:t>: R</w:t>
      </w:r>
      <w:r w:rsidRPr="00F41250">
        <w:t>eport</w:t>
      </w:r>
      <w:r w:rsidRPr="00F41250" w:rsidR="00C25B0E">
        <w:t>s</w:t>
      </w:r>
      <w:r w:rsidRPr="00F41250">
        <w:t xml:space="preserve"> their own portfolio claims (exclusive of long-term securities) on foreign residents.</w:t>
      </w:r>
    </w:p>
    <w:p w:rsidR="00EB73C7" w:rsidRPr="00F41250" w:rsidP="00F41250" w14:paraId="58AE3441" w14:textId="3C857A9C">
      <w:pPr>
        <w:pStyle w:val="ListParagraph"/>
        <w:numPr>
          <w:ilvl w:val="0"/>
          <w:numId w:val="3"/>
        </w:numPr>
      </w:pPr>
      <w:r w:rsidRPr="00F41250">
        <w:t>Form BL-1</w:t>
      </w:r>
      <w:r w:rsidRPr="00F41250" w:rsidR="00810BE6">
        <w:t xml:space="preserve"> (monthly)</w:t>
      </w:r>
      <w:r w:rsidRPr="00F41250">
        <w:t>, “Report of U.S. Dollar Liabilities of Financial Institutions to Foreign Residents”</w:t>
      </w:r>
      <w:r w:rsidRPr="00F41250" w:rsidR="00C25B0E">
        <w:t>: R</w:t>
      </w:r>
      <w:r w:rsidRPr="00F41250">
        <w:t>eport</w:t>
      </w:r>
      <w:r w:rsidRPr="00F41250" w:rsidR="00C25B0E">
        <w:t>s</w:t>
      </w:r>
      <w:r w:rsidRPr="00F41250">
        <w:t xml:space="preserve"> their own portfolio liabilities (exclusive of long-term securities) to foreign residents.</w:t>
      </w:r>
    </w:p>
    <w:p w:rsidR="00EB73C7" w:rsidRPr="00F41250" w:rsidP="00F41250" w14:paraId="2E177A2E" w14:textId="1959752B">
      <w:pPr>
        <w:pStyle w:val="ListParagraph"/>
        <w:numPr>
          <w:ilvl w:val="0"/>
          <w:numId w:val="3"/>
        </w:numPr>
      </w:pPr>
      <w:r w:rsidRPr="00F41250">
        <w:t>Form BL-2</w:t>
      </w:r>
      <w:r w:rsidRPr="00F41250" w:rsidR="00810BE6">
        <w:t xml:space="preserve"> (monthly)</w:t>
      </w:r>
      <w:r w:rsidRPr="00F41250">
        <w:t>, “Report of Customers’ U.S. Dollar Liabilities to Foreign Residents”</w:t>
      </w:r>
      <w:r w:rsidRPr="00F41250" w:rsidR="00C25B0E">
        <w:t>: R</w:t>
      </w:r>
      <w:r w:rsidRPr="00F41250">
        <w:t>eport</w:t>
      </w:r>
      <w:r w:rsidRPr="00F41250" w:rsidR="00C25B0E">
        <w:t>s</w:t>
      </w:r>
      <w:r w:rsidRPr="00F41250">
        <w:t xml:space="preserve"> the U.S. dollar liabilities (exclusive of long-term securities) of their domestic customers.</w:t>
      </w:r>
    </w:p>
    <w:p w:rsidR="00EB73C7" w:rsidRPr="00F41250" w:rsidP="00F41250" w14:paraId="55B70503" w14:textId="1CE0B269">
      <w:pPr>
        <w:pStyle w:val="ListParagraph"/>
        <w:numPr>
          <w:ilvl w:val="0"/>
          <w:numId w:val="3"/>
        </w:numPr>
      </w:pPr>
      <w:r w:rsidRPr="00F41250">
        <w:t>Form BQ-1</w:t>
      </w:r>
      <w:r w:rsidRPr="00F41250" w:rsidR="00810BE6">
        <w:t xml:space="preserve"> (quarterly)</w:t>
      </w:r>
      <w:r w:rsidRPr="00F41250">
        <w:t>, “Report of Customers’ U.S. Dollar Claims on Foreign Residents”</w:t>
      </w:r>
      <w:r w:rsidRPr="00F41250" w:rsidR="00C25B0E">
        <w:t>: R</w:t>
      </w:r>
      <w:r w:rsidRPr="00F41250">
        <w:t>eport</w:t>
      </w:r>
      <w:r w:rsidRPr="00F41250" w:rsidR="00C25B0E">
        <w:t>s</w:t>
      </w:r>
      <w:r w:rsidRPr="00F41250">
        <w:t xml:space="preserve"> their own and their domestic customers’ portfolio claims (exclusive of long-term securities) on foreign residents.</w:t>
      </w:r>
    </w:p>
    <w:p w:rsidR="00EB73C7" w:rsidRPr="00F41250" w:rsidP="00F41250" w14:paraId="694816CF" w14:textId="71494082">
      <w:pPr>
        <w:pStyle w:val="ListParagraph"/>
        <w:numPr>
          <w:ilvl w:val="0"/>
          <w:numId w:val="3"/>
        </w:numPr>
      </w:pPr>
      <w:r w:rsidRPr="00F41250">
        <w:t>BQ-2</w:t>
      </w:r>
      <w:r w:rsidRPr="00F41250" w:rsidR="00810BE6">
        <w:t xml:space="preserve"> (quarterly)</w:t>
      </w:r>
      <w:r w:rsidRPr="00F41250">
        <w:t>, “Part 1 - Report of Foreign Currency Liabilities and Claims of Financial Institutions and of their Domestic Customers’ Foreign Currency Claims with Foreign Residents; Part 2 - Report of Customers’ Foreign Currency Liabilities to Foreign Residents”</w:t>
      </w:r>
      <w:r w:rsidRPr="00F41250" w:rsidR="00C25B0E">
        <w:t>: R</w:t>
      </w:r>
      <w:r w:rsidRPr="00F41250">
        <w:t>eport</w:t>
      </w:r>
      <w:r w:rsidRPr="00F41250" w:rsidR="00C25B0E">
        <w:t>s</w:t>
      </w:r>
      <w:r w:rsidRPr="00F41250">
        <w:t xml:space="preserve"> their own liabilities and claims (exclusive of long-term securities), and liabilities and claims (exclusive of long-term securities) of their domestic customers, denominated in foreign currencies.</w:t>
      </w:r>
    </w:p>
    <w:p w:rsidR="00EB73C7" w:rsidRPr="00F41250" w:rsidP="00F41250" w14:paraId="0D9FF16C" w14:textId="4B5F6D3F">
      <w:pPr>
        <w:pStyle w:val="ListParagraph"/>
        <w:numPr>
          <w:ilvl w:val="0"/>
          <w:numId w:val="3"/>
        </w:numPr>
      </w:pPr>
      <w:r w:rsidRPr="00F41250">
        <w:t>Form BQ-3</w:t>
      </w:r>
      <w:r w:rsidRPr="00F41250" w:rsidR="00810BE6">
        <w:t xml:space="preserve"> (quarterly)</w:t>
      </w:r>
      <w:r w:rsidRPr="00F41250">
        <w:t>, “Report of Maturities of Selected Liabilities and Claims of Financial Institutions with Foreign Residents”</w:t>
      </w:r>
      <w:r w:rsidRPr="00F41250" w:rsidR="00613CA2">
        <w:t>:</w:t>
      </w:r>
      <w:r w:rsidRPr="00F41250">
        <w:t xml:space="preserve"> </w:t>
      </w:r>
      <w:r w:rsidR="00BF5DC1">
        <w:t>R</w:t>
      </w:r>
      <w:r w:rsidRPr="00F41250">
        <w:t>eport</w:t>
      </w:r>
      <w:r w:rsidR="00BF5DC1">
        <w:t>s</w:t>
      </w:r>
      <w:r w:rsidRPr="00F41250">
        <w:t xml:space="preserve"> the maturities of </w:t>
      </w:r>
      <w:r w:rsidR="00BF5DC1">
        <w:t xml:space="preserve">their own </w:t>
      </w:r>
      <w:r w:rsidRPr="00F41250">
        <w:t>selected liabilities and claims with foreign residents denominated in U.S. dollars or in foreign currencies.</w:t>
      </w:r>
    </w:p>
    <w:p w:rsidR="00EB73C7" w:rsidRPr="00F41250" w:rsidP="00F41250" w14:paraId="55CFFDFC" w14:textId="77777777"/>
    <w:p w:rsidR="00BB73D9" w:rsidRPr="00F41250" w:rsidP="00F41250" w14:paraId="274F93F3" w14:textId="77777777">
      <w:r w:rsidRPr="00F41250">
        <w:t xml:space="preserve">These reports are required by E.O. Number 10033 of February 8, </w:t>
      </w:r>
      <w:r w:rsidRPr="00F41250">
        <w:t>1949</w:t>
      </w:r>
      <w:r w:rsidRPr="00F41250">
        <w:t xml:space="preserve"> and implementing Treasury Regulations (31 C.F.R. 128), the International Investment and Trade in Services Survey Act (22. U.S.C. 3103), and the Bretton Woods Agreements Act (Sec. 8(a) 59 Stat. 515; 22 U.S.C. 286f).  </w:t>
      </w:r>
    </w:p>
    <w:p w:rsidR="00BB73D9" w:rsidRPr="00F41250" w:rsidP="00F41250" w14:paraId="32EB9E3B" w14:textId="77777777"/>
    <w:p w:rsidR="004905BF" w:rsidRPr="002934B7" w:rsidP="00F41250" w14:paraId="142205D1" w14:textId="19771722">
      <w:pPr>
        <w:rPr>
          <w:b/>
          <w:bCs/>
        </w:rPr>
      </w:pPr>
      <w:r w:rsidRPr="002934B7">
        <w:rPr>
          <w:b/>
          <w:bCs/>
        </w:rPr>
        <w:t>2</w:t>
      </w:r>
      <w:r w:rsidRPr="002934B7">
        <w:rPr>
          <w:b/>
          <w:bCs/>
        </w:rPr>
        <w:t>.</w:t>
      </w:r>
      <w:r w:rsidRPr="002934B7" w:rsidR="00F617FD">
        <w:rPr>
          <w:b/>
          <w:bCs/>
        </w:rPr>
        <w:t xml:space="preserve">  </w:t>
      </w:r>
      <w:r w:rsidRPr="002934B7" w:rsidR="00BD27B6">
        <w:rPr>
          <w:b/>
          <w:bCs/>
        </w:rPr>
        <w:t>Use</w:t>
      </w:r>
      <w:r w:rsidRPr="002934B7" w:rsidR="00BD27B6">
        <w:rPr>
          <w:b/>
          <w:bCs/>
        </w:rPr>
        <w:t xml:space="preserve"> of data</w:t>
      </w:r>
    </w:p>
    <w:p w:rsidR="004905BF" w:rsidRPr="00F41250" w:rsidP="00F41250" w14:paraId="7845E83B" w14:textId="77777777"/>
    <w:p w:rsidR="00BB73D9" w:rsidRPr="00F41250" w:rsidP="00F41250" w14:paraId="2CEB2050" w14:textId="70812353">
      <w:r w:rsidRPr="00F41250">
        <w:t xml:space="preserve">Data collected on </w:t>
      </w:r>
      <w:r w:rsidRPr="00F41250" w:rsidR="00EB73C7">
        <w:t xml:space="preserve">the </w:t>
      </w:r>
      <w:r w:rsidRPr="00F41250">
        <w:t xml:space="preserve">TIC </w:t>
      </w:r>
      <w:r w:rsidR="005649F7">
        <w:t>B Forms</w:t>
      </w:r>
      <w:r w:rsidRPr="00F41250">
        <w:t xml:space="preserve"> constitute the most complete and readily available information on cross-border claims </w:t>
      </w:r>
      <w:r w:rsidRPr="00F41250" w:rsidR="006A1AC0">
        <w:t xml:space="preserve">and liabilities </w:t>
      </w:r>
      <w:r w:rsidRPr="00F41250">
        <w:t xml:space="preserve">of U.S. banks, </w:t>
      </w:r>
      <w:r w:rsidRPr="00F41250" w:rsidR="007E4337">
        <w:t xml:space="preserve">other financial institutions, </w:t>
      </w:r>
      <w:r w:rsidRPr="00F41250">
        <w:t xml:space="preserve">and their domestic customers.  The data are necessary for compiling the U.S. balance of payments, for calculating the U.S. international investment position, and </w:t>
      </w:r>
      <w:r w:rsidRPr="00F41250" w:rsidR="000F2741">
        <w:t>for</w:t>
      </w:r>
      <w:r w:rsidRPr="00F41250">
        <w:t xml:space="preserve"> formulating U.S. international </w:t>
      </w:r>
      <w:r w:rsidRPr="00F41250">
        <w:t>financial and monetary policies.  Treasury, the Department of Commerce, and the Board of Governors of the Federal Reserve System are the most significan</w:t>
      </w:r>
      <w:r w:rsidRPr="00F41250">
        <w:t xml:space="preserve">t users of the data for these purposes.  </w:t>
      </w:r>
      <w:r w:rsidRPr="00F41250" w:rsidR="00BD27B6">
        <w:t>Consistent with the procedures for TIC reporting forms, r</w:t>
      </w:r>
      <w:r w:rsidRPr="00F41250">
        <w:t xml:space="preserve">espondents covered by the reporting requirements of </w:t>
      </w:r>
      <w:r w:rsidRPr="00F41250" w:rsidR="00EB73C7">
        <w:t xml:space="preserve">the </w:t>
      </w:r>
      <w:r w:rsidR="005649F7">
        <w:t>B Forms</w:t>
      </w:r>
      <w:r w:rsidRPr="00F41250">
        <w:t xml:space="preserve"> report directly to </w:t>
      </w:r>
      <w:r w:rsidRPr="00F41250" w:rsidR="00E20ABA">
        <w:t xml:space="preserve">a </w:t>
      </w:r>
      <w:r w:rsidRPr="00F41250" w:rsidR="00574C6E">
        <w:t xml:space="preserve">central </w:t>
      </w:r>
      <w:r w:rsidRPr="00F41250" w:rsidR="00E20ABA">
        <w:t xml:space="preserve">portal jointly maintained by </w:t>
      </w:r>
      <w:r w:rsidRPr="00F41250">
        <w:t xml:space="preserve">the district Federal Reserve Banks, which act as fiscal agents for the Treasury.  The data are centrally aggregated and processed by the Federal Reserve Bank of New York (FRBNY) and then transmitted to the Treasury to be used for the purposes outlined above.  Further, the data are published </w:t>
      </w:r>
      <w:r w:rsidRPr="00F41250">
        <w:t xml:space="preserve">regularly in aggregate statistical formats, for the benefit of private </w:t>
      </w:r>
      <w:r w:rsidRPr="00F41250" w:rsidR="00B33D8C">
        <w:t xml:space="preserve">sector </w:t>
      </w:r>
      <w:r w:rsidRPr="00F41250">
        <w:t xml:space="preserve">users, in the </w:t>
      </w:r>
      <w:r w:rsidRPr="00F41250" w:rsidR="001E6C54">
        <w:t xml:space="preserve">Federal Reserve </w:t>
      </w:r>
      <w:r w:rsidRPr="00F41250">
        <w:t>Board of Governors</w:t>
      </w:r>
      <w:r w:rsidRPr="00F41250" w:rsidR="001E6C54">
        <w:t>’</w:t>
      </w:r>
      <w:r w:rsidRPr="00F41250">
        <w:t xml:space="preserve"> </w:t>
      </w:r>
      <w:r w:rsidRPr="00F41250" w:rsidR="000C6523">
        <w:t xml:space="preserve">Financial Accounts of the United States </w:t>
      </w:r>
      <w:r w:rsidRPr="00F41250" w:rsidR="001E41CE">
        <w:t>(</w:t>
      </w:r>
      <w:r w:rsidRPr="00F41250" w:rsidR="000C6523">
        <w:t xml:space="preserve">Z.1 data release) </w:t>
      </w:r>
      <w:r w:rsidRPr="00F41250">
        <w:t>and in the Department</w:t>
      </w:r>
      <w:r w:rsidRPr="00F41250" w:rsidR="00BD27B6">
        <w:t xml:space="preserve"> of Commerce</w:t>
      </w:r>
      <w:r w:rsidRPr="00F41250" w:rsidR="00AD799C">
        <w:t>’</w:t>
      </w:r>
      <w:r w:rsidRPr="00F41250">
        <w:t xml:space="preserve">s </w:t>
      </w:r>
      <w:r w:rsidRPr="0020246E">
        <w:rPr>
          <w:i/>
          <w:iCs/>
        </w:rPr>
        <w:t>Survey of Current Business</w:t>
      </w:r>
      <w:r w:rsidRPr="0020246E" w:rsidR="00B47587">
        <w:rPr>
          <w:i/>
          <w:iCs/>
        </w:rPr>
        <w:t>,</w:t>
      </w:r>
      <w:r w:rsidRPr="00F41250" w:rsidR="00AD65F5">
        <w:t xml:space="preserve"> its </w:t>
      </w:r>
      <w:r w:rsidRPr="00F41250" w:rsidR="00231D24">
        <w:t>International Transaction Accounts (ITA)</w:t>
      </w:r>
      <w:r w:rsidRPr="00F41250" w:rsidR="00B47587">
        <w:t>,</w:t>
      </w:r>
      <w:r w:rsidRPr="00F41250">
        <w:t xml:space="preserve"> </w:t>
      </w:r>
      <w:r w:rsidRPr="00F41250" w:rsidR="00231D24">
        <w:t xml:space="preserve">and </w:t>
      </w:r>
      <w:r w:rsidRPr="00F41250" w:rsidR="00B47587">
        <w:t xml:space="preserve">the U.S. </w:t>
      </w:r>
      <w:r w:rsidRPr="00F41250" w:rsidR="00231D24">
        <w:t xml:space="preserve">International Investment Position </w:t>
      </w:r>
      <w:r w:rsidRPr="00F41250" w:rsidR="00B47587">
        <w:t>(IIP).</w:t>
      </w:r>
      <w:r w:rsidRPr="00F41250">
        <w:t xml:space="preserve"> </w:t>
      </w:r>
      <w:r w:rsidRPr="00F41250" w:rsidR="00B47587">
        <w:t xml:space="preserve"> </w:t>
      </w:r>
      <w:r w:rsidRPr="00F41250" w:rsidR="0028039A">
        <w:t xml:space="preserve">Current and historical time series data, by country, reported on </w:t>
      </w:r>
      <w:r w:rsidRPr="00F41250" w:rsidR="001F2B8A">
        <w:t xml:space="preserve">the B </w:t>
      </w:r>
      <w:r w:rsidR="009A37AB">
        <w:t>F</w:t>
      </w:r>
      <w:r w:rsidRPr="00F41250" w:rsidR="001F2B8A">
        <w:t xml:space="preserve">orms are also posted to the Treasury TIC website at </w:t>
      </w:r>
      <w:hyperlink r:id="rId5" w:history="1">
        <w:r w:rsidRPr="00F41250" w:rsidR="000623EA">
          <w:rPr>
            <w:rStyle w:val="Hyperlink"/>
          </w:rPr>
          <w:t>https://home.treasury.gov/data/treasury-international-capital-tic-system</w:t>
        </w:r>
      </w:hyperlink>
      <w:r w:rsidRPr="00F41250" w:rsidR="001F2B8A">
        <w:t xml:space="preserve">. In particular, data reported on </w:t>
      </w:r>
      <w:r w:rsidRPr="00F41250" w:rsidR="0028039A">
        <w:t>Form</w:t>
      </w:r>
      <w:r w:rsidRPr="00F41250" w:rsidR="00FD409E">
        <w:t>s</w:t>
      </w:r>
      <w:r w:rsidRPr="00F41250" w:rsidR="0028039A">
        <w:t xml:space="preserve"> BC</w:t>
      </w:r>
      <w:r w:rsidRPr="00F41250" w:rsidR="00D653C8">
        <w:t>, BQ-1</w:t>
      </w:r>
      <w:r w:rsidRPr="00F41250" w:rsidR="0028039A">
        <w:t xml:space="preserve"> </w:t>
      </w:r>
      <w:r w:rsidRPr="00F41250" w:rsidR="00FD409E">
        <w:t xml:space="preserve">and </w:t>
      </w:r>
      <w:r w:rsidRPr="00F41250" w:rsidR="00D653C8">
        <w:t>columns 3,</w:t>
      </w:r>
      <w:r w:rsidR="004C6E4A">
        <w:t xml:space="preserve"> </w:t>
      </w:r>
      <w:r w:rsidRPr="00F41250" w:rsidR="00D653C8">
        <w:t>4,</w:t>
      </w:r>
      <w:r w:rsidR="004C6E4A">
        <w:t xml:space="preserve"> </w:t>
      </w:r>
      <w:r w:rsidRPr="00F41250" w:rsidR="00D653C8">
        <w:t>5,</w:t>
      </w:r>
      <w:r w:rsidR="004C6E4A">
        <w:t xml:space="preserve"> and </w:t>
      </w:r>
      <w:r w:rsidRPr="00F41250" w:rsidR="00D653C8">
        <w:t xml:space="preserve">6 of </w:t>
      </w:r>
      <w:r w:rsidR="004C6E4A">
        <w:t xml:space="preserve">Form </w:t>
      </w:r>
      <w:r w:rsidRPr="00F41250" w:rsidR="00FD409E">
        <w:t>BQ-</w:t>
      </w:r>
      <w:r w:rsidRPr="00F41250" w:rsidR="00D653C8">
        <w:t>2</w:t>
      </w:r>
      <w:r w:rsidRPr="00F41250" w:rsidR="00FD409E">
        <w:t xml:space="preserve"> </w:t>
      </w:r>
      <w:r w:rsidRPr="00F41250" w:rsidR="0028039A">
        <w:t xml:space="preserve">are posted  at </w:t>
      </w:r>
      <w:hyperlink r:id="rId6" w:history="1">
        <w:r w:rsidRPr="00F41250" w:rsidR="0087098C">
          <w:rPr>
            <w:rStyle w:val="Hyperlink"/>
          </w:rPr>
          <w:t>https://www.treasury.gov/resource-center/data-chart-center/tic/Pages/ticlaim.aspx</w:t>
        </w:r>
      </w:hyperlink>
      <w:r w:rsidRPr="00F41250" w:rsidR="00D653C8">
        <w:t>;</w:t>
      </w:r>
      <w:r w:rsidRPr="00F41250" w:rsidR="0028039A">
        <w:t xml:space="preserve"> </w:t>
      </w:r>
      <w:r w:rsidRPr="00F41250" w:rsidR="00D653C8">
        <w:t>data</w:t>
      </w:r>
      <w:r w:rsidRPr="00F41250" w:rsidR="0028039A">
        <w:t xml:space="preserve"> reported on Form</w:t>
      </w:r>
      <w:r w:rsidRPr="00F41250" w:rsidR="00FD409E">
        <w:t>s</w:t>
      </w:r>
      <w:r w:rsidRPr="00F41250" w:rsidR="0028039A">
        <w:t xml:space="preserve"> BL-1</w:t>
      </w:r>
      <w:r w:rsidRPr="00F41250" w:rsidR="00D653C8">
        <w:t>, BL-2 and columns 1</w:t>
      </w:r>
      <w:r w:rsidR="004C6E4A">
        <w:t xml:space="preserve"> and </w:t>
      </w:r>
      <w:r w:rsidRPr="00F41250" w:rsidR="00D653C8">
        <w:t xml:space="preserve">2 of </w:t>
      </w:r>
      <w:r w:rsidR="004C6E4A">
        <w:t xml:space="preserve">Form </w:t>
      </w:r>
      <w:r w:rsidRPr="00F41250" w:rsidR="00D653C8">
        <w:t>BQ-2</w:t>
      </w:r>
      <w:r w:rsidRPr="00F41250" w:rsidR="00FD409E">
        <w:t xml:space="preserve"> </w:t>
      </w:r>
      <w:r w:rsidRPr="00F41250" w:rsidR="0028039A">
        <w:t xml:space="preserve">are posted at </w:t>
      </w:r>
      <w:hyperlink r:id="rId7" w:history="1">
        <w:r w:rsidRPr="00F41250" w:rsidR="00D653C8">
          <w:rPr>
            <w:rStyle w:val="Hyperlink"/>
          </w:rPr>
          <w:t>https://www.treasury.gov/resource-center/data-chart-center/tic/Pages/ticliab.aspx</w:t>
        </w:r>
      </w:hyperlink>
      <w:r w:rsidRPr="00F41250" w:rsidR="00D653C8">
        <w:t xml:space="preserve">; and </w:t>
      </w:r>
      <w:r w:rsidRPr="00F41250" w:rsidR="00FD409E">
        <w:t xml:space="preserve">data reported on Form BQ-3 are posted at </w:t>
      </w:r>
      <w:hyperlink r:id="rId8" w:history="1">
        <w:r w:rsidRPr="00F41250" w:rsidR="00D90090">
          <w:rPr>
            <w:rStyle w:val="Hyperlink"/>
          </w:rPr>
          <w:t>https://www.treasury.gov/resource-center/data-chart-center/tic/Pages/external-debt.aspx</w:t>
        </w:r>
      </w:hyperlink>
      <w:r w:rsidRPr="00F41250" w:rsidR="0028039A">
        <w:t>.</w:t>
      </w:r>
      <w:r w:rsidRPr="00F41250" w:rsidR="00D90090">
        <w:t xml:space="preserve"> </w:t>
      </w:r>
      <w:r w:rsidRPr="00F41250" w:rsidR="007E4337">
        <w:t xml:space="preserve">Additionally, selected historical data are available in various issues of the </w:t>
      </w:r>
      <w:r w:rsidRPr="007829A9" w:rsidR="007E4337">
        <w:rPr>
          <w:i/>
          <w:iCs/>
        </w:rPr>
        <w:t xml:space="preserve">Treasury Bulletin </w:t>
      </w:r>
      <w:r w:rsidRPr="00F41250" w:rsidR="007E4337">
        <w:t>through December 2013.</w:t>
      </w:r>
    </w:p>
    <w:p w:rsidR="00BB73D9" w:rsidRPr="00F41250" w:rsidP="00F41250" w14:paraId="534360B9" w14:textId="77777777"/>
    <w:p w:rsidR="004905BF" w:rsidRPr="002934B7" w:rsidP="00F41250" w14:paraId="5AE273DE" w14:textId="284CE42C">
      <w:pPr>
        <w:rPr>
          <w:b/>
          <w:bCs/>
        </w:rPr>
      </w:pPr>
      <w:r w:rsidRPr="002934B7">
        <w:rPr>
          <w:b/>
          <w:bCs/>
        </w:rPr>
        <w:t>3</w:t>
      </w:r>
      <w:r w:rsidRPr="002934B7">
        <w:rPr>
          <w:b/>
          <w:bCs/>
        </w:rPr>
        <w:t>.</w:t>
      </w:r>
      <w:r w:rsidRPr="002934B7" w:rsidR="00F617FD">
        <w:rPr>
          <w:b/>
          <w:bCs/>
        </w:rPr>
        <w:t xml:space="preserve">  </w:t>
      </w:r>
      <w:r w:rsidRPr="002934B7" w:rsidR="00BD27B6">
        <w:rPr>
          <w:b/>
          <w:bCs/>
        </w:rPr>
        <w:t>Use</w:t>
      </w:r>
      <w:r w:rsidRPr="002934B7" w:rsidR="00BD27B6">
        <w:rPr>
          <w:b/>
          <w:bCs/>
        </w:rPr>
        <w:t xml:space="preserve"> of information technology</w:t>
      </w:r>
    </w:p>
    <w:p w:rsidR="004905BF" w:rsidRPr="00F41250" w:rsidP="00F41250" w14:paraId="3C84039C" w14:textId="77777777"/>
    <w:p w:rsidR="009F3808" w:rsidRPr="00F41250" w:rsidP="00F41250" w14:paraId="2F8B4A18" w14:textId="2A46AFB0">
      <w:r w:rsidRPr="00F41250">
        <w:t xml:space="preserve">The </w:t>
      </w:r>
      <w:r w:rsidRPr="00F41250" w:rsidR="00BD27B6">
        <w:t xml:space="preserve">general </w:t>
      </w:r>
      <w:r w:rsidRPr="00F41250">
        <w:t xml:space="preserve">instructions for </w:t>
      </w:r>
      <w:r w:rsidRPr="00F41250" w:rsidR="00EB73C7">
        <w:t xml:space="preserve">the </w:t>
      </w:r>
      <w:r w:rsidR="005649F7">
        <w:t>B Forms</w:t>
      </w:r>
      <w:r w:rsidRPr="00F41250">
        <w:t xml:space="preserve"> inform respondents that</w:t>
      </w:r>
      <w:r w:rsidRPr="00F41250" w:rsidR="00BD27B6">
        <w:t xml:space="preserve"> they </w:t>
      </w:r>
      <w:r w:rsidRPr="00F41250" w:rsidR="006A54E2">
        <w:t>must</w:t>
      </w:r>
      <w:r w:rsidRPr="00F41250" w:rsidR="00BD27B6">
        <w:t xml:space="preserve"> file electronically via the Federal Reserve’s Reporting Central portal on the Internet</w:t>
      </w:r>
      <w:r w:rsidRPr="00F41250" w:rsidR="006A54E2">
        <w:t>.</w:t>
      </w:r>
      <w:r w:rsidRPr="00F41250">
        <w:t xml:space="preserve"> </w:t>
      </w:r>
    </w:p>
    <w:p w:rsidR="00BB73D9" w:rsidRPr="00F41250" w:rsidP="00F41250" w14:paraId="0DA64D11" w14:textId="77777777"/>
    <w:p w:rsidR="004905BF" w:rsidRPr="002934B7" w:rsidP="00F41250" w14:paraId="3FE7508E" w14:textId="562BDE8D">
      <w:pPr>
        <w:rPr>
          <w:b/>
          <w:bCs/>
        </w:rPr>
      </w:pPr>
      <w:r w:rsidRPr="002934B7">
        <w:rPr>
          <w:b/>
          <w:bCs/>
        </w:rPr>
        <w:t>4</w:t>
      </w:r>
      <w:r w:rsidRPr="002934B7">
        <w:rPr>
          <w:b/>
          <w:bCs/>
        </w:rPr>
        <w:t>.</w:t>
      </w:r>
      <w:r w:rsidRPr="002934B7" w:rsidR="00F617FD">
        <w:rPr>
          <w:b/>
          <w:bCs/>
        </w:rPr>
        <w:t xml:space="preserve">  </w:t>
      </w:r>
      <w:r w:rsidRPr="002934B7" w:rsidR="00BD27B6">
        <w:rPr>
          <w:b/>
          <w:bCs/>
        </w:rPr>
        <w:t>E</w:t>
      </w:r>
      <w:r w:rsidRPr="002934B7">
        <w:rPr>
          <w:b/>
          <w:bCs/>
        </w:rPr>
        <w:t>fforts</w:t>
      </w:r>
      <w:r w:rsidRPr="002934B7">
        <w:rPr>
          <w:b/>
          <w:bCs/>
        </w:rPr>
        <w:t xml:space="preserve"> to identify duplication</w:t>
      </w:r>
    </w:p>
    <w:p w:rsidR="004905BF" w:rsidRPr="00F41250" w:rsidP="00F41250" w14:paraId="280A2716" w14:textId="77777777"/>
    <w:p w:rsidR="00BB73D9" w:rsidRPr="00F41250" w:rsidP="00F41250" w14:paraId="288A461E" w14:textId="242CA8C9">
      <w:r>
        <w:t xml:space="preserve">Treasury </w:t>
      </w:r>
      <w:r w:rsidR="00715F6D">
        <w:t xml:space="preserve">knows </w:t>
      </w:r>
      <w:r>
        <w:t xml:space="preserve">of </w:t>
      </w:r>
      <w:r w:rsidR="00715F6D">
        <w:t xml:space="preserve">no </w:t>
      </w:r>
      <w:r>
        <w:t xml:space="preserve">other U.S. Government collection that provides timely and comprehensive information </w:t>
      </w:r>
      <w:r w:rsidR="00B57690">
        <w:t>on</w:t>
      </w:r>
      <w:r w:rsidR="00DA1ACB">
        <w:t xml:space="preserve"> </w:t>
      </w:r>
      <w:r>
        <w:t xml:space="preserve">cross-border claims and liabilities </w:t>
      </w:r>
      <w:r w:rsidR="00973A82">
        <w:t xml:space="preserve">in the manner of </w:t>
      </w:r>
      <w:r>
        <w:t xml:space="preserve">the TIC B </w:t>
      </w:r>
      <w:r w:rsidR="009A37AB">
        <w:t>F</w:t>
      </w:r>
      <w:r>
        <w:t>orms</w:t>
      </w:r>
      <w:r w:rsidR="00AC5867">
        <w:t xml:space="preserve"> and for the purposes </w:t>
      </w:r>
      <w:r w:rsidR="00931F73">
        <w:t>for which</w:t>
      </w:r>
      <w:r w:rsidR="00AC5867">
        <w:t xml:space="preserve"> the data collected are used</w:t>
      </w:r>
      <w:r>
        <w:t xml:space="preserve">. </w:t>
      </w:r>
      <w:r w:rsidR="000D2F40">
        <w:t xml:space="preserve"> </w:t>
      </w:r>
      <w:r w:rsidRPr="00F41250">
        <w:t xml:space="preserve">The Treasury is the sole U.S. Government collection authority for these </w:t>
      </w:r>
      <w:r w:rsidR="003F4E1C">
        <w:t xml:space="preserve">data on </w:t>
      </w:r>
      <w:r w:rsidRPr="00F41250">
        <w:t>international</w:t>
      </w:r>
      <w:r w:rsidR="00CE0862">
        <w:t xml:space="preserve"> flows of portfolio cap</w:t>
      </w:r>
      <w:r w:rsidR="008D5AA2">
        <w:t>i</w:t>
      </w:r>
      <w:r w:rsidR="00CE0862">
        <w:t>tal</w:t>
      </w:r>
      <w:r w:rsidRPr="00F41250">
        <w:t>.</w:t>
      </w:r>
    </w:p>
    <w:p w:rsidR="002D152C" w:rsidRPr="00F41250" w:rsidP="00F41250" w14:paraId="26B11EC0" w14:textId="77777777"/>
    <w:p w:rsidR="00BD27B6" w:rsidRPr="002934B7" w:rsidP="00F41250" w14:paraId="73F56AC3" w14:textId="3087A2E6">
      <w:pPr>
        <w:rPr>
          <w:b/>
          <w:bCs/>
        </w:rPr>
      </w:pPr>
      <w:r w:rsidRPr="002934B7">
        <w:rPr>
          <w:b/>
          <w:bCs/>
        </w:rPr>
        <w:t>5</w:t>
      </w:r>
      <w:r w:rsidRPr="002934B7">
        <w:rPr>
          <w:b/>
          <w:bCs/>
        </w:rPr>
        <w:t>.</w:t>
      </w:r>
      <w:r w:rsidRPr="002934B7" w:rsidR="00F617FD">
        <w:rPr>
          <w:b/>
          <w:bCs/>
        </w:rPr>
        <w:t xml:space="preserve">  </w:t>
      </w:r>
      <w:r w:rsidRPr="002934B7">
        <w:rPr>
          <w:b/>
          <w:bCs/>
        </w:rPr>
        <w:t>Impact</w:t>
      </w:r>
      <w:r w:rsidRPr="002934B7">
        <w:rPr>
          <w:b/>
          <w:bCs/>
        </w:rPr>
        <w:t xml:space="preserve"> on small entities</w:t>
      </w:r>
    </w:p>
    <w:p w:rsidR="00BD27B6" w:rsidRPr="00F41250" w:rsidP="00F41250" w14:paraId="290DB1D4" w14:textId="77777777"/>
    <w:p w:rsidR="004845D2" w:rsidP="00BD27B6" w14:paraId="0D6BD694" w14:textId="77777777">
      <w:r>
        <w:t xml:space="preserve">The reporting thresholds have been designed to reduce the overall reporting burden, especially on small entities.  </w:t>
      </w:r>
    </w:p>
    <w:p w:rsidR="004845D2" w:rsidP="001F58B1" w14:paraId="7D13A6F5" w14:textId="7ED6873D">
      <w:pPr>
        <w:numPr>
          <w:ilvl w:val="0"/>
          <w:numId w:val="2"/>
        </w:numPr>
      </w:pPr>
      <w:r>
        <w:t xml:space="preserve">The reporting threshold </w:t>
      </w:r>
      <w:r w:rsidR="00810BE6">
        <w:t xml:space="preserve">for Form BQ-3 is $4 billion at each quarter-end, </w:t>
      </w:r>
      <w:r w:rsidRPr="00AF2E23" w:rsidR="00AF2E23">
        <w:t>applied separately to Part 1 and Part 2</w:t>
      </w:r>
      <w:r w:rsidR="00AF2E23">
        <w:t>,</w:t>
      </w:r>
      <w:r w:rsidRPr="00AF2E23" w:rsidR="00AF2E23">
        <w:t xml:space="preserve"> </w:t>
      </w:r>
      <w:r w:rsidR="00810BE6">
        <w:t xml:space="preserve">and is applicable to the total of all </w:t>
      </w:r>
      <w:r w:rsidR="00F72C0D">
        <w:t xml:space="preserve">the rows in the Grand Total column of each Part. </w:t>
      </w:r>
      <w:r w:rsidR="00391F5F">
        <w:t>This threshold will remain unchanged.</w:t>
      </w:r>
    </w:p>
    <w:p w:rsidR="004845D2" w:rsidP="001F58B1" w14:paraId="75F8F1DF" w14:textId="0EA59C75">
      <w:pPr>
        <w:numPr>
          <w:ilvl w:val="0"/>
          <w:numId w:val="2"/>
        </w:numPr>
      </w:pPr>
      <w:r>
        <w:t xml:space="preserve">For the other </w:t>
      </w:r>
      <w:r w:rsidR="005649F7">
        <w:t>B Forms</w:t>
      </w:r>
      <w:r>
        <w:t xml:space="preserve">, the threshold </w:t>
      </w:r>
      <w:r w:rsidR="00DC6141">
        <w:t>is</w:t>
      </w:r>
      <w:r w:rsidR="00BB73D9">
        <w:t xml:space="preserve"> $50 million</w:t>
      </w:r>
      <w:r w:rsidR="004E7BAD">
        <w:t>,</w:t>
      </w:r>
      <w:r w:rsidR="000333E4">
        <w:t xml:space="preserve"> </w:t>
      </w:r>
      <w:r w:rsidR="004E7BAD">
        <w:t xml:space="preserve">applied to the Grand Total, </w:t>
      </w:r>
      <w:r w:rsidR="000333E4">
        <w:t>at the end of a given month or quarter</w:t>
      </w:r>
      <w:r w:rsidR="000333E4">
        <w:t>, as the case may be</w:t>
      </w:r>
      <w:r w:rsidR="00BB73D9">
        <w:t>, EXCEPT</w:t>
      </w:r>
      <w:r w:rsidR="00BB73D9">
        <w:t xml:space="preserve"> that full reporting is also required when there is a position of $25 million or more vis-</w:t>
      </w:r>
      <w:r w:rsidR="000F2741">
        <w:t>à</w:t>
      </w:r>
      <w:r w:rsidR="00BB73D9">
        <w:t>-vis all counterparties in any one country.  The threshold is applied separately to Part 1 and Part 2 of Form BQ-</w:t>
      </w:r>
      <w:r w:rsidR="00386CA2">
        <w:t>2</w:t>
      </w:r>
      <w:r w:rsidR="00BB73D9">
        <w:t xml:space="preserve"> as of the end of a given quarter</w:t>
      </w:r>
      <w:r>
        <w:t>.</w:t>
      </w:r>
      <w:r w:rsidR="00FE59BE">
        <w:t xml:space="preserve">  </w:t>
      </w:r>
      <w:r w:rsidRPr="00974AC7" w:rsidR="00FE59BE">
        <w:rPr>
          <w:b/>
          <w:bCs/>
        </w:rPr>
        <w:t>T</w:t>
      </w:r>
      <w:r w:rsidRPr="00974AC7" w:rsidR="00F9167A">
        <w:rPr>
          <w:b/>
          <w:bCs/>
        </w:rPr>
        <w:t>reas</w:t>
      </w:r>
      <w:r w:rsidRPr="00974AC7" w:rsidR="00761632">
        <w:rPr>
          <w:b/>
          <w:bCs/>
        </w:rPr>
        <w:t>u</w:t>
      </w:r>
      <w:r w:rsidRPr="00974AC7" w:rsidR="00F9167A">
        <w:rPr>
          <w:b/>
          <w:bCs/>
        </w:rPr>
        <w:t xml:space="preserve">ry </w:t>
      </w:r>
      <w:r w:rsidR="00C341AF">
        <w:rPr>
          <w:b/>
          <w:bCs/>
        </w:rPr>
        <w:t>seeks OMB approval</w:t>
      </w:r>
      <w:r w:rsidR="00C55CE2">
        <w:rPr>
          <w:b/>
          <w:bCs/>
        </w:rPr>
        <w:t xml:space="preserve"> to</w:t>
      </w:r>
      <w:r w:rsidR="00391B12">
        <w:rPr>
          <w:b/>
          <w:bCs/>
        </w:rPr>
        <w:t xml:space="preserve"> i</w:t>
      </w:r>
      <w:r w:rsidRPr="00974AC7" w:rsidR="00F9167A">
        <w:rPr>
          <w:b/>
          <w:bCs/>
        </w:rPr>
        <w:t>ncrease t</w:t>
      </w:r>
      <w:r w:rsidRPr="00974AC7" w:rsidR="00FE59BE">
        <w:rPr>
          <w:b/>
          <w:bCs/>
        </w:rPr>
        <w:t>he</w:t>
      </w:r>
      <w:r w:rsidRPr="00974AC7" w:rsidR="00187267">
        <w:rPr>
          <w:b/>
          <w:bCs/>
        </w:rPr>
        <w:t xml:space="preserve"> threshold to </w:t>
      </w:r>
      <w:r w:rsidRPr="00974AC7" w:rsidR="00DD3A0B">
        <w:rPr>
          <w:b/>
          <w:bCs/>
        </w:rPr>
        <w:t>$</w:t>
      </w:r>
      <w:r w:rsidRPr="00974AC7" w:rsidR="006C2329">
        <w:rPr>
          <w:b/>
          <w:bCs/>
        </w:rPr>
        <w:t xml:space="preserve">250 million for the Grand Total and $100 million per country starting </w:t>
      </w:r>
      <w:r w:rsidRPr="00974AC7" w:rsidR="006C2329">
        <w:rPr>
          <w:b/>
          <w:bCs/>
        </w:rPr>
        <w:t>in January 2027</w:t>
      </w:r>
      <w:r w:rsidR="00391B12">
        <w:rPr>
          <w:b/>
          <w:bCs/>
        </w:rPr>
        <w:t xml:space="preserve">.  </w:t>
      </w:r>
      <w:r w:rsidR="00C341AF">
        <w:rPr>
          <w:b/>
          <w:bCs/>
        </w:rPr>
        <w:t xml:space="preserve">It </w:t>
      </w:r>
      <w:r w:rsidR="00B419E2">
        <w:rPr>
          <w:b/>
          <w:bCs/>
        </w:rPr>
        <w:t>will be</w:t>
      </w:r>
      <w:r w:rsidR="009C3E29">
        <w:rPr>
          <w:b/>
          <w:bCs/>
        </w:rPr>
        <w:t xml:space="preserve"> the first increase </w:t>
      </w:r>
      <w:r w:rsidR="001F200F">
        <w:rPr>
          <w:b/>
          <w:bCs/>
        </w:rPr>
        <w:t>in the thre</w:t>
      </w:r>
      <w:r w:rsidR="002832DF">
        <w:rPr>
          <w:b/>
          <w:bCs/>
        </w:rPr>
        <w:t>sholds since 2001</w:t>
      </w:r>
      <w:r w:rsidR="00DB5678">
        <w:rPr>
          <w:b/>
          <w:bCs/>
        </w:rPr>
        <w:t>.</w:t>
      </w:r>
      <w:r w:rsidR="00484A62">
        <w:rPr>
          <w:b/>
          <w:bCs/>
        </w:rPr>
        <w:t xml:space="preserve">  </w:t>
      </w:r>
      <w:r w:rsidR="00E44549">
        <w:rPr>
          <w:b/>
          <w:bCs/>
        </w:rPr>
        <w:t>The increase</w:t>
      </w:r>
      <w:r w:rsidR="00484A62">
        <w:rPr>
          <w:b/>
          <w:bCs/>
        </w:rPr>
        <w:t xml:space="preserve"> </w:t>
      </w:r>
      <w:r w:rsidR="00B419E2">
        <w:rPr>
          <w:b/>
          <w:bCs/>
        </w:rPr>
        <w:t xml:space="preserve">will </w:t>
      </w:r>
      <w:r w:rsidR="00D4341F">
        <w:rPr>
          <w:b/>
          <w:bCs/>
        </w:rPr>
        <w:t>reduc</w:t>
      </w:r>
      <w:r w:rsidR="00187FE0">
        <w:rPr>
          <w:b/>
          <w:bCs/>
        </w:rPr>
        <w:t>e</w:t>
      </w:r>
      <w:r w:rsidR="00D4341F">
        <w:rPr>
          <w:b/>
          <w:bCs/>
        </w:rPr>
        <w:t xml:space="preserve"> reporting burdens with minimal loss of data</w:t>
      </w:r>
      <w:r w:rsidR="00C8706C">
        <w:rPr>
          <w:b/>
          <w:bCs/>
        </w:rPr>
        <w:t xml:space="preserve">, because </w:t>
      </w:r>
      <w:r w:rsidR="0039335A">
        <w:rPr>
          <w:b/>
          <w:bCs/>
        </w:rPr>
        <w:t xml:space="preserve">the </w:t>
      </w:r>
      <w:r w:rsidR="00171DF8">
        <w:rPr>
          <w:b/>
          <w:bCs/>
        </w:rPr>
        <w:t xml:space="preserve">typical </w:t>
      </w:r>
      <w:r w:rsidR="0039335A">
        <w:rPr>
          <w:b/>
          <w:bCs/>
        </w:rPr>
        <w:t>sizes of positions reported have grown</w:t>
      </w:r>
      <w:r w:rsidR="00D4341F">
        <w:rPr>
          <w:b/>
          <w:bCs/>
        </w:rPr>
        <w:t>.</w:t>
      </w:r>
    </w:p>
    <w:p w:rsidR="004845D2" w:rsidP="005D0049" w14:paraId="6A63F55D" w14:textId="77777777"/>
    <w:p w:rsidR="00BB73D9" w:rsidP="005D0049" w14:paraId="17C8ECA5" w14:textId="77777777">
      <w:r>
        <w:t xml:space="preserve">These thresholds effectively exclude smaller </w:t>
      </w:r>
      <w:r w:rsidR="00BD27B6">
        <w:t>financial institutions</w:t>
      </w:r>
      <w:r>
        <w:t xml:space="preserve"> in the U</w:t>
      </w:r>
      <w:r w:rsidR="000F2741">
        <w:t xml:space="preserve">nited </w:t>
      </w:r>
      <w:r>
        <w:t>S</w:t>
      </w:r>
      <w:r w:rsidR="000F2741">
        <w:t>tates</w:t>
      </w:r>
      <w:r>
        <w:t xml:space="preserve"> from the reporting population.</w:t>
      </w:r>
    </w:p>
    <w:p w:rsidR="00BB73D9" w14:paraId="122B3316"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05BF" w:rsidRPr="002934B7" w:rsidP="004905BF" w14:paraId="1E538EDD" w14:textId="18DE3C3C">
      <w:pPr>
        <w:rPr>
          <w:b/>
          <w:bCs/>
        </w:rPr>
      </w:pPr>
      <w:r w:rsidRPr="002934B7">
        <w:rPr>
          <w:b/>
          <w:bCs/>
        </w:rPr>
        <w:t>6</w:t>
      </w:r>
      <w:r w:rsidRPr="002934B7">
        <w:rPr>
          <w:b/>
          <w:bCs/>
        </w:rPr>
        <w:t>.</w:t>
      </w:r>
      <w:r w:rsidRPr="002934B7" w:rsidR="00F617FD">
        <w:rPr>
          <w:b/>
          <w:bCs/>
        </w:rPr>
        <w:t xml:space="preserve">  </w:t>
      </w:r>
      <w:r w:rsidRPr="002934B7" w:rsidR="00BD27B6">
        <w:rPr>
          <w:b/>
          <w:bCs/>
          <w:szCs w:val="24"/>
        </w:rPr>
        <w:t>Consequences</w:t>
      </w:r>
      <w:r w:rsidRPr="002934B7" w:rsidR="00BD27B6">
        <w:rPr>
          <w:b/>
          <w:bCs/>
          <w:szCs w:val="24"/>
        </w:rPr>
        <w:t xml:space="preserve"> of less frequent collection and obstacles to burden reduction</w:t>
      </w:r>
    </w:p>
    <w:p w:rsidR="004905BF" w14:paraId="069C6CC9"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14:paraId="3A060CD9" w14:textId="5FF7E4BF">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As is the case for all TIC reporting forms, t</w:t>
      </w:r>
      <w:r>
        <w:t xml:space="preserve">he data </w:t>
      </w:r>
      <w:r>
        <w:t>are</w:t>
      </w:r>
      <w:r>
        <w:t xml:space="preserve"> collected on an ongoing basis.  </w:t>
      </w:r>
      <w:r w:rsidR="00810BE6">
        <w:t xml:space="preserve">The submission dates for </w:t>
      </w:r>
      <w:r w:rsidR="00786058">
        <w:t xml:space="preserve">the monthly </w:t>
      </w:r>
      <w:r w:rsidR="00810BE6">
        <w:t>Form BC, BL-1</w:t>
      </w:r>
      <w:r w:rsidR="00234B03">
        <w:t>, and</w:t>
      </w:r>
      <w:r w:rsidR="00810BE6">
        <w:t xml:space="preserve"> BL-2 filings fall no later than </w:t>
      </w:r>
      <w:r w:rsidR="00487CA1">
        <w:t>fifteen</w:t>
      </w:r>
      <w:r w:rsidR="00810BE6">
        <w:t xml:space="preserve"> (15) calendar days following the month to which the report applies.</w:t>
      </w:r>
      <w:r w:rsidR="000333E4">
        <w:t xml:space="preserve">  </w:t>
      </w:r>
      <w:r>
        <w:t>The submission date</w:t>
      </w:r>
      <w:r w:rsidR="00810BE6">
        <w:t>s</w:t>
      </w:r>
      <w:r>
        <w:t xml:space="preserve"> for Form BQ-1</w:t>
      </w:r>
      <w:r w:rsidR="00810BE6">
        <w:t>, BQ-2, and BQ-3</w:t>
      </w:r>
      <w:r>
        <w:t xml:space="preserve"> filings </w:t>
      </w:r>
      <w:r w:rsidR="000F2741">
        <w:t xml:space="preserve">fall </w:t>
      </w:r>
      <w:r w:rsidR="001E6C54">
        <w:t xml:space="preserve">no later than </w:t>
      </w:r>
      <w:r w:rsidR="000F2741">
        <w:t>twenty (</w:t>
      </w:r>
      <w:r w:rsidR="001E6C54">
        <w:t>20</w:t>
      </w:r>
      <w:r w:rsidR="000F2741">
        <w:t>)</w:t>
      </w:r>
      <w:r w:rsidR="001E6C54">
        <w:t xml:space="preserve"> calendar day</w:t>
      </w:r>
      <w:r w:rsidR="000F2741">
        <w:t>s</w:t>
      </w:r>
      <w:r>
        <w:t xml:space="preserve"> following the quarter to which the report appl</w:t>
      </w:r>
      <w:r w:rsidR="009061B8">
        <w:t>ies</w:t>
      </w:r>
      <w:r>
        <w:t>.  If the data were collected less frequently, valuable information on trends in international capital movements would not be observed and made availa</w:t>
      </w:r>
      <w:r>
        <w:t xml:space="preserve">ble to the U.S. Government.  The lack of timely information could seriously impair the formulation of U.S. financial and monetary policies.  </w:t>
      </w:r>
      <w:r w:rsidR="00CA0A91">
        <w:t>Treasury’s statutory mandate to collect timely and useful information limits the extent to which burden can be reduced without impairing the purposes of the collection.</w:t>
      </w:r>
      <w:r w:rsidR="000D2F40">
        <w:t xml:space="preserve"> </w:t>
      </w:r>
      <w:r>
        <w:t xml:space="preserve"> (See Item 1 above.)</w:t>
      </w:r>
    </w:p>
    <w:p w:rsidR="00BB73D9" w:rsidRPr="002934B7" w14:paraId="1527B2A8"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905BF" w:rsidRPr="002934B7" w:rsidP="004905BF" w14:paraId="2EFD97FF" w14:textId="77777777">
      <w:pPr>
        <w:rPr>
          <w:b/>
          <w:bCs/>
        </w:rPr>
      </w:pPr>
      <w:r w:rsidRPr="002934B7">
        <w:rPr>
          <w:b/>
          <w:bCs/>
        </w:rPr>
        <w:t>7</w:t>
      </w:r>
      <w:r w:rsidRPr="002934B7">
        <w:rPr>
          <w:b/>
          <w:bCs/>
        </w:rPr>
        <w:t>.</w:t>
      </w:r>
      <w:r w:rsidRPr="002934B7" w:rsidR="005B25EC">
        <w:rPr>
          <w:b/>
          <w:bCs/>
        </w:rPr>
        <w:t xml:space="preserve">  </w:t>
      </w:r>
      <w:r w:rsidRPr="002934B7" w:rsidR="00BD27B6">
        <w:rPr>
          <w:b/>
          <w:bCs/>
          <w:szCs w:val="24"/>
        </w:rPr>
        <w:t>Circumstances</w:t>
      </w:r>
      <w:r w:rsidRPr="002934B7" w:rsidR="00BD27B6">
        <w:rPr>
          <w:b/>
          <w:bCs/>
          <w:szCs w:val="24"/>
        </w:rPr>
        <w:t xml:space="preserve"> requiring special information collection</w:t>
      </w:r>
    </w:p>
    <w:p w:rsidR="004905BF" w14:paraId="51BCD79E" w14:textId="77777777">
      <w:pPr>
        <w:pStyle w:val="BodyTextIndent"/>
      </w:pPr>
    </w:p>
    <w:p w:rsidR="00BB73D9" w:rsidP="005B25EC" w14:paraId="54A8BB43" w14:textId="7D4A278A">
      <w:pPr>
        <w:pStyle w:val="BodyTextIndent"/>
        <w:tabs>
          <w:tab w:val="clear" w:pos="720"/>
        </w:tabs>
        <w:ind w:left="0" w:firstLine="0"/>
      </w:pPr>
      <w:r>
        <w:t xml:space="preserve">There are no special circumstances associated with </w:t>
      </w:r>
      <w:r w:rsidR="00810BE6">
        <w:t xml:space="preserve">the </w:t>
      </w:r>
      <w:r w:rsidR="005649F7">
        <w:t>B Forms</w:t>
      </w:r>
      <w:r>
        <w:t xml:space="preserve"> that are inconsistent with the conditions outlined in Item A.7 of the Specific Instructions for Supporting Statements for Paperwork Reduction Act Submissions.</w:t>
      </w:r>
    </w:p>
    <w:p w:rsidR="00BB73D9" w14:paraId="6824E4A3"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05BF" w:rsidRPr="002934B7" w:rsidP="004905BF" w14:paraId="6A641F3F" w14:textId="06A5FC81">
      <w:pPr>
        <w:rPr>
          <w:b/>
          <w:bCs/>
        </w:rPr>
      </w:pPr>
      <w:r w:rsidRPr="002934B7">
        <w:rPr>
          <w:b/>
          <w:bCs/>
        </w:rPr>
        <w:t>8</w:t>
      </w:r>
      <w:r w:rsidRPr="002934B7">
        <w:rPr>
          <w:b/>
          <w:bCs/>
        </w:rPr>
        <w:t>.</w:t>
      </w:r>
      <w:r w:rsidRPr="002934B7" w:rsidR="00F617FD">
        <w:rPr>
          <w:b/>
          <w:bCs/>
        </w:rPr>
        <w:t xml:space="preserve">  </w:t>
      </w:r>
      <w:r w:rsidRPr="002934B7" w:rsidR="00BD27B6">
        <w:rPr>
          <w:b/>
          <w:bCs/>
          <w:szCs w:val="24"/>
        </w:rPr>
        <w:t>Solicitation</w:t>
      </w:r>
      <w:r w:rsidRPr="002934B7" w:rsidR="00BD27B6">
        <w:rPr>
          <w:b/>
          <w:bCs/>
          <w:szCs w:val="24"/>
        </w:rPr>
        <w:t xml:space="preserve"> of comments on information collection</w:t>
      </w:r>
    </w:p>
    <w:p w:rsidR="004905BF" w:rsidP="001E6C54" w14:paraId="1E0FB285" w14:textId="77777777"/>
    <w:p w:rsidR="00595C75" w:rsidP="00595C75" w14:paraId="5B404ABE" w14:textId="2AE8E41D">
      <w:r>
        <w:t>Treasury</w:t>
      </w:r>
      <w:r w:rsidR="00B134E6">
        <w:t>’</w:t>
      </w:r>
      <w:r>
        <w:t xml:space="preserve">s notice in the </w:t>
      </w:r>
      <w:r w:rsidRPr="007E4337">
        <w:rPr>
          <w:i/>
        </w:rPr>
        <w:t>Federal Register</w:t>
      </w:r>
      <w:r>
        <w:t xml:space="preserve"> soliciting public comment on </w:t>
      </w:r>
      <w:r w:rsidR="00D630B0">
        <w:t xml:space="preserve">the TIC </w:t>
      </w:r>
      <w:r w:rsidR="005649F7">
        <w:t>B Forms</w:t>
      </w:r>
      <w:r>
        <w:t xml:space="preserve"> </w:t>
      </w:r>
      <w:r w:rsidR="00C36360">
        <w:t>was</w:t>
      </w:r>
      <w:r>
        <w:t xml:space="preserve"> published </w:t>
      </w:r>
      <w:r w:rsidR="002E6DE4">
        <w:t xml:space="preserve">Tuesday, </w:t>
      </w:r>
      <w:r w:rsidR="00DB6602">
        <w:t>September 30, 2025</w:t>
      </w:r>
      <w:r w:rsidR="006A54E2">
        <w:t xml:space="preserve">, pages </w:t>
      </w:r>
      <w:r w:rsidR="00A74E17">
        <w:t>47133-47134</w:t>
      </w:r>
      <w:r>
        <w:t xml:space="preserve">.  The deadline for receiving pre-clearance comments </w:t>
      </w:r>
      <w:r w:rsidR="006A54E2">
        <w:t>w</w:t>
      </w:r>
      <w:r w:rsidR="00C36360">
        <w:t>as</w:t>
      </w:r>
      <w:r w:rsidR="006A54E2">
        <w:t xml:space="preserve"> </w:t>
      </w:r>
      <w:r w:rsidR="00A74E17">
        <w:t>December 1, 2025</w:t>
      </w:r>
      <w:r>
        <w:t>.  Because of delays in mail delivery, Treasury waited until</w:t>
      </w:r>
      <w:r w:rsidR="006A54E2">
        <w:t xml:space="preserve"> </w:t>
      </w:r>
      <w:r w:rsidR="007014E9">
        <w:t xml:space="preserve">December 5, </w:t>
      </w:r>
      <w:r w:rsidR="007014E9">
        <w:t>2025</w:t>
      </w:r>
      <w:r w:rsidR="006A54E2">
        <w:t xml:space="preserve"> </w:t>
      </w:r>
      <w:r>
        <w:t xml:space="preserve">to receive mail. To bring attention to the </w:t>
      </w:r>
      <w:r w:rsidRPr="00205616">
        <w:rPr>
          <w:i/>
        </w:rPr>
        <w:t>Federal Register</w:t>
      </w:r>
      <w:r>
        <w:t xml:space="preserve"> notices, the Federal Reserve Bank of New York (FRBNY) contacted all respondents reporting to FRBNY, and other district Federal Reserve Banks that process TIC data</w:t>
      </w:r>
      <w:r>
        <w:t xml:space="preserve">. </w:t>
      </w:r>
    </w:p>
    <w:p w:rsidR="00595C75" w:rsidP="00595C75" w14:paraId="4C803E3A" w14:textId="77777777"/>
    <w:p w:rsidR="00FB667F" w:rsidP="000F2741" w14:paraId="4DF38E9B" w14:textId="67F01570">
      <w:pPr>
        <w:rPr>
          <w:szCs w:val="24"/>
        </w:rPr>
      </w:pPr>
      <w:r>
        <w:rPr>
          <w:szCs w:val="24"/>
        </w:rPr>
        <w:t>T</w:t>
      </w:r>
      <w:r w:rsidR="00BD5DC1">
        <w:rPr>
          <w:szCs w:val="24"/>
        </w:rPr>
        <w:t xml:space="preserve">he </w:t>
      </w:r>
      <w:r w:rsidR="00BD5DC1">
        <w:rPr>
          <w:i/>
          <w:szCs w:val="24"/>
        </w:rPr>
        <w:t>Federal Register</w:t>
      </w:r>
      <w:r w:rsidR="00BD5DC1">
        <w:rPr>
          <w:szCs w:val="24"/>
        </w:rPr>
        <w:t xml:space="preserve"> notice of </w:t>
      </w:r>
      <w:r w:rsidR="002D4899">
        <w:t>September 30, 2025</w:t>
      </w:r>
      <w:r w:rsidR="008F28AE">
        <w:t xml:space="preserve"> (September 30 FR Notice)</w:t>
      </w:r>
      <w:r w:rsidR="00BD5DC1">
        <w:rPr>
          <w:szCs w:val="24"/>
        </w:rPr>
        <w:t xml:space="preserve"> </w:t>
      </w:r>
      <w:r>
        <w:rPr>
          <w:szCs w:val="24"/>
        </w:rPr>
        <w:t xml:space="preserve">proposed </w:t>
      </w:r>
      <w:r w:rsidR="002E6DE4">
        <w:rPr>
          <w:szCs w:val="24"/>
        </w:rPr>
        <w:t xml:space="preserve">no changes to the TIC B </w:t>
      </w:r>
      <w:r w:rsidR="009A37AB">
        <w:rPr>
          <w:szCs w:val="24"/>
        </w:rPr>
        <w:t>F</w:t>
      </w:r>
      <w:r w:rsidR="002E6DE4">
        <w:rPr>
          <w:szCs w:val="24"/>
        </w:rPr>
        <w:t>orms</w:t>
      </w:r>
      <w:r w:rsidR="00DB4EED">
        <w:rPr>
          <w:szCs w:val="24"/>
        </w:rPr>
        <w:t xml:space="preserve"> or instructions</w:t>
      </w:r>
      <w:r>
        <w:rPr>
          <w:szCs w:val="24"/>
        </w:rPr>
        <w:t>.</w:t>
      </w:r>
      <w:r w:rsidR="008F28AE">
        <w:rPr>
          <w:szCs w:val="24"/>
        </w:rPr>
        <w:t xml:space="preserve">  Since publication of the September</w:t>
      </w:r>
      <w:r w:rsidR="008F28AE">
        <w:t xml:space="preserve"> 30 FR Notice</w:t>
      </w:r>
      <w:r w:rsidR="008F28AE">
        <w:rPr>
          <w:szCs w:val="24"/>
        </w:rPr>
        <w:t>, Treasury has further studied reporting thresholds</w:t>
      </w:r>
      <w:r w:rsidR="00E36D3A">
        <w:rPr>
          <w:szCs w:val="24"/>
        </w:rPr>
        <w:t xml:space="preserve">.  </w:t>
      </w:r>
      <w:r w:rsidR="00412EB9">
        <w:rPr>
          <w:szCs w:val="24"/>
        </w:rPr>
        <w:t xml:space="preserve">As noted above, Treasury </w:t>
      </w:r>
      <w:r w:rsidR="008F28AE">
        <w:rPr>
          <w:szCs w:val="24"/>
        </w:rPr>
        <w:t>now propose</w:t>
      </w:r>
      <w:r w:rsidR="00E36D3A">
        <w:rPr>
          <w:szCs w:val="24"/>
        </w:rPr>
        <w:t>s</w:t>
      </w:r>
      <w:r w:rsidR="008F28AE">
        <w:rPr>
          <w:szCs w:val="24"/>
        </w:rPr>
        <w:t xml:space="preserve"> to increase the thresholds for </w:t>
      </w:r>
      <w:r w:rsidR="008F28AE">
        <w:rPr>
          <w:szCs w:val="24"/>
        </w:rPr>
        <w:t>the B</w:t>
      </w:r>
      <w:r w:rsidR="008F28AE">
        <w:rPr>
          <w:szCs w:val="24"/>
        </w:rPr>
        <w:t xml:space="preserve"> </w:t>
      </w:r>
      <w:r w:rsidR="009A37AB">
        <w:rPr>
          <w:szCs w:val="24"/>
        </w:rPr>
        <w:t>F</w:t>
      </w:r>
      <w:r w:rsidR="008F28AE">
        <w:rPr>
          <w:szCs w:val="24"/>
        </w:rPr>
        <w:t>orms other than Form BQ-3 starting in January 2027</w:t>
      </w:r>
      <w:r w:rsidR="00412EB9">
        <w:rPr>
          <w:szCs w:val="24"/>
        </w:rPr>
        <w:t xml:space="preserve"> and seeks OMB’s a</w:t>
      </w:r>
      <w:r w:rsidR="008F28AE">
        <w:rPr>
          <w:szCs w:val="24"/>
        </w:rPr>
        <w:t xml:space="preserve">pproval of the collection as revised to reflect that change. </w:t>
      </w:r>
    </w:p>
    <w:p w:rsidR="00BD5DC1" w:rsidP="000F2741" w14:paraId="28F34AFE" w14:textId="2A8936AC">
      <w:pPr>
        <w:rPr>
          <w:szCs w:val="24"/>
        </w:rPr>
      </w:pPr>
      <w:r>
        <w:rPr>
          <w:szCs w:val="24"/>
        </w:rPr>
        <w:t xml:space="preserve"> </w:t>
      </w:r>
    </w:p>
    <w:p w:rsidR="001D65BF" w:rsidP="00DE66E6" w14:paraId="1890B0B1" w14:textId="712AB5B4">
      <w:r>
        <w:t xml:space="preserve">We received </w:t>
      </w:r>
      <w:r w:rsidR="00DB4EED">
        <w:t>two</w:t>
      </w:r>
      <w:r>
        <w:t xml:space="preserve"> </w:t>
      </w:r>
      <w:r>
        <w:t>communication</w:t>
      </w:r>
      <w:r w:rsidR="00DB4EED">
        <w:t>s</w:t>
      </w:r>
      <w:r>
        <w:t xml:space="preserve"> with comments in response to the </w:t>
      </w:r>
      <w:r w:rsidR="008F28AE">
        <w:t>September 30 FR Notice</w:t>
      </w:r>
      <w:r>
        <w:t xml:space="preserve">. </w:t>
      </w:r>
      <w:r w:rsidR="00DB5E09">
        <w:t>A</w:t>
      </w:r>
      <w:r w:rsidR="00BD5DC1">
        <w:t xml:space="preserve"> </w:t>
      </w:r>
      <w:r w:rsidR="00BD27B6">
        <w:t xml:space="preserve">letter </w:t>
      </w:r>
      <w:r>
        <w:t>from the Department of Commerce’s Bureau of Economic Analysis (BEA)</w:t>
      </w:r>
      <w:r w:rsidR="00DE66E6">
        <w:t xml:space="preserve"> </w:t>
      </w:r>
      <w:r w:rsidR="00DB5E09">
        <w:t xml:space="preserve">dated November </w:t>
      </w:r>
      <w:r w:rsidR="00105B4C">
        <w:t xml:space="preserve">21, </w:t>
      </w:r>
      <w:r w:rsidR="00105B4C">
        <w:t>2025</w:t>
      </w:r>
      <w:r w:rsidR="00DB5E09">
        <w:t xml:space="preserve"> </w:t>
      </w:r>
      <w:r w:rsidR="00DE66E6">
        <w:t>strongly supported continued collection of the TIC B-series forms</w:t>
      </w:r>
      <w:r w:rsidR="00524F5D">
        <w:t xml:space="preserve"> because the data collected on these forms are critical to key components of BEA’s economic statistics</w:t>
      </w:r>
      <w:r w:rsidR="00DE66E6">
        <w:t>.</w:t>
      </w:r>
    </w:p>
    <w:p w:rsidR="00105B4C" w:rsidP="00DE66E6" w14:paraId="53FC61BD" w14:textId="77777777"/>
    <w:p w:rsidR="00105B4C" w:rsidP="00DE66E6" w14:paraId="386DD02A" w14:textId="17FEC461">
      <w:r>
        <w:t xml:space="preserve">A letter from the Bank Policy Institute (BPI) dated December 1, </w:t>
      </w:r>
      <w:r>
        <w:t>2025</w:t>
      </w:r>
      <w:r>
        <w:t xml:space="preserve"> </w:t>
      </w:r>
      <w:r w:rsidR="00C957CB">
        <w:t xml:space="preserve">offered several comments on the B </w:t>
      </w:r>
      <w:r w:rsidR="009A37AB">
        <w:t>F</w:t>
      </w:r>
      <w:r w:rsidR="00C957CB">
        <w:t>orms</w:t>
      </w:r>
      <w:r w:rsidR="00D278EE">
        <w:t xml:space="preserve">, </w:t>
      </w:r>
      <w:r w:rsidR="00BC5573">
        <w:t>proposing</w:t>
      </w:r>
      <w:r w:rsidR="00D278EE">
        <w:t xml:space="preserve"> changes that would reduce reporting burden</w:t>
      </w:r>
      <w:r w:rsidR="00C70A07">
        <w:t>s</w:t>
      </w:r>
      <w:r w:rsidR="00D278EE">
        <w:t xml:space="preserve"> or clarify instructions</w:t>
      </w:r>
      <w:r w:rsidR="00C957CB">
        <w:t>.</w:t>
      </w:r>
      <w:r w:rsidR="00B346D3">
        <w:t xml:space="preserve">  Th</w:t>
      </w:r>
      <w:r w:rsidR="00886F12">
        <w:t>at</w:t>
      </w:r>
      <w:r w:rsidR="006521E7">
        <w:t xml:space="preserve"> letter and our reply </w:t>
      </w:r>
      <w:r w:rsidR="001D05C6">
        <w:t xml:space="preserve">letter of </w:t>
      </w:r>
      <w:r w:rsidR="00886F12">
        <w:t xml:space="preserve">February 13, </w:t>
      </w:r>
      <w:r w:rsidR="00886F12">
        <w:t>20</w:t>
      </w:r>
      <w:r w:rsidR="007108BA">
        <w:t>26</w:t>
      </w:r>
      <w:r w:rsidR="00886F12">
        <w:t xml:space="preserve"> </w:t>
      </w:r>
      <w:r w:rsidR="006521E7">
        <w:t>are attached. BPI’s</w:t>
      </w:r>
      <w:r w:rsidR="001D05C6">
        <w:t xml:space="preserve"> </w:t>
      </w:r>
      <w:r w:rsidR="005E182D">
        <w:t>points</w:t>
      </w:r>
      <w:r w:rsidR="001D05C6">
        <w:t xml:space="preserve"> </w:t>
      </w:r>
      <w:r w:rsidR="00EA009E">
        <w:t xml:space="preserve">and our replies </w:t>
      </w:r>
      <w:r w:rsidR="001D05C6">
        <w:t>were</w:t>
      </w:r>
      <w:r w:rsidR="00EA009E">
        <w:t xml:space="preserve"> as follows</w:t>
      </w:r>
      <w:r w:rsidR="007108BA">
        <w:t>, with</w:t>
      </w:r>
      <w:r w:rsidR="00C96B8D">
        <w:t xml:space="preserve"> numbers correspond</w:t>
      </w:r>
      <w:r w:rsidR="007108BA">
        <w:t>ing</w:t>
      </w:r>
      <w:r w:rsidR="00C96B8D">
        <w:t xml:space="preserve"> to the number</w:t>
      </w:r>
      <w:r w:rsidR="005E182D">
        <w:t>s</w:t>
      </w:r>
      <w:r w:rsidR="00C96B8D">
        <w:t xml:space="preserve"> in the letters</w:t>
      </w:r>
      <w:r w:rsidR="001D05C6">
        <w:t>:</w:t>
      </w:r>
    </w:p>
    <w:p w:rsidR="001D05C6" w:rsidP="00DE66E6" w14:paraId="7059612C" w14:textId="77777777"/>
    <w:p w:rsidR="005E182D" w:rsidP="00DE66E6" w14:paraId="36A814CC" w14:textId="65D6D948">
      <w:r w:rsidRPr="00D2146F">
        <w:rPr>
          <w:b/>
          <w:bCs/>
        </w:rPr>
        <w:t>BPI Point I.</w:t>
      </w:r>
      <w:r w:rsidRPr="0097500E">
        <w:t xml:space="preserve"> The frequency of reporting for the TIC BC, BL-1 and BL-2 forms should be reduced from monthly to quarterly.</w:t>
      </w:r>
      <w:r>
        <w:t xml:space="preserve"> </w:t>
      </w:r>
    </w:p>
    <w:p w:rsidR="0097500E" w:rsidP="00DE66E6" w14:paraId="1EC7CC07" w14:textId="77777777"/>
    <w:p w:rsidR="005E182D" w:rsidP="00DE66E6" w14:paraId="1958E353" w14:textId="61161DEE">
      <w:r>
        <w:t>Treasury reply:</w:t>
      </w:r>
      <w:r w:rsidR="00216432">
        <w:t xml:space="preserve"> Monthly data </w:t>
      </w:r>
      <w:r w:rsidR="00216432">
        <w:t>provide</w:t>
      </w:r>
      <w:r w:rsidR="00216432">
        <w:t xml:space="preserve"> </w:t>
      </w:r>
      <w:r w:rsidR="00130FB6">
        <w:t>timelier</w:t>
      </w:r>
      <w:r w:rsidRPr="00771B8C" w:rsidR="00771B8C">
        <w:t xml:space="preserve"> information important to the Federal Reserve and the Treasury for promoting financial stability and orderly markets</w:t>
      </w:r>
      <w:r w:rsidR="00130FB6">
        <w:t>, such as data on foreign demand for Treasury securities.</w:t>
      </w:r>
      <w:r w:rsidR="000D47B9">
        <w:t xml:space="preserve">  </w:t>
      </w:r>
      <w:r w:rsidR="001E4119">
        <w:t>M</w:t>
      </w:r>
      <w:r w:rsidRPr="000D47B9" w:rsidR="000D47B9">
        <w:t xml:space="preserve">onthly collection of data in Forms BC, BL-1, and BL-2 </w:t>
      </w:r>
      <w:r w:rsidR="000D47B9">
        <w:t xml:space="preserve">Monthly collection </w:t>
      </w:r>
      <w:r w:rsidRPr="000D47B9" w:rsidR="000D47B9">
        <w:t>supports Treasury’s ability to collect information in a manner that is “timely and useful in the development of policy with respect to international investment” (22 U.S.C. 3103(f); see also 22 U.S.C. 3103(a)(2)).</w:t>
      </w:r>
    </w:p>
    <w:p w:rsidR="00660271" w:rsidP="00DE66E6" w14:paraId="6C683045" w14:textId="77777777"/>
    <w:p w:rsidR="00C40EB5" w:rsidP="00C40EB5" w14:paraId="368AF5AF" w14:textId="28D64E96">
      <w:r w:rsidRPr="00D2146F">
        <w:rPr>
          <w:b/>
          <w:bCs/>
        </w:rPr>
        <w:t>BPI Point II.</w:t>
      </w:r>
      <w:r>
        <w:t xml:space="preserve"> The scope of reporting on the TIC B Forms should be narrowed, including decommissioning subsidiary reporting.</w:t>
      </w:r>
      <w:r w:rsidR="001E620F">
        <w:t xml:space="preserve"> </w:t>
      </w:r>
      <w:r w:rsidR="00447A83">
        <w:t xml:space="preserve"> BPI’s particular proposals were:</w:t>
      </w:r>
    </w:p>
    <w:p w:rsidR="00447A83" w:rsidP="00C40EB5" w14:paraId="2BC711E1" w14:textId="77777777"/>
    <w:p w:rsidR="00660271" w:rsidP="00C40EB5" w14:paraId="41F03CDE" w14:textId="0C001AA3">
      <w:r>
        <w:t xml:space="preserve">A. The TIC B Forms should be modified to eliminate individual subsidiary reporting and to </w:t>
      </w:r>
      <w:r>
        <w:t>provide for</w:t>
      </w:r>
      <w:r>
        <w:t xml:space="preserve"> one consolidated report for bank holding companies.</w:t>
      </w:r>
    </w:p>
    <w:p w:rsidR="006A7441" w:rsidP="00C40EB5" w14:paraId="11294F14" w14:textId="77777777"/>
    <w:p w:rsidR="006A7441" w:rsidP="006A7441" w14:paraId="5CFE60D3" w14:textId="268FAEF4">
      <w:r>
        <w:t xml:space="preserve">Treasury reply: </w:t>
      </w:r>
      <w:r w:rsidR="00E06787">
        <w:t>In sta</w:t>
      </w:r>
      <w:r w:rsidR="00BD099E">
        <w:t>t</w:t>
      </w:r>
      <w:r w:rsidR="00E06787">
        <w:t>istical analysis, t</w:t>
      </w:r>
      <w:r w:rsidR="00B4256B">
        <w:t xml:space="preserve">he Bureau of Economic Analysis relies on </w:t>
      </w:r>
      <w:r w:rsidR="0030071A">
        <w:t xml:space="preserve">reporting by subsidiaries for </w:t>
      </w:r>
      <w:r>
        <w:t xml:space="preserve">estimating trade in financial services and for accurately measuring income and financial transactions that reflect the differences in behavior between </w:t>
      </w:r>
      <w:r w:rsidR="00E06787">
        <w:t>different types of entities</w:t>
      </w:r>
      <w:r>
        <w:t>. In policy making, the detail provided from reporting by individual subsidiaries enables better understanding of the U.S. financial system, the activities of foreign banks in the United States, risks to the financial system, and the tra</w:t>
      </w:r>
      <w:r>
        <w:t xml:space="preserve">nsmission of monetary policy. </w:t>
      </w:r>
      <w:r w:rsidR="00BD099E">
        <w:t xml:space="preserve"> </w:t>
      </w:r>
      <w:r>
        <w:t>For this renewal, Treasury assesses that it is appropriate to maintain the current subsidiary reporting. Before the next renewal, Treasury welcomes further input from BPI on forms of consolidating subsidiary reporting that would reduce burden while preserving important data.</w:t>
      </w:r>
    </w:p>
    <w:p w:rsidR="001D05C6" w:rsidP="00DE66E6" w14:paraId="6A9DCED7" w14:textId="77777777"/>
    <w:p w:rsidR="00C40EB5" w:rsidP="00DE66E6" w14:paraId="4D0172DD" w14:textId="67CA0AC7">
      <w:r w:rsidRPr="00184C9D">
        <w:t>B. The TIC B Forms exemption levels have remained stagnant for almost 25 years and should be updated for economic growth.</w:t>
      </w:r>
    </w:p>
    <w:p w:rsidR="00184C9D" w:rsidP="00DE66E6" w14:paraId="6D0435AD" w14:textId="77777777"/>
    <w:p w:rsidR="00C61B9D" w:rsidP="00DE66E6" w14:paraId="7A430C53" w14:textId="18DF6C37">
      <w:r>
        <w:t xml:space="preserve">Treasury reply: </w:t>
      </w:r>
      <w:r w:rsidRPr="00ED4221" w:rsidR="00ED4221">
        <w:t xml:space="preserve">TIC B </w:t>
      </w:r>
      <w:r w:rsidR="009A37AB">
        <w:t>F</w:t>
      </w:r>
      <w:r w:rsidRPr="00ED4221" w:rsidR="00ED4221">
        <w:t>orms are meant to measure the banking sector, which may grow faster or slower than the U.S. economy.</w:t>
      </w:r>
      <w:r w:rsidR="00ED4221">
        <w:t xml:space="preserve">  However, </w:t>
      </w:r>
      <w:r w:rsidR="00B37145">
        <w:t>we are studying whether to increase the exemption levels starting in 2027.</w:t>
      </w:r>
    </w:p>
    <w:p w:rsidR="00B84A0D" w:rsidP="00DE66E6" w14:paraId="4DBE53EB" w14:textId="77777777"/>
    <w:p w:rsidR="00B84A0D" w:rsidRPr="00F7538A" w:rsidP="00DE66E6" w14:paraId="12D68DC7" w14:textId="77BD577A">
      <w:r w:rsidRPr="00F7538A">
        <w:t>(</w:t>
      </w:r>
      <w:r w:rsidRPr="00F7538A" w:rsidR="00F7538A">
        <w:t>As noted above, s</w:t>
      </w:r>
      <w:r w:rsidRPr="00F7538A">
        <w:t xml:space="preserve">ince sending our reply letter, Treasury has </w:t>
      </w:r>
      <w:r w:rsidRPr="00F7538A" w:rsidR="00C854F5">
        <w:t xml:space="preserve">studied the </w:t>
      </w:r>
      <w:r w:rsidRPr="00F7538A" w:rsidR="005D6D41">
        <w:t xml:space="preserve">issue </w:t>
      </w:r>
      <w:r w:rsidRPr="00F7538A" w:rsidR="00C854F5">
        <w:t xml:space="preserve">and </w:t>
      </w:r>
      <w:r w:rsidRPr="00F7538A" w:rsidR="00DB281E">
        <w:t xml:space="preserve">now </w:t>
      </w:r>
      <w:r w:rsidR="00641B41">
        <w:t>se</w:t>
      </w:r>
      <w:r w:rsidR="009A689C">
        <w:t>e</w:t>
      </w:r>
      <w:r w:rsidR="00641B41">
        <w:t>ks OMB approval</w:t>
      </w:r>
      <w:r w:rsidRPr="00F7538A" w:rsidR="00C854F5">
        <w:t xml:space="preserve"> to raise the exemption levels </w:t>
      </w:r>
      <w:r w:rsidRPr="00F7538A" w:rsidR="004A30E0">
        <w:t xml:space="preserve">for </w:t>
      </w:r>
      <w:r w:rsidRPr="00F7538A" w:rsidR="00D67C02">
        <w:t xml:space="preserve">the B </w:t>
      </w:r>
      <w:r w:rsidRPr="00F7538A" w:rsidR="009A37AB">
        <w:t>F</w:t>
      </w:r>
      <w:r w:rsidRPr="00F7538A" w:rsidR="00D67C02">
        <w:t xml:space="preserve">orms other than </w:t>
      </w:r>
      <w:r w:rsidR="00DE44BE">
        <w:t>Form</w:t>
      </w:r>
      <w:r w:rsidRPr="00F7538A" w:rsidR="00901052">
        <w:t xml:space="preserve"> </w:t>
      </w:r>
      <w:r w:rsidRPr="00F7538A" w:rsidR="00D67C02">
        <w:t xml:space="preserve">BQ-3 </w:t>
      </w:r>
      <w:r w:rsidRPr="00F7538A" w:rsidR="00C854F5">
        <w:t>starting in January 2027.</w:t>
      </w:r>
      <w:r w:rsidRPr="00F7538A" w:rsidR="00F7538A">
        <w:t>)</w:t>
      </w:r>
      <w:r w:rsidRPr="00F7538A" w:rsidR="008F28AE">
        <w:t xml:space="preserve"> </w:t>
      </w:r>
    </w:p>
    <w:p w:rsidR="00C61B9D" w:rsidP="00DE66E6" w14:paraId="29AFB0E1" w14:textId="77777777"/>
    <w:p w:rsidR="00184C9D" w:rsidP="00DE66E6" w14:paraId="7A54628F" w14:textId="1FF9AAA4">
      <w:r w:rsidRPr="000D5002">
        <w:t>C. The TIC data collection should return to the pre-2013 reporting requirement that applied to funds, eliminating them from the scope of TIC B filers.</w:t>
      </w:r>
    </w:p>
    <w:p w:rsidR="001D05C6" w:rsidP="00DE66E6" w14:paraId="1945E4B6" w14:textId="5B892B75"/>
    <w:p w:rsidR="004D7A46" w:rsidP="004D7A46" w14:paraId="024822DB" w14:textId="738E731F">
      <w:r>
        <w:t xml:space="preserve">Treasury reply: </w:t>
      </w:r>
      <w:r w:rsidR="00A14FFF">
        <w:t xml:space="preserve">The </w:t>
      </w:r>
      <w:r w:rsidR="008A6DE5">
        <w:t>rationale</w:t>
      </w:r>
      <w:r w:rsidR="00315C5F">
        <w:t xml:space="preserve"> for the 2013 changes, which switched certain financial institutions </w:t>
      </w:r>
      <w:r w:rsidR="00315C5F">
        <w:t>from quarterly to monthly reporting, was that the financial crisis of 2008-09</w:t>
      </w:r>
      <w:r w:rsidR="00FD0154">
        <w:t xml:space="preserve"> showed how important it was to have timely data on them. </w:t>
      </w:r>
      <w:r w:rsidR="003F7D94">
        <w:t xml:space="preserve"> The institutions included </w:t>
      </w:r>
      <w:r w:rsidRPr="008111C8" w:rsidR="003F7D94">
        <w:t>money market funds, pension funds, private equity funds, and hedge funds</w:t>
      </w:r>
      <w:r w:rsidR="00F3013E">
        <w:t xml:space="preserve">.  The </w:t>
      </w:r>
      <w:r w:rsidR="008A6DE5">
        <w:t>original rationale still applies.</w:t>
      </w:r>
    </w:p>
    <w:p w:rsidR="004D7A46" w:rsidRPr="00DE66E6" w:rsidP="00DE66E6" w14:paraId="062CDDDD" w14:textId="77777777"/>
    <w:p w:rsidR="001D65BF" w:rsidP="001D65BF" w14:paraId="01D7358B" w14:textId="5684AC40">
      <w:r w:rsidRPr="00D2146F">
        <w:rPr>
          <w:b/>
          <w:bCs/>
        </w:rPr>
        <w:t>BPI Point III.</w:t>
      </w:r>
      <w:r w:rsidRPr="00031664">
        <w:t xml:space="preserve"> The reporting requirements within the TIC B Forms series should be standardized and aligned.</w:t>
      </w:r>
      <w:r w:rsidR="0025232A">
        <w:t xml:space="preserve">  BPI referred </w:t>
      </w:r>
      <w:r w:rsidR="0025232A">
        <w:t>in particular to</w:t>
      </w:r>
      <w:r w:rsidR="0025232A">
        <w:t xml:space="preserve"> data on Own Foreign Office reporting.</w:t>
      </w:r>
    </w:p>
    <w:p w:rsidR="00031664" w:rsidP="001D65BF" w14:paraId="1C2E52F3" w14:textId="77777777"/>
    <w:p w:rsidR="004D7A46" w:rsidP="004D7A46" w14:paraId="2E9B746D" w14:textId="436FF997">
      <w:r>
        <w:t xml:space="preserve">Treasury reply: </w:t>
      </w:r>
      <w:r w:rsidRPr="003B68C7" w:rsidR="003B68C7">
        <w:t xml:space="preserve">Standardizing the B </w:t>
      </w:r>
      <w:r w:rsidR="009A37AB">
        <w:t>F</w:t>
      </w:r>
      <w:r w:rsidRPr="003B68C7" w:rsidR="003B68C7">
        <w:t>orms with respect to O</w:t>
      </w:r>
      <w:r w:rsidR="003B68C7">
        <w:t xml:space="preserve">wn Foreign Office </w:t>
      </w:r>
      <w:r w:rsidRPr="003B68C7" w:rsidR="003B68C7">
        <w:t xml:space="preserve">reporting would mean either eliminating it from Forms BC and BL-1 or adding it to the BQ </w:t>
      </w:r>
      <w:r w:rsidR="006D265F">
        <w:t>F</w:t>
      </w:r>
      <w:r w:rsidRPr="003B68C7" w:rsidR="003B68C7">
        <w:t xml:space="preserve">orms. Eliminating it would reduce important information currently used in the </w:t>
      </w:r>
      <w:r w:rsidR="00560A83">
        <w:t xml:space="preserve">Bureau of Economic Analysis </w:t>
      </w:r>
      <w:r w:rsidRPr="003B68C7" w:rsidR="003B68C7">
        <w:t xml:space="preserve">International Transactions Accounts, </w:t>
      </w:r>
      <w:r w:rsidR="003B68C7">
        <w:t xml:space="preserve">the Federal Reserve </w:t>
      </w:r>
      <w:r w:rsidRPr="003B68C7" w:rsidR="003B68C7">
        <w:t xml:space="preserve">Z.1 release, and by the Bank for International Settlements. Adding </w:t>
      </w:r>
      <w:r w:rsidR="00D56B1E">
        <w:t>Own Foreign Office</w:t>
      </w:r>
      <w:r w:rsidRPr="003B68C7" w:rsidR="003B68C7">
        <w:t xml:space="preserve"> reporting to the BQ </w:t>
      </w:r>
      <w:r w:rsidR="006D265F">
        <w:t>F</w:t>
      </w:r>
      <w:r w:rsidRPr="003B68C7" w:rsidR="003B68C7">
        <w:t>orms would impose additional reporting burdens relative to its current collection.</w:t>
      </w:r>
    </w:p>
    <w:p w:rsidR="004D7A46" w:rsidP="001D65BF" w14:paraId="734C0DE1" w14:textId="77777777"/>
    <w:p w:rsidR="00031664" w:rsidP="001D65BF" w14:paraId="46ECEC26" w14:textId="0DDC2BE5">
      <w:r w:rsidRPr="00D2146F">
        <w:rPr>
          <w:b/>
          <w:bCs/>
        </w:rPr>
        <w:t>BPI Point IV.</w:t>
      </w:r>
      <w:r w:rsidRPr="00D35248">
        <w:t xml:space="preserve"> The TIC B Forms instructions should be enhanced to improve clarity and consistency of reporting.</w:t>
      </w:r>
    </w:p>
    <w:p w:rsidR="00D35248" w:rsidP="001D65BF" w14:paraId="772237CB" w14:textId="77777777"/>
    <w:p w:rsidR="004D7A46" w:rsidP="004D7A46" w14:paraId="5123F10B" w14:textId="2C46EFB9">
      <w:r>
        <w:t xml:space="preserve">Treasury reply: </w:t>
      </w:r>
      <w:r w:rsidRPr="00DE653E" w:rsidR="00DE653E">
        <w:t xml:space="preserve">We agree that parts of the instructions can be clarified. </w:t>
      </w:r>
      <w:r w:rsidR="00DE653E">
        <w:t xml:space="preserve"> </w:t>
      </w:r>
      <w:r w:rsidRPr="00DE653E" w:rsidR="00DE653E">
        <w:t xml:space="preserve">We will submit an updated version of the instructions with the final version of </w:t>
      </w:r>
      <w:r w:rsidRPr="00DE653E" w:rsidR="00DE653E">
        <w:t xml:space="preserve">the B </w:t>
      </w:r>
      <w:r w:rsidR="009A37AB">
        <w:t>F</w:t>
      </w:r>
      <w:r w:rsidRPr="00DE653E" w:rsidR="00DE653E">
        <w:t>orms</w:t>
      </w:r>
      <w:r w:rsidRPr="00DE653E" w:rsidR="00DE653E">
        <w:t>.</w:t>
      </w:r>
    </w:p>
    <w:p w:rsidR="004D7A46" w:rsidP="001D65BF" w14:paraId="4D69064F" w14:textId="77777777"/>
    <w:p w:rsidR="00E60A55" w:rsidP="00E60A55" w14:paraId="0578B563" w14:textId="77777777">
      <w:r w:rsidRPr="00D2146F">
        <w:rPr>
          <w:b/>
          <w:bCs/>
        </w:rPr>
        <w:t>BPI Point V.</w:t>
      </w:r>
      <w:r>
        <w:t xml:space="preserve"> Other specific recommendations.</w:t>
      </w:r>
    </w:p>
    <w:p w:rsidR="00E60A55" w:rsidP="00E60A55" w14:paraId="02D35D2D" w14:textId="77777777"/>
    <w:p w:rsidR="00D35248" w:rsidP="00E60A55" w14:paraId="3E26AE7F" w14:textId="01AA4265">
      <w:r>
        <w:t>A. Allowable signatories for the TIC B Forms should be based on internal governance.</w:t>
      </w:r>
    </w:p>
    <w:p w:rsidR="000D5002" w:rsidP="001D65BF" w14:paraId="44EE2146" w14:textId="77777777"/>
    <w:p w:rsidR="004D7A46" w:rsidP="001D65BF" w14:paraId="041BC662" w14:textId="2FB9340C">
      <w:r>
        <w:t xml:space="preserve">Treasury reply: </w:t>
      </w:r>
      <w:r w:rsidR="00A47A30">
        <w:t xml:space="preserve">Agreed. </w:t>
      </w:r>
      <w:r w:rsidR="005623E9">
        <w:t xml:space="preserve"> </w:t>
      </w:r>
      <w:r w:rsidR="00A47A30">
        <w:t xml:space="preserve">We proposed revised language to </w:t>
      </w:r>
      <w:r w:rsidR="00A618E0">
        <w:t xml:space="preserve">expand </w:t>
      </w:r>
      <w:r w:rsidR="00A47A30">
        <w:t>allowable signatories.</w:t>
      </w:r>
    </w:p>
    <w:p w:rsidR="00E60A55" w:rsidP="001D65BF" w14:paraId="592271DA" w14:textId="77777777"/>
    <w:p w:rsidR="00E60A55" w:rsidP="001D65BF" w14:paraId="794B0135" w14:textId="60FF75CB">
      <w:r w:rsidRPr="00330AB9">
        <w:t>B. The definition of Foreign Official Institution should be clarified.</w:t>
      </w:r>
    </w:p>
    <w:p w:rsidR="00E60A55" w:rsidP="001D65BF" w14:paraId="683D6EF5" w14:textId="77777777"/>
    <w:p w:rsidR="004D7A46" w:rsidP="004D7A46" w14:paraId="4B116FF4" w14:textId="1E813E18">
      <w:r>
        <w:t xml:space="preserve">Treasury reply: </w:t>
      </w:r>
      <w:r w:rsidR="00AC0D2E">
        <w:t>Agreed.  We proposed language to clarify the definition.</w:t>
      </w:r>
    </w:p>
    <w:p w:rsidR="004D7A46" w:rsidP="001D65BF" w14:paraId="6344377C" w14:textId="77777777"/>
    <w:p w:rsidR="00F43BDE" w:rsidP="00F43BDE" w14:paraId="1B89F2B2" w14:textId="6F36C7D7">
      <w:r>
        <w:t>C. The TIC B Forms should be reviewed for potential areas to reduce the granularity of reporting and ease burden.</w:t>
      </w:r>
      <w:r w:rsidR="00447A83">
        <w:t xml:space="preserve">  BPI’s particular proposals were</w:t>
      </w:r>
    </w:p>
    <w:p w:rsidR="00F43BDE" w:rsidP="00F43BDE" w14:paraId="16305B73" w14:textId="77777777"/>
    <w:p w:rsidR="00E60A55" w:rsidP="00F43BDE" w14:paraId="1C8CB7CE" w14:textId="6A593B2D">
      <w:r>
        <w:t xml:space="preserve">1. BQ-3 form part 1: </w:t>
      </w:r>
      <w:r w:rsidR="00447A83">
        <w:t>C</w:t>
      </w:r>
      <w:r>
        <w:t>ondense reported maturity buckets (codes 8051-9 through 8057-8).</w:t>
      </w:r>
    </w:p>
    <w:p w:rsidR="00F43BDE" w:rsidP="00F43BDE" w14:paraId="3B444798" w14:textId="77777777"/>
    <w:p w:rsidR="004D7A46" w:rsidP="004D7A46" w14:paraId="7551C83F" w14:textId="287F1D91">
      <w:r>
        <w:t xml:space="preserve">Treasury reply: </w:t>
      </w:r>
      <w:r w:rsidRPr="008E351A" w:rsidR="008E351A">
        <w:t xml:space="preserve">The maturity buckets align with the external debt statistics that Treasury publishes, according to a format set by the International Monetary Fund (IMF) in consultation with member countries. </w:t>
      </w:r>
      <w:r w:rsidR="008E351A">
        <w:t xml:space="preserve"> </w:t>
      </w:r>
      <w:r w:rsidRPr="008E351A" w:rsidR="008E351A">
        <w:t>The buckets provide policy makers with information to assess maturity risks with greater precision.</w:t>
      </w:r>
    </w:p>
    <w:p w:rsidR="00F43BDE" w:rsidP="00F43BDE" w14:paraId="41246DD5" w14:textId="77777777"/>
    <w:p w:rsidR="00F43BDE" w:rsidP="00F43BDE" w14:paraId="7CDFF98E" w14:textId="453F8581">
      <w:r w:rsidRPr="00CC5CE6">
        <w:t>2. BQ-3 form part 1: Eliminate one or both “Non-Interest Paying Items Without a Fixed Maturity Including Repos Under a Continuing Contract” (8030-6) and “Other Items without a Fixed Maturity Including Repos Under a Continuing Contract” (8040-3) rows.</w:t>
      </w:r>
    </w:p>
    <w:p w:rsidR="00F43BDE" w:rsidP="00F43BDE" w14:paraId="3A8AC68C" w14:textId="77777777"/>
    <w:p w:rsidR="004D7A46" w:rsidP="004D7A46" w14:paraId="4B9FCAEC" w14:textId="107107E4">
      <w:r>
        <w:t xml:space="preserve">Treasury reply: </w:t>
      </w:r>
      <w:r w:rsidRPr="00092D16" w:rsidR="00092D16">
        <w:t xml:space="preserve">Removing rows 8030-6 or 8040-3 from Form BQ-3 and integrating them along with maturity information into Forms BC, BL-1 or BL-2 would increase reporting burden </w:t>
      </w:r>
      <w:r w:rsidRPr="00092D16" w:rsidR="00092D16">
        <w:t>because Form BQ-3 is collected quarterly, while Forms BC, BL-1, and BL-2 are collected monthly.</w:t>
      </w:r>
    </w:p>
    <w:p w:rsidR="004D7A46" w:rsidP="00F43BDE" w14:paraId="06728F3C" w14:textId="77777777"/>
    <w:p w:rsidR="00182777" w:rsidP="00182777" w14:paraId="52109FFF" w14:textId="2245D226">
      <w:r>
        <w:t xml:space="preserve">3. Eliminate the “Of Which” FOI, OFO, and Resale columns from </w:t>
      </w:r>
      <w:r w:rsidR="00FB3CE5">
        <w:t>F</w:t>
      </w:r>
      <w:r w:rsidR="00D2146F">
        <w:t>orm</w:t>
      </w:r>
      <w:r>
        <w:t xml:space="preserve"> BC.</w:t>
      </w:r>
    </w:p>
    <w:p w:rsidR="000D5002" w:rsidP="00182777" w14:paraId="75916F95" w14:textId="51D649D7">
      <w:r>
        <w:t xml:space="preserve">4. Eliminate the “Of Which” OFO and Repo columns from </w:t>
      </w:r>
      <w:r w:rsidR="00FB3CE5">
        <w:t>F</w:t>
      </w:r>
      <w:r w:rsidR="00D2146F">
        <w:t>orm</w:t>
      </w:r>
      <w:r>
        <w:t xml:space="preserve"> BL-1.</w:t>
      </w:r>
    </w:p>
    <w:p w:rsidR="00CC5CE6" w:rsidP="001D65BF" w14:paraId="3CB702D0" w14:textId="77777777"/>
    <w:p w:rsidR="00D2146F" w:rsidP="001D65BF" w14:paraId="5DECE6CA" w14:textId="2088EDA4">
      <w:r>
        <w:t xml:space="preserve">Treasury reply (for both points combined): </w:t>
      </w:r>
      <w:r w:rsidRPr="00AC52BF" w:rsidR="00AC52BF">
        <w:t>FOI (Foreign Official Institution),</w:t>
      </w:r>
      <w:r w:rsidR="00E46262">
        <w:t xml:space="preserve"> OFO (Own Foreign Office), </w:t>
      </w:r>
      <w:r w:rsidRPr="00AC52BF" w:rsidR="00AC52BF">
        <w:t xml:space="preserve">Resale, and Repo </w:t>
      </w:r>
      <w:r w:rsidR="00230C25">
        <w:t xml:space="preserve">(repurchase agreement) </w:t>
      </w:r>
      <w:r w:rsidRPr="00AC52BF" w:rsidR="00AC52BF">
        <w:t xml:space="preserve">flows provide insight on global dollar funding, particularly as it pertains to foreign banks’ role in the U.S. repo market and reliance on dollar repos to meet funding needs. </w:t>
      </w:r>
    </w:p>
    <w:p w:rsidR="00CC5CE6" w:rsidP="001D65BF" w14:paraId="46F49BC2" w14:textId="77777777"/>
    <w:p w:rsidR="004D7A46" w:rsidRPr="00880EAA" w:rsidP="001D65BF" w14:paraId="10DFFE84" w14:textId="717CF73D">
      <w:pPr>
        <w:rPr>
          <w:b/>
          <w:bCs/>
        </w:rPr>
      </w:pPr>
      <w:r w:rsidRPr="00880EAA">
        <w:rPr>
          <w:b/>
          <w:bCs/>
        </w:rPr>
        <w:t>(</w:t>
      </w:r>
      <w:r w:rsidRPr="00880EAA">
        <w:rPr>
          <w:b/>
          <w:bCs/>
        </w:rPr>
        <w:t>End of</w:t>
      </w:r>
      <w:r w:rsidRPr="00880EAA">
        <w:rPr>
          <w:b/>
          <w:bCs/>
        </w:rPr>
        <w:t xml:space="preserve"> </w:t>
      </w:r>
      <w:r w:rsidRPr="00880EAA" w:rsidR="00A22BB0">
        <w:rPr>
          <w:b/>
          <w:bCs/>
        </w:rPr>
        <w:t>summary of</w:t>
      </w:r>
      <w:r w:rsidRPr="00880EAA">
        <w:rPr>
          <w:b/>
          <w:bCs/>
        </w:rPr>
        <w:t xml:space="preserve"> </w:t>
      </w:r>
      <w:r w:rsidRPr="00880EAA" w:rsidR="00A22BB0">
        <w:rPr>
          <w:b/>
          <w:bCs/>
        </w:rPr>
        <w:t>BPI letter and Treasury reply.)</w:t>
      </w:r>
    </w:p>
    <w:p w:rsidR="004D7A46" w:rsidP="001D65BF" w14:paraId="6AACD251" w14:textId="77777777"/>
    <w:p w:rsidR="001D65BF" w:rsidP="001D65BF" w14:paraId="40D6CB53" w14:textId="6D505F3E">
      <w:r>
        <w:t xml:space="preserve">As is done for all TIC forms, discussions regarding all aspects of the reporting forms are held on an ongoing basis with staff of the International Reports Division of the Federal Reserve Bank of New York (FRBNY); with staff of the Federal Reserve Board of Governors’ Division of International Finance; and with staff of the Bureau of Economic Analysis (BEA) of the Department of Commerce.  FRBNY, </w:t>
      </w:r>
      <w:r w:rsidR="007D31EF">
        <w:t>located in</w:t>
      </w:r>
      <w:r>
        <w:t xml:space="preserve"> the nation</w:t>
      </w:r>
      <w:r w:rsidR="00541EB2">
        <w:t>’</w:t>
      </w:r>
      <w:r>
        <w:t xml:space="preserve">s major financial center, is the processing center for the review and editing of information reported on </w:t>
      </w:r>
      <w:r w:rsidR="00FD538D">
        <w:t>the B</w:t>
      </w:r>
      <w:r w:rsidR="00BD5DC1">
        <w:t xml:space="preserve"> </w:t>
      </w:r>
      <w:r w:rsidR="009A37AB">
        <w:t>F</w:t>
      </w:r>
      <w:r>
        <w:t>orm</w:t>
      </w:r>
      <w:r w:rsidR="00FD538D">
        <w:t>s</w:t>
      </w:r>
      <w:r>
        <w:t>.  The Board of Governors and BEA are both major users of the data in aggregate form.</w:t>
      </w:r>
    </w:p>
    <w:p w:rsidR="001D65BF" w:rsidP="001D65BF" w14:paraId="0B430865" w14:textId="77777777"/>
    <w:p w:rsidR="001D65BF" w14:paraId="25A5CAFB"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the </w:t>
      </w:r>
      <w:r>
        <w:t>staffs</w:t>
      </w:r>
      <w:r>
        <w:t xml:space="preserve">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BB73D9" w14:paraId="6468D32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05BF" w:rsidRPr="002934B7" w:rsidP="004905BF" w14:paraId="247A56F1" w14:textId="3F283E58">
      <w:pPr>
        <w:rPr>
          <w:b/>
          <w:bCs/>
        </w:rPr>
      </w:pPr>
      <w:r w:rsidRPr="002934B7">
        <w:rPr>
          <w:b/>
          <w:bCs/>
        </w:rPr>
        <w:t>9</w:t>
      </w:r>
      <w:r w:rsidRPr="002934B7">
        <w:rPr>
          <w:b/>
          <w:bCs/>
        </w:rPr>
        <w:t>.</w:t>
      </w:r>
      <w:r w:rsidRPr="002934B7" w:rsidR="00F617FD">
        <w:rPr>
          <w:b/>
          <w:bCs/>
        </w:rPr>
        <w:t xml:space="preserve">  </w:t>
      </w:r>
      <w:r w:rsidRPr="002934B7" w:rsidR="00BD27B6">
        <w:rPr>
          <w:b/>
          <w:bCs/>
          <w:szCs w:val="24"/>
        </w:rPr>
        <w:t>Provision</w:t>
      </w:r>
      <w:r w:rsidRPr="002934B7" w:rsidR="00BD27B6">
        <w:rPr>
          <w:b/>
          <w:bCs/>
          <w:szCs w:val="24"/>
        </w:rPr>
        <w:t xml:space="preserve"> of payments</w:t>
      </w:r>
    </w:p>
    <w:p w:rsidR="004905BF" w14:paraId="04661D1E" w14:textId="77777777">
      <w:pPr>
        <w:pStyle w:val="BodyTextIndent"/>
      </w:pPr>
    </w:p>
    <w:p w:rsidR="00BB73D9" w:rsidP="005B25EC" w14:paraId="5C77B8E6" w14:textId="3A34CB36">
      <w:pPr>
        <w:pStyle w:val="BodyTextIndent"/>
        <w:tabs>
          <w:tab w:val="clear" w:pos="720"/>
        </w:tabs>
        <w:ind w:left="0" w:firstLine="0"/>
      </w:pPr>
      <w:r>
        <w:t xml:space="preserve">Regarding </w:t>
      </w:r>
      <w:r w:rsidR="00B051BC">
        <w:t xml:space="preserve">the </w:t>
      </w:r>
      <w:r w:rsidR="005649F7">
        <w:t>B Forms</w:t>
      </w:r>
      <w:r>
        <w:t xml:space="preserve"> or any other TIC forms, there has been no provision of payments or gifts to respondents for any purpose.</w:t>
      </w:r>
    </w:p>
    <w:p w:rsidR="00BB73D9" w14:paraId="77FD47D0"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6EF6" w:rsidRPr="002934B7" w:rsidP="004C6EF6" w14:paraId="4AB8E4DB" w14:textId="2F137411">
      <w:pPr>
        <w:rPr>
          <w:b/>
          <w:bCs/>
        </w:rPr>
      </w:pPr>
      <w:r w:rsidRPr="002934B7">
        <w:rPr>
          <w:b/>
          <w:bCs/>
        </w:rPr>
        <w:t>10</w:t>
      </w:r>
      <w:r w:rsidRPr="002934B7">
        <w:rPr>
          <w:b/>
          <w:bCs/>
        </w:rPr>
        <w:t>.</w:t>
      </w:r>
      <w:r w:rsidRPr="002934B7" w:rsidR="00F617FD">
        <w:rPr>
          <w:b/>
          <w:bCs/>
        </w:rPr>
        <w:t xml:space="preserve">  </w:t>
      </w:r>
      <w:r w:rsidRPr="002934B7" w:rsidR="00BD27B6">
        <w:rPr>
          <w:b/>
          <w:bCs/>
        </w:rPr>
        <w:t>A</w:t>
      </w:r>
      <w:r w:rsidRPr="002934B7">
        <w:rPr>
          <w:b/>
          <w:bCs/>
        </w:rPr>
        <w:t>ssurance</w:t>
      </w:r>
      <w:r w:rsidRPr="002934B7">
        <w:rPr>
          <w:b/>
          <w:bCs/>
        </w:rPr>
        <w:t xml:space="preserve"> of confidentiality</w:t>
      </w:r>
    </w:p>
    <w:p w:rsidR="004C6EF6" w14:paraId="32308DC9"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806BD6" w:rsidP="00806BD6" w14:paraId="5B7D7A83" w14:textId="0B7204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3BB7">
        <w:t xml:space="preserve">As is the case for all TIC </w:t>
      </w:r>
      <w:r w:rsidR="00BD27B6">
        <w:t xml:space="preserve">reporting </w:t>
      </w:r>
      <w:r w:rsidRPr="007F3BB7">
        <w:t xml:space="preserve">forms, individual respondent data </w:t>
      </w:r>
      <w:r w:rsidRPr="007F3BB7">
        <w:t>are</w:t>
      </w:r>
      <w:r w:rsidRPr="007F3BB7">
        <w:t xml:space="preserve"> considered confidential</w:t>
      </w:r>
      <w:r w:rsidR="009967F9">
        <w:t>,</w:t>
      </w:r>
      <w:r w:rsidRPr="007F3BB7">
        <w:t xml:space="preserve"> and access to that information is strictly limited to selected staff of the Treasury, the Federal Reserve Board of Governors and district Federal Reserve Banks.</w:t>
      </w:r>
      <w:r>
        <w:t xml:space="preserve"> </w:t>
      </w:r>
      <w:r>
        <w:rPr>
          <w:szCs w:val="24"/>
        </w:rPr>
        <w:t>No personally identifiable information (PII) is collected.</w:t>
      </w:r>
    </w:p>
    <w:p w:rsidR="00BB73D9" w14:paraId="4BE04CF7"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6EF6" w:rsidRPr="002934B7" w:rsidP="004C6EF6" w14:paraId="76F58F85" w14:textId="58D58E80">
      <w:pPr>
        <w:rPr>
          <w:b/>
          <w:bCs/>
        </w:rPr>
      </w:pPr>
      <w:r w:rsidRPr="002934B7">
        <w:rPr>
          <w:b/>
          <w:bCs/>
        </w:rPr>
        <w:t>11</w:t>
      </w:r>
      <w:r w:rsidRPr="002934B7">
        <w:rPr>
          <w:b/>
          <w:bCs/>
        </w:rPr>
        <w:t>.</w:t>
      </w:r>
      <w:r w:rsidRPr="002934B7" w:rsidR="00F617FD">
        <w:rPr>
          <w:b/>
          <w:bCs/>
        </w:rPr>
        <w:t xml:space="preserve">  </w:t>
      </w:r>
      <w:r w:rsidR="002934B7">
        <w:rPr>
          <w:b/>
          <w:bCs/>
        </w:rPr>
        <w:t>Sensitive</w:t>
      </w:r>
      <w:r w:rsidR="002934B7">
        <w:rPr>
          <w:b/>
          <w:bCs/>
        </w:rPr>
        <w:t xml:space="preserve"> Questions</w:t>
      </w:r>
    </w:p>
    <w:p w:rsidR="004C6EF6" w14:paraId="458FE1D2"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14:paraId="3BD6FC8C"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questions of a sensitive nature.</w:t>
      </w:r>
      <w:r w:rsidR="00BD27B6">
        <w:t xml:space="preserve">  </w:t>
      </w:r>
      <w:r w:rsidR="00BD27B6">
        <w:rPr>
          <w:szCs w:val="24"/>
        </w:rPr>
        <w:t>No personally identifiable information (PII) is collected.</w:t>
      </w:r>
    </w:p>
    <w:p w:rsidR="00BB73D9" w14:paraId="41A356BC"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Pr="002934B7" w:rsidP="005B25EC" w14:paraId="324335E7"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34B7">
        <w:rPr>
          <w:b/>
          <w:bCs/>
        </w:rPr>
        <w:t>12</w:t>
      </w:r>
      <w:r w:rsidRPr="002934B7">
        <w:rPr>
          <w:b/>
          <w:bCs/>
        </w:rPr>
        <w:t>.</w:t>
      </w:r>
      <w:r w:rsidRPr="002934B7" w:rsidR="005B25EC">
        <w:rPr>
          <w:b/>
          <w:bCs/>
        </w:rPr>
        <w:t xml:space="preserve">  </w:t>
      </w:r>
      <w:r w:rsidRPr="002934B7">
        <w:rPr>
          <w:b/>
          <w:bCs/>
        </w:rPr>
        <w:t>Total</w:t>
      </w:r>
      <w:r w:rsidRPr="002934B7">
        <w:rPr>
          <w:b/>
          <w:bCs/>
        </w:rPr>
        <w:t xml:space="preserve"> annual hour burden</w:t>
      </w:r>
    </w:p>
    <w:p w:rsidR="00BB73D9" w14:paraId="57779CF5" w14:textId="77777777">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0D7A" w:rsidP="00F41250" w14:paraId="06CC31B6" w14:textId="28F33115">
      <w:r w:rsidRPr="00F41250">
        <w:t xml:space="preserve">The figures below show the burdens under the higher reporting thresholds </w:t>
      </w:r>
      <w:r w:rsidR="00C573CE">
        <w:t>that</w:t>
      </w:r>
      <w:r w:rsidR="00630EC5">
        <w:t xml:space="preserve"> Treasury seeks </w:t>
      </w:r>
      <w:r w:rsidR="00630EC5">
        <w:t xml:space="preserve">OMB approval </w:t>
      </w:r>
      <w:r w:rsidR="00C573CE">
        <w:t>to begin</w:t>
      </w:r>
      <w:r w:rsidRPr="00F41250">
        <w:t xml:space="preserve"> in January 2027.</w:t>
      </w:r>
    </w:p>
    <w:p w:rsidR="00C573B5" w:rsidP="00F41250" w14:paraId="69DACA70" w14:textId="77777777"/>
    <w:p w:rsidR="00BB73D9" w:rsidRPr="00F41250" w:rsidP="00F41250" w14:paraId="22CD4C21" w14:textId="6E220E44">
      <w:pPr>
        <w:ind w:left="720"/>
      </w:pPr>
      <w:r w:rsidRPr="00F41250">
        <w:t xml:space="preserve">Number of </w:t>
      </w:r>
      <w:r w:rsidRPr="00F41250" w:rsidR="00BD27B6">
        <w:t>R</w:t>
      </w:r>
      <w:r w:rsidRPr="00F41250">
        <w:t>espondents</w:t>
      </w:r>
      <w:r w:rsidRPr="00F41250" w:rsidR="00BD27B6">
        <w:t>:</w:t>
      </w:r>
      <w:r w:rsidR="00F617FD">
        <w:t xml:space="preserve">  </w:t>
      </w:r>
      <w:r w:rsidRPr="00F41250" w:rsidR="00BD27B6">
        <w:tab/>
      </w:r>
      <w:r w:rsidR="00F617FD">
        <w:t xml:space="preserve">  </w:t>
      </w:r>
      <w:r w:rsidRPr="00F41250" w:rsidR="003C75D8">
        <w:t xml:space="preserve"> </w:t>
      </w:r>
      <w:r w:rsidR="00BE0F2E">
        <w:t xml:space="preserve">  910</w:t>
      </w:r>
    </w:p>
    <w:p w:rsidR="00BB73D9" w:rsidRPr="00F41250" w:rsidP="00F41250" w14:paraId="38EE61C2" w14:textId="2DEE6C7F">
      <w:pPr>
        <w:ind w:left="720"/>
      </w:pPr>
      <w:r w:rsidRPr="00F41250">
        <w:t>Frequency of Responses</w:t>
      </w:r>
      <w:r w:rsidRPr="00F41250" w:rsidR="00BD27B6">
        <w:t>:</w:t>
      </w:r>
      <w:r w:rsidR="00F617FD">
        <w:t xml:space="preserve">  </w:t>
      </w:r>
      <w:r w:rsidRPr="00F41250" w:rsidR="00BD27B6">
        <w:tab/>
      </w:r>
      <w:r w:rsidR="00F617FD">
        <w:t xml:space="preserve">    </w:t>
      </w:r>
      <w:r w:rsidRPr="00F41250">
        <w:t>4</w:t>
      </w:r>
      <w:r w:rsidRPr="00F41250" w:rsidR="003C75D8">
        <w:t>-12</w:t>
      </w:r>
      <w:r w:rsidRPr="00F41250">
        <w:t xml:space="preserve"> per year</w:t>
      </w:r>
    </w:p>
    <w:p w:rsidR="00BB73D9" w:rsidRPr="00F41250" w:rsidP="00F41250" w14:paraId="2C292C2A" w14:textId="71ACB12A">
      <w:pPr>
        <w:ind w:left="720"/>
      </w:pPr>
      <w:r w:rsidRPr="00F41250">
        <w:t>Annual Burden</w:t>
      </w:r>
      <w:r w:rsidRPr="00F41250" w:rsidR="00BD27B6">
        <w:t>:</w:t>
      </w:r>
      <w:r w:rsidR="00F617FD">
        <w:t xml:space="preserve">        </w:t>
      </w:r>
      <w:r w:rsidRPr="00F41250" w:rsidR="00177F42">
        <w:t xml:space="preserve"> </w:t>
      </w:r>
      <w:r w:rsidRPr="00F41250" w:rsidR="00BD27B6">
        <w:tab/>
      </w:r>
      <w:r w:rsidR="0085038A">
        <w:tab/>
      </w:r>
      <w:r w:rsidR="00B930E2">
        <w:t>78,90</w:t>
      </w:r>
      <w:r w:rsidR="005616B1">
        <w:t>0</w:t>
      </w:r>
      <w:r w:rsidRPr="00F41250">
        <w:t xml:space="preserve"> hours</w:t>
      </w:r>
    </w:p>
    <w:p w:rsidR="00BB73D9" w:rsidRPr="00F41250" w:rsidP="00F41250" w14:paraId="4290152F" w14:textId="77777777"/>
    <w:p w:rsidR="00BB73D9" w:rsidRPr="00F41250" w:rsidP="00F41250" w14:paraId="2C898251" w14:textId="0CE7FC00">
      <w:r w:rsidRPr="00F41250">
        <w:t xml:space="preserve">The respondent population subject to </w:t>
      </w:r>
      <w:r w:rsidRPr="00F41250" w:rsidR="003C75D8">
        <w:t xml:space="preserve">the </w:t>
      </w:r>
      <w:r w:rsidR="005649F7">
        <w:t>B Forms</w:t>
      </w:r>
      <w:r w:rsidRPr="00F41250">
        <w:t xml:space="preserve"> is approximately </w:t>
      </w:r>
      <w:r w:rsidR="009A7441">
        <w:t>350</w:t>
      </w:r>
      <w:r w:rsidRPr="00F41250" w:rsidR="000517E4">
        <w:t xml:space="preserve"> </w:t>
      </w:r>
      <w:r w:rsidRPr="00F41250" w:rsidR="00D80FDB">
        <w:t xml:space="preserve">financial institutions (including, but not limited to banks, other depository institutions, </w:t>
      </w:r>
      <w:r w:rsidRPr="00F41250" w:rsidR="007D31EF">
        <w:t xml:space="preserve">securities </w:t>
      </w:r>
      <w:r w:rsidRPr="00F41250" w:rsidR="00D80FDB">
        <w:t xml:space="preserve">brokers/dealers, bank/financial holding companies, investment banks, insurance companies, credit card issuers, money market funds, pension funds, private equity funds, hedge funds, trusts, finance companies, mortgage companies, commodity brokers and dealers, investment advisors and managers, </w:t>
      </w:r>
      <w:r w:rsidR="00776366">
        <w:t xml:space="preserve">and </w:t>
      </w:r>
      <w:r w:rsidRPr="00F41250" w:rsidR="00D80FDB">
        <w:t>loan brokers), based on the reporting threshold.</w:t>
      </w:r>
      <w:r w:rsidRPr="00F41250">
        <w:t xml:space="preserve">  </w:t>
      </w:r>
      <w:r w:rsidRPr="00F41250" w:rsidR="000333E4">
        <w:t xml:space="preserve">Most of these institutions file multiple </w:t>
      </w:r>
      <w:r w:rsidR="005649F7">
        <w:t>B Forms</w:t>
      </w:r>
      <w:r w:rsidR="009A7441">
        <w:t xml:space="preserve">, making the total number of respondents </w:t>
      </w:r>
      <w:r w:rsidR="00431BD1">
        <w:t>approximately 910</w:t>
      </w:r>
      <w:r w:rsidRPr="00F41250" w:rsidR="000333E4">
        <w:t xml:space="preserve">.  </w:t>
      </w:r>
      <w:r w:rsidRPr="00F41250">
        <w:t xml:space="preserve">We expect about </w:t>
      </w:r>
      <w:r w:rsidR="002934B7">
        <w:t>8,424</w:t>
      </w:r>
      <w:r w:rsidRPr="00F41250" w:rsidR="000517E4">
        <w:t xml:space="preserve"> </w:t>
      </w:r>
      <w:r w:rsidRPr="00F41250">
        <w:t xml:space="preserve">responses per year. </w:t>
      </w:r>
      <w:r w:rsidRPr="00F41250" w:rsidR="00BB40BF">
        <w:t xml:space="preserve"> T</w:t>
      </w:r>
      <w:r w:rsidRPr="00F41250">
        <w:t xml:space="preserve">he estimated total reporting burden on the public is </w:t>
      </w:r>
      <w:r w:rsidR="008A723B">
        <w:t>78,900</w:t>
      </w:r>
      <w:r w:rsidRPr="00F41250">
        <w:t xml:space="preserve"> hours per year.</w:t>
      </w:r>
      <w:r w:rsidRPr="00F41250" w:rsidR="000333E4">
        <w:t xml:space="preserve"> The table below shows details for each form.</w:t>
      </w:r>
    </w:p>
    <w:p w:rsidR="00AE2C08" w:rsidRPr="00F41250" w:rsidP="00F41250" w14:paraId="35936707" w14:textId="77777777"/>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4"/>
        <w:gridCol w:w="1430"/>
        <w:gridCol w:w="1810"/>
        <w:gridCol w:w="1710"/>
        <w:gridCol w:w="1530"/>
        <w:gridCol w:w="1354"/>
      </w:tblGrid>
      <w:tr w14:paraId="01B68451" w14:textId="77777777" w:rsidTr="001F58B1">
        <w:tblPrEx>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534" w:type="dxa"/>
            <w:vAlign w:val="center"/>
          </w:tcPr>
          <w:p w:rsidR="00B6661E" w:rsidRPr="00C57211" w:rsidP="00B051BC" w14:paraId="72E43B20"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430" w:type="dxa"/>
            <w:vAlign w:val="center"/>
          </w:tcPr>
          <w:p w:rsidR="00B6661E" w:rsidRPr="00C57211" w:rsidP="00B6661E" w14:paraId="38BD34AF"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10" w:type="dxa"/>
            <w:vAlign w:val="center"/>
          </w:tcPr>
          <w:p w:rsidR="00B6661E" w:rsidRPr="00C57211" w:rsidP="005D0049" w14:paraId="4D9AF35E"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710" w:type="dxa"/>
            <w:vAlign w:val="center"/>
          </w:tcPr>
          <w:p w:rsidR="00B6661E" w:rsidRPr="00C57211" w:rsidP="00B051BC" w14:paraId="4C77362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530" w:type="dxa"/>
            <w:vAlign w:val="center"/>
          </w:tcPr>
          <w:p w:rsidR="00B6661E" w:rsidRPr="00C57211" w:rsidP="00B051BC" w14:paraId="1465BB02"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354" w:type="dxa"/>
            <w:vAlign w:val="center"/>
          </w:tcPr>
          <w:p w:rsidR="00B6661E" w:rsidRPr="00C57211" w:rsidP="00B051BC" w14:paraId="1DC3F5B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r w:rsidR="000333E4">
              <w:rPr>
                <w:rFonts w:ascii="Arial Narrow" w:hAnsi="Arial Narrow"/>
                <w:sz w:val="22"/>
                <w:szCs w:val="22"/>
              </w:rPr>
              <w:t xml:space="preserve"> (Hours)</w:t>
            </w:r>
          </w:p>
        </w:tc>
      </w:tr>
      <w:tr w14:paraId="27A072D2" w14:textId="77777777" w:rsidTr="001F58B1">
        <w:tblPrEx>
          <w:tblW w:w="9368" w:type="dxa"/>
          <w:jc w:val="center"/>
          <w:tblLook w:val="04A0"/>
        </w:tblPrEx>
        <w:trPr>
          <w:trHeight w:val="575"/>
          <w:jc w:val="center"/>
        </w:trPr>
        <w:tc>
          <w:tcPr>
            <w:tcW w:w="1534" w:type="dxa"/>
            <w:vAlign w:val="center"/>
          </w:tcPr>
          <w:p w:rsidR="00B6661E" w:rsidP="009B57AB" w14:paraId="51FEBD30"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430" w:type="dxa"/>
            <w:vAlign w:val="center"/>
          </w:tcPr>
          <w:p w:rsidR="00B6661E" w:rsidP="009B57AB" w14:paraId="34ACC943" w14:textId="51FD6D2B">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235</w:t>
            </w:r>
          </w:p>
        </w:tc>
        <w:tc>
          <w:tcPr>
            <w:tcW w:w="1810" w:type="dxa"/>
            <w:vAlign w:val="center"/>
          </w:tcPr>
          <w:p w:rsidR="00B6661E" w:rsidP="009B57AB" w14:paraId="63B1CC4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12</w:t>
            </w:r>
          </w:p>
        </w:tc>
        <w:tc>
          <w:tcPr>
            <w:tcW w:w="1710" w:type="dxa"/>
            <w:vAlign w:val="center"/>
          </w:tcPr>
          <w:p w:rsidR="00B6661E" w:rsidP="009B57AB" w14:paraId="36F5CD4E" w14:textId="0251F373">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2,820</w:t>
            </w:r>
          </w:p>
        </w:tc>
        <w:tc>
          <w:tcPr>
            <w:tcW w:w="1530" w:type="dxa"/>
            <w:vAlign w:val="center"/>
          </w:tcPr>
          <w:p w:rsidR="00B6661E" w:rsidP="009B57AB" w14:paraId="0ED1EE33" w14:textId="1CF53AAD">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11.60</w:t>
            </w:r>
          </w:p>
        </w:tc>
        <w:tc>
          <w:tcPr>
            <w:tcW w:w="1354" w:type="dxa"/>
            <w:vAlign w:val="center"/>
          </w:tcPr>
          <w:p w:rsidR="00B6661E" w:rsidRPr="00B32789" w:rsidP="009B57AB" w14:paraId="26ABCB3C" w14:textId="32108080">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32789">
              <w:rPr>
                <w:szCs w:val="24"/>
              </w:rPr>
              <w:t>32,71</w:t>
            </w:r>
            <w:r w:rsidRPr="00B32789" w:rsidR="00155121">
              <w:rPr>
                <w:szCs w:val="24"/>
              </w:rPr>
              <w:t>2</w:t>
            </w:r>
          </w:p>
        </w:tc>
      </w:tr>
      <w:tr w14:paraId="6DD3F488" w14:textId="77777777" w:rsidTr="001F58B1">
        <w:tblPrEx>
          <w:tblW w:w="9368" w:type="dxa"/>
          <w:jc w:val="center"/>
          <w:tblLook w:val="04A0"/>
        </w:tblPrEx>
        <w:trPr>
          <w:trHeight w:val="575"/>
          <w:jc w:val="center"/>
        </w:trPr>
        <w:tc>
          <w:tcPr>
            <w:tcW w:w="1534" w:type="dxa"/>
            <w:vAlign w:val="center"/>
          </w:tcPr>
          <w:p w:rsidR="00B6661E" w:rsidP="009B57AB" w14:paraId="5161BAB4"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430" w:type="dxa"/>
            <w:vAlign w:val="center"/>
          </w:tcPr>
          <w:p w:rsidR="00B6661E" w:rsidP="009B57AB" w14:paraId="2D44721E" w14:textId="4523A176">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283</w:t>
            </w:r>
          </w:p>
        </w:tc>
        <w:tc>
          <w:tcPr>
            <w:tcW w:w="1810" w:type="dxa"/>
            <w:vAlign w:val="center"/>
          </w:tcPr>
          <w:p w:rsidR="00B6661E" w:rsidP="009B57AB" w14:paraId="35DAC3DD"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12</w:t>
            </w:r>
          </w:p>
        </w:tc>
        <w:tc>
          <w:tcPr>
            <w:tcW w:w="1710" w:type="dxa"/>
            <w:vAlign w:val="center"/>
          </w:tcPr>
          <w:p w:rsidR="00B6661E" w:rsidP="009B57AB" w14:paraId="2498BC65" w14:textId="02F6072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3,396</w:t>
            </w:r>
          </w:p>
        </w:tc>
        <w:tc>
          <w:tcPr>
            <w:tcW w:w="1530" w:type="dxa"/>
            <w:vAlign w:val="center"/>
          </w:tcPr>
          <w:p w:rsidR="00B6661E" w:rsidP="00CF6647" w14:paraId="128030A2" w14:textId="337C5FF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7.89</w:t>
            </w:r>
          </w:p>
        </w:tc>
        <w:tc>
          <w:tcPr>
            <w:tcW w:w="1354" w:type="dxa"/>
            <w:vAlign w:val="center"/>
          </w:tcPr>
          <w:p w:rsidR="00B6661E" w:rsidRPr="00B32789" w:rsidP="009B57AB" w14:paraId="5AD66455" w14:textId="345B838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32789">
              <w:rPr>
                <w:szCs w:val="24"/>
              </w:rPr>
              <w:t>26,7</w:t>
            </w:r>
            <w:r w:rsidRPr="00B32789" w:rsidR="00155121">
              <w:rPr>
                <w:szCs w:val="24"/>
              </w:rPr>
              <w:t>9</w:t>
            </w:r>
            <w:r w:rsidRPr="00B32789">
              <w:rPr>
                <w:szCs w:val="24"/>
              </w:rPr>
              <w:t>4</w:t>
            </w:r>
          </w:p>
        </w:tc>
      </w:tr>
      <w:tr w14:paraId="4DCDCDB3" w14:textId="77777777" w:rsidTr="001F58B1">
        <w:tblPrEx>
          <w:tblW w:w="9368" w:type="dxa"/>
          <w:jc w:val="center"/>
          <w:tblLook w:val="04A0"/>
        </w:tblPrEx>
        <w:trPr>
          <w:trHeight w:val="575"/>
          <w:jc w:val="center"/>
        </w:trPr>
        <w:tc>
          <w:tcPr>
            <w:tcW w:w="1534" w:type="dxa"/>
            <w:vAlign w:val="center"/>
          </w:tcPr>
          <w:p w:rsidR="00B6661E" w:rsidP="00B6661E" w14:paraId="7758F592"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430" w:type="dxa"/>
            <w:vAlign w:val="center"/>
          </w:tcPr>
          <w:p w:rsidR="00B6661E" w:rsidP="009B57AB" w14:paraId="2AD1DF19" w14:textId="0849CAFF">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80</w:t>
            </w:r>
          </w:p>
        </w:tc>
        <w:tc>
          <w:tcPr>
            <w:tcW w:w="1810" w:type="dxa"/>
            <w:vAlign w:val="center"/>
          </w:tcPr>
          <w:p w:rsidR="00B6661E" w:rsidP="009B57AB" w14:paraId="50687BB4"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12D75">
              <w:t>12</w:t>
            </w:r>
          </w:p>
        </w:tc>
        <w:tc>
          <w:tcPr>
            <w:tcW w:w="1710" w:type="dxa"/>
            <w:vAlign w:val="center"/>
          </w:tcPr>
          <w:p w:rsidR="00B6661E" w:rsidP="009B57AB" w14:paraId="535E7604" w14:textId="11FD3EC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960</w:t>
            </w:r>
          </w:p>
        </w:tc>
        <w:tc>
          <w:tcPr>
            <w:tcW w:w="1530" w:type="dxa"/>
            <w:vAlign w:val="center"/>
          </w:tcPr>
          <w:p w:rsidR="00B6661E" w:rsidP="009B57AB" w14:paraId="69E2582F" w14:textId="3B5E1D3A">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9.21</w:t>
            </w:r>
          </w:p>
        </w:tc>
        <w:tc>
          <w:tcPr>
            <w:tcW w:w="1354" w:type="dxa"/>
            <w:vAlign w:val="center"/>
          </w:tcPr>
          <w:p w:rsidR="00B6661E" w:rsidRPr="00B32789" w:rsidP="009B57AB" w14:paraId="2B5DF006" w14:textId="427E0B9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32789">
              <w:t>8,84</w:t>
            </w:r>
            <w:r w:rsidRPr="00B32789" w:rsidR="00913842">
              <w:t>2</w:t>
            </w:r>
          </w:p>
        </w:tc>
      </w:tr>
      <w:tr w14:paraId="54FBE167" w14:textId="77777777" w:rsidTr="001F58B1">
        <w:tblPrEx>
          <w:tblW w:w="9368" w:type="dxa"/>
          <w:jc w:val="center"/>
          <w:tblLook w:val="04A0"/>
        </w:tblPrEx>
        <w:trPr>
          <w:trHeight w:val="575"/>
          <w:jc w:val="center"/>
        </w:trPr>
        <w:tc>
          <w:tcPr>
            <w:tcW w:w="1534" w:type="dxa"/>
            <w:vAlign w:val="center"/>
          </w:tcPr>
          <w:p w:rsidR="00B6661E" w:rsidP="009B57AB" w14:paraId="6B593CB8"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430" w:type="dxa"/>
            <w:vAlign w:val="center"/>
          </w:tcPr>
          <w:p w:rsidR="00B6661E" w:rsidP="009B57AB" w14:paraId="597B3FE0" w14:textId="606D9C13">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46</w:t>
            </w:r>
          </w:p>
        </w:tc>
        <w:tc>
          <w:tcPr>
            <w:tcW w:w="1810" w:type="dxa"/>
            <w:vAlign w:val="center"/>
          </w:tcPr>
          <w:p w:rsidR="00B6661E" w:rsidP="009B57AB" w14:paraId="684E56E7"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710" w:type="dxa"/>
            <w:vAlign w:val="center"/>
          </w:tcPr>
          <w:p w:rsidR="00B6661E" w:rsidP="009B57AB" w14:paraId="2068D6A7" w14:textId="68095DB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184</w:t>
            </w:r>
          </w:p>
        </w:tc>
        <w:tc>
          <w:tcPr>
            <w:tcW w:w="1530" w:type="dxa"/>
            <w:vAlign w:val="center"/>
          </w:tcPr>
          <w:p w:rsidR="00B6661E" w:rsidP="009B57AB" w14:paraId="70FF8C5F" w14:textId="4A5C328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4.32</w:t>
            </w:r>
          </w:p>
        </w:tc>
        <w:tc>
          <w:tcPr>
            <w:tcW w:w="1354" w:type="dxa"/>
            <w:vAlign w:val="center"/>
          </w:tcPr>
          <w:p w:rsidR="00B6661E" w:rsidRPr="00B32789" w:rsidP="009B57AB" w14:paraId="16B91233" w14:textId="4E0A6B9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32789">
              <w:t>795</w:t>
            </w:r>
          </w:p>
        </w:tc>
      </w:tr>
      <w:tr w14:paraId="606B874E" w14:textId="77777777" w:rsidTr="00147FCF">
        <w:tblPrEx>
          <w:tblW w:w="9368" w:type="dxa"/>
          <w:jc w:val="center"/>
          <w:tblLook w:val="04A0"/>
        </w:tblPrEx>
        <w:trPr>
          <w:trHeight w:val="575"/>
          <w:jc w:val="center"/>
        </w:trPr>
        <w:tc>
          <w:tcPr>
            <w:tcW w:w="1534" w:type="dxa"/>
            <w:vAlign w:val="center"/>
          </w:tcPr>
          <w:p w:rsidR="00B6661E" w:rsidP="009B57AB" w14:paraId="5E03131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430" w:type="dxa"/>
            <w:vAlign w:val="center"/>
          </w:tcPr>
          <w:p w:rsidR="00B6661E" w:rsidP="009B57AB" w14:paraId="36FF6D89" w14:textId="00CE227A">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148</w:t>
            </w:r>
          </w:p>
        </w:tc>
        <w:tc>
          <w:tcPr>
            <w:tcW w:w="1810" w:type="dxa"/>
            <w:vAlign w:val="center"/>
          </w:tcPr>
          <w:p w:rsidR="00B6661E" w:rsidP="009B57AB" w14:paraId="0019EC00"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C180D">
              <w:rPr>
                <w:szCs w:val="24"/>
              </w:rPr>
              <w:t>4</w:t>
            </w:r>
          </w:p>
        </w:tc>
        <w:tc>
          <w:tcPr>
            <w:tcW w:w="1710" w:type="dxa"/>
            <w:vAlign w:val="center"/>
          </w:tcPr>
          <w:p w:rsidR="00B6661E" w:rsidP="009B57AB" w14:paraId="7D7F7D8F" w14:textId="7F0D52A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592</w:t>
            </w:r>
          </w:p>
        </w:tc>
        <w:tc>
          <w:tcPr>
            <w:tcW w:w="1530" w:type="dxa"/>
            <w:vAlign w:val="center"/>
          </w:tcPr>
          <w:p w:rsidR="001E2325" w:rsidP="00147FCF" w14:paraId="1F00D4AF" w14:textId="574B322D">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8.11</w:t>
            </w:r>
          </w:p>
        </w:tc>
        <w:tc>
          <w:tcPr>
            <w:tcW w:w="1354" w:type="dxa"/>
            <w:vAlign w:val="center"/>
          </w:tcPr>
          <w:p w:rsidR="00B6661E" w:rsidRPr="00B32789" w:rsidP="009B57AB" w14:paraId="7DEBF6E4" w14:textId="7EDF2213">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32789">
              <w:rPr>
                <w:szCs w:val="24"/>
              </w:rPr>
              <w:t>4,80</w:t>
            </w:r>
            <w:r w:rsidRPr="00B32789" w:rsidR="00FC530C">
              <w:rPr>
                <w:szCs w:val="24"/>
              </w:rPr>
              <w:t>1</w:t>
            </w:r>
          </w:p>
        </w:tc>
      </w:tr>
      <w:tr w14:paraId="02EFAA0A" w14:textId="77777777" w:rsidTr="001F58B1">
        <w:tblPrEx>
          <w:tblW w:w="9368" w:type="dxa"/>
          <w:jc w:val="center"/>
          <w:tblLook w:val="04A0"/>
        </w:tblPrEx>
        <w:trPr>
          <w:trHeight w:val="575"/>
          <w:jc w:val="center"/>
        </w:trPr>
        <w:tc>
          <w:tcPr>
            <w:tcW w:w="1534" w:type="dxa"/>
            <w:vAlign w:val="center"/>
          </w:tcPr>
          <w:p w:rsidR="00B6661E" w:rsidP="009B57AB" w14:paraId="1832AC8E"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430" w:type="dxa"/>
            <w:vAlign w:val="center"/>
          </w:tcPr>
          <w:p w:rsidR="00B6661E" w:rsidP="009B57AB" w14:paraId="6B1288AB" w14:textId="3734CBE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118</w:t>
            </w:r>
          </w:p>
        </w:tc>
        <w:tc>
          <w:tcPr>
            <w:tcW w:w="1810" w:type="dxa"/>
            <w:vAlign w:val="center"/>
          </w:tcPr>
          <w:p w:rsidR="00B6661E" w:rsidP="009B57AB" w14:paraId="4111F418"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4</w:t>
            </w:r>
          </w:p>
        </w:tc>
        <w:tc>
          <w:tcPr>
            <w:tcW w:w="1710" w:type="dxa"/>
            <w:vAlign w:val="center"/>
          </w:tcPr>
          <w:p w:rsidR="00B6661E" w:rsidP="009B57AB" w14:paraId="68CE0CD1" w14:textId="7F7F781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472</w:t>
            </w:r>
          </w:p>
        </w:tc>
        <w:tc>
          <w:tcPr>
            <w:tcW w:w="1530" w:type="dxa"/>
            <w:vAlign w:val="center"/>
          </w:tcPr>
          <w:p w:rsidR="00B6661E" w:rsidP="009B57AB" w14:paraId="43CE8E6F"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F6647">
              <w:t>0</w:t>
            </w:r>
          </w:p>
        </w:tc>
        <w:tc>
          <w:tcPr>
            <w:tcW w:w="1354" w:type="dxa"/>
            <w:vAlign w:val="center"/>
          </w:tcPr>
          <w:p w:rsidR="00B6661E" w:rsidP="009B57AB" w14:paraId="663B105D" w14:textId="582F1160">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4,956</w:t>
            </w:r>
          </w:p>
        </w:tc>
      </w:tr>
      <w:tr w14:paraId="214B5BF9" w14:textId="77777777" w:rsidTr="001F58B1">
        <w:tblPrEx>
          <w:tblW w:w="9368" w:type="dxa"/>
          <w:jc w:val="center"/>
          <w:tblLook w:val="04A0"/>
        </w:tblPrEx>
        <w:trPr>
          <w:trHeight w:val="575"/>
          <w:jc w:val="center"/>
        </w:trPr>
        <w:tc>
          <w:tcPr>
            <w:tcW w:w="1534" w:type="dxa"/>
            <w:vAlign w:val="center"/>
          </w:tcPr>
          <w:p w:rsidR="00B6661E" w:rsidRPr="001F58B1" w:rsidP="009B57AB" w14:paraId="3F5AE47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430" w:type="dxa"/>
            <w:vAlign w:val="center"/>
          </w:tcPr>
          <w:p w:rsidR="00B6661E" w:rsidRPr="001F58B1" w:rsidP="009B57AB" w14:paraId="1CFBE18F" w14:textId="20BA760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910</w:t>
            </w:r>
          </w:p>
        </w:tc>
        <w:tc>
          <w:tcPr>
            <w:tcW w:w="1810" w:type="dxa"/>
            <w:vAlign w:val="center"/>
          </w:tcPr>
          <w:p w:rsidR="00B6661E" w:rsidRPr="001F58B1" w:rsidP="009B57AB" w14:paraId="0608EF23" w14:textId="2C4DCDF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w:t>
            </w:r>
            <w:r w:rsidR="000F7D12">
              <w:rPr>
                <w:b/>
              </w:rPr>
              <w:t xml:space="preserve"> or </w:t>
            </w:r>
            <w:r w:rsidRPr="001F58B1">
              <w:rPr>
                <w:b/>
              </w:rPr>
              <w:t>12</w:t>
            </w:r>
          </w:p>
        </w:tc>
        <w:tc>
          <w:tcPr>
            <w:tcW w:w="1710" w:type="dxa"/>
            <w:vAlign w:val="center"/>
          </w:tcPr>
          <w:p w:rsidR="00B6661E" w:rsidRPr="001F58B1" w:rsidP="00CA1E62" w14:paraId="1FCAD06F" w14:textId="0D0A86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8,424</w:t>
            </w:r>
          </w:p>
        </w:tc>
        <w:tc>
          <w:tcPr>
            <w:tcW w:w="1530" w:type="dxa"/>
            <w:vAlign w:val="center"/>
          </w:tcPr>
          <w:p w:rsidR="00B6661E" w:rsidRPr="001F58B1" w:rsidP="00CA1E62" w14:paraId="42AAE713" w14:textId="5277369D">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9.92</w:t>
            </w:r>
          </w:p>
        </w:tc>
        <w:tc>
          <w:tcPr>
            <w:tcW w:w="1354" w:type="dxa"/>
            <w:vAlign w:val="center"/>
          </w:tcPr>
          <w:p w:rsidR="00B6661E" w:rsidRPr="001F58B1" w:rsidP="00B6661E" w14:paraId="316F98F2" w14:textId="4277142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78,900</w:t>
            </w:r>
          </w:p>
        </w:tc>
      </w:tr>
    </w:tbl>
    <w:p w:rsidR="001A7354" w:rsidP="005B25EC" w14:paraId="6314340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Pr="00F41250" w:rsidP="00F41250" w14:paraId="191DB356" w14:textId="3D43656A">
      <w:r w:rsidRPr="00F41250">
        <w:t xml:space="preserve">Generally, completion and review of the form </w:t>
      </w:r>
      <w:r w:rsidRPr="00F41250">
        <w:t>involves</w:t>
      </w:r>
      <w:r w:rsidRPr="00F41250">
        <w:t xml:space="preserve"> two </w:t>
      </w:r>
      <w:r w:rsidRPr="00F41250">
        <w:t>persons</w:t>
      </w:r>
      <w:r w:rsidRPr="00F41250">
        <w:t xml:space="preserve">.  </w:t>
      </w:r>
      <w:r w:rsidR="001D162E">
        <w:t xml:space="preserve">The </w:t>
      </w:r>
      <w:r w:rsidRPr="00F41250" w:rsidR="00F3183F">
        <w:t xml:space="preserve">estimated average wage of </w:t>
      </w:r>
      <w:r w:rsidRPr="00F41250" w:rsidR="00F3183F">
        <w:t>persons</w:t>
      </w:r>
      <w:r w:rsidRPr="00F41250" w:rsidR="00F3183F">
        <w:t xml:space="preserve"> completing the form is $</w:t>
      </w:r>
      <w:r w:rsidRPr="00F41250" w:rsidR="008145E0">
        <w:t>43.26</w:t>
      </w:r>
      <w:r w:rsidRPr="00F41250" w:rsidR="00F3183F">
        <w:t xml:space="preserve"> per hour (corresponding to an average salary of $</w:t>
      </w:r>
      <w:r w:rsidRPr="00F41250" w:rsidR="00D26307">
        <w:t>89,990</w:t>
      </w:r>
      <w:r w:rsidRPr="00F41250" w:rsidR="00F3183F">
        <w:t xml:space="preserve">), while that of supervisory or other </w:t>
      </w:r>
      <w:r w:rsidRPr="00F41250" w:rsidR="00F3183F">
        <w:t>more senior</w:t>
      </w:r>
      <w:r w:rsidRPr="00F41250" w:rsidR="00F3183F">
        <w:t xml:space="preserve"> staff reviewing the form is $</w:t>
      </w:r>
      <w:r w:rsidRPr="00F41250" w:rsidR="003910CA">
        <w:t>63.19</w:t>
      </w:r>
      <w:r w:rsidRPr="00F41250" w:rsidR="00F3183F">
        <w:t xml:space="preserve"> per hour (corresponding to an average salary of $</w:t>
      </w:r>
      <w:r w:rsidRPr="00F41250" w:rsidR="003910CA">
        <w:t>131,443</w:t>
      </w:r>
      <w:r w:rsidRPr="00F41250" w:rsidR="00F3183F">
        <w:t xml:space="preserve">).  </w:t>
      </w:r>
      <w:r w:rsidRPr="00F41250" w:rsidR="00A25BA1">
        <w:t>The estimated total annual cost to the public is $</w:t>
      </w:r>
      <w:r w:rsidR="00311E0E">
        <w:t>3,</w:t>
      </w:r>
      <w:r w:rsidR="00F13032">
        <w:t>696.068</w:t>
      </w:r>
      <w:r w:rsidRPr="00F41250" w:rsidR="00911787">
        <w:t>.</w:t>
      </w:r>
      <w:r w:rsidRPr="00F41250" w:rsidR="00A25BA1">
        <w:t xml:space="preserve"> </w:t>
      </w:r>
      <w:r w:rsidRPr="00F41250" w:rsidR="000333E4">
        <w:t xml:space="preserve"> The table below shows details for each form.</w:t>
      </w:r>
    </w:p>
    <w:p w:rsidR="00BB73D9" w:rsidRPr="00F41250" w:rsidP="00F41250" w14:paraId="2375B134" w14:textId="4DEEE446">
      <w:r w:rsidRPr="00F41250">
        <w:br w:type="page"/>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981"/>
        <w:gridCol w:w="1129"/>
        <w:gridCol w:w="1169"/>
        <w:gridCol w:w="999"/>
        <w:gridCol w:w="1129"/>
        <w:gridCol w:w="1169"/>
        <w:gridCol w:w="1056"/>
        <w:gridCol w:w="1296"/>
      </w:tblGrid>
      <w:tr w14:paraId="32AF5D82" w14:textId="77777777" w:rsidTr="001D1F6E">
        <w:tblPrEx>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75" w:type="dxa"/>
            <w:vAlign w:val="center"/>
          </w:tcPr>
          <w:p w:rsidR="001240B7" w:rsidRPr="00C57211" w:rsidP="001240B7" w14:paraId="751BCBE3"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981" w:type="dxa"/>
            <w:vAlign w:val="center"/>
          </w:tcPr>
          <w:p w:rsidR="001240B7" w:rsidRPr="00C57211" w:rsidP="005D0049" w14:paraId="4669C5E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Major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29" w:type="dxa"/>
            <w:vAlign w:val="center"/>
          </w:tcPr>
          <w:p w:rsidR="000333E4" w:rsidP="005D0049" w14:paraId="62DA84F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Completion Time</w:t>
            </w:r>
          </w:p>
          <w:p w:rsidR="001240B7" w:rsidRPr="00C57211" w:rsidP="005D0049" w14:paraId="742CB5B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(Hrs.)</w:t>
            </w:r>
          </w:p>
        </w:tc>
        <w:tc>
          <w:tcPr>
            <w:tcW w:w="1169" w:type="dxa"/>
            <w:vAlign w:val="center"/>
          </w:tcPr>
          <w:p w:rsidR="001240B7" w:rsidRPr="00C57211" w:rsidP="005D0049" w14:paraId="724475E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Supervisory Time</w:t>
            </w:r>
            <w:r w:rsidR="000333E4">
              <w:rPr>
                <w:rFonts w:ascii="Arial Narrow" w:hAnsi="Arial Narrow"/>
                <w:sz w:val="22"/>
                <w:szCs w:val="22"/>
              </w:rPr>
              <w:t xml:space="preserve"> (Hrs.)</w:t>
            </w:r>
          </w:p>
        </w:tc>
        <w:tc>
          <w:tcPr>
            <w:tcW w:w="999" w:type="dxa"/>
            <w:vAlign w:val="center"/>
          </w:tcPr>
          <w:p w:rsidR="001240B7" w:rsidRPr="00C57211" w:rsidP="005D0049" w14:paraId="476C67A7"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Other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29" w:type="dxa"/>
            <w:vAlign w:val="center"/>
          </w:tcPr>
          <w:p w:rsidR="001240B7" w:rsidRPr="00C57211" w:rsidP="005D0049" w14:paraId="24D13CD3"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Completion Time</w:t>
            </w:r>
            <w:r w:rsidR="000333E4">
              <w:rPr>
                <w:rFonts w:ascii="Arial Narrow" w:hAnsi="Arial Narrow"/>
                <w:sz w:val="22"/>
                <w:szCs w:val="22"/>
              </w:rPr>
              <w:t xml:space="preserve"> (Hrs.)</w:t>
            </w:r>
          </w:p>
        </w:tc>
        <w:tc>
          <w:tcPr>
            <w:tcW w:w="1169" w:type="dxa"/>
            <w:vAlign w:val="center"/>
          </w:tcPr>
          <w:p w:rsidR="001240B7" w:rsidP="001240B7" w14:paraId="0A172540"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Supervisory Time</w:t>
            </w:r>
            <w:r w:rsidR="000333E4">
              <w:rPr>
                <w:rFonts w:ascii="Arial Narrow" w:hAnsi="Arial Narrow"/>
                <w:sz w:val="22"/>
                <w:szCs w:val="22"/>
              </w:rPr>
              <w:t xml:space="preserve"> (Hrs.)</w:t>
            </w:r>
          </w:p>
        </w:tc>
        <w:tc>
          <w:tcPr>
            <w:tcW w:w="1056" w:type="dxa"/>
            <w:vAlign w:val="center"/>
          </w:tcPr>
          <w:p w:rsidR="001240B7" w:rsidRPr="00C57211" w:rsidP="00516445" w14:paraId="34FCBD60" w14:textId="77777777">
            <w:pPr>
              <w:widowControl/>
              <w:tabs>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Weighted Average </w:t>
            </w:r>
            <w:r w:rsidRPr="00C57211">
              <w:rPr>
                <w:rFonts w:ascii="Arial Narrow" w:hAnsi="Arial Narrow"/>
                <w:sz w:val="22"/>
                <w:szCs w:val="22"/>
              </w:rPr>
              <w:t>Hours Per Response</w:t>
            </w:r>
          </w:p>
        </w:tc>
        <w:tc>
          <w:tcPr>
            <w:tcW w:w="1296" w:type="dxa"/>
            <w:vAlign w:val="center"/>
          </w:tcPr>
          <w:p w:rsidR="001240B7" w:rsidP="005D0049" w14:paraId="5EF9DD65"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Annualized </w:t>
            </w:r>
            <w:r w:rsidR="00DF1AFF">
              <w:rPr>
                <w:rFonts w:ascii="Arial Narrow" w:hAnsi="Arial Narrow"/>
                <w:sz w:val="22"/>
                <w:szCs w:val="22"/>
              </w:rPr>
              <w:t>C</w:t>
            </w:r>
            <w:r>
              <w:rPr>
                <w:rFonts w:ascii="Arial Narrow" w:hAnsi="Arial Narrow"/>
                <w:sz w:val="22"/>
                <w:szCs w:val="22"/>
              </w:rPr>
              <w:t>ost</w:t>
            </w:r>
          </w:p>
        </w:tc>
      </w:tr>
      <w:tr w14:paraId="06790975" w14:textId="77777777" w:rsidTr="001D1F6E">
        <w:tblPrEx>
          <w:tblW w:w="10003" w:type="dxa"/>
          <w:jc w:val="center"/>
          <w:tblLayout w:type="fixed"/>
          <w:tblLook w:val="04A0"/>
        </w:tblPrEx>
        <w:trPr>
          <w:trHeight w:val="575"/>
          <w:jc w:val="center"/>
        </w:trPr>
        <w:tc>
          <w:tcPr>
            <w:tcW w:w="1075" w:type="dxa"/>
            <w:vAlign w:val="center"/>
          </w:tcPr>
          <w:p w:rsidR="00516445" w:rsidP="00516445" w14:paraId="0CA31AB3"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981" w:type="dxa"/>
            <w:vAlign w:val="center"/>
          </w:tcPr>
          <w:p w:rsidR="00516445" w:rsidP="00516445" w14:paraId="6843E9A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31</w:t>
            </w:r>
          </w:p>
        </w:tc>
        <w:tc>
          <w:tcPr>
            <w:tcW w:w="1129" w:type="dxa"/>
            <w:vAlign w:val="center"/>
          </w:tcPr>
          <w:p w:rsidR="00516445" w:rsidRPr="00136B0C" w:rsidP="00516445" w14:paraId="10681825" w14:textId="2F9FEEA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17.50</w:t>
            </w:r>
          </w:p>
        </w:tc>
        <w:tc>
          <w:tcPr>
            <w:tcW w:w="1169" w:type="dxa"/>
            <w:vAlign w:val="center"/>
          </w:tcPr>
          <w:p w:rsidR="00516445" w:rsidRPr="00136B0C" w:rsidP="00516445" w14:paraId="047300D0" w14:textId="24949D4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3.00</w:t>
            </w:r>
          </w:p>
        </w:tc>
        <w:tc>
          <w:tcPr>
            <w:tcW w:w="999" w:type="dxa"/>
            <w:vAlign w:val="center"/>
          </w:tcPr>
          <w:p w:rsidR="00516445" w:rsidRPr="00136B0C" w:rsidP="00516445" w14:paraId="4AF2D5F9" w14:textId="225EE350">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204</w:t>
            </w:r>
          </w:p>
        </w:tc>
        <w:tc>
          <w:tcPr>
            <w:tcW w:w="1129" w:type="dxa"/>
            <w:vAlign w:val="center"/>
          </w:tcPr>
          <w:p w:rsidR="00516445" w:rsidP="00516445" w14:paraId="610783F4"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8.75</w:t>
            </w:r>
          </w:p>
        </w:tc>
        <w:tc>
          <w:tcPr>
            <w:tcW w:w="1169" w:type="dxa"/>
            <w:vAlign w:val="center"/>
          </w:tcPr>
          <w:p w:rsidR="00516445" w:rsidP="00516445" w14:paraId="785E00F4" w14:textId="0CE4A01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1.50</w:t>
            </w:r>
          </w:p>
        </w:tc>
        <w:tc>
          <w:tcPr>
            <w:tcW w:w="1056" w:type="dxa"/>
            <w:vAlign w:val="center"/>
          </w:tcPr>
          <w:p w:rsidR="00516445" w:rsidP="00516445" w14:paraId="49577E43" w14:textId="2D4340CA">
            <w:pPr>
              <w:widowControl/>
              <w:tabs>
                <w:tab w:val="left" w:pos="3600"/>
                <w:tab w:val="left" w:pos="4320"/>
                <w:tab w:val="left" w:pos="5040"/>
                <w:tab w:val="left" w:pos="5760"/>
                <w:tab w:val="left" w:pos="6480"/>
                <w:tab w:val="left" w:pos="7200"/>
                <w:tab w:val="left" w:pos="7920"/>
                <w:tab w:val="left" w:pos="8640"/>
                <w:tab w:val="left" w:pos="9360"/>
              </w:tabs>
              <w:jc w:val="center"/>
            </w:pPr>
            <w:r>
              <w:rPr>
                <w:szCs w:val="24"/>
              </w:rPr>
              <w:t>11.60</w:t>
            </w:r>
          </w:p>
        </w:tc>
        <w:tc>
          <w:tcPr>
            <w:tcW w:w="1296" w:type="dxa"/>
            <w:vAlign w:val="center"/>
          </w:tcPr>
          <w:p w:rsidR="00516445" w:rsidRPr="00B32789" w:rsidP="00516445" w14:paraId="3C93A04A" w14:textId="5C72F5EA">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sidRPr="00B32789">
              <w:rPr>
                <w:szCs w:val="24"/>
              </w:rPr>
              <w:t>$</w:t>
            </w:r>
            <w:r w:rsidRPr="00B32789" w:rsidR="00B349D1">
              <w:rPr>
                <w:szCs w:val="24"/>
              </w:rPr>
              <w:t>1,510,</w:t>
            </w:r>
            <w:r w:rsidRPr="00B32789" w:rsidR="002D601A">
              <w:rPr>
                <w:szCs w:val="24"/>
              </w:rPr>
              <w:t>700</w:t>
            </w:r>
          </w:p>
        </w:tc>
      </w:tr>
      <w:tr w14:paraId="418E081F" w14:textId="77777777" w:rsidTr="001D1F6E">
        <w:tblPrEx>
          <w:tblW w:w="10003" w:type="dxa"/>
          <w:jc w:val="center"/>
          <w:tblLayout w:type="fixed"/>
          <w:tblLook w:val="04A0"/>
        </w:tblPrEx>
        <w:trPr>
          <w:trHeight w:val="575"/>
          <w:jc w:val="center"/>
        </w:trPr>
        <w:tc>
          <w:tcPr>
            <w:tcW w:w="1075" w:type="dxa"/>
            <w:vAlign w:val="center"/>
          </w:tcPr>
          <w:p w:rsidR="00516445" w:rsidP="00516445" w14:paraId="6C6C876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981" w:type="dxa"/>
            <w:vAlign w:val="center"/>
          </w:tcPr>
          <w:p w:rsidR="00516445" w:rsidP="00516445" w14:paraId="1A9423B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27</w:t>
            </w:r>
          </w:p>
        </w:tc>
        <w:tc>
          <w:tcPr>
            <w:tcW w:w="1129" w:type="dxa"/>
            <w:vAlign w:val="center"/>
          </w:tcPr>
          <w:p w:rsidR="00516445" w:rsidRPr="00B54713" w:rsidP="00516445" w14:paraId="402BB38C" w14:textId="2503250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11.40</w:t>
            </w:r>
          </w:p>
        </w:tc>
        <w:tc>
          <w:tcPr>
            <w:tcW w:w="1169" w:type="dxa"/>
            <w:vAlign w:val="center"/>
          </w:tcPr>
          <w:p w:rsidR="00516445" w:rsidRPr="00B54713" w:rsidP="00516445" w14:paraId="6793C9F0" w14:textId="619076F3">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3.00</w:t>
            </w:r>
          </w:p>
        </w:tc>
        <w:tc>
          <w:tcPr>
            <w:tcW w:w="999" w:type="dxa"/>
            <w:vAlign w:val="center"/>
          </w:tcPr>
          <w:p w:rsidR="00516445" w:rsidRPr="00B54713" w:rsidP="00516445" w14:paraId="2BB6F25A" w14:textId="5066DF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256</w:t>
            </w:r>
          </w:p>
        </w:tc>
        <w:tc>
          <w:tcPr>
            <w:tcW w:w="1129" w:type="dxa"/>
            <w:vAlign w:val="center"/>
          </w:tcPr>
          <w:p w:rsidR="00516445" w:rsidP="00516445" w14:paraId="247C2B55" w14:textId="2453992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5.70</w:t>
            </w:r>
          </w:p>
        </w:tc>
        <w:tc>
          <w:tcPr>
            <w:tcW w:w="1169" w:type="dxa"/>
            <w:vAlign w:val="center"/>
          </w:tcPr>
          <w:p w:rsidR="00516445" w:rsidRPr="00B54713" w:rsidP="00516445" w14:paraId="4A971E0A" w14:textId="701FE29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1.50</w:t>
            </w:r>
          </w:p>
        </w:tc>
        <w:tc>
          <w:tcPr>
            <w:tcW w:w="1056" w:type="dxa"/>
            <w:vAlign w:val="center"/>
          </w:tcPr>
          <w:p w:rsidR="00516445" w:rsidP="00516445" w14:paraId="22684E62" w14:textId="159465A1">
            <w:pPr>
              <w:widowControl/>
              <w:tabs>
                <w:tab w:val="left" w:pos="3600"/>
                <w:tab w:val="left" w:pos="4320"/>
                <w:tab w:val="left" w:pos="5040"/>
                <w:tab w:val="left" w:pos="5760"/>
                <w:tab w:val="left" w:pos="6480"/>
                <w:tab w:val="left" w:pos="7200"/>
                <w:tab w:val="left" w:pos="7920"/>
                <w:tab w:val="left" w:pos="8640"/>
                <w:tab w:val="left" w:pos="9360"/>
              </w:tabs>
              <w:jc w:val="center"/>
            </w:pPr>
            <w:r>
              <w:rPr>
                <w:szCs w:val="24"/>
              </w:rPr>
              <w:t>7.89</w:t>
            </w:r>
          </w:p>
        </w:tc>
        <w:tc>
          <w:tcPr>
            <w:tcW w:w="1296" w:type="dxa"/>
            <w:vAlign w:val="center"/>
          </w:tcPr>
          <w:p w:rsidR="00516445" w:rsidRPr="00B32789" w:rsidP="00516445" w14:paraId="1693DCE5" w14:textId="196290C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sidRPr="00B32789">
              <w:rPr>
                <w:szCs w:val="24"/>
              </w:rPr>
              <w:t>$</w:t>
            </w:r>
            <w:r w:rsidRPr="00B32789" w:rsidR="00B349D1">
              <w:rPr>
                <w:szCs w:val="24"/>
              </w:rPr>
              <w:t>1,2</w:t>
            </w:r>
            <w:r w:rsidRPr="00B32789" w:rsidR="002D601A">
              <w:rPr>
                <w:szCs w:val="24"/>
              </w:rPr>
              <w:t>70,104</w:t>
            </w:r>
          </w:p>
        </w:tc>
      </w:tr>
      <w:tr w14:paraId="636FFF2C" w14:textId="77777777" w:rsidTr="001D1F6E">
        <w:tblPrEx>
          <w:tblW w:w="10003" w:type="dxa"/>
          <w:jc w:val="center"/>
          <w:tblLayout w:type="fixed"/>
          <w:tblLook w:val="04A0"/>
        </w:tblPrEx>
        <w:trPr>
          <w:trHeight w:val="575"/>
          <w:jc w:val="center"/>
        </w:trPr>
        <w:tc>
          <w:tcPr>
            <w:tcW w:w="1075" w:type="dxa"/>
            <w:vAlign w:val="center"/>
          </w:tcPr>
          <w:p w:rsidR="00516445" w:rsidP="00516445" w14:paraId="00DA595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981" w:type="dxa"/>
            <w:vAlign w:val="center"/>
          </w:tcPr>
          <w:p w:rsidR="00516445" w:rsidP="00516445" w14:paraId="53A139E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129" w:type="dxa"/>
            <w:vAlign w:val="center"/>
          </w:tcPr>
          <w:p w:rsidR="00516445" w:rsidRPr="00212D75" w:rsidP="00516445" w14:paraId="6B379668" w14:textId="7EBE872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13.20</w:t>
            </w:r>
          </w:p>
        </w:tc>
        <w:tc>
          <w:tcPr>
            <w:tcW w:w="1169" w:type="dxa"/>
            <w:vAlign w:val="center"/>
          </w:tcPr>
          <w:p w:rsidR="00516445" w:rsidRPr="00212D75" w:rsidP="00516445" w14:paraId="4E91F543" w14:textId="176003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3.00</w:t>
            </w:r>
          </w:p>
        </w:tc>
        <w:tc>
          <w:tcPr>
            <w:tcW w:w="999" w:type="dxa"/>
            <w:vAlign w:val="center"/>
          </w:tcPr>
          <w:p w:rsidR="00516445" w:rsidRPr="00212D75" w:rsidP="00516445" w14:paraId="507AF151" w14:textId="4DFAFB3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69</w:t>
            </w:r>
          </w:p>
        </w:tc>
        <w:tc>
          <w:tcPr>
            <w:tcW w:w="1129" w:type="dxa"/>
            <w:vAlign w:val="center"/>
          </w:tcPr>
          <w:p w:rsidR="00516445" w:rsidP="00516445" w14:paraId="1788926F" w14:textId="3B8C01F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6.60</w:t>
            </w:r>
          </w:p>
        </w:tc>
        <w:tc>
          <w:tcPr>
            <w:tcW w:w="1169" w:type="dxa"/>
            <w:vAlign w:val="center"/>
          </w:tcPr>
          <w:p w:rsidR="00516445" w:rsidP="00516445" w14:paraId="6D667647" w14:textId="2B5B91C6">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1.50</w:t>
            </w:r>
          </w:p>
        </w:tc>
        <w:tc>
          <w:tcPr>
            <w:tcW w:w="1056" w:type="dxa"/>
            <w:vAlign w:val="center"/>
          </w:tcPr>
          <w:p w:rsidR="00516445" w:rsidP="00516445" w14:paraId="0ED4665A" w14:textId="3084F8DA">
            <w:pPr>
              <w:widowControl/>
              <w:tabs>
                <w:tab w:val="left" w:pos="3600"/>
                <w:tab w:val="left" w:pos="4320"/>
                <w:tab w:val="left" w:pos="5040"/>
                <w:tab w:val="left" w:pos="5760"/>
                <w:tab w:val="left" w:pos="6480"/>
                <w:tab w:val="left" w:pos="7200"/>
                <w:tab w:val="left" w:pos="7920"/>
                <w:tab w:val="left" w:pos="8640"/>
                <w:tab w:val="left" w:pos="9360"/>
              </w:tabs>
              <w:jc w:val="center"/>
            </w:pPr>
            <w:r>
              <w:t>9.21</w:t>
            </w:r>
          </w:p>
        </w:tc>
        <w:tc>
          <w:tcPr>
            <w:tcW w:w="1296" w:type="dxa"/>
            <w:vAlign w:val="center"/>
          </w:tcPr>
          <w:p w:rsidR="00516445" w:rsidRPr="00B32789" w:rsidP="00516445" w14:paraId="0567352F" w14:textId="27BDBF8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B32789">
              <w:t>$</w:t>
            </w:r>
            <w:r w:rsidRPr="00B32789" w:rsidR="00B349D1">
              <w:t>415,</w:t>
            </w:r>
            <w:r w:rsidRPr="00B32789" w:rsidR="00913842">
              <w:t>680</w:t>
            </w:r>
          </w:p>
        </w:tc>
      </w:tr>
      <w:tr w14:paraId="48A9BB87" w14:textId="77777777" w:rsidTr="001D1F6E">
        <w:tblPrEx>
          <w:tblW w:w="10003" w:type="dxa"/>
          <w:jc w:val="center"/>
          <w:tblLayout w:type="fixed"/>
          <w:tblLook w:val="04A0"/>
        </w:tblPrEx>
        <w:trPr>
          <w:trHeight w:val="575"/>
          <w:jc w:val="center"/>
        </w:trPr>
        <w:tc>
          <w:tcPr>
            <w:tcW w:w="1075" w:type="dxa"/>
            <w:vAlign w:val="center"/>
          </w:tcPr>
          <w:p w:rsidR="00516445" w:rsidP="00516445" w14:paraId="5A9D368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981" w:type="dxa"/>
            <w:vAlign w:val="center"/>
          </w:tcPr>
          <w:p w:rsidR="00516445" w:rsidP="00516445" w14:paraId="5C423A20"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w:t>
            </w:r>
          </w:p>
        </w:tc>
        <w:tc>
          <w:tcPr>
            <w:tcW w:w="1129" w:type="dxa"/>
            <w:vAlign w:val="center"/>
          </w:tcPr>
          <w:p w:rsidR="00516445" w:rsidP="00516445" w14:paraId="73BCD056"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5.24</w:t>
            </w:r>
          </w:p>
        </w:tc>
        <w:tc>
          <w:tcPr>
            <w:tcW w:w="1169" w:type="dxa"/>
            <w:vAlign w:val="center"/>
          </w:tcPr>
          <w:p w:rsidR="00516445" w:rsidP="00516445" w14:paraId="2D9176F8" w14:textId="00244BC0">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1.50</w:t>
            </w:r>
          </w:p>
        </w:tc>
        <w:tc>
          <w:tcPr>
            <w:tcW w:w="999" w:type="dxa"/>
            <w:vAlign w:val="center"/>
          </w:tcPr>
          <w:p w:rsidR="00516445" w:rsidP="00516445" w14:paraId="408DC828" w14:textId="042DFDFA">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w:t>
            </w:r>
          </w:p>
        </w:tc>
        <w:tc>
          <w:tcPr>
            <w:tcW w:w="1129" w:type="dxa"/>
            <w:vAlign w:val="center"/>
          </w:tcPr>
          <w:p w:rsidR="00516445" w:rsidP="00516445" w14:paraId="1A448BFD"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2.62</w:t>
            </w:r>
          </w:p>
        </w:tc>
        <w:tc>
          <w:tcPr>
            <w:tcW w:w="1169" w:type="dxa"/>
            <w:vAlign w:val="center"/>
          </w:tcPr>
          <w:p w:rsidR="00516445" w:rsidP="00516445" w14:paraId="52BB1A23"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056" w:type="dxa"/>
            <w:vAlign w:val="center"/>
          </w:tcPr>
          <w:p w:rsidR="00516445" w:rsidP="00516445" w14:paraId="6EE69784" w14:textId="73750F8C">
            <w:pPr>
              <w:widowControl/>
              <w:tabs>
                <w:tab w:val="left" w:pos="3600"/>
                <w:tab w:val="left" w:pos="4320"/>
                <w:tab w:val="left" w:pos="5040"/>
                <w:tab w:val="left" w:pos="5760"/>
                <w:tab w:val="left" w:pos="6480"/>
                <w:tab w:val="left" w:pos="7200"/>
                <w:tab w:val="left" w:pos="7920"/>
                <w:tab w:val="left" w:pos="8640"/>
                <w:tab w:val="left" w:pos="9360"/>
              </w:tabs>
              <w:jc w:val="center"/>
            </w:pPr>
            <w:r>
              <w:t>4.32</w:t>
            </w:r>
          </w:p>
        </w:tc>
        <w:tc>
          <w:tcPr>
            <w:tcW w:w="1296" w:type="dxa"/>
            <w:vAlign w:val="center"/>
          </w:tcPr>
          <w:p w:rsidR="00516445" w:rsidRPr="00B32789" w:rsidP="00516445" w14:paraId="1F4F84E3" w14:textId="7EF9EB86">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B32789">
              <w:t>$</w:t>
            </w:r>
            <w:r w:rsidRPr="00B32789" w:rsidR="00EC2345">
              <w:t>37,9</w:t>
            </w:r>
            <w:r w:rsidRPr="00B32789" w:rsidR="000E306B">
              <w:t>04</w:t>
            </w:r>
          </w:p>
        </w:tc>
      </w:tr>
      <w:tr w14:paraId="6B6B4440" w14:textId="77777777" w:rsidTr="001D1F6E">
        <w:tblPrEx>
          <w:tblW w:w="10003" w:type="dxa"/>
          <w:jc w:val="center"/>
          <w:tblLayout w:type="fixed"/>
          <w:tblLook w:val="04A0"/>
        </w:tblPrEx>
        <w:trPr>
          <w:trHeight w:val="575"/>
          <w:jc w:val="center"/>
        </w:trPr>
        <w:tc>
          <w:tcPr>
            <w:tcW w:w="1075" w:type="dxa"/>
            <w:vAlign w:val="center"/>
          </w:tcPr>
          <w:p w:rsidR="00516445" w:rsidP="00516445" w14:paraId="328BF353"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981" w:type="dxa"/>
            <w:vAlign w:val="center"/>
          </w:tcPr>
          <w:p w:rsidR="00516445" w:rsidP="00516445" w14:paraId="3E02835B"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26</w:t>
            </w:r>
          </w:p>
        </w:tc>
        <w:tc>
          <w:tcPr>
            <w:tcW w:w="1129" w:type="dxa"/>
            <w:vAlign w:val="center"/>
          </w:tcPr>
          <w:p w:rsidR="00516445" w:rsidRPr="006C180D" w:rsidP="00516445" w14:paraId="0176097D" w14:textId="1A3A088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10.80</w:t>
            </w:r>
          </w:p>
        </w:tc>
        <w:tc>
          <w:tcPr>
            <w:tcW w:w="1169" w:type="dxa"/>
            <w:vAlign w:val="center"/>
          </w:tcPr>
          <w:p w:rsidR="00516445" w:rsidRPr="006C180D" w:rsidP="00516445" w14:paraId="2856A234" w14:textId="1DC9ECF0">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3.00</w:t>
            </w:r>
          </w:p>
        </w:tc>
        <w:tc>
          <w:tcPr>
            <w:tcW w:w="999" w:type="dxa"/>
            <w:vAlign w:val="center"/>
          </w:tcPr>
          <w:p w:rsidR="00516445" w:rsidRPr="006C180D" w:rsidP="00516445" w14:paraId="1E997BA9" w14:textId="43F32103">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122</w:t>
            </w:r>
          </w:p>
        </w:tc>
        <w:tc>
          <w:tcPr>
            <w:tcW w:w="1129" w:type="dxa"/>
            <w:vAlign w:val="center"/>
          </w:tcPr>
          <w:p w:rsidR="00516445" w:rsidP="00516445" w14:paraId="0129CE6A" w14:textId="34167C06">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5.40</w:t>
            </w:r>
          </w:p>
        </w:tc>
        <w:tc>
          <w:tcPr>
            <w:tcW w:w="1169" w:type="dxa"/>
            <w:vAlign w:val="center"/>
          </w:tcPr>
          <w:p w:rsidR="00516445" w:rsidP="00516445" w14:paraId="3BE06354" w14:textId="6098DAD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1.50</w:t>
            </w:r>
          </w:p>
        </w:tc>
        <w:tc>
          <w:tcPr>
            <w:tcW w:w="1056" w:type="dxa"/>
            <w:vAlign w:val="center"/>
          </w:tcPr>
          <w:p w:rsidR="00516445" w:rsidP="00516445" w14:paraId="2A4F7329" w14:textId="61465205">
            <w:pPr>
              <w:widowControl/>
              <w:tabs>
                <w:tab w:val="left" w:pos="3600"/>
                <w:tab w:val="left" w:pos="4320"/>
                <w:tab w:val="left" w:pos="5040"/>
                <w:tab w:val="left" w:pos="5760"/>
                <w:tab w:val="left" w:pos="6480"/>
                <w:tab w:val="left" w:pos="7200"/>
                <w:tab w:val="left" w:pos="7920"/>
                <w:tab w:val="left" w:pos="8640"/>
                <w:tab w:val="left" w:pos="9360"/>
              </w:tabs>
              <w:jc w:val="center"/>
            </w:pPr>
            <w:r>
              <w:rPr>
                <w:szCs w:val="24"/>
              </w:rPr>
              <w:t>8.11</w:t>
            </w:r>
          </w:p>
        </w:tc>
        <w:tc>
          <w:tcPr>
            <w:tcW w:w="1296" w:type="dxa"/>
            <w:vAlign w:val="center"/>
          </w:tcPr>
          <w:p w:rsidR="00516445" w:rsidRPr="00B32789" w:rsidP="00516445" w14:paraId="4501A6DD" w14:textId="173F9B7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sidRPr="00B32789">
              <w:rPr>
                <w:szCs w:val="24"/>
              </w:rPr>
              <w:t>$</w:t>
            </w:r>
            <w:r w:rsidRPr="00B32789" w:rsidR="00EC2345">
              <w:rPr>
                <w:szCs w:val="24"/>
              </w:rPr>
              <w:t>228,</w:t>
            </w:r>
            <w:r w:rsidRPr="00B32789" w:rsidR="00865F38">
              <w:rPr>
                <w:szCs w:val="24"/>
              </w:rPr>
              <w:t>512</w:t>
            </w:r>
          </w:p>
        </w:tc>
      </w:tr>
      <w:tr w14:paraId="068CA29C" w14:textId="77777777" w:rsidTr="001D1F6E">
        <w:tblPrEx>
          <w:tblW w:w="10003" w:type="dxa"/>
          <w:jc w:val="center"/>
          <w:tblLayout w:type="fixed"/>
          <w:tblLook w:val="04A0"/>
        </w:tblPrEx>
        <w:trPr>
          <w:trHeight w:val="575"/>
          <w:jc w:val="center"/>
        </w:trPr>
        <w:tc>
          <w:tcPr>
            <w:tcW w:w="1075" w:type="dxa"/>
            <w:vAlign w:val="center"/>
          </w:tcPr>
          <w:p w:rsidR="001240B7" w:rsidP="001240B7" w14:paraId="0D262E8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981" w:type="dxa"/>
            <w:vAlign w:val="center"/>
          </w:tcPr>
          <w:p w:rsidR="001240B7" w:rsidP="001240B7" w14:paraId="0CD3E4D0" w14:textId="6EDFFAE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118</w:t>
            </w:r>
          </w:p>
        </w:tc>
        <w:tc>
          <w:tcPr>
            <w:tcW w:w="1129" w:type="dxa"/>
            <w:vAlign w:val="center"/>
          </w:tcPr>
          <w:p w:rsidR="001240B7" w:rsidRPr="00BE1CFB" w:rsidP="001240B7" w14:paraId="37FDA507" w14:textId="0F74C8E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8.5</w:t>
            </w:r>
            <w:r w:rsidR="002442F4">
              <w:t>0</w:t>
            </w:r>
          </w:p>
        </w:tc>
        <w:tc>
          <w:tcPr>
            <w:tcW w:w="1169" w:type="dxa"/>
            <w:vAlign w:val="center"/>
          </w:tcPr>
          <w:p w:rsidR="001240B7" w:rsidRPr="00BE1CFB" w:rsidP="001240B7" w14:paraId="18B0D07E" w14:textId="478E9DD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r w:rsidR="00A15CD1">
              <w:t>.00</w:t>
            </w:r>
          </w:p>
        </w:tc>
        <w:tc>
          <w:tcPr>
            <w:tcW w:w="999" w:type="dxa"/>
            <w:vAlign w:val="center"/>
          </w:tcPr>
          <w:p w:rsidR="001240B7" w:rsidRPr="00BE1CFB" w:rsidP="001240B7" w14:paraId="523B282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29" w:type="dxa"/>
            <w:vAlign w:val="center"/>
          </w:tcPr>
          <w:p w:rsidR="001240B7" w:rsidP="001240B7" w14:paraId="4280F4E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69" w:type="dxa"/>
            <w:vAlign w:val="center"/>
          </w:tcPr>
          <w:p w:rsidR="001240B7" w:rsidRPr="00BE1CFB" w:rsidP="001240B7" w14:paraId="683F2DD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056" w:type="dxa"/>
            <w:vAlign w:val="center"/>
          </w:tcPr>
          <w:p w:rsidR="001240B7" w:rsidP="00516445" w14:paraId="5ACF2DC2" w14:textId="77777777">
            <w:pPr>
              <w:widowControl/>
              <w:tabs>
                <w:tab w:val="left" w:pos="3600"/>
                <w:tab w:val="left" w:pos="4320"/>
                <w:tab w:val="left" w:pos="5040"/>
                <w:tab w:val="left" w:pos="5760"/>
                <w:tab w:val="left" w:pos="6480"/>
                <w:tab w:val="left" w:pos="7200"/>
                <w:tab w:val="left" w:pos="7920"/>
                <w:tab w:val="left" w:pos="8640"/>
                <w:tab w:val="left" w:pos="9360"/>
              </w:tabs>
              <w:jc w:val="center"/>
            </w:pPr>
            <w:r w:rsidRPr="00BE1CFB">
              <w:t>10.5</w:t>
            </w:r>
            <w:r w:rsidR="00CA1E62">
              <w:t>0</w:t>
            </w:r>
          </w:p>
        </w:tc>
        <w:tc>
          <w:tcPr>
            <w:tcW w:w="1296" w:type="dxa"/>
            <w:vAlign w:val="center"/>
          </w:tcPr>
          <w:p w:rsidR="001240B7" w:rsidRPr="00B32789" w:rsidP="00A27EB1" w14:paraId="591B4756" w14:textId="7F6C549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B32789">
              <w:t>$</w:t>
            </w:r>
            <w:r w:rsidRPr="00B32789" w:rsidR="00EC2345">
              <w:t>233,</w:t>
            </w:r>
            <w:r w:rsidRPr="00B32789" w:rsidR="00C61E44">
              <w:t>168</w:t>
            </w:r>
          </w:p>
        </w:tc>
      </w:tr>
      <w:tr w14:paraId="3E526188" w14:textId="77777777" w:rsidTr="001D1F6E">
        <w:tblPrEx>
          <w:tblW w:w="10003" w:type="dxa"/>
          <w:jc w:val="center"/>
          <w:tblLayout w:type="fixed"/>
          <w:tblLook w:val="04A0"/>
        </w:tblPrEx>
        <w:trPr>
          <w:trHeight w:val="575"/>
          <w:jc w:val="center"/>
        </w:trPr>
        <w:tc>
          <w:tcPr>
            <w:tcW w:w="1075" w:type="dxa"/>
            <w:vAlign w:val="center"/>
          </w:tcPr>
          <w:p w:rsidR="001240B7" w:rsidRPr="001F58B1" w:rsidP="001240B7" w14:paraId="5C46F185"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981" w:type="dxa"/>
            <w:vAlign w:val="center"/>
          </w:tcPr>
          <w:p w:rsidR="001240B7" w:rsidRPr="001F58B1" w:rsidP="001240B7" w14:paraId="28AC53A9" w14:textId="231047DB">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226</w:t>
            </w:r>
          </w:p>
        </w:tc>
        <w:tc>
          <w:tcPr>
            <w:tcW w:w="1129" w:type="dxa"/>
            <w:vAlign w:val="center"/>
          </w:tcPr>
          <w:p w:rsidR="001240B7" w:rsidRPr="001F58B1" w:rsidP="001240B7" w14:paraId="761233C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9" w:type="dxa"/>
            <w:vAlign w:val="center"/>
          </w:tcPr>
          <w:p w:rsidR="001240B7" w:rsidRPr="001F58B1" w:rsidP="001240B7" w14:paraId="3359AB78"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999" w:type="dxa"/>
            <w:vAlign w:val="center"/>
          </w:tcPr>
          <w:p w:rsidR="001240B7" w:rsidRPr="001F58B1" w:rsidP="001240B7" w14:paraId="1213E167" w14:textId="42A1683D">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684</w:t>
            </w:r>
          </w:p>
        </w:tc>
        <w:tc>
          <w:tcPr>
            <w:tcW w:w="1129" w:type="dxa"/>
            <w:vAlign w:val="center"/>
          </w:tcPr>
          <w:p w:rsidR="001240B7" w:rsidRPr="001F58B1" w:rsidP="001240B7" w14:paraId="1FBAF8D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9" w:type="dxa"/>
            <w:vAlign w:val="center"/>
          </w:tcPr>
          <w:p w:rsidR="001240B7" w:rsidRPr="001F58B1" w:rsidP="001240B7" w14:paraId="62E95AC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056" w:type="dxa"/>
            <w:vAlign w:val="center"/>
          </w:tcPr>
          <w:p w:rsidR="001240B7" w:rsidRPr="001F58B1" w:rsidP="00516445" w14:paraId="2D4D2644" w14:textId="4528B12B">
            <w:pPr>
              <w:widowControl/>
              <w:tabs>
                <w:tab w:val="left" w:pos="3600"/>
                <w:tab w:val="left" w:pos="4320"/>
                <w:tab w:val="left" w:pos="5040"/>
                <w:tab w:val="left" w:pos="5760"/>
                <w:tab w:val="left" w:pos="6480"/>
                <w:tab w:val="left" w:pos="7200"/>
                <w:tab w:val="left" w:pos="7920"/>
                <w:tab w:val="left" w:pos="8640"/>
                <w:tab w:val="left" w:pos="9360"/>
              </w:tabs>
              <w:jc w:val="center"/>
              <w:rPr>
                <w:b/>
              </w:rPr>
            </w:pPr>
            <w:r>
              <w:rPr>
                <w:b/>
              </w:rPr>
              <w:t>9.92</w:t>
            </w:r>
          </w:p>
        </w:tc>
        <w:tc>
          <w:tcPr>
            <w:tcW w:w="1296" w:type="dxa"/>
            <w:vAlign w:val="center"/>
          </w:tcPr>
          <w:p w:rsidR="001240B7" w:rsidRPr="001F58B1" w:rsidP="00A27EB1" w14:paraId="03C1D699" w14:textId="1952E0F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1F58B1">
              <w:rPr>
                <w:b/>
              </w:rPr>
              <w:t>$</w:t>
            </w:r>
            <w:r w:rsidR="00B9724D">
              <w:rPr>
                <w:b/>
              </w:rPr>
              <w:t>3,</w:t>
            </w:r>
            <w:r w:rsidR="0000133C">
              <w:rPr>
                <w:b/>
              </w:rPr>
              <w:t>696,068</w:t>
            </w:r>
          </w:p>
        </w:tc>
      </w:tr>
    </w:tbl>
    <w:p w:rsidR="00441739" w:rsidRPr="00F41250" w:rsidP="00F41250" w14:paraId="4D2B4CA5" w14:textId="77777777"/>
    <w:p w:rsidR="006A1C32" w:rsidRPr="002934B7" w:rsidP="00F41250" w14:paraId="624025BC" w14:textId="7A157F23">
      <w:pPr>
        <w:rPr>
          <w:b/>
          <w:bCs/>
        </w:rPr>
      </w:pPr>
      <w:r w:rsidRPr="002934B7">
        <w:rPr>
          <w:b/>
          <w:bCs/>
        </w:rPr>
        <w:t>13</w:t>
      </w:r>
      <w:r w:rsidRPr="002934B7">
        <w:rPr>
          <w:b/>
          <w:bCs/>
        </w:rPr>
        <w:t>.</w:t>
      </w:r>
      <w:r w:rsidRPr="002934B7" w:rsidR="00F617FD">
        <w:rPr>
          <w:b/>
          <w:bCs/>
        </w:rPr>
        <w:t xml:space="preserve">  </w:t>
      </w:r>
      <w:r w:rsidRPr="002934B7" w:rsidR="00F3183F">
        <w:rPr>
          <w:b/>
          <w:bCs/>
        </w:rPr>
        <w:t>Estimated</w:t>
      </w:r>
      <w:r w:rsidRPr="002934B7" w:rsidR="00F3183F">
        <w:rPr>
          <w:b/>
          <w:bCs/>
        </w:rPr>
        <w:t xml:space="preserve"> total annual cost burden to respondents</w:t>
      </w:r>
    </w:p>
    <w:p w:rsidR="006A1C32" w:rsidRPr="00F41250" w:rsidP="00F41250" w14:paraId="51F475DD" w14:textId="77777777"/>
    <w:p w:rsidR="00BB73D9" w:rsidRPr="00F41250" w:rsidP="00F41250" w14:paraId="2A5A8497" w14:textId="77777777">
      <w:r w:rsidRPr="00F41250">
        <w:t>Total annual cost burden:</w:t>
      </w:r>
    </w:p>
    <w:p w:rsidR="00BB73D9" w:rsidRPr="00F41250" w:rsidP="00F41250" w14:paraId="6D9D5E82" w14:textId="77777777"/>
    <w:p w:rsidR="00BB73D9" w:rsidRPr="00F41250" w:rsidP="00F41250" w14:paraId="493F9045" w14:textId="45DF3B5C">
      <w:r w:rsidRPr="00F41250">
        <w:t>(a)</w:t>
      </w:r>
      <w:r w:rsidRPr="00F41250">
        <w:tab/>
        <w:t xml:space="preserve">Total annualized capital and start-up costs </w:t>
      </w:r>
      <w:r w:rsidRPr="00F41250" w:rsidR="004E143C">
        <w:t xml:space="preserve">associated with </w:t>
      </w:r>
      <w:r w:rsidRPr="00F41250" w:rsidR="001240B7">
        <w:t xml:space="preserve">the </w:t>
      </w:r>
      <w:r w:rsidR="005649F7">
        <w:t>B Forms</w:t>
      </w:r>
      <w:r w:rsidRPr="00F41250" w:rsidR="004E143C">
        <w:t xml:space="preserve"> </w:t>
      </w:r>
      <w:r w:rsidRPr="00F41250">
        <w:t>are estimated to be $0 (zero dollars).  In general, reporting on the form</w:t>
      </w:r>
      <w:r w:rsidR="00C40490">
        <w:t>s</w:t>
      </w:r>
      <w:r w:rsidRPr="00F41250">
        <w:t xml:space="preserve"> requires neither specialized capital equipment, nor fixed or variable costs that are not already associated with the customary and usual business practices of respondents.</w:t>
      </w:r>
    </w:p>
    <w:p w:rsidR="00BB73D9" w:rsidRPr="00F41250" w:rsidP="00F41250" w14:paraId="268E8866" w14:textId="77777777"/>
    <w:p w:rsidR="00BB73D9" w:rsidRPr="00F41250" w:rsidP="00F41250" w14:paraId="45138905" w14:textId="580896ED">
      <w:r w:rsidRPr="00F41250">
        <w:t>(b)</w:t>
      </w:r>
      <w:r w:rsidRPr="00F41250">
        <w:tab/>
        <w:t>Total annualized operations, maintenance, and purchases of services costs are estimated to be $0 (zero dollars).  Reporting on the form</w:t>
      </w:r>
      <w:r w:rsidR="00C40490">
        <w:t>s</w:t>
      </w:r>
      <w:r w:rsidRPr="00F41250">
        <w:t xml:space="preserve"> does not in general impose operations, maintenance, or specialized services costs that are not already associated with the customary and usual practices of respondents.</w:t>
      </w:r>
    </w:p>
    <w:p w:rsidR="00BB73D9" w:rsidRPr="00F41250" w:rsidP="00F41250" w14:paraId="197C6819" w14:textId="77777777"/>
    <w:p w:rsidR="00BB73D9" w:rsidRPr="00F41250" w:rsidP="00F41250" w14:paraId="54B25468" w14:textId="6E5ACBA7">
      <w:r>
        <w:t>We do not expect t</w:t>
      </w:r>
      <w:r w:rsidRPr="00F41250">
        <w:t>he above cost estimates to vary widely among respondents.</w:t>
      </w:r>
    </w:p>
    <w:p w:rsidR="00BB73D9" w:rsidRPr="00F41250" w:rsidP="00F41250" w14:paraId="585D0501" w14:textId="77777777"/>
    <w:p w:rsidR="00BB73D9" w:rsidRPr="00F41250" w:rsidP="00F41250" w14:paraId="0395CE6F" w14:textId="7FC38390">
      <w:r w:rsidRPr="00F41250">
        <w:t xml:space="preserve">Note: As required by OMB, the </w:t>
      </w:r>
      <w:r w:rsidRPr="00F41250" w:rsidR="00DB6602">
        <w:t>September 30</w:t>
      </w:r>
      <w:r w:rsidR="00BB44AD">
        <w:t xml:space="preserve"> FR Notice</w:t>
      </w:r>
      <w:r w:rsidRPr="00F41250">
        <w:t xml:space="preserve"> included explicit request</w:t>
      </w:r>
      <w:r w:rsidRPr="00F41250" w:rsidR="000517E4">
        <w:t>s</w:t>
      </w:r>
      <w:r w:rsidRPr="00F41250">
        <w:t xml:space="preserve"> for public comments on the estimates of cost burden that are not captured in the estimates of burden hours.  </w:t>
      </w:r>
      <w:r w:rsidR="00BF143D">
        <w:t>We received n</w:t>
      </w:r>
      <w:r w:rsidRPr="00F41250">
        <w:t>o comments on cost estimates.</w:t>
      </w:r>
    </w:p>
    <w:p w:rsidR="00BB73D9" w:rsidRPr="00F41250" w:rsidP="00F41250" w14:paraId="251D2E59" w14:textId="77777777"/>
    <w:p w:rsidR="006A1C32" w:rsidRPr="002934B7" w:rsidP="00F41250" w14:paraId="6B87E4BF" w14:textId="1D32EDF4">
      <w:pPr>
        <w:rPr>
          <w:b/>
          <w:bCs/>
        </w:rPr>
      </w:pPr>
      <w:r w:rsidRPr="002934B7">
        <w:rPr>
          <w:b/>
          <w:bCs/>
        </w:rPr>
        <w:t>14</w:t>
      </w:r>
      <w:r w:rsidRPr="002934B7">
        <w:rPr>
          <w:b/>
          <w:bCs/>
        </w:rPr>
        <w:t>.</w:t>
      </w:r>
      <w:r w:rsidRPr="002934B7" w:rsidR="00F617FD">
        <w:rPr>
          <w:b/>
          <w:bCs/>
        </w:rPr>
        <w:t xml:space="preserve">  </w:t>
      </w:r>
      <w:r w:rsidRPr="002934B7" w:rsidR="00F3183F">
        <w:rPr>
          <w:b/>
          <w:bCs/>
        </w:rPr>
        <w:t>Estimated</w:t>
      </w:r>
      <w:r w:rsidRPr="002934B7" w:rsidR="00F3183F">
        <w:rPr>
          <w:b/>
          <w:bCs/>
        </w:rPr>
        <w:t xml:space="preserve"> cost to the Federal government</w:t>
      </w:r>
    </w:p>
    <w:p w:rsidR="006A1C32" w:rsidRPr="00F41250" w:rsidP="00F41250" w14:paraId="575F5A1D" w14:textId="77777777"/>
    <w:p w:rsidR="002934B7" w:rsidP="00F41250" w14:paraId="0BEA6B99" w14:textId="42219DBD">
      <w:r w:rsidRPr="00F41250">
        <w:t xml:space="preserve">Consistent with procedures for all TIC reports, </w:t>
      </w:r>
      <w:r w:rsidRPr="00F41250" w:rsidR="001240B7">
        <w:t xml:space="preserve">the </w:t>
      </w:r>
      <w:r w:rsidR="005649F7">
        <w:t>B Forms</w:t>
      </w:r>
      <w:r w:rsidRPr="00F41250">
        <w:t xml:space="preserve"> </w:t>
      </w:r>
      <w:r w:rsidRPr="00F41250" w:rsidR="001240B7">
        <w:t>are</w:t>
      </w:r>
      <w:r w:rsidRPr="00F41250">
        <w:t xml:space="preserve"> printed, circulated, collected and edited by the Federal Reserve Banks that process TIC data. All TIC reports, including </w:t>
      </w:r>
      <w:r w:rsidRPr="00F41250" w:rsidR="001240B7">
        <w:t xml:space="preserve">the </w:t>
      </w:r>
      <w:r w:rsidR="005649F7">
        <w:t>B Forms</w:t>
      </w:r>
      <w:r w:rsidRPr="00F41250">
        <w:t xml:space="preserve">, are made available on the Treasury TIC website at </w:t>
      </w:r>
      <w:hyperlink r:id="rId9" w:history="1">
        <w:r w:rsidRPr="003A7C0F">
          <w:rPr>
            <w:rStyle w:val="Hyperlink"/>
          </w:rPr>
          <w:t>http://www.treasury.gov/resource-</w:t>
        </w:r>
        <w:r w:rsidRPr="003A7C0F">
          <w:rPr>
            <w:rStyle w:val="Hyperlink"/>
          </w:rPr>
          <w:t>center/data-chart-center/tic/Pages/forms-b.aspx</w:t>
        </w:r>
      </w:hyperlink>
      <w:r w:rsidRPr="00F41250" w:rsidR="007B3002">
        <w:t>.</w:t>
      </w:r>
    </w:p>
    <w:p w:rsidR="008811B3" w:rsidRPr="00F41250" w:rsidP="00F41250" w14:paraId="2344067B" w14:textId="77777777"/>
    <w:p w:rsidR="008811B3" w:rsidP="00F41250" w14:paraId="03B95A81" w14:textId="4FB90720">
      <w:r w:rsidRPr="00F41250">
        <w:t xml:space="preserve">The total annualized cost to the Federal </w:t>
      </w:r>
      <w:r w:rsidR="005A5B91">
        <w:t>g</w:t>
      </w:r>
      <w:r w:rsidRPr="00F41250">
        <w:t>overnment is estimated to be approximately $</w:t>
      </w:r>
      <w:r w:rsidR="00342A64">
        <w:t>5,554,415</w:t>
      </w:r>
      <w:r w:rsidRPr="00F41250">
        <w:t>.  The figures are best estimates by the staff of the Federal Reserve Bank of New York using their standard accounting and costing procedures and are based in part on experience gained by conducting other TIC surveys. Treasury Department staff ha</w:t>
      </w:r>
      <w:r w:rsidR="003878F8">
        <w:t>ve</w:t>
      </w:r>
      <w:r w:rsidRPr="00F41250">
        <w:t xml:space="preserve"> included additional costs for reviewing, preparing reports, advisory services, etc.</w:t>
      </w:r>
    </w:p>
    <w:p w:rsidR="00E31894" w:rsidRPr="00F41250" w:rsidP="00F41250" w14:paraId="75A21465" w14:textId="77777777"/>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530"/>
        <w:gridCol w:w="1620"/>
        <w:gridCol w:w="1514"/>
        <w:gridCol w:w="1550"/>
        <w:gridCol w:w="1550"/>
      </w:tblGrid>
      <w:tr w14:paraId="041CB82D" w14:textId="77777777" w:rsidTr="00BD0C0B">
        <w:tblPrEx>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170" w:type="dxa"/>
            <w:vAlign w:val="center"/>
          </w:tcPr>
          <w:p w:rsidR="000B7B1C" w:rsidP="00FD0154" w14:paraId="100CCA4A" w14:textId="2A4A5C5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pPr>
            <w:r w:rsidRPr="00F41250">
              <w:tab/>
            </w:r>
            <w:r w:rsidRPr="00F41250" w:rsidR="00DE3B41">
              <w:tab/>
            </w:r>
            <w:r w:rsidRPr="00F41250" w:rsidR="00DE3B41">
              <w:tab/>
            </w:r>
            <w:r w:rsidRPr="00FD0154">
              <w:rPr>
                <w:rFonts w:ascii="Arial Narrow" w:hAnsi="Arial Narrow"/>
                <w:sz w:val="22"/>
                <w:szCs w:val="22"/>
              </w:rPr>
              <w:t>Form</w:t>
            </w:r>
          </w:p>
        </w:tc>
        <w:tc>
          <w:tcPr>
            <w:tcW w:w="1530" w:type="dxa"/>
            <w:vAlign w:val="center"/>
          </w:tcPr>
          <w:p w:rsidR="000B7B1C" w:rsidP="00FD0154" w14:paraId="55B9380C" w14:textId="3BD06B86">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D0154">
              <w:rPr>
                <w:rFonts w:ascii="Arial Narrow" w:hAnsi="Arial Narrow"/>
                <w:sz w:val="22"/>
                <w:szCs w:val="22"/>
              </w:rPr>
              <w:t>Salaries and Benefits</w:t>
            </w:r>
          </w:p>
        </w:tc>
        <w:tc>
          <w:tcPr>
            <w:tcW w:w="1620" w:type="dxa"/>
            <w:vAlign w:val="center"/>
          </w:tcPr>
          <w:p w:rsidR="000B7B1C" w:rsidP="00FD0154" w14:paraId="3DA802EB" w14:textId="36F9C3B5">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center"/>
            </w:pPr>
            <w:r w:rsidRPr="00FD0154">
              <w:rPr>
                <w:rFonts w:ascii="Arial Narrow" w:hAnsi="Arial Narrow"/>
                <w:sz w:val="22"/>
                <w:szCs w:val="22"/>
              </w:rPr>
              <w:t>Overhead and Support Costs</w:t>
            </w:r>
          </w:p>
        </w:tc>
        <w:tc>
          <w:tcPr>
            <w:tcW w:w="1514" w:type="dxa"/>
            <w:vAlign w:val="center"/>
          </w:tcPr>
          <w:p w:rsidR="000B7B1C" w:rsidP="00FD0154" w14:paraId="7184D40D" w14:textId="26D5CBE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center"/>
            </w:pPr>
            <w:r w:rsidRPr="00FD0154">
              <w:rPr>
                <w:rFonts w:ascii="Arial Narrow" w:hAnsi="Arial Narrow"/>
                <w:sz w:val="22"/>
                <w:szCs w:val="22"/>
              </w:rPr>
              <w:t>Computer Systems and Programming Costs</w:t>
            </w:r>
          </w:p>
        </w:tc>
        <w:tc>
          <w:tcPr>
            <w:tcW w:w="1550" w:type="dxa"/>
            <w:vAlign w:val="center"/>
          </w:tcPr>
          <w:p w:rsidR="000B7B1C" w:rsidRPr="00FD0154" w:rsidP="00FD0154" w14:paraId="695542AA" w14:textId="4CD974C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center"/>
              <w:rPr>
                <w:rFonts w:ascii="Arial Narrow" w:hAnsi="Arial Narrow"/>
                <w:sz w:val="22"/>
                <w:szCs w:val="22"/>
              </w:rPr>
            </w:pPr>
            <w:r w:rsidRPr="00FD0154">
              <w:rPr>
                <w:rFonts w:ascii="Arial Narrow" w:hAnsi="Arial Narrow"/>
                <w:sz w:val="22"/>
                <w:szCs w:val="22"/>
              </w:rPr>
              <w:t>Pensions</w:t>
            </w:r>
          </w:p>
        </w:tc>
        <w:tc>
          <w:tcPr>
            <w:tcW w:w="1550" w:type="dxa"/>
            <w:vAlign w:val="center"/>
          </w:tcPr>
          <w:p w:rsidR="000B7B1C" w:rsidP="00FD0154" w14:paraId="0FC7D908" w14:textId="208BD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center"/>
            </w:pPr>
            <w:r w:rsidRPr="00FD0154">
              <w:rPr>
                <w:rFonts w:ascii="Arial Narrow" w:hAnsi="Arial Narrow"/>
                <w:sz w:val="22"/>
                <w:szCs w:val="22"/>
              </w:rPr>
              <w:t>Total</w:t>
            </w:r>
          </w:p>
        </w:tc>
      </w:tr>
      <w:tr w14:paraId="52AE074A" w14:textId="77777777" w:rsidTr="00BD0C0B">
        <w:tblPrEx>
          <w:tblW w:w="8934" w:type="dxa"/>
          <w:jc w:val="center"/>
          <w:tblLayout w:type="fixed"/>
          <w:tblLook w:val="04A0"/>
        </w:tblPrEx>
        <w:trPr>
          <w:trHeight w:val="576"/>
          <w:jc w:val="center"/>
        </w:trPr>
        <w:tc>
          <w:tcPr>
            <w:tcW w:w="1170" w:type="dxa"/>
            <w:vAlign w:val="center"/>
          </w:tcPr>
          <w:p w:rsidR="000B7B1C" w:rsidP="00FD0154" w14:paraId="57365B95" w14:textId="24C97D1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pPr>
            <w:r>
              <w:t>BC</w:t>
            </w:r>
          </w:p>
        </w:tc>
        <w:tc>
          <w:tcPr>
            <w:tcW w:w="1530" w:type="dxa"/>
            <w:vAlign w:val="center"/>
          </w:tcPr>
          <w:p w:rsidR="000B7B1C" w:rsidP="00FD0154" w14:paraId="5B643553" w14:textId="29AE27B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szCs w:val="24"/>
              </w:rPr>
              <w:t>$</w:t>
            </w:r>
            <w:r w:rsidR="009543BB">
              <w:rPr>
                <w:szCs w:val="24"/>
              </w:rPr>
              <w:t>481,844</w:t>
            </w:r>
          </w:p>
        </w:tc>
        <w:tc>
          <w:tcPr>
            <w:tcW w:w="1620" w:type="dxa"/>
            <w:vAlign w:val="center"/>
          </w:tcPr>
          <w:p w:rsidR="000B7B1C" w:rsidP="00FD0154" w14:paraId="2E5EA06C" w14:textId="0628D1F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szCs w:val="24"/>
              </w:rPr>
              <w:t>$501,29</w:t>
            </w:r>
            <w:r w:rsidR="0068696E">
              <w:rPr>
                <w:szCs w:val="24"/>
              </w:rPr>
              <w:t>4</w:t>
            </w:r>
          </w:p>
        </w:tc>
        <w:tc>
          <w:tcPr>
            <w:tcW w:w="1514" w:type="dxa"/>
            <w:vAlign w:val="center"/>
          </w:tcPr>
          <w:p w:rsidR="000B7B1C" w:rsidP="00FD0154" w14:paraId="7F3D1EF4" w14:textId="0F57BA0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szCs w:val="24"/>
              </w:rPr>
              <w:t>$</w:t>
            </w:r>
            <w:r w:rsidR="00CE6E09">
              <w:rPr>
                <w:szCs w:val="24"/>
              </w:rPr>
              <w:t>478,541</w:t>
            </w:r>
          </w:p>
        </w:tc>
        <w:tc>
          <w:tcPr>
            <w:tcW w:w="1550" w:type="dxa"/>
            <w:vAlign w:val="center"/>
          </w:tcPr>
          <w:p w:rsidR="000B7B1C" w:rsidRPr="00FD0154" w:rsidP="00FD0154" w14:paraId="11FD53D8" w14:textId="3388531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rPr>
                <w:szCs w:val="24"/>
              </w:rPr>
            </w:pPr>
            <w:r>
              <w:rPr>
                <w:szCs w:val="24"/>
              </w:rPr>
              <w:t>$125,297</w:t>
            </w:r>
          </w:p>
        </w:tc>
        <w:tc>
          <w:tcPr>
            <w:tcW w:w="1550" w:type="dxa"/>
            <w:vAlign w:val="center"/>
          </w:tcPr>
          <w:p w:rsidR="000B7B1C" w:rsidP="00FD0154" w14:paraId="66D98108" w14:textId="24F45DA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szCs w:val="24"/>
              </w:rPr>
              <w:t>$1,586,97</w:t>
            </w:r>
            <w:r w:rsidR="000F3F68">
              <w:rPr>
                <w:szCs w:val="24"/>
              </w:rPr>
              <w:t>6</w:t>
            </w:r>
          </w:p>
        </w:tc>
      </w:tr>
      <w:tr w14:paraId="503D00B5" w14:textId="77777777" w:rsidTr="00BD0C0B">
        <w:tblPrEx>
          <w:tblW w:w="8934" w:type="dxa"/>
          <w:jc w:val="center"/>
          <w:tblLayout w:type="fixed"/>
          <w:tblLook w:val="04A0"/>
        </w:tblPrEx>
        <w:trPr>
          <w:trHeight w:val="576"/>
          <w:jc w:val="center"/>
        </w:trPr>
        <w:tc>
          <w:tcPr>
            <w:tcW w:w="1170" w:type="dxa"/>
            <w:vAlign w:val="center"/>
          </w:tcPr>
          <w:p w:rsidR="00CE6E09" w:rsidP="00CE6E09" w14:paraId="1BE37579" w14:textId="3D3F5275">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pPr>
            <w:r>
              <w:t>BL-1</w:t>
            </w:r>
          </w:p>
        </w:tc>
        <w:tc>
          <w:tcPr>
            <w:tcW w:w="1530" w:type="dxa"/>
            <w:vAlign w:val="center"/>
          </w:tcPr>
          <w:p w:rsidR="00CE6E09" w:rsidP="00CE6E09" w14:paraId="001E534A" w14:textId="0FC9E7B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szCs w:val="24"/>
              </w:rPr>
              <w:t>$</w:t>
            </w:r>
            <w:r w:rsidR="009543BB">
              <w:rPr>
                <w:szCs w:val="24"/>
              </w:rPr>
              <w:t>481,844</w:t>
            </w:r>
          </w:p>
        </w:tc>
        <w:tc>
          <w:tcPr>
            <w:tcW w:w="1620" w:type="dxa"/>
            <w:vAlign w:val="center"/>
          </w:tcPr>
          <w:p w:rsidR="00CE6E09" w:rsidP="00CE6E09" w14:paraId="266DF76E" w14:textId="47B533C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szCs w:val="24"/>
              </w:rPr>
              <w:t>$501,29</w:t>
            </w:r>
            <w:r w:rsidR="0068696E">
              <w:rPr>
                <w:szCs w:val="24"/>
              </w:rPr>
              <w:t>4</w:t>
            </w:r>
          </w:p>
        </w:tc>
        <w:tc>
          <w:tcPr>
            <w:tcW w:w="1514" w:type="dxa"/>
            <w:vAlign w:val="center"/>
          </w:tcPr>
          <w:p w:rsidR="00CE6E09" w:rsidP="00CE6E09" w14:paraId="63B9FD9E" w14:textId="75A62F8B">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szCs w:val="24"/>
              </w:rPr>
              <w:t>$478,541</w:t>
            </w:r>
          </w:p>
        </w:tc>
        <w:tc>
          <w:tcPr>
            <w:tcW w:w="1550" w:type="dxa"/>
            <w:vAlign w:val="center"/>
          </w:tcPr>
          <w:p w:rsidR="00CE6E09" w:rsidRPr="00FD0154" w:rsidP="00CE6E09" w14:paraId="3F3202DA" w14:textId="037AEA7A">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rPr>
                <w:szCs w:val="24"/>
              </w:rPr>
            </w:pPr>
            <w:r>
              <w:rPr>
                <w:szCs w:val="24"/>
              </w:rPr>
              <w:t>$125,297</w:t>
            </w:r>
          </w:p>
        </w:tc>
        <w:tc>
          <w:tcPr>
            <w:tcW w:w="1550" w:type="dxa"/>
            <w:vAlign w:val="center"/>
          </w:tcPr>
          <w:p w:rsidR="00CE6E09" w:rsidP="00CE6E09" w14:paraId="714389A3" w14:textId="45B12D9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szCs w:val="24"/>
              </w:rPr>
              <w:t>$1,586,97</w:t>
            </w:r>
            <w:r w:rsidR="000F3F68">
              <w:rPr>
                <w:szCs w:val="24"/>
              </w:rPr>
              <w:t>6</w:t>
            </w:r>
          </w:p>
        </w:tc>
      </w:tr>
      <w:tr w14:paraId="2EDAC43B" w14:textId="77777777" w:rsidTr="00BD0C0B">
        <w:tblPrEx>
          <w:tblW w:w="8934" w:type="dxa"/>
          <w:jc w:val="center"/>
          <w:tblLayout w:type="fixed"/>
          <w:tblLook w:val="04A0"/>
        </w:tblPrEx>
        <w:trPr>
          <w:trHeight w:val="576"/>
          <w:jc w:val="center"/>
        </w:trPr>
        <w:tc>
          <w:tcPr>
            <w:tcW w:w="1170" w:type="dxa"/>
            <w:vAlign w:val="center"/>
          </w:tcPr>
          <w:p w:rsidR="00CE6E09" w:rsidP="00CE6E09" w14:paraId="0365EEC8" w14:textId="3F1127E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pPr>
            <w:r>
              <w:t>BL-2</w:t>
            </w:r>
          </w:p>
        </w:tc>
        <w:tc>
          <w:tcPr>
            <w:tcW w:w="1530" w:type="dxa"/>
            <w:vAlign w:val="center"/>
          </w:tcPr>
          <w:p w:rsidR="00CE6E09" w:rsidP="00CE6E09" w14:paraId="78862966" w14:textId="7FC4246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$2</w:t>
            </w:r>
            <w:r w:rsidR="009543BB">
              <w:t>40,922</w:t>
            </w:r>
          </w:p>
        </w:tc>
        <w:tc>
          <w:tcPr>
            <w:tcW w:w="1620" w:type="dxa"/>
            <w:vAlign w:val="center"/>
          </w:tcPr>
          <w:p w:rsidR="00CE6E09" w:rsidP="00CE6E09" w14:paraId="4DEF177A" w14:textId="6D82676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w:t>
            </w:r>
            <w:r w:rsidR="00502E1B">
              <w:t>250,647</w:t>
            </w:r>
          </w:p>
        </w:tc>
        <w:tc>
          <w:tcPr>
            <w:tcW w:w="1514" w:type="dxa"/>
            <w:vAlign w:val="center"/>
          </w:tcPr>
          <w:p w:rsidR="00CE6E09" w:rsidP="00CE6E09" w14:paraId="68649309" w14:textId="53CDE39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w:t>
            </w:r>
            <w:r w:rsidR="0041543E">
              <w:t>239,27</w:t>
            </w:r>
            <w:r w:rsidR="0068696E">
              <w:t>1</w:t>
            </w:r>
          </w:p>
        </w:tc>
        <w:tc>
          <w:tcPr>
            <w:tcW w:w="1550" w:type="dxa"/>
            <w:vAlign w:val="center"/>
          </w:tcPr>
          <w:p w:rsidR="00CE6E09" w:rsidRPr="00F559C9" w:rsidP="00CE6E09" w14:paraId="447D6928" w14:textId="46750FCA">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w:t>
            </w:r>
            <w:r w:rsidR="0041543E">
              <w:t>62,64</w:t>
            </w:r>
            <w:r w:rsidR="0068696E">
              <w:t>8</w:t>
            </w:r>
          </w:p>
        </w:tc>
        <w:tc>
          <w:tcPr>
            <w:tcW w:w="1550" w:type="dxa"/>
            <w:vAlign w:val="center"/>
          </w:tcPr>
          <w:p w:rsidR="00CE6E09" w:rsidP="00CE6E09" w14:paraId="7569B9CD" w14:textId="622947D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w:t>
            </w:r>
            <w:r w:rsidR="008A5C4E">
              <w:t>793,48</w:t>
            </w:r>
            <w:r w:rsidR="000F3F68">
              <w:t>8</w:t>
            </w:r>
          </w:p>
        </w:tc>
      </w:tr>
      <w:tr w14:paraId="5C1CEDF1" w14:textId="77777777" w:rsidTr="00BD0C0B">
        <w:tblPrEx>
          <w:tblW w:w="8934" w:type="dxa"/>
          <w:jc w:val="center"/>
          <w:tblLayout w:type="fixed"/>
          <w:tblLook w:val="04A0"/>
        </w:tblPrEx>
        <w:trPr>
          <w:trHeight w:val="576"/>
          <w:jc w:val="center"/>
        </w:trPr>
        <w:tc>
          <w:tcPr>
            <w:tcW w:w="1170" w:type="dxa"/>
            <w:vAlign w:val="center"/>
          </w:tcPr>
          <w:p w:rsidR="00AC3379" w:rsidP="00AC3379" w14:paraId="39C230AF" w14:textId="7E732DB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pPr>
            <w:r>
              <w:t>BQ-1</w:t>
            </w:r>
          </w:p>
        </w:tc>
        <w:tc>
          <w:tcPr>
            <w:tcW w:w="1530" w:type="dxa"/>
            <w:vAlign w:val="center"/>
          </w:tcPr>
          <w:p w:rsidR="00AC3379" w:rsidP="00AC3379" w14:paraId="69D283DC" w14:textId="3651AC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w:t>
            </w:r>
            <w:r w:rsidR="00CF26E9">
              <w:t>160,615</w:t>
            </w:r>
          </w:p>
        </w:tc>
        <w:tc>
          <w:tcPr>
            <w:tcW w:w="1620" w:type="dxa"/>
            <w:vAlign w:val="center"/>
          </w:tcPr>
          <w:p w:rsidR="00AC3379" w:rsidP="00AC3379" w14:paraId="4C198A67" w14:textId="6CB12DC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$167,098</w:t>
            </w:r>
          </w:p>
        </w:tc>
        <w:tc>
          <w:tcPr>
            <w:tcW w:w="1514" w:type="dxa"/>
            <w:vAlign w:val="center"/>
          </w:tcPr>
          <w:p w:rsidR="00AC3379" w:rsidP="00AC3379" w14:paraId="0ADF7873" w14:textId="6FDB4AA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$159,514</w:t>
            </w:r>
          </w:p>
        </w:tc>
        <w:tc>
          <w:tcPr>
            <w:tcW w:w="1550" w:type="dxa"/>
            <w:vAlign w:val="center"/>
          </w:tcPr>
          <w:p w:rsidR="00AC3379" w:rsidRPr="00566F19" w:rsidP="00AC3379" w14:paraId="7116F625" w14:textId="4ACCEC0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$41,766</w:t>
            </w:r>
          </w:p>
        </w:tc>
        <w:tc>
          <w:tcPr>
            <w:tcW w:w="1550" w:type="dxa"/>
            <w:vAlign w:val="center"/>
          </w:tcPr>
          <w:p w:rsidR="00AC3379" w:rsidP="00AC3379" w14:paraId="3A1C7DE3" w14:textId="6A90811B">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$528,99</w:t>
            </w:r>
            <w:r w:rsidR="003C3805">
              <w:t>3</w:t>
            </w:r>
          </w:p>
        </w:tc>
      </w:tr>
      <w:tr w14:paraId="112C7C7C" w14:textId="77777777" w:rsidTr="00BD0C0B">
        <w:tblPrEx>
          <w:tblW w:w="8934" w:type="dxa"/>
          <w:jc w:val="center"/>
          <w:tblLayout w:type="fixed"/>
          <w:tblLook w:val="04A0"/>
        </w:tblPrEx>
        <w:trPr>
          <w:trHeight w:val="576"/>
          <w:jc w:val="center"/>
        </w:trPr>
        <w:tc>
          <w:tcPr>
            <w:tcW w:w="1170" w:type="dxa"/>
            <w:vAlign w:val="center"/>
          </w:tcPr>
          <w:p w:rsidR="00AC3379" w:rsidP="00AC3379" w14:paraId="5C330793" w14:textId="36C85D5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pPr>
            <w:r>
              <w:t>BQ-2</w:t>
            </w:r>
          </w:p>
        </w:tc>
        <w:tc>
          <w:tcPr>
            <w:tcW w:w="1530" w:type="dxa"/>
            <w:vAlign w:val="center"/>
          </w:tcPr>
          <w:p w:rsidR="00AC3379" w:rsidP="00AC3379" w14:paraId="2CB67E86" w14:textId="0CB4039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w:t>
            </w:r>
            <w:r w:rsidR="00CF26E9">
              <w:t>160,615</w:t>
            </w:r>
          </w:p>
        </w:tc>
        <w:tc>
          <w:tcPr>
            <w:tcW w:w="1620" w:type="dxa"/>
            <w:vAlign w:val="center"/>
          </w:tcPr>
          <w:p w:rsidR="00AC3379" w:rsidP="00AC3379" w14:paraId="7020B8A3" w14:textId="70F9D21A">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$167,098</w:t>
            </w:r>
          </w:p>
        </w:tc>
        <w:tc>
          <w:tcPr>
            <w:tcW w:w="1514" w:type="dxa"/>
            <w:vAlign w:val="center"/>
          </w:tcPr>
          <w:p w:rsidR="00AC3379" w:rsidP="00AC3379" w14:paraId="32583CE0" w14:textId="3AFE160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$159,514</w:t>
            </w:r>
          </w:p>
        </w:tc>
        <w:tc>
          <w:tcPr>
            <w:tcW w:w="1550" w:type="dxa"/>
            <w:vAlign w:val="center"/>
          </w:tcPr>
          <w:p w:rsidR="00AC3379" w:rsidRPr="00FD0154" w:rsidP="00AC3379" w14:paraId="7AE6E826" w14:textId="409FB14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rPr>
                <w:szCs w:val="24"/>
              </w:rPr>
            </w:pPr>
            <w:r>
              <w:t>$41,766</w:t>
            </w:r>
          </w:p>
        </w:tc>
        <w:tc>
          <w:tcPr>
            <w:tcW w:w="1550" w:type="dxa"/>
            <w:vAlign w:val="center"/>
          </w:tcPr>
          <w:p w:rsidR="00AC3379" w:rsidP="00AC3379" w14:paraId="7E243A5C" w14:textId="0F31973B">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$528,99</w:t>
            </w:r>
            <w:r w:rsidR="003C3805">
              <w:t>3</w:t>
            </w:r>
          </w:p>
        </w:tc>
      </w:tr>
      <w:tr w14:paraId="73C7776A" w14:textId="77777777" w:rsidTr="00BD0C0B">
        <w:tblPrEx>
          <w:tblW w:w="8934" w:type="dxa"/>
          <w:jc w:val="center"/>
          <w:tblLayout w:type="fixed"/>
          <w:tblLook w:val="04A0"/>
        </w:tblPrEx>
        <w:trPr>
          <w:trHeight w:val="576"/>
          <w:jc w:val="center"/>
        </w:trPr>
        <w:tc>
          <w:tcPr>
            <w:tcW w:w="1170" w:type="dxa"/>
            <w:vAlign w:val="center"/>
          </w:tcPr>
          <w:p w:rsidR="00AC3379" w:rsidP="00AC3379" w14:paraId="799DE176" w14:textId="4C682A9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pPr>
            <w:r>
              <w:t>BQ-3</w:t>
            </w:r>
          </w:p>
        </w:tc>
        <w:tc>
          <w:tcPr>
            <w:tcW w:w="1530" w:type="dxa"/>
            <w:vAlign w:val="center"/>
          </w:tcPr>
          <w:p w:rsidR="00AC3379" w:rsidP="00AC3379" w14:paraId="38DF7031" w14:textId="3EA20C7A">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w:t>
            </w:r>
            <w:r w:rsidR="00CF26E9">
              <w:t>160,615</w:t>
            </w:r>
          </w:p>
        </w:tc>
        <w:tc>
          <w:tcPr>
            <w:tcW w:w="1620" w:type="dxa"/>
            <w:vAlign w:val="center"/>
          </w:tcPr>
          <w:p w:rsidR="00AC3379" w:rsidP="00AC3379" w14:paraId="6EDFD93F" w14:textId="57E1E3F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$167,098</w:t>
            </w:r>
          </w:p>
        </w:tc>
        <w:tc>
          <w:tcPr>
            <w:tcW w:w="1514" w:type="dxa"/>
            <w:vAlign w:val="center"/>
          </w:tcPr>
          <w:p w:rsidR="00AC3379" w:rsidP="00AC3379" w14:paraId="1C9E30BD" w14:textId="5D65DED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$159,514</w:t>
            </w:r>
          </w:p>
        </w:tc>
        <w:tc>
          <w:tcPr>
            <w:tcW w:w="1550" w:type="dxa"/>
            <w:vAlign w:val="center"/>
          </w:tcPr>
          <w:p w:rsidR="00AC3379" w:rsidRPr="00761A60" w:rsidP="00AC3379" w14:paraId="484DCB19" w14:textId="2822D92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$41,766</w:t>
            </w:r>
          </w:p>
        </w:tc>
        <w:tc>
          <w:tcPr>
            <w:tcW w:w="1550" w:type="dxa"/>
            <w:vAlign w:val="center"/>
          </w:tcPr>
          <w:p w:rsidR="00AC3379" w:rsidP="00AC3379" w14:paraId="7BC07708" w14:textId="6814AD2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t>$528,99</w:t>
            </w:r>
            <w:r w:rsidR="003C3805">
              <w:t>3</w:t>
            </w:r>
          </w:p>
        </w:tc>
      </w:tr>
      <w:tr w14:paraId="7C357672" w14:textId="77777777" w:rsidTr="00BD0C0B">
        <w:tblPrEx>
          <w:tblW w:w="8934" w:type="dxa"/>
          <w:jc w:val="center"/>
          <w:tblLayout w:type="fixed"/>
          <w:tblLook w:val="04A0"/>
        </w:tblPrEx>
        <w:trPr>
          <w:trHeight w:val="576"/>
          <w:jc w:val="center"/>
        </w:trPr>
        <w:tc>
          <w:tcPr>
            <w:tcW w:w="1170" w:type="dxa"/>
            <w:vAlign w:val="center"/>
          </w:tcPr>
          <w:p w:rsidR="00AC3379" w:rsidP="00AC3379" w14:paraId="15931C32" w14:textId="74B9830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pPr>
            <w:r w:rsidRPr="00FD0154">
              <w:rPr>
                <w:b/>
              </w:rPr>
              <w:t>TOTAL</w:t>
            </w:r>
          </w:p>
        </w:tc>
        <w:tc>
          <w:tcPr>
            <w:tcW w:w="1530" w:type="dxa"/>
            <w:vAlign w:val="center"/>
          </w:tcPr>
          <w:p w:rsidR="00AC3379" w:rsidP="00AC3379" w14:paraId="47AD6475" w14:textId="324E236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b/>
              </w:rPr>
              <w:t>$</w:t>
            </w:r>
            <w:r w:rsidR="00420EAE">
              <w:rPr>
                <w:b/>
              </w:rPr>
              <w:t>1,686,455</w:t>
            </w:r>
          </w:p>
        </w:tc>
        <w:tc>
          <w:tcPr>
            <w:tcW w:w="1620" w:type="dxa"/>
            <w:vAlign w:val="center"/>
          </w:tcPr>
          <w:p w:rsidR="00AC3379" w:rsidP="00AC3379" w14:paraId="61F3C27B" w14:textId="53D969A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b/>
              </w:rPr>
              <w:t>$1,754,52</w:t>
            </w:r>
            <w:r w:rsidR="000F3F68">
              <w:rPr>
                <w:b/>
              </w:rPr>
              <w:t>9</w:t>
            </w:r>
          </w:p>
        </w:tc>
        <w:tc>
          <w:tcPr>
            <w:tcW w:w="1514" w:type="dxa"/>
            <w:vAlign w:val="center"/>
          </w:tcPr>
          <w:p w:rsidR="00AC3379" w:rsidP="00AC3379" w14:paraId="5F78CAB0" w14:textId="4CB334D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b/>
              </w:rPr>
              <w:t>$</w:t>
            </w:r>
            <w:r w:rsidR="00476AEB">
              <w:rPr>
                <w:b/>
              </w:rPr>
              <w:t>1,674,89</w:t>
            </w:r>
            <w:r w:rsidR="000F3F68">
              <w:rPr>
                <w:b/>
              </w:rPr>
              <w:t>5</w:t>
            </w:r>
          </w:p>
        </w:tc>
        <w:tc>
          <w:tcPr>
            <w:tcW w:w="1550" w:type="dxa"/>
            <w:vAlign w:val="center"/>
          </w:tcPr>
          <w:p w:rsidR="00AC3379" w:rsidRPr="00FD0154" w:rsidP="00AC3379" w14:paraId="0D5685F5" w14:textId="16E5307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rPr>
                <w:b/>
              </w:rPr>
            </w:pPr>
            <w:r>
              <w:rPr>
                <w:b/>
              </w:rPr>
              <w:t>$438,5</w:t>
            </w:r>
            <w:r w:rsidR="000F3F68">
              <w:rPr>
                <w:b/>
              </w:rPr>
              <w:t>40</w:t>
            </w:r>
          </w:p>
        </w:tc>
        <w:tc>
          <w:tcPr>
            <w:tcW w:w="1550" w:type="dxa"/>
            <w:vAlign w:val="center"/>
          </w:tcPr>
          <w:p w:rsidR="00AC3379" w:rsidP="00AC3379" w14:paraId="3804B241" w14:textId="2E3F64A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jc w:val="right"/>
            </w:pPr>
            <w:r>
              <w:rPr>
                <w:b/>
              </w:rPr>
              <w:t>$5,554,41</w:t>
            </w:r>
            <w:r w:rsidR="000F3F68">
              <w:rPr>
                <w:b/>
              </w:rPr>
              <w:t>9</w:t>
            </w:r>
          </w:p>
        </w:tc>
      </w:tr>
    </w:tbl>
    <w:p w:rsidR="00A27EB1" w:rsidP="00DE3B41" w14:paraId="301732E5" w14:textId="050846D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006A1C32" w:rsidRPr="002934B7" w:rsidP="00F41250" w14:paraId="222B59A1" w14:textId="267CA8A1">
      <w:pPr>
        <w:rPr>
          <w:b/>
          <w:bCs/>
        </w:rPr>
      </w:pPr>
      <w:r w:rsidRPr="002934B7">
        <w:rPr>
          <w:b/>
          <w:bCs/>
        </w:rPr>
        <w:t>15</w:t>
      </w:r>
      <w:r w:rsidRPr="002934B7">
        <w:rPr>
          <w:b/>
          <w:bCs/>
        </w:rPr>
        <w:t>.</w:t>
      </w:r>
      <w:r w:rsidRPr="002934B7" w:rsidR="00F617FD">
        <w:rPr>
          <w:b/>
          <w:bCs/>
        </w:rPr>
        <w:t xml:space="preserve">  </w:t>
      </w:r>
      <w:r w:rsidRPr="002934B7" w:rsidR="0095454D">
        <w:rPr>
          <w:b/>
          <w:bCs/>
        </w:rPr>
        <w:t>Reason</w:t>
      </w:r>
      <w:r w:rsidRPr="002934B7" w:rsidR="0095454D">
        <w:rPr>
          <w:b/>
          <w:bCs/>
        </w:rPr>
        <w:t xml:space="preserve"> for change</w:t>
      </w:r>
    </w:p>
    <w:p w:rsidR="006A1C32" w:rsidRPr="00F41250" w:rsidP="00F41250" w14:paraId="741A3639" w14:textId="77777777"/>
    <w:p w:rsidR="00B579D5" w:rsidRPr="00F41250" w:rsidP="00F41250" w14:paraId="21B19C3A" w14:textId="13C8AB14">
      <w:r w:rsidRPr="00F41250">
        <w:t xml:space="preserve">Treasury </w:t>
      </w:r>
      <w:r w:rsidR="00B7204A">
        <w:t>will</w:t>
      </w:r>
      <w:r w:rsidRPr="00F41250">
        <w:t xml:space="preserve"> </w:t>
      </w:r>
      <w:r w:rsidRPr="00F41250" w:rsidR="00FC5F55">
        <w:t>raise the reporting threshold f</w:t>
      </w:r>
      <w:r w:rsidRPr="00F41250" w:rsidR="00603E2B">
        <w:t xml:space="preserve">or all the </w:t>
      </w:r>
      <w:r w:rsidR="005649F7">
        <w:t>B Forms</w:t>
      </w:r>
      <w:r w:rsidRPr="00F41250" w:rsidR="00603E2B">
        <w:t xml:space="preserve"> except the BQ-3</w:t>
      </w:r>
      <w:r w:rsidRPr="00F41250" w:rsidR="007A1E81">
        <w:t xml:space="preserve"> starting in January 2027</w:t>
      </w:r>
      <w:r w:rsidRPr="00F41250" w:rsidR="00603E2B">
        <w:t xml:space="preserve">. </w:t>
      </w:r>
      <w:r w:rsidRPr="00F41250" w:rsidR="003A1155">
        <w:t xml:space="preserve"> </w:t>
      </w:r>
      <w:r w:rsidRPr="00F41250" w:rsidR="001116FB">
        <w:t>C</w:t>
      </w:r>
      <w:r w:rsidRPr="00F41250" w:rsidR="002D0EA9">
        <w:t>hange</w:t>
      </w:r>
      <w:r w:rsidRPr="00F41250" w:rsidR="00DA3616">
        <w:t xml:space="preserve">s for </w:t>
      </w:r>
      <w:r w:rsidR="00D653DF">
        <w:t>F</w:t>
      </w:r>
      <w:r w:rsidRPr="00F41250" w:rsidR="001116FB">
        <w:t xml:space="preserve">orm BQ-3 will be </w:t>
      </w:r>
      <w:r w:rsidRPr="00F41250" w:rsidR="002D0EA9">
        <w:t xml:space="preserve">due </w:t>
      </w:r>
      <w:r w:rsidRPr="00F41250" w:rsidR="00DA3616">
        <w:t xml:space="preserve">only </w:t>
      </w:r>
      <w:r w:rsidRPr="00F41250" w:rsidR="002D0EA9">
        <w:t>to decrease</w:t>
      </w:r>
      <w:r w:rsidRPr="00F41250" w:rsidR="00F07B9E">
        <w:t>s</w:t>
      </w:r>
      <w:r w:rsidRPr="00F41250" w:rsidR="002D0EA9">
        <w:t xml:space="preserve"> in the number of respondents</w:t>
      </w:r>
      <w:r w:rsidR="00440017">
        <w:t xml:space="preserve"> </w:t>
      </w:r>
      <w:r w:rsidR="00B02045">
        <w:t>as a result of</w:t>
      </w:r>
      <w:r w:rsidR="00B02045">
        <w:t xml:space="preserve"> </w:t>
      </w:r>
      <w:r w:rsidR="00D67C61">
        <w:t xml:space="preserve">corporate </w:t>
      </w:r>
      <w:r w:rsidR="00B02045">
        <w:t>consolidation</w:t>
      </w:r>
      <w:r w:rsidR="00D67C61">
        <w:t>s</w:t>
      </w:r>
      <w:r w:rsidRPr="00F41250" w:rsidR="002D0EA9">
        <w:t xml:space="preserve">. </w:t>
      </w:r>
      <w:r w:rsidRPr="00F41250" w:rsidR="007A1E81">
        <w:t xml:space="preserve"> </w:t>
      </w:r>
      <w:r w:rsidRPr="00F41250" w:rsidR="001116FB">
        <w:t xml:space="preserve">Changes in the other </w:t>
      </w:r>
      <w:r w:rsidR="005649F7">
        <w:t>B Forms</w:t>
      </w:r>
      <w:r w:rsidRPr="00F41250" w:rsidR="001116FB">
        <w:t xml:space="preserve"> will </w:t>
      </w:r>
      <w:r w:rsidR="00B658A9">
        <w:t>result from</w:t>
      </w:r>
      <w:r w:rsidRPr="00F41250" w:rsidR="001116FB">
        <w:t xml:space="preserve"> the program change of the increase in reporting thresholds</w:t>
      </w:r>
      <w:r w:rsidR="004B0480">
        <w:t xml:space="preserve">, which will reduce the </w:t>
      </w:r>
      <w:r w:rsidR="00FC4DC3">
        <w:t xml:space="preserve">expected </w:t>
      </w:r>
      <w:r w:rsidR="004B0480">
        <w:t xml:space="preserve">number of </w:t>
      </w:r>
      <w:r w:rsidR="00FC4DC3">
        <w:t>respondents</w:t>
      </w:r>
      <w:r w:rsidRPr="00F41250" w:rsidR="001116FB">
        <w:t xml:space="preserve">.  </w:t>
      </w:r>
      <w:r w:rsidRPr="00F41250" w:rsidR="00DA3616">
        <w:t xml:space="preserve">For the total of all </w:t>
      </w:r>
      <w:r w:rsidR="005649F7">
        <w:t>B Forms</w:t>
      </w:r>
      <w:r w:rsidRPr="00F41250" w:rsidR="00DA3616">
        <w:t xml:space="preserve">, </w:t>
      </w:r>
      <w:r w:rsidRPr="00F41250" w:rsidR="00BB73D9">
        <w:t xml:space="preserve">there will be </w:t>
      </w:r>
      <w:r w:rsidRPr="00F41250" w:rsidR="00602BD6">
        <w:t>a</w:t>
      </w:r>
      <w:r w:rsidRPr="00F41250" w:rsidR="001E3A0B">
        <w:t xml:space="preserve"> </w:t>
      </w:r>
      <w:r w:rsidRPr="00F41250" w:rsidR="001918D5">
        <w:t>de</w:t>
      </w:r>
      <w:r w:rsidRPr="00F41250" w:rsidR="00602BD6">
        <w:t xml:space="preserve">crease of </w:t>
      </w:r>
      <w:r w:rsidR="00242A94">
        <w:t>18,10</w:t>
      </w:r>
      <w:r w:rsidR="00EF064B">
        <w:t>8</w:t>
      </w:r>
      <w:r w:rsidRPr="00F41250" w:rsidR="00602BD6">
        <w:t xml:space="preserve"> in burden hours to </w:t>
      </w:r>
      <w:r w:rsidR="00242A94">
        <w:t>78,900</w:t>
      </w:r>
      <w:r w:rsidRPr="00F41250" w:rsidR="00602BD6">
        <w:t xml:space="preserve"> as compared to the estimate of </w:t>
      </w:r>
      <w:r w:rsidRPr="00F41250" w:rsidR="00EF250B">
        <w:t>97,00</w:t>
      </w:r>
      <w:r w:rsidR="004F72F8">
        <w:t>7</w:t>
      </w:r>
      <w:r w:rsidRPr="00F41250" w:rsidR="00D146A4">
        <w:t xml:space="preserve"> </w:t>
      </w:r>
      <w:r w:rsidRPr="00F41250" w:rsidR="00602BD6">
        <w:t>currently carried in OMB's Information Collection Inventory.</w:t>
      </w:r>
    </w:p>
    <w:p w:rsidR="00D31119" w:rsidRPr="00F41250" w:rsidP="00F41250" w14:paraId="70954887" w14:textId="46481679">
      <w:r w:rsidRPr="00F41250">
        <w:tab/>
      </w:r>
    </w:p>
    <w:p w:rsidR="00281A89" w:rsidRPr="00F41250" w:rsidP="00F41250" w14:paraId="143B696C" w14:textId="77777777">
      <w:r w:rsidRPr="00F41250">
        <w:br w:type="page"/>
      </w:r>
    </w:p>
    <w:tbl>
      <w:tblPr>
        <w:tblW w:w="8730" w:type="dxa"/>
        <w:jc w:val="center"/>
        <w:tblLayout w:type="fixed"/>
        <w:tblLook w:val="04A0"/>
      </w:tblPr>
      <w:tblGrid>
        <w:gridCol w:w="1260"/>
        <w:gridCol w:w="1575"/>
        <w:gridCol w:w="1515"/>
        <w:gridCol w:w="1391"/>
        <w:gridCol w:w="1620"/>
        <w:gridCol w:w="1369"/>
      </w:tblGrid>
      <w:tr w14:paraId="08E8902B" w14:textId="77777777" w:rsidTr="00BD41F1">
        <w:tblPrEx>
          <w:tblW w:w="8730" w:type="dxa"/>
          <w:jc w:val="center"/>
          <w:tblLayout w:type="fixed"/>
          <w:tblLook w:val="04A0"/>
        </w:tblPrEx>
        <w:trPr>
          <w:trHeight w:val="915"/>
          <w:jc w:val="center"/>
        </w:trPr>
        <w:tc>
          <w:tcPr>
            <w:tcW w:w="1260" w:type="dxa"/>
            <w:tcBorders>
              <w:top w:val="single" w:sz="8" w:space="0" w:color="auto"/>
              <w:left w:val="single" w:sz="4" w:space="0" w:color="auto"/>
              <w:bottom w:val="single" w:sz="8" w:space="0" w:color="auto"/>
              <w:right w:val="single" w:sz="8" w:space="0" w:color="auto"/>
            </w:tcBorders>
            <w:vAlign w:val="center"/>
            <w:hideMark/>
          </w:tcPr>
          <w:p w:rsidR="00281A89" w:rsidRPr="00281A89" w:rsidP="00281A89" w14:paraId="2A0C5430" w14:textId="742DD9C2">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Form Name </w:t>
            </w:r>
          </w:p>
        </w:tc>
        <w:tc>
          <w:tcPr>
            <w:tcW w:w="1575" w:type="dxa"/>
            <w:tcBorders>
              <w:top w:val="single" w:sz="8" w:space="0" w:color="auto"/>
              <w:left w:val="nil"/>
              <w:bottom w:val="single" w:sz="8" w:space="0" w:color="auto"/>
              <w:right w:val="nil"/>
            </w:tcBorders>
            <w:vAlign w:val="center"/>
            <w:hideMark/>
          </w:tcPr>
          <w:p w:rsidR="00281A89" w:rsidRPr="00281A89" w:rsidP="00281A89" w14:paraId="360673B4" w14:textId="29EE2622">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Current OMB Inventory</w:t>
            </w:r>
            <w:r w:rsidR="00757A07">
              <w:rPr>
                <w:rFonts w:ascii="Arial Narrow" w:hAnsi="Arial Narrow" w:cs="Arial"/>
                <w:snapToGrid/>
                <w:color w:val="000000"/>
                <w:sz w:val="22"/>
                <w:szCs w:val="22"/>
              </w:rPr>
              <w:t>: Total Burden (Hours)</w:t>
            </w:r>
          </w:p>
        </w:tc>
        <w:tc>
          <w:tcPr>
            <w:tcW w:w="1515" w:type="dxa"/>
            <w:tcBorders>
              <w:top w:val="single" w:sz="8" w:space="0" w:color="auto"/>
              <w:left w:val="single" w:sz="8" w:space="0" w:color="auto"/>
              <w:bottom w:val="single" w:sz="8" w:space="0" w:color="auto"/>
              <w:right w:val="nil"/>
            </w:tcBorders>
            <w:vAlign w:val="center"/>
            <w:hideMark/>
          </w:tcPr>
          <w:p w:rsidR="00281A89" w:rsidRPr="00281A89" w:rsidP="00281A89" w14:paraId="3091980F" w14:textId="7F60126D">
            <w:pPr>
              <w:widowControl/>
              <w:jc w:val="center"/>
              <w:rPr>
                <w:rFonts w:ascii="Arial Narrow" w:hAnsi="Arial Narrow" w:cs="Arial"/>
                <w:snapToGrid/>
                <w:color w:val="000000"/>
                <w:sz w:val="22"/>
                <w:szCs w:val="22"/>
              </w:rPr>
            </w:pPr>
            <w:r>
              <w:rPr>
                <w:rFonts w:ascii="Arial Narrow" w:hAnsi="Arial Narrow" w:cs="Arial"/>
                <w:snapToGrid/>
                <w:color w:val="000000"/>
                <w:sz w:val="22"/>
                <w:szCs w:val="22"/>
              </w:rPr>
              <w:t>Change</w:t>
            </w:r>
            <w:r w:rsidRPr="00281A89">
              <w:rPr>
                <w:rFonts w:ascii="Arial Narrow" w:hAnsi="Arial Narrow" w:cs="Arial"/>
                <w:snapToGrid/>
                <w:color w:val="000000"/>
                <w:sz w:val="22"/>
                <w:szCs w:val="22"/>
              </w:rPr>
              <w:t xml:space="preserve"> </w:t>
            </w:r>
            <w:r w:rsidR="00757A07">
              <w:rPr>
                <w:rFonts w:ascii="Arial Narrow" w:hAnsi="Arial Narrow" w:cs="Arial"/>
                <w:snapToGrid/>
                <w:color w:val="000000"/>
                <w:sz w:val="22"/>
                <w:szCs w:val="22"/>
              </w:rPr>
              <w:t>D</w:t>
            </w:r>
            <w:r w:rsidRPr="00281A89">
              <w:rPr>
                <w:rFonts w:ascii="Arial Narrow" w:hAnsi="Arial Narrow" w:cs="Arial"/>
                <w:snapToGrid/>
                <w:color w:val="000000"/>
                <w:sz w:val="22"/>
                <w:szCs w:val="22"/>
              </w:rPr>
              <w:t xml:space="preserve">ue to </w:t>
            </w:r>
            <w:r w:rsidR="00757A07">
              <w:rPr>
                <w:rFonts w:ascii="Arial Narrow" w:hAnsi="Arial Narrow" w:cs="Arial"/>
                <w:snapToGrid/>
                <w:color w:val="000000"/>
                <w:sz w:val="22"/>
                <w:szCs w:val="22"/>
              </w:rPr>
              <w:t>P</w:t>
            </w:r>
            <w:r w:rsidRPr="00281A89">
              <w:rPr>
                <w:rFonts w:ascii="Arial Narrow" w:hAnsi="Arial Narrow" w:cs="Arial"/>
                <w:snapToGrid/>
                <w:color w:val="000000"/>
                <w:sz w:val="22"/>
                <w:szCs w:val="22"/>
              </w:rPr>
              <w:t xml:space="preserve">rogram </w:t>
            </w:r>
            <w:r w:rsidR="00757A07">
              <w:rPr>
                <w:rFonts w:ascii="Arial Narrow" w:hAnsi="Arial Narrow" w:cs="Arial"/>
                <w:snapToGrid/>
                <w:color w:val="000000"/>
                <w:sz w:val="22"/>
                <w:szCs w:val="22"/>
              </w:rPr>
              <w:t>C</w:t>
            </w:r>
            <w:r w:rsidRPr="00281A89">
              <w:rPr>
                <w:rFonts w:ascii="Arial Narrow" w:hAnsi="Arial Narrow" w:cs="Arial"/>
                <w:snapToGrid/>
                <w:color w:val="000000"/>
                <w:sz w:val="22"/>
                <w:szCs w:val="22"/>
              </w:rPr>
              <w:t>hanges</w:t>
            </w:r>
            <w:r w:rsidR="00757A07">
              <w:rPr>
                <w:rFonts w:ascii="Arial Narrow" w:hAnsi="Arial Narrow" w:cs="Arial"/>
                <w:snapToGrid/>
                <w:color w:val="000000"/>
                <w:sz w:val="22"/>
                <w:szCs w:val="22"/>
              </w:rPr>
              <w:t>: Burden (Hours)</w:t>
            </w:r>
          </w:p>
        </w:tc>
        <w:tc>
          <w:tcPr>
            <w:tcW w:w="1391" w:type="dxa"/>
            <w:tcBorders>
              <w:top w:val="single" w:sz="8" w:space="0" w:color="auto"/>
              <w:left w:val="single" w:sz="4" w:space="0" w:color="auto"/>
              <w:bottom w:val="single" w:sz="8" w:space="0" w:color="auto"/>
              <w:right w:val="single" w:sz="8" w:space="0" w:color="auto"/>
            </w:tcBorders>
            <w:vAlign w:val="center"/>
            <w:hideMark/>
          </w:tcPr>
          <w:p w:rsidR="00281A89" w:rsidRPr="00281A89" w:rsidP="00281A89" w14:paraId="5C833EDB" w14:textId="23AFDEC1">
            <w:pPr>
              <w:widowControl/>
              <w:jc w:val="center"/>
              <w:rPr>
                <w:rFonts w:ascii="Arial Narrow" w:hAnsi="Arial Narrow" w:cs="Arial"/>
                <w:snapToGrid/>
                <w:color w:val="000000"/>
                <w:sz w:val="22"/>
                <w:szCs w:val="22"/>
              </w:rPr>
            </w:pPr>
            <w:r>
              <w:rPr>
                <w:rFonts w:ascii="Arial Narrow" w:hAnsi="Arial Narrow" w:cs="Arial"/>
                <w:snapToGrid/>
                <w:color w:val="000000"/>
                <w:sz w:val="22"/>
                <w:szCs w:val="22"/>
              </w:rPr>
              <w:t>Change</w:t>
            </w:r>
            <w:r w:rsidRPr="00281A89">
              <w:rPr>
                <w:rFonts w:ascii="Arial Narrow" w:hAnsi="Arial Narrow" w:cs="Arial"/>
                <w:snapToGrid/>
                <w:color w:val="000000"/>
                <w:sz w:val="22"/>
                <w:szCs w:val="22"/>
              </w:rPr>
              <w:t xml:space="preserve"> </w:t>
            </w:r>
            <w:r w:rsidR="00757A07">
              <w:rPr>
                <w:rFonts w:ascii="Arial Narrow" w:hAnsi="Arial Narrow" w:cs="Arial"/>
                <w:snapToGrid/>
                <w:color w:val="000000"/>
                <w:sz w:val="22"/>
                <w:szCs w:val="22"/>
              </w:rPr>
              <w:t>D</w:t>
            </w:r>
            <w:r w:rsidRPr="00281A89">
              <w:rPr>
                <w:rFonts w:ascii="Arial Narrow" w:hAnsi="Arial Narrow" w:cs="Arial"/>
                <w:snapToGrid/>
                <w:color w:val="000000"/>
                <w:sz w:val="22"/>
                <w:szCs w:val="22"/>
              </w:rPr>
              <w:t xml:space="preserve">ue to </w:t>
            </w:r>
            <w:r w:rsidR="00757A07">
              <w:rPr>
                <w:rFonts w:ascii="Arial Narrow" w:hAnsi="Arial Narrow" w:cs="Arial"/>
                <w:snapToGrid/>
                <w:color w:val="000000"/>
                <w:sz w:val="22"/>
                <w:szCs w:val="22"/>
              </w:rPr>
              <w:t>O</w:t>
            </w:r>
            <w:r w:rsidRPr="00281A89">
              <w:rPr>
                <w:rFonts w:ascii="Arial Narrow" w:hAnsi="Arial Narrow" w:cs="Arial"/>
                <w:snapToGrid/>
                <w:color w:val="000000"/>
                <w:sz w:val="22"/>
                <w:szCs w:val="22"/>
              </w:rPr>
              <w:t xml:space="preserve">ther </w:t>
            </w:r>
            <w:r w:rsidR="00757A07">
              <w:rPr>
                <w:rFonts w:ascii="Arial Narrow" w:hAnsi="Arial Narrow" w:cs="Arial"/>
                <w:snapToGrid/>
                <w:color w:val="000000"/>
                <w:sz w:val="22"/>
                <w:szCs w:val="22"/>
              </w:rPr>
              <w:t>C</w:t>
            </w:r>
            <w:r w:rsidRPr="00281A89">
              <w:rPr>
                <w:rFonts w:ascii="Arial Narrow" w:hAnsi="Arial Narrow" w:cs="Arial"/>
                <w:snapToGrid/>
                <w:color w:val="000000"/>
                <w:sz w:val="22"/>
                <w:szCs w:val="22"/>
              </w:rPr>
              <w:t>hanges</w:t>
            </w:r>
            <w:r w:rsidR="00757A07">
              <w:rPr>
                <w:rFonts w:ascii="Arial Narrow" w:hAnsi="Arial Narrow" w:cs="Arial"/>
                <w:snapToGrid/>
                <w:color w:val="000000"/>
                <w:sz w:val="22"/>
                <w:szCs w:val="22"/>
              </w:rPr>
              <w:t>: Burden (Hours)</w:t>
            </w:r>
          </w:p>
        </w:tc>
        <w:tc>
          <w:tcPr>
            <w:tcW w:w="1620" w:type="dxa"/>
            <w:tcBorders>
              <w:top w:val="single" w:sz="8" w:space="0" w:color="auto"/>
              <w:left w:val="nil"/>
              <w:bottom w:val="single" w:sz="8" w:space="0" w:color="auto"/>
              <w:right w:val="single" w:sz="8" w:space="0" w:color="auto"/>
            </w:tcBorders>
            <w:vAlign w:val="center"/>
            <w:hideMark/>
          </w:tcPr>
          <w:p w:rsidR="00281A89" w:rsidRPr="00281A89" w:rsidP="00281A89" w14:paraId="320F355F" w14:textId="2D014F08">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 xml:space="preserve">Total </w:t>
            </w:r>
            <w:r w:rsidR="003F0259">
              <w:rPr>
                <w:rFonts w:ascii="Arial Narrow" w:hAnsi="Arial Narrow" w:cs="Arial"/>
                <w:snapToGrid/>
                <w:color w:val="000000"/>
                <w:sz w:val="22"/>
                <w:szCs w:val="22"/>
              </w:rPr>
              <w:t>C</w:t>
            </w:r>
            <w:r w:rsidR="0056183F">
              <w:rPr>
                <w:rFonts w:ascii="Arial Narrow" w:hAnsi="Arial Narrow" w:cs="Arial"/>
                <w:snapToGrid/>
                <w:color w:val="000000"/>
                <w:sz w:val="22"/>
                <w:szCs w:val="22"/>
              </w:rPr>
              <w:t>hange</w:t>
            </w:r>
            <w:r w:rsidRPr="00281A89" w:rsidR="003F0259">
              <w:rPr>
                <w:rFonts w:ascii="Arial Narrow" w:hAnsi="Arial Narrow" w:cs="Arial"/>
                <w:snapToGrid/>
                <w:color w:val="000000"/>
                <w:sz w:val="22"/>
                <w:szCs w:val="22"/>
              </w:rPr>
              <w:t xml:space="preserve"> </w:t>
            </w:r>
            <w:r w:rsidRPr="00281A89">
              <w:rPr>
                <w:rFonts w:ascii="Arial Narrow" w:hAnsi="Arial Narrow" w:cs="Arial"/>
                <w:snapToGrid/>
                <w:color w:val="000000"/>
                <w:sz w:val="22"/>
                <w:szCs w:val="22"/>
              </w:rPr>
              <w:t>in Burden (Hours)</w:t>
            </w:r>
          </w:p>
        </w:tc>
        <w:tc>
          <w:tcPr>
            <w:tcW w:w="1369" w:type="dxa"/>
            <w:tcBorders>
              <w:top w:val="single" w:sz="8" w:space="0" w:color="auto"/>
              <w:left w:val="single" w:sz="4" w:space="0" w:color="auto"/>
              <w:bottom w:val="single" w:sz="8" w:space="0" w:color="auto"/>
              <w:right w:val="single" w:sz="8" w:space="0" w:color="auto"/>
            </w:tcBorders>
            <w:vAlign w:val="center"/>
            <w:hideMark/>
          </w:tcPr>
          <w:p w:rsidR="00281A89" w:rsidRPr="00281A89" w:rsidP="00281A89" w14:paraId="0C7F40E0" w14:textId="57B99326">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New Inventory</w:t>
            </w:r>
            <w:r w:rsidR="00757A07">
              <w:rPr>
                <w:rFonts w:ascii="Arial Narrow" w:hAnsi="Arial Narrow" w:cs="Arial"/>
                <w:snapToGrid/>
                <w:color w:val="000000"/>
                <w:sz w:val="22"/>
                <w:szCs w:val="22"/>
              </w:rPr>
              <w:t xml:space="preserve">: </w:t>
            </w:r>
            <w:r w:rsidRPr="00281A89" w:rsidR="00757A07">
              <w:rPr>
                <w:rFonts w:ascii="Arial Narrow" w:hAnsi="Arial Narrow" w:cs="Arial"/>
                <w:snapToGrid/>
                <w:color w:val="000000"/>
                <w:sz w:val="22"/>
                <w:szCs w:val="22"/>
              </w:rPr>
              <w:t>Total Burden (Hours)</w:t>
            </w:r>
            <w:r w:rsidR="00757A07">
              <w:rPr>
                <w:rFonts w:ascii="Arial Narrow" w:hAnsi="Arial Narrow" w:cs="Arial"/>
                <w:snapToGrid/>
                <w:color w:val="000000"/>
                <w:sz w:val="22"/>
                <w:szCs w:val="22"/>
              </w:rPr>
              <w:t xml:space="preserve"> </w:t>
            </w:r>
          </w:p>
        </w:tc>
      </w:tr>
      <w:tr w14:paraId="51478ABF" w14:textId="77777777" w:rsidTr="00980825">
        <w:tblPrEx>
          <w:tblW w:w="8730" w:type="dxa"/>
          <w:jc w:val="center"/>
          <w:tblLayout w:type="fixed"/>
          <w:tblLook w:val="04A0"/>
        </w:tblPrEx>
        <w:trPr>
          <w:trHeight w:val="576"/>
          <w:jc w:val="center"/>
        </w:trPr>
        <w:tc>
          <w:tcPr>
            <w:tcW w:w="1260" w:type="dxa"/>
            <w:tcBorders>
              <w:top w:val="nil"/>
              <w:left w:val="single" w:sz="4" w:space="0" w:color="auto"/>
              <w:bottom w:val="single" w:sz="8" w:space="0" w:color="auto"/>
              <w:right w:val="single" w:sz="8" w:space="0" w:color="auto"/>
            </w:tcBorders>
            <w:vAlign w:val="center"/>
            <w:hideMark/>
          </w:tcPr>
          <w:p w:rsidR="000E19B6" w:rsidRPr="00281A89" w:rsidP="000E19B6" w14:paraId="2CF3CD00" w14:textId="77777777">
            <w:pPr>
              <w:widowControl/>
              <w:jc w:val="center"/>
              <w:rPr>
                <w:snapToGrid/>
                <w:color w:val="000000"/>
                <w:szCs w:val="24"/>
              </w:rPr>
            </w:pPr>
            <w:r w:rsidRPr="00281A89">
              <w:rPr>
                <w:snapToGrid/>
                <w:color w:val="000000"/>
                <w:szCs w:val="24"/>
              </w:rPr>
              <w:t>BC</w:t>
            </w:r>
          </w:p>
        </w:tc>
        <w:tc>
          <w:tcPr>
            <w:tcW w:w="1575" w:type="dxa"/>
            <w:tcBorders>
              <w:top w:val="nil"/>
              <w:left w:val="nil"/>
              <w:bottom w:val="single" w:sz="8" w:space="0" w:color="auto"/>
              <w:right w:val="single" w:sz="8" w:space="0" w:color="auto"/>
            </w:tcBorders>
            <w:vAlign w:val="center"/>
            <w:hideMark/>
          </w:tcPr>
          <w:p w:rsidR="000E19B6" w:rsidRPr="00281A89" w:rsidP="000E19B6" w14:paraId="200C3F0F" w14:textId="4185C9A8">
            <w:pPr>
              <w:widowControl/>
              <w:jc w:val="center"/>
              <w:rPr>
                <w:snapToGrid/>
                <w:color w:val="000000"/>
                <w:szCs w:val="24"/>
              </w:rPr>
            </w:pPr>
            <w:r>
              <w:rPr>
                <w:snapToGrid/>
                <w:color w:val="000000"/>
                <w:szCs w:val="24"/>
              </w:rPr>
              <w:t>43,172</w:t>
            </w:r>
          </w:p>
        </w:tc>
        <w:tc>
          <w:tcPr>
            <w:tcW w:w="1515" w:type="dxa"/>
            <w:tcBorders>
              <w:top w:val="nil"/>
              <w:left w:val="nil"/>
              <w:bottom w:val="single" w:sz="8" w:space="0" w:color="auto"/>
              <w:right w:val="single" w:sz="8" w:space="0" w:color="auto"/>
            </w:tcBorders>
            <w:vAlign w:val="center"/>
          </w:tcPr>
          <w:p w:rsidR="000E19B6" w:rsidRPr="00281A89" w:rsidP="000E19B6" w14:paraId="10DBF5EC" w14:textId="385A78B1">
            <w:pPr>
              <w:widowControl/>
              <w:jc w:val="center"/>
              <w:rPr>
                <w:snapToGrid/>
                <w:color w:val="000000"/>
                <w:szCs w:val="24"/>
              </w:rPr>
            </w:pPr>
            <w:r>
              <w:rPr>
                <w:snapToGrid/>
                <w:color w:val="000000"/>
                <w:szCs w:val="24"/>
              </w:rPr>
              <w:t>-10,460</w:t>
            </w:r>
          </w:p>
        </w:tc>
        <w:tc>
          <w:tcPr>
            <w:tcW w:w="1391" w:type="dxa"/>
            <w:tcBorders>
              <w:top w:val="nil"/>
              <w:left w:val="nil"/>
              <w:bottom w:val="single" w:sz="8" w:space="0" w:color="auto"/>
              <w:right w:val="single" w:sz="8" w:space="0" w:color="auto"/>
            </w:tcBorders>
            <w:vAlign w:val="center"/>
          </w:tcPr>
          <w:p w:rsidR="000E19B6" w:rsidRPr="00281A89" w:rsidP="000E19B6" w14:paraId="61761F8C" w14:textId="3C9B3402">
            <w:pPr>
              <w:widowControl/>
              <w:jc w:val="center"/>
              <w:rPr>
                <w:snapToGrid/>
                <w:color w:val="000000"/>
                <w:szCs w:val="24"/>
              </w:rPr>
            </w:pPr>
            <w:r>
              <w:rPr>
                <w:snapToGrid/>
                <w:color w:val="000000"/>
                <w:szCs w:val="24"/>
              </w:rPr>
              <w:t>0</w:t>
            </w:r>
          </w:p>
        </w:tc>
        <w:tc>
          <w:tcPr>
            <w:tcW w:w="1620" w:type="dxa"/>
            <w:tcBorders>
              <w:top w:val="nil"/>
              <w:left w:val="nil"/>
              <w:bottom w:val="single" w:sz="8" w:space="0" w:color="auto"/>
              <w:right w:val="single" w:sz="8" w:space="0" w:color="auto"/>
            </w:tcBorders>
            <w:noWrap/>
            <w:vAlign w:val="center"/>
          </w:tcPr>
          <w:p w:rsidR="000E19B6" w:rsidRPr="00281A89" w:rsidP="000E19B6" w14:paraId="0BA51C46" w14:textId="2A4ECE65">
            <w:pPr>
              <w:widowControl/>
              <w:jc w:val="center"/>
              <w:rPr>
                <w:snapToGrid/>
                <w:color w:val="000000"/>
                <w:szCs w:val="24"/>
              </w:rPr>
            </w:pPr>
            <w:r>
              <w:rPr>
                <w:snapToGrid/>
                <w:color w:val="000000"/>
                <w:szCs w:val="24"/>
              </w:rPr>
              <w:t>-10,460</w:t>
            </w:r>
          </w:p>
        </w:tc>
        <w:tc>
          <w:tcPr>
            <w:tcW w:w="1369" w:type="dxa"/>
            <w:tcBorders>
              <w:top w:val="nil"/>
              <w:left w:val="nil"/>
              <w:bottom w:val="single" w:sz="8" w:space="0" w:color="auto"/>
              <w:right w:val="single" w:sz="8" w:space="0" w:color="auto"/>
            </w:tcBorders>
            <w:vAlign w:val="center"/>
          </w:tcPr>
          <w:p w:rsidR="000E19B6" w:rsidRPr="00CE5727" w:rsidP="000E19B6" w14:paraId="583A57CF" w14:textId="04F07482">
            <w:pPr>
              <w:widowControl/>
              <w:jc w:val="center"/>
              <w:rPr>
                <w:snapToGrid/>
                <w:color w:val="000000"/>
                <w:szCs w:val="24"/>
              </w:rPr>
            </w:pPr>
            <w:r w:rsidRPr="00CE5727">
              <w:rPr>
                <w:szCs w:val="24"/>
              </w:rPr>
              <w:t>32,712</w:t>
            </w:r>
          </w:p>
        </w:tc>
      </w:tr>
      <w:tr w14:paraId="151DE815" w14:textId="77777777" w:rsidTr="00980825">
        <w:tblPrEx>
          <w:tblW w:w="8730" w:type="dxa"/>
          <w:jc w:val="center"/>
          <w:tblLayout w:type="fixed"/>
          <w:tblLook w:val="04A0"/>
        </w:tblPrEx>
        <w:trPr>
          <w:trHeight w:val="576"/>
          <w:jc w:val="center"/>
        </w:trPr>
        <w:tc>
          <w:tcPr>
            <w:tcW w:w="1260" w:type="dxa"/>
            <w:tcBorders>
              <w:top w:val="nil"/>
              <w:left w:val="single" w:sz="4" w:space="0" w:color="auto"/>
              <w:bottom w:val="single" w:sz="8" w:space="0" w:color="auto"/>
              <w:right w:val="single" w:sz="8" w:space="0" w:color="auto"/>
            </w:tcBorders>
            <w:vAlign w:val="center"/>
            <w:hideMark/>
          </w:tcPr>
          <w:p w:rsidR="000E19B6" w:rsidRPr="00281A89" w:rsidP="000E19B6" w14:paraId="40A2A677" w14:textId="77777777">
            <w:pPr>
              <w:widowControl/>
              <w:jc w:val="center"/>
              <w:rPr>
                <w:snapToGrid/>
                <w:color w:val="000000"/>
                <w:szCs w:val="24"/>
              </w:rPr>
            </w:pPr>
            <w:r w:rsidRPr="00281A89">
              <w:rPr>
                <w:snapToGrid/>
                <w:color w:val="000000"/>
                <w:szCs w:val="24"/>
              </w:rPr>
              <w:t>BL-1</w:t>
            </w:r>
          </w:p>
        </w:tc>
        <w:tc>
          <w:tcPr>
            <w:tcW w:w="1575" w:type="dxa"/>
            <w:tcBorders>
              <w:top w:val="nil"/>
              <w:left w:val="nil"/>
              <w:bottom w:val="single" w:sz="8" w:space="0" w:color="auto"/>
              <w:right w:val="single" w:sz="8" w:space="0" w:color="auto"/>
            </w:tcBorders>
            <w:vAlign w:val="center"/>
            <w:hideMark/>
          </w:tcPr>
          <w:p w:rsidR="000E19B6" w:rsidRPr="00281A89" w:rsidP="000E19B6" w14:paraId="3AD8FE58" w14:textId="5CFA9B4E">
            <w:pPr>
              <w:widowControl/>
              <w:jc w:val="center"/>
              <w:rPr>
                <w:snapToGrid/>
                <w:color w:val="000000"/>
                <w:szCs w:val="24"/>
              </w:rPr>
            </w:pPr>
            <w:r>
              <w:rPr>
                <w:snapToGrid/>
                <w:color w:val="000000"/>
                <w:szCs w:val="24"/>
              </w:rPr>
              <w:t>31,450</w:t>
            </w:r>
          </w:p>
        </w:tc>
        <w:tc>
          <w:tcPr>
            <w:tcW w:w="1515" w:type="dxa"/>
            <w:tcBorders>
              <w:top w:val="nil"/>
              <w:left w:val="nil"/>
              <w:bottom w:val="single" w:sz="8" w:space="0" w:color="auto"/>
              <w:right w:val="single" w:sz="8" w:space="0" w:color="auto"/>
            </w:tcBorders>
            <w:vAlign w:val="center"/>
          </w:tcPr>
          <w:p w:rsidR="000E19B6" w:rsidRPr="00281A89" w:rsidP="000E19B6" w14:paraId="31A24B03" w14:textId="1231A7FA">
            <w:pPr>
              <w:widowControl/>
              <w:jc w:val="center"/>
              <w:rPr>
                <w:snapToGrid/>
                <w:color w:val="000000"/>
                <w:szCs w:val="24"/>
              </w:rPr>
            </w:pPr>
            <w:r>
              <w:rPr>
                <w:snapToGrid/>
                <w:color w:val="000000"/>
                <w:szCs w:val="24"/>
              </w:rPr>
              <w:t>-4,656</w:t>
            </w:r>
          </w:p>
        </w:tc>
        <w:tc>
          <w:tcPr>
            <w:tcW w:w="1391" w:type="dxa"/>
            <w:tcBorders>
              <w:top w:val="nil"/>
              <w:left w:val="nil"/>
              <w:bottom w:val="single" w:sz="8" w:space="0" w:color="auto"/>
              <w:right w:val="single" w:sz="8" w:space="0" w:color="auto"/>
            </w:tcBorders>
            <w:vAlign w:val="center"/>
          </w:tcPr>
          <w:p w:rsidR="000E19B6" w:rsidRPr="00281A89" w:rsidP="000E19B6" w14:paraId="3A249226" w14:textId="46862D27">
            <w:pPr>
              <w:widowControl/>
              <w:jc w:val="center"/>
              <w:rPr>
                <w:snapToGrid/>
                <w:color w:val="000000"/>
                <w:szCs w:val="24"/>
              </w:rPr>
            </w:pPr>
            <w:r>
              <w:rPr>
                <w:snapToGrid/>
                <w:color w:val="000000"/>
                <w:szCs w:val="24"/>
              </w:rPr>
              <w:t>0</w:t>
            </w:r>
          </w:p>
        </w:tc>
        <w:tc>
          <w:tcPr>
            <w:tcW w:w="1620" w:type="dxa"/>
            <w:tcBorders>
              <w:top w:val="nil"/>
              <w:left w:val="nil"/>
              <w:bottom w:val="single" w:sz="8" w:space="0" w:color="auto"/>
              <w:right w:val="single" w:sz="8" w:space="0" w:color="auto"/>
            </w:tcBorders>
            <w:noWrap/>
            <w:vAlign w:val="center"/>
          </w:tcPr>
          <w:p w:rsidR="000E19B6" w:rsidRPr="00281A89" w:rsidP="000E19B6" w14:paraId="28079067" w14:textId="2EEC73A8">
            <w:pPr>
              <w:widowControl/>
              <w:jc w:val="center"/>
              <w:rPr>
                <w:snapToGrid/>
                <w:color w:val="000000"/>
                <w:szCs w:val="24"/>
              </w:rPr>
            </w:pPr>
            <w:r>
              <w:rPr>
                <w:snapToGrid/>
                <w:color w:val="000000"/>
                <w:szCs w:val="24"/>
              </w:rPr>
              <w:t>-4,656</w:t>
            </w:r>
          </w:p>
        </w:tc>
        <w:tc>
          <w:tcPr>
            <w:tcW w:w="1369" w:type="dxa"/>
            <w:tcBorders>
              <w:top w:val="nil"/>
              <w:left w:val="nil"/>
              <w:bottom w:val="single" w:sz="8" w:space="0" w:color="auto"/>
              <w:right w:val="single" w:sz="8" w:space="0" w:color="auto"/>
            </w:tcBorders>
            <w:vAlign w:val="center"/>
          </w:tcPr>
          <w:p w:rsidR="000E19B6" w:rsidRPr="00CE5727" w:rsidP="000E19B6" w14:paraId="453B75AB" w14:textId="2D4CC9E3">
            <w:pPr>
              <w:widowControl/>
              <w:jc w:val="center"/>
              <w:rPr>
                <w:snapToGrid/>
                <w:color w:val="000000"/>
                <w:szCs w:val="24"/>
              </w:rPr>
            </w:pPr>
            <w:r w:rsidRPr="00CE5727">
              <w:rPr>
                <w:szCs w:val="24"/>
              </w:rPr>
              <w:t>26,794</w:t>
            </w:r>
          </w:p>
        </w:tc>
      </w:tr>
      <w:tr w14:paraId="536974F6" w14:textId="77777777" w:rsidTr="00980825">
        <w:tblPrEx>
          <w:tblW w:w="8730" w:type="dxa"/>
          <w:jc w:val="center"/>
          <w:tblLayout w:type="fixed"/>
          <w:tblLook w:val="04A0"/>
        </w:tblPrEx>
        <w:trPr>
          <w:trHeight w:val="576"/>
          <w:jc w:val="center"/>
        </w:trPr>
        <w:tc>
          <w:tcPr>
            <w:tcW w:w="1260" w:type="dxa"/>
            <w:tcBorders>
              <w:top w:val="nil"/>
              <w:left w:val="single" w:sz="4" w:space="0" w:color="auto"/>
              <w:bottom w:val="single" w:sz="8" w:space="0" w:color="auto"/>
              <w:right w:val="single" w:sz="8" w:space="0" w:color="auto"/>
            </w:tcBorders>
            <w:vAlign w:val="center"/>
            <w:hideMark/>
          </w:tcPr>
          <w:p w:rsidR="000E19B6" w:rsidRPr="00281A89" w:rsidP="000E19B6" w14:paraId="375D21A1" w14:textId="77777777">
            <w:pPr>
              <w:widowControl/>
              <w:jc w:val="center"/>
              <w:rPr>
                <w:snapToGrid/>
                <w:color w:val="000000"/>
                <w:szCs w:val="24"/>
              </w:rPr>
            </w:pPr>
            <w:r w:rsidRPr="00281A89">
              <w:rPr>
                <w:snapToGrid/>
                <w:color w:val="000000"/>
                <w:szCs w:val="24"/>
              </w:rPr>
              <w:t>BL-2</w:t>
            </w:r>
          </w:p>
        </w:tc>
        <w:tc>
          <w:tcPr>
            <w:tcW w:w="1575" w:type="dxa"/>
            <w:tcBorders>
              <w:top w:val="nil"/>
              <w:left w:val="nil"/>
              <w:bottom w:val="single" w:sz="8" w:space="0" w:color="auto"/>
              <w:right w:val="single" w:sz="8" w:space="0" w:color="auto"/>
            </w:tcBorders>
            <w:vAlign w:val="center"/>
            <w:hideMark/>
          </w:tcPr>
          <w:p w:rsidR="000E19B6" w:rsidRPr="00281A89" w:rsidP="000E19B6" w14:paraId="0ADFF994" w14:textId="361CF740">
            <w:pPr>
              <w:widowControl/>
              <w:jc w:val="center"/>
              <w:rPr>
                <w:snapToGrid/>
                <w:color w:val="000000"/>
                <w:szCs w:val="24"/>
              </w:rPr>
            </w:pPr>
            <w:r>
              <w:rPr>
                <w:snapToGrid/>
                <w:color w:val="000000"/>
                <w:szCs w:val="24"/>
              </w:rPr>
              <w:t>9,234</w:t>
            </w:r>
          </w:p>
        </w:tc>
        <w:tc>
          <w:tcPr>
            <w:tcW w:w="1515" w:type="dxa"/>
            <w:tcBorders>
              <w:top w:val="nil"/>
              <w:left w:val="nil"/>
              <w:bottom w:val="single" w:sz="8" w:space="0" w:color="auto"/>
              <w:right w:val="single" w:sz="8" w:space="0" w:color="auto"/>
            </w:tcBorders>
            <w:vAlign w:val="center"/>
          </w:tcPr>
          <w:p w:rsidR="000E19B6" w:rsidRPr="00281A89" w:rsidP="000E19B6" w14:paraId="4D765F4F" w14:textId="463C4F06">
            <w:pPr>
              <w:widowControl/>
              <w:jc w:val="center"/>
              <w:rPr>
                <w:snapToGrid/>
                <w:color w:val="000000"/>
                <w:szCs w:val="24"/>
              </w:rPr>
            </w:pPr>
            <w:r>
              <w:rPr>
                <w:snapToGrid/>
                <w:color w:val="000000"/>
                <w:szCs w:val="24"/>
              </w:rPr>
              <w:t>-392</w:t>
            </w:r>
          </w:p>
        </w:tc>
        <w:tc>
          <w:tcPr>
            <w:tcW w:w="1391" w:type="dxa"/>
            <w:tcBorders>
              <w:top w:val="nil"/>
              <w:left w:val="nil"/>
              <w:bottom w:val="single" w:sz="8" w:space="0" w:color="auto"/>
              <w:right w:val="single" w:sz="8" w:space="0" w:color="auto"/>
            </w:tcBorders>
            <w:vAlign w:val="center"/>
          </w:tcPr>
          <w:p w:rsidR="000E19B6" w:rsidRPr="00281A89" w:rsidP="000E19B6" w14:paraId="51332A8C" w14:textId="6AEEAFE0">
            <w:pPr>
              <w:widowControl/>
              <w:jc w:val="center"/>
              <w:rPr>
                <w:snapToGrid/>
                <w:color w:val="000000"/>
                <w:szCs w:val="24"/>
              </w:rPr>
            </w:pPr>
            <w:r>
              <w:rPr>
                <w:snapToGrid/>
                <w:color w:val="000000"/>
                <w:szCs w:val="24"/>
              </w:rPr>
              <w:t>0</w:t>
            </w:r>
          </w:p>
        </w:tc>
        <w:tc>
          <w:tcPr>
            <w:tcW w:w="1620" w:type="dxa"/>
            <w:tcBorders>
              <w:top w:val="nil"/>
              <w:left w:val="nil"/>
              <w:bottom w:val="single" w:sz="8" w:space="0" w:color="auto"/>
              <w:right w:val="single" w:sz="8" w:space="0" w:color="auto"/>
            </w:tcBorders>
            <w:noWrap/>
            <w:vAlign w:val="center"/>
          </w:tcPr>
          <w:p w:rsidR="000E19B6" w:rsidRPr="00281A89" w:rsidP="000E19B6" w14:paraId="32F41653" w14:textId="4E8762B0">
            <w:pPr>
              <w:widowControl/>
              <w:jc w:val="center"/>
              <w:rPr>
                <w:snapToGrid/>
                <w:color w:val="000000"/>
                <w:szCs w:val="24"/>
              </w:rPr>
            </w:pPr>
            <w:r>
              <w:rPr>
                <w:snapToGrid/>
                <w:color w:val="000000"/>
                <w:szCs w:val="24"/>
              </w:rPr>
              <w:t>-392</w:t>
            </w:r>
          </w:p>
        </w:tc>
        <w:tc>
          <w:tcPr>
            <w:tcW w:w="1369" w:type="dxa"/>
            <w:tcBorders>
              <w:top w:val="nil"/>
              <w:left w:val="nil"/>
              <w:bottom w:val="single" w:sz="8" w:space="0" w:color="auto"/>
              <w:right w:val="single" w:sz="8" w:space="0" w:color="auto"/>
            </w:tcBorders>
            <w:vAlign w:val="center"/>
          </w:tcPr>
          <w:p w:rsidR="000E19B6" w:rsidRPr="00CE5727" w:rsidP="000E19B6" w14:paraId="59094358" w14:textId="24A30879">
            <w:pPr>
              <w:widowControl/>
              <w:jc w:val="center"/>
              <w:rPr>
                <w:snapToGrid/>
                <w:color w:val="000000"/>
                <w:szCs w:val="24"/>
              </w:rPr>
            </w:pPr>
            <w:r w:rsidRPr="00CE5727">
              <w:t>8,842</w:t>
            </w:r>
          </w:p>
        </w:tc>
      </w:tr>
      <w:tr w14:paraId="24709393" w14:textId="77777777" w:rsidTr="00980825">
        <w:tblPrEx>
          <w:tblW w:w="8730" w:type="dxa"/>
          <w:jc w:val="center"/>
          <w:tblLayout w:type="fixed"/>
          <w:tblLook w:val="04A0"/>
        </w:tblPrEx>
        <w:trPr>
          <w:trHeight w:val="576"/>
          <w:jc w:val="center"/>
        </w:trPr>
        <w:tc>
          <w:tcPr>
            <w:tcW w:w="1260" w:type="dxa"/>
            <w:tcBorders>
              <w:top w:val="nil"/>
              <w:left w:val="single" w:sz="4" w:space="0" w:color="auto"/>
              <w:bottom w:val="single" w:sz="8" w:space="0" w:color="auto"/>
              <w:right w:val="single" w:sz="8" w:space="0" w:color="auto"/>
            </w:tcBorders>
            <w:vAlign w:val="center"/>
            <w:hideMark/>
          </w:tcPr>
          <w:p w:rsidR="000E19B6" w:rsidRPr="00281A89" w:rsidP="000E19B6" w14:paraId="0FB8F416" w14:textId="77777777">
            <w:pPr>
              <w:widowControl/>
              <w:jc w:val="center"/>
              <w:rPr>
                <w:snapToGrid/>
                <w:color w:val="000000"/>
                <w:szCs w:val="24"/>
              </w:rPr>
            </w:pPr>
            <w:r w:rsidRPr="00281A89">
              <w:rPr>
                <w:snapToGrid/>
                <w:color w:val="000000"/>
                <w:szCs w:val="24"/>
              </w:rPr>
              <w:t>BQ-1</w:t>
            </w:r>
          </w:p>
        </w:tc>
        <w:tc>
          <w:tcPr>
            <w:tcW w:w="1575" w:type="dxa"/>
            <w:tcBorders>
              <w:top w:val="nil"/>
              <w:left w:val="nil"/>
              <w:bottom w:val="single" w:sz="8" w:space="0" w:color="auto"/>
              <w:right w:val="single" w:sz="8" w:space="0" w:color="auto"/>
            </w:tcBorders>
            <w:vAlign w:val="center"/>
            <w:hideMark/>
          </w:tcPr>
          <w:p w:rsidR="000E19B6" w:rsidRPr="00281A89" w:rsidP="000E19B6" w14:paraId="4578A6FD" w14:textId="0FCF60CF">
            <w:pPr>
              <w:widowControl/>
              <w:jc w:val="center"/>
              <w:rPr>
                <w:snapToGrid/>
                <w:color w:val="000000"/>
                <w:szCs w:val="24"/>
              </w:rPr>
            </w:pPr>
            <w:r>
              <w:rPr>
                <w:snapToGrid/>
                <w:color w:val="000000"/>
                <w:szCs w:val="24"/>
              </w:rPr>
              <w:t>904</w:t>
            </w:r>
          </w:p>
        </w:tc>
        <w:tc>
          <w:tcPr>
            <w:tcW w:w="1515" w:type="dxa"/>
            <w:tcBorders>
              <w:top w:val="nil"/>
              <w:left w:val="nil"/>
              <w:bottom w:val="single" w:sz="8" w:space="0" w:color="auto"/>
              <w:right w:val="single" w:sz="8" w:space="0" w:color="auto"/>
            </w:tcBorders>
            <w:vAlign w:val="center"/>
          </w:tcPr>
          <w:p w:rsidR="000E19B6" w:rsidRPr="00281A89" w:rsidP="000E19B6" w14:paraId="40AB1E30" w14:textId="21C19D8C">
            <w:pPr>
              <w:widowControl/>
              <w:jc w:val="center"/>
              <w:rPr>
                <w:snapToGrid/>
                <w:color w:val="000000"/>
                <w:szCs w:val="24"/>
              </w:rPr>
            </w:pPr>
            <w:r>
              <w:rPr>
                <w:snapToGrid/>
                <w:color w:val="000000"/>
                <w:szCs w:val="24"/>
              </w:rPr>
              <w:t>-109</w:t>
            </w:r>
          </w:p>
        </w:tc>
        <w:tc>
          <w:tcPr>
            <w:tcW w:w="1391" w:type="dxa"/>
            <w:tcBorders>
              <w:top w:val="nil"/>
              <w:left w:val="nil"/>
              <w:bottom w:val="single" w:sz="8" w:space="0" w:color="auto"/>
              <w:right w:val="single" w:sz="8" w:space="0" w:color="auto"/>
            </w:tcBorders>
            <w:vAlign w:val="center"/>
          </w:tcPr>
          <w:p w:rsidR="000E19B6" w:rsidRPr="00281A89" w:rsidP="000E19B6" w14:paraId="7FB1EEF3" w14:textId="1BC5CE1E">
            <w:pPr>
              <w:widowControl/>
              <w:jc w:val="center"/>
              <w:rPr>
                <w:snapToGrid/>
                <w:color w:val="000000"/>
                <w:szCs w:val="24"/>
              </w:rPr>
            </w:pPr>
            <w:r>
              <w:rPr>
                <w:snapToGrid/>
                <w:color w:val="000000"/>
                <w:szCs w:val="24"/>
              </w:rPr>
              <w:t>0</w:t>
            </w:r>
          </w:p>
        </w:tc>
        <w:tc>
          <w:tcPr>
            <w:tcW w:w="1620" w:type="dxa"/>
            <w:tcBorders>
              <w:top w:val="nil"/>
              <w:left w:val="nil"/>
              <w:bottom w:val="single" w:sz="8" w:space="0" w:color="auto"/>
              <w:right w:val="single" w:sz="8" w:space="0" w:color="auto"/>
            </w:tcBorders>
            <w:noWrap/>
            <w:vAlign w:val="center"/>
          </w:tcPr>
          <w:p w:rsidR="000E19B6" w:rsidRPr="00281A89" w:rsidP="000E19B6" w14:paraId="6828E679" w14:textId="06A87266">
            <w:pPr>
              <w:widowControl/>
              <w:jc w:val="center"/>
              <w:rPr>
                <w:snapToGrid/>
                <w:color w:val="000000"/>
                <w:szCs w:val="24"/>
              </w:rPr>
            </w:pPr>
            <w:r>
              <w:rPr>
                <w:snapToGrid/>
                <w:color w:val="000000"/>
                <w:szCs w:val="24"/>
              </w:rPr>
              <w:t>-109</w:t>
            </w:r>
          </w:p>
        </w:tc>
        <w:tc>
          <w:tcPr>
            <w:tcW w:w="1369" w:type="dxa"/>
            <w:tcBorders>
              <w:top w:val="nil"/>
              <w:left w:val="nil"/>
              <w:bottom w:val="single" w:sz="8" w:space="0" w:color="auto"/>
              <w:right w:val="single" w:sz="8" w:space="0" w:color="auto"/>
            </w:tcBorders>
            <w:vAlign w:val="center"/>
          </w:tcPr>
          <w:p w:rsidR="000E19B6" w:rsidRPr="00CE5727" w:rsidP="000E19B6" w14:paraId="041E9617" w14:textId="24398195">
            <w:pPr>
              <w:widowControl/>
              <w:jc w:val="center"/>
              <w:rPr>
                <w:snapToGrid/>
                <w:color w:val="000000"/>
                <w:szCs w:val="24"/>
              </w:rPr>
            </w:pPr>
            <w:r w:rsidRPr="00CE5727">
              <w:t>795</w:t>
            </w:r>
          </w:p>
        </w:tc>
      </w:tr>
      <w:tr w14:paraId="00F5A471" w14:textId="77777777" w:rsidTr="00980825">
        <w:tblPrEx>
          <w:tblW w:w="8730" w:type="dxa"/>
          <w:jc w:val="center"/>
          <w:tblLayout w:type="fixed"/>
          <w:tblLook w:val="04A0"/>
        </w:tblPrEx>
        <w:trPr>
          <w:trHeight w:val="576"/>
          <w:jc w:val="center"/>
        </w:trPr>
        <w:tc>
          <w:tcPr>
            <w:tcW w:w="1260" w:type="dxa"/>
            <w:tcBorders>
              <w:top w:val="nil"/>
              <w:left w:val="single" w:sz="4" w:space="0" w:color="auto"/>
              <w:bottom w:val="single" w:sz="8" w:space="0" w:color="auto"/>
              <w:right w:val="single" w:sz="8" w:space="0" w:color="auto"/>
            </w:tcBorders>
            <w:vAlign w:val="center"/>
            <w:hideMark/>
          </w:tcPr>
          <w:p w:rsidR="000E19B6" w:rsidRPr="00281A89" w:rsidP="000E19B6" w14:paraId="0DDA301E" w14:textId="77777777">
            <w:pPr>
              <w:widowControl/>
              <w:jc w:val="center"/>
              <w:rPr>
                <w:snapToGrid/>
                <w:color w:val="000000"/>
                <w:szCs w:val="24"/>
              </w:rPr>
            </w:pPr>
            <w:r w:rsidRPr="00281A89">
              <w:rPr>
                <w:snapToGrid/>
                <w:color w:val="000000"/>
                <w:szCs w:val="24"/>
              </w:rPr>
              <w:t>BQ-2</w:t>
            </w:r>
          </w:p>
        </w:tc>
        <w:tc>
          <w:tcPr>
            <w:tcW w:w="1575" w:type="dxa"/>
            <w:tcBorders>
              <w:top w:val="nil"/>
              <w:left w:val="nil"/>
              <w:bottom w:val="single" w:sz="8" w:space="0" w:color="auto"/>
              <w:right w:val="single" w:sz="8" w:space="0" w:color="auto"/>
            </w:tcBorders>
            <w:vAlign w:val="center"/>
            <w:hideMark/>
          </w:tcPr>
          <w:p w:rsidR="000E19B6" w:rsidRPr="00281A89" w:rsidP="000E19B6" w14:paraId="0674ADD8" w14:textId="5E425615">
            <w:pPr>
              <w:widowControl/>
              <w:jc w:val="center"/>
              <w:rPr>
                <w:snapToGrid/>
                <w:color w:val="000000"/>
                <w:szCs w:val="24"/>
              </w:rPr>
            </w:pPr>
            <w:r>
              <w:rPr>
                <w:snapToGrid/>
                <w:color w:val="000000"/>
                <w:szCs w:val="24"/>
              </w:rPr>
              <w:t>5,989</w:t>
            </w:r>
          </w:p>
        </w:tc>
        <w:tc>
          <w:tcPr>
            <w:tcW w:w="1515" w:type="dxa"/>
            <w:tcBorders>
              <w:top w:val="nil"/>
              <w:left w:val="nil"/>
              <w:bottom w:val="single" w:sz="8" w:space="0" w:color="auto"/>
              <w:right w:val="single" w:sz="8" w:space="0" w:color="auto"/>
            </w:tcBorders>
            <w:vAlign w:val="center"/>
          </w:tcPr>
          <w:p w:rsidR="000E19B6" w:rsidRPr="00281A89" w:rsidP="000E19B6" w14:paraId="453DDAC3" w14:textId="2F7BD943">
            <w:pPr>
              <w:widowControl/>
              <w:jc w:val="center"/>
              <w:rPr>
                <w:snapToGrid/>
                <w:color w:val="000000"/>
                <w:szCs w:val="24"/>
              </w:rPr>
            </w:pPr>
            <w:r>
              <w:rPr>
                <w:snapToGrid/>
                <w:color w:val="000000"/>
                <w:szCs w:val="24"/>
              </w:rPr>
              <w:t>-1,188</w:t>
            </w:r>
          </w:p>
        </w:tc>
        <w:tc>
          <w:tcPr>
            <w:tcW w:w="1391" w:type="dxa"/>
            <w:tcBorders>
              <w:top w:val="nil"/>
              <w:left w:val="nil"/>
              <w:bottom w:val="single" w:sz="8" w:space="0" w:color="auto"/>
              <w:right w:val="single" w:sz="8" w:space="0" w:color="auto"/>
            </w:tcBorders>
            <w:vAlign w:val="center"/>
          </w:tcPr>
          <w:p w:rsidR="000E19B6" w:rsidRPr="00281A89" w:rsidP="000E19B6" w14:paraId="70FE3385" w14:textId="38591A16">
            <w:pPr>
              <w:widowControl/>
              <w:jc w:val="center"/>
              <w:rPr>
                <w:snapToGrid/>
                <w:color w:val="000000"/>
                <w:szCs w:val="24"/>
              </w:rPr>
            </w:pPr>
            <w:r>
              <w:rPr>
                <w:snapToGrid/>
                <w:color w:val="000000"/>
                <w:szCs w:val="24"/>
              </w:rPr>
              <w:t>0</w:t>
            </w:r>
          </w:p>
        </w:tc>
        <w:tc>
          <w:tcPr>
            <w:tcW w:w="1620" w:type="dxa"/>
            <w:tcBorders>
              <w:top w:val="nil"/>
              <w:left w:val="nil"/>
              <w:bottom w:val="single" w:sz="8" w:space="0" w:color="auto"/>
              <w:right w:val="single" w:sz="8" w:space="0" w:color="auto"/>
            </w:tcBorders>
            <w:noWrap/>
            <w:vAlign w:val="center"/>
          </w:tcPr>
          <w:p w:rsidR="000E19B6" w:rsidRPr="00281A89" w:rsidP="000E19B6" w14:paraId="630B567F" w14:textId="3DB25D03">
            <w:pPr>
              <w:widowControl/>
              <w:jc w:val="center"/>
              <w:rPr>
                <w:snapToGrid/>
                <w:color w:val="000000"/>
                <w:szCs w:val="24"/>
              </w:rPr>
            </w:pPr>
            <w:r>
              <w:rPr>
                <w:snapToGrid/>
                <w:color w:val="000000"/>
                <w:szCs w:val="24"/>
              </w:rPr>
              <w:t>-1,188</w:t>
            </w:r>
          </w:p>
        </w:tc>
        <w:tc>
          <w:tcPr>
            <w:tcW w:w="1369" w:type="dxa"/>
            <w:tcBorders>
              <w:top w:val="nil"/>
              <w:left w:val="nil"/>
              <w:bottom w:val="single" w:sz="8" w:space="0" w:color="auto"/>
              <w:right w:val="single" w:sz="8" w:space="0" w:color="auto"/>
            </w:tcBorders>
            <w:vAlign w:val="center"/>
          </w:tcPr>
          <w:p w:rsidR="000E19B6" w:rsidRPr="00CE5727" w:rsidP="000E19B6" w14:paraId="4502369B" w14:textId="4F8711C1">
            <w:pPr>
              <w:widowControl/>
              <w:jc w:val="center"/>
              <w:rPr>
                <w:snapToGrid/>
                <w:color w:val="000000"/>
                <w:szCs w:val="24"/>
              </w:rPr>
            </w:pPr>
            <w:r w:rsidRPr="00CE5727">
              <w:rPr>
                <w:szCs w:val="24"/>
              </w:rPr>
              <w:t>4,801</w:t>
            </w:r>
          </w:p>
        </w:tc>
      </w:tr>
      <w:tr w14:paraId="36FD9F0D" w14:textId="77777777" w:rsidTr="00274823">
        <w:tblPrEx>
          <w:tblW w:w="8730" w:type="dxa"/>
          <w:jc w:val="center"/>
          <w:tblLayout w:type="fixed"/>
          <w:tblLook w:val="04A0"/>
        </w:tblPrEx>
        <w:trPr>
          <w:trHeight w:val="576"/>
          <w:jc w:val="center"/>
        </w:trPr>
        <w:tc>
          <w:tcPr>
            <w:tcW w:w="1260" w:type="dxa"/>
            <w:tcBorders>
              <w:top w:val="nil"/>
              <w:left w:val="single" w:sz="4" w:space="0" w:color="auto"/>
              <w:bottom w:val="single" w:sz="8" w:space="0" w:color="auto"/>
              <w:right w:val="single" w:sz="8" w:space="0" w:color="auto"/>
            </w:tcBorders>
            <w:vAlign w:val="center"/>
            <w:hideMark/>
          </w:tcPr>
          <w:p w:rsidR="00322935" w:rsidRPr="00281A89" w:rsidP="00322935" w14:paraId="6AB22524" w14:textId="77777777">
            <w:pPr>
              <w:widowControl/>
              <w:jc w:val="center"/>
              <w:rPr>
                <w:snapToGrid/>
                <w:color w:val="000000"/>
                <w:szCs w:val="24"/>
              </w:rPr>
            </w:pPr>
            <w:r w:rsidRPr="00281A89">
              <w:rPr>
                <w:snapToGrid/>
                <w:color w:val="000000"/>
                <w:szCs w:val="24"/>
              </w:rPr>
              <w:t>BQ-3</w:t>
            </w:r>
          </w:p>
        </w:tc>
        <w:tc>
          <w:tcPr>
            <w:tcW w:w="1575" w:type="dxa"/>
            <w:tcBorders>
              <w:top w:val="nil"/>
              <w:left w:val="nil"/>
              <w:bottom w:val="single" w:sz="8" w:space="0" w:color="auto"/>
              <w:right w:val="single" w:sz="8" w:space="0" w:color="auto"/>
            </w:tcBorders>
            <w:vAlign w:val="center"/>
            <w:hideMark/>
          </w:tcPr>
          <w:p w:rsidR="00322935" w:rsidRPr="00281A89" w:rsidP="00322935" w14:paraId="4F47C8B8" w14:textId="591CE53B">
            <w:pPr>
              <w:widowControl/>
              <w:jc w:val="center"/>
              <w:rPr>
                <w:snapToGrid/>
                <w:color w:val="000000"/>
                <w:szCs w:val="24"/>
              </w:rPr>
            </w:pPr>
            <w:r>
              <w:rPr>
                <w:snapToGrid/>
                <w:color w:val="000000"/>
                <w:szCs w:val="24"/>
              </w:rPr>
              <w:t>6,258</w:t>
            </w:r>
          </w:p>
        </w:tc>
        <w:tc>
          <w:tcPr>
            <w:tcW w:w="1515" w:type="dxa"/>
            <w:tcBorders>
              <w:top w:val="nil"/>
              <w:left w:val="nil"/>
              <w:bottom w:val="single" w:sz="8" w:space="0" w:color="auto"/>
              <w:right w:val="single" w:sz="8" w:space="0" w:color="auto"/>
            </w:tcBorders>
            <w:vAlign w:val="center"/>
            <w:hideMark/>
          </w:tcPr>
          <w:p w:rsidR="00322935" w:rsidRPr="00281A89" w:rsidP="00322935" w14:paraId="0FEC1CB4" w14:textId="77777777">
            <w:pPr>
              <w:widowControl/>
              <w:jc w:val="center"/>
              <w:rPr>
                <w:snapToGrid/>
                <w:color w:val="000000"/>
                <w:szCs w:val="24"/>
              </w:rPr>
            </w:pPr>
            <w:r w:rsidRPr="00281A89">
              <w:rPr>
                <w:snapToGrid/>
                <w:color w:val="000000"/>
                <w:szCs w:val="24"/>
              </w:rPr>
              <w:t>0</w:t>
            </w:r>
          </w:p>
        </w:tc>
        <w:tc>
          <w:tcPr>
            <w:tcW w:w="1391" w:type="dxa"/>
            <w:tcBorders>
              <w:top w:val="nil"/>
              <w:left w:val="nil"/>
              <w:bottom w:val="single" w:sz="8" w:space="0" w:color="auto"/>
              <w:right w:val="single" w:sz="8" w:space="0" w:color="auto"/>
            </w:tcBorders>
            <w:vAlign w:val="center"/>
          </w:tcPr>
          <w:p w:rsidR="00322935" w:rsidRPr="00281A89" w:rsidP="00322935" w14:paraId="7015E168" w14:textId="4492DD2D">
            <w:pPr>
              <w:widowControl/>
              <w:jc w:val="center"/>
              <w:rPr>
                <w:snapToGrid/>
                <w:color w:val="000000"/>
                <w:szCs w:val="24"/>
              </w:rPr>
            </w:pPr>
            <w:r>
              <w:rPr>
                <w:snapToGrid/>
                <w:color w:val="000000"/>
                <w:szCs w:val="24"/>
              </w:rPr>
              <w:t>-1,302</w:t>
            </w:r>
          </w:p>
        </w:tc>
        <w:tc>
          <w:tcPr>
            <w:tcW w:w="1620" w:type="dxa"/>
            <w:tcBorders>
              <w:top w:val="nil"/>
              <w:left w:val="nil"/>
              <w:bottom w:val="single" w:sz="8" w:space="0" w:color="auto"/>
              <w:right w:val="single" w:sz="8" w:space="0" w:color="auto"/>
            </w:tcBorders>
            <w:noWrap/>
            <w:vAlign w:val="center"/>
          </w:tcPr>
          <w:p w:rsidR="00322935" w:rsidRPr="00281A89" w:rsidP="00322935" w14:paraId="12753F95" w14:textId="513BF1E5">
            <w:pPr>
              <w:widowControl/>
              <w:jc w:val="center"/>
              <w:rPr>
                <w:snapToGrid/>
                <w:color w:val="000000"/>
                <w:szCs w:val="24"/>
              </w:rPr>
            </w:pPr>
            <w:r>
              <w:rPr>
                <w:snapToGrid/>
                <w:color w:val="000000"/>
                <w:szCs w:val="24"/>
              </w:rPr>
              <w:t>-1,302</w:t>
            </w:r>
          </w:p>
        </w:tc>
        <w:tc>
          <w:tcPr>
            <w:tcW w:w="1369" w:type="dxa"/>
            <w:tcBorders>
              <w:top w:val="nil"/>
              <w:left w:val="nil"/>
              <w:bottom w:val="single" w:sz="8" w:space="0" w:color="auto"/>
              <w:right w:val="single" w:sz="8" w:space="0" w:color="auto"/>
            </w:tcBorders>
            <w:vAlign w:val="center"/>
          </w:tcPr>
          <w:p w:rsidR="00322935" w:rsidRPr="00CE5727" w:rsidP="00322935" w14:paraId="3714E0B7" w14:textId="053240F0">
            <w:pPr>
              <w:widowControl/>
              <w:jc w:val="center"/>
              <w:rPr>
                <w:snapToGrid/>
                <w:color w:val="000000"/>
                <w:szCs w:val="24"/>
              </w:rPr>
            </w:pPr>
            <w:r w:rsidRPr="00CE5727">
              <w:t>4,956</w:t>
            </w:r>
          </w:p>
        </w:tc>
      </w:tr>
      <w:tr w14:paraId="7D219A97" w14:textId="77777777" w:rsidTr="00274823">
        <w:tblPrEx>
          <w:tblW w:w="8730" w:type="dxa"/>
          <w:jc w:val="center"/>
          <w:tblLayout w:type="fixed"/>
          <w:tblLook w:val="04A0"/>
        </w:tblPrEx>
        <w:trPr>
          <w:trHeight w:val="576"/>
          <w:jc w:val="center"/>
        </w:trPr>
        <w:tc>
          <w:tcPr>
            <w:tcW w:w="1260" w:type="dxa"/>
            <w:tcBorders>
              <w:top w:val="nil"/>
              <w:left w:val="single" w:sz="4" w:space="0" w:color="auto"/>
              <w:bottom w:val="single" w:sz="8" w:space="0" w:color="auto"/>
              <w:right w:val="single" w:sz="8" w:space="0" w:color="auto"/>
            </w:tcBorders>
            <w:vAlign w:val="center"/>
            <w:hideMark/>
          </w:tcPr>
          <w:p w:rsidR="00635A76" w:rsidRPr="00281A89" w:rsidP="00635A76" w14:paraId="3ACB9602" w14:textId="77777777">
            <w:pPr>
              <w:widowControl/>
              <w:jc w:val="center"/>
              <w:rPr>
                <w:b/>
                <w:bCs/>
                <w:snapToGrid/>
                <w:color w:val="000000"/>
                <w:szCs w:val="24"/>
              </w:rPr>
            </w:pPr>
            <w:r w:rsidRPr="00281A89">
              <w:rPr>
                <w:b/>
                <w:bCs/>
                <w:snapToGrid/>
                <w:color w:val="000000"/>
                <w:szCs w:val="24"/>
              </w:rPr>
              <w:t>TOTAL</w:t>
            </w:r>
          </w:p>
        </w:tc>
        <w:tc>
          <w:tcPr>
            <w:tcW w:w="1575" w:type="dxa"/>
            <w:tcBorders>
              <w:top w:val="nil"/>
              <w:left w:val="nil"/>
              <w:bottom w:val="single" w:sz="8" w:space="0" w:color="auto"/>
              <w:right w:val="single" w:sz="8" w:space="0" w:color="auto"/>
            </w:tcBorders>
            <w:vAlign w:val="center"/>
            <w:hideMark/>
          </w:tcPr>
          <w:p w:rsidR="00AE53FA" w:rsidRPr="00281A89" w:rsidP="00E66C24" w14:paraId="2F468DDD" w14:textId="63E8B0EE">
            <w:pPr>
              <w:widowControl/>
              <w:jc w:val="center"/>
              <w:rPr>
                <w:b/>
                <w:bCs/>
                <w:snapToGrid/>
                <w:color w:val="000000"/>
                <w:szCs w:val="24"/>
              </w:rPr>
            </w:pPr>
            <w:r>
              <w:rPr>
                <w:b/>
                <w:bCs/>
                <w:snapToGrid/>
                <w:color w:val="000000"/>
                <w:szCs w:val="24"/>
              </w:rPr>
              <w:t>97,00</w:t>
            </w:r>
            <w:r w:rsidR="00583950">
              <w:rPr>
                <w:b/>
                <w:bCs/>
                <w:snapToGrid/>
                <w:color w:val="000000"/>
                <w:szCs w:val="24"/>
              </w:rPr>
              <w:t>7</w:t>
            </w:r>
          </w:p>
        </w:tc>
        <w:tc>
          <w:tcPr>
            <w:tcW w:w="1515" w:type="dxa"/>
            <w:tcBorders>
              <w:top w:val="nil"/>
              <w:left w:val="nil"/>
              <w:bottom w:val="single" w:sz="8" w:space="0" w:color="auto"/>
              <w:right w:val="single" w:sz="8" w:space="0" w:color="auto"/>
            </w:tcBorders>
            <w:vAlign w:val="center"/>
            <w:hideMark/>
          </w:tcPr>
          <w:p w:rsidR="00635A76" w:rsidRPr="00281A89" w:rsidP="00635A76" w14:paraId="40BD2789" w14:textId="3FFA45B5">
            <w:pPr>
              <w:widowControl/>
              <w:jc w:val="center"/>
              <w:rPr>
                <w:b/>
                <w:bCs/>
                <w:snapToGrid/>
                <w:color w:val="000000"/>
                <w:szCs w:val="24"/>
              </w:rPr>
            </w:pPr>
            <w:r>
              <w:rPr>
                <w:b/>
                <w:bCs/>
                <w:snapToGrid/>
                <w:color w:val="000000"/>
                <w:szCs w:val="24"/>
              </w:rPr>
              <w:t>-16</w:t>
            </w:r>
            <w:r w:rsidR="00964177">
              <w:rPr>
                <w:b/>
                <w:bCs/>
                <w:snapToGrid/>
                <w:color w:val="000000"/>
                <w:szCs w:val="24"/>
              </w:rPr>
              <w:t>,80</w:t>
            </w:r>
            <w:r w:rsidR="004F72F8">
              <w:rPr>
                <w:b/>
                <w:bCs/>
                <w:snapToGrid/>
                <w:color w:val="000000"/>
                <w:szCs w:val="24"/>
              </w:rPr>
              <w:t>5</w:t>
            </w:r>
          </w:p>
        </w:tc>
        <w:tc>
          <w:tcPr>
            <w:tcW w:w="1391" w:type="dxa"/>
            <w:tcBorders>
              <w:top w:val="nil"/>
              <w:left w:val="nil"/>
              <w:bottom w:val="single" w:sz="8" w:space="0" w:color="auto"/>
              <w:right w:val="single" w:sz="8" w:space="0" w:color="auto"/>
            </w:tcBorders>
            <w:vAlign w:val="center"/>
          </w:tcPr>
          <w:p w:rsidR="00635A76" w:rsidRPr="00281A89" w:rsidP="00635A76" w14:paraId="33A27ADA" w14:textId="7F51057F">
            <w:pPr>
              <w:widowControl/>
              <w:jc w:val="center"/>
              <w:rPr>
                <w:b/>
                <w:bCs/>
                <w:snapToGrid/>
                <w:color w:val="000000"/>
                <w:szCs w:val="24"/>
              </w:rPr>
            </w:pPr>
            <w:r>
              <w:rPr>
                <w:b/>
                <w:bCs/>
                <w:snapToGrid/>
                <w:color w:val="000000"/>
                <w:szCs w:val="24"/>
              </w:rPr>
              <w:t>-</w:t>
            </w:r>
            <w:r w:rsidR="00C97670">
              <w:rPr>
                <w:b/>
                <w:bCs/>
                <w:snapToGrid/>
                <w:color w:val="000000"/>
                <w:szCs w:val="24"/>
              </w:rPr>
              <w:t>1,302</w:t>
            </w:r>
          </w:p>
        </w:tc>
        <w:tc>
          <w:tcPr>
            <w:tcW w:w="1620" w:type="dxa"/>
            <w:tcBorders>
              <w:top w:val="nil"/>
              <w:left w:val="nil"/>
              <w:bottom w:val="single" w:sz="8" w:space="0" w:color="auto"/>
              <w:right w:val="single" w:sz="8" w:space="0" w:color="auto"/>
            </w:tcBorders>
            <w:vAlign w:val="center"/>
          </w:tcPr>
          <w:p w:rsidR="00635A76" w:rsidRPr="00281A89" w:rsidP="00635A76" w14:paraId="7B4FCCFE" w14:textId="751F5D5B">
            <w:pPr>
              <w:widowControl/>
              <w:jc w:val="center"/>
              <w:rPr>
                <w:b/>
                <w:bCs/>
                <w:snapToGrid/>
                <w:color w:val="000000"/>
                <w:szCs w:val="24"/>
              </w:rPr>
            </w:pPr>
            <w:r>
              <w:rPr>
                <w:b/>
                <w:bCs/>
                <w:snapToGrid/>
                <w:color w:val="000000"/>
                <w:szCs w:val="24"/>
              </w:rPr>
              <w:t>-</w:t>
            </w:r>
            <w:r w:rsidR="00C97670">
              <w:rPr>
                <w:b/>
                <w:bCs/>
                <w:snapToGrid/>
                <w:color w:val="000000"/>
                <w:szCs w:val="24"/>
              </w:rPr>
              <w:t>18,10</w:t>
            </w:r>
            <w:r w:rsidR="00CE5727">
              <w:rPr>
                <w:b/>
                <w:bCs/>
                <w:snapToGrid/>
                <w:color w:val="000000"/>
                <w:szCs w:val="24"/>
              </w:rPr>
              <w:t>8</w:t>
            </w:r>
          </w:p>
        </w:tc>
        <w:tc>
          <w:tcPr>
            <w:tcW w:w="1369" w:type="dxa"/>
            <w:tcBorders>
              <w:top w:val="nil"/>
              <w:left w:val="nil"/>
              <w:bottom w:val="single" w:sz="8" w:space="0" w:color="auto"/>
              <w:right w:val="single" w:sz="8" w:space="0" w:color="auto"/>
            </w:tcBorders>
            <w:vAlign w:val="center"/>
          </w:tcPr>
          <w:p w:rsidR="00635A76" w:rsidRPr="00281A89" w:rsidP="00635A76" w14:paraId="3F781745" w14:textId="1E11A286">
            <w:pPr>
              <w:widowControl/>
              <w:jc w:val="center"/>
              <w:rPr>
                <w:b/>
                <w:bCs/>
                <w:snapToGrid/>
                <w:color w:val="000000"/>
                <w:szCs w:val="24"/>
              </w:rPr>
            </w:pPr>
            <w:r>
              <w:rPr>
                <w:b/>
              </w:rPr>
              <w:t>78,900</w:t>
            </w:r>
          </w:p>
        </w:tc>
      </w:tr>
    </w:tbl>
    <w:p w:rsidR="00133A57" w:rsidRPr="00F41250" w:rsidP="00F41250" w14:paraId="1CBA8361" w14:textId="77777777"/>
    <w:p w:rsidR="006A1C32" w:rsidRPr="00FC1CA4" w:rsidP="00F41250" w14:paraId="33CD5E9E" w14:textId="0C1087C1">
      <w:pPr>
        <w:rPr>
          <w:b/>
          <w:bCs/>
        </w:rPr>
      </w:pPr>
      <w:r w:rsidRPr="00FC1CA4">
        <w:rPr>
          <w:b/>
          <w:bCs/>
        </w:rPr>
        <w:t>16</w:t>
      </w:r>
      <w:r w:rsidRPr="00FC1CA4">
        <w:rPr>
          <w:b/>
          <w:bCs/>
        </w:rPr>
        <w:t>.</w:t>
      </w:r>
      <w:r w:rsidRPr="00FC1CA4" w:rsidR="00F617FD">
        <w:rPr>
          <w:b/>
          <w:bCs/>
        </w:rPr>
        <w:t xml:space="preserve">  </w:t>
      </w:r>
      <w:r w:rsidRPr="00FC1CA4" w:rsidR="0095454D">
        <w:rPr>
          <w:b/>
          <w:bCs/>
        </w:rPr>
        <w:t>Plans</w:t>
      </w:r>
      <w:r w:rsidRPr="00FC1CA4" w:rsidR="0095454D">
        <w:rPr>
          <w:b/>
          <w:bCs/>
        </w:rPr>
        <w:t xml:space="preserve"> for tabulation, statistical analysis, and publication</w:t>
      </w:r>
    </w:p>
    <w:p w:rsidR="006A1C32" w:rsidRPr="00F41250" w:rsidP="00F41250" w14:paraId="68B39735" w14:textId="77777777"/>
    <w:p w:rsidR="00BB73D9" w:rsidRPr="00F41250" w:rsidP="00F41250" w14:paraId="4CBCB4DA" w14:textId="21B6B8F6">
      <w:r w:rsidRPr="00F41250">
        <w:t xml:space="preserve">The TIC </w:t>
      </w:r>
      <w:r w:rsidR="005649F7">
        <w:t>B Forms</w:t>
      </w:r>
      <w:r w:rsidRPr="00F41250">
        <w:t xml:space="preserve"> are needed to collect the data on an ongoing basis.  </w:t>
      </w:r>
      <w:r w:rsidRPr="00F41250" w:rsidR="00342CE8">
        <w:t>Aggregate d</w:t>
      </w:r>
      <w:r w:rsidRPr="00F41250">
        <w:t>ata in considerable detail by country, including breakdowns of bank</w:t>
      </w:r>
      <w:r w:rsidRPr="00F41250" w:rsidR="00DB3A7C">
        <w:t>s</w:t>
      </w:r>
      <w:r w:rsidRPr="00F41250">
        <w:t>’ own claims on foreigners and bank</w:t>
      </w:r>
      <w:r w:rsidRPr="00F41250" w:rsidR="00DB3A7C">
        <w:t>s</w:t>
      </w:r>
      <w:r w:rsidRPr="00F41250">
        <w:t>’ domestic customers</w:t>
      </w:r>
      <w:r w:rsidRPr="00F41250" w:rsidR="008F1732">
        <w:t>’</w:t>
      </w:r>
      <w:r w:rsidRPr="00F41250">
        <w:t xml:space="preserve"> claims on foreigners, are published monthly in the Federal Reserve Bulletin and quarterly in the Survey of Current Business.  </w:t>
      </w:r>
      <w:r w:rsidRPr="00F41250" w:rsidR="005856F3">
        <w:t>C</w:t>
      </w:r>
      <w:r w:rsidRPr="00F41250" w:rsidR="005C0680">
        <w:t xml:space="preserve">urrent and </w:t>
      </w:r>
      <w:r w:rsidRPr="00F41250">
        <w:t xml:space="preserve">historical time series data, by country, reported on the </w:t>
      </w:r>
      <w:r w:rsidR="005649F7">
        <w:t>B Forms</w:t>
      </w:r>
      <w:r w:rsidRPr="00F41250">
        <w:t xml:space="preserve"> are also posted to the Treasury TIC website (</w:t>
      </w:r>
      <w:hyperlink r:id="rId10" w:history="1">
        <w:r w:rsidRPr="003A7C0F">
          <w:rPr>
            <w:rStyle w:val="Hyperlink"/>
          </w:rPr>
          <w:t>http://www.treasury.gov/resource-center/data-chart-center/tic/Pages/ticlaim.aspx</w:t>
        </w:r>
      </w:hyperlink>
      <w:r w:rsidRPr="00F41250">
        <w:t>)</w:t>
      </w:r>
      <w:r w:rsidRPr="00F41250">
        <w:t xml:space="preserve">.  Data are published or otherwise made publicly available in aggregate form only, </w:t>
      </w:r>
      <w:r w:rsidRPr="00F41250">
        <w:t>so as to</w:t>
      </w:r>
      <w:r w:rsidRPr="00F41250">
        <w:t xml:space="preserve"> avoid violating the confidentiality of any single respondent's submission.  In addition, tabulations of these data are made on an ad hoc basis for senior officials at the Treasury and the Board of Governors and other offices at Treasury and the Board.</w:t>
      </w:r>
    </w:p>
    <w:p w:rsidR="00BB73D9" w:rsidRPr="00F41250" w:rsidP="00F41250" w14:paraId="7E72FEE9" w14:textId="77777777"/>
    <w:p w:rsidR="006A1C32" w:rsidRPr="00FC1CA4" w:rsidP="00F41250" w14:paraId="1CAA2A2E" w14:textId="0A3F6E87">
      <w:pPr>
        <w:rPr>
          <w:b/>
          <w:bCs/>
        </w:rPr>
      </w:pPr>
      <w:r w:rsidRPr="00FC1CA4">
        <w:rPr>
          <w:b/>
          <w:bCs/>
        </w:rPr>
        <w:t>17</w:t>
      </w:r>
      <w:r w:rsidRPr="00FC1CA4">
        <w:rPr>
          <w:b/>
          <w:bCs/>
        </w:rPr>
        <w:t>.</w:t>
      </w:r>
      <w:r w:rsidRPr="00FC1CA4" w:rsidR="00F617FD">
        <w:rPr>
          <w:b/>
          <w:bCs/>
        </w:rPr>
        <w:t xml:space="preserve">  </w:t>
      </w:r>
      <w:r w:rsidRPr="00FC1CA4" w:rsidR="0095454D">
        <w:rPr>
          <w:b/>
          <w:bCs/>
        </w:rPr>
        <w:t>Reasons</w:t>
      </w:r>
      <w:r w:rsidRPr="00FC1CA4" w:rsidR="0095454D">
        <w:rPr>
          <w:b/>
          <w:bCs/>
        </w:rPr>
        <w:t xml:space="preserve"> why displaying the OMB expiration is inappropriate</w:t>
      </w:r>
    </w:p>
    <w:p w:rsidR="006A1C32" w:rsidRPr="00F41250" w:rsidP="00F41250" w14:paraId="4720F22A" w14:textId="77777777"/>
    <w:p w:rsidR="00BB73D9" w:rsidRPr="00F41250" w:rsidP="00F41250" w14:paraId="55F70BB9" w14:textId="77777777">
      <w:r w:rsidRPr="00F41250">
        <w:t xml:space="preserve">Approval to not </w:t>
      </w:r>
      <w:r w:rsidRPr="00F41250">
        <w:t>display</w:t>
      </w:r>
      <w:r w:rsidRPr="00F41250">
        <w:t xml:space="preserve"> the expiration date for OMB approval on the forms has previously been granted.</w:t>
      </w:r>
      <w:r w:rsidRPr="00F41250" w:rsidR="0095454D">
        <w:t xml:space="preserve">  The TIC forms on the website have expiration dates.</w:t>
      </w:r>
    </w:p>
    <w:p w:rsidR="00BB73D9" w:rsidRPr="00F41250" w:rsidP="00F41250" w14:paraId="0189A994" w14:textId="77777777"/>
    <w:p w:rsidR="006A1C32" w:rsidRPr="00FC1CA4" w:rsidP="00F41250" w14:paraId="193B3F6D" w14:textId="5671EFD7">
      <w:pPr>
        <w:rPr>
          <w:b/>
          <w:bCs/>
        </w:rPr>
      </w:pPr>
      <w:r w:rsidRPr="00FC1CA4">
        <w:rPr>
          <w:b/>
          <w:bCs/>
        </w:rPr>
        <w:t>18</w:t>
      </w:r>
      <w:r w:rsidRPr="00FC1CA4">
        <w:rPr>
          <w:b/>
          <w:bCs/>
        </w:rPr>
        <w:t>.</w:t>
      </w:r>
      <w:r w:rsidRPr="00FC1CA4" w:rsidR="00F617FD">
        <w:rPr>
          <w:b/>
          <w:bCs/>
        </w:rPr>
        <w:t xml:space="preserve">  </w:t>
      </w:r>
      <w:r w:rsidRPr="00FC1CA4" w:rsidR="0095454D">
        <w:rPr>
          <w:b/>
          <w:bCs/>
        </w:rPr>
        <w:t>Exceptions</w:t>
      </w:r>
      <w:r w:rsidRPr="00FC1CA4" w:rsidR="0095454D">
        <w:rPr>
          <w:b/>
          <w:bCs/>
        </w:rPr>
        <w:t xml:space="preserve"> to certification </w:t>
      </w:r>
      <w:r>
        <w:rPr>
          <w:b/>
          <w:bCs/>
        </w:rPr>
        <w:t>statement</w:t>
      </w:r>
    </w:p>
    <w:p w:rsidR="006A1C32" w:rsidRPr="00F41250" w:rsidP="00F41250" w14:paraId="10FCF5F8" w14:textId="77777777"/>
    <w:p w:rsidR="00BB73D9" w:rsidRPr="00F41250" w:rsidP="00F41250" w14:paraId="5374E101" w14:textId="4DE56229">
      <w:r>
        <w:t>T</w:t>
      </w:r>
      <w:r w:rsidRPr="00F41250">
        <w:t>here are no exceptions to the certification statement</w:t>
      </w:r>
      <w:r>
        <w:t>.</w:t>
      </w:r>
    </w:p>
    <w:p w:rsidR="00BB73D9" w:rsidRPr="00F41250" w:rsidP="00F41250" w14:paraId="45E8C482" w14:textId="77777777"/>
    <w:p w:rsidR="0095454D" w:rsidRPr="00FC1CA4" w:rsidP="00F41250" w14:paraId="3ADF42FA" w14:textId="77777777">
      <w:pPr>
        <w:rPr>
          <w:b/>
          <w:bCs/>
        </w:rPr>
      </w:pPr>
      <w:r w:rsidRPr="00FC1CA4">
        <w:rPr>
          <w:b/>
          <w:bCs/>
        </w:rPr>
        <w:t>B.  Collections of Information Employing Statistical Methods</w:t>
      </w:r>
    </w:p>
    <w:p w:rsidR="0095454D" w:rsidRPr="00F41250" w:rsidP="00F41250" w14:paraId="22194E55" w14:textId="77777777"/>
    <w:p w:rsidR="00BB73D9" w:rsidRPr="00F41250" w:rsidP="00F41250" w14:paraId="3FDEE0BB" w14:textId="77777777">
      <w:r w:rsidRPr="00F41250">
        <w:t xml:space="preserve">The collection of this information does not employ statistical methods.  Statistical methods are not appropriate for the type of information collected and would not reduce burden or improve </w:t>
      </w:r>
      <w:r w:rsidRPr="00F41250">
        <w:t>accuracy of results.</w:t>
      </w:r>
    </w:p>
    <w:p w:rsidR="0095454D" w:rsidRPr="00F41250" w:rsidP="00F41250" w14:paraId="64603535" w14:textId="77777777"/>
    <w:p w:rsidR="00BB73D9" w:rsidRPr="00F41250" w:rsidP="00F41250" w14:paraId="59E612D6" w14:textId="2594BB7C">
      <w:r w:rsidRPr="00F41250">
        <w:t>May</w:t>
      </w:r>
      <w:r w:rsidRPr="00F41250" w:rsidR="00A132BA">
        <w:t xml:space="preserve"> 2026</w:t>
      </w:r>
    </w:p>
    <w:sectPr>
      <w:headerReference w:type="default" r:id="rId11"/>
      <w:footerReference w:type="default" r:id="rId12"/>
      <w:endnotePr>
        <w:numFmt w:val="decimal"/>
      </w:endnotePr>
      <w:type w:val="continuous"/>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4861658"/>
      <w:docPartObj>
        <w:docPartGallery w:val="Page Numbers (Bottom of Page)"/>
        <w:docPartUnique/>
      </w:docPartObj>
    </w:sdtPr>
    <w:sdtEndPr>
      <w:rPr>
        <w:noProof/>
      </w:rPr>
    </w:sdtEndPr>
    <w:sdtContent>
      <w:p w:rsidR="002A35FC" w14:paraId="5CBD6391" w14:textId="0FB86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D41F1" w14:paraId="0F03A7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C54" w14:paraId="3CBA5B4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F44B15"/>
    <w:multiLevelType w:val="hybridMultilevel"/>
    <w:tmpl w:val="50CAB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E264C8C"/>
    <w:multiLevelType w:val="hybridMultilevel"/>
    <w:tmpl w:val="DA1AC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2622FC"/>
    <w:multiLevelType w:val="hybridMultilevel"/>
    <w:tmpl w:val="D2468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681355">
    <w:abstractNumId w:val="0"/>
  </w:num>
  <w:num w:numId="2" w16cid:durableId="1951356654">
    <w:abstractNumId w:val="2"/>
  </w:num>
  <w:num w:numId="3" w16cid:durableId="200088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B3"/>
    <w:rsid w:val="00000A3D"/>
    <w:rsid w:val="0000133C"/>
    <w:rsid w:val="0002650D"/>
    <w:rsid w:val="00031598"/>
    <w:rsid w:val="00031664"/>
    <w:rsid w:val="00032C8B"/>
    <w:rsid w:val="000333E4"/>
    <w:rsid w:val="00036DA7"/>
    <w:rsid w:val="00037BBD"/>
    <w:rsid w:val="000517E4"/>
    <w:rsid w:val="00053D4F"/>
    <w:rsid w:val="000559D0"/>
    <w:rsid w:val="000562A1"/>
    <w:rsid w:val="000623EA"/>
    <w:rsid w:val="00071CE3"/>
    <w:rsid w:val="000858B9"/>
    <w:rsid w:val="00086706"/>
    <w:rsid w:val="00086970"/>
    <w:rsid w:val="0009088D"/>
    <w:rsid w:val="00092D16"/>
    <w:rsid w:val="0009636A"/>
    <w:rsid w:val="0009748C"/>
    <w:rsid w:val="00097503"/>
    <w:rsid w:val="000A1175"/>
    <w:rsid w:val="000A5850"/>
    <w:rsid w:val="000B1EC8"/>
    <w:rsid w:val="000B6950"/>
    <w:rsid w:val="000B7B1C"/>
    <w:rsid w:val="000C6523"/>
    <w:rsid w:val="000D2F40"/>
    <w:rsid w:val="000D47B9"/>
    <w:rsid w:val="000D5002"/>
    <w:rsid w:val="000D7C75"/>
    <w:rsid w:val="000E0D3F"/>
    <w:rsid w:val="000E19B6"/>
    <w:rsid w:val="000E2107"/>
    <w:rsid w:val="000E2320"/>
    <w:rsid w:val="000E306B"/>
    <w:rsid w:val="000F2741"/>
    <w:rsid w:val="000F2FEB"/>
    <w:rsid w:val="000F3051"/>
    <w:rsid w:val="000F36C2"/>
    <w:rsid w:val="000F3EB4"/>
    <w:rsid w:val="000F3F68"/>
    <w:rsid w:val="000F76FC"/>
    <w:rsid w:val="000F7D12"/>
    <w:rsid w:val="00105B4C"/>
    <w:rsid w:val="001116FB"/>
    <w:rsid w:val="001126ED"/>
    <w:rsid w:val="001237C3"/>
    <w:rsid w:val="001240B7"/>
    <w:rsid w:val="00125A84"/>
    <w:rsid w:val="00130FB6"/>
    <w:rsid w:val="00133200"/>
    <w:rsid w:val="00133A57"/>
    <w:rsid w:val="00134CE2"/>
    <w:rsid w:val="00136B0C"/>
    <w:rsid w:val="0014044F"/>
    <w:rsid w:val="00143950"/>
    <w:rsid w:val="00147FCF"/>
    <w:rsid w:val="00154B00"/>
    <w:rsid w:val="00154F65"/>
    <w:rsid w:val="00155121"/>
    <w:rsid w:val="00156690"/>
    <w:rsid w:val="001704C0"/>
    <w:rsid w:val="00171DF8"/>
    <w:rsid w:val="0017340E"/>
    <w:rsid w:val="00174288"/>
    <w:rsid w:val="00177F42"/>
    <w:rsid w:val="0018189B"/>
    <w:rsid w:val="00182777"/>
    <w:rsid w:val="00182D6E"/>
    <w:rsid w:val="00183CBB"/>
    <w:rsid w:val="00184C9D"/>
    <w:rsid w:val="00187267"/>
    <w:rsid w:val="00187FE0"/>
    <w:rsid w:val="001918D5"/>
    <w:rsid w:val="0019399E"/>
    <w:rsid w:val="0019708F"/>
    <w:rsid w:val="001A6D1D"/>
    <w:rsid w:val="001A7354"/>
    <w:rsid w:val="001A742B"/>
    <w:rsid w:val="001B29E9"/>
    <w:rsid w:val="001B2E83"/>
    <w:rsid w:val="001B3823"/>
    <w:rsid w:val="001B383F"/>
    <w:rsid w:val="001B3DD0"/>
    <w:rsid w:val="001B55E2"/>
    <w:rsid w:val="001D05C6"/>
    <w:rsid w:val="001D0A1E"/>
    <w:rsid w:val="001D162E"/>
    <w:rsid w:val="001D1F6E"/>
    <w:rsid w:val="001D65BF"/>
    <w:rsid w:val="001E2325"/>
    <w:rsid w:val="001E2B30"/>
    <w:rsid w:val="001E3A0B"/>
    <w:rsid w:val="001E4119"/>
    <w:rsid w:val="001E41CE"/>
    <w:rsid w:val="001E620F"/>
    <w:rsid w:val="001E6C54"/>
    <w:rsid w:val="001F1841"/>
    <w:rsid w:val="001F200F"/>
    <w:rsid w:val="001F2B8A"/>
    <w:rsid w:val="001F58B1"/>
    <w:rsid w:val="001F740B"/>
    <w:rsid w:val="002004EA"/>
    <w:rsid w:val="0020246E"/>
    <w:rsid w:val="00205616"/>
    <w:rsid w:val="00212D75"/>
    <w:rsid w:val="00216432"/>
    <w:rsid w:val="00217BA4"/>
    <w:rsid w:val="0022605C"/>
    <w:rsid w:val="00226C46"/>
    <w:rsid w:val="00230C25"/>
    <w:rsid w:val="00231533"/>
    <w:rsid w:val="00231D24"/>
    <w:rsid w:val="0023224D"/>
    <w:rsid w:val="00234B03"/>
    <w:rsid w:val="00236B75"/>
    <w:rsid w:val="00240E64"/>
    <w:rsid w:val="00242A94"/>
    <w:rsid w:val="002442F4"/>
    <w:rsid w:val="0025232A"/>
    <w:rsid w:val="00255417"/>
    <w:rsid w:val="00262E15"/>
    <w:rsid w:val="002746B4"/>
    <w:rsid w:val="00274823"/>
    <w:rsid w:val="00276A38"/>
    <w:rsid w:val="0028039A"/>
    <w:rsid w:val="00281A89"/>
    <w:rsid w:val="002832DF"/>
    <w:rsid w:val="0028338A"/>
    <w:rsid w:val="0028524D"/>
    <w:rsid w:val="002934B7"/>
    <w:rsid w:val="002A35FC"/>
    <w:rsid w:val="002A4140"/>
    <w:rsid w:val="002A5F7D"/>
    <w:rsid w:val="002B4DE1"/>
    <w:rsid w:val="002C2561"/>
    <w:rsid w:val="002D0EA9"/>
    <w:rsid w:val="002D152C"/>
    <w:rsid w:val="002D4899"/>
    <w:rsid w:val="002D601A"/>
    <w:rsid w:val="002E270F"/>
    <w:rsid w:val="002E6DE4"/>
    <w:rsid w:val="002F0442"/>
    <w:rsid w:val="002F25E1"/>
    <w:rsid w:val="002F28BE"/>
    <w:rsid w:val="0030071A"/>
    <w:rsid w:val="0030700E"/>
    <w:rsid w:val="00311E0E"/>
    <w:rsid w:val="00314238"/>
    <w:rsid w:val="00315C5F"/>
    <w:rsid w:val="00316C98"/>
    <w:rsid w:val="00322935"/>
    <w:rsid w:val="00327677"/>
    <w:rsid w:val="003278B7"/>
    <w:rsid w:val="0033019B"/>
    <w:rsid w:val="00330AB9"/>
    <w:rsid w:val="00334EF7"/>
    <w:rsid w:val="00337FC1"/>
    <w:rsid w:val="00342A64"/>
    <w:rsid w:val="00342CE8"/>
    <w:rsid w:val="003451AE"/>
    <w:rsid w:val="00354A2C"/>
    <w:rsid w:val="003554D9"/>
    <w:rsid w:val="00365309"/>
    <w:rsid w:val="00366123"/>
    <w:rsid w:val="00382591"/>
    <w:rsid w:val="00386CA2"/>
    <w:rsid w:val="003878F8"/>
    <w:rsid w:val="003910CA"/>
    <w:rsid w:val="003913DD"/>
    <w:rsid w:val="00391B12"/>
    <w:rsid w:val="00391F5F"/>
    <w:rsid w:val="00392CBF"/>
    <w:rsid w:val="0039335A"/>
    <w:rsid w:val="003A1155"/>
    <w:rsid w:val="003A27BB"/>
    <w:rsid w:val="003A7C0F"/>
    <w:rsid w:val="003B68C7"/>
    <w:rsid w:val="003C02D2"/>
    <w:rsid w:val="003C1223"/>
    <w:rsid w:val="003C3805"/>
    <w:rsid w:val="003C749B"/>
    <w:rsid w:val="003C75D8"/>
    <w:rsid w:val="003D04E4"/>
    <w:rsid w:val="003D3CF2"/>
    <w:rsid w:val="003D44CD"/>
    <w:rsid w:val="003D566C"/>
    <w:rsid w:val="003D7C2E"/>
    <w:rsid w:val="003E1C80"/>
    <w:rsid w:val="003E4029"/>
    <w:rsid w:val="003E4C1E"/>
    <w:rsid w:val="003F0259"/>
    <w:rsid w:val="003F4E1C"/>
    <w:rsid w:val="003F57B4"/>
    <w:rsid w:val="003F6136"/>
    <w:rsid w:val="003F7D94"/>
    <w:rsid w:val="004013AE"/>
    <w:rsid w:val="0040184B"/>
    <w:rsid w:val="00401C32"/>
    <w:rsid w:val="00402498"/>
    <w:rsid w:val="00403707"/>
    <w:rsid w:val="00407F04"/>
    <w:rsid w:val="00412EB9"/>
    <w:rsid w:val="0041543E"/>
    <w:rsid w:val="004209F2"/>
    <w:rsid w:val="00420EAE"/>
    <w:rsid w:val="0042661A"/>
    <w:rsid w:val="00431BD1"/>
    <w:rsid w:val="004350EE"/>
    <w:rsid w:val="00440017"/>
    <w:rsid w:val="00440940"/>
    <w:rsid w:val="00441739"/>
    <w:rsid w:val="0044204C"/>
    <w:rsid w:val="00447A83"/>
    <w:rsid w:val="00451575"/>
    <w:rsid w:val="00455521"/>
    <w:rsid w:val="00476AEB"/>
    <w:rsid w:val="004845D2"/>
    <w:rsid w:val="00484A62"/>
    <w:rsid w:val="00487CA1"/>
    <w:rsid w:val="004905BF"/>
    <w:rsid w:val="004A1080"/>
    <w:rsid w:val="004A30E0"/>
    <w:rsid w:val="004A37E8"/>
    <w:rsid w:val="004A5F73"/>
    <w:rsid w:val="004B0480"/>
    <w:rsid w:val="004B2067"/>
    <w:rsid w:val="004B5A74"/>
    <w:rsid w:val="004B63BC"/>
    <w:rsid w:val="004C1431"/>
    <w:rsid w:val="004C28A4"/>
    <w:rsid w:val="004C322E"/>
    <w:rsid w:val="004C6E4A"/>
    <w:rsid w:val="004C6EF6"/>
    <w:rsid w:val="004D033A"/>
    <w:rsid w:val="004D0DD3"/>
    <w:rsid w:val="004D3B90"/>
    <w:rsid w:val="004D6F3C"/>
    <w:rsid w:val="004D7A46"/>
    <w:rsid w:val="004E0F67"/>
    <w:rsid w:val="004E143C"/>
    <w:rsid w:val="004E1F4E"/>
    <w:rsid w:val="004E29A0"/>
    <w:rsid w:val="004E7BAD"/>
    <w:rsid w:val="004E7D1A"/>
    <w:rsid w:val="004F6527"/>
    <w:rsid w:val="004F72F8"/>
    <w:rsid w:val="004F7428"/>
    <w:rsid w:val="00502E1B"/>
    <w:rsid w:val="00504BA7"/>
    <w:rsid w:val="00507E1D"/>
    <w:rsid w:val="00516445"/>
    <w:rsid w:val="00524F5D"/>
    <w:rsid w:val="0053359A"/>
    <w:rsid w:val="00533A32"/>
    <w:rsid w:val="00533AF7"/>
    <w:rsid w:val="00534C56"/>
    <w:rsid w:val="00535E12"/>
    <w:rsid w:val="00541EB2"/>
    <w:rsid w:val="00544A7F"/>
    <w:rsid w:val="00547CAD"/>
    <w:rsid w:val="00550003"/>
    <w:rsid w:val="00560A83"/>
    <w:rsid w:val="005616B1"/>
    <w:rsid w:val="0056183F"/>
    <w:rsid w:val="005623E9"/>
    <w:rsid w:val="0056412E"/>
    <w:rsid w:val="005649F7"/>
    <w:rsid w:val="00566F19"/>
    <w:rsid w:val="00574C6E"/>
    <w:rsid w:val="00574E19"/>
    <w:rsid w:val="00574E2A"/>
    <w:rsid w:val="00581169"/>
    <w:rsid w:val="00583071"/>
    <w:rsid w:val="00583950"/>
    <w:rsid w:val="005852C8"/>
    <w:rsid w:val="005856F3"/>
    <w:rsid w:val="00594E8E"/>
    <w:rsid w:val="00595C75"/>
    <w:rsid w:val="00595E46"/>
    <w:rsid w:val="00597527"/>
    <w:rsid w:val="00597C45"/>
    <w:rsid w:val="005A5B91"/>
    <w:rsid w:val="005B2483"/>
    <w:rsid w:val="005B25EC"/>
    <w:rsid w:val="005B3A18"/>
    <w:rsid w:val="005C0680"/>
    <w:rsid w:val="005C214C"/>
    <w:rsid w:val="005D0049"/>
    <w:rsid w:val="005D513D"/>
    <w:rsid w:val="005D6D41"/>
    <w:rsid w:val="005E0F02"/>
    <w:rsid w:val="005E182D"/>
    <w:rsid w:val="005E2553"/>
    <w:rsid w:val="005E6046"/>
    <w:rsid w:val="005F6119"/>
    <w:rsid w:val="00602BD6"/>
    <w:rsid w:val="00603E2B"/>
    <w:rsid w:val="00613CA2"/>
    <w:rsid w:val="00616485"/>
    <w:rsid w:val="00630EC5"/>
    <w:rsid w:val="006329E4"/>
    <w:rsid w:val="006351F6"/>
    <w:rsid w:val="00635A76"/>
    <w:rsid w:val="00636358"/>
    <w:rsid w:val="00637D12"/>
    <w:rsid w:val="00641B41"/>
    <w:rsid w:val="00642C52"/>
    <w:rsid w:val="00644554"/>
    <w:rsid w:val="006470EA"/>
    <w:rsid w:val="00651D57"/>
    <w:rsid w:val="006521E7"/>
    <w:rsid w:val="00653CA9"/>
    <w:rsid w:val="00660271"/>
    <w:rsid w:val="00670321"/>
    <w:rsid w:val="006722F4"/>
    <w:rsid w:val="0068069E"/>
    <w:rsid w:val="0068696E"/>
    <w:rsid w:val="00690C79"/>
    <w:rsid w:val="00691A8E"/>
    <w:rsid w:val="00692BB3"/>
    <w:rsid w:val="006A1AC0"/>
    <w:rsid w:val="006A1C32"/>
    <w:rsid w:val="006A54E2"/>
    <w:rsid w:val="006A7441"/>
    <w:rsid w:val="006B26FC"/>
    <w:rsid w:val="006B6044"/>
    <w:rsid w:val="006C180D"/>
    <w:rsid w:val="006C1E3D"/>
    <w:rsid w:val="006C2329"/>
    <w:rsid w:val="006D0D67"/>
    <w:rsid w:val="006D24B9"/>
    <w:rsid w:val="006D265F"/>
    <w:rsid w:val="006E016D"/>
    <w:rsid w:val="006E40C7"/>
    <w:rsid w:val="006E6E36"/>
    <w:rsid w:val="006F4247"/>
    <w:rsid w:val="006F4B1F"/>
    <w:rsid w:val="006F538B"/>
    <w:rsid w:val="007014E9"/>
    <w:rsid w:val="00704A7A"/>
    <w:rsid w:val="007108BA"/>
    <w:rsid w:val="00715F6D"/>
    <w:rsid w:val="00716062"/>
    <w:rsid w:val="00725B85"/>
    <w:rsid w:val="0074076F"/>
    <w:rsid w:val="007511D2"/>
    <w:rsid w:val="00753DC9"/>
    <w:rsid w:val="0075680F"/>
    <w:rsid w:val="00757A07"/>
    <w:rsid w:val="00761632"/>
    <w:rsid w:val="00761A60"/>
    <w:rsid w:val="00763ADE"/>
    <w:rsid w:val="00771B8C"/>
    <w:rsid w:val="00776366"/>
    <w:rsid w:val="00777951"/>
    <w:rsid w:val="0078102E"/>
    <w:rsid w:val="0078182A"/>
    <w:rsid w:val="007829A9"/>
    <w:rsid w:val="00783E67"/>
    <w:rsid w:val="00786058"/>
    <w:rsid w:val="00786656"/>
    <w:rsid w:val="00790FD1"/>
    <w:rsid w:val="007A1E81"/>
    <w:rsid w:val="007B1D16"/>
    <w:rsid w:val="007B3002"/>
    <w:rsid w:val="007B56D9"/>
    <w:rsid w:val="007D31EF"/>
    <w:rsid w:val="007E423D"/>
    <w:rsid w:val="007E4337"/>
    <w:rsid w:val="007E481D"/>
    <w:rsid w:val="007F27E9"/>
    <w:rsid w:val="007F3BB7"/>
    <w:rsid w:val="007F484E"/>
    <w:rsid w:val="00800092"/>
    <w:rsid w:val="00806BD6"/>
    <w:rsid w:val="00810BE6"/>
    <w:rsid w:val="008111C8"/>
    <w:rsid w:val="008145E0"/>
    <w:rsid w:val="00821516"/>
    <w:rsid w:val="00823EEB"/>
    <w:rsid w:val="008252D4"/>
    <w:rsid w:val="00842166"/>
    <w:rsid w:val="00844148"/>
    <w:rsid w:val="0085038A"/>
    <w:rsid w:val="0085497F"/>
    <w:rsid w:val="00856C00"/>
    <w:rsid w:val="00865F38"/>
    <w:rsid w:val="0087098C"/>
    <w:rsid w:val="00872086"/>
    <w:rsid w:val="00876030"/>
    <w:rsid w:val="00880EAA"/>
    <w:rsid w:val="008811B3"/>
    <w:rsid w:val="00886F12"/>
    <w:rsid w:val="0089061C"/>
    <w:rsid w:val="00894002"/>
    <w:rsid w:val="00897A4E"/>
    <w:rsid w:val="008A4C29"/>
    <w:rsid w:val="008A5A2A"/>
    <w:rsid w:val="008A5C4E"/>
    <w:rsid w:val="008A5F25"/>
    <w:rsid w:val="008A6570"/>
    <w:rsid w:val="008A6DE5"/>
    <w:rsid w:val="008A723B"/>
    <w:rsid w:val="008C3C53"/>
    <w:rsid w:val="008D34D9"/>
    <w:rsid w:val="008D5AA2"/>
    <w:rsid w:val="008D644C"/>
    <w:rsid w:val="008D7B5F"/>
    <w:rsid w:val="008E07D6"/>
    <w:rsid w:val="008E126D"/>
    <w:rsid w:val="008E351A"/>
    <w:rsid w:val="008E6E6B"/>
    <w:rsid w:val="008F0860"/>
    <w:rsid w:val="008F1732"/>
    <w:rsid w:val="008F28AE"/>
    <w:rsid w:val="008F42AF"/>
    <w:rsid w:val="008F6AAB"/>
    <w:rsid w:val="008F712F"/>
    <w:rsid w:val="00901052"/>
    <w:rsid w:val="009061B8"/>
    <w:rsid w:val="00911787"/>
    <w:rsid w:val="00913842"/>
    <w:rsid w:val="00917A16"/>
    <w:rsid w:val="00927BE1"/>
    <w:rsid w:val="00931F73"/>
    <w:rsid w:val="00934AB6"/>
    <w:rsid w:val="009402CF"/>
    <w:rsid w:val="009543BB"/>
    <w:rsid w:val="0095454D"/>
    <w:rsid w:val="009569C3"/>
    <w:rsid w:val="00960685"/>
    <w:rsid w:val="00963303"/>
    <w:rsid w:val="00964177"/>
    <w:rsid w:val="00972E27"/>
    <w:rsid w:val="00973A82"/>
    <w:rsid w:val="00974AC7"/>
    <w:rsid w:val="0097500E"/>
    <w:rsid w:val="00980825"/>
    <w:rsid w:val="009835CB"/>
    <w:rsid w:val="009850CD"/>
    <w:rsid w:val="00985C81"/>
    <w:rsid w:val="009861A9"/>
    <w:rsid w:val="00986EA0"/>
    <w:rsid w:val="00993975"/>
    <w:rsid w:val="0099452D"/>
    <w:rsid w:val="009967F9"/>
    <w:rsid w:val="009A37AB"/>
    <w:rsid w:val="009A689C"/>
    <w:rsid w:val="009A7441"/>
    <w:rsid w:val="009B0B3A"/>
    <w:rsid w:val="009B57AB"/>
    <w:rsid w:val="009C0D00"/>
    <w:rsid w:val="009C3BFB"/>
    <w:rsid w:val="009C3E29"/>
    <w:rsid w:val="009C4F0D"/>
    <w:rsid w:val="009D1047"/>
    <w:rsid w:val="009D55A1"/>
    <w:rsid w:val="009F3808"/>
    <w:rsid w:val="00A00F3E"/>
    <w:rsid w:val="00A06CBC"/>
    <w:rsid w:val="00A132BA"/>
    <w:rsid w:val="00A14FFF"/>
    <w:rsid w:val="00A15106"/>
    <w:rsid w:val="00A15CD1"/>
    <w:rsid w:val="00A21585"/>
    <w:rsid w:val="00A22BB0"/>
    <w:rsid w:val="00A25108"/>
    <w:rsid w:val="00A25BA1"/>
    <w:rsid w:val="00A26BF9"/>
    <w:rsid w:val="00A27EB1"/>
    <w:rsid w:val="00A30544"/>
    <w:rsid w:val="00A30A2D"/>
    <w:rsid w:val="00A31E4A"/>
    <w:rsid w:val="00A375D7"/>
    <w:rsid w:val="00A42C3F"/>
    <w:rsid w:val="00A430AC"/>
    <w:rsid w:val="00A44A0A"/>
    <w:rsid w:val="00A47A30"/>
    <w:rsid w:val="00A50B84"/>
    <w:rsid w:val="00A618E0"/>
    <w:rsid w:val="00A62C65"/>
    <w:rsid w:val="00A740C7"/>
    <w:rsid w:val="00A74E17"/>
    <w:rsid w:val="00A74EC4"/>
    <w:rsid w:val="00A94033"/>
    <w:rsid w:val="00A94255"/>
    <w:rsid w:val="00A95D67"/>
    <w:rsid w:val="00AC0D2E"/>
    <w:rsid w:val="00AC3379"/>
    <w:rsid w:val="00AC52BF"/>
    <w:rsid w:val="00AC5867"/>
    <w:rsid w:val="00AD43AA"/>
    <w:rsid w:val="00AD5606"/>
    <w:rsid w:val="00AD65F5"/>
    <w:rsid w:val="00AD799C"/>
    <w:rsid w:val="00AE2C08"/>
    <w:rsid w:val="00AE53FA"/>
    <w:rsid w:val="00AF0293"/>
    <w:rsid w:val="00AF2E23"/>
    <w:rsid w:val="00AF40DD"/>
    <w:rsid w:val="00B00C98"/>
    <w:rsid w:val="00B02045"/>
    <w:rsid w:val="00B02CE6"/>
    <w:rsid w:val="00B051BC"/>
    <w:rsid w:val="00B10E84"/>
    <w:rsid w:val="00B134E6"/>
    <w:rsid w:val="00B32789"/>
    <w:rsid w:val="00B3346F"/>
    <w:rsid w:val="00B33D89"/>
    <w:rsid w:val="00B33D8C"/>
    <w:rsid w:val="00B34329"/>
    <w:rsid w:val="00B346D3"/>
    <w:rsid w:val="00B349D1"/>
    <w:rsid w:val="00B37145"/>
    <w:rsid w:val="00B419E2"/>
    <w:rsid w:val="00B4256B"/>
    <w:rsid w:val="00B44C7F"/>
    <w:rsid w:val="00B46396"/>
    <w:rsid w:val="00B47587"/>
    <w:rsid w:val="00B532FB"/>
    <w:rsid w:val="00B54713"/>
    <w:rsid w:val="00B54AAD"/>
    <w:rsid w:val="00B57690"/>
    <w:rsid w:val="00B579D5"/>
    <w:rsid w:val="00B658A9"/>
    <w:rsid w:val="00B6661E"/>
    <w:rsid w:val="00B7204A"/>
    <w:rsid w:val="00B7627A"/>
    <w:rsid w:val="00B80D7A"/>
    <w:rsid w:val="00B84A0D"/>
    <w:rsid w:val="00B92958"/>
    <w:rsid w:val="00B930E2"/>
    <w:rsid w:val="00B95373"/>
    <w:rsid w:val="00B9724D"/>
    <w:rsid w:val="00BA68B1"/>
    <w:rsid w:val="00BA6E41"/>
    <w:rsid w:val="00BB40BF"/>
    <w:rsid w:val="00BB44AD"/>
    <w:rsid w:val="00BB73D9"/>
    <w:rsid w:val="00BC0818"/>
    <w:rsid w:val="00BC0F99"/>
    <w:rsid w:val="00BC17A2"/>
    <w:rsid w:val="00BC18CD"/>
    <w:rsid w:val="00BC395E"/>
    <w:rsid w:val="00BC5573"/>
    <w:rsid w:val="00BD04D1"/>
    <w:rsid w:val="00BD099E"/>
    <w:rsid w:val="00BD0C0B"/>
    <w:rsid w:val="00BD27B6"/>
    <w:rsid w:val="00BD41F1"/>
    <w:rsid w:val="00BD5DC1"/>
    <w:rsid w:val="00BD6484"/>
    <w:rsid w:val="00BE0F2E"/>
    <w:rsid w:val="00BE1CFB"/>
    <w:rsid w:val="00BE2993"/>
    <w:rsid w:val="00BF143D"/>
    <w:rsid w:val="00BF5DC1"/>
    <w:rsid w:val="00C00FDE"/>
    <w:rsid w:val="00C065A1"/>
    <w:rsid w:val="00C13B51"/>
    <w:rsid w:val="00C24E1A"/>
    <w:rsid w:val="00C25B0E"/>
    <w:rsid w:val="00C2694B"/>
    <w:rsid w:val="00C26EBF"/>
    <w:rsid w:val="00C341AF"/>
    <w:rsid w:val="00C34C22"/>
    <w:rsid w:val="00C35D7D"/>
    <w:rsid w:val="00C36360"/>
    <w:rsid w:val="00C40490"/>
    <w:rsid w:val="00C40EB5"/>
    <w:rsid w:val="00C41160"/>
    <w:rsid w:val="00C45A3D"/>
    <w:rsid w:val="00C47577"/>
    <w:rsid w:val="00C554F1"/>
    <w:rsid w:val="00C55CE2"/>
    <w:rsid w:val="00C57211"/>
    <w:rsid w:val="00C573B5"/>
    <w:rsid w:val="00C573CE"/>
    <w:rsid w:val="00C61B9D"/>
    <w:rsid w:val="00C61E44"/>
    <w:rsid w:val="00C668FF"/>
    <w:rsid w:val="00C70A07"/>
    <w:rsid w:val="00C70FBE"/>
    <w:rsid w:val="00C76133"/>
    <w:rsid w:val="00C8052E"/>
    <w:rsid w:val="00C83617"/>
    <w:rsid w:val="00C84366"/>
    <w:rsid w:val="00C854F5"/>
    <w:rsid w:val="00C85E42"/>
    <w:rsid w:val="00C8706C"/>
    <w:rsid w:val="00C92368"/>
    <w:rsid w:val="00C957CB"/>
    <w:rsid w:val="00C96B8D"/>
    <w:rsid w:val="00C97670"/>
    <w:rsid w:val="00CA0A91"/>
    <w:rsid w:val="00CA1A8C"/>
    <w:rsid w:val="00CA1E62"/>
    <w:rsid w:val="00CA3995"/>
    <w:rsid w:val="00CA437D"/>
    <w:rsid w:val="00CB3A9A"/>
    <w:rsid w:val="00CC1D9D"/>
    <w:rsid w:val="00CC5CE6"/>
    <w:rsid w:val="00CC5D88"/>
    <w:rsid w:val="00CD1AB5"/>
    <w:rsid w:val="00CE0862"/>
    <w:rsid w:val="00CE4982"/>
    <w:rsid w:val="00CE5727"/>
    <w:rsid w:val="00CE5EA9"/>
    <w:rsid w:val="00CE6E09"/>
    <w:rsid w:val="00CE6FAE"/>
    <w:rsid w:val="00CF26E9"/>
    <w:rsid w:val="00CF2935"/>
    <w:rsid w:val="00CF4F3A"/>
    <w:rsid w:val="00CF6647"/>
    <w:rsid w:val="00D052E4"/>
    <w:rsid w:val="00D10406"/>
    <w:rsid w:val="00D1269A"/>
    <w:rsid w:val="00D146A4"/>
    <w:rsid w:val="00D17FC1"/>
    <w:rsid w:val="00D2146F"/>
    <w:rsid w:val="00D26307"/>
    <w:rsid w:val="00D26C97"/>
    <w:rsid w:val="00D2723B"/>
    <w:rsid w:val="00D278EE"/>
    <w:rsid w:val="00D27AC9"/>
    <w:rsid w:val="00D31119"/>
    <w:rsid w:val="00D35248"/>
    <w:rsid w:val="00D41ECC"/>
    <w:rsid w:val="00D4220D"/>
    <w:rsid w:val="00D4341F"/>
    <w:rsid w:val="00D51FD7"/>
    <w:rsid w:val="00D5231B"/>
    <w:rsid w:val="00D56B1E"/>
    <w:rsid w:val="00D61B05"/>
    <w:rsid w:val="00D630B0"/>
    <w:rsid w:val="00D6420A"/>
    <w:rsid w:val="00D643C3"/>
    <w:rsid w:val="00D653C8"/>
    <w:rsid w:val="00D653DF"/>
    <w:rsid w:val="00D67C02"/>
    <w:rsid w:val="00D67C61"/>
    <w:rsid w:val="00D71779"/>
    <w:rsid w:val="00D739DA"/>
    <w:rsid w:val="00D75109"/>
    <w:rsid w:val="00D779DC"/>
    <w:rsid w:val="00D80FDB"/>
    <w:rsid w:val="00D90090"/>
    <w:rsid w:val="00D938E9"/>
    <w:rsid w:val="00DA1ACB"/>
    <w:rsid w:val="00DA1E69"/>
    <w:rsid w:val="00DA3616"/>
    <w:rsid w:val="00DB281E"/>
    <w:rsid w:val="00DB3A7C"/>
    <w:rsid w:val="00DB4EED"/>
    <w:rsid w:val="00DB52AE"/>
    <w:rsid w:val="00DB5678"/>
    <w:rsid w:val="00DB5E09"/>
    <w:rsid w:val="00DB6602"/>
    <w:rsid w:val="00DB7590"/>
    <w:rsid w:val="00DC6141"/>
    <w:rsid w:val="00DD3A0B"/>
    <w:rsid w:val="00DE2D28"/>
    <w:rsid w:val="00DE3B41"/>
    <w:rsid w:val="00DE44BE"/>
    <w:rsid w:val="00DE653E"/>
    <w:rsid w:val="00DE66E6"/>
    <w:rsid w:val="00DF13FA"/>
    <w:rsid w:val="00DF1AFF"/>
    <w:rsid w:val="00DF1D03"/>
    <w:rsid w:val="00DF2E46"/>
    <w:rsid w:val="00E06469"/>
    <w:rsid w:val="00E06787"/>
    <w:rsid w:val="00E07527"/>
    <w:rsid w:val="00E20ABA"/>
    <w:rsid w:val="00E27BFE"/>
    <w:rsid w:val="00E31894"/>
    <w:rsid w:val="00E33B11"/>
    <w:rsid w:val="00E36D3A"/>
    <w:rsid w:val="00E37EA0"/>
    <w:rsid w:val="00E44549"/>
    <w:rsid w:val="00E46262"/>
    <w:rsid w:val="00E511BD"/>
    <w:rsid w:val="00E60A55"/>
    <w:rsid w:val="00E63751"/>
    <w:rsid w:val="00E66C24"/>
    <w:rsid w:val="00E748B7"/>
    <w:rsid w:val="00E774D7"/>
    <w:rsid w:val="00E820A0"/>
    <w:rsid w:val="00E8700E"/>
    <w:rsid w:val="00E87255"/>
    <w:rsid w:val="00E92624"/>
    <w:rsid w:val="00EA009E"/>
    <w:rsid w:val="00EA1D7F"/>
    <w:rsid w:val="00EA70B9"/>
    <w:rsid w:val="00EB52EC"/>
    <w:rsid w:val="00EB73C7"/>
    <w:rsid w:val="00EC2345"/>
    <w:rsid w:val="00EC35CF"/>
    <w:rsid w:val="00EC3BB2"/>
    <w:rsid w:val="00EC58A7"/>
    <w:rsid w:val="00ED2534"/>
    <w:rsid w:val="00ED38CC"/>
    <w:rsid w:val="00ED4221"/>
    <w:rsid w:val="00EE329D"/>
    <w:rsid w:val="00EE7F73"/>
    <w:rsid w:val="00EF064B"/>
    <w:rsid w:val="00EF20F2"/>
    <w:rsid w:val="00EF250B"/>
    <w:rsid w:val="00EF590D"/>
    <w:rsid w:val="00EF702D"/>
    <w:rsid w:val="00F0271E"/>
    <w:rsid w:val="00F07B9E"/>
    <w:rsid w:val="00F13032"/>
    <w:rsid w:val="00F2257C"/>
    <w:rsid w:val="00F3013E"/>
    <w:rsid w:val="00F302DC"/>
    <w:rsid w:val="00F3183F"/>
    <w:rsid w:val="00F33CF2"/>
    <w:rsid w:val="00F37300"/>
    <w:rsid w:val="00F41250"/>
    <w:rsid w:val="00F43BDE"/>
    <w:rsid w:val="00F5539A"/>
    <w:rsid w:val="00F559C9"/>
    <w:rsid w:val="00F60127"/>
    <w:rsid w:val="00F617FD"/>
    <w:rsid w:val="00F6185C"/>
    <w:rsid w:val="00F72C0D"/>
    <w:rsid w:val="00F7538A"/>
    <w:rsid w:val="00F80D70"/>
    <w:rsid w:val="00F815DC"/>
    <w:rsid w:val="00F9167A"/>
    <w:rsid w:val="00F96EDD"/>
    <w:rsid w:val="00FA2F1E"/>
    <w:rsid w:val="00FB031F"/>
    <w:rsid w:val="00FB3CE5"/>
    <w:rsid w:val="00FB46BE"/>
    <w:rsid w:val="00FB4B19"/>
    <w:rsid w:val="00FB667F"/>
    <w:rsid w:val="00FB6E0A"/>
    <w:rsid w:val="00FC1CA4"/>
    <w:rsid w:val="00FC26E5"/>
    <w:rsid w:val="00FC4DC3"/>
    <w:rsid w:val="00FC530C"/>
    <w:rsid w:val="00FC5F55"/>
    <w:rsid w:val="00FC7902"/>
    <w:rsid w:val="00FD0154"/>
    <w:rsid w:val="00FD409E"/>
    <w:rsid w:val="00FD538D"/>
    <w:rsid w:val="00FD75E4"/>
    <w:rsid w:val="00FE2F64"/>
    <w:rsid w:val="00FE59BE"/>
    <w:rsid w:val="00FF4A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EE4054"/>
  <w15:chartTrackingRefBased/>
  <w15:docId w15:val="{F8858F01-AD4D-4CBE-9AD4-2858E12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BD6"/>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style>
  <w:style w:type="paragraph" w:styleId="BodyTextIndent2">
    <w:name w:val="Body Text Indent 2"/>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styleId="Hyperlink">
    <w:name w:val="Hyperlink"/>
    <w:rsid w:val="008811B3"/>
    <w:rPr>
      <w:color w:val="0000FF"/>
      <w:u w:val="single"/>
    </w:rPr>
  </w:style>
  <w:style w:type="paragraph" w:styleId="BalloonText">
    <w:name w:val="Balloon Text"/>
    <w:basedOn w:val="Normal"/>
    <w:semiHidden/>
    <w:rsid w:val="001A6D1D"/>
    <w:rPr>
      <w:rFonts w:ascii="Tahoma" w:hAnsi="Tahoma" w:cs="Tahoma"/>
      <w:sz w:val="16"/>
      <w:szCs w:val="16"/>
    </w:rPr>
  </w:style>
  <w:style w:type="paragraph" w:styleId="Footer">
    <w:name w:val="footer"/>
    <w:basedOn w:val="Normal"/>
    <w:link w:val="FooterChar"/>
    <w:uiPriority w:val="99"/>
    <w:rsid w:val="00255417"/>
    <w:pPr>
      <w:tabs>
        <w:tab w:val="center" w:pos="4680"/>
        <w:tab w:val="right" w:pos="9360"/>
      </w:tabs>
    </w:pPr>
    <w:rPr>
      <w:lang w:val="x-none" w:eastAsia="x-none"/>
    </w:rPr>
  </w:style>
  <w:style w:type="character" w:customStyle="1" w:styleId="FooterChar">
    <w:name w:val="Footer Char"/>
    <w:link w:val="Footer"/>
    <w:uiPriority w:val="99"/>
    <w:rsid w:val="00255417"/>
    <w:rPr>
      <w:snapToGrid w:val="0"/>
      <w:sz w:val="24"/>
    </w:rPr>
  </w:style>
  <w:style w:type="character" w:customStyle="1" w:styleId="BodyTextIndentChar">
    <w:name w:val="Body Text Indent Char"/>
    <w:link w:val="BodyTextIndent"/>
    <w:rsid w:val="00BD27B6"/>
    <w:rPr>
      <w:snapToGrid w:val="0"/>
      <w:sz w:val="24"/>
    </w:rPr>
  </w:style>
  <w:style w:type="table" w:styleId="TableGrid">
    <w:name w:val="Table Grid"/>
    <w:basedOn w:val="TableNormal"/>
    <w:rsid w:val="00A27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6030"/>
    <w:rPr>
      <w:snapToGrid w:val="0"/>
      <w:sz w:val="24"/>
    </w:rPr>
  </w:style>
  <w:style w:type="character" w:styleId="UnresolvedMention">
    <w:name w:val="Unresolved Mention"/>
    <w:uiPriority w:val="99"/>
    <w:semiHidden/>
    <w:unhideWhenUsed/>
    <w:rsid w:val="0087098C"/>
    <w:rPr>
      <w:color w:val="605E5C"/>
      <w:shd w:val="clear" w:color="auto" w:fill="E1DFDD"/>
    </w:rPr>
  </w:style>
  <w:style w:type="character" w:styleId="FollowedHyperlink">
    <w:name w:val="FollowedHyperlink"/>
    <w:rsid w:val="000623EA"/>
    <w:rPr>
      <w:color w:val="954F72"/>
      <w:u w:val="single"/>
    </w:rPr>
  </w:style>
  <w:style w:type="character" w:customStyle="1" w:styleId="HeaderChar">
    <w:name w:val="Header Char"/>
    <w:link w:val="Header"/>
    <w:uiPriority w:val="99"/>
    <w:rsid w:val="00ED4221"/>
    <w:rPr>
      <w:snapToGrid w:val="0"/>
      <w:sz w:val="24"/>
    </w:rPr>
  </w:style>
  <w:style w:type="paragraph" w:styleId="ListParagraph">
    <w:name w:val="List Paragraph"/>
    <w:basedOn w:val="Normal"/>
    <w:uiPriority w:val="34"/>
    <w:qFormat/>
    <w:rsid w:val="00D27AC9"/>
    <w:pPr>
      <w:ind w:left="720"/>
      <w:contextualSpacing/>
    </w:pPr>
  </w:style>
  <w:style w:type="character" w:styleId="CommentReference">
    <w:name w:val="annotation reference"/>
    <w:basedOn w:val="DefaultParagraphFont"/>
    <w:rsid w:val="00BF5DC1"/>
    <w:rPr>
      <w:sz w:val="16"/>
      <w:szCs w:val="16"/>
    </w:rPr>
  </w:style>
  <w:style w:type="paragraph" w:styleId="CommentText">
    <w:name w:val="annotation text"/>
    <w:basedOn w:val="Normal"/>
    <w:link w:val="CommentTextChar"/>
    <w:rsid w:val="00BF5DC1"/>
    <w:rPr>
      <w:sz w:val="20"/>
    </w:rPr>
  </w:style>
  <w:style w:type="character" w:customStyle="1" w:styleId="CommentTextChar">
    <w:name w:val="Comment Text Char"/>
    <w:basedOn w:val="DefaultParagraphFont"/>
    <w:link w:val="CommentText"/>
    <w:rsid w:val="00BF5DC1"/>
    <w:rPr>
      <w:snapToGrid w:val="0"/>
    </w:rPr>
  </w:style>
  <w:style w:type="paragraph" w:styleId="CommentSubject">
    <w:name w:val="annotation subject"/>
    <w:basedOn w:val="CommentText"/>
    <w:next w:val="CommentText"/>
    <w:link w:val="CommentSubjectChar"/>
    <w:rsid w:val="00BF5DC1"/>
    <w:rPr>
      <w:b/>
      <w:bCs/>
    </w:rPr>
  </w:style>
  <w:style w:type="character" w:customStyle="1" w:styleId="CommentSubjectChar">
    <w:name w:val="Comment Subject Char"/>
    <w:basedOn w:val="CommentTextChar"/>
    <w:link w:val="CommentSubject"/>
    <w:rsid w:val="00BF5DC1"/>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reasury.gov/resource-center/data-chart-center/tic/Pages/ticlaim.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ome.treasury.gov/data/treasury-international-capital-tic-system" TargetMode="External" /><Relationship Id="rId6" Type="http://schemas.openxmlformats.org/officeDocument/2006/relationships/hyperlink" Target="https://www.treasury.gov/resource-center/data-chart-center/tic/Pages/ticlaim.aspx" TargetMode="External" /><Relationship Id="rId7" Type="http://schemas.openxmlformats.org/officeDocument/2006/relationships/hyperlink" Target="https://www.treasury.gov/resource-center/data-chart-center/tic/Pages/ticliab.aspx" TargetMode="External" /><Relationship Id="rId8" Type="http://schemas.openxmlformats.org/officeDocument/2006/relationships/hyperlink" Target="https://www.treasury.gov/resource-center/data-chart-center/tic/Pages/external-debt.aspx" TargetMode="External" /><Relationship Id="rId9" Type="http://schemas.openxmlformats.org/officeDocument/2006/relationships/hyperlink" Target="http://www.treasury.gov/resource-center/data-chart-center/tic/Pages/forms-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13EE-2980-45D9-B584-C05C8356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3678</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Robert</dc:creator>
  <cp:lastModifiedBy>Clark, Spencer</cp:lastModifiedBy>
  <cp:revision>2</cp:revision>
  <dcterms:created xsi:type="dcterms:W3CDTF">2026-06-29T18:44:00Z</dcterms:created>
  <dcterms:modified xsi:type="dcterms:W3CDTF">2026-06-29T18:44:00Z</dcterms:modified>
</cp:coreProperties>
</file>