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40CCA" w:rsidRPr="00404A6F" w:rsidP="006829D1" w14:paraId="7FBFDA53" w14:textId="77777777">
      <w:pPr>
        <w:pStyle w:val="Heading1"/>
        <w:spacing w:before="0" w:after="0" w:line="240" w:lineRule="auto"/>
        <w:jc w:val="center"/>
        <w:rPr>
          <w:rFonts w:ascii="Times New Roman" w:hAnsi="Times New Roman" w:cs="Times New Roman"/>
          <w:color w:val="auto"/>
          <w:sz w:val="24"/>
          <w:szCs w:val="24"/>
          <w:u w:val="single"/>
        </w:rPr>
      </w:pPr>
      <w:r w:rsidRPr="00404A6F">
        <w:rPr>
          <w:rFonts w:ascii="Times New Roman" w:hAnsi="Times New Roman" w:cs="Times New Roman"/>
          <w:color w:val="auto"/>
          <w:sz w:val="24"/>
          <w:szCs w:val="24"/>
          <w:u w:val="single"/>
        </w:rPr>
        <w:t>Supporting Statement</w:t>
      </w:r>
      <w:r w:rsidRPr="00404A6F">
        <w:rPr>
          <w:rFonts w:ascii="Times New Roman" w:hAnsi="Times New Roman" w:cs="Times New Roman"/>
          <w:color w:val="auto"/>
          <w:sz w:val="24"/>
          <w:szCs w:val="24"/>
          <w:u w:val="single"/>
        </w:rPr>
        <w:br/>
        <w:t>OMB Control Number 1506-XXXX</w:t>
      </w:r>
    </w:p>
    <w:p w:rsidR="004A4F3C" w:rsidP="006829D1" w14:paraId="32B18D58" w14:textId="15845C34">
      <w:pPr>
        <w:spacing w:after="0" w:line="240" w:lineRule="auto"/>
        <w:jc w:val="center"/>
        <w:rPr>
          <w:rFonts w:ascii="Times New Roman" w:eastAsia="Aptos" w:hAnsi="Times New Roman" w:cs="Times New Roman"/>
          <w:kern w:val="2"/>
          <w:sz w:val="24"/>
          <w:szCs w:val="24"/>
          <w:u w:val="single"/>
        </w:rPr>
      </w:pPr>
      <w:r w:rsidRPr="00404A6F">
        <w:rPr>
          <w:rFonts w:ascii="Times New Roman" w:eastAsia="Aptos" w:hAnsi="Times New Roman" w:cs="Times New Roman"/>
          <w:kern w:val="2"/>
          <w:sz w:val="24"/>
          <w:szCs w:val="24"/>
          <w:u w:val="single"/>
        </w:rPr>
        <w:t xml:space="preserve">Permitted Payment Stablecoin Issuer </w:t>
      </w:r>
      <w:r w:rsidRPr="00404A6F" w:rsidR="003011CE">
        <w:rPr>
          <w:rFonts w:ascii="Times New Roman" w:eastAsia="Aptos" w:hAnsi="Times New Roman" w:cs="Times New Roman"/>
          <w:kern w:val="2"/>
          <w:sz w:val="24"/>
          <w:szCs w:val="24"/>
          <w:u w:val="single"/>
        </w:rPr>
        <w:t xml:space="preserve">(PPSI) </w:t>
      </w:r>
      <w:r w:rsidRPr="00404A6F">
        <w:rPr>
          <w:rFonts w:ascii="Times New Roman" w:eastAsia="Aptos" w:hAnsi="Times New Roman" w:cs="Times New Roman"/>
          <w:kern w:val="2"/>
          <w:sz w:val="24"/>
          <w:szCs w:val="24"/>
          <w:u w:val="single"/>
        </w:rPr>
        <w:t xml:space="preserve">Anti-Money Laundering/Countering the Financing of Terrorism </w:t>
      </w:r>
      <w:r w:rsidRPr="00404A6F" w:rsidR="00111A05">
        <w:rPr>
          <w:rFonts w:ascii="Times New Roman" w:eastAsia="Aptos" w:hAnsi="Times New Roman" w:cs="Times New Roman"/>
          <w:kern w:val="2"/>
          <w:sz w:val="24"/>
          <w:szCs w:val="24"/>
          <w:u w:val="single"/>
        </w:rPr>
        <w:t xml:space="preserve">(AML/CFT) </w:t>
      </w:r>
      <w:r w:rsidRPr="00404A6F">
        <w:rPr>
          <w:rFonts w:ascii="Times New Roman" w:eastAsia="Aptos" w:hAnsi="Times New Roman" w:cs="Times New Roman"/>
          <w:kern w:val="2"/>
          <w:sz w:val="24"/>
          <w:szCs w:val="24"/>
          <w:u w:val="single"/>
        </w:rPr>
        <w:t>Program Requirements</w:t>
      </w:r>
    </w:p>
    <w:p w:rsidR="006829D1" w:rsidRPr="00404A6F" w:rsidP="006829D1" w14:paraId="41477604" w14:textId="77777777">
      <w:pPr>
        <w:spacing w:after="0" w:line="240" w:lineRule="auto"/>
        <w:jc w:val="center"/>
        <w:rPr>
          <w:rFonts w:ascii="Times New Roman" w:eastAsia="Aptos" w:hAnsi="Times New Roman" w:cs="Times New Roman"/>
          <w:kern w:val="2"/>
          <w:sz w:val="24"/>
          <w:szCs w:val="24"/>
          <w:u w:val="single"/>
        </w:rPr>
      </w:pPr>
    </w:p>
    <w:p w:rsidR="00240CCA" w:rsidRPr="00404A6F" w:rsidP="006829D1" w14:paraId="5207E952" w14:textId="77777777">
      <w:pPr>
        <w:spacing w:after="0" w:line="240" w:lineRule="auto"/>
        <w:rPr>
          <w:rFonts w:ascii="Times New Roman" w:hAnsi="Times New Roman" w:cs="Times New Roman"/>
          <w:sz w:val="24"/>
          <w:szCs w:val="24"/>
        </w:rPr>
      </w:pPr>
      <w:r w:rsidRPr="00404A6F">
        <w:rPr>
          <w:rFonts w:ascii="Times New Roman" w:hAnsi="Times New Roman" w:cs="Times New Roman"/>
          <w:sz w:val="24"/>
          <w:szCs w:val="24"/>
        </w:rPr>
        <w:t xml:space="preserve">1. </w:t>
      </w:r>
      <w:r w:rsidRPr="00404A6F">
        <w:rPr>
          <w:rFonts w:ascii="Times New Roman" w:hAnsi="Times New Roman" w:cs="Times New Roman"/>
          <w:sz w:val="24"/>
          <w:szCs w:val="24"/>
          <w:u w:val="single"/>
        </w:rPr>
        <w:t>Circumstances necessitating collection of information.</w:t>
      </w:r>
      <w:r w:rsidRPr="00404A6F">
        <w:rPr>
          <w:rFonts w:ascii="Times New Roman" w:hAnsi="Times New Roman" w:cs="Times New Roman"/>
          <w:sz w:val="24"/>
          <w:szCs w:val="24"/>
        </w:rPr>
        <w:t xml:space="preserve"> </w:t>
      </w:r>
    </w:p>
    <w:p w:rsidR="006829D1" w:rsidP="006829D1" w14:paraId="168F3D01" w14:textId="77777777">
      <w:pPr>
        <w:pStyle w:val="NPRMBody"/>
        <w:rPr>
          <w:bCs w:val="0"/>
        </w:rPr>
      </w:pPr>
    </w:p>
    <w:p w:rsidR="00BF41B5" w:rsidRPr="00404A6F" w:rsidP="006829D1" w14:paraId="68389CE0" w14:textId="03CACFB6">
      <w:pPr>
        <w:pStyle w:val="NPRMBody"/>
      </w:pPr>
      <w:r w:rsidRPr="00404A6F">
        <w:rPr>
          <w:bCs w:val="0"/>
        </w:rPr>
        <w:t xml:space="preserve">The Financial Crimes Enforcement Network (FinCEN) is issuing this statement </w:t>
      </w:r>
      <w:r w:rsidRPr="00404A6F" w:rsidR="009D7831">
        <w:rPr>
          <w:bCs w:val="0"/>
        </w:rPr>
        <w:t>to support</w:t>
      </w:r>
      <w:r w:rsidRPr="00404A6F">
        <w:rPr>
          <w:bCs w:val="0"/>
        </w:rPr>
        <w:t xml:space="preserve"> its request that the Office of Management and Budget (OMB) approve a proposed collection of information </w:t>
      </w:r>
      <w:r w:rsidRPr="00404A6F" w:rsidR="00AB6CD9">
        <w:rPr>
          <w:bCs w:val="0"/>
        </w:rPr>
        <w:t xml:space="preserve">associated with </w:t>
      </w:r>
      <w:r w:rsidRPr="00404A6F">
        <w:rPr>
          <w:bCs w:val="0"/>
        </w:rPr>
        <w:t xml:space="preserve">a notice of proposed rulemaking (NPRM) </w:t>
      </w:r>
      <w:r w:rsidRPr="00404A6F" w:rsidR="007B07BB">
        <w:rPr>
          <w:bCs w:val="0"/>
        </w:rPr>
        <w:t>under</w:t>
      </w:r>
      <w:r w:rsidRPr="00404A6F">
        <w:rPr>
          <w:bCs w:val="0"/>
        </w:rPr>
        <w:t xml:space="preserve"> the Bank Secrecy Act (BSA)</w:t>
      </w:r>
      <w:r w:rsidRPr="00404A6F" w:rsidR="00646652">
        <w:rPr>
          <w:bCs w:val="0"/>
        </w:rPr>
        <w:t xml:space="preserve"> and the Guiding </w:t>
      </w:r>
      <w:r w:rsidRPr="00404A6F" w:rsidR="00447E99">
        <w:rPr>
          <w:bCs w:val="0"/>
        </w:rPr>
        <w:t>and Establishing National Innovation for U.S. Stablecoins Act (GENIUS Act)</w:t>
      </w:r>
      <w:r w:rsidRPr="00404A6F">
        <w:rPr>
          <w:bCs w:val="0"/>
        </w:rPr>
        <w:t>.</w:t>
      </w:r>
      <w:r>
        <w:rPr>
          <w:rStyle w:val="FootnoteReference"/>
          <w:bCs w:val="0"/>
        </w:rPr>
        <w:footnoteReference w:id="2"/>
      </w:r>
      <w:r w:rsidRPr="00404A6F" w:rsidR="00464CF5">
        <w:rPr>
          <w:bCs w:val="0"/>
          <w:vertAlign w:val="superscript"/>
        </w:rPr>
        <w:t>,</w:t>
      </w:r>
      <w:r>
        <w:rPr>
          <w:rStyle w:val="FootnoteReference"/>
          <w:bCs w:val="0"/>
        </w:rPr>
        <w:footnoteReference w:id="3"/>
      </w:r>
      <w:r w:rsidRPr="00404A6F" w:rsidR="00DD0C2F">
        <w:rPr>
          <w:bCs w:val="0"/>
        </w:rPr>
        <w:t xml:space="preserve">  </w:t>
      </w:r>
      <w:r w:rsidRPr="00404A6F" w:rsidR="00804C12">
        <w:rPr>
          <w:bCs w:val="0"/>
        </w:rPr>
        <w:t>O</w:t>
      </w:r>
      <w:r w:rsidRPr="00404A6F" w:rsidR="003D6DB0">
        <w:rPr>
          <w:bCs w:val="0"/>
        </w:rPr>
        <w:t xml:space="preserve">n April </w:t>
      </w:r>
      <w:r w:rsidRPr="00404A6F" w:rsidR="00804C12">
        <w:rPr>
          <w:bCs w:val="0"/>
        </w:rPr>
        <w:t>10</w:t>
      </w:r>
      <w:r w:rsidRPr="00404A6F" w:rsidR="003D6DB0">
        <w:rPr>
          <w:bCs w:val="0"/>
        </w:rPr>
        <w:t xml:space="preserve">, 2026, </w:t>
      </w:r>
      <w:r w:rsidRPr="00404A6F" w:rsidR="006448F2">
        <w:rPr>
          <w:bCs w:val="0"/>
        </w:rPr>
        <w:t>FinCEN and the</w:t>
      </w:r>
      <w:r w:rsidRPr="00404A6F" w:rsidR="003D6DB0">
        <w:rPr>
          <w:bCs w:val="0"/>
        </w:rPr>
        <w:t xml:space="preserve"> </w:t>
      </w:r>
      <w:r w:rsidRPr="00404A6F" w:rsidR="001E36D4">
        <w:rPr>
          <w:bCs w:val="0"/>
        </w:rPr>
        <w:t>Office of Foreign Assets Control (OFAC)</w:t>
      </w:r>
      <w:r w:rsidRPr="00404A6F" w:rsidR="00CC280F">
        <w:rPr>
          <w:bCs w:val="0"/>
        </w:rPr>
        <w:t xml:space="preserve"> </w:t>
      </w:r>
      <w:r w:rsidRPr="00404A6F" w:rsidR="003D6DB0">
        <w:rPr>
          <w:bCs w:val="0"/>
        </w:rPr>
        <w:t xml:space="preserve">published in the </w:t>
      </w:r>
      <w:r w:rsidRPr="00404A6F" w:rsidR="003D6DB0">
        <w:rPr>
          <w:bCs w:val="0"/>
          <w:i/>
          <w:iCs/>
        </w:rPr>
        <w:t>Federal Register</w:t>
      </w:r>
      <w:r w:rsidRPr="00404A6F" w:rsidR="003D6DB0">
        <w:rPr>
          <w:bCs w:val="0"/>
        </w:rPr>
        <w:t xml:space="preserve"> a </w:t>
      </w:r>
      <w:r w:rsidRPr="00404A6F" w:rsidR="00956D33">
        <w:rPr>
          <w:bCs w:val="0"/>
        </w:rPr>
        <w:t xml:space="preserve">joint </w:t>
      </w:r>
      <w:r w:rsidRPr="00404A6F" w:rsidR="003D6DB0">
        <w:rPr>
          <w:bCs w:val="0"/>
        </w:rPr>
        <w:t>notice and request for comments</w:t>
      </w:r>
      <w:r w:rsidRPr="00404A6F" w:rsidR="00635412">
        <w:rPr>
          <w:bCs w:val="0"/>
        </w:rPr>
        <w:t xml:space="preserve"> on a proposed rule</w:t>
      </w:r>
      <w:r w:rsidRPr="00404A6F" w:rsidR="009514DF">
        <w:rPr>
          <w:bCs w:val="0"/>
        </w:rPr>
        <w:t xml:space="preserve"> </w:t>
      </w:r>
      <w:r w:rsidRPr="00404A6F" w:rsidR="00485E68">
        <w:rPr>
          <w:bCs w:val="0"/>
        </w:rPr>
        <w:t>(the PPSI AML/CFT Program NPRM)</w:t>
      </w:r>
      <w:r>
        <w:rPr>
          <w:rStyle w:val="FootnoteReference"/>
          <w:bCs w:val="0"/>
        </w:rPr>
        <w:footnoteReference w:id="4"/>
      </w:r>
      <w:r w:rsidRPr="00404A6F" w:rsidR="00485E68">
        <w:rPr>
          <w:bCs w:val="0"/>
        </w:rPr>
        <w:t xml:space="preserve"> </w:t>
      </w:r>
      <w:r w:rsidRPr="00404A6F" w:rsidR="009514DF">
        <w:rPr>
          <w:bCs w:val="0"/>
        </w:rPr>
        <w:t xml:space="preserve">to implement </w:t>
      </w:r>
      <w:r w:rsidRPr="00404A6F" w:rsidR="007B07BB">
        <w:rPr>
          <w:bCs w:val="0"/>
        </w:rPr>
        <w:t xml:space="preserve">provisions of </w:t>
      </w:r>
      <w:r w:rsidRPr="00404A6F" w:rsidR="009514DF">
        <w:rPr>
          <w:bCs w:val="0"/>
        </w:rPr>
        <w:t xml:space="preserve">the </w:t>
      </w:r>
      <w:r w:rsidRPr="00404A6F" w:rsidR="007B07BB">
        <w:rPr>
          <w:bCs w:val="0"/>
        </w:rPr>
        <w:t>GENIUS Act.</w:t>
      </w:r>
      <w:r>
        <w:rPr>
          <w:rStyle w:val="FootnoteReference"/>
          <w:bCs w:val="0"/>
        </w:rPr>
        <w:footnoteReference w:id="5"/>
      </w:r>
      <w:r w:rsidRPr="00404A6F" w:rsidR="007B07BB">
        <w:rPr>
          <w:bCs w:val="0"/>
        </w:rPr>
        <w:t xml:space="preserve">  Specifically, the proposed rule would implement the </w:t>
      </w:r>
      <w:r w:rsidRPr="00404A6F" w:rsidR="009514DF">
        <w:rPr>
          <w:bCs w:val="0"/>
        </w:rPr>
        <w:t xml:space="preserve">GENIUS Act’s directive to treat </w:t>
      </w:r>
      <w:r w:rsidRPr="00404A6F" w:rsidR="00880F74">
        <w:rPr>
          <w:bCs w:val="0"/>
        </w:rPr>
        <w:t xml:space="preserve">permitted payment stablecoin issuers (PPSIs) </w:t>
      </w:r>
      <w:r w:rsidRPr="00404A6F" w:rsidR="009514DF">
        <w:rPr>
          <w:bCs w:val="0"/>
        </w:rPr>
        <w:t>as financial institutions for purposes of the BSA</w:t>
      </w:r>
      <w:r w:rsidRPr="00404A6F" w:rsidR="009C02E8">
        <w:rPr>
          <w:bCs w:val="0"/>
        </w:rPr>
        <w:t>.</w:t>
      </w:r>
      <w:r w:rsidRPr="00404A6F" w:rsidR="00FD7890">
        <w:rPr>
          <w:bCs w:val="0"/>
        </w:rPr>
        <w:t xml:space="preserve">  </w:t>
      </w:r>
      <w:r w:rsidRPr="00404A6F" w:rsidR="00FD7890">
        <w:t xml:space="preserve">The proposed rule would require PPSIs to, among other things, establish and maintain </w:t>
      </w:r>
      <w:r w:rsidRPr="00404A6F" w:rsidR="00835D00">
        <w:t xml:space="preserve">an </w:t>
      </w:r>
      <w:r w:rsidRPr="00404A6F">
        <w:rPr>
          <w:rFonts w:eastAsia="Times New Roman"/>
        </w:rPr>
        <w:t xml:space="preserve">anti-money laundering/countering the financing of terrorism (AML/CFT) program, and comply with other recordkeeping and reporting requirements under the </w:t>
      </w:r>
      <w:r w:rsidRPr="00404A6F">
        <w:t>BSA</w:t>
      </w:r>
      <w:r w:rsidRPr="00404A6F" w:rsidR="00835D00">
        <w:t xml:space="preserve"> and the GENIUS Act</w:t>
      </w:r>
      <w:r w:rsidRPr="00404A6F">
        <w:rPr>
          <w:rFonts w:eastAsia="Times New Roman"/>
        </w:rPr>
        <w:t>.</w:t>
      </w:r>
    </w:p>
    <w:p w:rsidR="007B07BB" w:rsidRPr="00404A6F" w:rsidP="006829D1" w14:paraId="2EFBAB9B" w14:textId="77777777">
      <w:pPr>
        <w:pStyle w:val="NPRMBody"/>
      </w:pPr>
    </w:p>
    <w:p w:rsidR="00240CCA" w:rsidRPr="00404A6F" w:rsidP="006829D1" w14:paraId="23C5AF28" w14:textId="77777777">
      <w:pPr>
        <w:spacing w:after="0" w:line="240" w:lineRule="auto"/>
        <w:rPr>
          <w:rFonts w:ascii="Times New Roman" w:hAnsi="Times New Roman" w:cs="Times New Roman"/>
          <w:sz w:val="24"/>
          <w:szCs w:val="24"/>
          <w:u w:val="single"/>
        </w:rPr>
      </w:pPr>
      <w:r w:rsidRPr="00404A6F">
        <w:rPr>
          <w:rFonts w:ascii="Times New Roman" w:hAnsi="Times New Roman" w:cs="Times New Roman"/>
          <w:sz w:val="24"/>
          <w:szCs w:val="24"/>
        </w:rPr>
        <w:t xml:space="preserve">2. </w:t>
      </w:r>
      <w:r w:rsidRPr="00404A6F">
        <w:rPr>
          <w:rFonts w:ascii="Times New Roman" w:hAnsi="Times New Roman" w:cs="Times New Roman"/>
          <w:sz w:val="24"/>
          <w:szCs w:val="24"/>
          <w:u w:val="single"/>
        </w:rPr>
        <w:t>Method of collection and use of data.</w:t>
      </w:r>
    </w:p>
    <w:p w:rsidR="006829D1" w:rsidP="006829D1" w14:paraId="7B3AFC6F" w14:textId="77777777">
      <w:pPr>
        <w:pStyle w:val="NPRMBody"/>
      </w:pPr>
    </w:p>
    <w:p w:rsidR="00BF41B5" w:rsidRPr="00404A6F" w:rsidP="006829D1" w14:paraId="731883B3" w14:textId="6D8750FD">
      <w:pPr>
        <w:pStyle w:val="NPRMBody"/>
      </w:pPr>
      <w:r w:rsidRPr="00404A6F">
        <w:t xml:space="preserve">The proposed rule would require PPSIs to </w:t>
      </w:r>
      <w:r w:rsidRPr="00404A6F" w:rsidR="00D102CB">
        <w:t>establish and maintain</w:t>
      </w:r>
      <w:r w:rsidRPr="00404A6F">
        <w:t xml:space="preserve"> </w:t>
      </w:r>
      <w:r w:rsidRPr="00404A6F" w:rsidR="00D102CB">
        <w:t xml:space="preserve">an </w:t>
      </w:r>
      <w:r w:rsidRPr="00404A6F">
        <w:t xml:space="preserve">AML/CFT program, file suspicious activity reports (SARs) and currency transaction reports (CTRs), </w:t>
      </w:r>
      <w:r w:rsidRPr="00404A6F" w:rsidR="00D102CB">
        <w:t xml:space="preserve">conduct ongoing customer due diligence, </w:t>
      </w:r>
      <w:r w:rsidRPr="00404A6F">
        <w:t xml:space="preserve">record originator and beneficiary information for transactions, </w:t>
      </w:r>
      <w:r w:rsidRPr="00404A6F" w:rsidR="00D102CB">
        <w:t xml:space="preserve">implement </w:t>
      </w:r>
      <w:r w:rsidRPr="00404A6F" w:rsidR="00080EB4">
        <w:t xml:space="preserve">special </w:t>
      </w:r>
      <w:r w:rsidRPr="00404A6F" w:rsidR="00D102CB">
        <w:t>information sharing procedures</w:t>
      </w:r>
      <w:r w:rsidRPr="00404A6F">
        <w:t>, and implement special due diligence measures for correspondent and private banking accounts.</w:t>
      </w:r>
    </w:p>
    <w:p w:rsidR="00BF41B5" w:rsidRPr="00404A6F" w:rsidP="006829D1" w14:paraId="162AE8F8" w14:textId="77777777">
      <w:pPr>
        <w:pStyle w:val="NPRMBody"/>
      </w:pPr>
    </w:p>
    <w:p w:rsidR="00EB267C" w:rsidRPr="00404A6F" w:rsidP="006829D1" w14:paraId="18B60B65" w14:textId="6AEBC5F2">
      <w:pPr>
        <w:pStyle w:val="NPRMBody"/>
      </w:pPr>
      <w:r w:rsidRPr="00404A6F">
        <w:t>The proposed requirements</w:t>
      </w:r>
      <w:r w:rsidRPr="00404A6F" w:rsidR="00B66054">
        <w:t xml:space="preserve"> would</w:t>
      </w:r>
      <w:r w:rsidRPr="00404A6F" w:rsidR="00635CAF">
        <w:t xml:space="preserve"> help to ensure that PPSIs comply with the </w:t>
      </w:r>
      <w:r w:rsidRPr="00404A6F" w:rsidR="002E3FB2">
        <w:t xml:space="preserve">GENIUS Act and the </w:t>
      </w:r>
      <w:r w:rsidRPr="00404A6F" w:rsidR="00635CAF">
        <w:t xml:space="preserve">BSA, including requirements related to retention and maintenance of reports and records, and ensure that such institutions are not used to facilitate money laundering or terrorist financing.  </w:t>
      </w:r>
      <w:r w:rsidRPr="00404A6F" w:rsidR="00635CAF">
        <w:rPr>
          <w:rFonts w:eastAsia="MS Mincho"/>
        </w:rPr>
        <w:t>These requirements will assist law enforcement in financial investigations, protect against terrorism and strengthen national security</w:t>
      </w:r>
      <w:r w:rsidRPr="00404A6F" w:rsidR="00880F74">
        <w:rPr>
          <w:rFonts w:eastAsia="MS Mincho"/>
        </w:rPr>
        <w:t xml:space="preserve"> and </w:t>
      </w:r>
      <w:r w:rsidRPr="00404A6F" w:rsidR="00635CAF">
        <w:rPr>
          <w:rFonts w:eastAsia="MS Mincho"/>
        </w:rPr>
        <w:t>improve financial institutions’ ability to assess and mitigate risk</w:t>
      </w:r>
      <w:r w:rsidRPr="00404A6F" w:rsidR="00C6073C">
        <w:rPr>
          <w:rFonts w:eastAsia="MS Mincho"/>
        </w:rPr>
        <w:t>.</w:t>
      </w:r>
      <w:r w:rsidRPr="00404A6F" w:rsidR="00635CAF">
        <w:t xml:space="preserve">  Compliance with these requirements will be reviewed by Federal agencies</w:t>
      </w:r>
      <w:r w:rsidRPr="00404A6F" w:rsidR="00184F33">
        <w:t xml:space="preserve"> </w:t>
      </w:r>
      <w:r w:rsidRPr="00404A6F" w:rsidR="00880F74">
        <w:t xml:space="preserve">and the Internal Revenue Service </w:t>
      </w:r>
      <w:r w:rsidRPr="00404A6F" w:rsidR="00184F33">
        <w:t xml:space="preserve">to which FinCEN has </w:t>
      </w:r>
      <w:r w:rsidRPr="00404A6F" w:rsidR="00880F74">
        <w:t xml:space="preserve">proposed delegating </w:t>
      </w:r>
      <w:r w:rsidRPr="00404A6F" w:rsidR="00184F33">
        <w:t>examination authority</w:t>
      </w:r>
      <w:r w:rsidRPr="00404A6F" w:rsidR="00635CAF">
        <w:t>.</w:t>
      </w:r>
    </w:p>
    <w:p w:rsidR="00816AC3" w:rsidRPr="00404A6F" w:rsidP="006829D1" w14:paraId="18E08C52" w14:textId="77777777">
      <w:pPr>
        <w:spacing w:after="0" w:line="240" w:lineRule="auto"/>
        <w:ind w:firstLine="720"/>
        <w:rPr>
          <w:rFonts w:ascii="Times New Roman" w:hAnsi="Times New Roman" w:cs="Times New Roman"/>
          <w:sz w:val="24"/>
          <w:szCs w:val="24"/>
        </w:rPr>
      </w:pPr>
    </w:p>
    <w:p w:rsidR="00D10BB5" w:rsidRPr="00404A6F" w:rsidP="006829D1" w14:paraId="2B1B797C" w14:textId="160BD4CB">
      <w:pPr>
        <w:spacing w:after="0" w:line="240" w:lineRule="auto"/>
        <w:ind w:firstLine="720"/>
        <w:rPr>
          <w:rFonts w:ascii="Times New Roman" w:hAnsi="Times New Roman" w:cs="Times New Roman"/>
          <w:sz w:val="24"/>
          <w:szCs w:val="24"/>
        </w:rPr>
      </w:pPr>
      <w:r w:rsidRPr="00404A6F">
        <w:rPr>
          <w:rFonts w:ascii="Times New Roman" w:hAnsi="Times New Roman" w:cs="Times New Roman"/>
          <w:sz w:val="24"/>
          <w:szCs w:val="24"/>
        </w:rPr>
        <w:t xml:space="preserve">The proposed rule would require PPSIs to </w:t>
      </w:r>
      <w:r w:rsidRPr="00404A6F">
        <w:rPr>
          <w:rFonts w:ascii="Times New Roman" w:hAnsi="Times New Roman" w:cs="Times New Roman"/>
          <w:sz w:val="24"/>
          <w:szCs w:val="24"/>
        </w:rPr>
        <w:t>submit SARs and CTRs to FinCEN electronically via the BSA E-filing system.  FinCEN’s system of records for SARs is the Suspicious Activity Report System (the “SAR System”) - Treasury/FinCEN.002.</w:t>
      </w:r>
      <w:r>
        <w:rPr>
          <w:rStyle w:val="FootnoteReference"/>
          <w:rFonts w:ascii="Times New Roman" w:hAnsi="Times New Roman" w:cs="Times New Roman"/>
          <w:sz w:val="24"/>
          <w:szCs w:val="24"/>
        </w:rPr>
        <w:footnoteReference w:id="6"/>
      </w:r>
      <w:r w:rsidRPr="00404A6F">
        <w:rPr>
          <w:rFonts w:ascii="Times New Roman" w:hAnsi="Times New Roman" w:cs="Times New Roman"/>
          <w:sz w:val="24"/>
          <w:szCs w:val="24"/>
        </w:rPr>
        <w:t xml:space="preserve">  </w:t>
      </w:r>
      <w:r w:rsidRPr="00404A6F">
        <w:rPr>
          <w:rFonts w:ascii="Times New Roman" w:hAnsi="Times New Roman" w:eastAsiaTheme="majorEastAsia" w:cs="Times New Roman"/>
          <w:bCs/>
          <w:sz w:val="24"/>
          <w:szCs w:val="24"/>
          <w14:ligatures w14:val="none"/>
        </w:rPr>
        <w:t>FinCEN’s system of records for CTRs is the Bank Secrecy Act Reports System (the “BSA System”) - Treasury/FinCEN.003.</w:t>
      </w:r>
      <w:r>
        <w:rPr>
          <w:rFonts w:ascii="Times New Roman" w:hAnsi="Times New Roman" w:eastAsiaTheme="majorEastAsia" w:cs="Times New Roman"/>
          <w:bCs/>
          <w:sz w:val="24"/>
          <w:szCs w:val="24"/>
          <w:vertAlign w:val="superscript"/>
          <w14:ligatures w14:val="none"/>
        </w:rPr>
        <w:footnoteReference w:id="7"/>
      </w:r>
      <w:r w:rsidRPr="00404A6F">
        <w:rPr>
          <w:rFonts w:ascii="Times New Roman" w:hAnsi="Times New Roman" w:eastAsiaTheme="majorEastAsia" w:cs="Times New Roman"/>
          <w:bCs/>
          <w:sz w:val="24"/>
          <w:szCs w:val="24"/>
          <w14:ligatures w14:val="none"/>
        </w:rPr>
        <w:t xml:space="preserve">  </w:t>
      </w:r>
      <w:r w:rsidRPr="00404A6F">
        <w:rPr>
          <w:rFonts w:ascii="Times New Roman" w:hAnsi="Times New Roman" w:cs="Times New Roman"/>
          <w:sz w:val="24"/>
          <w:szCs w:val="24"/>
        </w:rPr>
        <w:t xml:space="preserve">The SAR System </w:t>
      </w:r>
      <w:r w:rsidRPr="00404A6F" w:rsidR="000F7D25">
        <w:rPr>
          <w:rFonts w:ascii="Times New Roman" w:hAnsi="Times New Roman" w:cs="Times New Roman"/>
          <w:sz w:val="24"/>
          <w:szCs w:val="24"/>
        </w:rPr>
        <w:t>and the BSA System are</w:t>
      </w:r>
      <w:r w:rsidRPr="00404A6F">
        <w:rPr>
          <w:rFonts w:ascii="Times New Roman" w:hAnsi="Times New Roman" w:cs="Times New Roman"/>
          <w:sz w:val="24"/>
          <w:szCs w:val="24"/>
        </w:rPr>
        <w:t xml:space="preserve"> maintained for the purpose of permitting coordinated and enhanced analysis and tracking, and rapid dissemination of SAR </w:t>
      </w:r>
      <w:r w:rsidR="00CE3523">
        <w:rPr>
          <w:rFonts w:ascii="Times New Roman" w:hAnsi="Times New Roman" w:cs="Times New Roman"/>
          <w:sz w:val="24"/>
          <w:szCs w:val="24"/>
        </w:rPr>
        <w:t xml:space="preserve">and CTR </w:t>
      </w:r>
      <w:r w:rsidRPr="00404A6F">
        <w:rPr>
          <w:rFonts w:ascii="Times New Roman" w:hAnsi="Times New Roman" w:cs="Times New Roman"/>
          <w:sz w:val="24"/>
          <w:szCs w:val="24"/>
        </w:rPr>
        <w:t xml:space="preserve">information.  The information is </w:t>
      </w:r>
      <w:r w:rsidRPr="00404A6F" w:rsidR="005E48F3">
        <w:rPr>
          <w:rFonts w:ascii="Times New Roman" w:hAnsi="Times New Roman" w:cs="Times New Roman"/>
          <w:sz w:val="24"/>
          <w:szCs w:val="24"/>
        </w:rPr>
        <w:t xml:space="preserve">made available </w:t>
      </w:r>
      <w:r w:rsidRPr="00404A6F">
        <w:rPr>
          <w:rFonts w:ascii="Times New Roman" w:hAnsi="Times New Roman" w:cs="Times New Roman"/>
          <w:sz w:val="24"/>
          <w:szCs w:val="24"/>
        </w:rPr>
        <w:t>to Federal, state, and local agencies that engage in criminal, regulatory and tax investigations and proceedings, agencies that engage in intelligence and counterintelligence activities, including analysis, to protect against international terrorism, certain self-regulatory organizations, appropriate foreign agencies, and foreign financial intelligence units</w:t>
      </w:r>
    </w:p>
    <w:p w:rsidR="00F25DD3" w:rsidRPr="00404A6F" w:rsidP="006829D1" w14:paraId="3CE9630A" w14:textId="77777777">
      <w:pPr>
        <w:spacing w:after="0" w:line="240" w:lineRule="auto"/>
        <w:ind w:firstLine="720"/>
        <w:rPr>
          <w:rFonts w:ascii="Times New Roman" w:hAnsi="Times New Roman" w:cs="Times New Roman"/>
          <w:sz w:val="24"/>
          <w:szCs w:val="24"/>
        </w:rPr>
      </w:pPr>
    </w:p>
    <w:p w:rsidR="000367A0" w:rsidP="006829D1" w14:paraId="4DD25B24" w14:textId="259D6FEB">
      <w:pPr>
        <w:spacing w:after="0" w:line="240" w:lineRule="auto"/>
        <w:ind w:firstLine="720"/>
        <w:rPr>
          <w:rFonts w:ascii="Times New Roman" w:hAnsi="Times New Roman" w:cs="Times New Roman"/>
          <w:bCs/>
          <w:sz w:val="24"/>
          <w:szCs w:val="24"/>
        </w:rPr>
      </w:pPr>
      <w:r w:rsidRPr="00404A6F">
        <w:rPr>
          <w:rFonts w:ascii="Times New Roman" w:hAnsi="Times New Roman" w:cs="Times New Roman"/>
          <w:sz w:val="24"/>
          <w:szCs w:val="24"/>
        </w:rPr>
        <w:t xml:space="preserve">The proposed rule would require PPSIs to upon FinCEN’s request (a “Section 314(a) Request”), search their records to determine whether they have maintained an account or conducted a transaction with a </w:t>
      </w:r>
      <w:r w:rsidRPr="00404A6F">
        <w:rPr>
          <w:rFonts w:ascii="Times New Roman" w:hAnsi="Times New Roman" w:cs="Times New Roman"/>
          <w:bCs/>
          <w:sz w:val="24"/>
          <w:szCs w:val="24"/>
        </w:rPr>
        <w:t>specified individual, entity, or organization.</w:t>
      </w:r>
      <w:r w:rsidRPr="00404A6F" w:rsidR="001E30C1">
        <w:rPr>
          <w:rFonts w:ascii="Times New Roman" w:hAnsi="Times New Roman" w:cs="Times New Roman"/>
          <w:bCs/>
          <w:sz w:val="24"/>
          <w:szCs w:val="24"/>
        </w:rPr>
        <w:t xml:space="preserve">  PPSI would be required to report any positive matches to FinCEN via FinCEN’s secure portal.  </w:t>
      </w:r>
      <w:r w:rsidRPr="00404A6F" w:rsidR="000B5D2D">
        <w:rPr>
          <w:rFonts w:ascii="Times New Roman" w:hAnsi="Times New Roman" w:cs="Times New Roman"/>
          <w:bCs/>
          <w:sz w:val="24"/>
          <w:szCs w:val="24"/>
        </w:rPr>
        <w:t xml:space="preserve">Responses to Section 314(a) Requests provide lead information only to </w:t>
      </w:r>
      <w:r w:rsidRPr="00404A6F" w:rsidR="00B0702E">
        <w:rPr>
          <w:rFonts w:ascii="Times New Roman" w:hAnsi="Times New Roman" w:cs="Times New Roman"/>
          <w:bCs/>
          <w:sz w:val="24"/>
          <w:szCs w:val="24"/>
        </w:rPr>
        <w:t>Federal, state, local, and foreign (European Union) law enforcement agencies or to FinCEN and other appropriate components of Treasury</w:t>
      </w:r>
      <w:r w:rsidRPr="00404A6F" w:rsidR="00F25DD3">
        <w:rPr>
          <w:rFonts w:ascii="Times New Roman" w:hAnsi="Times New Roman" w:cs="Times New Roman"/>
          <w:bCs/>
          <w:sz w:val="24"/>
          <w:szCs w:val="24"/>
        </w:rPr>
        <w:t>.</w:t>
      </w:r>
    </w:p>
    <w:p w:rsidR="006829D1" w:rsidRPr="00404A6F" w:rsidP="006829D1" w14:paraId="28F9E912" w14:textId="77777777">
      <w:pPr>
        <w:spacing w:after="0" w:line="240" w:lineRule="auto"/>
        <w:ind w:firstLine="720"/>
        <w:rPr>
          <w:rFonts w:ascii="Times New Roman" w:hAnsi="Times New Roman" w:cs="Times New Roman"/>
          <w:sz w:val="24"/>
          <w:szCs w:val="24"/>
        </w:rPr>
      </w:pPr>
    </w:p>
    <w:p w:rsidR="00240CCA" w:rsidRPr="00404A6F" w:rsidP="006829D1" w14:paraId="71DD532A" w14:textId="77777777">
      <w:pPr>
        <w:spacing w:after="0" w:line="240" w:lineRule="auto"/>
        <w:rPr>
          <w:rFonts w:ascii="Times New Roman" w:hAnsi="Times New Roman" w:cs="Times New Roman"/>
          <w:sz w:val="24"/>
          <w:szCs w:val="24"/>
        </w:rPr>
      </w:pPr>
      <w:r w:rsidRPr="00404A6F">
        <w:rPr>
          <w:rFonts w:ascii="Times New Roman" w:hAnsi="Times New Roman" w:cs="Times New Roman"/>
          <w:sz w:val="24"/>
          <w:szCs w:val="24"/>
        </w:rPr>
        <w:t xml:space="preserve">3. </w:t>
      </w:r>
      <w:r w:rsidRPr="00404A6F">
        <w:rPr>
          <w:rFonts w:ascii="Times New Roman" w:hAnsi="Times New Roman" w:cs="Times New Roman"/>
          <w:sz w:val="24"/>
          <w:szCs w:val="24"/>
          <w:u w:val="single"/>
        </w:rPr>
        <w:t>Use of improved information technology to reduce burden.</w:t>
      </w:r>
      <w:r w:rsidRPr="00404A6F">
        <w:rPr>
          <w:rFonts w:ascii="Times New Roman" w:hAnsi="Times New Roman" w:cs="Times New Roman"/>
          <w:sz w:val="24"/>
          <w:szCs w:val="24"/>
        </w:rPr>
        <w:t xml:space="preserve"> </w:t>
      </w:r>
    </w:p>
    <w:p w:rsidR="006829D1" w:rsidP="006829D1" w14:paraId="42954A1C" w14:textId="77777777">
      <w:pPr>
        <w:pStyle w:val="Default"/>
        <w:ind w:firstLine="720"/>
      </w:pPr>
    </w:p>
    <w:p w:rsidR="00816AC3" w:rsidRPr="00404A6F" w:rsidP="006829D1" w14:paraId="67E03404" w14:textId="166F301B">
      <w:pPr>
        <w:pStyle w:val="Default"/>
        <w:ind w:firstLine="720"/>
      </w:pPr>
      <w:r w:rsidRPr="00404A6F">
        <w:t xml:space="preserve">FinCEN expects that compliance with the requirements will necessitate the use of information technology systems to file the information requested by FinCEN.  </w:t>
      </w:r>
      <w:r w:rsidRPr="00404A6F" w:rsidR="00FB3A7A">
        <w:t xml:space="preserve">PPSIs </w:t>
      </w:r>
      <w:r w:rsidRPr="00404A6F" w:rsidR="004F4BCE">
        <w:t>may</w:t>
      </w:r>
      <w:r w:rsidRPr="00404A6F" w:rsidR="00452C5E">
        <w:t xml:space="preserve"> —but are not required—to</w:t>
      </w:r>
      <w:r w:rsidRPr="00404A6F" w:rsidR="00FB3A7A">
        <w:t xml:space="preserve"> automate their AML/CFT program to meet their requirements.  </w:t>
      </w:r>
      <w:r w:rsidRPr="00404A6F" w:rsidR="00BF41B5">
        <w:t xml:space="preserve">As it relates to </w:t>
      </w:r>
      <w:r w:rsidRPr="00404A6F" w:rsidR="00BF32F2">
        <w:t xml:space="preserve">PPSIs </w:t>
      </w:r>
      <w:r w:rsidRPr="00404A6F" w:rsidR="00BF41B5">
        <w:t>filing SARs</w:t>
      </w:r>
      <w:r w:rsidRPr="00404A6F" w:rsidR="00BF32F2">
        <w:t xml:space="preserve"> and CTRs, FinCEN expects that compliance with the requirements will necessitate the use of information technology systems to file the information requested by FinCEN.  Reports will be filed electronically through the BSA E-Filing System.  BSA E-Filing provides a fast, secure, convenient, and cost-effective method for submitting BSA reports.</w:t>
      </w:r>
      <w:r w:rsidRPr="00404A6F">
        <w:t xml:space="preserve">  </w:t>
      </w:r>
      <w:r w:rsidRPr="00404A6F">
        <w:rPr>
          <w:color w:val="auto"/>
        </w:rPr>
        <w:t xml:space="preserve">As it relates to PPSIs responding to 314(a) Request, FinCEN </w:t>
      </w:r>
      <w:r w:rsidRPr="00404A6F">
        <w:t xml:space="preserve">posts 314(a) Request files to its secure portal.  The files are available for download in .csv, .txt, and .doc.  Providing downloads in multiple formats would reduce burden on PPSI by allowing them to automate the search of their records in a format that is compatible with their software and systems.  PPSIs would file positive responses to 314(a) Requests through FinCEN’s secure portal.    </w:t>
      </w:r>
    </w:p>
    <w:p w:rsidR="00816AC3" w:rsidRPr="00404A6F" w:rsidP="006829D1" w14:paraId="0C7AE6EE" w14:textId="1F386322">
      <w:pPr>
        <w:pStyle w:val="NPRMBody"/>
        <w:rPr>
          <w:color w:val="0F4761" w:themeColor="accent1" w:themeShade="BF"/>
        </w:rPr>
      </w:pPr>
    </w:p>
    <w:p w:rsidR="00240CCA" w:rsidRPr="00404A6F" w:rsidP="006829D1" w14:paraId="52CC76F4" w14:textId="77777777">
      <w:pPr>
        <w:spacing w:after="0" w:line="240" w:lineRule="auto"/>
        <w:rPr>
          <w:rFonts w:ascii="Times New Roman" w:hAnsi="Times New Roman" w:cs="Times New Roman"/>
          <w:sz w:val="24"/>
          <w:szCs w:val="24"/>
          <w:u w:val="single"/>
        </w:rPr>
      </w:pPr>
      <w:r w:rsidRPr="00404A6F">
        <w:rPr>
          <w:rFonts w:ascii="Times New Roman" w:hAnsi="Times New Roman" w:cs="Times New Roman"/>
          <w:sz w:val="24"/>
          <w:szCs w:val="24"/>
        </w:rPr>
        <w:t xml:space="preserve">4. </w:t>
      </w:r>
      <w:r w:rsidRPr="00404A6F">
        <w:rPr>
          <w:rFonts w:ascii="Times New Roman" w:hAnsi="Times New Roman" w:cs="Times New Roman"/>
          <w:sz w:val="24"/>
          <w:szCs w:val="24"/>
          <w:u w:val="single"/>
        </w:rPr>
        <w:t xml:space="preserve">Efforts to identify duplication. </w:t>
      </w:r>
    </w:p>
    <w:p w:rsidR="006829D1" w:rsidP="006829D1" w14:paraId="2BCEA70D" w14:textId="77777777">
      <w:pPr>
        <w:pStyle w:val="NPRMBody"/>
      </w:pPr>
    </w:p>
    <w:p w:rsidR="00EC08A0" w:rsidRPr="00404A6F" w:rsidP="006829D1" w14:paraId="36932533" w14:textId="7448E6E4">
      <w:pPr>
        <w:pStyle w:val="NPRMBody"/>
      </w:pPr>
      <w:r w:rsidRPr="00404A6F">
        <w:t xml:space="preserve">There is no </w:t>
      </w:r>
      <w:r w:rsidRPr="00404A6F" w:rsidR="00452C5E">
        <w:t xml:space="preserve">identical or </w:t>
      </w:r>
      <w:r w:rsidRPr="00404A6F">
        <w:t>similar information available</w:t>
      </w:r>
      <w:r w:rsidRPr="00404A6F" w:rsidR="00E27795">
        <w:t>, and therefore</w:t>
      </w:r>
      <w:r w:rsidRPr="00404A6F">
        <w:t xml:space="preserve"> no duplication.</w:t>
      </w:r>
      <w:r w:rsidRPr="00404A6F" w:rsidR="008033B0">
        <w:br/>
      </w:r>
    </w:p>
    <w:p w:rsidR="00240CCA" w:rsidRPr="00404A6F" w:rsidP="006829D1" w14:paraId="55693AD5" w14:textId="77777777">
      <w:pPr>
        <w:spacing w:after="0" w:line="240" w:lineRule="auto"/>
        <w:rPr>
          <w:rFonts w:ascii="Times New Roman" w:hAnsi="Times New Roman" w:cs="Times New Roman"/>
          <w:sz w:val="24"/>
          <w:szCs w:val="24"/>
        </w:rPr>
      </w:pPr>
      <w:r w:rsidRPr="00404A6F">
        <w:rPr>
          <w:rFonts w:ascii="Times New Roman" w:hAnsi="Times New Roman" w:cs="Times New Roman"/>
          <w:sz w:val="24"/>
          <w:szCs w:val="24"/>
        </w:rPr>
        <w:t xml:space="preserve">5. </w:t>
      </w:r>
      <w:r w:rsidRPr="00404A6F">
        <w:rPr>
          <w:rFonts w:ascii="Times New Roman" w:hAnsi="Times New Roman" w:cs="Times New Roman"/>
          <w:sz w:val="24"/>
          <w:szCs w:val="24"/>
          <w:u w:val="single"/>
        </w:rPr>
        <w:t>Methods to minimize burden on small businesses or other small entities.</w:t>
      </w:r>
      <w:r w:rsidRPr="00404A6F">
        <w:rPr>
          <w:rFonts w:ascii="Times New Roman" w:hAnsi="Times New Roman" w:cs="Times New Roman"/>
          <w:sz w:val="24"/>
          <w:szCs w:val="24"/>
        </w:rPr>
        <w:t xml:space="preserve"> </w:t>
      </w:r>
    </w:p>
    <w:p w:rsidR="006829D1" w:rsidP="006829D1" w14:paraId="2CB65645" w14:textId="77777777">
      <w:pPr>
        <w:spacing w:after="0" w:line="240" w:lineRule="auto"/>
        <w:ind w:firstLine="720"/>
        <w:rPr>
          <w:rFonts w:ascii="Times New Roman" w:hAnsi="Times New Roman" w:cs="Times New Roman"/>
          <w:sz w:val="24"/>
          <w:szCs w:val="24"/>
        </w:rPr>
      </w:pPr>
    </w:p>
    <w:p w:rsidR="00515F9D" w:rsidRPr="00404A6F" w:rsidP="006829D1" w14:paraId="4B9CD79B" w14:textId="3B731A3C">
      <w:pPr>
        <w:spacing w:after="0" w:line="240" w:lineRule="auto"/>
        <w:ind w:firstLine="720"/>
        <w:rPr>
          <w:rFonts w:ascii="Times New Roman" w:hAnsi="Times New Roman" w:cs="Times New Roman"/>
          <w:sz w:val="24"/>
          <w:szCs w:val="24"/>
        </w:rPr>
      </w:pPr>
      <w:r w:rsidRPr="00404A6F">
        <w:rPr>
          <w:rFonts w:ascii="Times New Roman" w:hAnsi="Times New Roman" w:cs="Times New Roman"/>
          <w:sz w:val="24"/>
          <w:szCs w:val="24"/>
        </w:rPr>
        <w:t>FinCEN</w:t>
      </w:r>
      <w:r w:rsidRPr="00404A6F" w:rsidR="00802278">
        <w:rPr>
          <w:rFonts w:ascii="Times New Roman" w:hAnsi="Times New Roman" w:cs="Times New Roman"/>
          <w:sz w:val="24"/>
          <w:szCs w:val="24"/>
        </w:rPr>
        <w:t xml:space="preserve">’s proposed requirements under the GENIUS Act and the BSA are intended to be </w:t>
      </w:r>
      <w:r w:rsidRPr="00404A6F">
        <w:rPr>
          <w:rFonts w:ascii="Times New Roman" w:hAnsi="Times New Roman" w:cs="Times New Roman"/>
          <w:sz w:val="24"/>
          <w:szCs w:val="24"/>
        </w:rPr>
        <w:t xml:space="preserve">risk-based and reasonably </w:t>
      </w:r>
      <w:r w:rsidRPr="00404A6F">
        <w:rPr>
          <w:rFonts w:ascii="Times New Roman" w:hAnsi="Times New Roman" w:cs="Times New Roman"/>
          <w:sz w:val="24"/>
          <w:szCs w:val="24"/>
        </w:rPr>
        <w:t>designed</w:t>
      </w:r>
      <w:r w:rsidRPr="00404A6F">
        <w:rPr>
          <w:rFonts w:ascii="Times New Roman" w:hAnsi="Times New Roman" w:cs="Times New Roman"/>
          <w:sz w:val="24"/>
          <w:szCs w:val="24"/>
        </w:rPr>
        <w:t xml:space="preserve"> and their cost is largely based on factors directly correlated </w:t>
      </w:r>
      <w:r w:rsidRPr="00404A6F">
        <w:rPr>
          <w:rFonts w:ascii="Times New Roman" w:hAnsi="Times New Roman" w:cs="Times New Roman"/>
          <w:sz w:val="24"/>
          <w:szCs w:val="24"/>
        </w:rPr>
        <w:t xml:space="preserve">with the size of a PPSI, along with the risk level of its activities and customers.  The proposed requirements therefore have some inherent flexibility whereby small entities serving a smaller number of customers are likely to have lower costs. </w:t>
      </w:r>
    </w:p>
    <w:p w:rsidR="008033B0" w:rsidRPr="00404A6F" w:rsidP="006829D1" w14:paraId="36D7DCC9" w14:textId="77777777">
      <w:pPr>
        <w:pStyle w:val="NPRMBody"/>
        <w:ind w:firstLine="0"/>
      </w:pPr>
    </w:p>
    <w:p w:rsidR="00240CCA" w:rsidRPr="00404A6F" w:rsidP="006829D1" w14:paraId="4102DDF6" w14:textId="77777777">
      <w:pPr>
        <w:spacing w:after="0" w:line="240" w:lineRule="auto"/>
        <w:rPr>
          <w:rFonts w:ascii="Times New Roman" w:hAnsi="Times New Roman" w:cs="Times New Roman"/>
          <w:sz w:val="24"/>
          <w:szCs w:val="24"/>
        </w:rPr>
      </w:pPr>
      <w:r w:rsidRPr="00404A6F">
        <w:rPr>
          <w:rFonts w:ascii="Times New Roman" w:hAnsi="Times New Roman" w:cs="Times New Roman"/>
          <w:sz w:val="24"/>
          <w:szCs w:val="24"/>
        </w:rPr>
        <w:t xml:space="preserve">6. </w:t>
      </w:r>
      <w:r w:rsidRPr="00404A6F">
        <w:rPr>
          <w:rFonts w:ascii="Times New Roman" w:hAnsi="Times New Roman" w:cs="Times New Roman"/>
          <w:sz w:val="24"/>
          <w:szCs w:val="24"/>
          <w:u w:val="single"/>
        </w:rPr>
        <w:t>Consequences to the Federal government of not collecting the information or less frequent collections.</w:t>
      </w:r>
      <w:r w:rsidRPr="00404A6F">
        <w:rPr>
          <w:rFonts w:ascii="Times New Roman" w:hAnsi="Times New Roman" w:cs="Times New Roman"/>
          <w:sz w:val="24"/>
          <w:szCs w:val="24"/>
        </w:rPr>
        <w:t xml:space="preserve"> </w:t>
      </w:r>
    </w:p>
    <w:p w:rsidR="005E48F3" w:rsidRPr="00404A6F" w:rsidP="006829D1" w14:paraId="2475487F" w14:textId="77777777">
      <w:pPr>
        <w:spacing w:after="0" w:line="240" w:lineRule="auto"/>
        <w:rPr>
          <w:rFonts w:ascii="Times New Roman" w:hAnsi="Times New Roman" w:cs="Times New Roman"/>
          <w:sz w:val="24"/>
          <w:szCs w:val="24"/>
        </w:rPr>
      </w:pPr>
    </w:p>
    <w:p w:rsidR="003E018F" w:rsidRPr="00404A6F" w:rsidP="006829D1" w14:paraId="2DC4F62B" w14:textId="39296A9B">
      <w:pPr>
        <w:pStyle w:val="NPRMBody"/>
      </w:pPr>
      <w:r w:rsidRPr="00404A6F">
        <w:t>A PPSI</w:t>
      </w:r>
      <w:r w:rsidRPr="00404A6F" w:rsidR="0051254F">
        <w:t xml:space="preserve"> would be required to</w:t>
      </w:r>
      <w:r w:rsidRPr="00404A6F">
        <w:t xml:space="preserve"> maintain a copy of its AML/CFT program in writing and make the written program </w:t>
      </w:r>
      <w:r w:rsidRPr="00404A6F" w:rsidR="00603EAA">
        <w:t xml:space="preserve">and all certifications that it has implemented an AML/CFT program </w:t>
      </w:r>
      <w:r w:rsidRPr="00404A6F">
        <w:t>available for inspection upon request by FinCEN or one of its delegated examiners.  If the information were not collected, or were collected less frequently, FinCEN and its delegated examiners would be unable to effectively assess financial institutions’ compliance with the BSA.</w:t>
      </w:r>
    </w:p>
    <w:p w:rsidR="003E018F" w:rsidRPr="00404A6F" w:rsidP="006829D1" w14:paraId="5BFED39F" w14:textId="77777777">
      <w:pPr>
        <w:pStyle w:val="NPRMBody"/>
      </w:pPr>
    </w:p>
    <w:p w:rsidR="00EF1688" w:rsidRPr="00404A6F" w:rsidP="006829D1" w14:paraId="25115E40" w14:textId="75DFF67A">
      <w:pPr>
        <w:pStyle w:val="NPRMBody"/>
      </w:pPr>
      <w:r w:rsidRPr="00404A6F">
        <w:t xml:space="preserve">A PPSI would be required to file SARs and CTRs.  </w:t>
      </w:r>
      <w:r w:rsidRPr="00404A6F" w:rsidR="00A760F0">
        <w:t>SARs</w:t>
      </w:r>
      <w:r w:rsidRPr="00404A6F" w:rsidR="00273F90">
        <w:t xml:space="preserve"> and</w:t>
      </w:r>
      <w:r w:rsidRPr="00404A6F" w:rsidR="00A760F0">
        <w:t xml:space="preserve"> CTRs provide valuable information to Federal, state and local agencies that engage in criminal, regulatory and tax investigations and proceedings, agencies that engage in intelligence and counterintelligence activities, certain self-regulatory organizations, appropriate foreign agencies, and foreign financial intelligence units in their efforts to combat money laundering and other financial crimes.  Without these collections from entities of all sizes, the government’s efforts to counter financial crimes, such as money laundering and the financing of terrorism, would be negatively impacted.</w:t>
      </w:r>
    </w:p>
    <w:p w:rsidR="00A760F0" w:rsidRPr="00404A6F" w:rsidP="006829D1" w14:paraId="669F203D" w14:textId="77777777">
      <w:pPr>
        <w:pStyle w:val="NPRMBody"/>
      </w:pPr>
    </w:p>
    <w:p w:rsidR="00184F33" w:rsidRPr="00404A6F" w:rsidP="006829D1" w14:paraId="3A659D00" w14:textId="13B303E5">
      <w:pPr>
        <w:pStyle w:val="NPRMBody"/>
      </w:pPr>
      <w:r w:rsidRPr="00404A6F">
        <w:t xml:space="preserve">A PPSI would be required to respond to 314(a) Requests.  </w:t>
      </w:r>
      <w:r w:rsidRPr="00404A6F" w:rsidR="00A760F0">
        <w:t xml:space="preserve">A failure to collect </w:t>
      </w:r>
      <w:r w:rsidRPr="00404A6F">
        <w:t>positive responses to 314(a) Requests</w:t>
      </w:r>
      <w:r w:rsidRPr="00404A6F" w:rsidR="00A760F0">
        <w:t xml:space="preserve"> could hamper law enforcement efforts to detect illegal activity while it is still ongoing and discernible.  The timely reporting of this information may provide law enforcement with important investigative leads </w:t>
      </w:r>
      <w:r w:rsidRPr="00404A6F" w:rsidR="00A760F0">
        <w:t>to take</w:t>
      </w:r>
      <w:r w:rsidRPr="00404A6F" w:rsidR="00A760F0">
        <w:t xml:space="preserve"> appropriate action, including tracing criminal proceeds, gathering additional evidence, seizing funds, and stopping the movement of funds before criminal elements can change their schemes for disposing of the profits of illegal activity.</w:t>
      </w:r>
      <w:r w:rsidRPr="00404A6F" w:rsidR="008033B0">
        <w:br/>
      </w:r>
    </w:p>
    <w:p w:rsidR="00240CCA" w:rsidRPr="00404A6F" w:rsidP="006829D1" w14:paraId="260A0561" w14:textId="77777777">
      <w:pPr>
        <w:spacing w:after="0" w:line="240" w:lineRule="auto"/>
        <w:rPr>
          <w:rFonts w:ascii="Times New Roman" w:hAnsi="Times New Roman" w:cs="Times New Roman"/>
          <w:sz w:val="24"/>
          <w:szCs w:val="24"/>
          <w:u w:val="single"/>
        </w:rPr>
      </w:pPr>
      <w:r w:rsidRPr="00404A6F">
        <w:rPr>
          <w:rFonts w:ascii="Times New Roman" w:hAnsi="Times New Roman" w:cs="Times New Roman"/>
          <w:sz w:val="24"/>
          <w:szCs w:val="24"/>
        </w:rPr>
        <w:t xml:space="preserve">7. </w:t>
      </w:r>
      <w:r w:rsidRPr="00404A6F">
        <w:rPr>
          <w:rFonts w:ascii="Times New Roman" w:hAnsi="Times New Roman" w:cs="Times New Roman"/>
          <w:sz w:val="24"/>
          <w:szCs w:val="24"/>
          <w:u w:val="single"/>
        </w:rPr>
        <w:t xml:space="preserve">Special circumstances requiring data collection </w:t>
      </w:r>
      <w:r w:rsidRPr="00404A6F">
        <w:rPr>
          <w:rFonts w:ascii="Times New Roman" w:hAnsi="Times New Roman" w:cs="Times New Roman"/>
          <w:sz w:val="24"/>
          <w:szCs w:val="24"/>
          <w:u w:val="single"/>
        </w:rPr>
        <w:t>inconsistent</w:t>
      </w:r>
      <w:r w:rsidRPr="00404A6F">
        <w:rPr>
          <w:rFonts w:ascii="Times New Roman" w:hAnsi="Times New Roman" w:cs="Times New Roman"/>
          <w:sz w:val="24"/>
          <w:szCs w:val="24"/>
          <w:u w:val="single"/>
        </w:rPr>
        <w:t xml:space="preserve"> with guidelines in 5 CFR 1320.5(d)(2).</w:t>
      </w:r>
    </w:p>
    <w:p w:rsidR="006829D1" w:rsidP="006829D1" w14:paraId="420DFDE0" w14:textId="77777777">
      <w:pPr>
        <w:pStyle w:val="NPRMBody"/>
      </w:pPr>
    </w:p>
    <w:p w:rsidR="007E79CE" w:rsidRPr="00404A6F" w:rsidP="006829D1" w14:paraId="4D75589A" w14:textId="6A1851FB">
      <w:pPr>
        <w:pStyle w:val="NPRMBody"/>
      </w:pPr>
      <w:r w:rsidRPr="00404A6F">
        <w:t xml:space="preserve">Under 31 CFR 1010.430(d), </w:t>
      </w:r>
      <w:r w:rsidRPr="00404A6F">
        <w:rPr>
          <w:lang w:val="en"/>
        </w:rPr>
        <w:t xml:space="preserve">all records that are required to be retained by 31 CFR chapter X, including a written copy of the AML/CFT program, must be retained for a period of five years.  Records </w:t>
      </w:r>
      <w:r w:rsidRPr="00404A6F">
        <w:t xml:space="preserve">must also be kept for five years to verify compliance with the requirement to maintain such a program, as such record may relate to civil penalty actions that are subject to statutes of limitation longer than three years. </w:t>
      </w:r>
    </w:p>
    <w:p w:rsidR="00124AA9" w:rsidRPr="00404A6F" w:rsidP="006829D1" w14:paraId="06DFA696" w14:textId="77777777">
      <w:pPr>
        <w:pStyle w:val="BodyText"/>
        <w:spacing w:before="0"/>
        <w:ind w:firstLine="720"/>
        <w:rPr>
          <w:sz w:val="24"/>
          <w:szCs w:val="24"/>
        </w:rPr>
      </w:pPr>
    </w:p>
    <w:p w:rsidR="00240CCA" w:rsidRPr="00404A6F" w:rsidP="006829D1" w14:paraId="7F5B61F0" w14:textId="77777777">
      <w:pPr>
        <w:spacing w:after="0" w:line="240" w:lineRule="auto"/>
        <w:rPr>
          <w:rFonts w:ascii="Times New Roman" w:hAnsi="Times New Roman" w:cs="Times New Roman"/>
          <w:sz w:val="24"/>
          <w:szCs w:val="24"/>
        </w:rPr>
      </w:pPr>
      <w:r w:rsidRPr="00404A6F">
        <w:rPr>
          <w:rFonts w:ascii="Times New Roman" w:hAnsi="Times New Roman" w:cs="Times New Roman"/>
          <w:sz w:val="24"/>
          <w:szCs w:val="24"/>
        </w:rPr>
        <w:t xml:space="preserve">8. </w:t>
      </w:r>
      <w:r w:rsidRPr="00404A6F">
        <w:rPr>
          <w:rFonts w:ascii="Times New Roman" w:hAnsi="Times New Roman" w:cs="Times New Roman"/>
          <w:sz w:val="24"/>
          <w:szCs w:val="24"/>
          <w:u w:val="single"/>
        </w:rPr>
        <w:t>Consultation with individuals outside of the agency on availability of data, frequency of collection, clarity of instructions and forms, and data elements.</w:t>
      </w:r>
      <w:r w:rsidRPr="00404A6F">
        <w:rPr>
          <w:rFonts w:ascii="Times New Roman" w:hAnsi="Times New Roman" w:cs="Times New Roman"/>
          <w:sz w:val="24"/>
          <w:szCs w:val="24"/>
        </w:rPr>
        <w:t xml:space="preserve"> </w:t>
      </w:r>
    </w:p>
    <w:p w:rsidR="006829D1" w:rsidP="006829D1" w14:paraId="4F73B7DD" w14:textId="77777777">
      <w:pPr>
        <w:pStyle w:val="NPRMBody"/>
      </w:pPr>
    </w:p>
    <w:p w:rsidR="004670F7" w:rsidRPr="00404A6F" w:rsidP="006829D1" w14:paraId="0FDB0614" w14:textId="2DD13F3C">
      <w:pPr>
        <w:pStyle w:val="NPRMBody"/>
      </w:pPr>
      <w:r w:rsidRPr="00404A6F">
        <w:t>Treasury issued an advance notice of proposed rulemaking (ANPRM) in September 2025 seeking public comment on potential Treasury regulations implementing the GENIUS Act.</w:t>
      </w:r>
      <w:r>
        <w:rPr>
          <w:rStyle w:val="FootnoteReference"/>
        </w:rPr>
        <w:footnoteReference w:id="8"/>
      </w:r>
      <w:r w:rsidRPr="00404A6F">
        <w:t xml:space="preserve">  </w:t>
      </w:r>
      <w:r w:rsidRPr="00404A6F" w:rsidR="000E5576">
        <w:t xml:space="preserve">In </w:t>
      </w:r>
      <w:r w:rsidRPr="00404A6F" w:rsidR="000E5576">
        <w:t>p</w:t>
      </w:r>
      <w:r w:rsidRPr="00404A6F">
        <w:t xml:space="preserve">ertinent </w:t>
      </w:r>
      <w:r w:rsidRPr="00404A6F" w:rsidR="000E5576">
        <w:t>part</w:t>
      </w:r>
      <w:r w:rsidRPr="00404A6F">
        <w:t>, the ANPRM asked questions related to definitions used in the GENIUS Act; the GENIUS Act’s BSA, AML, and sanctions program provisions; and the potential costs and benefits associated with BSA and sanctions obligations.</w:t>
      </w:r>
      <w:r>
        <w:rPr>
          <w:rStyle w:val="FootnoteReference"/>
        </w:rPr>
        <w:footnoteReference w:id="9"/>
      </w:r>
      <w:r w:rsidRPr="00404A6F" w:rsidR="000E5576">
        <w:t xml:space="preserve"> </w:t>
      </w:r>
      <w:r w:rsidRPr="00404A6F" w:rsidR="00836305">
        <w:t xml:space="preserve"> </w:t>
      </w:r>
      <w:r w:rsidRPr="00404A6F">
        <w:t xml:space="preserve">Treasury received approximately 450 timely comments </w:t>
      </w:r>
      <w:r w:rsidRPr="00404A6F" w:rsidR="000E5576">
        <w:t xml:space="preserve">to the ANPRM </w:t>
      </w:r>
      <w:r w:rsidRPr="00404A6F">
        <w:t xml:space="preserve">from a variety of stakeholders, including banks and credit unions, stablecoin issuers, digital asset exchanges, analytics companies, law firms, trade associations, non-governmental organizations, technology firms, academics, and members of the public.  Treasury reviewed and considered </w:t>
      </w:r>
      <w:r w:rsidRPr="00404A6F" w:rsidR="000E5576">
        <w:t>germane</w:t>
      </w:r>
      <w:r w:rsidRPr="00404A6F">
        <w:t xml:space="preserve"> comments in crafting th</w:t>
      </w:r>
      <w:r w:rsidRPr="00404A6F" w:rsidR="000E5576">
        <w:t>e</w:t>
      </w:r>
      <w:r w:rsidRPr="00404A6F">
        <w:t xml:space="preserve"> </w:t>
      </w:r>
      <w:r w:rsidRPr="00404A6F" w:rsidR="000E5576">
        <w:t>PPSI AML/CFT Program NPRM</w:t>
      </w:r>
      <w:r w:rsidRPr="00404A6F">
        <w:t>.</w:t>
      </w:r>
      <w:r w:rsidRPr="00404A6F" w:rsidR="00BD2604">
        <w:t xml:space="preserve">  </w:t>
      </w:r>
      <w:r w:rsidRPr="00404A6F">
        <w:t>In general, commenters supported applying BSA and sanctions program obligations to PPSIs.</w:t>
      </w:r>
      <w:r w:rsidRPr="00404A6F" w:rsidR="008033B0">
        <w:br/>
      </w:r>
    </w:p>
    <w:p w:rsidR="00A23843" w:rsidRPr="00404A6F" w:rsidP="006829D1" w14:paraId="60A3DAF6" w14:textId="4DF411FE">
      <w:pPr>
        <w:pStyle w:val="NPRMBody"/>
        <w:rPr>
          <w:b/>
        </w:rPr>
      </w:pPr>
      <w:r w:rsidRPr="00404A6F">
        <w:t xml:space="preserve">On April 10, 2026, FinCEN published </w:t>
      </w:r>
      <w:r w:rsidRPr="00404A6F" w:rsidR="00111A05">
        <w:t xml:space="preserve">the </w:t>
      </w:r>
      <w:r w:rsidRPr="00404A6F">
        <w:t>PPSI AML</w:t>
      </w:r>
      <w:r w:rsidRPr="00404A6F" w:rsidR="00111A05">
        <w:t>/CFT</w:t>
      </w:r>
      <w:r w:rsidRPr="00404A6F">
        <w:t xml:space="preserve"> Program NPRM.  The public comment period on the proposed rule closes on June 9, 2026.</w:t>
      </w:r>
      <w:r>
        <w:rPr>
          <w:rStyle w:val="FootnoteReference"/>
        </w:rPr>
        <w:footnoteReference w:id="10"/>
      </w:r>
      <w:r w:rsidRPr="00404A6F" w:rsidR="008033B0">
        <w:br/>
      </w:r>
    </w:p>
    <w:p w:rsidR="00240CCA" w:rsidRPr="00404A6F" w:rsidP="006829D1" w14:paraId="170DD981" w14:textId="77777777">
      <w:pPr>
        <w:spacing w:after="0" w:line="240" w:lineRule="auto"/>
        <w:rPr>
          <w:rFonts w:ascii="Times New Roman" w:hAnsi="Times New Roman" w:cs="Times New Roman"/>
          <w:sz w:val="24"/>
          <w:szCs w:val="24"/>
        </w:rPr>
      </w:pPr>
      <w:r w:rsidRPr="00404A6F">
        <w:rPr>
          <w:rFonts w:ascii="Times New Roman" w:hAnsi="Times New Roman" w:cs="Times New Roman"/>
          <w:sz w:val="24"/>
          <w:szCs w:val="24"/>
        </w:rPr>
        <w:t xml:space="preserve">9. </w:t>
      </w:r>
      <w:r w:rsidRPr="00404A6F">
        <w:rPr>
          <w:rFonts w:ascii="Times New Roman" w:hAnsi="Times New Roman" w:cs="Times New Roman"/>
          <w:sz w:val="24"/>
          <w:szCs w:val="24"/>
          <w:u w:val="single"/>
        </w:rPr>
        <w:t>Explanation of decision to provide any payment or gift to respondents.</w:t>
      </w:r>
      <w:r w:rsidRPr="00404A6F">
        <w:rPr>
          <w:rFonts w:ascii="Times New Roman" w:hAnsi="Times New Roman" w:cs="Times New Roman"/>
          <w:sz w:val="24"/>
          <w:szCs w:val="24"/>
        </w:rPr>
        <w:t xml:space="preserve"> </w:t>
      </w:r>
    </w:p>
    <w:p w:rsidR="006829D1" w:rsidP="006829D1" w14:paraId="53CF5E46" w14:textId="77777777">
      <w:pPr>
        <w:pStyle w:val="NPRMBody"/>
      </w:pPr>
    </w:p>
    <w:p w:rsidR="00175277" w:rsidRPr="00404A6F" w:rsidP="006829D1" w14:paraId="5C3C20B9" w14:textId="10241892">
      <w:pPr>
        <w:pStyle w:val="NPRMBody"/>
        <w:rPr>
          <w:color w:val="0F4761" w:themeColor="accent1" w:themeShade="BF"/>
        </w:rPr>
      </w:pPr>
      <w:r w:rsidRPr="00404A6F">
        <w:t>No payments or gifts were made to respondents.</w:t>
      </w:r>
      <w:r w:rsidRPr="00404A6F" w:rsidR="008033B0">
        <w:br/>
      </w:r>
    </w:p>
    <w:p w:rsidR="001F0915" w:rsidRPr="00404A6F" w:rsidP="006829D1" w14:paraId="5372203E" w14:textId="7DF83FB4">
      <w:pPr>
        <w:pStyle w:val="BodyText"/>
        <w:spacing w:before="0"/>
        <w:rPr>
          <w:sz w:val="24"/>
          <w:szCs w:val="24"/>
        </w:rPr>
      </w:pPr>
      <w:r w:rsidRPr="00404A6F">
        <w:rPr>
          <w:sz w:val="24"/>
          <w:szCs w:val="24"/>
        </w:rPr>
        <w:t xml:space="preserve">10. </w:t>
      </w:r>
      <w:r w:rsidRPr="00404A6F">
        <w:rPr>
          <w:sz w:val="24"/>
          <w:szCs w:val="24"/>
          <w:u w:val="single"/>
        </w:rPr>
        <w:t>Assurance of confidentiality of responses.</w:t>
      </w:r>
      <w:r w:rsidRPr="00404A6F">
        <w:rPr>
          <w:sz w:val="24"/>
          <w:szCs w:val="24"/>
        </w:rPr>
        <w:t xml:space="preserve"> </w:t>
      </w:r>
      <w:r w:rsidRPr="00404A6F" w:rsidR="008033B0">
        <w:rPr>
          <w:sz w:val="24"/>
          <w:szCs w:val="24"/>
        </w:rPr>
        <w:br/>
      </w:r>
    </w:p>
    <w:p w:rsidR="00A83A90" w:rsidRPr="00404A6F" w:rsidP="006829D1" w14:paraId="40C2520E" w14:textId="17BB72C2">
      <w:pPr>
        <w:pStyle w:val="BodyText"/>
        <w:spacing w:before="0"/>
        <w:ind w:firstLine="720"/>
        <w:rPr>
          <w:sz w:val="24"/>
          <w:szCs w:val="24"/>
        </w:rPr>
      </w:pPr>
      <w:r w:rsidRPr="00404A6F">
        <w:rPr>
          <w:sz w:val="24"/>
          <w:szCs w:val="24"/>
        </w:rPr>
        <w:t xml:space="preserve">The information collected would be available to Treasury, its </w:t>
      </w:r>
      <w:r w:rsidRPr="00404A6F">
        <w:rPr>
          <w:sz w:val="24"/>
          <w:szCs w:val="24"/>
        </w:rPr>
        <w:t>designee</w:t>
      </w:r>
      <w:r w:rsidRPr="00404A6F">
        <w:rPr>
          <w:sz w:val="24"/>
          <w:szCs w:val="24"/>
        </w:rPr>
        <w:t>, and other authorized agencies, along with all other reports required to be reported under the BSA.  All such information collections under the BSA must be used by such agencies consistent with a purpose set forth in 31 U.S.C. § 5311, including furthering a criminal, tax, or regulatory investigation, risk assessment, or proceeding, or use in intelligence or counterintelligence activities, including analysis, to protect against terrorism.</w:t>
      </w:r>
    </w:p>
    <w:p w:rsidR="006829D1" w:rsidP="006829D1" w14:paraId="70C11C99" w14:textId="77777777">
      <w:pPr>
        <w:spacing w:after="0" w:line="240" w:lineRule="auto"/>
        <w:rPr>
          <w:rFonts w:ascii="Times New Roman" w:hAnsi="Times New Roman" w:cs="Times New Roman"/>
          <w:sz w:val="24"/>
          <w:szCs w:val="24"/>
        </w:rPr>
      </w:pPr>
    </w:p>
    <w:p w:rsidR="00240CCA" w:rsidRPr="00404A6F" w:rsidP="006829D1" w14:paraId="62E5B574" w14:textId="556076F9">
      <w:pPr>
        <w:spacing w:after="0" w:line="240" w:lineRule="auto"/>
        <w:rPr>
          <w:rFonts w:ascii="Times New Roman" w:hAnsi="Times New Roman" w:cs="Times New Roman"/>
          <w:sz w:val="24"/>
          <w:szCs w:val="24"/>
        </w:rPr>
      </w:pPr>
      <w:r w:rsidRPr="00404A6F">
        <w:rPr>
          <w:rFonts w:ascii="Times New Roman" w:hAnsi="Times New Roman" w:cs="Times New Roman"/>
          <w:sz w:val="24"/>
          <w:szCs w:val="24"/>
        </w:rPr>
        <w:t xml:space="preserve">11. </w:t>
      </w:r>
      <w:r w:rsidRPr="00404A6F">
        <w:rPr>
          <w:rFonts w:ascii="Times New Roman" w:hAnsi="Times New Roman" w:cs="Times New Roman"/>
          <w:sz w:val="24"/>
          <w:szCs w:val="24"/>
          <w:u w:val="single"/>
        </w:rPr>
        <w:t>Justification of sensitive questions.</w:t>
      </w:r>
      <w:r w:rsidRPr="00404A6F">
        <w:rPr>
          <w:rFonts w:ascii="Times New Roman" w:hAnsi="Times New Roman" w:cs="Times New Roman"/>
          <w:sz w:val="24"/>
          <w:szCs w:val="24"/>
        </w:rPr>
        <w:t xml:space="preserve"> </w:t>
      </w:r>
    </w:p>
    <w:p w:rsidR="006829D1" w:rsidP="006829D1" w14:paraId="26EC1FE7" w14:textId="77777777">
      <w:pPr>
        <w:pStyle w:val="NPRMBody"/>
      </w:pPr>
    </w:p>
    <w:p w:rsidR="0009337F" w:rsidRPr="00404A6F" w:rsidP="006829D1" w14:paraId="599FDD48" w14:textId="256175AC">
      <w:pPr>
        <w:pStyle w:val="NPRMBody"/>
        <w:rPr>
          <w:color w:val="0F4761" w:themeColor="accent1" w:themeShade="BF"/>
        </w:rPr>
      </w:pPr>
      <w:r w:rsidRPr="00404A6F">
        <w:t>There are no questions of a sensitive nature in the collection of information.  Any personally identifiable information collected under the BSA is strictly controlled as outlined in FinCEN’s Systems of Records Notice.</w:t>
      </w:r>
      <w:r>
        <w:rPr>
          <w:rStyle w:val="FootnoteReference"/>
        </w:rPr>
        <w:footnoteReference w:id="11"/>
      </w:r>
      <w:r w:rsidRPr="00404A6F">
        <w:t xml:space="preserve">  </w:t>
      </w:r>
      <w:r w:rsidRPr="00404A6F" w:rsidR="008033B0">
        <w:br/>
      </w:r>
    </w:p>
    <w:p w:rsidR="00240CCA" w:rsidRPr="00404A6F" w:rsidP="006829D1" w14:paraId="3A0019F3" w14:textId="77777777">
      <w:pPr>
        <w:spacing w:after="0" w:line="240" w:lineRule="auto"/>
        <w:rPr>
          <w:rFonts w:ascii="Times New Roman" w:hAnsi="Times New Roman" w:cs="Times New Roman"/>
          <w:sz w:val="24"/>
          <w:szCs w:val="24"/>
          <w:u w:val="single"/>
        </w:rPr>
      </w:pPr>
      <w:r w:rsidRPr="00404A6F">
        <w:rPr>
          <w:rFonts w:ascii="Times New Roman" w:hAnsi="Times New Roman" w:cs="Times New Roman"/>
          <w:sz w:val="24"/>
          <w:szCs w:val="24"/>
        </w:rPr>
        <w:t xml:space="preserve">12. </w:t>
      </w:r>
      <w:r w:rsidRPr="00404A6F">
        <w:rPr>
          <w:rFonts w:ascii="Times New Roman" w:hAnsi="Times New Roman" w:cs="Times New Roman"/>
          <w:sz w:val="24"/>
          <w:szCs w:val="24"/>
          <w:u w:val="single"/>
        </w:rPr>
        <w:t>Estimated burden.</w:t>
      </w:r>
    </w:p>
    <w:p w:rsidR="006829D1" w:rsidP="006829D1" w14:paraId="31058D90" w14:textId="77777777">
      <w:pPr>
        <w:pStyle w:val="NPRMBody"/>
        <w:rPr>
          <w:rFonts w:eastAsia="MS Mincho"/>
          <w:u w:val="single"/>
        </w:rPr>
      </w:pPr>
    </w:p>
    <w:p w:rsidR="009C214D" w:rsidRPr="00404A6F" w:rsidP="006829D1" w14:paraId="2D544201" w14:textId="4852F172">
      <w:pPr>
        <w:pStyle w:val="NPRMBody"/>
        <w:rPr>
          <w:rFonts w:eastAsia="MS Mincho"/>
        </w:rPr>
      </w:pPr>
      <w:r w:rsidRPr="00404A6F">
        <w:rPr>
          <w:rFonts w:eastAsia="MS Mincho"/>
          <w:u w:val="single"/>
        </w:rPr>
        <w:t>Frequency</w:t>
      </w:r>
      <w:r w:rsidRPr="00404A6F">
        <w:rPr>
          <w:rFonts w:eastAsia="MS Mincho"/>
          <w:u w:val="single"/>
        </w:rPr>
        <w:t>:</w:t>
      </w:r>
      <w:r w:rsidRPr="00404A6F">
        <w:rPr>
          <w:rFonts w:eastAsia="MS Mincho"/>
        </w:rPr>
        <w:t xml:space="preserve">  As</w:t>
      </w:r>
      <w:r w:rsidRPr="00404A6F">
        <w:rPr>
          <w:rFonts w:eastAsia="MS Mincho"/>
        </w:rPr>
        <w:t xml:space="preserve"> required</w:t>
      </w:r>
      <w:r w:rsidRPr="00404A6F" w:rsidR="00FC7E84">
        <w:rPr>
          <w:rFonts w:eastAsia="MS Mincho"/>
        </w:rPr>
        <w:t>.</w:t>
      </w:r>
      <w:r w:rsidRPr="00404A6F" w:rsidR="008A5AFB">
        <w:t xml:space="preserve"> </w:t>
      </w:r>
      <w:r w:rsidRPr="00404A6F" w:rsidR="008A5AFB">
        <w:br/>
      </w:r>
    </w:p>
    <w:p w:rsidR="009C214D" w:rsidRPr="00404A6F" w:rsidP="006829D1" w14:paraId="635C94D7" w14:textId="37CFB371">
      <w:pPr>
        <w:pStyle w:val="NPRMBody"/>
        <w:rPr>
          <w:rFonts w:eastAsia="MS Mincho"/>
        </w:rPr>
      </w:pPr>
      <w:r w:rsidRPr="00404A6F">
        <w:rPr>
          <w:rFonts w:eastAsia="MS Mincho"/>
          <w:u w:val="single"/>
        </w:rPr>
        <w:t>Estimated Number of Respondents</w:t>
      </w:r>
      <w:r w:rsidRPr="00404A6F">
        <w:rPr>
          <w:rFonts w:eastAsia="MS Mincho"/>
        </w:rPr>
        <w:t>:  50</w:t>
      </w:r>
      <w:r w:rsidRPr="00404A6F" w:rsidR="00FC7E84">
        <w:rPr>
          <w:rFonts w:eastAsia="MS Mincho"/>
        </w:rPr>
        <w:t xml:space="preserve"> PPSIs.</w:t>
      </w:r>
      <w:r>
        <w:rPr>
          <w:rStyle w:val="FootnoteReference"/>
          <w:rFonts w:eastAsia="MS Mincho"/>
        </w:rPr>
        <w:footnoteReference w:id="12"/>
      </w:r>
      <w:r w:rsidRPr="00404A6F" w:rsidR="008A5AFB">
        <w:t xml:space="preserve"> </w:t>
      </w:r>
      <w:r w:rsidRPr="00404A6F" w:rsidR="008A5AFB">
        <w:br/>
      </w:r>
    </w:p>
    <w:p w:rsidR="00E57562" w:rsidRPr="00F25DD3" w:rsidP="00DD2C83" w14:paraId="5EC3E2AB" w14:textId="21AD030D">
      <w:pPr>
        <w:pStyle w:val="NPRMBody"/>
        <w:rPr>
          <w:rFonts w:eastAsia="MS Mincho"/>
        </w:rPr>
      </w:pPr>
      <w:r w:rsidRPr="00404A6F">
        <w:rPr>
          <w:rFonts w:eastAsia="MS Mincho"/>
          <w:u w:val="single"/>
        </w:rPr>
        <w:t>Estimated Total Annual Burden Hours</w:t>
      </w:r>
      <w:r w:rsidRPr="00404A6F">
        <w:rPr>
          <w:rFonts w:eastAsia="MS Mincho"/>
        </w:rPr>
        <w:t xml:space="preserve">: </w:t>
      </w:r>
      <w:r w:rsidRPr="00404A6F" w:rsidR="00CC68ED">
        <w:rPr>
          <w:rFonts w:eastAsia="MS Mincho"/>
        </w:rPr>
        <w:t>33,577 hours.</w:t>
      </w:r>
      <w:r>
        <w:rPr>
          <w:rStyle w:val="FootnoteReference"/>
          <w:rFonts w:eastAsia="MS Mincho"/>
        </w:rPr>
        <w:footnoteReference w:id="13"/>
      </w:r>
      <w:r w:rsidRPr="00F25DD3" w:rsidR="008A5AFB">
        <w:t xml:space="preserve"> </w:t>
      </w:r>
      <w:r w:rsidRPr="00F25DD3" w:rsidR="008A5AFB">
        <w:br/>
      </w:r>
      <w:r w:rsidRPr="00F25DD3" w:rsidR="00C1728C">
        <w:rPr>
          <w:rFonts w:eastAsia="MS Mincho"/>
        </w:rPr>
        <w:t xml:space="preserve">  </w:t>
      </w:r>
    </w:p>
    <w:tbl>
      <w:tblPr>
        <w:tblW w:w="0" w:type="auto"/>
        <w:tblLayout w:type="fixed"/>
        <w:tblLook w:val="04A0"/>
      </w:tblPr>
      <w:tblGrid>
        <w:gridCol w:w="3240"/>
        <w:gridCol w:w="1530"/>
        <w:gridCol w:w="1350"/>
        <w:gridCol w:w="1440"/>
        <w:gridCol w:w="1800"/>
      </w:tblGrid>
      <w:tr w14:paraId="5626330F" w14:textId="77777777" w:rsidTr="00C30C32">
        <w:tblPrEx>
          <w:tblW w:w="0" w:type="auto"/>
          <w:tblLayout w:type="fixed"/>
          <w:tblLook w:val="04A0"/>
        </w:tblPrEx>
        <w:trPr>
          <w:trHeight w:val="342"/>
        </w:trPr>
        <w:tc>
          <w:tcPr>
            <w:tcW w:w="9360" w:type="dxa"/>
            <w:gridSpan w:val="5"/>
            <w:tcBorders>
              <w:bottom w:val="single" w:sz="4" w:space="0" w:color="auto"/>
            </w:tcBorders>
            <w:vAlign w:val="bottom"/>
          </w:tcPr>
          <w:p w:rsidR="00E57562" w:rsidRPr="00E57562" w:rsidP="00E135F6" w14:paraId="38EC23CD" w14:textId="09D8405F">
            <w:pPr>
              <w:spacing w:after="0" w:line="240" w:lineRule="auto"/>
              <w:rPr>
                <w:rFonts w:ascii="Times New Roman" w:eastAsia="Times New Roman" w:hAnsi="Times New Roman" w:cs="Times New Roman"/>
                <w:sz w:val="22"/>
                <w:szCs w:val="22"/>
                <w14:ligatures w14:val="none"/>
              </w:rPr>
            </w:pPr>
            <w:r w:rsidRPr="00EB60C5">
              <w:rPr>
                <w:rFonts w:ascii="Times New Roman" w:hAnsi="Times New Roman" w:cs="Times New Roman"/>
                <w:b/>
                <w:color w:val="000000" w:themeColor="text1"/>
                <w:sz w:val="22"/>
                <w:szCs w:val="22"/>
              </w:rPr>
              <w:t xml:space="preserve">Table 1. </w:t>
            </w:r>
            <w:r>
              <w:rPr>
                <w:rFonts w:ascii="Times New Roman" w:hAnsi="Times New Roman" w:cs="Times New Roman"/>
                <w:b/>
                <w:color w:val="000000" w:themeColor="text1"/>
                <w:sz w:val="22"/>
                <w:szCs w:val="22"/>
              </w:rPr>
              <w:t xml:space="preserve"> Summary of the PRA Burden and Costs, by Respondent Type</w:t>
            </w:r>
          </w:p>
        </w:tc>
      </w:tr>
      <w:tr w14:paraId="393D1449" w14:textId="77777777" w:rsidTr="00C30C32">
        <w:tblPrEx>
          <w:tblW w:w="0" w:type="auto"/>
          <w:tblLayout w:type="fixed"/>
          <w:tblLook w:val="04A0"/>
        </w:tblPrEx>
        <w:trPr>
          <w:trHeight w:val="900"/>
        </w:trPr>
        <w:tc>
          <w:tcPr>
            <w:tcW w:w="3240" w:type="dxa"/>
            <w:tcBorders>
              <w:top w:val="single" w:sz="4" w:space="0" w:color="auto"/>
              <w:left w:val="single" w:sz="8" w:space="0" w:color="auto"/>
              <w:bottom w:val="single" w:sz="4" w:space="0" w:color="auto"/>
              <w:right w:val="single" w:sz="4" w:space="0" w:color="auto"/>
            </w:tcBorders>
            <w:vAlign w:val="center"/>
            <w:hideMark/>
          </w:tcPr>
          <w:p w:rsidR="00E57562" w:rsidRPr="00E57562" w:rsidP="00E57562" w14:paraId="32ABAC3D" w14:textId="77777777">
            <w:pPr>
              <w:spacing w:after="0" w:line="240" w:lineRule="auto"/>
              <w:jc w:val="center"/>
              <w:rPr>
                <w:rFonts w:ascii="Times New Roman" w:eastAsia="Times New Roman" w:hAnsi="Times New Roman" w:cs="Times New Roman"/>
                <w:sz w:val="22"/>
                <w:szCs w:val="22"/>
                <w14:ligatures w14:val="none"/>
              </w:rPr>
            </w:pPr>
            <w:r w:rsidRPr="00E57562">
              <w:rPr>
                <w:rFonts w:ascii="Times New Roman" w:eastAsia="Times New Roman" w:hAnsi="Times New Roman" w:cs="Times New Roman"/>
                <w:sz w:val="22"/>
                <w:szCs w:val="22"/>
                <w14:ligatures w14:val="none"/>
              </w:rPr>
              <w:t>Respondent Type</w:t>
            </w:r>
          </w:p>
        </w:tc>
        <w:tc>
          <w:tcPr>
            <w:tcW w:w="1530" w:type="dxa"/>
            <w:tcBorders>
              <w:top w:val="single" w:sz="4" w:space="0" w:color="auto"/>
              <w:left w:val="nil"/>
              <w:bottom w:val="single" w:sz="4" w:space="0" w:color="auto"/>
              <w:right w:val="single" w:sz="4" w:space="0" w:color="auto"/>
            </w:tcBorders>
            <w:vAlign w:val="center"/>
            <w:hideMark/>
          </w:tcPr>
          <w:p w:rsidR="00E57562" w:rsidRPr="00E57562" w:rsidP="00E57562" w14:paraId="7EFB6025" w14:textId="23EAC7AC">
            <w:pPr>
              <w:spacing w:after="0" w:line="240" w:lineRule="auto"/>
              <w:jc w:val="center"/>
              <w:rPr>
                <w:rFonts w:ascii="Times New Roman" w:eastAsia="Times New Roman" w:hAnsi="Times New Roman" w:cs="Times New Roman"/>
                <w:sz w:val="22"/>
                <w:szCs w:val="22"/>
                <w14:ligatures w14:val="none"/>
              </w:rPr>
            </w:pPr>
            <w:r w:rsidRPr="00E57562">
              <w:rPr>
                <w:rFonts w:ascii="Times New Roman" w:eastAsia="Times New Roman" w:hAnsi="Times New Roman" w:cs="Times New Roman"/>
                <w:sz w:val="22"/>
                <w:szCs w:val="22"/>
                <w14:ligatures w14:val="none"/>
              </w:rPr>
              <w:t xml:space="preserve">Hours per </w:t>
            </w:r>
            <w:r w:rsidRPr="00E57562">
              <w:rPr>
                <w:rFonts w:ascii="Times New Roman" w:eastAsia="Times New Roman" w:hAnsi="Times New Roman" w:cs="Times New Roman"/>
                <w:sz w:val="22"/>
                <w:szCs w:val="22"/>
                <w14:ligatures w14:val="none"/>
              </w:rPr>
              <w:t>Respondent</w:t>
            </w:r>
            <w:r w:rsidRPr="00E135F6" w:rsidR="00D43B66">
              <w:rPr>
                <w:rFonts w:ascii="Times New Roman" w:eastAsia="Times New Roman" w:hAnsi="Times New Roman" w:cs="Times New Roman"/>
                <w:sz w:val="22"/>
                <w:szCs w:val="22"/>
                <w:vertAlign w:val="superscript"/>
                <w14:ligatures w14:val="none"/>
              </w:rPr>
              <w:t>a</w:t>
            </w:r>
          </w:p>
        </w:tc>
        <w:tc>
          <w:tcPr>
            <w:tcW w:w="1350" w:type="dxa"/>
            <w:tcBorders>
              <w:top w:val="single" w:sz="4" w:space="0" w:color="auto"/>
              <w:left w:val="nil"/>
              <w:bottom w:val="single" w:sz="4" w:space="0" w:color="auto"/>
              <w:right w:val="single" w:sz="4" w:space="0" w:color="auto"/>
            </w:tcBorders>
            <w:vAlign w:val="center"/>
            <w:hideMark/>
          </w:tcPr>
          <w:p w:rsidR="00E57562" w:rsidRPr="00E57562" w:rsidP="00E57562" w14:paraId="0CA4704B" w14:textId="1417EB1F">
            <w:pPr>
              <w:spacing w:after="0" w:line="240" w:lineRule="auto"/>
              <w:jc w:val="center"/>
              <w:rPr>
                <w:rFonts w:ascii="Times New Roman" w:eastAsia="Times New Roman" w:hAnsi="Times New Roman" w:cs="Times New Roman"/>
                <w:sz w:val="22"/>
                <w:szCs w:val="22"/>
                <w14:ligatures w14:val="none"/>
              </w:rPr>
            </w:pPr>
            <w:r w:rsidRPr="00E57562">
              <w:rPr>
                <w:rFonts w:ascii="Times New Roman" w:eastAsia="Times New Roman" w:hAnsi="Times New Roman" w:cs="Times New Roman"/>
                <w:sz w:val="22"/>
                <w:szCs w:val="22"/>
                <w14:ligatures w14:val="none"/>
              </w:rPr>
              <w:t>Number of Respondents</w:t>
            </w:r>
          </w:p>
        </w:tc>
        <w:tc>
          <w:tcPr>
            <w:tcW w:w="1440" w:type="dxa"/>
            <w:tcBorders>
              <w:top w:val="single" w:sz="4" w:space="0" w:color="auto"/>
              <w:left w:val="nil"/>
              <w:bottom w:val="single" w:sz="4" w:space="0" w:color="auto"/>
              <w:right w:val="single" w:sz="4" w:space="0" w:color="auto"/>
            </w:tcBorders>
            <w:vAlign w:val="center"/>
            <w:hideMark/>
          </w:tcPr>
          <w:p w:rsidR="00E57562" w:rsidRPr="00E57562" w:rsidP="00E57562" w14:paraId="1B74A2AC" w14:textId="639036D7">
            <w:pPr>
              <w:spacing w:after="0" w:line="240" w:lineRule="auto"/>
              <w:jc w:val="center"/>
              <w:rPr>
                <w:rFonts w:ascii="Times New Roman" w:eastAsia="Times New Roman" w:hAnsi="Times New Roman" w:cs="Times New Roman"/>
                <w:sz w:val="22"/>
                <w:szCs w:val="22"/>
                <w14:ligatures w14:val="none"/>
              </w:rPr>
            </w:pPr>
            <w:r w:rsidRPr="00E57562">
              <w:rPr>
                <w:rFonts w:ascii="Times New Roman" w:eastAsia="Times New Roman" w:hAnsi="Times New Roman" w:cs="Times New Roman"/>
                <w:sz w:val="22"/>
                <w:szCs w:val="22"/>
                <w14:ligatures w14:val="none"/>
              </w:rPr>
              <w:t>Total Burden Hours</w:t>
            </w:r>
          </w:p>
        </w:tc>
        <w:tc>
          <w:tcPr>
            <w:tcW w:w="1800" w:type="dxa"/>
            <w:tcBorders>
              <w:top w:val="single" w:sz="4" w:space="0" w:color="auto"/>
              <w:left w:val="nil"/>
              <w:bottom w:val="single" w:sz="4" w:space="0" w:color="auto"/>
              <w:right w:val="single" w:sz="8" w:space="0" w:color="auto"/>
            </w:tcBorders>
            <w:vAlign w:val="center"/>
            <w:hideMark/>
          </w:tcPr>
          <w:p w:rsidR="00E57562" w:rsidRPr="00E57562" w:rsidP="00E57562" w14:paraId="64916784" w14:textId="77777777">
            <w:pPr>
              <w:spacing w:after="0" w:line="240" w:lineRule="auto"/>
              <w:jc w:val="center"/>
              <w:rPr>
                <w:rFonts w:ascii="Times New Roman" w:eastAsia="Times New Roman" w:hAnsi="Times New Roman" w:cs="Times New Roman"/>
                <w:sz w:val="22"/>
                <w:szCs w:val="22"/>
                <w14:ligatures w14:val="none"/>
              </w:rPr>
            </w:pPr>
            <w:r w:rsidRPr="00E57562">
              <w:rPr>
                <w:rFonts w:ascii="Times New Roman" w:eastAsia="Times New Roman" w:hAnsi="Times New Roman" w:cs="Times New Roman"/>
                <w:sz w:val="22"/>
                <w:szCs w:val="22"/>
                <w14:ligatures w14:val="none"/>
              </w:rPr>
              <w:t>Total Costs by Respondent Type</w:t>
            </w:r>
          </w:p>
        </w:tc>
      </w:tr>
      <w:tr w14:paraId="7DA74CDD" w14:textId="77777777" w:rsidTr="00C30C32">
        <w:tblPrEx>
          <w:tblW w:w="0" w:type="auto"/>
          <w:tblLayout w:type="fixed"/>
          <w:tblLook w:val="04A0"/>
        </w:tblPrEx>
        <w:trPr>
          <w:trHeight w:val="300"/>
        </w:trPr>
        <w:tc>
          <w:tcPr>
            <w:tcW w:w="3240" w:type="dxa"/>
            <w:tcBorders>
              <w:top w:val="nil"/>
              <w:left w:val="single" w:sz="8" w:space="0" w:color="auto"/>
              <w:bottom w:val="single" w:sz="4" w:space="0" w:color="auto"/>
              <w:right w:val="single" w:sz="4" w:space="0" w:color="auto"/>
            </w:tcBorders>
            <w:noWrap/>
            <w:hideMark/>
          </w:tcPr>
          <w:p w:rsidR="00E57562" w:rsidRPr="00E57562" w:rsidP="00132697" w14:paraId="77400C7B" w14:textId="5FEA98B6">
            <w:pPr>
              <w:spacing w:after="0" w:line="240" w:lineRule="auto"/>
              <w:rPr>
                <w:rFonts w:ascii="Times New Roman" w:eastAsia="Times New Roman" w:hAnsi="Times New Roman" w:cs="Times New Roman"/>
                <w:color w:val="000000"/>
                <w:sz w:val="22"/>
                <w:szCs w:val="22"/>
                <w14:ligatures w14:val="none"/>
              </w:rPr>
            </w:pPr>
            <w:r w:rsidRPr="00E57562">
              <w:rPr>
                <w:rFonts w:ascii="Times New Roman" w:eastAsia="Times New Roman" w:hAnsi="Times New Roman" w:cs="Times New Roman"/>
                <w:color w:val="000000"/>
                <w:sz w:val="22"/>
                <w:szCs w:val="22"/>
                <w14:ligatures w14:val="none"/>
              </w:rPr>
              <w:t>I</w:t>
            </w:r>
            <w:r w:rsidRPr="62E19D42" w:rsidR="00851E00">
              <w:rPr>
                <w:rFonts w:ascii="Times New Roman" w:eastAsia="Times New Roman" w:hAnsi="Times New Roman" w:cs="Times New Roman"/>
                <w:color w:val="000000" w:themeColor="text1"/>
                <w:sz w:val="22"/>
                <w:szCs w:val="22"/>
              </w:rPr>
              <w:t>nsured Depository Institutions-</w:t>
            </w:r>
            <w:r w:rsidR="00851E00">
              <w:rPr>
                <w:rFonts w:ascii="Times New Roman" w:eastAsia="Times New Roman" w:hAnsi="Times New Roman" w:cs="Times New Roman"/>
                <w:color w:val="000000"/>
                <w:sz w:val="22"/>
                <w:szCs w:val="22"/>
                <w14:ligatures w14:val="none"/>
              </w:rPr>
              <w:t>S</w:t>
            </w:r>
            <w:r w:rsidRPr="00E57562">
              <w:rPr>
                <w:rFonts w:ascii="Times New Roman" w:eastAsia="Times New Roman" w:hAnsi="Times New Roman" w:cs="Times New Roman"/>
                <w:color w:val="000000"/>
                <w:sz w:val="22"/>
                <w:szCs w:val="22"/>
                <w14:ligatures w14:val="none"/>
              </w:rPr>
              <w:t>ubsidiary PPSIs</w:t>
            </w:r>
          </w:p>
        </w:tc>
        <w:tc>
          <w:tcPr>
            <w:tcW w:w="1530" w:type="dxa"/>
            <w:tcBorders>
              <w:top w:val="nil"/>
              <w:left w:val="nil"/>
              <w:bottom w:val="single" w:sz="4" w:space="0" w:color="auto"/>
              <w:right w:val="single" w:sz="4" w:space="0" w:color="auto"/>
            </w:tcBorders>
            <w:noWrap/>
            <w:hideMark/>
          </w:tcPr>
          <w:p w:rsidR="00E57562" w:rsidRPr="00E57562" w:rsidP="00E135F6" w14:paraId="6F2BD453" w14:textId="5DEB3AA6">
            <w:pPr>
              <w:spacing w:after="0" w:line="240" w:lineRule="auto"/>
              <w:jc w:val="right"/>
              <w:rPr>
                <w:rFonts w:ascii="Times New Roman" w:eastAsia="Times New Roman" w:hAnsi="Times New Roman" w:cs="Times New Roman"/>
                <w:color w:val="000000"/>
                <w:sz w:val="22"/>
                <w:szCs w:val="22"/>
                <w14:ligatures w14:val="none"/>
              </w:rPr>
            </w:pPr>
            <w:r>
              <w:rPr>
                <w:rFonts w:ascii="Times New Roman" w:eastAsia="Times New Roman" w:hAnsi="Times New Roman" w:cs="Times New Roman"/>
                <w:color w:val="000000"/>
                <w:sz w:val="22"/>
                <w:szCs w:val="22"/>
                <w14:ligatures w14:val="none"/>
              </w:rPr>
              <w:t>671</w:t>
            </w:r>
          </w:p>
        </w:tc>
        <w:tc>
          <w:tcPr>
            <w:tcW w:w="1350" w:type="dxa"/>
            <w:tcBorders>
              <w:top w:val="nil"/>
              <w:left w:val="nil"/>
              <w:bottom w:val="single" w:sz="4" w:space="0" w:color="auto"/>
              <w:right w:val="single" w:sz="4" w:space="0" w:color="auto"/>
            </w:tcBorders>
            <w:noWrap/>
            <w:hideMark/>
          </w:tcPr>
          <w:p w:rsidR="00E57562" w:rsidRPr="00E57562" w:rsidP="00E135F6" w14:paraId="7F7D67EA" w14:textId="0780EAA0">
            <w:pPr>
              <w:spacing w:after="0" w:line="240" w:lineRule="auto"/>
              <w:jc w:val="right"/>
              <w:rPr>
                <w:rFonts w:ascii="Times New Roman" w:eastAsia="Times New Roman" w:hAnsi="Times New Roman" w:cs="Times New Roman"/>
                <w:color w:val="000000"/>
                <w:sz w:val="22"/>
                <w:szCs w:val="22"/>
                <w14:ligatures w14:val="none"/>
              </w:rPr>
            </w:pPr>
            <w:r>
              <w:rPr>
                <w:rFonts w:ascii="Times New Roman" w:eastAsia="Times New Roman" w:hAnsi="Times New Roman" w:cs="Times New Roman"/>
                <w:color w:val="000000"/>
                <w:sz w:val="22"/>
                <w:szCs w:val="22"/>
                <w14:ligatures w14:val="none"/>
              </w:rPr>
              <w:t>30</w:t>
            </w:r>
          </w:p>
        </w:tc>
        <w:tc>
          <w:tcPr>
            <w:tcW w:w="1440" w:type="dxa"/>
            <w:tcBorders>
              <w:top w:val="nil"/>
              <w:left w:val="nil"/>
              <w:bottom w:val="single" w:sz="4" w:space="0" w:color="auto"/>
              <w:right w:val="single" w:sz="4" w:space="0" w:color="auto"/>
            </w:tcBorders>
            <w:noWrap/>
            <w:hideMark/>
          </w:tcPr>
          <w:p w:rsidR="00E57562" w:rsidRPr="00E57562" w:rsidP="00E135F6" w14:paraId="09086E47" w14:textId="1B6B6E31">
            <w:pPr>
              <w:spacing w:after="0" w:line="240" w:lineRule="auto"/>
              <w:jc w:val="right"/>
              <w:rPr>
                <w:rFonts w:ascii="Times New Roman" w:eastAsia="Times New Roman" w:hAnsi="Times New Roman" w:cs="Times New Roman"/>
                <w:color w:val="000000"/>
                <w:sz w:val="22"/>
                <w:szCs w:val="22"/>
                <w14:ligatures w14:val="none"/>
              </w:rPr>
            </w:pPr>
            <w:r>
              <w:rPr>
                <w:rFonts w:ascii="Times New Roman" w:eastAsia="Times New Roman" w:hAnsi="Times New Roman" w:cs="Times New Roman"/>
                <w:color w:val="000000"/>
                <w:sz w:val="22"/>
                <w:szCs w:val="22"/>
                <w14:ligatures w14:val="none"/>
              </w:rPr>
              <w:t>20,116</w:t>
            </w:r>
          </w:p>
        </w:tc>
        <w:tc>
          <w:tcPr>
            <w:tcW w:w="1800" w:type="dxa"/>
            <w:tcBorders>
              <w:top w:val="nil"/>
              <w:left w:val="nil"/>
              <w:bottom w:val="single" w:sz="4" w:space="0" w:color="auto"/>
              <w:right w:val="single" w:sz="8" w:space="0" w:color="auto"/>
            </w:tcBorders>
            <w:noWrap/>
            <w:hideMark/>
          </w:tcPr>
          <w:p w:rsidR="00E57562" w:rsidRPr="00E57562" w:rsidP="00E135F6" w14:paraId="237B4D6C" w14:textId="2AD05E0F">
            <w:pPr>
              <w:spacing w:after="0" w:line="240" w:lineRule="auto"/>
              <w:jc w:val="right"/>
              <w:rPr>
                <w:rFonts w:ascii="Times New Roman" w:eastAsia="Times New Roman" w:hAnsi="Times New Roman" w:cs="Times New Roman"/>
                <w:color w:val="000000"/>
                <w:sz w:val="22"/>
                <w:szCs w:val="22"/>
                <w14:ligatures w14:val="none"/>
              </w:rPr>
            </w:pPr>
            <w:r>
              <w:rPr>
                <w:rFonts w:ascii="Times New Roman" w:eastAsia="Times New Roman" w:hAnsi="Times New Roman" w:cs="Times New Roman"/>
                <w:color w:val="000000"/>
                <w:sz w:val="22"/>
                <w:szCs w:val="22"/>
                <w14:ligatures w14:val="none"/>
              </w:rPr>
              <w:t>$2,506,051</w:t>
            </w:r>
          </w:p>
        </w:tc>
      </w:tr>
      <w:tr w14:paraId="158528EA" w14:textId="77777777" w:rsidTr="00C30C32">
        <w:tblPrEx>
          <w:tblW w:w="0" w:type="auto"/>
          <w:tblLayout w:type="fixed"/>
          <w:tblLook w:val="04A0"/>
        </w:tblPrEx>
        <w:trPr>
          <w:trHeight w:val="315"/>
        </w:trPr>
        <w:tc>
          <w:tcPr>
            <w:tcW w:w="3240" w:type="dxa"/>
            <w:tcBorders>
              <w:top w:val="nil"/>
              <w:left w:val="single" w:sz="8" w:space="0" w:color="auto"/>
              <w:bottom w:val="single" w:sz="4" w:space="0" w:color="auto"/>
              <w:right w:val="single" w:sz="4" w:space="0" w:color="auto"/>
            </w:tcBorders>
            <w:noWrap/>
            <w:hideMark/>
          </w:tcPr>
          <w:p w:rsidR="00E57562" w:rsidRPr="00E57562" w:rsidP="00132697" w14:paraId="15B7FCD5" w14:textId="77777777">
            <w:pPr>
              <w:spacing w:after="0" w:line="240" w:lineRule="auto"/>
              <w:rPr>
                <w:rFonts w:ascii="Times New Roman" w:eastAsia="Times New Roman" w:hAnsi="Times New Roman" w:cs="Times New Roman"/>
                <w:color w:val="000000"/>
                <w:sz w:val="22"/>
                <w:szCs w:val="22"/>
                <w14:ligatures w14:val="none"/>
              </w:rPr>
            </w:pPr>
            <w:r w:rsidRPr="00E57562">
              <w:rPr>
                <w:rFonts w:ascii="Times New Roman" w:eastAsia="Times New Roman" w:hAnsi="Times New Roman" w:cs="Times New Roman"/>
                <w:color w:val="000000"/>
                <w:sz w:val="22"/>
                <w:szCs w:val="22"/>
                <w14:ligatures w14:val="none"/>
              </w:rPr>
              <w:t>Other PPSIs</w:t>
            </w:r>
          </w:p>
        </w:tc>
        <w:tc>
          <w:tcPr>
            <w:tcW w:w="1530" w:type="dxa"/>
            <w:tcBorders>
              <w:top w:val="nil"/>
              <w:left w:val="nil"/>
              <w:bottom w:val="single" w:sz="4" w:space="0" w:color="auto"/>
              <w:right w:val="single" w:sz="4" w:space="0" w:color="auto"/>
            </w:tcBorders>
            <w:noWrap/>
            <w:hideMark/>
          </w:tcPr>
          <w:p w:rsidR="00E57562" w:rsidRPr="00E57562" w:rsidP="00E135F6" w14:paraId="4E6B465A" w14:textId="1A7824BD">
            <w:pPr>
              <w:spacing w:after="0" w:line="240" w:lineRule="auto"/>
              <w:jc w:val="right"/>
              <w:rPr>
                <w:rFonts w:ascii="Times New Roman" w:eastAsia="Times New Roman" w:hAnsi="Times New Roman" w:cs="Times New Roman"/>
                <w:color w:val="000000"/>
                <w:sz w:val="22"/>
                <w:szCs w:val="22"/>
                <w14:ligatures w14:val="none"/>
              </w:rPr>
            </w:pPr>
            <w:r>
              <w:rPr>
                <w:rFonts w:ascii="Times New Roman" w:eastAsia="Times New Roman" w:hAnsi="Times New Roman" w:cs="Times New Roman"/>
                <w:color w:val="000000"/>
                <w:sz w:val="22"/>
                <w:szCs w:val="22"/>
                <w14:ligatures w14:val="none"/>
              </w:rPr>
              <w:t>6</w:t>
            </w:r>
            <w:r w:rsidR="004C25E9">
              <w:rPr>
                <w:rFonts w:ascii="Times New Roman" w:eastAsia="Times New Roman" w:hAnsi="Times New Roman" w:cs="Times New Roman"/>
                <w:color w:val="000000"/>
                <w:sz w:val="22"/>
                <w:szCs w:val="22"/>
                <w14:ligatures w14:val="none"/>
              </w:rPr>
              <w:t>73</w:t>
            </w:r>
          </w:p>
        </w:tc>
        <w:tc>
          <w:tcPr>
            <w:tcW w:w="1350" w:type="dxa"/>
            <w:tcBorders>
              <w:top w:val="nil"/>
              <w:left w:val="nil"/>
              <w:bottom w:val="single" w:sz="4" w:space="0" w:color="auto"/>
              <w:right w:val="single" w:sz="4" w:space="0" w:color="auto"/>
            </w:tcBorders>
            <w:noWrap/>
            <w:hideMark/>
          </w:tcPr>
          <w:p w:rsidR="00E57562" w:rsidRPr="00E57562" w:rsidP="00E135F6" w14:paraId="0476D5C6" w14:textId="0F87A323">
            <w:pPr>
              <w:spacing w:after="0" w:line="240" w:lineRule="auto"/>
              <w:jc w:val="right"/>
              <w:rPr>
                <w:rFonts w:ascii="Times New Roman" w:eastAsia="Times New Roman" w:hAnsi="Times New Roman" w:cs="Times New Roman"/>
                <w:color w:val="000000"/>
                <w:sz w:val="22"/>
                <w:szCs w:val="22"/>
                <w14:ligatures w14:val="none"/>
              </w:rPr>
            </w:pPr>
            <w:r>
              <w:rPr>
                <w:rFonts w:ascii="Times New Roman" w:eastAsia="Times New Roman" w:hAnsi="Times New Roman" w:cs="Times New Roman"/>
                <w:color w:val="000000"/>
                <w:sz w:val="22"/>
                <w:szCs w:val="22"/>
                <w14:ligatures w14:val="none"/>
              </w:rPr>
              <w:t>20</w:t>
            </w:r>
          </w:p>
        </w:tc>
        <w:tc>
          <w:tcPr>
            <w:tcW w:w="1440" w:type="dxa"/>
            <w:tcBorders>
              <w:top w:val="nil"/>
              <w:left w:val="nil"/>
              <w:bottom w:val="single" w:sz="4" w:space="0" w:color="auto"/>
              <w:right w:val="single" w:sz="4" w:space="0" w:color="auto"/>
            </w:tcBorders>
            <w:noWrap/>
            <w:hideMark/>
          </w:tcPr>
          <w:p w:rsidR="00E57562" w:rsidRPr="00E57562" w:rsidP="00E135F6" w14:paraId="5DF3AFB2" w14:textId="4A2D033E">
            <w:pPr>
              <w:spacing w:after="0" w:line="240" w:lineRule="auto"/>
              <w:jc w:val="right"/>
              <w:rPr>
                <w:rFonts w:ascii="Times New Roman" w:eastAsia="Times New Roman" w:hAnsi="Times New Roman" w:cs="Times New Roman"/>
                <w:color w:val="000000"/>
                <w:sz w:val="22"/>
                <w:szCs w:val="22"/>
                <w14:ligatures w14:val="none"/>
              </w:rPr>
            </w:pPr>
            <w:r>
              <w:rPr>
                <w:rFonts w:ascii="Times New Roman" w:eastAsia="Times New Roman" w:hAnsi="Times New Roman" w:cs="Times New Roman"/>
                <w:color w:val="000000"/>
                <w:sz w:val="22"/>
                <w:szCs w:val="22"/>
                <w14:ligatures w14:val="none"/>
              </w:rPr>
              <w:t>13,461</w:t>
            </w:r>
          </w:p>
        </w:tc>
        <w:tc>
          <w:tcPr>
            <w:tcW w:w="1800" w:type="dxa"/>
            <w:tcBorders>
              <w:top w:val="nil"/>
              <w:left w:val="nil"/>
              <w:bottom w:val="single" w:sz="4" w:space="0" w:color="auto"/>
              <w:right w:val="single" w:sz="8" w:space="0" w:color="auto"/>
            </w:tcBorders>
            <w:noWrap/>
            <w:hideMark/>
          </w:tcPr>
          <w:p w:rsidR="00E57562" w:rsidRPr="00E57562" w:rsidP="00E135F6" w14:paraId="68A8244A" w14:textId="6E8DBEFC">
            <w:pPr>
              <w:spacing w:after="0" w:line="240" w:lineRule="auto"/>
              <w:jc w:val="right"/>
              <w:rPr>
                <w:rFonts w:ascii="Times New Roman" w:eastAsia="Times New Roman" w:hAnsi="Times New Roman" w:cs="Times New Roman"/>
                <w:color w:val="000000"/>
                <w:sz w:val="22"/>
                <w:szCs w:val="22"/>
                <w14:ligatures w14:val="none"/>
              </w:rPr>
            </w:pPr>
            <w:r>
              <w:rPr>
                <w:rFonts w:ascii="Times New Roman" w:eastAsia="Times New Roman" w:hAnsi="Times New Roman" w:cs="Times New Roman"/>
                <w:color w:val="000000"/>
                <w:sz w:val="22"/>
                <w:szCs w:val="22"/>
                <w14:ligatures w14:val="none"/>
              </w:rPr>
              <w:t>$1,676,930</w:t>
            </w:r>
          </w:p>
        </w:tc>
      </w:tr>
      <w:tr w14:paraId="498C40F4" w14:textId="77777777" w:rsidTr="00C30C32">
        <w:tblPrEx>
          <w:tblW w:w="0" w:type="auto"/>
          <w:tblLayout w:type="fixed"/>
          <w:tblLook w:val="04A0"/>
        </w:tblPrEx>
        <w:trPr>
          <w:trHeight w:val="315"/>
        </w:trPr>
        <w:tc>
          <w:tcPr>
            <w:tcW w:w="3240" w:type="dxa"/>
            <w:tcBorders>
              <w:top w:val="nil"/>
              <w:left w:val="single" w:sz="8" w:space="0" w:color="auto"/>
              <w:bottom w:val="single" w:sz="4" w:space="0" w:color="auto"/>
              <w:right w:val="single" w:sz="4" w:space="0" w:color="auto"/>
            </w:tcBorders>
            <w:noWrap/>
          </w:tcPr>
          <w:p w:rsidR="004C25E9" w:rsidRPr="00E135F6" w:rsidP="00132697" w14:paraId="330717FB" w14:textId="723F90E7">
            <w:pPr>
              <w:spacing w:after="0" w:line="240" w:lineRule="auto"/>
              <w:rPr>
                <w:rFonts w:ascii="Times New Roman" w:eastAsia="Times New Roman" w:hAnsi="Times New Roman" w:cs="Times New Roman"/>
                <w:b/>
                <w:bCs/>
                <w:color w:val="000000"/>
                <w:sz w:val="22"/>
                <w:szCs w:val="22"/>
                <w14:ligatures w14:val="none"/>
              </w:rPr>
            </w:pPr>
            <w:r w:rsidRPr="00E135F6">
              <w:rPr>
                <w:rFonts w:ascii="Times New Roman" w:eastAsia="Times New Roman" w:hAnsi="Times New Roman" w:cs="Times New Roman"/>
                <w:b/>
                <w:bCs/>
                <w:color w:val="000000"/>
                <w:sz w:val="22"/>
                <w:szCs w:val="22"/>
                <w14:ligatures w14:val="none"/>
              </w:rPr>
              <w:t>Total</w:t>
            </w:r>
          </w:p>
        </w:tc>
        <w:tc>
          <w:tcPr>
            <w:tcW w:w="1530" w:type="dxa"/>
            <w:tcBorders>
              <w:top w:val="nil"/>
              <w:left w:val="nil"/>
              <w:bottom w:val="single" w:sz="4" w:space="0" w:color="auto"/>
              <w:right w:val="single" w:sz="4" w:space="0" w:color="auto"/>
            </w:tcBorders>
            <w:noWrap/>
          </w:tcPr>
          <w:p w:rsidR="004C25E9" w:rsidRPr="00E135F6" w:rsidP="00253A5A" w14:paraId="322FB6E7" w14:textId="77777777">
            <w:pPr>
              <w:spacing w:after="0" w:line="240" w:lineRule="auto"/>
              <w:jc w:val="right"/>
              <w:rPr>
                <w:rFonts w:ascii="Times New Roman" w:eastAsia="Times New Roman" w:hAnsi="Times New Roman" w:cs="Times New Roman"/>
                <w:b/>
                <w:bCs/>
                <w:color w:val="000000"/>
                <w:sz w:val="22"/>
                <w:szCs w:val="22"/>
                <w14:ligatures w14:val="none"/>
              </w:rPr>
            </w:pPr>
          </w:p>
        </w:tc>
        <w:tc>
          <w:tcPr>
            <w:tcW w:w="1350" w:type="dxa"/>
            <w:tcBorders>
              <w:top w:val="nil"/>
              <w:left w:val="nil"/>
              <w:bottom w:val="single" w:sz="4" w:space="0" w:color="auto"/>
              <w:right w:val="single" w:sz="4" w:space="0" w:color="auto"/>
            </w:tcBorders>
            <w:noWrap/>
          </w:tcPr>
          <w:p w:rsidR="004C25E9" w:rsidRPr="00E135F6" w:rsidP="009B72C1" w14:paraId="6B8887AB" w14:textId="14E59C3E">
            <w:pPr>
              <w:spacing w:after="0" w:line="240" w:lineRule="auto"/>
              <w:jc w:val="right"/>
              <w:rPr>
                <w:rFonts w:ascii="Times New Roman" w:eastAsia="Times New Roman" w:hAnsi="Times New Roman" w:cs="Times New Roman"/>
                <w:b/>
                <w:bCs/>
                <w:color w:val="000000"/>
                <w:sz w:val="22"/>
                <w:szCs w:val="22"/>
                <w14:ligatures w14:val="none"/>
              </w:rPr>
            </w:pPr>
            <w:r w:rsidRPr="00E135F6">
              <w:rPr>
                <w:rFonts w:ascii="Times New Roman" w:eastAsia="Times New Roman" w:hAnsi="Times New Roman" w:cs="Times New Roman"/>
                <w:b/>
                <w:bCs/>
                <w:color w:val="000000"/>
                <w:sz w:val="22"/>
                <w:szCs w:val="22"/>
                <w14:ligatures w14:val="none"/>
              </w:rPr>
              <w:t>50</w:t>
            </w:r>
          </w:p>
        </w:tc>
        <w:tc>
          <w:tcPr>
            <w:tcW w:w="1440" w:type="dxa"/>
            <w:tcBorders>
              <w:top w:val="nil"/>
              <w:left w:val="nil"/>
              <w:bottom w:val="single" w:sz="4" w:space="0" w:color="auto"/>
              <w:right w:val="single" w:sz="4" w:space="0" w:color="auto"/>
            </w:tcBorders>
            <w:noWrap/>
          </w:tcPr>
          <w:p w:rsidR="004C25E9" w:rsidRPr="00E135F6" w:rsidP="00E135F6" w14:paraId="6FC99D76" w14:textId="7683EBFA">
            <w:pPr>
              <w:spacing w:after="0" w:line="240" w:lineRule="auto"/>
              <w:jc w:val="right"/>
              <w:rPr>
                <w:rFonts w:ascii="Times New Roman" w:eastAsia="Times New Roman" w:hAnsi="Times New Roman" w:cs="Times New Roman"/>
                <w:b/>
                <w:bCs/>
                <w:color w:val="000000"/>
                <w:sz w:val="22"/>
                <w:szCs w:val="22"/>
                <w14:ligatures w14:val="none"/>
              </w:rPr>
            </w:pPr>
            <w:r w:rsidRPr="00E135F6">
              <w:rPr>
                <w:rFonts w:ascii="Times New Roman" w:eastAsia="Times New Roman" w:hAnsi="Times New Roman" w:cs="Times New Roman"/>
                <w:b/>
                <w:bCs/>
                <w:color w:val="000000"/>
                <w:sz w:val="22"/>
                <w:szCs w:val="22"/>
                <w14:ligatures w14:val="none"/>
              </w:rPr>
              <w:t>33,577</w:t>
            </w:r>
          </w:p>
        </w:tc>
        <w:tc>
          <w:tcPr>
            <w:tcW w:w="1800" w:type="dxa"/>
            <w:tcBorders>
              <w:top w:val="nil"/>
              <w:left w:val="nil"/>
              <w:bottom w:val="single" w:sz="4" w:space="0" w:color="auto"/>
              <w:right w:val="single" w:sz="8" w:space="0" w:color="auto"/>
            </w:tcBorders>
            <w:noWrap/>
          </w:tcPr>
          <w:p w:rsidR="004C25E9" w:rsidRPr="00E135F6" w:rsidP="00E135F6" w14:paraId="24AA98E7" w14:textId="0526FDB8">
            <w:pPr>
              <w:spacing w:after="0" w:line="240" w:lineRule="auto"/>
              <w:jc w:val="right"/>
              <w:rPr>
                <w:rFonts w:ascii="Times New Roman" w:eastAsia="Times New Roman" w:hAnsi="Times New Roman" w:cs="Times New Roman"/>
                <w:b/>
                <w:bCs/>
                <w:color w:val="000000"/>
                <w:sz w:val="22"/>
                <w:szCs w:val="22"/>
                <w14:ligatures w14:val="none"/>
              </w:rPr>
            </w:pPr>
            <w:r w:rsidRPr="00E135F6">
              <w:rPr>
                <w:rFonts w:ascii="Times New Roman" w:eastAsia="Times New Roman" w:hAnsi="Times New Roman" w:cs="Times New Roman"/>
                <w:b/>
                <w:bCs/>
                <w:color w:val="000000"/>
                <w:sz w:val="22"/>
                <w:szCs w:val="22"/>
                <w14:ligatures w14:val="none"/>
              </w:rPr>
              <w:t>$4,182,981</w:t>
            </w:r>
          </w:p>
        </w:tc>
      </w:tr>
      <w:tr w14:paraId="11E413F9" w14:textId="77777777" w:rsidTr="00C30C32">
        <w:tblPrEx>
          <w:tblW w:w="0" w:type="auto"/>
          <w:tblLayout w:type="fixed"/>
          <w:tblLook w:val="04A0"/>
        </w:tblPrEx>
        <w:trPr>
          <w:trHeight w:val="593"/>
        </w:trPr>
        <w:tc>
          <w:tcPr>
            <w:tcW w:w="9360" w:type="dxa"/>
            <w:gridSpan w:val="5"/>
            <w:tcBorders>
              <w:top w:val="single" w:sz="4" w:space="0" w:color="auto"/>
            </w:tcBorders>
            <w:noWrap/>
          </w:tcPr>
          <w:p w:rsidR="00D43B66" w:rsidRPr="00E57562" w:rsidP="00861177" w14:paraId="0752E33B" w14:textId="2AF6DB4C">
            <w:pPr>
              <w:spacing w:after="0" w:line="240" w:lineRule="auto"/>
              <w:rPr>
                <w:rFonts w:ascii="Times New Roman" w:eastAsia="Times New Roman" w:hAnsi="Times New Roman" w:cs="Times New Roman"/>
                <w:color w:val="000000"/>
                <w:sz w:val="22"/>
                <w:szCs w:val="22"/>
                <w14:ligatures w14:val="none"/>
              </w:rPr>
            </w:pPr>
            <w:r w:rsidRPr="00E135F6">
              <w:rPr>
                <w:rFonts w:ascii="Times New Roman" w:hAnsi="Times New Roman" w:cs="Times New Roman"/>
                <w:sz w:val="20"/>
                <w:szCs w:val="20"/>
                <w:vertAlign w:val="superscript"/>
              </w:rPr>
              <w:t>a</w:t>
            </w:r>
            <w:r>
              <w:rPr>
                <w:rFonts w:ascii="Times New Roman" w:hAnsi="Times New Roman" w:cs="Times New Roman"/>
              </w:rPr>
              <w:t xml:space="preserve"> </w:t>
            </w:r>
            <w:r w:rsidRPr="00E135F6">
              <w:rPr>
                <w:rFonts w:ascii="Times New Roman" w:hAnsi="Times New Roman" w:cs="Times New Roman"/>
                <w:sz w:val="20"/>
                <w:szCs w:val="20"/>
              </w:rPr>
              <w:t xml:space="preserve">Hourly burden figures presented </w:t>
            </w:r>
            <w:r>
              <w:rPr>
                <w:rFonts w:ascii="Times New Roman" w:hAnsi="Times New Roman" w:cs="Times New Roman"/>
                <w:sz w:val="20"/>
                <w:szCs w:val="20"/>
              </w:rPr>
              <w:t>here</w:t>
            </w:r>
            <w:r w:rsidRPr="00E135F6">
              <w:rPr>
                <w:rFonts w:ascii="Times New Roman" w:hAnsi="Times New Roman" w:cs="Times New Roman"/>
                <w:sz w:val="20"/>
                <w:szCs w:val="20"/>
              </w:rPr>
              <w:t xml:space="preserve"> are rounded to the nearest </w:t>
            </w:r>
            <w:r w:rsidRPr="00E135F6">
              <w:rPr>
                <w:rFonts w:ascii="Times New Roman" w:hAnsi="Times New Roman" w:cs="Times New Roman"/>
                <w:sz w:val="20"/>
                <w:szCs w:val="20"/>
              </w:rPr>
              <w:t>hundredth</w:t>
            </w:r>
            <w:r w:rsidRPr="00E135F6">
              <w:rPr>
                <w:rFonts w:ascii="Times New Roman" w:hAnsi="Times New Roman" w:cs="Times New Roman"/>
                <w:sz w:val="20"/>
                <w:szCs w:val="20"/>
              </w:rPr>
              <w:t xml:space="preserve"> of an hour for presentation purposes.  Total burden figures are produced using unrounded figures for accuracy.</w:t>
            </w:r>
          </w:p>
        </w:tc>
      </w:tr>
    </w:tbl>
    <w:p w:rsidR="009314E6" w:rsidP="00404A6F" w14:paraId="5963AE63" w14:textId="77777777">
      <w:pPr>
        <w:pStyle w:val="PlainText"/>
        <w:rPr>
          <w:rFonts w:ascii="Times New Roman" w:eastAsia="MS Mincho" w:hAnsi="Times New Roman" w:cs="Times New Roman"/>
          <w:sz w:val="24"/>
          <w:szCs w:val="24"/>
        </w:rPr>
      </w:pPr>
    </w:p>
    <w:p w:rsidR="00404A6F" w:rsidP="00404A6F" w14:paraId="3A2D93B3" w14:textId="77777777">
      <w:pPr>
        <w:pStyle w:val="PlainText"/>
        <w:rPr>
          <w:rFonts w:ascii="Times New Roman" w:eastAsia="MS Mincho" w:hAnsi="Times New Roman" w:cs="Times New Roman"/>
          <w:sz w:val="24"/>
          <w:szCs w:val="24"/>
          <w:u w:val="single"/>
        </w:rPr>
      </w:pPr>
      <w:r w:rsidRPr="006C24B4">
        <w:rPr>
          <w:rFonts w:ascii="Times New Roman" w:eastAsia="MS Mincho" w:hAnsi="Times New Roman" w:cs="Times New Roman"/>
          <w:sz w:val="24"/>
          <w:szCs w:val="24"/>
        </w:rPr>
        <w:t xml:space="preserve">13. </w:t>
      </w:r>
      <w:r w:rsidRPr="006C24B4">
        <w:rPr>
          <w:rFonts w:ascii="Times New Roman" w:eastAsia="MS Mincho" w:hAnsi="Times New Roman" w:cs="Times New Roman"/>
          <w:sz w:val="24"/>
          <w:szCs w:val="24"/>
          <w:u w:val="single"/>
        </w:rPr>
        <w:t>Estimated total annual cost burden.</w:t>
      </w:r>
    </w:p>
    <w:p w:rsidR="00404A6F" w:rsidP="00404A6F" w14:paraId="23EC2361" w14:textId="77777777">
      <w:pPr>
        <w:pStyle w:val="PlainText"/>
        <w:rPr>
          <w:rFonts w:ascii="Times New Roman" w:eastAsia="MS Mincho" w:hAnsi="Times New Roman" w:cs="Times New Roman"/>
          <w:sz w:val="24"/>
          <w:szCs w:val="24"/>
          <w:u w:val="single"/>
        </w:rPr>
      </w:pPr>
    </w:p>
    <w:p w:rsidR="005E75B4" w:rsidRPr="00404A6F" w:rsidP="00404A6F" w14:paraId="173E1C59" w14:textId="4B91F9EB">
      <w:pPr>
        <w:pStyle w:val="PlainText"/>
        <w:ind w:firstLine="720"/>
        <w:rPr>
          <w:rFonts w:ascii="Times New Roman" w:eastAsia="MS Mincho" w:hAnsi="Times New Roman" w:cs="Times New Roman"/>
          <w:sz w:val="24"/>
          <w:szCs w:val="24"/>
          <w:u w:val="single"/>
        </w:rPr>
      </w:pPr>
      <w:r w:rsidRPr="00404A6F">
        <w:rPr>
          <w:rFonts w:ascii="Times New Roman" w:hAnsi="Times New Roman" w:cs="Times New Roman"/>
          <w:sz w:val="24"/>
          <w:szCs w:val="24"/>
          <w:u w:val="single"/>
        </w:rPr>
        <w:t>Estimated Total Annual</w:t>
      </w:r>
      <w:r w:rsidRPr="00404A6F" w:rsidR="00514DBD">
        <w:rPr>
          <w:rFonts w:ascii="Times New Roman" w:hAnsi="Times New Roman" w:cs="Times New Roman"/>
          <w:sz w:val="24"/>
          <w:szCs w:val="24"/>
          <w:u w:val="single"/>
        </w:rPr>
        <w:t xml:space="preserve"> Aggregate</w:t>
      </w:r>
      <w:r w:rsidRPr="00404A6F">
        <w:rPr>
          <w:rFonts w:ascii="Times New Roman" w:hAnsi="Times New Roman" w:cs="Times New Roman"/>
          <w:sz w:val="24"/>
          <w:szCs w:val="24"/>
          <w:u w:val="single"/>
        </w:rPr>
        <w:t xml:space="preserve"> Cost</w:t>
      </w:r>
      <w:r w:rsidRPr="00404A6F">
        <w:rPr>
          <w:rFonts w:ascii="Times New Roman" w:hAnsi="Times New Roman" w:cs="Times New Roman"/>
          <w:sz w:val="24"/>
          <w:szCs w:val="24"/>
          <w:u w:val="single"/>
        </w:rPr>
        <w:t>:</w:t>
      </w:r>
      <w:r w:rsidRPr="00404A6F">
        <w:rPr>
          <w:rFonts w:ascii="Times New Roman" w:hAnsi="Times New Roman" w:cs="Times New Roman"/>
          <w:sz w:val="24"/>
          <w:szCs w:val="24"/>
        </w:rPr>
        <w:t xml:space="preserve">  $</w:t>
      </w:r>
      <w:r w:rsidRPr="00404A6F" w:rsidR="00596CF8">
        <w:rPr>
          <w:rFonts w:ascii="Times New Roman" w:hAnsi="Times New Roman" w:cs="Times New Roman"/>
          <w:sz w:val="24"/>
          <w:szCs w:val="24"/>
        </w:rPr>
        <w:t>4,182,981</w:t>
      </w:r>
      <w:r w:rsidRPr="00404A6F" w:rsidR="00740136">
        <w:rPr>
          <w:rFonts w:ascii="Times New Roman" w:hAnsi="Times New Roman" w:cs="Times New Roman"/>
          <w:sz w:val="24"/>
          <w:szCs w:val="24"/>
        </w:rPr>
        <w:t xml:space="preserve"> (</w:t>
      </w:r>
      <w:r w:rsidRPr="00404A6F" w:rsidR="005532BF">
        <w:rPr>
          <w:rFonts w:ascii="Times New Roman" w:hAnsi="Times New Roman" w:cs="Times New Roman"/>
          <w:sz w:val="24"/>
          <w:szCs w:val="24"/>
        </w:rPr>
        <w:t>33,577</w:t>
      </w:r>
      <w:r w:rsidRPr="00404A6F" w:rsidR="00740136">
        <w:rPr>
          <w:rFonts w:ascii="Times New Roman" w:hAnsi="Times New Roman" w:cs="Times New Roman"/>
          <w:sz w:val="24"/>
          <w:szCs w:val="24"/>
        </w:rPr>
        <w:t xml:space="preserve"> hours multiplied by $124.58</w:t>
      </w:r>
      <w:r>
        <w:rPr>
          <w:rStyle w:val="FootnoteReference"/>
          <w:rFonts w:ascii="Times New Roman" w:hAnsi="Times New Roman" w:cs="Times New Roman"/>
          <w:sz w:val="24"/>
          <w:szCs w:val="24"/>
        </w:rPr>
        <w:footnoteReference w:id="14"/>
      </w:r>
      <w:r w:rsidRPr="00404A6F" w:rsidR="00740136">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r w:rsidRPr="00404A6F" w:rsidR="008A5AFB">
        <w:rPr>
          <w:rFonts w:ascii="Times New Roman" w:hAnsi="Times New Roman" w:cs="Times New Roman"/>
          <w:sz w:val="24"/>
          <w:szCs w:val="24"/>
        </w:rPr>
        <w:t xml:space="preserve"> </w:t>
      </w:r>
      <w:r w:rsidRPr="00404A6F" w:rsidR="008A5AFB">
        <w:rPr>
          <w:rFonts w:ascii="Times New Roman" w:hAnsi="Times New Roman" w:cs="Times New Roman"/>
          <w:sz w:val="24"/>
          <w:szCs w:val="24"/>
        </w:rPr>
        <w:br/>
      </w:r>
    </w:p>
    <w:p w:rsidR="00240CCA" w:rsidRPr="006C24B4" w:rsidP="00404A6F" w14:paraId="1D18EEF1" w14:textId="77777777">
      <w:pPr>
        <w:spacing w:after="0" w:line="240" w:lineRule="auto"/>
        <w:rPr>
          <w:rFonts w:ascii="Times New Roman" w:hAnsi="Times New Roman" w:cs="Times New Roman"/>
          <w:sz w:val="24"/>
          <w:szCs w:val="24"/>
          <w:u w:val="single"/>
        </w:rPr>
      </w:pPr>
      <w:r w:rsidRPr="006C24B4">
        <w:rPr>
          <w:rFonts w:ascii="Times New Roman" w:hAnsi="Times New Roman" w:cs="Times New Roman"/>
          <w:sz w:val="24"/>
          <w:szCs w:val="24"/>
        </w:rPr>
        <w:t xml:space="preserve">14. </w:t>
      </w:r>
      <w:r w:rsidRPr="006C24B4">
        <w:rPr>
          <w:rFonts w:ascii="Times New Roman" w:hAnsi="Times New Roman" w:cs="Times New Roman"/>
          <w:sz w:val="24"/>
          <w:szCs w:val="24"/>
          <w:u w:val="single"/>
        </w:rPr>
        <w:t>Estimated annual cost to the Federal government.</w:t>
      </w:r>
    </w:p>
    <w:p w:rsidR="009314E6" w:rsidP="00404A6F" w14:paraId="5B9213BC" w14:textId="77777777">
      <w:pPr>
        <w:spacing w:after="0" w:line="240" w:lineRule="auto"/>
        <w:ind w:firstLine="720"/>
        <w:rPr>
          <w:rFonts w:ascii="Times New Roman" w:eastAsia="Times New Roman" w:hAnsi="Times New Roman" w:cs="Times New Roman"/>
          <w:color w:val="000000" w:themeColor="text1"/>
          <w:sz w:val="24"/>
          <w:szCs w:val="24"/>
        </w:rPr>
      </w:pPr>
    </w:p>
    <w:p w:rsidR="00B95252" w:rsidRPr="006C24B4" w:rsidP="00404A6F" w14:paraId="01AE22A0" w14:textId="6335A74C">
      <w:pPr>
        <w:pStyle w:val="NPRMBody"/>
        <w:rPr>
          <w:color w:val="0F4761" w:themeColor="accent1" w:themeShade="BF"/>
        </w:rPr>
      </w:pPr>
      <w:r w:rsidRPr="006C24B4">
        <w:rPr>
          <w:rFonts w:eastAsia="Times New Roman"/>
        </w:rPr>
        <w:t>To implement the proposed rule, FinCEN expects to incur certain operating costs that would include approximately $5.9 million in the first effective year of the final rule and approximately $2.9</w:t>
      </w:r>
      <w:r w:rsidRPr="006C24B4" w:rsidR="00B02A79">
        <w:t> </w:t>
      </w:r>
      <w:r w:rsidRPr="006C24B4">
        <w:rPr>
          <w:rFonts w:eastAsia="Times New Roman"/>
        </w:rPr>
        <w:t xml:space="preserve">million </w:t>
      </w:r>
      <w:r w:rsidRPr="006C24B4" w:rsidR="1D6E9277">
        <w:rPr>
          <w:rFonts w:eastAsia="Times New Roman"/>
        </w:rPr>
        <w:t>on average in each</w:t>
      </w:r>
      <w:r w:rsidRPr="006C24B4" w:rsidR="7CCAB095">
        <w:rPr>
          <w:rFonts w:eastAsia="Times New Roman"/>
        </w:rPr>
        <w:t xml:space="preserve"> </w:t>
      </w:r>
      <w:r w:rsidRPr="006C24B4">
        <w:rPr>
          <w:rFonts w:eastAsia="Times New Roman"/>
        </w:rPr>
        <w:t xml:space="preserve">subsequent year. </w:t>
      </w:r>
      <w:r w:rsidRPr="006C24B4" w:rsidR="00FA038C">
        <w:rPr>
          <w:rFonts w:eastAsia="Times New Roman"/>
        </w:rPr>
        <w:t xml:space="preserve"> </w:t>
      </w:r>
      <w:r w:rsidRPr="006C24B4">
        <w:rPr>
          <w:rFonts w:eastAsia="Times New Roman"/>
        </w:rPr>
        <w:t xml:space="preserve">These estimates include anticipated expenses related to stakeholder outreach and informational support, compliance </w:t>
      </w:r>
      <w:r w:rsidRPr="006C24B4">
        <w:rPr>
          <w:rFonts w:eastAsia="Times New Roman"/>
        </w:rPr>
        <w:t>monitoring, and potential enforcement activities</w:t>
      </w:r>
      <w:r w:rsidR="00D30A11">
        <w:rPr>
          <w:rFonts w:eastAsia="Times New Roman"/>
        </w:rPr>
        <w:t>,</w:t>
      </w:r>
      <w:r w:rsidRPr="006C24B4">
        <w:rPr>
          <w:rFonts w:eastAsia="Times New Roman"/>
        </w:rPr>
        <w:t xml:space="preserve"> as well as certain incremental increases to pre-existing technological infrastructure, administrative</w:t>
      </w:r>
      <w:r w:rsidR="007C26EF">
        <w:rPr>
          <w:rFonts w:eastAsia="Times New Roman"/>
        </w:rPr>
        <w:t>,</w:t>
      </w:r>
      <w:r w:rsidRPr="006C24B4">
        <w:rPr>
          <w:rFonts w:eastAsia="Times New Roman"/>
        </w:rPr>
        <w:t xml:space="preserve"> and </w:t>
      </w:r>
      <w:r w:rsidR="007C26EF">
        <w:rPr>
          <w:rFonts w:eastAsia="Times New Roman"/>
        </w:rPr>
        <w:t>other</w:t>
      </w:r>
      <w:r w:rsidRPr="006C24B4">
        <w:rPr>
          <w:rFonts w:eastAsia="Times New Roman"/>
        </w:rPr>
        <w:t xml:space="preserve"> logistic expenses, primarily related to data collection and analysis.</w:t>
      </w:r>
      <w:r w:rsidRPr="008A5AFB" w:rsidR="008A5AFB">
        <w:t xml:space="preserve"> </w:t>
      </w:r>
      <w:r w:rsidR="008A5AFB">
        <w:br/>
      </w:r>
      <w:r w:rsidRPr="006C24B4">
        <w:rPr>
          <w:color w:val="0F4761" w:themeColor="accent1" w:themeShade="BF"/>
        </w:rPr>
        <w:t xml:space="preserve"> </w:t>
      </w:r>
    </w:p>
    <w:p w:rsidR="00240CCA" w:rsidRPr="006C24B4" w:rsidP="009314E6" w14:paraId="60935A6E" w14:textId="4E033B2B">
      <w:pPr>
        <w:spacing w:after="0" w:line="240" w:lineRule="auto"/>
        <w:rPr>
          <w:rFonts w:ascii="Times New Roman" w:hAnsi="Times New Roman" w:cs="Times New Roman"/>
          <w:sz w:val="24"/>
          <w:szCs w:val="24"/>
        </w:rPr>
      </w:pPr>
      <w:r w:rsidRPr="006C24B4">
        <w:rPr>
          <w:rFonts w:ascii="Times New Roman" w:hAnsi="Times New Roman" w:cs="Times New Roman"/>
          <w:sz w:val="24"/>
          <w:szCs w:val="24"/>
        </w:rPr>
        <w:t xml:space="preserve">15. </w:t>
      </w:r>
      <w:r w:rsidRPr="006C24B4">
        <w:rPr>
          <w:rFonts w:ascii="Times New Roman" w:hAnsi="Times New Roman" w:cs="Times New Roman"/>
          <w:sz w:val="24"/>
          <w:szCs w:val="24"/>
          <w:u w:val="single"/>
        </w:rPr>
        <w:t>Reason for change in burden.</w:t>
      </w:r>
      <w:r w:rsidRPr="006C24B4">
        <w:rPr>
          <w:rFonts w:ascii="Times New Roman" w:hAnsi="Times New Roman" w:cs="Times New Roman"/>
          <w:sz w:val="24"/>
          <w:szCs w:val="24"/>
        </w:rPr>
        <w:t xml:space="preserve"> </w:t>
      </w:r>
    </w:p>
    <w:p w:rsidR="008033B0" w:rsidP="009314E6" w14:paraId="5CB32486" w14:textId="77777777">
      <w:pPr>
        <w:spacing w:after="0" w:line="240" w:lineRule="auto"/>
        <w:ind w:firstLine="720"/>
        <w:rPr>
          <w:rFonts w:ascii="Times New Roman" w:hAnsi="Times New Roman" w:cs="Times New Roman"/>
          <w:sz w:val="24"/>
          <w:szCs w:val="24"/>
        </w:rPr>
      </w:pPr>
    </w:p>
    <w:p w:rsidR="00C460CC" w:rsidRPr="006C24B4" w:rsidP="00DD2C83" w14:paraId="67A8506D" w14:textId="59924D7A">
      <w:pPr>
        <w:pStyle w:val="NPRMBody"/>
      </w:pPr>
      <w:r w:rsidRPr="006C24B4">
        <w:t xml:space="preserve">None.  This is a </w:t>
      </w:r>
      <w:r w:rsidRPr="006C24B4">
        <w:t>new</w:t>
      </w:r>
      <w:r w:rsidRPr="006C24B4">
        <w:t xml:space="preserve"> </w:t>
      </w:r>
      <w:r w:rsidRPr="006C24B4" w:rsidR="00F41EA8">
        <w:t xml:space="preserve">proposed </w:t>
      </w:r>
      <w:r w:rsidRPr="006C24B4">
        <w:t>collection</w:t>
      </w:r>
      <w:r w:rsidRPr="006C24B4" w:rsidR="00F41EA8">
        <w:t xml:space="preserve"> of information</w:t>
      </w:r>
      <w:r w:rsidRPr="006C24B4" w:rsidR="00A55AF1">
        <w:t>.</w:t>
      </w:r>
      <w:r w:rsidRPr="008A5AFB" w:rsidR="008A5AFB">
        <w:t xml:space="preserve"> </w:t>
      </w:r>
    </w:p>
    <w:p w:rsidR="009314E6" w:rsidP="009314E6" w14:paraId="1FDBBC17" w14:textId="77777777">
      <w:pPr>
        <w:spacing w:after="0" w:line="240" w:lineRule="auto"/>
        <w:rPr>
          <w:rFonts w:ascii="Times New Roman" w:hAnsi="Times New Roman" w:cs="Times New Roman"/>
          <w:sz w:val="24"/>
          <w:szCs w:val="24"/>
        </w:rPr>
      </w:pPr>
    </w:p>
    <w:p w:rsidR="00BD32D2" w:rsidP="009314E6" w14:paraId="0A8ED759" w14:textId="2358C71F">
      <w:pPr>
        <w:spacing w:after="0" w:line="240" w:lineRule="auto"/>
        <w:rPr>
          <w:rFonts w:ascii="Times New Roman" w:hAnsi="Times New Roman" w:cs="Times New Roman"/>
          <w:sz w:val="24"/>
          <w:szCs w:val="24"/>
        </w:rPr>
      </w:pPr>
      <w:r w:rsidRPr="006C24B4">
        <w:rPr>
          <w:rFonts w:ascii="Times New Roman" w:hAnsi="Times New Roman" w:cs="Times New Roman"/>
          <w:sz w:val="24"/>
          <w:szCs w:val="24"/>
        </w:rPr>
        <w:t xml:space="preserve">16. </w:t>
      </w:r>
      <w:r w:rsidRPr="006C24B4">
        <w:rPr>
          <w:rFonts w:ascii="Times New Roman" w:hAnsi="Times New Roman" w:cs="Times New Roman"/>
          <w:sz w:val="24"/>
          <w:szCs w:val="24"/>
          <w:u w:val="single"/>
        </w:rPr>
        <w:t>Plans for tabulation, statistical analysis, and publication.</w:t>
      </w:r>
      <w:r w:rsidRPr="006C24B4">
        <w:rPr>
          <w:rFonts w:ascii="Times New Roman" w:hAnsi="Times New Roman" w:cs="Times New Roman"/>
          <w:sz w:val="24"/>
          <w:szCs w:val="24"/>
        </w:rPr>
        <w:t xml:space="preserve"> </w:t>
      </w:r>
    </w:p>
    <w:p w:rsidR="009314E6" w:rsidRPr="006C24B4" w:rsidP="009314E6" w14:paraId="0C46264F" w14:textId="77777777">
      <w:pPr>
        <w:spacing w:after="0" w:line="240" w:lineRule="auto"/>
        <w:rPr>
          <w:rFonts w:ascii="Times New Roman" w:hAnsi="Times New Roman" w:cs="Times New Roman"/>
          <w:sz w:val="24"/>
          <w:szCs w:val="24"/>
        </w:rPr>
      </w:pPr>
    </w:p>
    <w:p w:rsidR="00BD32D2" w:rsidRPr="006C24B4" w:rsidP="00DD2C83" w14:paraId="24E82D0D" w14:textId="77777777">
      <w:pPr>
        <w:pStyle w:val="NPRMBody"/>
      </w:pPr>
      <w:r w:rsidRPr="006C24B4">
        <w:t>This collection of information will not be tabulated or compiled for publication.</w:t>
      </w:r>
    </w:p>
    <w:p w:rsidR="009314E6" w:rsidP="009314E6" w14:paraId="6022766E" w14:textId="77777777">
      <w:pPr>
        <w:spacing w:after="0" w:line="240" w:lineRule="auto"/>
        <w:rPr>
          <w:rFonts w:ascii="Times New Roman" w:hAnsi="Times New Roman" w:cs="Times New Roman"/>
          <w:sz w:val="24"/>
          <w:szCs w:val="24"/>
        </w:rPr>
      </w:pPr>
    </w:p>
    <w:p w:rsidR="00BD32D2" w:rsidRPr="006C24B4" w:rsidP="009314E6" w14:paraId="7A151CA4" w14:textId="7A38625D">
      <w:pPr>
        <w:spacing w:after="0" w:line="240" w:lineRule="auto"/>
        <w:rPr>
          <w:rFonts w:ascii="Times New Roman" w:hAnsi="Times New Roman" w:cs="Times New Roman"/>
          <w:sz w:val="24"/>
          <w:szCs w:val="24"/>
        </w:rPr>
      </w:pPr>
      <w:r w:rsidRPr="006C24B4">
        <w:rPr>
          <w:rFonts w:ascii="Times New Roman" w:hAnsi="Times New Roman" w:cs="Times New Roman"/>
          <w:sz w:val="24"/>
          <w:szCs w:val="24"/>
        </w:rPr>
        <w:t xml:space="preserve">17. </w:t>
      </w:r>
      <w:r w:rsidRPr="006C24B4">
        <w:rPr>
          <w:rFonts w:ascii="Times New Roman" w:hAnsi="Times New Roman" w:cs="Times New Roman"/>
          <w:sz w:val="24"/>
          <w:szCs w:val="24"/>
          <w:u w:val="single"/>
        </w:rPr>
        <w:t>Request not to display the OMB expiration date.</w:t>
      </w:r>
      <w:r w:rsidRPr="006C24B4">
        <w:rPr>
          <w:rFonts w:ascii="Times New Roman" w:hAnsi="Times New Roman" w:cs="Times New Roman"/>
          <w:sz w:val="24"/>
          <w:szCs w:val="24"/>
        </w:rPr>
        <w:t xml:space="preserve"> </w:t>
      </w:r>
    </w:p>
    <w:p w:rsidR="009314E6" w:rsidP="00DD2C83" w14:paraId="013213CF" w14:textId="77777777">
      <w:pPr>
        <w:pStyle w:val="NPRMBody"/>
      </w:pPr>
    </w:p>
    <w:p w:rsidR="00BD32D2" w:rsidRPr="006C24B4" w:rsidP="009314E6" w14:paraId="16F8C661" w14:textId="4F8D7799">
      <w:pPr>
        <w:spacing w:after="0" w:line="240" w:lineRule="auto"/>
        <w:ind w:firstLine="720"/>
        <w:rPr>
          <w:rFonts w:ascii="Times New Roman" w:hAnsi="Times New Roman" w:cs="Times New Roman"/>
          <w:sz w:val="24"/>
          <w:szCs w:val="24"/>
        </w:rPr>
      </w:pPr>
      <w:r w:rsidRPr="006C24B4">
        <w:rPr>
          <w:rFonts w:ascii="Times New Roman" w:hAnsi="Times New Roman" w:cs="Times New Roman"/>
          <w:sz w:val="24"/>
          <w:szCs w:val="24"/>
        </w:rPr>
        <w:t xml:space="preserve">FinCEN requests that it </w:t>
      </w:r>
      <w:r w:rsidRPr="006C24B4">
        <w:rPr>
          <w:rFonts w:ascii="Times New Roman" w:hAnsi="Times New Roman" w:cs="Times New Roman"/>
          <w:sz w:val="24"/>
          <w:szCs w:val="24"/>
        </w:rPr>
        <w:t>not be</w:t>
      </w:r>
      <w:r w:rsidRPr="006C24B4">
        <w:rPr>
          <w:rFonts w:ascii="Times New Roman" w:hAnsi="Times New Roman" w:cs="Times New Roman"/>
          <w:sz w:val="24"/>
          <w:szCs w:val="24"/>
        </w:rPr>
        <w:t xml:space="preserve"> required to display the expiration date so that the regulations will not have to be amended for the new expiration date every three years.  This request will not affect the normal three-year PRA renewal process.</w:t>
      </w:r>
    </w:p>
    <w:p w:rsidR="009314E6" w:rsidP="009314E6" w14:paraId="5A6C3AA3" w14:textId="77777777">
      <w:pPr>
        <w:spacing w:after="0" w:line="240" w:lineRule="auto"/>
        <w:rPr>
          <w:rFonts w:ascii="Times New Roman" w:hAnsi="Times New Roman" w:cs="Times New Roman"/>
          <w:sz w:val="24"/>
          <w:szCs w:val="24"/>
        </w:rPr>
      </w:pPr>
    </w:p>
    <w:p w:rsidR="00BD32D2" w:rsidRPr="006C24B4" w:rsidP="009314E6" w14:paraId="60DF2205" w14:textId="3DE6CDA6">
      <w:pPr>
        <w:spacing w:after="0" w:line="240" w:lineRule="auto"/>
        <w:rPr>
          <w:rFonts w:ascii="Times New Roman" w:hAnsi="Times New Roman" w:cs="Times New Roman"/>
          <w:sz w:val="24"/>
          <w:szCs w:val="24"/>
        </w:rPr>
      </w:pPr>
      <w:r w:rsidRPr="006C24B4">
        <w:rPr>
          <w:rFonts w:ascii="Times New Roman" w:hAnsi="Times New Roman" w:cs="Times New Roman"/>
          <w:sz w:val="24"/>
          <w:szCs w:val="24"/>
        </w:rPr>
        <w:t xml:space="preserve">18. </w:t>
      </w:r>
      <w:r w:rsidRPr="006C24B4">
        <w:rPr>
          <w:rFonts w:ascii="Times New Roman" w:hAnsi="Times New Roman" w:cs="Times New Roman"/>
          <w:sz w:val="24"/>
          <w:szCs w:val="24"/>
          <w:u w:val="single"/>
        </w:rPr>
        <w:t>Exceptions to the certification statement.</w:t>
      </w:r>
      <w:r w:rsidRPr="006C24B4">
        <w:rPr>
          <w:rFonts w:ascii="Times New Roman" w:hAnsi="Times New Roman" w:cs="Times New Roman"/>
          <w:sz w:val="24"/>
          <w:szCs w:val="24"/>
        </w:rPr>
        <w:t xml:space="preserve"> </w:t>
      </w:r>
    </w:p>
    <w:p w:rsidR="009314E6" w:rsidP="009314E6" w14:paraId="2BA762FE" w14:textId="77777777">
      <w:pPr>
        <w:spacing w:after="0" w:line="240" w:lineRule="auto"/>
        <w:ind w:firstLine="720"/>
        <w:rPr>
          <w:rFonts w:ascii="Times New Roman" w:hAnsi="Times New Roman" w:cs="Times New Roman"/>
          <w:sz w:val="24"/>
          <w:szCs w:val="24"/>
        </w:rPr>
      </w:pPr>
    </w:p>
    <w:p w:rsidR="00BD32D2" w:rsidRPr="006C24B4" w:rsidP="00DD2C83" w14:paraId="6B290F27" w14:textId="0512572F">
      <w:pPr>
        <w:pStyle w:val="NPRMBody"/>
        <w:rPr>
          <w:color w:val="0F4761" w:themeColor="accent1" w:themeShade="BF"/>
        </w:rPr>
      </w:pPr>
      <w:r w:rsidRPr="006C24B4">
        <w:t>There are no exceptions to the certification statement.</w:t>
      </w:r>
    </w:p>
    <w:p w:rsidR="00201625" w:rsidRPr="006C24B4" w:rsidP="008A62EC" w14:paraId="05E0B483" w14:textId="3829DBBC">
      <w:pPr>
        <w:spacing w:after="160" w:line="259" w:lineRule="auto"/>
        <w:rPr>
          <w:rFonts w:ascii="Times New Roman" w:hAnsi="Times New Roman" w:cs="Times New Roman"/>
          <w:color w:val="0F4761" w:themeColor="accent1" w:themeShade="BF"/>
          <w:sz w:val="24"/>
          <w:szCs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ZapfDingbats">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8213123"/>
      <w:docPartObj>
        <w:docPartGallery w:val="Page Numbers (Bottom of Page)"/>
        <w:docPartUnique/>
      </w:docPartObj>
    </w:sdtPr>
    <w:sdtEndPr>
      <w:rPr>
        <w:rFonts w:ascii="Times New Roman" w:hAnsi="Times New Roman" w:cs="Times New Roman"/>
        <w:noProof/>
        <w:sz w:val="24"/>
        <w:szCs w:val="24"/>
      </w:rPr>
    </w:sdtEndPr>
    <w:sdtContent>
      <w:p w:rsidR="0058765D" w:rsidRPr="0058765D" w14:paraId="4A36A9C6" w14:textId="4984C78E">
        <w:pPr>
          <w:pStyle w:val="Footer"/>
          <w:jc w:val="center"/>
          <w:rPr>
            <w:rFonts w:ascii="Times New Roman" w:hAnsi="Times New Roman" w:cs="Times New Roman"/>
            <w:sz w:val="24"/>
            <w:szCs w:val="24"/>
          </w:rPr>
        </w:pPr>
        <w:r w:rsidRPr="0058765D">
          <w:rPr>
            <w:rFonts w:ascii="Times New Roman" w:hAnsi="Times New Roman" w:cs="Times New Roman"/>
            <w:sz w:val="24"/>
            <w:szCs w:val="24"/>
          </w:rPr>
          <w:fldChar w:fldCharType="begin"/>
        </w:r>
        <w:r w:rsidRPr="0058765D">
          <w:rPr>
            <w:rFonts w:ascii="Times New Roman" w:hAnsi="Times New Roman" w:cs="Times New Roman"/>
            <w:sz w:val="24"/>
            <w:szCs w:val="24"/>
          </w:rPr>
          <w:instrText xml:space="preserve"> PAGE   \* MERGEFORMAT </w:instrText>
        </w:r>
        <w:r w:rsidRPr="0058765D">
          <w:rPr>
            <w:rFonts w:ascii="Times New Roman" w:hAnsi="Times New Roman" w:cs="Times New Roman"/>
            <w:sz w:val="24"/>
            <w:szCs w:val="24"/>
          </w:rPr>
          <w:fldChar w:fldCharType="separate"/>
        </w:r>
        <w:r w:rsidRPr="0058765D">
          <w:rPr>
            <w:rFonts w:ascii="Times New Roman" w:hAnsi="Times New Roman" w:cs="Times New Roman"/>
            <w:noProof/>
            <w:sz w:val="24"/>
            <w:szCs w:val="24"/>
          </w:rPr>
          <w:t>2</w:t>
        </w:r>
        <w:r w:rsidRPr="0058765D">
          <w:rPr>
            <w:rFonts w:ascii="Times New Roman" w:hAnsi="Times New Roman" w:cs="Times New Roman"/>
            <w:noProof/>
            <w:sz w:val="24"/>
            <w:szCs w:val="24"/>
          </w:rPr>
          <w:fldChar w:fldCharType="end"/>
        </w:r>
      </w:p>
    </w:sdtContent>
  </w:sdt>
  <w:p w:rsidR="0058765D" w14:paraId="7A45A49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0911" w:rsidP="00E623B5" w14:paraId="14EDED2B" w14:textId="77777777">
      <w:pPr>
        <w:spacing w:after="0" w:line="240" w:lineRule="auto"/>
      </w:pPr>
      <w:r>
        <w:separator/>
      </w:r>
    </w:p>
  </w:footnote>
  <w:footnote w:type="continuationSeparator" w:id="1">
    <w:p w:rsidR="00500911" w:rsidP="00E623B5" w14:paraId="33538ADB" w14:textId="77777777">
      <w:pPr>
        <w:spacing w:after="0" w:line="240" w:lineRule="auto"/>
      </w:pPr>
      <w:r>
        <w:continuationSeparator/>
      </w:r>
    </w:p>
  </w:footnote>
  <w:footnote w:id="2">
    <w:p w:rsidR="00DD0C2F" w:rsidRPr="00CA53E4" w:rsidP="00DD0C2F" w14:paraId="447CC940" w14:textId="77777777">
      <w:pPr>
        <w:pStyle w:val="FootnoteText"/>
        <w:rPr>
          <w:rFonts w:ascii="Times New Roman" w:hAnsi="Times New Roman" w:cs="Times New Roman"/>
        </w:rPr>
      </w:pPr>
      <w:r w:rsidRPr="00CA53E4">
        <w:rPr>
          <w:rStyle w:val="FootnoteReference"/>
          <w:rFonts w:ascii="Times New Roman" w:hAnsi="Times New Roman" w:cs="Times New Roman"/>
        </w:rPr>
        <w:footnoteRef/>
      </w:r>
      <w:r w:rsidRPr="00CA53E4">
        <w:rPr>
          <w:rFonts w:ascii="Times New Roman" w:hAnsi="Times New Roman" w:cs="Times New Roman"/>
        </w:rPr>
        <w:t xml:space="preserve"> </w:t>
      </w:r>
      <w:r w:rsidRPr="00CA53E4">
        <w:rPr>
          <w:rFonts w:ascii="Times New Roman" w:eastAsia="Calibri" w:hAnsi="Times New Roman" w:cs="Times New Roman"/>
          <w:color w:val="000000"/>
          <w:szCs w:val="22"/>
          <w14:ligatures w14:val="none"/>
        </w:rPr>
        <w:t>Certain parts of the Currency and Foreign Transactions Reporting Act, its amendments, and the other statutes relating to the subject matter of that Act, have come to be referred to as the BSA.  These statutes are codified at 12 U.S.C. 1829b, 12 U.S.C. 1951-1960, and 31 U.S.C. 5311-5314 and 5316-5336 and notes thereto</w:t>
      </w:r>
      <w:r w:rsidRPr="00CA53E4">
        <w:rPr>
          <w:rFonts w:ascii="Times New Roman" w:eastAsia="ZapfDingbats" w:hAnsi="Times New Roman" w:cs="Times New Roman"/>
          <w:color w:val="000000"/>
          <w:szCs w:val="22"/>
          <w14:ligatures w14:val="none"/>
        </w:rPr>
        <w:t>, with implementing regulations at 31 CFR chapter X</w:t>
      </w:r>
      <w:r w:rsidRPr="00CA53E4">
        <w:rPr>
          <w:rFonts w:ascii="Times New Roman" w:eastAsia="Calibri" w:hAnsi="Times New Roman" w:cs="Times New Roman"/>
          <w:color w:val="000000"/>
          <w:szCs w:val="22"/>
          <w14:ligatures w14:val="none"/>
        </w:rPr>
        <w:t>.</w:t>
      </w:r>
    </w:p>
  </w:footnote>
  <w:footnote w:id="3">
    <w:p w:rsidR="00447E99" w:rsidRPr="00CA53E4" w:rsidP="00447E99" w14:paraId="7CAF8D17" w14:textId="77777777">
      <w:pPr>
        <w:pStyle w:val="FootnoteText"/>
        <w:rPr>
          <w:rFonts w:ascii="Times New Roman" w:hAnsi="Times New Roman" w:cs="Times New Roman"/>
        </w:rPr>
      </w:pPr>
      <w:r w:rsidRPr="00CA53E4">
        <w:rPr>
          <w:rStyle w:val="FootnoteReference"/>
          <w:rFonts w:ascii="Times New Roman" w:hAnsi="Times New Roman" w:cs="Times New Roman"/>
        </w:rPr>
        <w:footnoteRef/>
      </w:r>
      <w:r w:rsidRPr="00CA53E4">
        <w:rPr>
          <w:rFonts w:ascii="Times New Roman" w:hAnsi="Times New Roman" w:cs="Times New Roman"/>
        </w:rPr>
        <w:t xml:space="preserve"> GENIUS Act, Pub. L. 119-27, 139 Stat. 419 (2025) (codified at 12 U.S.C. 5901-5916).</w:t>
      </w:r>
    </w:p>
  </w:footnote>
  <w:footnote w:id="4">
    <w:p w:rsidR="00485E68" w:rsidRPr="00CA53E4" w:rsidP="00485E68" w14:paraId="5782C6F7" w14:textId="26F4862C">
      <w:pPr>
        <w:pStyle w:val="FootnoteText"/>
        <w:rPr>
          <w:rFonts w:ascii="Times New Roman" w:hAnsi="Times New Roman" w:cs="Times New Roman"/>
        </w:rPr>
      </w:pPr>
      <w:r w:rsidRPr="00CA53E4">
        <w:rPr>
          <w:rStyle w:val="FootnoteReference"/>
          <w:rFonts w:ascii="Times New Roman" w:hAnsi="Times New Roman" w:cs="Times New Roman"/>
        </w:rPr>
        <w:footnoteRef/>
      </w:r>
      <w:r w:rsidRPr="00CA53E4">
        <w:rPr>
          <w:rFonts w:ascii="Times New Roman" w:hAnsi="Times New Roman" w:cs="Times New Roman"/>
        </w:rPr>
        <w:t xml:space="preserve"> </w:t>
      </w:r>
      <w:r w:rsidRPr="00CA53E4" w:rsidR="00242C3E">
        <w:rPr>
          <w:rFonts w:ascii="Times New Roman" w:hAnsi="Times New Roman" w:cs="Times New Roman"/>
        </w:rPr>
        <w:t>OFAC and FinCEN</w:t>
      </w:r>
      <w:r w:rsidRPr="00CA53E4">
        <w:rPr>
          <w:rFonts w:ascii="Times New Roman" w:hAnsi="Times New Roman" w:cs="Times New Roman"/>
        </w:rPr>
        <w:t xml:space="preserve">, </w:t>
      </w:r>
      <w:r w:rsidRPr="00CA53E4">
        <w:rPr>
          <w:rFonts w:ascii="Times New Roman" w:hAnsi="Times New Roman" w:cs="Times New Roman"/>
          <w:i/>
          <w:iCs/>
        </w:rPr>
        <w:t>Permitted Payment Stablecoin Issuer Anti-Money Laundering/Countering the Financing of Terrorism Program and Sanctions Compliance Program Requirements</w:t>
      </w:r>
      <w:r w:rsidRPr="00CA53E4" w:rsidR="00F05641">
        <w:rPr>
          <w:rFonts w:ascii="Times New Roman" w:hAnsi="Times New Roman" w:cs="Times New Roman"/>
          <w:i/>
          <w:iCs/>
        </w:rPr>
        <w:t xml:space="preserve"> Notice of Proposed Rulemaking</w:t>
      </w:r>
      <w:r w:rsidRPr="00CA53E4">
        <w:rPr>
          <w:rFonts w:ascii="Times New Roman" w:hAnsi="Times New Roman" w:cs="Times New Roman"/>
        </w:rPr>
        <w:t>, 91 FR 18582 (Apr. 10, 2026)</w:t>
      </w:r>
      <w:r w:rsidRPr="00CA53E4" w:rsidR="003A2BDB">
        <w:rPr>
          <w:rFonts w:ascii="Times New Roman" w:hAnsi="Times New Roman" w:cs="Times New Roman"/>
        </w:rPr>
        <w:t xml:space="preserve"> (PPSI AML/CFT Program NPRM)</w:t>
      </w:r>
      <w:r w:rsidRPr="00CA53E4">
        <w:rPr>
          <w:rFonts w:ascii="Times New Roman" w:hAnsi="Times New Roman" w:cs="Times New Roman"/>
        </w:rPr>
        <w:t xml:space="preserve">.  </w:t>
      </w:r>
    </w:p>
  </w:footnote>
  <w:footnote w:id="5">
    <w:p w:rsidR="007B07BB" w:rsidRPr="00CA53E4" w:rsidP="007B07BB" w14:paraId="741FB1B0" w14:textId="1A03A1F3">
      <w:pPr>
        <w:pStyle w:val="FootnoteText"/>
        <w:rPr>
          <w:rFonts w:ascii="Times New Roman" w:hAnsi="Times New Roman" w:cs="Times New Roman"/>
        </w:rPr>
      </w:pPr>
      <w:r w:rsidRPr="00080EB4">
        <w:rPr>
          <w:rStyle w:val="FootnoteReference"/>
          <w:rFonts w:ascii="Times New Roman" w:hAnsi="Times New Roman" w:cs="Times New Roman"/>
        </w:rPr>
        <w:footnoteRef/>
      </w:r>
      <w:r w:rsidRPr="00080EB4" w:rsidR="00670C62">
        <w:rPr>
          <w:rFonts w:ascii="Times New Roman" w:hAnsi="Times New Roman" w:cs="Times New Roman"/>
        </w:rPr>
        <w:t xml:space="preserve"> </w:t>
      </w:r>
      <w:r w:rsidRPr="00CA53E4" w:rsidR="00670C62">
        <w:rPr>
          <w:rFonts w:ascii="Times New Roman" w:hAnsi="Times New Roman" w:cs="Times New Roman"/>
        </w:rPr>
        <w:t>OFAC will submit a request for a new OMB control number for the new recordkeeping requirements for testing and auditing for PPSIs to maintain a sanctions compliance program under this proposed rulemaking to implement the GENIUS Act.</w:t>
      </w:r>
    </w:p>
  </w:footnote>
  <w:footnote w:id="6">
    <w:p w:rsidR="00D10BB5" w:rsidRPr="00404A6F" w:rsidP="00D10BB5" w14:paraId="35240964" w14:textId="77777777">
      <w:pPr>
        <w:pStyle w:val="HTMLPreformatted"/>
        <w:shd w:val="clear" w:color="auto" w:fill="FFFFFF"/>
        <w:rPr>
          <w:rFonts w:ascii="Times New Roman" w:hAnsi="Times New Roman" w:cs="Times New Roman"/>
          <w:color w:val="000000"/>
        </w:rPr>
      </w:pPr>
      <w:r w:rsidRPr="00404A6F">
        <w:rPr>
          <w:rStyle w:val="FootnoteReference"/>
          <w:rFonts w:ascii="Times New Roman" w:hAnsi="Times New Roman" w:eastAsiaTheme="majorEastAsia" w:cs="Times New Roman"/>
        </w:rPr>
        <w:footnoteRef/>
      </w:r>
      <w:r w:rsidRPr="00404A6F">
        <w:rPr>
          <w:rFonts w:ascii="Times New Roman" w:hAnsi="Times New Roman" w:cs="Times New Roman"/>
        </w:rPr>
        <w:t xml:space="preserve"> </w:t>
      </w:r>
      <w:r w:rsidRPr="00404A6F">
        <w:rPr>
          <w:rFonts w:ascii="Times New Roman" w:hAnsi="Times New Roman" w:cs="Times New Roman"/>
          <w:i/>
          <w:iCs/>
        </w:rPr>
        <w:t>See</w:t>
      </w:r>
      <w:r w:rsidRPr="00404A6F">
        <w:rPr>
          <w:rFonts w:ascii="Times New Roman" w:hAnsi="Times New Roman" w:cs="Times New Roman"/>
        </w:rPr>
        <w:t xml:space="preserve"> </w:t>
      </w:r>
      <w:r w:rsidRPr="00404A6F">
        <w:rPr>
          <w:rFonts w:ascii="Times New Roman" w:hAnsi="Times New Roman" w:cs="Times New Roman"/>
          <w:color w:val="000000"/>
        </w:rPr>
        <w:t xml:space="preserve">FinCEN, </w:t>
      </w:r>
      <w:r w:rsidRPr="00404A6F">
        <w:rPr>
          <w:rFonts w:ascii="Times New Roman" w:hAnsi="Times New Roman" w:cs="Times New Roman"/>
          <w:i/>
          <w:iCs/>
          <w:color w:val="000000"/>
        </w:rPr>
        <w:t>Privacy Act of 1974, System of Records Notice</w:t>
      </w:r>
      <w:r w:rsidRPr="00404A6F">
        <w:rPr>
          <w:rFonts w:ascii="Times New Roman" w:hAnsi="Times New Roman" w:cs="Times New Roman"/>
        </w:rPr>
        <w:t xml:space="preserve">, </w:t>
      </w:r>
      <w:hyperlink r:id="rId1" w:history="1">
        <w:r w:rsidRPr="00404A6F">
          <w:rPr>
            <w:rStyle w:val="Hyperlink"/>
            <w:rFonts w:ascii="Times New Roman" w:hAnsi="Times New Roman" w:cs="Times New Roman"/>
          </w:rPr>
          <w:t>79 FR 20969</w:t>
        </w:r>
      </w:hyperlink>
      <w:r w:rsidRPr="00404A6F">
        <w:rPr>
          <w:rFonts w:ascii="Times New Roman" w:hAnsi="Times New Roman" w:cs="Times New Roman"/>
        </w:rPr>
        <w:t xml:space="preserve"> (Apr. 14, 2014)</w:t>
      </w:r>
      <w:r w:rsidRPr="00404A6F">
        <w:rPr>
          <w:rFonts w:ascii="Times New Roman" w:hAnsi="Times New Roman" w:cs="Times New Roman"/>
          <w:color w:val="000000"/>
        </w:rPr>
        <w:t xml:space="preserve">. </w:t>
      </w:r>
    </w:p>
  </w:footnote>
  <w:footnote w:id="7">
    <w:p w:rsidR="00D10BB5" w:rsidRPr="00404A6F" w:rsidP="00D10BB5" w14:paraId="47563BC4" w14:textId="70043594">
      <w:pPr>
        <w:pStyle w:val="HTMLPreformatted"/>
        <w:shd w:val="clear" w:color="auto" w:fill="FFFFFF"/>
        <w:rPr>
          <w:rFonts w:ascii="Times New Roman" w:hAnsi="Times New Roman" w:cs="Times New Roman"/>
          <w:color w:val="000000"/>
        </w:rPr>
      </w:pPr>
      <w:r w:rsidRPr="00404A6F">
        <w:rPr>
          <w:rStyle w:val="FootnoteReference"/>
          <w:rFonts w:ascii="Times New Roman" w:hAnsi="Times New Roman" w:eastAsiaTheme="majorEastAsia" w:cs="Times New Roman"/>
        </w:rPr>
        <w:footnoteRef/>
      </w:r>
      <w:r w:rsidRPr="00404A6F">
        <w:rPr>
          <w:rFonts w:ascii="Times New Roman" w:hAnsi="Times New Roman" w:cs="Times New Roman"/>
        </w:rPr>
        <w:t xml:space="preserve"> </w:t>
      </w:r>
      <w:r w:rsidR="00C817D1">
        <w:rPr>
          <w:rFonts w:ascii="Times New Roman" w:hAnsi="Times New Roman" w:cs="Times New Roman"/>
          <w:i/>
          <w:iCs/>
        </w:rPr>
        <w:t>Id.</w:t>
      </w:r>
    </w:p>
  </w:footnote>
  <w:footnote w:id="8">
    <w:p w:rsidR="003B0ED2" w:rsidRPr="00CB5D0E" w:rsidP="003B0ED2" w14:paraId="206C5AE6" w14:textId="61D0BA78">
      <w:pPr>
        <w:pStyle w:val="FootnoteText"/>
        <w:rPr>
          <w:rFonts w:ascii="Times New Roman" w:hAnsi="Times New Roman" w:cs="Times New Roman"/>
        </w:rPr>
      </w:pPr>
      <w:r w:rsidRPr="00CB5D0E">
        <w:rPr>
          <w:rStyle w:val="FootnoteReference"/>
          <w:rFonts w:ascii="Times New Roman" w:hAnsi="Times New Roman" w:cs="Times New Roman"/>
        </w:rPr>
        <w:footnoteRef/>
      </w:r>
      <w:r w:rsidRPr="00CB5D0E">
        <w:rPr>
          <w:rFonts w:ascii="Times New Roman" w:hAnsi="Times New Roman" w:cs="Times New Roman"/>
        </w:rPr>
        <w:t xml:space="preserve"> </w:t>
      </w:r>
      <w:r w:rsidR="00FB15AA">
        <w:rPr>
          <w:rFonts w:ascii="Times New Roman" w:hAnsi="Times New Roman" w:cs="Times New Roman"/>
        </w:rPr>
        <w:t xml:space="preserve">Treasury, </w:t>
      </w:r>
      <w:r w:rsidRPr="00CB5D0E">
        <w:rPr>
          <w:rFonts w:ascii="Times New Roman" w:hAnsi="Times New Roman" w:cs="Times New Roman"/>
          <w:i/>
          <w:iCs/>
        </w:rPr>
        <w:t>GENIUS Act Implementation</w:t>
      </w:r>
      <w:r w:rsidRPr="00CB5D0E">
        <w:rPr>
          <w:rFonts w:ascii="Times New Roman" w:hAnsi="Times New Roman" w:cs="Times New Roman"/>
        </w:rPr>
        <w:t>, 90 FR at 451</w:t>
      </w:r>
      <w:r w:rsidR="00FB15AA">
        <w:rPr>
          <w:rFonts w:ascii="Times New Roman" w:hAnsi="Times New Roman" w:cs="Times New Roman"/>
        </w:rPr>
        <w:t>59</w:t>
      </w:r>
      <w:r w:rsidR="00F42CFF">
        <w:rPr>
          <w:rFonts w:ascii="Times New Roman" w:hAnsi="Times New Roman" w:cs="Times New Roman"/>
        </w:rPr>
        <w:t xml:space="preserve"> (Sept. 19, 2025)</w:t>
      </w:r>
      <w:r w:rsidRPr="00CB5D0E">
        <w:rPr>
          <w:rFonts w:ascii="Times New Roman" w:hAnsi="Times New Roman" w:cs="Times New Roman"/>
        </w:rPr>
        <w:t xml:space="preserve">.  The ANPRM solicited comment on a range of potential Treasury efforts related to the GENIUS Act and payment stablecoins that are </w:t>
      </w:r>
      <w:r w:rsidR="00850C6D">
        <w:rPr>
          <w:rFonts w:ascii="Times New Roman" w:hAnsi="Times New Roman" w:cs="Times New Roman"/>
        </w:rPr>
        <w:t>not pertinent</w:t>
      </w:r>
      <w:r w:rsidRPr="00CB5D0E">
        <w:rPr>
          <w:rFonts w:ascii="Times New Roman" w:hAnsi="Times New Roman" w:cs="Times New Roman"/>
        </w:rPr>
        <w:t xml:space="preserve"> </w:t>
      </w:r>
      <w:r w:rsidR="00850C6D">
        <w:rPr>
          <w:rFonts w:ascii="Times New Roman" w:hAnsi="Times New Roman" w:cs="Times New Roman"/>
        </w:rPr>
        <w:t>to</w:t>
      </w:r>
      <w:r w:rsidRPr="00CB5D0E">
        <w:rPr>
          <w:rFonts w:ascii="Times New Roman" w:hAnsi="Times New Roman" w:cs="Times New Roman"/>
        </w:rPr>
        <w:t xml:space="preserve"> </w:t>
      </w:r>
      <w:r w:rsidR="00836305">
        <w:rPr>
          <w:rFonts w:ascii="Times New Roman" w:hAnsi="Times New Roman" w:cs="Times New Roman"/>
        </w:rPr>
        <w:t>the obligation underpinning this supporting statement</w:t>
      </w:r>
      <w:r w:rsidRPr="00CB5D0E">
        <w:rPr>
          <w:rFonts w:ascii="Times New Roman" w:hAnsi="Times New Roman" w:cs="Times New Roman"/>
        </w:rPr>
        <w:t xml:space="preserve">.  For example, the ANPRM included questions related to the GENIUS Act prohibition on digital asset service providers offering and selling a payment stablecoin to any person in the United States </w:t>
      </w:r>
      <w:r w:rsidR="00A20E27">
        <w:rPr>
          <w:rFonts w:ascii="Times New Roman" w:hAnsi="Times New Roman" w:cs="Times New Roman"/>
        </w:rPr>
        <w:t>absent</w:t>
      </w:r>
      <w:r w:rsidRPr="00CB5D0E">
        <w:rPr>
          <w:rFonts w:ascii="Times New Roman" w:hAnsi="Times New Roman" w:cs="Times New Roman"/>
        </w:rPr>
        <w:t xml:space="preserve"> certain </w:t>
      </w:r>
      <w:r w:rsidR="00A20E27">
        <w:rPr>
          <w:rFonts w:ascii="Times New Roman" w:hAnsi="Times New Roman" w:cs="Times New Roman"/>
        </w:rPr>
        <w:t>conditions</w:t>
      </w:r>
      <w:r w:rsidRPr="00CB5D0E">
        <w:rPr>
          <w:rFonts w:ascii="Times New Roman" w:hAnsi="Times New Roman" w:cs="Times New Roman"/>
        </w:rPr>
        <w:t xml:space="preserve">.  </w:t>
      </w:r>
      <w:r w:rsidRPr="00CB5D0E">
        <w:rPr>
          <w:rFonts w:ascii="Times New Roman" w:hAnsi="Times New Roman" w:cs="Times New Roman"/>
          <w:i/>
          <w:iCs/>
        </w:rPr>
        <w:t>Id.</w:t>
      </w:r>
      <w:r w:rsidRPr="00CB5D0E">
        <w:rPr>
          <w:rFonts w:ascii="Times New Roman" w:hAnsi="Times New Roman" w:cs="Times New Roman"/>
        </w:rPr>
        <w:t xml:space="preserve"> at 45160–61.  </w:t>
      </w:r>
      <w:r w:rsidR="00A20E27">
        <w:rPr>
          <w:rFonts w:ascii="Times New Roman" w:hAnsi="Times New Roman" w:cs="Times New Roman"/>
        </w:rPr>
        <w:t>The ANPRM</w:t>
      </w:r>
      <w:r w:rsidRPr="00CB5D0E" w:rsidR="00A20E27">
        <w:rPr>
          <w:rFonts w:ascii="Times New Roman" w:hAnsi="Times New Roman" w:cs="Times New Roman"/>
        </w:rPr>
        <w:t xml:space="preserve"> </w:t>
      </w:r>
      <w:r w:rsidRPr="00CB5D0E">
        <w:rPr>
          <w:rFonts w:ascii="Times New Roman" w:hAnsi="Times New Roman" w:cs="Times New Roman"/>
        </w:rPr>
        <w:t>also included questions related to Treasury’s role in determining whether a state-level regulatory regime is substantially similar to the Federal framework</w:t>
      </w:r>
      <w:r w:rsidR="00A20E27">
        <w:rPr>
          <w:rFonts w:ascii="Times New Roman" w:hAnsi="Times New Roman" w:cs="Times New Roman"/>
        </w:rPr>
        <w:t>,</w:t>
      </w:r>
      <w:r w:rsidRPr="00CB5D0E">
        <w:rPr>
          <w:rFonts w:ascii="Times New Roman" w:hAnsi="Times New Roman" w:cs="Times New Roman"/>
        </w:rPr>
        <w:t xml:space="preserve"> and whether a foreign country’s regulatory and supervisory regime is comparable to the U.S. framework.  </w:t>
      </w:r>
      <w:r w:rsidRPr="00CB5D0E">
        <w:rPr>
          <w:rFonts w:ascii="Times New Roman" w:hAnsi="Times New Roman" w:cs="Times New Roman"/>
          <w:i/>
          <w:iCs/>
        </w:rPr>
        <w:t xml:space="preserve">Id. </w:t>
      </w:r>
      <w:r w:rsidRPr="00CB5D0E">
        <w:rPr>
          <w:rFonts w:ascii="Times New Roman" w:hAnsi="Times New Roman" w:cs="Times New Roman"/>
        </w:rPr>
        <w:t>at 45162–63.</w:t>
      </w:r>
    </w:p>
  </w:footnote>
  <w:footnote w:id="9">
    <w:p w:rsidR="003B0ED2" w:rsidRPr="009314E6" w:rsidP="003B0ED2" w14:paraId="77E7E917" w14:textId="77777777">
      <w:pPr>
        <w:pStyle w:val="FootnoteText"/>
        <w:rPr>
          <w:rFonts w:ascii="Times New Roman" w:hAnsi="Times New Roman" w:cs="Times New Roman"/>
        </w:rPr>
      </w:pPr>
      <w:r w:rsidRPr="009314E6">
        <w:rPr>
          <w:rStyle w:val="FootnoteReference"/>
          <w:rFonts w:ascii="Times New Roman" w:hAnsi="Times New Roman" w:cs="Times New Roman"/>
        </w:rPr>
        <w:footnoteRef/>
      </w:r>
      <w:r w:rsidRPr="009314E6">
        <w:rPr>
          <w:rFonts w:ascii="Times New Roman" w:hAnsi="Times New Roman" w:cs="Times New Roman"/>
        </w:rPr>
        <w:t xml:space="preserve"> </w:t>
      </w:r>
      <w:r w:rsidRPr="009314E6">
        <w:rPr>
          <w:rFonts w:ascii="Times New Roman" w:hAnsi="Times New Roman" w:cs="Times New Roman"/>
          <w:i/>
          <w:iCs/>
        </w:rPr>
        <w:t xml:space="preserve">Id. </w:t>
      </w:r>
      <w:r w:rsidRPr="009314E6">
        <w:rPr>
          <w:rFonts w:ascii="Times New Roman" w:hAnsi="Times New Roman" w:cs="Times New Roman"/>
        </w:rPr>
        <w:t>at 45161–63.</w:t>
      </w:r>
    </w:p>
  </w:footnote>
  <w:footnote w:id="10">
    <w:p w:rsidR="00A23843" w:rsidRPr="009314E6" w14:paraId="1D400DEF" w14:textId="770D7507">
      <w:pPr>
        <w:pStyle w:val="FootnoteText"/>
        <w:rPr>
          <w:rFonts w:ascii="Times New Roman" w:hAnsi="Times New Roman" w:cs="Times New Roman"/>
        </w:rPr>
      </w:pPr>
      <w:r w:rsidRPr="009314E6">
        <w:rPr>
          <w:rStyle w:val="FootnoteReference"/>
          <w:rFonts w:ascii="Times New Roman" w:hAnsi="Times New Roman" w:cs="Times New Roman"/>
        </w:rPr>
        <w:footnoteRef/>
      </w:r>
      <w:r w:rsidRPr="009314E6">
        <w:rPr>
          <w:rFonts w:ascii="Times New Roman" w:hAnsi="Times New Roman" w:cs="Times New Roman"/>
        </w:rPr>
        <w:t xml:space="preserve"> </w:t>
      </w:r>
      <w:r w:rsidRPr="009314E6">
        <w:rPr>
          <w:rFonts w:ascii="Times New Roman" w:hAnsi="Times New Roman" w:cs="Times New Roman"/>
          <w:i/>
          <w:iCs/>
        </w:rPr>
        <w:t>See</w:t>
      </w:r>
      <w:r w:rsidRPr="009314E6">
        <w:rPr>
          <w:rFonts w:ascii="Times New Roman" w:hAnsi="Times New Roman" w:cs="Times New Roman"/>
        </w:rPr>
        <w:t xml:space="preserve"> the PPSI AML</w:t>
      </w:r>
      <w:r w:rsidRPr="009314E6" w:rsidR="00111A05">
        <w:rPr>
          <w:rFonts w:ascii="Times New Roman" w:hAnsi="Times New Roman" w:cs="Times New Roman"/>
        </w:rPr>
        <w:t>/CFT</w:t>
      </w:r>
      <w:r w:rsidRPr="009314E6">
        <w:rPr>
          <w:rFonts w:ascii="Times New Roman" w:hAnsi="Times New Roman" w:cs="Times New Roman"/>
        </w:rPr>
        <w:t xml:space="preserve"> Program NPRM.</w:t>
      </w:r>
    </w:p>
  </w:footnote>
  <w:footnote w:id="11">
    <w:p w:rsidR="00FD300A" w:rsidRPr="009314E6" w:rsidP="00FD300A" w14:paraId="47F04C24" w14:textId="0E1C3708">
      <w:pPr>
        <w:pStyle w:val="HTMLPreformatted"/>
        <w:shd w:val="clear" w:color="auto" w:fill="FFFFFF"/>
        <w:rPr>
          <w:rFonts w:ascii="Times New Roman" w:hAnsi="Times New Roman" w:cs="Times New Roman"/>
        </w:rPr>
      </w:pPr>
      <w:r w:rsidRPr="009314E6">
        <w:rPr>
          <w:rStyle w:val="FootnoteReference"/>
          <w:rFonts w:ascii="Times New Roman" w:hAnsi="Times New Roman" w:eastAsiaTheme="majorEastAsia" w:cs="Times New Roman"/>
        </w:rPr>
        <w:footnoteRef/>
      </w:r>
      <w:r w:rsidRPr="009314E6">
        <w:rPr>
          <w:rFonts w:ascii="Times New Roman" w:hAnsi="Times New Roman" w:cs="Times New Roman"/>
        </w:rPr>
        <w:t xml:space="preserve"> </w:t>
      </w:r>
      <w:r w:rsidRPr="009314E6">
        <w:rPr>
          <w:rFonts w:ascii="Times New Roman" w:eastAsia="Courier New" w:hAnsi="Times New Roman" w:cs="Times New Roman"/>
          <w:i/>
          <w:lang w:val="x-none"/>
        </w:rPr>
        <w:t>See</w:t>
      </w:r>
      <w:r w:rsidRPr="009314E6">
        <w:rPr>
          <w:rFonts w:ascii="Times New Roman" w:eastAsia="Courier New" w:hAnsi="Times New Roman" w:cs="Times New Roman"/>
          <w:lang w:eastAsia="x-none"/>
        </w:rPr>
        <w:t xml:space="preserve"> </w:t>
      </w:r>
      <w:r w:rsidRPr="00C817D1" w:rsidR="00C817D1">
        <w:rPr>
          <w:rFonts w:ascii="Times New Roman" w:eastAsia="Courier New" w:hAnsi="Times New Roman" w:cs="Times New Roman"/>
          <w:i/>
          <w:iCs/>
          <w:color w:val="000000"/>
          <w:lang w:val="x-none" w:eastAsia="x-none"/>
        </w:rPr>
        <w:t>supra note</w:t>
      </w:r>
      <w:r w:rsidR="00C817D1">
        <w:rPr>
          <w:rFonts w:ascii="Times New Roman" w:eastAsia="Courier New" w:hAnsi="Times New Roman" w:cs="Times New Roman"/>
          <w:color w:val="000000"/>
          <w:lang w:val="x-none" w:eastAsia="x-none"/>
        </w:rPr>
        <w:t xml:space="preserve"> 5. </w:t>
      </w:r>
    </w:p>
  </w:footnote>
  <w:footnote w:id="12">
    <w:p w:rsidR="00405951" w:rsidRPr="009314E6" w14:paraId="76858812" w14:textId="61C21932">
      <w:pPr>
        <w:pStyle w:val="FootnoteText"/>
        <w:rPr>
          <w:rFonts w:ascii="Times New Roman" w:hAnsi="Times New Roman" w:cs="Times New Roman"/>
        </w:rPr>
      </w:pPr>
      <w:r w:rsidRPr="009314E6">
        <w:rPr>
          <w:rStyle w:val="FootnoteReference"/>
          <w:rFonts w:ascii="Times New Roman" w:hAnsi="Times New Roman" w:cs="Times New Roman"/>
        </w:rPr>
        <w:footnoteRef/>
      </w:r>
      <w:r w:rsidRPr="009314E6">
        <w:rPr>
          <w:rFonts w:ascii="Times New Roman" w:hAnsi="Times New Roman" w:cs="Times New Roman"/>
        </w:rPr>
        <w:t xml:space="preserve"> </w:t>
      </w:r>
      <w:r w:rsidRPr="009314E6">
        <w:rPr>
          <w:rFonts w:ascii="Times New Roman" w:hAnsi="Times New Roman" w:cs="Times New Roman"/>
          <w:i/>
          <w:iCs/>
        </w:rPr>
        <w:t>See</w:t>
      </w:r>
      <w:r w:rsidRPr="009314E6">
        <w:rPr>
          <w:rFonts w:ascii="Times New Roman" w:hAnsi="Times New Roman" w:cs="Times New Roman"/>
        </w:rPr>
        <w:t xml:space="preserve"> </w:t>
      </w:r>
      <w:r w:rsidRPr="009314E6" w:rsidR="00D400C2">
        <w:rPr>
          <w:rFonts w:ascii="Times New Roman" w:hAnsi="Times New Roman" w:cs="Times New Roman"/>
        </w:rPr>
        <w:t>the</w:t>
      </w:r>
      <w:r w:rsidRPr="009314E6" w:rsidR="00111A05">
        <w:rPr>
          <w:rFonts w:ascii="Times New Roman" w:hAnsi="Times New Roman" w:cs="Times New Roman"/>
        </w:rPr>
        <w:t xml:space="preserve"> PPSI AML/CFT Program NPRM</w:t>
      </w:r>
      <w:r w:rsidRPr="009314E6" w:rsidR="00D400C2">
        <w:rPr>
          <w:rFonts w:ascii="Times New Roman" w:hAnsi="Times New Roman" w:cs="Times New Roman"/>
        </w:rPr>
        <w:t>, at</w:t>
      </w:r>
      <w:r w:rsidRPr="009314E6">
        <w:rPr>
          <w:rFonts w:ascii="Times New Roman" w:hAnsi="Times New Roman" w:cs="Times New Roman"/>
        </w:rPr>
        <w:t xml:space="preserve"> section</w:t>
      </w:r>
      <w:r w:rsidRPr="009314E6" w:rsidR="00600B56">
        <w:rPr>
          <w:rFonts w:ascii="Times New Roman" w:hAnsi="Times New Roman" w:cs="Times New Roman"/>
        </w:rPr>
        <w:t xml:space="preserve"> </w:t>
      </w:r>
      <w:r w:rsidRPr="009314E6" w:rsidR="00D400C2">
        <w:rPr>
          <w:rFonts w:ascii="Times New Roman" w:hAnsi="Times New Roman" w:cs="Times New Roman"/>
        </w:rPr>
        <w:t>XII.E.1</w:t>
      </w:r>
      <w:r w:rsidRPr="009314E6" w:rsidR="00EF064A">
        <w:rPr>
          <w:rFonts w:ascii="Times New Roman" w:hAnsi="Times New Roman" w:cs="Times New Roman"/>
        </w:rPr>
        <w:t>.i</w:t>
      </w:r>
      <w:r w:rsidRPr="009314E6" w:rsidR="00600B56">
        <w:rPr>
          <w:rFonts w:ascii="Times New Roman" w:hAnsi="Times New Roman" w:cs="Times New Roman"/>
        </w:rPr>
        <w:t>.</w:t>
      </w:r>
    </w:p>
  </w:footnote>
  <w:footnote w:id="13">
    <w:p w:rsidR="00330015" w:rsidRPr="009314E6" w:rsidP="00330015" w14:paraId="5B5FE30F" w14:textId="45F67DF5">
      <w:pPr>
        <w:pStyle w:val="FootnoteText"/>
        <w:rPr>
          <w:rFonts w:ascii="Times New Roman" w:hAnsi="Times New Roman" w:cs="Times New Roman"/>
        </w:rPr>
      </w:pPr>
      <w:r w:rsidRPr="009314E6">
        <w:rPr>
          <w:rStyle w:val="FootnoteReference"/>
          <w:rFonts w:ascii="Times New Roman" w:hAnsi="Times New Roman" w:cs="Times New Roman"/>
        </w:rPr>
        <w:footnoteRef/>
      </w:r>
      <w:r w:rsidRPr="009314E6">
        <w:rPr>
          <w:rFonts w:ascii="Times New Roman" w:hAnsi="Times New Roman" w:cs="Times New Roman"/>
        </w:rPr>
        <w:t xml:space="preserve"> For the burden hours and costs per activity covered under this OMB control number (i.e., those associated with </w:t>
      </w:r>
      <w:r w:rsidRPr="009314E6" w:rsidR="00EF7646">
        <w:rPr>
          <w:rFonts w:ascii="Times New Roman" w:hAnsi="Times New Roman" w:cs="Times New Roman"/>
        </w:rPr>
        <w:t xml:space="preserve">establishing and maintaining the written AML/CFT program </w:t>
      </w:r>
      <w:r w:rsidRPr="009314E6" w:rsidR="00907234">
        <w:rPr>
          <w:rFonts w:ascii="Times New Roman" w:hAnsi="Times New Roman" w:cs="Times New Roman"/>
        </w:rPr>
        <w:t>(</w:t>
      </w:r>
      <w:r w:rsidRPr="009314E6" w:rsidR="00EF7646">
        <w:rPr>
          <w:rFonts w:ascii="Times New Roman" w:hAnsi="Times New Roman" w:cs="Times New Roman"/>
        </w:rPr>
        <w:t>including program approval, storing the program, and producing it upon request</w:t>
      </w:r>
      <w:r w:rsidRPr="009314E6" w:rsidR="00907234">
        <w:rPr>
          <w:rFonts w:ascii="Times New Roman" w:hAnsi="Times New Roman" w:cs="Times New Roman"/>
        </w:rPr>
        <w:t>)</w:t>
      </w:r>
      <w:r w:rsidRPr="009314E6" w:rsidR="002F6ABA">
        <w:rPr>
          <w:rFonts w:ascii="Times New Roman" w:hAnsi="Times New Roman" w:cs="Times New Roman"/>
        </w:rPr>
        <w:t xml:space="preserve">; ongoing customer due diligence; </w:t>
      </w:r>
      <w:r w:rsidRPr="009314E6" w:rsidR="00A26FC7">
        <w:rPr>
          <w:rFonts w:ascii="Times New Roman" w:hAnsi="Times New Roman" w:cs="Times New Roman"/>
        </w:rPr>
        <w:t>beneficial ownership information-related customer due diligence</w:t>
      </w:r>
      <w:r w:rsidRPr="009314E6" w:rsidR="00E135F6">
        <w:rPr>
          <w:rFonts w:ascii="Times New Roman" w:hAnsi="Times New Roman" w:cs="Times New Roman"/>
        </w:rPr>
        <w:t>;</w:t>
      </w:r>
      <w:r w:rsidRPr="009314E6" w:rsidR="00A26FC7">
        <w:rPr>
          <w:rFonts w:ascii="Times New Roman" w:hAnsi="Times New Roman" w:cs="Times New Roman"/>
        </w:rPr>
        <w:t xml:space="preserve"> recordkeeping and reporting of </w:t>
      </w:r>
      <w:r w:rsidR="00850C6D">
        <w:rPr>
          <w:rFonts w:ascii="Times New Roman" w:hAnsi="Times New Roman" w:cs="Times New Roman"/>
        </w:rPr>
        <w:t>C</w:t>
      </w:r>
      <w:r w:rsidRPr="009314E6" w:rsidR="00A9578A">
        <w:rPr>
          <w:rFonts w:ascii="Times New Roman" w:hAnsi="Times New Roman" w:cs="Times New Roman"/>
        </w:rPr>
        <w:t xml:space="preserve">urrency </w:t>
      </w:r>
      <w:r w:rsidR="00850C6D">
        <w:rPr>
          <w:rFonts w:ascii="Times New Roman" w:hAnsi="Times New Roman" w:cs="Times New Roman"/>
        </w:rPr>
        <w:t>T</w:t>
      </w:r>
      <w:r w:rsidRPr="009314E6" w:rsidR="00A9578A">
        <w:rPr>
          <w:rFonts w:ascii="Times New Roman" w:hAnsi="Times New Roman" w:cs="Times New Roman"/>
        </w:rPr>
        <w:t xml:space="preserve">ransaction </w:t>
      </w:r>
      <w:r w:rsidR="00850C6D">
        <w:rPr>
          <w:rFonts w:ascii="Times New Roman" w:hAnsi="Times New Roman" w:cs="Times New Roman"/>
        </w:rPr>
        <w:t>R</w:t>
      </w:r>
      <w:r w:rsidRPr="009314E6" w:rsidR="00A9578A">
        <w:rPr>
          <w:rFonts w:ascii="Times New Roman" w:hAnsi="Times New Roman" w:cs="Times New Roman"/>
        </w:rPr>
        <w:t>eport</w:t>
      </w:r>
      <w:r w:rsidRPr="009314E6" w:rsidR="00A26FC7">
        <w:rPr>
          <w:rFonts w:ascii="Times New Roman" w:hAnsi="Times New Roman" w:cs="Times New Roman"/>
        </w:rPr>
        <w:t>s</w:t>
      </w:r>
      <w:r w:rsidRPr="009314E6" w:rsidR="00E135F6">
        <w:rPr>
          <w:rFonts w:ascii="Times New Roman" w:hAnsi="Times New Roman" w:cs="Times New Roman"/>
        </w:rPr>
        <w:t>;</w:t>
      </w:r>
      <w:r w:rsidRPr="009314E6" w:rsidR="00A26FC7">
        <w:rPr>
          <w:rFonts w:ascii="Times New Roman" w:hAnsi="Times New Roman" w:cs="Times New Roman"/>
        </w:rPr>
        <w:t xml:space="preserve"> recordkeeping and reporting of </w:t>
      </w:r>
      <w:r w:rsidRPr="009314E6" w:rsidR="00C30C32">
        <w:rPr>
          <w:rFonts w:ascii="Times New Roman" w:hAnsi="Times New Roman" w:cs="Times New Roman"/>
        </w:rPr>
        <w:t>Suspicious</w:t>
      </w:r>
      <w:r w:rsidRPr="006C24B4" w:rsidR="00C30C32">
        <w:rPr>
          <w:rFonts w:ascii="Times New Roman" w:hAnsi="Times New Roman" w:cs="Times New Roman"/>
        </w:rPr>
        <w:t xml:space="preserve"> </w:t>
      </w:r>
      <w:r w:rsidRPr="009314E6" w:rsidR="00C30C32">
        <w:rPr>
          <w:rFonts w:ascii="Times New Roman" w:hAnsi="Times New Roman" w:cs="Times New Roman"/>
        </w:rPr>
        <w:t>Activity Reports</w:t>
      </w:r>
      <w:r w:rsidRPr="009314E6" w:rsidR="00A26FC7">
        <w:rPr>
          <w:rFonts w:ascii="Times New Roman" w:hAnsi="Times New Roman" w:cs="Times New Roman"/>
        </w:rPr>
        <w:t xml:space="preserve">; </w:t>
      </w:r>
      <w:r w:rsidRPr="009314E6" w:rsidR="00405412">
        <w:rPr>
          <w:rFonts w:ascii="Times New Roman" w:hAnsi="Times New Roman" w:cs="Times New Roman"/>
        </w:rPr>
        <w:t>recordkeeping of unfiled suspicious act</w:t>
      </w:r>
      <w:r w:rsidRPr="009314E6" w:rsidR="00672D7E">
        <w:rPr>
          <w:rFonts w:ascii="Times New Roman" w:hAnsi="Times New Roman" w:cs="Times New Roman"/>
        </w:rPr>
        <w:t xml:space="preserve">ivity cases; </w:t>
      </w:r>
      <w:r w:rsidRPr="009314E6" w:rsidR="003B69F1">
        <w:rPr>
          <w:rFonts w:ascii="Times New Roman" w:hAnsi="Times New Roman" w:cs="Times New Roman"/>
        </w:rPr>
        <w:t xml:space="preserve">Recordkeeping and Travel Rule requirements; information sharing requirements </w:t>
      </w:r>
      <w:r w:rsidRPr="009314E6" w:rsidR="00907234">
        <w:rPr>
          <w:rFonts w:ascii="Times New Roman" w:hAnsi="Times New Roman" w:cs="Times New Roman"/>
        </w:rPr>
        <w:t>(</w:t>
      </w:r>
      <w:r w:rsidR="00850C6D">
        <w:rPr>
          <w:rFonts w:ascii="Times New Roman" w:hAnsi="Times New Roman" w:cs="Times New Roman"/>
        </w:rPr>
        <w:t xml:space="preserve">section </w:t>
      </w:r>
      <w:r w:rsidRPr="009314E6" w:rsidR="003B69F1">
        <w:rPr>
          <w:rFonts w:ascii="Times New Roman" w:hAnsi="Times New Roman" w:cs="Times New Roman"/>
        </w:rPr>
        <w:t>314(a)</w:t>
      </w:r>
      <w:r w:rsidRPr="009314E6" w:rsidR="00907234">
        <w:rPr>
          <w:rFonts w:ascii="Times New Roman" w:hAnsi="Times New Roman" w:cs="Times New Roman"/>
        </w:rPr>
        <w:t>)</w:t>
      </w:r>
      <w:r w:rsidRPr="009314E6" w:rsidR="003B69F1">
        <w:rPr>
          <w:rFonts w:ascii="Times New Roman" w:hAnsi="Times New Roman" w:cs="Times New Roman"/>
        </w:rPr>
        <w:t xml:space="preserve">; </w:t>
      </w:r>
      <w:r w:rsidRPr="009314E6" w:rsidR="00F031CC">
        <w:rPr>
          <w:rFonts w:ascii="Times New Roman" w:hAnsi="Times New Roman" w:cs="Times New Roman"/>
        </w:rPr>
        <w:t xml:space="preserve">establishing and developing the enhanced due diligence program </w:t>
      </w:r>
      <w:r w:rsidRPr="009314E6" w:rsidR="00907234">
        <w:rPr>
          <w:rFonts w:ascii="Times New Roman" w:hAnsi="Times New Roman" w:cs="Times New Roman"/>
        </w:rPr>
        <w:t>(</w:t>
      </w:r>
      <w:r w:rsidRPr="009314E6" w:rsidR="00F031CC">
        <w:rPr>
          <w:rFonts w:ascii="Times New Roman" w:hAnsi="Times New Roman" w:cs="Times New Roman"/>
        </w:rPr>
        <w:t>including program approval</w:t>
      </w:r>
      <w:r w:rsidRPr="009314E6" w:rsidR="00907234">
        <w:rPr>
          <w:rFonts w:ascii="Times New Roman" w:hAnsi="Times New Roman" w:cs="Times New Roman"/>
        </w:rPr>
        <w:t>)</w:t>
      </w:r>
      <w:r w:rsidRPr="009314E6" w:rsidR="00F031CC">
        <w:rPr>
          <w:rFonts w:ascii="Times New Roman" w:hAnsi="Times New Roman" w:cs="Times New Roman"/>
        </w:rPr>
        <w:t xml:space="preserve">, and </w:t>
      </w:r>
      <w:r w:rsidRPr="009314E6" w:rsidR="005F189E">
        <w:rPr>
          <w:rFonts w:ascii="Times New Roman" w:hAnsi="Times New Roman" w:cs="Times New Roman"/>
        </w:rPr>
        <w:t xml:space="preserve">compliance with </w:t>
      </w:r>
      <w:r w:rsidRPr="009314E6" w:rsidR="00E135F6">
        <w:rPr>
          <w:rFonts w:ascii="Times New Roman" w:hAnsi="Times New Roman" w:cs="Times New Roman"/>
        </w:rPr>
        <w:t>special measures</w:t>
      </w:r>
      <w:r w:rsidRPr="009314E6">
        <w:rPr>
          <w:rFonts w:ascii="Times New Roman" w:hAnsi="Times New Roman" w:cs="Times New Roman"/>
        </w:rPr>
        <w:t xml:space="preserve">), </w:t>
      </w:r>
      <w:r w:rsidRPr="00850C6D">
        <w:rPr>
          <w:rFonts w:ascii="Times New Roman" w:hAnsi="Times New Roman" w:cs="Times New Roman"/>
        </w:rPr>
        <w:t>s</w:t>
      </w:r>
      <w:r w:rsidRPr="000D2BC6">
        <w:rPr>
          <w:rFonts w:ascii="Times New Roman" w:hAnsi="Times New Roman" w:cs="Times New Roman"/>
        </w:rPr>
        <w:t>ee</w:t>
      </w:r>
      <w:r w:rsidRPr="000D2BC6" w:rsidR="00111A05">
        <w:rPr>
          <w:rFonts w:ascii="Times New Roman" w:hAnsi="Times New Roman" w:cs="Times New Roman"/>
        </w:rPr>
        <w:t xml:space="preserve"> </w:t>
      </w:r>
      <w:r w:rsidRPr="00850C6D" w:rsidR="00111A05">
        <w:rPr>
          <w:rFonts w:ascii="Times New Roman" w:hAnsi="Times New Roman" w:cs="Times New Roman"/>
        </w:rPr>
        <w:t>t</w:t>
      </w:r>
      <w:r w:rsidRPr="009314E6" w:rsidR="00111A05">
        <w:rPr>
          <w:rFonts w:ascii="Times New Roman" w:hAnsi="Times New Roman" w:cs="Times New Roman"/>
        </w:rPr>
        <w:t>he PPSI AML/CFT Program NPRM</w:t>
      </w:r>
      <w:r w:rsidRPr="009314E6">
        <w:rPr>
          <w:rFonts w:ascii="Times New Roman" w:hAnsi="Times New Roman" w:cs="Times New Roman"/>
        </w:rPr>
        <w:t>, at sections X</w:t>
      </w:r>
      <w:r w:rsidRPr="009314E6" w:rsidR="00EF064A">
        <w:rPr>
          <w:rFonts w:ascii="Times New Roman" w:hAnsi="Times New Roman" w:cs="Times New Roman"/>
        </w:rPr>
        <w:t>II</w:t>
      </w:r>
      <w:r w:rsidRPr="009314E6">
        <w:rPr>
          <w:rFonts w:ascii="Times New Roman" w:hAnsi="Times New Roman" w:cs="Times New Roman"/>
        </w:rPr>
        <w:t>.E.</w:t>
      </w:r>
      <w:r w:rsidRPr="009314E6" w:rsidR="0012442C">
        <w:rPr>
          <w:rFonts w:ascii="Times New Roman" w:hAnsi="Times New Roman" w:cs="Times New Roman"/>
        </w:rPr>
        <w:t>1</w:t>
      </w:r>
      <w:r w:rsidRPr="009314E6" w:rsidR="003D49A1">
        <w:rPr>
          <w:rFonts w:ascii="Times New Roman" w:hAnsi="Times New Roman" w:cs="Times New Roman"/>
        </w:rPr>
        <w:t>.ii</w:t>
      </w:r>
      <w:r w:rsidRPr="009314E6">
        <w:rPr>
          <w:rFonts w:ascii="Times New Roman" w:hAnsi="Times New Roman" w:cs="Times New Roman"/>
        </w:rPr>
        <w:t xml:space="preserve"> and </w:t>
      </w:r>
      <w:r w:rsidRPr="009314E6" w:rsidR="003D49A1">
        <w:rPr>
          <w:rFonts w:ascii="Times New Roman" w:hAnsi="Times New Roman" w:cs="Times New Roman"/>
        </w:rPr>
        <w:t>iii</w:t>
      </w:r>
      <w:r w:rsidR="008033B0">
        <w:rPr>
          <w:rFonts w:ascii="Times New Roman" w:hAnsi="Times New Roman" w:cs="Times New Roman"/>
        </w:rPr>
        <w:t>, 91 FR at 18653-18656</w:t>
      </w:r>
      <w:r w:rsidRPr="009314E6">
        <w:rPr>
          <w:rFonts w:ascii="Times New Roman" w:hAnsi="Times New Roman" w:cs="Times New Roman"/>
        </w:rPr>
        <w:t xml:space="preserve">.  </w:t>
      </w:r>
    </w:p>
  </w:footnote>
  <w:footnote w:id="14">
    <w:p w:rsidR="00C752E3" w:rsidRPr="00404A6F" w:rsidP="00C752E3" w14:paraId="72916C5D" w14:textId="49D4DFAC">
      <w:pPr>
        <w:pStyle w:val="FootnoteText"/>
        <w:rPr>
          <w:rFonts w:ascii="Times New Roman" w:hAnsi="Times New Roman" w:cs="Times New Roman"/>
        </w:rPr>
      </w:pPr>
      <w:r w:rsidRPr="00404A6F">
        <w:rPr>
          <w:rStyle w:val="FootnoteReference"/>
          <w:rFonts w:ascii="Times New Roman" w:hAnsi="Times New Roman" w:cs="Times New Roman"/>
        </w:rPr>
        <w:footnoteRef/>
      </w:r>
      <w:r w:rsidRPr="00404A6F">
        <w:rPr>
          <w:rFonts w:ascii="Times New Roman" w:hAnsi="Times New Roman" w:cs="Times New Roman"/>
        </w:rPr>
        <w:t xml:space="preserve"> To arrive at this wage rate, FinCEN first derives a general composite hourly wage of $87.61 using Bureau of Labor Statistics (BLS) May 2024 mean wage data.  </w:t>
      </w:r>
      <w:r w:rsidRPr="00404A6F" w:rsidR="00836305">
        <w:rPr>
          <w:rFonts w:ascii="Times New Roman" w:hAnsi="Times New Roman" w:cs="Times New Roman"/>
          <w:i/>
          <w:iCs/>
        </w:rPr>
        <w:t xml:space="preserve">See </w:t>
      </w:r>
      <w:r w:rsidRPr="00404A6F">
        <w:rPr>
          <w:rFonts w:ascii="Times New Roman" w:hAnsi="Times New Roman" w:cs="Times New Roman"/>
          <w:i/>
          <w:iCs/>
        </w:rPr>
        <w:t>May 2024—National industry-specific and by ownership</w:t>
      </w:r>
      <w:r w:rsidRPr="00404A6F">
        <w:rPr>
          <w:rFonts w:ascii="Times New Roman" w:hAnsi="Times New Roman" w:cs="Times New Roman"/>
        </w:rPr>
        <w:t xml:space="preserve">, </w:t>
      </w:r>
      <w:hyperlink r:id="rId2" w:history="1">
        <w:r w:rsidRPr="00404A6F">
          <w:rPr>
            <w:rStyle w:val="Hyperlink"/>
            <w:rFonts w:ascii="Times New Roman" w:hAnsi="Times New Roman" w:cs="Times New Roman"/>
          </w:rPr>
          <w:t>https://www.bls.gov/oes/tables.htm</w:t>
        </w:r>
      </w:hyperlink>
      <w:r w:rsidRPr="00404A6F">
        <w:rPr>
          <w:rFonts w:ascii="Times New Roman" w:hAnsi="Times New Roman" w:cs="Times New Roman"/>
        </w:rPr>
        <w:t xml:space="preserve">.  This composite is calculated by averaging wages across six occupations (11-1010, 11-3021, 11-3031, 13-1041, 23-1010, and 43-3099) and nine groupings of North American Industry Classification System codes that are most comparable to the 11 categories of affected financial institutions in 31 CFR parts 1020–1030.  FinCEN then adjusts this base wage to reflect total employer costs, including benefits.  To do so, it applies a private sector benefits factor of 1.42, calculated from BLS Employer Costs for Employee Compensation data for private industry workers as of June 2024 (total compensation of $43.94 divided by wages and salaries of $30.90).  </w:t>
      </w:r>
      <w:r w:rsidRPr="00404A6F">
        <w:rPr>
          <w:rFonts w:ascii="Times New Roman" w:hAnsi="Times New Roman" w:cs="Times New Roman"/>
          <w:i/>
          <w:iCs/>
        </w:rPr>
        <w:t>Employer Costs for Employee Compensation</w:t>
      </w:r>
      <w:r w:rsidRPr="00404A6F">
        <w:rPr>
          <w:rFonts w:ascii="Times New Roman" w:hAnsi="Times New Roman" w:cs="Times New Roman"/>
        </w:rPr>
        <w:t xml:space="preserve"> data, </w:t>
      </w:r>
      <w:hyperlink r:id="rId3" w:history="1">
        <w:r w:rsidRPr="00404A6F">
          <w:rPr>
            <w:rStyle w:val="Hyperlink"/>
            <w:rFonts w:ascii="Times New Roman" w:hAnsi="Times New Roman" w:cs="Times New Roman"/>
          </w:rPr>
          <w:t>https://www.bls.gov/news.release/archives/ecec_09102024.pdf</w:t>
        </w:r>
      </w:hyperlink>
      <w:r w:rsidRPr="00404A6F">
        <w:rPr>
          <w:rFonts w:ascii="Times New Roman" w:hAnsi="Times New Roman" w:cs="Times New Roman"/>
        </w:rPr>
        <w:t xml:space="preserve">.  Applying this factor to the composite wage results in a fully loaded hourly rate of $124.58 ($87.61 × 1.42), which reflects total compensation, including benefits such as insurance and paid leave.  </w:t>
      </w:r>
    </w:p>
  </w:footnote>
  <w:footnote w:id="15">
    <w:p w:rsidR="00C752E3" w:rsidRPr="00404A6F" w14:paraId="4B2756F8" w14:textId="67E54F17">
      <w:pPr>
        <w:pStyle w:val="FootnoteText"/>
        <w:rPr>
          <w:rFonts w:ascii="Times New Roman" w:hAnsi="Times New Roman" w:cs="Times New Roman"/>
        </w:rPr>
      </w:pPr>
      <w:r w:rsidRPr="00404A6F">
        <w:rPr>
          <w:rStyle w:val="FootnoteReference"/>
          <w:rFonts w:ascii="Times New Roman" w:hAnsi="Times New Roman" w:cs="Times New Roman"/>
        </w:rPr>
        <w:footnoteRef/>
      </w:r>
      <w:r w:rsidRPr="00404A6F">
        <w:rPr>
          <w:rFonts w:ascii="Times New Roman" w:hAnsi="Times New Roman" w:cs="Times New Roman"/>
        </w:rPr>
        <w:t xml:space="preserve"> This estimate does not include non-labor costs.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60DF7"/>
    <w:multiLevelType w:val="hybridMultilevel"/>
    <w:tmpl w:val="D540A7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7D371C"/>
    <w:multiLevelType w:val="hybridMultilevel"/>
    <w:tmpl w:val="2E18CBC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7E7FD1"/>
    <w:multiLevelType w:val="hybridMultilevel"/>
    <w:tmpl w:val="CBB45CBE"/>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61735E9"/>
    <w:multiLevelType w:val="hybridMultilevel"/>
    <w:tmpl w:val="F9F8212A"/>
    <w:lvl w:ilvl="0">
      <w:start w:val="0"/>
      <w:numFmt w:val="bullet"/>
      <w:lvlText w:val=""/>
      <w:lvlJc w:val="left"/>
      <w:pPr>
        <w:ind w:left="720" w:hanging="360"/>
      </w:pPr>
      <w:rPr>
        <w:rFonts w:ascii="Symbol" w:hAnsi="Symbol" w:eastAsiaTheme="minorEastAsia"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8D5DDB"/>
    <w:multiLevelType w:val="hybridMultilevel"/>
    <w:tmpl w:val="A6C2F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BD66CF"/>
    <w:multiLevelType w:val="hybridMultilevel"/>
    <w:tmpl w:val="5C800E0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87E29FF"/>
    <w:multiLevelType w:val="hybridMultilevel"/>
    <w:tmpl w:val="A212FA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57A3BBF"/>
    <w:multiLevelType w:val="hybridMultilevel"/>
    <w:tmpl w:val="8E4A4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372C0E"/>
    <w:multiLevelType w:val="hybridMultilevel"/>
    <w:tmpl w:val="BD0047E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3FC22694"/>
    <w:multiLevelType w:val="hybridMultilevel"/>
    <w:tmpl w:val="67386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3E2DB4"/>
    <w:multiLevelType w:val="hybridMultilevel"/>
    <w:tmpl w:val="0B6A38B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44831039"/>
    <w:multiLevelType w:val="hybridMultilevel"/>
    <w:tmpl w:val="E38290B0"/>
    <w:lvl w:ilvl="0">
      <w:start w:val="0"/>
      <w:numFmt w:val="bullet"/>
      <w:lvlText w:val=""/>
      <w:lvlJc w:val="left"/>
      <w:pPr>
        <w:ind w:left="720" w:hanging="360"/>
      </w:pPr>
      <w:rPr>
        <w:rFonts w:ascii="Symbol" w:eastAsia="MS Mincho"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A4165F"/>
    <w:multiLevelType w:val="hybridMultilevel"/>
    <w:tmpl w:val="EADC96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D834CC"/>
    <w:multiLevelType w:val="hybridMultilevel"/>
    <w:tmpl w:val="8FD41EC8"/>
    <w:lvl w:ilvl="0">
      <w:start w:val="0"/>
      <w:numFmt w:val="bullet"/>
      <w:lvlText w:val=""/>
      <w:lvlJc w:val="left"/>
      <w:pPr>
        <w:ind w:left="720" w:hanging="360"/>
      </w:pPr>
      <w:rPr>
        <w:rFonts w:ascii="Symbol" w:hAnsi="Symbol"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8AC0B8E"/>
    <w:multiLevelType w:val="hybridMultilevel"/>
    <w:tmpl w:val="0BC600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76D104AD"/>
    <w:multiLevelType w:val="hybridMultilevel"/>
    <w:tmpl w:val="460224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93247634">
    <w:abstractNumId w:val="9"/>
  </w:num>
  <w:num w:numId="2" w16cid:durableId="1178079767">
    <w:abstractNumId w:val="6"/>
  </w:num>
  <w:num w:numId="3" w16cid:durableId="1734547058">
    <w:abstractNumId w:val="7"/>
  </w:num>
  <w:num w:numId="4" w16cid:durableId="508256726">
    <w:abstractNumId w:val="11"/>
  </w:num>
  <w:num w:numId="5" w16cid:durableId="1131820865">
    <w:abstractNumId w:val="0"/>
  </w:num>
  <w:num w:numId="6" w16cid:durableId="2075852913">
    <w:abstractNumId w:val="4"/>
  </w:num>
  <w:num w:numId="7" w16cid:durableId="1064526070">
    <w:abstractNumId w:val="13"/>
  </w:num>
  <w:num w:numId="8" w16cid:durableId="2080981165">
    <w:abstractNumId w:val="2"/>
  </w:num>
  <w:num w:numId="9" w16cid:durableId="2069375409">
    <w:abstractNumId w:val="3"/>
  </w:num>
  <w:num w:numId="10" w16cid:durableId="1344043699">
    <w:abstractNumId w:val="15"/>
  </w:num>
  <w:num w:numId="11" w16cid:durableId="1795437572">
    <w:abstractNumId w:val="5"/>
  </w:num>
  <w:num w:numId="12" w16cid:durableId="1698508133">
    <w:abstractNumId w:val="1"/>
  </w:num>
  <w:num w:numId="13" w16cid:durableId="1592813173">
    <w:abstractNumId w:val="12"/>
  </w:num>
  <w:num w:numId="14" w16cid:durableId="433205349">
    <w:abstractNumId w:val="14"/>
  </w:num>
  <w:num w:numId="15" w16cid:durableId="1929073746">
    <w:abstractNumId w:val="8"/>
  </w:num>
  <w:num w:numId="16" w16cid:durableId="16334421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CA"/>
    <w:rsid w:val="000061B7"/>
    <w:rsid w:val="00007CEC"/>
    <w:rsid w:val="00012FB2"/>
    <w:rsid w:val="000202CA"/>
    <w:rsid w:val="00020FFF"/>
    <w:rsid w:val="0002365B"/>
    <w:rsid w:val="000277A4"/>
    <w:rsid w:val="00027FE1"/>
    <w:rsid w:val="0003360E"/>
    <w:rsid w:val="00034231"/>
    <w:rsid w:val="000367A0"/>
    <w:rsid w:val="000370E7"/>
    <w:rsid w:val="00037741"/>
    <w:rsid w:val="00041872"/>
    <w:rsid w:val="00043C61"/>
    <w:rsid w:val="00047160"/>
    <w:rsid w:val="00051C75"/>
    <w:rsid w:val="00055657"/>
    <w:rsid w:val="00056F25"/>
    <w:rsid w:val="00056F5F"/>
    <w:rsid w:val="00063884"/>
    <w:rsid w:val="000676D3"/>
    <w:rsid w:val="00067CAB"/>
    <w:rsid w:val="00073249"/>
    <w:rsid w:val="000758FA"/>
    <w:rsid w:val="00076DE2"/>
    <w:rsid w:val="00080EB4"/>
    <w:rsid w:val="00085EB6"/>
    <w:rsid w:val="0009077F"/>
    <w:rsid w:val="00093151"/>
    <w:rsid w:val="0009337F"/>
    <w:rsid w:val="000A36B0"/>
    <w:rsid w:val="000A49BA"/>
    <w:rsid w:val="000A6B93"/>
    <w:rsid w:val="000B19F1"/>
    <w:rsid w:val="000B20FF"/>
    <w:rsid w:val="000B33AA"/>
    <w:rsid w:val="000B5D2D"/>
    <w:rsid w:val="000B5D6F"/>
    <w:rsid w:val="000D2BC6"/>
    <w:rsid w:val="000D6F01"/>
    <w:rsid w:val="000E1BF7"/>
    <w:rsid w:val="000E5576"/>
    <w:rsid w:val="000F28E8"/>
    <w:rsid w:val="000F695D"/>
    <w:rsid w:val="000F7D25"/>
    <w:rsid w:val="00101EFD"/>
    <w:rsid w:val="00105FC9"/>
    <w:rsid w:val="001060D5"/>
    <w:rsid w:val="0011071D"/>
    <w:rsid w:val="00111A05"/>
    <w:rsid w:val="0012397C"/>
    <w:rsid w:val="0012442C"/>
    <w:rsid w:val="00124AA9"/>
    <w:rsid w:val="00125DDF"/>
    <w:rsid w:val="00125F83"/>
    <w:rsid w:val="001304AA"/>
    <w:rsid w:val="00131B23"/>
    <w:rsid w:val="00132697"/>
    <w:rsid w:val="001415CB"/>
    <w:rsid w:val="0014165A"/>
    <w:rsid w:val="001430E8"/>
    <w:rsid w:val="00144B12"/>
    <w:rsid w:val="001454C1"/>
    <w:rsid w:val="0014608B"/>
    <w:rsid w:val="0014641F"/>
    <w:rsid w:val="00147AE4"/>
    <w:rsid w:val="00153A66"/>
    <w:rsid w:val="00153C78"/>
    <w:rsid w:val="0016229B"/>
    <w:rsid w:val="00163796"/>
    <w:rsid w:val="00165200"/>
    <w:rsid w:val="00173596"/>
    <w:rsid w:val="00175277"/>
    <w:rsid w:val="0018141C"/>
    <w:rsid w:val="0018264E"/>
    <w:rsid w:val="00184F33"/>
    <w:rsid w:val="00185BD5"/>
    <w:rsid w:val="00191406"/>
    <w:rsid w:val="001978DE"/>
    <w:rsid w:val="001A1CD5"/>
    <w:rsid w:val="001A32B0"/>
    <w:rsid w:val="001A653E"/>
    <w:rsid w:val="001A6B4D"/>
    <w:rsid w:val="001B3261"/>
    <w:rsid w:val="001B3940"/>
    <w:rsid w:val="001B4B50"/>
    <w:rsid w:val="001B5009"/>
    <w:rsid w:val="001B5692"/>
    <w:rsid w:val="001B7167"/>
    <w:rsid w:val="001C312B"/>
    <w:rsid w:val="001C782D"/>
    <w:rsid w:val="001D0130"/>
    <w:rsid w:val="001D2AFB"/>
    <w:rsid w:val="001D7086"/>
    <w:rsid w:val="001E2384"/>
    <w:rsid w:val="001E30C1"/>
    <w:rsid w:val="001E36D4"/>
    <w:rsid w:val="001E7F3D"/>
    <w:rsid w:val="001F0915"/>
    <w:rsid w:val="001F19BF"/>
    <w:rsid w:val="00201625"/>
    <w:rsid w:val="00203EE1"/>
    <w:rsid w:val="00210165"/>
    <w:rsid w:val="0021468C"/>
    <w:rsid w:val="002146E5"/>
    <w:rsid w:val="00220E20"/>
    <w:rsid w:val="0022469B"/>
    <w:rsid w:val="002247CD"/>
    <w:rsid w:val="00230C6E"/>
    <w:rsid w:val="00240CCA"/>
    <w:rsid w:val="00242C3E"/>
    <w:rsid w:val="002462C4"/>
    <w:rsid w:val="00246D63"/>
    <w:rsid w:val="00247606"/>
    <w:rsid w:val="00247BB9"/>
    <w:rsid w:val="00250B8D"/>
    <w:rsid w:val="00250FB8"/>
    <w:rsid w:val="00251496"/>
    <w:rsid w:val="00252A1D"/>
    <w:rsid w:val="00252A6F"/>
    <w:rsid w:val="00253A5A"/>
    <w:rsid w:val="00256EC8"/>
    <w:rsid w:val="00261547"/>
    <w:rsid w:val="00263EC5"/>
    <w:rsid w:val="00273F90"/>
    <w:rsid w:val="00274E13"/>
    <w:rsid w:val="002806E5"/>
    <w:rsid w:val="00283DC2"/>
    <w:rsid w:val="00284AB9"/>
    <w:rsid w:val="00291E36"/>
    <w:rsid w:val="00292962"/>
    <w:rsid w:val="002A53B4"/>
    <w:rsid w:val="002B37D7"/>
    <w:rsid w:val="002C4064"/>
    <w:rsid w:val="002D6193"/>
    <w:rsid w:val="002E15CC"/>
    <w:rsid w:val="002E2FDC"/>
    <w:rsid w:val="002E3FB2"/>
    <w:rsid w:val="002E5FF9"/>
    <w:rsid w:val="002F0414"/>
    <w:rsid w:val="002F57E4"/>
    <w:rsid w:val="002F6ABA"/>
    <w:rsid w:val="00300EC2"/>
    <w:rsid w:val="003011CE"/>
    <w:rsid w:val="00302428"/>
    <w:rsid w:val="003144D6"/>
    <w:rsid w:val="00317A55"/>
    <w:rsid w:val="003214A2"/>
    <w:rsid w:val="003219F9"/>
    <w:rsid w:val="00322C6C"/>
    <w:rsid w:val="00330015"/>
    <w:rsid w:val="00331D62"/>
    <w:rsid w:val="00351036"/>
    <w:rsid w:val="003544D1"/>
    <w:rsid w:val="003562DE"/>
    <w:rsid w:val="00360F58"/>
    <w:rsid w:val="00361CD5"/>
    <w:rsid w:val="00362741"/>
    <w:rsid w:val="00365858"/>
    <w:rsid w:val="00366D5E"/>
    <w:rsid w:val="00366FFE"/>
    <w:rsid w:val="00373924"/>
    <w:rsid w:val="003800F4"/>
    <w:rsid w:val="00385732"/>
    <w:rsid w:val="003874AA"/>
    <w:rsid w:val="003903D8"/>
    <w:rsid w:val="003A2BDB"/>
    <w:rsid w:val="003A3147"/>
    <w:rsid w:val="003A4B41"/>
    <w:rsid w:val="003A72B0"/>
    <w:rsid w:val="003A7D40"/>
    <w:rsid w:val="003B02A9"/>
    <w:rsid w:val="003B0ED2"/>
    <w:rsid w:val="003B525C"/>
    <w:rsid w:val="003B59FE"/>
    <w:rsid w:val="003B69F1"/>
    <w:rsid w:val="003C26B1"/>
    <w:rsid w:val="003C35F3"/>
    <w:rsid w:val="003C3EA7"/>
    <w:rsid w:val="003C6C7F"/>
    <w:rsid w:val="003C7BA7"/>
    <w:rsid w:val="003D49A1"/>
    <w:rsid w:val="003D57AE"/>
    <w:rsid w:val="003D6DB0"/>
    <w:rsid w:val="003E018F"/>
    <w:rsid w:val="003E53AD"/>
    <w:rsid w:val="003E6564"/>
    <w:rsid w:val="003F0AE9"/>
    <w:rsid w:val="00400772"/>
    <w:rsid w:val="00400911"/>
    <w:rsid w:val="00400F0C"/>
    <w:rsid w:val="00402710"/>
    <w:rsid w:val="00404A6F"/>
    <w:rsid w:val="00405412"/>
    <w:rsid w:val="00405951"/>
    <w:rsid w:val="00406345"/>
    <w:rsid w:val="004143EB"/>
    <w:rsid w:val="004239CD"/>
    <w:rsid w:val="00425AC0"/>
    <w:rsid w:val="004328AB"/>
    <w:rsid w:val="004344AC"/>
    <w:rsid w:val="0043453E"/>
    <w:rsid w:val="0043565C"/>
    <w:rsid w:val="004409A2"/>
    <w:rsid w:val="00442B6A"/>
    <w:rsid w:val="0044327E"/>
    <w:rsid w:val="00444373"/>
    <w:rsid w:val="00444583"/>
    <w:rsid w:val="004477D8"/>
    <w:rsid w:val="00447E99"/>
    <w:rsid w:val="00452C5E"/>
    <w:rsid w:val="00463F43"/>
    <w:rsid w:val="00464CF5"/>
    <w:rsid w:val="004670F7"/>
    <w:rsid w:val="00470589"/>
    <w:rsid w:val="0047208E"/>
    <w:rsid w:val="00481DCB"/>
    <w:rsid w:val="00485E68"/>
    <w:rsid w:val="00495AA4"/>
    <w:rsid w:val="004966DF"/>
    <w:rsid w:val="004A1377"/>
    <w:rsid w:val="004A1E7B"/>
    <w:rsid w:val="004A4F3C"/>
    <w:rsid w:val="004A5485"/>
    <w:rsid w:val="004B516F"/>
    <w:rsid w:val="004B5E96"/>
    <w:rsid w:val="004B6DD0"/>
    <w:rsid w:val="004B7E75"/>
    <w:rsid w:val="004C25E9"/>
    <w:rsid w:val="004C4714"/>
    <w:rsid w:val="004C5406"/>
    <w:rsid w:val="004C6283"/>
    <w:rsid w:val="004D2B32"/>
    <w:rsid w:val="004E2526"/>
    <w:rsid w:val="004E3ED1"/>
    <w:rsid w:val="004E3FE0"/>
    <w:rsid w:val="004F1599"/>
    <w:rsid w:val="004F2D0B"/>
    <w:rsid w:val="004F3E3E"/>
    <w:rsid w:val="004F4BCE"/>
    <w:rsid w:val="005003D5"/>
    <w:rsid w:val="00500911"/>
    <w:rsid w:val="0050096C"/>
    <w:rsid w:val="005037C3"/>
    <w:rsid w:val="005062ED"/>
    <w:rsid w:val="005078FA"/>
    <w:rsid w:val="0051254F"/>
    <w:rsid w:val="00513245"/>
    <w:rsid w:val="00514DBD"/>
    <w:rsid w:val="00515F9D"/>
    <w:rsid w:val="00517BB3"/>
    <w:rsid w:val="00520EBC"/>
    <w:rsid w:val="00526268"/>
    <w:rsid w:val="0053037E"/>
    <w:rsid w:val="00530BD8"/>
    <w:rsid w:val="0053510E"/>
    <w:rsid w:val="005452CC"/>
    <w:rsid w:val="005455E3"/>
    <w:rsid w:val="005472F6"/>
    <w:rsid w:val="005502E8"/>
    <w:rsid w:val="00550EFA"/>
    <w:rsid w:val="005532BF"/>
    <w:rsid w:val="005547DA"/>
    <w:rsid w:val="005549E8"/>
    <w:rsid w:val="00554D56"/>
    <w:rsid w:val="00554F5A"/>
    <w:rsid w:val="005563E9"/>
    <w:rsid w:val="00562421"/>
    <w:rsid w:val="00564839"/>
    <w:rsid w:val="00564BB8"/>
    <w:rsid w:val="005770EF"/>
    <w:rsid w:val="005775C1"/>
    <w:rsid w:val="0058006F"/>
    <w:rsid w:val="00580E6A"/>
    <w:rsid w:val="00583024"/>
    <w:rsid w:val="00587600"/>
    <w:rsid w:val="0058765D"/>
    <w:rsid w:val="0058781D"/>
    <w:rsid w:val="0059393C"/>
    <w:rsid w:val="00596CF8"/>
    <w:rsid w:val="005A66E9"/>
    <w:rsid w:val="005A7754"/>
    <w:rsid w:val="005B0B42"/>
    <w:rsid w:val="005C7343"/>
    <w:rsid w:val="005E48F3"/>
    <w:rsid w:val="005E75B4"/>
    <w:rsid w:val="005F189E"/>
    <w:rsid w:val="005F694C"/>
    <w:rsid w:val="005F71A5"/>
    <w:rsid w:val="005F7776"/>
    <w:rsid w:val="00600764"/>
    <w:rsid w:val="00600B56"/>
    <w:rsid w:val="00603EAA"/>
    <w:rsid w:val="0061190E"/>
    <w:rsid w:val="00614B6B"/>
    <w:rsid w:val="00635412"/>
    <w:rsid w:val="00635CAF"/>
    <w:rsid w:val="00636AEB"/>
    <w:rsid w:val="00641C96"/>
    <w:rsid w:val="006448F2"/>
    <w:rsid w:val="00646652"/>
    <w:rsid w:val="00654855"/>
    <w:rsid w:val="006548C3"/>
    <w:rsid w:val="00665517"/>
    <w:rsid w:val="00670C62"/>
    <w:rsid w:val="00672D7E"/>
    <w:rsid w:val="006829D1"/>
    <w:rsid w:val="00682C27"/>
    <w:rsid w:val="0068376B"/>
    <w:rsid w:val="0068771B"/>
    <w:rsid w:val="0069215F"/>
    <w:rsid w:val="00695C7B"/>
    <w:rsid w:val="006979F6"/>
    <w:rsid w:val="006A37AF"/>
    <w:rsid w:val="006B0A1E"/>
    <w:rsid w:val="006B6915"/>
    <w:rsid w:val="006C24B4"/>
    <w:rsid w:val="006D0925"/>
    <w:rsid w:val="006D2694"/>
    <w:rsid w:val="006D43E0"/>
    <w:rsid w:val="006D57ED"/>
    <w:rsid w:val="006D768A"/>
    <w:rsid w:val="006E3F8D"/>
    <w:rsid w:val="006E4EE1"/>
    <w:rsid w:val="006E58BC"/>
    <w:rsid w:val="006E601B"/>
    <w:rsid w:val="006F2E47"/>
    <w:rsid w:val="006F46BF"/>
    <w:rsid w:val="006F567F"/>
    <w:rsid w:val="006F7572"/>
    <w:rsid w:val="0070174D"/>
    <w:rsid w:val="00710D70"/>
    <w:rsid w:val="00721DC6"/>
    <w:rsid w:val="00721EBE"/>
    <w:rsid w:val="00723343"/>
    <w:rsid w:val="007249A7"/>
    <w:rsid w:val="0072690D"/>
    <w:rsid w:val="00737993"/>
    <w:rsid w:val="00740136"/>
    <w:rsid w:val="007432CB"/>
    <w:rsid w:val="00744FAC"/>
    <w:rsid w:val="00752587"/>
    <w:rsid w:val="00753E03"/>
    <w:rsid w:val="00753E4B"/>
    <w:rsid w:val="007738F5"/>
    <w:rsid w:val="007764BF"/>
    <w:rsid w:val="00777B80"/>
    <w:rsid w:val="007811A9"/>
    <w:rsid w:val="00787552"/>
    <w:rsid w:val="00787B64"/>
    <w:rsid w:val="0079392A"/>
    <w:rsid w:val="00793D20"/>
    <w:rsid w:val="0079757A"/>
    <w:rsid w:val="007A42D5"/>
    <w:rsid w:val="007A55A8"/>
    <w:rsid w:val="007A58CB"/>
    <w:rsid w:val="007B07BB"/>
    <w:rsid w:val="007B2CC4"/>
    <w:rsid w:val="007B4ED5"/>
    <w:rsid w:val="007C26EF"/>
    <w:rsid w:val="007C2DD8"/>
    <w:rsid w:val="007C312C"/>
    <w:rsid w:val="007C6352"/>
    <w:rsid w:val="007D116F"/>
    <w:rsid w:val="007D1933"/>
    <w:rsid w:val="007E5E76"/>
    <w:rsid w:val="007E791B"/>
    <w:rsid w:val="007E79CE"/>
    <w:rsid w:val="007F0010"/>
    <w:rsid w:val="007F02DB"/>
    <w:rsid w:val="007F183D"/>
    <w:rsid w:val="007F2ABA"/>
    <w:rsid w:val="007F5225"/>
    <w:rsid w:val="00802278"/>
    <w:rsid w:val="008033B0"/>
    <w:rsid w:val="00804C12"/>
    <w:rsid w:val="00816AC3"/>
    <w:rsid w:val="008171A1"/>
    <w:rsid w:val="00823415"/>
    <w:rsid w:val="00825907"/>
    <w:rsid w:val="00835D00"/>
    <w:rsid w:val="00836305"/>
    <w:rsid w:val="00850C6D"/>
    <w:rsid w:val="00850CF3"/>
    <w:rsid w:val="00851E00"/>
    <w:rsid w:val="00851E91"/>
    <w:rsid w:val="008578C5"/>
    <w:rsid w:val="00861177"/>
    <w:rsid w:val="00863E6E"/>
    <w:rsid w:val="00873EEC"/>
    <w:rsid w:val="00880F74"/>
    <w:rsid w:val="008929FD"/>
    <w:rsid w:val="00894C78"/>
    <w:rsid w:val="008A0293"/>
    <w:rsid w:val="008A4948"/>
    <w:rsid w:val="008A583C"/>
    <w:rsid w:val="008A5AFB"/>
    <w:rsid w:val="008A62EC"/>
    <w:rsid w:val="008B2464"/>
    <w:rsid w:val="008B3AEC"/>
    <w:rsid w:val="008C14E0"/>
    <w:rsid w:val="008C15BC"/>
    <w:rsid w:val="008C2563"/>
    <w:rsid w:val="008C5B5C"/>
    <w:rsid w:val="008D3844"/>
    <w:rsid w:val="008D4FD2"/>
    <w:rsid w:val="008E0CB3"/>
    <w:rsid w:val="008E43C5"/>
    <w:rsid w:val="008E7BE7"/>
    <w:rsid w:val="008F036B"/>
    <w:rsid w:val="008F75F0"/>
    <w:rsid w:val="00900C63"/>
    <w:rsid w:val="00900EAB"/>
    <w:rsid w:val="009027D3"/>
    <w:rsid w:val="00903436"/>
    <w:rsid w:val="00905BFC"/>
    <w:rsid w:val="00905F01"/>
    <w:rsid w:val="00907234"/>
    <w:rsid w:val="009133A3"/>
    <w:rsid w:val="00917E99"/>
    <w:rsid w:val="0092580A"/>
    <w:rsid w:val="009314E6"/>
    <w:rsid w:val="00941ACA"/>
    <w:rsid w:val="009440EE"/>
    <w:rsid w:val="00946C5F"/>
    <w:rsid w:val="00947F31"/>
    <w:rsid w:val="009514DF"/>
    <w:rsid w:val="009517BB"/>
    <w:rsid w:val="0095238E"/>
    <w:rsid w:val="00956271"/>
    <w:rsid w:val="00956D33"/>
    <w:rsid w:val="0096554B"/>
    <w:rsid w:val="009667AA"/>
    <w:rsid w:val="00977883"/>
    <w:rsid w:val="00981904"/>
    <w:rsid w:val="00982871"/>
    <w:rsid w:val="00983773"/>
    <w:rsid w:val="0098391F"/>
    <w:rsid w:val="00993ACD"/>
    <w:rsid w:val="0099568A"/>
    <w:rsid w:val="00995C18"/>
    <w:rsid w:val="009A74EB"/>
    <w:rsid w:val="009B389A"/>
    <w:rsid w:val="009B72C1"/>
    <w:rsid w:val="009C02E8"/>
    <w:rsid w:val="009C214D"/>
    <w:rsid w:val="009C757F"/>
    <w:rsid w:val="009D17B8"/>
    <w:rsid w:val="009D2E0D"/>
    <w:rsid w:val="009D39B1"/>
    <w:rsid w:val="009D7831"/>
    <w:rsid w:val="009E3810"/>
    <w:rsid w:val="009E5DE7"/>
    <w:rsid w:val="009F7742"/>
    <w:rsid w:val="00A11320"/>
    <w:rsid w:val="00A11549"/>
    <w:rsid w:val="00A13251"/>
    <w:rsid w:val="00A1402E"/>
    <w:rsid w:val="00A1784C"/>
    <w:rsid w:val="00A202E6"/>
    <w:rsid w:val="00A20E27"/>
    <w:rsid w:val="00A23843"/>
    <w:rsid w:val="00A25706"/>
    <w:rsid w:val="00A26FC7"/>
    <w:rsid w:val="00A32C89"/>
    <w:rsid w:val="00A34F9F"/>
    <w:rsid w:val="00A43746"/>
    <w:rsid w:val="00A47EFA"/>
    <w:rsid w:val="00A5411C"/>
    <w:rsid w:val="00A55AF1"/>
    <w:rsid w:val="00A664E9"/>
    <w:rsid w:val="00A67041"/>
    <w:rsid w:val="00A673ED"/>
    <w:rsid w:val="00A719DE"/>
    <w:rsid w:val="00A760F0"/>
    <w:rsid w:val="00A76375"/>
    <w:rsid w:val="00A83A90"/>
    <w:rsid w:val="00A86025"/>
    <w:rsid w:val="00A87F0F"/>
    <w:rsid w:val="00A92CF6"/>
    <w:rsid w:val="00A9427C"/>
    <w:rsid w:val="00A947CA"/>
    <w:rsid w:val="00A9578A"/>
    <w:rsid w:val="00A968DA"/>
    <w:rsid w:val="00AA1F14"/>
    <w:rsid w:val="00AA3DAA"/>
    <w:rsid w:val="00AB1347"/>
    <w:rsid w:val="00AB5B89"/>
    <w:rsid w:val="00AB6CD9"/>
    <w:rsid w:val="00AB6CF4"/>
    <w:rsid w:val="00AC15E5"/>
    <w:rsid w:val="00AC24A6"/>
    <w:rsid w:val="00AC24E8"/>
    <w:rsid w:val="00AC322E"/>
    <w:rsid w:val="00AC4488"/>
    <w:rsid w:val="00AD1227"/>
    <w:rsid w:val="00AD2A90"/>
    <w:rsid w:val="00AD4F10"/>
    <w:rsid w:val="00AE3592"/>
    <w:rsid w:val="00AF4CB9"/>
    <w:rsid w:val="00AF7E31"/>
    <w:rsid w:val="00B02A79"/>
    <w:rsid w:val="00B05656"/>
    <w:rsid w:val="00B0702E"/>
    <w:rsid w:val="00B07AC9"/>
    <w:rsid w:val="00B2279F"/>
    <w:rsid w:val="00B2767A"/>
    <w:rsid w:val="00B36DA3"/>
    <w:rsid w:val="00B434B7"/>
    <w:rsid w:val="00B44BA0"/>
    <w:rsid w:val="00B52F91"/>
    <w:rsid w:val="00B55AFD"/>
    <w:rsid w:val="00B64F0A"/>
    <w:rsid w:val="00B66054"/>
    <w:rsid w:val="00B70708"/>
    <w:rsid w:val="00B712EE"/>
    <w:rsid w:val="00B746FD"/>
    <w:rsid w:val="00B750FA"/>
    <w:rsid w:val="00B7586D"/>
    <w:rsid w:val="00B75FF7"/>
    <w:rsid w:val="00B836D5"/>
    <w:rsid w:val="00B85D05"/>
    <w:rsid w:val="00B85FB3"/>
    <w:rsid w:val="00B8643B"/>
    <w:rsid w:val="00B876DD"/>
    <w:rsid w:val="00B91C16"/>
    <w:rsid w:val="00B95252"/>
    <w:rsid w:val="00BA3E55"/>
    <w:rsid w:val="00BA4171"/>
    <w:rsid w:val="00BA47CA"/>
    <w:rsid w:val="00BB22FC"/>
    <w:rsid w:val="00BB6A85"/>
    <w:rsid w:val="00BB780C"/>
    <w:rsid w:val="00BC1043"/>
    <w:rsid w:val="00BD0E9F"/>
    <w:rsid w:val="00BD2604"/>
    <w:rsid w:val="00BD32D2"/>
    <w:rsid w:val="00BD3303"/>
    <w:rsid w:val="00BE3EF4"/>
    <w:rsid w:val="00BE7878"/>
    <w:rsid w:val="00BF20AE"/>
    <w:rsid w:val="00BF32F2"/>
    <w:rsid w:val="00BF41B5"/>
    <w:rsid w:val="00BF4A1F"/>
    <w:rsid w:val="00BF7FD9"/>
    <w:rsid w:val="00C03026"/>
    <w:rsid w:val="00C11D1D"/>
    <w:rsid w:val="00C16EDE"/>
    <w:rsid w:val="00C1728C"/>
    <w:rsid w:val="00C17FB9"/>
    <w:rsid w:val="00C22687"/>
    <w:rsid w:val="00C244CC"/>
    <w:rsid w:val="00C24C4D"/>
    <w:rsid w:val="00C2751D"/>
    <w:rsid w:val="00C30C32"/>
    <w:rsid w:val="00C42656"/>
    <w:rsid w:val="00C443D7"/>
    <w:rsid w:val="00C451E2"/>
    <w:rsid w:val="00C460CC"/>
    <w:rsid w:val="00C47699"/>
    <w:rsid w:val="00C50DA2"/>
    <w:rsid w:val="00C5256A"/>
    <w:rsid w:val="00C544AC"/>
    <w:rsid w:val="00C6073C"/>
    <w:rsid w:val="00C6079F"/>
    <w:rsid w:val="00C60B27"/>
    <w:rsid w:val="00C71620"/>
    <w:rsid w:val="00C752E3"/>
    <w:rsid w:val="00C77E5A"/>
    <w:rsid w:val="00C801F1"/>
    <w:rsid w:val="00C817D1"/>
    <w:rsid w:val="00C91061"/>
    <w:rsid w:val="00C96398"/>
    <w:rsid w:val="00CA4433"/>
    <w:rsid w:val="00CA53E4"/>
    <w:rsid w:val="00CB093F"/>
    <w:rsid w:val="00CB5D0E"/>
    <w:rsid w:val="00CC053D"/>
    <w:rsid w:val="00CC083D"/>
    <w:rsid w:val="00CC280F"/>
    <w:rsid w:val="00CC68ED"/>
    <w:rsid w:val="00CC726F"/>
    <w:rsid w:val="00CD72A1"/>
    <w:rsid w:val="00CE3523"/>
    <w:rsid w:val="00CE78D5"/>
    <w:rsid w:val="00CF419A"/>
    <w:rsid w:val="00CF66B0"/>
    <w:rsid w:val="00CF6E79"/>
    <w:rsid w:val="00D0110A"/>
    <w:rsid w:val="00D01239"/>
    <w:rsid w:val="00D102CB"/>
    <w:rsid w:val="00D10BB5"/>
    <w:rsid w:val="00D11D6F"/>
    <w:rsid w:val="00D130B5"/>
    <w:rsid w:val="00D17F20"/>
    <w:rsid w:val="00D2182B"/>
    <w:rsid w:val="00D2326C"/>
    <w:rsid w:val="00D27D2A"/>
    <w:rsid w:val="00D30A11"/>
    <w:rsid w:val="00D400C2"/>
    <w:rsid w:val="00D42B10"/>
    <w:rsid w:val="00D43B66"/>
    <w:rsid w:val="00D502F4"/>
    <w:rsid w:val="00D536C6"/>
    <w:rsid w:val="00D56395"/>
    <w:rsid w:val="00D60FDF"/>
    <w:rsid w:val="00D6166B"/>
    <w:rsid w:val="00D6516B"/>
    <w:rsid w:val="00D702FB"/>
    <w:rsid w:val="00D720F8"/>
    <w:rsid w:val="00D84042"/>
    <w:rsid w:val="00D85360"/>
    <w:rsid w:val="00D862E0"/>
    <w:rsid w:val="00D87670"/>
    <w:rsid w:val="00D90407"/>
    <w:rsid w:val="00D92645"/>
    <w:rsid w:val="00D93848"/>
    <w:rsid w:val="00D93EAF"/>
    <w:rsid w:val="00D93F11"/>
    <w:rsid w:val="00D97B05"/>
    <w:rsid w:val="00DA3F06"/>
    <w:rsid w:val="00DA4E8F"/>
    <w:rsid w:val="00DB09EF"/>
    <w:rsid w:val="00DC5C12"/>
    <w:rsid w:val="00DC7898"/>
    <w:rsid w:val="00DD0C2F"/>
    <w:rsid w:val="00DD2C83"/>
    <w:rsid w:val="00DD2D1E"/>
    <w:rsid w:val="00DD2E2B"/>
    <w:rsid w:val="00DD48AF"/>
    <w:rsid w:val="00DD4C90"/>
    <w:rsid w:val="00DD5374"/>
    <w:rsid w:val="00DD667E"/>
    <w:rsid w:val="00DD6C4C"/>
    <w:rsid w:val="00DE1EB3"/>
    <w:rsid w:val="00DE4E81"/>
    <w:rsid w:val="00DE50BE"/>
    <w:rsid w:val="00DF1E31"/>
    <w:rsid w:val="00DF2287"/>
    <w:rsid w:val="00E054EF"/>
    <w:rsid w:val="00E066DD"/>
    <w:rsid w:val="00E135F6"/>
    <w:rsid w:val="00E24E00"/>
    <w:rsid w:val="00E27795"/>
    <w:rsid w:val="00E31D5E"/>
    <w:rsid w:val="00E35D55"/>
    <w:rsid w:val="00E36874"/>
    <w:rsid w:val="00E410E8"/>
    <w:rsid w:val="00E4348F"/>
    <w:rsid w:val="00E434A6"/>
    <w:rsid w:val="00E43AC5"/>
    <w:rsid w:val="00E45BE0"/>
    <w:rsid w:val="00E467EF"/>
    <w:rsid w:val="00E52BEC"/>
    <w:rsid w:val="00E54EF3"/>
    <w:rsid w:val="00E550CE"/>
    <w:rsid w:val="00E57562"/>
    <w:rsid w:val="00E577DF"/>
    <w:rsid w:val="00E60F2F"/>
    <w:rsid w:val="00E623B5"/>
    <w:rsid w:val="00E71034"/>
    <w:rsid w:val="00E769CE"/>
    <w:rsid w:val="00E76EC7"/>
    <w:rsid w:val="00E82C81"/>
    <w:rsid w:val="00E915F6"/>
    <w:rsid w:val="00E968FC"/>
    <w:rsid w:val="00EA1C5E"/>
    <w:rsid w:val="00EA2A06"/>
    <w:rsid w:val="00EA4F77"/>
    <w:rsid w:val="00EA69BD"/>
    <w:rsid w:val="00EB1430"/>
    <w:rsid w:val="00EB267C"/>
    <w:rsid w:val="00EB60C5"/>
    <w:rsid w:val="00EC08A0"/>
    <w:rsid w:val="00EC18B4"/>
    <w:rsid w:val="00EC6FCE"/>
    <w:rsid w:val="00EC7C0B"/>
    <w:rsid w:val="00ED2E80"/>
    <w:rsid w:val="00EE0427"/>
    <w:rsid w:val="00EE3434"/>
    <w:rsid w:val="00EE4496"/>
    <w:rsid w:val="00EF064A"/>
    <w:rsid w:val="00EF1688"/>
    <w:rsid w:val="00EF7646"/>
    <w:rsid w:val="00F00BF0"/>
    <w:rsid w:val="00F031CC"/>
    <w:rsid w:val="00F0398E"/>
    <w:rsid w:val="00F05641"/>
    <w:rsid w:val="00F07C99"/>
    <w:rsid w:val="00F171D0"/>
    <w:rsid w:val="00F174D2"/>
    <w:rsid w:val="00F20179"/>
    <w:rsid w:val="00F24417"/>
    <w:rsid w:val="00F25DD3"/>
    <w:rsid w:val="00F26F9A"/>
    <w:rsid w:val="00F2705D"/>
    <w:rsid w:val="00F270CA"/>
    <w:rsid w:val="00F3006C"/>
    <w:rsid w:val="00F40908"/>
    <w:rsid w:val="00F4189F"/>
    <w:rsid w:val="00F41EA8"/>
    <w:rsid w:val="00F42CFF"/>
    <w:rsid w:val="00F5239A"/>
    <w:rsid w:val="00F54321"/>
    <w:rsid w:val="00F618AA"/>
    <w:rsid w:val="00F61D17"/>
    <w:rsid w:val="00F620E0"/>
    <w:rsid w:val="00F65EDF"/>
    <w:rsid w:val="00F672A8"/>
    <w:rsid w:val="00F810DE"/>
    <w:rsid w:val="00F828CA"/>
    <w:rsid w:val="00F9143C"/>
    <w:rsid w:val="00F9387C"/>
    <w:rsid w:val="00F93C91"/>
    <w:rsid w:val="00F96867"/>
    <w:rsid w:val="00FA038C"/>
    <w:rsid w:val="00FA1886"/>
    <w:rsid w:val="00FA4847"/>
    <w:rsid w:val="00FB15AA"/>
    <w:rsid w:val="00FB21E8"/>
    <w:rsid w:val="00FB3A7A"/>
    <w:rsid w:val="00FB3F65"/>
    <w:rsid w:val="00FC0603"/>
    <w:rsid w:val="00FC2005"/>
    <w:rsid w:val="00FC4C33"/>
    <w:rsid w:val="00FC7132"/>
    <w:rsid w:val="00FC7D4C"/>
    <w:rsid w:val="00FC7E84"/>
    <w:rsid w:val="00FD060A"/>
    <w:rsid w:val="00FD300A"/>
    <w:rsid w:val="00FD341D"/>
    <w:rsid w:val="00FD7737"/>
    <w:rsid w:val="00FD7890"/>
    <w:rsid w:val="00FE1DA7"/>
    <w:rsid w:val="00FE3C0D"/>
    <w:rsid w:val="00FF5AFC"/>
    <w:rsid w:val="00FF6E35"/>
    <w:rsid w:val="00FF706A"/>
    <w:rsid w:val="011533DD"/>
    <w:rsid w:val="0807CDD4"/>
    <w:rsid w:val="09F952CF"/>
    <w:rsid w:val="1660D4D4"/>
    <w:rsid w:val="1D6E9277"/>
    <w:rsid w:val="1DBB201F"/>
    <w:rsid w:val="28E0E452"/>
    <w:rsid w:val="62E19D42"/>
    <w:rsid w:val="6730841E"/>
    <w:rsid w:val="6DA5FB66"/>
    <w:rsid w:val="7B998395"/>
    <w:rsid w:val="7CCAB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E42A00"/>
  <w15:chartTrackingRefBased/>
  <w15:docId w15:val="{13861DD9-F1D8-4CA9-AC39-FD77A05E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CCA"/>
    <w:pPr>
      <w:spacing w:after="200" w:line="288" w:lineRule="auto"/>
    </w:pPr>
    <w:rPr>
      <w:rFonts w:eastAsiaTheme="minorEastAsia"/>
      <w:kern w:val="0"/>
      <w:sz w:val="21"/>
      <w:szCs w:val="21"/>
    </w:rPr>
  </w:style>
  <w:style w:type="paragraph" w:styleId="Heading1">
    <w:name w:val="heading 1"/>
    <w:basedOn w:val="Normal"/>
    <w:next w:val="Normal"/>
    <w:link w:val="Heading1Char"/>
    <w:uiPriority w:val="9"/>
    <w:qFormat/>
    <w:rsid w:val="00240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CCA"/>
    <w:rPr>
      <w:rFonts w:eastAsiaTheme="majorEastAsia" w:cstheme="majorBidi"/>
      <w:color w:val="272727" w:themeColor="text1" w:themeTint="D8"/>
    </w:rPr>
  </w:style>
  <w:style w:type="paragraph" w:styleId="Title">
    <w:name w:val="Title"/>
    <w:basedOn w:val="Normal"/>
    <w:next w:val="Normal"/>
    <w:link w:val="TitleChar"/>
    <w:uiPriority w:val="10"/>
    <w:qFormat/>
    <w:rsid w:val="00240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CCA"/>
    <w:pPr>
      <w:spacing w:before="160"/>
      <w:jc w:val="center"/>
    </w:pPr>
    <w:rPr>
      <w:i/>
      <w:iCs/>
      <w:color w:val="404040" w:themeColor="text1" w:themeTint="BF"/>
    </w:rPr>
  </w:style>
  <w:style w:type="character" w:customStyle="1" w:styleId="QuoteChar">
    <w:name w:val="Quote Char"/>
    <w:basedOn w:val="DefaultParagraphFont"/>
    <w:link w:val="Quote"/>
    <w:uiPriority w:val="29"/>
    <w:rsid w:val="00240CCA"/>
    <w:rPr>
      <w:i/>
      <w:iCs/>
      <w:color w:val="404040" w:themeColor="text1" w:themeTint="BF"/>
    </w:rPr>
  </w:style>
  <w:style w:type="paragraph" w:styleId="ListParagraph">
    <w:name w:val="List Paragraph"/>
    <w:basedOn w:val="Normal"/>
    <w:uiPriority w:val="34"/>
    <w:qFormat/>
    <w:rsid w:val="00240CCA"/>
    <w:pPr>
      <w:ind w:left="720"/>
      <w:contextualSpacing/>
    </w:pPr>
  </w:style>
  <w:style w:type="character" w:styleId="IntenseEmphasis">
    <w:name w:val="Intense Emphasis"/>
    <w:basedOn w:val="DefaultParagraphFont"/>
    <w:uiPriority w:val="21"/>
    <w:qFormat/>
    <w:rsid w:val="00240CCA"/>
    <w:rPr>
      <w:i/>
      <w:iCs/>
      <w:color w:val="0F4761" w:themeColor="accent1" w:themeShade="BF"/>
    </w:rPr>
  </w:style>
  <w:style w:type="paragraph" w:styleId="IntenseQuote">
    <w:name w:val="Intense Quote"/>
    <w:basedOn w:val="Normal"/>
    <w:next w:val="Normal"/>
    <w:link w:val="IntenseQuoteChar"/>
    <w:uiPriority w:val="30"/>
    <w:qFormat/>
    <w:rsid w:val="00240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CCA"/>
    <w:rPr>
      <w:i/>
      <w:iCs/>
      <w:color w:val="0F4761" w:themeColor="accent1" w:themeShade="BF"/>
    </w:rPr>
  </w:style>
  <w:style w:type="character" w:styleId="IntenseReference">
    <w:name w:val="Intense Reference"/>
    <w:basedOn w:val="DefaultParagraphFont"/>
    <w:uiPriority w:val="32"/>
    <w:qFormat/>
    <w:rsid w:val="00240CCA"/>
    <w:rPr>
      <w:b/>
      <w:bCs/>
      <w:smallCaps/>
      <w:color w:val="0F4761" w:themeColor="accent1" w:themeShade="BF"/>
      <w:spacing w:val="5"/>
    </w:rPr>
  </w:style>
  <w:style w:type="paragraph" w:styleId="BodyText">
    <w:name w:val="Body Text"/>
    <w:basedOn w:val="Normal"/>
    <w:link w:val="BodyTextChar"/>
    <w:rsid w:val="00240CCA"/>
    <w:pPr>
      <w:autoSpaceDE w:val="0"/>
      <w:autoSpaceDN w:val="0"/>
      <w:adjustRightInd w:val="0"/>
      <w:spacing w:before="283"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240CCA"/>
    <w:rPr>
      <w:rFonts w:ascii="Times New Roman" w:eastAsia="Times New Roman" w:hAnsi="Times New Roman" w:cs="Times New Roman"/>
      <w:kern w:val="0"/>
      <w:sz w:val="21"/>
      <w:szCs w:val="21"/>
    </w:rPr>
  </w:style>
  <w:style w:type="paragraph" w:styleId="PlainText">
    <w:name w:val="Plain Text"/>
    <w:basedOn w:val="Normal"/>
    <w:link w:val="PlainTextChar"/>
    <w:uiPriority w:val="99"/>
    <w:rsid w:val="00240CC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40CCA"/>
    <w:rPr>
      <w:rFonts w:ascii="Courier New" w:eastAsia="Times New Roman" w:hAnsi="Courier New" w:cs="Courier New"/>
      <w:kern w:val="0"/>
      <w:sz w:val="20"/>
      <w:szCs w:val="20"/>
    </w:rPr>
  </w:style>
  <w:style w:type="paragraph" w:styleId="BodyTextIndent">
    <w:name w:val="Body Text Indent"/>
    <w:basedOn w:val="Normal"/>
    <w:link w:val="BodyTextIndentChar"/>
    <w:unhideWhenUsed/>
    <w:rsid w:val="00240CC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40CCA"/>
    <w:rPr>
      <w:rFonts w:ascii="Times New Roman" w:eastAsia="Times New Roman" w:hAnsi="Times New Roman" w:cs="Times New Roman"/>
      <w:kern w:val="0"/>
      <w:sz w:val="24"/>
      <w:szCs w:val="24"/>
    </w:rPr>
  </w:style>
  <w:style w:type="paragraph" w:styleId="Revision">
    <w:name w:val="Revision"/>
    <w:hidden/>
    <w:uiPriority w:val="99"/>
    <w:semiHidden/>
    <w:rsid w:val="00203EE1"/>
    <w:pPr>
      <w:spacing w:after="0" w:line="240" w:lineRule="auto"/>
    </w:pPr>
    <w:rPr>
      <w:rFonts w:eastAsiaTheme="minorEastAsia"/>
      <w:kern w:val="0"/>
      <w:sz w:val="21"/>
      <w:szCs w:val="21"/>
    </w:rPr>
  </w:style>
  <w:style w:type="table" w:styleId="TableGrid">
    <w:name w:val="Table Grid"/>
    <w:basedOn w:val="TableNormal"/>
    <w:uiPriority w:val="39"/>
    <w:rsid w:val="005E75B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unhideWhenUsed/>
    <w:qFormat/>
    <w:rsid w:val="00E623B5"/>
    <w:pPr>
      <w:spacing w:after="0" w:line="240" w:lineRule="auto"/>
    </w:pPr>
    <w:rPr>
      <w:sz w:val="20"/>
      <w:szCs w:val="20"/>
    </w:rPr>
  </w:style>
  <w:style w:type="character" w:customStyle="1" w:styleId="FootnoteTextChar">
    <w:name w:val="Footnote Text Char"/>
    <w:aliases w:val=" Char Char,ALTS FOOTNOTE Char,Car Char,Char Char,Footnote Text Char Char Char,Footnote Text Char Char Char Char Char,Footnote Text Char Char Char Char Char Char Char Char Char Char Char Char Char Char Char Char Char Char,Fußnote Char"/>
    <w:basedOn w:val="DefaultParagraphFont"/>
    <w:link w:val="FootnoteText"/>
    <w:uiPriority w:val="99"/>
    <w:rsid w:val="00E623B5"/>
    <w:rPr>
      <w:rFonts w:eastAsiaTheme="minorEastAsia"/>
      <w:kern w:val="0"/>
      <w:sz w:val="20"/>
      <w:szCs w:val="20"/>
    </w:rPr>
  </w:style>
  <w:style w:type="character" w:styleId="FootnoteReference">
    <w:name w:val="footnote reference"/>
    <w:aliases w:val="16 Point,Appel note de bas de p.,EN Footnote Reference,Footnote Reference Number,Footnote Reference_LVL6,Footnote Reference_LVL61,Footnote Reference_LVL62,Footnote Reference_LVL63,Footnote Reference_LVL64,SUPERS,fr,ftref,normal,number"/>
    <w:basedOn w:val="DefaultParagraphFont"/>
    <w:qFormat/>
    <w:rsid w:val="00E623B5"/>
    <w:rPr>
      <w:position w:val="0"/>
      <w:vertAlign w:val="superscript"/>
    </w:rPr>
  </w:style>
  <w:style w:type="character" w:styleId="CommentReference">
    <w:name w:val="annotation reference"/>
    <w:basedOn w:val="DefaultParagraphFont"/>
    <w:uiPriority w:val="99"/>
    <w:semiHidden/>
    <w:unhideWhenUsed/>
    <w:rsid w:val="00B75FF7"/>
    <w:rPr>
      <w:sz w:val="16"/>
      <w:szCs w:val="16"/>
    </w:rPr>
  </w:style>
  <w:style w:type="paragraph" w:styleId="CommentText">
    <w:name w:val="annotation text"/>
    <w:basedOn w:val="Normal"/>
    <w:link w:val="CommentTextChar"/>
    <w:uiPriority w:val="99"/>
    <w:unhideWhenUsed/>
    <w:rsid w:val="00B75FF7"/>
    <w:pPr>
      <w:spacing w:line="240" w:lineRule="auto"/>
    </w:pPr>
    <w:rPr>
      <w:sz w:val="20"/>
      <w:szCs w:val="20"/>
    </w:rPr>
  </w:style>
  <w:style w:type="character" w:customStyle="1" w:styleId="CommentTextChar">
    <w:name w:val="Comment Text Char"/>
    <w:basedOn w:val="DefaultParagraphFont"/>
    <w:link w:val="CommentText"/>
    <w:uiPriority w:val="99"/>
    <w:rsid w:val="00B75FF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B75FF7"/>
    <w:rPr>
      <w:b/>
      <w:bCs/>
    </w:rPr>
  </w:style>
  <w:style w:type="character" w:customStyle="1" w:styleId="CommentSubjectChar">
    <w:name w:val="Comment Subject Char"/>
    <w:basedOn w:val="CommentTextChar"/>
    <w:link w:val="CommentSubject"/>
    <w:uiPriority w:val="99"/>
    <w:semiHidden/>
    <w:rsid w:val="00B75FF7"/>
    <w:rPr>
      <w:rFonts w:eastAsiaTheme="minorEastAsia"/>
      <w:b/>
      <w:bCs/>
      <w:kern w:val="0"/>
      <w:sz w:val="20"/>
      <w:szCs w:val="20"/>
    </w:rPr>
  </w:style>
  <w:style w:type="character" w:styleId="Mention">
    <w:name w:val="Mention"/>
    <w:basedOn w:val="DefaultParagraphFont"/>
    <w:uiPriority w:val="99"/>
    <w:unhideWhenUsed/>
    <w:rsid w:val="00B75FF7"/>
    <w:rPr>
      <w:color w:val="2B579A"/>
      <w:shd w:val="clear" w:color="auto" w:fill="E1DFDD"/>
    </w:rPr>
  </w:style>
  <w:style w:type="paragraph" w:styleId="Header">
    <w:name w:val="header"/>
    <w:basedOn w:val="Normal"/>
    <w:link w:val="HeaderChar"/>
    <w:uiPriority w:val="99"/>
    <w:unhideWhenUsed/>
    <w:rsid w:val="00BD3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303"/>
    <w:rPr>
      <w:rFonts w:eastAsiaTheme="minorEastAsia"/>
      <w:kern w:val="0"/>
      <w:sz w:val="21"/>
      <w:szCs w:val="21"/>
    </w:rPr>
  </w:style>
  <w:style w:type="paragraph" w:styleId="Footer">
    <w:name w:val="footer"/>
    <w:basedOn w:val="Normal"/>
    <w:link w:val="FooterChar"/>
    <w:uiPriority w:val="99"/>
    <w:unhideWhenUsed/>
    <w:rsid w:val="00BD3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303"/>
    <w:rPr>
      <w:rFonts w:eastAsiaTheme="minorEastAsia"/>
      <w:kern w:val="0"/>
      <w:sz w:val="21"/>
      <w:szCs w:val="21"/>
    </w:rPr>
  </w:style>
  <w:style w:type="character" w:styleId="Hyperlink">
    <w:name w:val="Hyperlink"/>
    <w:basedOn w:val="DefaultParagraphFont"/>
    <w:uiPriority w:val="99"/>
    <w:unhideWhenUsed/>
    <w:rsid w:val="00740136"/>
    <w:rPr>
      <w:color w:val="0A2F41" w:themeColor="accent1" w:themeShade="80"/>
      <w:u w:val="single"/>
    </w:rPr>
  </w:style>
  <w:style w:type="character" w:styleId="FollowedHyperlink">
    <w:name w:val="FollowedHyperlink"/>
    <w:basedOn w:val="DefaultParagraphFont"/>
    <w:uiPriority w:val="99"/>
    <w:semiHidden/>
    <w:unhideWhenUsed/>
    <w:rsid w:val="00330015"/>
    <w:rPr>
      <w:color w:val="96607D" w:themeColor="followedHyperlink"/>
      <w:u w:val="single"/>
    </w:rPr>
  </w:style>
  <w:style w:type="paragraph" w:styleId="HTMLPreformatted">
    <w:name w:val="HTML Preformatted"/>
    <w:basedOn w:val="Normal"/>
    <w:link w:val="HTMLPreformattedChar"/>
    <w:unhideWhenUsed/>
    <w:rsid w:val="00FD300A"/>
    <w:pPr>
      <w:widowControl w:val="0"/>
      <w:autoSpaceDE w:val="0"/>
      <w:autoSpaceDN w:val="0"/>
      <w:adjustRightInd w:val="0"/>
      <w:spacing w:after="0" w:line="240" w:lineRule="auto"/>
    </w:pPr>
    <w:rPr>
      <w:rFonts w:ascii="Consolas" w:eastAsia="Times New Roman" w:hAnsi="Consolas" w:cs="Consolas"/>
      <w:sz w:val="20"/>
      <w:szCs w:val="20"/>
      <w14:ligatures w14:val="none"/>
    </w:rPr>
  </w:style>
  <w:style w:type="character" w:customStyle="1" w:styleId="HTMLPreformattedChar">
    <w:name w:val="HTML Preformatted Char"/>
    <w:basedOn w:val="DefaultParagraphFont"/>
    <w:link w:val="HTMLPreformatted"/>
    <w:rsid w:val="00FD300A"/>
    <w:rPr>
      <w:rFonts w:ascii="Consolas" w:eastAsia="Times New Roman" w:hAnsi="Consolas" w:cs="Consolas"/>
      <w:kern w:val="0"/>
      <w:sz w:val="20"/>
      <w:szCs w:val="20"/>
      <w14:ligatures w14:val="none"/>
    </w:rPr>
  </w:style>
  <w:style w:type="paragraph" w:customStyle="1" w:styleId="NPRMBody">
    <w:name w:val="NPRM Body"/>
    <w:basedOn w:val="Normal"/>
    <w:qFormat/>
    <w:rsid w:val="008033B0"/>
    <w:pPr>
      <w:spacing w:after="0" w:line="240" w:lineRule="auto"/>
      <w:ind w:firstLine="720"/>
    </w:pPr>
    <w:rPr>
      <w:rFonts w:ascii="Times New Roman" w:hAnsi="Times New Roman" w:eastAsiaTheme="majorEastAsia" w:cs="Times New Roman"/>
      <w:bCs/>
      <w:sz w:val="24"/>
      <w:szCs w:val="24"/>
      <w14:ligatures w14:val="none"/>
    </w:rPr>
  </w:style>
  <w:style w:type="character" w:styleId="UnresolvedMention">
    <w:name w:val="Unresolved Mention"/>
    <w:basedOn w:val="DefaultParagraphFont"/>
    <w:uiPriority w:val="99"/>
    <w:semiHidden/>
    <w:unhideWhenUsed/>
    <w:rsid w:val="00947F31"/>
    <w:rPr>
      <w:color w:val="605E5C"/>
      <w:shd w:val="clear" w:color="auto" w:fill="E1DFDD"/>
    </w:rPr>
  </w:style>
  <w:style w:type="paragraph" w:customStyle="1" w:styleId="Default">
    <w:name w:val="Default"/>
    <w:rsid w:val="000F7D2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14/04/14/2014-08254/privacy-act-of-1974-as-amended-system-of-records-notice" TargetMode="External" /><Relationship Id="rId2" Type="http://schemas.openxmlformats.org/officeDocument/2006/relationships/hyperlink" Target="https://www.bls.gov/oes/tables.htm" TargetMode="External" /><Relationship Id="rId3" Type="http://schemas.openxmlformats.org/officeDocument/2006/relationships/hyperlink" Target="https://www.bls.gov/news.release/archives/ecec_091020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9DE90990FDB5489F7FB77B43675A7B" ma:contentTypeVersion="5" ma:contentTypeDescription="Create a new document." ma:contentTypeScope="" ma:versionID="de09a8605c0ab60c7830ca62d6e25ced">
  <xsd:schema xmlns:xsd="http://www.w3.org/2001/XMLSchema" xmlns:xs="http://www.w3.org/2001/XMLSchema" xmlns:p="http://schemas.microsoft.com/office/2006/metadata/properties" xmlns:ns2="5e070b10-8376-4a51-b35c-0da1b222944d" xmlns:ns3="91882c98-ad7c-457b-bb99-16138be0c2aa" targetNamespace="http://schemas.microsoft.com/office/2006/metadata/properties" ma:root="true" ma:fieldsID="fef9b2f528630329159488af671bc94a" ns2:_="" ns3:_="">
    <xsd:import namespace="5e070b10-8376-4a51-b35c-0da1b222944d"/>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70b10-8376-4a51-b35c-0da1b222944d"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5e070b10-8376-4a51-b35c-0da1b222944d">Final</Category>
    <CaseID xmlns="5e070b10-8376-4a51-b35c-0da1b222944d">20264-TFI-4210</CaseID>
    <DocID xmlns="5e070b10-8376-4a51-b35c-0da1b222944d">7cf12215-809c-411c-be56-d3c51250d699</Doc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F0CE3-A43A-4B96-8C40-10887F304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70b10-8376-4a51-b35c-0da1b222944d"/>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4FEB34-F566-4DEE-8908-99BB76D188B0}">
  <ds:schemaRefs>
    <ds:schemaRef ds:uri="http://purl.org/dc/elements/1.1/"/>
    <ds:schemaRef ds:uri="http://purl.org/dc/dcmitype/"/>
    <ds:schemaRef ds:uri="http://schemas.microsoft.com/office/2006/documentManagement/types"/>
    <ds:schemaRef ds:uri="http://purl.org/dc/terms/"/>
    <ds:schemaRef ds:uri="http://www.w3.org/XML/1998/namespace"/>
    <ds:schemaRef ds:uri="5e070b10-8376-4a51-b35c-0da1b222944d"/>
    <ds:schemaRef ds:uri="http://schemas.microsoft.com/office/infopath/2007/PartnerControls"/>
    <ds:schemaRef ds:uri="http://schemas.openxmlformats.org/package/2006/metadata/core-properties"/>
    <ds:schemaRef ds:uri="91882c98-ad7c-457b-bb99-16138be0c2aa"/>
    <ds:schemaRef ds:uri="http://schemas.microsoft.com/office/2006/metadata/properties"/>
  </ds:schemaRefs>
</ds:datastoreItem>
</file>

<file path=customXml/itemProps3.xml><?xml version="1.0" encoding="utf-8"?>
<ds:datastoreItem xmlns:ds="http://schemas.openxmlformats.org/officeDocument/2006/customXml" ds:itemID="{31CE082D-DB0A-4F90-B9FB-7C3AFD33F40D}">
  <ds:schemaRefs>
    <ds:schemaRef ds:uri="http://schemas.microsoft.com/sharepoint/v3/contenttype/forms"/>
  </ds:schemaRefs>
</ds:datastoreItem>
</file>

<file path=customXml/itemProps4.xml><?xml version="1.0" encoding="utf-8"?>
<ds:datastoreItem xmlns:ds="http://schemas.openxmlformats.org/officeDocument/2006/customXml" ds:itemID="{257BB512-DEF0-4F4B-9304-09941923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1830</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FinCEN</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Mariesa</dc:creator>
  <cp:lastModifiedBy>Stewart, Jaclyn</cp:lastModifiedBy>
  <cp:revision>2</cp:revision>
  <dcterms:created xsi:type="dcterms:W3CDTF">2026-05-01T17:23:00Z</dcterms:created>
  <dcterms:modified xsi:type="dcterms:W3CDTF">2026-05-01T17:23:00Z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0x010100509DE90990FDB5489F7FB77B43675A7B</vt:lpwstr>
  </property>
</Properties>
</file>