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952CD" w14:paraId="020B75BE" w14:textId="77777777">
      <w:pPr>
        <w:pStyle w:val="Heading1"/>
        <w:rPr>
          <w:rFonts w:ascii="Arial" w:hAnsi="Arial" w:cs="Arial"/>
        </w:rPr>
      </w:pPr>
      <w:r w:rsidRPr="009D6BB9">
        <w:rPr>
          <w:rFonts w:ascii="Arial" w:hAnsi="Arial" w:cs="Arial"/>
        </w:rPr>
        <w:t>SUPPORTING STATEMENT</w:t>
      </w:r>
    </w:p>
    <w:p w:rsidR="00AA3BBF" w:rsidRPr="00AA3BBF" w:rsidP="00AA3BBF" w14:paraId="0CB0B24C" w14:textId="77777777">
      <w:pPr>
        <w:pStyle w:val="Heading1"/>
        <w:rPr>
          <w:rFonts w:ascii="Arial" w:hAnsi="Arial" w:cs="Arial"/>
        </w:rPr>
      </w:pPr>
      <w:r w:rsidRPr="00AA3BBF">
        <w:rPr>
          <w:rFonts w:ascii="Arial" w:hAnsi="Arial" w:cs="Arial"/>
        </w:rPr>
        <w:t>OMB Number 1530-0051</w:t>
      </w:r>
    </w:p>
    <w:p w:rsidR="00B952CD" w:rsidRPr="009D6BB9" w14:paraId="71B4D0E5" w14:textId="77777777">
      <w:pPr>
        <w:autoSpaceDE w:val="0"/>
        <w:autoSpaceDN w:val="0"/>
        <w:adjustRightInd w:val="0"/>
        <w:rPr>
          <w:rFonts w:ascii="Arial" w:hAnsi="Arial" w:cs="Arial"/>
        </w:rPr>
      </w:pPr>
    </w:p>
    <w:p w:rsidR="0090356F" w:rsidRPr="0090356F" w:rsidP="0090356F" w14:paraId="40BED65F" w14:textId="77777777">
      <w:pPr>
        <w:autoSpaceDE w:val="0"/>
        <w:autoSpaceDN w:val="0"/>
        <w:adjustRightInd w:val="0"/>
      </w:pPr>
      <w:r>
        <w:rPr>
          <w:rFonts w:ascii="Arial" w:hAnsi="Arial" w:cs="Arial"/>
          <w:b/>
          <w:bCs/>
        </w:rPr>
        <w:t xml:space="preserve">A. </w:t>
      </w:r>
      <w:r w:rsidRPr="009D6BB9" w:rsidR="00B952CD">
        <w:rPr>
          <w:rFonts w:ascii="Arial" w:hAnsi="Arial" w:cs="Arial"/>
          <w:b/>
          <w:bCs/>
        </w:rPr>
        <w:t>Justification for:</w:t>
      </w:r>
      <w:r w:rsidRPr="009D6BB9" w:rsidR="004563E1">
        <w:rPr>
          <w:rFonts w:ascii="Arial" w:hAnsi="Arial" w:cs="Arial"/>
        </w:rPr>
        <w:t xml:space="preserve"> </w:t>
      </w:r>
      <w:r w:rsidRPr="00701E2E" w:rsidR="006C276D">
        <w:rPr>
          <w:rFonts w:ascii="Arial" w:hAnsi="Arial" w:cs="Arial"/>
        </w:rPr>
        <w:t xml:space="preserve">31 CFR </w:t>
      </w:r>
      <w:r>
        <w:rPr>
          <w:rFonts w:ascii="Arial" w:hAnsi="Arial" w:cs="Arial"/>
        </w:rPr>
        <w:t>Part 343,</w:t>
      </w:r>
      <w:r>
        <w:rPr>
          <w:rFonts w:ascii="Courier New" w:hAnsi="Courier New" w:cs="Courier New"/>
        </w:rPr>
        <w:t xml:space="preserve"> </w:t>
      </w:r>
      <w:r w:rsidRPr="0090356F">
        <w:t>"Offering of United States Mortgage Guaranty Insurance Company Tax and Loss Bonds.</w:t>
      </w:r>
    </w:p>
    <w:p w:rsidR="004563E1" w:rsidRPr="00D50DBB" w:rsidP="004F0A09" w14:paraId="7432C882" w14:textId="77777777">
      <w:pPr>
        <w:pStyle w:val="Subtitle"/>
        <w:jc w:val="left"/>
        <w:rPr>
          <w:rFonts w:ascii="Arial" w:hAnsi="Arial" w:cs="Arial"/>
        </w:rPr>
      </w:pPr>
    </w:p>
    <w:p w:rsidR="005F4D17" w:rsidRPr="005F1416" w:rsidP="005F4D17" w14:paraId="5B4326CD" w14:textId="77777777">
      <w:pPr>
        <w:numPr>
          <w:ilvl w:val="0"/>
          <w:numId w:val="6"/>
        </w:numPr>
        <w:rPr>
          <w:color w:val="000000"/>
        </w:rPr>
      </w:pPr>
      <w:r w:rsidRPr="005F1416">
        <w:rPr>
          <w:b/>
          <w:bCs/>
        </w:rPr>
        <w:t>Explain the circumstances that make the collection of information necessary.  Identify any legal or administrative requirements that necessitate the collection.</w:t>
      </w:r>
      <w:r w:rsidRPr="005F1416">
        <w:t xml:space="preserve"> </w:t>
      </w:r>
    </w:p>
    <w:p w:rsidR="002557CC" w:rsidRPr="008659DC" w:rsidP="008659DC" w14:paraId="3A345ED0" w14:textId="59B431B4">
      <w:pPr>
        <w:tabs>
          <w:tab w:val="left" w:pos="-1440"/>
          <w:tab w:val="left" w:pos="-720"/>
          <w:tab w:val="left" w:pos="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ind w:left="720"/>
        <w:rPr>
          <w:color w:val="000000"/>
        </w:rPr>
      </w:pPr>
      <w:r w:rsidRPr="000E33C2">
        <w:t xml:space="preserve">This information is collected by authority of 31 U.S.C. 3102, et seq. </w:t>
      </w:r>
      <w:r w:rsidRPr="002557CC">
        <w:t>Chapter 31 of Tit</w:t>
      </w:r>
      <w:r>
        <w:t>le 31 of the United States Code</w:t>
      </w:r>
      <w:r w:rsidRPr="002557CC">
        <w:t xml:space="preserve"> authorizes the Secretary of the Treasury to prescribe the terms and conditions, including the form, of United States Treasury bonds, notes and bills.  The information collected is essential to establish and maintain Tax and Loss Bond accounts (31 CFR Part 343).  This regulation governs issues and redemptions of Tax and Loss bonds.  The information requested will be used to issue a Statement of Account to the entity, establish issue and maturity dates for the bonds, and provide electronic payment routing instructions for the proceeds</w:t>
      </w:r>
      <w:r>
        <w:t xml:space="preserve">. </w:t>
      </w:r>
    </w:p>
    <w:p w:rsidR="00B16959" w:rsidRPr="005F1416" w:rsidP="00B16959" w14:paraId="06263153" w14:textId="77777777">
      <w:pPr>
        <w:numPr>
          <w:ilvl w:val="0"/>
          <w:numId w:val="6"/>
        </w:numPr>
        <w:rPr>
          <w:color w:val="000000"/>
        </w:rPr>
      </w:pPr>
      <w:r w:rsidRPr="005F1416">
        <w:rPr>
          <w:b/>
          <w:bCs/>
        </w:rPr>
        <w:t xml:space="preserve">Indicate how, by whom, and for what purpose the information is to be used. </w:t>
      </w:r>
    </w:p>
    <w:p w:rsidR="005642F4" w:rsidRPr="005642F4" w:rsidP="005642F4" w14:paraId="023EF5E1" w14:textId="5BB185AD">
      <w:pPr>
        <w:autoSpaceDE w:val="0"/>
        <w:autoSpaceDN w:val="0"/>
        <w:adjustRightInd w:val="0"/>
        <w:ind w:left="720"/>
      </w:pPr>
      <w:r w:rsidRPr="005642F4">
        <w:t>The information currently being collected is used by the Bureau of the Fiscal Service to perform functions in connection with the issuance and payment of Tax and Loss bonds.  If the collection of information were not conducted, Treasury would be unable to establish accounts for investors who wish the Department to hold their accounts in book-entry form.</w:t>
      </w:r>
    </w:p>
    <w:p w:rsidR="005F1416" w:rsidP="005642F4" w14:paraId="446B591B" w14:textId="77777777">
      <w:pPr>
        <w:rPr>
          <w:rFonts w:ascii="Arial" w:hAnsi="Arial" w:cs="Arial"/>
          <w:b/>
          <w:bCs/>
        </w:rPr>
      </w:pPr>
    </w:p>
    <w:p w:rsidR="00B16959" w:rsidRPr="005F1416" w:rsidP="005F1416" w14:paraId="65464CA1" w14:textId="77777777">
      <w:pPr>
        <w:numPr>
          <w:ilvl w:val="0"/>
          <w:numId w:val="6"/>
        </w:numPr>
      </w:pPr>
      <w:r w:rsidRPr="005F1416">
        <w:rPr>
          <w:b/>
          <w:bCs/>
        </w:rPr>
        <w:t>Describe whether, and to what extent, the collection of information involves the use of automated, electronic, mechanical, or other technological collection techniques or other forms of information technology.  What consideration is given to use information technology to reduce burden?</w:t>
      </w:r>
      <w:r w:rsidRPr="005F1416">
        <w:t xml:space="preserve">  </w:t>
      </w:r>
    </w:p>
    <w:p w:rsidR="00A65768" w:rsidP="00A65768" w14:paraId="54F6BBF1" w14:textId="646489A0">
      <w:pPr>
        <w:ind w:left="720"/>
      </w:pPr>
      <w:r>
        <w:t xml:space="preserve">The offering of Tax and Loss Bonds utilizes information technology to reduce burden by allowing funds for purchases to be submitted via the Fedwire funds transfer system; when bonds are redeemed, payment will be made </w:t>
      </w:r>
      <w:r w:rsidR="00441A48">
        <w:t xml:space="preserve">through </w:t>
      </w:r>
      <w:r>
        <w:t>use of the ACH system</w:t>
      </w:r>
      <w:r w:rsidR="00832807">
        <w:t xml:space="preserve"> or Fedwire funds, both of which are</w:t>
      </w:r>
      <w:r w:rsidRPr="005F1416">
        <w:t xml:space="preserve"> direct deposit method</w:t>
      </w:r>
      <w:r w:rsidR="00832807">
        <w:t>s</w:t>
      </w:r>
      <w:r w:rsidRPr="005F1416">
        <w:t xml:space="preserve"> of payment through which participating institutions</w:t>
      </w:r>
      <w:r>
        <w:t xml:space="preserve"> exchange funds electronically; and registering bonds in book-entry form.</w:t>
      </w:r>
    </w:p>
    <w:p w:rsidR="006C276D" w:rsidRPr="0090356F" w:rsidP="0090356F" w14:paraId="1894E545" w14:textId="77777777">
      <w:pPr>
        <w:tabs>
          <w:tab w:val="left" w:pos="-1440"/>
          <w:tab w:val="left" w:pos="-720"/>
          <w:tab w:val="left" w:pos="120"/>
          <w:tab w:val="left" w:pos="600"/>
          <w:tab w:val="left" w:pos="1080"/>
          <w:tab w:val="left" w:pos="3600"/>
          <w:tab w:val="left" w:pos="6600"/>
        </w:tabs>
        <w:suppressAutoHyphens/>
        <w:overflowPunct w:val="0"/>
        <w:autoSpaceDE w:val="0"/>
        <w:autoSpaceDN w:val="0"/>
        <w:adjustRightInd w:val="0"/>
        <w:ind w:left="720"/>
        <w:rPr>
          <w:rFonts w:ascii="Courier New" w:hAnsi="Courier New" w:cs="Courier New"/>
          <w:color w:val="0000FF"/>
          <w:szCs w:val="20"/>
        </w:rPr>
      </w:pPr>
      <w:r>
        <w:rPr>
          <w:rFonts w:ascii="Courier New" w:hAnsi="Courier New" w:cs="Courier New"/>
        </w:rPr>
        <w:t xml:space="preserve"> </w:t>
      </w:r>
    </w:p>
    <w:p w:rsidR="00B16959" w:rsidRPr="005F1416" w:rsidP="005F1416" w14:paraId="232C3DF1" w14:textId="77777777">
      <w:pPr>
        <w:numPr>
          <w:ilvl w:val="0"/>
          <w:numId w:val="6"/>
        </w:numPr>
        <w:rPr>
          <w:color w:val="000000"/>
        </w:rPr>
      </w:pPr>
      <w:r w:rsidRPr="005F1416">
        <w:rPr>
          <w:b/>
          <w:bCs/>
        </w:rPr>
        <w:t xml:space="preserve">Describe efforts to identify duplication.  Why can’t any similar information already available be used or modified for use for the purposes described in item 2 above? </w:t>
      </w:r>
      <w:r w:rsidRPr="005F1416">
        <w:t xml:space="preserve"> </w:t>
      </w:r>
    </w:p>
    <w:p w:rsidR="009D6BB9" w:rsidRPr="005F1416" w:rsidP="00B16959" w14:paraId="73511107" w14:textId="77777777">
      <w:pPr>
        <w:spacing w:after="120"/>
        <w:ind w:left="720"/>
        <w:rPr>
          <w:color w:val="000000"/>
        </w:rPr>
      </w:pPr>
      <w:r w:rsidRPr="005F1416">
        <w:t>Duplicate information is not requested.</w:t>
      </w:r>
      <w:r w:rsidRPr="005F1416" w:rsidR="00857BF9">
        <w:rPr>
          <w:color w:val="000000"/>
        </w:rPr>
        <w:t xml:space="preserve"> </w:t>
      </w:r>
      <w:r w:rsidR="00B02988">
        <w:t>The information is collected for a single purpose as described in item 1. No other federal governmental agency collects this type of information, therefore, no duplication exists</w:t>
      </w:r>
    </w:p>
    <w:p w:rsidR="00B16959" w:rsidRPr="005F1416" w:rsidP="00B16959" w14:paraId="08072884" w14:textId="77777777">
      <w:pPr>
        <w:numPr>
          <w:ilvl w:val="0"/>
          <w:numId w:val="6"/>
        </w:numPr>
        <w:rPr>
          <w:color w:val="000000"/>
        </w:rPr>
      </w:pPr>
      <w:r w:rsidRPr="005F1416">
        <w:rPr>
          <w:b/>
          <w:bCs/>
        </w:rPr>
        <w:t>If the collection of information impacts small business or other small entities describe any methods used to minimize burden?</w:t>
      </w:r>
      <w:r w:rsidRPr="005F1416">
        <w:t xml:space="preserve">  </w:t>
      </w:r>
    </w:p>
    <w:p w:rsidR="009D6BB9" w:rsidRPr="005F1416" w:rsidP="00B16959" w14:paraId="15AA03E2" w14:textId="77777777">
      <w:pPr>
        <w:spacing w:after="120"/>
        <w:ind w:left="720"/>
        <w:rPr>
          <w:color w:val="000000"/>
        </w:rPr>
      </w:pPr>
      <w:r w:rsidRPr="005F1416">
        <w:t>This collection of information does not impact small business or other small entities.</w:t>
      </w:r>
    </w:p>
    <w:p w:rsidR="00B16959" w:rsidRPr="005F1416" w:rsidP="00B16959" w14:paraId="3663A3DC" w14:textId="77777777">
      <w:pPr>
        <w:numPr>
          <w:ilvl w:val="0"/>
          <w:numId w:val="6"/>
        </w:numPr>
        <w:rPr>
          <w:color w:val="000000"/>
        </w:rPr>
      </w:pPr>
      <w:r w:rsidRPr="005F1416">
        <w:rPr>
          <w:b/>
          <w:bCs/>
        </w:rPr>
        <w:t xml:space="preserve">What consequences to Federal program or policy activities and what, if any, technical or legal obstacles to reducing burden will occur if this collection is not conducted or is conducted less frequently?  </w:t>
      </w:r>
    </w:p>
    <w:p w:rsidR="00B02988" w:rsidRPr="00B02988" w:rsidP="00B02988" w14:paraId="2791EF96" w14:textId="77777777">
      <w:pPr>
        <w:tabs>
          <w:tab w:val="left" w:pos="360"/>
        </w:tabs>
        <w:ind w:left="720"/>
        <w:rPr>
          <w:bCs/>
        </w:rPr>
      </w:pPr>
      <w:r>
        <w:rPr>
          <w:color w:val="000000"/>
        </w:rPr>
        <w:t>The i</w:t>
      </w:r>
      <w:r>
        <w:rPr>
          <w:color w:val="000000"/>
        </w:rPr>
        <w:t xml:space="preserve">nformation requested is voluntary, however, without the use of this </w:t>
      </w:r>
      <w:r w:rsidR="00BE3666">
        <w:rPr>
          <w:color w:val="000000"/>
        </w:rPr>
        <w:t>in</w:t>
      </w:r>
      <w:r>
        <w:rPr>
          <w:color w:val="000000"/>
        </w:rPr>
        <w:t>form</w:t>
      </w:r>
      <w:r w:rsidR="00BE3666">
        <w:rPr>
          <w:color w:val="000000"/>
        </w:rPr>
        <w:t>ation</w:t>
      </w:r>
      <w:r>
        <w:rPr>
          <w:color w:val="000000"/>
        </w:rPr>
        <w:t xml:space="preserve">, the Bureau of the Fiscal Service and its agents would not have the ability </w:t>
      </w:r>
      <w:r w:rsidR="00A42D3F">
        <w:rPr>
          <w:color w:val="000000"/>
        </w:rPr>
        <w:t xml:space="preserve">to </w:t>
      </w:r>
      <w:r w:rsidRPr="002557CC" w:rsidR="00A42D3F">
        <w:t xml:space="preserve">issue a Statement of Account to </w:t>
      </w:r>
      <w:r w:rsidR="00A42D3F">
        <w:t xml:space="preserve">the entity, establish </w:t>
      </w:r>
      <w:r w:rsidRPr="002557CC" w:rsidR="00A42D3F">
        <w:t>issue and maturity dates for the bonds, and provide electronic payment routing instructions for the proceeds</w:t>
      </w:r>
      <w:r w:rsidR="00A42D3F">
        <w:t>.</w:t>
      </w:r>
    </w:p>
    <w:p w:rsidR="00B16959" w:rsidRPr="00D035D2" w:rsidP="00B02988" w14:paraId="24A11DF8" w14:textId="77777777">
      <w:pPr>
        <w:keepNext/>
        <w:numPr>
          <w:ilvl w:val="0"/>
          <w:numId w:val="6"/>
        </w:numPr>
        <w:spacing w:before="240"/>
        <w:rPr>
          <w:color w:val="000000"/>
        </w:rPr>
      </w:pPr>
      <w:r w:rsidRPr="00D035D2">
        <w:rPr>
          <w:b/>
          <w:bCs/>
        </w:rPr>
        <w:t>Is this collection of information conducted in a manner consistent with the guidelines of 5 CFR 1320.6?</w:t>
      </w:r>
      <w:r w:rsidRPr="00D035D2">
        <w:t xml:space="preserve"> </w:t>
      </w:r>
    </w:p>
    <w:p w:rsidR="00784EC2" w:rsidRPr="00784EC2" w:rsidP="00B02988" w14:paraId="540769B7" w14:textId="77777777">
      <w:pPr>
        <w:spacing w:after="120"/>
        <w:ind w:left="720"/>
        <w:rPr>
          <w:color w:val="000000"/>
        </w:rPr>
      </w:pPr>
      <w:r w:rsidRPr="00BE3666">
        <w:t>There are no special circumstances.  The collection of information is conducted in a manner consistent with the guidelines in 5 CFR 1320.6.</w:t>
      </w:r>
    </w:p>
    <w:p w:rsidR="00B16959" w:rsidRPr="00D035D2" w:rsidP="00B16959" w14:paraId="3B6F7B48" w14:textId="77777777">
      <w:pPr>
        <w:numPr>
          <w:ilvl w:val="0"/>
          <w:numId w:val="6"/>
        </w:numPr>
        <w:rPr>
          <w:color w:val="000000"/>
        </w:rPr>
      </w:pPr>
      <w:r w:rsidRPr="00D035D2">
        <w:rPr>
          <w:b/>
          <w:bCs/>
        </w:rPr>
        <w:t>What effort was made to notify the general public</w:t>
      </w:r>
      <w:r w:rsidRPr="00D035D2">
        <w:t xml:space="preserve"> </w:t>
      </w:r>
      <w:r w:rsidRPr="00D035D2">
        <w:rPr>
          <w:b/>
          <w:bCs/>
        </w:rPr>
        <w:t>about this collection of information?</w:t>
      </w:r>
      <w:r w:rsidRPr="00D035D2">
        <w:t xml:space="preserve">  </w:t>
      </w:r>
    </w:p>
    <w:p w:rsidR="009D6BB9" w:rsidRPr="00D035D2" w:rsidP="00B16959" w14:paraId="3ED93EEA" w14:textId="393FF375">
      <w:pPr>
        <w:spacing w:after="120"/>
        <w:ind w:left="720"/>
        <w:rPr>
          <w:color w:val="000000"/>
        </w:rPr>
      </w:pPr>
      <w:r w:rsidRPr="00D035D2">
        <w:t>The Bureau’s notice was published in the Federal Registe</w:t>
      </w:r>
      <w:r w:rsidRPr="00D035D2" w:rsidR="004A6478">
        <w:t xml:space="preserve">r on </w:t>
      </w:r>
      <w:r w:rsidR="005F6FE7">
        <w:t>January 29</w:t>
      </w:r>
      <w:r w:rsidR="00667385">
        <w:t>, 202</w:t>
      </w:r>
      <w:r w:rsidR="005F6FE7">
        <w:t>6</w:t>
      </w:r>
      <w:r w:rsidRPr="00D035D2" w:rsidR="004A6478">
        <w:t>,</w:t>
      </w:r>
      <w:r w:rsidR="00667385">
        <w:t xml:space="preserve"> Volume </w:t>
      </w:r>
      <w:r w:rsidR="005F6FE7">
        <w:t>91</w:t>
      </w:r>
      <w:r w:rsidR="00667385">
        <w:t>,</w:t>
      </w:r>
      <w:r w:rsidRPr="00D035D2" w:rsidR="004A6478">
        <w:t xml:space="preserve"> Page </w:t>
      </w:r>
      <w:r w:rsidR="005F6FE7">
        <w:t>3983</w:t>
      </w:r>
      <w:r w:rsidRPr="00D035D2" w:rsidR="00B27C51">
        <w:t>.</w:t>
      </w:r>
      <w:r w:rsidRPr="00D035D2" w:rsidR="00B16959">
        <w:t xml:space="preserve"> </w:t>
      </w:r>
      <w:r w:rsidRPr="00D035D2">
        <w:t>No comments were received.</w:t>
      </w:r>
    </w:p>
    <w:p w:rsidR="006C276D" w:rsidRPr="006C276D" w:rsidP="006C276D" w14:paraId="2F4F74F8" w14:textId="2CD90CFC">
      <w:pPr>
        <w:numPr>
          <w:ilvl w:val="0"/>
          <w:numId w:val="6"/>
        </w:numPr>
        <w:rPr>
          <w:color w:val="000000"/>
        </w:rPr>
      </w:pPr>
      <w:r w:rsidRPr="00D035D2">
        <w:rPr>
          <w:b/>
          <w:bCs/>
        </w:rPr>
        <w:t xml:space="preserve">What decision was made to provide any payment or gift to respondents, other than </w:t>
      </w:r>
      <w:r w:rsidRPr="00D035D2" w:rsidR="000355DA">
        <w:rPr>
          <w:b/>
          <w:bCs/>
        </w:rPr>
        <w:t>remuneration</w:t>
      </w:r>
      <w:r w:rsidRPr="00D035D2">
        <w:rPr>
          <w:b/>
          <w:bCs/>
        </w:rPr>
        <w:t xml:space="preserve"> of contractors or grantees?</w:t>
      </w:r>
      <w:r w:rsidRPr="00D035D2">
        <w:t xml:space="preserve">  </w:t>
      </w:r>
    </w:p>
    <w:p w:rsidR="009D6BB9" w:rsidRPr="00D035D2" w:rsidP="006C276D" w14:paraId="16471F65" w14:textId="77777777">
      <w:pPr>
        <w:spacing w:after="120"/>
        <w:ind w:left="720"/>
        <w:rPr>
          <w:color w:val="000000"/>
        </w:rPr>
      </w:pPr>
      <w:r>
        <w:t>No gifts or payments are made to respondents.</w:t>
      </w:r>
    </w:p>
    <w:p w:rsidR="00B16959" w:rsidRPr="00D035D2" w:rsidP="00B16959" w14:paraId="418C1C3D" w14:textId="77777777">
      <w:pPr>
        <w:numPr>
          <w:ilvl w:val="0"/>
          <w:numId w:val="6"/>
        </w:numPr>
        <w:rPr>
          <w:color w:val="000000"/>
        </w:rPr>
      </w:pPr>
      <w:r w:rsidRPr="00D035D2">
        <w:rPr>
          <w:b/>
          <w:bCs/>
        </w:rPr>
        <w:t>What assurance of confidentiality was provided to                                                                              respondents and what was the basis for the assurance in statute, regulations, or agency policy?</w:t>
      </w:r>
      <w:r w:rsidRPr="00D035D2">
        <w:t xml:space="preserve">  </w:t>
      </w:r>
    </w:p>
    <w:p w:rsidR="009D6BB9" w:rsidRPr="00D035D2" w:rsidP="00B16959" w14:paraId="372432FE" w14:textId="77777777">
      <w:pPr>
        <w:spacing w:after="120"/>
        <w:ind w:left="720"/>
        <w:rPr>
          <w:color w:val="000000"/>
        </w:rPr>
      </w:pPr>
      <w:r w:rsidRPr="00D035D2">
        <w:t>Aside from protections contained in the Privacy Act, there is no guarantee of confidentiality</w:t>
      </w:r>
      <w:r w:rsidRPr="00D035D2" w:rsidR="00D43AAE">
        <w:t>.</w:t>
      </w:r>
    </w:p>
    <w:p w:rsidR="00B16959" w:rsidRPr="00D035D2" w:rsidP="00B16959" w14:paraId="02C50428" w14:textId="77777777">
      <w:pPr>
        <w:numPr>
          <w:ilvl w:val="0"/>
          <w:numId w:val="6"/>
        </w:numPr>
        <w:rPr>
          <w:color w:val="000000"/>
        </w:rPr>
      </w:pPr>
      <w:r w:rsidRPr="00D035D2">
        <w:rPr>
          <w:b/>
          <w:bCs/>
        </w:rPr>
        <w:t>What justification is there for questions of a sensitive nature?</w:t>
      </w:r>
      <w:r w:rsidRPr="00D035D2">
        <w:t xml:space="preserve">  </w:t>
      </w:r>
    </w:p>
    <w:p w:rsidR="009D6BB9" w:rsidP="004A3DC4" w14:paraId="5B3D29C1" w14:textId="71129011">
      <w:pPr>
        <w:ind w:left="720"/>
        <w:rPr>
          <w:b/>
          <w:bCs/>
        </w:rPr>
      </w:pPr>
      <w:r>
        <w:rPr>
          <w:bCs/>
        </w:rPr>
        <w:t>There are no questions of a sensitive nature.</w:t>
      </w:r>
      <w:r w:rsidRPr="00696AE2">
        <w:rPr>
          <w:bCs/>
        </w:rPr>
        <w:t xml:space="preserve"> </w:t>
      </w:r>
      <w:r w:rsidRPr="000158A8">
        <w:rPr>
          <w:bCs/>
        </w:rPr>
        <w:t xml:space="preserve">Personally identifiable information(PII) </w:t>
      </w:r>
      <w:r w:rsidR="00667385">
        <w:rPr>
          <w:bCs/>
        </w:rPr>
        <w:t xml:space="preserve">from this </w:t>
      </w:r>
      <w:r w:rsidRPr="000158A8">
        <w:rPr>
          <w:bCs/>
        </w:rPr>
        <w:t>collect</w:t>
      </w:r>
      <w:r w:rsidR="00667385">
        <w:rPr>
          <w:bCs/>
        </w:rPr>
        <w:t xml:space="preserve">ion </w:t>
      </w:r>
      <w:r>
        <w:rPr>
          <w:bCs/>
        </w:rPr>
        <w:t xml:space="preserve">such as name and account number is necessary to </w:t>
      </w:r>
      <w:r w:rsidRPr="001148AE">
        <w:t xml:space="preserve">establish entitlement and request </w:t>
      </w:r>
      <w:r>
        <w:t xml:space="preserve">proper </w:t>
      </w:r>
      <w:r w:rsidRPr="001148AE">
        <w:t xml:space="preserve">distribution of </w:t>
      </w:r>
      <w:r w:rsidRPr="00B572A5">
        <w:t>Tax and Loss Bond</w:t>
      </w:r>
      <w:r w:rsidRPr="001148AE">
        <w:t xml:space="preserve"> and/or related payments</w:t>
      </w:r>
      <w:r w:rsidRPr="000158A8">
        <w:rPr>
          <w:color w:val="000000"/>
        </w:rPr>
        <w:t>.</w:t>
      </w:r>
      <w:r w:rsidRPr="000158A8">
        <w:rPr>
          <w:bCs/>
        </w:rPr>
        <w:t xml:space="preserve"> </w:t>
      </w:r>
      <w:r w:rsidRPr="00B169A8" w:rsidR="00B169A8">
        <w:rPr>
          <w:bCs/>
        </w:rPr>
        <w:t>An applicable System of Records Notice for this information was published February 27, 2020. System of Records Name: Treasury/Fiscal Service .014—United States Securities and Access) and Treasury/ Fiscal Service .020– U.S. Treasury Securities Fraud Information Systems</w:t>
      </w:r>
      <w:r>
        <w:rPr>
          <w:bCs/>
        </w:rPr>
        <w:t>.</w:t>
      </w:r>
    </w:p>
    <w:p w:rsidR="004A3DC4" w:rsidRPr="004A3DC4" w:rsidP="004A3DC4" w14:paraId="5477A5EF" w14:textId="77777777">
      <w:pPr>
        <w:ind w:left="720"/>
        <w:rPr>
          <w:b/>
          <w:bCs/>
        </w:rPr>
      </w:pPr>
    </w:p>
    <w:p w:rsidR="000D5A24" w:rsidP="000D5A24" w14:paraId="0D25A3FC" w14:textId="77777777">
      <w:pPr>
        <w:numPr>
          <w:ilvl w:val="0"/>
          <w:numId w:val="6"/>
        </w:numPr>
        <w:rPr>
          <w:color w:val="000000"/>
        </w:rPr>
      </w:pPr>
      <w:r w:rsidRPr="00D035D2">
        <w:rPr>
          <w:b/>
          <w:bCs/>
        </w:rPr>
        <w:t>What is the estimated hour burden of this collection</w:t>
      </w:r>
      <w:r w:rsidRPr="00D035D2">
        <w:t xml:space="preserve"> </w:t>
      </w:r>
      <w:r w:rsidRPr="00D035D2">
        <w:rPr>
          <w:b/>
          <w:bCs/>
        </w:rPr>
        <w:t>of information?</w:t>
      </w:r>
      <w:r w:rsidRPr="00D035D2">
        <w:t xml:space="preserve">  </w:t>
      </w:r>
    </w:p>
    <w:p w:rsidR="0054202E" w:rsidP="0054202E" w14:paraId="0960D2AF" w14:textId="64185095">
      <w:pPr>
        <w:pStyle w:val="ListParagraph"/>
        <w:numPr>
          <w:ilvl w:val="0"/>
          <w:numId w:val="8"/>
        </w:numPr>
        <w:rPr>
          <w:szCs w:val="22"/>
        </w:rPr>
      </w:pPr>
      <w:r w:rsidRPr="0054202E">
        <w:rPr>
          <w:szCs w:val="22"/>
        </w:rPr>
        <w:t xml:space="preserve">The estimated burden of </w:t>
      </w:r>
      <w:r w:rsidR="00832807">
        <w:rPr>
          <w:szCs w:val="22"/>
        </w:rPr>
        <w:t>8.75</w:t>
      </w:r>
      <w:r>
        <w:rPr>
          <w:szCs w:val="22"/>
        </w:rPr>
        <w:t xml:space="preserve"> </w:t>
      </w:r>
      <w:r w:rsidRPr="0054202E">
        <w:rPr>
          <w:szCs w:val="22"/>
        </w:rPr>
        <w:t xml:space="preserve">hours from </w:t>
      </w:r>
      <w:r w:rsidR="00832807">
        <w:rPr>
          <w:szCs w:val="22"/>
        </w:rPr>
        <w:t>35</w:t>
      </w:r>
      <w:r w:rsidRPr="0054202E">
        <w:rPr>
          <w:szCs w:val="22"/>
        </w:rPr>
        <w:t xml:space="preserve"> respondents is calculated as follows:</w:t>
      </w:r>
    </w:p>
    <w:p w:rsidR="0054202E" w:rsidP="0054202E" w14:paraId="16AA2376" w14:textId="77777777">
      <w:pPr>
        <w:pStyle w:val="ListParagraph"/>
        <w:ind w:left="1440"/>
        <w:rPr>
          <w:szCs w:val="22"/>
        </w:rPr>
      </w:pPr>
    </w:p>
    <w:tbl>
      <w:tblPr>
        <w:tblW w:w="7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60"/>
        <w:gridCol w:w="1350"/>
        <w:gridCol w:w="1530"/>
        <w:gridCol w:w="1530"/>
        <w:gridCol w:w="1350"/>
      </w:tblGrid>
      <w:tr w14:paraId="4D4582F5" w14:textId="77777777" w:rsidTr="0054202E">
        <w:tblPrEx>
          <w:tblW w:w="7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780"/>
          <w:jc w:val="center"/>
        </w:trPr>
        <w:tc>
          <w:tcPr>
            <w:tcW w:w="1260" w:type="dxa"/>
            <w:vAlign w:val="center"/>
            <w:hideMark/>
          </w:tcPr>
          <w:p w:rsidR="0054202E" w:rsidRPr="00932422" w:rsidP="00282BBE" w14:paraId="5BDFCEC8" w14:textId="77777777">
            <w:pPr>
              <w:jc w:val="center"/>
              <w:rPr>
                <w:rFonts w:ascii="Arial Narrow" w:hAnsi="Arial Narrow" w:cs="Calibri"/>
                <w:sz w:val="20"/>
                <w:szCs w:val="20"/>
              </w:rPr>
            </w:pPr>
            <w:r w:rsidRPr="00932422">
              <w:rPr>
                <w:rFonts w:ascii="Arial Narrow" w:hAnsi="Arial Narrow" w:cs="Calibri"/>
                <w:sz w:val="20"/>
                <w:szCs w:val="20"/>
              </w:rPr>
              <w:t># Respondents</w:t>
            </w:r>
          </w:p>
        </w:tc>
        <w:tc>
          <w:tcPr>
            <w:tcW w:w="1350" w:type="dxa"/>
            <w:vAlign w:val="center"/>
            <w:hideMark/>
          </w:tcPr>
          <w:p w:rsidR="0054202E" w:rsidRPr="00932422" w:rsidP="00282BBE" w14:paraId="340CC39F" w14:textId="77777777">
            <w:pPr>
              <w:jc w:val="center"/>
              <w:rPr>
                <w:rFonts w:ascii="Arial Narrow" w:hAnsi="Arial Narrow" w:cs="Calibri"/>
                <w:sz w:val="20"/>
                <w:szCs w:val="20"/>
              </w:rPr>
            </w:pPr>
            <w:r w:rsidRPr="00932422">
              <w:rPr>
                <w:rFonts w:ascii="Arial Narrow" w:hAnsi="Arial Narrow" w:cs="Calibri"/>
                <w:sz w:val="20"/>
                <w:szCs w:val="20"/>
              </w:rPr>
              <w:t>Responses per Respondent</w:t>
            </w:r>
          </w:p>
        </w:tc>
        <w:tc>
          <w:tcPr>
            <w:tcW w:w="1530" w:type="dxa"/>
            <w:vAlign w:val="center"/>
            <w:hideMark/>
          </w:tcPr>
          <w:p w:rsidR="0054202E" w:rsidRPr="00932422" w:rsidP="00282BBE" w14:paraId="68B972FE" w14:textId="77777777">
            <w:pPr>
              <w:jc w:val="center"/>
              <w:rPr>
                <w:rFonts w:ascii="Arial Narrow" w:hAnsi="Arial Narrow" w:cs="Calibri"/>
                <w:sz w:val="20"/>
                <w:szCs w:val="20"/>
              </w:rPr>
            </w:pPr>
            <w:r w:rsidRPr="00932422">
              <w:rPr>
                <w:rFonts w:ascii="Arial Narrow" w:hAnsi="Arial Narrow" w:cs="Calibri"/>
                <w:sz w:val="20"/>
                <w:szCs w:val="20"/>
              </w:rPr>
              <w:t>Annual Responses</w:t>
            </w:r>
          </w:p>
        </w:tc>
        <w:tc>
          <w:tcPr>
            <w:tcW w:w="1530" w:type="dxa"/>
            <w:vAlign w:val="center"/>
            <w:hideMark/>
          </w:tcPr>
          <w:p w:rsidR="0054202E" w:rsidRPr="00932422" w:rsidP="00282BBE" w14:paraId="2D7D5803" w14:textId="77777777">
            <w:pPr>
              <w:jc w:val="center"/>
              <w:rPr>
                <w:rFonts w:ascii="Arial Narrow" w:hAnsi="Arial Narrow" w:cs="Calibri"/>
                <w:sz w:val="20"/>
                <w:szCs w:val="20"/>
              </w:rPr>
            </w:pPr>
            <w:r w:rsidRPr="00932422">
              <w:rPr>
                <w:rFonts w:ascii="Arial Narrow" w:hAnsi="Arial Narrow" w:cs="Calibri"/>
                <w:sz w:val="20"/>
                <w:szCs w:val="20"/>
              </w:rPr>
              <w:t>Time per Response</w:t>
            </w:r>
          </w:p>
        </w:tc>
        <w:tc>
          <w:tcPr>
            <w:tcW w:w="1350" w:type="dxa"/>
            <w:vAlign w:val="center"/>
            <w:hideMark/>
          </w:tcPr>
          <w:p w:rsidR="0054202E" w:rsidRPr="00932422" w:rsidP="00282BBE" w14:paraId="3CA6277C" w14:textId="77777777">
            <w:pPr>
              <w:jc w:val="center"/>
              <w:rPr>
                <w:rFonts w:ascii="Arial Narrow" w:hAnsi="Arial Narrow" w:cs="Calibri"/>
                <w:sz w:val="20"/>
                <w:szCs w:val="20"/>
              </w:rPr>
            </w:pPr>
            <w:r>
              <w:rPr>
                <w:rFonts w:ascii="Arial Narrow" w:hAnsi="Arial Narrow" w:cs="Calibri"/>
                <w:sz w:val="20"/>
                <w:szCs w:val="20"/>
              </w:rPr>
              <w:t xml:space="preserve">Total </w:t>
            </w:r>
            <w:r w:rsidRPr="00932422">
              <w:rPr>
                <w:rFonts w:ascii="Arial Narrow" w:hAnsi="Arial Narrow" w:cs="Calibri"/>
                <w:sz w:val="20"/>
                <w:szCs w:val="20"/>
              </w:rPr>
              <w:t>Burden</w:t>
            </w:r>
          </w:p>
        </w:tc>
      </w:tr>
      <w:tr w14:paraId="66EEA8F5" w14:textId="77777777" w:rsidTr="0054202E">
        <w:tblPrEx>
          <w:tblW w:w="7020" w:type="dxa"/>
          <w:jc w:val="center"/>
          <w:tblLook w:val="04A0"/>
        </w:tblPrEx>
        <w:trPr>
          <w:trHeight w:val="315"/>
          <w:jc w:val="center"/>
        </w:trPr>
        <w:tc>
          <w:tcPr>
            <w:tcW w:w="1260" w:type="dxa"/>
            <w:vAlign w:val="center"/>
            <w:hideMark/>
          </w:tcPr>
          <w:p w:rsidR="0054202E" w:rsidRPr="00932422" w:rsidP="0054202E" w14:paraId="5349648F" w14:textId="2EE233D1">
            <w:pPr>
              <w:jc w:val="center"/>
              <w:rPr>
                <w:rFonts w:ascii="Arial" w:hAnsi="Arial" w:cs="Arial"/>
                <w:sz w:val="20"/>
                <w:szCs w:val="20"/>
              </w:rPr>
            </w:pPr>
            <w:r>
              <w:rPr>
                <w:rFonts w:ascii="Arial" w:hAnsi="Arial" w:cs="Arial"/>
                <w:sz w:val="20"/>
                <w:szCs w:val="20"/>
              </w:rPr>
              <w:t>74</w:t>
            </w:r>
          </w:p>
        </w:tc>
        <w:tc>
          <w:tcPr>
            <w:tcW w:w="1350" w:type="dxa"/>
            <w:vAlign w:val="center"/>
            <w:hideMark/>
          </w:tcPr>
          <w:p w:rsidR="0054202E" w:rsidRPr="00932422" w:rsidP="0054202E" w14:paraId="41A3B710" w14:textId="77777777">
            <w:pPr>
              <w:jc w:val="center"/>
              <w:rPr>
                <w:rFonts w:ascii="Arial" w:hAnsi="Arial" w:cs="Arial"/>
                <w:sz w:val="20"/>
                <w:szCs w:val="20"/>
              </w:rPr>
            </w:pPr>
            <w:r w:rsidRPr="00932422">
              <w:rPr>
                <w:rFonts w:ascii="Arial" w:hAnsi="Arial" w:cs="Arial"/>
                <w:sz w:val="20"/>
                <w:szCs w:val="20"/>
              </w:rPr>
              <w:t>1</w:t>
            </w:r>
          </w:p>
        </w:tc>
        <w:tc>
          <w:tcPr>
            <w:tcW w:w="1530" w:type="dxa"/>
            <w:vAlign w:val="center"/>
            <w:hideMark/>
          </w:tcPr>
          <w:p w:rsidR="0054202E" w:rsidRPr="00932422" w:rsidP="0054202E" w14:paraId="40B2B6FB" w14:textId="6C89D5CE">
            <w:pPr>
              <w:jc w:val="center"/>
              <w:rPr>
                <w:rFonts w:ascii="Arial" w:hAnsi="Arial" w:cs="Arial"/>
                <w:sz w:val="20"/>
                <w:szCs w:val="20"/>
              </w:rPr>
            </w:pPr>
            <w:r>
              <w:rPr>
                <w:rFonts w:ascii="Arial" w:hAnsi="Arial" w:cs="Arial"/>
                <w:sz w:val="20"/>
                <w:szCs w:val="20"/>
              </w:rPr>
              <w:t>74</w:t>
            </w:r>
          </w:p>
        </w:tc>
        <w:tc>
          <w:tcPr>
            <w:tcW w:w="1530" w:type="dxa"/>
            <w:vAlign w:val="center"/>
            <w:hideMark/>
          </w:tcPr>
          <w:p w:rsidR="0054202E" w:rsidP="0054202E" w14:paraId="232290AE" w14:textId="1B5462B9">
            <w:pPr>
              <w:jc w:val="center"/>
              <w:rPr>
                <w:rFonts w:ascii="Arial" w:hAnsi="Arial" w:cs="Arial"/>
                <w:sz w:val="20"/>
                <w:szCs w:val="20"/>
              </w:rPr>
            </w:pPr>
            <w:r>
              <w:rPr>
                <w:rFonts w:ascii="Arial" w:hAnsi="Arial" w:cs="Arial"/>
                <w:sz w:val="20"/>
                <w:szCs w:val="20"/>
              </w:rPr>
              <w:t>15 minutes</w:t>
            </w:r>
          </w:p>
          <w:p w:rsidR="0054202E" w:rsidRPr="00932422" w:rsidP="0054202E" w14:paraId="0015205B" w14:textId="41BB6539">
            <w:pPr>
              <w:jc w:val="center"/>
              <w:rPr>
                <w:rFonts w:ascii="Arial" w:hAnsi="Arial" w:cs="Arial"/>
                <w:sz w:val="20"/>
                <w:szCs w:val="20"/>
              </w:rPr>
            </w:pPr>
            <w:r>
              <w:rPr>
                <w:rFonts w:ascii="Arial" w:hAnsi="Arial" w:cs="Arial"/>
                <w:sz w:val="20"/>
                <w:szCs w:val="20"/>
              </w:rPr>
              <w:t>(0.25 hours)</w:t>
            </w:r>
          </w:p>
        </w:tc>
        <w:tc>
          <w:tcPr>
            <w:tcW w:w="1350" w:type="dxa"/>
            <w:vAlign w:val="center"/>
            <w:hideMark/>
          </w:tcPr>
          <w:p w:rsidR="0054202E" w:rsidRPr="00932422" w:rsidP="0054202E" w14:paraId="4586FEED" w14:textId="60E82485">
            <w:pPr>
              <w:jc w:val="center"/>
              <w:rPr>
                <w:rFonts w:ascii="Arial" w:hAnsi="Arial" w:cs="Arial"/>
                <w:sz w:val="20"/>
                <w:szCs w:val="20"/>
              </w:rPr>
            </w:pPr>
            <w:r>
              <w:rPr>
                <w:rFonts w:ascii="Arial" w:hAnsi="Arial" w:cs="Arial"/>
                <w:sz w:val="20"/>
                <w:szCs w:val="20"/>
              </w:rPr>
              <w:t>1</w:t>
            </w:r>
            <w:r w:rsidR="00832807">
              <w:rPr>
                <w:rFonts w:ascii="Arial" w:hAnsi="Arial" w:cs="Arial"/>
                <w:sz w:val="20"/>
                <w:szCs w:val="20"/>
              </w:rPr>
              <w:t>8.5</w:t>
            </w:r>
            <w:r>
              <w:rPr>
                <w:rFonts w:ascii="Arial" w:hAnsi="Arial" w:cs="Arial"/>
                <w:sz w:val="20"/>
                <w:szCs w:val="20"/>
              </w:rPr>
              <w:t xml:space="preserve"> hours</w:t>
            </w:r>
          </w:p>
        </w:tc>
      </w:tr>
    </w:tbl>
    <w:p w:rsidR="0054202E" w:rsidP="0054202E" w14:paraId="27EEB733" w14:textId="6316FF84">
      <w:pPr>
        <w:pStyle w:val="ListParagraph"/>
        <w:numPr>
          <w:ilvl w:val="0"/>
          <w:numId w:val="8"/>
        </w:numPr>
        <w:rPr>
          <w:szCs w:val="22"/>
        </w:rPr>
      </w:pPr>
      <w:r>
        <w:rPr>
          <w:szCs w:val="22"/>
        </w:rPr>
        <w:t>Estimate of Annual Respondent Cost</w:t>
      </w:r>
    </w:p>
    <w:tbl>
      <w:tblPr>
        <w:tblW w:w="8314"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40"/>
        <w:gridCol w:w="1455"/>
        <w:gridCol w:w="1777"/>
        <w:gridCol w:w="1155"/>
        <w:gridCol w:w="1066"/>
        <w:gridCol w:w="1421"/>
      </w:tblGrid>
      <w:tr w14:paraId="7D884304" w14:textId="77777777" w:rsidTr="0054202E">
        <w:tblPrEx>
          <w:tblW w:w="8314"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Height w:val="723"/>
        </w:trPr>
        <w:tc>
          <w:tcPr>
            <w:tcW w:w="1440" w:type="dxa"/>
            <w:vAlign w:val="bottom"/>
          </w:tcPr>
          <w:p w:rsidR="0054202E" w:rsidRPr="00EC3644" w:rsidP="00282BBE" w14:paraId="6119F3E3"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No. of Respondents</w:t>
            </w:r>
          </w:p>
        </w:tc>
        <w:tc>
          <w:tcPr>
            <w:tcW w:w="1455" w:type="dxa"/>
            <w:vAlign w:val="bottom"/>
          </w:tcPr>
          <w:p w:rsidR="0054202E" w:rsidRPr="00EC3644" w:rsidP="00282BBE" w14:paraId="3BAE2D79"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Number of Responses per Respondent</w:t>
            </w:r>
          </w:p>
        </w:tc>
        <w:tc>
          <w:tcPr>
            <w:tcW w:w="1777" w:type="dxa"/>
            <w:vAlign w:val="bottom"/>
          </w:tcPr>
          <w:p w:rsidR="0054202E" w:rsidRPr="00EC3644" w:rsidP="00282BBE" w14:paraId="241344EA"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Average Burden per Response (in hours)</w:t>
            </w:r>
          </w:p>
        </w:tc>
        <w:tc>
          <w:tcPr>
            <w:tcW w:w="1155" w:type="dxa"/>
            <w:vAlign w:val="bottom"/>
          </w:tcPr>
          <w:p w:rsidR="0054202E" w:rsidRPr="00EC3644" w:rsidP="00282BBE" w14:paraId="12478334"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Total Annual Burden (in hours)</w:t>
            </w:r>
          </w:p>
        </w:tc>
        <w:tc>
          <w:tcPr>
            <w:tcW w:w="1066" w:type="dxa"/>
            <w:vAlign w:val="bottom"/>
          </w:tcPr>
          <w:p w:rsidR="0054202E" w:rsidRPr="00EC3644" w:rsidP="00282BBE" w14:paraId="5C810C39"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Average Hourly Wage Rate</w:t>
            </w:r>
            <w:r>
              <w:rPr>
                <w:rStyle w:val="FootnoteReference"/>
                <w:rFonts w:ascii="Arial" w:hAnsi="Arial" w:cs="Arial"/>
                <w:bCs/>
                <w:sz w:val="20"/>
                <w:szCs w:val="20"/>
              </w:rPr>
              <w:footnoteReference w:id="2"/>
            </w:r>
          </w:p>
        </w:tc>
        <w:tc>
          <w:tcPr>
            <w:tcW w:w="1421" w:type="dxa"/>
            <w:vAlign w:val="bottom"/>
          </w:tcPr>
          <w:p w:rsidR="0054202E" w:rsidRPr="00EC3644" w:rsidP="00282BBE" w14:paraId="5DBED899"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Total Annual Respondent Cost</w:t>
            </w:r>
          </w:p>
        </w:tc>
      </w:tr>
      <w:tr w14:paraId="005BDD3C" w14:textId="77777777" w:rsidTr="0054202E">
        <w:tblPrEx>
          <w:tblW w:w="8314" w:type="dxa"/>
          <w:tblInd w:w="625" w:type="dxa"/>
          <w:tblLayout w:type="fixed"/>
          <w:tblLook w:val="01E0"/>
        </w:tblPrEx>
        <w:trPr>
          <w:cantSplit/>
          <w:trHeight w:val="723"/>
        </w:trPr>
        <w:tc>
          <w:tcPr>
            <w:tcW w:w="1440" w:type="dxa"/>
            <w:vAlign w:val="center"/>
          </w:tcPr>
          <w:p w:rsidR="0054202E" w:rsidRPr="00EC3644" w:rsidP="00282BBE" w14:paraId="1768EF93" w14:textId="62BED45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Pr>
                <w:rFonts w:ascii="Arial" w:hAnsi="Arial" w:cs="Arial"/>
                <w:sz w:val="20"/>
                <w:szCs w:val="20"/>
              </w:rPr>
              <w:t>74</w:t>
            </w:r>
          </w:p>
        </w:tc>
        <w:tc>
          <w:tcPr>
            <w:tcW w:w="1455" w:type="dxa"/>
            <w:vAlign w:val="center"/>
          </w:tcPr>
          <w:p w:rsidR="0054202E" w:rsidRPr="00EC3644" w:rsidP="00282BBE" w14:paraId="2FBBA243"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1</w:t>
            </w:r>
          </w:p>
        </w:tc>
        <w:tc>
          <w:tcPr>
            <w:tcW w:w="1777" w:type="dxa"/>
            <w:vAlign w:val="center"/>
          </w:tcPr>
          <w:p w:rsidR="0054202E" w:rsidP="00282BBE" w14:paraId="4C4C9F3C" w14:textId="0D3C0FCC">
            <w:pPr>
              <w:jc w:val="center"/>
              <w:rPr>
                <w:rFonts w:ascii="Arial" w:hAnsi="Arial" w:cs="Arial"/>
                <w:sz w:val="20"/>
                <w:szCs w:val="20"/>
              </w:rPr>
            </w:pPr>
            <w:r>
              <w:rPr>
                <w:rFonts w:ascii="Arial" w:hAnsi="Arial" w:cs="Arial"/>
                <w:sz w:val="20"/>
                <w:szCs w:val="20"/>
              </w:rPr>
              <w:t>15</w:t>
            </w:r>
            <w:r>
              <w:rPr>
                <w:rFonts w:ascii="Arial" w:hAnsi="Arial" w:cs="Arial"/>
                <w:sz w:val="20"/>
                <w:szCs w:val="20"/>
              </w:rPr>
              <w:t xml:space="preserve"> minutes</w:t>
            </w:r>
          </w:p>
          <w:p w:rsidR="0054202E" w:rsidRPr="00EC3644" w:rsidP="00282BBE" w14:paraId="328591CC" w14:textId="1AC02F09">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Pr>
                <w:rFonts w:ascii="Arial" w:hAnsi="Arial" w:cs="Arial"/>
                <w:sz w:val="20"/>
                <w:szCs w:val="20"/>
              </w:rPr>
              <w:t>(0.</w:t>
            </w:r>
            <w:r w:rsidR="00C835E3">
              <w:rPr>
                <w:rFonts w:ascii="Arial" w:hAnsi="Arial" w:cs="Arial"/>
                <w:sz w:val="20"/>
                <w:szCs w:val="20"/>
              </w:rPr>
              <w:t>25</w:t>
            </w:r>
            <w:r>
              <w:rPr>
                <w:rFonts w:ascii="Arial" w:hAnsi="Arial" w:cs="Arial"/>
                <w:sz w:val="20"/>
                <w:szCs w:val="20"/>
              </w:rPr>
              <w:t xml:space="preserve"> hours)</w:t>
            </w:r>
          </w:p>
        </w:tc>
        <w:tc>
          <w:tcPr>
            <w:tcW w:w="1155" w:type="dxa"/>
            <w:vAlign w:val="center"/>
          </w:tcPr>
          <w:p w:rsidR="0054202E" w:rsidRPr="00EC3644" w:rsidP="00282BBE" w14:paraId="49370026" w14:textId="67976CA3">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Pr>
                <w:rFonts w:ascii="Arial" w:hAnsi="Arial" w:cs="Arial"/>
                <w:bCs/>
                <w:sz w:val="20"/>
                <w:szCs w:val="20"/>
              </w:rPr>
              <w:t>1</w:t>
            </w:r>
            <w:r w:rsidR="00832807">
              <w:rPr>
                <w:rFonts w:ascii="Arial" w:hAnsi="Arial" w:cs="Arial"/>
                <w:bCs/>
                <w:sz w:val="20"/>
                <w:szCs w:val="20"/>
              </w:rPr>
              <w:t>8.5</w:t>
            </w:r>
          </w:p>
        </w:tc>
        <w:tc>
          <w:tcPr>
            <w:tcW w:w="1066" w:type="dxa"/>
            <w:vAlign w:val="center"/>
          </w:tcPr>
          <w:p w:rsidR="0054202E" w:rsidRPr="00EC3644" w:rsidP="00282BBE" w14:paraId="5E0D7EC1" w14:textId="40D6CC6B">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w:t>
            </w:r>
            <w:r w:rsidR="00311732">
              <w:rPr>
                <w:rFonts w:ascii="Arial" w:hAnsi="Arial" w:cs="Arial"/>
                <w:sz w:val="20"/>
                <w:szCs w:val="20"/>
              </w:rPr>
              <w:t>96.03</w:t>
            </w:r>
          </w:p>
        </w:tc>
        <w:tc>
          <w:tcPr>
            <w:tcW w:w="1421" w:type="dxa"/>
            <w:vAlign w:val="center"/>
          </w:tcPr>
          <w:p w:rsidR="0054202E" w:rsidRPr="00EC3644" w:rsidP="00282BBE" w14:paraId="46C4A0DB" w14:textId="16535013">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w:t>
            </w:r>
            <w:r w:rsidRPr="000355DA" w:rsidR="000355DA">
              <w:rPr>
                <w:rFonts w:ascii="Arial" w:hAnsi="Arial" w:cs="Arial"/>
                <w:bCs/>
                <w:sz w:val="20"/>
                <w:szCs w:val="20"/>
              </w:rPr>
              <w:t>1,776.5</w:t>
            </w:r>
            <w:r w:rsidR="000355DA">
              <w:rPr>
                <w:rFonts w:ascii="Arial" w:hAnsi="Arial" w:cs="Arial"/>
                <w:bCs/>
                <w:sz w:val="20"/>
                <w:szCs w:val="20"/>
              </w:rPr>
              <w:t>6</w:t>
            </w:r>
          </w:p>
        </w:tc>
      </w:tr>
    </w:tbl>
    <w:p w:rsidR="0054202E" w:rsidRPr="0054202E" w:rsidP="0054202E" w14:paraId="496644DD" w14:textId="77777777">
      <w:pPr>
        <w:widowControl w:val="0"/>
        <w:suppressAutoHyphens/>
        <w:autoSpaceDE w:val="0"/>
        <w:autoSpaceDN w:val="0"/>
        <w:adjustRightInd w:val="0"/>
        <w:spacing w:line="240" w:lineRule="atLeast"/>
        <w:rPr>
          <w:sz w:val="28"/>
        </w:rPr>
      </w:pPr>
    </w:p>
    <w:p w:rsidR="00D84F16" w:rsidRPr="00D84F16" w:rsidP="00D84F16" w14:paraId="32A63137" w14:textId="77777777">
      <w:pPr>
        <w:widowControl w:val="0"/>
        <w:suppressAutoHyphens/>
        <w:autoSpaceDE w:val="0"/>
        <w:autoSpaceDN w:val="0"/>
        <w:adjustRightInd w:val="0"/>
        <w:spacing w:line="240" w:lineRule="atLeast"/>
        <w:ind w:left="720"/>
        <w:rPr>
          <w:sz w:val="28"/>
        </w:rPr>
      </w:pPr>
    </w:p>
    <w:p w:rsidR="000D5A24" w:rsidRPr="000D5A24" w:rsidP="000D5A24" w14:paraId="2CBADC6E" w14:textId="77777777">
      <w:pPr>
        <w:numPr>
          <w:ilvl w:val="0"/>
          <w:numId w:val="6"/>
        </w:numPr>
        <w:rPr>
          <w:color w:val="000000"/>
        </w:rPr>
      </w:pPr>
      <w:r w:rsidRPr="00D035D2">
        <w:rPr>
          <w:b/>
          <w:bCs/>
        </w:rPr>
        <w:t>What is the estimated total annual cost burden to respondents or recordkeepers resulting from this collection of information?</w:t>
      </w:r>
      <w:r w:rsidRPr="00D035D2">
        <w:t xml:space="preserve">  </w:t>
      </w:r>
    </w:p>
    <w:p w:rsidR="009D6BB9" w:rsidRPr="00D035D2" w:rsidP="000D5A24" w14:paraId="17A72C73" w14:textId="7CA28677">
      <w:pPr>
        <w:spacing w:after="120"/>
        <w:ind w:left="720"/>
        <w:rPr>
          <w:color w:val="000000"/>
        </w:rPr>
      </w:pPr>
      <w:r w:rsidRPr="008574ED">
        <w:t>There are no capital/start-up or ongoing operation/maintenance costs associated with this information collection</w:t>
      </w:r>
      <w:r>
        <w:t>.</w:t>
      </w:r>
    </w:p>
    <w:p w:rsidR="00AA5F8E" w:rsidRPr="00146BAF" w:rsidP="00AA5F8E" w14:paraId="0360EC02" w14:textId="77777777">
      <w:pPr>
        <w:numPr>
          <w:ilvl w:val="0"/>
          <w:numId w:val="6"/>
        </w:numPr>
        <w:rPr>
          <w:color w:val="000000"/>
        </w:rPr>
      </w:pPr>
      <w:r w:rsidRPr="00146BAF">
        <w:rPr>
          <w:b/>
          <w:bCs/>
        </w:rPr>
        <w:t>What is the annualized cost to the Federal</w:t>
      </w:r>
      <w:r w:rsidRPr="00146BAF">
        <w:t xml:space="preserve"> </w:t>
      </w:r>
      <w:r w:rsidRPr="00146BAF">
        <w:rPr>
          <w:b/>
          <w:bCs/>
        </w:rPr>
        <w:t>Government?</w:t>
      </w:r>
      <w:r w:rsidRPr="00146BAF">
        <w:t xml:space="preserve"> </w:t>
      </w:r>
    </w:p>
    <w:p w:rsidR="001174EE" w:rsidP="001174EE" w14:paraId="106392FC" w14:textId="563951E2">
      <w:pPr>
        <w:spacing w:after="120"/>
        <w:ind w:left="720"/>
      </w:pPr>
      <w:r>
        <w:t xml:space="preserve">In general, Fiscal Service has determined that there are no annualized non-labor, printing, or distribution costs to the Government associated with this information collection.  Fiscal Service processes this collection to </w:t>
      </w:r>
      <w:r w:rsidRPr="002557CC">
        <w:t>issue a Statement of Account to the entity, establish issue and maturity dates for the bonds, and provide electronic payment routing instructions for the proceeds</w:t>
      </w:r>
      <w:r>
        <w:t>. In addition, there are no printing and distribution costs associated with this collection.</w:t>
      </w:r>
    </w:p>
    <w:p w:rsidR="009D6BB9" w:rsidP="001174EE" w14:paraId="384AACFE" w14:textId="79113AC0">
      <w:pPr>
        <w:spacing w:after="120"/>
        <w:ind w:left="720"/>
      </w:pPr>
      <w:r>
        <w:t xml:space="preserve">As for Federal Government labor costs, Fiscal Service has determined that its labor costs for this information collection are limited to analyzing incoming correspondence concerning </w:t>
      </w:r>
      <w:r w:rsidRPr="002557CC" w:rsidR="00B158EE">
        <w:t>issues and redemptions of Tax and Loss bonds</w:t>
      </w:r>
      <w:r w:rsidR="00B158EE">
        <w:t xml:space="preserve"> </w:t>
      </w:r>
      <w:r>
        <w:t>Therefore, Treasury estimates its labor costs for paper submissions of this collection as follows:</w:t>
      </w:r>
    </w:p>
    <w:tbl>
      <w:tblPr>
        <w:tblStyle w:val="TableGrid1"/>
        <w:tblW w:w="8771" w:type="dxa"/>
        <w:jc w:val="center"/>
        <w:tblLayout w:type="fixed"/>
        <w:tblLook w:val="04A0"/>
      </w:tblPr>
      <w:tblGrid>
        <w:gridCol w:w="2484"/>
        <w:gridCol w:w="1350"/>
        <w:gridCol w:w="1530"/>
        <w:gridCol w:w="1080"/>
        <w:gridCol w:w="1191"/>
        <w:gridCol w:w="1136"/>
      </w:tblGrid>
      <w:tr w14:paraId="6AE75267" w14:textId="77777777" w:rsidTr="002E0751">
        <w:tblPrEx>
          <w:tblW w:w="8771" w:type="dxa"/>
          <w:jc w:val="center"/>
          <w:tblLayout w:type="fixed"/>
          <w:tblLook w:val="04A0"/>
        </w:tblPrEx>
        <w:trPr>
          <w:trHeight w:val="890"/>
          <w:jc w:val="center"/>
        </w:trPr>
        <w:tc>
          <w:tcPr>
            <w:tcW w:w="2484" w:type="dxa"/>
            <w:tcMar>
              <w:left w:w="29" w:type="dxa"/>
              <w:right w:w="29" w:type="dxa"/>
            </w:tcMar>
            <w:vAlign w:val="center"/>
          </w:tcPr>
          <w:p w:rsidR="005D4CD8" w:rsidRPr="00E942AE" w:rsidP="002E0751" w14:paraId="707354C9" w14:textId="77777777">
            <w:pPr>
              <w:keepNext/>
              <w:suppressAutoHyphens/>
              <w:jc w:val="center"/>
              <w:rPr>
                <w:rFonts w:ascii="Arial" w:hAnsi="Arial" w:cs="Arial"/>
                <w:sz w:val="20"/>
                <w:szCs w:val="20"/>
              </w:rPr>
            </w:pPr>
            <w:r>
              <w:rPr>
                <w:rFonts w:ascii="Arial" w:hAnsi="Arial" w:cs="Arial"/>
                <w:sz w:val="20"/>
                <w:szCs w:val="20"/>
              </w:rPr>
              <w:t>Labor Category</w:t>
            </w:r>
          </w:p>
        </w:tc>
        <w:tc>
          <w:tcPr>
            <w:tcW w:w="1350" w:type="dxa"/>
            <w:tcMar>
              <w:left w:w="29" w:type="dxa"/>
              <w:right w:w="29" w:type="dxa"/>
            </w:tcMar>
            <w:vAlign w:val="center"/>
          </w:tcPr>
          <w:p w:rsidR="005D4CD8" w:rsidRPr="00E942AE" w:rsidP="002E0751" w14:paraId="13889AD5" w14:textId="77777777">
            <w:pPr>
              <w:keepNext/>
              <w:suppressAutoHyphens/>
              <w:jc w:val="center"/>
              <w:rPr>
                <w:rFonts w:ascii="Arial" w:hAnsi="Arial" w:cs="Arial"/>
                <w:sz w:val="20"/>
                <w:szCs w:val="20"/>
              </w:rPr>
            </w:pPr>
            <w:r w:rsidRPr="00E942AE">
              <w:rPr>
                <w:rFonts w:ascii="Arial" w:hAnsi="Arial" w:cs="Arial"/>
                <w:sz w:val="20"/>
                <w:szCs w:val="20"/>
              </w:rPr>
              <w:t>F</w:t>
            </w:r>
            <w:r>
              <w:rPr>
                <w:rFonts w:ascii="Arial" w:hAnsi="Arial" w:cs="Arial"/>
                <w:sz w:val="20"/>
                <w:szCs w:val="20"/>
              </w:rPr>
              <w:t>ully-loaded Labor Rate/</w:t>
            </w:r>
            <w:r w:rsidRPr="00E942AE">
              <w:rPr>
                <w:rFonts w:ascii="Arial" w:hAnsi="Arial" w:cs="Arial"/>
                <w:sz w:val="20"/>
                <w:szCs w:val="20"/>
              </w:rPr>
              <w:t>Hour</w:t>
            </w:r>
            <w:r>
              <w:rPr>
                <w:rFonts w:ascii="Arial" w:hAnsi="Arial" w:cs="Arial"/>
                <w:sz w:val="20"/>
                <w:szCs w:val="20"/>
                <w:vertAlign w:val="superscript"/>
              </w:rPr>
              <w:footnoteReference w:id="3"/>
            </w:r>
          </w:p>
        </w:tc>
        <w:tc>
          <w:tcPr>
            <w:tcW w:w="1530" w:type="dxa"/>
            <w:tcMar>
              <w:left w:w="29" w:type="dxa"/>
              <w:right w:w="29" w:type="dxa"/>
            </w:tcMar>
            <w:vAlign w:val="center"/>
          </w:tcPr>
          <w:p w:rsidR="005D4CD8" w:rsidRPr="00E942AE" w:rsidP="002E0751" w14:paraId="7AA8A1EF" w14:textId="77777777">
            <w:pPr>
              <w:keepNext/>
              <w:suppressAutoHyphens/>
              <w:jc w:val="center"/>
              <w:rPr>
                <w:rFonts w:ascii="Arial" w:hAnsi="Arial" w:cs="Arial"/>
                <w:sz w:val="20"/>
                <w:szCs w:val="20"/>
              </w:rPr>
            </w:pPr>
            <w:r w:rsidRPr="00E942AE">
              <w:rPr>
                <w:rFonts w:ascii="Arial" w:hAnsi="Arial" w:cs="Arial"/>
                <w:sz w:val="20"/>
                <w:szCs w:val="20"/>
              </w:rPr>
              <w:t xml:space="preserve">Avg. </w:t>
            </w:r>
            <w:r>
              <w:rPr>
                <w:rFonts w:ascii="Arial" w:hAnsi="Arial" w:cs="Arial"/>
                <w:sz w:val="20"/>
                <w:szCs w:val="20"/>
              </w:rPr>
              <w:t>Processing Time per</w:t>
            </w:r>
            <w:r w:rsidRPr="00E942AE">
              <w:rPr>
                <w:rFonts w:ascii="Arial" w:hAnsi="Arial" w:cs="Arial"/>
                <w:sz w:val="20"/>
                <w:szCs w:val="20"/>
              </w:rPr>
              <w:t xml:space="preserve"> Response</w:t>
            </w:r>
          </w:p>
        </w:tc>
        <w:tc>
          <w:tcPr>
            <w:tcW w:w="1080" w:type="dxa"/>
            <w:tcMar>
              <w:left w:w="29" w:type="dxa"/>
              <w:right w:w="29" w:type="dxa"/>
            </w:tcMar>
            <w:vAlign w:val="center"/>
          </w:tcPr>
          <w:p w:rsidR="005D4CD8" w:rsidRPr="00E942AE" w:rsidP="002E0751" w14:paraId="325955BF" w14:textId="77777777">
            <w:pPr>
              <w:keepNext/>
              <w:suppressAutoHyphens/>
              <w:jc w:val="center"/>
              <w:rPr>
                <w:rFonts w:ascii="Arial" w:hAnsi="Arial" w:cs="Arial"/>
                <w:sz w:val="20"/>
                <w:szCs w:val="20"/>
              </w:rPr>
            </w:pPr>
            <w:r w:rsidRPr="00E942AE">
              <w:rPr>
                <w:rFonts w:ascii="Arial" w:hAnsi="Arial" w:cs="Arial"/>
                <w:sz w:val="20"/>
                <w:szCs w:val="20"/>
              </w:rPr>
              <w:t>Labor Cost</w:t>
            </w:r>
            <w:r>
              <w:rPr>
                <w:rFonts w:ascii="Arial" w:hAnsi="Arial" w:cs="Arial"/>
                <w:sz w:val="20"/>
                <w:szCs w:val="20"/>
              </w:rPr>
              <w:t>s per</w:t>
            </w:r>
            <w:r w:rsidRPr="00E942AE">
              <w:rPr>
                <w:rFonts w:ascii="Arial" w:hAnsi="Arial" w:cs="Arial"/>
                <w:sz w:val="20"/>
                <w:szCs w:val="20"/>
              </w:rPr>
              <w:t xml:space="preserve"> Response</w:t>
            </w:r>
          </w:p>
        </w:tc>
        <w:tc>
          <w:tcPr>
            <w:tcW w:w="1191" w:type="dxa"/>
            <w:tcMar>
              <w:left w:w="29" w:type="dxa"/>
              <w:right w:w="29" w:type="dxa"/>
            </w:tcMar>
            <w:vAlign w:val="center"/>
          </w:tcPr>
          <w:p w:rsidR="005D4CD8" w:rsidRPr="00E942AE" w:rsidP="002E0751" w14:paraId="283B470C" w14:textId="77777777">
            <w:pPr>
              <w:keepNext/>
              <w:suppressAutoHyphens/>
              <w:jc w:val="center"/>
              <w:rPr>
                <w:rFonts w:ascii="Arial" w:hAnsi="Arial" w:cs="Arial"/>
                <w:sz w:val="20"/>
                <w:szCs w:val="20"/>
              </w:rPr>
            </w:pPr>
            <w:r w:rsidRPr="00E942AE">
              <w:rPr>
                <w:rFonts w:ascii="Arial" w:hAnsi="Arial" w:cs="Arial"/>
                <w:sz w:val="20"/>
                <w:szCs w:val="20"/>
              </w:rPr>
              <w:t>Total Responses</w:t>
            </w:r>
          </w:p>
        </w:tc>
        <w:tc>
          <w:tcPr>
            <w:tcW w:w="1136" w:type="dxa"/>
            <w:tcMar>
              <w:left w:w="29" w:type="dxa"/>
              <w:right w:w="29" w:type="dxa"/>
            </w:tcMar>
            <w:vAlign w:val="center"/>
          </w:tcPr>
          <w:p w:rsidR="005D4CD8" w:rsidRPr="00E942AE" w:rsidP="002E0751" w14:paraId="052155DA" w14:textId="77777777">
            <w:pPr>
              <w:keepNext/>
              <w:suppressAutoHyphens/>
              <w:jc w:val="center"/>
              <w:rPr>
                <w:rFonts w:ascii="Arial" w:hAnsi="Arial" w:cs="Arial"/>
                <w:sz w:val="20"/>
                <w:szCs w:val="20"/>
              </w:rPr>
            </w:pPr>
            <w:r w:rsidRPr="00E942AE">
              <w:rPr>
                <w:rFonts w:ascii="Arial" w:hAnsi="Arial" w:cs="Arial"/>
                <w:sz w:val="20"/>
                <w:szCs w:val="20"/>
              </w:rPr>
              <w:t xml:space="preserve">Total </w:t>
            </w:r>
            <w:r>
              <w:rPr>
                <w:rFonts w:ascii="Arial" w:hAnsi="Arial" w:cs="Arial"/>
                <w:sz w:val="20"/>
                <w:szCs w:val="20"/>
              </w:rPr>
              <w:t xml:space="preserve">Govt. </w:t>
            </w:r>
            <w:r w:rsidRPr="00E942AE">
              <w:rPr>
                <w:rFonts w:ascii="Arial" w:hAnsi="Arial" w:cs="Arial"/>
                <w:sz w:val="20"/>
                <w:szCs w:val="20"/>
              </w:rPr>
              <w:t>Labor Costs</w:t>
            </w:r>
          </w:p>
        </w:tc>
      </w:tr>
      <w:tr w14:paraId="2ADD594B" w14:textId="77777777" w:rsidTr="002E0751">
        <w:tblPrEx>
          <w:tblW w:w="8771" w:type="dxa"/>
          <w:jc w:val="center"/>
          <w:tblLayout w:type="fixed"/>
          <w:tblLook w:val="04A0"/>
        </w:tblPrEx>
        <w:trPr>
          <w:trHeight w:val="683"/>
          <w:jc w:val="center"/>
        </w:trPr>
        <w:tc>
          <w:tcPr>
            <w:tcW w:w="2484" w:type="dxa"/>
            <w:tcMar>
              <w:left w:w="29" w:type="dxa"/>
              <w:right w:w="29" w:type="dxa"/>
            </w:tcMar>
            <w:vAlign w:val="center"/>
          </w:tcPr>
          <w:p w:rsidR="005D4CD8" w:rsidRPr="00E942AE" w:rsidP="002E0751" w14:paraId="47511AD3" w14:textId="59614E09">
            <w:pPr>
              <w:keepNext/>
              <w:suppressAutoHyphens/>
              <w:jc w:val="center"/>
              <w:rPr>
                <w:rFonts w:ascii="Arial" w:hAnsi="Arial" w:cs="Arial"/>
                <w:sz w:val="20"/>
                <w:szCs w:val="20"/>
              </w:rPr>
            </w:pPr>
            <w:r>
              <w:rPr>
                <w:rFonts w:ascii="Arial" w:hAnsi="Arial" w:cs="Arial"/>
                <w:sz w:val="20"/>
                <w:szCs w:val="20"/>
              </w:rPr>
              <w:t>Accountant</w:t>
            </w:r>
            <w:r>
              <w:rPr>
                <w:rFonts w:ascii="Arial" w:hAnsi="Arial" w:cs="Arial"/>
                <w:sz w:val="20"/>
                <w:szCs w:val="20"/>
              </w:rPr>
              <w:t xml:space="preserve"> (GS–</w:t>
            </w:r>
            <w:r w:rsidR="00C2782B">
              <w:rPr>
                <w:rFonts w:ascii="Arial" w:hAnsi="Arial" w:cs="Arial"/>
                <w:sz w:val="20"/>
                <w:szCs w:val="20"/>
              </w:rPr>
              <w:t>12</w:t>
            </w:r>
            <w:r>
              <w:rPr>
                <w:rFonts w:ascii="Arial" w:hAnsi="Arial" w:cs="Arial"/>
                <w:sz w:val="20"/>
                <w:szCs w:val="20"/>
              </w:rPr>
              <w:t xml:space="preserve"> Step 5 </w:t>
            </w:r>
            <w:r w:rsidR="001174EE">
              <w:rPr>
                <w:rFonts w:ascii="Arial" w:hAnsi="Arial" w:cs="Arial"/>
                <w:sz w:val="20"/>
                <w:szCs w:val="20"/>
              </w:rPr>
              <w:t>base rate</w:t>
            </w:r>
            <w:r>
              <w:rPr>
                <w:rFonts w:ascii="Arial" w:hAnsi="Arial" w:cs="Arial"/>
                <w:sz w:val="20"/>
                <w:szCs w:val="20"/>
              </w:rPr>
              <w:t>.)</w:t>
            </w:r>
          </w:p>
        </w:tc>
        <w:tc>
          <w:tcPr>
            <w:tcW w:w="1350" w:type="dxa"/>
            <w:tcMar>
              <w:left w:w="29" w:type="dxa"/>
              <w:right w:w="29" w:type="dxa"/>
            </w:tcMar>
            <w:vAlign w:val="center"/>
          </w:tcPr>
          <w:p w:rsidR="005D4CD8" w:rsidP="002E0751" w14:paraId="0D7EEF97" w14:textId="46EF717B">
            <w:pPr>
              <w:keepNext/>
              <w:suppressAutoHyphens/>
              <w:jc w:val="center"/>
              <w:rPr>
                <w:rFonts w:ascii="Arial" w:hAnsi="Arial" w:cs="Arial"/>
                <w:sz w:val="20"/>
                <w:szCs w:val="20"/>
              </w:rPr>
            </w:pPr>
            <w:r>
              <w:rPr>
                <w:rFonts w:ascii="Arial" w:hAnsi="Arial" w:cs="Arial"/>
                <w:sz w:val="20"/>
                <w:szCs w:val="20"/>
              </w:rPr>
              <w:t>$</w:t>
            </w:r>
            <w:r w:rsidR="00B642C3">
              <w:rPr>
                <w:rFonts w:ascii="Arial" w:hAnsi="Arial" w:cs="Arial"/>
                <w:sz w:val="20"/>
                <w:szCs w:val="20"/>
              </w:rPr>
              <w:t>79.23</w:t>
            </w:r>
          </w:p>
        </w:tc>
        <w:tc>
          <w:tcPr>
            <w:tcW w:w="1530" w:type="dxa"/>
            <w:tcMar>
              <w:left w:w="29" w:type="dxa"/>
              <w:right w:w="29" w:type="dxa"/>
            </w:tcMar>
            <w:vAlign w:val="center"/>
          </w:tcPr>
          <w:p w:rsidR="005D4CD8" w:rsidP="002E0751" w14:paraId="59BA2CA6" w14:textId="7A6E165C">
            <w:pPr>
              <w:keepNext/>
              <w:suppressAutoHyphens/>
              <w:jc w:val="center"/>
              <w:rPr>
                <w:rFonts w:ascii="Arial" w:hAnsi="Arial" w:cs="Arial"/>
                <w:sz w:val="20"/>
                <w:szCs w:val="20"/>
              </w:rPr>
            </w:pPr>
            <w:r>
              <w:rPr>
                <w:rFonts w:ascii="Arial" w:hAnsi="Arial" w:cs="Arial"/>
                <w:sz w:val="20"/>
                <w:szCs w:val="20"/>
              </w:rPr>
              <w:t>30</w:t>
            </w:r>
            <w:r>
              <w:rPr>
                <w:rFonts w:ascii="Arial" w:hAnsi="Arial" w:cs="Arial"/>
                <w:sz w:val="20"/>
                <w:szCs w:val="20"/>
              </w:rPr>
              <w:t xml:space="preserve"> minutes</w:t>
            </w:r>
          </w:p>
        </w:tc>
        <w:tc>
          <w:tcPr>
            <w:tcW w:w="1080" w:type="dxa"/>
            <w:tcMar>
              <w:left w:w="29" w:type="dxa"/>
              <w:right w:w="29" w:type="dxa"/>
            </w:tcMar>
            <w:vAlign w:val="center"/>
          </w:tcPr>
          <w:p w:rsidR="005D4CD8" w:rsidP="002E0751" w14:paraId="564FD05E" w14:textId="1754F954">
            <w:pPr>
              <w:keepNext/>
              <w:suppressAutoHyphens/>
              <w:jc w:val="center"/>
              <w:rPr>
                <w:rFonts w:ascii="Arial" w:hAnsi="Arial" w:cs="Arial"/>
                <w:sz w:val="20"/>
                <w:szCs w:val="20"/>
              </w:rPr>
            </w:pPr>
            <w:r>
              <w:rPr>
                <w:rFonts w:ascii="Arial" w:hAnsi="Arial" w:cs="Arial"/>
                <w:sz w:val="20"/>
                <w:szCs w:val="20"/>
              </w:rPr>
              <w:t>$</w:t>
            </w:r>
            <w:r w:rsidR="00A315BC">
              <w:rPr>
                <w:rFonts w:ascii="Arial" w:hAnsi="Arial" w:cs="Arial"/>
                <w:sz w:val="20"/>
                <w:szCs w:val="20"/>
              </w:rPr>
              <w:t>3</w:t>
            </w:r>
            <w:r w:rsidR="00B642C3">
              <w:rPr>
                <w:rFonts w:ascii="Arial" w:hAnsi="Arial" w:cs="Arial"/>
                <w:sz w:val="20"/>
                <w:szCs w:val="20"/>
              </w:rPr>
              <w:t>9.62</w:t>
            </w:r>
          </w:p>
        </w:tc>
        <w:tc>
          <w:tcPr>
            <w:tcW w:w="1191" w:type="dxa"/>
            <w:tcMar>
              <w:left w:w="29" w:type="dxa"/>
              <w:right w:w="29" w:type="dxa"/>
            </w:tcMar>
            <w:vAlign w:val="center"/>
          </w:tcPr>
          <w:p w:rsidR="005D4CD8" w:rsidP="002E0751" w14:paraId="4EF98DD9" w14:textId="7713F571">
            <w:pPr>
              <w:keepNext/>
              <w:suppressAutoHyphens/>
              <w:jc w:val="center"/>
              <w:rPr>
                <w:rFonts w:ascii="Arial" w:hAnsi="Arial" w:cs="Arial"/>
                <w:sz w:val="20"/>
                <w:szCs w:val="20"/>
              </w:rPr>
            </w:pPr>
            <w:r>
              <w:rPr>
                <w:rFonts w:ascii="Arial" w:hAnsi="Arial" w:cs="Arial"/>
                <w:sz w:val="20"/>
                <w:szCs w:val="20"/>
              </w:rPr>
              <w:t>74</w:t>
            </w:r>
          </w:p>
        </w:tc>
        <w:tc>
          <w:tcPr>
            <w:tcW w:w="1136" w:type="dxa"/>
            <w:tcMar>
              <w:left w:w="29" w:type="dxa"/>
              <w:right w:w="29" w:type="dxa"/>
            </w:tcMar>
            <w:vAlign w:val="center"/>
          </w:tcPr>
          <w:p w:rsidR="005D4CD8" w:rsidP="002E0751" w14:paraId="56C3A6A8" w14:textId="2F6F6E26">
            <w:pPr>
              <w:keepNext/>
              <w:suppressAutoHyphens/>
              <w:jc w:val="center"/>
              <w:rPr>
                <w:rFonts w:ascii="Arial" w:hAnsi="Arial" w:cs="Arial"/>
                <w:sz w:val="20"/>
                <w:szCs w:val="20"/>
              </w:rPr>
            </w:pPr>
            <w:r>
              <w:rPr>
                <w:rFonts w:ascii="Arial" w:hAnsi="Arial" w:cs="Arial"/>
                <w:sz w:val="20"/>
                <w:szCs w:val="20"/>
              </w:rPr>
              <w:t>$</w:t>
            </w:r>
            <w:r w:rsidRPr="000355DA" w:rsidR="000355DA">
              <w:rPr>
                <w:rFonts w:ascii="Arial" w:hAnsi="Arial" w:cs="Arial"/>
                <w:sz w:val="20"/>
                <w:szCs w:val="20"/>
              </w:rPr>
              <w:t>2,931.88</w:t>
            </w:r>
          </w:p>
        </w:tc>
      </w:tr>
    </w:tbl>
    <w:p w:rsidR="005D4CD8" w:rsidP="00D42F7A" w14:paraId="7F22ADD2" w14:textId="7FD013AB">
      <w:pPr>
        <w:spacing w:after="120"/>
      </w:pPr>
    </w:p>
    <w:p w:rsidR="005673DA" w:rsidRPr="00146BAF" w:rsidP="00D035D2" w14:paraId="23DB62D1" w14:textId="77777777">
      <w:pPr>
        <w:spacing w:after="120"/>
        <w:ind w:left="720"/>
        <w:rPr>
          <w:color w:val="000000"/>
        </w:rPr>
      </w:pPr>
    </w:p>
    <w:p w:rsidR="002A2C59" w:rsidRPr="00146BAF" w:rsidP="002A2C59" w14:paraId="326ABDE6" w14:textId="77777777">
      <w:pPr>
        <w:numPr>
          <w:ilvl w:val="0"/>
          <w:numId w:val="6"/>
        </w:numPr>
        <w:autoSpaceDE w:val="0"/>
        <w:autoSpaceDN w:val="0"/>
        <w:adjustRightInd w:val="0"/>
      </w:pPr>
      <w:r w:rsidRPr="00146BAF">
        <w:rPr>
          <w:b/>
          <w:bCs/>
        </w:rPr>
        <w:t>What is the reason for any program changes or adjustments reported in Items 13 or 14 of the OMB Form 83-I?</w:t>
      </w:r>
      <w:r w:rsidRPr="00146BAF">
        <w:t xml:space="preserve">  </w:t>
      </w:r>
    </w:p>
    <w:p w:rsidR="00110EB0" w:rsidP="004A3DC4" w14:paraId="77C9FF5E" w14:textId="3429480D">
      <w:pPr>
        <w:autoSpaceDE w:val="0"/>
        <w:autoSpaceDN w:val="0"/>
        <w:adjustRightInd w:val="0"/>
        <w:ind w:left="720"/>
        <w:rPr>
          <w:bCs/>
        </w:rPr>
      </w:pPr>
      <w:r>
        <w:rPr>
          <w:bCs/>
        </w:rPr>
        <w:t xml:space="preserve">The </w:t>
      </w:r>
      <w:r w:rsidR="00AC68FF">
        <w:rPr>
          <w:bCs/>
        </w:rPr>
        <w:t>in</w:t>
      </w:r>
      <w:r>
        <w:rPr>
          <w:bCs/>
        </w:rPr>
        <w:t xml:space="preserve">crease to the reported burden is due to an examination of the actual </w:t>
      </w:r>
      <w:r w:rsidRPr="00110EB0">
        <w:rPr>
          <w:bCs/>
        </w:rPr>
        <w:t>issuance and redemption transactions processed</w:t>
      </w:r>
      <w:r>
        <w:rPr>
          <w:bCs/>
        </w:rPr>
        <w:t xml:space="preserve"> </w:t>
      </w:r>
      <w:r w:rsidR="00AC68FF">
        <w:rPr>
          <w:bCs/>
        </w:rPr>
        <w:t>in fiscal year 2025.</w:t>
      </w:r>
      <w:r w:rsidRPr="00110EB0">
        <w:rPr>
          <w:bCs/>
        </w:rPr>
        <w:t xml:space="preserve"> </w:t>
      </w:r>
      <w:r>
        <w:t xml:space="preserve">The </w:t>
      </w:r>
      <w:r w:rsidR="00AC68FF">
        <w:t>in</w:t>
      </w:r>
      <w:r>
        <w:t xml:space="preserve">crease of </w:t>
      </w:r>
      <w:r w:rsidR="00AC68FF">
        <w:t>10</w:t>
      </w:r>
      <w:r>
        <w:t xml:space="preserve"> hours is an adjustment in agency estimate for a total of </w:t>
      </w:r>
      <w:r w:rsidR="00AC68FF">
        <w:t>1</w:t>
      </w:r>
      <w:r>
        <w:t>9 burden hours requested.</w:t>
      </w:r>
      <w:r w:rsidR="00AC68FF">
        <w:t xml:space="preserve"> The increase can be attributed to insurance companies investing in Treasury to offset tax obligations.</w:t>
      </w:r>
    </w:p>
    <w:p w:rsidR="00D50DBB" w:rsidRPr="00146BAF" w:rsidP="00110EB0" w14:paraId="6606193E" w14:textId="77777777">
      <w:pPr>
        <w:autoSpaceDE w:val="0"/>
        <w:autoSpaceDN w:val="0"/>
        <w:adjustRightInd w:val="0"/>
      </w:pPr>
    </w:p>
    <w:p w:rsidR="00AA5F8E" w:rsidRPr="00146BAF" w:rsidP="00AA5F8E" w14:paraId="13035324" w14:textId="77777777">
      <w:pPr>
        <w:numPr>
          <w:ilvl w:val="0"/>
          <w:numId w:val="6"/>
        </w:numPr>
        <w:autoSpaceDE w:val="0"/>
        <w:autoSpaceDN w:val="0"/>
        <w:adjustRightInd w:val="0"/>
      </w:pPr>
      <w:r w:rsidRPr="00146BAF">
        <w:rPr>
          <w:b/>
          <w:bCs/>
        </w:rPr>
        <w:t>For collections of information whose results will be published, outline plans for tabulation and publication.</w:t>
      </w:r>
      <w:r w:rsidRPr="00146BAF" w:rsidR="001110F7">
        <w:t xml:space="preserve">  </w:t>
      </w:r>
    </w:p>
    <w:p w:rsidR="009D6BB9" w:rsidRPr="00146BAF" w:rsidP="00441A48" w14:paraId="019949F9" w14:textId="77777777">
      <w:pPr>
        <w:autoSpaceDE w:val="0"/>
        <w:autoSpaceDN w:val="0"/>
        <w:adjustRightInd w:val="0"/>
        <w:spacing w:after="240"/>
        <w:ind w:left="720"/>
      </w:pPr>
      <w:r w:rsidRPr="00146BAF">
        <w:t xml:space="preserve">The results of the </w:t>
      </w:r>
      <w:r w:rsidRPr="00146BAF" w:rsidR="00B952CD">
        <w:t>collection of this information</w:t>
      </w:r>
      <w:r w:rsidR="00441A48">
        <w:t xml:space="preserve"> will not be published for </w:t>
      </w:r>
      <w:r w:rsidRPr="00146BAF" w:rsidR="00B952CD">
        <w:t>statistical use.</w:t>
      </w:r>
    </w:p>
    <w:p w:rsidR="0059434E" w:rsidRPr="00146BAF" w:rsidP="0059434E" w14:paraId="70B78A47" w14:textId="77777777">
      <w:pPr>
        <w:numPr>
          <w:ilvl w:val="0"/>
          <w:numId w:val="6"/>
        </w:numPr>
        <w:autoSpaceDE w:val="0"/>
        <w:autoSpaceDN w:val="0"/>
        <w:adjustRightInd w:val="0"/>
      </w:pPr>
      <w:r w:rsidRPr="00146BAF">
        <w:rPr>
          <w:b/>
          <w:bCs/>
        </w:rPr>
        <w:t xml:space="preserve">If seeking approval to not display the expiration date for OMB approval of this information collection, what are the reasons that the display would be inappropriate? </w:t>
      </w:r>
      <w:r w:rsidRPr="00146BAF">
        <w:t xml:space="preserve"> </w:t>
      </w:r>
    </w:p>
    <w:p w:rsidR="00146BAF" w:rsidRPr="00146BAF" w:rsidP="00146BAF" w14:paraId="4C40C82B" w14:textId="77777777">
      <w:pPr>
        <w:autoSpaceDE w:val="0"/>
        <w:autoSpaceDN w:val="0"/>
        <w:adjustRightInd w:val="0"/>
        <w:spacing w:after="240"/>
        <w:ind w:left="720"/>
      </w:pPr>
      <w:r>
        <w:t>The expiration number for the OMB will be displayed where appropriate.</w:t>
      </w:r>
      <w:r w:rsidRPr="00146BAF">
        <w:rPr>
          <w:b/>
          <w:bCs/>
        </w:rPr>
        <w:t xml:space="preserve"> </w:t>
      </w:r>
    </w:p>
    <w:p w:rsidR="000D5A24" w:rsidP="000D5A24" w14:paraId="6C4C0118" w14:textId="77777777">
      <w:pPr>
        <w:numPr>
          <w:ilvl w:val="0"/>
          <w:numId w:val="6"/>
        </w:numPr>
        <w:autoSpaceDE w:val="0"/>
        <w:autoSpaceDN w:val="0"/>
        <w:adjustRightInd w:val="0"/>
      </w:pPr>
      <w:r w:rsidRPr="00146BAF">
        <w:rPr>
          <w:b/>
          <w:bCs/>
        </w:rPr>
        <w:t>What are the exceptions to the certification</w:t>
      </w:r>
      <w:r w:rsidRPr="00146BAF">
        <w:t xml:space="preserve"> </w:t>
      </w:r>
      <w:r w:rsidRPr="00146BAF">
        <w:rPr>
          <w:b/>
          <w:bCs/>
        </w:rPr>
        <w:t xml:space="preserve">statement? </w:t>
      </w:r>
      <w:r w:rsidRPr="00146BAF">
        <w:t xml:space="preserve"> </w:t>
      </w:r>
    </w:p>
    <w:p w:rsidR="00B952CD" w:rsidRPr="00146BAF" w:rsidP="000D5A24" w14:paraId="3AD2F001" w14:textId="77777777">
      <w:pPr>
        <w:autoSpaceDE w:val="0"/>
        <w:autoSpaceDN w:val="0"/>
        <w:adjustRightInd w:val="0"/>
        <w:spacing w:after="240"/>
        <w:ind w:left="720"/>
      </w:pPr>
      <w:r>
        <w:t>There are no exceptions to the certification statement.</w:t>
      </w:r>
    </w:p>
    <w:p w:rsidR="00B952CD" w:rsidRPr="009D6BB9" w14:paraId="494E1A9F" w14:textId="77777777">
      <w:pPr>
        <w:autoSpaceDE w:val="0"/>
        <w:autoSpaceDN w:val="0"/>
        <w:adjustRightInd w:val="0"/>
        <w:ind w:left="360" w:firstLine="660"/>
        <w:rPr>
          <w:rFonts w:ascii="Arial" w:hAnsi="Arial" w:cs="Arial"/>
        </w:rPr>
      </w:pPr>
    </w:p>
    <w:sectPr>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37034" w:rsidP="0054202E" w14:paraId="4935EF14" w14:textId="77777777">
      <w:r>
        <w:separator/>
      </w:r>
    </w:p>
  </w:footnote>
  <w:footnote w:type="continuationSeparator" w:id="1">
    <w:p w:rsidR="00737034" w:rsidP="0054202E" w14:paraId="6783DD19" w14:textId="77777777">
      <w:r>
        <w:continuationSeparator/>
      </w:r>
    </w:p>
  </w:footnote>
  <w:footnote w:id="2">
    <w:p w:rsidR="0054202E" w:rsidRPr="00A05174" w:rsidP="0054202E" w14:paraId="358B87F6" w14:textId="60F90E22">
      <w:pPr>
        <w:pStyle w:val="FootnoteText"/>
        <w:rPr>
          <w:sz w:val="20"/>
          <w:szCs w:val="20"/>
        </w:rPr>
      </w:pPr>
      <w:r w:rsidRPr="00A05174">
        <w:rPr>
          <w:rStyle w:val="FootnoteReference"/>
          <w:sz w:val="20"/>
          <w:szCs w:val="20"/>
        </w:rPr>
        <w:footnoteRef/>
      </w:r>
      <w:r w:rsidRPr="00A05174">
        <w:rPr>
          <w:sz w:val="20"/>
          <w:szCs w:val="20"/>
        </w:rPr>
        <w:t xml:space="preserve"> It is expected that respondents to this collection could be from</w:t>
      </w:r>
      <w:r w:rsidR="00AD587C">
        <w:rPr>
          <w:sz w:val="20"/>
          <w:szCs w:val="20"/>
        </w:rPr>
        <w:t xml:space="preserve"> Financial Specialist</w:t>
      </w:r>
      <w:r w:rsidRPr="00A05174">
        <w:rPr>
          <w:sz w:val="20"/>
          <w:szCs w:val="20"/>
        </w:rPr>
        <w:t xml:space="preserve"> occupation</w:t>
      </w:r>
      <w:r w:rsidR="00AD587C">
        <w:rPr>
          <w:sz w:val="20"/>
          <w:szCs w:val="20"/>
        </w:rPr>
        <w:t xml:space="preserve"> with an a</w:t>
      </w:r>
      <w:r w:rsidRPr="00A05174">
        <w:rPr>
          <w:sz w:val="20"/>
          <w:szCs w:val="20"/>
        </w:rPr>
        <w:t xml:space="preserve">verage wage rate </w:t>
      </w:r>
      <w:r w:rsidR="00AD587C">
        <w:rPr>
          <w:sz w:val="20"/>
          <w:szCs w:val="20"/>
        </w:rPr>
        <w:t>of</w:t>
      </w:r>
      <w:r w:rsidRPr="00A05174">
        <w:rPr>
          <w:sz w:val="20"/>
          <w:szCs w:val="20"/>
        </w:rPr>
        <w:t xml:space="preserve"> $</w:t>
      </w:r>
      <w:r w:rsidR="00AD587C">
        <w:rPr>
          <w:sz w:val="20"/>
          <w:szCs w:val="20"/>
        </w:rPr>
        <w:t>4</w:t>
      </w:r>
      <w:r w:rsidR="00A03773">
        <w:rPr>
          <w:sz w:val="20"/>
          <w:szCs w:val="20"/>
        </w:rPr>
        <w:t>3.10</w:t>
      </w:r>
      <w:r w:rsidRPr="00A05174">
        <w:rPr>
          <w:sz w:val="20"/>
          <w:szCs w:val="20"/>
        </w:rPr>
        <w:t xml:space="preserve"> according to the May 202</w:t>
      </w:r>
      <w:r w:rsidR="00A03773">
        <w:rPr>
          <w:sz w:val="20"/>
          <w:szCs w:val="20"/>
        </w:rPr>
        <w:t>3</w:t>
      </w:r>
      <w:r w:rsidRPr="00A05174">
        <w:rPr>
          <w:sz w:val="20"/>
          <w:szCs w:val="20"/>
        </w:rPr>
        <w:t xml:space="preserve"> National Occupational Employment and Wage Estimates.  </w:t>
      </w:r>
      <w:hyperlink r:id="rId1" w:history="1">
        <w:r w:rsidRPr="00CE18C3">
          <w:rPr>
            <w:rStyle w:val="Hyperlink"/>
            <w:rFonts w:eastAsiaTheme="majorEastAsia"/>
            <w:sz w:val="20"/>
            <w:szCs w:val="20"/>
          </w:rPr>
          <w:t>https://www.bls.gov/oes/current/oes_nat.htm</w:t>
        </w:r>
      </w:hyperlink>
      <w:r w:rsidRPr="00A05174">
        <w:rPr>
          <w:sz w:val="20"/>
          <w:szCs w:val="20"/>
        </w:rPr>
        <w:t xml:space="preserve">   A benefit multiplier of 1.44 is used to calculate a fully-loaded wage rate of $</w:t>
      </w:r>
      <w:r w:rsidR="00311732">
        <w:rPr>
          <w:sz w:val="20"/>
          <w:szCs w:val="20"/>
        </w:rPr>
        <w:t>4</w:t>
      </w:r>
      <w:r w:rsidR="00A03773">
        <w:rPr>
          <w:sz w:val="20"/>
          <w:szCs w:val="20"/>
        </w:rPr>
        <w:t>3.10</w:t>
      </w:r>
      <w:r w:rsidRPr="00A05174">
        <w:rPr>
          <w:sz w:val="20"/>
          <w:szCs w:val="20"/>
        </w:rPr>
        <w:t>*</w:t>
      </w:r>
      <w:r w:rsidR="00A03773">
        <w:rPr>
          <w:sz w:val="20"/>
          <w:szCs w:val="20"/>
        </w:rPr>
        <w:t>1.44</w:t>
      </w:r>
      <w:r w:rsidRPr="00A05174">
        <w:rPr>
          <w:sz w:val="20"/>
          <w:szCs w:val="20"/>
        </w:rPr>
        <w:t>=$</w:t>
      </w:r>
      <w:r w:rsidR="00A03773">
        <w:rPr>
          <w:sz w:val="20"/>
          <w:szCs w:val="20"/>
        </w:rPr>
        <w:t>62.06</w:t>
      </w:r>
    </w:p>
    <w:p w:rsidR="0054202E" w:rsidRPr="00A05174" w:rsidP="0054202E" w14:paraId="44EBC92D" w14:textId="77777777">
      <w:pPr>
        <w:pStyle w:val="FootnoteText"/>
        <w:rPr>
          <w:sz w:val="20"/>
          <w:szCs w:val="20"/>
        </w:rPr>
      </w:pPr>
    </w:p>
    <w:p w:rsidR="0054202E" w:rsidRPr="00A05174" w:rsidP="0054202E" w14:paraId="249190E7" w14:textId="20FDD468">
      <w:pPr>
        <w:pStyle w:val="FootnoteText"/>
        <w:rPr>
          <w:sz w:val="20"/>
          <w:szCs w:val="20"/>
        </w:rPr>
      </w:pPr>
      <w:r w:rsidRPr="00A05174">
        <w:rPr>
          <w:sz w:val="20"/>
          <w:szCs w:val="20"/>
        </w:rPr>
        <w:t xml:space="preserve">Using the BLS Employer Costs for Employee Compensation – March 2020 report </w:t>
      </w:r>
      <w:hyperlink r:id="rId2" w:history="1">
        <w:r w:rsidRPr="00A05174">
          <w:rPr>
            <w:rStyle w:val="Hyperlink"/>
            <w:rFonts w:eastAsiaTheme="majorEastAsia"/>
            <w:sz w:val="20"/>
            <w:szCs w:val="20"/>
          </w:rPr>
          <w:t>https://www.bls.gov/news.release/pdf/ecec.pdf</w:t>
        </w:r>
      </w:hyperlink>
      <w:r w:rsidRPr="00A05174">
        <w:rPr>
          <w:sz w:val="20"/>
          <w:szCs w:val="20"/>
        </w:rPr>
        <w:t xml:space="preserve">, a benefit multiplier of </w:t>
      </w:r>
      <w:r w:rsidR="00A03773">
        <w:rPr>
          <w:sz w:val="20"/>
          <w:szCs w:val="20"/>
        </w:rPr>
        <w:t>1.44</w:t>
      </w:r>
      <w:r w:rsidRPr="00A05174">
        <w:rPr>
          <w:sz w:val="20"/>
          <w:szCs w:val="20"/>
        </w:rPr>
        <w:t xml:space="preserve"> was calculated by taking the private industry worker 50</w:t>
      </w:r>
      <w:r w:rsidRPr="00A05174">
        <w:rPr>
          <w:sz w:val="20"/>
          <w:szCs w:val="20"/>
          <w:vertAlign w:val="superscript"/>
        </w:rPr>
        <w:t>th</w:t>
      </w:r>
      <w:r w:rsidRPr="00A05174">
        <w:rPr>
          <w:sz w:val="20"/>
          <w:szCs w:val="20"/>
        </w:rPr>
        <w:t xml:space="preserve"> (median) wage percentile total compensation rate divided by the wages and salaries rate.  </w:t>
      </w:r>
      <w:r w:rsidRPr="00A05174" w:rsidR="00A03773">
        <w:rPr>
          <w:sz w:val="20"/>
          <w:szCs w:val="20"/>
        </w:rPr>
        <w:t xml:space="preserve">$26/$18.05=1.44  </w:t>
      </w:r>
    </w:p>
    <w:p w:rsidR="0054202E" w:rsidP="0054202E" w14:paraId="7F70A151" w14:textId="77777777">
      <w:pPr>
        <w:pStyle w:val="FootnoteText"/>
      </w:pPr>
    </w:p>
  </w:footnote>
  <w:footnote w:id="3">
    <w:p w:rsidR="005D4CD8" w:rsidRPr="0092745C" w:rsidP="0092745C" w14:paraId="08B7590F" w14:textId="66BBAF31">
      <w:pPr>
        <w:rPr>
          <w:sz w:val="20"/>
          <w:szCs w:val="20"/>
        </w:rPr>
      </w:pPr>
      <w:r w:rsidRPr="0092745C">
        <w:rPr>
          <w:sz w:val="20"/>
          <w:szCs w:val="20"/>
          <w:vertAlign w:val="superscript"/>
        </w:rPr>
        <w:t>2</w:t>
      </w:r>
      <w:r>
        <w:rPr>
          <w:sz w:val="20"/>
          <w:szCs w:val="20"/>
        </w:rPr>
        <w:t xml:space="preserve"> </w:t>
      </w:r>
      <w:r w:rsidRPr="0092745C">
        <w:rPr>
          <w:sz w:val="20"/>
          <w:szCs w:val="20"/>
        </w:rPr>
        <w:t>Federal Government Fully-loaded Labor Rate per Hour = Wage rate x a factor of 1.63 to account for benefit costs.  Per the Office of Personnel Management (OPM) wage data, the hourly fully-loaded labor rate for a GS–</w:t>
      </w:r>
      <w:r w:rsidRPr="0092745C" w:rsidR="00C2782B">
        <w:rPr>
          <w:sz w:val="20"/>
          <w:szCs w:val="20"/>
        </w:rPr>
        <w:t>12</w:t>
      </w:r>
      <w:r w:rsidRPr="0092745C">
        <w:rPr>
          <w:sz w:val="20"/>
          <w:szCs w:val="20"/>
        </w:rPr>
        <w:t xml:space="preserve">, step 5 Federal employee </w:t>
      </w:r>
      <w:r w:rsidRPr="0092745C" w:rsidR="00C2782B">
        <w:rPr>
          <w:sz w:val="20"/>
          <w:szCs w:val="20"/>
        </w:rPr>
        <w:t xml:space="preserve">base wage rate </w:t>
      </w:r>
      <w:r>
        <w:rPr>
          <w:sz w:val="20"/>
          <w:szCs w:val="20"/>
        </w:rPr>
        <w:t xml:space="preserve">is </w:t>
      </w:r>
      <w:r w:rsidRPr="0092745C">
        <w:rPr>
          <w:sz w:val="20"/>
          <w:szCs w:val="20"/>
        </w:rPr>
        <w:t>$</w:t>
      </w:r>
      <w:r w:rsidR="00B642C3">
        <w:rPr>
          <w:sz w:val="20"/>
          <w:szCs w:val="20"/>
        </w:rPr>
        <w:t>79.23</w:t>
      </w:r>
      <w:r w:rsidRPr="0092745C">
        <w:rPr>
          <w:sz w:val="20"/>
          <w:szCs w:val="20"/>
        </w:rPr>
        <w:t xml:space="preserve"> ($</w:t>
      </w:r>
      <w:r w:rsidR="00114320">
        <w:rPr>
          <w:sz w:val="20"/>
          <w:szCs w:val="20"/>
        </w:rPr>
        <w:t>4</w:t>
      </w:r>
      <w:r w:rsidRPr="0092745C" w:rsidR="00C2782B">
        <w:rPr>
          <w:sz w:val="20"/>
          <w:szCs w:val="20"/>
        </w:rPr>
        <w:t xml:space="preserve">8.61 </w:t>
      </w:r>
      <w:r w:rsidRPr="0092745C">
        <w:rPr>
          <w:sz w:val="20"/>
          <w:szCs w:val="20"/>
        </w:rPr>
        <w:t>wages plus $</w:t>
      </w:r>
      <w:r w:rsidR="00B642C3">
        <w:rPr>
          <w:sz w:val="20"/>
          <w:szCs w:val="20"/>
        </w:rPr>
        <w:t>30.62</w:t>
      </w:r>
      <w:r w:rsidRPr="0092745C">
        <w:rPr>
          <w:sz w:val="20"/>
          <w:szCs w:val="20"/>
        </w:rPr>
        <w:t xml:space="preserve"> in benefit costs). See the OPM website at </w:t>
      </w:r>
      <w:hyperlink w:history="1"/>
      <w:r w:rsidRPr="0092745C" w:rsidR="00C2782B">
        <w:rPr>
          <w:sz w:val="20"/>
          <w:szCs w:val="20"/>
        </w:rPr>
        <w:t>/https://www.</w:t>
      </w:r>
      <w:r w:rsidRPr="00B642C3" w:rsidR="00B642C3">
        <w:t xml:space="preserve"> </w:t>
      </w:r>
      <w:r w:rsidRPr="00B642C3" w:rsidR="00B642C3">
        <w:rPr>
          <w:sz w:val="20"/>
          <w:szCs w:val="20"/>
        </w:rPr>
        <w:t>opm.gov/policy-data-oversight/pay-leave/salaries-wages/salary-tables/pdf/2026/RUS_h.pdf</w:t>
      </w:r>
    </w:p>
    <w:p w:rsidR="005D4CD8" w:rsidRPr="00E942AE" w:rsidP="005D4CD8" w14:paraId="7CE03A82" w14:textId="77777777">
      <w:pPr>
        <w:suppressAutoHyphens/>
        <w:rPr>
          <w:rFonts w:ascii="Arial" w:hAnsi="Arial" w:cs="Arial"/>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D602D7"/>
    <w:multiLevelType w:val="hybridMultilevel"/>
    <w:tmpl w:val="491C0F2A"/>
    <w:lvl w:ilvl="0">
      <w:start w:val="13"/>
      <w:numFmt w:val="decimal"/>
      <w:lvlText w:val="%1."/>
      <w:lvlJc w:val="left"/>
      <w:pPr>
        <w:tabs>
          <w:tab w:val="num" w:pos="1155"/>
        </w:tabs>
        <w:ind w:left="1155" w:hanging="720"/>
      </w:pPr>
      <w:rPr>
        <w:rFonts w:hint="default"/>
      </w:rPr>
    </w:lvl>
    <w:lvl w:ilvl="1">
      <w:start w:val="1"/>
      <w:numFmt w:val="lowerLetter"/>
      <w:lvlText w:val="%2."/>
      <w:lvlJc w:val="left"/>
      <w:pPr>
        <w:tabs>
          <w:tab w:val="num" w:pos="1740"/>
        </w:tabs>
        <w:ind w:left="1740" w:hanging="585"/>
      </w:pPr>
      <w:rPr>
        <w:rFonts w:hint="default"/>
      </w:rPr>
    </w:lvl>
    <w:lvl w:ilvl="2" w:tentative="1">
      <w:start w:val="1"/>
      <w:numFmt w:val="lowerRoman"/>
      <w:lvlText w:val="%3."/>
      <w:lvlJc w:val="right"/>
      <w:pPr>
        <w:tabs>
          <w:tab w:val="num" w:pos="2235"/>
        </w:tabs>
        <w:ind w:left="2235" w:hanging="180"/>
      </w:pPr>
    </w:lvl>
    <w:lvl w:ilvl="3" w:tentative="1">
      <w:start w:val="1"/>
      <w:numFmt w:val="decimal"/>
      <w:lvlText w:val="%4."/>
      <w:lvlJc w:val="left"/>
      <w:pPr>
        <w:tabs>
          <w:tab w:val="num" w:pos="2955"/>
        </w:tabs>
        <w:ind w:left="2955" w:hanging="360"/>
      </w:pPr>
    </w:lvl>
    <w:lvl w:ilvl="4" w:tentative="1">
      <w:start w:val="1"/>
      <w:numFmt w:val="lowerLetter"/>
      <w:lvlText w:val="%5."/>
      <w:lvlJc w:val="left"/>
      <w:pPr>
        <w:tabs>
          <w:tab w:val="num" w:pos="3675"/>
        </w:tabs>
        <w:ind w:left="3675" w:hanging="360"/>
      </w:pPr>
    </w:lvl>
    <w:lvl w:ilvl="5" w:tentative="1">
      <w:start w:val="1"/>
      <w:numFmt w:val="lowerRoman"/>
      <w:lvlText w:val="%6."/>
      <w:lvlJc w:val="right"/>
      <w:pPr>
        <w:tabs>
          <w:tab w:val="num" w:pos="4395"/>
        </w:tabs>
        <w:ind w:left="4395" w:hanging="180"/>
      </w:pPr>
    </w:lvl>
    <w:lvl w:ilvl="6" w:tentative="1">
      <w:start w:val="1"/>
      <w:numFmt w:val="decimal"/>
      <w:lvlText w:val="%7."/>
      <w:lvlJc w:val="left"/>
      <w:pPr>
        <w:tabs>
          <w:tab w:val="num" w:pos="5115"/>
        </w:tabs>
        <w:ind w:left="5115" w:hanging="360"/>
      </w:pPr>
    </w:lvl>
    <w:lvl w:ilvl="7" w:tentative="1">
      <w:start w:val="1"/>
      <w:numFmt w:val="lowerLetter"/>
      <w:lvlText w:val="%8."/>
      <w:lvlJc w:val="left"/>
      <w:pPr>
        <w:tabs>
          <w:tab w:val="num" w:pos="5835"/>
        </w:tabs>
        <w:ind w:left="5835" w:hanging="360"/>
      </w:pPr>
    </w:lvl>
    <w:lvl w:ilvl="8" w:tentative="1">
      <w:start w:val="1"/>
      <w:numFmt w:val="lowerRoman"/>
      <w:lvlText w:val="%9."/>
      <w:lvlJc w:val="right"/>
      <w:pPr>
        <w:tabs>
          <w:tab w:val="num" w:pos="6555"/>
        </w:tabs>
        <w:ind w:left="6555" w:hanging="180"/>
      </w:pPr>
    </w:lvl>
  </w:abstractNum>
  <w:abstractNum w:abstractNumId="1">
    <w:nsid w:val="1AC7000C"/>
    <w:multiLevelType w:val="hybridMultilevel"/>
    <w:tmpl w:val="945E6B08"/>
    <w:lvl w:ilvl="0">
      <w:start w:val="1"/>
      <w:numFmt w:val="decimal"/>
      <w:lvlText w:val="%1."/>
      <w:lvlJc w:val="left"/>
      <w:pPr>
        <w:tabs>
          <w:tab w:val="num" w:pos="795"/>
        </w:tabs>
        <w:ind w:left="795" w:hanging="43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EA2760C"/>
    <w:multiLevelType w:val="hybridMultilevel"/>
    <w:tmpl w:val="8018769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2F7B45B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2FD36172"/>
    <w:multiLevelType w:val="hybridMultilevel"/>
    <w:tmpl w:val="A4200F6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DEF2DB5"/>
    <w:multiLevelType w:val="hybridMultilevel"/>
    <w:tmpl w:val="684E052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41755DDD"/>
    <w:multiLevelType w:val="hybridMultilevel"/>
    <w:tmpl w:val="5C86EFD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4C119E4"/>
    <w:multiLevelType w:val="multilevel"/>
    <w:tmpl w:val="D286E5F0"/>
    <w:lvl w:ilvl="0">
      <w:start w:val="2"/>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16cid:durableId="1044451635">
    <w:abstractNumId w:val="1"/>
  </w:num>
  <w:num w:numId="2" w16cid:durableId="1923828725">
    <w:abstractNumId w:val="2"/>
  </w:num>
  <w:num w:numId="3" w16cid:durableId="868759102">
    <w:abstractNumId w:val="0"/>
  </w:num>
  <w:num w:numId="4" w16cid:durableId="778909229">
    <w:abstractNumId w:val="7"/>
  </w:num>
  <w:num w:numId="5" w16cid:durableId="2047674149">
    <w:abstractNumId w:val="6"/>
  </w:num>
  <w:num w:numId="6" w16cid:durableId="1454329163">
    <w:abstractNumId w:val="4"/>
  </w:num>
  <w:num w:numId="7" w16cid:durableId="1778283814">
    <w:abstractNumId w:val="3"/>
  </w:num>
  <w:num w:numId="8" w16cid:durableId="21113942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2CD"/>
    <w:rsid w:val="000158A8"/>
    <w:rsid w:val="00024AA5"/>
    <w:rsid w:val="000348D1"/>
    <w:rsid w:val="000355DA"/>
    <w:rsid w:val="0009050A"/>
    <w:rsid w:val="000957A8"/>
    <w:rsid w:val="000D5A24"/>
    <w:rsid w:val="000E33C2"/>
    <w:rsid w:val="00102C27"/>
    <w:rsid w:val="00110EB0"/>
    <w:rsid w:val="001110F7"/>
    <w:rsid w:val="00114320"/>
    <w:rsid w:val="001148AE"/>
    <w:rsid w:val="001174EE"/>
    <w:rsid w:val="00146BAF"/>
    <w:rsid w:val="0017417D"/>
    <w:rsid w:val="001A5199"/>
    <w:rsid w:val="00216F97"/>
    <w:rsid w:val="002557CC"/>
    <w:rsid w:val="00282BBE"/>
    <w:rsid w:val="002922B9"/>
    <w:rsid w:val="002A2C59"/>
    <w:rsid w:val="002E0751"/>
    <w:rsid w:val="00311732"/>
    <w:rsid w:val="003678E4"/>
    <w:rsid w:val="00390FE0"/>
    <w:rsid w:val="00392C1A"/>
    <w:rsid w:val="00393AB9"/>
    <w:rsid w:val="003B0CE9"/>
    <w:rsid w:val="003C6595"/>
    <w:rsid w:val="0041719C"/>
    <w:rsid w:val="00422CD7"/>
    <w:rsid w:val="0044157D"/>
    <w:rsid w:val="00441A48"/>
    <w:rsid w:val="00451EC0"/>
    <w:rsid w:val="004563E1"/>
    <w:rsid w:val="00470698"/>
    <w:rsid w:val="004A3DC4"/>
    <w:rsid w:val="004A6478"/>
    <w:rsid w:val="004B720E"/>
    <w:rsid w:val="004F0A09"/>
    <w:rsid w:val="004F42AB"/>
    <w:rsid w:val="005405EA"/>
    <w:rsid w:val="00540806"/>
    <w:rsid w:val="0054202E"/>
    <w:rsid w:val="005642F4"/>
    <w:rsid w:val="005673DA"/>
    <w:rsid w:val="00574184"/>
    <w:rsid w:val="0059434E"/>
    <w:rsid w:val="005D4CD8"/>
    <w:rsid w:val="005F1416"/>
    <w:rsid w:val="005F4D17"/>
    <w:rsid w:val="005F6FE7"/>
    <w:rsid w:val="0060189D"/>
    <w:rsid w:val="006530BC"/>
    <w:rsid w:val="00667385"/>
    <w:rsid w:val="00696AE2"/>
    <w:rsid w:val="006B53D4"/>
    <w:rsid w:val="006C276D"/>
    <w:rsid w:val="00701E2E"/>
    <w:rsid w:val="00737034"/>
    <w:rsid w:val="00784EC2"/>
    <w:rsid w:val="00787446"/>
    <w:rsid w:val="008204EC"/>
    <w:rsid w:val="00832807"/>
    <w:rsid w:val="008468D3"/>
    <w:rsid w:val="008566B9"/>
    <w:rsid w:val="008574ED"/>
    <w:rsid w:val="00857BF9"/>
    <w:rsid w:val="008659DC"/>
    <w:rsid w:val="00875DFE"/>
    <w:rsid w:val="0090356F"/>
    <w:rsid w:val="009112C8"/>
    <w:rsid w:val="0092745C"/>
    <w:rsid w:val="00932422"/>
    <w:rsid w:val="009839CC"/>
    <w:rsid w:val="00993ED5"/>
    <w:rsid w:val="009D6BB9"/>
    <w:rsid w:val="00A03773"/>
    <w:rsid w:val="00A05174"/>
    <w:rsid w:val="00A315BC"/>
    <w:rsid w:val="00A41E97"/>
    <w:rsid w:val="00A42D3F"/>
    <w:rsid w:val="00A45FCD"/>
    <w:rsid w:val="00A65768"/>
    <w:rsid w:val="00A66328"/>
    <w:rsid w:val="00AA3BBF"/>
    <w:rsid w:val="00AA5F8E"/>
    <w:rsid w:val="00AC68FF"/>
    <w:rsid w:val="00AD587C"/>
    <w:rsid w:val="00B02988"/>
    <w:rsid w:val="00B065AE"/>
    <w:rsid w:val="00B158EE"/>
    <w:rsid w:val="00B16959"/>
    <w:rsid w:val="00B169A8"/>
    <w:rsid w:val="00B27C51"/>
    <w:rsid w:val="00B572A5"/>
    <w:rsid w:val="00B642C3"/>
    <w:rsid w:val="00B952CD"/>
    <w:rsid w:val="00BB4DF1"/>
    <w:rsid w:val="00BD156F"/>
    <w:rsid w:val="00BE3666"/>
    <w:rsid w:val="00C2782B"/>
    <w:rsid w:val="00C3378A"/>
    <w:rsid w:val="00C37BD8"/>
    <w:rsid w:val="00C835E3"/>
    <w:rsid w:val="00CB17B8"/>
    <w:rsid w:val="00CB2A24"/>
    <w:rsid w:val="00CD2B74"/>
    <w:rsid w:val="00CE18C3"/>
    <w:rsid w:val="00CE194F"/>
    <w:rsid w:val="00D035D2"/>
    <w:rsid w:val="00D42F7A"/>
    <w:rsid w:val="00D43AAE"/>
    <w:rsid w:val="00D50DBB"/>
    <w:rsid w:val="00D84F16"/>
    <w:rsid w:val="00D97CA4"/>
    <w:rsid w:val="00E07F59"/>
    <w:rsid w:val="00E450F2"/>
    <w:rsid w:val="00E942AE"/>
    <w:rsid w:val="00EC3644"/>
    <w:rsid w:val="00EF5428"/>
    <w:rsid w:val="00F72AAA"/>
    <w:rsid w:val="00FE091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963A932"/>
  <w15:chartTrackingRefBased/>
  <w15:docId w15:val="{71DF612F-FD88-45F7-993B-ADB2DD693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autoSpaceDE w:val="0"/>
      <w:autoSpaceDN w:val="0"/>
      <w:adjustRightInd w:val="0"/>
      <w:outlineLvl w:val="0"/>
    </w:pPr>
    <w:rPr>
      <w:rFonts w:ascii="Courier New" w:hAnsi="Courier New" w:cs="Courier New"/>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autoSpaceDE w:val="0"/>
      <w:autoSpaceDN w:val="0"/>
      <w:adjustRightInd w:val="0"/>
      <w:ind w:left="360"/>
    </w:pPr>
    <w:rPr>
      <w:rFonts w:ascii="Courier" w:hAnsi="Courier"/>
    </w:rPr>
  </w:style>
  <w:style w:type="paragraph" w:styleId="BodyTextIndent2">
    <w:name w:val="Body Text Indent 2"/>
    <w:basedOn w:val="Normal"/>
    <w:semiHidden/>
    <w:pPr>
      <w:ind w:left="720"/>
    </w:pPr>
    <w:rPr>
      <w:rFonts w:ascii="Courier New" w:hAnsi="Courier New" w:cs="Courier New"/>
    </w:rPr>
  </w:style>
  <w:style w:type="character" w:styleId="CommentReference">
    <w:name w:val="annotation reference"/>
    <w:uiPriority w:val="99"/>
    <w:semiHidden/>
    <w:unhideWhenUsed/>
    <w:rsid w:val="00CB17B8"/>
    <w:rPr>
      <w:sz w:val="16"/>
      <w:szCs w:val="16"/>
    </w:rPr>
  </w:style>
  <w:style w:type="paragraph" w:styleId="CommentText">
    <w:name w:val="annotation text"/>
    <w:basedOn w:val="Normal"/>
    <w:link w:val="CommentTextChar"/>
    <w:uiPriority w:val="99"/>
    <w:semiHidden/>
    <w:unhideWhenUsed/>
    <w:rsid w:val="00CB17B8"/>
    <w:rPr>
      <w:sz w:val="20"/>
      <w:szCs w:val="20"/>
    </w:rPr>
  </w:style>
  <w:style w:type="character" w:customStyle="1" w:styleId="CommentTextChar">
    <w:name w:val="Comment Text Char"/>
    <w:basedOn w:val="DefaultParagraphFont"/>
    <w:link w:val="CommentText"/>
    <w:uiPriority w:val="99"/>
    <w:semiHidden/>
    <w:rsid w:val="00CB17B8"/>
  </w:style>
  <w:style w:type="paragraph" w:styleId="CommentSubject">
    <w:name w:val="annotation subject"/>
    <w:basedOn w:val="CommentText"/>
    <w:next w:val="CommentText"/>
    <w:link w:val="CommentSubjectChar"/>
    <w:uiPriority w:val="99"/>
    <w:semiHidden/>
    <w:unhideWhenUsed/>
    <w:rsid w:val="00CB17B8"/>
    <w:rPr>
      <w:b/>
      <w:bCs/>
    </w:rPr>
  </w:style>
  <w:style w:type="character" w:customStyle="1" w:styleId="CommentSubjectChar">
    <w:name w:val="Comment Subject Char"/>
    <w:link w:val="CommentSubject"/>
    <w:uiPriority w:val="99"/>
    <w:semiHidden/>
    <w:rsid w:val="00CB17B8"/>
    <w:rPr>
      <w:b/>
      <w:bCs/>
    </w:rPr>
  </w:style>
  <w:style w:type="paragraph" w:styleId="BalloonText">
    <w:name w:val="Balloon Text"/>
    <w:basedOn w:val="Normal"/>
    <w:link w:val="BalloonTextChar"/>
    <w:uiPriority w:val="99"/>
    <w:semiHidden/>
    <w:unhideWhenUsed/>
    <w:rsid w:val="00CB17B8"/>
    <w:rPr>
      <w:rFonts w:ascii="Tahoma" w:hAnsi="Tahoma" w:cs="Tahoma"/>
      <w:sz w:val="16"/>
      <w:szCs w:val="16"/>
    </w:rPr>
  </w:style>
  <w:style w:type="character" w:customStyle="1" w:styleId="BalloonTextChar">
    <w:name w:val="Balloon Text Char"/>
    <w:link w:val="BalloonText"/>
    <w:uiPriority w:val="99"/>
    <w:semiHidden/>
    <w:rsid w:val="00CB17B8"/>
    <w:rPr>
      <w:rFonts w:ascii="Tahoma" w:hAnsi="Tahoma" w:cs="Tahoma"/>
      <w:sz w:val="16"/>
      <w:szCs w:val="16"/>
    </w:rPr>
  </w:style>
  <w:style w:type="table" w:styleId="TableGrid">
    <w:name w:val="Table Grid"/>
    <w:basedOn w:val="TableNormal"/>
    <w:uiPriority w:val="59"/>
    <w:rsid w:val="00BB4DF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itle">
    <w:name w:val="Subtitle"/>
    <w:basedOn w:val="Normal"/>
    <w:next w:val="Normal"/>
    <w:link w:val="SubtitleChar"/>
    <w:uiPriority w:val="11"/>
    <w:qFormat/>
    <w:rsid w:val="004F0A09"/>
    <w:pPr>
      <w:spacing w:after="60"/>
      <w:jc w:val="center"/>
      <w:outlineLvl w:val="1"/>
    </w:pPr>
    <w:rPr>
      <w:rFonts w:ascii="Cambria" w:hAnsi="Cambria"/>
    </w:rPr>
  </w:style>
  <w:style w:type="character" w:customStyle="1" w:styleId="SubtitleChar">
    <w:name w:val="Subtitle Char"/>
    <w:link w:val="Subtitle"/>
    <w:uiPriority w:val="11"/>
    <w:rsid w:val="004F0A09"/>
    <w:rPr>
      <w:rFonts w:ascii="Cambria" w:eastAsia="Times New Roman" w:hAnsi="Cambria" w:cs="Times New Roman"/>
      <w:sz w:val="24"/>
      <w:szCs w:val="24"/>
    </w:rPr>
  </w:style>
  <w:style w:type="paragraph" w:styleId="ListParagraph">
    <w:name w:val="List Paragraph"/>
    <w:basedOn w:val="Normal"/>
    <w:uiPriority w:val="34"/>
    <w:qFormat/>
    <w:rsid w:val="008574ED"/>
    <w:pPr>
      <w:ind w:left="720"/>
      <w:contextualSpacing/>
    </w:pPr>
  </w:style>
  <w:style w:type="character" w:styleId="Hyperlink">
    <w:name w:val="Hyperlink"/>
    <w:basedOn w:val="DefaultParagraphFont"/>
    <w:uiPriority w:val="99"/>
    <w:unhideWhenUsed/>
    <w:rsid w:val="0054202E"/>
    <w:rPr>
      <w:color w:val="0000FF"/>
      <w:u w:val="single"/>
    </w:rPr>
  </w:style>
  <w:style w:type="paragraph" w:styleId="FootnoteText">
    <w:name w:val="footnote text"/>
    <w:basedOn w:val="Normal"/>
    <w:link w:val="FootnoteTextChar"/>
    <w:rsid w:val="0054202E"/>
    <w:pPr>
      <w:widowControl w:val="0"/>
      <w:autoSpaceDE w:val="0"/>
      <w:autoSpaceDN w:val="0"/>
      <w:adjustRightInd w:val="0"/>
    </w:pPr>
  </w:style>
  <w:style w:type="character" w:customStyle="1" w:styleId="FootnoteTextChar">
    <w:name w:val="Footnote Text Char"/>
    <w:basedOn w:val="DefaultParagraphFont"/>
    <w:link w:val="FootnoteText"/>
    <w:rsid w:val="0054202E"/>
    <w:rPr>
      <w:sz w:val="24"/>
      <w:szCs w:val="24"/>
    </w:rPr>
  </w:style>
  <w:style w:type="character" w:styleId="FootnoteReference">
    <w:name w:val="footnote reference"/>
    <w:rsid w:val="0054202E"/>
    <w:rPr>
      <w:vertAlign w:val="superscript"/>
    </w:rPr>
  </w:style>
  <w:style w:type="character" w:styleId="FollowedHyperlink">
    <w:name w:val="FollowedHyperlink"/>
    <w:basedOn w:val="DefaultParagraphFont"/>
    <w:uiPriority w:val="99"/>
    <w:semiHidden/>
    <w:unhideWhenUsed/>
    <w:rsid w:val="00AD587C"/>
    <w:rPr>
      <w:color w:val="954F72" w:themeColor="followedHyperlink"/>
      <w:u w:val="single"/>
    </w:rPr>
  </w:style>
  <w:style w:type="table" w:customStyle="1" w:styleId="TableGrid1">
    <w:name w:val="Table Grid1"/>
    <w:basedOn w:val="TableNormal"/>
    <w:next w:val="TableGrid"/>
    <w:uiPriority w:val="39"/>
    <w:rsid w:val="005D4CD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oes_nat.htm" TargetMode="External" /><Relationship Id="rId2" Type="http://schemas.openxmlformats.org/officeDocument/2006/relationships/hyperlink" Target="https://www.bls.gov/news.release/pdf/ecec.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B0E279-458D-460B-B9B0-1D75A6D02F46}">
  <ds:schemaRefs>
    <ds:schemaRef ds:uri="http://schemas.openxmlformats.org/officeDocument/2006/bibliography"/>
  </ds:schemaRefs>
</ds:datastoreItem>
</file>

<file path=docMetadata/LabelInfo.xml><?xml version="1.0" encoding="utf-8"?>
<clbl:labelList xmlns:clbl="http://schemas.microsoft.com/office/2020/mipLabelMetadata">
  <clbl:label id="{6e9b51eb-62f5-42bb-9594-5a5af861a52c}" enabled="1" method="Standard" siteId="{0d69cd8a-9e12-4d21-95f0-b4406e06710a}" contentBits="0" removed="0"/>
</clbl:labelList>
</file>

<file path=docProps/app.xml><?xml version="1.0" encoding="utf-8"?>
<Properties xmlns="http://schemas.openxmlformats.org/officeDocument/2006/extended-properties" xmlns:vt="http://schemas.openxmlformats.org/officeDocument/2006/docPropsVTypes">
  <Template>Normal.dotm</Template>
  <TotalTime>44</TotalTime>
  <Pages>4</Pages>
  <Words>1188</Words>
  <Characters>6536</Characters>
  <Application>Microsoft Office Word</Application>
  <DocSecurity>0</DocSecurity>
  <Lines>192</Lines>
  <Paragraphs>91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Bureau of the Public Debt</Company>
  <LinksUpToDate>false</LinksUpToDate>
  <CharactersWithSpaces>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bmetz</dc:creator>
  <cp:lastModifiedBy>Bruce A. Sharp</cp:lastModifiedBy>
  <cp:revision>6</cp:revision>
  <cp:lastPrinted>2013-08-01T15:23:00Z</cp:lastPrinted>
  <dcterms:created xsi:type="dcterms:W3CDTF">2026-05-07T13:48:00Z</dcterms:created>
  <dcterms:modified xsi:type="dcterms:W3CDTF">2026-05-26T14:52:00Z</dcterms:modified>
</cp:coreProperties>
</file>