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02E4" w:rsidRPr="00AB7117" w:rsidP="00AB7117" w14:paraId="002A987A" w14:textId="77777777">
      <w:pPr>
        <w:widowControl/>
        <w:jc w:val="center"/>
        <w:rPr>
          <w:b/>
        </w:rPr>
      </w:pPr>
      <w:r w:rsidRPr="00AB7117">
        <w:rPr>
          <w:b/>
        </w:rPr>
        <w:t>SUPPORTING STATEMENT</w:t>
      </w:r>
    </w:p>
    <w:p w:rsidR="00EA02E4" w:rsidRPr="00AB7117" w:rsidP="00AB7117" w14:paraId="7D282615" w14:textId="77777777">
      <w:pPr>
        <w:widowControl/>
        <w:jc w:val="center"/>
        <w:rPr>
          <w:b/>
        </w:rPr>
      </w:pPr>
      <w:r w:rsidRPr="00AB7117">
        <w:rPr>
          <w:b/>
        </w:rPr>
        <w:t>Internal Revenue Service (IRS)</w:t>
      </w:r>
    </w:p>
    <w:p w:rsidR="00EA02E4" w:rsidRPr="00AB7117" w:rsidP="00AB7117" w14:paraId="0849E274" w14:textId="77777777">
      <w:pPr>
        <w:widowControl/>
        <w:jc w:val="center"/>
        <w:rPr>
          <w:b/>
        </w:rPr>
      </w:pPr>
      <w:r w:rsidRPr="00AB7117">
        <w:rPr>
          <w:b/>
        </w:rPr>
        <w:t>OMB Control Number 1545-2182</w:t>
      </w:r>
    </w:p>
    <w:p w:rsidR="00EA02E4" w:rsidRPr="00AB7117" w:rsidP="00AB7117" w14:paraId="15813085" w14:textId="77777777">
      <w:pPr>
        <w:widowControl/>
        <w:jc w:val="center"/>
        <w:rPr>
          <w:b/>
        </w:rPr>
      </w:pPr>
      <w:r w:rsidRPr="00AB7117">
        <w:rPr>
          <w:b/>
        </w:rPr>
        <w:t>Affordable Care Act Internal Claims and Appeals and</w:t>
      </w:r>
    </w:p>
    <w:p w:rsidR="00EA02E4" w:rsidRPr="00AB7117" w:rsidP="00AB7117" w14:paraId="182F1085" w14:textId="77777777">
      <w:pPr>
        <w:widowControl/>
        <w:jc w:val="center"/>
        <w:rPr>
          <w:b/>
        </w:rPr>
      </w:pPr>
      <w:r w:rsidRPr="00AB7117">
        <w:rPr>
          <w:b/>
        </w:rPr>
        <w:t>External Review Procedure for ERISA Plans</w:t>
      </w:r>
    </w:p>
    <w:p w:rsidR="00E812F5" w:rsidRPr="00EA02E4" w:rsidP="00AB7117" w14:paraId="77B3717C" w14:textId="77777777">
      <w:pPr>
        <w:widowControl/>
        <w:ind w:left="360"/>
        <w:rPr>
          <w:bCs/>
        </w:rPr>
      </w:pPr>
    </w:p>
    <w:p w:rsidR="00FC2F3E" w:rsidRPr="00EA02E4" w:rsidP="00AB7117" w14:paraId="67946A4F" w14:textId="77777777">
      <w:pPr>
        <w:widowControl/>
        <w:ind w:left="360"/>
        <w:rPr>
          <w:bCs/>
        </w:rPr>
      </w:pPr>
    </w:p>
    <w:p w:rsidR="00EA02E4" w:rsidRPr="00AB7117" w:rsidP="00AB7117" w14:paraId="0170C532" w14:textId="26396C02">
      <w:pPr>
        <w:widowControl/>
        <w:numPr>
          <w:ilvl w:val="0"/>
          <w:numId w:val="13"/>
        </w:numPr>
        <w:ind w:left="360"/>
        <w:rPr>
          <w:b/>
          <w:iCs/>
          <w:u w:val="single"/>
        </w:rPr>
      </w:pPr>
      <w:r w:rsidRPr="00AB7117">
        <w:rPr>
          <w:b/>
          <w:iCs/>
          <w:u w:val="single"/>
        </w:rPr>
        <w:t xml:space="preserve">CIRCUMSTANCES NECESSITATING COLLECTION OF INFORMATION </w:t>
      </w:r>
    </w:p>
    <w:p w:rsidR="00FC2F3E" w:rsidRPr="00EA02E4" w:rsidP="00AB7117" w14:paraId="1DC2931A" w14:textId="77777777">
      <w:pPr>
        <w:widowControl/>
        <w:ind w:left="360"/>
        <w:rPr>
          <w:bCs/>
        </w:rPr>
      </w:pPr>
    </w:p>
    <w:p w:rsidR="00127BEE" w:rsidP="00AB7117" w14:paraId="5DDD2239" w14:textId="794A0BC0">
      <w:pPr>
        <w:widowControl/>
        <w:tabs>
          <w:tab w:val="left" w:pos="450"/>
        </w:tabs>
        <w:autoSpaceDE/>
        <w:autoSpaceDN/>
        <w:adjustRightInd/>
        <w:ind w:left="360"/>
        <w:rPr>
          <w:rStyle w:val="footnoteref"/>
          <w:bCs/>
        </w:rPr>
      </w:pPr>
      <w:r w:rsidRPr="00EA02E4">
        <w:rPr>
          <w:rStyle w:val="footnoteref"/>
          <w:bCs/>
        </w:rPr>
        <w:t xml:space="preserve">The Patient Protection and Affordable Care Act, Public Law 111-148, (the Affordable Care Act) </w:t>
      </w:r>
      <w:r w:rsidRPr="00EA02E4" w:rsidR="00C34B55">
        <w:rPr>
          <w:rStyle w:val="footnoteref"/>
          <w:bCs/>
        </w:rPr>
        <w:t xml:space="preserve">reorganized, amended, and added to the provisions of part A of title XXVII of the Public Health Service Act (PHS Act) relating to group health plans and health insurance issuers in the group and individual markets. </w:t>
      </w:r>
    </w:p>
    <w:p w:rsidR="00127BEE" w:rsidP="00AB7117" w14:paraId="755E45A7" w14:textId="77777777">
      <w:pPr>
        <w:widowControl/>
        <w:ind w:left="360"/>
        <w:rPr>
          <w:rStyle w:val="footnoteref"/>
          <w:bCs/>
        </w:rPr>
      </w:pPr>
    </w:p>
    <w:p w:rsidR="00933755" w:rsidRPr="00EA02E4" w:rsidP="00AB7117" w14:paraId="15079668" w14:textId="147DA5C1">
      <w:pPr>
        <w:widowControl/>
        <w:ind w:left="360"/>
        <w:rPr>
          <w:rStyle w:val="footnoteref"/>
          <w:bCs/>
        </w:rPr>
      </w:pPr>
      <w:r>
        <w:rPr>
          <w:rStyle w:val="footnoteref"/>
          <w:bCs/>
        </w:rPr>
        <w:t>S</w:t>
      </w:r>
      <w:r w:rsidRPr="00EA02E4" w:rsidR="00DF487C">
        <w:rPr>
          <w:rStyle w:val="footnoteref"/>
          <w:bCs/>
        </w:rPr>
        <w:t>ection 2719</w:t>
      </w:r>
      <w:r w:rsidRPr="00EA02E4" w:rsidR="00336022">
        <w:rPr>
          <w:rStyle w:val="footnoteref"/>
          <w:bCs/>
        </w:rPr>
        <w:t xml:space="preserve"> </w:t>
      </w:r>
      <w:r w:rsidR="00446C0A">
        <w:rPr>
          <w:rStyle w:val="footnoteref"/>
          <w:bCs/>
        </w:rPr>
        <w:t>of</w:t>
      </w:r>
      <w:r w:rsidRPr="00EA02E4" w:rsidR="009C4303">
        <w:rPr>
          <w:rStyle w:val="footnoteref"/>
          <w:bCs/>
        </w:rPr>
        <w:t xml:space="preserve"> the PHS </w:t>
      </w:r>
      <w:r w:rsidR="00676B65">
        <w:rPr>
          <w:rStyle w:val="footnoteref"/>
          <w:bCs/>
        </w:rPr>
        <w:t>A</w:t>
      </w:r>
      <w:r w:rsidRPr="00EA02E4" w:rsidR="009C4303">
        <w:rPr>
          <w:rStyle w:val="footnoteref"/>
          <w:bCs/>
        </w:rPr>
        <w:t>ct</w:t>
      </w:r>
      <w:r w:rsidR="00ED1C69">
        <w:rPr>
          <w:rStyle w:val="footnoteref"/>
          <w:bCs/>
        </w:rPr>
        <w:t xml:space="preserve">, codified at </w:t>
      </w:r>
      <w:r>
        <w:rPr>
          <w:rStyle w:val="footnoteref"/>
          <w:bCs/>
        </w:rPr>
        <w:t>42 USC 300gg-19</w:t>
      </w:r>
      <w:r w:rsidR="00ED1C69">
        <w:rPr>
          <w:rStyle w:val="footnoteref"/>
          <w:bCs/>
        </w:rPr>
        <w:t>,</w:t>
      </w:r>
      <w:r>
        <w:rPr>
          <w:rStyle w:val="footnoteref"/>
          <w:bCs/>
        </w:rPr>
        <w:t xml:space="preserve"> </w:t>
      </w:r>
      <w:r w:rsidR="00ED1C69">
        <w:rPr>
          <w:rStyle w:val="footnoteref"/>
          <w:bCs/>
        </w:rPr>
        <w:t xml:space="preserve">requires group health plans and health </w:t>
      </w:r>
      <w:r w:rsidR="00676B65">
        <w:rPr>
          <w:rStyle w:val="footnoteref"/>
          <w:bCs/>
        </w:rPr>
        <w:t xml:space="preserve">insurance </w:t>
      </w:r>
      <w:r w:rsidR="00ED1C69">
        <w:rPr>
          <w:rStyle w:val="footnoteref"/>
          <w:bCs/>
        </w:rPr>
        <w:t>issuers to implement an effective appeals process for coverage determinations and claims, including</w:t>
      </w:r>
      <w:r w:rsidRPr="00EA02E4" w:rsidR="00DF487C">
        <w:rPr>
          <w:rStyle w:val="footnoteref"/>
          <w:bCs/>
        </w:rPr>
        <w:t xml:space="preserve"> </w:t>
      </w:r>
      <w:r w:rsidR="000B3AA5">
        <w:rPr>
          <w:rStyle w:val="footnoteref"/>
          <w:bCs/>
        </w:rPr>
        <w:t xml:space="preserve">an internal </w:t>
      </w:r>
      <w:r w:rsidR="00446C0A">
        <w:rPr>
          <w:rStyle w:val="footnoteref"/>
          <w:bCs/>
        </w:rPr>
        <w:t xml:space="preserve">appeal </w:t>
      </w:r>
      <w:r w:rsidR="00ED1C69">
        <w:rPr>
          <w:rStyle w:val="footnoteref"/>
          <w:bCs/>
        </w:rPr>
        <w:t>proces</w:t>
      </w:r>
      <w:r w:rsidRPr="00EA02E4" w:rsidR="00F40E45">
        <w:rPr>
          <w:rStyle w:val="footnoteref"/>
          <w:bCs/>
        </w:rPr>
        <w:t>s</w:t>
      </w:r>
      <w:r w:rsidR="00446C0A">
        <w:rPr>
          <w:rStyle w:val="footnoteref"/>
          <w:bCs/>
        </w:rPr>
        <w:t xml:space="preserve"> and </w:t>
      </w:r>
      <w:r w:rsidR="000B3AA5">
        <w:rPr>
          <w:rStyle w:val="footnoteref"/>
          <w:bCs/>
        </w:rPr>
        <w:t xml:space="preserve">an </w:t>
      </w:r>
      <w:r w:rsidRPr="00EA02E4" w:rsidR="00DF487C">
        <w:rPr>
          <w:rStyle w:val="footnoteref"/>
          <w:bCs/>
        </w:rPr>
        <w:t>external</w:t>
      </w:r>
      <w:r w:rsidR="000B3AA5">
        <w:rPr>
          <w:rStyle w:val="footnoteref"/>
          <w:bCs/>
        </w:rPr>
        <w:t xml:space="preserve"> review process</w:t>
      </w:r>
      <w:r w:rsidRPr="00EA02E4" w:rsidR="00DF487C">
        <w:rPr>
          <w:rStyle w:val="footnoteref"/>
          <w:bCs/>
        </w:rPr>
        <w:t xml:space="preserve">. </w:t>
      </w:r>
      <w:r w:rsidR="00ED1C69">
        <w:rPr>
          <w:rStyle w:val="footnoteref"/>
          <w:bCs/>
        </w:rPr>
        <w:t>T</w:t>
      </w:r>
      <w:r w:rsidRPr="00EA02E4" w:rsidR="00DF487C">
        <w:rPr>
          <w:rStyle w:val="footnoteref"/>
          <w:bCs/>
        </w:rPr>
        <w:t xml:space="preserve">he </w:t>
      </w:r>
      <w:r w:rsidRPr="00EA02E4" w:rsidR="00B27D00">
        <w:rPr>
          <w:rStyle w:val="footnoteref"/>
          <w:bCs/>
        </w:rPr>
        <w:t>Department of the Treasury</w:t>
      </w:r>
      <w:r w:rsidR="00BF1D24">
        <w:rPr>
          <w:rStyle w:val="footnoteref"/>
          <w:bCs/>
        </w:rPr>
        <w:t xml:space="preserve"> </w:t>
      </w:r>
      <w:r w:rsidR="00AB5EB2">
        <w:rPr>
          <w:rStyle w:val="footnoteref"/>
          <w:bCs/>
        </w:rPr>
        <w:t>(</w:t>
      </w:r>
      <w:r w:rsidR="00BF1D24">
        <w:rPr>
          <w:rStyle w:val="footnoteref"/>
          <w:bCs/>
        </w:rPr>
        <w:t>Treasury</w:t>
      </w:r>
      <w:r w:rsidR="00AB5EB2">
        <w:rPr>
          <w:rStyle w:val="footnoteref"/>
          <w:bCs/>
        </w:rPr>
        <w:t>)</w:t>
      </w:r>
      <w:r w:rsidRPr="00EA02E4" w:rsidR="00D4015D">
        <w:rPr>
          <w:rStyle w:val="footnoteref"/>
          <w:bCs/>
        </w:rPr>
        <w:t xml:space="preserve">, </w:t>
      </w:r>
      <w:r w:rsidRPr="00EA02E4" w:rsidR="00D26DBD">
        <w:rPr>
          <w:rStyle w:val="footnoteref"/>
          <w:bCs/>
        </w:rPr>
        <w:t>Department of Labor</w:t>
      </w:r>
      <w:r w:rsidRPr="00EA02E4" w:rsidR="00EE7D97">
        <w:rPr>
          <w:rStyle w:val="footnoteref"/>
          <w:bCs/>
        </w:rPr>
        <w:t xml:space="preserve"> (DOL)</w:t>
      </w:r>
      <w:r w:rsidRPr="00EA02E4" w:rsidR="00D26DBD">
        <w:rPr>
          <w:rStyle w:val="footnoteref"/>
          <w:bCs/>
        </w:rPr>
        <w:t xml:space="preserve">, and the </w:t>
      </w:r>
      <w:r w:rsidRPr="00EA02E4" w:rsidR="00B27D00">
        <w:rPr>
          <w:rStyle w:val="footnoteref"/>
          <w:bCs/>
        </w:rPr>
        <w:t xml:space="preserve">Department of </w:t>
      </w:r>
      <w:r w:rsidRPr="00EA02E4" w:rsidR="00D26DBD">
        <w:rPr>
          <w:rStyle w:val="footnoteref"/>
          <w:bCs/>
        </w:rPr>
        <w:t xml:space="preserve">Health and Human Services (the </w:t>
      </w:r>
      <w:r w:rsidRPr="00EA02E4" w:rsidR="007B6806">
        <w:rPr>
          <w:rStyle w:val="footnoteref"/>
          <w:bCs/>
        </w:rPr>
        <w:t>Departments</w:t>
      </w:r>
      <w:r w:rsidRPr="00EA02E4" w:rsidR="00D26DBD">
        <w:rPr>
          <w:rStyle w:val="footnoteref"/>
          <w:bCs/>
        </w:rPr>
        <w:t>)</w:t>
      </w:r>
      <w:r w:rsidRPr="00EA02E4" w:rsidR="007B6806">
        <w:rPr>
          <w:rStyle w:val="footnoteref"/>
          <w:bCs/>
        </w:rPr>
        <w:t xml:space="preserve"> issued </w:t>
      </w:r>
      <w:r w:rsidRPr="00EA02E4" w:rsidR="00DF487C">
        <w:rPr>
          <w:rStyle w:val="footnoteref"/>
          <w:bCs/>
        </w:rPr>
        <w:t xml:space="preserve">final regulations implementing section 2719 </w:t>
      </w:r>
      <w:r w:rsidRPr="00EA02E4" w:rsidR="007E7223">
        <w:rPr>
          <w:rStyle w:val="footnoteref"/>
          <w:bCs/>
        </w:rPr>
        <w:t>of the PHS Act</w:t>
      </w:r>
      <w:r w:rsidR="000F4251">
        <w:rPr>
          <w:rStyle w:val="footnoteref"/>
          <w:bCs/>
        </w:rPr>
        <w:t xml:space="preserve">.  Treasury </w:t>
      </w:r>
      <w:r w:rsidR="00014526">
        <w:rPr>
          <w:rStyle w:val="footnoteref"/>
          <w:bCs/>
        </w:rPr>
        <w:t xml:space="preserve">implementing </w:t>
      </w:r>
      <w:r w:rsidR="000F4251">
        <w:rPr>
          <w:rStyle w:val="footnoteref"/>
          <w:bCs/>
        </w:rPr>
        <w:t xml:space="preserve">regulations are </w:t>
      </w:r>
      <w:r w:rsidR="000B3AA5">
        <w:rPr>
          <w:rStyle w:val="footnoteref"/>
          <w:bCs/>
        </w:rPr>
        <w:t xml:space="preserve">codified at </w:t>
      </w:r>
      <w:r w:rsidR="000F4251">
        <w:rPr>
          <w:rStyle w:val="footnoteref"/>
          <w:bCs/>
        </w:rPr>
        <w:t xml:space="preserve">26 CFR 54.9815-2719. </w:t>
      </w:r>
    </w:p>
    <w:p w:rsidR="00933755" w:rsidRPr="00EA02E4" w:rsidP="00AB7117" w14:paraId="3F3AC3F5" w14:textId="77777777">
      <w:pPr>
        <w:widowControl/>
        <w:ind w:left="360"/>
        <w:rPr>
          <w:rStyle w:val="footnoteref"/>
          <w:bCs/>
        </w:rPr>
      </w:pPr>
    </w:p>
    <w:p w:rsidR="00D308DF" w:rsidRPr="00EA02E4" w:rsidP="00AB7117" w14:paraId="4C9214FA" w14:textId="3C4EEB39">
      <w:pPr>
        <w:widowControl/>
        <w:ind w:left="360"/>
        <w:rPr>
          <w:rStyle w:val="footnoteref"/>
          <w:bCs/>
        </w:rPr>
      </w:pPr>
      <w:r>
        <w:rPr>
          <w:rStyle w:val="footnoteref"/>
          <w:bCs/>
        </w:rPr>
        <w:t>26 CFR 54.9815-2719</w:t>
      </w:r>
      <w:r w:rsidRPr="00EA02E4" w:rsidR="00DF487C">
        <w:rPr>
          <w:rStyle w:val="footnoteref"/>
          <w:bCs/>
        </w:rPr>
        <w:t xml:space="preserve"> provide</w:t>
      </w:r>
      <w:r>
        <w:rPr>
          <w:rStyle w:val="footnoteref"/>
          <w:bCs/>
        </w:rPr>
        <w:t>s</w:t>
      </w:r>
      <w:r w:rsidRPr="00EA02E4" w:rsidR="00DF487C">
        <w:rPr>
          <w:rStyle w:val="footnoteref"/>
          <w:bCs/>
        </w:rPr>
        <w:t xml:space="preserve"> that group health </w:t>
      </w:r>
      <w:r w:rsidRPr="00EA02E4" w:rsidR="00F40E45">
        <w:rPr>
          <w:rStyle w:val="footnoteref"/>
          <w:bCs/>
        </w:rPr>
        <w:t xml:space="preserve">plans </w:t>
      </w:r>
      <w:r w:rsidRPr="00EA02E4" w:rsidR="00DF487C">
        <w:rPr>
          <w:rStyle w:val="footnoteref"/>
          <w:bCs/>
        </w:rPr>
        <w:t>and health insurance issuers offering group health insurance coverage must comply with the internal claims and appeals processes set forth in 29 CFR 2560.503-1</w:t>
      </w:r>
      <w:r>
        <w:rPr>
          <w:rStyle w:val="footnoteref"/>
          <w:bCs/>
        </w:rPr>
        <w:t>(b)(2)(ii)</w:t>
      </w:r>
      <w:r w:rsidRPr="00EA02E4" w:rsidR="00DF487C">
        <w:rPr>
          <w:rStyle w:val="footnoteref"/>
          <w:bCs/>
        </w:rPr>
        <w:t xml:space="preserve"> </w:t>
      </w:r>
      <w:r w:rsidRPr="00EA02E4" w:rsidR="00D7082C">
        <w:rPr>
          <w:rStyle w:val="footnoteref"/>
          <w:bCs/>
        </w:rPr>
        <w:t xml:space="preserve">(the </w:t>
      </w:r>
      <w:r w:rsidRPr="00EA02E4" w:rsidR="00F40E45">
        <w:rPr>
          <w:rStyle w:val="footnoteref"/>
          <w:bCs/>
        </w:rPr>
        <w:t xml:space="preserve">DOL </w:t>
      </w:r>
      <w:r w:rsidRPr="00EA02E4" w:rsidR="00D7082C">
        <w:rPr>
          <w:rStyle w:val="footnoteref"/>
          <w:bCs/>
        </w:rPr>
        <w:t xml:space="preserve">claims procedure regulation) </w:t>
      </w:r>
      <w:r w:rsidRPr="00EA02E4" w:rsidR="00DF487C">
        <w:rPr>
          <w:rStyle w:val="footnoteref"/>
          <w:bCs/>
        </w:rPr>
        <w:t>and update such processes in accordance with standards established by the Secretary of Labor</w:t>
      </w:r>
      <w:r w:rsidR="00784EB8">
        <w:rPr>
          <w:rStyle w:val="footnoteref"/>
          <w:bCs/>
        </w:rPr>
        <w:t>, except to the extent those requirements are modified by 26 CFR 54.9815-2719(b)(2)(ii)</w:t>
      </w:r>
      <w:r>
        <w:rPr>
          <w:rStyle w:val="footnoteref"/>
          <w:bCs/>
        </w:rPr>
        <w:t>.</w:t>
      </w:r>
    </w:p>
    <w:p w:rsidR="00D308DF" w:rsidRPr="00EA02E4" w:rsidP="00AB7117" w14:paraId="1B3B8E11" w14:textId="77777777">
      <w:pPr>
        <w:widowControl/>
        <w:ind w:left="360"/>
        <w:rPr>
          <w:rStyle w:val="footnoteref"/>
          <w:bCs/>
        </w:rPr>
      </w:pPr>
    </w:p>
    <w:p w:rsidR="00E50781" w:rsidRPr="00EA02E4" w:rsidP="00AB7117" w14:paraId="183E1644" w14:textId="2D6221BD">
      <w:pPr>
        <w:ind w:left="360"/>
        <w:rPr>
          <w:bCs/>
        </w:rPr>
      </w:pPr>
      <w:r w:rsidRPr="00EA02E4">
        <w:rPr>
          <w:bCs/>
        </w:rPr>
        <w:t xml:space="preserve">The </w:t>
      </w:r>
      <w:r w:rsidRPr="00EA02E4" w:rsidR="00F40E45">
        <w:rPr>
          <w:bCs/>
        </w:rPr>
        <w:t xml:space="preserve">DOL claims procedure </w:t>
      </w:r>
      <w:r w:rsidRPr="00EA02E4">
        <w:rPr>
          <w:bCs/>
        </w:rPr>
        <w:t xml:space="preserve">regulation requires plans to provide every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w:t>
      </w:r>
      <w:r w:rsidRPr="00EA02E4" w:rsidR="004B3F03">
        <w:rPr>
          <w:bCs/>
        </w:rPr>
        <w:t xml:space="preserve">benefit determination </w:t>
      </w:r>
      <w:r w:rsidRPr="00EA02E4">
        <w:rPr>
          <w:bCs/>
        </w:rPr>
        <w:t>upon review be in writing (including electronic means) and include specific reasons for the decision, as well as references to relevant plan provisions.</w:t>
      </w:r>
      <w:r w:rsidRPr="00EA02E4" w:rsidR="00F40E45">
        <w:rPr>
          <w:bCs/>
        </w:rPr>
        <w:t xml:space="preserve"> </w:t>
      </w:r>
    </w:p>
    <w:p w:rsidR="00E50781" w:rsidRPr="00EA02E4" w:rsidP="00AB7117" w14:paraId="539B3207" w14:textId="77777777">
      <w:pPr>
        <w:ind w:left="360"/>
        <w:rPr>
          <w:bCs/>
        </w:rPr>
      </w:pPr>
    </w:p>
    <w:p w:rsidR="00D308DF" w:rsidRPr="00EA02E4" w:rsidP="00AB7117" w14:paraId="033FA431" w14:textId="77FCF6E7">
      <w:pPr>
        <w:ind w:left="360"/>
        <w:rPr>
          <w:bCs/>
        </w:rPr>
      </w:pPr>
      <w:r>
        <w:rPr>
          <w:rStyle w:val="footnoteref"/>
          <w:bCs/>
        </w:rPr>
        <w:t>26 CFR 54.9815-2719</w:t>
      </w:r>
      <w:r w:rsidRPr="00EA02E4" w:rsidR="00F40E45">
        <w:rPr>
          <w:bCs/>
        </w:rPr>
        <w:t>(b)(2)(ii)</w:t>
      </w:r>
      <w:r w:rsidR="00784EB8">
        <w:rPr>
          <w:bCs/>
        </w:rPr>
        <w:t>(C)</w:t>
      </w:r>
      <w:r w:rsidRPr="00EA02E4" w:rsidR="00F40E45">
        <w:rPr>
          <w:bCs/>
        </w:rPr>
        <w:t xml:space="preserve"> adds a requirement that non-grandfathered ERISA-covered group health plans provide to the claimant, free of charge, any new or additional evidence considered</w:t>
      </w:r>
      <w:r w:rsidRPr="00EA02E4" w:rsidR="000F6BAC">
        <w:rPr>
          <w:bCs/>
        </w:rPr>
        <w:t>,</w:t>
      </w:r>
      <w:r w:rsidRPr="00EA02E4" w:rsidR="00F40E45">
        <w:rPr>
          <w:bCs/>
        </w:rPr>
        <w:t xml:space="preserve"> relied upon, or generated by the plan or issuer in connection with the claim.</w:t>
      </w:r>
      <w:r>
        <w:rPr>
          <w:rStyle w:val="FootnoteReference"/>
          <w:bCs/>
          <w:vertAlign w:val="superscript"/>
        </w:rPr>
        <w:footnoteReference w:id="3"/>
      </w:r>
      <w:r w:rsidRPr="00EA02E4" w:rsidR="00907572">
        <w:rPr>
          <w:bCs/>
        </w:rPr>
        <w:t xml:space="preserve"> </w:t>
      </w:r>
    </w:p>
    <w:p w:rsidR="001D6E85" w:rsidRPr="00EA02E4" w:rsidP="00AB7117" w14:paraId="5AECD041" w14:textId="77777777">
      <w:pPr>
        <w:widowControl/>
        <w:ind w:left="360"/>
        <w:rPr>
          <w:bCs/>
        </w:rPr>
      </w:pPr>
    </w:p>
    <w:p w:rsidR="00D308DF" w:rsidRPr="00EA02E4" w:rsidP="00AB7117" w14:paraId="3B8A990F" w14:textId="3E98E87D">
      <w:pPr>
        <w:widowControl/>
        <w:ind w:left="360"/>
        <w:rPr>
          <w:bCs/>
        </w:rPr>
      </w:pPr>
      <w:r>
        <w:rPr>
          <w:rStyle w:val="footnoteref"/>
          <w:bCs/>
        </w:rPr>
        <w:t>26 CFR 54.9815-2719</w:t>
      </w:r>
      <w:r w:rsidRPr="00EA02E4">
        <w:rPr>
          <w:rStyle w:val="footnoteref"/>
          <w:bCs/>
        </w:rPr>
        <w:t xml:space="preserve"> </w:t>
      </w:r>
      <w:r w:rsidRPr="00EA02E4" w:rsidR="00160975">
        <w:rPr>
          <w:bCs/>
        </w:rPr>
        <w:t>require</w:t>
      </w:r>
      <w:r w:rsidR="00784EB8">
        <w:rPr>
          <w:bCs/>
        </w:rPr>
        <w:t>s</w:t>
      </w:r>
      <w:r w:rsidRPr="00EA02E4" w:rsidR="00DF487C">
        <w:rPr>
          <w:bCs/>
        </w:rPr>
        <w:t xml:space="preserve"> group health plans and issuers offering group health insurance coverage </w:t>
      </w:r>
      <w:r w:rsidRPr="00EA02E4" w:rsidR="00160975">
        <w:rPr>
          <w:bCs/>
        </w:rPr>
        <w:t xml:space="preserve">to </w:t>
      </w:r>
      <w:r w:rsidRPr="00EA02E4" w:rsidR="00DF487C">
        <w:rPr>
          <w:bCs/>
        </w:rPr>
        <w:t xml:space="preserve">comply either with a State external review process or a Federal </w:t>
      </w:r>
      <w:r w:rsidRPr="00EA02E4" w:rsidR="00D7082C">
        <w:rPr>
          <w:bCs/>
        </w:rPr>
        <w:t>review process. The regulations provide a basis for determining when plans and issuers must comply with an applicable State external review process and when they must comply with the Federal external review process.</w:t>
      </w:r>
    </w:p>
    <w:p w:rsidR="00BE47A7" w:rsidRPr="00EA02E4" w:rsidP="00AB7117" w14:paraId="4F1EA333" w14:textId="77777777">
      <w:pPr>
        <w:widowControl/>
        <w:ind w:left="360"/>
        <w:rPr>
          <w:bCs/>
        </w:rPr>
      </w:pPr>
    </w:p>
    <w:p w:rsidR="006B5A42" w:rsidRPr="006B5A42" w:rsidP="00AB7117" w14:paraId="2ECA5D64" w14:textId="03FB5250">
      <w:pPr>
        <w:widowControl/>
        <w:ind w:left="360"/>
        <w:rPr>
          <w:bCs/>
        </w:rPr>
      </w:pPr>
      <w:r w:rsidRPr="006B5A42">
        <w:rPr>
          <w:bCs/>
        </w:rPr>
        <w:t>The No Surprises Act of 2020</w:t>
      </w:r>
      <w:r w:rsidRPr="006B5A42" w:rsidR="00235F59">
        <w:rPr>
          <w:bCs/>
        </w:rPr>
        <w:t xml:space="preserve"> (Public Law 116-260</w:t>
      </w:r>
      <w:r>
        <w:rPr>
          <w:bCs/>
        </w:rPr>
        <w:t>)</w:t>
      </w:r>
      <w:r w:rsidRPr="006B5A42" w:rsidR="009B4E30">
        <w:rPr>
          <w:bCs/>
        </w:rPr>
        <w:t xml:space="preserve"> </w:t>
      </w:r>
      <w:r w:rsidR="00B7628D">
        <w:rPr>
          <w:bCs/>
        </w:rPr>
        <w:t>expanded</w:t>
      </w:r>
      <w:r w:rsidRPr="006B5A42">
        <w:rPr>
          <w:bCs/>
        </w:rPr>
        <w:t xml:space="preserve"> external reviews</w:t>
      </w:r>
      <w:r w:rsidR="00B7628D">
        <w:rPr>
          <w:bCs/>
        </w:rPr>
        <w:t xml:space="preserve"> for certain surprise billing determinations</w:t>
      </w:r>
      <w:r w:rsidRPr="006B5A42">
        <w:rPr>
          <w:bCs/>
        </w:rPr>
        <w:t xml:space="preserve">. </w:t>
      </w:r>
      <w:r>
        <w:rPr>
          <w:bCs/>
        </w:rPr>
        <w:t xml:space="preserve"> The Act </w:t>
      </w:r>
      <w:r w:rsidR="00F20434">
        <w:rPr>
          <w:bCs/>
        </w:rPr>
        <w:t>added Section 9816 to</w:t>
      </w:r>
      <w:r>
        <w:rPr>
          <w:bCs/>
        </w:rPr>
        <w:t xml:space="preserve"> the Internal Revenue Code (IRC).   </w:t>
      </w:r>
      <w:r w:rsidRPr="006B5A42" w:rsidR="00235F59">
        <w:rPr>
          <w:bCs/>
        </w:rPr>
        <w:t xml:space="preserve">IRC Section 9816 </w:t>
      </w:r>
      <w:r w:rsidR="00F20434">
        <w:rPr>
          <w:bCs/>
        </w:rPr>
        <w:t>applies</w:t>
      </w:r>
      <w:r w:rsidRPr="006B5A42" w:rsidR="00235F59">
        <w:rPr>
          <w:bCs/>
        </w:rPr>
        <w:t xml:space="preserve"> </w:t>
      </w:r>
      <w:r w:rsidRPr="006B5A42">
        <w:rPr>
          <w:bCs/>
        </w:rPr>
        <w:t>to both grandfathered and non-grandfathered plans and coverage</w:t>
      </w:r>
      <w:r w:rsidR="00F20434">
        <w:rPr>
          <w:bCs/>
        </w:rPr>
        <w:t xml:space="preserve"> for surprise billing </w:t>
      </w:r>
      <w:r w:rsidR="00950E6C">
        <w:rPr>
          <w:bCs/>
        </w:rPr>
        <w:t>protections</w:t>
      </w:r>
      <w:r w:rsidRPr="006B5A42">
        <w:rPr>
          <w:bCs/>
        </w:rPr>
        <w:t xml:space="preserve">.  </w:t>
      </w:r>
      <w:r w:rsidRPr="006B5A42" w:rsidR="00235F59">
        <w:rPr>
          <w:bCs/>
        </w:rPr>
        <w:t xml:space="preserve"> </w:t>
      </w:r>
      <w:r w:rsidRPr="006B5A42">
        <w:rPr>
          <w:bCs/>
        </w:rPr>
        <w:t>The No Surprises Act also direct</w:t>
      </w:r>
      <w:r>
        <w:rPr>
          <w:bCs/>
        </w:rPr>
        <w:t>ed</w:t>
      </w:r>
      <w:r w:rsidRPr="006B5A42">
        <w:rPr>
          <w:bCs/>
        </w:rPr>
        <w:t xml:space="preserve"> the Departments, in applying section 2719(b) of the PHS Act, to require the external review process to apply with respect to any adverse determination by a plan or issuer under the new provisions.  </w:t>
      </w:r>
    </w:p>
    <w:p w:rsidR="006B5A42" w:rsidRPr="006B5A42" w:rsidP="00AB7117" w14:paraId="1BED6CE4" w14:textId="77777777">
      <w:pPr>
        <w:widowControl/>
        <w:ind w:left="360"/>
        <w:rPr>
          <w:bCs/>
        </w:rPr>
      </w:pPr>
    </w:p>
    <w:p w:rsidR="00BE47A7" w:rsidRPr="006B5A42" w:rsidP="00AB7117" w14:paraId="6567C8B2" w14:textId="4A911985">
      <w:pPr>
        <w:widowControl/>
        <w:ind w:left="360"/>
        <w:rPr>
          <w:bCs/>
        </w:rPr>
      </w:pPr>
      <w:r w:rsidRPr="006B5A42">
        <w:rPr>
          <w:bCs/>
        </w:rPr>
        <w:t xml:space="preserve">Treasury issued </w:t>
      </w:r>
      <w:r w:rsidR="003603DE">
        <w:rPr>
          <w:bCs/>
        </w:rPr>
        <w:t xml:space="preserve">implementing </w:t>
      </w:r>
      <w:r w:rsidRPr="006B5A42">
        <w:rPr>
          <w:bCs/>
        </w:rPr>
        <w:t xml:space="preserve">regulations </w:t>
      </w:r>
      <w:r w:rsidRPr="006B5A42" w:rsidR="00626150">
        <w:rPr>
          <w:bCs/>
        </w:rPr>
        <w:t>26 CFR 54.981</w:t>
      </w:r>
      <w:r w:rsidR="00C01975">
        <w:rPr>
          <w:bCs/>
        </w:rPr>
        <w:t>5</w:t>
      </w:r>
      <w:r w:rsidRPr="006B5A42" w:rsidR="00626150">
        <w:rPr>
          <w:bCs/>
        </w:rPr>
        <w:t>-2719T</w:t>
      </w:r>
      <w:r w:rsidRPr="006B5A42">
        <w:rPr>
          <w:bCs/>
        </w:rPr>
        <w:t xml:space="preserve"> (TD 9955).  </w:t>
      </w:r>
      <w:r w:rsidR="00A956EF">
        <w:rPr>
          <w:bCs/>
        </w:rPr>
        <w:t>TD 9955</w:t>
      </w:r>
      <w:r w:rsidRPr="006B5A42" w:rsidR="00626150">
        <w:rPr>
          <w:bCs/>
        </w:rPr>
        <w:t xml:space="preserve"> </w:t>
      </w:r>
      <w:r w:rsidRPr="006B5A42" w:rsidR="00235F59">
        <w:rPr>
          <w:bCs/>
        </w:rPr>
        <w:t>reflects</w:t>
      </w:r>
      <w:r w:rsidRPr="006B5A42" w:rsidR="00626150">
        <w:rPr>
          <w:bCs/>
        </w:rPr>
        <w:t xml:space="preserve"> the expansion of the external review requirement to grandfathered plans by the statute.</w:t>
      </w:r>
      <w:r w:rsidRPr="006B5A42">
        <w:rPr>
          <w:bCs/>
        </w:rPr>
        <w:t xml:space="preserve"> </w:t>
      </w:r>
      <w:r w:rsidRPr="006B5A42" w:rsidR="00DF487C">
        <w:rPr>
          <w:bCs/>
        </w:rPr>
        <w:t>The claims procedure regulation imposes information collection requirements as part of the reasonable procedures that an employee benefit plan must establish regarding the handling of a benefit claim. These requirements include third-party disclosure requirements that the plan must satisfy by providing information to participants and</w:t>
      </w:r>
      <w:r w:rsidRPr="006B5A42" w:rsidR="00750ADC">
        <w:rPr>
          <w:bCs/>
        </w:rPr>
        <w:t xml:space="preserve"> </w:t>
      </w:r>
      <w:r w:rsidRPr="006B5A42" w:rsidR="00DF487C">
        <w:rPr>
          <w:bCs/>
        </w:rPr>
        <w:t>beneficiaries of the plan.</w:t>
      </w:r>
    </w:p>
    <w:p w:rsidR="00E812F5" w:rsidRPr="00EA02E4" w:rsidP="00AB7117" w14:paraId="598B4774" w14:textId="77777777">
      <w:pPr>
        <w:widowControl/>
        <w:ind w:left="360"/>
        <w:rPr>
          <w:bCs/>
        </w:rPr>
      </w:pPr>
    </w:p>
    <w:p w:rsidR="00EA02E4" w:rsidRPr="00AB7117" w:rsidP="00AB7117" w14:paraId="724CACD3" w14:textId="5CE66C01">
      <w:pPr>
        <w:widowControl/>
        <w:numPr>
          <w:ilvl w:val="0"/>
          <w:numId w:val="13"/>
        </w:numPr>
        <w:ind w:left="360"/>
        <w:rPr>
          <w:b/>
          <w:iCs/>
          <w:u w:val="single"/>
        </w:rPr>
      </w:pPr>
      <w:r w:rsidRPr="00AB7117">
        <w:rPr>
          <w:b/>
          <w:iCs/>
          <w:u w:val="single"/>
        </w:rPr>
        <w:t xml:space="preserve">USE OF DATA </w:t>
      </w:r>
    </w:p>
    <w:p w:rsidR="00FC2F3E" w:rsidRPr="00EA02E4" w:rsidP="00AB7117" w14:paraId="0E480AC1" w14:textId="77777777">
      <w:pPr>
        <w:widowControl/>
        <w:ind w:left="360"/>
        <w:rPr>
          <w:bCs/>
        </w:rPr>
      </w:pPr>
    </w:p>
    <w:p w:rsidR="007A4866" w:rsidP="00AB7117" w14:paraId="6C9A15ED" w14:textId="2AAE4C79">
      <w:pPr>
        <w:widowControl/>
        <w:ind w:left="360"/>
        <w:rPr>
          <w:bCs/>
        </w:rPr>
      </w:pPr>
      <w:r w:rsidRPr="00EA02E4">
        <w:rPr>
          <w:bCs/>
        </w:rPr>
        <w:t>The</w:t>
      </w:r>
      <w:r w:rsidRPr="00EA02E4" w:rsidR="00BE47A7">
        <w:rPr>
          <w:bCs/>
        </w:rPr>
        <w:t xml:space="preserve"> </w:t>
      </w:r>
      <w:r>
        <w:rPr>
          <w:bCs/>
        </w:rPr>
        <w:t>third-party disclosure requirements</w:t>
      </w:r>
      <w:r w:rsidR="000D0E1E">
        <w:rPr>
          <w:bCs/>
        </w:rPr>
        <w:t>,</w:t>
      </w:r>
      <w:r w:rsidRPr="00EA02E4">
        <w:rPr>
          <w:bCs/>
        </w:rPr>
        <w:t xml:space="preserve"> included in </w:t>
      </w:r>
      <w:r>
        <w:rPr>
          <w:rStyle w:val="footnoteref"/>
          <w:bCs/>
        </w:rPr>
        <w:t>26 CFR 54.9815-2719</w:t>
      </w:r>
      <w:r w:rsidRPr="00EA02E4">
        <w:rPr>
          <w:rStyle w:val="footnoteref"/>
          <w:bCs/>
        </w:rPr>
        <w:t xml:space="preserve"> </w:t>
      </w:r>
      <w:r w:rsidR="00B7628D">
        <w:rPr>
          <w:rStyle w:val="footnoteref"/>
          <w:bCs/>
        </w:rPr>
        <w:t>and 26 CFR 54.9815-2719T</w:t>
      </w:r>
      <w:r w:rsidR="000D0E1E">
        <w:rPr>
          <w:rStyle w:val="footnoteref"/>
          <w:bCs/>
        </w:rPr>
        <w:t>,</w:t>
      </w:r>
      <w:r w:rsidR="00B7628D">
        <w:rPr>
          <w:rStyle w:val="footnoteref"/>
          <w:bCs/>
        </w:rPr>
        <w:t xml:space="preserve"> </w:t>
      </w:r>
      <w:r w:rsidRPr="00EA02E4" w:rsidR="002F4CD3">
        <w:rPr>
          <w:bCs/>
        </w:rPr>
        <w:t>e</w:t>
      </w:r>
      <w:r w:rsidRPr="00EA02E4">
        <w:rPr>
          <w:bCs/>
        </w:rPr>
        <w:t>nsure that participants and beneficiaries</w:t>
      </w:r>
      <w:r w:rsidRPr="00EA02E4" w:rsidR="00BE47A7">
        <w:rPr>
          <w:bCs/>
        </w:rPr>
        <w:t xml:space="preserve"> (claimants) </w:t>
      </w:r>
      <w:r w:rsidRPr="00EA02E4">
        <w:rPr>
          <w:bCs/>
        </w:rPr>
        <w:t xml:space="preserve">receive adequate information regarding the plan’s claims procedures and </w:t>
      </w:r>
      <w:r w:rsidRPr="00EA02E4" w:rsidR="002F4CD3">
        <w:rPr>
          <w:bCs/>
        </w:rPr>
        <w:t xml:space="preserve">the plan’s </w:t>
      </w:r>
      <w:r w:rsidRPr="00EA02E4">
        <w:rPr>
          <w:bCs/>
        </w:rPr>
        <w:t>handling of specific benefit claims</w:t>
      </w:r>
      <w:r w:rsidRPr="00EA02E4" w:rsidR="002F4CD3">
        <w:rPr>
          <w:bCs/>
        </w:rPr>
        <w:t>.</w:t>
      </w:r>
      <w:r w:rsidRPr="00EA02E4" w:rsidR="00740FB6">
        <w:rPr>
          <w:bCs/>
        </w:rPr>
        <w:t xml:space="preserve"> </w:t>
      </w:r>
      <w:r w:rsidR="000D0E1E">
        <w:rPr>
          <w:bCs/>
        </w:rPr>
        <w:t>Claimants</w:t>
      </w:r>
      <w:r w:rsidRPr="00EA02E4" w:rsidR="002F4CD3">
        <w:rPr>
          <w:bCs/>
        </w:rPr>
        <w:t xml:space="preserve"> need </w:t>
      </w:r>
      <w:r w:rsidRPr="00EA02E4">
        <w:rPr>
          <w:bCs/>
        </w:rPr>
        <w:t xml:space="preserve">to understand </w:t>
      </w:r>
      <w:r w:rsidRPr="00EA02E4" w:rsidR="002F4CD3">
        <w:rPr>
          <w:bCs/>
        </w:rPr>
        <w:t xml:space="preserve">plan procedures and </w:t>
      </w:r>
      <w:r w:rsidRPr="00EA02E4" w:rsidR="00BE47A7">
        <w:rPr>
          <w:bCs/>
        </w:rPr>
        <w:t xml:space="preserve">plan decisions </w:t>
      </w:r>
      <w:r w:rsidR="000D0E1E">
        <w:rPr>
          <w:bCs/>
        </w:rPr>
        <w:t xml:space="preserve">to </w:t>
      </w:r>
      <w:r w:rsidRPr="00EA02E4" w:rsidR="00BE47A7">
        <w:rPr>
          <w:bCs/>
        </w:rPr>
        <w:t xml:space="preserve">appropriately request </w:t>
      </w:r>
      <w:r w:rsidRPr="00EA02E4" w:rsidR="002F4CD3">
        <w:rPr>
          <w:bCs/>
        </w:rPr>
        <w:t>benefits and/or appeal</w:t>
      </w:r>
      <w:r w:rsidRPr="00EA02E4">
        <w:rPr>
          <w:bCs/>
        </w:rPr>
        <w:t xml:space="preserve"> benefit denials.</w:t>
      </w:r>
      <w:r>
        <w:rPr>
          <w:bCs/>
        </w:rPr>
        <w:t xml:space="preserve">  </w:t>
      </w:r>
    </w:p>
    <w:p w:rsidR="007A4866" w:rsidP="00AB7117" w14:paraId="610DE9D1" w14:textId="77777777">
      <w:pPr>
        <w:widowControl/>
        <w:ind w:left="360"/>
        <w:rPr>
          <w:bCs/>
        </w:rPr>
      </w:pPr>
    </w:p>
    <w:p w:rsidR="00FC2F3E" w:rsidRPr="00EA02E4" w:rsidP="00AB7117" w14:paraId="7CD13FA3" w14:textId="3520A2B1">
      <w:pPr>
        <w:widowControl/>
        <w:ind w:left="360"/>
        <w:rPr>
          <w:bCs/>
        </w:rPr>
      </w:pPr>
      <w:r w:rsidRPr="00EA02E4">
        <w:rPr>
          <w:bCs/>
        </w:rPr>
        <w:t xml:space="preserve">The </w:t>
      </w:r>
      <w:r w:rsidR="00C01975">
        <w:rPr>
          <w:bCs/>
        </w:rPr>
        <w:t>recordkeeping</w:t>
      </w:r>
      <w:r>
        <w:rPr>
          <w:bCs/>
        </w:rPr>
        <w:t xml:space="preserve"> requirements </w:t>
      </w:r>
      <w:r>
        <w:rPr>
          <w:rStyle w:val="footnoteref"/>
          <w:bCs/>
        </w:rPr>
        <w:t xml:space="preserve">allow the Departments to monitor compliance with the internal appeal and external review processes. </w:t>
      </w:r>
    </w:p>
    <w:p w:rsidR="00FC2F3E" w:rsidRPr="00EA02E4" w:rsidP="00AB7117" w14:paraId="028352E5" w14:textId="77777777">
      <w:pPr>
        <w:widowControl/>
        <w:ind w:left="360"/>
        <w:rPr>
          <w:bCs/>
        </w:rPr>
      </w:pPr>
    </w:p>
    <w:p w:rsidR="00EA02E4" w:rsidRPr="00AB7117" w:rsidP="00AB7117" w14:paraId="5E08B52C" w14:textId="2FD29A01">
      <w:pPr>
        <w:widowControl/>
        <w:numPr>
          <w:ilvl w:val="0"/>
          <w:numId w:val="13"/>
        </w:numPr>
        <w:ind w:left="360"/>
        <w:rPr>
          <w:b/>
          <w:iCs/>
          <w:u w:val="single"/>
        </w:rPr>
      </w:pPr>
      <w:r w:rsidRPr="00AB7117">
        <w:rPr>
          <w:b/>
          <w:iCs/>
          <w:u w:val="single"/>
        </w:rPr>
        <w:t>USE OF IMPROVED INFORMATION TECHNOLOGY TO REDUCE BURDEN</w:t>
      </w:r>
    </w:p>
    <w:p w:rsidR="00D83B51" w:rsidRPr="00EA02E4" w:rsidP="00AB7117" w14:paraId="0F365648" w14:textId="77777777">
      <w:pPr>
        <w:widowControl/>
        <w:ind w:left="360"/>
        <w:rPr>
          <w:bCs/>
        </w:rPr>
      </w:pPr>
    </w:p>
    <w:p w:rsidR="00FC2F3E" w:rsidRPr="00EA02E4" w:rsidP="00AB7117" w14:paraId="3298D361" w14:textId="5775A12B">
      <w:pPr>
        <w:widowControl/>
        <w:ind w:left="360"/>
        <w:rPr>
          <w:bCs/>
        </w:rPr>
      </w:pPr>
      <w:r w:rsidRPr="00EA02E4">
        <w:rPr>
          <w:bCs/>
        </w:rPr>
        <w:t>The regulation</w:t>
      </w:r>
      <w:r w:rsidR="000D0E1E">
        <w:rPr>
          <w:bCs/>
        </w:rPr>
        <w:t>s</w:t>
      </w:r>
      <w:r w:rsidRPr="00EA02E4">
        <w:rPr>
          <w:bCs/>
        </w:rPr>
        <w:t xml:space="preserve"> </w:t>
      </w:r>
      <w:r w:rsidR="000D0E1E">
        <w:rPr>
          <w:bCs/>
        </w:rPr>
        <w:t>do</w:t>
      </w:r>
      <w:r w:rsidRPr="00EA02E4">
        <w:rPr>
          <w:bCs/>
        </w:rPr>
        <w:t xml:space="preserve"> not restrict use of electronic technology to process and pay claims, maintain information as to the basis for claim determination, </w:t>
      </w:r>
      <w:r w:rsidR="00513A4F">
        <w:rPr>
          <w:bCs/>
        </w:rPr>
        <w:t>or</w:t>
      </w:r>
      <w:r w:rsidRPr="00EA02E4">
        <w:rPr>
          <w:bCs/>
        </w:rPr>
        <w:t xml:space="preserve"> to generate correspondence </w:t>
      </w:r>
      <w:r w:rsidRPr="00EA02E4">
        <w:rPr>
          <w:bCs/>
        </w:rPr>
        <w:t xml:space="preserve">related to </w:t>
      </w:r>
      <w:r w:rsidRPr="00EA02E4">
        <w:rPr>
          <w:bCs/>
        </w:rPr>
        <w:t>claims</w:t>
      </w:r>
      <w:r w:rsidRPr="00EA02E4">
        <w:rPr>
          <w:bCs/>
        </w:rPr>
        <w:t xml:space="preserve"> processing decisions. </w:t>
      </w:r>
      <w:r w:rsidR="000D0E1E">
        <w:rPr>
          <w:rStyle w:val="footnoteref"/>
          <w:bCs/>
        </w:rPr>
        <w:t>26 CFR 54.9815-2719</w:t>
      </w:r>
      <w:r w:rsidRPr="00EA02E4" w:rsidR="000D0E1E">
        <w:rPr>
          <w:rStyle w:val="footnoteref"/>
          <w:bCs/>
        </w:rPr>
        <w:t xml:space="preserve"> </w:t>
      </w:r>
      <w:r w:rsidRPr="00EA02E4" w:rsidR="000B7A90">
        <w:rPr>
          <w:bCs/>
        </w:rPr>
        <w:t>also incorporates</w:t>
      </w:r>
      <w:r w:rsidRPr="00EA02E4" w:rsidR="002015A0">
        <w:rPr>
          <w:bCs/>
        </w:rPr>
        <w:t>,</w:t>
      </w:r>
      <w:r w:rsidRPr="00EA02E4" w:rsidR="000B7A90">
        <w:rPr>
          <w:bCs/>
        </w:rPr>
        <w:t xml:space="preserve"> by reference</w:t>
      </w:r>
      <w:r w:rsidRPr="00EA02E4" w:rsidR="002015A0">
        <w:rPr>
          <w:bCs/>
        </w:rPr>
        <w:t>,</w:t>
      </w:r>
      <w:r w:rsidRPr="00EA02E4" w:rsidR="000B7A90">
        <w:rPr>
          <w:bCs/>
        </w:rPr>
        <w:t xml:space="preserve"> pertinent provisions of </w:t>
      </w:r>
      <w:r w:rsidRPr="00EA02E4" w:rsidR="00056A0A">
        <w:rPr>
          <w:bCs/>
        </w:rPr>
        <w:t>DOL’s</w:t>
      </w:r>
      <w:r w:rsidRPr="00EA02E4">
        <w:rPr>
          <w:bCs/>
        </w:rPr>
        <w:t xml:space="preserve"> </w:t>
      </w:r>
      <w:r w:rsidRPr="00EA02E4" w:rsidR="000B7A90">
        <w:rPr>
          <w:bCs/>
        </w:rPr>
        <w:t xml:space="preserve">separate </w:t>
      </w:r>
      <w:r w:rsidRPr="00EA02E4">
        <w:rPr>
          <w:bCs/>
        </w:rPr>
        <w:t>r</w:t>
      </w:r>
      <w:r w:rsidRPr="00EA02E4" w:rsidR="000B7A90">
        <w:rPr>
          <w:bCs/>
        </w:rPr>
        <w:t>egulation</w:t>
      </w:r>
      <w:r w:rsidRPr="00EA02E4">
        <w:rPr>
          <w:bCs/>
        </w:rPr>
        <w:t>, 29 CFR 2520.104b</w:t>
      </w:r>
      <w:r w:rsidRPr="00EA02E4">
        <w:rPr>
          <w:bCs/>
        </w:rPr>
        <w:noBreakHyphen/>
        <w:t>1,</w:t>
      </w:r>
      <w:r w:rsidRPr="00EA02E4" w:rsidR="000B7A90">
        <w:rPr>
          <w:bCs/>
        </w:rPr>
        <w:t xml:space="preserve"> </w:t>
      </w:r>
      <w:r w:rsidRPr="00EA02E4">
        <w:rPr>
          <w:bCs/>
        </w:rPr>
        <w:t xml:space="preserve">facilitating and encouraging </w:t>
      </w:r>
      <w:r w:rsidRPr="00EA02E4" w:rsidR="000B7A90">
        <w:rPr>
          <w:bCs/>
        </w:rPr>
        <w:t>the use of electronic information technology.</w:t>
      </w:r>
    </w:p>
    <w:p w:rsidR="00FC2F3E" w:rsidRPr="00EA02E4" w:rsidP="00AB7117" w14:paraId="2BF2108B" w14:textId="77777777">
      <w:pPr>
        <w:widowControl/>
        <w:ind w:left="360"/>
        <w:rPr>
          <w:bCs/>
        </w:rPr>
      </w:pPr>
    </w:p>
    <w:p w:rsidR="00EA02E4" w:rsidRPr="00AB7117" w:rsidP="00AB7117" w14:paraId="54DE2D6F" w14:textId="616A444C">
      <w:pPr>
        <w:widowControl/>
        <w:numPr>
          <w:ilvl w:val="0"/>
          <w:numId w:val="13"/>
        </w:numPr>
        <w:ind w:left="360"/>
        <w:rPr>
          <w:b/>
          <w:iCs/>
          <w:u w:val="single"/>
        </w:rPr>
      </w:pPr>
      <w:r w:rsidRPr="00AB7117">
        <w:rPr>
          <w:b/>
          <w:iCs/>
          <w:u w:val="single"/>
        </w:rPr>
        <w:t>EFFORTS TO IDENTIFY DUPLICATION</w:t>
      </w:r>
    </w:p>
    <w:p w:rsidR="00FC2F3E" w:rsidRPr="00EA02E4" w:rsidP="00AB7117" w14:paraId="1873AFAF" w14:textId="77777777">
      <w:pPr>
        <w:widowControl/>
        <w:ind w:left="360"/>
        <w:rPr>
          <w:bCs/>
        </w:rPr>
      </w:pPr>
    </w:p>
    <w:p w:rsidR="00FC2F3E" w:rsidRPr="00EA02E4" w:rsidP="00AB7117" w14:paraId="29277902" w14:textId="0B895B00">
      <w:pPr>
        <w:widowControl/>
        <w:ind w:left="360"/>
        <w:rPr>
          <w:bCs/>
        </w:rPr>
      </w:pPr>
      <w:r w:rsidRPr="00EA02E4">
        <w:rPr>
          <w:bCs/>
        </w:rPr>
        <w:t xml:space="preserve">No duplication with other Federal statutes exists. In some circumstances, states </w:t>
      </w:r>
      <w:r w:rsidRPr="00EA02E4" w:rsidR="007A1B61">
        <w:rPr>
          <w:bCs/>
        </w:rPr>
        <w:t>may</w:t>
      </w:r>
      <w:r w:rsidRPr="00EA02E4">
        <w:rPr>
          <w:bCs/>
        </w:rPr>
        <w:t xml:space="preserve"> require substantially similar information to be provided to insured </w:t>
      </w:r>
      <w:r w:rsidR="00513A4F">
        <w:rPr>
          <w:bCs/>
        </w:rPr>
        <w:t>individuals</w:t>
      </w:r>
      <w:r w:rsidRPr="00EA02E4">
        <w:rPr>
          <w:bCs/>
        </w:rPr>
        <w:t xml:space="preserve">. However, no duplication occurs because the same information disclosure </w:t>
      </w:r>
      <w:r w:rsidRPr="00EA02E4" w:rsidR="00BE47A7">
        <w:rPr>
          <w:bCs/>
        </w:rPr>
        <w:t>may be</w:t>
      </w:r>
      <w:r w:rsidRPr="00EA02E4">
        <w:rPr>
          <w:bCs/>
        </w:rPr>
        <w:t xml:space="preserve"> used to satisfy </w:t>
      </w:r>
      <w:r w:rsidRPr="00EA02E4" w:rsidR="00BE47A7">
        <w:rPr>
          <w:bCs/>
        </w:rPr>
        <w:t>duplicative or overlapping</w:t>
      </w:r>
      <w:r w:rsidRPr="00EA02E4">
        <w:rPr>
          <w:bCs/>
        </w:rPr>
        <w:t xml:space="preserve"> requirements.</w:t>
      </w:r>
    </w:p>
    <w:p w:rsidR="00FC2F3E" w:rsidRPr="00EA02E4" w:rsidP="00AB7117" w14:paraId="6A5A1C0D" w14:textId="77777777">
      <w:pPr>
        <w:widowControl/>
        <w:ind w:left="360"/>
        <w:rPr>
          <w:bCs/>
        </w:rPr>
      </w:pPr>
    </w:p>
    <w:p w:rsidR="00EA02E4" w:rsidRPr="00AB7117" w:rsidP="00AB7117" w14:paraId="2F4D24BB" w14:textId="5D918561">
      <w:pPr>
        <w:widowControl/>
        <w:numPr>
          <w:ilvl w:val="0"/>
          <w:numId w:val="13"/>
        </w:numPr>
        <w:ind w:left="360"/>
        <w:rPr>
          <w:b/>
          <w:iCs/>
          <w:u w:val="single"/>
        </w:rPr>
      </w:pPr>
      <w:r w:rsidRPr="00AB7117">
        <w:rPr>
          <w:b/>
          <w:iCs/>
          <w:u w:val="single"/>
        </w:rPr>
        <w:t xml:space="preserve">METHODS TO MINIMIZE BURDEN ON SMALL BUSINESSES OR OTHER SMALL ENTITIES </w:t>
      </w:r>
    </w:p>
    <w:p w:rsidR="00FC2F3E" w:rsidRPr="00EA02E4" w:rsidP="00AB7117" w14:paraId="1DF30A82" w14:textId="3D86D919">
      <w:pPr>
        <w:widowControl/>
        <w:tabs>
          <w:tab w:val="left" w:pos="-1440"/>
        </w:tabs>
        <w:ind w:left="360"/>
        <w:rPr>
          <w:bCs/>
        </w:rPr>
      </w:pPr>
    </w:p>
    <w:p w:rsidR="0061434D" w:rsidRPr="00EA02E4" w:rsidP="00AB7117" w14:paraId="091BFB9D" w14:textId="2A32E68C">
      <w:pPr>
        <w:widowControl/>
        <w:ind w:left="360"/>
        <w:rPr>
          <w:bCs/>
        </w:rPr>
      </w:pPr>
      <w:r w:rsidRPr="00EA02E4">
        <w:rPr>
          <w:bCs/>
        </w:rPr>
        <w:t>The regulation applies to all employee benefit plans and therefore is likely to affect small entities (small business</w:t>
      </w:r>
      <w:r w:rsidRPr="00EA02E4" w:rsidR="00704ED7">
        <w:rPr>
          <w:bCs/>
        </w:rPr>
        <w:t>es and</w:t>
      </w:r>
      <w:r w:rsidRPr="00EA02E4">
        <w:rPr>
          <w:bCs/>
        </w:rPr>
        <w:t xml:space="preserve"> small plans) that provide benefits. </w:t>
      </w:r>
      <w:r w:rsidRPr="00EA02E4" w:rsidR="00F66EA1">
        <w:rPr>
          <w:bCs/>
        </w:rPr>
        <w:t>The Department</w:t>
      </w:r>
      <w:r w:rsidRPr="00EA02E4" w:rsidR="003676E6">
        <w:rPr>
          <w:bCs/>
        </w:rPr>
        <w:t>s</w:t>
      </w:r>
      <w:r w:rsidRPr="00EA02E4" w:rsidR="00B5760C">
        <w:rPr>
          <w:bCs/>
        </w:rPr>
        <w:t xml:space="preserve"> </w:t>
      </w:r>
      <w:r w:rsidRPr="00EA02E4" w:rsidR="00A31DF5">
        <w:rPr>
          <w:bCs/>
        </w:rPr>
        <w:t>considered</w:t>
      </w:r>
      <w:r w:rsidRPr="00EA02E4">
        <w:rPr>
          <w:bCs/>
        </w:rPr>
        <w:t xml:space="preserve"> the potential burden on small entities in structuring the regulation</w:t>
      </w:r>
      <w:r w:rsidRPr="00EA02E4" w:rsidR="00CA3F3C">
        <w:rPr>
          <w:bCs/>
        </w:rPr>
        <w:t>s</w:t>
      </w:r>
      <w:r w:rsidRPr="00EA02E4">
        <w:rPr>
          <w:bCs/>
        </w:rPr>
        <w:t xml:space="preserve"> by </w:t>
      </w:r>
      <w:r w:rsidRPr="00EA02E4" w:rsidR="00343035">
        <w:rPr>
          <w:bCs/>
        </w:rPr>
        <w:t xml:space="preserve">permitting </w:t>
      </w:r>
      <w:r w:rsidRPr="00EA02E4">
        <w:rPr>
          <w:bCs/>
        </w:rPr>
        <w:t xml:space="preserve">plan </w:t>
      </w:r>
      <w:r w:rsidRPr="00EA02E4">
        <w:rPr>
          <w:bCs/>
        </w:rPr>
        <w:t>sponsors</w:t>
      </w:r>
      <w:r w:rsidRPr="00EA02E4">
        <w:rPr>
          <w:bCs/>
        </w:rPr>
        <w:t xml:space="preserve"> the </w:t>
      </w:r>
      <w:r w:rsidRPr="00EA02E4" w:rsidR="00343035">
        <w:rPr>
          <w:bCs/>
        </w:rPr>
        <w:t xml:space="preserve">maximum </w:t>
      </w:r>
      <w:r w:rsidRPr="00EA02E4">
        <w:rPr>
          <w:bCs/>
        </w:rPr>
        <w:t xml:space="preserve">possible </w:t>
      </w:r>
      <w:r w:rsidRPr="00EA02E4" w:rsidR="00343035">
        <w:rPr>
          <w:bCs/>
        </w:rPr>
        <w:t xml:space="preserve">flexibility in </w:t>
      </w:r>
      <w:r w:rsidRPr="00EA02E4">
        <w:rPr>
          <w:bCs/>
        </w:rPr>
        <w:t>designing their plans.</w:t>
      </w:r>
    </w:p>
    <w:p w:rsidR="0061434D" w:rsidRPr="00EA02E4" w:rsidP="00AB7117" w14:paraId="5EF89950" w14:textId="77777777">
      <w:pPr>
        <w:widowControl/>
        <w:ind w:left="360"/>
        <w:rPr>
          <w:bCs/>
        </w:rPr>
      </w:pPr>
    </w:p>
    <w:p w:rsidR="00FC2F3E" w:rsidRPr="00EA02E4" w:rsidP="00AB7117" w14:paraId="296D86B0" w14:textId="5B101C6C">
      <w:pPr>
        <w:widowControl/>
        <w:ind w:left="360"/>
        <w:rPr>
          <w:bCs/>
        </w:rPr>
      </w:pPr>
      <w:r w:rsidRPr="00EA02E4">
        <w:rPr>
          <w:bCs/>
        </w:rPr>
        <w:t xml:space="preserve">For instance, plan sponsors are allowed to </w:t>
      </w:r>
      <w:r w:rsidRPr="00EA02E4" w:rsidR="007A1B61">
        <w:rPr>
          <w:bCs/>
        </w:rPr>
        <w:t>hir</w:t>
      </w:r>
      <w:r w:rsidRPr="00EA02E4">
        <w:rPr>
          <w:bCs/>
        </w:rPr>
        <w:t>e</w:t>
      </w:r>
      <w:r w:rsidRPr="00EA02E4" w:rsidR="007A1B61">
        <w:rPr>
          <w:bCs/>
        </w:rPr>
        <w:t xml:space="preserve"> third-party service providers to carry out these </w:t>
      </w:r>
      <w:r w:rsidR="007B7FDE">
        <w:rPr>
          <w:bCs/>
        </w:rPr>
        <w:t xml:space="preserve">claim </w:t>
      </w:r>
      <w:r w:rsidRPr="00EA02E4" w:rsidR="00343035">
        <w:rPr>
          <w:bCs/>
        </w:rPr>
        <w:t>a</w:t>
      </w:r>
      <w:r w:rsidRPr="00EA02E4" w:rsidR="000F20D7">
        <w:rPr>
          <w:bCs/>
        </w:rPr>
        <w:t>dministration responsibilities</w:t>
      </w:r>
      <w:r w:rsidRPr="00EA02E4" w:rsidR="00567838">
        <w:rPr>
          <w:bCs/>
        </w:rPr>
        <w:t xml:space="preserve">, </w:t>
      </w:r>
      <w:r w:rsidRPr="00EA02E4" w:rsidR="00D32870">
        <w:rPr>
          <w:bCs/>
        </w:rPr>
        <w:t>letting</w:t>
      </w:r>
      <w:r w:rsidRPr="00EA02E4" w:rsidR="00567838">
        <w:rPr>
          <w:bCs/>
        </w:rPr>
        <w:t xml:space="preserve"> them </w:t>
      </w:r>
      <w:r w:rsidRPr="00EA02E4" w:rsidR="007A1B61">
        <w:rPr>
          <w:bCs/>
        </w:rPr>
        <w:t xml:space="preserve">use the </w:t>
      </w:r>
      <w:r w:rsidRPr="00EA02E4" w:rsidR="00343035">
        <w:rPr>
          <w:bCs/>
        </w:rPr>
        <w:t>lowest cost method of compliance</w:t>
      </w:r>
      <w:r w:rsidRPr="00EA02E4" w:rsidR="007A1B61">
        <w:rPr>
          <w:bCs/>
        </w:rPr>
        <w:t xml:space="preserve"> available</w:t>
      </w:r>
      <w:r w:rsidRPr="00EA02E4" w:rsidR="00343035">
        <w:rPr>
          <w:bCs/>
        </w:rPr>
        <w:t xml:space="preserve">. </w:t>
      </w:r>
      <w:r w:rsidRPr="00EA02E4" w:rsidR="007A1B61">
        <w:rPr>
          <w:bCs/>
        </w:rPr>
        <w:t>A</w:t>
      </w:r>
      <w:r w:rsidRPr="00EA02E4" w:rsidR="00343035">
        <w:rPr>
          <w:bCs/>
        </w:rPr>
        <w:t xml:space="preserve"> majority of</w:t>
      </w:r>
      <w:r w:rsidRPr="00EA02E4" w:rsidR="00343035">
        <w:rPr>
          <w:bCs/>
        </w:rPr>
        <w:t xml:space="preserve"> small plans purchase claims administration services from insurers,</w:t>
      </w:r>
      <w:r w:rsidRPr="00EA02E4" w:rsidR="00F86787">
        <w:rPr>
          <w:bCs/>
        </w:rPr>
        <w:t xml:space="preserve"> health maintenance organizations (</w:t>
      </w:r>
      <w:r w:rsidRPr="00EA02E4" w:rsidR="00343035">
        <w:rPr>
          <w:bCs/>
        </w:rPr>
        <w:t>HMOs</w:t>
      </w:r>
      <w:r w:rsidRPr="00EA02E4" w:rsidR="00F86787">
        <w:rPr>
          <w:bCs/>
        </w:rPr>
        <w:t>)</w:t>
      </w:r>
      <w:r w:rsidRPr="00EA02E4" w:rsidR="00343035">
        <w:rPr>
          <w:bCs/>
        </w:rPr>
        <w:t>, and other service providers</w:t>
      </w:r>
      <w:r w:rsidRPr="00EA02E4" w:rsidR="002A45D1">
        <w:rPr>
          <w:bCs/>
        </w:rPr>
        <w:t>.</w:t>
      </w:r>
      <w:r w:rsidRPr="00EA02E4" w:rsidR="007A1B61">
        <w:rPr>
          <w:bCs/>
        </w:rPr>
        <w:t xml:space="preserve"> </w:t>
      </w:r>
      <w:r w:rsidRPr="00EA02E4" w:rsidR="002A45D1">
        <w:rPr>
          <w:bCs/>
        </w:rPr>
        <w:t>T</w:t>
      </w:r>
      <w:r w:rsidRPr="00EA02E4" w:rsidR="00F66EA1">
        <w:rPr>
          <w:bCs/>
        </w:rPr>
        <w:t>he Department</w:t>
      </w:r>
      <w:r w:rsidRPr="00EA02E4" w:rsidR="002A45D1">
        <w:rPr>
          <w:bCs/>
        </w:rPr>
        <w:t>s</w:t>
      </w:r>
      <w:r w:rsidRPr="00EA02E4" w:rsidR="00B5760C">
        <w:rPr>
          <w:bCs/>
        </w:rPr>
        <w:t xml:space="preserve"> </w:t>
      </w:r>
      <w:r w:rsidRPr="00EA02E4" w:rsidR="002830EA">
        <w:rPr>
          <w:bCs/>
        </w:rPr>
        <w:t>ha</w:t>
      </w:r>
      <w:r w:rsidRPr="00EA02E4" w:rsidR="002A45D1">
        <w:rPr>
          <w:bCs/>
        </w:rPr>
        <w:t>ve</w:t>
      </w:r>
      <w:r w:rsidRPr="00EA02E4" w:rsidR="007A1B61">
        <w:rPr>
          <w:bCs/>
        </w:rPr>
        <w:t xml:space="preserve"> taken this fact into account in deriving burden estimates</w:t>
      </w:r>
      <w:r w:rsidRPr="00EA02E4" w:rsidR="00343035">
        <w:rPr>
          <w:bCs/>
        </w:rPr>
        <w:t xml:space="preserve">. </w:t>
      </w:r>
      <w:r w:rsidRPr="00EA02E4" w:rsidR="007A1B61">
        <w:rPr>
          <w:bCs/>
        </w:rPr>
        <w:t>T</w:t>
      </w:r>
      <w:r w:rsidRPr="00EA02E4" w:rsidR="00343035">
        <w:rPr>
          <w:bCs/>
        </w:rPr>
        <w:t xml:space="preserve">hese service providers typically </w:t>
      </w:r>
      <w:r w:rsidRPr="00EA02E4" w:rsidR="007A1B61">
        <w:rPr>
          <w:bCs/>
        </w:rPr>
        <w:t>develop</w:t>
      </w:r>
      <w:r w:rsidRPr="00EA02E4" w:rsidR="00343035">
        <w:rPr>
          <w:bCs/>
        </w:rPr>
        <w:t xml:space="preserve"> a single claims processing system to </w:t>
      </w:r>
      <w:r w:rsidR="00C6660A">
        <w:rPr>
          <w:bCs/>
        </w:rPr>
        <w:t>serve</w:t>
      </w:r>
      <w:r w:rsidRPr="00EA02E4" w:rsidR="00343035">
        <w:rPr>
          <w:bCs/>
        </w:rPr>
        <w:t xml:space="preserve"> </w:t>
      </w:r>
      <w:r w:rsidRPr="00EA02E4" w:rsidR="00343035">
        <w:rPr>
          <w:bCs/>
        </w:rPr>
        <w:t>a large number of</w:t>
      </w:r>
      <w:r w:rsidRPr="00EA02E4" w:rsidR="00343035">
        <w:rPr>
          <w:bCs/>
        </w:rPr>
        <w:t xml:space="preserve"> customers, including small entities. Thus, the </w:t>
      </w:r>
      <w:r w:rsidRPr="00EA02E4" w:rsidR="0044148A">
        <w:rPr>
          <w:bCs/>
        </w:rPr>
        <w:t>infrast</w:t>
      </w:r>
      <w:r w:rsidRPr="00EA02E4" w:rsidR="00D46AEC">
        <w:rPr>
          <w:bCs/>
        </w:rPr>
        <w:t>r</w:t>
      </w:r>
      <w:r w:rsidRPr="00EA02E4" w:rsidR="0044148A">
        <w:rPr>
          <w:bCs/>
        </w:rPr>
        <w:t>uct</w:t>
      </w:r>
      <w:r w:rsidRPr="00EA02E4" w:rsidR="00D46AEC">
        <w:rPr>
          <w:bCs/>
        </w:rPr>
        <w:t>u</w:t>
      </w:r>
      <w:r w:rsidRPr="00EA02E4" w:rsidR="0044148A">
        <w:rPr>
          <w:bCs/>
        </w:rPr>
        <w:t xml:space="preserve">re </w:t>
      </w:r>
      <w:r w:rsidRPr="00EA02E4" w:rsidR="00343035">
        <w:rPr>
          <w:bCs/>
        </w:rPr>
        <w:t xml:space="preserve">cost </w:t>
      </w:r>
      <w:r w:rsidRPr="00EA02E4" w:rsidR="00494FBD">
        <w:rPr>
          <w:bCs/>
        </w:rPr>
        <w:t>for this information collection</w:t>
      </w:r>
      <w:r w:rsidRPr="00EA02E4" w:rsidR="00343035">
        <w:rPr>
          <w:bCs/>
        </w:rPr>
        <w:t xml:space="preserve"> is spread thinly over </w:t>
      </w:r>
      <w:r w:rsidRPr="00EA02E4" w:rsidR="00343035">
        <w:rPr>
          <w:bCs/>
        </w:rPr>
        <w:t>a large number of</w:t>
      </w:r>
      <w:r w:rsidRPr="00EA02E4" w:rsidR="00343035">
        <w:rPr>
          <w:bCs/>
        </w:rPr>
        <w:t xml:space="preserve"> small plans. Moreover, small plans and their respective enrollees benefit equally from </w:t>
      </w:r>
      <w:r w:rsidRPr="00EA02E4" w:rsidR="0023492D">
        <w:rPr>
          <w:bCs/>
        </w:rPr>
        <w:t xml:space="preserve">the service provider’s expertise and ability to provide </w:t>
      </w:r>
      <w:r w:rsidRPr="00EA02E4" w:rsidR="00343035">
        <w:rPr>
          <w:bCs/>
        </w:rPr>
        <w:t>improved accuracy and timeliness in clai</w:t>
      </w:r>
      <w:r w:rsidRPr="00EA02E4" w:rsidR="000F20D7">
        <w:rPr>
          <w:bCs/>
        </w:rPr>
        <w:t>ms and appeals determinations.</w:t>
      </w:r>
    </w:p>
    <w:p w:rsidR="00343035" w:rsidRPr="00EA02E4" w:rsidP="00AB7117" w14:paraId="69D4D3EB" w14:textId="77777777">
      <w:pPr>
        <w:widowControl/>
        <w:ind w:left="360"/>
        <w:rPr>
          <w:bCs/>
        </w:rPr>
      </w:pPr>
    </w:p>
    <w:p w:rsidR="00EA02E4" w:rsidRPr="00AB7117" w:rsidP="00AB7117" w14:paraId="015EAD96" w14:textId="1D737700">
      <w:pPr>
        <w:widowControl/>
        <w:numPr>
          <w:ilvl w:val="0"/>
          <w:numId w:val="13"/>
        </w:numPr>
        <w:ind w:left="360"/>
        <w:rPr>
          <w:b/>
          <w:iCs/>
          <w:u w:val="single"/>
        </w:rPr>
      </w:pPr>
      <w:r w:rsidRPr="00AB7117">
        <w:rPr>
          <w:b/>
          <w:iCs/>
          <w:u w:val="single"/>
        </w:rPr>
        <w:t>CONSEQUENCES OF LESS FREQUENT COLLECTION ON FEDERAL PROGRAMS OR POLICY ACTIVITIES</w:t>
      </w:r>
    </w:p>
    <w:p w:rsidR="00FC2F3E" w:rsidRPr="00EA02E4" w:rsidP="00AB7117" w14:paraId="46B1D618" w14:textId="77777777">
      <w:pPr>
        <w:widowControl/>
        <w:ind w:left="360"/>
        <w:rPr>
          <w:bCs/>
        </w:rPr>
      </w:pPr>
    </w:p>
    <w:p w:rsidR="00A26957" w:rsidRPr="00EA02E4" w:rsidP="00AB7117" w14:paraId="6185C8BD" w14:textId="64B5B474">
      <w:pPr>
        <w:widowControl/>
        <w:ind w:left="360"/>
        <w:rPr>
          <w:bCs/>
        </w:rPr>
      </w:pPr>
      <w:r w:rsidRPr="00EA02E4">
        <w:rPr>
          <w:bCs/>
        </w:rPr>
        <w:t>Th</w:t>
      </w:r>
      <w:r w:rsidRPr="00EA02E4" w:rsidR="000F20D7">
        <w:rPr>
          <w:bCs/>
        </w:rPr>
        <w:t xml:space="preserve">e </w:t>
      </w:r>
      <w:r w:rsidR="000A61BB">
        <w:rPr>
          <w:bCs/>
        </w:rPr>
        <w:t>regulations consist of third-party disclosure and recordkeeping requirements that</w:t>
      </w:r>
      <w:r w:rsidRPr="00EA02E4" w:rsidR="000F20D7">
        <w:rPr>
          <w:bCs/>
        </w:rPr>
        <w:t xml:space="preserve"> arise </w:t>
      </w:r>
      <w:r w:rsidRPr="00EA02E4" w:rsidR="006C478C">
        <w:rPr>
          <w:bCs/>
        </w:rPr>
        <w:t xml:space="preserve">when </w:t>
      </w:r>
      <w:r w:rsidRPr="00EA02E4">
        <w:rPr>
          <w:bCs/>
        </w:rPr>
        <w:t>individual claims for benefits</w:t>
      </w:r>
      <w:r w:rsidRPr="00EA02E4" w:rsidR="000F20D7">
        <w:rPr>
          <w:bCs/>
        </w:rPr>
        <w:t xml:space="preserve"> </w:t>
      </w:r>
      <w:r w:rsidRPr="00EA02E4" w:rsidR="006C478C">
        <w:rPr>
          <w:bCs/>
        </w:rPr>
        <w:t>occur</w:t>
      </w:r>
      <w:r w:rsidRPr="00EA02E4">
        <w:rPr>
          <w:bCs/>
        </w:rPr>
        <w:t xml:space="preserve">. No information is reported to the Federal </w:t>
      </w:r>
      <w:r w:rsidR="000A61BB">
        <w:rPr>
          <w:bCs/>
        </w:rPr>
        <w:t>G</w:t>
      </w:r>
      <w:r w:rsidRPr="00EA02E4">
        <w:rPr>
          <w:bCs/>
        </w:rPr>
        <w:t xml:space="preserve">overnment. Every claim event is normally of importance to </w:t>
      </w:r>
      <w:r w:rsidRPr="00EA02E4" w:rsidR="0023492D">
        <w:rPr>
          <w:bCs/>
        </w:rPr>
        <w:t>the specific participant who relies</w:t>
      </w:r>
      <w:r w:rsidRPr="00EA02E4">
        <w:rPr>
          <w:bCs/>
        </w:rPr>
        <w:t xml:space="preserve"> on </w:t>
      </w:r>
      <w:r w:rsidRPr="00EA02E4" w:rsidR="0023492D">
        <w:rPr>
          <w:bCs/>
        </w:rPr>
        <w:t>an employee benefit plan to provide the promised benefit</w:t>
      </w:r>
      <w:r w:rsidRPr="00EA02E4">
        <w:rPr>
          <w:bCs/>
        </w:rPr>
        <w:t>. The information collection provisions of</w:t>
      </w:r>
      <w:r w:rsidRPr="00EA02E4" w:rsidR="0023492D">
        <w:rPr>
          <w:bCs/>
        </w:rPr>
        <w:t xml:space="preserve"> the regulation </w:t>
      </w:r>
      <w:r w:rsidRPr="00EA02E4" w:rsidR="000F20D7">
        <w:rPr>
          <w:bCs/>
        </w:rPr>
        <w:t>ensure that</w:t>
      </w:r>
      <w:r w:rsidRPr="00EA02E4">
        <w:rPr>
          <w:bCs/>
        </w:rPr>
        <w:t xml:space="preserve"> sufficient information </w:t>
      </w:r>
      <w:r w:rsidRPr="00EA02E4" w:rsidR="000F20D7">
        <w:rPr>
          <w:bCs/>
        </w:rPr>
        <w:t>is</w:t>
      </w:r>
      <w:r w:rsidRPr="00EA02E4">
        <w:rPr>
          <w:bCs/>
        </w:rPr>
        <w:t xml:space="preserve"> provided to: </w:t>
      </w:r>
    </w:p>
    <w:p w:rsidR="00A26957" w:rsidRPr="00EA02E4" w:rsidP="00AB7117" w14:paraId="49F9ECD0" w14:textId="232DD157">
      <w:pPr>
        <w:pStyle w:val="ListParagraph"/>
        <w:widowControl/>
        <w:numPr>
          <w:ilvl w:val="0"/>
          <w:numId w:val="10"/>
        </w:numPr>
        <w:ind w:left="360" w:firstLine="0"/>
        <w:rPr>
          <w:bCs/>
        </w:rPr>
      </w:pPr>
      <w:r w:rsidRPr="00EA02E4">
        <w:rPr>
          <w:bCs/>
        </w:rPr>
        <w:t xml:space="preserve">participants and beneficiaries so that they may fully exercise their rights under their employee benefit plans, and </w:t>
      </w:r>
    </w:p>
    <w:p w:rsidR="00A26957" w:rsidRPr="00EA02E4" w:rsidP="00AB7117" w14:paraId="22B8C1AC" w14:textId="2FC4CA60">
      <w:pPr>
        <w:pStyle w:val="ListParagraph"/>
        <w:widowControl/>
        <w:numPr>
          <w:ilvl w:val="0"/>
          <w:numId w:val="10"/>
        </w:numPr>
        <w:ind w:left="360" w:firstLine="0"/>
        <w:rPr>
          <w:bCs/>
        </w:rPr>
      </w:pPr>
      <w:r w:rsidRPr="00EA02E4">
        <w:rPr>
          <w:bCs/>
        </w:rPr>
        <w:t>fiduciaries responsible for operating plans in accordance with their terms.</w:t>
      </w:r>
      <w:r w:rsidRPr="00EA02E4" w:rsidR="00E812F5">
        <w:rPr>
          <w:bCs/>
        </w:rPr>
        <w:t xml:space="preserve"> </w:t>
      </w:r>
    </w:p>
    <w:p w:rsidR="00A26957" w:rsidRPr="00EA02E4" w:rsidP="00AB7117" w14:paraId="79B9AF60" w14:textId="77777777">
      <w:pPr>
        <w:widowControl/>
        <w:ind w:left="360"/>
        <w:rPr>
          <w:bCs/>
        </w:rPr>
      </w:pPr>
    </w:p>
    <w:p w:rsidR="00FC2F3E" w:rsidRPr="00EA02E4" w:rsidP="00AB7117" w14:paraId="2F6F34C1" w14:textId="2B230669">
      <w:pPr>
        <w:widowControl/>
        <w:ind w:left="360"/>
        <w:rPr>
          <w:bCs/>
        </w:rPr>
      </w:pPr>
      <w:r w:rsidRPr="00EA02E4">
        <w:rPr>
          <w:bCs/>
        </w:rPr>
        <w:t>If this collection is not conducted or is conducted less frequently, participants and beneficiaries will not have the information necessary to fully exercise their rights and plan fiduciaries will not be able to responsibly operate their plans.</w:t>
      </w:r>
    </w:p>
    <w:p w:rsidR="00FC2F3E" w:rsidRPr="00EA02E4" w:rsidP="00AB7117" w14:paraId="5847A861" w14:textId="77777777">
      <w:pPr>
        <w:pStyle w:val="Header"/>
        <w:widowControl/>
        <w:tabs>
          <w:tab w:val="clear" w:pos="4320"/>
          <w:tab w:val="clear" w:pos="8640"/>
        </w:tabs>
        <w:ind w:left="360"/>
        <w:rPr>
          <w:bCs/>
        </w:rPr>
      </w:pPr>
    </w:p>
    <w:p w:rsidR="00EA02E4" w:rsidRPr="00AB7117" w:rsidP="00AB7117" w14:paraId="08C765B5" w14:textId="6FB120FF">
      <w:pPr>
        <w:widowControl/>
        <w:numPr>
          <w:ilvl w:val="0"/>
          <w:numId w:val="13"/>
        </w:numPr>
        <w:ind w:left="360"/>
        <w:rPr>
          <w:b/>
          <w:iCs/>
          <w:u w:val="single"/>
        </w:rPr>
      </w:pPr>
      <w:r w:rsidRPr="00AB7117">
        <w:rPr>
          <w:b/>
          <w:iCs/>
          <w:u w:val="single"/>
        </w:rPr>
        <w:t>SPECIAL CIRCUMSTANCES REQUIRING DATA COLLECTION TO BE INCONSISTENT WITH GUIDELINES IN 5 CFR 1320.5(d)(2)</w:t>
      </w:r>
    </w:p>
    <w:p w:rsidR="00FC2F3E" w:rsidRPr="00EA02E4" w:rsidP="00AB7117" w14:paraId="29F1783A" w14:textId="77777777">
      <w:pPr>
        <w:widowControl/>
        <w:ind w:left="360"/>
        <w:rPr>
          <w:bCs/>
        </w:rPr>
      </w:pPr>
    </w:p>
    <w:p w:rsidR="00B67E43" w:rsidRPr="00EA02E4" w:rsidP="00AB7117" w14:paraId="2F9E070A" w14:textId="238823F1">
      <w:pPr>
        <w:widowControl/>
        <w:ind w:left="360"/>
        <w:rPr>
          <w:bCs/>
        </w:rPr>
      </w:pPr>
      <w:r w:rsidRPr="006A29FD">
        <w:rPr>
          <w:bCs/>
        </w:rPr>
        <w:t xml:space="preserve">26 CFR 54.9815-2719 incorporates the DOL claims procedure regulation at 29 CFR 2560.503-1 for internal claims and appeals processes. </w:t>
      </w:r>
      <w:r>
        <w:rPr>
          <w:bCs/>
        </w:rPr>
        <w:t>As reflected in the footnote</w:t>
      </w:r>
      <w:r w:rsidR="00223965">
        <w:rPr>
          <w:bCs/>
        </w:rPr>
        <w:t>s</w:t>
      </w:r>
      <w:r>
        <w:rPr>
          <w:bCs/>
        </w:rPr>
        <w:t>, the incorporated regulation</w:t>
      </w:r>
      <w:r w:rsidRPr="00EA02E4" w:rsidR="00DF487C">
        <w:rPr>
          <w:bCs/>
        </w:rPr>
        <w:t xml:space="preserve"> </w:t>
      </w:r>
      <w:r w:rsidRPr="00EA02E4" w:rsidR="00DF487C">
        <w:rPr>
          <w:bCs/>
        </w:rPr>
        <w:t>impose</w:t>
      </w:r>
      <w:r w:rsidRPr="00EA02E4" w:rsidR="00DF487C">
        <w:rPr>
          <w:bCs/>
        </w:rPr>
        <w:t xml:space="preserve"> special timing requirements </w:t>
      </w:r>
      <w:r w:rsidRPr="00EA02E4" w:rsidR="007E3107">
        <w:rPr>
          <w:bCs/>
        </w:rPr>
        <w:t>for</w:t>
      </w:r>
      <w:r w:rsidRPr="00EA02E4" w:rsidR="00DF487C">
        <w:rPr>
          <w:bCs/>
        </w:rPr>
        <w:t xml:space="preserve"> the handling of claims under group health plans. Depending on </w:t>
      </w:r>
      <w:r w:rsidRPr="00EA02E4" w:rsidR="007E3107">
        <w:rPr>
          <w:bCs/>
        </w:rPr>
        <w:t xml:space="preserve">circumstances indicating </w:t>
      </w:r>
      <w:r w:rsidRPr="00EA02E4" w:rsidR="00DF487C">
        <w:rPr>
          <w:bCs/>
        </w:rPr>
        <w:t xml:space="preserve">the urgency of the need for a </w:t>
      </w:r>
      <w:r w:rsidRPr="00EA02E4" w:rsidR="00DF487C">
        <w:rPr>
          <w:bCs/>
        </w:rPr>
        <w:t>claims</w:t>
      </w:r>
      <w:r w:rsidRPr="00EA02E4" w:rsidR="00DF487C">
        <w:rPr>
          <w:bCs/>
        </w:rPr>
        <w:t xml:space="preserve"> decision, g</w:t>
      </w:r>
      <w:r w:rsidRPr="00EA02E4" w:rsidR="00D83B51">
        <w:rPr>
          <w:bCs/>
        </w:rPr>
        <w:t xml:space="preserve">roup health plans </w:t>
      </w:r>
      <w:r w:rsidRPr="00EA02E4" w:rsidR="007E3107">
        <w:rPr>
          <w:bCs/>
        </w:rPr>
        <w:t>may be required to</w:t>
      </w:r>
      <w:r w:rsidRPr="00EA02E4" w:rsidR="00D83B51">
        <w:rPr>
          <w:bCs/>
        </w:rPr>
        <w:t xml:space="preserve"> notify claimants about health benefit </w:t>
      </w:r>
      <w:r w:rsidRPr="00EA02E4" w:rsidR="00DF487C">
        <w:rPr>
          <w:bCs/>
        </w:rPr>
        <w:t xml:space="preserve">claim </w:t>
      </w:r>
      <w:r w:rsidRPr="00EA02E4" w:rsidR="00D83B51">
        <w:rPr>
          <w:bCs/>
        </w:rPr>
        <w:t>determinations</w:t>
      </w:r>
      <w:r w:rsidRPr="00EA02E4" w:rsidR="00D83B51">
        <w:rPr>
          <w:bCs/>
        </w:rPr>
        <w:t xml:space="preserve"> in fewer than 30 days.</w:t>
      </w:r>
    </w:p>
    <w:p w:rsidR="00B67E43" w:rsidRPr="00EA02E4" w:rsidP="00AB7117" w14:paraId="5C80C66D" w14:textId="77777777">
      <w:pPr>
        <w:widowControl/>
        <w:ind w:left="360"/>
        <w:rPr>
          <w:bCs/>
        </w:rPr>
      </w:pPr>
    </w:p>
    <w:p w:rsidR="00B67E43" w:rsidRPr="00EA02E4" w:rsidP="00AB7117" w14:paraId="53491B7D" w14:textId="7F22FB0F">
      <w:pPr>
        <w:widowControl/>
        <w:ind w:left="360"/>
        <w:rPr>
          <w:bCs/>
        </w:rPr>
      </w:pPr>
      <w:r w:rsidRPr="00EA02E4">
        <w:rPr>
          <w:bCs/>
        </w:rPr>
        <w:t xml:space="preserve">First, for claims involving “urgent care,” the regulation requires, in general, that claimants be notified of health benefit determinations “as soon as possible, </w:t>
      </w:r>
      <w:r w:rsidRPr="00EA02E4" w:rsidR="008F574A">
        <w:rPr>
          <w:bCs/>
        </w:rPr>
        <w:t>taking into account the medical exigencies,</w:t>
      </w:r>
      <w:r w:rsidRPr="00EA02E4">
        <w:rPr>
          <w:bCs/>
        </w:rPr>
        <w:t xml:space="preserve"> but not later than 72 hours after receipt of the claim by the plan</w:t>
      </w:r>
      <w:r w:rsidRPr="00EA02E4" w:rsidR="00F92F69">
        <w:rPr>
          <w:bCs/>
        </w:rPr>
        <w:t xml:space="preserve"> [</w:t>
      </w:r>
      <w:r w:rsidRPr="00EA02E4">
        <w:rPr>
          <w:bCs/>
        </w:rPr>
        <w:t>...</w:t>
      </w:r>
      <w:r w:rsidRPr="00EA02E4" w:rsidR="00F92F69">
        <w:rPr>
          <w:bCs/>
        </w:rPr>
        <w:t>]</w:t>
      </w:r>
      <w:r w:rsidRPr="00EA02E4">
        <w:rPr>
          <w:bCs/>
        </w:rPr>
        <w:t>”.</w:t>
      </w:r>
      <w:r>
        <w:rPr>
          <w:rStyle w:val="FootnoteReference"/>
          <w:bCs/>
          <w:vertAlign w:val="superscript"/>
        </w:rPr>
        <w:footnoteReference w:id="4"/>
      </w:r>
      <w:r w:rsidRPr="00EA02E4" w:rsidR="00740FB6">
        <w:rPr>
          <w:bCs/>
          <w:vertAlign w:val="superscript"/>
        </w:rPr>
        <w:t xml:space="preserve"> </w:t>
      </w:r>
      <w:r w:rsidRPr="00EA02E4">
        <w:rPr>
          <w:bCs/>
        </w:rPr>
        <w:t>In cases involving urgent care where the health claim is a request to extend the time period or number of treatments of ongoing medical care</w:t>
      </w:r>
      <w:r w:rsidRPr="00EA02E4" w:rsidR="002A6D03">
        <w:rPr>
          <w:bCs/>
        </w:rPr>
        <w:t xml:space="preserve"> (referred to as “concurrent care decisions”</w:t>
      </w:r>
      <w:r w:rsidRPr="00EA02E4" w:rsidR="00C80400">
        <w:rPr>
          <w:bCs/>
        </w:rPr>
        <w:t>)</w:t>
      </w:r>
      <w:r w:rsidRPr="00EA02E4">
        <w:rPr>
          <w:bCs/>
        </w:rPr>
        <w:t>, this period is 24 hours.</w:t>
      </w:r>
      <w:r>
        <w:rPr>
          <w:rStyle w:val="FootnoteReference"/>
          <w:bCs/>
          <w:vertAlign w:val="superscript"/>
        </w:rPr>
        <w:footnoteReference w:id="5"/>
      </w:r>
      <w:r w:rsidRPr="00EA02E4" w:rsidR="00740FB6">
        <w:rPr>
          <w:bCs/>
          <w:vertAlign w:val="superscript"/>
        </w:rPr>
        <w:t xml:space="preserve"> </w:t>
      </w:r>
    </w:p>
    <w:p w:rsidR="00B67E43" w:rsidRPr="00EA02E4" w:rsidP="00AB7117" w14:paraId="36B066B9" w14:textId="77777777">
      <w:pPr>
        <w:widowControl/>
        <w:ind w:left="360"/>
        <w:rPr>
          <w:bCs/>
        </w:rPr>
      </w:pPr>
    </w:p>
    <w:p w:rsidR="00FC2F3E" w:rsidRPr="00EA02E4" w:rsidP="00AB7117" w14:paraId="286198A8" w14:textId="731C5F54">
      <w:pPr>
        <w:widowControl/>
        <w:ind w:left="360"/>
        <w:rPr>
          <w:bCs/>
        </w:rPr>
      </w:pPr>
      <w:r w:rsidRPr="00EA02E4">
        <w:rPr>
          <w:bCs/>
        </w:rPr>
        <w:t>Second, for “pre-service” claims, the regulation requires that claimants be notified of health benefit determinations “within a reasonable period of time appropriate to the medi</w:t>
      </w:r>
      <w:r w:rsidRPr="00EA02E4" w:rsidR="0009069B">
        <w:rPr>
          <w:bCs/>
        </w:rPr>
        <w:t>c</w:t>
      </w:r>
      <w:r w:rsidRPr="00EA02E4">
        <w:rPr>
          <w:bCs/>
        </w:rPr>
        <w:t>al circumstances,</w:t>
      </w:r>
      <w:r w:rsidRPr="00EA02E4" w:rsidR="00B67E43">
        <w:rPr>
          <w:bCs/>
        </w:rPr>
        <w:t xml:space="preserve"> but</w:t>
      </w:r>
      <w:r w:rsidRPr="00EA02E4">
        <w:rPr>
          <w:bCs/>
        </w:rPr>
        <w:t xml:space="preserve"> not later than 15 days after receipt of the claim by the plan</w:t>
      </w:r>
      <w:r w:rsidRPr="00EA02E4" w:rsidR="00B67E43">
        <w:rPr>
          <w:bCs/>
        </w:rPr>
        <w:t>.”</w:t>
      </w:r>
      <w:r>
        <w:rPr>
          <w:rStyle w:val="FootnoteReference"/>
          <w:bCs/>
          <w:vertAlign w:val="superscript"/>
        </w:rPr>
        <w:footnoteReference w:id="6"/>
      </w:r>
      <w:r w:rsidRPr="00EA02E4" w:rsidR="00B67E43">
        <w:rPr>
          <w:bCs/>
        </w:rPr>
        <w:t xml:space="preserve"> </w:t>
      </w:r>
      <w:r w:rsidRPr="00EA02E4" w:rsidR="000F20D7">
        <w:rPr>
          <w:bCs/>
        </w:rPr>
        <w:t>Pre-service claims involve plan requirements that a claimant obtain approval from the plan prior to receiving health care services or products in order to maintain eligibility for benefits.</w:t>
      </w:r>
    </w:p>
    <w:p w:rsidR="0009069B" w:rsidRPr="00EA02E4" w:rsidP="00AB7117" w14:paraId="432A2984" w14:textId="77777777">
      <w:pPr>
        <w:widowControl/>
        <w:ind w:left="360"/>
        <w:rPr>
          <w:bCs/>
        </w:rPr>
      </w:pPr>
    </w:p>
    <w:p w:rsidR="006D6FAC" w:rsidRPr="00EA02E4" w:rsidP="00AB7117" w14:paraId="4387878B" w14:textId="0AABA51C">
      <w:pPr>
        <w:widowControl/>
        <w:ind w:left="360"/>
        <w:rPr>
          <w:bCs/>
        </w:rPr>
      </w:pPr>
      <w:r w:rsidRPr="00EA02E4">
        <w:rPr>
          <w:bCs/>
        </w:rPr>
        <w:t>Third, for “post-service” health benefit claims, the regulation requires notification of an adverse benefit determination “within a reasonable period of time, but not later than 30 days after receipt of the claim.”</w:t>
      </w:r>
      <w:r>
        <w:rPr>
          <w:rStyle w:val="FootnoteReference"/>
          <w:bCs/>
          <w:vertAlign w:val="superscript"/>
        </w:rPr>
        <w:footnoteReference w:id="7"/>
      </w:r>
      <w:r w:rsidRPr="00EA02E4">
        <w:rPr>
          <w:bCs/>
        </w:rPr>
        <w:t xml:space="preserve"> Even though 30 days is the </w:t>
      </w:r>
      <w:r w:rsidRPr="00EA02E4" w:rsidR="004B3B02">
        <w:rPr>
          <w:bCs/>
        </w:rPr>
        <w:t>maximum response time</w:t>
      </w:r>
      <w:r w:rsidRPr="00EA02E4">
        <w:rPr>
          <w:bCs/>
        </w:rPr>
        <w:t xml:space="preserve"> for these claims, a plan </w:t>
      </w:r>
      <w:r w:rsidRPr="00EA02E4" w:rsidR="000F20D7">
        <w:rPr>
          <w:bCs/>
        </w:rPr>
        <w:t>must</w:t>
      </w:r>
      <w:r w:rsidRPr="00EA02E4">
        <w:rPr>
          <w:bCs/>
        </w:rPr>
        <w:t xml:space="preserve"> provide </w:t>
      </w:r>
      <w:r w:rsidRPr="00EA02E4" w:rsidR="000F20D7">
        <w:rPr>
          <w:bCs/>
        </w:rPr>
        <w:t>a</w:t>
      </w:r>
      <w:r w:rsidRPr="00EA02E4">
        <w:rPr>
          <w:bCs/>
        </w:rPr>
        <w:t xml:space="preserve"> determination sooner if it is reasonable to do so.</w:t>
      </w:r>
      <w:r w:rsidRPr="00EA02E4" w:rsidR="00740FB6">
        <w:rPr>
          <w:bCs/>
        </w:rPr>
        <w:t xml:space="preserve"> </w:t>
      </w:r>
      <w:r w:rsidRPr="00EA02E4">
        <w:rPr>
          <w:bCs/>
        </w:rPr>
        <w:t xml:space="preserve">Disability benefit claims </w:t>
      </w:r>
      <w:r w:rsidRPr="00EA02E4" w:rsidR="004B3B02">
        <w:rPr>
          <w:bCs/>
        </w:rPr>
        <w:t>are subject to a</w:t>
      </w:r>
      <w:r w:rsidRPr="00EA02E4">
        <w:rPr>
          <w:bCs/>
        </w:rPr>
        <w:t xml:space="preserve"> similar construct, except that the maximum response time is 45 days.</w:t>
      </w:r>
      <w:r>
        <w:rPr>
          <w:rStyle w:val="FootnoteReference"/>
          <w:bCs/>
          <w:vertAlign w:val="superscript"/>
        </w:rPr>
        <w:footnoteReference w:id="8"/>
      </w:r>
    </w:p>
    <w:p w:rsidR="006D6FAC" w:rsidRPr="00EA02E4" w:rsidP="00AB7117" w14:paraId="4167AA20" w14:textId="77777777">
      <w:pPr>
        <w:widowControl/>
        <w:ind w:left="360"/>
        <w:rPr>
          <w:bCs/>
        </w:rPr>
      </w:pPr>
    </w:p>
    <w:p w:rsidR="0009069B" w:rsidRPr="00EA02E4" w:rsidP="00AB7117" w14:paraId="40F6642B" w14:textId="77777777">
      <w:pPr>
        <w:widowControl/>
        <w:ind w:left="360"/>
        <w:rPr>
          <w:bCs/>
        </w:rPr>
      </w:pPr>
      <w:r w:rsidRPr="00EA02E4">
        <w:rPr>
          <w:bCs/>
        </w:rPr>
        <w:t xml:space="preserve">Appeals of </w:t>
      </w:r>
      <w:r w:rsidRPr="00EA02E4">
        <w:rPr>
          <w:bCs/>
        </w:rPr>
        <w:t>denied claims</w:t>
      </w:r>
      <w:r w:rsidRPr="00EA02E4">
        <w:rPr>
          <w:bCs/>
        </w:rPr>
        <w:t xml:space="preserve"> must be decided within similar</w:t>
      </w:r>
      <w:r w:rsidRPr="00EA02E4" w:rsidR="007E3107">
        <w:rPr>
          <w:bCs/>
        </w:rPr>
        <w:t>, short</w:t>
      </w:r>
      <w:r w:rsidRPr="00EA02E4">
        <w:rPr>
          <w:bCs/>
        </w:rPr>
        <w:t xml:space="preserve"> time limits.</w:t>
      </w:r>
    </w:p>
    <w:p w:rsidR="00382728" w:rsidRPr="00EA02E4" w:rsidP="00AB7117" w14:paraId="476D9798" w14:textId="77777777">
      <w:pPr>
        <w:widowControl/>
        <w:ind w:left="360"/>
        <w:rPr>
          <w:bCs/>
        </w:rPr>
      </w:pPr>
    </w:p>
    <w:p w:rsidR="009938EB" w:rsidRPr="00EA02E4" w:rsidP="00AB7117" w14:paraId="525D711E" w14:textId="243CA6D9">
      <w:pPr>
        <w:widowControl/>
        <w:ind w:left="360"/>
        <w:rPr>
          <w:bCs/>
        </w:rPr>
      </w:pPr>
      <w:r w:rsidRPr="00EA02E4">
        <w:rPr>
          <w:bCs/>
        </w:rPr>
        <w:t xml:space="preserve">These </w:t>
      </w:r>
      <w:r w:rsidRPr="00EA02E4" w:rsidR="006D6FAC">
        <w:rPr>
          <w:bCs/>
        </w:rPr>
        <w:t>timing requirements</w:t>
      </w:r>
      <w:r w:rsidRPr="00EA02E4">
        <w:rPr>
          <w:bCs/>
        </w:rPr>
        <w:t xml:space="preserve"> are reasonably related to important policy objectives</w:t>
      </w:r>
      <w:r w:rsidRPr="00EA02E4" w:rsidR="006D6FAC">
        <w:rPr>
          <w:bCs/>
        </w:rPr>
        <w:t xml:space="preserve"> in an area of important public concern</w:t>
      </w:r>
      <w:r w:rsidRPr="00EA02E4">
        <w:rPr>
          <w:bCs/>
        </w:rPr>
        <w:t xml:space="preserve">. For example, the shortest time frame for “urgent care” claims </w:t>
      </w:r>
      <w:r w:rsidRPr="00EA02E4">
        <w:rPr>
          <w:bCs/>
        </w:rPr>
        <w:t xml:space="preserve">applies only </w:t>
      </w:r>
      <w:r w:rsidRPr="00EA02E4">
        <w:rPr>
          <w:bCs/>
        </w:rPr>
        <w:t>under circumstances in which</w:t>
      </w:r>
      <w:r w:rsidRPr="00EA02E4">
        <w:rPr>
          <w:bCs/>
        </w:rPr>
        <w:t xml:space="preserve"> delay could seriously jeopardize the life or health of the claimant or the ability of the claimant to regain maximum function, or </w:t>
      </w:r>
      <w:r w:rsidRPr="00EA02E4" w:rsidR="006D6FAC">
        <w:rPr>
          <w:bCs/>
        </w:rPr>
        <w:t xml:space="preserve">where delay </w:t>
      </w:r>
      <w:r w:rsidRPr="00EA02E4">
        <w:rPr>
          <w:bCs/>
        </w:rPr>
        <w:t xml:space="preserve">would subject the claimant to severe pain. </w:t>
      </w:r>
      <w:r w:rsidRPr="00EA02E4" w:rsidR="006D6FAC">
        <w:rPr>
          <w:bCs/>
        </w:rPr>
        <w:t xml:space="preserve">The next shortest time frame applies </w:t>
      </w:r>
      <w:r w:rsidRPr="00EA02E4" w:rsidR="006D6FAC">
        <w:rPr>
          <w:bCs/>
        </w:rPr>
        <w:t>under circumstances in which</w:t>
      </w:r>
      <w:r w:rsidRPr="00EA02E4" w:rsidR="006D6FAC">
        <w:rPr>
          <w:bCs/>
        </w:rPr>
        <w:t xml:space="preserve"> medical care, while not urgent, has not been provided to a claimant who needs treatment for a medical problem and where the plan itself requires pre-approval of </w:t>
      </w:r>
      <w:r w:rsidRPr="00EA02E4" w:rsidR="006D6FAC">
        <w:rPr>
          <w:bCs/>
        </w:rPr>
        <w:t>the medical</w:t>
      </w:r>
      <w:r w:rsidRPr="00EA02E4" w:rsidR="006D6FAC">
        <w:rPr>
          <w:bCs/>
        </w:rPr>
        <w:t xml:space="preserve"> care before providing coverage. Post-service health claims and disability </w:t>
      </w:r>
      <w:r w:rsidRPr="00EA02E4" w:rsidR="006D6FAC">
        <w:rPr>
          <w:bCs/>
        </w:rPr>
        <w:t>claims</w:t>
      </w:r>
      <w:r w:rsidRPr="00EA02E4" w:rsidR="006D6FAC">
        <w:rPr>
          <w:bCs/>
        </w:rPr>
        <w:t xml:space="preserve"> also involve important concerns relating to the sick and disabled, but under these </w:t>
      </w:r>
      <w:r w:rsidRPr="00EA02E4" w:rsidR="006D6FAC">
        <w:rPr>
          <w:bCs/>
        </w:rPr>
        <w:t>circumstances</w:t>
      </w:r>
      <w:r w:rsidRPr="00EA02E4" w:rsidR="0028109D">
        <w:rPr>
          <w:bCs/>
        </w:rPr>
        <w:t xml:space="preserve"> plans may take at least 30 days to respond if it is reasonably necessary to do so.</w:t>
      </w:r>
    </w:p>
    <w:p w:rsidR="009938EB" w:rsidRPr="00EA02E4" w:rsidP="00AB7117" w14:paraId="65C97000" w14:textId="77777777">
      <w:pPr>
        <w:widowControl/>
        <w:ind w:left="360"/>
        <w:rPr>
          <w:bCs/>
        </w:rPr>
      </w:pPr>
    </w:p>
    <w:p w:rsidR="00382728" w:rsidRPr="00EA02E4" w:rsidP="00AB7117" w14:paraId="7BDAA39C" w14:textId="51978ED7">
      <w:pPr>
        <w:widowControl/>
        <w:ind w:left="360"/>
        <w:rPr>
          <w:bCs/>
        </w:rPr>
      </w:pPr>
      <w:r w:rsidRPr="00EA02E4">
        <w:rPr>
          <w:bCs/>
        </w:rPr>
        <w:t>Another reason why these time frames are important is that these notices relate to the payment of money by a plan to claimants to whom fiduciary responsibilities are owed.</w:t>
      </w:r>
      <w:r w:rsidRPr="00EA02E4" w:rsidR="00740FB6">
        <w:rPr>
          <w:bCs/>
        </w:rPr>
        <w:t xml:space="preserve"> </w:t>
      </w:r>
      <w:r w:rsidRPr="00EA02E4">
        <w:rPr>
          <w:bCs/>
        </w:rPr>
        <w:t>Without enforcement of reasonable deadlines, payors could be given a financial incentive to delay the payments, and this would likely be inconsistent with appropriate fiduciary standards.</w:t>
      </w:r>
    </w:p>
    <w:p w:rsidR="00FC2F3E" w:rsidRPr="00EA02E4" w:rsidP="00AB7117" w14:paraId="0DC3A24B" w14:textId="77777777">
      <w:pPr>
        <w:pStyle w:val="Header"/>
        <w:widowControl/>
        <w:tabs>
          <w:tab w:val="clear" w:pos="4320"/>
          <w:tab w:val="clear" w:pos="8640"/>
        </w:tabs>
        <w:ind w:left="360"/>
        <w:rPr>
          <w:bCs/>
        </w:rPr>
      </w:pPr>
    </w:p>
    <w:p w:rsidR="00EA02E4" w:rsidRPr="00AB7117" w:rsidP="00AB7117" w14:paraId="343C15C3" w14:textId="0BA7CA5E">
      <w:pPr>
        <w:widowControl/>
        <w:numPr>
          <w:ilvl w:val="0"/>
          <w:numId w:val="13"/>
        </w:numPr>
        <w:ind w:left="360"/>
        <w:rPr>
          <w:b/>
          <w:iCs/>
          <w:u w:val="single"/>
        </w:rPr>
      </w:pPr>
      <w:r w:rsidRPr="00AB7117">
        <w:rPr>
          <w:b/>
          <w:iCs/>
          <w:u w:val="single"/>
        </w:rPr>
        <w:t>CONSULTATION WITH INDIVIDUALS OUTSIDE OF THE AGENCY ON AVAILABILITY OF DATA, FREQUENCY OF COLLECTION, CLARITY OF INSTRUCTIONS AND FORMS, AND DATA ELEMENTS</w:t>
      </w:r>
    </w:p>
    <w:p w:rsidR="00F2178B" w:rsidP="00AB7117" w14:paraId="0CA59B7D" w14:textId="77777777">
      <w:pPr>
        <w:widowControl/>
        <w:ind w:left="360"/>
        <w:rPr>
          <w:bCs/>
          <w:iCs/>
        </w:rPr>
      </w:pPr>
    </w:p>
    <w:p w:rsidR="00F2178B" w:rsidRPr="00F2178B" w:rsidP="00AB7117" w14:paraId="0710BD51" w14:textId="245785E2">
      <w:pPr>
        <w:widowControl/>
        <w:ind w:left="360"/>
        <w:rPr>
          <w:bCs/>
        </w:rPr>
      </w:pPr>
      <w:r w:rsidRPr="00F2178B">
        <w:rPr>
          <w:bCs/>
          <w:lang w:bidi="en-US"/>
        </w:rPr>
        <w:t xml:space="preserve">In response to the Federal Register notice dated March 4, </w:t>
      </w:r>
      <w:r w:rsidRPr="00F2178B">
        <w:rPr>
          <w:bCs/>
          <w:lang w:bidi="en-US"/>
        </w:rPr>
        <w:t>2026</w:t>
      </w:r>
      <w:r>
        <w:rPr>
          <w:bCs/>
          <w:lang w:bidi="en-US"/>
        </w:rPr>
        <w:t xml:space="preserve"> at</w:t>
      </w:r>
      <w:r w:rsidRPr="00F2178B">
        <w:rPr>
          <w:bCs/>
          <w:lang w:bidi="en-US"/>
        </w:rPr>
        <w:t xml:space="preserve"> 91 FR 10691, we received no comments during the comment period.</w:t>
      </w:r>
    </w:p>
    <w:p w:rsidR="000549C1" w:rsidRPr="00EA02E4" w:rsidP="00AB7117" w14:paraId="40BE6743" w14:textId="77777777">
      <w:pPr>
        <w:widowControl/>
        <w:tabs>
          <w:tab w:val="left" w:pos="-1440"/>
        </w:tabs>
        <w:ind w:left="360"/>
        <w:rPr>
          <w:bCs/>
        </w:rPr>
      </w:pPr>
    </w:p>
    <w:p w:rsidR="00EA02E4" w:rsidRPr="00AB7117" w:rsidP="00AB7117" w14:paraId="07ED8585" w14:textId="0A208F14">
      <w:pPr>
        <w:widowControl/>
        <w:numPr>
          <w:ilvl w:val="0"/>
          <w:numId w:val="13"/>
        </w:numPr>
        <w:ind w:left="360"/>
        <w:rPr>
          <w:b/>
          <w:iCs/>
          <w:u w:val="single"/>
        </w:rPr>
      </w:pPr>
      <w:r w:rsidRPr="00AB7117">
        <w:rPr>
          <w:b/>
          <w:iCs/>
          <w:u w:val="single"/>
        </w:rPr>
        <w:t>EXPLANATION OF DECISION TO PROVIDE ANY PAYMENT OR GIFT TO RESPONDENTS</w:t>
      </w:r>
    </w:p>
    <w:p w:rsidR="00FC2F3E" w:rsidRPr="00EA02E4" w:rsidP="00AB7117" w14:paraId="089F2285" w14:textId="77777777">
      <w:pPr>
        <w:widowControl/>
        <w:ind w:left="360"/>
        <w:rPr>
          <w:bCs/>
        </w:rPr>
      </w:pPr>
    </w:p>
    <w:p w:rsidR="00FC2F3E" w:rsidRPr="00EA02E4" w:rsidP="00AB7117" w14:paraId="5BFBFFD7" w14:textId="638CF677">
      <w:pPr>
        <w:widowControl/>
        <w:ind w:left="360"/>
        <w:rPr>
          <w:bCs/>
        </w:rPr>
      </w:pPr>
      <w:r>
        <w:rPr>
          <w:bCs/>
        </w:rPr>
        <w:t>No payments or gifts have been provided to any</w:t>
      </w:r>
      <w:r w:rsidRPr="00EA02E4" w:rsidR="00290D0D">
        <w:rPr>
          <w:bCs/>
        </w:rPr>
        <w:t xml:space="preserve"> respondents.</w:t>
      </w:r>
    </w:p>
    <w:p w:rsidR="00FC2F3E" w:rsidRPr="00EA02E4" w:rsidP="00AB7117" w14:paraId="6D92B0EF" w14:textId="77777777">
      <w:pPr>
        <w:pStyle w:val="Header"/>
        <w:widowControl/>
        <w:tabs>
          <w:tab w:val="clear" w:pos="4320"/>
          <w:tab w:val="clear" w:pos="8640"/>
        </w:tabs>
        <w:ind w:left="360"/>
        <w:rPr>
          <w:bCs/>
        </w:rPr>
      </w:pPr>
    </w:p>
    <w:p w:rsidR="00EA02E4" w:rsidRPr="00AB7117" w:rsidP="00AB7117" w14:paraId="087A294C" w14:textId="7A49FB94">
      <w:pPr>
        <w:widowControl/>
        <w:numPr>
          <w:ilvl w:val="0"/>
          <w:numId w:val="13"/>
        </w:numPr>
        <w:ind w:left="360"/>
        <w:rPr>
          <w:b/>
          <w:iCs/>
          <w:u w:val="single"/>
        </w:rPr>
      </w:pPr>
      <w:r w:rsidRPr="00AB7117">
        <w:rPr>
          <w:b/>
          <w:iCs/>
          <w:u w:val="single"/>
        </w:rPr>
        <w:t xml:space="preserve">ASSURANCE OF CONFIDENTIALITY OF RESPONSES </w:t>
      </w:r>
    </w:p>
    <w:p w:rsidR="00FC2F3E" w:rsidRPr="00EA02E4" w:rsidP="00AB7117" w14:paraId="5C70B7F2" w14:textId="77777777">
      <w:pPr>
        <w:widowControl/>
        <w:ind w:left="360"/>
        <w:rPr>
          <w:bCs/>
        </w:rPr>
      </w:pPr>
    </w:p>
    <w:p w:rsidR="00FC2F3E" w:rsidRPr="00EA02E4" w:rsidP="00AB7117" w14:paraId="6B4D9C46" w14:textId="6975BB8C">
      <w:pPr>
        <w:widowControl/>
        <w:ind w:left="360"/>
        <w:rPr>
          <w:bCs/>
        </w:rPr>
      </w:pPr>
      <w:r>
        <w:rPr>
          <w:bCs/>
        </w:rPr>
        <w:t>The regulation</w:t>
      </w:r>
      <w:r w:rsidRPr="00EA02E4" w:rsidR="00DF487C">
        <w:rPr>
          <w:bCs/>
        </w:rPr>
        <w:t xml:space="preserve"> involves disclosures of information by plan administrators to plan participants. Issues of confidentiality between third parties do not fall within the scope of this information collection request.</w:t>
      </w:r>
    </w:p>
    <w:p w:rsidR="00FC2F3E" w:rsidRPr="00EA02E4" w:rsidP="00AB7117" w14:paraId="1B710FB6" w14:textId="77777777">
      <w:pPr>
        <w:widowControl/>
        <w:ind w:left="360"/>
        <w:rPr>
          <w:bCs/>
        </w:rPr>
      </w:pPr>
    </w:p>
    <w:p w:rsidR="00EA02E4" w:rsidRPr="00AB7117" w:rsidP="00AB7117" w14:paraId="4098E521" w14:textId="2AD2F692">
      <w:pPr>
        <w:widowControl/>
        <w:numPr>
          <w:ilvl w:val="0"/>
          <w:numId w:val="13"/>
        </w:numPr>
        <w:ind w:left="360"/>
        <w:rPr>
          <w:b/>
          <w:iCs/>
          <w:u w:val="single"/>
        </w:rPr>
      </w:pPr>
      <w:r w:rsidRPr="00AB7117">
        <w:rPr>
          <w:b/>
          <w:iCs/>
          <w:u w:val="single"/>
        </w:rPr>
        <w:t xml:space="preserve">JUSTIFICATION OF SENSITIVE QUESTIONS </w:t>
      </w:r>
    </w:p>
    <w:p w:rsidR="00FC2F3E" w:rsidRPr="00EA02E4" w:rsidP="00AB7117" w14:paraId="1C2098C6" w14:textId="77777777">
      <w:pPr>
        <w:widowControl/>
        <w:ind w:left="360"/>
        <w:rPr>
          <w:bCs/>
          <w:i/>
          <w:iCs/>
        </w:rPr>
      </w:pPr>
    </w:p>
    <w:p w:rsidR="00FC2F3E" w:rsidRPr="00EA02E4" w:rsidP="00AB7117" w14:paraId="29919F80" w14:textId="6CD3E655">
      <w:pPr>
        <w:widowControl/>
        <w:ind w:left="360"/>
        <w:rPr>
          <w:bCs/>
        </w:rPr>
      </w:pPr>
      <w:r w:rsidRPr="00EA02E4">
        <w:rPr>
          <w:bCs/>
        </w:rPr>
        <w:t xml:space="preserve">A plan provides information directly to the claimant. Sensitive issues, such as health information, would relate to the claim for which payment is sought, and the initial filing would have been initiated </w:t>
      </w:r>
      <w:r w:rsidRPr="00EA02E4" w:rsidR="00A855A0">
        <w:rPr>
          <w:bCs/>
        </w:rPr>
        <w:t>by the claimant or with the claimant’s authorization</w:t>
      </w:r>
      <w:r w:rsidRPr="00EA02E4">
        <w:rPr>
          <w:bCs/>
        </w:rPr>
        <w:t>.</w:t>
      </w:r>
    </w:p>
    <w:p w:rsidR="00A90D52" w:rsidRPr="00EA02E4" w:rsidP="00AB7117" w14:paraId="52A0B47C" w14:textId="77777777">
      <w:pPr>
        <w:widowControl/>
        <w:ind w:left="360"/>
        <w:rPr>
          <w:bCs/>
        </w:rPr>
      </w:pPr>
    </w:p>
    <w:p w:rsidR="00FC2F3E" w:rsidRPr="00AB7117" w:rsidP="00AB7117" w14:paraId="73384687" w14:textId="5A7027FE">
      <w:pPr>
        <w:widowControl/>
        <w:numPr>
          <w:ilvl w:val="0"/>
          <w:numId w:val="13"/>
        </w:numPr>
        <w:ind w:left="360"/>
        <w:rPr>
          <w:b/>
          <w:iCs/>
          <w:u w:val="single"/>
        </w:rPr>
      </w:pPr>
      <w:r w:rsidRPr="00AB7117">
        <w:rPr>
          <w:b/>
          <w:iCs/>
          <w:u w:val="single"/>
        </w:rPr>
        <w:t>ESTIMATED BURDEN OF INFORMATION COLLECTION</w:t>
      </w:r>
    </w:p>
    <w:p w:rsidR="00E431D2" w:rsidRPr="00141BFF" w:rsidP="00AB7117" w14:paraId="4AF0FD0A" w14:textId="27F315B8">
      <w:pPr>
        <w:widowControl/>
        <w:tabs>
          <w:tab w:val="left" w:pos="-1440"/>
        </w:tabs>
        <w:ind w:left="360"/>
        <w:rPr>
          <w:bCs/>
        </w:rPr>
      </w:pPr>
    </w:p>
    <w:p w:rsidR="00FD2866" w:rsidRPr="00FD2866" w:rsidP="00AB7117" w14:paraId="145B4EA3" w14:textId="54C6C968">
      <w:pPr>
        <w:ind w:left="360"/>
        <w:rPr>
          <w:b/>
          <w:u w:val="single"/>
        </w:rPr>
      </w:pPr>
      <w:r>
        <w:rPr>
          <w:b/>
          <w:u w:val="single"/>
        </w:rPr>
        <w:t>Background:</w:t>
      </w:r>
    </w:p>
    <w:p w:rsidR="004D00CC" w:rsidRPr="00141BFF" w:rsidP="00AB7117" w14:paraId="407CF807" w14:textId="0EEF7B56">
      <w:pPr>
        <w:ind w:left="360"/>
        <w:rPr>
          <w:bCs/>
        </w:rPr>
      </w:pPr>
      <w:r w:rsidRPr="00141BFF">
        <w:rPr>
          <w:bCs/>
        </w:rPr>
        <w:t>Because ERISA</w:t>
      </w:r>
      <w:r w:rsidRPr="00141BFF" w:rsidR="00304EF3">
        <w:rPr>
          <w:bCs/>
        </w:rPr>
        <w:t xml:space="preserve">-covered plans already are required to comply with the </w:t>
      </w:r>
      <w:r w:rsidRPr="00141BFF" w:rsidR="00CF642B">
        <w:rPr>
          <w:bCs/>
        </w:rPr>
        <w:t xml:space="preserve">DOL </w:t>
      </w:r>
      <w:r w:rsidRPr="00141BFF" w:rsidR="00304EF3">
        <w:rPr>
          <w:bCs/>
        </w:rPr>
        <w:t xml:space="preserve">claims </w:t>
      </w:r>
      <w:r w:rsidRPr="00141BFF" w:rsidR="00CF642B">
        <w:rPr>
          <w:bCs/>
        </w:rPr>
        <w:t xml:space="preserve">procedure </w:t>
      </w:r>
      <w:r w:rsidRPr="00141BFF" w:rsidR="00304EF3">
        <w:rPr>
          <w:bCs/>
        </w:rPr>
        <w:t>regulation</w:t>
      </w:r>
      <w:r w:rsidRPr="00141BFF" w:rsidR="00D46AEC">
        <w:rPr>
          <w:bCs/>
        </w:rPr>
        <w:t xml:space="preserve"> (OMB Control number 1210-0053),</w:t>
      </w:r>
      <w:r w:rsidRPr="00141BFF" w:rsidR="00304EF3">
        <w:rPr>
          <w:bCs/>
        </w:rPr>
        <w:t xml:space="preserve"> </w:t>
      </w:r>
      <w:r w:rsidRPr="00141BFF" w:rsidR="00F66EA1">
        <w:rPr>
          <w:bCs/>
        </w:rPr>
        <w:t>the Department</w:t>
      </w:r>
      <w:r w:rsidRPr="00141BFF" w:rsidR="00F26A76">
        <w:rPr>
          <w:bCs/>
        </w:rPr>
        <w:t>s</w:t>
      </w:r>
      <w:r w:rsidRPr="00141BFF" w:rsidR="002F1195">
        <w:rPr>
          <w:bCs/>
        </w:rPr>
        <w:t xml:space="preserve"> </w:t>
      </w:r>
      <w:r w:rsidRPr="00141BFF" w:rsidR="00304EF3">
        <w:rPr>
          <w:bCs/>
        </w:rPr>
        <w:t xml:space="preserve">did not attribute any cost </w:t>
      </w:r>
      <w:r w:rsidRPr="00141BFF" w:rsidR="00CF642B">
        <w:rPr>
          <w:bCs/>
        </w:rPr>
        <w:t>for</w:t>
      </w:r>
      <w:r w:rsidRPr="00141BFF" w:rsidR="00CF642B">
        <w:rPr>
          <w:bCs/>
        </w:rPr>
        <w:t xml:space="preserve"> these </w:t>
      </w:r>
      <w:r w:rsidRPr="00141BFF" w:rsidR="00304EF3">
        <w:rPr>
          <w:bCs/>
        </w:rPr>
        <w:t xml:space="preserve">plans to comply with </w:t>
      </w:r>
      <w:r w:rsidRPr="00141BFF" w:rsidR="000F10B7">
        <w:rPr>
          <w:bCs/>
        </w:rPr>
        <w:t xml:space="preserve">that </w:t>
      </w:r>
      <w:r w:rsidRPr="00141BFF" w:rsidR="00A855A0">
        <w:rPr>
          <w:bCs/>
        </w:rPr>
        <w:t>information collection</w:t>
      </w:r>
      <w:r w:rsidRPr="00141BFF" w:rsidR="00304EF3">
        <w:rPr>
          <w:bCs/>
        </w:rPr>
        <w:t xml:space="preserve">. </w:t>
      </w:r>
    </w:p>
    <w:p w:rsidR="004D00CC" w:rsidRPr="00141BFF" w:rsidP="00AB7117" w14:paraId="695DEB7C" w14:textId="77777777">
      <w:pPr>
        <w:ind w:left="360"/>
        <w:rPr>
          <w:bCs/>
        </w:rPr>
      </w:pPr>
    </w:p>
    <w:p w:rsidR="005742EC" w:rsidRPr="00141BFF" w:rsidP="00AB7117" w14:paraId="1A2855F5" w14:textId="4F8EDD82">
      <w:pPr>
        <w:ind w:left="360"/>
        <w:rPr>
          <w:bCs/>
        </w:rPr>
      </w:pPr>
      <w:r>
        <w:rPr>
          <w:rStyle w:val="footnoteref"/>
          <w:bCs/>
        </w:rPr>
        <w:t>26 CFR 54.9815-2719</w:t>
      </w:r>
      <w:r w:rsidRPr="00EA02E4">
        <w:rPr>
          <w:bCs/>
        </w:rPr>
        <w:t>(b)(2)(ii)</w:t>
      </w:r>
      <w:r>
        <w:rPr>
          <w:bCs/>
        </w:rPr>
        <w:t>(C)</w:t>
      </w:r>
      <w:r w:rsidRPr="00EA02E4">
        <w:rPr>
          <w:bCs/>
        </w:rPr>
        <w:t xml:space="preserve"> </w:t>
      </w:r>
      <w:r w:rsidRPr="00141BFF" w:rsidR="00304EF3">
        <w:rPr>
          <w:bCs/>
        </w:rPr>
        <w:t xml:space="preserve">provides additional standards </w:t>
      </w:r>
      <w:r w:rsidRPr="00141BFF" w:rsidR="00CF642B">
        <w:rPr>
          <w:bCs/>
        </w:rPr>
        <w:t xml:space="preserve">non-grandfathered ERISA-covered </w:t>
      </w:r>
      <w:r w:rsidRPr="00141BFF" w:rsidR="00DF487C">
        <w:rPr>
          <w:bCs/>
        </w:rPr>
        <w:t>plan</w:t>
      </w:r>
      <w:r w:rsidRPr="00141BFF" w:rsidR="00CF642B">
        <w:rPr>
          <w:bCs/>
        </w:rPr>
        <w:t>s</w:t>
      </w:r>
      <w:r w:rsidRPr="00141BFF" w:rsidR="00DF487C">
        <w:rPr>
          <w:bCs/>
        </w:rPr>
        <w:t xml:space="preserve"> </w:t>
      </w:r>
      <w:r w:rsidRPr="00141BFF" w:rsidR="00CF642B">
        <w:rPr>
          <w:bCs/>
        </w:rPr>
        <w:t>must meet. The requirement to provide claimants, free of charge, any new or additional evidence considered relied upon, or generated by the plan or issuer in connection with the claim,</w:t>
      </w:r>
      <w:r>
        <w:rPr>
          <w:rStyle w:val="FootnoteReference"/>
          <w:bCs/>
          <w:vertAlign w:val="superscript"/>
        </w:rPr>
        <w:footnoteReference w:id="9"/>
      </w:r>
      <w:r w:rsidRPr="00141BFF" w:rsidR="00CF642B">
        <w:rPr>
          <w:bCs/>
        </w:rPr>
        <w:t xml:space="preserve"> and the requirement to comply either with a State external review process or a Federal review process increases the hour and cost burden imposed on plans and issuers to prepare and deliver the additional information to the claimant.</w:t>
      </w:r>
    </w:p>
    <w:p w:rsidR="005742EC" w:rsidRPr="00C96F49" w:rsidP="00AB7117" w14:paraId="18764C02" w14:textId="77777777">
      <w:pPr>
        <w:ind w:left="360"/>
        <w:rPr>
          <w:b/>
        </w:rPr>
      </w:pPr>
    </w:p>
    <w:p w:rsidR="00CF642B" w:rsidRPr="00141BFF" w:rsidP="00AB7117" w14:paraId="0D4E9E74" w14:textId="74DA693A">
      <w:pPr>
        <w:ind w:left="360"/>
        <w:rPr>
          <w:bCs/>
        </w:rPr>
      </w:pPr>
      <w:r w:rsidRPr="00141BFF">
        <w:rPr>
          <w:bCs/>
        </w:rPr>
        <w:t>The burden associated with the additional standards that non-grandfathered</w:t>
      </w:r>
      <w:r w:rsidRPr="00141BFF" w:rsidR="007D7EA2">
        <w:rPr>
          <w:bCs/>
        </w:rPr>
        <w:t xml:space="preserve"> and grandfathered</w:t>
      </w:r>
      <w:r w:rsidRPr="00141BFF">
        <w:rPr>
          <w:bCs/>
        </w:rPr>
        <w:t xml:space="preserve"> ERISA-covered plans must meet is shared equally </w:t>
      </w:r>
      <w:r w:rsidRPr="00141BFF" w:rsidR="00CA4300">
        <w:rPr>
          <w:bCs/>
        </w:rPr>
        <w:t>b</w:t>
      </w:r>
      <w:r w:rsidRPr="00141BFF" w:rsidR="00BF5127">
        <w:rPr>
          <w:bCs/>
        </w:rPr>
        <w:t>etween</w:t>
      </w:r>
      <w:r w:rsidRPr="00141BFF" w:rsidR="00CA4300">
        <w:rPr>
          <w:bCs/>
        </w:rPr>
        <w:t xml:space="preserve"> </w:t>
      </w:r>
      <w:r w:rsidRPr="00141BFF" w:rsidR="00B25A5A">
        <w:rPr>
          <w:bCs/>
        </w:rPr>
        <w:t>DOL</w:t>
      </w:r>
      <w:r w:rsidRPr="00141BFF">
        <w:rPr>
          <w:bCs/>
        </w:rPr>
        <w:t xml:space="preserve"> and the Treasury. </w:t>
      </w:r>
      <w:r w:rsidRPr="00141BFF" w:rsidR="005742EC">
        <w:rPr>
          <w:bCs/>
        </w:rPr>
        <w:t>The burden discussion below encompasses the combined burden of both agencies. A summary at the end describes the share of the burden allocated to</w:t>
      </w:r>
      <w:r w:rsidRPr="00141BFF" w:rsidR="00290D0D">
        <w:rPr>
          <w:bCs/>
        </w:rPr>
        <w:t xml:space="preserve"> the</w:t>
      </w:r>
      <w:r w:rsidRPr="00141BFF" w:rsidR="005742EC">
        <w:rPr>
          <w:bCs/>
        </w:rPr>
        <w:t xml:space="preserve"> </w:t>
      </w:r>
      <w:r w:rsidRPr="00141BFF" w:rsidR="00290D0D">
        <w:rPr>
          <w:bCs/>
        </w:rPr>
        <w:t>Treasury</w:t>
      </w:r>
      <w:r w:rsidRPr="00141BFF" w:rsidR="005742EC">
        <w:rPr>
          <w:bCs/>
        </w:rPr>
        <w:t>.</w:t>
      </w:r>
    </w:p>
    <w:p w:rsidR="00CF642B" w:rsidRPr="00C96F49" w:rsidP="00AB7117" w14:paraId="1C2184AF" w14:textId="77777777">
      <w:pPr>
        <w:widowControl/>
        <w:ind w:left="360"/>
        <w:rPr>
          <w:b/>
        </w:rPr>
      </w:pPr>
    </w:p>
    <w:p w:rsidR="00002344" w:rsidRPr="00141BFF" w:rsidP="00AB7117" w14:paraId="4CEBFE6C" w14:textId="77777777">
      <w:pPr>
        <w:widowControl/>
        <w:ind w:left="360"/>
        <w:rPr>
          <w:bCs/>
        </w:rPr>
      </w:pPr>
      <w:r w:rsidRPr="00141BFF">
        <w:rPr>
          <w:bCs/>
        </w:rPr>
        <w:t>Ongoing burdens are a function of the number of external appeals filed as well as those requiring a fair and full review, which are in turn a function of health claims volume, as well as the denial and appeal rates.</w:t>
      </w:r>
    </w:p>
    <w:p w:rsidR="005120C2" w:rsidRPr="00C96F49" w:rsidP="00AB7117" w14:paraId="57B2F8DA" w14:textId="77777777">
      <w:pPr>
        <w:widowControl/>
        <w:ind w:left="360"/>
        <w:rPr>
          <w:b/>
        </w:rPr>
      </w:pPr>
    </w:p>
    <w:p w:rsidR="001F1279" w:rsidRPr="001F1279" w:rsidP="001F1279" w14:paraId="38666057" w14:textId="77777777">
      <w:pPr>
        <w:widowControl/>
        <w:ind w:left="360"/>
        <w:rPr>
          <w:b/>
          <w:iCs/>
        </w:rPr>
      </w:pPr>
      <w:r w:rsidRPr="001F1279">
        <w:rPr>
          <w:b/>
          <w:iCs/>
        </w:rPr>
        <w:t>Wage Rate Determinations</w:t>
      </w:r>
    </w:p>
    <w:p w:rsidR="001F1279" w:rsidRPr="001F1279" w:rsidP="001F1279" w14:paraId="45C6DD20" w14:textId="77777777">
      <w:pPr>
        <w:widowControl/>
        <w:ind w:left="360"/>
        <w:rPr>
          <w:bCs/>
        </w:rPr>
      </w:pPr>
      <w:r w:rsidRPr="001F1279">
        <w:rPr>
          <w:bCs/>
        </w:rPr>
        <w:t xml:space="preserve">The Departments estimate that several types of personnel will perform the tasks associated with information collection requests at an hourly wage rate of </w:t>
      </w:r>
      <w:bookmarkStart w:id="0" w:name="OLE_LINK3"/>
      <w:r w:rsidRPr="001F1279">
        <w:rPr>
          <w:bCs/>
        </w:rPr>
        <w:t>$69.41 for clerical personnel, $208.88 for a physician, $177.97 for a legal professional, $100.21 for a human resource specialist, and $</w:t>
      </w:r>
      <w:bookmarkEnd w:id="0"/>
      <w:r w:rsidRPr="001F1279">
        <w:rPr>
          <w:bCs/>
        </w:rPr>
        <w:t>64.46 for a medical secretary.</w:t>
      </w:r>
      <w:r>
        <w:rPr>
          <w:bCs/>
          <w:vertAlign w:val="superscript"/>
        </w:rPr>
        <w:footnoteReference w:id="10"/>
      </w:r>
    </w:p>
    <w:p w:rsidR="00DA7831" w:rsidRPr="00C96F49" w:rsidP="00AB7117" w14:paraId="148C4EB4" w14:textId="77777777">
      <w:pPr>
        <w:widowControl/>
        <w:ind w:left="360"/>
        <w:rPr>
          <w:b/>
        </w:rPr>
      </w:pPr>
    </w:p>
    <w:p w:rsidR="00AB7117" w:rsidRPr="00AB7117" w:rsidP="00AB7117" w14:paraId="45519541" w14:textId="77777777">
      <w:pPr>
        <w:widowControl/>
        <w:ind w:left="360"/>
        <w:rPr>
          <w:b/>
          <w:u w:val="single"/>
        </w:rPr>
      </w:pPr>
      <w:r w:rsidRPr="00AB7117">
        <w:rPr>
          <w:b/>
          <w:u w:val="single"/>
        </w:rPr>
        <w:t>Claims and Appeals</w:t>
      </w:r>
    </w:p>
    <w:p w:rsidR="00AB7117" w:rsidRPr="00AB7117" w:rsidP="00AB7117" w14:paraId="65D7BCA5" w14:textId="77777777">
      <w:pPr>
        <w:widowControl/>
        <w:ind w:left="360"/>
        <w:rPr>
          <w:b/>
        </w:rPr>
      </w:pPr>
    </w:p>
    <w:p w:rsidR="001F1279" w:rsidP="001F1279" w14:paraId="0E56BDF7" w14:textId="77777777">
      <w:pPr>
        <w:widowControl/>
        <w:ind w:left="360"/>
        <w:rPr>
          <w:bCs/>
        </w:rPr>
      </w:pPr>
      <w:r w:rsidRPr="001F1279">
        <w:rPr>
          <w:bCs/>
        </w:rPr>
        <w:t xml:space="preserve">Table 1 below describes the affected participants and relevant data necessary to estimate the burden associated with claims and appeals. </w:t>
      </w:r>
    </w:p>
    <w:p w:rsidR="001F1279" w:rsidRPr="001F1279" w:rsidP="001F1279" w14:paraId="1B029953" w14:textId="77777777">
      <w:pPr>
        <w:widowControl/>
        <w:ind w:left="360"/>
        <w:rPr>
          <w:bCs/>
        </w:rPr>
      </w:pPr>
    </w:p>
    <w:tbl>
      <w:tblPr>
        <w:tblW w:w="8602"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630"/>
        <w:gridCol w:w="1080"/>
        <w:gridCol w:w="4282"/>
        <w:gridCol w:w="2610"/>
      </w:tblGrid>
      <w:tr w14:paraId="4BBD8CFD" w14:textId="77777777" w:rsidTr="00DD0C3B">
        <w:tblPrEx>
          <w:tblW w:w="8602"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trHeight w:val="300"/>
        </w:trPr>
        <w:tc>
          <w:tcPr>
            <w:tcW w:w="8602" w:type="dxa"/>
            <w:gridSpan w:val="4"/>
            <w:noWrap/>
            <w:vAlign w:val="center"/>
          </w:tcPr>
          <w:p w:rsidR="00DD0C3B" w:rsidRPr="00DD0C3B" w:rsidP="00DD0C3B" w14:paraId="3FDAE630" w14:textId="74C3E40C">
            <w:pPr>
              <w:widowControl/>
            </w:pPr>
            <w:r w:rsidRPr="009E2CAB">
              <w:rPr>
                <w:sz w:val="22"/>
                <w:szCs w:val="22"/>
              </w:rPr>
              <w:t>T</w:t>
            </w:r>
            <w:r>
              <w:rPr>
                <w:sz w:val="22"/>
                <w:szCs w:val="22"/>
              </w:rPr>
              <w:t>able</w:t>
            </w:r>
            <w:r w:rsidRPr="009E2CAB">
              <w:rPr>
                <w:sz w:val="22"/>
                <w:szCs w:val="22"/>
              </w:rPr>
              <w:t xml:space="preserve"> 1</w:t>
            </w:r>
            <w:r w:rsidR="00D8788B">
              <w:rPr>
                <w:sz w:val="22"/>
                <w:szCs w:val="22"/>
              </w:rPr>
              <w:t xml:space="preserve">: </w:t>
            </w:r>
            <w:r w:rsidRPr="00995E77">
              <w:rPr>
                <w:i/>
                <w:iCs/>
                <w:sz w:val="22"/>
                <w:szCs w:val="22"/>
              </w:rPr>
              <w:t>Annual</w:t>
            </w:r>
            <w:r>
              <w:rPr>
                <w:sz w:val="22"/>
                <w:szCs w:val="22"/>
              </w:rPr>
              <w:t xml:space="preserve"> </w:t>
            </w:r>
            <w:r w:rsidRPr="009E2CAB">
              <w:rPr>
                <w:i/>
                <w:iCs/>
                <w:sz w:val="22"/>
                <w:szCs w:val="22"/>
              </w:rPr>
              <w:t xml:space="preserve">Estimated Claims and Appeals in </w:t>
            </w:r>
            <w:r>
              <w:rPr>
                <w:i/>
                <w:iCs/>
                <w:sz w:val="22"/>
                <w:szCs w:val="22"/>
              </w:rPr>
              <w:t>Private Sector ESI</w:t>
            </w:r>
          </w:p>
        </w:tc>
      </w:tr>
      <w:tr w14:paraId="3818B677"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0DC1BE80" w14:textId="77777777">
            <w:pPr>
              <w:widowControl/>
              <w:autoSpaceDE/>
              <w:autoSpaceDN/>
              <w:adjustRightInd/>
              <w:rPr>
                <w:sz w:val="20"/>
                <w:szCs w:val="20"/>
              </w:rPr>
            </w:pPr>
            <w:r w:rsidRPr="00F95E8C">
              <w:rPr>
                <w:sz w:val="20"/>
                <w:szCs w:val="20"/>
              </w:rPr>
              <w:t>(A)</w:t>
            </w:r>
          </w:p>
        </w:tc>
        <w:tc>
          <w:tcPr>
            <w:tcW w:w="5362" w:type="dxa"/>
            <w:gridSpan w:val="2"/>
            <w:tcBorders>
              <w:left w:val="single" w:sz="6" w:space="0" w:color="auto"/>
              <w:right w:val="nil"/>
            </w:tcBorders>
            <w:noWrap/>
            <w:vAlign w:val="center"/>
            <w:hideMark/>
          </w:tcPr>
          <w:p w:rsidR="001F1279" w:rsidRPr="00F95E8C" w:rsidP="001F1279" w14:paraId="0F47C599" w14:textId="3700812A">
            <w:pPr>
              <w:widowControl/>
              <w:autoSpaceDE/>
              <w:autoSpaceDN/>
              <w:adjustRightInd/>
              <w:rPr>
                <w:sz w:val="20"/>
                <w:szCs w:val="20"/>
              </w:rPr>
            </w:pPr>
            <w:r w:rsidRPr="00F95E8C">
              <w:rPr>
                <w:sz w:val="22"/>
                <w:szCs w:val="22"/>
              </w:rPr>
              <w:t>Total Enrollees</w:t>
            </w:r>
          </w:p>
        </w:tc>
        <w:tc>
          <w:tcPr>
            <w:tcW w:w="2610" w:type="dxa"/>
            <w:tcBorders>
              <w:left w:val="nil"/>
            </w:tcBorders>
            <w:vAlign w:val="bottom"/>
            <w:hideMark/>
          </w:tcPr>
          <w:p w:rsidR="001F1279" w:rsidRPr="00F95E8C" w:rsidP="00DD0C3B" w14:paraId="4F7434C1" w14:textId="77777777">
            <w:pPr>
              <w:widowControl/>
              <w:autoSpaceDE/>
              <w:autoSpaceDN/>
              <w:adjustRightInd/>
              <w:jc w:val="center"/>
              <w:rPr>
                <w:sz w:val="22"/>
                <w:szCs w:val="22"/>
              </w:rPr>
            </w:pPr>
            <w:r w:rsidRPr="00F95E8C">
              <w:rPr>
                <w:sz w:val="22"/>
                <w:szCs w:val="22"/>
              </w:rPr>
              <w:t>135,600,000</w:t>
            </w:r>
          </w:p>
        </w:tc>
      </w:tr>
      <w:tr w14:paraId="1B8E2146"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271CD1B8" w14:textId="77777777">
            <w:pPr>
              <w:widowControl/>
              <w:autoSpaceDE/>
              <w:autoSpaceDN/>
              <w:adjustRightInd/>
              <w:rPr>
                <w:sz w:val="20"/>
                <w:szCs w:val="20"/>
              </w:rPr>
            </w:pPr>
            <w:r w:rsidRPr="00F95E8C">
              <w:rPr>
                <w:sz w:val="20"/>
                <w:szCs w:val="20"/>
              </w:rPr>
              <w:t>(B)</w:t>
            </w:r>
          </w:p>
        </w:tc>
        <w:tc>
          <w:tcPr>
            <w:tcW w:w="5362" w:type="dxa"/>
            <w:gridSpan w:val="2"/>
            <w:tcBorders>
              <w:left w:val="single" w:sz="6" w:space="0" w:color="auto"/>
              <w:right w:val="nil"/>
            </w:tcBorders>
            <w:noWrap/>
            <w:vAlign w:val="center"/>
            <w:hideMark/>
          </w:tcPr>
          <w:p w:rsidR="001F1279" w:rsidRPr="00F95E8C" w:rsidP="001F1279" w14:paraId="5E537F3A" w14:textId="16B3E22F">
            <w:pPr>
              <w:widowControl/>
              <w:autoSpaceDE/>
              <w:autoSpaceDN/>
              <w:adjustRightInd/>
              <w:rPr>
                <w:sz w:val="22"/>
                <w:szCs w:val="22"/>
              </w:rPr>
            </w:pPr>
            <w:r w:rsidRPr="00F95E8C">
              <w:rPr>
                <w:sz w:val="22"/>
                <w:szCs w:val="22"/>
              </w:rPr>
              <w:t>Non-Grandfathered Enrollees</w:t>
            </w:r>
          </w:p>
        </w:tc>
        <w:tc>
          <w:tcPr>
            <w:tcW w:w="2610" w:type="dxa"/>
            <w:tcBorders>
              <w:left w:val="nil"/>
            </w:tcBorders>
            <w:vAlign w:val="bottom"/>
            <w:hideMark/>
          </w:tcPr>
          <w:p w:rsidR="001F1279" w:rsidRPr="00F95E8C" w:rsidP="00DD0C3B" w14:paraId="4444B986" w14:textId="77777777">
            <w:pPr>
              <w:widowControl/>
              <w:autoSpaceDE/>
              <w:autoSpaceDN/>
              <w:adjustRightInd/>
              <w:jc w:val="center"/>
              <w:rPr>
                <w:sz w:val="22"/>
                <w:szCs w:val="22"/>
              </w:rPr>
            </w:pPr>
            <w:r w:rsidRPr="00F95E8C">
              <w:rPr>
                <w:sz w:val="22"/>
                <w:szCs w:val="22"/>
              </w:rPr>
              <w:t>116,616,000</w:t>
            </w:r>
          </w:p>
        </w:tc>
      </w:tr>
      <w:tr w14:paraId="2F72ABF1"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369F3ADE" w14:textId="77777777">
            <w:pPr>
              <w:widowControl/>
              <w:autoSpaceDE/>
              <w:autoSpaceDN/>
              <w:adjustRightInd/>
              <w:rPr>
                <w:sz w:val="20"/>
                <w:szCs w:val="20"/>
              </w:rPr>
            </w:pPr>
            <w:r w:rsidRPr="00F95E8C">
              <w:rPr>
                <w:sz w:val="20"/>
                <w:szCs w:val="20"/>
              </w:rPr>
              <w:t>(C)</w:t>
            </w:r>
          </w:p>
        </w:tc>
        <w:tc>
          <w:tcPr>
            <w:tcW w:w="5362" w:type="dxa"/>
            <w:gridSpan w:val="2"/>
            <w:tcBorders>
              <w:left w:val="single" w:sz="6" w:space="0" w:color="auto"/>
              <w:right w:val="nil"/>
            </w:tcBorders>
            <w:noWrap/>
            <w:vAlign w:val="center"/>
            <w:hideMark/>
          </w:tcPr>
          <w:p w:rsidR="001F1279" w:rsidRPr="00F95E8C" w:rsidP="001F1279" w14:paraId="0B616F1E" w14:textId="4B389C5F">
            <w:pPr>
              <w:widowControl/>
              <w:autoSpaceDE/>
              <w:autoSpaceDN/>
              <w:adjustRightInd/>
              <w:rPr>
                <w:sz w:val="22"/>
                <w:szCs w:val="22"/>
              </w:rPr>
            </w:pPr>
            <w:r w:rsidRPr="00F95E8C">
              <w:rPr>
                <w:sz w:val="22"/>
                <w:szCs w:val="22"/>
              </w:rPr>
              <w:t>Affected Participants</w:t>
            </w:r>
          </w:p>
        </w:tc>
        <w:tc>
          <w:tcPr>
            <w:tcW w:w="2610" w:type="dxa"/>
            <w:tcBorders>
              <w:left w:val="nil"/>
            </w:tcBorders>
            <w:noWrap/>
            <w:vAlign w:val="bottom"/>
            <w:hideMark/>
          </w:tcPr>
          <w:p w:rsidR="001F1279" w:rsidRPr="00F95E8C" w:rsidP="00DD0C3B" w14:paraId="33F09436" w14:textId="77777777">
            <w:pPr>
              <w:widowControl/>
              <w:autoSpaceDE/>
              <w:autoSpaceDN/>
              <w:adjustRightInd/>
              <w:jc w:val="center"/>
              <w:rPr>
                <w:sz w:val="22"/>
                <w:szCs w:val="22"/>
              </w:rPr>
            </w:pPr>
            <w:r w:rsidRPr="00F95E8C">
              <w:rPr>
                <w:sz w:val="22"/>
                <w:szCs w:val="22"/>
              </w:rPr>
              <w:t>90,100,000</w:t>
            </w:r>
          </w:p>
        </w:tc>
      </w:tr>
      <w:tr w14:paraId="279AAD34"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5D3B0B99" w14:textId="77777777">
            <w:pPr>
              <w:widowControl/>
              <w:autoSpaceDE/>
              <w:autoSpaceDN/>
              <w:adjustRightInd/>
              <w:rPr>
                <w:sz w:val="20"/>
                <w:szCs w:val="20"/>
              </w:rPr>
            </w:pPr>
            <w:r w:rsidRPr="00F95E8C">
              <w:rPr>
                <w:sz w:val="20"/>
                <w:szCs w:val="20"/>
              </w:rPr>
              <w:t>(D)</w:t>
            </w:r>
          </w:p>
        </w:tc>
        <w:tc>
          <w:tcPr>
            <w:tcW w:w="5362" w:type="dxa"/>
            <w:gridSpan w:val="2"/>
            <w:tcBorders>
              <w:left w:val="single" w:sz="6" w:space="0" w:color="auto"/>
              <w:right w:val="nil"/>
            </w:tcBorders>
            <w:noWrap/>
            <w:vAlign w:val="center"/>
            <w:hideMark/>
          </w:tcPr>
          <w:p w:rsidR="001F1279" w:rsidRPr="00F95E8C" w:rsidP="001F1279" w14:paraId="49C16522" w14:textId="17919657">
            <w:pPr>
              <w:widowControl/>
              <w:autoSpaceDE/>
              <w:autoSpaceDN/>
              <w:adjustRightInd/>
              <w:rPr>
                <w:sz w:val="22"/>
                <w:szCs w:val="22"/>
              </w:rPr>
            </w:pPr>
            <w:r w:rsidRPr="00F95E8C">
              <w:rPr>
                <w:sz w:val="22"/>
                <w:szCs w:val="22"/>
              </w:rPr>
              <w:t>Self-Insured Plan Participants</w:t>
            </w:r>
          </w:p>
        </w:tc>
        <w:tc>
          <w:tcPr>
            <w:tcW w:w="2610" w:type="dxa"/>
            <w:tcBorders>
              <w:left w:val="nil"/>
            </w:tcBorders>
            <w:noWrap/>
            <w:vAlign w:val="bottom"/>
            <w:hideMark/>
          </w:tcPr>
          <w:p w:rsidR="001F1279" w:rsidRPr="00F95E8C" w:rsidP="00DD0C3B" w14:paraId="1B51AE5C" w14:textId="77777777">
            <w:pPr>
              <w:widowControl/>
              <w:autoSpaceDE/>
              <w:autoSpaceDN/>
              <w:adjustRightInd/>
              <w:jc w:val="center"/>
              <w:rPr>
                <w:sz w:val="22"/>
                <w:szCs w:val="22"/>
              </w:rPr>
            </w:pPr>
            <w:r w:rsidRPr="00F95E8C">
              <w:rPr>
                <w:sz w:val="22"/>
                <w:szCs w:val="22"/>
              </w:rPr>
              <w:t>78,900,000</w:t>
            </w:r>
          </w:p>
        </w:tc>
      </w:tr>
      <w:tr w14:paraId="1B9DD64D"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73F37D0D" w14:textId="77777777">
            <w:pPr>
              <w:widowControl/>
              <w:autoSpaceDE/>
              <w:autoSpaceDN/>
              <w:adjustRightInd/>
              <w:rPr>
                <w:sz w:val="20"/>
                <w:szCs w:val="20"/>
              </w:rPr>
            </w:pPr>
            <w:r w:rsidRPr="00F95E8C">
              <w:rPr>
                <w:sz w:val="20"/>
                <w:szCs w:val="20"/>
              </w:rPr>
              <w:t>(E)</w:t>
            </w:r>
          </w:p>
        </w:tc>
        <w:tc>
          <w:tcPr>
            <w:tcW w:w="5362" w:type="dxa"/>
            <w:gridSpan w:val="2"/>
            <w:tcBorders>
              <w:left w:val="single" w:sz="6" w:space="0" w:color="auto"/>
              <w:right w:val="nil"/>
            </w:tcBorders>
            <w:noWrap/>
            <w:vAlign w:val="center"/>
            <w:hideMark/>
          </w:tcPr>
          <w:p w:rsidR="001F1279" w:rsidRPr="00F95E8C" w:rsidP="001F1279" w14:paraId="5F1161C5" w14:textId="4D4FBD3B">
            <w:pPr>
              <w:widowControl/>
              <w:autoSpaceDE/>
              <w:autoSpaceDN/>
              <w:adjustRightInd/>
              <w:rPr>
                <w:sz w:val="22"/>
                <w:szCs w:val="22"/>
              </w:rPr>
            </w:pPr>
            <w:r w:rsidRPr="00F95E8C">
              <w:rPr>
                <w:sz w:val="22"/>
                <w:szCs w:val="22"/>
              </w:rPr>
              <w:t>Fully</w:t>
            </w:r>
            <w:r>
              <w:rPr>
                <w:sz w:val="22"/>
                <w:szCs w:val="22"/>
              </w:rPr>
              <w:t>-</w:t>
            </w:r>
            <w:r w:rsidRPr="00F95E8C">
              <w:rPr>
                <w:sz w:val="22"/>
                <w:szCs w:val="22"/>
              </w:rPr>
              <w:t>Insured</w:t>
            </w:r>
            <w:r w:rsidRPr="00F95E8C">
              <w:rPr>
                <w:sz w:val="22"/>
                <w:szCs w:val="22"/>
              </w:rPr>
              <w:t xml:space="preserve"> Grandfathered Plan Participants</w:t>
            </w:r>
          </w:p>
        </w:tc>
        <w:tc>
          <w:tcPr>
            <w:tcW w:w="2610" w:type="dxa"/>
            <w:tcBorders>
              <w:left w:val="nil"/>
            </w:tcBorders>
            <w:noWrap/>
            <w:vAlign w:val="bottom"/>
            <w:hideMark/>
          </w:tcPr>
          <w:p w:rsidR="001F1279" w:rsidRPr="00F95E8C" w:rsidP="00DD0C3B" w14:paraId="38E09AC2" w14:textId="77777777">
            <w:pPr>
              <w:widowControl/>
              <w:autoSpaceDE/>
              <w:autoSpaceDN/>
              <w:adjustRightInd/>
              <w:jc w:val="center"/>
              <w:rPr>
                <w:sz w:val="22"/>
                <w:szCs w:val="22"/>
              </w:rPr>
            </w:pPr>
            <w:r w:rsidRPr="00F95E8C">
              <w:rPr>
                <w:sz w:val="22"/>
                <w:szCs w:val="22"/>
              </w:rPr>
              <w:t>11,200,000</w:t>
            </w:r>
          </w:p>
        </w:tc>
      </w:tr>
      <w:tr w14:paraId="760F616B"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113308F0" w14:textId="77777777">
            <w:pPr>
              <w:widowControl/>
              <w:autoSpaceDE/>
              <w:autoSpaceDN/>
              <w:adjustRightInd/>
              <w:rPr>
                <w:sz w:val="20"/>
                <w:szCs w:val="20"/>
              </w:rPr>
            </w:pPr>
            <w:r w:rsidRPr="00F95E8C">
              <w:rPr>
                <w:sz w:val="20"/>
                <w:szCs w:val="20"/>
              </w:rPr>
              <w:t>(F)</w:t>
            </w:r>
          </w:p>
        </w:tc>
        <w:tc>
          <w:tcPr>
            <w:tcW w:w="5362" w:type="dxa"/>
            <w:gridSpan w:val="2"/>
            <w:tcBorders>
              <w:left w:val="single" w:sz="6" w:space="0" w:color="auto"/>
              <w:right w:val="nil"/>
            </w:tcBorders>
            <w:noWrap/>
            <w:vAlign w:val="center"/>
            <w:hideMark/>
          </w:tcPr>
          <w:p w:rsidR="001F1279" w:rsidRPr="00F95E8C" w:rsidP="001F1279" w14:paraId="6DEAA52B" w14:textId="77777777">
            <w:pPr>
              <w:widowControl/>
              <w:autoSpaceDE/>
              <w:autoSpaceDN/>
              <w:adjustRightInd/>
              <w:rPr>
                <w:sz w:val="22"/>
                <w:szCs w:val="22"/>
              </w:rPr>
            </w:pPr>
            <w:r w:rsidRPr="00F95E8C">
              <w:rPr>
                <w:sz w:val="22"/>
                <w:szCs w:val="22"/>
              </w:rPr>
              <w:t>Out-of-Network Claims Increase</w:t>
            </w:r>
          </w:p>
        </w:tc>
        <w:tc>
          <w:tcPr>
            <w:tcW w:w="2610" w:type="dxa"/>
            <w:tcBorders>
              <w:left w:val="nil"/>
            </w:tcBorders>
            <w:noWrap/>
            <w:vAlign w:val="bottom"/>
            <w:hideMark/>
          </w:tcPr>
          <w:p w:rsidR="001F1279" w:rsidRPr="00F95E8C" w:rsidP="00DD0C3B" w14:paraId="5DCF557C" w14:textId="77777777">
            <w:pPr>
              <w:widowControl/>
              <w:autoSpaceDE/>
              <w:autoSpaceDN/>
              <w:adjustRightInd/>
              <w:jc w:val="center"/>
              <w:rPr>
                <w:sz w:val="22"/>
                <w:szCs w:val="22"/>
              </w:rPr>
            </w:pPr>
            <w:r>
              <w:rPr>
                <w:sz w:val="22"/>
                <w:szCs w:val="22"/>
              </w:rPr>
              <w:t>2%</w:t>
            </w:r>
          </w:p>
        </w:tc>
      </w:tr>
      <w:tr w14:paraId="04F6C645"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47192AE0" w14:textId="77777777">
            <w:pPr>
              <w:widowControl/>
              <w:autoSpaceDE/>
              <w:autoSpaceDN/>
              <w:adjustRightInd/>
              <w:rPr>
                <w:sz w:val="20"/>
                <w:szCs w:val="20"/>
              </w:rPr>
            </w:pPr>
            <w:r w:rsidRPr="00F95E8C">
              <w:rPr>
                <w:sz w:val="20"/>
                <w:szCs w:val="20"/>
              </w:rPr>
              <w:t>(G)</w:t>
            </w:r>
          </w:p>
        </w:tc>
        <w:tc>
          <w:tcPr>
            <w:tcW w:w="5362" w:type="dxa"/>
            <w:gridSpan w:val="2"/>
            <w:tcBorders>
              <w:left w:val="single" w:sz="6" w:space="0" w:color="auto"/>
              <w:right w:val="nil"/>
            </w:tcBorders>
            <w:noWrap/>
            <w:vAlign w:val="center"/>
            <w:hideMark/>
          </w:tcPr>
          <w:p w:rsidR="001F1279" w:rsidRPr="00F95E8C" w:rsidP="001F1279" w14:paraId="1ABD727C" w14:textId="014DC226">
            <w:pPr>
              <w:widowControl/>
              <w:autoSpaceDE/>
              <w:autoSpaceDN/>
              <w:adjustRightInd/>
              <w:rPr>
                <w:sz w:val="22"/>
                <w:szCs w:val="22"/>
              </w:rPr>
            </w:pPr>
            <w:r w:rsidRPr="00F95E8C">
              <w:rPr>
                <w:sz w:val="22"/>
                <w:szCs w:val="22"/>
              </w:rPr>
              <w:t>Appeal-to-Member Ratio</w:t>
            </w:r>
          </w:p>
        </w:tc>
        <w:tc>
          <w:tcPr>
            <w:tcW w:w="2610" w:type="dxa"/>
            <w:tcBorders>
              <w:left w:val="nil"/>
            </w:tcBorders>
            <w:noWrap/>
            <w:vAlign w:val="bottom"/>
            <w:hideMark/>
          </w:tcPr>
          <w:p w:rsidR="001F1279" w:rsidRPr="00F95E8C" w:rsidP="00DD0C3B" w14:paraId="70DDB85D" w14:textId="77777777">
            <w:pPr>
              <w:widowControl/>
              <w:autoSpaceDE/>
              <w:autoSpaceDN/>
              <w:adjustRightInd/>
              <w:jc w:val="center"/>
              <w:rPr>
                <w:sz w:val="22"/>
                <w:szCs w:val="22"/>
              </w:rPr>
            </w:pPr>
            <w:r w:rsidRPr="00F95E8C">
              <w:rPr>
                <w:sz w:val="22"/>
                <w:szCs w:val="22"/>
              </w:rPr>
              <w:t>0.00013</w:t>
            </w:r>
          </w:p>
        </w:tc>
      </w:tr>
      <w:tr w14:paraId="15F105C4"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0A20E98F" w14:textId="77777777">
            <w:pPr>
              <w:widowControl/>
              <w:autoSpaceDE/>
              <w:autoSpaceDN/>
              <w:adjustRightInd/>
              <w:rPr>
                <w:sz w:val="20"/>
                <w:szCs w:val="20"/>
              </w:rPr>
            </w:pPr>
            <w:r w:rsidRPr="00F95E8C">
              <w:rPr>
                <w:sz w:val="20"/>
                <w:szCs w:val="20"/>
              </w:rPr>
              <w:t>(H)</w:t>
            </w:r>
          </w:p>
        </w:tc>
        <w:tc>
          <w:tcPr>
            <w:tcW w:w="5362" w:type="dxa"/>
            <w:gridSpan w:val="2"/>
            <w:tcBorders>
              <w:left w:val="single" w:sz="6" w:space="0" w:color="auto"/>
              <w:right w:val="nil"/>
            </w:tcBorders>
            <w:noWrap/>
            <w:vAlign w:val="center"/>
            <w:hideMark/>
          </w:tcPr>
          <w:p w:rsidR="001F1279" w:rsidRPr="00F95E8C" w:rsidP="001F1279" w14:paraId="2BACD809" w14:textId="77777777">
            <w:pPr>
              <w:widowControl/>
              <w:autoSpaceDE/>
              <w:autoSpaceDN/>
              <w:adjustRightInd/>
              <w:rPr>
                <w:sz w:val="22"/>
                <w:szCs w:val="22"/>
              </w:rPr>
            </w:pPr>
            <w:r w:rsidRPr="00F95E8C">
              <w:rPr>
                <w:sz w:val="22"/>
                <w:szCs w:val="22"/>
              </w:rPr>
              <w:t>Eligibility Rate for External Appeal</w:t>
            </w:r>
          </w:p>
        </w:tc>
        <w:tc>
          <w:tcPr>
            <w:tcW w:w="2610" w:type="dxa"/>
            <w:tcBorders>
              <w:left w:val="nil"/>
            </w:tcBorders>
            <w:noWrap/>
            <w:vAlign w:val="bottom"/>
            <w:hideMark/>
          </w:tcPr>
          <w:p w:rsidR="001F1279" w:rsidRPr="00F95E8C" w:rsidP="00DD0C3B" w14:paraId="20E896E1" w14:textId="77777777">
            <w:pPr>
              <w:widowControl/>
              <w:autoSpaceDE/>
              <w:autoSpaceDN/>
              <w:adjustRightInd/>
              <w:jc w:val="center"/>
              <w:rPr>
                <w:sz w:val="22"/>
                <w:szCs w:val="22"/>
              </w:rPr>
            </w:pPr>
            <w:r w:rsidRPr="00F95E8C">
              <w:rPr>
                <w:sz w:val="22"/>
                <w:szCs w:val="22"/>
              </w:rPr>
              <w:t>0.75</w:t>
            </w:r>
          </w:p>
        </w:tc>
      </w:tr>
      <w:tr w14:paraId="394B7977"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5A76E361" w14:textId="77777777">
            <w:pPr>
              <w:widowControl/>
              <w:autoSpaceDE/>
              <w:autoSpaceDN/>
              <w:adjustRightInd/>
              <w:rPr>
                <w:sz w:val="20"/>
                <w:szCs w:val="20"/>
              </w:rPr>
            </w:pPr>
            <w:r w:rsidRPr="00F95E8C">
              <w:rPr>
                <w:sz w:val="20"/>
                <w:szCs w:val="20"/>
              </w:rPr>
              <w:t>(I)</w:t>
            </w:r>
          </w:p>
        </w:tc>
        <w:tc>
          <w:tcPr>
            <w:tcW w:w="5362" w:type="dxa"/>
            <w:gridSpan w:val="2"/>
            <w:tcBorders>
              <w:left w:val="single" w:sz="6" w:space="0" w:color="auto"/>
              <w:right w:val="nil"/>
            </w:tcBorders>
            <w:noWrap/>
            <w:vAlign w:val="center"/>
            <w:hideMark/>
          </w:tcPr>
          <w:p w:rsidR="001F1279" w:rsidRPr="00F95E8C" w:rsidP="001F1279" w14:paraId="3F985D30" w14:textId="682B9F0B">
            <w:pPr>
              <w:widowControl/>
              <w:autoSpaceDE/>
              <w:autoSpaceDN/>
              <w:adjustRightInd/>
              <w:rPr>
                <w:sz w:val="20"/>
                <w:szCs w:val="20"/>
              </w:rPr>
            </w:pPr>
            <w:r w:rsidRPr="00F95E8C">
              <w:rPr>
                <w:sz w:val="22"/>
                <w:szCs w:val="22"/>
              </w:rPr>
              <w:t>Medical Appeals</w:t>
            </w:r>
          </w:p>
        </w:tc>
        <w:tc>
          <w:tcPr>
            <w:tcW w:w="2610" w:type="dxa"/>
            <w:tcBorders>
              <w:left w:val="nil"/>
            </w:tcBorders>
            <w:noWrap/>
            <w:vAlign w:val="bottom"/>
            <w:hideMark/>
          </w:tcPr>
          <w:p w:rsidR="001F1279" w:rsidRPr="00F95E8C" w:rsidP="00DD0C3B" w14:paraId="533BD447" w14:textId="77777777">
            <w:pPr>
              <w:widowControl/>
              <w:autoSpaceDE/>
              <w:autoSpaceDN/>
              <w:adjustRightInd/>
              <w:jc w:val="center"/>
              <w:rPr>
                <w:sz w:val="22"/>
                <w:szCs w:val="22"/>
              </w:rPr>
            </w:pPr>
            <w:r w:rsidRPr="00F95E8C">
              <w:rPr>
                <w:sz w:val="22"/>
                <w:szCs w:val="22"/>
              </w:rPr>
              <w:t>120,316</w:t>
            </w:r>
          </w:p>
        </w:tc>
      </w:tr>
      <w:tr w14:paraId="460A5320"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1F7FA39F" w14:textId="77777777">
            <w:pPr>
              <w:widowControl/>
              <w:autoSpaceDE/>
              <w:autoSpaceDN/>
              <w:adjustRightInd/>
              <w:rPr>
                <w:sz w:val="20"/>
                <w:szCs w:val="20"/>
              </w:rPr>
            </w:pPr>
            <w:r w:rsidRPr="00F95E8C">
              <w:rPr>
                <w:sz w:val="20"/>
                <w:szCs w:val="20"/>
              </w:rPr>
              <w:t>(J)</w:t>
            </w:r>
          </w:p>
        </w:tc>
        <w:tc>
          <w:tcPr>
            <w:tcW w:w="5362" w:type="dxa"/>
            <w:gridSpan w:val="2"/>
            <w:tcBorders>
              <w:left w:val="single" w:sz="6" w:space="0" w:color="auto"/>
              <w:right w:val="nil"/>
            </w:tcBorders>
            <w:noWrap/>
            <w:vAlign w:val="center"/>
            <w:hideMark/>
          </w:tcPr>
          <w:p w:rsidR="001F1279" w:rsidRPr="00F95E8C" w:rsidP="001F1279" w14:paraId="7AF52DA9" w14:textId="1F7C1F60">
            <w:pPr>
              <w:widowControl/>
              <w:autoSpaceDE/>
              <w:autoSpaceDN/>
              <w:adjustRightInd/>
              <w:rPr>
                <w:sz w:val="22"/>
                <w:szCs w:val="22"/>
              </w:rPr>
            </w:pPr>
            <w:r w:rsidRPr="00F95E8C">
              <w:rPr>
                <w:sz w:val="22"/>
                <w:szCs w:val="22"/>
              </w:rPr>
              <w:t>Administrative Appeals</w:t>
            </w:r>
          </w:p>
        </w:tc>
        <w:tc>
          <w:tcPr>
            <w:tcW w:w="2610" w:type="dxa"/>
            <w:tcBorders>
              <w:left w:val="nil"/>
            </w:tcBorders>
            <w:noWrap/>
            <w:vAlign w:val="bottom"/>
            <w:hideMark/>
          </w:tcPr>
          <w:p w:rsidR="001F1279" w:rsidRPr="00F95E8C" w:rsidP="00DD0C3B" w14:paraId="2AE59ED0" w14:textId="77777777">
            <w:pPr>
              <w:widowControl/>
              <w:autoSpaceDE/>
              <w:autoSpaceDN/>
              <w:adjustRightInd/>
              <w:jc w:val="center"/>
              <w:rPr>
                <w:sz w:val="22"/>
                <w:szCs w:val="22"/>
              </w:rPr>
            </w:pPr>
            <w:r w:rsidRPr="00F95E8C">
              <w:rPr>
                <w:sz w:val="22"/>
                <w:szCs w:val="22"/>
              </w:rPr>
              <w:t>296,003</w:t>
            </w:r>
          </w:p>
        </w:tc>
      </w:tr>
      <w:tr w14:paraId="617659AC" w14:textId="77777777" w:rsidTr="00DD0C3B">
        <w:tblPrEx>
          <w:tblW w:w="8602" w:type="dxa"/>
          <w:tblInd w:w="442" w:type="dxa"/>
          <w:tblLook w:val="04A0"/>
        </w:tblPrEx>
        <w:trPr>
          <w:trHeight w:val="300"/>
        </w:trPr>
        <w:tc>
          <w:tcPr>
            <w:tcW w:w="630" w:type="dxa"/>
            <w:tcBorders>
              <w:right w:val="single" w:sz="6" w:space="0" w:color="auto"/>
            </w:tcBorders>
            <w:noWrap/>
            <w:vAlign w:val="center"/>
            <w:hideMark/>
          </w:tcPr>
          <w:p w:rsidR="001F1279" w:rsidRPr="00F95E8C" w:rsidP="001F1279" w14:paraId="1523C9FF" w14:textId="77777777">
            <w:pPr>
              <w:widowControl/>
              <w:autoSpaceDE/>
              <w:autoSpaceDN/>
              <w:adjustRightInd/>
              <w:rPr>
                <w:sz w:val="20"/>
                <w:szCs w:val="20"/>
              </w:rPr>
            </w:pPr>
            <w:r w:rsidRPr="00F95E8C">
              <w:rPr>
                <w:sz w:val="20"/>
                <w:szCs w:val="20"/>
              </w:rPr>
              <w:t>(K)</w:t>
            </w:r>
          </w:p>
        </w:tc>
        <w:tc>
          <w:tcPr>
            <w:tcW w:w="5362" w:type="dxa"/>
            <w:gridSpan w:val="2"/>
            <w:tcBorders>
              <w:left w:val="single" w:sz="6" w:space="0" w:color="auto"/>
              <w:right w:val="nil"/>
            </w:tcBorders>
            <w:noWrap/>
            <w:vAlign w:val="center"/>
            <w:hideMark/>
          </w:tcPr>
          <w:p w:rsidR="001F1279" w:rsidRPr="00F95E8C" w:rsidP="001F1279" w14:paraId="05994AEB" w14:textId="511BFBFF">
            <w:pPr>
              <w:widowControl/>
              <w:autoSpaceDE/>
              <w:autoSpaceDN/>
              <w:adjustRightInd/>
              <w:rPr>
                <w:sz w:val="22"/>
                <w:szCs w:val="22"/>
              </w:rPr>
            </w:pPr>
            <w:r w:rsidRPr="00F95E8C">
              <w:rPr>
                <w:sz w:val="22"/>
                <w:szCs w:val="22"/>
              </w:rPr>
              <w:t>Claims w/ Additional Evidence</w:t>
            </w:r>
          </w:p>
        </w:tc>
        <w:tc>
          <w:tcPr>
            <w:tcW w:w="2610" w:type="dxa"/>
            <w:tcBorders>
              <w:left w:val="nil"/>
            </w:tcBorders>
            <w:noWrap/>
            <w:vAlign w:val="bottom"/>
            <w:hideMark/>
          </w:tcPr>
          <w:p w:rsidR="001F1279" w:rsidRPr="00F95E8C" w:rsidP="00DD0C3B" w14:paraId="64DBDB3B" w14:textId="77777777">
            <w:pPr>
              <w:widowControl/>
              <w:autoSpaceDE/>
              <w:autoSpaceDN/>
              <w:adjustRightInd/>
              <w:jc w:val="center"/>
              <w:rPr>
                <w:sz w:val="22"/>
                <w:szCs w:val="22"/>
              </w:rPr>
            </w:pPr>
            <w:r w:rsidRPr="00F95E8C">
              <w:rPr>
                <w:sz w:val="22"/>
                <w:szCs w:val="22"/>
              </w:rPr>
              <w:t>70%</w:t>
            </w:r>
          </w:p>
        </w:tc>
      </w:tr>
      <w:tr w14:paraId="44078E19" w14:textId="77777777" w:rsidTr="001F1279">
        <w:tblPrEx>
          <w:tblW w:w="8602" w:type="dxa"/>
          <w:tblInd w:w="442" w:type="dxa"/>
          <w:tblLook w:val="04A0"/>
        </w:tblPrEx>
        <w:trPr>
          <w:trHeight w:val="363"/>
        </w:trPr>
        <w:tc>
          <w:tcPr>
            <w:tcW w:w="1710" w:type="dxa"/>
            <w:gridSpan w:val="2"/>
            <w:noWrap/>
            <w:vAlign w:val="center"/>
            <w:hideMark/>
          </w:tcPr>
          <w:p w:rsidR="001F1279" w:rsidRPr="001F1279" w:rsidP="001F1279" w14:paraId="145B0343" w14:textId="77777777">
            <w:pPr>
              <w:widowControl/>
              <w:autoSpaceDE/>
              <w:autoSpaceDN/>
              <w:adjustRightInd/>
              <w:rPr>
                <w:b/>
                <w:bCs/>
                <w:sz w:val="20"/>
                <w:szCs w:val="20"/>
              </w:rPr>
            </w:pPr>
            <w:r w:rsidRPr="001F1279">
              <w:rPr>
                <w:b/>
                <w:bCs/>
                <w:sz w:val="20"/>
                <w:szCs w:val="20"/>
              </w:rPr>
              <w:t>((I) + (J)) x (K)</w:t>
            </w:r>
          </w:p>
        </w:tc>
        <w:tc>
          <w:tcPr>
            <w:tcW w:w="4282" w:type="dxa"/>
            <w:noWrap/>
            <w:vAlign w:val="center"/>
            <w:hideMark/>
          </w:tcPr>
          <w:p w:rsidR="001F1279" w:rsidRPr="001F1279" w:rsidP="001F1279" w14:paraId="3F7361B5" w14:textId="6E723B24">
            <w:pPr>
              <w:widowControl/>
              <w:autoSpaceDE/>
              <w:autoSpaceDN/>
              <w:adjustRightInd/>
              <w:rPr>
                <w:b/>
                <w:bCs/>
                <w:sz w:val="22"/>
                <w:szCs w:val="22"/>
              </w:rPr>
            </w:pPr>
            <w:r w:rsidRPr="001F1279">
              <w:rPr>
                <w:b/>
                <w:bCs/>
                <w:sz w:val="22"/>
                <w:szCs w:val="22"/>
              </w:rPr>
              <w:t>Fair and Full Reviews</w:t>
            </w:r>
          </w:p>
        </w:tc>
        <w:tc>
          <w:tcPr>
            <w:tcW w:w="2610" w:type="dxa"/>
            <w:noWrap/>
            <w:vAlign w:val="center"/>
            <w:hideMark/>
          </w:tcPr>
          <w:p w:rsidR="001F1279" w:rsidRPr="001F1279" w:rsidP="001F1279" w14:paraId="487823F0" w14:textId="77777777">
            <w:pPr>
              <w:widowControl/>
              <w:autoSpaceDE/>
              <w:autoSpaceDN/>
              <w:adjustRightInd/>
              <w:jc w:val="center"/>
              <w:rPr>
                <w:b/>
                <w:bCs/>
                <w:sz w:val="22"/>
                <w:szCs w:val="22"/>
              </w:rPr>
            </w:pPr>
            <w:r w:rsidRPr="001F1279">
              <w:rPr>
                <w:b/>
                <w:bCs/>
                <w:sz w:val="22"/>
                <w:szCs w:val="22"/>
              </w:rPr>
              <w:t>291,423</w:t>
            </w:r>
          </w:p>
        </w:tc>
      </w:tr>
      <w:tr w14:paraId="26E16DEC" w14:textId="77777777" w:rsidTr="001F1279">
        <w:tblPrEx>
          <w:tblW w:w="8602" w:type="dxa"/>
          <w:tblInd w:w="442" w:type="dxa"/>
          <w:tblLook w:val="04A0"/>
        </w:tblPrEx>
        <w:trPr>
          <w:trHeight w:val="300"/>
        </w:trPr>
        <w:tc>
          <w:tcPr>
            <w:tcW w:w="1710" w:type="dxa"/>
            <w:gridSpan w:val="2"/>
            <w:noWrap/>
            <w:vAlign w:val="center"/>
            <w:hideMark/>
          </w:tcPr>
          <w:p w:rsidR="001F1279" w:rsidRPr="001F1279" w:rsidP="001F1279" w14:paraId="70E31BBD" w14:textId="77777777">
            <w:pPr>
              <w:widowControl/>
              <w:autoSpaceDE/>
              <w:autoSpaceDN/>
              <w:adjustRightInd/>
              <w:rPr>
                <w:b/>
                <w:bCs/>
                <w:sz w:val="20"/>
                <w:szCs w:val="20"/>
              </w:rPr>
            </w:pPr>
            <w:r w:rsidRPr="001F1279">
              <w:rPr>
                <w:b/>
                <w:bCs/>
                <w:sz w:val="20"/>
                <w:szCs w:val="20"/>
              </w:rPr>
              <w:t>(C x F x G)</w:t>
            </w:r>
          </w:p>
        </w:tc>
        <w:tc>
          <w:tcPr>
            <w:tcW w:w="4282" w:type="dxa"/>
            <w:noWrap/>
            <w:vAlign w:val="center"/>
            <w:hideMark/>
          </w:tcPr>
          <w:p w:rsidR="001F1279" w:rsidRPr="001F1279" w:rsidP="001F1279" w14:paraId="777F120A" w14:textId="2B193F58">
            <w:pPr>
              <w:widowControl/>
              <w:autoSpaceDE/>
              <w:autoSpaceDN/>
              <w:adjustRightInd/>
              <w:rPr>
                <w:b/>
                <w:bCs/>
                <w:sz w:val="20"/>
                <w:szCs w:val="20"/>
              </w:rPr>
            </w:pPr>
            <w:r w:rsidRPr="001F1279">
              <w:rPr>
                <w:b/>
                <w:bCs/>
                <w:sz w:val="22"/>
                <w:szCs w:val="22"/>
              </w:rPr>
              <w:t>External Appeals</w:t>
            </w:r>
          </w:p>
        </w:tc>
        <w:tc>
          <w:tcPr>
            <w:tcW w:w="2610" w:type="dxa"/>
            <w:noWrap/>
            <w:vAlign w:val="center"/>
            <w:hideMark/>
          </w:tcPr>
          <w:p w:rsidR="001F1279" w:rsidRPr="001F1279" w:rsidP="001F1279" w14:paraId="60E406B0" w14:textId="77777777">
            <w:pPr>
              <w:widowControl/>
              <w:autoSpaceDE/>
              <w:autoSpaceDN/>
              <w:adjustRightInd/>
              <w:jc w:val="center"/>
              <w:rPr>
                <w:b/>
                <w:bCs/>
                <w:sz w:val="22"/>
                <w:szCs w:val="22"/>
              </w:rPr>
            </w:pPr>
            <w:r w:rsidRPr="001F1279">
              <w:rPr>
                <w:b/>
                <w:bCs/>
                <w:sz w:val="22"/>
                <w:szCs w:val="22"/>
              </w:rPr>
              <w:t>11,956</w:t>
            </w:r>
          </w:p>
        </w:tc>
      </w:tr>
      <w:tr w14:paraId="25429A91" w14:textId="77777777" w:rsidTr="001F1279">
        <w:tblPrEx>
          <w:tblW w:w="8602" w:type="dxa"/>
          <w:tblInd w:w="442" w:type="dxa"/>
          <w:tblLook w:val="04A0"/>
        </w:tblPrEx>
        <w:trPr>
          <w:trHeight w:val="315"/>
        </w:trPr>
        <w:tc>
          <w:tcPr>
            <w:tcW w:w="1710" w:type="dxa"/>
            <w:gridSpan w:val="2"/>
            <w:noWrap/>
            <w:vAlign w:val="center"/>
            <w:hideMark/>
          </w:tcPr>
          <w:p w:rsidR="001F1279" w:rsidRPr="001F1279" w:rsidP="001F1279" w14:paraId="3142C45C" w14:textId="77777777">
            <w:pPr>
              <w:widowControl/>
              <w:autoSpaceDE/>
              <w:autoSpaceDN/>
              <w:adjustRightInd/>
              <w:rPr>
                <w:b/>
                <w:bCs/>
                <w:sz w:val="20"/>
                <w:szCs w:val="20"/>
              </w:rPr>
            </w:pPr>
            <w:r w:rsidRPr="001F1279">
              <w:rPr>
                <w:b/>
                <w:bCs/>
                <w:sz w:val="20"/>
                <w:szCs w:val="20"/>
              </w:rPr>
              <w:t>(C x F x G) ÷ (H)</w:t>
            </w:r>
          </w:p>
        </w:tc>
        <w:tc>
          <w:tcPr>
            <w:tcW w:w="4282" w:type="dxa"/>
            <w:noWrap/>
            <w:vAlign w:val="center"/>
            <w:hideMark/>
          </w:tcPr>
          <w:p w:rsidR="001F1279" w:rsidRPr="001F1279" w:rsidP="001F1279" w14:paraId="1D1E6B1E" w14:textId="2F53D5A1">
            <w:pPr>
              <w:widowControl/>
              <w:autoSpaceDE/>
              <w:autoSpaceDN/>
              <w:adjustRightInd/>
              <w:rPr>
                <w:b/>
                <w:bCs/>
                <w:sz w:val="22"/>
                <w:szCs w:val="22"/>
              </w:rPr>
            </w:pPr>
            <w:r w:rsidRPr="001F1279">
              <w:rPr>
                <w:b/>
                <w:bCs/>
                <w:sz w:val="22"/>
                <w:szCs w:val="22"/>
              </w:rPr>
              <w:t>External Appeals Submitted</w:t>
            </w:r>
          </w:p>
        </w:tc>
        <w:tc>
          <w:tcPr>
            <w:tcW w:w="2610" w:type="dxa"/>
            <w:noWrap/>
            <w:vAlign w:val="center"/>
            <w:hideMark/>
          </w:tcPr>
          <w:p w:rsidR="001F1279" w:rsidRPr="001F1279" w:rsidP="001F1279" w14:paraId="3300156C" w14:textId="77777777">
            <w:pPr>
              <w:widowControl/>
              <w:autoSpaceDE/>
              <w:autoSpaceDN/>
              <w:adjustRightInd/>
              <w:jc w:val="center"/>
              <w:rPr>
                <w:b/>
                <w:bCs/>
                <w:sz w:val="22"/>
                <w:szCs w:val="22"/>
              </w:rPr>
            </w:pPr>
            <w:r w:rsidRPr="001F1279">
              <w:rPr>
                <w:b/>
                <w:bCs/>
                <w:sz w:val="22"/>
                <w:szCs w:val="22"/>
              </w:rPr>
              <w:t>15,941</w:t>
            </w:r>
          </w:p>
        </w:tc>
      </w:tr>
    </w:tbl>
    <w:p w:rsidR="003B3B49" w:rsidP="00AB7117" w14:paraId="04281134" w14:textId="77777777">
      <w:pPr>
        <w:widowControl/>
        <w:ind w:left="360"/>
        <w:rPr>
          <w:bCs/>
        </w:rPr>
      </w:pPr>
    </w:p>
    <w:p w:rsidR="003B3B49" w:rsidP="00AB7117" w14:paraId="010420B1" w14:textId="77777777">
      <w:pPr>
        <w:widowControl/>
        <w:ind w:left="360"/>
        <w:rPr>
          <w:bCs/>
        </w:rPr>
      </w:pPr>
    </w:p>
    <w:p w:rsidR="00D8788B" w:rsidRPr="00D8788B" w:rsidP="00D8788B" w14:paraId="22C4F239" w14:textId="77777777">
      <w:pPr>
        <w:widowControl/>
        <w:ind w:left="360"/>
        <w:rPr>
          <w:bCs/>
        </w:rPr>
      </w:pPr>
      <w:r w:rsidRPr="00D8788B">
        <w:rPr>
          <w:bCs/>
        </w:rPr>
        <w:t xml:space="preserve">The transaction burden will vary widely with the type and complexity of claim in question, but the mix of claims and associated burdens generally are expected to be similar across plans of the same type. The average time required for this information collection associated with any </w:t>
      </w:r>
      <w:r w:rsidRPr="00D8788B">
        <w:rPr>
          <w:bCs/>
        </w:rPr>
        <w:t>particular type of health</w:t>
      </w:r>
      <w:r w:rsidRPr="00D8788B">
        <w:rPr>
          <w:bCs/>
        </w:rPr>
        <w:t xml:space="preserve"> benefit claim transaction will range from five minutes for a medical secretary to produce a notice for a fair and full review to as many as 20 minutes for a physician to draft a response to an appeal brought before an external, independent review organization. Detailed calculations of the hour burden are provided in Table 2 below. </w:t>
      </w:r>
    </w:p>
    <w:p w:rsidR="003B3B49" w:rsidP="00AB7117" w14:paraId="1F87C28E" w14:textId="77777777">
      <w:pPr>
        <w:widowControl/>
        <w:ind w:left="360"/>
        <w:rPr>
          <w:bCs/>
        </w:rPr>
      </w:pPr>
    </w:p>
    <w:tbl>
      <w:tblPr>
        <w:tblW w:w="9187"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403"/>
        <w:gridCol w:w="1044"/>
        <w:gridCol w:w="944"/>
        <w:gridCol w:w="931"/>
        <w:gridCol w:w="1088"/>
        <w:gridCol w:w="1777"/>
      </w:tblGrid>
      <w:tr w14:paraId="71568CE7" w14:textId="77777777" w:rsidTr="00D8788B">
        <w:tblPrEx>
          <w:tblW w:w="9187"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cantSplit/>
          <w:trHeight w:val="315"/>
          <w:tblHeader/>
        </w:trPr>
        <w:tc>
          <w:tcPr>
            <w:tcW w:w="9187" w:type="dxa"/>
            <w:gridSpan w:val="6"/>
            <w:noWrap/>
            <w:vAlign w:val="bottom"/>
            <w:hideMark/>
          </w:tcPr>
          <w:p w:rsidR="00D8788B" w:rsidRPr="008F4A37" w:rsidP="001F068B" w14:paraId="324738B0" w14:textId="08AA49F9">
            <w:pPr>
              <w:widowControl/>
              <w:autoSpaceDE/>
              <w:autoSpaceDN/>
              <w:adjustRightInd/>
              <w:rPr>
                <w:sz w:val="22"/>
                <w:szCs w:val="22"/>
              </w:rPr>
            </w:pPr>
            <w:r w:rsidRPr="008F4A37">
              <w:rPr>
                <w:sz w:val="22"/>
                <w:szCs w:val="22"/>
              </w:rPr>
              <w:t xml:space="preserve">Table </w:t>
            </w:r>
            <w:r>
              <w:rPr>
                <w:sz w:val="22"/>
                <w:szCs w:val="22"/>
              </w:rPr>
              <w:t xml:space="preserve">2: </w:t>
            </w:r>
            <w:r w:rsidRPr="008F4A37">
              <w:rPr>
                <w:i/>
                <w:iCs/>
                <w:sz w:val="22"/>
                <w:szCs w:val="22"/>
              </w:rPr>
              <w:t>Hour Burden and Equivalent Cost for Claims and Appeals</w:t>
            </w:r>
          </w:p>
        </w:tc>
      </w:tr>
      <w:tr w14:paraId="58F1F223" w14:textId="77777777" w:rsidTr="00D8788B">
        <w:tblPrEx>
          <w:tblW w:w="9187" w:type="dxa"/>
          <w:tblInd w:w="270" w:type="dxa"/>
          <w:tblLook w:val="04A0"/>
        </w:tblPrEx>
        <w:trPr>
          <w:cantSplit/>
          <w:trHeight w:val="600"/>
          <w:tblHeader/>
        </w:trPr>
        <w:tc>
          <w:tcPr>
            <w:tcW w:w="3403" w:type="dxa"/>
            <w:vAlign w:val="center"/>
            <w:hideMark/>
          </w:tcPr>
          <w:p w:rsidR="00D8788B" w:rsidRPr="008F4A37" w:rsidP="001F068B" w14:paraId="20687960" w14:textId="77777777">
            <w:pPr>
              <w:widowControl/>
              <w:autoSpaceDE/>
              <w:autoSpaceDN/>
              <w:adjustRightInd/>
              <w:jc w:val="center"/>
              <w:rPr>
                <w:sz w:val="22"/>
                <w:szCs w:val="22"/>
              </w:rPr>
            </w:pPr>
            <w:r w:rsidRPr="008F4A37">
              <w:rPr>
                <w:sz w:val="22"/>
                <w:szCs w:val="22"/>
              </w:rPr>
              <w:t>Description</w:t>
            </w:r>
          </w:p>
        </w:tc>
        <w:tc>
          <w:tcPr>
            <w:tcW w:w="1044" w:type="dxa"/>
            <w:vAlign w:val="center"/>
            <w:hideMark/>
          </w:tcPr>
          <w:p w:rsidR="00D8788B" w:rsidRPr="008F4A37" w:rsidP="001F068B" w14:paraId="63050A4D" w14:textId="77777777">
            <w:pPr>
              <w:widowControl/>
              <w:autoSpaceDE/>
              <w:autoSpaceDN/>
              <w:adjustRightInd/>
              <w:jc w:val="center"/>
              <w:rPr>
                <w:sz w:val="22"/>
                <w:szCs w:val="22"/>
              </w:rPr>
            </w:pPr>
            <w:r w:rsidRPr="008F4A37">
              <w:rPr>
                <w:sz w:val="22"/>
                <w:szCs w:val="22"/>
              </w:rPr>
              <w:t>Entities</w:t>
            </w:r>
          </w:p>
        </w:tc>
        <w:tc>
          <w:tcPr>
            <w:tcW w:w="944" w:type="dxa"/>
            <w:vAlign w:val="center"/>
            <w:hideMark/>
          </w:tcPr>
          <w:p w:rsidR="00D8788B" w:rsidRPr="008F4A37" w:rsidP="001F068B" w14:paraId="53690F2D" w14:textId="77777777">
            <w:pPr>
              <w:widowControl/>
              <w:autoSpaceDE/>
              <w:autoSpaceDN/>
              <w:adjustRightInd/>
              <w:jc w:val="center"/>
              <w:rPr>
                <w:sz w:val="22"/>
                <w:szCs w:val="22"/>
              </w:rPr>
            </w:pPr>
            <w:r w:rsidRPr="008F4A37">
              <w:rPr>
                <w:sz w:val="22"/>
                <w:szCs w:val="22"/>
              </w:rPr>
              <w:t>Hours per Entity</w:t>
            </w:r>
          </w:p>
        </w:tc>
        <w:tc>
          <w:tcPr>
            <w:tcW w:w="931" w:type="dxa"/>
            <w:vAlign w:val="center"/>
            <w:hideMark/>
          </w:tcPr>
          <w:p w:rsidR="00D8788B" w:rsidRPr="008F4A37" w:rsidP="001F068B" w14:paraId="00781E13" w14:textId="77777777">
            <w:pPr>
              <w:widowControl/>
              <w:autoSpaceDE/>
              <w:autoSpaceDN/>
              <w:adjustRightInd/>
              <w:jc w:val="center"/>
              <w:rPr>
                <w:sz w:val="22"/>
                <w:szCs w:val="22"/>
              </w:rPr>
            </w:pPr>
            <w:r w:rsidRPr="008F4A37">
              <w:rPr>
                <w:sz w:val="22"/>
                <w:szCs w:val="22"/>
              </w:rPr>
              <w:t xml:space="preserve">Wage Rate </w:t>
            </w:r>
          </w:p>
        </w:tc>
        <w:tc>
          <w:tcPr>
            <w:tcW w:w="1088" w:type="dxa"/>
            <w:vAlign w:val="center"/>
            <w:hideMark/>
          </w:tcPr>
          <w:p w:rsidR="00D8788B" w:rsidRPr="008F4A37" w:rsidP="001F068B" w14:paraId="1B266186" w14:textId="77777777">
            <w:pPr>
              <w:widowControl/>
              <w:autoSpaceDE/>
              <w:autoSpaceDN/>
              <w:adjustRightInd/>
              <w:jc w:val="center"/>
              <w:rPr>
                <w:sz w:val="22"/>
                <w:szCs w:val="22"/>
              </w:rPr>
            </w:pPr>
            <w:r w:rsidRPr="008F4A37">
              <w:rPr>
                <w:sz w:val="22"/>
                <w:szCs w:val="22"/>
              </w:rPr>
              <w:t>Hour Burden</w:t>
            </w:r>
          </w:p>
        </w:tc>
        <w:tc>
          <w:tcPr>
            <w:tcW w:w="1777" w:type="dxa"/>
            <w:vAlign w:val="center"/>
            <w:hideMark/>
          </w:tcPr>
          <w:p w:rsidR="00D8788B" w:rsidRPr="008F4A37" w:rsidP="001F068B" w14:paraId="2A780203" w14:textId="77777777">
            <w:pPr>
              <w:widowControl/>
              <w:autoSpaceDE/>
              <w:autoSpaceDN/>
              <w:adjustRightInd/>
              <w:jc w:val="center"/>
              <w:rPr>
                <w:sz w:val="22"/>
                <w:szCs w:val="22"/>
              </w:rPr>
            </w:pPr>
            <w:r w:rsidRPr="008F4A37">
              <w:rPr>
                <w:sz w:val="22"/>
                <w:szCs w:val="22"/>
              </w:rPr>
              <w:t>Cost Equivalent</w:t>
            </w:r>
          </w:p>
        </w:tc>
      </w:tr>
      <w:tr w14:paraId="71A36038" w14:textId="77777777" w:rsidTr="00D8788B">
        <w:tblPrEx>
          <w:tblW w:w="9187" w:type="dxa"/>
          <w:tblInd w:w="270" w:type="dxa"/>
          <w:tblLook w:val="04A0"/>
        </w:tblPrEx>
        <w:trPr>
          <w:cantSplit/>
          <w:trHeight w:val="300"/>
          <w:tblHeader/>
        </w:trPr>
        <w:tc>
          <w:tcPr>
            <w:tcW w:w="3403" w:type="dxa"/>
            <w:noWrap/>
            <w:vAlign w:val="bottom"/>
            <w:hideMark/>
          </w:tcPr>
          <w:p w:rsidR="00D8788B" w:rsidRPr="008F4A37" w:rsidP="001F068B" w14:paraId="54E2FE05" w14:textId="77777777">
            <w:pPr>
              <w:widowControl/>
              <w:autoSpaceDE/>
              <w:autoSpaceDN/>
              <w:adjustRightInd/>
              <w:rPr>
                <w:sz w:val="22"/>
                <w:szCs w:val="22"/>
              </w:rPr>
            </w:pPr>
            <w:r w:rsidRPr="008F4A37">
              <w:rPr>
                <w:sz w:val="22"/>
                <w:szCs w:val="22"/>
              </w:rPr>
              <w:t> </w:t>
            </w:r>
          </w:p>
        </w:tc>
        <w:tc>
          <w:tcPr>
            <w:tcW w:w="1044" w:type="dxa"/>
            <w:noWrap/>
            <w:vAlign w:val="center"/>
            <w:hideMark/>
          </w:tcPr>
          <w:p w:rsidR="00D8788B" w:rsidRPr="0034760C" w:rsidP="001F068B" w14:paraId="2337EB1F" w14:textId="77777777">
            <w:pPr>
              <w:widowControl/>
              <w:autoSpaceDE/>
              <w:autoSpaceDN/>
              <w:adjustRightInd/>
              <w:jc w:val="center"/>
              <w:rPr>
                <w:sz w:val="20"/>
                <w:szCs w:val="20"/>
              </w:rPr>
            </w:pPr>
            <w:r w:rsidRPr="0034760C">
              <w:rPr>
                <w:sz w:val="20"/>
                <w:szCs w:val="20"/>
              </w:rPr>
              <w:t>(A)</w:t>
            </w:r>
          </w:p>
        </w:tc>
        <w:tc>
          <w:tcPr>
            <w:tcW w:w="944" w:type="dxa"/>
            <w:noWrap/>
            <w:vAlign w:val="center"/>
            <w:hideMark/>
          </w:tcPr>
          <w:p w:rsidR="00D8788B" w:rsidRPr="0034760C" w:rsidP="001F068B" w14:paraId="3343CDEB" w14:textId="77777777">
            <w:pPr>
              <w:widowControl/>
              <w:autoSpaceDE/>
              <w:autoSpaceDN/>
              <w:adjustRightInd/>
              <w:jc w:val="center"/>
              <w:rPr>
                <w:sz w:val="20"/>
                <w:szCs w:val="20"/>
              </w:rPr>
            </w:pPr>
            <w:r w:rsidRPr="0034760C">
              <w:rPr>
                <w:sz w:val="20"/>
                <w:szCs w:val="20"/>
              </w:rPr>
              <w:t>(B)</w:t>
            </w:r>
          </w:p>
        </w:tc>
        <w:tc>
          <w:tcPr>
            <w:tcW w:w="931" w:type="dxa"/>
            <w:noWrap/>
            <w:vAlign w:val="center"/>
            <w:hideMark/>
          </w:tcPr>
          <w:p w:rsidR="00D8788B" w:rsidRPr="0034760C" w:rsidP="001F068B" w14:paraId="4B3F790D" w14:textId="77777777">
            <w:pPr>
              <w:widowControl/>
              <w:autoSpaceDE/>
              <w:autoSpaceDN/>
              <w:adjustRightInd/>
              <w:jc w:val="center"/>
              <w:rPr>
                <w:sz w:val="20"/>
                <w:szCs w:val="20"/>
              </w:rPr>
            </w:pPr>
            <w:r w:rsidRPr="0034760C">
              <w:rPr>
                <w:sz w:val="20"/>
                <w:szCs w:val="20"/>
              </w:rPr>
              <w:t>(C)</w:t>
            </w:r>
          </w:p>
        </w:tc>
        <w:tc>
          <w:tcPr>
            <w:tcW w:w="1088" w:type="dxa"/>
            <w:noWrap/>
            <w:vAlign w:val="center"/>
            <w:hideMark/>
          </w:tcPr>
          <w:p w:rsidR="00D8788B" w:rsidRPr="0034760C" w:rsidP="001F068B" w14:paraId="5D13C8E7" w14:textId="77777777">
            <w:pPr>
              <w:widowControl/>
              <w:autoSpaceDE/>
              <w:autoSpaceDN/>
              <w:adjustRightInd/>
              <w:jc w:val="center"/>
              <w:rPr>
                <w:sz w:val="20"/>
                <w:szCs w:val="20"/>
              </w:rPr>
            </w:pPr>
            <w:r w:rsidRPr="0034760C">
              <w:rPr>
                <w:sz w:val="20"/>
                <w:szCs w:val="20"/>
              </w:rPr>
              <w:t>(A x B)</w:t>
            </w:r>
          </w:p>
        </w:tc>
        <w:tc>
          <w:tcPr>
            <w:tcW w:w="1777" w:type="dxa"/>
            <w:noWrap/>
            <w:vAlign w:val="center"/>
            <w:hideMark/>
          </w:tcPr>
          <w:p w:rsidR="00D8788B" w:rsidRPr="0034760C" w:rsidP="001F068B" w14:paraId="5B0F364F" w14:textId="77777777">
            <w:pPr>
              <w:widowControl/>
              <w:autoSpaceDE/>
              <w:autoSpaceDN/>
              <w:adjustRightInd/>
              <w:jc w:val="center"/>
              <w:rPr>
                <w:sz w:val="20"/>
                <w:szCs w:val="20"/>
              </w:rPr>
            </w:pPr>
            <w:r w:rsidRPr="0034760C">
              <w:rPr>
                <w:sz w:val="20"/>
                <w:szCs w:val="20"/>
              </w:rPr>
              <w:t>(A x B x C)</w:t>
            </w:r>
          </w:p>
        </w:tc>
      </w:tr>
      <w:tr w14:paraId="33D22464" w14:textId="77777777" w:rsidTr="00B37146">
        <w:tblPrEx>
          <w:tblW w:w="9187" w:type="dxa"/>
          <w:tblInd w:w="270" w:type="dxa"/>
          <w:tblLook w:val="04A0"/>
        </w:tblPrEx>
        <w:trPr>
          <w:trHeight w:val="600"/>
        </w:trPr>
        <w:tc>
          <w:tcPr>
            <w:tcW w:w="3403" w:type="dxa"/>
            <w:vAlign w:val="bottom"/>
            <w:hideMark/>
          </w:tcPr>
          <w:p w:rsidR="00D8788B" w:rsidRPr="008F4A37" w:rsidP="001F068B" w14:paraId="23AF3749" w14:textId="77777777">
            <w:pPr>
              <w:widowControl/>
              <w:autoSpaceDE/>
              <w:autoSpaceDN/>
              <w:adjustRightInd/>
              <w:rPr>
                <w:sz w:val="22"/>
                <w:szCs w:val="22"/>
              </w:rPr>
            </w:pPr>
            <w:r w:rsidRPr="008F4A37">
              <w:rPr>
                <w:sz w:val="22"/>
                <w:szCs w:val="22"/>
              </w:rPr>
              <w:t>Medical Secretary Produces Fair and Full Review Notice</w:t>
            </w:r>
          </w:p>
        </w:tc>
        <w:tc>
          <w:tcPr>
            <w:tcW w:w="1044" w:type="dxa"/>
            <w:noWrap/>
            <w:vAlign w:val="center"/>
            <w:hideMark/>
          </w:tcPr>
          <w:p w:rsidR="00D8788B" w:rsidRPr="008F4A37" w:rsidP="00B37146" w14:paraId="13E8B793" w14:textId="77777777">
            <w:pPr>
              <w:widowControl/>
              <w:autoSpaceDE/>
              <w:autoSpaceDN/>
              <w:adjustRightInd/>
              <w:jc w:val="center"/>
              <w:rPr>
                <w:sz w:val="22"/>
                <w:szCs w:val="22"/>
              </w:rPr>
            </w:pPr>
            <w:r>
              <w:rPr>
                <w:sz w:val="22"/>
                <w:szCs w:val="22"/>
              </w:rPr>
              <w:t>291,423</w:t>
            </w:r>
          </w:p>
        </w:tc>
        <w:tc>
          <w:tcPr>
            <w:tcW w:w="944" w:type="dxa"/>
            <w:vAlign w:val="center"/>
            <w:hideMark/>
          </w:tcPr>
          <w:p w:rsidR="00D8788B" w:rsidRPr="008F4A37" w:rsidP="00B37146" w14:paraId="61D743E3" w14:textId="62456F20">
            <w:pPr>
              <w:widowControl/>
              <w:autoSpaceDE/>
              <w:autoSpaceDN/>
              <w:adjustRightInd/>
              <w:jc w:val="center"/>
              <w:rPr>
                <w:sz w:val="22"/>
                <w:szCs w:val="22"/>
              </w:rPr>
            </w:pPr>
            <w:r>
              <w:rPr>
                <w:sz w:val="22"/>
                <w:szCs w:val="22"/>
              </w:rPr>
              <w:t>5/60</w:t>
            </w:r>
          </w:p>
        </w:tc>
        <w:tc>
          <w:tcPr>
            <w:tcW w:w="931" w:type="dxa"/>
            <w:noWrap/>
            <w:vAlign w:val="center"/>
            <w:hideMark/>
          </w:tcPr>
          <w:p w:rsidR="00D8788B" w:rsidRPr="008F4A37" w:rsidP="00B37146" w14:paraId="1A54523B" w14:textId="77777777">
            <w:pPr>
              <w:widowControl/>
              <w:autoSpaceDE/>
              <w:autoSpaceDN/>
              <w:adjustRightInd/>
              <w:jc w:val="center"/>
              <w:rPr>
                <w:sz w:val="22"/>
                <w:szCs w:val="22"/>
              </w:rPr>
            </w:pPr>
            <w:r>
              <w:rPr>
                <w:sz w:val="22"/>
                <w:szCs w:val="22"/>
              </w:rPr>
              <w:t>$64.46</w:t>
            </w:r>
          </w:p>
        </w:tc>
        <w:tc>
          <w:tcPr>
            <w:tcW w:w="1088" w:type="dxa"/>
            <w:noWrap/>
            <w:vAlign w:val="center"/>
            <w:hideMark/>
          </w:tcPr>
          <w:p w:rsidR="00D8788B" w:rsidRPr="008F4A37" w:rsidP="00B37146" w14:paraId="2FE35117" w14:textId="77777777">
            <w:pPr>
              <w:widowControl/>
              <w:autoSpaceDE/>
              <w:autoSpaceDN/>
              <w:adjustRightInd/>
              <w:jc w:val="center"/>
              <w:rPr>
                <w:sz w:val="22"/>
                <w:szCs w:val="22"/>
              </w:rPr>
            </w:pPr>
            <w:r>
              <w:rPr>
                <w:sz w:val="22"/>
                <w:szCs w:val="22"/>
              </w:rPr>
              <w:t>24,285.3</w:t>
            </w:r>
          </w:p>
        </w:tc>
        <w:tc>
          <w:tcPr>
            <w:tcW w:w="1777" w:type="dxa"/>
            <w:noWrap/>
            <w:vAlign w:val="center"/>
            <w:hideMark/>
          </w:tcPr>
          <w:p w:rsidR="00D8788B" w:rsidRPr="008F4A37" w:rsidP="00B37146" w14:paraId="3EAAA6EA" w14:textId="77777777">
            <w:pPr>
              <w:widowControl/>
              <w:autoSpaceDE/>
              <w:autoSpaceDN/>
              <w:adjustRightInd/>
              <w:jc w:val="center"/>
              <w:rPr>
                <w:sz w:val="22"/>
                <w:szCs w:val="22"/>
              </w:rPr>
            </w:pPr>
            <w:r>
              <w:rPr>
                <w:sz w:val="22"/>
                <w:szCs w:val="22"/>
              </w:rPr>
              <w:t>$1,565,427.22</w:t>
            </w:r>
          </w:p>
        </w:tc>
      </w:tr>
      <w:tr w14:paraId="1B826634" w14:textId="77777777" w:rsidTr="00B37146">
        <w:tblPrEx>
          <w:tblW w:w="9187" w:type="dxa"/>
          <w:tblInd w:w="270" w:type="dxa"/>
          <w:tblLook w:val="04A0"/>
        </w:tblPrEx>
        <w:trPr>
          <w:trHeight w:val="300"/>
        </w:trPr>
        <w:tc>
          <w:tcPr>
            <w:tcW w:w="3403" w:type="dxa"/>
            <w:vAlign w:val="bottom"/>
            <w:hideMark/>
          </w:tcPr>
          <w:p w:rsidR="00D8788B" w:rsidRPr="008F4A37" w:rsidP="001F068B" w14:paraId="1FCAF1D0" w14:textId="77777777">
            <w:pPr>
              <w:widowControl/>
              <w:autoSpaceDE/>
              <w:autoSpaceDN/>
              <w:adjustRightInd/>
              <w:rPr>
                <w:sz w:val="22"/>
                <w:szCs w:val="22"/>
              </w:rPr>
            </w:pPr>
            <w:r w:rsidRPr="008F4A37">
              <w:rPr>
                <w:sz w:val="22"/>
                <w:szCs w:val="22"/>
              </w:rPr>
              <w:t>Physician Drafts Appeal Response</w:t>
            </w:r>
          </w:p>
        </w:tc>
        <w:tc>
          <w:tcPr>
            <w:tcW w:w="1044" w:type="dxa"/>
            <w:noWrap/>
            <w:vAlign w:val="center"/>
            <w:hideMark/>
          </w:tcPr>
          <w:p w:rsidR="00D8788B" w:rsidRPr="008F4A37" w:rsidP="00B37146" w14:paraId="47AB781A" w14:textId="77777777">
            <w:pPr>
              <w:widowControl/>
              <w:autoSpaceDE/>
              <w:autoSpaceDN/>
              <w:adjustRightInd/>
              <w:jc w:val="center"/>
              <w:rPr>
                <w:sz w:val="22"/>
                <w:szCs w:val="22"/>
              </w:rPr>
            </w:pPr>
            <w:r>
              <w:rPr>
                <w:sz w:val="22"/>
                <w:szCs w:val="22"/>
              </w:rPr>
              <w:t>11,956</w:t>
            </w:r>
          </w:p>
        </w:tc>
        <w:tc>
          <w:tcPr>
            <w:tcW w:w="944" w:type="dxa"/>
            <w:vAlign w:val="center"/>
            <w:hideMark/>
          </w:tcPr>
          <w:p w:rsidR="00D8788B" w:rsidRPr="008F4A37" w:rsidP="00B37146" w14:paraId="182B587C" w14:textId="1CC50CD9">
            <w:pPr>
              <w:widowControl/>
              <w:autoSpaceDE/>
              <w:autoSpaceDN/>
              <w:adjustRightInd/>
              <w:jc w:val="center"/>
              <w:rPr>
                <w:sz w:val="22"/>
                <w:szCs w:val="22"/>
              </w:rPr>
            </w:pPr>
            <w:r>
              <w:rPr>
                <w:sz w:val="22"/>
                <w:szCs w:val="22"/>
              </w:rPr>
              <w:t>20/60</w:t>
            </w:r>
          </w:p>
        </w:tc>
        <w:tc>
          <w:tcPr>
            <w:tcW w:w="931" w:type="dxa"/>
            <w:noWrap/>
            <w:vAlign w:val="center"/>
            <w:hideMark/>
          </w:tcPr>
          <w:p w:rsidR="00D8788B" w:rsidRPr="008F4A37" w:rsidP="00B37146" w14:paraId="51EE5B1F" w14:textId="77777777">
            <w:pPr>
              <w:widowControl/>
              <w:autoSpaceDE/>
              <w:autoSpaceDN/>
              <w:adjustRightInd/>
              <w:jc w:val="center"/>
              <w:rPr>
                <w:sz w:val="22"/>
                <w:szCs w:val="22"/>
              </w:rPr>
            </w:pPr>
            <w:r>
              <w:rPr>
                <w:sz w:val="22"/>
                <w:szCs w:val="22"/>
              </w:rPr>
              <w:t>$208.88</w:t>
            </w:r>
          </w:p>
        </w:tc>
        <w:tc>
          <w:tcPr>
            <w:tcW w:w="1088" w:type="dxa"/>
            <w:noWrap/>
            <w:vAlign w:val="center"/>
            <w:hideMark/>
          </w:tcPr>
          <w:p w:rsidR="00D8788B" w:rsidRPr="008F4A37" w:rsidP="00B37146" w14:paraId="402A9871" w14:textId="77777777">
            <w:pPr>
              <w:widowControl/>
              <w:autoSpaceDE/>
              <w:autoSpaceDN/>
              <w:adjustRightInd/>
              <w:jc w:val="center"/>
              <w:rPr>
                <w:sz w:val="22"/>
                <w:szCs w:val="22"/>
              </w:rPr>
            </w:pPr>
            <w:r>
              <w:rPr>
                <w:sz w:val="22"/>
                <w:szCs w:val="22"/>
              </w:rPr>
              <w:t>3985.3</w:t>
            </w:r>
          </w:p>
        </w:tc>
        <w:tc>
          <w:tcPr>
            <w:tcW w:w="1777" w:type="dxa"/>
            <w:noWrap/>
            <w:vAlign w:val="center"/>
            <w:hideMark/>
          </w:tcPr>
          <w:p w:rsidR="00D8788B" w:rsidRPr="008F4A37" w:rsidP="00B37146" w14:paraId="3D26FB45" w14:textId="77777777">
            <w:pPr>
              <w:widowControl/>
              <w:autoSpaceDE/>
              <w:autoSpaceDN/>
              <w:adjustRightInd/>
              <w:jc w:val="center"/>
              <w:rPr>
                <w:sz w:val="22"/>
                <w:szCs w:val="22"/>
              </w:rPr>
            </w:pPr>
            <w:r>
              <w:rPr>
                <w:sz w:val="22"/>
                <w:szCs w:val="22"/>
              </w:rPr>
              <w:t>$832,456.43</w:t>
            </w:r>
          </w:p>
        </w:tc>
      </w:tr>
      <w:tr w14:paraId="1E4C888D" w14:textId="77777777" w:rsidTr="00B37146">
        <w:tblPrEx>
          <w:tblW w:w="9187" w:type="dxa"/>
          <w:tblInd w:w="270" w:type="dxa"/>
          <w:tblLook w:val="04A0"/>
        </w:tblPrEx>
        <w:trPr>
          <w:trHeight w:val="300"/>
        </w:trPr>
        <w:tc>
          <w:tcPr>
            <w:tcW w:w="3403" w:type="dxa"/>
            <w:tcBorders>
              <w:bottom w:val="single" w:sz="6" w:space="0" w:color="auto"/>
            </w:tcBorders>
            <w:noWrap/>
            <w:vAlign w:val="bottom"/>
            <w:hideMark/>
          </w:tcPr>
          <w:p w:rsidR="00D8788B" w:rsidRPr="008F4A37" w:rsidP="00B37146" w14:paraId="74978E16" w14:textId="5CBAAC66">
            <w:pPr>
              <w:widowControl/>
              <w:autoSpaceDE/>
              <w:autoSpaceDN/>
              <w:adjustRightInd/>
              <w:jc w:val="right"/>
              <w:rPr>
                <w:sz w:val="22"/>
                <w:szCs w:val="22"/>
              </w:rPr>
            </w:pPr>
            <w:r>
              <w:rPr>
                <w:sz w:val="22"/>
                <w:szCs w:val="22"/>
              </w:rPr>
              <w:t xml:space="preserve">Three-Year </w:t>
            </w:r>
            <w:r w:rsidRPr="008C7C0F">
              <w:rPr>
                <w:sz w:val="22"/>
                <w:szCs w:val="22"/>
              </w:rPr>
              <w:t>Total</w:t>
            </w:r>
          </w:p>
        </w:tc>
        <w:tc>
          <w:tcPr>
            <w:tcW w:w="1044" w:type="dxa"/>
            <w:tcBorders>
              <w:bottom w:val="single" w:sz="6" w:space="0" w:color="auto"/>
            </w:tcBorders>
            <w:noWrap/>
            <w:vAlign w:val="center"/>
            <w:hideMark/>
          </w:tcPr>
          <w:p w:rsidR="00D8788B" w:rsidRPr="008F4A37" w:rsidP="00B37146" w14:paraId="7532E0D8" w14:textId="77777777">
            <w:pPr>
              <w:widowControl/>
              <w:autoSpaceDE/>
              <w:autoSpaceDN/>
              <w:adjustRightInd/>
              <w:jc w:val="center"/>
              <w:rPr>
                <w:sz w:val="22"/>
                <w:szCs w:val="22"/>
              </w:rPr>
            </w:pPr>
            <w:r>
              <w:rPr>
                <w:sz w:val="22"/>
                <w:szCs w:val="22"/>
              </w:rPr>
              <w:t>910,137</w:t>
            </w:r>
          </w:p>
        </w:tc>
        <w:tc>
          <w:tcPr>
            <w:tcW w:w="944" w:type="dxa"/>
            <w:tcBorders>
              <w:bottom w:val="single" w:sz="6" w:space="0" w:color="auto"/>
            </w:tcBorders>
            <w:shd w:val="clear" w:color="auto" w:fill="A6A6A6" w:themeFill="background1" w:themeFillShade="A6"/>
            <w:noWrap/>
            <w:vAlign w:val="center"/>
          </w:tcPr>
          <w:p w:rsidR="00D8788B" w:rsidRPr="008F4A37" w:rsidP="00B37146" w14:paraId="3BE8AC3D" w14:textId="0A3F87D3">
            <w:pPr>
              <w:widowControl/>
              <w:autoSpaceDE/>
              <w:autoSpaceDN/>
              <w:adjustRightInd/>
              <w:jc w:val="center"/>
              <w:rPr>
                <w:sz w:val="22"/>
                <w:szCs w:val="22"/>
              </w:rPr>
            </w:pPr>
          </w:p>
        </w:tc>
        <w:tc>
          <w:tcPr>
            <w:tcW w:w="931" w:type="dxa"/>
            <w:tcBorders>
              <w:bottom w:val="single" w:sz="6" w:space="0" w:color="auto"/>
            </w:tcBorders>
            <w:shd w:val="clear" w:color="auto" w:fill="A6A6A6" w:themeFill="background1" w:themeFillShade="A6"/>
            <w:noWrap/>
            <w:vAlign w:val="center"/>
          </w:tcPr>
          <w:p w:rsidR="00D8788B" w:rsidRPr="008F4A37" w:rsidP="00B37146" w14:paraId="68247E0B" w14:textId="6C8A21CC">
            <w:pPr>
              <w:widowControl/>
              <w:autoSpaceDE/>
              <w:autoSpaceDN/>
              <w:adjustRightInd/>
              <w:jc w:val="center"/>
              <w:rPr>
                <w:sz w:val="22"/>
                <w:szCs w:val="22"/>
              </w:rPr>
            </w:pPr>
          </w:p>
        </w:tc>
        <w:tc>
          <w:tcPr>
            <w:tcW w:w="1088" w:type="dxa"/>
            <w:tcBorders>
              <w:bottom w:val="single" w:sz="6" w:space="0" w:color="auto"/>
            </w:tcBorders>
            <w:noWrap/>
            <w:vAlign w:val="center"/>
            <w:hideMark/>
          </w:tcPr>
          <w:p w:rsidR="00D8788B" w:rsidRPr="008F4A37" w:rsidP="00B37146" w14:paraId="5B045CB0" w14:textId="77777777">
            <w:pPr>
              <w:widowControl/>
              <w:autoSpaceDE/>
              <w:autoSpaceDN/>
              <w:adjustRightInd/>
              <w:jc w:val="center"/>
              <w:rPr>
                <w:sz w:val="22"/>
                <w:szCs w:val="22"/>
              </w:rPr>
            </w:pPr>
            <w:r>
              <w:rPr>
                <w:sz w:val="22"/>
                <w:szCs w:val="22"/>
              </w:rPr>
              <w:t>84,812</w:t>
            </w:r>
          </w:p>
        </w:tc>
        <w:tc>
          <w:tcPr>
            <w:tcW w:w="1777" w:type="dxa"/>
            <w:tcBorders>
              <w:bottom w:val="single" w:sz="6" w:space="0" w:color="auto"/>
            </w:tcBorders>
            <w:noWrap/>
            <w:vAlign w:val="center"/>
            <w:hideMark/>
          </w:tcPr>
          <w:p w:rsidR="00D8788B" w:rsidRPr="008F4A37" w:rsidP="00B37146" w14:paraId="5164ACF8" w14:textId="77777777">
            <w:pPr>
              <w:widowControl/>
              <w:autoSpaceDE/>
              <w:autoSpaceDN/>
              <w:adjustRightInd/>
              <w:jc w:val="center"/>
              <w:rPr>
                <w:sz w:val="22"/>
                <w:szCs w:val="22"/>
              </w:rPr>
            </w:pPr>
            <w:r>
              <w:rPr>
                <w:sz w:val="22"/>
                <w:szCs w:val="22"/>
              </w:rPr>
              <w:t>$7,193,651</w:t>
            </w:r>
          </w:p>
        </w:tc>
      </w:tr>
      <w:tr w14:paraId="683EFB09" w14:textId="77777777" w:rsidTr="00B37146">
        <w:tblPrEx>
          <w:tblW w:w="9187" w:type="dxa"/>
          <w:tblInd w:w="270" w:type="dxa"/>
          <w:tblLook w:val="04A0"/>
        </w:tblPrEx>
        <w:trPr>
          <w:trHeight w:val="315"/>
        </w:trPr>
        <w:tc>
          <w:tcPr>
            <w:tcW w:w="3403" w:type="dxa"/>
            <w:noWrap/>
            <w:vAlign w:val="bottom"/>
            <w:hideMark/>
          </w:tcPr>
          <w:p w:rsidR="00D8788B" w:rsidRPr="00B37146" w:rsidP="00B37146" w14:paraId="791F569F" w14:textId="5EBF33ED">
            <w:pPr>
              <w:widowControl/>
              <w:autoSpaceDE/>
              <w:autoSpaceDN/>
              <w:adjustRightInd/>
              <w:jc w:val="right"/>
              <w:rPr>
                <w:b/>
                <w:bCs/>
                <w:sz w:val="22"/>
                <w:szCs w:val="22"/>
              </w:rPr>
            </w:pPr>
            <w:r w:rsidRPr="00B37146">
              <w:rPr>
                <w:b/>
                <w:bCs/>
                <w:sz w:val="22"/>
                <w:szCs w:val="22"/>
              </w:rPr>
              <w:t>Annual Averag</w:t>
            </w:r>
            <w:r w:rsidR="00B37146">
              <w:rPr>
                <w:b/>
                <w:bCs/>
                <w:sz w:val="22"/>
                <w:szCs w:val="22"/>
              </w:rPr>
              <w:t>e</w:t>
            </w:r>
          </w:p>
        </w:tc>
        <w:tc>
          <w:tcPr>
            <w:tcW w:w="1044" w:type="dxa"/>
            <w:noWrap/>
            <w:vAlign w:val="center"/>
            <w:hideMark/>
          </w:tcPr>
          <w:p w:rsidR="00D8788B" w:rsidRPr="00B37146" w:rsidP="00B37146" w14:paraId="424B03F4" w14:textId="77777777">
            <w:pPr>
              <w:widowControl/>
              <w:autoSpaceDE/>
              <w:autoSpaceDN/>
              <w:adjustRightInd/>
              <w:jc w:val="center"/>
              <w:rPr>
                <w:b/>
                <w:bCs/>
                <w:sz w:val="22"/>
                <w:szCs w:val="22"/>
              </w:rPr>
            </w:pPr>
            <w:r w:rsidRPr="00B37146">
              <w:rPr>
                <w:b/>
                <w:bCs/>
                <w:sz w:val="22"/>
                <w:szCs w:val="22"/>
              </w:rPr>
              <w:t>303,379</w:t>
            </w:r>
          </w:p>
        </w:tc>
        <w:tc>
          <w:tcPr>
            <w:tcW w:w="944" w:type="dxa"/>
            <w:shd w:val="clear" w:color="auto" w:fill="A6A6A6" w:themeFill="background1" w:themeFillShade="A6"/>
            <w:noWrap/>
            <w:vAlign w:val="center"/>
          </w:tcPr>
          <w:p w:rsidR="00D8788B" w:rsidRPr="00B37146" w:rsidP="00B37146" w14:paraId="52E37A96" w14:textId="37BBA57E">
            <w:pPr>
              <w:widowControl/>
              <w:autoSpaceDE/>
              <w:autoSpaceDN/>
              <w:adjustRightInd/>
              <w:jc w:val="center"/>
              <w:rPr>
                <w:b/>
                <w:bCs/>
                <w:sz w:val="22"/>
                <w:szCs w:val="22"/>
              </w:rPr>
            </w:pPr>
          </w:p>
        </w:tc>
        <w:tc>
          <w:tcPr>
            <w:tcW w:w="931" w:type="dxa"/>
            <w:shd w:val="clear" w:color="auto" w:fill="A6A6A6" w:themeFill="background1" w:themeFillShade="A6"/>
            <w:noWrap/>
            <w:vAlign w:val="center"/>
          </w:tcPr>
          <w:p w:rsidR="00D8788B" w:rsidRPr="00B37146" w:rsidP="00B37146" w14:paraId="7BE2A940" w14:textId="424A4EBE">
            <w:pPr>
              <w:widowControl/>
              <w:autoSpaceDE/>
              <w:autoSpaceDN/>
              <w:adjustRightInd/>
              <w:jc w:val="center"/>
              <w:rPr>
                <w:b/>
                <w:bCs/>
                <w:sz w:val="22"/>
                <w:szCs w:val="22"/>
              </w:rPr>
            </w:pPr>
          </w:p>
        </w:tc>
        <w:tc>
          <w:tcPr>
            <w:tcW w:w="1088" w:type="dxa"/>
            <w:noWrap/>
            <w:vAlign w:val="center"/>
            <w:hideMark/>
          </w:tcPr>
          <w:p w:rsidR="00D8788B" w:rsidRPr="00B37146" w:rsidP="00B37146" w14:paraId="4183F782" w14:textId="77777777">
            <w:pPr>
              <w:widowControl/>
              <w:autoSpaceDE/>
              <w:autoSpaceDN/>
              <w:adjustRightInd/>
              <w:jc w:val="center"/>
              <w:rPr>
                <w:b/>
                <w:bCs/>
                <w:sz w:val="22"/>
                <w:szCs w:val="22"/>
              </w:rPr>
            </w:pPr>
            <w:r w:rsidRPr="00B37146">
              <w:rPr>
                <w:b/>
                <w:bCs/>
                <w:sz w:val="22"/>
                <w:szCs w:val="22"/>
              </w:rPr>
              <w:t>28,271</w:t>
            </w:r>
          </w:p>
        </w:tc>
        <w:tc>
          <w:tcPr>
            <w:tcW w:w="1777" w:type="dxa"/>
            <w:noWrap/>
            <w:vAlign w:val="center"/>
            <w:hideMark/>
          </w:tcPr>
          <w:p w:rsidR="00D8788B" w:rsidRPr="00B37146" w:rsidP="00B37146" w14:paraId="7EBB086B" w14:textId="77777777">
            <w:pPr>
              <w:widowControl/>
              <w:autoSpaceDE/>
              <w:autoSpaceDN/>
              <w:adjustRightInd/>
              <w:jc w:val="center"/>
              <w:rPr>
                <w:b/>
                <w:bCs/>
                <w:sz w:val="22"/>
                <w:szCs w:val="22"/>
              </w:rPr>
            </w:pPr>
            <w:r w:rsidRPr="00B37146">
              <w:rPr>
                <w:b/>
                <w:bCs/>
                <w:sz w:val="22"/>
                <w:szCs w:val="22"/>
              </w:rPr>
              <w:t>$2,397,884</w:t>
            </w:r>
          </w:p>
        </w:tc>
      </w:tr>
      <w:tr w14:paraId="2DFCDF40" w14:textId="77777777" w:rsidTr="00D8788B">
        <w:tblPrEx>
          <w:tblW w:w="9187" w:type="dxa"/>
          <w:tblInd w:w="270" w:type="dxa"/>
          <w:tblLook w:val="04A0"/>
        </w:tblPrEx>
        <w:trPr>
          <w:trHeight w:val="300"/>
        </w:trPr>
        <w:tc>
          <w:tcPr>
            <w:tcW w:w="9187" w:type="dxa"/>
            <w:gridSpan w:val="6"/>
            <w:noWrap/>
            <w:vAlign w:val="bottom"/>
            <w:hideMark/>
          </w:tcPr>
          <w:p w:rsidR="00D8788B" w:rsidRPr="008F4A37" w:rsidP="001F068B" w14:paraId="5331865F" w14:textId="34C89DC7">
            <w:pPr>
              <w:widowControl/>
              <w:autoSpaceDE/>
              <w:autoSpaceDN/>
              <w:adjustRightInd/>
              <w:rPr>
                <w:sz w:val="18"/>
                <w:szCs w:val="18"/>
              </w:rPr>
            </w:pPr>
            <w:r w:rsidRPr="008F4A37">
              <w:rPr>
                <w:sz w:val="18"/>
                <w:szCs w:val="18"/>
              </w:rPr>
              <w:t>*The annual average cost is calculated as the total cost average</w:t>
            </w:r>
            <w:r>
              <w:rPr>
                <w:sz w:val="18"/>
                <w:szCs w:val="18"/>
              </w:rPr>
              <w:t>d</w:t>
            </w:r>
            <w:r w:rsidRPr="008F4A37">
              <w:rPr>
                <w:sz w:val="18"/>
                <w:szCs w:val="18"/>
              </w:rPr>
              <w:t xml:space="preserve"> across three years </w:t>
            </w:r>
          </w:p>
        </w:tc>
      </w:tr>
    </w:tbl>
    <w:p w:rsidR="003B3B49" w:rsidRPr="00AB7117" w:rsidP="00AB7117" w14:paraId="3C97572F" w14:textId="77777777">
      <w:pPr>
        <w:widowControl/>
        <w:ind w:left="360"/>
        <w:rPr>
          <w:bCs/>
        </w:rPr>
      </w:pPr>
    </w:p>
    <w:p w:rsidR="00AB7117" w:rsidRPr="00AB7117" w:rsidP="00AB7117" w14:paraId="3809BE27" w14:textId="77777777">
      <w:pPr>
        <w:widowControl/>
        <w:ind w:left="360"/>
        <w:rPr>
          <w:bCs/>
        </w:rPr>
      </w:pPr>
    </w:p>
    <w:p w:rsidR="00B37146" w:rsidP="00B37146" w14:paraId="39543A85" w14:textId="175F97A0">
      <w:pPr>
        <w:widowControl/>
        <w:ind w:left="360"/>
      </w:pPr>
      <w:r w:rsidRPr="00AB7117">
        <w:rPr>
          <w:bCs/>
        </w:rPr>
        <w:t>The Department</w:t>
      </w:r>
      <w:r w:rsidR="008122C1">
        <w:rPr>
          <w:bCs/>
        </w:rPr>
        <w:t>s</w:t>
      </w:r>
      <w:r w:rsidRPr="00AB7117">
        <w:rPr>
          <w:bCs/>
        </w:rPr>
        <w:t xml:space="preserve"> estimate </w:t>
      </w:r>
      <w:r w:rsidR="00684676">
        <w:rPr>
          <w:bCs/>
        </w:rPr>
        <w:t xml:space="preserve">the </w:t>
      </w:r>
      <w:r>
        <w:t xml:space="preserve">average burden hours for claims and appeals are estimated at 28,271 hours annually at an equivalent cost of </w:t>
      </w:r>
      <w:r w:rsidRPr="000C4477">
        <w:t>$</w:t>
      </w:r>
      <w:r>
        <w:t>2,397,884.</w:t>
      </w:r>
    </w:p>
    <w:p w:rsidR="00AB7117" w:rsidRPr="00AB7117" w:rsidP="00B567B1" w14:paraId="242F7444" w14:textId="77777777">
      <w:pPr>
        <w:widowControl/>
        <w:rPr>
          <w:b/>
        </w:rPr>
      </w:pPr>
    </w:p>
    <w:p w:rsidR="00AB7117" w:rsidRPr="00AB7117" w:rsidP="00AB7117" w14:paraId="56285E20" w14:textId="0D7055E5">
      <w:pPr>
        <w:widowControl/>
        <w:ind w:left="360"/>
        <w:rPr>
          <w:b/>
          <w:u w:val="single"/>
        </w:rPr>
      </w:pPr>
      <w:r w:rsidRPr="00AB7117">
        <w:rPr>
          <w:b/>
          <w:u w:val="single"/>
        </w:rPr>
        <w:t>Federal External Review</w:t>
      </w:r>
    </w:p>
    <w:p w:rsidR="00B567B1" w:rsidP="00B567B1" w14:paraId="1D0AF9E5" w14:textId="5F8BCC49">
      <w:pPr>
        <w:ind w:left="360"/>
      </w:pPr>
      <w:r>
        <w:t xml:space="preserve">The disclosure requirements of the Federal </w:t>
      </w:r>
      <w:r w:rsidR="00684676">
        <w:t>E</w:t>
      </w:r>
      <w:r>
        <w:t xml:space="preserve">xternal </w:t>
      </w:r>
      <w:r w:rsidR="00684676">
        <w:t>R</w:t>
      </w:r>
      <w:r>
        <w:t>eview process require:</w:t>
      </w:r>
    </w:p>
    <w:p w:rsidR="00B567B1" w:rsidP="00B567B1" w14:paraId="49219012" w14:textId="77777777">
      <w:pPr>
        <w:pStyle w:val="ListParagraph"/>
        <w:numPr>
          <w:ilvl w:val="0"/>
          <w:numId w:val="15"/>
        </w:numPr>
      </w:pPr>
      <w:r>
        <w:t xml:space="preserve">a preliminary review by plans of requests for external appeals; </w:t>
      </w:r>
    </w:p>
    <w:p w:rsidR="00B567B1" w:rsidP="00B567B1" w14:paraId="27A0E020" w14:textId="77777777">
      <w:pPr>
        <w:pStyle w:val="ListParagraph"/>
        <w:numPr>
          <w:ilvl w:val="0"/>
          <w:numId w:val="15"/>
        </w:numPr>
      </w:pPr>
      <w:r>
        <w:t xml:space="preserve">Independent Review Organizations (IROs) to notify claimants of eligibility and </w:t>
      </w:r>
      <w:r>
        <w:t xml:space="preserve">acceptance for external review; </w:t>
      </w:r>
    </w:p>
    <w:p w:rsidR="00B567B1" w:rsidP="00B567B1" w14:paraId="61C30071" w14:textId="77777777">
      <w:pPr>
        <w:pStyle w:val="ListParagraph"/>
        <w:numPr>
          <w:ilvl w:val="0"/>
          <w:numId w:val="15"/>
        </w:numPr>
      </w:pPr>
      <w:r>
        <w:t xml:space="preserve">the plan or issuer to provide IROs with documentation and other information considered in making the adverse benefit determination; </w:t>
      </w:r>
    </w:p>
    <w:p w:rsidR="00B567B1" w:rsidP="00B567B1" w14:paraId="10F4E092" w14:textId="77777777">
      <w:pPr>
        <w:pStyle w:val="ListParagraph"/>
        <w:numPr>
          <w:ilvl w:val="0"/>
          <w:numId w:val="15"/>
        </w:numPr>
      </w:pPr>
      <w:r>
        <w:t xml:space="preserve">the IRO to forward to the plan or issuer any information submitted by the claimant; </w:t>
      </w:r>
    </w:p>
    <w:p w:rsidR="00B567B1" w:rsidP="00B567B1" w14:paraId="1D57FBA3" w14:textId="77777777">
      <w:pPr>
        <w:pStyle w:val="ListParagraph"/>
        <w:numPr>
          <w:ilvl w:val="0"/>
          <w:numId w:val="15"/>
        </w:numPr>
      </w:pPr>
      <w:r>
        <w:t xml:space="preserve">the plan to notify the claimant and IRO if it reverses its decision; </w:t>
      </w:r>
    </w:p>
    <w:p w:rsidR="00B567B1" w:rsidP="00B567B1" w14:paraId="535D5157" w14:textId="77777777">
      <w:pPr>
        <w:pStyle w:val="ListParagraph"/>
        <w:numPr>
          <w:ilvl w:val="0"/>
          <w:numId w:val="15"/>
        </w:numPr>
      </w:pPr>
      <w:r>
        <w:t xml:space="preserve">the IRO to notify the claimant and plan of the result of the final external appeal (burden previously accounted for); </w:t>
      </w:r>
    </w:p>
    <w:p w:rsidR="00B567B1" w:rsidP="00B567B1" w14:paraId="3E064821" w14:textId="77777777">
      <w:pPr>
        <w:pStyle w:val="ListParagraph"/>
        <w:numPr>
          <w:ilvl w:val="0"/>
          <w:numId w:val="15"/>
        </w:numPr>
      </w:pPr>
      <w:r>
        <w:t>the IRO to maintain records for six years.</w:t>
      </w:r>
    </w:p>
    <w:p w:rsidR="00B567B1" w:rsidP="00B567B1" w14:paraId="1209E572" w14:textId="77777777">
      <w:pPr>
        <w:ind w:left="360"/>
        <w:rPr>
          <w:color w:val="000000"/>
        </w:rPr>
      </w:pPr>
    </w:p>
    <w:p w:rsidR="00B567B1" w:rsidP="00B567B1" w14:paraId="20B3F685" w14:textId="77777777">
      <w:pPr>
        <w:ind w:left="360"/>
        <w:rPr>
          <w:color w:val="000000"/>
        </w:rPr>
      </w:pPr>
      <w:r w:rsidRPr="00BC2641">
        <w:rPr>
          <w:color w:val="000000"/>
        </w:rPr>
        <w:t>The Department</w:t>
      </w:r>
      <w:r>
        <w:rPr>
          <w:color w:val="000000"/>
        </w:rPr>
        <w:t>s</w:t>
      </w:r>
      <w:r w:rsidRPr="00BC2641">
        <w:rPr>
          <w:color w:val="000000"/>
        </w:rPr>
        <w:t xml:space="preserve"> estimate that there are approximately </w:t>
      </w:r>
      <w:r>
        <w:rPr>
          <w:color w:val="000000"/>
        </w:rPr>
        <w:t>78.9</w:t>
      </w:r>
      <w:r w:rsidRPr="00BC2641">
        <w:rPr>
          <w:color w:val="000000"/>
        </w:rPr>
        <w:t xml:space="preserve"> million participants in self-insured ERISA-covered plans.</w:t>
      </w:r>
      <w:r>
        <w:rPr>
          <w:rStyle w:val="FootnoteReference"/>
          <w:color w:val="000000"/>
          <w:vertAlign w:val="superscript"/>
        </w:rPr>
        <w:footnoteReference w:id="11"/>
      </w:r>
      <w:r w:rsidRPr="00C247A3">
        <w:rPr>
          <w:color w:val="000000"/>
          <w:vertAlign w:val="superscript"/>
        </w:rPr>
        <w:t xml:space="preserve"> </w:t>
      </w:r>
      <w:r w:rsidRPr="00BC2641">
        <w:rPr>
          <w:color w:val="000000"/>
        </w:rPr>
        <w:t xml:space="preserve">In the </w:t>
      </w:r>
      <w:r w:rsidRPr="00BC2641">
        <w:rPr>
          <w:color w:val="000000"/>
        </w:rPr>
        <w:t>States</w:t>
      </w:r>
      <w:r w:rsidRPr="00BC2641">
        <w:rPr>
          <w:color w:val="000000"/>
        </w:rPr>
        <w:t xml:space="preserve"> which currently have no external review laws or whose laws do not meet the federal minimum requirements</w:t>
      </w:r>
      <w:r>
        <w:rPr>
          <w:color w:val="000000"/>
        </w:rPr>
        <w:t>,</w:t>
      </w:r>
      <w:r>
        <w:rPr>
          <w:rStyle w:val="FootnoteReference"/>
          <w:color w:val="000000"/>
          <w:vertAlign w:val="superscript"/>
        </w:rPr>
        <w:footnoteReference w:id="12"/>
      </w:r>
      <w:r w:rsidRPr="00BC2641">
        <w:rPr>
          <w:color w:val="000000"/>
        </w:rPr>
        <w:t xml:space="preserve"> </w:t>
      </w:r>
      <w:r>
        <w:rPr>
          <w:color w:val="000000"/>
        </w:rPr>
        <w:t>the Departments estimate that there are approximately 17.2</w:t>
      </w:r>
      <w:r w:rsidRPr="00D07C01">
        <w:rPr>
          <w:color w:val="000000"/>
        </w:rPr>
        <w:t xml:space="preserve"> million parti</w:t>
      </w:r>
      <w:r>
        <w:rPr>
          <w:color w:val="000000"/>
        </w:rPr>
        <w:t>cipants in ERISA-covered plans. Additionally, 11.2 million participants in grandfathered plans</w:t>
      </w:r>
      <w:r w:rsidRPr="001B3250">
        <w:rPr>
          <w:color w:val="000000"/>
        </w:rPr>
        <w:t xml:space="preserve"> will be required to be covered by the external review requirement. </w:t>
      </w:r>
      <w:r>
        <w:rPr>
          <w:color w:val="000000"/>
        </w:rPr>
        <w:t>Accordingly, t</w:t>
      </w:r>
      <w:r w:rsidRPr="000A175C">
        <w:rPr>
          <w:color w:val="000000"/>
        </w:rPr>
        <w:t xml:space="preserve">hese estimates lead to a total of </w:t>
      </w:r>
      <w:r>
        <w:rPr>
          <w:color w:val="000000"/>
        </w:rPr>
        <w:t xml:space="preserve">90.1 </w:t>
      </w:r>
      <w:r w:rsidRPr="000A175C">
        <w:rPr>
          <w:color w:val="000000"/>
        </w:rPr>
        <w:t>million participant</w:t>
      </w:r>
      <w:r>
        <w:rPr>
          <w:color w:val="000000"/>
        </w:rPr>
        <w:t>s that would be affected by the external review requirements.</w:t>
      </w:r>
      <w:r w:rsidRPr="000A175C">
        <w:rPr>
          <w:color w:val="000000"/>
        </w:rPr>
        <w:t xml:space="preserve"> </w:t>
      </w:r>
    </w:p>
    <w:p w:rsidR="00B567B1" w:rsidP="00B567B1" w14:paraId="33051752" w14:textId="77777777">
      <w:pPr>
        <w:ind w:left="360"/>
        <w:rPr>
          <w:color w:val="000000"/>
        </w:rPr>
      </w:pPr>
    </w:p>
    <w:p w:rsidR="00B567B1" w:rsidP="00B567B1" w14:paraId="655C77CF" w14:textId="77777777">
      <w:pPr>
        <w:ind w:left="360"/>
        <w:rPr>
          <w:color w:val="000000"/>
        </w:rPr>
      </w:pPr>
      <w:r w:rsidRPr="00BC2641">
        <w:rPr>
          <w:color w:val="000000"/>
        </w:rPr>
        <w:t>The Department</w:t>
      </w:r>
      <w:r>
        <w:rPr>
          <w:color w:val="000000"/>
        </w:rPr>
        <w:t>s</w:t>
      </w:r>
      <w:r w:rsidRPr="00BC2641">
        <w:rPr>
          <w:color w:val="000000"/>
        </w:rPr>
        <w:t xml:space="preserve"> </w:t>
      </w:r>
      <w:r>
        <w:rPr>
          <w:color w:val="000000"/>
        </w:rPr>
        <w:t>estimate</w:t>
      </w:r>
      <w:r w:rsidRPr="00BC2641">
        <w:rPr>
          <w:color w:val="000000"/>
        </w:rPr>
        <w:t xml:space="preserve"> that there are 1.3 external appeals for every 10,000 participants</w:t>
      </w:r>
      <w:r>
        <w:rPr>
          <w:color w:val="000000"/>
        </w:rPr>
        <w:t>.</w:t>
      </w:r>
      <w:r>
        <w:rPr>
          <w:rStyle w:val="FootnoteReference"/>
          <w:color w:val="000000"/>
          <w:vertAlign w:val="superscript"/>
        </w:rPr>
        <w:footnoteReference w:id="13"/>
      </w:r>
      <w:r>
        <w:rPr>
          <w:color w:val="000000"/>
        </w:rPr>
        <w:t xml:space="preserve"> Additionally, as stated in Table 1, the Departments estimate that</w:t>
      </w:r>
      <w:r w:rsidRPr="00030E14">
        <w:rPr>
          <w:color w:val="000000"/>
        </w:rPr>
        <w:t xml:space="preserve"> there will be approximately </w:t>
      </w:r>
      <w:r>
        <w:rPr>
          <w:color w:val="000000"/>
        </w:rPr>
        <w:t>11,956</w:t>
      </w:r>
      <w:r w:rsidRPr="00D50680">
        <w:rPr>
          <w:color w:val="000000"/>
        </w:rPr>
        <w:t xml:space="preserve"> </w:t>
      </w:r>
      <w:r w:rsidRPr="000A175C">
        <w:rPr>
          <w:color w:val="000000"/>
        </w:rPr>
        <w:t>external appeals annually.</w:t>
      </w:r>
      <w:r w:rsidRPr="001B3250">
        <w:rPr>
          <w:color w:val="000000"/>
        </w:rPr>
        <w:t xml:space="preserve"> </w:t>
      </w:r>
      <w:r>
        <w:rPr>
          <w:color w:val="000000"/>
        </w:rPr>
        <w:t xml:space="preserve">Experience from North Carolina indicates that about 75 percent of requests for external appeals are </w:t>
      </w:r>
      <w:r>
        <w:rPr>
          <w:color w:val="000000"/>
        </w:rPr>
        <w:t>actually eligible</w:t>
      </w:r>
      <w:r>
        <w:rPr>
          <w:color w:val="000000"/>
        </w:rPr>
        <w:t xml:space="preserve"> to proceed to an external review,</w:t>
      </w:r>
      <w:r>
        <w:rPr>
          <w:rStyle w:val="FootnoteReference"/>
          <w:color w:val="000000"/>
          <w:vertAlign w:val="superscript"/>
        </w:rPr>
        <w:footnoteReference w:id="14"/>
      </w:r>
      <w:r w:rsidRPr="005B0CCD">
        <w:rPr>
          <w:color w:val="000000"/>
          <w:vertAlign w:val="superscript"/>
        </w:rPr>
        <w:t xml:space="preserve"> </w:t>
      </w:r>
      <w:r>
        <w:rPr>
          <w:color w:val="000000"/>
        </w:rPr>
        <w:t xml:space="preserve">therefore it is expected that there will be about 15,941 (11,956 ÷ 0.75) requests for appeals. </w:t>
      </w:r>
    </w:p>
    <w:p w:rsidR="00B567B1" w:rsidP="00B567B1" w14:paraId="276D23EE" w14:textId="77777777">
      <w:pPr>
        <w:ind w:left="360"/>
        <w:rPr>
          <w:color w:val="000000"/>
        </w:rPr>
      </w:pPr>
    </w:p>
    <w:p w:rsidR="00B567B1" w:rsidP="00B567B1" w14:paraId="65EFA0D3" w14:textId="77777777">
      <w:pPr>
        <w:ind w:left="360"/>
        <w:rPr>
          <w:color w:val="000000"/>
        </w:rPr>
      </w:pPr>
      <w:r>
        <w:rPr>
          <w:color w:val="000000"/>
        </w:rPr>
        <w:t xml:space="preserve">The Departments estimate that a human resource specialist will spend approximately 15 minutes </w:t>
      </w:r>
      <w:r>
        <w:rPr>
          <w:color w:val="000000"/>
        </w:rPr>
        <w:t>for</w:t>
      </w:r>
      <w:r>
        <w:rPr>
          <w:color w:val="000000"/>
        </w:rPr>
        <w:t xml:space="preserve"> each preliminary external request.</w:t>
      </w:r>
      <w:r>
        <w:rPr>
          <w:rStyle w:val="FootnoteReference"/>
          <w:color w:val="000000"/>
          <w:vertAlign w:val="superscript"/>
        </w:rPr>
        <w:footnoteReference w:id="15"/>
      </w:r>
      <w:r>
        <w:rPr>
          <w:color w:val="000000"/>
          <w:vertAlign w:val="superscript"/>
        </w:rPr>
        <w:t xml:space="preserve"> </w:t>
      </w:r>
      <w:r>
        <w:t xml:space="preserve">Plans will already have conducted internal reviews for eligible claimants; therefore, the required information for plans to make this determination should be readily available. Detailed calculations of the hour burden are provided in Table 3 below. </w:t>
      </w:r>
    </w:p>
    <w:p w:rsidR="00B567B1" w:rsidP="00B567B1" w14:paraId="34F9A00F" w14:textId="77777777">
      <w:pPr>
        <w:ind w:left="360"/>
        <w:rPr>
          <w:color w:val="000000"/>
        </w:rPr>
      </w:pPr>
    </w:p>
    <w:p w:rsidR="00B567B1" w:rsidP="00B567B1" w14:paraId="677E3E62" w14:textId="77777777">
      <w:pPr>
        <w:ind w:left="360"/>
        <w:rPr>
          <w:bCs/>
        </w:rPr>
      </w:pPr>
      <w:r w:rsidRPr="00332E56">
        <w:rPr>
          <w:bCs/>
        </w:rPr>
        <w:t>IROs must also send each eligible claimant a notice of eligibility and acceptance. The Department</w:t>
      </w:r>
      <w:r>
        <w:rPr>
          <w:bCs/>
        </w:rPr>
        <w:t>s</w:t>
      </w:r>
      <w:r w:rsidRPr="00332E56">
        <w:rPr>
          <w:bCs/>
        </w:rPr>
        <w:t xml:space="preserve"> assume that </w:t>
      </w:r>
      <w:r>
        <w:rPr>
          <w:bCs/>
        </w:rPr>
        <w:t xml:space="preserve">a clerical professional at the IRO </w:t>
      </w:r>
      <w:r w:rsidRPr="00332E56">
        <w:rPr>
          <w:bCs/>
        </w:rPr>
        <w:t>will</w:t>
      </w:r>
      <w:r>
        <w:rPr>
          <w:bCs/>
        </w:rPr>
        <w:t xml:space="preserve"> </w:t>
      </w:r>
      <w:r w:rsidRPr="00332E56">
        <w:rPr>
          <w:bCs/>
        </w:rPr>
        <w:t xml:space="preserve">spend on average five minutes per claimant preparing the notice. </w:t>
      </w:r>
    </w:p>
    <w:p w:rsidR="00B567B1" w:rsidP="00B567B1" w14:paraId="712C14C2" w14:textId="77777777">
      <w:pPr>
        <w:ind w:left="360"/>
        <w:rPr>
          <w:bCs/>
        </w:rPr>
      </w:pPr>
    </w:p>
    <w:p w:rsidR="00B567B1" w:rsidP="00B567B1" w14:paraId="43254A8A" w14:textId="77777777">
      <w:pPr>
        <w:ind w:left="360"/>
        <w:rPr>
          <w:bCs/>
        </w:rPr>
      </w:pPr>
      <w:bookmarkStart w:id="1" w:name="_Hlk95310058"/>
      <w:r w:rsidRPr="00AB22F8">
        <w:rPr>
          <w:bCs/>
        </w:rPr>
        <w:t>IROs are required to send to plans all documents that claimants submit</w:t>
      </w:r>
      <w:bookmarkEnd w:id="1"/>
      <w:r w:rsidRPr="00AB22F8">
        <w:rPr>
          <w:bCs/>
        </w:rPr>
        <w:t>. The Department</w:t>
      </w:r>
      <w:r>
        <w:rPr>
          <w:bCs/>
        </w:rPr>
        <w:t>s</w:t>
      </w:r>
      <w:r w:rsidRPr="00AB22F8">
        <w:rPr>
          <w:bCs/>
        </w:rPr>
        <w:t xml:space="preserve"> do not know what fraction of claimants will submit additional documentation, but for purposes of this burden analysis assume that half of claimants (</w:t>
      </w:r>
      <w:r>
        <w:rPr>
          <w:bCs/>
        </w:rPr>
        <w:t>5,978</w:t>
      </w:r>
      <w:r w:rsidRPr="00AB22F8">
        <w:rPr>
          <w:bCs/>
        </w:rPr>
        <w:t>) do. The Department</w:t>
      </w:r>
      <w:r>
        <w:rPr>
          <w:bCs/>
        </w:rPr>
        <w:t>s</w:t>
      </w:r>
      <w:r w:rsidRPr="00AB22F8">
        <w:rPr>
          <w:bCs/>
        </w:rPr>
        <w:t xml:space="preserve"> assume that</w:t>
      </w:r>
      <w:r>
        <w:rPr>
          <w:bCs/>
        </w:rPr>
        <w:t xml:space="preserve"> a clerical professional for</w:t>
      </w:r>
      <w:r w:rsidRPr="00AB22F8">
        <w:rPr>
          <w:bCs/>
        </w:rPr>
        <w:t xml:space="preserve"> the IRO</w:t>
      </w:r>
      <w:r>
        <w:rPr>
          <w:bCs/>
        </w:rPr>
        <w:t xml:space="preserve"> </w:t>
      </w:r>
      <w:r w:rsidRPr="00AB22F8">
        <w:rPr>
          <w:bCs/>
        </w:rPr>
        <w:t>will</w:t>
      </w:r>
      <w:r>
        <w:rPr>
          <w:bCs/>
        </w:rPr>
        <w:t xml:space="preserve"> </w:t>
      </w:r>
      <w:r w:rsidRPr="00AB22F8">
        <w:rPr>
          <w:bCs/>
        </w:rPr>
        <w:t>spend on average five minutes per claimant preparing and forwarding the required documents</w:t>
      </w:r>
      <w:r>
        <w:rPr>
          <w:bCs/>
        </w:rPr>
        <w:t xml:space="preserve">. </w:t>
      </w:r>
      <w:r>
        <w:t xml:space="preserve">Detailed calculations of the hour burden are provided in Table 3 below. </w:t>
      </w:r>
    </w:p>
    <w:p w:rsidR="00B567B1" w:rsidP="00B567B1" w14:paraId="08A977EA" w14:textId="77777777">
      <w:pPr>
        <w:ind w:left="360"/>
        <w:rPr>
          <w:bCs/>
        </w:rPr>
      </w:pPr>
    </w:p>
    <w:p w:rsidR="00B567B1" w:rsidP="00B567B1" w14:paraId="6869EF12" w14:textId="77777777">
      <w:pPr>
        <w:ind w:left="360"/>
        <w:rPr>
          <w:color w:val="000000"/>
        </w:rPr>
      </w:pPr>
      <w:r>
        <w:t xml:space="preserve">Once an eligibility determination is made, plans must provide the IRO with all documentation and other information considered in making an adverse benefit determination. </w:t>
      </w:r>
      <w:r>
        <w:rPr>
          <w:color w:val="000000"/>
        </w:rPr>
        <w:t xml:space="preserve">The Departments </w:t>
      </w:r>
      <w:r w:rsidRPr="00FB1CC2">
        <w:rPr>
          <w:color w:val="000000"/>
        </w:rPr>
        <w:t xml:space="preserve">assume that </w:t>
      </w:r>
      <w:r>
        <w:rPr>
          <w:color w:val="000000"/>
        </w:rPr>
        <w:t xml:space="preserve">a clerical professional for plans </w:t>
      </w:r>
      <w:r w:rsidRPr="00FB1CC2">
        <w:rPr>
          <w:color w:val="000000"/>
        </w:rPr>
        <w:t xml:space="preserve">will spend an average of </w:t>
      </w:r>
      <w:r>
        <w:rPr>
          <w:color w:val="000000"/>
        </w:rPr>
        <w:t>five</w:t>
      </w:r>
      <w:r w:rsidRPr="00FB1CC2">
        <w:rPr>
          <w:color w:val="000000"/>
        </w:rPr>
        <w:t xml:space="preserve"> minutes </w:t>
      </w:r>
      <w:r>
        <w:rPr>
          <w:color w:val="000000"/>
        </w:rPr>
        <w:t xml:space="preserve">in order </w:t>
      </w:r>
      <w:r w:rsidRPr="00FB1CC2">
        <w:rPr>
          <w:color w:val="000000"/>
        </w:rPr>
        <w:t>to</w:t>
      </w:r>
      <w:r w:rsidRPr="00FB1CC2">
        <w:rPr>
          <w:color w:val="000000"/>
        </w:rPr>
        <w:t xml:space="preserve"> send documentation to the IRO</w:t>
      </w:r>
      <w:r>
        <w:rPr>
          <w:color w:val="000000"/>
        </w:rPr>
        <w:t xml:space="preserve"> for each request</w:t>
      </w:r>
      <w:r w:rsidRPr="00FB1CC2">
        <w:rPr>
          <w:color w:val="000000"/>
        </w:rPr>
        <w:t xml:space="preserve">. </w:t>
      </w:r>
      <w:r>
        <w:t xml:space="preserve">Detailed calculations of the hour burden and cost are provided in Table 3 below. </w:t>
      </w:r>
    </w:p>
    <w:p w:rsidR="00B567B1" w:rsidP="00B567B1" w14:paraId="4305860B" w14:textId="77777777">
      <w:pPr>
        <w:ind w:left="360"/>
        <w:rPr>
          <w:color w:val="000000"/>
        </w:rPr>
      </w:pPr>
    </w:p>
    <w:p w:rsidR="00B567B1" w:rsidP="00B567B1" w14:paraId="45F41B2E" w14:textId="77777777">
      <w:pPr>
        <w:ind w:left="360"/>
        <w:rPr>
          <w:color w:val="000000"/>
        </w:rPr>
      </w:pPr>
      <w:r w:rsidRPr="00121B32">
        <w:rPr>
          <w:color w:val="000000"/>
        </w:rPr>
        <w:t>IROs are required to notify the claimant and plan of the result of the final external appeal.</w:t>
      </w:r>
      <w:r>
        <w:rPr>
          <w:color w:val="000000"/>
        </w:rPr>
        <w:t xml:space="preserve"> </w:t>
      </w:r>
      <w:r w:rsidRPr="00121B32">
        <w:rPr>
          <w:color w:val="000000"/>
        </w:rPr>
        <w:t>The Department</w:t>
      </w:r>
      <w:r>
        <w:rPr>
          <w:color w:val="000000"/>
        </w:rPr>
        <w:t>s</w:t>
      </w:r>
      <w:r w:rsidRPr="00121B32">
        <w:rPr>
          <w:color w:val="000000"/>
        </w:rPr>
        <w:t xml:space="preserve"> estimate that</w:t>
      </w:r>
      <w:r w:rsidRPr="00121B32">
        <w:rPr>
          <w:b/>
          <w:color w:val="000000"/>
        </w:rPr>
        <w:t xml:space="preserve"> </w:t>
      </w:r>
      <w:r w:rsidRPr="00121B32">
        <w:rPr>
          <w:color w:val="000000"/>
        </w:rPr>
        <w:t xml:space="preserve">preparing and sending the notices for each of the external reviews will take </w:t>
      </w:r>
      <w:r>
        <w:rPr>
          <w:color w:val="000000"/>
        </w:rPr>
        <w:t xml:space="preserve">a clerical professional at the IRO </w:t>
      </w:r>
      <w:r w:rsidRPr="00121B32">
        <w:rPr>
          <w:color w:val="000000"/>
        </w:rPr>
        <w:t xml:space="preserve">on </w:t>
      </w:r>
      <w:r w:rsidRPr="00121B32">
        <w:rPr>
          <w:color w:val="000000"/>
        </w:rPr>
        <w:t>average</w:t>
      </w:r>
      <w:r w:rsidRPr="00121B32">
        <w:rPr>
          <w:color w:val="000000"/>
        </w:rPr>
        <w:t xml:space="preserve"> five minutes per claiman</w:t>
      </w:r>
      <w:r>
        <w:rPr>
          <w:color w:val="000000"/>
        </w:rPr>
        <w:t>t</w:t>
      </w:r>
      <w:r w:rsidRPr="00121B32">
        <w:rPr>
          <w:color w:val="000000"/>
        </w:rPr>
        <w:t xml:space="preserve">. </w:t>
      </w:r>
      <w:r>
        <w:t xml:space="preserve">Detailed calculations of the hour burden are provided in Table 3 below. </w:t>
      </w:r>
    </w:p>
    <w:p w:rsidR="00B567B1" w:rsidP="00B567B1" w14:paraId="40C37C9E" w14:textId="77777777">
      <w:pPr>
        <w:ind w:left="360"/>
        <w:rPr>
          <w:color w:val="000000"/>
        </w:rPr>
      </w:pPr>
    </w:p>
    <w:p w:rsidR="00B567B1" w:rsidP="00B567B1" w14:paraId="26908920" w14:textId="77777777">
      <w:pPr>
        <w:ind w:left="360"/>
        <w:rPr>
          <w:color w:val="000000"/>
        </w:rPr>
      </w:pPr>
      <w:r w:rsidRPr="00193A29">
        <w:rPr>
          <w:bCs/>
          <w:color w:val="000000"/>
        </w:rPr>
        <w:t>IROs also are required to maintain records of all claims and notices associated with the external review process for six years.</w:t>
      </w:r>
      <w:r w:rsidRPr="00193A29">
        <w:rPr>
          <w:color w:val="000000"/>
        </w:rPr>
        <w:t xml:space="preserve"> The Department</w:t>
      </w:r>
      <w:r>
        <w:rPr>
          <w:color w:val="000000"/>
        </w:rPr>
        <w:t>s</w:t>
      </w:r>
      <w:r w:rsidRPr="00193A29">
        <w:rPr>
          <w:color w:val="000000"/>
        </w:rPr>
        <w:t xml:space="preserve"> believe that these documents </w:t>
      </w:r>
      <w:r>
        <w:rPr>
          <w:color w:val="000000"/>
        </w:rPr>
        <w:t>will</w:t>
      </w:r>
      <w:r w:rsidRPr="00193A29">
        <w:rPr>
          <w:color w:val="000000"/>
        </w:rPr>
        <w:t xml:space="preserve"> be retained as a customary part of business</w:t>
      </w:r>
      <w:r>
        <w:rPr>
          <w:color w:val="000000"/>
        </w:rPr>
        <w:t xml:space="preserve"> </w:t>
      </w:r>
      <w:r w:rsidRPr="00193A29">
        <w:rPr>
          <w:color w:val="000000"/>
        </w:rPr>
        <w:t xml:space="preserve">but estimate that </w:t>
      </w:r>
      <w:r>
        <w:rPr>
          <w:color w:val="000000"/>
        </w:rPr>
        <w:t>a clerical professional</w:t>
      </w:r>
      <w:r w:rsidRPr="00193A29">
        <w:rPr>
          <w:color w:val="000000"/>
        </w:rPr>
        <w:t xml:space="preserve"> will spend an additional </w:t>
      </w:r>
      <w:r>
        <w:rPr>
          <w:color w:val="000000"/>
        </w:rPr>
        <w:t>five</w:t>
      </w:r>
      <w:r w:rsidRPr="00193A29">
        <w:rPr>
          <w:color w:val="000000"/>
        </w:rPr>
        <w:t xml:space="preserve"> minutes per claimant ensuring all files are complete. </w:t>
      </w:r>
      <w:r>
        <w:t xml:space="preserve">Detailed calculations of the hour burden are provided in Table 3 below. </w:t>
      </w:r>
    </w:p>
    <w:p w:rsidR="00B567B1" w:rsidP="00B567B1" w14:paraId="11E94E4B" w14:textId="77777777">
      <w:pPr>
        <w:ind w:left="720"/>
        <w:rPr>
          <w:color w:val="000000"/>
        </w:rPr>
      </w:pPr>
    </w:p>
    <w:p w:rsidR="008122C1" w:rsidP="008122C1" w14:paraId="38A83D89" w14:textId="77777777">
      <w:pPr>
        <w:ind w:left="720"/>
        <w:rPr>
          <w:color w:val="000000"/>
        </w:rPr>
      </w:pPr>
    </w:p>
    <w:tbl>
      <w:tblPr>
        <w:tblW w:w="9007" w:type="dxa"/>
        <w:tblInd w:w="445" w:type="dxa"/>
        <w:tblLook w:val="04A0"/>
      </w:tblPr>
      <w:tblGrid>
        <w:gridCol w:w="3836"/>
        <w:gridCol w:w="956"/>
        <w:gridCol w:w="836"/>
        <w:gridCol w:w="990"/>
        <w:gridCol w:w="986"/>
        <w:gridCol w:w="1403"/>
      </w:tblGrid>
      <w:tr w14:paraId="4ED070DA" w14:textId="77777777" w:rsidTr="0048055E">
        <w:tblPrEx>
          <w:tblW w:w="9007" w:type="dxa"/>
          <w:tblInd w:w="445" w:type="dxa"/>
          <w:tblLook w:val="04A0"/>
        </w:tblPrEx>
        <w:trPr>
          <w:cantSplit/>
          <w:trHeight w:val="315"/>
          <w:tblHeader/>
        </w:trPr>
        <w:tc>
          <w:tcPr>
            <w:tcW w:w="9007" w:type="dxa"/>
            <w:gridSpan w:val="6"/>
            <w:tcBorders>
              <w:top w:val="single" w:sz="4" w:space="0" w:color="auto"/>
              <w:left w:val="single" w:sz="4" w:space="0" w:color="auto"/>
              <w:bottom w:val="single" w:sz="4" w:space="0" w:color="auto"/>
              <w:right w:val="single" w:sz="4" w:space="0" w:color="auto"/>
            </w:tcBorders>
            <w:noWrap/>
            <w:vAlign w:val="bottom"/>
            <w:hideMark/>
          </w:tcPr>
          <w:p w:rsidR="00684676" w:rsidRPr="008C7C0F" w:rsidP="001F068B" w14:paraId="3C276813" w14:textId="406A7C5A">
            <w:pPr>
              <w:widowControl/>
              <w:autoSpaceDE/>
              <w:autoSpaceDN/>
              <w:adjustRightInd/>
              <w:rPr>
                <w:sz w:val="22"/>
                <w:szCs w:val="22"/>
              </w:rPr>
            </w:pPr>
            <w:r w:rsidRPr="008C7C0F">
              <w:rPr>
                <w:sz w:val="22"/>
                <w:szCs w:val="22"/>
              </w:rPr>
              <w:t xml:space="preserve">Table </w:t>
            </w:r>
            <w:r>
              <w:rPr>
                <w:sz w:val="22"/>
                <w:szCs w:val="22"/>
              </w:rPr>
              <w:t>3</w:t>
            </w:r>
            <w:r w:rsidRPr="008C7C0F">
              <w:rPr>
                <w:sz w:val="22"/>
                <w:szCs w:val="22"/>
              </w:rPr>
              <w:t xml:space="preserve">. -- </w:t>
            </w:r>
            <w:r w:rsidRPr="008C7C0F">
              <w:rPr>
                <w:i/>
                <w:iCs/>
                <w:sz w:val="22"/>
                <w:szCs w:val="22"/>
              </w:rPr>
              <w:t xml:space="preserve">Hour Burden and Equivalent Cost for </w:t>
            </w:r>
            <w:r>
              <w:rPr>
                <w:i/>
                <w:iCs/>
                <w:sz w:val="22"/>
                <w:szCs w:val="22"/>
              </w:rPr>
              <w:t xml:space="preserve">Federal </w:t>
            </w:r>
            <w:r w:rsidRPr="008C7C0F">
              <w:rPr>
                <w:i/>
                <w:iCs/>
                <w:sz w:val="22"/>
                <w:szCs w:val="22"/>
              </w:rPr>
              <w:t xml:space="preserve">External </w:t>
            </w:r>
            <w:r>
              <w:rPr>
                <w:i/>
                <w:iCs/>
                <w:sz w:val="22"/>
                <w:szCs w:val="22"/>
              </w:rPr>
              <w:t>Reviews</w:t>
            </w:r>
          </w:p>
        </w:tc>
      </w:tr>
      <w:tr w14:paraId="3FDB76E2" w14:textId="77777777" w:rsidTr="00B567B1">
        <w:tblPrEx>
          <w:tblW w:w="9007" w:type="dxa"/>
          <w:tblInd w:w="445" w:type="dxa"/>
          <w:tblLook w:val="04A0"/>
        </w:tblPrEx>
        <w:trPr>
          <w:cantSplit/>
          <w:trHeight w:val="600"/>
          <w:tblHeader/>
        </w:trPr>
        <w:tc>
          <w:tcPr>
            <w:tcW w:w="3836" w:type="dxa"/>
            <w:tcBorders>
              <w:top w:val="single" w:sz="4" w:space="0" w:color="auto"/>
              <w:left w:val="single" w:sz="4" w:space="0" w:color="auto"/>
              <w:bottom w:val="single" w:sz="4" w:space="0" w:color="auto"/>
              <w:right w:val="single" w:sz="4" w:space="0" w:color="auto"/>
            </w:tcBorders>
            <w:vAlign w:val="center"/>
            <w:hideMark/>
          </w:tcPr>
          <w:p w:rsidR="00B567B1" w:rsidRPr="008C7C0F" w:rsidP="001F068B" w14:paraId="2D862DC5" w14:textId="77777777">
            <w:pPr>
              <w:widowControl/>
              <w:autoSpaceDE/>
              <w:autoSpaceDN/>
              <w:adjustRightInd/>
              <w:jc w:val="center"/>
              <w:rPr>
                <w:sz w:val="22"/>
                <w:szCs w:val="22"/>
              </w:rPr>
            </w:pPr>
            <w:r w:rsidRPr="008C7C0F">
              <w:rPr>
                <w:sz w:val="22"/>
                <w:szCs w:val="22"/>
              </w:rPr>
              <w:t>Description</w:t>
            </w:r>
          </w:p>
        </w:tc>
        <w:tc>
          <w:tcPr>
            <w:tcW w:w="956" w:type="dxa"/>
            <w:tcBorders>
              <w:top w:val="single" w:sz="4" w:space="0" w:color="auto"/>
              <w:left w:val="single" w:sz="4" w:space="0" w:color="auto"/>
              <w:bottom w:val="single" w:sz="4" w:space="0" w:color="auto"/>
              <w:right w:val="single" w:sz="4" w:space="0" w:color="auto"/>
            </w:tcBorders>
            <w:vAlign w:val="center"/>
            <w:hideMark/>
          </w:tcPr>
          <w:p w:rsidR="00B567B1" w:rsidRPr="008C7C0F" w:rsidP="001F068B" w14:paraId="0F96987D" w14:textId="77777777">
            <w:pPr>
              <w:widowControl/>
              <w:autoSpaceDE/>
              <w:autoSpaceDN/>
              <w:adjustRightInd/>
              <w:jc w:val="center"/>
              <w:rPr>
                <w:sz w:val="22"/>
                <w:szCs w:val="22"/>
              </w:rPr>
            </w:pPr>
            <w:r w:rsidRPr="008C7C0F">
              <w:rPr>
                <w:sz w:val="22"/>
                <w:szCs w:val="22"/>
              </w:rPr>
              <w:t>Entities</w:t>
            </w:r>
          </w:p>
        </w:tc>
        <w:tc>
          <w:tcPr>
            <w:tcW w:w="836" w:type="dxa"/>
            <w:tcBorders>
              <w:top w:val="single" w:sz="4" w:space="0" w:color="auto"/>
              <w:left w:val="single" w:sz="4" w:space="0" w:color="auto"/>
              <w:bottom w:val="single" w:sz="4" w:space="0" w:color="auto"/>
              <w:right w:val="single" w:sz="4" w:space="0" w:color="auto"/>
            </w:tcBorders>
            <w:vAlign w:val="center"/>
            <w:hideMark/>
          </w:tcPr>
          <w:p w:rsidR="00B567B1" w:rsidRPr="008C7C0F" w:rsidP="001F068B" w14:paraId="1F64B68C" w14:textId="77777777">
            <w:pPr>
              <w:widowControl/>
              <w:autoSpaceDE/>
              <w:autoSpaceDN/>
              <w:adjustRightInd/>
              <w:jc w:val="center"/>
              <w:rPr>
                <w:sz w:val="22"/>
                <w:szCs w:val="22"/>
              </w:rPr>
            </w:pPr>
            <w:r w:rsidRPr="008C7C0F">
              <w:rPr>
                <w:sz w:val="22"/>
                <w:szCs w:val="22"/>
              </w:rPr>
              <w:t>Hours per Entity</w:t>
            </w:r>
          </w:p>
        </w:tc>
        <w:tc>
          <w:tcPr>
            <w:tcW w:w="990" w:type="dxa"/>
            <w:tcBorders>
              <w:top w:val="single" w:sz="4" w:space="0" w:color="auto"/>
              <w:left w:val="single" w:sz="4" w:space="0" w:color="auto"/>
              <w:bottom w:val="single" w:sz="4" w:space="0" w:color="auto"/>
              <w:right w:val="single" w:sz="4" w:space="0" w:color="auto"/>
            </w:tcBorders>
            <w:vAlign w:val="center"/>
            <w:hideMark/>
          </w:tcPr>
          <w:p w:rsidR="00B567B1" w:rsidRPr="008C7C0F" w:rsidP="001F068B" w14:paraId="75BBE91B" w14:textId="77777777">
            <w:pPr>
              <w:widowControl/>
              <w:autoSpaceDE/>
              <w:autoSpaceDN/>
              <w:adjustRightInd/>
              <w:jc w:val="center"/>
              <w:rPr>
                <w:sz w:val="22"/>
                <w:szCs w:val="22"/>
              </w:rPr>
            </w:pPr>
            <w:r w:rsidRPr="008C7C0F">
              <w:rPr>
                <w:sz w:val="22"/>
                <w:szCs w:val="22"/>
              </w:rPr>
              <w:t xml:space="preserve">Wage Rate </w:t>
            </w:r>
          </w:p>
        </w:tc>
        <w:tc>
          <w:tcPr>
            <w:tcW w:w="986" w:type="dxa"/>
            <w:tcBorders>
              <w:top w:val="single" w:sz="4" w:space="0" w:color="auto"/>
              <w:left w:val="single" w:sz="4" w:space="0" w:color="auto"/>
              <w:bottom w:val="single" w:sz="4" w:space="0" w:color="auto"/>
              <w:right w:val="single" w:sz="4" w:space="0" w:color="auto"/>
            </w:tcBorders>
            <w:vAlign w:val="center"/>
            <w:hideMark/>
          </w:tcPr>
          <w:p w:rsidR="00B567B1" w:rsidRPr="008C7C0F" w:rsidP="001F068B" w14:paraId="44EA9F41" w14:textId="77777777">
            <w:pPr>
              <w:widowControl/>
              <w:autoSpaceDE/>
              <w:autoSpaceDN/>
              <w:adjustRightInd/>
              <w:jc w:val="center"/>
              <w:rPr>
                <w:sz w:val="22"/>
                <w:szCs w:val="22"/>
              </w:rPr>
            </w:pPr>
            <w:r w:rsidRPr="008C7C0F">
              <w:rPr>
                <w:sz w:val="22"/>
                <w:szCs w:val="22"/>
              </w:rPr>
              <w:t>Hour Burden</w:t>
            </w:r>
          </w:p>
        </w:tc>
        <w:tc>
          <w:tcPr>
            <w:tcW w:w="1403" w:type="dxa"/>
            <w:tcBorders>
              <w:top w:val="single" w:sz="4" w:space="0" w:color="auto"/>
              <w:left w:val="single" w:sz="4" w:space="0" w:color="auto"/>
              <w:bottom w:val="single" w:sz="4" w:space="0" w:color="auto"/>
              <w:right w:val="single" w:sz="4" w:space="0" w:color="auto"/>
            </w:tcBorders>
            <w:vAlign w:val="center"/>
            <w:hideMark/>
          </w:tcPr>
          <w:p w:rsidR="00B567B1" w:rsidRPr="008C7C0F" w:rsidP="001F068B" w14:paraId="77EC508F" w14:textId="77777777">
            <w:pPr>
              <w:widowControl/>
              <w:autoSpaceDE/>
              <w:autoSpaceDN/>
              <w:adjustRightInd/>
              <w:jc w:val="center"/>
              <w:rPr>
                <w:sz w:val="22"/>
                <w:szCs w:val="22"/>
              </w:rPr>
            </w:pPr>
            <w:r w:rsidRPr="008C7C0F">
              <w:rPr>
                <w:sz w:val="22"/>
                <w:szCs w:val="22"/>
              </w:rPr>
              <w:t>Cost Equivalent</w:t>
            </w:r>
          </w:p>
        </w:tc>
      </w:tr>
      <w:tr w14:paraId="2A988A86" w14:textId="77777777" w:rsidTr="00B567B1">
        <w:tblPrEx>
          <w:tblW w:w="9007" w:type="dxa"/>
          <w:tblInd w:w="445" w:type="dxa"/>
          <w:tblLook w:val="04A0"/>
        </w:tblPrEx>
        <w:trPr>
          <w:cantSplit/>
          <w:trHeight w:val="300"/>
          <w:tblHeader/>
        </w:trPr>
        <w:tc>
          <w:tcPr>
            <w:tcW w:w="3836" w:type="dxa"/>
            <w:tcBorders>
              <w:top w:val="single" w:sz="4" w:space="0" w:color="auto"/>
              <w:left w:val="single" w:sz="4" w:space="0" w:color="auto"/>
              <w:bottom w:val="single" w:sz="4" w:space="0" w:color="auto"/>
              <w:right w:val="single" w:sz="4" w:space="0" w:color="auto"/>
            </w:tcBorders>
            <w:noWrap/>
            <w:vAlign w:val="bottom"/>
            <w:hideMark/>
          </w:tcPr>
          <w:p w:rsidR="00B567B1" w:rsidRPr="008C7C0F" w:rsidP="001F068B" w14:paraId="616C9C88" w14:textId="77777777">
            <w:pPr>
              <w:widowControl/>
              <w:autoSpaceDE/>
              <w:autoSpaceDN/>
              <w:adjustRightInd/>
              <w:rPr>
                <w:sz w:val="22"/>
                <w:szCs w:val="22"/>
              </w:rPr>
            </w:pPr>
            <w:r w:rsidRPr="008C7C0F">
              <w:rPr>
                <w:sz w:val="22"/>
                <w:szCs w:val="22"/>
              </w:rPr>
              <w:t> </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B567B1" w:rsidRPr="0034760C" w:rsidP="001F068B" w14:paraId="1EBE04D8" w14:textId="77777777">
            <w:pPr>
              <w:widowControl/>
              <w:autoSpaceDE/>
              <w:autoSpaceDN/>
              <w:adjustRightInd/>
              <w:jc w:val="center"/>
              <w:rPr>
                <w:sz w:val="20"/>
                <w:szCs w:val="20"/>
              </w:rPr>
            </w:pPr>
            <w:r w:rsidRPr="0034760C">
              <w:rPr>
                <w:sz w:val="20"/>
                <w:szCs w:val="20"/>
              </w:rPr>
              <w:t>(A)</w:t>
            </w:r>
          </w:p>
        </w:tc>
        <w:tc>
          <w:tcPr>
            <w:tcW w:w="836" w:type="dxa"/>
            <w:tcBorders>
              <w:top w:val="single" w:sz="4" w:space="0" w:color="auto"/>
              <w:left w:val="single" w:sz="4" w:space="0" w:color="auto"/>
              <w:bottom w:val="single" w:sz="4" w:space="0" w:color="auto"/>
              <w:right w:val="single" w:sz="4" w:space="0" w:color="auto"/>
            </w:tcBorders>
            <w:noWrap/>
            <w:vAlign w:val="center"/>
            <w:hideMark/>
          </w:tcPr>
          <w:p w:rsidR="00B567B1" w:rsidRPr="0034760C" w:rsidP="001F068B" w14:paraId="7ACC9A79" w14:textId="77777777">
            <w:pPr>
              <w:widowControl/>
              <w:autoSpaceDE/>
              <w:autoSpaceDN/>
              <w:adjustRightInd/>
              <w:jc w:val="center"/>
              <w:rPr>
                <w:sz w:val="20"/>
                <w:szCs w:val="20"/>
              </w:rPr>
            </w:pPr>
            <w:r w:rsidRPr="0034760C">
              <w:rPr>
                <w:sz w:val="20"/>
                <w:szCs w:val="20"/>
              </w:rPr>
              <w:t>(B)</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B567B1" w:rsidRPr="0034760C" w:rsidP="001F068B" w14:paraId="164F0327" w14:textId="77777777">
            <w:pPr>
              <w:widowControl/>
              <w:autoSpaceDE/>
              <w:autoSpaceDN/>
              <w:adjustRightInd/>
              <w:jc w:val="center"/>
              <w:rPr>
                <w:sz w:val="20"/>
                <w:szCs w:val="20"/>
              </w:rPr>
            </w:pPr>
            <w:r w:rsidRPr="0034760C">
              <w:rPr>
                <w:sz w:val="20"/>
                <w:szCs w:val="20"/>
              </w:rPr>
              <w:t>(C)</w:t>
            </w: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B567B1" w:rsidRPr="0034760C" w:rsidP="001F068B" w14:paraId="7038B7EC" w14:textId="77777777">
            <w:pPr>
              <w:widowControl/>
              <w:autoSpaceDE/>
              <w:autoSpaceDN/>
              <w:adjustRightInd/>
              <w:jc w:val="center"/>
              <w:rPr>
                <w:sz w:val="20"/>
                <w:szCs w:val="20"/>
              </w:rPr>
            </w:pPr>
            <w:r w:rsidRPr="0034760C">
              <w:rPr>
                <w:sz w:val="20"/>
                <w:szCs w:val="20"/>
              </w:rPr>
              <w:t>(A x B)</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B567B1" w:rsidRPr="0034760C" w:rsidP="001F068B" w14:paraId="4AF4C0E2" w14:textId="77777777">
            <w:pPr>
              <w:widowControl/>
              <w:autoSpaceDE/>
              <w:autoSpaceDN/>
              <w:adjustRightInd/>
              <w:jc w:val="center"/>
              <w:rPr>
                <w:sz w:val="20"/>
                <w:szCs w:val="20"/>
              </w:rPr>
            </w:pPr>
            <w:r w:rsidRPr="0034760C">
              <w:rPr>
                <w:sz w:val="20"/>
                <w:szCs w:val="20"/>
              </w:rPr>
              <w:t>(A x B x C)</w:t>
            </w:r>
          </w:p>
        </w:tc>
      </w:tr>
      <w:tr w14:paraId="2E24E81B" w14:textId="77777777" w:rsidTr="00B567B1">
        <w:tblPrEx>
          <w:tblW w:w="9007" w:type="dxa"/>
          <w:tblInd w:w="445" w:type="dxa"/>
          <w:tblLook w:val="04A0"/>
        </w:tblPrEx>
        <w:trPr>
          <w:trHeight w:val="600"/>
        </w:trPr>
        <w:tc>
          <w:tcPr>
            <w:tcW w:w="3836" w:type="dxa"/>
            <w:tcBorders>
              <w:top w:val="single" w:sz="4" w:space="0" w:color="auto"/>
              <w:left w:val="single" w:sz="4" w:space="0" w:color="auto"/>
              <w:bottom w:val="single" w:sz="4" w:space="0" w:color="auto"/>
              <w:right w:val="single" w:sz="4" w:space="0" w:color="auto"/>
            </w:tcBorders>
            <w:vAlign w:val="bottom"/>
            <w:hideMark/>
          </w:tcPr>
          <w:p w:rsidR="00B567B1" w:rsidRPr="008C7C0F" w:rsidP="001F068B" w14:paraId="39070A27" w14:textId="77777777">
            <w:pPr>
              <w:widowControl/>
              <w:autoSpaceDE/>
              <w:autoSpaceDN/>
              <w:adjustRightInd/>
              <w:rPr>
                <w:sz w:val="22"/>
                <w:szCs w:val="22"/>
              </w:rPr>
            </w:pPr>
            <w:r w:rsidRPr="008C7C0F">
              <w:rPr>
                <w:sz w:val="22"/>
                <w:szCs w:val="22"/>
              </w:rPr>
              <w:t>Human Resource Specialist Reviews Appeal Requests</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5E1D3AFB" w14:textId="77777777">
            <w:pPr>
              <w:widowControl/>
              <w:autoSpaceDE/>
              <w:autoSpaceDN/>
              <w:adjustRightInd/>
              <w:jc w:val="center"/>
              <w:rPr>
                <w:sz w:val="22"/>
                <w:szCs w:val="22"/>
              </w:rPr>
            </w:pPr>
            <w:r>
              <w:rPr>
                <w:sz w:val="22"/>
                <w:szCs w:val="22"/>
              </w:rPr>
              <w:t>15,941</w:t>
            </w:r>
          </w:p>
        </w:tc>
        <w:tc>
          <w:tcPr>
            <w:tcW w:w="836" w:type="dxa"/>
            <w:tcBorders>
              <w:top w:val="single" w:sz="4" w:space="0" w:color="auto"/>
              <w:left w:val="single" w:sz="4" w:space="0" w:color="auto"/>
              <w:bottom w:val="single" w:sz="4" w:space="0" w:color="auto"/>
              <w:right w:val="single" w:sz="4" w:space="0" w:color="auto"/>
            </w:tcBorders>
            <w:vAlign w:val="center"/>
            <w:hideMark/>
          </w:tcPr>
          <w:p w:rsidR="00B567B1" w:rsidRPr="008C7C0F" w:rsidP="00B567B1" w14:paraId="226C8D98" w14:textId="0894510A">
            <w:pPr>
              <w:widowControl/>
              <w:autoSpaceDE/>
              <w:autoSpaceDN/>
              <w:adjustRightInd/>
              <w:jc w:val="center"/>
              <w:rPr>
                <w:sz w:val="22"/>
                <w:szCs w:val="22"/>
              </w:rPr>
            </w:pPr>
            <w:r>
              <w:rPr>
                <w:sz w:val="22"/>
                <w:szCs w:val="22"/>
              </w:rPr>
              <w:t>15/60</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3980D4F7" w14:textId="77777777">
            <w:pPr>
              <w:widowControl/>
              <w:autoSpaceDE/>
              <w:autoSpaceDN/>
              <w:adjustRightInd/>
              <w:jc w:val="center"/>
              <w:rPr>
                <w:sz w:val="22"/>
                <w:szCs w:val="22"/>
              </w:rPr>
            </w:pPr>
            <w:r>
              <w:rPr>
                <w:sz w:val="22"/>
                <w:szCs w:val="22"/>
              </w:rPr>
              <w:t>$100.21</w:t>
            </w: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1E76CBEB" w14:textId="77777777">
            <w:pPr>
              <w:widowControl/>
              <w:autoSpaceDE/>
              <w:autoSpaceDN/>
              <w:adjustRightInd/>
              <w:jc w:val="center"/>
              <w:rPr>
                <w:sz w:val="22"/>
                <w:szCs w:val="22"/>
              </w:rPr>
            </w:pPr>
            <w:r>
              <w:rPr>
                <w:sz w:val="22"/>
                <w:szCs w:val="22"/>
              </w:rPr>
              <w:t>3,985.3</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4E79B516" w14:textId="77777777">
            <w:pPr>
              <w:widowControl/>
              <w:autoSpaceDE/>
              <w:autoSpaceDN/>
              <w:adjustRightInd/>
              <w:jc w:val="center"/>
              <w:rPr>
                <w:sz w:val="22"/>
                <w:szCs w:val="22"/>
              </w:rPr>
            </w:pPr>
            <w:r>
              <w:rPr>
                <w:sz w:val="22"/>
                <w:szCs w:val="22"/>
              </w:rPr>
              <w:t>$399,361.90</w:t>
            </w:r>
          </w:p>
        </w:tc>
      </w:tr>
      <w:tr w14:paraId="09BD53BA" w14:textId="77777777" w:rsidTr="00B567B1">
        <w:tblPrEx>
          <w:tblW w:w="9007" w:type="dxa"/>
          <w:tblInd w:w="445" w:type="dxa"/>
          <w:tblLook w:val="04A0"/>
        </w:tblPrEx>
        <w:trPr>
          <w:trHeight w:val="600"/>
        </w:trPr>
        <w:tc>
          <w:tcPr>
            <w:tcW w:w="3836" w:type="dxa"/>
            <w:tcBorders>
              <w:top w:val="single" w:sz="4" w:space="0" w:color="auto"/>
              <w:left w:val="single" w:sz="4" w:space="0" w:color="auto"/>
              <w:bottom w:val="single" w:sz="4" w:space="0" w:color="auto"/>
              <w:right w:val="single" w:sz="4" w:space="0" w:color="auto"/>
            </w:tcBorders>
            <w:vAlign w:val="bottom"/>
            <w:hideMark/>
          </w:tcPr>
          <w:p w:rsidR="00B567B1" w:rsidRPr="008C7C0F" w:rsidP="001F068B" w14:paraId="58E928DA" w14:textId="77777777">
            <w:pPr>
              <w:widowControl/>
              <w:autoSpaceDE/>
              <w:autoSpaceDN/>
              <w:adjustRightInd/>
              <w:rPr>
                <w:sz w:val="22"/>
                <w:szCs w:val="22"/>
              </w:rPr>
            </w:pPr>
            <w:r w:rsidRPr="008C7C0F">
              <w:rPr>
                <w:sz w:val="22"/>
                <w:szCs w:val="22"/>
              </w:rPr>
              <w:t>Clerical Professional Notifies Claimant of Appeal Acceptance</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03D11342" w14:textId="77777777">
            <w:pPr>
              <w:widowControl/>
              <w:autoSpaceDE/>
              <w:autoSpaceDN/>
              <w:adjustRightInd/>
              <w:jc w:val="center"/>
              <w:rPr>
                <w:sz w:val="22"/>
                <w:szCs w:val="22"/>
              </w:rPr>
            </w:pPr>
            <w:r>
              <w:rPr>
                <w:sz w:val="22"/>
                <w:szCs w:val="22"/>
              </w:rPr>
              <w:t>11,956</w:t>
            </w:r>
          </w:p>
        </w:tc>
        <w:tc>
          <w:tcPr>
            <w:tcW w:w="836" w:type="dxa"/>
            <w:tcBorders>
              <w:top w:val="single" w:sz="4" w:space="0" w:color="auto"/>
              <w:left w:val="single" w:sz="4" w:space="0" w:color="auto"/>
              <w:bottom w:val="single" w:sz="4" w:space="0" w:color="auto"/>
              <w:right w:val="single" w:sz="4" w:space="0" w:color="auto"/>
            </w:tcBorders>
            <w:vAlign w:val="center"/>
            <w:hideMark/>
          </w:tcPr>
          <w:p w:rsidR="00B567B1" w:rsidRPr="008C7C0F" w:rsidP="00B567B1" w14:paraId="06DC7936" w14:textId="3CF5A401">
            <w:pPr>
              <w:widowControl/>
              <w:autoSpaceDE/>
              <w:autoSpaceDN/>
              <w:adjustRightInd/>
              <w:jc w:val="center"/>
              <w:rPr>
                <w:sz w:val="22"/>
                <w:szCs w:val="22"/>
              </w:rPr>
            </w:pPr>
            <w:r>
              <w:rPr>
                <w:sz w:val="22"/>
                <w:szCs w:val="22"/>
              </w:rPr>
              <w:t>5/60</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5322C2DD" w14:textId="77777777">
            <w:pPr>
              <w:widowControl/>
              <w:autoSpaceDE/>
              <w:autoSpaceDN/>
              <w:adjustRightInd/>
              <w:jc w:val="center"/>
              <w:rPr>
                <w:sz w:val="22"/>
                <w:szCs w:val="22"/>
              </w:rPr>
            </w:pPr>
            <w:r>
              <w:rPr>
                <w:sz w:val="22"/>
                <w:szCs w:val="22"/>
              </w:rPr>
              <w:t>$69.41</w:t>
            </w: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779A859A" w14:textId="77777777">
            <w:pPr>
              <w:widowControl/>
              <w:autoSpaceDE/>
              <w:autoSpaceDN/>
              <w:adjustRightInd/>
              <w:jc w:val="center"/>
              <w:rPr>
                <w:sz w:val="22"/>
                <w:szCs w:val="22"/>
              </w:rPr>
            </w:pPr>
            <w:r>
              <w:rPr>
                <w:sz w:val="22"/>
                <w:szCs w:val="22"/>
              </w:rPr>
              <w:t>996.3</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7E0465AB" w14:textId="77777777">
            <w:pPr>
              <w:widowControl/>
              <w:autoSpaceDE/>
              <w:autoSpaceDN/>
              <w:adjustRightInd/>
              <w:jc w:val="center"/>
              <w:rPr>
                <w:sz w:val="22"/>
                <w:szCs w:val="22"/>
              </w:rPr>
            </w:pPr>
            <w:r>
              <w:rPr>
                <w:sz w:val="22"/>
                <w:szCs w:val="22"/>
              </w:rPr>
              <w:t>$69,155.50</w:t>
            </w:r>
          </w:p>
        </w:tc>
      </w:tr>
      <w:tr w14:paraId="641AD3E8" w14:textId="77777777" w:rsidTr="00B567B1">
        <w:tblPrEx>
          <w:tblW w:w="9007" w:type="dxa"/>
          <w:tblInd w:w="445" w:type="dxa"/>
          <w:tblLook w:val="04A0"/>
        </w:tblPrEx>
        <w:trPr>
          <w:trHeight w:val="600"/>
        </w:trPr>
        <w:tc>
          <w:tcPr>
            <w:tcW w:w="3836" w:type="dxa"/>
            <w:tcBorders>
              <w:top w:val="single" w:sz="4" w:space="0" w:color="auto"/>
              <w:left w:val="single" w:sz="4" w:space="0" w:color="auto"/>
              <w:bottom w:val="single" w:sz="4" w:space="0" w:color="auto"/>
              <w:right w:val="single" w:sz="4" w:space="0" w:color="auto"/>
            </w:tcBorders>
            <w:vAlign w:val="bottom"/>
            <w:hideMark/>
          </w:tcPr>
          <w:p w:rsidR="00B567B1" w:rsidRPr="008C7C0F" w:rsidP="001F068B" w14:paraId="3F41AAC3" w14:textId="77777777">
            <w:pPr>
              <w:widowControl/>
              <w:autoSpaceDE/>
              <w:autoSpaceDN/>
              <w:adjustRightInd/>
              <w:rPr>
                <w:sz w:val="22"/>
                <w:szCs w:val="22"/>
              </w:rPr>
            </w:pPr>
            <w:r w:rsidRPr="008C7C0F">
              <w:rPr>
                <w:sz w:val="22"/>
                <w:szCs w:val="22"/>
              </w:rPr>
              <w:t>Clerical Professional Sends Plan Claimant Documentation from IRO</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5540CA6A" w14:textId="77777777">
            <w:pPr>
              <w:widowControl/>
              <w:autoSpaceDE/>
              <w:autoSpaceDN/>
              <w:adjustRightInd/>
              <w:jc w:val="center"/>
              <w:rPr>
                <w:sz w:val="22"/>
                <w:szCs w:val="22"/>
              </w:rPr>
            </w:pPr>
            <w:r>
              <w:rPr>
                <w:sz w:val="22"/>
                <w:szCs w:val="22"/>
              </w:rPr>
              <w:t>5,978</w:t>
            </w:r>
          </w:p>
        </w:tc>
        <w:tc>
          <w:tcPr>
            <w:tcW w:w="836" w:type="dxa"/>
            <w:tcBorders>
              <w:top w:val="single" w:sz="4" w:space="0" w:color="auto"/>
              <w:left w:val="single" w:sz="4" w:space="0" w:color="auto"/>
              <w:bottom w:val="single" w:sz="4" w:space="0" w:color="auto"/>
              <w:right w:val="single" w:sz="4" w:space="0" w:color="auto"/>
            </w:tcBorders>
            <w:vAlign w:val="center"/>
            <w:hideMark/>
          </w:tcPr>
          <w:p w:rsidR="00B567B1" w:rsidRPr="008C7C0F" w:rsidP="00B567B1" w14:paraId="31A21A9A" w14:textId="36A19D1F">
            <w:pPr>
              <w:widowControl/>
              <w:autoSpaceDE/>
              <w:autoSpaceDN/>
              <w:adjustRightInd/>
              <w:jc w:val="center"/>
              <w:rPr>
                <w:sz w:val="22"/>
                <w:szCs w:val="22"/>
              </w:rPr>
            </w:pPr>
            <w:r>
              <w:rPr>
                <w:sz w:val="22"/>
                <w:szCs w:val="22"/>
              </w:rPr>
              <w:t>5/60</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32E35479" w14:textId="77777777">
            <w:pPr>
              <w:widowControl/>
              <w:autoSpaceDE/>
              <w:autoSpaceDN/>
              <w:adjustRightInd/>
              <w:jc w:val="center"/>
              <w:rPr>
                <w:sz w:val="22"/>
                <w:szCs w:val="22"/>
              </w:rPr>
            </w:pPr>
            <w:r>
              <w:rPr>
                <w:sz w:val="22"/>
                <w:szCs w:val="22"/>
              </w:rPr>
              <w:t>$69.41</w:t>
            </w: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562C6738" w14:textId="77777777">
            <w:pPr>
              <w:widowControl/>
              <w:autoSpaceDE/>
              <w:autoSpaceDN/>
              <w:adjustRightInd/>
              <w:jc w:val="center"/>
              <w:rPr>
                <w:sz w:val="22"/>
                <w:szCs w:val="22"/>
              </w:rPr>
            </w:pPr>
            <w:r>
              <w:rPr>
                <w:sz w:val="22"/>
                <w:szCs w:val="22"/>
              </w:rPr>
              <w:t>498.2</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0080B134" w14:textId="77777777">
            <w:pPr>
              <w:widowControl/>
              <w:autoSpaceDE/>
              <w:autoSpaceDN/>
              <w:adjustRightInd/>
              <w:jc w:val="center"/>
              <w:rPr>
                <w:sz w:val="22"/>
                <w:szCs w:val="22"/>
              </w:rPr>
            </w:pPr>
            <w:r>
              <w:rPr>
                <w:sz w:val="22"/>
                <w:szCs w:val="22"/>
              </w:rPr>
              <w:t>$34,577.75</w:t>
            </w:r>
          </w:p>
        </w:tc>
      </w:tr>
      <w:tr w14:paraId="43FDDC09" w14:textId="77777777" w:rsidTr="00B567B1">
        <w:tblPrEx>
          <w:tblW w:w="9007" w:type="dxa"/>
          <w:tblInd w:w="445" w:type="dxa"/>
          <w:tblLook w:val="04A0"/>
        </w:tblPrEx>
        <w:trPr>
          <w:trHeight w:val="600"/>
        </w:trPr>
        <w:tc>
          <w:tcPr>
            <w:tcW w:w="3836" w:type="dxa"/>
            <w:tcBorders>
              <w:top w:val="single" w:sz="4" w:space="0" w:color="auto"/>
              <w:left w:val="single" w:sz="4" w:space="0" w:color="auto"/>
              <w:bottom w:val="single" w:sz="4" w:space="0" w:color="auto"/>
              <w:right w:val="single" w:sz="4" w:space="0" w:color="auto"/>
            </w:tcBorders>
            <w:vAlign w:val="bottom"/>
            <w:hideMark/>
          </w:tcPr>
          <w:p w:rsidR="00B567B1" w:rsidRPr="008C7C0F" w:rsidP="001F068B" w14:paraId="74405813" w14:textId="77777777">
            <w:pPr>
              <w:widowControl/>
              <w:autoSpaceDE/>
              <w:autoSpaceDN/>
              <w:adjustRightInd/>
              <w:rPr>
                <w:sz w:val="22"/>
                <w:szCs w:val="22"/>
              </w:rPr>
            </w:pPr>
            <w:r w:rsidRPr="008C7C0F">
              <w:rPr>
                <w:sz w:val="22"/>
                <w:szCs w:val="22"/>
              </w:rPr>
              <w:t>Clerical Professional Sends IRO Adverse Determination Info from Plan</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637FD2AD" w14:textId="77777777">
            <w:pPr>
              <w:widowControl/>
              <w:autoSpaceDE/>
              <w:autoSpaceDN/>
              <w:adjustRightInd/>
              <w:jc w:val="center"/>
              <w:rPr>
                <w:sz w:val="22"/>
                <w:szCs w:val="22"/>
              </w:rPr>
            </w:pPr>
            <w:r>
              <w:rPr>
                <w:sz w:val="22"/>
                <w:szCs w:val="22"/>
              </w:rPr>
              <w:t>11,956</w:t>
            </w:r>
          </w:p>
        </w:tc>
        <w:tc>
          <w:tcPr>
            <w:tcW w:w="836" w:type="dxa"/>
            <w:tcBorders>
              <w:top w:val="single" w:sz="4" w:space="0" w:color="auto"/>
              <w:left w:val="single" w:sz="4" w:space="0" w:color="auto"/>
              <w:bottom w:val="single" w:sz="4" w:space="0" w:color="auto"/>
              <w:right w:val="single" w:sz="4" w:space="0" w:color="auto"/>
            </w:tcBorders>
            <w:vAlign w:val="center"/>
            <w:hideMark/>
          </w:tcPr>
          <w:p w:rsidR="00B567B1" w:rsidRPr="008C7C0F" w:rsidP="00B567B1" w14:paraId="39C227C4" w14:textId="7115712C">
            <w:pPr>
              <w:widowControl/>
              <w:autoSpaceDE/>
              <w:autoSpaceDN/>
              <w:adjustRightInd/>
              <w:jc w:val="center"/>
              <w:rPr>
                <w:sz w:val="22"/>
                <w:szCs w:val="22"/>
              </w:rPr>
            </w:pPr>
            <w:r>
              <w:rPr>
                <w:sz w:val="22"/>
                <w:szCs w:val="22"/>
              </w:rPr>
              <w:t>5/60</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687C59C6" w14:textId="77777777">
            <w:pPr>
              <w:widowControl/>
              <w:autoSpaceDE/>
              <w:autoSpaceDN/>
              <w:adjustRightInd/>
              <w:jc w:val="center"/>
              <w:rPr>
                <w:sz w:val="22"/>
                <w:szCs w:val="22"/>
              </w:rPr>
            </w:pPr>
            <w:r>
              <w:rPr>
                <w:sz w:val="22"/>
                <w:szCs w:val="22"/>
              </w:rPr>
              <w:t>$69.41</w:t>
            </w: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058CFD64" w14:textId="77777777">
            <w:pPr>
              <w:widowControl/>
              <w:autoSpaceDE/>
              <w:autoSpaceDN/>
              <w:adjustRightInd/>
              <w:jc w:val="center"/>
              <w:rPr>
                <w:sz w:val="22"/>
                <w:szCs w:val="22"/>
              </w:rPr>
            </w:pPr>
            <w:r>
              <w:rPr>
                <w:sz w:val="22"/>
                <w:szCs w:val="22"/>
              </w:rPr>
              <w:t>996.3</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0CE18D7E" w14:textId="77777777">
            <w:pPr>
              <w:widowControl/>
              <w:autoSpaceDE/>
              <w:autoSpaceDN/>
              <w:adjustRightInd/>
              <w:jc w:val="center"/>
              <w:rPr>
                <w:sz w:val="22"/>
                <w:szCs w:val="22"/>
              </w:rPr>
            </w:pPr>
            <w:r>
              <w:rPr>
                <w:sz w:val="22"/>
                <w:szCs w:val="22"/>
              </w:rPr>
              <w:t>$69,155.50</w:t>
            </w:r>
          </w:p>
        </w:tc>
      </w:tr>
      <w:tr w14:paraId="1D994A15" w14:textId="77777777" w:rsidTr="00B567B1">
        <w:tblPrEx>
          <w:tblW w:w="9007" w:type="dxa"/>
          <w:tblInd w:w="445" w:type="dxa"/>
          <w:tblLook w:val="04A0"/>
        </w:tblPrEx>
        <w:trPr>
          <w:trHeight w:val="600"/>
        </w:trPr>
        <w:tc>
          <w:tcPr>
            <w:tcW w:w="3836" w:type="dxa"/>
            <w:tcBorders>
              <w:top w:val="single" w:sz="4" w:space="0" w:color="auto"/>
              <w:left w:val="single" w:sz="4" w:space="0" w:color="auto"/>
              <w:bottom w:val="single" w:sz="4" w:space="0" w:color="auto"/>
              <w:right w:val="single" w:sz="4" w:space="0" w:color="auto"/>
            </w:tcBorders>
            <w:vAlign w:val="bottom"/>
            <w:hideMark/>
          </w:tcPr>
          <w:p w:rsidR="00B567B1" w:rsidRPr="008C7C0F" w:rsidP="001F068B" w14:paraId="7CEF271F" w14:textId="77777777">
            <w:pPr>
              <w:widowControl/>
              <w:autoSpaceDE/>
              <w:autoSpaceDN/>
              <w:adjustRightInd/>
              <w:rPr>
                <w:sz w:val="22"/>
                <w:szCs w:val="22"/>
              </w:rPr>
            </w:pPr>
            <w:r w:rsidRPr="008C7C0F">
              <w:rPr>
                <w:sz w:val="22"/>
                <w:szCs w:val="22"/>
              </w:rPr>
              <w:t>Clerical Professional Notify Claimant and Plan of Final External Appeal Result</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7DBCD901" w14:textId="77777777">
            <w:pPr>
              <w:widowControl/>
              <w:autoSpaceDE/>
              <w:autoSpaceDN/>
              <w:adjustRightInd/>
              <w:jc w:val="center"/>
              <w:rPr>
                <w:sz w:val="22"/>
                <w:szCs w:val="22"/>
              </w:rPr>
            </w:pPr>
            <w:r>
              <w:rPr>
                <w:sz w:val="22"/>
                <w:szCs w:val="22"/>
              </w:rPr>
              <w:t>11,956</w:t>
            </w:r>
          </w:p>
        </w:tc>
        <w:tc>
          <w:tcPr>
            <w:tcW w:w="836" w:type="dxa"/>
            <w:tcBorders>
              <w:top w:val="single" w:sz="4" w:space="0" w:color="auto"/>
              <w:left w:val="single" w:sz="4" w:space="0" w:color="auto"/>
              <w:bottom w:val="single" w:sz="4" w:space="0" w:color="auto"/>
              <w:right w:val="single" w:sz="4" w:space="0" w:color="auto"/>
            </w:tcBorders>
            <w:vAlign w:val="center"/>
            <w:hideMark/>
          </w:tcPr>
          <w:p w:rsidR="00B567B1" w:rsidRPr="008C7C0F" w:rsidP="00B567B1" w14:paraId="50DDE83C" w14:textId="5EA386B0">
            <w:pPr>
              <w:widowControl/>
              <w:autoSpaceDE/>
              <w:autoSpaceDN/>
              <w:adjustRightInd/>
              <w:jc w:val="center"/>
              <w:rPr>
                <w:sz w:val="22"/>
                <w:szCs w:val="22"/>
              </w:rPr>
            </w:pPr>
            <w:r>
              <w:rPr>
                <w:sz w:val="22"/>
                <w:szCs w:val="22"/>
              </w:rPr>
              <w:t>5/60</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6C231CC9" w14:textId="77777777">
            <w:pPr>
              <w:widowControl/>
              <w:autoSpaceDE/>
              <w:autoSpaceDN/>
              <w:adjustRightInd/>
              <w:jc w:val="center"/>
              <w:rPr>
                <w:sz w:val="22"/>
                <w:szCs w:val="22"/>
              </w:rPr>
            </w:pPr>
            <w:r>
              <w:rPr>
                <w:sz w:val="22"/>
                <w:szCs w:val="22"/>
              </w:rPr>
              <w:t>$69.41</w:t>
            </w: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1A1446CE" w14:textId="77777777">
            <w:pPr>
              <w:widowControl/>
              <w:autoSpaceDE/>
              <w:autoSpaceDN/>
              <w:adjustRightInd/>
              <w:jc w:val="center"/>
              <w:rPr>
                <w:sz w:val="22"/>
                <w:szCs w:val="22"/>
              </w:rPr>
            </w:pPr>
            <w:r>
              <w:rPr>
                <w:sz w:val="22"/>
                <w:szCs w:val="22"/>
              </w:rPr>
              <w:t>996.3</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16ED0303" w14:textId="77777777">
            <w:pPr>
              <w:widowControl/>
              <w:autoSpaceDE/>
              <w:autoSpaceDN/>
              <w:adjustRightInd/>
              <w:jc w:val="center"/>
              <w:rPr>
                <w:sz w:val="22"/>
                <w:szCs w:val="22"/>
              </w:rPr>
            </w:pPr>
            <w:r>
              <w:rPr>
                <w:sz w:val="22"/>
                <w:szCs w:val="22"/>
              </w:rPr>
              <w:t>$69,155.50</w:t>
            </w:r>
          </w:p>
        </w:tc>
      </w:tr>
      <w:tr w14:paraId="0A3BC776" w14:textId="77777777" w:rsidTr="00B567B1">
        <w:tblPrEx>
          <w:tblW w:w="9007" w:type="dxa"/>
          <w:tblInd w:w="445" w:type="dxa"/>
          <w:tblLook w:val="04A0"/>
        </w:tblPrEx>
        <w:trPr>
          <w:trHeight w:val="600"/>
        </w:trPr>
        <w:tc>
          <w:tcPr>
            <w:tcW w:w="3836" w:type="dxa"/>
            <w:tcBorders>
              <w:top w:val="single" w:sz="4" w:space="0" w:color="auto"/>
              <w:left w:val="single" w:sz="4" w:space="0" w:color="auto"/>
              <w:bottom w:val="single" w:sz="4" w:space="0" w:color="auto"/>
              <w:right w:val="single" w:sz="4" w:space="0" w:color="auto"/>
            </w:tcBorders>
            <w:vAlign w:val="bottom"/>
            <w:hideMark/>
          </w:tcPr>
          <w:p w:rsidR="00B567B1" w:rsidRPr="008C7C0F" w:rsidP="001F068B" w14:paraId="1CBBBFC1" w14:textId="77777777">
            <w:pPr>
              <w:widowControl/>
              <w:autoSpaceDE/>
              <w:autoSpaceDN/>
              <w:adjustRightInd/>
              <w:rPr>
                <w:sz w:val="22"/>
                <w:szCs w:val="22"/>
              </w:rPr>
            </w:pPr>
            <w:r w:rsidRPr="008C7C0F">
              <w:rPr>
                <w:sz w:val="22"/>
                <w:szCs w:val="22"/>
              </w:rPr>
              <w:t>Clerical Professional Provides Records for Claims and Appeals</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69B80476" w14:textId="77777777">
            <w:pPr>
              <w:widowControl/>
              <w:autoSpaceDE/>
              <w:autoSpaceDN/>
              <w:adjustRightInd/>
              <w:jc w:val="center"/>
              <w:rPr>
                <w:sz w:val="22"/>
                <w:szCs w:val="22"/>
              </w:rPr>
            </w:pPr>
            <w:r>
              <w:rPr>
                <w:sz w:val="22"/>
                <w:szCs w:val="22"/>
              </w:rPr>
              <w:t>11,956</w:t>
            </w:r>
          </w:p>
        </w:tc>
        <w:tc>
          <w:tcPr>
            <w:tcW w:w="836" w:type="dxa"/>
            <w:tcBorders>
              <w:top w:val="single" w:sz="4" w:space="0" w:color="auto"/>
              <w:left w:val="single" w:sz="4" w:space="0" w:color="auto"/>
              <w:bottom w:val="single" w:sz="4" w:space="0" w:color="auto"/>
              <w:right w:val="single" w:sz="4" w:space="0" w:color="auto"/>
            </w:tcBorders>
            <w:vAlign w:val="center"/>
            <w:hideMark/>
          </w:tcPr>
          <w:p w:rsidR="00B567B1" w:rsidRPr="008C7C0F" w:rsidP="00B567B1" w14:paraId="5390094B" w14:textId="427308BF">
            <w:pPr>
              <w:widowControl/>
              <w:autoSpaceDE/>
              <w:autoSpaceDN/>
              <w:adjustRightInd/>
              <w:jc w:val="center"/>
              <w:rPr>
                <w:sz w:val="22"/>
                <w:szCs w:val="22"/>
              </w:rPr>
            </w:pPr>
            <w:r>
              <w:rPr>
                <w:sz w:val="22"/>
                <w:szCs w:val="22"/>
              </w:rPr>
              <w:t>5/60</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57C167B3" w14:textId="77777777">
            <w:pPr>
              <w:widowControl/>
              <w:autoSpaceDE/>
              <w:autoSpaceDN/>
              <w:adjustRightInd/>
              <w:jc w:val="center"/>
              <w:rPr>
                <w:sz w:val="22"/>
                <w:szCs w:val="22"/>
              </w:rPr>
            </w:pPr>
            <w:r>
              <w:rPr>
                <w:sz w:val="22"/>
                <w:szCs w:val="22"/>
              </w:rPr>
              <w:t>$69.41</w:t>
            </w: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31B4159F" w14:textId="77777777">
            <w:pPr>
              <w:widowControl/>
              <w:autoSpaceDE/>
              <w:autoSpaceDN/>
              <w:adjustRightInd/>
              <w:jc w:val="center"/>
              <w:rPr>
                <w:sz w:val="22"/>
                <w:szCs w:val="22"/>
              </w:rPr>
            </w:pPr>
            <w:r>
              <w:rPr>
                <w:sz w:val="22"/>
                <w:szCs w:val="22"/>
              </w:rPr>
              <w:t>996.3</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64AE3533" w14:textId="77777777">
            <w:pPr>
              <w:widowControl/>
              <w:autoSpaceDE/>
              <w:autoSpaceDN/>
              <w:adjustRightInd/>
              <w:jc w:val="center"/>
              <w:rPr>
                <w:sz w:val="22"/>
                <w:szCs w:val="22"/>
              </w:rPr>
            </w:pPr>
            <w:r>
              <w:rPr>
                <w:sz w:val="22"/>
                <w:szCs w:val="22"/>
              </w:rPr>
              <w:t>$69,155.50</w:t>
            </w:r>
          </w:p>
        </w:tc>
      </w:tr>
      <w:tr w14:paraId="0881D5D1" w14:textId="77777777" w:rsidTr="00B567B1">
        <w:tblPrEx>
          <w:tblW w:w="9007" w:type="dxa"/>
          <w:tblInd w:w="445" w:type="dxa"/>
          <w:tblLook w:val="04A0"/>
        </w:tblPrEx>
        <w:trPr>
          <w:trHeight w:val="300"/>
        </w:trPr>
        <w:tc>
          <w:tcPr>
            <w:tcW w:w="3836" w:type="dxa"/>
            <w:tcBorders>
              <w:top w:val="single" w:sz="4" w:space="0" w:color="auto"/>
              <w:left w:val="single" w:sz="4" w:space="0" w:color="auto"/>
              <w:bottom w:val="single" w:sz="4" w:space="0" w:color="auto"/>
              <w:right w:val="single" w:sz="4" w:space="0" w:color="auto"/>
            </w:tcBorders>
            <w:noWrap/>
            <w:vAlign w:val="bottom"/>
            <w:hideMark/>
          </w:tcPr>
          <w:p w:rsidR="00B567B1" w:rsidRPr="008C7C0F" w:rsidP="00B567B1" w14:paraId="325FBCDB" w14:textId="0E5A1D84">
            <w:pPr>
              <w:widowControl/>
              <w:autoSpaceDE/>
              <w:autoSpaceDN/>
              <w:adjustRightInd/>
              <w:jc w:val="right"/>
              <w:rPr>
                <w:sz w:val="22"/>
                <w:szCs w:val="22"/>
              </w:rPr>
            </w:pPr>
            <w:r>
              <w:rPr>
                <w:sz w:val="22"/>
                <w:szCs w:val="22"/>
              </w:rPr>
              <w:t xml:space="preserve">Three-Year </w:t>
            </w:r>
            <w:r w:rsidRPr="008C7C0F">
              <w:rPr>
                <w:sz w:val="22"/>
                <w:szCs w:val="22"/>
              </w:rPr>
              <w:t>Total</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1DDCDFDF" w14:textId="77777777">
            <w:pPr>
              <w:widowControl/>
              <w:autoSpaceDE/>
              <w:autoSpaceDN/>
              <w:adjustRightInd/>
              <w:jc w:val="center"/>
              <w:rPr>
                <w:sz w:val="22"/>
                <w:szCs w:val="22"/>
              </w:rPr>
            </w:pPr>
            <w:r>
              <w:rPr>
                <w:sz w:val="22"/>
                <w:szCs w:val="22"/>
              </w:rPr>
              <w:t>209,229</w:t>
            </w:r>
          </w:p>
        </w:tc>
        <w:tc>
          <w:tcPr>
            <w:tcW w:w="83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B567B1" w:rsidRPr="008C7C0F" w:rsidP="00B567B1" w14:paraId="3D853E56" w14:textId="2C5733C4">
            <w:pPr>
              <w:widowControl/>
              <w:autoSpaceDE/>
              <w:autoSpaceDN/>
              <w:adjustRightInd/>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B567B1" w:rsidRPr="008C7C0F" w:rsidP="00B567B1" w14:paraId="3BB5384B" w14:textId="6DFD5FF5">
            <w:pPr>
              <w:widowControl/>
              <w:autoSpaceDE/>
              <w:autoSpaceDN/>
              <w:adjustRightInd/>
              <w:jc w:val="center"/>
              <w:rPr>
                <w:sz w:val="22"/>
                <w:szCs w:val="22"/>
              </w:rPr>
            </w:pP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323D60ED" w14:textId="77777777">
            <w:pPr>
              <w:widowControl/>
              <w:autoSpaceDE/>
              <w:autoSpaceDN/>
              <w:adjustRightInd/>
              <w:jc w:val="center"/>
              <w:rPr>
                <w:sz w:val="22"/>
                <w:szCs w:val="22"/>
              </w:rPr>
            </w:pPr>
            <w:r>
              <w:rPr>
                <w:sz w:val="22"/>
                <w:szCs w:val="22"/>
              </w:rPr>
              <w:t>25,406</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B567B1" w:rsidRPr="008C7C0F" w:rsidP="00B567B1" w14:paraId="77BC291B" w14:textId="77777777">
            <w:pPr>
              <w:widowControl/>
              <w:autoSpaceDE/>
              <w:autoSpaceDN/>
              <w:adjustRightInd/>
              <w:jc w:val="center"/>
              <w:rPr>
                <w:sz w:val="22"/>
                <w:szCs w:val="22"/>
              </w:rPr>
            </w:pPr>
            <w:r>
              <w:rPr>
                <w:sz w:val="22"/>
                <w:szCs w:val="22"/>
              </w:rPr>
              <w:t>$2,131,685</w:t>
            </w:r>
          </w:p>
        </w:tc>
      </w:tr>
      <w:tr w14:paraId="43CCAB95" w14:textId="77777777" w:rsidTr="00B567B1">
        <w:tblPrEx>
          <w:tblW w:w="9007" w:type="dxa"/>
          <w:tblInd w:w="445" w:type="dxa"/>
          <w:tblLook w:val="04A0"/>
        </w:tblPrEx>
        <w:trPr>
          <w:trHeight w:val="315"/>
        </w:trPr>
        <w:tc>
          <w:tcPr>
            <w:tcW w:w="3836" w:type="dxa"/>
            <w:tcBorders>
              <w:top w:val="single" w:sz="4" w:space="0" w:color="auto"/>
              <w:left w:val="single" w:sz="4" w:space="0" w:color="auto"/>
              <w:bottom w:val="single" w:sz="4" w:space="0" w:color="auto"/>
              <w:right w:val="single" w:sz="4" w:space="0" w:color="auto"/>
            </w:tcBorders>
            <w:noWrap/>
            <w:vAlign w:val="bottom"/>
            <w:hideMark/>
          </w:tcPr>
          <w:p w:rsidR="00B567B1" w:rsidRPr="00B567B1" w:rsidP="00B567B1" w14:paraId="77F460B4" w14:textId="21AD3F17">
            <w:pPr>
              <w:widowControl/>
              <w:autoSpaceDE/>
              <w:autoSpaceDN/>
              <w:adjustRightInd/>
              <w:jc w:val="right"/>
              <w:rPr>
                <w:b/>
                <w:bCs/>
                <w:sz w:val="22"/>
                <w:szCs w:val="22"/>
              </w:rPr>
            </w:pPr>
            <w:r w:rsidRPr="00B567B1">
              <w:rPr>
                <w:b/>
                <w:bCs/>
                <w:sz w:val="22"/>
                <w:szCs w:val="22"/>
              </w:rPr>
              <w:t>Annual Average</w:t>
            </w:r>
          </w:p>
        </w:tc>
        <w:tc>
          <w:tcPr>
            <w:tcW w:w="956" w:type="dxa"/>
            <w:tcBorders>
              <w:top w:val="single" w:sz="4" w:space="0" w:color="auto"/>
              <w:left w:val="single" w:sz="4" w:space="0" w:color="auto"/>
              <w:bottom w:val="single" w:sz="4" w:space="0" w:color="auto"/>
              <w:right w:val="single" w:sz="4" w:space="0" w:color="auto"/>
            </w:tcBorders>
            <w:noWrap/>
            <w:vAlign w:val="center"/>
            <w:hideMark/>
          </w:tcPr>
          <w:p w:rsidR="00B567B1" w:rsidRPr="00B567B1" w:rsidP="00B567B1" w14:paraId="752ED8EA" w14:textId="77777777">
            <w:pPr>
              <w:widowControl/>
              <w:autoSpaceDE/>
              <w:autoSpaceDN/>
              <w:adjustRightInd/>
              <w:jc w:val="center"/>
              <w:rPr>
                <w:b/>
                <w:bCs/>
                <w:sz w:val="22"/>
                <w:szCs w:val="22"/>
              </w:rPr>
            </w:pPr>
            <w:r w:rsidRPr="00B567B1">
              <w:rPr>
                <w:b/>
                <w:bCs/>
                <w:sz w:val="22"/>
                <w:szCs w:val="22"/>
              </w:rPr>
              <w:t>69,743</w:t>
            </w:r>
          </w:p>
        </w:tc>
        <w:tc>
          <w:tcPr>
            <w:tcW w:w="83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B567B1" w:rsidRPr="00B567B1" w:rsidP="00B567B1" w14:paraId="21448F35" w14:textId="7730AEC2">
            <w:pPr>
              <w:widowControl/>
              <w:autoSpaceDE/>
              <w:autoSpaceDN/>
              <w:adjustRightInd/>
              <w:jc w:val="center"/>
              <w:rPr>
                <w:b/>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B567B1" w:rsidRPr="00B567B1" w:rsidP="00B567B1" w14:paraId="5E36A404" w14:textId="2869A020">
            <w:pPr>
              <w:widowControl/>
              <w:autoSpaceDE/>
              <w:autoSpaceDN/>
              <w:adjustRightInd/>
              <w:jc w:val="center"/>
              <w:rPr>
                <w:b/>
                <w:bCs/>
                <w:sz w:val="22"/>
                <w:szCs w:val="22"/>
              </w:rPr>
            </w:pPr>
          </w:p>
        </w:tc>
        <w:tc>
          <w:tcPr>
            <w:tcW w:w="986" w:type="dxa"/>
            <w:tcBorders>
              <w:top w:val="single" w:sz="4" w:space="0" w:color="auto"/>
              <w:left w:val="single" w:sz="4" w:space="0" w:color="auto"/>
              <w:bottom w:val="single" w:sz="4" w:space="0" w:color="auto"/>
              <w:right w:val="single" w:sz="4" w:space="0" w:color="auto"/>
            </w:tcBorders>
            <w:noWrap/>
            <w:vAlign w:val="center"/>
            <w:hideMark/>
          </w:tcPr>
          <w:p w:rsidR="00B567B1" w:rsidRPr="00B567B1" w:rsidP="00B567B1" w14:paraId="713F1D65" w14:textId="77777777">
            <w:pPr>
              <w:widowControl/>
              <w:autoSpaceDE/>
              <w:autoSpaceDN/>
              <w:adjustRightInd/>
              <w:jc w:val="center"/>
              <w:rPr>
                <w:b/>
                <w:bCs/>
                <w:sz w:val="22"/>
                <w:szCs w:val="22"/>
              </w:rPr>
            </w:pPr>
            <w:r w:rsidRPr="00B567B1">
              <w:rPr>
                <w:b/>
                <w:bCs/>
                <w:sz w:val="22"/>
                <w:szCs w:val="22"/>
              </w:rPr>
              <w:t>8,469</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B567B1" w:rsidRPr="00B567B1" w:rsidP="00B567B1" w14:paraId="1D5793C5" w14:textId="77777777">
            <w:pPr>
              <w:widowControl/>
              <w:autoSpaceDE/>
              <w:autoSpaceDN/>
              <w:adjustRightInd/>
              <w:jc w:val="center"/>
              <w:rPr>
                <w:b/>
                <w:bCs/>
                <w:sz w:val="22"/>
                <w:szCs w:val="22"/>
              </w:rPr>
            </w:pPr>
            <w:r w:rsidRPr="00B567B1">
              <w:rPr>
                <w:b/>
                <w:bCs/>
                <w:sz w:val="22"/>
                <w:szCs w:val="22"/>
              </w:rPr>
              <w:t>$710,562</w:t>
            </w:r>
          </w:p>
        </w:tc>
      </w:tr>
      <w:tr w14:paraId="5A68F381" w14:textId="77777777" w:rsidTr="00957D11">
        <w:tblPrEx>
          <w:tblW w:w="9007" w:type="dxa"/>
          <w:tblInd w:w="445" w:type="dxa"/>
          <w:tblLook w:val="04A0"/>
        </w:tblPrEx>
        <w:trPr>
          <w:trHeight w:val="300"/>
        </w:trPr>
        <w:tc>
          <w:tcPr>
            <w:tcW w:w="9007" w:type="dxa"/>
            <w:gridSpan w:val="6"/>
            <w:tcBorders>
              <w:top w:val="single" w:sz="4" w:space="0" w:color="auto"/>
              <w:left w:val="single" w:sz="4" w:space="0" w:color="auto"/>
              <w:bottom w:val="single" w:sz="4" w:space="0" w:color="auto"/>
              <w:right w:val="single" w:sz="4" w:space="0" w:color="auto"/>
            </w:tcBorders>
            <w:noWrap/>
            <w:vAlign w:val="bottom"/>
            <w:hideMark/>
          </w:tcPr>
          <w:p w:rsidR="00B567B1" w:rsidRPr="008C7C0F" w:rsidP="001F068B" w14:paraId="6F2E330A" w14:textId="3D29A762">
            <w:pPr>
              <w:widowControl/>
              <w:autoSpaceDE/>
              <w:autoSpaceDN/>
              <w:adjustRightInd/>
              <w:rPr>
                <w:sz w:val="20"/>
                <w:szCs w:val="20"/>
              </w:rPr>
            </w:pPr>
            <w:r w:rsidRPr="008C7C0F">
              <w:rPr>
                <w:sz w:val="18"/>
                <w:szCs w:val="18"/>
              </w:rPr>
              <w:t xml:space="preserve">*The annual average cost is calculated as the total cost averaged across three years </w:t>
            </w:r>
          </w:p>
        </w:tc>
      </w:tr>
    </w:tbl>
    <w:p w:rsidR="00684676" w:rsidP="00684676" w14:paraId="12C04476" w14:textId="77777777">
      <w:pPr>
        <w:widowControl/>
        <w:rPr>
          <w:b/>
        </w:rPr>
      </w:pPr>
    </w:p>
    <w:p w:rsidR="00684676" w:rsidP="00684676" w14:paraId="2FDB8783" w14:textId="5F60454A">
      <w:pPr>
        <w:widowControl/>
        <w:ind w:left="360"/>
      </w:pPr>
      <w:r w:rsidRPr="00AB7117">
        <w:rPr>
          <w:bCs/>
        </w:rPr>
        <w:t>The Department</w:t>
      </w:r>
      <w:r>
        <w:rPr>
          <w:bCs/>
        </w:rPr>
        <w:t>s</w:t>
      </w:r>
      <w:r w:rsidRPr="00AB7117">
        <w:rPr>
          <w:bCs/>
        </w:rPr>
        <w:t xml:space="preserve"> estimate </w:t>
      </w:r>
      <w:r>
        <w:rPr>
          <w:bCs/>
        </w:rPr>
        <w:t xml:space="preserve">the </w:t>
      </w:r>
      <w:r>
        <w:t xml:space="preserve">average burden hours for Federal External Reviews are 89,469 hours annually at an equivalent cost of </w:t>
      </w:r>
      <w:r w:rsidRPr="000C4477">
        <w:t>$</w:t>
      </w:r>
      <w:r>
        <w:t>710,562.</w:t>
      </w:r>
    </w:p>
    <w:p w:rsidR="00684676" w:rsidP="00AB7117" w14:paraId="5F6E78EA" w14:textId="77777777">
      <w:pPr>
        <w:widowControl/>
        <w:ind w:left="360"/>
        <w:rPr>
          <w:b/>
        </w:rPr>
      </w:pPr>
    </w:p>
    <w:p w:rsidR="00684676" w:rsidRPr="00AB7117" w:rsidP="00AB7117" w14:paraId="1EFB759B" w14:textId="77777777">
      <w:pPr>
        <w:widowControl/>
        <w:ind w:left="360"/>
        <w:rPr>
          <w:b/>
        </w:rPr>
      </w:pPr>
    </w:p>
    <w:p w:rsidR="00AB7117" w:rsidRPr="00A13EBC" w:rsidP="00A13EBC" w14:paraId="44EFA380" w14:textId="5FBD9CD7">
      <w:pPr>
        <w:widowControl/>
        <w:ind w:left="360"/>
        <w:rPr>
          <w:b/>
          <w:u w:val="single"/>
        </w:rPr>
      </w:pPr>
      <w:r w:rsidRPr="00A13EBC">
        <w:rPr>
          <w:b/>
          <w:u w:val="single"/>
        </w:rPr>
        <w:t>Summary</w:t>
      </w:r>
    </w:p>
    <w:p w:rsidR="00A13EBC" w:rsidP="00854AB1" w14:paraId="368B89FC" w14:textId="4BF34BE3">
      <w:pPr>
        <w:ind w:left="360"/>
      </w:pPr>
      <w:r>
        <w:t>As reflected in Table 4,</w:t>
      </w:r>
      <w:r>
        <w:t xml:space="preserve"> the</w:t>
      </w:r>
      <w:r>
        <w:t xml:space="preserve"> total</w:t>
      </w:r>
      <w:r>
        <w:t xml:space="preserve"> annual burden associated with claims, appeals, and external review is approximately </w:t>
      </w:r>
      <w:r w:rsidR="00684676">
        <w:t>36,739</w:t>
      </w:r>
      <w:r w:rsidRPr="005D1F1F" w:rsidR="00684676">
        <w:t xml:space="preserve"> </w:t>
      </w:r>
      <w:r>
        <w:t xml:space="preserve">hours at an equivalent cost of </w:t>
      </w:r>
      <w:r w:rsidRPr="005D1F1F" w:rsidR="00684676">
        <w:t>$</w:t>
      </w:r>
      <w:r w:rsidR="00684676">
        <w:t>3,108,445</w:t>
      </w:r>
      <w:r w:rsidRPr="005D1F1F" w:rsidR="00684676">
        <w:t xml:space="preserve"> </w:t>
      </w:r>
      <w:r>
        <w:t xml:space="preserve">annually. </w:t>
      </w:r>
      <w:r w:rsidR="00854AB1">
        <w:t xml:space="preserve"> </w:t>
      </w:r>
      <w:r>
        <w:t>T</w:t>
      </w:r>
      <w:r>
        <w:t>he burden is shared equally between the DOL and Treasury</w:t>
      </w:r>
      <w:r>
        <w:t>. The</w:t>
      </w:r>
      <w:r>
        <w:t xml:space="preserve"> Treasury’s annual share is </w:t>
      </w:r>
      <w:r w:rsidR="00684676">
        <w:t>18,370</w:t>
      </w:r>
      <w:r>
        <w:t xml:space="preserve"> hours at an equivalent cost of </w:t>
      </w:r>
      <w:r w:rsidRPr="005D1F1F" w:rsidR="00684676">
        <w:t>$</w:t>
      </w:r>
      <w:r w:rsidR="00684676">
        <w:t>1,554,223</w:t>
      </w:r>
      <w:r w:rsidRPr="005D1F1F" w:rsidR="00684676">
        <w:t xml:space="preserve"> </w:t>
      </w:r>
      <w:r>
        <w:t>annually</w:t>
      </w:r>
      <w:r>
        <w:t>, as reflected in</w:t>
      </w:r>
      <w:r w:rsidRPr="00745CA8">
        <w:t xml:space="preserve"> </w:t>
      </w:r>
      <w:r w:rsidR="00854AB1">
        <w:t xml:space="preserve">Table 4. </w:t>
      </w:r>
    </w:p>
    <w:p w:rsidR="00AB7117" w:rsidP="00AB7117" w14:paraId="6E044EA3" w14:textId="77777777">
      <w:pPr>
        <w:widowControl/>
        <w:ind w:left="360"/>
        <w:rPr>
          <w:b/>
        </w:rPr>
      </w:pPr>
    </w:p>
    <w:tbl>
      <w:tblPr>
        <w:tblW w:w="1012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528"/>
        <w:gridCol w:w="1260"/>
        <w:gridCol w:w="990"/>
        <w:gridCol w:w="990"/>
        <w:gridCol w:w="1170"/>
        <w:gridCol w:w="990"/>
        <w:gridCol w:w="935"/>
        <w:gridCol w:w="1262"/>
      </w:tblGrid>
      <w:tr w14:paraId="7E4BA1D0" w14:textId="77777777" w:rsidTr="00854AB1">
        <w:tblPrEx>
          <w:tblW w:w="1012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297"/>
        </w:trPr>
        <w:tc>
          <w:tcPr>
            <w:tcW w:w="10125" w:type="dxa"/>
            <w:gridSpan w:val="8"/>
            <w:tcBorders>
              <w:top w:val="nil"/>
              <w:left w:val="nil"/>
              <w:bottom w:val="single" w:sz="6" w:space="0" w:color="auto"/>
              <w:right w:val="nil"/>
            </w:tcBorders>
            <w:vAlign w:val="center"/>
          </w:tcPr>
          <w:p w:rsidR="00A13EBC" w:rsidRPr="00A13EBC" w:rsidP="00854AB1" w14:paraId="6284089F" w14:textId="40E41163">
            <w:pPr>
              <w:widowControl/>
              <w:autoSpaceDE/>
              <w:autoSpaceDN/>
              <w:adjustRightInd/>
              <w:rPr>
                <w:b/>
                <w:bCs/>
                <w:iCs/>
                <w:szCs w:val="20"/>
              </w:rPr>
            </w:pPr>
            <w:r w:rsidRPr="00854AB1">
              <w:rPr>
                <w:sz w:val="20"/>
                <w:szCs w:val="20"/>
              </w:rPr>
              <w:t xml:space="preserve">Table 4: </w:t>
            </w:r>
            <w:r w:rsidRPr="00854AB1">
              <w:rPr>
                <w:sz w:val="20"/>
                <w:szCs w:val="20"/>
              </w:rPr>
              <w:t>Estimated Annualized Respondent Cost and Hour Burden</w:t>
            </w:r>
          </w:p>
        </w:tc>
      </w:tr>
      <w:tr w14:paraId="4CFC5987" w14:textId="77777777" w:rsidTr="003C367B">
        <w:tblPrEx>
          <w:tblW w:w="10125" w:type="dxa"/>
          <w:tblInd w:w="352" w:type="dxa"/>
          <w:tblLayout w:type="fixed"/>
          <w:tblCellMar>
            <w:left w:w="0" w:type="dxa"/>
            <w:right w:w="0" w:type="dxa"/>
          </w:tblCellMar>
          <w:tblLook w:val="04A0"/>
        </w:tblPrEx>
        <w:trPr>
          <w:trHeight w:val="885"/>
        </w:trPr>
        <w:tc>
          <w:tcPr>
            <w:tcW w:w="2528" w:type="dxa"/>
            <w:tcBorders>
              <w:top w:val="single" w:sz="6" w:space="0" w:color="auto"/>
              <w:left w:val="single" w:sz="6" w:space="0" w:color="auto"/>
              <w:bottom w:val="single" w:sz="6" w:space="0" w:color="auto"/>
              <w:right w:val="single" w:sz="6" w:space="0" w:color="auto"/>
            </w:tcBorders>
            <w:vAlign w:val="center"/>
            <w:hideMark/>
          </w:tcPr>
          <w:p w:rsidR="00A13EBC" w:rsidRPr="00CD4845" w:rsidP="001F068B" w14:paraId="3A0EC07D" w14:textId="77777777">
            <w:pPr>
              <w:jc w:val="center"/>
              <w:textAlignment w:val="baseline"/>
              <w:rPr>
                <w:b/>
                <w:bCs/>
              </w:rPr>
            </w:pPr>
            <w:r w:rsidRPr="00CD4845">
              <w:rPr>
                <w:b/>
                <w:bCs/>
                <w:sz w:val="20"/>
                <w:szCs w:val="20"/>
              </w:rPr>
              <w:t>Activity </w:t>
            </w:r>
          </w:p>
        </w:tc>
        <w:tc>
          <w:tcPr>
            <w:tcW w:w="1260" w:type="dxa"/>
            <w:tcBorders>
              <w:top w:val="single" w:sz="6" w:space="0" w:color="auto"/>
              <w:left w:val="single" w:sz="6" w:space="0" w:color="auto"/>
              <w:bottom w:val="single" w:sz="6" w:space="0" w:color="auto"/>
              <w:right w:val="single" w:sz="6" w:space="0" w:color="auto"/>
            </w:tcBorders>
            <w:vAlign w:val="center"/>
            <w:hideMark/>
          </w:tcPr>
          <w:p w:rsidR="00A13EBC" w:rsidRPr="00CD4845" w:rsidP="001F068B" w14:paraId="62FB49EF" w14:textId="77777777">
            <w:pPr>
              <w:jc w:val="center"/>
              <w:textAlignment w:val="baseline"/>
              <w:rPr>
                <w:b/>
                <w:bCs/>
              </w:rPr>
            </w:pPr>
            <w:r w:rsidRPr="00CD4845">
              <w:rPr>
                <w:b/>
                <w:bCs/>
                <w:sz w:val="20"/>
                <w:szCs w:val="20"/>
              </w:rPr>
              <w:t>No. of Respondents</w:t>
            </w:r>
          </w:p>
        </w:tc>
        <w:tc>
          <w:tcPr>
            <w:tcW w:w="990" w:type="dxa"/>
            <w:tcBorders>
              <w:top w:val="single" w:sz="6" w:space="0" w:color="auto"/>
              <w:left w:val="single" w:sz="6" w:space="0" w:color="auto"/>
              <w:bottom w:val="single" w:sz="6" w:space="0" w:color="auto"/>
              <w:right w:val="single" w:sz="6" w:space="0" w:color="auto"/>
            </w:tcBorders>
            <w:vAlign w:val="center"/>
            <w:hideMark/>
          </w:tcPr>
          <w:p w:rsidR="00A13EBC" w:rsidRPr="00CD4845" w:rsidP="001F068B" w14:paraId="5D503D73" w14:textId="77777777">
            <w:pPr>
              <w:jc w:val="center"/>
              <w:textAlignment w:val="baseline"/>
              <w:rPr>
                <w:b/>
                <w:bCs/>
                <w:sz w:val="20"/>
                <w:szCs w:val="20"/>
              </w:rPr>
            </w:pPr>
            <w:r w:rsidRPr="00CD4845">
              <w:rPr>
                <w:b/>
                <w:bCs/>
                <w:sz w:val="20"/>
                <w:szCs w:val="20"/>
              </w:rPr>
              <w:t>No. of      Responses</w:t>
            </w:r>
          </w:p>
          <w:p w:rsidR="00A13EBC" w:rsidRPr="00CD4845" w:rsidP="001F068B" w14:paraId="6A5246A2" w14:textId="77777777">
            <w:pPr>
              <w:jc w:val="center"/>
              <w:textAlignment w:val="baseline"/>
              <w:rPr>
                <w:b/>
                <w:bCs/>
                <w:sz w:val="20"/>
                <w:szCs w:val="20"/>
              </w:rPr>
            </w:pPr>
            <w:r w:rsidRPr="00CD4845">
              <w:rPr>
                <w:b/>
                <w:bCs/>
                <w:sz w:val="20"/>
                <w:szCs w:val="20"/>
              </w:rPr>
              <w:t>per</w:t>
            </w:r>
          </w:p>
          <w:p w:rsidR="00A13EBC" w:rsidRPr="00CD4845" w:rsidP="001F068B" w14:paraId="716C973B" w14:textId="77777777">
            <w:pPr>
              <w:jc w:val="center"/>
              <w:textAlignment w:val="baseline"/>
              <w:rPr>
                <w:b/>
                <w:bCs/>
              </w:rPr>
            </w:pPr>
            <w:r w:rsidRPr="00CD4845">
              <w:rPr>
                <w:b/>
                <w:bCs/>
                <w:sz w:val="20"/>
                <w:szCs w:val="20"/>
              </w:rPr>
              <w:t>Respondent</w:t>
            </w:r>
          </w:p>
        </w:tc>
        <w:tc>
          <w:tcPr>
            <w:tcW w:w="990" w:type="dxa"/>
            <w:tcBorders>
              <w:top w:val="single" w:sz="6" w:space="0" w:color="auto"/>
              <w:left w:val="single" w:sz="6" w:space="0" w:color="auto"/>
              <w:bottom w:val="single" w:sz="6" w:space="0" w:color="auto"/>
              <w:right w:val="single" w:sz="6" w:space="0" w:color="auto"/>
            </w:tcBorders>
            <w:vAlign w:val="center"/>
            <w:hideMark/>
          </w:tcPr>
          <w:p w:rsidR="00A13EBC" w:rsidRPr="00CD4845" w:rsidP="001F068B" w14:paraId="6DF29F3A" w14:textId="77777777">
            <w:pPr>
              <w:jc w:val="center"/>
              <w:textAlignment w:val="baseline"/>
              <w:rPr>
                <w:b/>
                <w:bCs/>
              </w:rPr>
            </w:pPr>
            <w:r w:rsidRPr="00CD4845">
              <w:rPr>
                <w:b/>
                <w:bCs/>
                <w:sz w:val="20"/>
                <w:szCs w:val="20"/>
              </w:rPr>
              <w:t>Total Responses</w:t>
            </w:r>
          </w:p>
        </w:tc>
        <w:tc>
          <w:tcPr>
            <w:tcW w:w="1170" w:type="dxa"/>
            <w:tcBorders>
              <w:top w:val="single" w:sz="6" w:space="0" w:color="auto"/>
              <w:left w:val="single" w:sz="6" w:space="0" w:color="auto"/>
              <w:bottom w:val="single" w:sz="6" w:space="0" w:color="auto"/>
              <w:right w:val="single" w:sz="6" w:space="0" w:color="auto"/>
            </w:tcBorders>
            <w:vAlign w:val="center"/>
            <w:hideMark/>
          </w:tcPr>
          <w:p w:rsidR="00A13EBC" w:rsidRPr="00CD4845" w:rsidP="001F068B" w14:paraId="0FD36A63" w14:textId="77777777">
            <w:pPr>
              <w:jc w:val="center"/>
              <w:textAlignment w:val="baseline"/>
              <w:rPr>
                <w:b/>
                <w:bCs/>
              </w:rPr>
            </w:pPr>
            <w:r w:rsidRPr="00CD4845">
              <w:rPr>
                <w:b/>
                <w:bCs/>
                <w:sz w:val="20"/>
                <w:szCs w:val="20"/>
              </w:rPr>
              <w:t>Average Burden (Hours) </w:t>
            </w:r>
          </w:p>
        </w:tc>
        <w:tc>
          <w:tcPr>
            <w:tcW w:w="990" w:type="dxa"/>
            <w:tcBorders>
              <w:top w:val="single" w:sz="6" w:space="0" w:color="auto"/>
              <w:left w:val="single" w:sz="6" w:space="0" w:color="auto"/>
              <w:bottom w:val="single" w:sz="6" w:space="0" w:color="auto"/>
              <w:right w:val="single" w:sz="6" w:space="0" w:color="auto"/>
            </w:tcBorders>
            <w:vAlign w:val="center"/>
            <w:hideMark/>
          </w:tcPr>
          <w:p w:rsidR="00A13EBC" w:rsidRPr="00CD4845" w:rsidP="001F068B" w14:paraId="3CA5043F" w14:textId="77777777">
            <w:pPr>
              <w:jc w:val="center"/>
              <w:textAlignment w:val="baseline"/>
              <w:rPr>
                <w:b/>
                <w:bCs/>
              </w:rPr>
            </w:pPr>
            <w:r w:rsidRPr="00CD4845">
              <w:rPr>
                <w:b/>
                <w:bCs/>
                <w:sz w:val="20"/>
                <w:szCs w:val="20"/>
              </w:rPr>
              <w:t>Total Burden (Hours) </w:t>
            </w:r>
          </w:p>
        </w:tc>
        <w:tc>
          <w:tcPr>
            <w:tcW w:w="935" w:type="dxa"/>
            <w:tcBorders>
              <w:top w:val="single" w:sz="6" w:space="0" w:color="auto"/>
              <w:left w:val="single" w:sz="6" w:space="0" w:color="auto"/>
              <w:bottom w:val="single" w:sz="6" w:space="0" w:color="auto"/>
              <w:right w:val="single" w:sz="6" w:space="0" w:color="auto"/>
            </w:tcBorders>
            <w:vAlign w:val="center"/>
            <w:hideMark/>
          </w:tcPr>
          <w:p w:rsidR="00A13EBC" w:rsidRPr="00CD4845" w:rsidP="001F068B" w14:paraId="21A0CC24" w14:textId="77777777">
            <w:pPr>
              <w:jc w:val="center"/>
              <w:textAlignment w:val="baseline"/>
              <w:rPr>
                <w:b/>
                <w:bCs/>
              </w:rPr>
            </w:pPr>
            <w:r w:rsidRPr="00CD4845">
              <w:rPr>
                <w:b/>
                <w:bCs/>
                <w:sz w:val="20"/>
                <w:szCs w:val="20"/>
              </w:rPr>
              <w:t>Hourly </w:t>
            </w:r>
          </w:p>
          <w:p w:rsidR="00A13EBC" w:rsidRPr="00CD4845" w:rsidP="001F068B" w14:paraId="30C44018" w14:textId="77777777">
            <w:pPr>
              <w:jc w:val="center"/>
              <w:textAlignment w:val="baseline"/>
              <w:rPr>
                <w:b/>
                <w:bCs/>
              </w:rPr>
            </w:pPr>
            <w:r w:rsidRPr="00CD4845">
              <w:rPr>
                <w:b/>
                <w:bCs/>
                <w:sz w:val="20"/>
                <w:szCs w:val="20"/>
              </w:rPr>
              <w:t>Wage Rate </w:t>
            </w:r>
          </w:p>
        </w:tc>
        <w:tc>
          <w:tcPr>
            <w:tcW w:w="1262" w:type="dxa"/>
            <w:tcBorders>
              <w:top w:val="single" w:sz="6" w:space="0" w:color="auto"/>
              <w:left w:val="single" w:sz="6" w:space="0" w:color="auto"/>
              <w:bottom w:val="single" w:sz="6" w:space="0" w:color="auto"/>
              <w:right w:val="single" w:sz="6" w:space="0" w:color="auto"/>
            </w:tcBorders>
            <w:vAlign w:val="center"/>
            <w:hideMark/>
          </w:tcPr>
          <w:p w:rsidR="00A13EBC" w:rsidRPr="00CD4845" w:rsidP="001F068B" w14:paraId="73DBA957" w14:textId="77777777">
            <w:pPr>
              <w:jc w:val="center"/>
              <w:textAlignment w:val="baseline"/>
              <w:rPr>
                <w:b/>
                <w:bCs/>
              </w:rPr>
            </w:pPr>
            <w:r w:rsidRPr="00CD4845">
              <w:rPr>
                <w:b/>
                <w:bCs/>
                <w:sz w:val="20"/>
                <w:szCs w:val="20"/>
              </w:rPr>
              <w:t>Total Burden Cost </w:t>
            </w:r>
          </w:p>
        </w:tc>
      </w:tr>
      <w:tr w14:paraId="489F1E33" w14:textId="77777777" w:rsidTr="003C367B">
        <w:tblPrEx>
          <w:tblW w:w="10125" w:type="dxa"/>
          <w:tblInd w:w="352" w:type="dxa"/>
          <w:tblLayout w:type="fixed"/>
          <w:tblCellMar>
            <w:left w:w="0" w:type="dxa"/>
            <w:right w:w="0" w:type="dxa"/>
          </w:tblCellMar>
          <w:tblLook w:val="04A0"/>
        </w:tblPrEx>
        <w:trPr>
          <w:trHeight w:val="246"/>
        </w:trPr>
        <w:tc>
          <w:tcPr>
            <w:tcW w:w="2528" w:type="dxa"/>
            <w:tcBorders>
              <w:top w:val="single" w:sz="6" w:space="0" w:color="auto"/>
              <w:left w:val="single" w:sz="6" w:space="0" w:color="auto"/>
              <w:bottom w:val="single" w:sz="6" w:space="0" w:color="auto"/>
              <w:right w:val="single" w:sz="6" w:space="0" w:color="auto"/>
            </w:tcBorders>
            <w:vAlign w:val="bottom"/>
          </w:tcPr>
          <w:p w:rsidR="00684676" w:rsidRPr="00CD4845" w:rsidP="00684676" w14:paraId="3C976752" w14:textId="594234F9">
            <w:pPr>
              <w:textAlignment w:val="baseline"/>
              <w:rPr>
                <w:bCs/>
                <w:sz w:val="20"/>
                <w:szCs w:val="20"/>
              </w:rPr>
            </w:pPr>
            <w:r w:rsidRPr="00C64CB8">
              <w:rPr>
                <w:sz w:val="22"/>
                <w:szCs w:val="22"/>
              </w:rPr>
              <w:t>Medical Secretary Produces Fair and Full Review Notice</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RPr="00B4570A" w:rsidP="00684676" w14:paraId="17638FD4" w14:textId="5BF70E5F">
            <w:pPr>
              <w:jc w:val="center"/>
              <w:textAlignment w:val="baseline"/>
              <w:rPr>
                <w:bCs/>
                <w:sz w:val="20"/>
                <w:szCs w:val="20"/>
              </w:rPr>
            </w:pPr>
            <w:r>
              <w:rPr>
                <w:sz w:val="22"/>
                <w:szCs w:val="22"/>
              </w:rPr>
              <w:t>14,442</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61918617" w14:textId="2FEF2B27">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26D20489" w14:textId="05574C71">
            <w:pPr>
              <w:jc w:val="center"/>
              <w:textAlignment w:val="baseline"/>
              <w:rPr>
                <w:bCs/>
                <w:sz w:val="20"/>
                <w:szCs w:val="20"/>
              </w:rPr>
            </w:pPr>
            <w:r>
              <w:rPr>
                <w:sz w:val="22"/>
                <w:szCs w:val="22"/>
              </w:rPr>
              <w:t>14,442</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6204CFFD" w14:textId="011C334B">
            <w:pPr>
              <w:jc w:val="center"/>
              <w:textAlignment w:val="baseline"/>
              <w:rPr>
                <w:bCs/>
                <w:sz w:val="20"/>
                <w:szCs w:val="20"/>
              </w:rPr>
            </w:pPr>
            <w:r>
              <w:rPr>
                <w:sz w:val="22"/>
                <w:szCs w:val="22"/>
              </w:rPr>
              <w:t xml:space="preserve"> 5/60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6DABFD0A" w14:textId="31E8661D">
            <w:pPr>
              <w:jc w:val="center"/>
              <w:textAlignment w:val="baseline"/>
              <w:rPr>
                <w:bCs/>
                <w:sz w:val="20"/>
                <w:szCs w:val="20"/>
              </w:rPr>
            </w:pPr>
            <w:r>
              <w:rPr>
                <w:sz w:val="22"/>
                <w:szCs w:val="22"/>
              </w:rPr>
              <w:t>1,203.5</w:t>
            </w:r>
          </w:p>
        </w:tc>
        <w:tc>
          <w:tcPr>
            <w:tcW w:w="935"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7A176A8E" w14:textId="3BA24446">
            <w:pPr>
              <w:jc w:val="center"/>
              <w:textAlignment w:val="baseline"/>
              <w:rPr>
                <w:bCs/>
                <w:sz w:val="20"/>
                <w:szCs w:val="20"/>
              </w:rPr>
            </w:pPr>
            <w:r>
              <w:rPr>
                <w:sz w:val="22"/>
                <w:szCs w:val="22"/>
              </w:rPr>
              <w:t>$64.46</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6F5FC896" w14:textId="5B21F952">
            <w:pPr>
              <w:jc w:val="center"/>
              <w:textAlignment w:val="baseline"/>
              <w:rPr>
                <w:bCs/>
                <w:sz w:val="20"/>
                <w:szCs w:val="20"/>
              </w:rPr>
            </w:pPr>
            <w:r>
              <w:rPr>
                <w:sz w:val="22"/>
                <w:szCs w:val="22"/>
              </w:rPr>
              <w:t>$77,577.61</w:t>
            </w:r>
          </w:p>
        </w:tc>
      </w:tr>
      <w:tr w14:paraId="7F5A6BF3" w14:textId="77777777" w:rsidTr="003C367B">
        <w:tblPrEx>
          <w:tblW w:w="10125" w:type="dxa"/>
          <w:tblInd w:w="352" w:type="dxa"/>
          <w:tblLayout w:type="fixed"/>
          <w:tblCellMar>
            <w:left w:w="0" w:type="dxa"/>
            <w:right w:w="0" w:type="dxa"/>
          </w:tblCellMar>
          <w:tblLook w:val="04A0"/>
        </w:tblPrEx>
        <w:trPr>
          <w:trHeight w:val="246"/>
        </w:trPr>
        <w:tc>
          <w:tcPr>
            <w:tcW w:w="2528" w:type="dxa"/>
            <w:tcBorders>
              <w:top w:val="single" w:sz="6" w:space="0" w:color="auto"/>
              <w:left w:val="single" w:sz="6" w:space="0" w:color="auto"/>
              <w:bottom w:val="single" w:sz="6" w:space="0" w:color="auto"/>
              <w:right w:val="single" w:sz="6" w:space="0" w:color="auto"/>
            </w:tcBorders>
            <w:vAlign w:val="bottom"/>
          </w:tcPr>
          <w:p w:rsidR="00684676" w:rsidRPr="000C041E" w:rsidP="00684676" w14:paraId="5BB44310" w14:textId="4166B6AD">
            <w:pPr>
              <w:textAlignment w:val="baseline"/>
              <w:rPr>
                <w:bCs/>
                <w:sz w:val="20"/>
                <w:szCs w:val="20"/>
              </w:rPr>
            </w:pPr>
            <w:r w:rsidRPr="00C64CB8">
              <w:rPr>
                <w:sz w:val="22"/>
                <w:szCs w:val="22"/>
              </w:rPr>
              <w:t>Physician Drafts Appeal Response</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P="00684676" w14:paraId="2D7D96CE" w14:textId="1C7AD64E">
            <w:pPr>
              <w:jc w:val="center"/>
              <w:textAlignment w:val="baseline"/>
              <w:rPr>
                <w:bCs/>
                <w:sz w:val="20"/>
                <w:szCs w:val="20"/>
              </w:rPr>
            </w:pPr>
            <w:r>
              <w:rPr>
                <w:sz w:val="22"/>
                <w:szCs w:val="22"/>
              </w:rPr>
              <w:t>592</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460F1615" w14:textId="2F7C1E71">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4BCEF4C7" w14:textId="47A8A00E">
            <w:pPr>
              <w:jc w:val="center"/>
              <w:textAlignment w:val="baseline"/>
              <w:rPr>
                <w:bCs/>
                <w:sz w:val="20"/>
                <w:szCs w:val="20"/>
              </w:rPr>
            </w:pPr>
            <w:r>
              <w:rPr>
                <w:sz w:val="22"/>
                <w:szCs w:val="22"/>
              </w:rPr>
              <w:t>592</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P="00684676" w14:paraId="5D914544" w14:textId="2B110C1C">
            <w:pPr>
              <w:jc w:val="center"/>
              <w:textAlignment w:val="baseline"/>
              <w:rPr>
                <w:bCs/>
                <w:sz w:val="20"/>
                <w:szCs w:val="20"/>
              </w:rPr>
            </w:pPr>
            <w:r>
              <w:rPr>
                <w:sz w:val="22"/>
                <w:szCs w:val="22"/>
              </w:rPr>
              <w:t xml:space="preserve"> 20/60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291B2CC7" w14:textId="480A4B8A">
            <w:pPr>
              <w:jc w:val="center"/>
              <w:textAlignment w:val="baseline"/>
              <w:rPr>
                <w:bCs/>
                <w:sz w:val="20"/>
                <w:szCs w:val="20"/>
              </w:rPr>
            </w:pPr>
            <w:r>
              <w:rPr>
                <w:sz w:val="22"/>
                <w:szCs w:val="22"/>
              </w:rPr>
              <w:t>197.3</w:t>
            </w:r>
          </w:p>
        </w:tc>
        <w:tc>
          <w:tcPr>
            <w:tcW w:w="935" w:type="dxa"/>
            <w:tcBorders>
              <w:top w:val="single" w:sz="6" w:space="0" w:color="auto"/>
              <w:left w:val="single" w:sz="6" w:space="0" w:color="auto"/>
              <w:bottom w:val="single" w:sz="6" w:space="0" w:color="auto"/>
              <w:right w:val="single" w:sz="6" w:space="0" w:color="auto"/>
            </w:tcBorders>
            <w:vAlign w:val="center"/>
          </w:tcPr>
          <w:p w:rsidR="00684676" w:rsidP="00684676" w14:paraId="1291976D" w14:textId="4E00BDE8">
            <w:pPr>
              <w:jc w:val="center"/>
              <w:textAlignment w:val="baseline"/>
              <w:rPr>
                <w:bCs/>
                <w:sz w:val="20"/>
                <w:szCs w:val="20"/>
              </w:rPr>
            </w:pPr>
            <w:r>
              <w:rPr>
                <w:sz w:val="22"/>
                <w:szCs w:val="22"/>
              </w:rPr>
              <w:t>$208.88</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1C0EB7" w:rsidP="00684676" w14:paraId="766AEEDC" w14:textId="0D823FC8">
            <w:pPr>
              <w:jc w:val="center"/>
              <w:textAlignment w:val="baseline"/>
              <w:rPr>
                <w:bCs/>
                <w:sz w:val="20"/>
                <w:szCs w:val="20"/>
              </w:rPr>
            </w:pPr>
            <w:r>
              <w:rPr>
                <w:sz w:val="22"/>
                <w:szCs w:val="22"/>
              </w:rPr>
              <w:t>$41,218.99</w:t>
            </w:r>
          </w:p>
        </w:tc>
      </w:tr>
      <w:tr w14:paraId="6DF228C6" w14:textId="77777777" w:rsidTr="003C367B">
        <w:tblPrEx>
          <w:tblW w:w="10125" w:type="dxa"/>
          <w:tblInd w:w="352" w:type="dxa"/>
          <w:tblLayout w:type="fixed"/>
          <w:tblCellMar>
            <w:left w:w="0" w:type="dxa"/>
            <w:right w:w="0" w:type="dxa"/>
          </w:tblCellMar>
          <w:tblLook w:val="04A0"/>
        </w:tblPrEx>
        <w:trPr>
          <w:trHeight w:val="65"/>
        </w:trPr>
        <w:tc>
          <w:tcPr>
            <w:tcW w:w="2528" w:type="dxa"/>
            <w:tcBorders>
              <w:top w:val="single" w:sz="6" w:space="0" w:color="auto"/>
              <w:left w:val="single" w:sz="6" w:space="0" w:color="auto"/>
              <w:bottom w:val="single" w:sz="6" w:space="0" w:color="auto"/>
              <w:right w:val="single" w:sz="6" w:space="0" w:color="auto"/>
            </w:tcBorders>
            <w:vAlign w:val="bottom"/>
          </w:tcPr>
          <w:p w:rsidR="00684676" w:rsidRPr="000C041E" w:rsidP="00684676" w14:paraId="4AEC3732" w14:textId="58D58E9B">
            <w:pPr>
              <w:textAlignment w:val="baseline"/>
              <w:rPr>
                <w:bCs/>
                <w:sz w:val="20"/>
                <w:szCs w:val="20"/>
              </w:rPr>
            </w:pPr>
            <w:r w:rsidRPr="00C64CB8">
              <w:rPr>
                <w:sz w:val="22"/>
                <w:szCs w:val="22"/>
              </w:rPr>
              <w:t>Medical Secretary Produces Fair and Full Review Notice</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P="00684676" w14:paraId="630E64FC" w14:textId="13CCBDEF">
            <w:pPr>
              <w:jc w:val="center"/>
              <w:textAlignment w:val="baseline"/>
              <w:rPr>
                <w:bCs/>
                <w:sz w:val="20"/>
                <w:szCs w:val="20"/>
              </w:rPr>
            </w:pPr>
            <w:r>
              <w:rPr>
                <w:sz w:val="22"/>
                <w:szCs w:val="22"/>
              </w:rPr>
              <w:t>276,981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3A44FFFF" w14:textId="309F2356">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041DBB6C" w14:textId="641B65D8">
            <w:pPr>
              <w:jc w:val="center"/>
              <w:textAlignment w:val="baseline"/>
              <w:rPr>
                <w:bCs/>
                <w:sz w:val="20"/>
                <w:szCs w:val="20"/>
              </w:rPr>
            </w:pPr>
            <w:r>
              <w:rPr>
                <w:sz w:val="22"/>
                <w:szCs w:val="22"/>
              </w:rPr>
              <w:t>276,981</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P="00684676" w14:paraId="03ABD34A" w14:textId="0A1EF3E0">
            <w:pPr>
              <w:jc w:val="center"/>
              <w:textAlignment w:val="baseline"/>
              <w:rPr>
                <w:bCs/>
                <w:sz w:val="20"/>
                <w:szCs w:val="20"/>
              </w:rPr>
            </w:pPr>
            <w:r>
              <w:rPr>
                <w:sz w:val="22"/>
                <w:szCs w:val="22"/>
              </w:rPr>
              <w:t xml:space="preserve"> 5/60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71D56212" w14:textId="607E9B22">
            <w:pPr>
              <w:jc w:val="center"/>
              <w:textAlignment w:val="baseline"/>
              <w:rPr>
                <w:bCs/>
                <w:sz w:val="20"/>
                <w:szCs w:val="20"/>
              </w:rPr>
            </w:pPr>
            <w:r>
              <w:rPr>
                <w:sz w:val="22"/>
                <w:szCs w:val="22"/>
              </w:rPr>
              <w:t>23,081.8</w:t>
            </w:r>
          </w:p>
        </w:tc>
        <w:tc>
          <w:tcPr>
            <w:tcW w:w="935" w:type="dxa"/>
            <w:tcBorders>
              <w:top w:val="single" w:sz="6" w:space="0" w:color="auto"/>
              <w:left w:val="single" w:sz="6" w:space="0" w:color="auto"/>
              <w:bottom w:val="single" w:sz="6" w:space="0" w:color="auto"/>
              <w:right w:val="single" w:sz="6" w:space="0" w:color="auto"/>
            </w:tcBorders>
            <w:vAlign w:val="center"/>
          </w:tcPr>
          <w:p w:rsidR="00684676" w:rsidP="00684676" w14:paraId="2220427A" w14:textId="7412617B">
            <w:pPr>
              <w:jc w:val="center"/>
              <w:textAlignment w:val="baseline"/>
              <w:rPr>
                <w:bCs/>
                <w:sz w:val="20"/>
                <w:szCs w:val="20"/>
              </w:rPr>
            </w:pPr>
            <w:r>
              <w:rPr>
                <w:sz w:val="22"/>
                <w:szCs w:val="22"/>
              </w:rPr>
              <w:t>$64.46</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1C0EB7" w:rsidP="00684676" w14:paraId="4AA31890" w14:textId="0032AEBD">
            <w:pPr>
              <w:jc w:val="center"/>
              <w:textAlignment w:val="baseline"/>
              <w:rPr>
                <w:bCs/>
                <w:sz w:val="20"/>
                <w:szCs w:val="20"/>
              </w:rPr>
            </w:pPr>
            <w:r>
              <w:rPr>
                <w:sz w:val="22"/>
                <w:szCs w:val="22"/>
              </w:rPr>
              <w:t>$1,487,849.61</w:t>
            </w:r>
          </w:p>
        </w:tc>
      </w:tr>
      <w:tr w14:paraId="41235F62" w14:textId="77777777" w:rsidTr="003C367B">
        <w:tblPrEx>
          <w:tblW w:w="10125" w:type="dxa"/>
          <w:tblInd w:w="352" w:type="dxa"/>
          <w:tblLayout w:type="fixed"/>
          <w:tblCellMar>
            <w:left w:w="0" w:type="dxa"/>
            <w:right w:w="0" w:type="dxa"/>
          </w:tblCellMar>
          <w:tblLook w:val="04A0"/>
        </w:tblPrEx>
        <w:trPr>
          <w:trHeight w:val="246"/>
        </w:trPr>
        <w:tc>
          <w:tcPr>
            <w:tcW w:w="2528" w:type="dxa"/>
            <w:tcBorders>
              <w:top w:val="single" w:sz="6" w:space="0" w:color="auto"/>
              <w:left w:val="single" w:sz="6" w:space="0" w:color="auto"/>
              <w:bottom w:val="single" w:sz="6" w:space="0" w:color="auto"/>
              <w:right w:val="single" w:sz="6" w:space="0" w:color="auto"/>
            </w:tcBorders>
            <w:vAlign w:val="bottom"/>
          </w:tcPr>
          <w:p w:rsidR="00684676" w:rsidRPr="00CD4845" w:rsidP="00684676" w14:paraId="7E13134F" w14:textId="3366304C">
            <w:pPr>
              <w:textAlignment w:val="baseline"/>
              <w:rPr>
                <w:bCs/>
                <w:sz w:val="20"/>
                <w:szCs w:val="20"/>
              </w:rPr>
            </w:pPr>
            <w:r w:rsidRPr="00C64CB8">
              <w:rPr>
                <w:sz w:val="22"/>
                <w:szCs w:val="22"/>
              </w:rPr>
              <w:t>Physician Drafts Appeal Response</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3CD8C6BE" w14:textId="7257B0D2">
            <w:pPr>
              <w:jc w:val="center"/>
              <w:textAlignment w:val="baseline"/>
              <w:rPr>
                <w:bCs/>
                <w:sz w:val="20"/>
                <w:szCs w:val="20"/>
              </w:rPr>
            </w:pPr>
            <w:r>
              <w:rPr>
                <w:sz w:val="22"/>
                <w:szCs w:val="22"/>
              </w:rPr>
              <w:t>11,364</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634D4967" w14:textId="29274F04">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2705E137" w14:textId="640F277D">
            <w:pPr>
              <w:jc w:val="center"/>
              <w:textAlignment w:val="baseline"/>
              <w:rPr>
                <w:bCs/>
                <w:sz w:val="20"/>
                <w:szCs w:val="20"/>
              </w:rPr>
            </w:pPr>
            <w:r>
              <w:rPr>
                <w:sz w:val="22"/>
                <w:szCs w:val="22"/>
              </w:rPr>
              <w:t>11,364</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279DCAEE" w14:textId="346ADADA">
            <w:pPr>
              <w:jc w:val="center"/>
              <w:textAlignment w:val="baseline"/>
              <w:rPr>
                <w:bCs/>
                <w:sz w:val="20"/>
                <w:szCs w:val="20"/>
              </w:rPr>
            </w:pPr>
            <w:r>
              <w:rPr>
                <w:sz w:val="22"/>
                <w:szCs w:val="22"/>
              </w:rPr>
              <w:t xml:space="preserve"> 20/60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6B7EDF08" w14:textId="025A9B04">
            <w:pPr>
              <w:jc w:val="center"/>
              <w:textAlignment w:val="baseline"/>
              <w:rPr>
                <w:bCs/>
                <w:sz w:val="20"/>
                <w:szCs w:val="20"/>
              </w:rPr>
            </w:pPr>
            <w:r>
              <w:rPr>
                <w:sz w:val="22"/>
                <w:szCs w:val="22"/>
              </w:rPr>
              <w:t>3,788.0</w:t>
            </w:r>
          </w:p>
        </w:tc>
        <w:tc>
          <w:tcPr>
            <w:tcW w:w="935"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7D3F1630" w14:textId="68F9964F">
            <w:pPr>
              <w:jc w:val="center"/>
              <w:textAlignment w:val="baseline"/>
              <w:rPr>
                <w:bCs/>
                <w:sz w:val="20"/>
                <w:szCs w:val="20"/>
              </w:rPr>
            </w:pPr>
            <w:r>
              <w:rPr>
                <w:sz w:val="22"/>
                <w:szCs w:val="22"/>
              </w:rPr>
              <w:t>$208.88</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78431902" w14:textId="4A0834D6">
            <w:pPr>
              <w:jc w:val="center"/>
              <w:textAlignment w:val="baseline"/>
              <w:rPr>
                <w:bCs/>
                <w:sz w:val="20"/>
                <w:szCs w:val="20"/>
              </w:rPr>
            </w:pPr>
            <w:r>
              <w:rPr>
                <w:sz w:val="22"/>
                <w:szCs w:val="22"/>
              </w:rPr>
              <w:t>$791,237.44</w:t>
            </w:r>
          </w:p>
        </w:tc>
      </w:tr>
      <w:tr w14:paraId="79703384" w14:textId="77777777" w:rsidTr="003C367B">
        <w:tblPrEx>
          <w:tblW w:w="10125" w:type="dxa"/>
          <w:tblInd w:w="352" w:type="dxa"/>
          <w:tblLayout w:type="fixed"/>
          <w:tblCellMar>
            <w:left w:w="0" w:type="dxa"/>
            <w:right w:w="0" w:type="dxa"/>
          </w:tblCellMar>
          <w:tblLook w:val="04A0"/>
        </w:tblPrEx>
        <w:trPr>
          <w:trHeight w:val="246"/>
        </w:trPr>
        <w:tc>
          <w:tcPr>
            <w:tcW w:w="2528" w:type="dxa"/>
            <w:tcBorders>
              <w:top w:val="single" w:sz="6" w:space="0" w:color="auto"/>
              <w:left w:val="single" w:sz="6" w:space="0" w:color="auto"/>
              <w:bottom w:val="single" w:sz="6" w:space="0" w:color="auto"/>
              <w:right w:val="single" w:sz="6" w:space="0" w:color="auto"/>
            </w:tcBorders>
            <w:vAlign w:val="bottom"/>
          </w:tcPr>
          <w:p w:rsidR="00684676" w:rsidRPr="00412FFD" w:rsidP="00684676" w14:paraId="050EFD9C" w14:textId="37DFC1F2">
            <w:pPr>
              <w:textAlignment w:val="baseline"/>
              <w:rPr>
                <w:bCs/>
                <w:sz w:val="20"/>
                <w:szCs w:val="20"/>
              </w:rPr>
            </w:pPr>
            <w:r w:rsidRPr="00C64CB8">
              <w:rPr>
                <w:sz w:val="22"/>
                <w:szCs w:val="22"/>
              </w:rPr>
              <w:t>Human Resource Specialist Reviews Appeal Requests</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P="00684676" w14:paraId="2B23F655" w14:textId="1E203057">
            <w:pPr>
              <w:jc w:val="center"/>
              <w:textAlignment w:val="baseline"/>
              <w:rPr>
                <w:bCs/>
                <w:sz w:val="20"/>
                <w:szCs w:val="20"/>
              </w:rPr>
            </w:pPr>
            <w:r>
              <w:rPr>
                <w:sz w:val="22"/>
                <w:szCs w:val="22"/>
              </w:rPr>
              <w:t>15,941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1DADD83F" w14:textId="53EB41C3">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314DB9A9" w14:textId="0346AC9C">
            <w:pPr>
              <w:jc w:val="center"/>
              <w:textAlignment w:val="baseline"/>
              <w:rPr>
                <w:bCs/>
                <w:sz w:val="20"/>
                <w:szCs w:val="20"/>
              </w:rPr>
            </w:pPr>
            <w:r>
              <w:rPr>
                <w:sz w:val="22"/>
                <w:szCs w:val="22"/>
              </w:rPr>
              <w:t>15,941</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P="00684676" w14:paraId="0DD85AE5" w14:textId="49589D2F">
            <w:pPr>
              <w:jc w:val="center"/>
              <w:textAlignment w:val="baseline"/>
              <w:rPr>
                <w:bCs/>
                <w:sz w:val="20"/>
                <w:szCs w:val="20"/>
              </w:rPr>
            </w:pPr>
            <w:r>
              <w:rPr>
                <w:sz w:val="22"/>
                <w:szCs w:val="22"/>
              </w:rPr>
              <w:t xml:space="preserve"> 15/60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4023B625" w14:textId="6792FCF9">
            <w:pPr>
              <w:jc w:val="center"/>
              <w:textAlignment w:val="baseline"/>
              <w:rPr>
                <w:bCs/>
                <w:sz w:val="20"/>
                <w:szCs w:val="20"/>
              </w:rPr>
            </w:pPr>
            <w:r>
              <w:rPr>
                <w:sz w:val="22"/>
                <w:szCs w:val="22"/>
              </w:rPr>
              <w:t>3,985.3</w:t>
            </w:r>
          </w:p>
        </w:tc>
        <w:tc>
          <w:tcPr>
            <w:tcW w:w="935" w:type="dxa"/>
            <w:tcBorders>
              <w:top w:val="single" w:sz="6" w:space="0" w:color="auto"/>
              <w:left w:val="single" w:sz="6" w:space="0" w:color="auto"/>
              <w:bottom w:val="single" w:sz="6" w:space="0" w:color="auto"/>
              <w:right w:val="single" w:sz="6" w:space="0" w:color="auto"/>
            </w:tcBorders>
            <w:vAlign w:val="center"/>
          </w:tcPr>
          <w:p w:rsidR="00684676" w:rsidRPr="00412FFD" w:rsidP="00684676" w14:paraId="350F70B3" w14:textId="0CFFD8B1">
            <w:pPr>
              <w:jc w:val="center"/>
              <w:textAlignment w:val="baseline"/>
              <w:rPr>
                <w:bCs/>
                <w:sz w:val="20"/>
                <w:szCs w:val="20"/>
              </w:rPr>
            </w:pPr>
            <w:r>
              <w:rPr>
                <w:sz w:val="22"/>
                <w:szCs w:val="22"/>
              </w:rPr>
              <w:t>$100.21</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1C0EB7" w:rsidP="00684676" w14:paraId="2C6352E7" w14:textId="4E28B7EC">
            <w:pPr>
              <w:jc w:val="center"/>
              <w:textAlignment w:val="baseline"/>
              <w:rPr>
                <w:bCs/>
                <w:sz w:val="20"/>
                <w:szCs w:val="20"/>
              </w:rPr>
            </w:pPr>
            <w:r>
              <w:rPr>
                <w:sz w:val="22"/>
                <w:szCs w:val="22"/>
              </w:rPr>
              <w:t>$399,361.90</w:t>
            </w:r>
          </w:p>
        </w:tc>
      </w:tr>
      <w:tr w14:paraId="48F447F7" w14:textId="77777777" w:rsidTr="003C367B">
        <w:tblPrEx>
          <w:tblW w:w="10125" w:type="dxa"/>
          <w:tblInd w:w="352" w:type="dxa"/>
          <w:tblLayout w:type="fixed"/>
          <w:tblCellMar>
            <w:left w:w="0" w:type="dxa"/>
            <w:right w:w="0" w:type="dxa"/>
          </w:tblCellMar>
          <w:tblLook w:val="04A0"/>
        </w:tblPrEx>
        <w:trPr>
          <w:trHeight w:val="246"/>
        </w:trPr>
        <w:tc>
          <w:tcPr>
            <w:tcW w:w="2528" w:type="dxa"/>
            <w:tcBorders>
              <w:top w:val="single" w:sz="6" w:space="0" w:color="auto"/>
              <w:left w:val="single" w:sz="6" w:space="0" w:color="auto"/>
              <w:bottom w:val="single" w:sz="6" w:space="0" w:color="auto"/>
              <w:right w:val="single" w:sz="6" w:space="0" w:color="auto"/>
            </w:tcBorders>
            <w:vAlign w:val="bottom"/>
          </w:tcPr>
          <w:p w:rsidR="00684676" w:rsidRPr="00412FFD" w:rsidP="00684676" w14:paraId="607559B8" w14:textId="0B24A65D">
            <w:pPr>
              <w:textAlignment w:val="baseline"/>
              <w:rPr>
                <w:bCs/>
                <w:sz w:val="20"/>
                <w:szCs w:val="20"/>
              </w:rPr>
            </w:pPr>
            <w:r w:rsidRPr="00C64CB8">
              <w:rPr>
                <w:sz w:val="22"/>
                <w:szCs w:val="22"/>
              </w:rPr>
              <w:t>Clerical Professional Notifies Claimant of Appeal Acceptance</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P="00684676" w14:paraId="10FFD0F9" w14:textId="180EF828">
            <w:pPr>
              <w:jc w:val="center"/>
              <w:textAlignment w:val="baseline"/>
              <w:rPr>
                <w:bCs/>
                <w:sz w:val="20"/>
                <w:szCs w:val="20"/>
              </w:rPr>
            </w:pPr>
            <w:r>
              <w:rPr>
                <w:sz w:val="22"/>
                <w:szCs w:val="22"/>
              </w:rPr>
              <w:t>11,956</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41008DDD" w14:textId="1152DD1E">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4D4F33F9" w14:textId="32F97F6C">
            <w:pPr>
              <w:jc w:val="center"/>
              <w:textAlignment w:val="baseline"/>
              <w:rPr>
                <w:bCs/>
                <w:sz w:val="20"/>
                <w:szCs w:val="20"/>
              </w:rPr>
            </w:pPr>
            <w:r>
              <w:rPr>
                <w:sz w:val="22"/>
                <w:szCs w:val="22"/>
              </w:rPr>
              <w:t>11,956</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P="00684676" w14:paraId="7289A561" w14:textId="289A1C91">
            <w:pPr>
              <w:jc w:val="center"/>
              <w:textAlignment w:val="baseline"/>
              <w:rPr>
                <w:bCs/>
                <w:sz w:val="20"/>
                <w:szCs w:val="20"/>
              </w:rPr>
            </w:pPr>
            <w:r>
              <w:rPr>
                <w:sz w:val="22"/>
                <w:szCs w:val="22"/>
              </w:rPr>
              <w:t xml:space="preserve"> 5/60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259A76D9" w14:textId="3B46A158">
            <w:pPr>
              <w:jc w:val="center"/>
              <w:textAlignment w:val="baseline"/>
              <w:rPr>
                <w:bCs/>
                <w:sz w:val="20"/>
                <w:szCs w:val="20"/>
              </w:rPr>
            </w:pPr>
            <w:r>
              <w:rPr>
                <w:sz w:val="22"/>
                <w:szCs w:val="22"/>
              </w:rPr>
              <w:t>996.3</w:t>
            </w:r>
          </w:p>
        </w:tc>
        <w:tc>
          <w:tcPr>
            <w:tcW w:w="935" w:type="dxa"/>
            <w:tcBorders>
              <w:top w:val="single" w:sz="6" w:space="0" w:color="auto"/>
              <w:left w:val="single" w:sz="6" w:space="0" w:color="auto"/>
              <w:bottom w:val="single" w:sz="6" w:space="0" w:color="auto"/>
              <w:right w:val="single" w:sz="6" w:space="0" w:color="auto"/>
            </w:tcBorders>
            <w:vAlign w:val="center"/>
          </w:tcPr>
          <w:p w:rsidR="00684676" w:rsidRPr="00412FFD" w:rsidP="00684676" w14:paraId="31CE1902" w14:textId="1FA88F6D">
            <w:pPr>
              <w:jc w:val="center"/>
              <w:textAlignment w:val="baseline"/>
              <w:rPr>
                <w:bCs/>
                <w:sz w:val="20"/>
                <w:szCs w:val="20"/>
              </w:rPr>
            </w:pPr>
            <w:r>
              <w:rPr>
                <w:sz w:val="22"/>
                <w:szCs w:val="22"/>
              </w:rPr>
              <w:t>$69.41</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1C0EB7" w:rsidP="00684676" w14:paraId="4AA221B7" w14:textId="20931600">
            <w:pPr>
              <w:jc w:val="center"/>
              <w:textAlignment w:val="baseline"/>
              <w:rPr>
                <w:bCs/>
                <w:sz w:val="20"/>
                <w:szCs w:val="20"/>
              </w:rPr>
            </w:pPr>
            <w:r>
              <w:rPr>
                <w:sz w:val="22"/>
                <w:szCs w:val="22"/>
              </w:rPr>
              <w:t>$69,155.50</w:t>
            </w:r>
          </w:p>
        </w:tc>
      </w:tr>
      <w:tr w14:paraId="3969EF01" w14:textId="77777777" w:rsidTr="003C367B">
        <w:tblPrEx>
          <w:tblW w:w="10125" w:type="dxa"/>
          <w:tblInd w:w="352" w:type="dxa"/>
          <w:tblLayout w:type="fixed"/>
          <w:tblCellMar>
            <w:left w:w="0" w:type="dxa"/>
            <w:right w:w="0" w:type="dxa"/>
          </w:tblCellMar>
          <w:tblLook w:val="04A0"/>
        </w:tblPrEx>
        <w:tc>
          <w:tcPr>
            <w:tcW w:w="2528" w:type="dxa"/>
            <w:tcBorders>
              <w:top w:val="single" w:sz="6" w:space="0" w:color="auto"/>
              <w:left w:val="single" w:sz="6" w:space="0" w:color="auto"/>
              <w:bottom w:val="single" w:sz="6" w:space="0" w:color="auto"/>
              <w:right w:val="single" w:sz="6" w:space="0" w:color="auto"/>
            </w:tcBorders>
            <w:vAlign w:val="bottom"/>
          </w:tcPr>
          <w:p w:rsidR="00684676" w:rsidRPr="00CD4845" w:rsidP="00684676" w14:paraId="5E79AA71" w14:textId="45BFC9D4">
            <w:pPr>
              <w:textAlignment w:val="baseline"/>
              <w:rPr>
                <w:bCs/>
                <w:sz w:val="20"/>
                <w:szCs w:val="20"/>
              </w:rPr>
            </w:pPr>
            <w:r w:rsidRPr="00C64CB8">
              <w:rPr>
                <w:sz w:val="22"/>
                <w:szCs w:val="22"/>
              </w:rPr>
              <w:t>Clerical Professional Sends Plan Claimant Documentation from IRO</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7C8C9779" w14:textId="69AE9CF6">
            <w:pPr>
              <w:jc w:val="center"/>
              <w:textAlignment w:val="baseline"/>
              <w:rPr>
                <w:bCs/>
                <w:sz w:val="20"/>
                <w:szCs w:val="20"/>
              </w:rPr>
            </w:pPr>
            <w:r>
              <w:rPr>
                <w:sz w:val="22"/>
                <w:szCs w:val="22"/>
              </w:rPr>
              <w:t>5,978</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389C08C6" w14:textId="6AC86620">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55096BAB" w14:textId="2502D4E2">
            <w:pPr>
              <w:jc w:val="center"/>
              <w:textAlignment w:val="baseline"/>
              <w:rPr>
                <w:bCs/>
                <w:sz w:val="20"/>
                <w:szCs w:val="20"/>
              </w:rPr>
            </w:pPr>
            <w:r>
              <w:rPr>
                <w:sz w:val="22"/>
                <w:szCs w:val="22"/>
              </w:rPr>
              <w:t>5,978</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657473DB" w14:textId="78ADB44B">
            <w:pPr>
              <w:jc w:val="center"/>
              <w:textAlignment w:val="baseline"/>
              <w:rPr>
                <w:bCs/>
                <w:sz w:val="20"/>
                <w:szCs w:val="20"/>
              </w:rPr>
            </w:pPr>
            <w:r>
              <w:rPr>
                <w:sz w:val="22"/>
                <w:szCs w:val="22"/>
              </w:rPr>
              <w:t xml:space="preserve"> 5/60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3F8D989D" w14:textId="3AEAAB6A">
            <w:pPr>
              <w:jc w:val="center"/>
              <w:textAlignment w:val="baseline"/>
              <w:rPr>
                <w:bCs/>
                <w:sz w:val="20"/>
                <w:szCs w:val="20"/>
              </w:rPr>
            </w:pPr>
            <w:r>
              <w:rPr>
                <w:sz w:val="22"/>
                <w:szCs w:val="22"/>
              </w:rPr>
              <w:t>498.2</w:t>
            </w:r>
          </w:p>
        </w:tc>
        <w:tc>
          <w:tcPr>
            <w:tcW w:w="935"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362482C5" w14:textId="57BED93F">
            <w:pPr>
              <w:jc w:val="center"/>
              <w:textAlignment w:val="baseline"/>
              <w:rPr>
                <w:bCs/>
                <w:sz w:val="20"/>
                <w:szCs w:val="20"/>
              </w:rPr>
            </w:pPr>
            <w:r>
              <w:rPr>
                <w:sz w:val="22"/>
                <w:szCs w:val="22"/>
              </w:rPr>
              <w:t>$69.41</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CD4845" w:rsidP="00684676" w14:paraId="31B9A133" w14:textId="4FA13AA0">
            <w:pPr>
              <w:jc w:val="center"/>
              <w:textAlignment w:val="baseline"/>
              <w:rPr>
                <w:bCs/>
                <w:sz w:val="20"/>
                <w:szCs w:val="20"/>
              </w:rPr>
            </w:pPr>
            <w:r>
              <w:rPr>
                <w:sz w:val="22"/>
                <w:szCs w:val="22"/>
              </w:rPr>
              <w:t>$34,577.75</w:t>
            </w:r>
          </w:p>
        </w:tc>
      </w:tr>
      <w:tr w14:paraId="11635A0B" w14:textId="77777777" w:rsidTr="003C367B">
        <w:tblPrEx>
          <w:tblW w:w="10125" w:type="dxa"/>
          <w:tblInd w:w="352" w:type="dxa"/>
          <w:tblLayout w:type="fixed"/>
          <w:tblCellMar>
            <w:left w:w="0" w:type="dxa"/>
            <w:right w:w="0" w:type="dxa"/>
          </w:tblCellMar>
          <w:tblLook w:val="04A0"/>
        </w:tblPrEx>
        <w:tc>
          <w:tcPr>
            <w:tcW w:w="2528" w:type="dxa"/>
            <w:tcBorders>
              <w:top w:val="single" w:sz="6" w:space="0" w:color="auto"/>
              <w:left w:val="single" w:sz="6" w:space="0" w:color="auto"/>
              <w:bottom w:val="single" w:sz="6" w:space="0" w:color="auto"/>
              <w:right w:val="single" w:sz="6" w:space="0" w:color="auto"/>
            </w:tcBorders>
            <w:vAlign w:val="bottom"/>
          </w:tcPr>
          <w:p w:rsidR="00684676" w:rsidRPr="00C45656" w:rsidP="00684676" w14:paraId="3002CC29" w14:textId="7752E5D0">
            <w:pPr>
              <w:textAlignment w:val="baseline"/>
              <w:rPr>
                <w:bCs/>
                <w:sz w:val="20"/>
                <w:szCs w:val="20"/>
              </w:rPr>
            </w:pPr>
            <w:r w:rsidRPr="00C64CB8">
              <w:rPr>
                <w:sz w:val="22"/>
                <w:szCs w:val="22"/>
              </w:rPr>
              <w:t>Clerical Professional Sends IRO Adverse Determination Info from Plan</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P="00684676" w14:paraId="765F0FB7" w14:textId="424746A9">
            <w:pPr>
              <w:jc w:val="center"/>
              <w:textAlignment w:val="baseline"/>
              <w:rPr>
                <w:bCs/>
                <w:sz w:val="20"/>
                <w:szCs w:val="20"/>
              </w:rPr>
            </w:pPr>
            <w:r>
              <w:rPr>
                <w:sz w:val="22"/>
                <w:szCs w:val="22"/>
              </w:rPr>
              <w:t>11,956</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37EAE2FB" w14:textId="436EA307">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491288A1" w14:textId="06711106">
            <w:pPr>
              <w:jc w:val="center"/>
              <w:textAlignment w:val="baseline"/>
              <w:rPr>
                <w:bCs/>
                <w:sz w:val="20"/>
                <w:szCs w:val="20"/>
              </w:rPr>
            </w:pPr>
            <w:r>
              <w:rPr>
                <w:sz w:val="22"/>
                <w:szCs w:val="22"/>
              </w:rPr>
              <w:t>11,956</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P="00684676" w14:paraId="67107355" w14:textId="3AA6BF9D">
            <w:pPr>
              <w:jc w:val="center"/>
              <w:textAlignment w:val="baseline"/>
              <w:rPr>
                <w:bCs/>
                <w:sz w:val="20"/>
                <w:szCs w:val="20"/>
              </w:rPr>
            </w:pPr>
            <w:r>
              <w:rPr>
                <w:sz w:val="22"/>
                <w:szCs w:val="22"/>
              </w:rPr>
              <w:t xml:space="preserve"> 5/60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7D2584D4" w14:textId="2A11B8DD">
            <w:pPr>
              <w:jc w:val="center"/>
              <w:textAlignment w:val="baseline"/>
              <w:rPr>
                <w:bCs/>
                <w:sz w:val="20"/>
                <w:szCs w:val="20"/>
              </w:rPr>
            </w:pPr>
            <w:r>
              <w:rPr>
                <w:sz w:val="22"/>
                <w:szCs w:val="22"/>
              </w:rPr>
              <w:t>996.3</w:t>
            </w:r>
          </w:p>
        </w:tc>
        <w:tc>
          <w:tcPr>
            <w:tcW w:w="935" w:type="dxa"/>
            <w:tcBorders>
              <w:top w:val="single" w:sz="6" w:space="0" w:color="auto"/>
              <w:left w:val="single" w:sz="6" w:space="0" w:color="auto"/>
              <w:bottom w:val="single" w:sz="6" w:space="0" w:color="auto"/>
              <w:right w:val="single" w:sz="6" w:space="0" w:color="auto"/>
            </w:tcBorders>
            <w:vAlign w:val="center"/>
          </w:tcPr>
          <w:p w:rsidR="00684676" w:rsidRPr="00C45656" w:rsidP="00684676" w14:paraId="2365AA02" w14:textId="04EDAD10">
            <w:pPr>
              <w:jc w:val="center"/>
              <w:textAlignment w:val="baseline"/>
              <w:rPr>
                <w:bCs/>
                <w:sz w:val="20"/>
                <w:szCs w:val="20"/>
              </w:rPr>
            </w:pPr>
            <w:r>
              <w:rPr>
                <w:sz w:val="22"/>
                <w:szCs w:val="22"/>
              </w:rPr>
              <w:t>$69.41</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DA271E" w:rsidP="00684676" w14:paraId="0E37E546" w14:textId="2D14E9D3">
            <w:pPr>
              <w:jc w:val="center"/>
              <w:textAlignment w:val="baseline"/>
              <w:rPr>
                <w:bCs/>
                <w:sz w:val="20"/>
                <w:szCs w:val="20"/>
              </w:rPr>
            </w:pPr>
            <w:r>
              <w:rPr>
                <w:sz w:val="22"/>
                <w:szCs w:val="22"/>
              </w:rPr>
              <w:t>$69,155.50</w:t>
            </w:r>
          </w:p>
        </w:tc>
      </w:tr>
      <w:tr w14:paraId="4398050A" w14:textId="77777777" w:rsidTr="003C367B">
        <w:tblPrEx>
          <w:tblW w:w="10125" w:type="dxa"/>
          <w:tblInd w:w="352" w:type="dxa"/>
          <w:tblLayout w:type="fixed"/>
          <w:tblCellMar>
            <w:left w:w="0" w:type="dxa"/>
            <w:right w:w="0" w:type="dxa"/>
          </w:tblCellMar>
          <w:tblLook w:val="04A0"/>
        </w:tblPrEx>
        <w:tc>
          <w:tcPr>
            <w:tcW w:w="2528" w:type="dxa"/>
            <w:tcBorders>
              <w:top w:val="single" w:sz="6" w:space="0" w:color="auto"/>
              <w:left w:val="single" w:sz="6" w:space="0" w:color="auto"/>
              <w:bottom w:val="single" w:sz="6" w:space="0" w:color="auto"/>
              <w:right w:val="single" w:sz="6" w:space="0" w:color="auto"/>
            </w:tcBorders>
            <w:vAlign w:val="bottom"/>
          </w:tcPr>
          <w:p w:rsidR="00684676" w:rsidRPr="00C45656" w:rsidP="00684676" w14:paraId="2B820089" w14:textId="165B012C">
            <w:pPr>
              <w:textAlignment w:val="baseline"/>
              <w:rPr>
                <w:bCs/>
                <w:sz w:val="20"/>
                <w:szCs w:val="20"/>
              </w:rPr>
            </w:pPr>
            <w:r w:rsidRPr="00C64CB8">
              <w:rPr>
                <w:sz w:val="22"/>
                <w:szCs w:val="22"/>
              </w:rPr>
              <w:t xml:space="preserve">Clerical Professional Notify </w:t>
            </w:r>
            <w:r w:rsidRPr="00C64CB8">
              <w:rPr>
                <w:sz w:val="22"/>
                <w:szCs w:val="22"/>
              </w:rPr>
              <w:t>Claimant and Plan of Final External Appeal Result</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P="00684676" w14:paraId="355B4583" w14:textId="3C48AD55">
            <w:pPr>
              <w:jc w:val="center"/>
              <w:textAlignment w:val="baseline"/>
              <w:rPr>
                <w:bCs/>
                <w:sz w:val="20"/>
                <w:szCs w:val="20"/>
              </w:rPr>
            </w:pPr>
            <w:r>
              <w:rPr>
                <w:sz w:val="22"/>
                <w:szCs w:val="22"/>
              </w:rPr>
              <w:t>11,956</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09867FD8" w14:textId="4B2E6022">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07E33F5D" w14:textId="4D2AD26A">
            <w:pPr>
              <w:jc w:val="center"/>
              <w:textAlignment w:val="baseline"/>
              <w:rPr>
                <w:bCs/>
                <w:sz w:val="20"/>
                <w:szCs w:val="20"/>
              </w:rPr>
            </w:pPr>
            <w:r>
              <w:rPr>
                <w:sz w:val="22"/>
                <w:szCs w:val="22"/>
              </w:rPr>
              <w:t>11,956</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P="00684676" w14:paraId="3402879C" w14:textId="7ED71315">
            <w:pPr>
              <w:jc w:val="center"/>
              <w:textAlignment w:val="baseline"/>
              <w:rPr>
                <w:bCs/>
                <w:sz w:val="20"/>
                <w:szCs w:val="20"/>
              </w:rPr>
            </w:pPr>
            <w:r>
              <w:rPr>
                <w:sz w:val="22"/>
                <w:szCs w:val="22"/>
              </w:rPr>
              <w:t xml:space="preserve"> 5/60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601947AF" w14:textId="1C040005">
            <w:pPr>
              <w:jc w:val="center"/>
              <w:textAlignment w:val="baseline"/>
              <w:rPr>
                <w:bCs/>
                <w:sz w:val="20"/>
                <w:szCs w:val="20"/>
              </w:rPr>
            </w:pPr>
            <w:r>
              <w:rPr>
                <w:sz w:val="22"/>
                <w:szCs w:val="22"/>
              </w:rPr>
              <w:t>996.3</w:t>
            </w:r>
          </w:p>
        </w:tc>
        <w:tc>
          <w:tcPr>
            <w:tcW w:w="935" w:type="dxa"/>
            <w:tcBorders>
              <w:top w:val="single" w:sz="6" w:space="0" w:color="auto"/>
              <w:left w:val="single" w:sz="6" w:space="0" w:color="auto"/>
              <w:bottom w:val="single" w:sz="6" w:space="0" w:color="auto"/>
              <w:right w:val="single" w:sz="6" w:space="0" w:color="auto"/>
            </w:tcBorders>
            <w:vAlign w:val="center"/>
          </w:tcPr>
          <w:p w:rsidR="00684676" w:rsidRPr="00C45656" w:rsidP="00684676" w14:paraId="44DFE083" w14:textId="60818F2A">
            <w:pPr>
              <w:jc w:val="center"/>
              <w:textAlignment w:val="baseline"/>
              <w:rPr>
                <w:bCs/>
                <w:sz w:val="20"/>
                <w:szCs w:val="20"/>
              </w:rPr>
            </w:pPr>
            <w:r>
              <w:rPr>
                <w:sz w:val="22"/>
                <w:szCs w:val="22"/>
              </w:rPr>
              <w:t>$69.41</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DA271E" w:rsidP="00684676" w14:paraId="5BB4D68F" w14:textId="655E25CF">
            <w:pPr>
              <w:jc w:val="center"/>
              <w:textAlignment w:val="baseline"/>
              <w:rPr>
                <w:bCs/>
                <w:sz w:val="20"/>
                <w:szCs w:val="20"/>
              </w:rPr>
            </w:pPr>
            <w:r>
              <w:rPr>
                <w:sz w:val="22"/>
                <w:szCs w:val="22"/>
              </w:rPr>
              <w:t>$69,155.50</w:t>
            </w:r>
          </w:p>
        </w:tc>
      </w:tr>
      <w:tr w14:paraId="0BAA6552" w14:textId="77777777" w:rsidTr="003C367B">
        <w:tblPrEx>
          <w:tblW w:w="10125" w:type="dxa"/>
          <w:tblInd w:w="352" w:type="dxa"/>
          <w:tblLayout w:type="fixed"/>
          <w:tblCellMar>
            <w:left w:w="0" w:type="dxa"/>
            <w:right w:w="0" w:type="dxa"/>
          </w:tblCellMar>
          <w:tblLook w:val="04A0"/>
        </w:tblPrEx>
        <w:tc>
          <w:tcPr>
            <w:tcW w:w="2528" w:type="dxa"/>
            <w:tcBorders>
              <w:top w:val="single" w:sz="6" w:space="0" w:color="auto"/>
              <w:left w:val="single" w:sz="6" w:space="0" w:color="auto"/>
              <w:bottom w:val="single" w:sz="6" w:space="0" w:color="auto"/>
              <w:right w:val="single" w:sz="6" w:space="0" w:color="auto"/>
            </w:tcBorders>
            <w:vAlign w:val="bottom"/>
          </w:tcPr>
          <w:p w:rsidR="00684676" w:rsidP="00684676" w14:paraId="3A062959" w14:textId="67DD5116">
            <w:pPr>
              <w:textAlignment w:val="baseline"/>
              <w:rPr>
                <w:bCs/>
                <w:sz w:val="20"/>
                <w:szCs w:val="20"/>
              </w:rPr>
            </w:pPr>
            <w:r w:rsidRPr="00C64CB8">
              <w:rPr>
                <w:sz w:val="22"/>
                <w:szCs w:val="22"/>
              </w:rPr>
              <w:t>Clerical Professional Provides Records for Claims and Appeals</w:t>
            </w:r>
          </w:p>
        </w:tc>
        <w:tc>
          <w:tcPr>
            <w:tcW w:w="1260" w:type="dxa"/>
            <w:tcBorders>
              <w:top w:val="single" w:sz="6" w:space="0" w:color="auto"/>
              <w:left w:val="single" w:sz="6" w:space="0" w:color="auto"/>
              <w:bottom w:val="single" w:sz="6" w:space="0" w:color="auto"/>
              <w:right w:val="single" w:sz="6" w:space="0" w:color="auto"/>
            </w:tcBorders>
            <w:vAlign w:val="center"/>
          </w:tcPr>
          <w:p w:rsidR="00684676" w:rsidP="00684676" w14:paraId="196D1792" w14:textId="307C9F7F">
            <w:pPr>
              <w:jc w:val="center"/>
              <w:textAlignment w:val="baseline"/>
              <w:rPr>
                <w:bCs/>
                <w:sz w:val="20"/>
                <w:szCs w:val="20"/>
              </w:rPr>
            </w:pPr>
            <w:r>
              <w:rPr>
                <w:sz w:val="22"/>
                <w:szCs w:val="22"/>
              </w:rPr>
              <w:t>11,956</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092E0685" w14:textId="37FF9132">
            <w:pPr>
              <w:jc w:val="center"/>
              <w:textAlignment w:val="baseline"/>
              <w:rPr>
                <w:bCs/>
                <w:sz w:val="20"/>
                <w:szCs w:val="20"/>
              </w:rPr>
            </w:pPr>
            <w:r>
              <w:rPr>
                <w:sz w:val="22"/>
                <w:szCs w:val="22"/>
              </w:rPr>
              <w:t>1</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45BCE4EC" w14:textId="6271FEA2">
            <w:pPr>
              <w:jc w:val="center"/>
              <w:textAlignment w:val="baseline"/>
              <w:rPr>
                <w:bCs/>
                <w:sz w:val="20"/>
                <w:szCs w:val="20"/>
              </w:rPr>
            </w:pPr>
            <w:r>
              <w:rPr>
                <w:sz w:val="22"/>
                <w:szCs w:val="22"/>
              </w:rPr>
              <w:t>11,956</w:t>
            </w:r>
          </w:p>
        </w:tc>
        <w:tc>
          <w:tcPr>
            <w:tcW w:w="1170" w:type="dxa"/>
            <w:tcBorders>
              <w:top w:val="single" w:sz="6" w:space="0" w:color="auto"/>
              <w:left w:val="single" w:sz="6" w:space="0" w:color="auto"/>
              <w:bottom w:val="single" w:sz="6" w:space="0" w:color="auto"/>
              <w:right w:val="single" w:sz="6" w:space="0" w:color="auto"/>
            </w:tcBorders>
            <w:vAlign w:val="center"/>
          </w:tcPr>
          <w:p w:rsidR="00684676" w:rsidP="00684676" w14:paraId="7AA70BF2" w14:textId="4A427407">
            <w:pPr>
              <w:jc w:val="center"/>
              <w:textAlignment w:val="baseline"/>
              <w:rPr>
                <w:bCs/>
                <w:sz w:val="20"/>
                <w:szCs w:val="20"/>
              </w:rPr>
            </w:pPr>
            <w:r>
              <w:rPr>
                <w:sz w:val="22"/>
                <w:szCs w:val="22"/>
              </w:rPr>
              <w:t xml:space="preserve"> 5/60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P="00684676" w14:paraId="7582376D" w14:textId="726A0EF3">
            <w:pPr>
              <w:jc w:val="center"/>
              <w:textAlignment w:val="baseline"/>
              <w:rPr>
                <w:bCs/>
                <w:sz w:val="20"/>
                <w:szCs w:val="20"/>
              </w:rPr>
            </w:pPr>
            <w:r>
              <w:rPr>
                <w:sz w:val="22"/>
                <w:szCs w:val="22"/>
              </w:rPr>
              <w:t>996.3</w:t>
            </w:r>
          </w:p>
        </w:tc>
        <w:tc>
          <w:tcPr>
            <w:tcW w:w="935" w:type="dxa"/>
            <w:tcBorders>
              <w:top w:val="single" w:sz="6" w:space="0" w:color="auto"/>
              <w:left w:val="single" w:sz="6" w:space="0" w:color="auto"/>
              <w:bottom w:val="single" w:sz="6" w:space="0" w:color="auto"/>
              <w:right w:val="single" w:sz="6" w:space="0" w:color="auto"/>
            </w:tcBorders>
            <w:vAlign w:val="center"/>
          </w:tcPr>
          <w:p w:rsidR="00684676" w:rsidP="00684676" w14:paraId="1F953BD3" w14:textId="69CC7B62">
            <w:pPr>
              <w:jc w:val="center"/>
              <w:textAlignment w:val="baseline"/>
              <w:rPr>
                <w:bCs/>
                <w:sz w:val="20"/>
                <w:szCs w:val="20"/>
              </w:rPr>
            </w:pPr>
            <w:r>
              <w:rPr>
                <w:sz w:val="22"/>
                <w:szCs w:val="22"/>
              </w:rPr>
              <w:t>$69.41</w:t>
            </w:r>
          </w:p>
        </w:tc>
        <w:tc>
          <w:tcPr>
            <w:tcW w:w="1262" w:type="dxa"/>
            <w:tcBorders>
              <w:top w:val="single" w:sz="6" w:space="0" w:color="auto"/>
              <w:left w:val="single" w:sz="6" w:space="0" w:color="auto"/>
              <w:bottom w:val="single" w:sz="6" w:space="0" w:color="auto"/>
              <w:right w:val="single" w:sz="6" w:space="0" w:color="auto"/>
            </w:tcBorders>
            <w:vAlign w:val="center"/>
          </w:tcPr>
          <w:p w:rsidR="00684676" w:rsidRPr="00DE1051" w:rsidP="00684676" w14:paraId="3B24BE6E" w14:textId="64A64939">
            <w:pPr>
              <w:jc w:val="center"/>
              <w:textAlignment w:val="baseline"/>
              <w:rPr>
                <w:bCs/>
                <w:sz w:val="20"/>
                <w:szCs w:val="20"/>
              </w:rPr>
            </w:pPr>
            <w:r>
              <w:rPr>
                <w:sz w:val="22"/>
                <w:szCs w:val="22"/>
              </w:rPr>
              <w:t>$69,155.50</w:t>
            </w:r>
          </w:p>
        </w:tc>
      </w:tr>
      <w:tr w14:paraId="09CE9310" w14:textId="77777777" w:rsidTr="003C367B">
        <w:tblPrEx>
          <w:tblW w:w="10125" w:type="dxa"/>
          <w:tblInd w:w="352" w:type="dxa"/>
          <w:tblLayout w:type="fixed"/>
          <w:tblCellMar>
            <w:left w:w="0" w:type="dxa"/>
            <w:right w:w="0" w:type="dxa"/>
          </w:tblCellMar>
          <w:tblLook w:val="04A0"/>
        </w:tblPrEx>
        <w:trPr>
          <w:trHeight w:val="390"/>
        </w:trPr>
        <w:tc>
          <w:tcPr>
            <w:tcW w:w="2528" w:type="dxa"/>
            <w:tcBorders>
              <w:top w:val="single" w:sz="6" w:space="0" w:color="auto"/>
              <w:left w:val="single" w:sz="6" w:space="0" w:color="auto"/>
              <w:bottom w:val="single" w:sz="6" w:space="0" w:color="auto"/>
              <w:right w:val="single" w:sz="6" w:space="0" w:color="auto"/>
            </w:tcBorders>
            <w:vAlign w:val="bottom"/>
          </w:tcPr>
          <w:p w:rsidR="00684676" w:rsidRPr="00B56098" w:rsidP="003C367B" w14:paraId="22FDA8B9" w14:textId="710131DA">
            <w:pPr>
              <w:ind w:right="90"/>
              <w:jc w:val="right"/>
              <w:textAlignment w:val="baseline"/>
              <w:rPr>
                <w:sz w:val="20"/>
                <w:szCs w:val="20"/>
              </w:rPr>
            </w:pPr>
            <w:r w:rsidRPr="00B56098">
              <w:rPr>
                <w:sz w:val="22"/>
                <w:szCs w:val="22"/>
              </w:rPr>
              <w:t>Annual Total</w:t>
            </w:r>
            <w:r w:rsidRPr="00B56098" w:rsidR="003C367B">
              <w:rPr>
                <w:sz w:val="22"/>
                <w:szCs w:val="22"/>
              </w:rPr>
              <w:t xml:space="preserve">  </w:t>
            </w:r>
          </w:p>
        </w:tc>
        <w:tc>
          <w:tcPr>
            <w:tcW w:w="1260" w:type="dxa"/>
            <w:tcBorders>
              <w:top w:val="single" w:sz="6" w:space="0" w:color="auto"/>
              <w:left w:val="single" w:sz="6" w:space="0" w:color="auto"/>
              <w:bottom w:val="single" w:sz="6" w:space="0" w:color="auto"/>
              <w:right w:val="single" w:sz="6" w:space="0" w:color="auto"/>
            </w:tcBorders>
            <w:vAlign w:val="bottom"/>
          </w:tcPr>
          <w:p w:rsidR="00684676" w:rsidRPr="00B56098" w:rsidP="00684676" w14:paraId="783E81F1" w14:textId="62EDF21A">
            <w:pPr>
              <w:jc w:val="center"/>
              <w:textAlignment w:val="baseline"/>
              <w:rPr>
                <w:sz w:val="20"/>
                <w:szCs w:val="20"/>
              </w:rPr>
            </w:pPr>
            <w:r w:rsidRPr="00B56098">
              <w:rPr>
                <w:sz w:val="22"/>
                <w:szCs w:val="22"/>
              </w:rPr>
              <w:t>2,588,299</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B56098" w:rsidP="00684676" w14:paraId="110BF85C" w14:textId="5D6DCB3A">
            <w:pPr>
              <w:jc w:val="center"/>
              <w:textAlignment w:val="baseline"/>
              <w:rPr>
                <w:sz w:val="20"/>
                <w:szCs w:val="20"/>
              </w:rPr>
            </w:pPr>
            <w:r w:rsidRPr="00B56098">
              <w:rPr>
                <w:sz w:val="22"/>
                <w:szCs w:val="22"/>
              </w:rPr>
              <w:t>0.1450</w:t>
            </w: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B56098" w:rsidP="00684676" w14:paraId="13439400" w14:textId="581A4C9B">
            <w:pPr>
              <w:jc w:val="center"/>
              <w:textAlignment w:val="baseline"/>
              <w:rPr>
                <w:sz w:val="20"/>
                <w:szCs w:val="20"/>
              </w:rPr>
            </w:pPr>
            <w:r w:rsidRPr="00B56098">
              <w:rPr>
                <w:sz w:val="22"/>
                <w:szCs w:val="22"/>
              </w:rPr>
              <w:t>375,202**</w:t>
            </w:r>
          </w:p>
        </w:tc>
        <w:tc>
          <w:tcPr>
            <w:tcW w:w="117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684676" w:rsidRPr="00B56098" w:rsidP="00684676" w14:paraId="22918EC8" w14:textId="12692841">
            <w:pPr>
              <w:jc w:val="center"/>
              <w:textAlignment w:val="baseline"/>
              <w:rPr>
                <w:sz w:val="20"/>
                <w:szCs w:val="20"/>
              </w:rPr>
            </w:pPr>
          </w:p>
        </w:tc>
        <w:tc>
          <w:tcPr>
            <w:tcW w:w="990" w:type="dxa"/>
            <w:tcBorders>
              <w:top w:val="single" w:sz="6" w:space="0" w:color="auto"/>
              <w:left w:val="single" w:sz="6" w:space="0" w:color="auto"/>
              <w:bottom w:val="single" w:sz="6" w:space="0" w:color="auto"/>
              <w:right w:val="single" w:sz="6" w:space="0" w:color="auto"/>
            </w:tcBorders>
            <w:vAlign w:val="center"/>
          </w:tcPr>
          <w:p w:rsidR="00684676" w:rsidRPr="00B56098" w:rsidP="00684676" w14:paraId="451F4CC6" w14:textId="1EC77DE2">
            <w:pPr>
              <w:jc w:val="center"/>
              <w:textAlignment w:val="baseline"/>
              <w:rPr>
                <w:sz w:val="20"/>
                <w:szCs w:val="20"/>
              </w:rPr>
            </w:pPr>
            <w:r w:rsidRPr="00B56098">
              <w:rPr>
                <w:sz w:val="22"/>
                <w:szCs w:val="22"/>
              </w:rPr>
              <w:t>36,739</w:t>
            </w:r>
          </w:p>
        </w:tc>
        <w:tc>
          <w:tcPr>
            <w:tcW w:w="93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684676" w:rsidRPr="00B56098" w:rsidP="00684676" w14:paraId="5CD111A8" w14:textId="34D98741">
            <w:pPr>
              <w:jc w:val="center"/>
              <w:textAlignment w:val="baseline"/>
              <w:rPr>
                <w:sz w:val="20"/>
                <w:szCs w:val="20"/>
              </w:rPr>
            </w:pPr>
          </w:p>
        </w:tc>
        <w:tc>
          <w:tcPr>
            <w:tcW w:w="1262" w:type="dxa"/>
            <w:tcBorders>
              <w:top w:val="single" w:sz="6" w:space="0" w:color="auto"/>
              <w:left w:val="single" w:sz="6" w:space="0" w:color="auto"/>
              <w:bottom w:val="single" w:sz="6" w:space="0" w:color="auto"/>
              <w:right w:val="single" w:sz="6" w:space="0" w:color="auto"/>
            </w:tcBorders>
            <w:vAlign w:val="bottom"/>
          </w:tcPr>
          <w:p w:rsidR="00684676" w:rsidRPr="00B56098" w:rsidP="00684676" w14:paraId="5B9F500B" w14:textId="19C5AE35">
            <w:pPr>
              <w:jc w:val="center"/>
              <w:textAlignment w:val="baseline"/>
              <w:rPr>
                <w:sz w:val="20"/>
                <w:szCs w:val="20"/>
              </w:rPr>
            </w:pPr>
            <w:r w:rsidRPr="00B56098">
              <w:rPr>
                <w:sz w:val="22"/>
                <w:szCs w:val="22"/>
              </w:rPr>
              <w:t>$3,108,445</w:t>
            </w:r>
          </w:p>
        </w:tc>
      </w:tr>
      <w:tr w14:paraId="57FEF89C" w14:textId="77777777" w:rsidTr="003C367B">
        <w:tblPrEx>
          <w:tblW w:w="10125" w:type="dxa"/>
          <w:tblInd w:w="352" w:type="dxa"/>
          <w:tblLayout w:type="fixed"/>
          <w:tblCellMar>
            <w:left w:w="0" w:type="dxa"/>
            <w:right w:w="0" w:type="dxa"/>
          </w:tblCellMar>
          <w:tblLook w:val="04A0"/>
        </w:tblPrEx>
        <w:tc>
          <w:tcPr>
            <w:tcW w:w="2528" w:type="dxa"/>
            <w:tcBorders>
              <w:top w:val="single" w:sz="6" w:space="0" w:color="auto"/>
              <w:left w:val="single" w:sz="6" w:space="0" w:color="auto"/>
              <w:bottom w:val="single" w:sz="4" w:space="0" w:color="auto"/>
              <w:right w:val="single" w:sz="6" w:space="0" w:color="auto"/>
            </w:tcBorders>
            <w:vAlign w:val="bottom"/>
          </w:tcPr>
          <w:p w:rsidR="00684676" w:rsidRPr="003C367B" w:rsidP="003C367B" w14:paraId="54EC70DA" w14:textId="7EBD621D">
            <w:pPr>
              <w:ind w:right="90"/>
              <w:jc w:val="right"/>
              <w:textAlignment w:val="baseline"/>
              <w:rPr>
                <w:b/>
                <w:bCs/>
                <w:sz w:val="22"/>
                <w:szCs w:val="22"/>
              </w:rPr>
            </w:pPr>
            <w:r>
              <w:rPr>
                <w:b/>
                <w:bCs/>
                <w:sz w:val="22"/>
                <w:szCs w:val="22"/>
              </w:rPr>
              <w:t>Treasury Portion</w:t>
            </w:r>
          </w:p>
        </w:tc>
        <w:tc>
          <w:tcPr>
            <w:tcW w:w="1260" w:type="dxa"/>
            <w:tcBorders>
              <w:top w:val="single" w:sz="6" w:space="0" w:color="auto"/>
              <w:left w:val="single" w:sz="6" w:space="0" w:color="auto"/>
              <w:bottom w:val="single" w:sz="4" w:space="0" w:color="auto"/>
              <w:right w:val="single" w:sz="6" w:space="0" w:color="auto"/>
            </w:tcBorders>
            <w:vAlign w:val="bottom"/>
          </w:tcPr>
          <w:p w:rsidR="00684676" w:rsidRPr="00607F7A" w:rsidP="00684676" w14:paraId="0DB24333" w14:textId="03699590">
            <w:pPr>
              <w:jc w:val="center"/>
              <w:textAlignment w:val="baseline"/>
              <w:rPr>
                <w:b/>
                <w:sz w:val="20"/>
                <w:szCs w:val="20"/>
              </w:rPr>
            </w:pPr>
            <w:r>
              <w:rPr>
                <w:b/>
                <w:bCs/>
                <w:sz w:val="22"/>
                <w:szCs w:val="22"/>
              </w:rPr>
              <w:t>1,294,150</w:t>
            </w:r>
          </w:p>
        </w:tc>
        <w:tc>
          <w:tcPr>
            <w:tcW w:w="990" w:type="dxa"/>
            <w:tcBorders>
              <w:top w:val="single" w:sz="6" w:space="0" w:color="auto"/>
              <w:left w:val="single" w:sz="6" w:space="0" w:color="auto"/>
              <w:bottom w:val="single" w:sz="4" w:space="0" w:color="auto"/>
              <w:right w:val="single" w:sz="6" w:space="0" w:color="auto"/>
            </w:tcBorders>
            <w:vAlign w:val="center"/>
          </w:tcPr>
          <w:p w:rsidR="00684676" w:rsidRPr="00607F7A" w:rsidP="00684676" w14:paraId="0AC8B381" w14:textId="049B75C1">
            <w:pPr>
              <w:jc w:val="center"/>
              <w:textAlignment w:val="baseline"/>
              <w:rPr>
                <w:b/>
                <w:sz w:val="20"/>
                <w:szCs w:val="20"/>
              </w:rPr>
            </w:pPr>
            <w:r w:rsidRPr="0022679F">
              <w:rPr>
                <w:b/>
                <w:bCs/>
                <w:sz w:val="22"/>
                <w:szCs w:val="22"/>
              </w:rPr>
              <w:t>0.</w:t>
            </w:r>
            <w:r>
              <w:rPr>
                <w:b/>
                <w:bCs/>
                <w:sz w:val="22"/>
                <w:szCs w:val="22"/>
              </w:rPr>
              <w:t>1450</w:t>
            </w:r>
          </w:p>
        </w:tc>
        <w:tc>
          <w:tcPr>
            <w:tcW w:w="990" w:type="dxa"/>
            <w:tcBorders>
              <w:top w:val="single" w:sz="6" w:space="0" w:color="auto"/>
              <w:left w:val="single" w:sz="6" w:space="0" w:color="auto"/>
              <w:bottom w:val="single" w:sz="4" w:space="0" w:color="auto"/>
              <w:right w:val="single" w:sz="6" w:space="0" w:color="auto"/>
            </w:tcBorders>
            <w:vAlign w:val="center"/>
          </w:tcPr>
          <w:p w:rsidR="00684676" w:rsidRPr="00607F7A" w:rsidP="00684676" w14:paraId="509B0346" w14:textId="5B0128AE">
            <w:pPr>
              <w:jc w:val="center"/>
              <w:textAlignment w:val="baseline"/>
              <w:rPr>
                <w:b/>
                <w:sz w:val="20"/>
                <w:szCs w:val="20"/>
              </w:rPr>
            </w:pPr>
            <w:r>
              <w:rPr>
                <w:b/>
                <w:bCs/>
                <w:sz w:val="22"/>
                <w:szCs w:val="22"/>
              </w:rPr>
              <w:t>187,601</w:t>
            </w:r>
          </w:p>
        </w:tc>
        <w:tc>
          <w:tcPr>
            <w:tcW w:w="1170" w:type="dxa"/>
            <w:tcBorders>
              <w:top w:val="single" w:sz="6" w:space="0" w:color="auto"/>
              <w:left w:val="single" w:sz="6" w:space="0" w:color="auto"/>
              <w:bottom w:val="single" w:sz="4" w:space="0" w:color="auto"/>
              <w:right w:val="single" w:sz="6" w:space="0" w:color="auto"/>
            </w:tcBorders>
            <w:shd w:val="clear" w:color="auto" w:fill="A6A6A6" w:themeFill="background1" w:themeFillShade="A6"/>
            <w:vAlign w:val="center"/>
          </w:tcPr>
          <w:p w:rsidR="00684676" w:rsidRPr="00607F7A" w:rsidP="00684676" w14:paraId="65D98319" w14:textId="6739F0D8">
            <w:pPr>
              <w:jc w:val="center"/>
              <w:textAlignment w:val="baseline"/>
              <w:rPr>
                <w:b/>
                <w:sz w:val="20"/>
                <w:szCs w:val="20"/>
              </w:rPr>
            </w:pPr>
          </w:p>
        </w:tc>
        <w:tc>
          <w:tcPr>
            <w:tcW w:w="990" w:type="dxa"/>
            <w:tcBorders>
              <w:top w:val="single" w:sz="6" w:space="0" w:color="auto"/>
              <w:left w:val="single" w:sz="6" w:space="0" w:color="auto"/>
              <w:bottom w:val="single" w:sz="4" w:space="0" w:color="auto"/>
              <w:right w:val="single" w:sz="6" w:space="0" w:color="auto"/>
            </w:tcBorders>
            <w:vAlign w:val="center"/>
          </w:tcPr>
          <w:p w:rsidR="00684676" w:rsidRPr="00607F7A" w:rsidP="00684676" w14:paraId="64873AC9" w14:textId="68244A9F">
            <w:pPr>
              <w:jc w:val="center"/>
              <w:textAlignment w:val="baseline"/>
              <w:rPr>
                <w:b/>
                <w:sz w:val="20"/>
                <w:szCs w:val="20"/>
              </w:rPr>
            </w:pPr>
            <w:r>
              <w:rPr>
                <w:b/>
                <w:bCs/>
                <w:sz w:val="22"/>
                <w:szCs w:val="22"/>
              </w:rPr>
              <w:t>18,370</w:t>
            </w:r>
          </w:p>
        </w:tc>
        <w:tc>
          <w:tcPr>
            <w:tcW w:w="935" w:type="dxa"/>
            <w:tcBorders>
              <w:top w:val="single" w:sz="6" w:space="0" w:color="auto"/>
              <w:left w:val="single" w:sz="6" w:space="0" w:color="auto"/>
              <w:bottom w:val="single" w:sz="4" w:space="0" w:color="auto"/>
              <w:right w:val="single" w:sz="6" w:space="0" w:color="auto"/>
            </w:tcBorders>
            <w:shd w:val="clear" w:color="auto" w:fill="A6A6A6" w:themeFill="background1" w:themeFillShade="A6"/>
            <w:vAlign w:val="center"/>
          </w:tcPr>
          <w:p w:rsidR="00684676" w:rsidRPr="00607F7A" w:rsidP="00684676" w14:paraId="32E70FA8" w14:textId="18269AF6">
            <w:pPr>
              <w:jc w:val="center"/>
              <w:textAlignment w:val="baseline"/>
              <w:rPr>
                <w:b/>
                <w:sz w:val="20"/>
                <w:szCs w:val="20"/>
              </w:rPr>
            </w:pPr>
          </w:p>
        </w:tc>
        <w:tc>
          <w:tcPr>
            <w:tcW w:w="1262" w:type="dxa"/>
            <w:tcBorders>
              <w:top w:val="single" w:sz="6" w:space="0" w:color="auto"/>
              <w:left w:val="single" w:sz="6" w:space="0" w:color="auto"/>
              <w:bottom w:val="single" w:sz="4" w:space="0" w:color="auto"/>
              <w:right w:val="single" w:sz="6" w:space="0" w:color="auto"/>
            </w:tcBorders>
            <w:vAlign w:val="bottom"/>
          </w:tcPr>
          <w:p w:rsidR="00684676" w:rsidRPr="00607F7A" w:rsidP="00684676" w14:paraId="65506351" w14:textId="329786D4">
            <w:pPr>
              <w:jc w:val="center"/>
              <w:textAlignment w:val="baseline"/>
              <w:rPr>
                <w:b/>
                <w:sz w:val="20"/>
                <w:szCs w:val="20"/>
              </w:rPr>
            </w:pPr>
            <w:r>
              <w:rPr>
                <w:b/>
                <w:bCs/>
                <w:sz w:val="22"/>
                <w:szCs w:val="22"/>
              </w:rPr>
              <w:t>$1,554,223</w:t>
            </w:r>
          </w:p>
        </w:tc>
      </w:tr>
      <w:tr w14:paraId="7F91470F" w14:textId="77777777" w:rsidTr="00684676">
        <w:tblPrEx>
          <w:tblW w:w="10125" w:type="dxa"/>
          <w:tblInd w:w="352" w:type="dxa"/>
          <w:tblLayout w:type="fixed"/>
          <w:tblCellMar>
            <w:left w:w="0" w:type="dxa"/>
            <w:right w:w="0" w:type="dxa"/>
          </w:tblCellMar>
          <w:tblLook w:val="04A0"/>
        </w:tblPrEx>
        <w:trPr>
          <w:trHeight w:val="305"/>
        </w:trPr>
        <w:tc>
          <w:tcPr>
            <w:tcW w:w="10125" w:type="dxa"/>
            <w:gridSpan w:val="8"/>
            <w:tcBorders>
              <w:top w:val="single" w:sz="4" w:space="0" w:color="auto"/>
              <w:left w:val="single" w:sz="4" w:space="0" w:color="auto"/>
              <w:bottom w:val="single" w:sz="4" w:space="0" w:color="auto"/>
              <w:right w:val="single" w:sz="4" w:space="0" w:color="auto"/>
            </w:tcBorders>
          </w:tcPr>
          <w:p w:rsidR="00684676" w:rsidRPr="00A13EBC" w:rsidP="00684676" w14:paraId="2C3B7200" w14:textId="4AF17CE6">
            <w:pPr>
              <w:textAlignment w:val="baseline"/>
              <w:rPr>
                <w:bCs/>
                <w:sz w:val="20"/>
                <w:szCs w:val="20"/>
              </w:rPr>
            </w:pPr>
            <w:r w:rsidRPr="00A13EBC">
              <w:rPr>
                <w:bCs/>
                <w:sz w:val="20"/>
                <w:szCs w:val="20"/>
              </w:rPr>
              <w:t xml:space="preserve">* </w:t>
            </w:r>
            <w:r>
              <w:rPr>
                <w:bCs/>
                <w:sz w:val="20"/>
                <w:szCs w:val="20"/>
              </w:rPr>
              <w:t xml:space="preserve">The total number of respondents is the total number of ERISA-covered group health plans. </w:t>
            </w:r>
            <w:r w:rsidRPr="00A13EBC">
              <w:rPr>
                <w:bCs/>
                <w:sz w:val="20"/>
                <w:szCs w:val="20"/>
              </w:rPr>
              <w:t xml:space="preserve"> </w:t>
            </w:r>
          </w:p>
        </w:tc>
      </w:tr>
      <w:tr w14:paraId="16DA55B6" w14:textId="77777777" w:rsidTr="00684676">
        <w:tblPrEx>
          <w:tblW w:w="10125" w:type="dxa"/>
          <w:tblInd w:w="352" w:type="dxa"/>
          <w:tblLayout w:type="fixed"/>
          <w:tblCellMar>
            <w:left w:w="0" w:type="dxa"/>
            <w:right w:w="0" w:type="dxa"/>
          </w:tblCellMar>
          <w:tblLook w:val="04A0"/>
        </w:tblPrEx>
        <w:trPr>
          <w:trHeight w:val="305"/>
        </w:trPr>
        <w:tc>
          <w:tcPr>
            <w:tcW w:w="10125" w:type="dxa"/>
            <w:gridSpan w:val="8"/>
            <w:tcBorders>
              <w:top w:val="single" w:sz="4" w:space="0" w:color="auto"/>
              <w:left w:val="single" w:sz="4" w:space="0" w:color="auto"/>
              <w:bottom w:val="single" w:sz="4" w:space="0" w:color="auto"/>
              <w:right w:val="single" w:sz="4" w:space="0" w:color="auto"/>
            </w:tcBorders>
          </w:tcPr>
          <w:p w:rsidR="0096471E" w:rsidP="0096471E" w14:paraId="73026A2E" w14:textId="77777777">
            <w:pPr>
              <w:rPr>
                <w:sz w:val="20"/>
                <w:szCs w:val="20"/>
              </w:rPr>
            </w:pPr>
            <w:r>
              <w:rPr>
                <w:bCs/>
                <w:sz w:val="20"/>
                <w:szCs w:val="20"/>
              </w:rPr>
              <w:t>**</w:t>
            </w:r>
            <w:r w:rsidRPr="003123BB">
              <w:rPr>
                <w:sz w:val="20"/>
                <w:szCs w:val="20"/>
              </w:rPr>
              <w:t xml:space="preserve">The number of responses was calculated in the following manner: </w:t>
            </w:r>
            <w:r>
              <w:rPr>
                <w:sz w:val="20"/>
                <w:szCs w:val="20"/>
              </w:rPr>
              <w:t>15,942</w:t>
            </w:r>
            <w:r w:rsidRPr="003123BB">
              <w:rPr>
                <w:sz w:val="20"/>
                <w:szCs w:val="20"/>
              </w:rPr>
              <w:t xml:space="preserve"> (Preliminary Review) + 1</w:t>
            </w:r>
            <w:r>
              <w:rPr>
                <w:sz w:val="20"/>
                <w:szCs w:val="20"/>
              </w:rPr>
              <w:t>1,956</w:t>
            </w:r>
            <w:r w:rsidRPr="003123BB">
              <w:rPr>
                <w:sz w:val="20"/>
                <w:szCs w:val="20"/>
              </w:rPr>
              <w:t xml:space="preserve"> (Notice of Eligibility) + 1</w:t>
            </w:r>
            <w:r>
              <w:rPr>
                <w:sz w:val="20"/>
                <w:szCs w:val="20"/>
              </w:rPr>
              <w:t>1,956</w:t>
            </w:r>
            <w:r w:rsidRPr="003123BB">
              <w:rPr>
                <w:sz w:val="20"/>
                <w:szCs w:val="20"/>
              </w:rPr>
              <w:t xml:space="preserve"> (Plan provides IRO with documentation and other information considered in making adverse benefit determination) + </w:t>
            </w:r>
            <w:r>
              <w:rPr>
                <w:sz w:val="20"/>
                <w:szCs w:val="20"/>
              </w:rPr>
              <w:t>5,978</w:t>
            </w:r>
            <w:r w:rsidRPr="003123BB">
              <w:rPr>
                <w:sz w:val="20"/>
                <w:szCs w:val="20"/>
              </w:rPr>
              <w:t xml:space="preserve"> (IRO send documentation regarding adverse benefit determination to Plan) + 1</w:t>
            </w:r>
            <w:r>
              <w:rPr>
                <w:sz w:val="20"/>
                <w:szCs w:val="20"/>
              </w:rPr>
              <w:t>1,956</w:t>
            </w:r>
            <w:r w:rsidRPr="003123BB">
              <w:rPr>
                <w:sz w:val="20"/>
                <w:szCs w:val="20"/>
              </w:rPr>
              <w:t xml:space="preserve"> (IRO sends notice to plan regarding final results of the review) + 1</w:t>
            </w:r>
            <w:r>
              <w:rPr>
                <w:sz w:val="20"/>
                <w:szCs w:val="20"/>
              </w:rPr>
              <w:t>1,956</w:t>
            </w:r>
            <w:r w:rsidRPr="003123BB">
              <w:rPr>
                <w:sz w:val="20"/>
                <w:szCs w:val="20"/>
              </w:rPr>
              <w:t xml:space="preserve"> (Record Retention) + 2</w:t>
            </w:r>
            <w:r>
              <w:rPr>
                <w:sz w:val="20"/>
                <w:szCs w:val="20"/>
              </w:rPr>
              <w:t xml:space="preserve">91,423 </w:t>
            </w:r>
            <w:r w:rsidRPr="003123BB">
              <w:rPr>
                <w:sz w:val="20"/>
                <w:szCs w:val="20"/>
              </w:rPr>
              <w:t>(Full and Fair Review) + 1</w:t>
            </w:r>
            <w:r>
              <w:rPr>
                <w:sz w:val="20"/>
                <w:szCs w:val="20"/>
              </w:rPr>
              <w:t>1,956</w:t>
            </w:r>
            <w:r w:rsidRPr="003123BB">
              <w:rPr>
                <w:sz w:val="20"/>
                <w:szCs w:val="20"/>
              </w:rPr>
              <w:t xml:space="preserve"> (External Review) + 2,07</w:t>
            </w:r>
            <w:r>
              <w:rPr>
                <w:sz w:val="20"/>
                <w:szCs w:val="20"/>
              </w:rPr>
              <w:t>9</w:t>
            </w:r>
            <w:r w:rsidRPr="003123BB">
              <w:rPr>
                <w:sz w:val="20"/>
                <w:szCs w:val="20"/>
              </w:rPr>
              <w:t xml:space="preserve"> (Linguistically Appropriate Notices) = </w:t>
            </w:r>
            <w:r>
              <w:rPr>
                <w:sz w:val="20"/>
                <w:szCs w:val="20"/>
              </w:rPr>
              <w:t>375,202</w:t>
            </w:r>
            <w:r w:rsidRPr="003123BB">
              <w:rPr>
                <w:sz w:val="20"/>
                <w:szCs w:val="20"/>
              </w:rPr>
              <w:t xml:space="preserve">. </w:t>
            </w:r>
            <w:r>
              <w:rPr>
                <w:sz w:val="20"/>
                <w:szCs w:val="20"/>
              </w:rPr>
              <w:t xml:space="preserve">  </w:t>
            </w:r>
          </w:p>
          <w:p w:rsidR="00684676" w:rsidRPr="0096471E" w:rsidP="0096471E" w14:paraId="32FFB548" w14:textId="0DD0EE8F">
            <w:pPr>
              <w:rPr>
                <w:sz w:val="20"/>
                <w:szCs w:val="20"/>
              </w:rPr>
            </w:pPr>
            <w:r>
              <w:rPr>
                <w:sz w:val="20"/>
                <w:szCs w:val="20"/>
              </w:rPr>
              <w:t>T</w:t>
            </w:r>
            <w:r w:rsidRPr="003123BB">
              <w:rPr>
                <w:sz w:val="20"/>
                <w:szCs w:val="20"/>
              </w:rPr>
              <w:t>he hour burden for Linguistically Appropriate Notices is de minimis.</w:t>
            </w:r>
          </w:p>
        </w:tc>
      </w:tr>
      <w:tr w14:paraId="0B78552D" w14:textId="77777777" w:rsidTr="00684676">
        <w:tblPrEx>
          <w:tblW w:w="10125" w:type="dxa"/>
          <w:tblInd w:w="352" w:type="dxa"/>
          <w:tblLayout w:type="fixed"/>
          <w:tblCellMar>
            <w:left w:w="0" w:type="dxa"/>
            <w:right w:w="0" w:type="dxa"/>
          </w:tblCellMar>
          <w:tblLook w:val="04A0"/>
        </w:tblPrEx>
        <w:trPr>
          <w:trHeight w:val="255"/>
        </w:trPr>
        <w:tc>
          <w:tcPr>
            <w:tcW w:w="10125" w:type="dxa"/>
            <w:gridSpan w:val="8"/>
            <w:tcBorders>
              <w:top w:val="single" w:sz="4" w:space="0" w:color="auto"/>
              <w:left w:val="single" w:sz="4" w:space="0" w:color="auto"/>
              <w:bottom w:val="single" w:sz="4" w:space="0" w:color="auto"/>
              <w:right w:val="single" w:sz="4" w:space="0" w:color="auto"/>
            </w:tcBorders>
          </w:tcPr>
          <w:p w:rsidR="00684676" w:rsidRPr="00096ABC" w:rsidP="00684676" w14:paraId="6CB8E00D" w14:textId="1294F20F">
            <w:pPr>
              <w:textAlignment w:val="baseline"/>
              <w:rPr>
                <w:b/>
                <w:sz w:val="20"/>
                <w:szCs w:val="20"/>
              </w:rPr>
            </w:pPr>
            <w:r>
              <w:rPr>
                <w:b/>
                <w:sz w:val="20"/>
                <w:szCs w:val="20"/>
              </w:rPr>
              <w:t xml:space="preserve">Note: </w:t>
            </w:r>
            <w:r>
              <w:rPr>
                <w:bCs/>
                <w:sz w:val="20"/>
                <w:szCs w:val="20"/>
              </w:rPr>
              <w:t xml:space="preserve">The numbers </w:t>
            </w:r>
            <w:r>
              <w:rPr>
                <w:bCs/>
                <w:sz w:val="20"/>
                <w:szCs w:val="20"/>
              </w:rPr>
              <w:t>in</w:t>
            </w:r>
            <w:r>
              <w:rPr>
                <w:bCs/>
                <w:sz w:val="20"/>
                <w:szCs w:val="20"/>
              </w:rPr>
              <w:t xml:space="preserve"> the table may not </w:t>
            </w:r>
            <w:r>
              <w:rPr>
                <w:bCs/>
                <w:sz w:val="20"/>
                <w:szCs w:val="20"/>
              </w:rPr>
              <w:t>sum</w:t>
            </w:r>
            <w:r>
              <w:rPr>
                <w:bCs/>
                <w:sz w:val="20"/>
                <w:szCs w:val="20"/>
              </w:rPr>
              <w:t xml:space="preserve"> due to rounding.  </w:t>
            </w:r>
          </w:p>
        </w:tc>
      </w:tr>
    </w:tbl>
    <w:p w:rsidR="00AB7117" w:rsidP="000E2B0E" w14:paraId="669BE388" w14:textId="77777777">
      <w:pPr>
        <w:widowControl/>
        <w:rPr>
          <w:b/>
        </w:rPr>
      </w:pPr>
    </w:p>
    <w:p w:rsidR="00AB7117" w:rsidRPr="00C96F49" w:rsidP="00AB7117" w14:paraId="6ABB777A" w14:textId="77777777">
      <w:pPr>
        <w:widowControl/>
        <w:ind w:left="360"/>
        <w:rPr>
          <w:b/>
        </w:rPr>
      </w:pPr>
    </w:p>
    <w:p w:rsidR="006E3C96" w:rsidRPr="00AB7117" w:rsidP="00AB7117" w14:paraId="03994E47" w14:textId="2122FEBD">
      <w:pPr>
        <w:widowControl/>
        <w:numPr>
          <w:ilvl w:val="0"/>
          <w:numId w:val="13"/>
        </w:numPr>
        <w:ind w:left="360"/>
        <w:rPr>
          <w:b/>
          <w:iCs/>
          <w:u w:val="single"/>
        </w:rPr>
      </w:pPr>
      <w:r w:rsidRPr="00AB7117">
        <w:rPr>
          <w:b/>
          <w:iCs/>
          <w:u w:val="single"/>
        </w:rPr>
        <w:t>ESTIMATED TOTAL ANNUAL COST BURDEN TO RESPONDENTS</w:t>
      </w:r>
    </w:p>
    <w:p w:rsidR="00EA02E4" w:rsidRPr="00C96F49" w:rsidP="00AB7117" w14:paraId="6F0D07A8" w14:textId="77777777">
      <w:pPr>
        <w:pStyle w:val="Quick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p>
    <w:p w:rsidR="000E2B0E" w:rsidRPr="00F1499C" w:rsidP="00F1499C" w14:paraId="2161819D" w14:textId="1B08BEA6">
      <w:pPr>
        <w:widowControl/>
        <w:ind w:left="360"/>
        <w:rPr>
          <w:b/>
          <w:u w:val="single"/>
        </w:rPr>
      </w:pPr>
      <w:r w:rsidRPr="000E2B0E">
        <w:rPr>
          <w:b/>
          <w:u w:val="single"/>
        </w:rPr>
        <w:t>Claims and Appeals</w:t>
      </w:r>
    </w:p>
    <w:p w:rsidR="00560C7F" w:rsidP="00560C7F" w14:paraId="492502A2"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The Departments estimate that approximately 42 percent of these notices will be mailed and approximately 58 percent will be delivered electronically. The Departments assume that each of these notices will be five pages and, for mailed notices, have a cost burden of $0.98.</w:t>
      </w:r>
      <w:r w:rsidRPr="003774ED">
        <w:rPr>
          <w:rStyle w:val="FootnoteReference"/>
          <w:vertAlign w:val="superscript"/>
        </w:rPr>
        <w:t xml:space="preserve"> </w:t>
      </w:r>
      <w:r>
        <w:rPr>
          <w:rStyle w:val="FootnoteReference"/>
          <w:vertAlign w:val="superscript"/>
        </w:rPr>
        <w:footnoteReference w:id="16"/>
      </w:r>
      <w:r>
        <w:t xml:space="preserve"> See Table 5 below for more detailed calculations of the cost burdens. </w:t>
      </w:r>
    </w:p>
    <w:p w:rsidR="00E70CB2" w:rsidP="00AB7117" w14:paraId="644DD541" w14:textId="77777777">
      <w:pPr>
        <w:ind w:left="360"/>
        <w:rPr>
          <w:b/>
        </w:rPr>
      </w:pPr>
    </w:p>
    <w:tbl>
      <w:tblPr>
        <w:tblW w:w="485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2"/>
        <w:gridCol w:w="1354"/>
        <w:gridCol w:w="1167"/>
        <w:gridCol w:w="990"/>
        <w:gridCol w:w="1168"/>
        <w:gridCol w:w="1345"/>
      </w:tblGrid>
      <w:tr w14:paraId="46620CDA" w14:textId="77777777" w:rsidTr="00560C7F">
        <w:tblPrEx>
          <w:tblW w:w="4859"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tblHeader/>
        </w:trPr>
        <w:tc>
          <w:tcPr>
            <w:tcW w:w="5000" w:type="pct"/>
            <w:gridSpan w:val="6"/>
            <w:noWrap/>
            <w:vAlign w:val="bottom"/>
            <w:hideMark/>
          </w:tcPr>
          <w:p w:rsidR="00560C7F" w:rsidRPr="00972171" w:rsidP="001F068B" w14:paraId="03D96771" w14:textId="7BF22C55">
            <w:pPr>
              <w:widowControl/>
              <w:autoSpaceDE/>
              <w:autoSpaceDN/>
              <w:adjustRightInd/>
              <w:rPr>
                <w:sz w:val="22"/>
                <w:szCs w:val="22"/>
              </w:rPr>
            </w:pPr>
            <w:r w:rsidRPr="00972171">
              <w:rPr>
                <w:sz w:val="22"/>
                <w:szCs w:val="22"/>
              </w:rPr>
              <w:t xml:space="preserve">Table </w:t>
            </w:r>
            <w:r>
              <w:rPr>
                <w:sz w:val="22"/>
                <w:szCs w:val="22"/>
              </w:rPr>
              <w:t>5</w:t>
            </w:r>
            <w:r w:rsidRPr="00972171">
              <w:rPr>
                <w:sz w:val="22"/>
                <w:szCs w:val="22"/>
              </w:rPr>
              <w:t xml:space="preserve"> -- </w:t>
            </w:r>
            <w:r w:rsidRPr="00972171">
              <w:rPr>
                <w:i/>
                <w:iCs/>
                <w:sz w:val="22"/>
                <w:szCs w:val="22"/>
              </w:rPr>
              <w:t>Cost Burden for Claims and Appeals</w:t>
            </w:r>
          </w:p>
        </w:tc>
      </w:tr>
      <w:tr w14:paraId="211ADE2D" w14:textId="77777777" w:rsidTr="00560C7F">
        <w:tblPrEx>
          <w:tblW w:w="4859" w:type="pct"/>
          <w:tblInd w:w="355" w:type="dxa"/>
          <w:tblLayout w:type="fixed"/>
          <w:tblLook w:val="04A0"/>
        </w:tblPrEx>
        <w:trPr>
          <w:cantSplit/>
          <w:trHeight w:val="520"/>
          <w:tblHeader/>
        </w:trPr>
        <w:tc>
          <w:tcPr>
            <w:tcW w:w="1685" w:type="pct"/>
            <w:noWrap/>
            <w:vAlign w:val="bottom"/>
            <w:hideMark/>
          </w:tcPr>
          <w:p w:rsidR="00560C7F" w:rsidRPr="00972171" w:rsidP="001F068B" w14:paraId="1A460CEF" w14:textId="77777777">
            <w:pPr>
              <w:widowControl/>
              <w:autoSpaceDE/>
              <w:autoSpaceDN/>
              <w:adjustRightInd/>
              <w:rPr>
                <w:sz w:val="22"/>
                <w:szCs w:val="22"/>
              </w:rPr>
            </w:pPr>
            <w:r w:rsidRPr="00972171">
              <w:rPr>
                <w:sz w:val="22"/>
                <w:szCs w:val="22"/>
              </w:rPr>
              <w:t> </w:t>
            </w:r>
          </w:p>
          <w:p w:rsidR="00560C7F" w:rsidRPr="00972171" w:rsidP="003C367B" w14:paraId="3A93E6E1" w14:textId="610AB651">
            <w:pPr>
              <w:widowControl/>
              <w:autoSpaceDE/>
              <w:autoSpaceDN/>
              <w:adjustRightInd/>
              <w:jc w:val="center"/>
              <w:rPr>
                <w:sz w:val="22"/>
                <w:szCs w:val="22"/>
              </w:rPr>
            </w:pPr>
            <w:r w:rsidRPr="00972171">
              <w:rPr>
                <w:sz w:val="22"/>
                <w:szCs w:val="22"/>
              </w:rPr>
              <w:t> </w:t>
            </w:r>
            <w:r w:rsidR="003C367B">
              <w:rPr>
                <w:sz w:val="22"/>
                <w:szCs w:val="22"/>
              </w:rPr>
              <w:t>Description</w:t>
            </w:r>
          </w:p>
        </w:tc>
        <w:tc>
          <w:tcPr>
            <w:tcW w:w="745" w:type="pct"/>
            <w:vAlign w:val="center"/>
            <w:hideMark/>
          </w:tcPr>
          <w:p w:rsidR="00560C7F" w:rsidRPr="00972171" w:rsidP="001F068B" w14:paraId="570D1DDA" w14:textId="77777777">
            <w:pPr>
              <w:widowControl/>
              <w:autoSpaceDE/>
              <w:autoSpaceDN/>
              <w:adjustRightInd/>
              <w:jc w:val="center"/>
              <w:rPr>
                <w:sz w:val="22"/>
                <w:szCs w:val="22"/>
              </w:rPr>
            </w:pPr>
            <w:r w:rsidRPr="00972171">
              <w:rPr>
                <w:sz w:val="22"/>
                <w:szCs w:val="22"/>
              </w:rPr>
              <w:t>Responses</w:t>
            </w:r>
          </w:p>
        </w:tc>
        <w:tc>
          <w:tcPr>
            <w:tcW w:w="642" w:type="pct"/>
            <w:vAlign w:val="center"/>
            <w:hideMark/>
          </w:tcPr>
          <w:p w:rsidR="00560C7F" w:rsidRPr="00972171" w:rsidP="001F068B" w14:paraId="2D3F256A" w14:textId="77777777">
            <w:pPr>
              <w:widowControl/>
              <w:autoSpaceDE/>
              <w:autoSpaceDN/>
              <w:adjustRightInd/>
              <w:jc w:val="center"/>
              <w:rPr>
                <w:sz w:val="22"/>
                <w:szCs w:val="22"/>
              </w:rPr>
            </w:pPr>
            <w:r w:rsidRPr="00972171">
              <w:rPr>
                <w:sz w:val="22"/>
                <w:szCs w:val="22"/>
              </w:rPr>
              <w:t>Mailing Rate</w:t>
            </w:r>
          </w:p>
        </w:tc>
        <w:tc>
          <w:tcPr>
            <w:tcW w:w="545" w:type="pct"/>
            <w:vAlign w:val="center"/>
            <w:hideMark/>
          </w:tcPr>
          <w:p w:rsidR="00560C7F" w:rsidRPr="00972171" w:rsidP="001F068B" w14:paraId="6A8B1897" w14:textId="77777777">
            <w:pPr>
              <w:widowControl/>
              <w:autoSpaceDE/>
              <w:autoSpaceDN/>
              <w:adjustRightInd/>
              <w:jc w:val="center"/>
              <w:rPr>
                <w:sz w:val="22"/>
                <w:szCs w:val="22"/>
              </w:rPr>
            </w:pPr>
            <w:r w:rsidRPr="00972171">
              <w:rPr>
                <w:sz w:val="22"/>
                <w:szCs w:val="22"/>
              </w:rPr>
              <w:t>Notices Mailed</w:t>
            </w:r>
          </w:p>
        </w:tc>
        <w:tc>
          <w:tcPr>
            <w:tcW w:w="643" w:type="pct"/>
            <w:vAlign w:val="center"/>
            <w:hideMark/>
          </w:tcPr>
          <w:p w:rsidR="00560C7F" w:rsidRPr="00972171" w:rsidP="001F068B" w14:paraId="753B44D3" w14:textId="77777777">
            <w:pPr>
              <w:widowControl/>
              <w:autoSpaceDE/>
              <w:autoSpaceDN/>
              <w:adjustRightInd/>
              <w:jc w:val="center"/>
              <w:rPr>
                <w:sz w:val="22"/>
                <w:szCs w:val="22"/>
              </w:rPr>
            </w:pPr>
            <w:r w:rsidRPr="00972171">
              <w:rPr>
                <w:sz w:val="22"/>
                <w:szCs w:val="22"/>
              </w:rPr>
              <w:t>Unit Cost</w:t>
            </w:r>
          </w:p>
        </w:tc>
        <w:tc>
          <w:tcPr>
            <w:tcW w:w="740" w:type="pct"/>
            <w:vAlign w:val="center"/>
            <w:hideMark/>
          </w:tcPr>
          <w:p w:rsidR="00560C7F" w:rsidRPr="00972171" w:rsidP="001F068B" w14:paraId="7DCC4909" w14:textId="77777777">
            <w:pPr>
              <w:widowControl/>
              <w:autoSpaceDE/>
              <w:autoSpaceDN/>
              <w:adjustRightInd/>
              <w:jc w:val="center"/>
              <w:rPr>
                <w:sz w:val="22"/>
                <w:szCs w:val="22"/>
              </w:rPr>
            </w:pPr>
            <w:r w:rsidRPr="00972171">
              <w:rPr>
                <w:sz w:val="22"/>
                <w:szCs w:val="22"/>
              </w:rPr>
              <w:t>Annual Cost</w:t>
            </w:r>
          </w:p>
        </w:tc>
      </w:tr>
      <w:tr w14:paraId="4821D0CB" w14:textId="77777777" w:rsidTr="00560C7F">
        <w:tblPrEx>
          <w:tblW w:w="4859" w:type="pct"/>
          <w:tblInd w:w="355" w:type="dxa"/>
          <w:tblLayout w:type="fixed"/>
          <w:tblLook w:val="04A0"/>
        </w:tblPrEx>
        <w:trPr>
          <w:cantSplit/>
          <w:trHeight w:val="300"/>
          <w:tblHeader/>
        </w:trPr>
        <w:tc>
          <w:tcPr>
            <w:tcW w:w="1685" w:type="pct"/>
            <w:noWrap/>
            <w:vAlign w:val="bottom"/>
            <w:hideMark/>
          </w:tcPr>
          <w:p w:rsidR="00560C7F" w:rsidRPr="00972171" w:rsidP="001F068B" w14:paraId="1ECA1A39" w14:textId="1563371D">
            <w:pPr>
              <w:widowControl/>
              <w:autoSpaceDE/>
              <w:autoSpaceDN/>
              <w:adjustRightInd/>
              <w:rPr>
                <w:sz w:val="22"/>
                <w:szCs w:val="22"/>
              </w:rPr>
            </w:pPr>
          </w:p>
        </w:tc>
        <w:tc>
          <w:tcPr>
            <w:tcW w:w="745" w:type="pct"/>
            <w:hideMark/>
          </w:tcPr>
          <w:p w:rsidR="00560C7F" w:rsidRPr="00972171" w:rsidP="001F068B" w14:paraId="4A5CC72F" w14:textId="77777777">
            <w:pPr>
              <w:widowControl/>
              <w:autoSpaceDE/>
              <w:autoSpaceDN/>
              <w:adjustRightInd/>
              <w:jc w:val="center"/>
              <w:rPr>
                <w:sz w:val="20"/>
                <w:szCs w:val="20"/>
              </w:rPr>
            </w:pPr>
            <w:r w:rsidRPr="00972171">
              <w:rPr>
                <w:sz w:val="20"/>
                <w:szCs w:val="20"/>
              </w:rPr>
              <w:t>(A)</w:t>
            </w:r>
          </w:p>
        </w:tc>
        <w:tc>
          <w:tcPr>
            <w:tcW w:w="642" w:type="pct"/>
            <w:hideMark/>
          </w:tcPr>
          <w:p w:rsidR="00560C7F" w:rsidRPr="00972171" w:rsidP="001F068B" w14:paraId="6452450B" w14:textId="77777777">
            <w:pPr>
              <w:widowControl/>
              <w:autoSpaceDE/>
              <w:autoSpaceDN/>
              <w:adjustRightInd/>
              <w:jc w:val="center"/>
              <w:rPr>
                <w:sz w:val="20"/>
                <w:szCs w:val="20"/>
              </w:rPr>
            </w:pPr>
            <w:r w:rsidRPr="00972171">
              <w:rPr>
                <w:sz w:val="20"/>
                <w:szCs w:val="20"/>
              </w:rPr>
              <w:t>(B)</w:t>
            </w:r>
          </w:p>
        </w:tc>
        <w:tc>
          <w:tcPr>
            <w:tcW w:w="545" w:type="pct"/>
            <w:hideMark/>
          </w:tcPr>
          <w:p w:rsidR="00560C7F" w:rsidRPr="00972171" w:rsidP="001F068B" w14:paraId="432F9136" w14:textId="77777777">
            <w:pPr>
              <w:widowControl/>
              <w:autoSpaceDE/>
              <w:autoSpaceDN/>
              <w:adjustRightInd/>
              <w:jc w:val="center"/>
              <w:rPr>
                <w:sz w:val="20"/>
                <w:szCs w:val="20"/>
              </w:rPr>
            </w:pPr>
            <w:r w:rsidRPr="00972171">
              <w:rPr>
                <w:sz w:val="20"/>
                <w:szCs w:val="20"/>
              </w:rPr>
              <w:t>(A x B)</w:t>
            </w:r>
          </w:p>
        </w:tc>
        <w:tc>
          <w:tcPr>
            <w:tcW w:w="643" w:type="pct"/>
            <w:hideMark/>
          </w:tcPr>
          <w:p w:rsidR="00560C7F" w:rsidRPr="00972171" w:rsidP="001F068B" w14:paraId="12E292C5" w14:textId="77777777">
            <w:pPr>
              <w:widowControl/>
              <w:autoSpaceDE/>
              <w:autoSpaceDN/>
              <w:adjustRightInd/>
              <w:jc w:val="center"/>
              <w:rPr>
                <w:sz w:val="20"/>
                <w:szCs w:val="20"/>
              </w:rPr>
            </w:pPr>
            <w:r w:rsidRPr="00972171">
              <w:rPr>
                <w:sz w:val="20"/>
                <w:szCs w:val="20"/>
              </w:rPr>
              <w:t>(C)</w:t>
            </w:r>
          </w:p>
        </w:tc>
        <w:tc>
          <w:tcPr>
            <w:tcW w:w="740" w:type="pct"/>
            <w:hideMark/>
          </w:tcPr>
          <w:p w:rsidR="00560C7F" w:rsidRPr="00972171" w:rsidP="001F068B" w14:paraId="1925545A" w14:textId="77777777">
            <w:pPr>
              <w:widowControl/>
              <w:autoSpaceDE/>
              <w:autoSpaceDN/>
              <w:adjustRightInd/>
              <w:jc w:val="center"/>
              <w:rPr>
                <w:sz w:val="20"/>
                <w:szCs w:val="20"/>
              </w:rPr>
            </w:pPr>
            <w:r w:rsidRPr="00972171">
              <w:rPr>
                <w:sz w:val="20"/>
                <w:szCs w:val="20"/>
              </w:rPr>
              <w:t>(A x B x C)</w:t>
            </w:r>
          </w:p>
        </w:tc>
      </w:tr>
      <w:tr w14:paraId="4EB191A4" w14:textId="77777777" w:rsidTr="00560C7F">
        <w:tblPrEx>
          <w:tblW w:w="4859" w:type="pct"/>
          <w:tblInd w:w="355" w:type="dxa"/>
          <w:tblLayout w:type="fixed"/>
          <w:tblLook w:val="04A0"/>
        </w:tblPrEx>
        <w:trPr>
          <w:trHeight w:val="300"/>
        </w:trPr>
        <w:tc>
          <w:tcPr>
            <w:tcW w:w="1685" w:type="pct"/>
            <w:vAlign w:val="bottom"/>
            <w:hideMark/>
          </w:tcPr>
          <w:p w:rsidR="00560C7F" w:rsidRPr="00972171" w:rsidP="001F068B" w14:paraId="5453DC41" w14:textId="77777777">
            <w:pPr>
              <w:widowControl/>
              <w:autoSpaceDE/>
              <w:autoSpaceDN/>
              <w:adjustRightInd/>
              <w:rPr>
                <w:sz w:val="22"/>
                <w:szCs w:val="22"/>
              </w:rPr>
            </w:pPr>
            <w:r w:rsidRPr="00972171">
              <w:rPr>
                <w:sz w:val="22"/>
                <w:szCs w:val="22"/>
              </w:rPr>
              <w:t xml:space="preserve">Full and Fair Review Notice </w:t>
            </w:r>
          </w:p>
        </w:tc>
        <w:tc>
          <w:tcPr>
            <w:tcW w:w="745" w:type="pct"/>
            <w:noWrap/>
            <w:vAlign w:val="center"/>
            <w:hideMark/>
          </w:tcPr>
          <w:p w:rsidR="00560C7F" w:rsidRPr="00972171" w:rsidP="001F068B" w14:paraId="303581A8" w14:textId="77777777">
            <w:pPr>
              <w:widowControl/>
              <w:autoSpaceDE/>
              <w:autoSpaceDN/>
              <w:adjustRightInd/>
              <w:jc w:val="center"/>
              <w:rPr>
                <w:sz w:val="22"/>
                <w:szCs w:val="22"/>
              </w:rPr>
            </w:pPr>
            <w:r>
              <w:rPr>
                <w:sz w:val="22"/>
                <w:szCs w:val="22"/>
              </w:rPr>
              <w:t>291,423</w:t>
            </w:r>
          </w:p>
        </w:tc>
        <w:tc>
          <w:tcPr>
            <w:tcW w:w="642" w:type="pct"/>
            <w:vAlign w:val="center"/>
            <w:hideMark/>
          </w:tcPr>
          <w:p w:rsidR="00560C7F" w:rsidRPr="00972171" w:rsidP="001F068B" w14:paraId="0FBBCDEB" w14:textId="77777777">
            <w:pPr>
              <w:widowControl/>
              <w:autoSpaceDE/>
              <w:autoSpaceDN/>
              <w:adjustRightInd/>
              <w:jc w:val="center"/>
              <w:rPr>
                <w:sz w:val="22"/>
                <w:szCs w:val="22"/>
              </w:rPr>
            </w:pPr>
            <w:r>
              <w:rPr>
                <w:sz w:val="22"/>
                <w:szCs w:val="22"/>
              </w:rPr>
              <w:t>42%</w:t>
            </w:r>
          </w:p>
        </w:tc>
        <w:tc>
          <w:tcPr>
            <w:tcW w:w="545" w:type="pct"/>
            <w:noWrap/>
            <w:vAlign w:val="center"/>
            <w:hideMark/>
          </w:tcPr>
          <w:p w:rsidR="00560C7F" w:rsidRPr="00972171" w:rsidP="001F068B" w14:paraId="32D77994" w14:textId="77777777">
            <w:pPr>
              <w:widowControl/>
              <w:autoSpaceDE/>
              <w:autoSpaceDN/>
              <w:adjustRightInd/>
              <w:jc w:val="center"/>
              <w:rPr>
                <w:sz w:val="22"/>
                <w:szCs w:val="22"/>
              </w:rPr>
            </w:pPr>
            <w:r>
              <w:rPr>
                <w:sz w:val="22"/>
                <w:szCs w:val="22"/>
              </w:rPr>
              <w:t>121,523</w:t>
            </w:r>
          </w:p>
        </w:tc>
        <w:tc>
          <w:tcPr>
            <w:tcW w:w="643" w:type="pct"/>
            <w:noWrap/>
            <w:vAlign w:val="center"/>
            <w:hideMark/>
          </w:tcPr>
          <w:p w:rsidR="00560C7F" w:rsidRPr="00972171" w:rsidP="001F068B" w14:paraId="0F5FE801" w14:textId="77777777">
            <w:pPr>
              <w:widowControl/>
              <w:autoSpaceDE/>
              <w:autoSpaceDN/>
              <w:adjustRightInd/>
              <w:jc w:val="center"/>
              <w:rPr>
                <w:sz w:val="22"/>
                <w:szCs w:val="22"/>
              </w:rPr>
            </w:pPr>
            <w:r>
              <w:rPr>
                <w:sz w:val="22"/>
                <w:szCs w:val="22"/>
              </w:rPr>
              <w:t>$0.98</w:t>
            </w:r>
          </w:p>
        </w:tc>
        <w:tc>
          <w:tcPr>
            <w:tcW w:w="740" w:type="pct"/>
            <w:noWrap/>
            <w:vAlign w:val="center"/>
            <w:hideMark/>
          </w:tcPr>
          <w:p w:rsidR="00560C7F" w:rsidRPr="00972171" w:rsidP="001F068B" w14:paraId="6D541B8B" w14:textId="77777777">
            <w:pPr>
              <w:widowControl/>
              <w:autoSpaceDE/>
              <w:autoSpaceDN/>
              <w:adjustRightInd/>
              <w:jc w:val="right"/>
              <w:rPr>
                <w:sz w:val="22"/>
                <w:szCs w:val="22"/>
              </w:rPr>
            </w:pPr>
            <w:r>
              <w:rPr>
                <w:sz w:val="22"/>
                <w:szCs w:val="22"/>
              </w:rPr>
              <w:t>$119,092.54</w:t>
            </w:r>
          </w:p>
        </w:tc>
      </w:tr>
      <w:tr w14:paraId="70EE8DEE" w14:textId="77777777" w:rsidTr="00560C7F">
        <w:tblPrEx>
          <w:tblW w:w="4859" w:type="pct"/>
          <w:tblInd w:w="355" w:type="dxa"/>
          <w:tblLayout w:type="fixed"/>
          <w:tblLook w:val="04A0"/>
        </w:tblPrEx>
        <w:trPr>
          <w:trHeight w:val="300"/>
        </w:trPr>
        <w:tc>
          <w:tcPr>
            <w:tcW w:w="1685" w:type="pct"/>
            <w:vAlign w:val="bottom"/>
            <w:hideMark/>
          </w:tcPr>
          <w:p w:rsidR="00560C7F" w:rsidRPr="00972171" w:rsidP="001F068B" w14:paraId="0D2D1B05" w14:textId="77777777">
            <w:pPr>
              <w:widowControl/>
              <w:autoSpaceDE/>
              <w:autoSpaceDN/>
              <w:adjustRightInd/>
              <w:rPr>
                <w:sz w:val="22"/>
                <w:szCs w:val="22"/>
              </w:rPr>
            </w:pPr>
            <w:r w:rsidRPr="00972171">
              <w:rPr>
                <w:sz w:val="22"/>
                <w:szCs w:val="22"/>
              </w:rPr>
              <w:t xml:space="preserve">External Review Notice </w:t>
            </w:r>
          </w:p>
        </w:tc>
        <w:tc>
          <w:tcPr>
            <w:tcW w:w="745" w:type="pct"/>
            <w:noWrap/>
            <w:vAlign w:val="center"/>
            <w:hideMark/>
          </w:tcPr>
          <w:p w:rsidR="00560C7F" w:rsidRPr="00972171" w:rsidP="001F068B" w14:paraId="16724B83" w14:textId="77777777">
            <w:pPr>
              <w:widowControl/>
              <w:autoSpaceDE/>
              <w:autoSpaceDN/>
              <w:adjustRightInd/>
              <w:jc w:val="center"/>
              <w:rPr>
                <w:sz w:val="22"/>
                <w:szCs w:val="22"/>
              </w:rPr>
            </w:pPr>
            <w:r>
              <w:rPr>
                <w:sz w:val="22"/>
                <w:szCs w:val="22"/>
              </w:rPr>
              <w:t>11,956</w:t>
            </w:r>
          </w:p>
        </w:tc>
        <w:tc>
          <w:tcPr>
            <w:tcW w:w="642" w:type="pct"/>
            <w:vAlign w:val="center"/>
            <w:hideMark/>
          </w:tcPr>
          <w:p w:rsidR="00560C7F" w:rsidRPr="00972171" w:rsidP="001F068B" w14:paraId="39C79903" w14:textId="77777777">
            <w:pPr>
              <w:widowControl/>
              <w:autoSpaceDE/>
              <w:autoSpaceDN/>
              <w:adjustRightInd/>
              <w:jc w:val="center"/>
              <w:rPr>
                <w:sz w:val="22"/>
                <w:szCs w:val="22"/>
              </w:rPr>
            </w:pPr>
            <w:r>
              <w:rPr>
                <w:sz w:val="22"/>
                <w:szCs w:val="22"/>
              </w:rPr>
              <w:t>42%</w:t>
            </w:r>
          </w:p>
        </w:tc>
        <w:tc>
          <w:tcPr>
            <w:tcW w:w="545" w:type="pct"/>
            <w:noWrap/>
            <w:vAlign w:val="center"/>
            <w:hideMark/>
          </w:tcPr>
          <w:p w:rsidR="00560C7F" w:rsidRPr="00972171" w:rsidP="001F068B" w14:paraId="3945D950" w14:textId="77777777">
            <w:pPr>
              <w:widowControl/>
              <w:autoSpaceDE/>
              <w:autoSpaceDN/>
              <w:adjustRightInd/>
              <w:jc w:val="center"/>
              <w:rPr>
                <w:sz w:val="22"/>
                <w:szCs w:val="22"/>
              </w:rPr>
            </w:pPr>
            <w:r>
              <w:rPr>
                <w:sz w:val="22"/>
                <w:szCs w:val="22"/>
              </w:rPr>
              <w:t>4,986</w:t>
            </w:r>
          </w:p>
        </w:tc>
        <w:tc>
          <w:tcPr>
            <w:tcW w:w="643" w:type="pct"/>
            <w:noWrap/>
            <w:vAlign w:val="center"/>
            <w:hideMark/>
          </w:tcPr>
          <w:p w:rsidR="00560C7F" w:rsidRPr="00972171" w:rsidP="001F068B" w14:paraId="47AEA801" w14:textId="77777777">
            <w:pPr>
              <w:widowControl/>
              <w:autoSpaceDE/>
              <w:autoSpaceDN/>
              <w:adjustRightInd/>
              <w:jc w:val="center"/>
              <w:rPr>
                <w:sz w:val="22"/>
                <w:szCs w:val="22"/>
              </w:rPr>
            </w:pPr>
            <w:r>
              <w:rPr>
                <w:sz w:val="22"/>
                <w:szCs w:val="22"/>
              </w:rPr>
              <w:t>$0.98</w:t>
            </w:r>
          </w:p>
        </w:tc>
        <w:tc>
          <w:tcPr>
            <w:tcW w:w="740" w:type="pct"/>
            <w:noWrap/>
            <w:vAlign w:val="center"/>
            <w:hideMark/>
          </w:tcPr>
          <w:p w:rsidR="00560C7F" w:rsidRPr="00972171" w:rsidP="001F068B" w14:paraId="12701551" w14:textId="77777777">
            <w:pPr>
              <w:widowControl/>
              <w:autoSpaceDE/>
              <w:autoSpaceDN/>
              <w:adjustRightInd/>
              <w:jc w:val="right"/>
              <w:rPr>
                <w:sz w:val="22"/>
                <w:szCs w:val="22"/>
              </w:rPr>
            </w:pPr>
            <w:r>
              <w:rPr>
                <w:sz w:val="22"/>
                <w:szCs w:val="22"/>
              </w:rPr>
              <w:t>$4,886.28</w:t>
            </w:r>
          </w:p>
        </w:tc>
      </w:tr>
      <w:tr w14:paraId="5B00E3BF" w14:textId="77777777" w:rsidTr="00560C7F">
        <w:tblPrEx>
          <w:tblW w:w="4859" w:type="pct"/>
          <w:tblInd w:w="355" w:type="dxa"/>
          <w:tblLayout w:type="fixed"/>
          <w:tblLook w:val="04A0"/>
        </w:tblPrEx>
        <w:trPr>
          <w:trHeight w:val="300"/>
        </w:trPr>
        <w:tc>
          <w:tcPr>
            <w:tcW w:w="1685" w:type="pct"/>
            <w:noWrap/>
            <w:vAlign w:val="bottom"/>
            <w:hideMark/>
          </w:tcPr>
          <w:p w:rsidR="00560C7F" w:rsidRPr="00972171" w:rsidP="00560C7F" w14:paraId="0AC7C492" w14:textId="39DF9DE9">
            <w:pPr>
              <w:widowControl/>
              <w:autoSpaceDE/>
              <w:autoSpaceDN/>
              <w:adjustRightInd/>
              <w:jc w:val="right"/>
              <w:rPr>
                <w:sz w:val="22"/>
                <w:szCs w:val="22"/>
              </w:rPr>
            </w:pPr>
            <w:r w:rsidRPr="00972171">
              <w:rPr>
                <w:sz w:val="22"/>
                <w:szCs w:val="22"/>
              </w:rPr>
              <w:t>Three-Year Total</w:t>
            </w:r>
            <w:r>
              <w:rPr>
                <w:sz w:val="22"/>
                <w:szCs w:val="22"/>
              </w:rPr>
              <w:t xml:space="preserve"> </w:t>
            </w:r>
          </w:p>
        </w:tc>
        <w:tc>
          <w:tcPr>
            <w:tcW w:w="745" w:type="pct"/>
            <w:noWrap/>
            <w:vAlign w:val="center"/>
            <w:hideMark/>
          </w:tcPr>
          <w:p w:rsidR="00560C7F" w:rsidRPr="00972171" w:rsidP="001F068B" w14:paraId="2CCCD81A" w14:textId="77777777">
            <w:pPr>
              <w:widowControl/>
              <w:autoSpaceDE/>
              <w:autoSpaceDN/>
              <w:adjustRightInd/>
              <w:jc w:val="center"/>
              <w:rPr>
                <w:sz w:val="22"/>
                <w:szCs w:val="22"/>
              </w:rPr>
            </w:pPr>
            <w:r>
              <w:rPr>
                <w:sz w:val="22"/>
                <w:szCs w:val="22"/>
              </w:rPr>
              <w:t>910,137</w:t>
            </w:r>
          </w:p>
        </w:tc>
        <w:tc>
          <w:tcPr>
            <w:tcW w:w="642" w:type="pct"/>
            <w:shd w:val="clear" w:color="auto" w:fill="A6A6A6" w:themeFill="background1" w:themeFillShade="A6"/>
            <w:noWrap/>
            <w:vAlign w:val="bottom"/>
          </w:tcPr>
          <w:p w:rsidR="00560C7F" w:rsidRPr="00972171" w:rsidP="001F068B" w14:paraId="498B26BA" w14:textId="1C139ABF">
            <w:pPr>
              <w:widowControl/>
              <w:autoSpaceDE/>
              <w:autoSpaceDN/>
              <w:adjustRightInd/>
              <w:jc w:val="center"/>
              <w:rPr>
                <w:sz w:val="22"/>
                <w:szCs w:val="22"/>
              </w:rPr>
            </w:pPr>
          </w:p>
        </w:tc>
        <w:tc>
          <w:tcPr>
            <w:tcW w:w="545" w:type="pct"/>
            <w:noWrap/>
            <w:vAlign w:val="bottom"/>
            <w:hideMark/>
          </w:tcPr>
          <w:p w:rsidR="00560C7F" w:rsidRPr="00972171" w:rsidP="001F068B" w14:paraId="7A5979C5" w14:textId="77777777">
            <w:pPr>
              <w:widowControl/>
              <w:autoSpaceDE/>
              <w:autoSpaceDN/>
              <w:adjustRightInd/>
              <w:jc w:val="center"/>
              <w:rPr>
                <w:sz w:val="22"/>
                <w:szCs w:val="22"/>
              </w:rPr>
            </w:pPr>
            <w:r>
              <w:rPr>
                <w:sz w:val="22"/>
                <w:szCs w:val="22"/>
              </w:rPr>
              <w:t>379,527</w:t>
            </w:r>
          </w:p>
        </w:tc>
        <w:tc>
          <w:tcPr>
            <w:tcW w:w="643" w:type="pct"/>
            <w:shd w:val="clear" w:color="auto" w:fill="A6A6A6" w:themeFill="background1" w:themeFillShade="A6"/>
            <w:noWrap/>
            <w:vAlign w:val="bottom"/>
          </w:tcPr>
          <w:p w:rsidR="00560C7F" w:rsidRPr="00972171" w:rsidP="001F068B" w14:paraId="55A1705A" w14:textId="09A5B398">
            <w:pPr>
              <w:widowControl/>
              <w:autoSpaceDE/>
              <w:autoSpaceDN/>
              <w:adjustRightInd/>
              <w:jc w:val="center"/>
              <w:rPr>
                <w:sz w:val="22"/>
                <w:szCs w:val="22"/>
              </w:rPr>
            </w:pPr>
          </w:p>
        </w:tc>
        <w:tc>
          <w:tcPr>
            <w:tcW w:w="740" w:type="pct"/>
            <w:noWrap/>
            <w:vAlign w:val="center"/>
            <w:hideMark/>
          </w:tcPr>
          <w:p w:rsidR="00560C7F" w:rsidRPr="00972171" w:rsidP="001F068B" w14:paraId="2D601B37" w14:textId="77777777">
            <w:pPr>
              <w:widowControl/>
              <w:autoSpaceDE/>
              <w:autoSpaceDN/>
              <w:adjustRightInd/>
              <w:jc w:val="right"/>
              <w:rPr>
                <w:sz w:val="22"/>
                <w:szCs w:val="22"/>
              </w:rPr>
            </w:pPr>
            <w:r>
              <w:rPr>
                <w:sz w:val="22"/>
                <w:szCs w:val="22"/>
              </w:rPr>
              <w:t>$371,936</w:t>
            </w:r>
          </w:p>
        </w:tc>
      </w:tr>
      <w:tr w14:paraId="1DBB38CA" w14:textId="77777777" w:rsidTr="00560C7F">
        <w:tblPrEx>
          <w:tblW w:w="4859" w:type="pct"/>
          <w:tblInd w:w="355" w:type="dxa"/>
          <w:tblLayout w:type="fixed"/>
          <w:tblLook w:val="04A0"/>
        </w:tblPrEx>
        <w:trPr>
          <w:trHeight w:val="315"/>
        </w:trPr>
        <w:tc>
          <w:tcPr>
            <w:tcW w:w="1685" w:type="pct"/>
            <w:noWrap/>
            <w:vAlign w:val="bottom"/>
            <w:hideMark/>
          </w:tcPr>
          <w:p w:rsidR="00560C7F" w:rsidRPr="004367B2" w:rsidP="00560C7F" w14:paraId="4C2DFD43" w14:textId="3D26BE8E">
            <w:pPr>
              <w:widowControl/>
              <w:autoSpaceDE/>
              <w:autoSpaceDN/>
              <w:adjustRightInd/>
              <w:jc w:val="right"/>
              <w:rPr>
                <w:b/>
                <w:bCs/>
                <w:sz w:val="22"/>
                <w:szCs w:val="22"/>
              </w:rPr>
            </w:pPr>
            <w:r w:rsidRPr="004367B2">
              <w:rPr>
                <w:b/>
                <w:bCs/>
                <w:sz w:val="22"/>
                <w:szCs w:val="22"/>
              </w:rPr>
              <w:t xml:space="preserve">Annual Average </w:t>
            </w:r>
          </w:p>
        </w:tc>
        <w:tc>
          <w:tcPr>
            <w:tcW w:w="745" w:type="pct"/>
            <w:noWrap/>
            <w:vAlign w:val="center"/>
            <w:hideMark/>
          </w:tcPr>
          <w:p w:rsidR="00560C7F" w:rsidRPr="004367B2" w:rsidP="001F068B" w14:paraId="1B59DC3E" w14:textId="77777777">
            <w:pPr>
              <w:widowControl/>
              <w:autoSpaceDE/>
              <w:autoSpaceDN/>
              <w:adjustRightInd/>
              <w:jc w:val="center"/>
              <w:rPr>
                <w:b/>
                <w:bCs/>
                <w:sz w:val="22"/>
                <w:szCs w:val="22"/>
              </w:rPr>
            </w:pPr>
            <w:r w:rsidRPr="004367B2">
              <w:rPr>
                <w:b/>
                <w:bCs/>
                <w:sz w:val="22"/>
                <w:szCs w:val="22"/>
              </w:rPr>
              <w:t>303,379</w:t>
            </w:r>
          </w:p>
        </w:tc>
        <w:tc>
          <w:tcPr>
            <w:tcW w:w="642" w:type="pct"/>
            <w:shd w:val="clear" w:color="auto" w:fill="A6A6A6" w:themeFill="background1" w:themeFillShade="A6"/>
            <w:noWrap/>
            <w:vAlign w:val="center"/>
          </w:tcPr>
          <w:p w:rsidR="00560C7F" w:rsidRPr="004367B2" w:rsidP="001F068B" w14:paraId="6162F563" w14:textId="372460E3">
            <w:pPr>
              <w:widowControl/>
              <w:autoSpaceDE/>
              <w:autoSpaceDN/>
              <w:adjustRightInd/>
              <w:jc w:val="center"/>
              <w:rPr>
                <w:b/>
                <w:bCs/>
                <w:sz w:val="22"/>
                <w:szCs w:val="22"/>
              </w:rPr>
            </w:pPr>
          </w:p>
        </w:tc>
        <w:tc>
          <w:tcPr>
            <w:tcW w:w="545" w:type="pct"/>
            <w:noWrap/>
            <w:vAlign w:val="center"/>
            <w:hideMark/>
          </w:tcPr>
          <w:p w:rsidR="00560C7F" w:rsidRPr="004367B2" w:rsidP="001F068B" w14:paraId="2C6CC004" w14:textId="77777777">
            <w:pPr>
              <w:widowControl/>
              <w:autoSpaceDE/>
              <w:autoSpaceDN/>
              <w:adjustRightInd/>
              <w:jc w:val="center"/>
              <w:rPr>
                <w:b/>
                <w:bCs/>
                <w:sz w:val="22"/>
                <w:szCs w:val="22"/>
              </w:rPr>
            </w:pPr>
            <w:r w:rsidRPr="004367B2">
              <w:rPr>
                <w:b/>
                <w:bCs/>
                <w:sz w:val="22"/>
                <w:szCs w:val="22"/>
              </w:rPr>
              <w:t>126,509</w:t>
            </w:r>
          </w:p>
        </w:tc>
        <w:tc>
          <w:tcPr>
            <w:tcW w:w="643" w:type="pct"/>
            <w:shd w:val="clear" w:color="auto" w:fill="A6A6A6" w:themeFill="background1" w:themeFillShade="A6"/>
            <w:noWrap/>
            <w:vAlign w:val="center"/>
          </w:tcPr>
          <w:p w:rsidR="00560C7F" w:rsidRPr="004367B2" w:rsidP="001F068B" w14:paraId="630F2641" w14:textId="34E77A81">
            <w:pPr>
              <w:widowControl/>
              <w:autoSpaceDE/>
              <w:autoSpaceDN/>
              <w:adjustRightInd/>
              <w:jc w:val="center"/>
              <w:rPr>
                <w:b/>
                <w:bCs/>
                <w:sz w:val="22"/>
                <w:szCs w:val="22"/>
              </w:rPr>
            </w:pPr>
          </w:p>
        </w:tc>
        <w:tc>
          <w:tcPr>
            <w:tcW w:w="740" w:type="pct"/>
            <w:noWrap/>
            <w:vAlign w:val="bottom"/>
            <w:hideMark/>
          </w:tcPr>
          <w:p w:rsidR="00560C7F" w:rsidRPr="004367B2" w:rsidP="001F068B" w14:paraId="573B6C6B" w14:textId="77777777">
            <w:pPr>
              <w:widowControl/>
              <w:autoSpaceDE/>
              <w:autoSpaceDN/>
              <w:adjustRightInd/>
              <w:jc w:val="right"/>
              <w:rPr>
                <w:b/>
                <w:bCs/>
                <w:sz w:val="22"/>
                <w:szCs w:val="22"/>
              </w:rPr>
            </w:pPr>
            <w:r w:rsidRPr="004367B2">
              <w:rPr>
                <w:b/>
                <w:bCs/>
                <w:sz w:val="22"/>
                <w:szCs w:val="22"/>
              </w:rPr>
              <w:t>$123,979</w:t>
            </w:r>
          </w:p>
        </w:tc>
      </w:tr>
      <w:tr w14:paraId="6E920BB7" w14:textId="77777777" w:rsidTr="00560C7F">
        <w:tblPrEx>
          <w:tblW w:w="4859" w:type="pct"/>
          <w:tblInd w:w="355" w:type="dxa"/>
          <w:tblLayout w:type="fixed"/>
          <w:tblLook w:val="04A0"/>
        </w:tblPrEx>
        <w:trPr>
          <w:trHeight w:val="300"/>
        </w:trPr>
        <w:tc>
          <w:tcPr>
            <w:tcW w:w="5000" w:type="pct"/>
            <w:gridSpan w:val="6"/>
            <w:noWrap/>
            <w:vAlign w:val="bottom"/>
            <w:hideMark/>
          </w:tcPr>
          <w:p w:rsidR="00560C7F" w:rsidRPr="00972171" w:rsidP="001F068B" w14:paraId="32EDF9B9" w14:textId="32A2317B">
            <w:pPr>
              <w:widowControl/>
              <w:autoSpaceDE/>
              <w:autoSpaceDN/>
              <w:adjustRightInd/>
              <w:rPr>
                <w:sz w:val="20"/>
                <w:szCs w:val="20"/>
              </w:rPr>
            </w:pPr>
            <w:r w:rsidRPr="00972171">
              <w:rPr>
                <w:sz w:val="18"/>
                <w:szCs w:val="18"/>
              </w:rPr>
              <w:t xml:space="preserve">*The annual average cost is calculated as the total cost averaged across three years </w:t>
            </w:r>
          </w:p>
        </w:tc>
      </w:tr>
    </w:tbl>
    <w:p w:rsidR="00E70CB2" w:rsidP="00AB7117" w14:paraId="72AF428E" w14:textId="77777777">
      <w:pPr>
        <w:ind w:left="360"/>
        <w:rPr>
          <w:b/>
        </w:rPr>
      </w:pPr>
    </w:p>
    <w:p w:rsidR="00E70CB2" w:rsidP="00E70CB2" w14:paraId="7AE907D1" w14:textId="7777777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The total estimated cost burden to mail responses prepared in-house and by service providers is </w:t>
      </w:r>
      <w:r w:rsidRPr="00CA2086">
        <w:t>$112,80</w:t>
      </w:r>
      <w:r>
        <w:t xml:space="preserve">1 annually.  </w:t>
      </w:r>
    </w:p>
    <w:p w:rsidR="00E70CB2" w:rsidP="00AB7117" w14:paraId="440840CA" w14:textId="77777777">
      <w:pPr>
        <w:ind w:left="360"/>
        <w:rPr>
          <w:b/>
        </w:rPr>
      </w:pPr>
    </w:p>
    <w:p w:rsidR="00E70CB2" w:rsidRPr="00C96F49" w:rsidP="00AB7117" w14:paraId="3D6A2C53" w14:textId="77777777">
      <w:pPr>
        <w:ind w:left="360"/>
        <w:rPr>
          <w:b/>
        </w:rPr>
      </w:pPr>
    </w:p>
    <w:p w:rsidR="007945AA" w:rsidRPr="00E70CB2" w:rsidP="00AB7117" w14:paraId="35BA0757" w14:textId="77777777">
      <w:pPr>
        <w:ind w:left="360"/>
        <w:rPr>
          <w:b/>
          <w:u w:val="single"/>
        </w:rPr>
      </w:pPr>
      <w:bookmarkStart w:id="2" w:name="OLE_LINK18"/>
      <w:bookmarkStart w:id="3" w:name="OLE_LINK19"/>
      <w:r w:rsidRPr="00E70CB2">
        <w:rPr>
          <w:b/>
          <w:u w:val="single"/>
        </w:rPr>
        <w:t>Non-English Language Assistance</w:t>
      </w:r>
    </w:p>
    <w:bookmarkEnd w:id="2"/>
    <w:bookmarkEnd w:id="3"/>
    <w:p w:rsidR="007945AA" w:rsidRPr="00E70CB2" w:rsidP="00AB7117" w14:paraId="08ABB186" w14:textId="6D5E8DA6">
      <w:pPr>
        <w:ind w:left="360"/>
        <w:rPr>
          <w:bCs/>
        </w:rPr>
      </w:pPr>
      <w:r>
        <w:rPr>
          <w:bCs/>
        </w:rPr>
        <w:t>P</w:t>
      </w:r>
      <w:r w:rsidRPr="00E70CB2" w:rsidR="00B10685">
        <w:rPr>
          <w:bCs/>
        </w:rPr>
        <w:t xml:space="preserve">lans and issuers must </w:t>
      </w:r>
      <w:r w:rsidRPr="00E70CB2" w:rsidR="00227C5C">
        <w:rPr>
          <w:bCs/>
        </w:rPr>
        <w:t>provide participants and beneficiar</w:t>
      </w:r>
      <w:r w:rsidRPr="00E70CB2" w:rsidR="00AB354D">
        <w:rPr>
          <w:bCs/>
        </w:rPr>
        <w:t>i</w:t>
      </w:r>
      <w:r w:rsidRPr="00E70CB2" w:rsidR="00227C5C">
        <w:rPr>
          <w:bCs/>
        </w:rPr>
        <w:t xml:space="preserve">es who reside </w:t>
      </w:r>
      <w:r w:rsidRPr="00E70CB2" w:rsidR="00B10685">
        <w:rPr>
          <w:bCs/>
        </w:rPr>
        <w:t xml:space="preserve">in a county where </w:t>
      </w:r>
      <w:r w:rsidRPr="00E70CB2" w:rsidR="00B10685">
        <w:rPr>
          <w:bCs/>
        </w:rPr>
        <w:t>ten percent or more of the population residing in the county is literate only in the same non-English language</w:t>
      </w:r>
      <w:r w:rsidRPr="00E70CB2" w:rsidR="00254DD7">
        <w:rPr>
          <w:bCs/>
        </w:rPr>
        <w:t xml:space="preserve"> </w:t>
      </w:r>
      <w:r w:rsidRPr="00E70CB2" w:rsidR="004D030C">
        <w:rPr>
          <w:bCs/>
        </w:rPr>
        <w:t xml:space="preserve">with a </w:t>
      </w:r>
      <w:r w:rsidRPr="00E70CB2" w:rsidR="00DF487C">
        <w:rPr>
          <w:bCs/>
        </w:rPr>
        <w:t>one-sentence statement in all notices written in the applicable non-English language about the availability of language services. In addition, plan</w:t>
      </w:r>
      <w:r w:rsidRPr="00E70CB2" w:rsidR="004D030C">
        <w:rPr>
          <w:bCs/>
        </w:rPr>
        <w:t>s</w:t>
      </w:r>
      <w:r w:rsidRPr="00E70CB2" w:rsidR="00DF487C">
        <w:rPr>
          <w:bCs/>
        </w:rPr>
        <w:t xml:space="preserve"> and issuers are required to provide a customer assistance process (such as a telephone hotline) with oral language services in the non-English language and provide written notices in the non-English language upon request.</w:t>
      </w:r>
    </w:p>
    <w:p w:rsidR="009827C4" w:rsidRPr="00E70CB2" w:rsidP="00AB7117" w14:paraId="3DC613A8" w14:textId="77777777">
      <w:pPr>
        <w:ind w:left="360"/>
        <w:rPr>
          <w:bCs/>
        </w:rPr>
      </w:pPr>
    </w:p>
    <w:p w:rsidR="007945AA" w:rsidRPr="00E70CB2" w:rsidP="00AB7117" w14:paraId="72ECF3C9" w14:textId="7F9B5468">
      <w:pPr>
        <w:ind w:left="360"/>
        <w:rPr>
          <w:bCs/>
        </w:rPr>
      </w:pPr>
      <w:r w:rsidRPr="00E70CB2">
        <w:rPr>
          <w:bCs/>
        </w:rPr>
        <w:t>The Department</w:t>
      </w:r>
      <w:r w:rsidRPr="00E70CB2" w:rsidR="005C1C08">
        <w:rPr>
          <w:bCs/>
        </w:rPr>
        <w:t>s</w:t>
      </w:r>
      <w:r w:rsidRPr="00E70CB2" w:rsidR="002F1195">
        <w:rPr>
          <w:bCs/>
        </w:rPr>
        <w:t xml:space="preserve"> </w:t>
      </w:r>
      <w:r w:rsidRPr="00E70CB2">
        <w:rPr>
          <w:bCs/>
        </w:rPr>
        <w:t>understand that oral translation services are already provided for nearly all covered participants and beneficiaries. Therefore, no additional burden is associated with this requiremen</w:t>
      </w:r>
      <w:r w:rsidR="00367F70">
        <w:rPr>
          <w:bCs/>
        </w:rPr>
        <w:t>t</w:t>
      </w:r>
      <w:r w:rsidRPr="00E70CB2">
        <w:rPr>
          <w:bCs/>
        </w:rPr>
        <w:t xml:space="preserve">. </w:t>
      </w:r>
    </w:p>
    <w:p w:rsidR="009827C4" w:rsidRPr="00E70CB2" w:rsidP="00AB7117" w14:paraId="07516B78" w14:textId="77777777">
      <w:pPr>
        <w:ind w:left="360"/>
        <w:rPr>
          <w:bCs/>
        </w:rPr>
      </w:pPr>
    </w:p>
    <w:p w:rsidR="004367B2" w:rsidP="004367B2" w14:paraId="538E71F8" w14:textId="77777777">
      <w:pPr>
        <w:ind w:left="360"/>
      </w:pPr>
      <w:r>
        <w:t>The Departments expect that the largest cost associated with the rules for culturally and linguistically appropriate notices will be for plans and issuers to provide notices in the applicable non-English language upon request. Based on the American Community Survey (ACS),</w:t>
      </w:r>
      <w:r>
        <w:rPr>
          <w:rStyle w:val="FootnoteReference"/>
          <w:vertAlign w:val="superscript"/>
        </w:rPr>
        <w:footnoteReference w:id="17"/>
      </w:r>
      <w:r>
        <w:t xml:space="preserve"> the Departments estimate that there are about 8.5 million individuals living in counties that are literate in a non-English Language. The ACS does not have insurance coverage information. Therefore, to estimate the percentage of the 8.5 million affected individuals that were insured, the Departments used the percent of the population in the state that reported being insured by private employer insurance from the 2023 Current Population Survey (CPS).</w:t>
      </w:r>
      <w:r>
        <w:rPr>
          <w:rStyle w:val="FootnoteReference"/>
          <w:vertAlign w:val="superscript"/>
        </w:rPr>
        <w:footnoteReference w:id="18"/>
      </w:r>
      <w:r w:rsidRPr="00361A2E">
        <w:rPr>
          <w:vertAlign w:val="superscript"/>
        </w:rPr>
        <w:t xml:space="preserve"> </w:t>
      </w:r>
      <w:r>
        <w:t>This results in an estimate of approximately 3.3 million individuals who are eligible to request translation services.</w:t>
      </w:r>
    </w:p>
    <w:p w:rsidR="004367B2" w:rsidP="004367B2" w14:paraId="1AB70EB0" w14:textId="77777777">
      <w:pPr>
        <w:ind w:left="360"/>
      </w:pPr>
    </w:p>
    <w:p w:rsidR="004367B2" w:rsidP="004367B2" w14:paraId="7BBB365F" w14:textId="1574FB1E">
      <w:pPr>
        <w:ind w:left="360"/>
      </w:pPr>
      <w:r>
        <w:t xml:space="preserve">In discussions with the regulated community, the Departments found that experience in California, which has a state law requirement for providing translation services, indicates that requests for translations of written documents averages 0.098 requests per 1,000 members. While the California law is not identical, and the demographics for California do not match other counties, for purposes of this analysis, the Departments used this percentage to estimate the number of translation service requests that plan and issuers can expect to receive. </w:t>
      </w:r>
      <w:bookmarkStart w:id="4" w:name="OLE_LINK1"/>
      <w:bookmarkStart w:id="5" w:name="OLE_LINK2"/>
      <w:r>
        <w:t>Industry experts also told the Departments that while the cost of translation services varies, $500 per document is a reasonable approximation of translation cost.</w:t>
      </w:r>
    </w:p>
    <w:bookmarkEnd w:id="4"/>
    <w:bookmarkEnd w:id="5"/>
    <w:p w:rsidR="004367B2" w:rsidP="004367B2" w14:paraId="5821E2CE" w14:textId="77777777">
      <w:pPr>
        <w:ind w:left="360"/>
      </w:pPr>
    </w:p>
    <w:p w:rsidR="004367B2" w:rsidP="004367B2" w14:paraId="2706E243" w14:textId="600048EE">
      <w:pPr>
        <w:ind w:left="360"/>
      </w:pPr>
      <w:r>
        <w:t xml:space="preserve">Using the ACS and the CPS, the Departments estimate that there are 21.2 million individuals insured through private employer sponsored insurance living in the affected counties. See Table 6 below for a detailed estimate of the cost to provide translation services for this population. </w:t>
      </w:r>
    </w:p>
    <w:p w:rsidR="007945AA" w:rsidP="004367B2" w14:paraId="7D8421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4367B2" w:rsidP="00AB7117" w14:paraId="13966C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tbl>
      <w:tblPr>
        <w:tblW w:w="882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5"/>
        <w:gridCol w:w="1206"/>
        <w:gridCol w:w="1044"/>
        <w:gridCol w:w="1260"/>
        <w:gridCol w:w="1260"/>
        <w:gridCol w:w="1530"/>
      </w:tblGrid>
      <w:tr w14:paraId="056A57EB" w14:textId="77777777" w:rsidTr="004367B2">
        <w:tblPrEx>
          <w:tblW w:w="882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28"/>
          <w:tblHeader/>
        </w:trPr>
        <w:tc>
          <w:tcPr>
            <w:tcW w:w="8825" w:type="dxa"/>
            <w:gridSpan w:val="6"/>
            <w:noWrap/>
            <w:vAlign w:val="bottom"/>
            <w:hideMark/>
          </w:tcPr>
          <w:p w:rsidR="004367B2" w:rsidRPr="0036519C" w:rsidP="001F068B" w14:paraId="52AE57C7" w14:textId="45C2DF60">
            <w:pPr>
              <w:widowControl/>
              <w:autoSpaceDE/>
              <w:autoSpaceDN/>
              <w:adjustRightInd/>
              <w:rPr>
                <w:sz w:val="22"/>
                <w:szCs w:val="22"/>
              </w:rPr>
            </w:pPr>
            <w:r w:rsidRPr="0036519C">
              <w:rPr>
                <w:sz w:val="22"/>
                <w:szCs w:val="22"/>
              </w:rPr>
              <w:t xml:space="preserve">Table </w:t>
            </w:r>
            <w:r>
              <w:rPr>
                <w:sz w:val="22"/>
                <w:szCs w:val="22"/>
              </w:rPr>
              <w:t>6</w:t>
            </w:r>
            <w:r w:rsidRPr="0036519C">
              <w:rPr>
                <w:sz w:val="22"/>
                <w:szCs w:val="22"/>
              </w:rPr>
              <w:t xml:space="preserve"> -- </w:t>
            </w:r>
            <w:r w:rsidRPr="0036519C">
              <w:rPr>
                <w:i/>
                <w:iCs/>
                <w:sz w:val="22"/>
                <w:szCs w:val="22"/>
              </w:rPr>
              <w:t>Cost Burden for Linguistically Appropriate Notices</w:t>
            </w:r>
          </w:p>
        </w:tc>
      </w:tr>
      <w:tr w14:paraId="4852CFF8" w14:textId="77777777" w:rsidTr="004367B2">
        <w:tblPrEx>
          <w:tblW w:w="8825" w:type="dxa"/>
          <w:tblInd w:w="445" w:type="dxa"/>
          <w:tblLook w:val="04A0"/>
        </w:tblPrEx>
        <w:trPr>
          <w:cantSplit/>
          <w:trHeight w:val="624"/>
          <w:tblHeader/>
        </w:trPr>
        <w:tc>
          <w:tcPr>
            <w:tcW w:w="2525" w:type="dxa"/>
            <w:vAlign w:val="center"/>
            <w:hideMark/>
          </w:tcPr>
          <w:p w:rsidR="004367B2" w:rsidRPr="0036519C" w:rsidP="001F068B" w14:paraId="5BBB980E" w14:textId="77777777">
            <w:pPr>
              <w:widowControl/>
              <w:autoSpaceDE/>
              <w:autoSpaceDN/>
              <w:adjustRightInd/>
              <w:jc w:val="center"/>
              <w:rPr>
                <w:sz w:val="22"/>
                <w:szCs w:val="22"/>
              </w:rPr>
            </w:pPr>
            <w:r w:rsidRPr="0036519C">
              <w:rPr>
                <w:sz w:val="22"/>
                <w:szCs w:val="22"/>
              </w:rPr>
              <w:t>Description</w:t>
            </w:r>
          </w:p>
        </w:tc>
        <w:tc>
          <w:tcPr>
            <w:tcW w:w="1206" w:type="dxa"/>
            <w:vAlign w:val="center"/>
            <w:hideMark/>
          </w:tcPr>
          <w:p w:rsidR="004367B2" w:rsidRPr="0036519C" w:rsidP="001F068B" w14:paraId="46C52814" w14:textId="77777777">
            <w:pPr>
              <w:widowControl/>
              <w:autoSpaceDE/>
              <w:autoSpaceDN/>
              <w:adjustRightInd/>
              <w:jc w:val="center"/>
              <w:rPr>
                <w:sz w:val="22"/>
                <w:szCs w:val="22"/>
              </w:rPr>
            </w:pPr>
            <w:r w:rsidRPr="0036519C">
              <w:rPr>
                <w:sz w:val="22"/>
                <w:szCs w:val="22"/>
              </w:rPr>
              <w:t>Responses</w:t>
            </w:r>
          </w:p>
        </w:tc>
        <w:tc>
          <w:tcPr>
            <w:tcW w:w="1044" w:type="dxa"/>
            <w:vAlign w:val="center"/>
            <w:hideMark/>
          </w:tcPr>
          <w:p w:rsidR="004367B2" w:rsidRPr="0036519C" w:rsidP="001F068B" w14:paraId="149F5CB0" w14:textId="77777777">
            <w:pPr>
              <w:widowControl/>
              <w:autoSpaceDE/>
              <w:autoSpaceDN/>
              <w:adjustRightInd/>
              <w:jc w:val="center"/>
              <w:rPr>
                <w:sz w:val="22"/>
                <w:szCs w:val="22"/>
              </w:rPr>
            </w:pPr>
            <w:r w:rsidRPr="0036519C">
              <w:rPr>
                <w:sz w:val="22"/>
                <w:szCs w:val="22"/>
              </w:rPr>
              <w:t>Request Rate</w:t>
            </w:r>
          </w:p>
        </w:tc>
        <w:tc>
          <w:tcPr>
            <w:tcW w:w="1260" w:type="dxa"/>
            <w:vAlign w:val="center"/>
            <w:hideMark/>
          </w:tcPr>
          <w:p w:rsidR="004367B2" w:rsidRPr="0036519C" w:rsidP="001F068B" w14:paraId="40B3821C" w14:textId="77777777">
            <w:pPr>
              <w:widowControl/>
              <w:autoSpaceDE/>
              <w:autoSpaceDN/>
              <w:adjustRightInd/>
              <w:jc w:val="center"/>
              <w:rPr>
                <w:sz w:val="22"/>
                <w:szCs w:val="22"/>
              </w:rPr>
            </w:pPr>
            <w:r w:rsidRPr="0036519C">
              <w:rPr>
                <w:sz w:val="22"/>
                <w:szCs w:val="22"/>
              </w:rPr>
              <w:t>Translation Requests</w:t>
            </w:r>
          </w:p>
        </w:tc>
        <w:tc>
          <w:tcPr>
            <w:tcW w:w="1260" w:type="dxa"/>
            <w:vAlign w:val="center"/>
            <w:hideMark/>
          </w:tcPr>
          <w:p w:rsidR="004367B2" w:rsidRPr="0036519C" w:rsidP="001F068B" w14:paraId="41935286" w14:textId="77777777">
            <w:pPr>
              <w:widowControl/>
              <w:autoSpaceDE/>
              <w:autoSpaceDN/>
              <w:adjustRightInd/>
              <w:jc w:val="center"/>
              <w:rPr>
                <w:sz w:val="22"/>
                <w:szCs w:val="22"/>
              </w:rPr>
            </w:pPr>
            <w:r w:rsidRPr="0036519C">
              <w:rPr>
                <w:sz w:val="22"/>
                <w:szCs w:val="22"/>
              </w:rPr>
              <w:t>Translation Cost</w:t>
            </w:r>
          </w:p>
        </w:tc>
        <w:tc>
          <w:tcPr>
            <w:tcW w:w="1530" w:type="dxa"/>
            <w:vAlign w:val="center"/>
            <w:hideMark/>
          </w:tcPr>
          <w:p w:rsidR="004367B2" w:rsidRPr="0036519C" w:rsidP="001F068B" w14:paraId="4BD1BD2A" w14:textId="77777777">
            <w:pPr>
              <w:widowControl/>
              <w:autoSpaceDE/>
              <w:autoSpaceDN/>
              <w:adjustRightInd/>
              <w:jc w:val="center"/>
              <w:rPr>
                <w:sz w:val="22"/>
                <w:szCs w:val="22"/>
              </w:rPr>
            </w:pPr>
            <w:r w:rsidRPr="0036519C">
              <w:rPr>
                <w:sz w:val="22"/>
                <w:szCs w:val="22"/>
              </w:rPr>
              <w:t>Annual Cost</w:t>
            </w:r>
          </w:p>
        </w:tc>
      </w:tr>
      <w:tr w14:paraId="385CAF89" w14:textId="77777777" w:rsidTr="004367B2">
        <w:tblPrEx>
          <w:tblW w:w="8825" w:type="dxa"/>
          <w:tblInd w:w="445" w:type="dxa"/>
          <w:tblLook w:val="04A0"/>
        </w:tblPrEx>
        <w:trPr>
          <w:cantSplit/>
          <w:trHeight w:val="312"/>
          <w:tblHeader/>
        </w:trPr>
        <w:tc>
          <w:tcPr>
            <w:tcW w:w="2525" w:type="dxa"/>
            <w:noWrap/>
            <w:vAlign w:val="bottom"/>
            <w:hideMark/>
          </w:tcPr>
          <w:p w:rsidR="004367B2" w:rsidRPr="0036519C" w:rsidP="001F068B" w14:paraId="2C014386" w14:textId="77777777">
            <w:pPr>
              <w:widowControl/>
              <w:autoSpaceDE/>
              <w:autoSpaceDN/>
              <w:adjustRightInd/>
              <w:rPr>
                <w:sz w:val="22"/>
                <w:szCs w:val="22"/>
              </w:rPr>
            </w:pPr>
            <w:r w:rsidRPr="0036519C">
              <w:rPr>
                <w:sz w:val="22"/>
                <w:szCs w:val="22"/>
              </w:rPr>
              <w:t> </w:t>
            </w:r>
          </w:p>
        </w:tc>
        <w:tc>
          <w:tcPr>
            <w:tcW w:w="1206" w:type="dxa"/>
            <w:noWrap/>
            <w:vAlign w:val="center"/>
            <w:hideMark/>
          </w:tcPr>
          <w:p w:rsidR="004367B2" w:rsidRPr="0036519C" w:rsidP="001F068B" w14:paraId="47882AC5" w14:textId="77777777">
            <w:pPr>
              <w:widowControl/>
              <w:autoSpaceDE/>
              <w:autoSpaceDN/>
              <w:adjustRightInd/>
              <w:jc w:val="center"/>
              <w:rPr>
                <w:sz w:val="20"/>
                <w:szCs w:val="20"/>
              </w:rPr>
            </w:pPr>
            <w:r w:rsidRPr="0036519C">
              <w:rPr>
                <w:sz w:val="20"/>
                <w:szCs w:val="20"/>
              </w:rPr>
              <w:t>(A)</w:t>
            </w:r>
          </w:p>
        </w:tc>
        <w:tc>
          <w:tcPr>
            <w:tcW w:w="1044" w:type="dxa"/>
            <w:noWrap/>
            <w:vAlign w:val="center"/>
            <w:hideMark/>
          </w:tcPr>
          <w:p w:rsidR="004367B2" w:rsidRPr="0036519C" w:rsidP="001F068B" w14:paraId="4DDD9F28" w14:textId="77777777">
            <w:pPr>
              <w:widowControl/>
              <w:autoSpaceDE/>
              <w:autoSpaceDN/>
              <w:adjustRightInd/>
              <w:jc w:val="center"/>
              <w:rPr>
                <w:sz w:val="20"/>
                <w:szCs w:val="20"/>
              </w:rPr>
            </w:pPr>
            <w:r w:rsidRPr="0036519C">
              <w:rPr>
                <w:sz w:val="20"/>
                <w:szCs w:val="20"/>
              </w:rPr>
              <w:t>(B)</w:t>
            </w:r>
          </w:p>
        </w:tc>
        <w:tc>
          <w:tcPr>
            <w:tcW w:w="1260" w:type="dxa"/>
            <w:noWrap/>
            <w:vAlign w:val="center"/>
            <w:hideMark/>
          </w:tcPr>
          <w:p w:rsidR="004367B2" w:rsidRPr="0036519C" w:rsidP="001F068B" w14:paraId="4A2FA855" w14:textId="77777777">
            <w:pPr>
              <w:widowControl/>
              <w:autoSpaceDE/>
              <w:autoSpaceDN/>
              <w:adjustRightInd/>
              <w:jc w:val="center"/>
              <w:rPr>
                <w:sz w:val="20"/>
                <w:szCs w:val="20"/>
              </w:rPr>
            </w:pPr>
            <w:r w:rsidRPr="0036519C">
              <w:rPr>
                <w:sz w:val="20"/>
                <w:szCs w:val="20"/>
              </w:rPr>
              <w:t>(C)</w:t>
            </w:r>
          </w:p>
        </w:tc>
        <w:tc>
          <w:tcPr>
            <w:tcW w:w="1260" w:type="dxa"/>
            <w:noWrap/>
            <w:vAlign w:val="center"/>
            <w:hideMark/>
          </w:tcPr>
          <w:p w:rsidR="004367B2" w:rsidRPr="0036519C" w:rsidP="001F068B" w14:paraId="2159A6D0" w14:textId="77777777">
            <w:pPr>
              <w:widowControl/>
              <w:autoSpaceDE/>
              <w:autoSpaceDN/>
              <w:adjustRightInd/>
              <w:jc w:val="center"/>
              <w:rPr>
                <w:sz w:val="20"/>
                <w:szCs w:val="20"/>
              </w:rPr>
            </w:pPr>
            <w:r w:rsidRPr="0036519C">
              <w:rPr>
                <w:sz w:val="20"/>
                <w:szCs w:val="20"/>
              </w:rPr>
              <w:t>(D)</w:t>
            </w:r>
          </w:p>
        </w:tc>
        <w:tc>
          <w:tcPr>
            <w:tcW w:w="1530" w:type="dxa"/>
            <w:noWrap/>
            <w:vAlign w:val="center"/>
            <w:hideMark/>
          </w:tcPr>
          <w:p w:rsidR="004367B2" w:rsidRPr="0036519C" w:rsidP="001F068B" w14:paraId="07613C8D" w14:textId="77777777">
            <w:pPr>
              <w:widowControl/>
              <w:autoSpaceDE/>
              <w:autoSpaceDN/>
              <w:adjustRightInd/>
              <w:jc w:val="center"/>
              <w:rPr>
                <w:sz w:val="20"/>
                <w:szCs w:val="20"/>
              </w:rPr>
            </w:pPr>
            <w:r w:rsidRPr="0036519C">
              <w:rPr>
                <w:sz w:val="20"/>
                <w:szCs w:val="20"/>
              </w:rPr>
              <w:t>(A x B x C x D)</w:t>
            </w:r>
          </w:p>
        </w:tc>
      </w:tr>
      <w:tr w14:paraId="21C057DE" w14:textId="77777777" w:rsidTr="004367B2">
        <w:tblPrEx>
          <w:tblW w:w="8825" w:type="dxa"/>
          <w:tblInd w:w="445" w:type="dxa"/>
          <w:tblLook w:val="04A0"/>
        </w:tblPrEx>
        <w:trPr>
          <w:trHeight w:val="312"/>
        </w:trPr>
        <w:tc>
          <w:tcPr>
            <w:tcW w:w="2525" w:type="dxa"/>
            <w:vAlign w:val="bottom"/>
            <w:hideMark/>
          </w:tcPr>
          <w:p w:rsidR="004367B2" w:rsidRPr="0036519C" w:rsidP="001F068B" w14:paraId="56C6EB17" w14:textId="77777777">
            <w:pPr>
              <w:widowControl/>
              <w:autoSpaceDE/>
              <w:autoSpaceDN/>
              <w:adjustRightInd/>
              <w:rPr>
                <w:sz w:val="22"/>
                <w:szCs w:val="22"/>
              </w:rPr>
            </w:pPr>
            <w:r w:rsidRPr="0036519C">
              <w:rPr>
                <w:sz w:val="22"/>
                <w:szCs w:val="22"/>
              </w:rPr>
              <w:t>Notice Translation Expenses</w:t>
            </w:r>
          </w:p>
        </w:tc>
        <w:tc>
          <w:tcPr>
            <w:tcW w:w="1206" w:type="dxa"/>
            <w:noWrap/>
            <w:vAlign w:val="center"/>
            <w:hideMark/>
          </w:tcPr>
          <w:p w:rsidR="004367B2" w:rsidRPr="0036519C" w:rsidP="001F068B" w14:paraId="2835C6C5" w14:textId="77777777">
            <w:pPr>
              <w:widowControl/>
              <w:autoSpaceDE/>
              <w:autoSpaceDN/>
              <w:adjustRightInd/>
              <w:jc w:val="center"/>
              <w:rPr>
                <w:sz w:val="22"/>
                <w:szCs w:val="22"/>
              </w:rPr>
            </w:pPr>
            <w:r>
              <w:rPr>
                <w:sz w:val="22"/>
                <w:szCs w:val="22"/>
              </w:rPr>
              <w:t>21,204,723</w:t>
            </w:r>
          </w:p>
        </w:tc>
        <w:tc>
          <w:tcPr>
            <w:tcW w:w="1044" w:type="dxa"/>
            <w:vAlign w:val="center"/>
            <w:hideMark/>
          </w:tcPr>
          <w:p w:rsidR="004367B2" w:rsidRPr="0036519C" w:rsidP="001F068B" w14:paraId="32173F3F" w14:textId="77777777">
            <w:pPr>
              <w:widowControl/>
              <w:autoSpaceDE/>
              <w:autoSpaceDN/>
              <w:adjustRightInd/>
              <w:jc w:val="center"/>
              <w:rPr>
                <w:sz w:val="22"/>
                <w:szCs w:val="22"/>
              </w:rPr>
            </w:pPr>
            <w:r>
              <w:rPr>
                <w:sz w:val="22"/>
                <w:szCs w:val="22"/>
              </w:rPr>
              <w:t>0.0098%</w:t>
            </w:r>
          </w:p>
        </w:tc>
        <w:tc>
          <w:tcPr>
            <w:tcW w:w="1260" w:type="dxa"/>
            <w:noWrap/>
            <w:vAlign w:val="center"/>
            <w:hideMark/>
          </w:tcPr>
          <w:p w:rsidR="004367B2" w:rsidRPr="0036519C" w:rsidP="001F068B" w14:paraId="40E218E5" w14:textId="77777777">
            <w:pPr>
              <w:widowControl/>
              <w:autoSpaceDE/>
              <w:autoSpaceDN/>
              <w:adjustRightInd/>
              <w:jc w:val="center"/>
              <w:rPr>
                <w:sz w:val="22"/>
                <w:szCs w:val="22"/>
              </w:rPr>
            </w:pPr>
            <w:r>
              <w:rPr>
                <w:sz w:val="22"/>
                <w:szCs w:val="22"/>
              </w:rPr>
              <w:t>2,078</w:t>
            </w:r>
          </w:p>
        </w:tc>
        <w:tc>
          <w:tcPr>
            <w:tcW w:w="1260" w:type="dxa"/>
            <w:noWrap/>
            <w:vAlign w:val="center"/>
            <w:hideMark/>
          </w:tcPr>
          <w:p w:rsidR="004367B2" w:rsidRPr="0036519C" w:rsidP="001F068B" w14:paraId="3CE1EE32" w14:textId="77777777">
            <w:pPr>
              <w:widowControl/>
              <w:autoSpaceDE/>
              <w:autoSpaceDN/>
              <w:adjustRightInd/>
              <w:jc w:val="center"/>
              <w:rPr>
                <w:sz w:val="22"/>
                <w:szCs w:val="22"/>
              </w:rPr>
            </w:pPr>
            <w:r>
              <w:rPr>
                <w:sz w:val="22"/>
                <w:szCs w:val="22"/>
              </w:rPr>
              <w:t>$500.00</w:t>
            </w:r>
          </w:p>
        </w:tc>
        <w:tc>
          <w:tcPr>
            <w:tcW w:w="1530" w:type="dxa"/>
            <w:noWrap/>
            <w:vAlign w:val="center"/>
            <w:hideMark/>
          </w:tcPr>
          <w:p w:rsidR="004367B2" w:rsidRPr="0036519C" w:rsidP="001F068B" w14:paraId="427BC84F" w14:textId="77777777">
            <w:pPr>
              <w:widowControl/>
              <w:autoSpaceDE/>
              <w:autoSpaceDN/>
              <w:adjustRightInd/>
              <w:jc w:val="right"/>
              <w:rPr>
                <w:sz w:val="22"/>
                <w:szCs w:val="22"/>
              </w:rPr>
            </w:pPr>
            <w:r>
              <w:rPr>
                <w:sz w:val="22"/>
                <w:szCs w:val="22"/>
              </w:rPr>
              <w:t>$1,039,000.00</w:t>
            </w:r>
          </w:p>
        </w:tc>
      </w:tr>
      <w:tr w14:paraId="357CF26B" w14:textId="77777777" w:rsidTr="004367B2">
        <w:tblPrEx>
          <w:tblW w:w="8825" w:type="dxa"/>
          <w:tblInd w:w="445" w:type="dxa"/>
          <w:tblLook w:val="04A0"/>
        </w:tblPrEx>
        <w:trPr>
          <w:trHeight w:val="312"/>
        </w:trPr>
        <w:tc>
          <w:tcPr>
            <w:tcW w:w="2525" w:type="dxa"/>
            <w:noWrap/>
            <w:vAlign w:val="bottom"/>
            <w:hideMark/>
          </w:tcPr>
          <w:p w:rsidR="004367B2" w:rsidRPr="0036519C" w:rsidP="004367B2" w14:paraId="6AF798F7" w14:textId="678243AE">
            <w:pPr>
              <w:widowControl/>
              <w:autoSpaceDE/>
              <w:autoSpaceDN/>
              <w:adjustRightInd/>
              <w:jc w:val="right"/>
              <w:rPr>
                <w:sz w:val="22"/>
                <w:szCs w:val="22"/>
              </w:rPr>
            </w:pPr>
            <w:r w:rsidRPr="0036519C">
              <w:rPr>
                <w:sz w:val="22"/>
                <w:szCs w:val="22"/>
              </w:rPr>
              <w:t>Three-Year Total</w:t>
            </w:r>
            <w:r>
              <w:rPr>
                <w:sz w:val="22"/>
                <w:szCs w:val="22"/>
              </w:rPr>
              <w:t xml:space="preserve"> </w:t>
            </w:r>
          </w:p>
        </w:tc>
        <w:tc>
          <w:tcPr>
            <w:tcW w:w="1206" w:type="dxa"/>
            <w:noWrap/>
            <w:vAlign w:val="center"/>
            <w:hideMark/>
          </w:tcPr>
          <w:p w:rsidR="004367B2" w:rsidRPr="0036519C" w:rsidP="001F068B" w14:paraId="37B43A36" w14:textId="77777777">
            <w:pPr>
              <w:widowControl/>
              <w:autoSpaceDE/>
              <w:autoSpaceDN/>
              <w:adjustRightInd/>
              <w:jc w:val="center"/>
              <w:rPr>
                <w:sz w:val="22"/>
                <w:szCs w:val="22"/>
              </w:rPr>
            </w:pPr>
            <w:r>
              <w:rPr>
                <w:sz w:val="22"/>
                <w:szCs w:val="22"/>
              </w:rPr>
              <w:t>63,614,168</w:t>
            </w:r>
          </w:p>
        </w:tc>
        <w:tc>
          <w:tcPr>
            <w:tcW w:w="1044" w:type="dxa"/>
            <w:shd w:val="clear" w:color="auto" w:fill="A6A6A6" w:themeFill="background1" w:themeFillShade="A6"/>
            <w:noWrap/>
            <w:vAlign w:val="bottom"/>
          </w:tcPr>
          <w:p w:rsidR="004367B2" w:rsidRPr="0036519C" w:rsidP="001F068B" w14:paraId="1829F479" w14:textId="25C7B099">
            <w:pPr>
              <w:widowControl/>
              <w:autoSpaceDE/>
              <w:autoSpaceDN/>
              <w:adjustRightInd/>
              <w:jc w:val="center"/>
              <w:rPr>
                <w:sz w:val="22"/>
                <w:szCs w:val="22"/>
              </w:rPr>
            </w:pPr>
          </w:p>
        </w:tc>
        <w:tc>
          <w:tcPr>
            <w:tcW w:w="1260" w:type="dxa"/>
            <w:noWrap/>
            <w:vAlign w:val="bottom"/>
            <w:hideMark/>
          </w:tcPr>
          <w:p w:rsidR="004367B2" w:rsidRPr="0036519C" w:rsidP="001F068B" w14:paraId="1C948B0B" w14:textId="77777777">
            <w:pPr>
              <w:widowControl/>
              <w:autoSpaceDE/>
              <w:autoSpaceDN/>
              <w:adjustRightInd/>
              <w:jc w:val="center"/>
              <w:rPr>
                <w:sz w:val="22"/>
                <w:szCs w:val="22"/>
              </w:rPr>
            </w:pPr>
            <w:r>
              <w:rPr>
                <w:sz w:val="22"/>
                <w:szCs w:val="22"/>
              </w:rPr>
              <w:t>6,234</w:t>
            </w:r>
          </w:p>
        </w:tc>
        <w:tc>
          <w:tcPr>
            <w:tcW w:w="1260" w:type="dxa"/>
            <w:shd w:val="clear" w:color="auto" w:fill="A6A6A6" w:themeFill="background1" w:themeFillShade="A6"/>
            <w:noWrap/>
            <w:vAlign w:val="bottom"/>
          </w:tcPr>
          <w:p w:rsidR="004367B2" w:rsidRPr="0036519C" w:rsidP="001F068B" w14:paraId="09A6EA9C" w14:textId="50DDEA11">
            <w:pPr>
              <w:widowControl/>
              <w:autoSpaceDE/>
              <w:autoSpaceDN/>
              <w:adjustRightInd/>
              <w:jc w:val="center"/>
              <w:rPr>
                <w:sz w:val="22"/>
                <w:szCs w:val="22"/>
              </w:rPr>
            </w:pPr>
          </w:p>
        </w:tc>
        <w:tc>
          <w:tcPr>
            <w:tcW w:w="1530" w:type="dxa"/>
            <w:noWrap/>
            <w:vAlign w:val="center"/>
            <w:hideMark/>
          </w:tcPr>
          <w:p w:rsidR="004367B2" w:rsidRPr="0036519C" w:rsidP="001F068B" w14:paraId="63830C55" w14:textId="77777777">
            <w:pPr>
              <w:widowControl/>
              <w:autoSpaceDE/>
              <w:autoSpaceDN/>
              <w:adjustRightInd/>
              <w:jc w:val="right"/>
              <w:rPr>
                <w:sz w:val="22"/>
                <w:szCs w:val="22"/>
              </w:rPr>
            </w:pPr>
            <w:r>
              <w:rPr>
                <w:sz w:val="22"/>
                <w:szCs w:val="22"/>
              </w:rPr>
              <w:t>$3,117,000</w:t>
            </w:r>
          </w:p>
        </w:tc>
      </w:tr>
      <w:tr w14:paraId="73D82ACE" w14:textId="77777777" w:rsidTr="004367B2">
        <w:tblPrEx>
          <w:tblW w:w="8825" w:type="dxa"/>
          <w:tblInd w:w="445" w:type="dxa"/>
          <w:tblLook w:val="04A0"/>
        </w:tblPrEx>
        <w:trPr>
          <w:trHeight w:val="328"/>
        </w:trPr>
        <w:tc>
          <w:tcPr>
            <w:tcW w:w="2525" w:type="dxa"/>
            <w:noWrap/>
            <w:vAlign w:val="bottom"/>
            <w:hideMark/>
          </w:tcPr>
          <w:p w:rsidR="004367B2" w:rsidRPr="004367B2" w:rsidP="004367B2" w14:paraId="156CCF09" w14:textId="32AA7882">
            <w:pPr>
              <w:widowControl/>
              <w:autoSpaceDE/>
              <w:autoSpaceDN/>
              <w:adjustRightInd/>
              <w:jc w:val="right"/>
              <w:rPr>
                <w:b/>
                <w:bCs/>
                <w:sz w:val="22"/>
                <w:szCs w:val="22"/>
              </w:rPr>
            </w:pPr>
            <w:r w:rsidRPr="004367B2">
              <w:rPr>
                <w:b/>
                <w:bCs/>
                <w:sz w:val="22"/>
                <w:szCs w:val="22"/>
              </w:rPr>
              <w:t xml:space="preserve">Annual Average </w:t>
            </w:r>
          </w:p>
        </w:tc>
        <w:tc>
          <w:tcPr>
            <w:tcW w:w="1206" w:type="dxa"/>
            <w:noWrap/>
            <w:vAlign w:val="center"/>
            <w:hideMark/>
          </w:tcPr>
          <w:p w:rsidR="004367B2" w:rsidRPr="004367B2" w:rsidP="001F068B" w14:paraId="0A4F4FC9" w14:textId="77777777">
            <w:pPr>
              <w:widowControl/>
              <w:autoSpaceDE/>
              <w:autoSpaceDN/>
              <w:adjustRightInd/>
              <w:jc w:val="center"/>
              <w:rPr>
                <w:b/>
                <w:bCs/>
                <w:sz w:val="22"/>
                <w:szCs w:val="22"/>
              </w:rPr>
            </w:pPr>
            <w:r w:rsidRPr="004367B2">
              <w:rPr>
                <w:b/>
                <w:bCs/>
                <w:sz w:val="22"/>
                <w:szCs w:val="22"/>
              </w:rPr>
              <w:t>21,204,723</w:t>
            </w:r>
          </w:p>
        </w:tc>
        <w:tc>
          <w:tcPr>
            <w:tcW w:w="1044" w:type="dxa"/>
            <w:shd w:val="clear" w:color="auto" w:fill="A6A6A6" w:themeFill="background1" w:themeFillShade="A6"/>
            <w:noWrap/>
            <w:vAlign w:val="center"/>
          </w:tcPr>
          <w:p w:rsidR="004367B2" w:rsidRPr="004367B2" w:rsidP="001F068B" w14:paraId="1FB47863" w14:textId="78CE9CE5">
            <w:pPr>
              <w:widowControl/>
              <w:autoSpaceDE/>
              <w:autoSpaceDN/>
              <w:adjustRightInd/>
              <w:jc w:val="center"/>
              <w:rPr>
                <w:b/>
                <w:bCs/>
                <w:sz w:val="22"/>
                <w:szCs w:val="22"/>
              </w:rPr>
            </w:pPr>
          </w:p>
        </w:tc>
        <w:tc>
          <w:tcPr>
            <w:tcW w:w="1260" w:type="dxa"/>
            <w:noWrap/>
            <w:vAlign w:val="center"/>
            <w:hideMark/>
          </w:tcPr>
          <w:p w:rsidR="004367B2" w:rsidRPr="004367B2" w:rsidP="001F068B" w14:paraId="697B2170" w14:textId="77777777">
            <w:pPr>
              <w:widowControl/>
              <w:autoSpaceDE/>
              <w:autoSpaceDN/>
              <w:adjustRightInd/>
              <w:jc w:val="center"/>
              <w:rPr>
                <w:b/>
                <w:bCs/>
                <w:sz w:val="22"/>
                <w:szCs w:val="22"/>
              </w:rPr>
            </w:pPr>
            <w:r w:rsidRPr="004367B2">
              <w:rPr>
                <w:b/>
                <w:bCs/>
                <w:sz w:val="22"/>
                <w:szCs w:val="22"/>
              </w:rPr>
              <w:t>2,078</w:t>
            </w:r>
          </w:p>
        </w:tc>
        <w:tc>
          <w:tcPr>
            <w:tcW w:w="1260" w:type="dxa"/>
            <w:shd w:val="clear" w:color="auto" w:fill="A6A6A6" w:themeFill="background1" w:themeFillShade="A6"/>
            <w:noWrap/>
            <w:vAlign w:val="bottom"/>
          </w:tcPr>
          <w:p w:rsidR="004367B2" w:rsidRPr="004367B2" w:rsidP="001F068B" w14:paraId="33BEBDB9" w14:textId="6C697C05">
            <w:pPr>
              <w:widowControl/>
              <w:autoSpaceDE/>
              <w:autoSpaceDN/>
              <w:adjustRightInd/>
              <w:jc w:val="center"/>
              <w:rPr>
                <w:b/>
                <w:bCs/>
                <w:sz w:val="22"/>
                <w:szCs w:val="22"/>
              </w:rPr>
            </w:pPr>
          </w:p>
        </w:tc>
        <w:tc>
          <w:tcPr>
            <w:tcW w:w="1530" w:type="dxa"/>
            <w:noWrap/>
            <w:vAlign w:val="bottom"/>
            <w:hideMark/>
          </w:tcPr>
          <w:p w:rsidR="004367B2" w:rsidRPr="004367B2" w:rsidP="001F068B" w14:paraId="37813B99" w14:textId="77777777">
            <w:pPr>
              <w:widowControl/>
              <w:autoSpaceDE/>
              <w:autoSpaceDN/>
              <w:adjustRightInd/>
              <w:jc w:val="right"/>
              <w:rPr>
                <w:b/>
                <w:bCs/>
                <w:sz w:val="22"/>
                <w:szCs w:val="22"/>
              </w:rPr>
            </w:pPr>
            <w:r w:rsidRPr="004367B2">
              <w:rPr>
                <w:b/>
                <w:bCs/>
                <w:sz w:val="22"/>
                <w:szCs w:val="22"/>
              </w:rPr>
              <w:t>$1,039,000</w:t>
            </w:r>
          </w:p>
        </w:tc>
      </w:tr>
      <w:tr w14:paraId="5CB6E6B1" w14:textId="77777777" w:rsidTr="004367B2">
        <w:tblPrEx>
          <w:tblW w:w="8825" w:type="dxa"/>
          <w:tblInd w:w="445" w:type="dxa"/>
          <w:tblLook w:val="04A0"/>
        </w:tblPrEx>
        <w:trPr>
          <w:trHeight w:val="312"/>
        </w:trPr>
        <w:tc>
          <w:tcPr>
            <w:tcW w:w="8825" w:type="dxa"/>
            <w:gridSpan w:val="6"/>
            <w:noWrap/>
            <w:vAlign w:val="bottom"/>
            <w:hideMark/>
          </w:tcPr>
          <w:p w:rsidR="004367B2" w:rsidRPr="0036519C" w:rsidP="001F068B" w14:paraId="46EF12F4" w14:textId="2965E9B0">
            <w:pPr>
              <w:widowControl/>
              <w:autoSpaceDE/>
              <w:autoSpaceDN/>
              <w:adjustRightInd/>
              <w:rPr>
                <w:sz w:val="20"/>
                <w:szCs w:val="20"/>
              </w:rPr>
            </w:pPr>
            <w:r w:rsidRPr="0036519C">
              <w:rPr>
                <w:sz w:val="18"/>
                <w:szCs w:val="18"/>
              </w:rPr>
              <w:t xml:space="preserve">*The annual average cost is calculated as the total cost averaged across three years </w:t>
            </w:r>
          </w:p>
        </w:tc>
      </w:tr>
    </w:tbl>
    <w:p w:rsidR="004367B2" w:rsidP="00AB7117" w14:paraId="0C6E60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4367B2" w:rsidP="004367B2" w14:paraId="0BA728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E2027" w:rsidRPr="00367F70" w:rsidP="00367F70" w14:paraId="7389EDF1" w14:textId="2DA7BE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napToGrid w:val="0"/>
          <w:u w:val="single"/>
        </w:rPr>
      </w:pPr>
      <w:bookmarkStart w:id="6" w:name="OLE_LINK11"/>
      <w:r w:rsidRPr="00367F70">
        <w:rPr>
          <w:b/>
          <w:snapToGrid w:val="0"/>
          <w:u w:val="single"/>
        </w:rPr>
        <w:t>Federal External Review</w:t>
      </w:r>
      <w:bookmarkEnd w:id="6"/>
    </w:p>
    <w:p w:rsidR="003C367B" w:rsidRPr="00770EFD" w:rsidP="003C367B" w14:paraId="24767F91" w14:textId="77777777">
      <w:pPr>
        <w:ind w:left="360"/>
      </w:pPr>
      <w:r>
        <w:t>The</w:t>
      </w:r>
      <w:r w:rsidRPr="00332E56">
        <w:t xml:space="preserve"> preliminary review by grandfathered and non-grandfathered ERISA plans of the request for external review is</w:t>
      </w:r>
      <w:r>
        <w:t xml:space="preserve"> estimated to be a single page.</w:t>
      </w:r>
      <w:r w:rsidRPr="00332E56">
        <w:t xml:space="preserve"> Once an eligibility determination is made</w:t>
      </w:r>
      <w:r w:rsidRPr="001B28FA">
        <w:rPr>
          <w:bCs/>
        </w:rPr>
        <w:t>, plans must provide the IRO with all documentation and other information considered in making an adverse benefit determination</w:t>
      </w:r>
      <w:r w:rsidRPr="00332E56">
        <w:t>. The Department</w:t>
      </w:r>
      <w:r>
        <w:t>s</w:t>
      </w:r>
      <w:r w:rsidRPr="00332E56">
        <w:t xml:space="preserve"> assume that each set of documentation will be 20 pages</w:t>
      </w:r>
      <w:r>
        <w:t xml:space="preserve">. </w:t>
      </w:r>
      <w:r w:rsidRPr="00AB22F8">
        <w:rPr>
          <w:bCs/>
        </w:rPr>
        <w:t>IROs must also send each eligible claimant a notice of eligibility and acceptance</w:t>
      </w:r>
      <w:r>
        <w:rPr>
          <w:bCs/>
        </w:rPr>
        <w:t xml:space="preserve">, which the </w:t>
      </w:r>
      <w:r w:rsidRPr="00332E56">
        <w:rPr>
          <w:bCs/>
        </w:rPr>
        <w:t>Departments</w:t>
      </w:r>
      <w:r>
        <w:rPr>
          <w:bCs/>
        </w:rPr>
        <w:t xml:space="preserve"> </w:t>
      </w:r>
      <w:r w:rsidRPr="00332E56">
        <w:rPr>
          <w:bCs/>
        </w:rPr>
        <w:t>assume</w:t>
      </w:r>
      <w:r>
        <w:rPr>
          <w:bCs/>
        </w:rPr>
        <w:t>s</w:t>
      </w:r>
      <w:r w:rsidRPr="00332E56">
        <w:rPr>
          <w:bCs/>
        </w:rPr>
        <w:t xml:space="preserve"> will be </w:t>
      </w:r>
      <w:r>
        <w:rPr>
          <w:bCs/>
        </w:rPr>
        <w:t>a single</w:t>
      </w:r>
      <w:r w:rsidRPr="00332E56">
        <w:rPr>
          <w:bCs/>
        </w:rPr>
        <w:t xml:space="preserve"> page</w:t>
      </w:r>
      <w:r>
        <w:rPr>
          <w:bCs/>
        </w:rPr>
        <w:t xml:space="preserve">. </w:t>
      </w:r>
    </w:p>
    <w:p w:rsidR="003C367B" w:rsidP="003C367B" w14:paraId="71089FC3" w14:textId="77777777">
      <w:pPr>
        <w:ind w:left="360"/>
        <w:rPr>
          <w:bCs/>
        </w:rPr>
      </w:pPr>
    </w:p>
    <w:p w:rsidR="003C367B" w:rsidRPr="00D05AB9" w:rsidP="003C367B" w14:paraId="72E5DD9E" w14:textId="77777777">
      <w:pPr>
        <w:ind w:left="360"/>
        <w:rPr>
          <w:bCs/>
        </w:rPr>
      </w:pPr>
      <w:r>
        <w:rPr>
          <w:bCs/>
        </w:rPr>
        <w:t xml:space="preserve">Additionally, </w:t>
      </w:r>
      <w:r w:rsidRPr="001B28FA">
        <w:rPr>
          <w:bCs/>
        </w:rPr>
        <w:t>IROs are required to send to plans all documents that claimants submit.</w:t>
      </w:r>
      <w:r w:rsidRPr="00332E56">
        <w:rPr>
          <w:bCs/>
        </w:rPr>
        <w:t xml:space="preserve"> The Department</w:t>
      </w:r>
      <w:r>
        <w:rPr>
          <w:bCs/>
        </w:rPr>
        <w:t>s</w:t>
      </w:r>
      <w:r w:rsidRPr="00332E56">
        <w:rPr>
          <w:bCs/>
        </w:rPr>
        <w:t xml:space="preserve"> do not know what fraction of claimants will submit additional documentation, but for purposes of this burden analysis assume that half of claimants (</w:t>
      </w:r>
      <w:r>
        <w:rPr>
          <w:bCs/>
        </w:rPr>
        <w:t>5,978</w:t>
      </w:r>
      <w:r w:rsidRPr="00332E56">
        <w:rPr>
          <w:bCs/>
        </w:rPr>
        <w:t>) do.</w:t>
      </w:r>
      <w:r>
        <w:rPr>
          <w:bCs/>
        </w:rPr>
        <w:t xml:space="preserve"> </w:t>
      </w:r>
      <w:r>
        <w:t xml:space="preserve">Finally, </w:t>
      </w:r>
      <w:r w:rsidRPr="001B28FA">
        <w:t>IROs are required to notify the claimant and plan of the result of the final external appeal</w:t>
      </w:r>
      <w:r w:rsidRPr="00332E56">
        <w:t>.</w:t>
      </w:r>
      <w:r>
        <w:t xml:space="preserve"> </w:t>
      </w:r>
      <w:r w:rsidRPr="00332E56">
        <w:t>The Department</w:t>
      </w:r>
      <w:r>
        <w:t>s</w:t>
      </w:r>
      <w:r w:rsidRPr="00332E56">
        <w:t xml:space="preserve"> assume that such documentation</w:t>
      </w:r>
      <w:r>
        <w:t xml:space="preserve">, as well as the final external appeal result, </w:t>
      </w:r>
      <w:r w:rsidRPr="00332E56">
        <w:t>will be 10 pages.</w:t>
      </w:r>
      <w:r>
        <w:t xml:space="preserve"> The Departments </w:t>
      </w:r>
      <w:r>
        <w:t>are not able to</w:t>
      </w:r>
      <w:r>
        <w:t xml:space="preserve"> estimate the number of reversals and the associated notices to claimants and IROs that plans would send due to reversing </w:t>
      </w:r>
      <w:r>
        <w:t>its</w:t>
      </w:r>
      <w:r>
        <w:t xml:space="preserve"> prior decision but </w:t>
      </w:r>
      <w:r>
        <w:t>believes</w:t>
      </w:r>
      <w:r>
        <w:t xml:space="preserve"> the number would be small. </w:t>
      </w:r>
    </w:p>
    <w:p w:rsidR="003C367B" w:rsidP="003C367B" w14:paraId="7773F83F" w14:textId="77777777">
      <w:pPr>
        <w:ind w:left="360"/>
      </w:pPr>
    </w:p>
    <w:p w:rsidR="003C367B" w:rsidP="003C367B" w14:paraId="370780D9" w14:textId="19617E81">
      <w:pPr>
        <w:ind w:left="360"/>
      </w:pPr>
      <w:r>
        <w:t xml:space="preserve">The Departments assume that 100 percent of notices related to the external review will be mailed to participants and that each page of a physical notice will incur a cost of $0.05 while each individual notice will incur a cost of $0.73 for postage. For detailed calculations of the cost burden related to the Federal External Review, see Table 7 below. </w:t>
      </w:r>
    </w:p>
    <w:p w:rsidR="003C367B" w:rsidP="003C367B" w14:paraId="094F1220" w14:textId="77777777">
      <w:pPr>
        <w:ind w:left="360"/>
      </w:pPr>
    </w:p>
    <w:tbl>
      <w:tblPr>
        <w:tblW w:w="950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5"/>
        <w:gridCol w:w="1170"/>
        <w:gridCol w:w="1080"/>
        <w:gridCol w:w="990"/>
        <w:gridCol w:w="900"/>
        <w:gridCol w:w="1756"/>
      </w:tblGrid>
      <w:tr w14:paraId="40AA996D" w14:textId="77777777" w:rsidTr="00B56098">
        <w:tblPrEx>
          <w:tblW w:w="950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688"/>
          <w:tblHeader/>
        </w:trPr>
        <w:tc>
          <w:tcPr>
            <w:tcW w:w="4775" w:type="dxa"/>
            <w:gridSpan w:val="2"/>
            <w:noWrap/>
            <w:vAlign w:val="bottom"/>
            <w:hideMark/>
          </w:tcPr>
          <w:p w:rsidR="003C367B" w:rsidRPr="008E7F5C" w:rsidP="001F068B" w14:paraId="6BBEC97F" w14:textId="77777777">
            <w:pPr>
              <w:widowControl/>
              <w:autoSpaceDE/>
              <w:autoSpaceDN/>
              <w:adjustRightInd/>
              <w:rPr>
                <w:sz w:val="22"/>
                <w:szCs w:val="22"/>
              </w:rPr>
            </w:pPr>
            <w:r w:rsidRPr="008E7F5C">
              <w:rPr>
                <w:sz w:val="22"/>
                <w:szCs w:val="22"/>
              </w:rPr>
              <w:t xml:space="preserve">Table </w:t>
            </w:r>
            <w:r>
              <w:rPr>
                <w:sz w:val="22"/>
                <w:szCs w:val="22"/>
              </w:rPr>
              <w:t>7</w:t>
            </w:r>
            <w:r w:rsidRPr="008E7F5C">
              <w:rPr>
                <w:sz w:val="22"/>
                <w:szCs w:val="22"/>
              </w:rPr>
              <w:t xml:space="preserve">. -- </w:t>
            </w:r>
            <w:r w:rsidRPr="008E7F5C">
              <w:rPr>
                <w:i/>
                <w:iCs/>
                <w:sz w:val="22"/>
                <w:szCs w:val="22"/>
              </w:rPr>
              <w:t>Cost Burden for Federal External Review</w:t>
            </w:r>
          </w:p>
        </w:tc>
        <w:tc>
          <w:tcPr>
            <w:tcW w:w="1080" w:type="dxa"/>
            <w:noWrap/>
            <w:vAlign w:val="bottom"/>
            <w:hideMark/>
          </w:tcPr>
          <w:p w:rsidR="003C367B" w:rsidRPr="008E7F5C" w:rsidP="001F068B" w14:paraId="11450F84" w14:textId="77777777">
            <w:pPr>
              <w:widowControl/>
              <w:autoSpaceDE/>
              <w:autoSpaceDN/>
              <w:adjustRightInd/>
              <w:rPr>
                <w:sz w:val="22"/>
                <w:szCs w:val="22"/>
              </w:rPr>
            </w:pPr>
            <w:r w:rsidRPr="008E7F5C">
              <w:rPr>
                <w:sz w:val="22"/>
                <w:szCs w:val="22"/>
              </w:rPr>
              <w:t> </w:t>
            </w:r>
          </w:p>
        </w:tc>
        <w:tc>
          <w:tcPr>
            <w:tcW w:w="990" w:type="dxa"/>
            <w:noWrap/>
            <w:vAlign w:val="bottom"/>
            <w:hideMark/>
          </w:tcPr>
          <w:p w:rsidR="003C367B" w:rsidRPr="008E7F5C" w:rsidP="001F068B" w14:paraId="2170F087" w14:textId="77777777">
            <w:pPr>
              <w:widowControl/>
              <w:autoSpaceDE/>
              <w:autoSpaceDN/>
              <w:adjustRightInd/>
              <w:rPr>
                <w:sz w:val="22"/>
                <w:szCs w:val="22"/>
              </w:rPr>
            </w:pPr>
            <w:r w:rsidRPr="008E7F5C">
              <w:rPr>
                <w:sz w:val="22"/>
                <w:szCs w:val="22"/>
              </w:rPr>
              <w:t> </w:t>
            </w:r>
          </w:p>
        </w:tc>
        <w:tc>
          <w:tcPr>
            <w:tcW w:w="900" w:type="dxa"/>
            <w:noWrap/>
            <w:vAlign w:val="bottom"/>
            <w:hideMark/>
          </w:tcPr>
          <w:p w:rsidR="003C367B" w:rsidRPr="008E7F5C" w:rsidP="001F068B" w14:paraId="04C84004" w14:textId="77777777">
            <w:pPr>
              <w:widowControl/>
              <w:autoSpaceDE/>
              <w:autoSpaceDN/>
              <w:adjustRightInd/>
              <w:rPr>
                <w:sz w:val="22"/>
                <w:szCs w:val="22"/>
              </w:rPr>
            </w:pPr>
            <w:r w:rsidRPr="008E7F5C">
              <w:rPr>
                <w:sz w:val="22"/>
                <w:szCs w:val="22"/>
              </w:rPr>
              <w:t> </w:t>
            </w:r>
          </w:p>
        </w:tc>
        <w:tc>
          <w:tcPr>
            <w:tcW w:w="1756" w:type="dxa"/>
            <w:noWrap/>
            <w:vAlign w:val="bottom"/>
            <w:hideMark/>
          </w:tcPr>
          <w:p w:rsidR="003C367B" w:rsidRPr="008E7F5C" w:rsidP="001F068B" w14:paraId="114C8C2F" w14:textId="77777777">
            <w:pPr>
              <w:widowControl/>
              <w:autoSpaceDE/>
              <w:autoSpaceDN/>
              <w:adjustRightInd/>
              <w:rPr>
                <w:sz w:val="22"/>
                <w:szCs w:val="22"/>
              </w:rPr>
            </w:pPr>
            <w:r w:rsidRPr="008E7F5C">
              <w:rPr>
                <w:sz w:val="22"/>
                <w:szCs w:val="22"/>
              </w:rPr>
              <w:t> </w:t>
            </w:r>
          </w:p>
        </w:tc>
      </w:tr>
      <w:tr w14:paraId="5079CACF" w14:textId="77777777" w:rsidTr="00B56098">
        <w:tblPrEx>
          <w:tblW w:w="9501" w:type="dxa"/>
          <w:tblInd w:w="445" w:type="dxa"/>
          <w:tblLook w:val="04A0"/>
        </w:tblPrEx>
        <w:trPr>
          <w:cantSplit/>
          <w:trHeight w:val="475"/>
          <w:tblHeader/>
        </w:trPr>
        <w:tc>
          <w:tcPr>
            <w:tcW w:w="3605" w:type="dxa"/>
            <w:vAlign w:val="center"/>
            <w:hideMark/>
          </w:tcPr>
          <w:p w:rsidR="003C367B" w:rsidRPr="008E7F5C" w:rsidP="001F068B" w14:paraId="6BCCC6D5" w14:textId="77777777">
            <w:pPr>
              <w:widowControl/>
              <w:autoSpaceDE/>
              <w:autoSpaceDN/>
              <w:adjustRightInd/>
              <w:jc w:val="center"/>
              <w:rPr>
                <w:sz w:val="22"/>
                <w:szCs w:val="22"/>
              </w:rPr>
            </w:pPr>
            <w:r w:rsidRPr="008E7F5C">
              <w:rPr>
                <w:sz w:val="22"/>
                <w:szCs w:val="22"/>
              </w:rPr>
              <w:t>Description</w:t>
            </w:r>
          </w:p>
        </w:tc>
        <w:tc>
          <w:tcPr>
            <w:tcW w:w="1170" w:type="dxa"/>
            <w:vAlign w:val="center"/>
            <w:hideMark/>
          </w:tcPr>
          <w:p w:rsidR="003C367B" w:rsidRPr="008E7F5C" w:rsidP="001F068B" w14:paraId="29F4CA39" w14:textId="77777777">
            <w:pPr>
              <w:widowControl/>
              <w:autoSpaceDE/>
              <w:autoSpaceDN/>
              <w:adjustRightInd/>
              <w:jc w:val="center"/>
              <w:rPr>
                <w:sz w:val="22"/>
                <w:szCs w:val="22"/>
              </w:rPr>
            </w:pPr>
            <w:r w:rsidRPr="008E7F5C">
              <w:rPr>
                <w:sz w:val="22"/>
                <w:szCs w:val="22"/>
              </w:rPr>
              <w:t>Responses</w:t>
            </w:r>
          </w:p>
        </w:tc>
        <w:tc>
          <w:tcPr>
            <w:tcW w:w="1080" w:type="dxa"/>
            <w:vAlign w:val="center"/>
            <w:hideMark/>
          </w:tcPr>
          <w:p w:rsidR="003C367B" w:rsidRPr="008E7F5C" w:rsidP="001F068B" w14:paraId="2EFEB577" w14:textId="77777777">
            <w:pPr>
              <w:widowControl/>
              <w:autoSpaceDE/>
              <w:autoSpaceDN/>
              <w:adjustRightInd/>
              <w:jc w:val="center"/>
              <w:rPr>
                <w:sz w:val="22"/>
                <w:szCs w:val="22"/>
              </w:rPr>
            </w:pPr>
            <w:r w:rsidRPr="008E7F5C">
              <w:rPr>
                <w:sz w:val="22"/>
                <w:szCs w:val="22"/>
              </w:rPr>
              <w:t>Mailing Rate</w:t>
            </w:r>
          </w:p>
        </w:tc>
        <w:tc>
          <w:tcPr>
            <w:tcW w:w="990" w:type="dxa"/>
            <w:vAlign w:val="center"/>
            <w:hideMark/>
          </w:tcPr>
          <w:p w:rsidR="003C367B" w:rsidRPr="008E7F5C" w:rsidP="001F068B" w14:paraId="7C845804" w14:textId="77777777">
            <w:pPr>
              <w:widowControl/>
              <w:autoSpaceDE/>
              <w:autoSpaceDN/>
              <w:adjustRightInd/>
              <w:jc w:val="center"/>
              <w:rPr>
                <w:sz w:val="22"/>
                <w:szCs w:val="22"/>
              </w:rPr>
            </w:pPr>
            <w:r w:rsidRPr="008E7F5C">
              <w:rPr>
                <w:sz w:val="22"/>
                <w:szCs w:val="22"/>
              </w:rPr>
              <w:t>Notices Mailed</w:t>
            </w:r>
          </w:p>
        </w:tc>
        <w:tc>
          <w:tcPr>
            <w:tcW w:w="900" w:type="dxa"/>
            <w:vAlign w:val="center"/>
            <w:hideMark/>
          </w:tcPr>
          <w:p w:rsidR="003C367B" w:rsidRPr="008E7F5C" w:rsidP="001F068B" w14:paraId="7C317DB9" w14:textId="77777777">
            <w:pPr>
              <w:widowControl/>
              <w:autoSpaceDE/>
              <w:autoSpaceDN/>
              <w:adjustRightInd/>
              <w:jc w:val="center"/>
              <w:rPr>
                <w:sz w:val="22"/>
                <w:szCs w:val="22"/>
              </w:rPr>
            </w:pPr>
            <w:r w:rsidRPr="008E7F5C">
              <w:rPr>
                <w:sz w:val="22"/>
                <w:szCs w:val="22"/>
              </w:rPr>
              <w:t>Unit Cost</w:t>
            </w:r>
          </w:p>
        </w:tc>
        <w:tc>
          <w:tcPr>
            <w:tcW w:w="1756" w:type="dxa"/>
            <w:vAlign w:val="center"/>
            <w:hideMark/>
          </w:tcPr>
          <w:p w:rsidR="003C367B" w:rsidRPr="008E7F5C" w:rsidP="001F068B" w14:paraId="11B10E2F" w14:textId="77777777">
            <w:pPr>
              <w:widowControl/>
              <w:autoSpaceDE/>
              <w:autoSpaceDN/>
              <w:adjustRightInd/>
              <w:jc w:val="center"/>
              <w:rPr>
                <w:sz w:val="22"/>
                <w:szCs w:val="22"/>
              </w:rPr>
            </w:pPr>
            <w:r w:rsidRPr="008E7F5C">
              <w:rPr>
                <w:sz w:val="22"/>
                <w:szCs w:val="22"/>
              </w:rPr>
              <w:t>Annual Cost</w:t>
            </w:r>
          </w:p>
        </w:tc>
      </w:tr>
      <w:tr w14:paraId="50B12756" w14:textId="77777777" w:rsidTr="00B56098">
        <w:tblPrEx>
          <w:tblW w:w="9501" w:type="dxa"/>
          <w:tblInd w:w="445" w:type="dxa"/>
          <w:tblLook w:val="04A0"/>
        </w:tblPrEx>
        <w:trPr>
          <w:cantSplit/>
          <w:trHeight w:val="324"/>
          <w:tblHeader/>
        </w:trPr>
        <w:tc>
          <w:tcPr>
            <w:tcW w:w="3605" w:type="dxa"/>
            <w:noWrap/>
            <w:vAlign w:val="bottom"/>
            <w:hideMark/>
          </w:tcPr>
          <w:p w:rsidR="003C367B" w:rsidRPr="008E7F5C" w:rsidP="001F068B" w14:paraId="6B6647B4" w14:textId="77777777">
            <w:pPr>
              <w:widowControl/>
              <w:autoSpaceDE/>
              <w:autoSpaceDN/>
              <w:adjustRightInd/>
              <w:rPr>
                <w:sz w:val="22"/>
                <w:szCs w:val="22"/>
              </w:rPr>
            </w:pPr>
            <w:r w:rsidRPr="008E7F5C">
              <w:rPr>
                <w:sz w:val="22"/>
                <w:szCs w:val="22"/>
              </w:rPr>
              <w:t> </w:t>
            </w:r>
          </w:p>
        </w:tc>
        <w:tc>
          <w:tcPr>
            <w:tcW w:w="1170" w:type="dxa"/>
            <w:noWrap/>
            <w:vAlign w:val="center"/>
            <w:hideMark/>
          </w:tcPr>
          <w:p w:rsidR="003C367B" w:rsidRPr="008E7F5C" w:rsidP="001F068B" w14:paraId="4DD9C2CB" w14:textId="77777777">
            <w:pPr>
              <w:widowControl/>
              <w:autoSpaceDE/>
              <w:autoSpaceDN/>
              <w:adjustRightInd/>
              <w:jc w:val="center"/>
              <w:rPr>
                <w:sz w:val="22"/>
                <w:szCs w:val="22"/>
              </w:rPr>
            </w:pPr>
            <w:r w:rsidRPr="008E7F5C">
              <w:rPr>
                <w:sz w:val="22"/>
                <w:szCs w:val="22"/>
              </w:rPr>
              <w:t>(A)</w:t>
            </w:r>
          </w:p>
        </w:tc>
        <w:tc>
          <w:tcPr>
            <w:tcW w:w="1080" w:type="dxa"/>
            <w:noWrap/>
            <w:vAlign w:val="center"/>
            <w:hideMark/>
          </w:tcPr>
          <w:p w:rsidR="003C367B" w:rsidRPr="008E7F5C" w:rsidP="001F068B" w14:paraId="3612D012" w14:textId="77777777">
            <w:pPr>
              <w:widowControl/>
              <w:autoSpaceDE/>
              <w:autoSpaceDN/>
              <w:adjustRightInd/>
              <w:jc w:val="center"/>
              <w:rPr>
                <w:sz w:val="22"/>
                <w:szCs w:val="22"/>
              </w:rPr>
            </w:pPr>
            <w:r w:rsidRPr="008E7F5C">
              <w:rPr>
                <w:sz w:val="22"/>
                <w:szCs w:val="22"/>
              </w:rPr>
              <w:t>(B)</w:t>
            </w:r>
          </w:p>
        </w:tc>
        <w:tc>
          <w:tcPr>
            <w:tcW w:w="990" w:type="dxa"/>
            <w:noWrap/>
            <w:vAlign w:val="center"/>
            <w:hideMark/>
          </w:tcPr>
          <w:p w:rsidR="003C367B" w:rsidRPr="008E7F5C" w:rsidP="001F068B" w14:paraId="0AC512B7" w14:textId="77777777">
            <w:pPr>
              <w:widowControl/>
              <w:autoSpaceDE/>
              <w:autoSpaceDN/>
              <w:adjustRightInd/>
              <w:jc w:val="center"/>
              <w:rPr>
                <w:sz w:val="22"/>
                <w:szCs w:val="22"/>
              </w:rPr>
            </w:pPr>
            <w:r w:rsidRPr="008E7F5C">
              <w:rPr>
                <w:sz w:val="22"/>
                <w:szCs w:val="22"/>
              </w:rPr>
              <w:t>(C)</w:t>
            </w:r>
          </w:p>
        </w:tc>
        <w:tc>
          <w:tcPr>
            <w:tcW w:w="900" w:type="dxa"/>
            <w:noWrap/>
            <w:vAlign w:val="center"/>
            <w:hideMark/>
          </w:tcPr>
          <w:p w:rsidR="003C367B" w:rsidRPr="008E7F5C" w:rsidP="001F068B" w14:paraId="456BB798" w14:textId="77777777">
            <w:pPr>
              <w:widowControl/>
              <w:autoSpaceDE/>
              <w:autoSpaceDN/>
              <w:adjustRightInd/>
              <w:jc w:val="center"/>
              <w:rPr>
                <w:sz w:val="22"/>
                <w:szCs w:val="22"/>
              </w:rPr>
            </w:pPr>
            <w:r w:rsidRPr="008E7F5C">
              <w:rPr>
                <w:sz w:val="22"/>
                <w:szCs w:val="22"/>
              </w:rPr>
              <w:t>(A x B)</w:t>
            </w:r>
          </w:p>
        </w:tc>
        <w:tc>
          <w:tcPr>
            <w:tcW w:w="1756" w:type="dxa"/>
            <w:noWrap/>
            <w:vAlign w:val="center"/>
            <w:hideMark/>
          </w:tcPr>
          <w:p w:rsidR="003C367B" w:rsidRPr="008E7F5C" w:rsidP="001F068B" w14:paraId="506F1623" w14:textId="77777777">
            <w:pPr>
              <w:widowControl/>
              <w:autoSpaceDE/>
              <w:autoSpaceDN/>
              <w:adjustRightInd/>
              <w:jc w:val="center"/>
              <w:rPr>
                <w:sz w:val="22"/>
                <w:szCs w:val="22"/>
              </w:rPr>
            </w:pPr>
            <w:r w:rsidRPr="008E7F5C">
              <w:rPr>
                <w:sz w:val="22"/>
                <w:szCs w:val="22"/>
              </w:rPr>
              <w:t>(A x B x C)</w:t>
            </w:r>
          </w:p>
        </w:tc>
      </w:tr>
      <w:tr w14:paraId="5129E792" w14:textId="77777777" w:rsidTr="00B56098">
        <w:tblPrEx>
          <w:tblW w:w="9501" w:type="dxa"/>
          <w:tblInd w:w="445" w:type="dxa"/>
          <w:tblLook w:val="04A0"/>
        </w:tblPrEx>
        <w:trPr>
          <w:trHeight w:val="368"/>
        </w:trPr>
        <w:tc>
          <w:tcPr>
            <w:tcW w:w="3605" w:type="dxa"/>
            <w:vAlign w:val="bottom"/>
            <w:hideMark/>
          </w:tcPr>
          <w:p w:rsidR="003C367B" w:rsidRPr="008E7F5C" w:rsidP="001F068B" w14:paraId="373EFA4A" w14:textId="77777777">
            <w:pPr>
              <w:widowControl/>
              <w:autoSpaceDE/>
              <w:autoSpaceDN/>
              <w:adjustRightInd/>
              <w:rPr>
                <w:sz w:val="22"/>
                <w:szCs w:val="22"/>
              </w:rPr>
            </w:pPr>
            <w:r w:rsidRPr="008E7F5C">
              <w:rPr>
                <w:sz w:val="22"/>
                <w:szCs w:val="22"/>
              </w:rPr>
              <w:t>Request for External Review</w:t>
            </w:r>
          </w:p>
        </w:tc>
        <w:tc>
          <w:tcPr>
            <w:tcW w:w="1170" w:type="dxa"/>
            <w:noWrap/>
            <w:vAlign w:val="center"/>
            <w:hideMark/>
          </w:tcPr>
          <w:p w:rsidR="003C367B" w:rsidRPr="008E7F5C" w:rsidP="001F068B" w14:paraId="0614BFE1" w14:textId="77777777">
            <w:pPr>
              <w:widowControl/>
              <w:autoSpaceDE/>
              <w:autoSpaceDN/>
              <w:adjustRightInd/>
              <w:jc w:val="center"/>
              <w:rPr>
                <w:sz w:val="22"/>
                <w:szCs w:val="22"/>
              </w:rPr>
            </w:pPr>
            <w:r>
              <w:rPr>
                <w:sz w:val="22"/>
                <w:szCs w:val="22"/>
              </w:rPr>
              <w:t>15,941</w:t>
            </w:r>
          </w:p>
        </w:tc>
        <w:tc>
          <w:tcPr>
            <w:tcW w:w="1080" w:type="dxa"/>
            <w:vAlign w:val="center"/>
            <w:hideMark/>
          </w:tcPr>
          <w:p w:rsidR="003C367B" w:rsidRPr="008E7F5C" w:rsidP="001F068B" w14:paraId="6511C9CB" w14:textId="77777777">
            <w:pPr>
              <w:widowControl/>
              <w:autoSpaceDE/>
              <w:autoSpaceDN/>
              <w:adjustRightInd/>
              <w:jc w:val="center"/>
              <w:rPr>
                <w:sz w:val="22"/>
                <w:szCs w:val="22"/>
              </w:rPr>
            </w:pPr>
            <w:r>
              <w:rPr>
                <w:sz w:val="22"/>
                <w:szCs w:val="22"/>
              </w:rPr>
              <w:t>100%</w:t>
            </w:r>
          </w:p>
        </w:tc>
        <w:tc>
          <w:tcPr>
            <w:tcW w:w="990" w:type="dxa"/>
            <w:noWrap/>
            <w:vAlign w:val="center"/>
            <w:hideMark/>
          </w:tcPr>
          <w:p w:rsidR="003C367B" w:rsidRPr="008E7F5C" w:rsidP="001F068B" w14:paraId="76774D48" w14:textId="77777777">
            <w:pPr>
              <w:widowControl/>
              <w:autoSpaceDE/>
              <w:autoSpaceDN/>
              <w:adjustRightInd/>
              <w:jc w:val="center"/>
              <w:rPr>
                <w:sz w:val="22"/>
                <w:szCs w:val="22"/>
              </w:rPr>
            </w:pPr>
            <w:r>
              <w:rPr>
                <w:sz w:val="22"/>
                <w:szCs w:val="22"/>
              </w:rPr>
              <w:t>15,941</w:t>
            </w:r>
          </w:p>
        </w:tc>
        <w:tc>
          <w:tcPr>
            <w:tcW w:w="900" w:type="dxa"/>
            <w:noWrap/>
            <w:vAlign w:val="center"/>
            <w:hideMark/>
          </w:tcPr>
          <w:p w:rsidR="003C367B" w:rsidRPr="008E7F5C" w:rsidP="001F068B" w14:paraId="59DCA982" w14:textId="77777777">
            <w:pPr>
              <w:widowControl/>
              <w:autoSpaceDE/>
              <w:autoSpaceDN/>
              <w:adjustRightInd/>
              <w:jc w:val="center"/>
              <w:rPr>
                <w:sz w:val="22"/>
                <w:szCs w:val="22"/>
              </w:rPr>
            </w:pPr>
            <w:r>
              <w:rPr>
                <w:sz w:val="22"/>
                <w:szCs w:val="22"/>
              </w:rPr>
              <w:t>$0.78</w:t>
            </w:r>
          </w:p>
        </w:tc>
        <w:tc>
          <w:tcPr>
            <w:tcW w:w="1756" w:type="dxa"/>
            <w:noWrap/>
            <w:vAlign w:val="center"/>
            <w:hideMark/>
          </w:tcPr>
          <w:p w:rsidR="003C367B" w:rsidRPr="008E7F5C" w:rsidP="001F068B" w14:paraId="015FBEDD" w14:textId="77777777">
            <w:pPr>
              <w:widowControl/>
              <w:autoSpaceDE/>
              <w:autoSpaceDN/>
              <w:adjustRightInd/>
              <w:jc w:val="right"/>
              <w:rPr>
                <w:sz w:val="22"/>
                <w:szCs w:val="22"/>
              </w:rPr>
            </w:pPr>
            <w:r>
              <w:rPr>
                <w:sz w:val="22"/>
                <w:szCs w:val="22"/>
              </w:rPr>
              <w:t>$12,433.98</w:t>
            </w:r>
          </w:p>
        </w:tc>
      </w:tr>
      <w:tr w14:paraId="2B7D90DD" w14:textId="77777777" w:rsidTr="00B56098">
        <w:tblPrEx>
          <w:tblW w:w="9501" w:type="dxa"/>
          <w:tblInd w:w="445" w:type="dxa"/>
          <w:tblLook w:val="04A0"/>
        </w:tblPrEx>
        <w:trPr>
          <w:trHeight w:val="342"/>
        </w:trPr>
        <w:tc>
          <w:tcPr>
            <w:tcW w:w="3605" w:type="dxa"/>
            <w:vAlign w:val="bottom"/>
            <w:hideMark/>
          </w:tcPr>
          <w:p w:rsidR="003C367B" w:rsidRPr="008E7F5C" w:rsidP="001F068B" w14:paraId="4FA5AA39" w14:textId="77777777">
            <w:pPr>
              <w:widowControl/>
              <w:autoSpaceDE/>
              <w:autoSpaceDN/>
              <w:adjustRightInd/>
              <w:rPr>
                <w:sz w:val="22"/>
                <w:szCs w:val="22"/>
              </w:rPr>
            </w:pPr>
            <w:r w:rsidRPr="008E7F5C">
              <w:rPr>
                <w:sz w:val="22"/>
                <w:szCs w:val="22"/>
              </w:rPr>
              <w:t>Plans Send IRO Documentation</w:t>
            </w:r>
          </w:p>
        </w:tc>
        <w:tc>
          <w:tcPr>
            <w:tcW w:w="1170" w:type="dxa"/>
            <w:noWrap/>
            <w:vAlign w:val="center"/>
            <w:hideMark/>
          </w:tcPr>
          <w:p w:rsidR="003C367B" w:rsidRPr="008E7F5C" w:rsidP="001F068B" w14:paraId="21803E60" w14:textId="77777777">
            <w:pPr>
              <w:widowControl/>
              <w:autoSpaceDE/>
              <w:autoSpaceDN/>
              <w:adjustRightInd/>
              <w:jc w:val="center"/>
              <w:rPr>
                <w:sz w:val="22"/>
                <w:szCs w:val="22"/>
              </w:rPr>
            </w:pPr>
            <w:r>
              <w:rPr>
                <w:sz w:val="22"/>
                <w:szCs w:val="22"/>
              </w:rPr>
              <w:t>11,956</w:t>
            </w:r>
          </w:p>
        </w:tc>
        <w:tc>
          <w:tcPr>
            <w:tcW w:w="1080" w:type="dxa"/>
            <w:vAlign w:val="center"/>
            <w:hideMark/>
          </w:tcPr>
          <w:p w:rsidR="003C367B" w:rsidRPr="008E7F5C" w:rsidP="001F068B" w14:paraId="4FE5B168" w14:textId="77777777">
            <w:pPr>
              <w:widowControl/>
              <w:autoSpaceDE/>
              <w:autoSpaceDN/>
              <w:adjustRightInd/>
              <w:jc w:val="center"/>
              <w:rPr>
                <w:sz w:val="22"/>
                <w:szCs w:val="22"/>
              </w:rPr>
            </w:pPr>
            <w:r>
              <w:rPr>
                <w:sz w:val="22"/>
                <w:szCs w:val="22"/>
              </w:rPr>
              <w:t>100%</w:t>
            </w:r>
          </w:p>
        </w:tc>
        <w:tc>
          <w:tcPr>
            <w:tcW w:w="990" w:type="dxa"/>
            <w:noWrap/>
            <w:vAlign w:val="center"/>
            <w:hideMark/>
          </w:tcPr>
          <w:p w:rsidR="003C367B" w:rsidRPr="008E7F5C" w:rsidP="001F068B" w14:paraId="39D3B607" w14:textId="77777777">
            <w:pPr>
              <w:widowControl/>
              <w:autoSpaceDE/>
              <w:autoSpaceDN/>
              <w:adjustRightInd/>
              <w:jc w:val="center"/>
              <w:rPr>
                <w:sz w:val="22"/>
                <w:szCs w:val="22"/>
              </w:rPr>
            </w:pPr>
            <w:r>
              <w:rPr>
                <w:sz w:val="22"/>
                <w:szCs w:val="22"/>
              </w:rPr>
              <w:t>11,956</w:t>
            </w:r>
          </w:p>
        </w:tc>
        <w:tc>
          <w:tcPr>
            <w:tcW w:w="900" w:type="dxa"/>
            <w:noWrap/>
            <w:vAlign w:val="bottom"/>
            <w:hideMark/>
          </w:tcPr>
          <w:p w:rsidR="003C367B" w:rsidRPr="008E7F5C" w:rsidP="001F068B" w14:paraId="09FAFCD1" w14:textId="77777777">
            <w:pPr>
              <w:widowControl/>
              <w:autoSpaceDE/>
              <w:autoSpaceDN/>
              <w:adjustRightInd/>
              <w:jc w:val="center"/>
              <w:rPr>
                <w:sz w:val="22"/>
                <w:szCs w:val="22"/>
              </w:rPr>
            </w:pPr>
            <w:r>
              <w:rPr>
                <w:sz w:val="22"/>
                <w:szCs w:val="22"/>
              </w:rPr>
              <w:t>$1.73</w:t>
            </w:r>
          </w:p>
        </w:tc>
        <w:tc>
          <w:tcPr>
            <w:tcW w:w="1756" w:type="dxa"/>
            <w:noWrap/>
            <w:vAlign w:val="center"/>
            <w:hideMark/>
          </w:tcPr>
          <w:p w:rsidR="003C367B" w:rsidRPr="008E7F5C" w:rsidP="001F068B" w14:paraId="7CC1A255" w14:textId="77777777">
            <w:pPr>
              <w:widowControl/>
              <w:autoSpaceDE/>
              <w:autoSpaceDN/>
              <w:adjustRightInd/>
              <w:jc w:val="right"/>
              <w:rPr>
                <w:sz w:val="22"/>
                <w:szCs w:val="22"/>
              </w:rPr>
            </w:pPr>
            <w:r>
              <w:rPr>
                <w:sz w:val="22"/>
                <w:szCs w:val="22"/>
              </w:rPr>
              <w:t>$20,683.88</w:t>
            </w:r>
          </w:p>
        </w:tc>
      </w:tr>
      <w:tr w14:paraId="3E47FC83" w14:textId="77777777" w:rsidTr="00B56098">
        <w:tblPrEx>
          <w:tblW w:w="9501" w:type="dxa"/>
          <w:tblInd w:w="445" w:type="dxa"/>
          <w:tblLook w:val="04A0"/>
        </w:tblPrEx>
        <w:trPr>
          <w:trHeight w:val="378"/>
        </w:trPr>
        <w:tc>
          <w:tcPr>
            <w:tcW w:w="3605" w:type="dxa"/>
            <w:vAlign w:val="bottom"/>
            <w:hideMark/>
          </w:tcPr>
          <w:p w:rsidR="003C367B" w:rsidRPr="008E7F5C" w:rsidP="001F068B" w14:paraId="0B2B3D0A" w14:textId="77777777">
            <w:pPr>
              <w:widowControl/>
              <w:autoSpaceDE/>
              <w:autoSpaceDN/>
              <w:adjustRightInd/>
              <w:rPr>
                <w:sz w:val="22"/>
                <w:szCs w:val="22"/>
              </w:rPr>
            </w:pPr>
            <w:r w:rsidRPr="008E7F5C">
              <w:rPr>
                <w:sz w:val="22"/>
                <w:szCs w:val="22"/>
              </w:rPr>
              <w:t>IROs Send Claimants Eligibility Notice</w:t>
            </w:r>
          </w:p>
        </w:tc>
        <w:tc>
          <w:tcPr>
            <w:tcW w:w="1170" w:type="dxa"/>
            <w:noWrap/>
            <w:vAlign w:val="center"/>
            <w:hideMark/>
          </w:tcPr>
          <w:p w:rsidR="003C367B" w:rsidRPr="008E7F5C" w:rsidP="001F068B" w14:paraId="14D15871" w14:textId="77777777">
            <w:pPr>
              <w:widowControl/>
              <w:autoSpaceDE/>
              <w:autoSpaceDN/>
              <w:adjustRightInd/>
              <w:jc w:val="center"/>
              <w:rPr>
                <w:sz w:val="22"/>
                <w:szCs w:val="22"/>
              </w:rPr>
            </w:pPr>
            <w:r>
              <w:rPr>
                <w:sz w:val="22"/>
                <w:szCs w:val="22"/>
              </w:rPr>
              <w:t>11,956</w:t>
            </w:r>
          </w:p>
        </w:tc>
        <w:tc>
          <w:tcPr>
            <w:tcW w:w="1080" w:type="dxa"/>
            <w:vAlign w:val="center"/>
            <w:hideMark/>
          </w:tcPr>
          <w:p w:rsidR="003C367B" w:rsidRPr="008E7F5C" w:rsidP="001F068B" w14:paraId="3E3A962E" w14:textId="77777777">
            <w:pPr>
              <w:widowControl/>
              <w:autoSpaceDE/>
              <w:autoSpaceDN/>
              <w:adjustRightInd/>
              <w:jc w:val="center"/>
              <w:rPr>
                <w:sz w:val="22"/>
                <w:szCs w:val="22"/>
              </w:rPr>
            </w:pPr>
            <w:r>
              <w:rPr>
                <w:sz w:val="22"/>
                <w:szCs w:val="22"/>
              </w:rPr>
              <w:t>100%</w:t>
            </w:r>
          </w:p>
        </w:tc>
        <w:tc>
          <w:tcPr>
            <w:tcW w:w="990" w:type="dxa"/>
            <w:noWrap/>
            <w:vAlign w:val="center"/>
            <w:hideMark/>
          </w:tcPr>
          <w:p w:rsidR="003C367B" w:rsidRPr="008E7F5C" w:rsidP="001F068B" w14:paraId="68A04637" w14:textId="77777777">
            <w:pPr>
              <w:widowControl/>
              <w:autoSpaceDE/>
              <w:autoSpaceDN/>
              <w:adjustRightInd/>
              <w:jc w:val="center"/>
              <w:rPr>
                <w:sz w:val="22"/>
                <w:szCs w:val="22"/>
              </w:rPr>
            </w:pPr>
            <w:r>
              <w:rPr>
                <w:sz w:val="22"/>
                <w:szCs w:val="22"/>
              </w:rPr>
              <w:t>11,956</w:t>
            </w:r>
          </w:p>
        </w:tc>
        <w:tc>
          <w:tcPr>
            <w:tcW w:w="900" w:type="dxa"/>
            <w:noWrap/>
            <w:vAlign w:val="center"/>
            <w:hideMark/>
          </w:tcPr>
          <w:p w:rsidR="003C367B" w:rsidRPr="008E7F5C" w:rsidP="001F068B" w14:paraId="67B28E36" w14:textId="77777777">
            <w:pPr>
              <w:widowControl/>
              <w:autoSpaceDE/>
              <w:autoSpaceDN/>
              <w:adjustRightInd/>
              <w:jc w:val="center"/>
              <w:rPr>
                <w:sz w:val="22"/>
                <w:szCs w:val="22"/>
              </w:rPr>
            </w:pPr>
            <w:r>
              <w:rPr>
                <w:sz w:val="22"/>
                <w:szCs w:val="22"/>
              </w:rPr>
              <w:t>$0.78</w:t>
            </w:r>
          </w:p>
        </w:tc>
        <w:tc>
          <w:tcPr>
            <w:tcW w:w="1756" w:type="dxa"/>
            <w:noWrap/>
            <w:vAlign w:val="center"/>
            <w:hideMark/>
          </w:tcPr>
          <w:p w:rsidR="003C367B" w:rsidRPr="008E7F5C" w:rsidP="001F068B" w14:paraId="48068C7A" w14:textId="77777777">
            <w:pPr>
              <w:widowControl/>
              <w:autoSpaceDE/>
              <w:autoSpaceDN/>
              <w:adjustRightInd/>
              <w:jc w:val="right"/>
              <w:rPr>
                <w:sz w:val="22"/>
                <w:szCs w:val="22"/>
              </w:rPr>
            </w:pPr>
            <w:r>
              <w:rPr>
                <w:sz w:val="22"/>
                <w:szCs w:val="22"/>
              </w:rPr>
              <w:t>$9,325.68</w:t>
            </w:r>
          </w:p>
        </w:tc>
      </w:tr>
      <w:tr w14:paraId="4DB43B5A" w14:textId="77777777" w:rsidTr="00B56098">
        <w:tblPrEx>
          <w:tblW w:w="9501" w:type="dxa"/>
          <w:tblInd w:w="445" w:type="dxa"/>
          <w:tblLook w:val="04A0"/>
        </w:tblPrEx>
        <w:trPr>
          <w:trHeight w:val="612"/>
        </w:trPr>
        <w:tc>
          <w:tcPr>
            <w:tcW w:w="3605" w:type="dxa"/>
            <w:vAlign w:val="bottom"/>
            <w:hideMark/>
          </w:tcPr>
          <w:p w:rsidR="003C367B" w:rsidRPr="008E7F5C" w:rsidP="001F068B" w14:paraId="6AAEFF69" w14:textId="77777777">
            <w:pPr>
              <w:widowControl/>
              <w:autoSpaceDE/>
              <w:autoSpaceDN/>
              <w:adjustRightInd/>
              <w:rPr>
                <w:sz w:val="22"/>
                <w:szCs w:val="22"/>
              </w:rPr>
            </w:pPr>
            <w:r w:rsidRPr="008E7F5C">
              <w:rPr>
                <w:sz w:val="22"/>
                <w:szCs w:val="22"/>
              </w:rPr>
              <w:t>IROs Send Plans Documentation from Claimants</w:t>
            </w:r>
          </w:p>
        </w:tc>
        <w:tc>
          <w:tcPr>
            <w:tcW w:w="1170" w:type="dxa"/>
            <w:noWrap/>
            <w:vAlign w:val="center"/>
            <w:hideMark/>
          </w:tcPr>
          <w:p w:rsidR="003C367B" w:rsidRPr="008E7F5C" w:rsidP="00B56098" w14:paraId="56894678" w14:textId="77777777">
            <w:pPr>
              <w:widowControl/>
              <w:autoSpaceDE/>
              <w:autoSpaceDN/>
              <w:adjustRightInd/>
              <w:jc w:val="center"/>
              <w:rPr>
                <w:sz w:val="22"/>
                <w:szCs w:val="22"/>
              </w:rPr>
            </w:pPr>
            <w:r>
              <w:rPr>
                <w:sz w:val="22"/>
                <w:szCs w:val="22"/>
              </w:rPr>
              <w:t>5,978</w:t>
            </w:r>
          </w:p>
        </w:tc>
        <w:tc>
          <w:tcPr>
            <w:tcW w:w="1080" w:type="dxa"/>
            <w:vAlign w:val="center"/>
            <w:hideMark/>
          </w:tcPr>
          <w:p w:rsidR="003C367B" w:rsidRPr="008E7F5C" w:rsidP="00B56098" w14:paraId="6B6155F0" w14:textId="77777777">
            <w:pPr>
              <w:widowControl/>
              <w:autoSpaceDE/>
              <w:autoSpaceDN/>
              <w:adjustRightInd/>
              <w:jc w:val="center"/>
              <w:rPr>
                <w:sz w:val="22"/>
                <w:szCs w:val="22"/>
              </w:rPr>
            </w:pPr>
            <w:r>
              <w:rPr>
                <w:sz w:val="22"/>
                <w:szCs w:val="22"/>
              </w:rPr>
              <w:t>100%</w:t>
            </w:r>
          </w:p>
        </w:tc>
        <w:tc>
          <w:tcPr>
            <w:tcW w:w="990" w:type="dxa"/>
            <w:noWrap/>
            <w:vAlign w:val="center"/>
            <w:hideMark/>
          </w:tcPr>
          <w:p w:rsidR="003C367B" w:rsidRPr="008E7F5C" w:rsidP="00B56098" w14:paraId="102ACB0E" w14:textId="77777777">
            <w:pPr>
              <w:widowControl/>
              <w:autoSpaceDE/>
              <w:autoSpaceDN/>
              <w:adjustRightInd/>
              <w:jc w:val="center"/>
              <w:rPr>
                <w:sz w:val="22"/>
                <w:szCs w:val="22"/>
              </w:rPr>
            </w:pPr>
            <w:r>
              <w:rPr>
                <w:sz w:val="22"/>
                <w:szCs w:val="22"/>
              </w:rPr>
              <w:t>5,978</w:t>
            </w:r>
          </w:p>
        </w:tc>
        <w:tc>
          <w:tcPr>
            <w:tcW w:w="900" w:type="dxa"/>
            <w:noWrap/>
            <w:vAlign w:val="center"/>
            <w:hideMark/>
          </w:tcPr>
          <w:p w:rsidR="003C367B" w:rsidRPr="008E7F5C" w:rsidP="00B56098" w14:paraId="54BC9D18" w14:textId="77777777">
            <w:pPr>
              <w:widowControl/>
              <w:autoSpaceDE/>
              <w:autoSpaceDN/>
              <w:adjustRightInd/>
              <w:jc w:val="center"/>
              <w:rPr>
                <w:sz w:val="22"/>
                <w:szCs w:val="22"/>
              </w:rPr>
            </w:pPr>
            <w:r>
              <w:rPr>
                <w:sz w:val="22"/>
                <w:szCs w:val="22"/>
              </w:rPr>
              <w:t>$1.23</w:t>
            </w:r>
          </w:p>
        </w:tc>
        <w:tc>
          <w:tcPr>
            <w:tcW w:w="1756" w:type="dxa"/>
            <w:noWrap/>
            <w:vAlign w:val="center"/>
            <w:hideMark/>
          </w:tcPr>
          <w:p w:rsidR="003C367B" w:rsidRPr="008E7F5C" w:rsidP="00B56098" w14:paraId="62E386B8" w14:textId="77777777">
            <w:pPr>
              <w:widowControl/>
              <w:autoSpaceDE/>
              <w:autoSpaceDN/>
              <w:adjustRightInd/>
              <w:jc w:val="center"/>
              <w:rPr>
                <w:sz w:val="22"/>
                <w:szCs w:val="22"/>
              </w:rPr>
            </w:pPr>
            <w:r>
              <w:rPr>
                <w:sz w:val="22"/>
                <w:szCs w:val="22"/>
              </w:rPr>
              <w:t>$7,352.94</w:t>
            </w:r>
          </w:p>
        </w:tc>
      </w:tr>
      <w:tr w14:paraId="0324E150" w14:textId="77777777" w:rsidTr="00B56098">
        <w:tblPrEx>
          <w:tblW w:w="9501" w:type="dxa"/>
          <w:tblInd w:w="445" w:type="dxa"/>
          <w:tblLook w:val="04A0"/>
        </w:tblPrEx>
        <w:trPr>
          <w:trHeight w:val="558"/>
        </w:trPr>
        <w:tc>
          <w:tcPr>
            <w:tcW w:w="3605" w:type="dxa"/>
            <w:vAlign w:val="bottom"/>
            <w:hideMark/>
          </w:tcPr>
          <w:p w:rsidR="003C367B" w:rsidRPr="008E7F5C" w:rsidP="001F068B" w14:paraId="1655C4DD" w14:textId="77777777">
            <w:pPr>
              <w:widowControl/>
              <w:autoSpaceDE/>
              <w:autoSpaceDN/>
              <w:adjustRightInd/>
              <w:rPr>
                <w:sz w:val="22"/>
                <w:szCs w:val="22"/>
              </w:rPr>
            </w:pPr>
            <w:r w:rsidRPr="008E7F5C">
              <w:rPr>
                <w:sz w:val="22"/>
                <w:szCs w:val="22"/>
              </w:rPr>
              <w:t>IROs Notify Claimant and Plan of Final External Appeal Outcome</w:t>
            </w:r>
          </w:p>
        </w:tc>
        <w:tc>
          <w:tcPr>
            <w:tcW w:w="1170" w:type="dxa"/>
            <w:noWrap/>
            <w:vAlign w:val="center"/>
            <w:hideMark/>
          </w:tcPr>
          <w:p w:rsidR="003C367B" w:rsidRPr="008E7F5C" w:rsidP="00B56098" w14:paraId="736E0B9A" w14:textId="77777777">
            <w:pPr>
              <w:widowControl/>
              <w:autoSpaceDE/>
              <w:autoSpaceDN/>
              <w:adjustRightInd/>
              <w:jc w:val="center"/>
              <w:rPr>
                <w:sz w:val="22"/>
                <w:szCs w:val="22"/>
              </w:rPr>
            </w:pPr>
            <w:r>
              <w:rPr>
                <w:sz w:val="22"/>
                <w:szCs w:val="22"/>
              </w:rPr>
              <w:t>11,956</w:t>
            </w:r>
          </w:p>
        </w:tc>
        <w:tc>
          <w:tcPr>
            <w:tcW w:w="1080" w:type="dxa"/>
            <w:vAlign w:val="center"/>
            <w:hideMark/>
          </w:tcPr>
          <w:p w:rsidR="003C367B" w:rsidRPr="008E7F5C" w:rsidP="00B56098" w14:paraId="5FC0116C" w14:textId="77777777">
            <w:pPr>
              <w:widowControl/>
              <w:autoSpaceDE/>
              <w:autoSpaceDN/>
              <w:adjustRightInd/>
              <w:jc w:val="center"/>
              <w:rPr>
                <w:sz w:val="22"/>
                <w:szCs w:val="22"/>
              </w:rPr>
            </w:pPr>
            <w:r>
              <w:rPr>
                <w:sz w:val="22"/>
                <w:szCs w:val="22"/>
              </w:rPr>
              <w:t>100%</w:t>
            </w:r>
          </w:p>
        </w:tc>
        <w:tc>
          <w:tcPr>
            <w:tcW w:w="990" w:type="dxa"/>
            <w:noWrap/>
            <w:vAlign w:val="center"/>
            <w:hideMark/>
          </w:tcPr>
          <w:p w:rsidR="003C367B" w:rsidRPr="008E7F5C" w:rsidP="00B56098" w14:paraId="66694D73" w14:textId="77777777">
            <w:pPr>
              <w:widowControl/>
              <w:autoSpaceDE/>
              <w:autoSpaceDN/>
              <w:adjustRightInd/>
              <w:jc w:val="center"/>
              <w:rPr>
                <w:sz w:val="22"/>
                <w:szCs w:val="22"/>
              </w:rPr>
            </w:pPr>
            <w:r>
              <w:rPr>
                <w:sz w:val="22"/>
                <w:szCs w:val="22"/>
              </w:rPr>
              <w:t>11,956</w:t>
            </w:r>
          </w:p>
        </w:tc>
        <w:tc>
          <w:tcPr>
            <w:tcW w:w="900" w:type="dxa"/>
            <w:noWrap/>
            <w:vAlign w:val="center"/>
            <w:hideMark/>
          </w:tcPr>
          <w:p w:rsidR="003C367B" w:rsidRPr="008E7F5C" w:rsidP="00B56098" w14:paraId="70CD2039" w14:textId="77777777">
            <w:pPr>
              <w:widowControl/>
              <w:autoSpaceDE/>
              <w:autoSpaceDN/>
              <w:adjustRightInd/>
              <w:jc w:val="center"/>
              <w:rPr>
                <w:sz w:val="22"/>
                <w:szCs w:val="22"/>
              </w:rPr>
            </w:pPr>
            <w:r>
              <w:rPr>
                <w:sz w:val="22"/>
                <w:szCs w:val="22"/>
              </w:rPr>
              <w:t>$1.23</w:t>
            </w:r>
          </w:p>
        </w:tc>
        <w:tc>
          <w:tcPr>
            <w:tcW w:w="1756" w:type="dxa"/>
            <w:noWrap/>
            <w:vAlign w:val="center"/>
            <w:hideMark/>
          </w:tcPr>
          <w:p w:rsidR="003C367B" w:rsidRPr="008E7F5C" w:rsidP="00B56098" w14:paraId="085A16AF" w14:textId="77777777">
            <w:pPr>
              <w:widowControl/>
              <w:autoSpaceDE/>
              <w:autoSpaceDN/>
              <w:adjustRightInd/>
              <w:jc w:val="center"/>
              <w:rPr>
                <w:sz w:val="22"/>
                <w:szCs w:val="22"/>
              </w:rPr>
            </w:pPr>
            <w:r>
              <w:rPr>
                <w:sz w:val="22"/>
                <w:szCs w:val="22"/>
              </w:rPr>
              <w:t>$14,705.88</w:t>
            </w:r>
          </w:p>
        </w:tc>
      </w:tr>
      <w:tr w14:paraId="70ECEEE6" w14:textId="77777777" w:rsidTr="00B56098">
        <w:tblPrEx>
          <w:tblW w:w="9501" w:type="dxa"/>
          <w:tblInd w:w="445" w:type="dxa"/>
          <w:tblLook w:val="04A0"/>
        </w:tblPrEx>
        <w:trPr>
          <w:trHeight w:val="332"/>
        </w:trPr>
        <w:tc>
          <w:tcPr>
            <w:tcW w:w="3605" w:type="dxa"/>
            <w:noWrap/>
            <w:vAlign w:val="bottom"/>
            <w:hideMark/>
          </w:tcPr>
          <w:p w:rsidR="003C367B" w:rsidRPr="008E7F5C" w:rsidP="003C367B" w14:paraId="38E47435" w14:textId="179951AC">
            <w:pPr>
              <w:widowControl/>
              <w:autoSpaceDE/>
              <w:autoSpaceDN/>
              <w:adjustRightInd/>
              <w:jc w:val="right"/>
              <w:rPr>
                <w:sz w:val="22"/>
                <w:szCs w:val="22"/>
              </w:rPr>
            </w:pPr>
            <w:r w:rsidRPr="008E7F5C">
              <w:rPr>
                <w:sz w:val="22"/>
                <w:szCs w:val="22"/>
              </w:rPr>
              <w:t>Three-Year Total</w:t>
            </w:r>
          </w:p>
        </w:tc>
        <w:tc>
          <w:tcPr>
            <w:tcW w:w="1170" w:type="dxa"/>
            <w:noWrap/>
            <w:vAlign w:val="center"/>
            <w:hideMark/>
          </w:tcPr>
          <w:p w:rsidR="003C367B" w:rsidRPr="008E7F5C" w:rsidP="00B56098" w14:paraId="2F4AED4C" w14:textId="77777777">
            <w:pPr>
              <w:widowControl/>
              <w:autoSpaceDE/>
              <w:autoSpaceDN/>
              <w:adjustRightInd/>
              <w:jc w:val="center"/>
              <w:rPr>
                <w:sz w:val="22"/>
                <w:szCs w:val="22"/>
              </w:rPr>
            </w:pPr>
            <w:r>
              <w:rPr>
                <w:sz w:val="22"/>
                <w:szCs w:val="22"/>
              </w:rPr>
              <w:t>53,802</w:t>
            </w:r>
          </w:p>
        </w:tc>
        <w:tc>
          <w:tcPr>
            <w:tcW w:w="1080" w:type="dxa"/>
            <w:shd w:val="clear" w:color="auto" w:fill="A6A6A6" w:themeFill="background1" w:themeFillShade="A6"/>
            <w:noWrap/>
            <w:vAlign w:val="center"/>
          </w:tcPr>
          <w:p w:rsidR="003C367B" w:rsidRPr="008E7F5C" w:rsidP="00B56098" w14:paraId="687E577F" w14:textId="55B7B177">
            <w:pPr>
              <w:widowControl/>
              <w:autoSpaceDE/>
              <w:autoSpaceDN/>
              <w:adjustRightInd/>
              <w:jc w:val="center"/>
              <w:rPr>
                <w:sz w:val="22"/>
                <w:szCs w:val="22"/>
              </w:rPr>
            </w:pPr>
          </w:p>
        </w:tc>
        <w:tc>
          <w:tcPr>
            <w:tcW w:w="990" w:type="dxa"/>
            <w:noWrap/>
            <w:vAlign w:val="center"/>
            <w:hideMark/>
          </w:tcPr>
          <w:p w:rsidR="003C367B" w:rsidRPr="008E7F5C" w:rsidP="00B56098" w14:paraId="51EF89A3" w14:textId="77777777">
            <w:pPr>
              <w:widowControl/>
              <w:autoSpaceDE/>
              <w:autoSpaceDN/>
              <w:adjustRightInd/>
              <w:jc w:val="center"/>
              <w:rPr>
                <w:sz w:val="22"/>
                <w:szCs w:val="22"/>
              </w:rPr>
            </w:pPr>
            <w:r>
              <w:rPr>
                <w:sz w:val="22"/>
                <w:szCs w:val="22"/>
              </w:rPr>
              <w:t>53,802</w:t>
            </w:r>
          </w:p>
        </w:tc>
        <w:tc>
          <w:tcPr>
            <w:tcW w:w="900" w:type="dxa"/>
            <w:shd w:val="clear" w:color="auto" w:fill="A6A6A6" w:themeFill="background1" w:themeFillShade="A6"/>
            <w:noWrap/>
            <w:vAlign w:val="center"/>
          </w:tcPr>
          <w:p w:rsidR="003C367B" w:rsidRPr="008E7F5C" w:rsidP="00B56098" w14:paraId="6D801EA2" w14:textId="5909921A">
            <w:pPr>
              <w:widowControl/>
              <w:autoSpaceDE/>
              <w:autoSpaceDN/>
              <w:adjustRightInd/>
              <w:jc w:val="center"/>
              <w:rPr>
                <w:sz w:val="22"/>
                <w:szCs w:val="22"/>
              </w:rPr>
            </w:pPr>
          </w:p>
        </w:tc>
        <w:tc>
          <w:tcPr>
            <w:tcW w:w="1756" w:type="dxa"/>
            <w:noWrap/>
            <w:vAlign w:val="center"/>
            <w:hideMark/>
          </w:tcPr>
          <w:p w:rsidR="003C367B" w:rsidRPr="008E7F5C" w:rsidP="00B56098" w14:paraId="672426AF" w14:textId="77777777">
            <w:pPr>
              <w:widowControl/>
              <w:autoSpaceDE/>
              <w:autoSpaceDN/>
              <w:adjustRightInd/>
              <w:jc w:val="center"/>
              <w:rPr>
                <w:sz w:val="22"/>
                <w:szCs w:val="22"/>
              </w:rPr>
            </w:pPr>
            <w:r>
              <w:rPr>
                <w:sz w:val="22"/>
                <w:szCs w:val="22"/>
              </w:rPr>
              <w:t>$193,507</w:t>
            </w:r>
          </w:p>
        </w:tc>
      </w:tr>
      <w:tr w14:paraId="3DC07D26" w14:textId="77777777" w:rsidTr="00B56098">
        <w:tblPrEx>
          <w:tblW w:w="9501" w:type="dxa"/>
          <w:tblInd w:w="445" w:type="dxa"/>
          <w:tblLook w:val="04A0"/>
        </w:tblPrEx>
        <w:trPr>
          <w:trHeight w:val="270"/>
        </w:trPr>
        <w:tc>
          <w:tcPr>
            <w:tcW w:w="3605" w:type="dxa"/>
            <w:noWrap/>
            <w:vAlign w:val="bottom"/>
            <w:hideMark/>
          </w:tcPr>
          <w:p w:rsidR="003C367B" w:rsidRPr="003C367B" w:rsidP="003C367B" w14:paraId="4C95D9E7" w14:textId="6FDEFFD5">
            <w:pPr>
              <w:widowControl/>
              <w:autoSpaceDE/>
              <w:autoSpaceDN/>
              <w:adjustRightInd/>
              <w:jc w:val="right"/>
              <w:rPr>
                <w:b/>
                <w:bCs/>
                <w:sz w:val="22"/>
                <w:szCs w:val="22"/>
              </w:rPr>
            </w:pPr>
            <w:r w:rsidRPr="003C367B">
              <w:rPr>
                <w:b/>
                <w:bCs/>
                <w:sz w:val="22"/>
                <w:szCs w:val="22"/>
              </w:rPr>
              <w:t>Annual Average</w:t>
            </w:r>
          </w:p>
        </w:tc>
        <w:tc>
          <w:tcPr>
            <w:tcW w:w="1170" w:type="dxa"/>
            <w:noWrap/>
            <w:vAlign w:val="center"/>
            <w:hideMark/>
          </w:tcPr>
          <w:p w:rsidR="003C367B" w:rsidRPr="003C367B" w:rsidP="00B56098" w14:paraId="2BD53F92" w14:textId="77777777">
            <w:pPr>
              <w:widowControl/>
              <w:autoSpaceDE/>
              <w:autoSpaceDN/>
              <w:adjustRightInd/>
              <w:jc w:val="center"/>
              <w:rPr>
                <w:b/>
                <w:bCs/>
                <w:sz w:val="22"/>
                <w:szCs w:val="22"/>
              </w:rPr>
            </w:pPr>
            <w:r w:rsidRPr="003C367B">
              <w:rPr>
                <w:b/>
                <w:bCs/>
                <w:sz w:val="22"/>
                <w:szCs w:val="22"/>
              </w:rPr>
              <w:t>17,934</w:t>
            </w:r>
          </w:p>
        </w:tc>
        <w:tc>
          <w:tcPr>
            <w:tcW w:w="1080" w:type="dxa"/>
            <w:shd w:val="clear" w:color="auto" w:fill="A6A6A6" w:themeFill="background1" w:themeFillShade="A6"/>
            <w:noWrap/>
            <w:vAlign w:val="center"/>
          </w:tcPr>
          <w:p w:rsidR="003C367B" w:rsidRPr="003C367B" w:rsidP="00B56098" w14:paraId="2EF496E9" w14:textId="031FF9D3">
            <w:pPr>
              <w:widowControl/>
              <w:autoSpaceDE/>
              <w:autoSpaceDN/>
              <w:adjustRightInd/>
              <w:jc w:val="center"/>
              <w:rPr>
                <w:b/>
                <w:bCs/>
                <w:sz w:val="22"/>
                <w:szCs w:val="22"/>
              </w:rPr>
            </w:pPr>
          </w:p>
        </w:tc>
        <w:tc>
          <w:tcPr>
            <w:tcW w:w="990" w:type="dxa"/>
            <w:noWrap/>
            <w:vAlign w:val="center"/>
            <w:hideMark/>
          </w:tcPr>
          <w:p w:rsidR="003C367B" w:rsidRPr="003C367B" w:rsidP="00B56098" w14:paraId="784E3E6F" w14:textId="77777777">
            <w:pPr>
              <w:widowControl/>
              <w:autoSpaceDE/>
              <w:autoSpaceDN/>
              <w:adjustRightInd/>
              <w:jc w:val="center"/>
              <w:rPr>
                <w:b/>
                <w:bCs/>
                <w:sz w:val="22"/>
                <w:szCs w:val="22"/>
              </w:rPr>
            </w:pPr>
            <w:r w:rsidRPr="003C367B">
              <w:rPr>
                <w:b/>
                <w:bCs/>
                <w:sz w:val="22"/>
                <w:szCs w:val="22"/>
              </w:rPr>
              <w:t>17,934</w:t>
            </w:r>
          </w:p>
        </w:tc>
        <w:tc>
          <w:tcPr>
            <w:tcW w:w="900" w:type="dxa"/>
            <w:shd w:val="clear" w:color="auto" w:fill="A6A6A6" w:themeFill="background1" w:themeFillShade="A6"/>
            <w:noWrap/>
            <w:vAlign w:val="center"/>
          </w:tcPr>
          <w:p w:rsidR="003C367B" w:rsidRPr="003C367B" w:rsidP="00B56098" w14:paraId="6CBE27B3" w14:textId="5F36D5DF">
            <w:pPr>
              <w:widowControl/>
              <w:autoSpaceDE/>
              <w:autoSpaceDN/>
              <w:adjustRightInd/>
              <w:jc w:val="center"/>
              <w:rPr>
                <w:b/>
                <w:bCs/>
                <w:sz w:val="22"/>
                <w:szCs w:val="22"/>
              </w:rPr>
            </w:pPr>
          </w:p>
        </w:tc>
        <w:tc>
          <w:tcPr>
            <w:tcW w:w="1756" w:type="dxa"/>
            <w:noWrap/>
            <w:vAlign w:val="center"/>
            <w:hideMark/>
          </w:tcPr>
          <w:p w:rsidR="003C367B" w:rsidRPr="003C367B" w:rsidP="00B56098" w14:paraId="5605F623" w14:textId="77777777">
            <w:pPr>
              <w:widowControl/>
              <w:autoSpaceDE/>
              <w:autoSpaceDN/>
              <w:adjustRightInd/>
              <w:jc w:val="center"/>
              <w:rPr>
                <w:b/>
                <w:bCs/>
                <w:sz w:val="22"/>
                <w:szCs w:val="22"/>
              </w:rPr>
            </w:pPr>
            <w:r w:rsidRPr="003C367B">
              <w:rPr>
                <w:b/>
                <w:bCs/>
                <w:sz w:val="22"/>
                <w:szCs w:val="22"/>
              </w:rPr>
              <w:t>$64,502</w:t>
            </w:r>
          </w:p>
        </w:tc>
      </w:tr>
    </w:tbl>
    <w:p w:rsidR="003C367B" w:rsidP="003C367B" w14:paraId="25ADC73E" w14:textId="77777777">
      <w:pPr>
        <w:ind w:left="360"/>
      </w:pPr>
    </w:p>
    <w:p w:rsidR="009E1E10" w:rsidRPr="00C96F49" w:rsidP="00B56098" w14:paraId="149C5458" w14:textId="77777777">
      <w:pPr>
        <w:rPr>
          <w:b/>
        </w:rPr>
      </w:pPr>
    </w:p>
    <w:p w:rsidR="009E1E10" w:rsidRPr="00367F70" w:rsidP="00AB7117" w14:paraId="4C5C6F9C" w14:textId="77777777">
      <w:pPr>
        <w:ind w:left="360"/>
        <w:rPr>
          <w:b/>
          <w:u w:val="single"/>
        </w:rPr>
      </w:pPr>
      <w:r w:rsidRPr="00367F70">
        <w:rPr>
          <w:b/>
          <w:u w:val="single"/>
        </w:rPr>
        <w:t>Summary</w:t>
      </w:r>
    </w:p>
    <w:p w:rsidR="00367F70" w:rsidRPr="005E208E" w:rsidP="00367F70" w14:paraId="5F0018B1" w14:textId="05BBB663">
      <w:pPr>
        <w:ind w:left="360"/>
      </w:pPr>
      <w:r>
        <w:t xml:space="preserve">In total, the cost burden associated with claims, appeals, language translation, and external review is approximately </w:t>
      </w:r>
      <w:r w:rsidRPr="00BA5AF2">
        <w:t>$1,</w:t>
      </w:r>
      <w:r w:rsidR="00B56098">
        <w:t>227,481</w:t>
      </w:r>
      <w:r>
        <w:t xml:space="preserve"> annually.  </w:t>
      </w:r>
      <w:r w:rsidRPr="00B56098" w:rsidR="00B81C77">
        <w:rPr>
          <w:b/>
          <w:bCs/>
        </w:rPr>
        <w:t xml:space="preserve">Therefore, the Treasury’s share of the cost burden is </w:t>
      </w:r>
      <w:r w:rsidRPr="00B56098">
        <w:rPr>
          <w:b/>
          <w:bCs/>
        </w:rPr>
        <w:t>approximately $</w:t>
      </w:r>
      <w:r w:rsidRPr="00B56098" w:rsidR="00B56098">
        <w:rPr>
          <w:b/>
          <w:bCs/>
        </w:rPr>
        <w:t>613,741</w:t>
      </w:r>
      <w:r w:rsidRPr="00B56098">
        <w:rPr>
          <w:b/>
          <w:bCs/>
        </w:rPr>
        <w:t xml:space="preserve"> annually.</w:t>
      </w:r>
      <w:r w:rsidRPr="00B56098">
        <w:t xml:space="preserve">  </w:t>
      </w:r>
    </w:p>
    <w:p w:rsidR="00A71122" w:rsidRPr="00C96F49" w:rsidP="00AB7117" w14:paraId="074076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p>
    <w:p w:rsidR="00FC2F3E" w:rsidRPr="00AB7117" w:rsidP="00AB7117" w14:paraId="4F1F53FD" w14:textId="75E19DF8">
      <w:pPr>
        <w:widowControl/>
        <w:numPr>
          <w:ilvl w:val="0"/>
          <w:numId w:val="13"/>
        </w:numPr>
        <w:ind w:left="360"/>
        <w:rPr>
          <w:b/>
          <w:iCs/>
          <w:u w:val="single"/>
        </w:rPr>
      </w:pPr>
      <w:r w:rsidRPr="00AB7117">
        <w:rPr>
          <w:b/>
          <w:iCs/>
          <w:u w:val="single"/>
        </w:rPr>
        <w:t>ESTIMATED ANNUALIZED COST TO THE FEDERAL GOVERNMENT</w:t>
      </w:r>
    </w:p>
    <w:p w:rsidR="00FC2F3E" w:rsidRPr="00C96F49" w:rsidP="00AB7117" w14:paraId="7FE5EE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p>
    <w:p w:rsidR="00FC2F3E" w:rsidRPr="00C96F49" w:rsidP="00AB7117" w14:paraId="32F59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C96F49">
        <w:rPr>
          <w:bCs/>
        </w:rPr>
        <w:t>There are no costs to the Federal government associated with this information collection.</w:t>
      </w:r>
    </w:p>
    <w:p w:rsidR="00FC2F3E" w:rsidRPr="00C96F49" w:rsidP="00AB7117" w14:paraId="121D78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p>
    <w:p w:rsidR="00FC2F3E" w:rsidRPr="00AB7117" w:rsidP="00AB7117" w14:paraId="0FA59AD4" w14:textId="75305174">
      <w:pPr>
        <w:widowControl/>
        <w:numPr>
          <w:ilvl w:val="0"/>
          <w:numId w:val="13"/>
        </w:numPr>
        <w:ind w:left="360"/>
        <w:rPr>
          <w:b/>
          <w:iCs/>
          <w:u w:val="single"/>
        </w:rPr>
      </w:pPr>
      <w:r w:rsidRPr="00C96F49">
        <w:rPr>
          <w:b/>
          <w:iCs/>
          <w:u w:val="single"/>
        </w:rPr>
        <w:t>REASONS FOR CHANGE IN BURDEN</w:t>
      </w:r>
    </w:p>
    <w:p w:rsidR="00FC2F3E" w:rsidRPr="00C96F49" w:rsidP="00AB7117" w14:paraId="5F316A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p>
    <w:p w:rsidR="00B56098" w:rsidP="00B56098" w14:paraId="4039E57E" w14:textId="77777777">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bookmarkStart w:id="7" w:name="OLE_LINK4"/>
      <w:r w:rsidRPr="003B66A2">
        <w:t>Adjustments to the burden estimates result from updated estimates on the number of ERISA-covered plans and policyholders and increases in wage rates and postage rates</w:t>
      </w:r>
      <w:r>
        <w:t>, as well as a change to how the number of plans is calculated</w:t>
      </w:r>
      <w:r w:rsidRPr="003B66A2">
        <w:t>.</w:t>
      </w:r>
      <w:r>
        <w:t xml:space="preserve"> </w:t>
      </w:r>
      <w:r w:rsidRPr="003B66A2">
        <w:t xml:space="preserve">These changes result in </w:t>
      </w:r>
      <w:r>
        <w:t>713,149</w:t>
      </w:r>
      <w:r w:rsidRPr="003B66A2">
        <w:t xml:space="preserve"> fewer </w:t>
      </w:r>
      <w:r>
        <w:t>respondents, a decrease of 202,973 responses</w:t>
      </w:r>
      <w:r w:rsidRPr="003B66A2">
        <w:t xml:space="preserve">, </w:t>
      </w:r>
      <w:r>
        <w:t>a decline of</w:t>
      </w:r>
      <w:r w:rsidRPr="003B66A2">
        <w:t xml:space="preserve"> the hour burden by </w:t>
      </w:r>
      <w:r>
        <w:t>677</w:t>
      </w:r>
      <w:r w:rsidRPr="003B66A2">
        <w:t xml:space="preserve"> hours</w:t>
      </w:r>
      <w:r>
        <w:t>,</w:t>
      </w:r>
      <w:r w:rsidRPr="003B66A2">
        <w:t xml:space="preserve"> and </w:t>
      </w:r>
      <w:r>
        <w:t>increase</w:t>
      </w:r>
      <w:r w:rsidRPr="003B66A2">
        <w:t xml:space="preserve"> </w:t>
      </w:r>
      <w:r>
        <w:t xml:space="preserve">of </w:t>
      </w:r>
      <w:r w:rsidRPr="003B66A2">
        <w:t>the cost burden by $</w:t>
      </w:r>
      <w:r>
        <w:t>11,715</w:t>
      </w:r>
      <w:r w:rsidRPr="003B66A2">
        <w:t xml:space="preserve"> compared with the prior submission.</w:t>
      </w:r>
    </w:p>
    <w:bookmarkEnd w:id="7"/>
    <w:p w:rsidR="00B65D7E" w:rsidRPr="00C96F49" w:rsidP="00AB7117" w14:paraId="0EE8A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p>
    <w:p w:rsidR="00FC2F3E" w:rsidRPr="00AB7117" w:rsidP="00AB7117" w14:paraId="0EFAA148" w14:textId="0EA5FB88">
      <w:pPr>
        <w:widowControl/>
        <w:numPr>
          <w:ilvl w:val="0"/>
          <w:numId w:val="13"/>
        </w:numPr>
        <w:ind w:left="360"/>
        <w:rPr>
          <w:b/>
          <w:iCs/>
          <w:u w:val="single"/>
        </w:rPr>
      </w:pPr>
      <w:r w:rsidRPr="00AB7117">
        <w:rPr>
          <w:b/>
          <w:iCs/>
          <w:u w:val="single"/>
        </w:rPr>
        <w:t>PLANS FOR TABULATION, STATISTICAL ANALYSIS AND PUBLICATION</w:t>
      </w:r>
    </w:p>
    <w:p w:rsidR="00FC2F3E" w:rsidRPr="00D706CF" w:rsidP="00AB7117" w14:paraId="4009FD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p>
    <w:p w:rsidR="00FC2F3E" w:rsidRPr="00D706CF" w:rsidP="00AB7117" w14:paraId="5A59A5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D706CF">
        <w:rPr>
          <w:bCs/>
        </w:rPr>
        <w:t>There are no plans to publish the results of this collection of information.</w:t>
      </w:r>
    </w:p>
    <w:p w:rsidR="00FC2F3E" w:rsidRPr="00D706CF" w:rsidP="00AB7117" w14:paraId="3C1F4F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p>
    <w:p w:rsidR="00FC2F3E" w:rsidRPr="00AB7117" w:rsidP="00AB7117" w14:paraId="1838D948" w14:textId="5E178258">
      <w:pPr>
        <w:widowControl/>
        <w:numPr>
          <w:ilvl w:val="0"/>
          <w:numId w:val="13"/>
        </w:numPr>
        <w:ind w:left="360"/>
        <w:rPr>
          <w:b/>
          <w:iCs/>
          <w:u w:val="single"/>
        </w:rPr>
      </w:pPr>
      <w:r w:rsidRPr="00AB7117">
        <w:rPr>
          <w:b/>
          <w:iCs/>
          <w:u w:val="single"/>
        </w:rPr>
        <w:t>REASONS WHY DISPLAYING THE OMB EXPIRATION DATE IS INAPPROPRIATE</w:t>
      </w:r>
    </w:p>
    <w:p w:rsidR="00FC2F3E" w:rsidRPr="00D706CF" w:rsidP="00AB7117" w14:paraId="57F470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p>
    <w:p w:rsidR="00322F90" w:rsidRPr="00D706CF" w:rsidP="00AB7117" w14:paraId="68687D5E" w14:textId="55982B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D706CF">
        <w:rPr>
          <w:bCs/>
        </w:rPr>
        <w:t xml:space="preserve">The IRS believes that displaying the OMB expiration date is inappropriate because it could cause confusion by leading taxpayers to believe that the </w:t>
      </w:r>
      <w:r w:rsidRPr="00D706CF" w:rsidR="00D706CF">
        <w:rPr>
          <w:bCs/>
        </w:rPr>
        <w:t>collection</w:t>
      </w:r>
      <w:r w:rsidRPr="00D706CF">
        <w:rPr>
          <w:bCs/>
        </w:rPr>
        <w:t xml:space="preserve"> sunset</w:t>
      </w:r>
      <w:r w:rsidRPr="00D706CF" w:rsidR="00D706CF">
        <w:rPr>
          <w:bCs/>
        </w:rPr>
        <w:t>s</w:t>
      </w:r>
      <w:r w:rsidRPr="00D706CF">
        <w:rPr>
          <w:bCs/>
        </w:rPr>
        <w:t xml:space="preserve"> as of the expiration date.  Taxpayers are not likely to be aware that the IRS intends to request renewal of the OMB approval and obtain a new expiration date before the old one expires.</w:t>
      </w:r>
    </w:p>
    <w:p w:rsidR="00FC2F3E" w:rsidRPr="00C96F49" w:rsidP="00AB7117" w14:paraId="0801A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p>
    <w:p w:rsidR="00FC2F3E" w:rsidRPr="00AB7117" w:rsidP="00AB7117" w14:paraId="42AC1977" w14:textId="2DCB88D2">
      <w:pPr>
        <w:widowControl/>
        <w:numPr>
          <w:ilvl w:val="0"/>
          <w:numId w:val="13"/>
        </w:numPr>
        <w:ind w:left="360"/>
        <w:rPr>
          <w:b/>
          <w:iCs/>
          <w:u w:val="single"/>
        </w:rPr>
      </w:pPr>
      <w:r w:rsidRPr="00AB7117">
        <w:rPr>
          <w:b/>
          <w:iCs/>
          <w:u w:val="single"/>
        </w:rPr>
        <w:t xml:space="preserve">EXCEPTIONS TO THE CERTIFICATION STATEMENT </w:t>
      </w:r>
    </w:p>
    <w:p w:rsidR="00FC2F3E" w:rsidRPr="00D706CF" w:rsidP="00AB7117" w14:paraId="5F59C7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p>
    <w:p w:rsidR="004C5D60" w:rsidRPr="00D706CF" w:rsidP="00AB7117" w14:paraId="125371BF" w14:textId="16E900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D706CF">
        <w:rPr>
          <w:bCs/>
        </w:rPr>
        <w:t>There are no exceptions to the certification statement.</w:t>
      </w:r>
    </w:p>
    <w:p w:rsidR="00945FA8" w:rsidRPr="00C96F49" w:rsidP="00AB7117" w14:paraId="7CA820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rPr>
      </w:pPr>
    </w:p>
    <w:sectPr>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3F93" w14:paraId="4B46110C" w14:textId="77777777">
    <w:pPr>
      <w:spacing w:line="240" w:lineRule="exact"/>
    </w:pPr>
  </w:p>
  <w:p w:rsidR="00CB3F93" w14:paraId="5A08CB8E" w14:textId="2F97448F">
    <w:pPr>
      <w:framePr w:w="9361" w:wrap="notBeside" w:vAnchor="text" w:hAnchor="text" w:x="1" w:y="1"/>
      <w:jc w:val="center"/>
    </w:pPr>
    <w:r>
      <w:fldChar w:fldCharType="begin"/>
    </w:r>
    <w:r>
      <w:instrText xml:space="preserve">PAGE </w:instrText>
    </w:r>
    <w:r>
      <w:fldChar w:fldCharType="separate"/>
    </w:r>
    <w:r w:rsidR="00B76F97">
      <w:rPr>
        <w:noProof/>
      </w:rPr>
      <w:t>10</w:t>
    </w:r>
    <w:r>
      <w:fldChar w:fldCharType="end"/>
    </w:r>
  </w:p>
  <w:p w:rsidR="00CB3F93" w14:paraId="1E75EA6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4AC2" w14:paraId="3DFC09BA" w14:textId="77777777">
      <w:r>
        <w:separator/>
      </w:r>
    </w:p>
  </w:footnote>
  <w:footnote w:type="continuationSeparator" w:id="1">
    <w:p w:rsidR="00F54AC2" w14:paraId="75AFB8CD" w14:textId="77777777">
      <w:r>
        <w:continuationSeparator/>
      </w:r>
    </w:p>
  </w:footnote>
  <w:footnote w:type="continuationNotice" w:id="2">
    <w:p w:rsidR="00F54AC2" w14:paraId="5F7EA1BC" w14:textId="77777777"/>
  </w:footnote>
  <w:footnote w:id="3">
    <w:p w:rsidR="00CB3F93" w:rsidRPr="002E6801" w:rsidP="00F40E45" w14:paraId="524C70B2" w14:textId="52049126">
      <w:pPr>
        <w:pStyle w:val="FootnoteText"/>
      </w:pPr>
      <w:r w:rsidRPr="003E1F9D">
        <w:rPr>
          <w:rStyle w:val="FootnoteReference"/>
          <w:vertAlign w:val="superscript"/>
        </w:rPr>
        <w:footnoteRef/>
      </w:r>
      <w:r w:rsidRPr="003E1F9D">
        <w:t xml:space="preserve"> </w:t>
      </w:r>
      <w:r w:rsidRPr="002E6801">
        <w:t xml:space="preserve">Such evidence must be provided </w:t>
      </w:r>
      <w:r>
        <w:t xml:space="preserve">as soon as possible and </w:t>
      </w:r>
      <w:r w:rsidRPr="002E6801">
        <w:t xml:space="preserve">sufficiently in advance of the date on which the notice of </w:t>
      </w:r>
      <w:r w:rsidRPr="002E6801" w:rsidR="00014526">
        <w:t xml:space="preserve">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 The rationale must be provided </w:t>
      </w:r>
      <w:r w:rsidR="00014526">
        <w:t xml:space="preserve">as soon as possible and </w:t>
      </w:r>
      <w:r w:rsidRPr="002E6801" w:rsidR="00014526">
        <w:t>sufficiently in advance of the date on which the notice of adverse benefit determination on review is required to be provided to give the claimant a reasonable opportunity to respond prior to that date.</w:t>
      </w:r>
    </w:p>
  </w:footnote>
  <w:footnote w:id="4">
    <w:p w:rsidR="00CB3F93" w:rsidRPr="005A70F6" w14:paraId="598C46C3" w14:textId="2746607D">
      <w:pPr>
        <w:pStyle w:val="FootnoteText"/>
      </w:pPr>
      <w:r w:rsidRPr="003E1F9D">
        <w:rPr>
          <w:rStyle w:val="FootnoteReference"/>
          <w:vertAlign w:val="superscript"/>
        </w:rPr>
        <w:footnoteRef/>
      </w:r>
      <w:r w:rsidRPr="00D31765">
        <w:t xml:space="preserve"> </w:t>
      </w:r>
      <w:r w:rsidR="005E37AE">
        <w:t>29 CFR 2560.503</w:t>
      </w:r>
      <w:r w:rsidR="005E37AE">
        <w:noBreakHyphen/>
        <w:t xml:space="preserve">1(f)(2)(i). </w:t>
      </w:r>
    </w:p>
  </w:footnote>
  <w:footnote w:id="5">
    <w:p w:rsidR="00CE7CB8" w14:paraId="2E76D0B2" w14:textId="3E458601">
      <w:pPr>
        <w:pStyle w:val="FootnoteText"/>
      </w:pPr>
      <w:r w:rsidRPr="0083726E">
        <w:rPr>
          <w:rStyle w:val="FootnoteReference"/>
          <w:vertAlign w:val="superscript"/>
        </w:rPr>
        <w:footnoteRef/>
      </w:r>
      <w:r>
        <w:t xml:space="preserve"> 29 CFR 2560.503</w:t>
      </w:r>
      <w:r>
        <w:noBreakHyphen/>
        <w:t>1(f)(2)(ii)(B).</w:t>
      </w:r>
    </w:p>
  </w:footnote>
  <w:footnote w:id="6">
    <w:p w:rsidR="00CA5A99" w14:paraId="19A4D331" w14:textId="62F9E2B8">
      <w:pPr>
        <w:pStyle w:val="FootnoteText"/>
      </w:pPr>
      <w:r w:rsidRPr="0083726E">
        <w:rPr>
          <w:rStyle w:val="FootnoteReference"/>
          <w:vertAlign w:val="superscript"/>
        </w:rPr>
        <w:footnoteRef/>
      </w:r>
      <w:r w:rsidRPr="0083726E">
        <w:rPr>
          <w:vertAlign w:val="superscript"/>
        </w:rPr>
        <w:t xml:space="preserve"> </w:t>
      </w:r>
      <w:r>
        <w:t>29 CFR 2560.503</w:t>
      </w:r>
      <w:r>
        <w:noBreakHyphen/>
        <w:t>1(f)(2)(iii)(A)</w:t>
      </w:r>
    </w:p>
  </w:footnote>
  <w:footnote w:id="7">
    <w:p w:rsidR="00116FDD" w14:paraId="6897539C" w14:textId="13C3CD52">
      <w:pPr>
        <w:pStyle w:val="FootnoteText"/>
      </w:pPr>
      <w:r w:rsidRPr="005B0CCD">
        <w:rPr>
          <w:rStyle w:val="FootnoteReference"/>
          <w:vertAlign w:val="superscript"/>
        </w:rPr>
        <w:footnoteRef/>
      </w:r>
      <w:r w:rsidRPr="005B0CCD">
        <w:rPr>
          <w:vertAlign w:val="superscript"/>
        </w:rPr>
        <w:t xml:space="preserve"> </w:t>
      </w:r>
      <w:r>
        <w:t>29 CFR 2560.503</w:t>
      </w:r>
      <w:r>
        <w:noBreakHyphen/>
        <w:t>1(f)(2)(iii)(B)</w:t>
      </w:r>
    </w:p>
  </w:footnote>
  <w:footnote w:id="8">
    <w:p w:rsidR="001A46C7" w14:paraId="75E9D106" w14:textId="5F0B5429">
      <w:pPr>
        <w:pStyle w:val="FootnoteText"/>
      </w:pPr>
      <w:r w:rsidRPr="005B0CCD">
        <w:rPr>
          <w:rStyle w:val="FootnoteReference"/>
          <w:vertAlign w:val="superscript"/>
        </w:rPr>
        <w:footnoteRef/>
      </w:r>
      <w:r>
        <w:t xml:space="preserve"> 29 CFR 2560.503</w:t>
      </w:r>
      <w:r>
        <w:noBreakHyphen/>
        <w:t>1(f)(3)</w:t>
      </w:r>
    </w:p>
  </w:footnote>
  <w:footnote w:id="9">
    <w:p w:rsidR="00CB3F93" w:rsidRPr="002E6801" w:rsidP="00CF642B" w14:paraId="75838878" w14:textId="7537DCA6">
      <w:pPr>
        <w:pStyle w:val="FootnoteText"/>
      </w:pPr>
      <w:r w:rsidRPr="003E1F9D">
        <w:rPr>
          <w:rStyle w:val="FootnoteReference"/>
          <w:vertAlign w:val="superscript"/>
        </w:rPr>
        <w:footnoteRef/>
      </w:r>
      <w:r>
        <w:t xml:space="preserve"> </w:t>
      </w:r>
      <w:r w:rsidRPr="002E6801">
        <w:t xml:space="preserve">Such evidence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 Additionally, before the plan or issuer can issue an adverse benefit determination on review based on a new or additional rationale, the claimant must be provided, free of charge, with the rationale.</w:t>
      </w:r>
      <w:r w:rsidR="00740FB6">
        <w:t xml:space="preserve"> </w:t>
      </w:r>
      <w:r w:rsidRPr="002E6801">
        <w:t xml:space="preserve">The rationale must be provided </w:t>
      </w:r>
      <w:r>
        <w:t xml:space="preserve">as soon as possible and </w:t>
      </w:r>
      <w:r w:rsidRPr="002E6801">
        <w:t>sufficiently in advance of the date on which the notice of adverse benefit determination on review is required to be provided to give the claimant a reasonable opportunity to respond prior to that date.</w:t>
      </w:r>
    </w:p>
  </w:footnote>
  <w:footnote w:id="10">
    <w:p w:rsidR="001F1279" w:rsidP="001F1279" w14:paraId="791DE59F" w14:textId="77777777">
      <w:pPr>
        <w:pStyle w:val="FootnoteText"/>
        <w:rPr>
          <w:color w:val="000000" w:themeColor="text1"/>
        </w:rPr>
      </w:pPr>
      <w:r>
        <w:rPr>
          <w:rStyle w:val="FootnoteReference"/>
          <w:color w:val="000000" w:themeColor="text1"/>
          <w:vertAlign w:val="superscript"/>
        </w:rPr>
        <w:footnoteRef/>
      </w:r>
      <w:r>
        <w:rPr>
          <w:color w:val="000000" w:themeColor="text1"/>
        </w:rPr>
        <w:t xml:space="preserve"> Internal DOL calculation based on 2024 labor cost data. For a description of the Department’s methodology for calculating wage rates, see </w:t>
      </w:r>
      <w:hyperlink r:id="rId1" w:history="1">
        <w:r>
          <w:rPr>
            <w:rStyle w:val="Hyperlink"/>
          </w:rPr>
          <w:t>https://www.dol.gov/sites/dolgov/files/EBSA/laws-and-regulations/rules-and-regulations/technical-appendices/labor-cost-inputs-used-in-ebsa-opr-ria-and-pra-burden-calculations-june-2019.pdf</w:t>
        </w:r>
      </w:hyperlink>
      <w:r>
        <w:rPr>
          <w:color w:val="000000" w:themeColor="text1"/>
        </w:rPr>
        <w:t>.</w:t>
      </w:r>
    </w:p>
  </w:footnote>
  <w:footnote w:id="11">
    <w:p w:rsidR="00B567B1" w:rsidRPr="00A54A33" w:rsidP="00B567B1" w14:paraId="2108323C" w14:textId="77777777">
      <w:pPr>
        <w:pStyle w:val="FootnoteText"/>
      </w:pPr>
      <w:r w:rsidRPr="00A54A33">
        <w:rPr>
          <w:rStyle w:val="FootnoteReference"/>
          <w:vertAlign w:val="superscript"/>
        </w:rPr>
        <w:footnoteRef/>
      </w:r>
      <w:r w:rsidRPr="00A54A33">
        <w:rPr>
          <w:vertAlign w:val="superscript"/>
        </w:rPr>
        <w:t xml:space="preserve"> </w:t>
      </w:r>
      <w:r w:rsidRPr="00F47C22">
        <w:t>U.S. Department of Labor, EBSA Abstract of Auxiliary Data for the March 2023 Annual Social and Economic Supplement to the Current Population Survey</w:t>
      </w:r>
      <w:r>
        <w:t>.</w:t>
      </w:r>
    </w:p>
  </w:footnote>
  <w:footnote w:id="12">
    <w:p w:rsidR="00B567B1" w:rsidP="00B567B1" w14:paraId="527BFA4B" w14:textId="77777777">
      <w:pPr>
        <w:pStyle w:val="FootnoteText"/>
      </w:pPr>
      <w:r w:rsidRPr="003E1F9D">
        <w:rPr>
          <w:rStyle w:val="FootnoteReference"/>
          <w:vertAlign w:val="superscript"/>
        </w:rPr>
        <w:footnoteRef/>
      </w:r>
      <w:r>
        <w:t xml:space="preserve"> These states are Alabama, Texas, Florida, Georgia, and Wisconsin. See </w:t>
      </w:r>
      <w:r w:rsidRPr="006D71D8">
        <w:rPr>
          <w:i/>
          <w:iCs/>
        </w:rPr>
        <w:t>Affordable Care Act: Working with States to Protect Consumers</w:t>
      </w:r>
      <w:r>
        <w:t xml:space="preserve">, available at </w:t>
      </w:r>
      <w:hyperlink r:id="rId2" w:history="1">
        <w:r>
          <w:rPr>
            <w:rStyle w:val="Hyperlink"/>
          </w:rPr>
          <w:t>https://www.cms.gov/CCIIO/Resources/Files/external_appeals.html</w:t>
        </w:r>
      </w:hyperlink>
    </w:p>
  </w:footnote>
  <w:footnote w:id="13">
    <w:p w:rsidR="00B567B1" w:rsidP="00B567B1" w14:paraId="793DE88F" w14:textId="77777777">
      <w:pPr>
        <w:pStyle w:val="FootnoteText"/>
      </w:pPr>
      <w:r w:rsidRPr="003E1F9D">
        <w:rPr>
          <w:rStyle w:val="FootnoteReference"/>
          <w:vertAlign w:val="superscript"/>
        </w:rPr>
        <w:footnoteRef/>
      </w:r>
      <w:r>
        <w:t xml:space="preserve"> </w:t>
      </w:r>
      <w:r w:rsidRPr="001B3250">
        <w:t>AHIP Center for Policy and Research,</w:t>
      </w:r>
      <w:r>
        <w:t xml:space="preserve"> </w:t>
      </w:r>
      <w:r w:rsidRPr="006D71D8">
        <w:rPr>
          <w:i/>
          <w:iCs/>
        </w:rPr>
        <w:t>An Update on State External Review Programs, 2006</w:t>
      </w:r>
      <w:r w:rsidRPr="001B3250">
        <w:t>, July 2008.</w:t>
      </w:r>
    </w:p>
  </w:footnote>
  <w:footnote w:id="14">
    <w:p w:rsidR="00B567B1" w:rsidP="00B567B1" w14:paraId="570FA391" w14:textId="77777777">
      <w:pPr>
        <w:pStyle w:val="FootnoteText"/>
      </w:pPr>
      <w:r w:rsidRPr="005B0CCD">
        <w:rPr>
          <w:rStyle w:val="FootnoteReference"/>
          <w:vertAlign w:val="superscript"/>
        </w:rPr>
        <w:footnoteRef/>
      </w:r>
      <w:r w:rsidRPr="005B0CCD">
        <w:rPr>
          <w:vertAlign w:val="superscript"/>
        </w:rPr>
        <w:t xml:space="preserve"> </w:t>
      </w:r>
      <w:r>
        <w:t>North Carolina Department of Insurance</w:t>
      </w:r>
      <w:r w:rsidRPr="005B0CCD">
        <w:rPr>
          <w:i/>
          <w:iCs/>
        </w:rPr>
        <w:t>, Health Insurance Smart NC: Annual Report on External Review Activity 2013</w:t>
      </w:r>
      <w:r>
        <w:t>.</w:t>
      </w:r>
    </w:p>
  </w:footnote>
  <w:footnote w:id="15">
    <w:p w:rsidR="00B567B1" w:rsidP="00B567B1" w14:paraId="3E6D5987" w14:textId="77777777">
      <w:pPr>
        <w:pStyle w:val="FootnoteText"/>
      </w:pPr>
      <w:r w:rsidRPr="00CE160F">
        <w:rPr>
          <w:rStyle w:val="FootnoteReference"/>
          <w:vertAlign w:val="superscript"/>
        </w:rPr>
        <w:footnoteRef/>
      </w:r>
      <w:r w:rsidRPr="00CE160F">
        <w:rPr>
          <w:vertAlign w:val="superscript"/>
        </w:rPr>
        <w:t xml:space="preserve"> </w:t>
      </w:r>
      <w:r w:rsidRPr="008B754E">
        <w:t>Internal DOL calculation based on 2020 labor cost data.</w:t>
      </w:r>
      <w:r>
        <w:t xml:space="preserve"> </w:t>
      </w:r>
      <w:r w:rsidRPr="008B754E">
        <w:t xml:space="preserve">For a description of the Department’s methodology for calculating wage rates, see </w:t>
      </w:r>
      <w:hyperlink r:id="rId1" w:history="1">
        <w:r w:rsidRPr="00A710D6">
          <w:rPr>
            <w:rStyle w:val="Hyperlink"/>
          </w:rPr>
          <w:t>https://www.dol.gov/sites/dolgov/files/EBSA/laws-and-regulations/rules-and-regulations/technical-appendices/labor-cost-inputs-used-in-ebsa-opr-ria-and-pra-burden-calculations-june-2019.pdf</w:t>
        </w:r>
      </w:hyperlink>
      <w:r w:rsidRPr="008B754E">
        <w:t>.</w:t>
      </w:r>
      <w:r>
        <w:t xml:space="preserve"> </w:t>
      </w:r>
    </w:p>
  </w:footnote>
  <w:footnote w:id="16">
    <w:p w:rsidR="00560C7F" w:rsidP="00560C7F" w14:paraId="2BE2E482" w14:textId="77777777"/>
  </w:footnote>
  <w:footnote w:id="17">
    <w:p w:rsidR="004367B2" w:rsidP="004367B2" w14:paraId="4E22ED9F" w14:textId="77777777">
      <w:pPr>
        <w:pStyle w:val="FootnoteText"/>
      </w:pPr>
      <w:r w:rsidRPr="003E1F9D">
        <w:rPr>
          <w:rStyle w:val="FootnoteReference"/>
          <w:vertAlign w:val="superscript"/>
        </w:rPr>
        <w:footnoteRef/>
      </w:r>
      <w:r>
        <w:t xml:space="preserve"> </w:t>
      </w:r>
      <w:r w:rsidRPr="00D65FF6">
        <w:t xml:space="preserve">Data are from the </w:t>
      </w:r>
      <w:r>
        <w:t xml:space="preserve">2022 </w:t>
      </w:r>
      <w:r w:rsidRPr="00D65FF6">
        <w:t>American Community Survey</w:t>
      </w:r>
      <w:r>
        <w:t xml:space="preserve"> 5-Year estimates (2018-2022) and available at </w:t>
      </w:r>
      <w:hyperlink r:id="rId3" w:history="1">
        <w:r w:rsidRPr="00571BA2">
          <w:rPr>
            <w:rStyle w:val="Hyperlink"/>
          </w:rPr>
          <w:t>www.census.gov/acs</w:t>
        </w:r>
      </w:hyperlink>
      <w:r w:rsidRPr="00D65FF6">
        <w:t xml:space="preserve">. </w:t>
      </w:r>
      <w:r>
        <w:t>Individuals counted reside in counties where at least 10 percent</w:t>
      </w:r>
      <w:r w:rsidRPr="00D65FF6">
        <w:t xml:space="preserve"> of the county speak a particular non-English language and speak English </w:t>
      </w:r>
      <w:r>
        <w:t>less than “very well” are counted</w:t>
      </w:r>
      <w:r w:rsidRPr="00D65FF6">
        <w:t>.</w:t>
      </w:r>
    </w:p>
  </w:footnote>
  <w:footnote w:id="18">
    <w:p w:rsidR="004367B2" w:rsidRPr="0018207C" w:rsidP="004367B2" w14:paraId="2D02B8F7" w14:textId="77777777">
      <w:pPr>
        <w:pStyle w:val="FootnoteText"/>
      </w:pPr>
      <w:r w:rsidRPr="003E1F9D">
        <w:rPr>
          <w:rStyle w:val="FootnoteReference"/>
          <w:vertAlign w:val="superscript"/>
        </w:rPr>
        <w:footnoteRef/>
      </w:r>
      <w:r>
        <w:t xml:space="preserve"> Please note that u</w:t>
      </w:r>
      <w:r w:rsidRPr="0018207C">
        <w:t xml:space="preserve">sing state estimates of insurance coverage could lead to an </w:t>
      </w:r>
      <w:r w:rsidRPr="0018207C">
        <w:t>over estimate</w:t>
      </w:r>
      <w:r w:rsidRPr="0018207C">
        <w:t xml:space="preserve"> if those reporting in the ACS survey that they speak English less than “very well” are less likely to be insured than the state average.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EC10D0"/>
    <w:multiLevelType w:val="hybridMultilevel"/>
    <w:tmpl w:val="69344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76C1E26"/>
    <w:multiLevelType w:val="hybridMultilevel"/>
    <w:tmpl w:val="7C345C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02D58E1"/>
    <w:multiLevelType w:val="hybridMultilevel"/>
    <w:tmpl w:val="EFBEF28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20B0E38"/>
    <w:multiLevelType w:val="hybridMultilevel"/>
    <w:tmpl w:val="B992BDAA"/>
    <w:lvl w:ilvl="0">
      <w:start w:val="1"/>
      <w:numFmt w:val="decimal"/>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7">
    <w:nsid w:val="46CD6050"/>
    <w:multiLevelType w:val="hybridMultilevel"/>
    <w:tmpl w:val="73BEA86C"/>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C0B09B4"/>
    <w:multiLevelType w:val="hybridMultilevel"/>
    <w:tmpl w:val="954AB4AA"/>
    <w:lvl w:ilvl="0">
      <w:start w:val="1"/>
      <w:numFmt w:val="decimal"/>
      <w:lvlText w:val="%1."/>
      <w:lvlJc w:val="left"/>
      <w:pPr>
        <w:ind w:left="1080" w:hanging="360"/>
      </w:pPr>
      <w:rPr>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9">
    <w:nsid w:val="4C7A2FFB"/>
    <w:multiLevelType w:val="hybridMultilevel"/>
    <w:tmpl w:val="C6CE7E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11">
    <w:nsid w:val="578564E7"/>
    <w:multiLevelType w:val="hybridMultilevel"/>
    <w:tmpl w:val="E2509BA0"/>
    <w:lvl w:ilvl="0">
      <w:start w:val="27"/>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13">
    <w:nsid w:val="6B8B057E"/>
    <w:multiLevelType w:val="hybridMultilevel"/>
    <w:tmpl w:val="E35E41CC"/>
    <w:lvl w:ilvl="0">
      <w:start w:val="1"/>
      <w:numFmt w:val="decimal"/>
      <w:lvlText w:val="(%1)"/>
      <w:lvlJc w:val="left"/>
      <w:pPr>
        <w:ind w:left="1928" w:hanging="360"/>
      </w:pPr>
      <w:rPr>
        <w:rFonts w:hint="default"/>
      </w:rPr>
    </w:lvl>
    <w:lvl w:ilvl="1" w:tentative="1">
      <w:start w:val="1"/>
      <w:numFmt w:val="lowerLetter"/>
      <w:lvlText w:val="%2."/>
      <w:lvlJc w:val="left"/>
      <w:pPr>
        <w:ind w:left="2648" w:hanging="360"/>
      </w:pPr>
    </w:lvl>
    <w:lvl w:ilvl="2" w:tentative="1">
      <w:start w:val="1"/>
      <w:numFmt w:val="lowerRoman"/>
      <w:lvlText w:val="%3."/>
      <w:lvlJc w:val="right"/>
      <w:pPr>
        <w:ind w:left="3368" w:hanging="180"/>
      </w:pPr>
    </w:lvl>
    <w:lvl w:ilvl="3" w:tentative="1">
      <w:start w:val="1"/>
      <w:numFmt w:val="decimal"/>
      <w:lvlText w:val="%4."/>
      <w:lvlJc w:val="left"/>
      <w:pPr>
        <w:ind w:left="4088" w:hanging="360"/>
      </w:pPr>
    </w:lvl>
    <w:lvl w:ilvl="4" w:tentative="1">
      <w:start w:val="1"/>
      <w:numFmt w:val="lowerLetter"/>
      <w:lvlText w:val="%5."/>
      <w:lvlJc w:val="left"/>
      <w:pPr>
        <w:ind w:left="4808" w:hanging="360"/>
      </w:pPr>
    </w:lvl>
    <w:lvl w:ilvl="5" w:tentative="1">
      <w:start w:val="1"/>
      <w:numFmt w:val="lowerRoman"/>
      <w:lvlText w:val="%6."/>
      <w:lvlJc w:val="right"/>
      <w:pPr>
        <w:ind w:left="5528" w:hanging="180"/>
      </w:pPr>
    </w:lvl>
    <w:lvl w:ilvl="6" w:tentative="1">
      <w:start w:val="1"/>
      <w:numFmt w:val="decimal"/>
      <w:lvlText w:val="%7."/>
      <w:lvlJc w:val="left"/>
      <w:pPr>
        <w:ind w:left="6248" w:hanging="360"/>
      </w:pPr>
    </w:lvl>
    <w:lvl w:ilvl="7" w:tentative="1">
      <w:start w:val="1"/>
      <w:numFmt w:val="lowerLetter"/>
      <w:lvlText w:val="%8."/>
      <w:lvlJc w:val="left"/>
      <w:pPr>
        <w:ind w:left="6968" w:hanging="360"/>
      </w:pPr>
    </w:lvl>
    <w:lvl w:ilvl="8" w:tentative="1">
      <w:start w:val="1"/>
      <w:numFmt w:val="lowerRoman"/>
      <w:lvlText w:val="%9."/>
      <w:lvlJc w:val="right"/>
      <w:pPr>
        <w:ind w:left="7688" w:hanging="180"/>
      </w:pPr>
    </w:lvl>
  </w:abstractNum>
  <w:num w:numId="1" w16cid:durableId="219756928">
    <w:abstractNumId w:val="0"/>
    <w:lvlOverride w:ilvl="0">
      <w:startOverride w:val="1"/>
      <w:lvl w:ilvl="0">
        <w:start w:val="1"/>
        <w:numFmt w:val="decimal"/>
        <w:pStyle w:val="Quick1"/>
        <w:lvlText w:val="%1."/>
        <w:lvlJc w:val="left"/>
      </w:lvl>
    </w:lvlOverride>
  </w:num>
  <w:num w:numId="2" w16cid:durableId="2066374031">
    <w:abstractNumId w:val="0"/>
    <w:lvlOverride w:ilvl="0">
      <w:startOverride w:val="13"/>
      <w:lvl w:ilvl="0">
        <w:start w:val="13"/>
        <w:numFmt w:val="decimal"/>
        <w:pStyle w:val="Quick1"/>
        <w:lvlText w:val="%1."/>
        <w:lvlJc w:val="left"/>
      </w:lvl>
    </w:lvlOverride>
  </w:num>
  <w:num w:numId="3" w16cid:durableId="1007290476">
    <w:abstractNumId w:val="9"/>
  </w:num>
  <w:num w:numId="4" w16cid:durableId="1975793898">
    <w:abstractNumId w:val="12"/>
  </w:num>
  <w:num w:numId="5" w16cid:durableId="664211846">
    <w:abstractNumId w:val="1"/>
  </w:num>
  <w:num w:numId="6" w16cid:durableId="204415626">
    <w:abstractNumId w:val="7"/>
  </w:num>
  <w:num w:numId="7" w16cid:durableId="1596523153">
    <w:abstractNumId w:val="11"/>
  </w:num>
  <w:num w:numId="8" w16cid:durableId="173419921">
    <w:abstractNumId w:val="2"/>
  </w:num>
  <w:num w:numId="9" w16cid:durableId="188642660">
    <w:abstractNumId w:val="3"/>
  </w:num>
  <w:num w:numId="10" w16cid:durableId="859972937">
    <w:abstractNumId w:val="4"/>
  </w:num>
  <w:num w:numId="11" w16cid:durableId="205876467">
    <w:abstractNumId w:val="13"/>
  </w:num>
  <w:num w:numId="12" w16cid:durableId="1126697721">
    <w:abstractNumId w:val="6"/>
  </w:num>
  <w:num w:numId="13" w16cid:durableId="704871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5017555">
    <w:abstractNumId w:val="10"/>
  </w:num>
  <w:num w:numId="15" w16cid:durableId="1686708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71"/>
    <w:rsid w:val="000012D1"/>
    <w:rsid w:val="0000133D"/>
    <w:rsid w:val="00002307"/>
    <w:rsid w:val="00002344"/>
    <w:rsid w:val="000030F7"/>
    <w:rsid w:val="00005CD6"/>
    <w:rsid w:val="0000666E"/>
    <w:rsid w:val="00006A50"/>
    <w:rsid w:val="00006DD9"/>
    <w:rsid w:val="00012122"/>
    <w:rsid w:val="000130EB"/>
    <w:rsid w:val="00014526"/>
    <w:rsid w:val="00014D6D"/>
    <w:rsid w:val="00015766"/>
    <w:rsid w:val="00015B52"/>
    <w:rsid w:val="000207B8"/>
    <w:rsid w:val="00020F52"/>
    <w:rsid w:val="000212B4"/>
    <w:rsid w:val="00025CE5"/>
    <w:rsid w:val="00030E14"/>
    <w:rsid w:val="0003140B"/>
    <w:rsid w:val="00031ABC"/>
    <w:rsid w:val="0003236F"/>
    <w:rsid w:val="00032DDB"/>
    <w:rsid w:val="0003374E"/>
    <w:rsid w:val="00034076"/>
    <w:rsid w:val="00036D41"/>
    <w:rsid w:val="00037371"/>
    <w:rsid w:val="00040EC5"/>
    <w:rsid w:val="00040FEB"/>
    <w:rsid w:val="00044BE3"/>
    <w:rsid w:val="00051076"/>
    <w:rsid w:val="0005149C"/>
    <w:rsid w:val="00052B57"/>
    <w:rsid w:val="000549C1"/>
    <w:rsid w:val="000558A5"/>
    <w:rsid w:val="00055D6F"/>
    <w:rsid w:val="0005620D"/>
    <w:rsid w:val="00056A0A"/>
    <w:rsid w:val="00060661"/>
    <w:rsid w:val="00060D14"/>
    <w:rsid w:val="00062002"/>
    <w:rsid w:val="00062DAC"/>
    <w:rsid w:val="00064915"/>
    <w:rsid w:val="00064BA2"/>
    <w:rsid w:val="00064FFC"/>
    <w:rsid w:val="0006615B"/>
    <w:rsid w:val="000702BB"/>
    <w:rsid w:val="00071961"/>
    <w:rsid w:val="00072960"/>
    <w:rsid w:val="00074FFC"/>
    <w:rsid w:val="000753BF"/>
    <w:rsid w:val="00076602"/>
    <w:rsid w:val="00083E6C"/>
    <w:rsid w:val="00084951"/>
    <w:rsid w:val="000854F3"/>
    <w:rsid w:val="000869A2"/>
    <w:rsid w:val="00086B0B"/>
    <w:rsid w:val="000874D8"/>
    <w:rsid w:val="000875E9"/>
    <w:rsid w:val="00087E51"/>
    <w:rsid w:val="0009069B"/>
    <w:rsid w:val="0009256E"/>
    <w:rsid w:val="00092A40"/>
    <w:rsid w:val="00094BD6"/>
    <w:rsid w:val="000953E4"/>
    <w:rsid w:val="00095478"/>
    <w:rsid w:val="00095904"/>
    <w:rsid w:val="00096ABC"/>
    <w:rsid w:val="000A175C"/>
    <w:rsid w:val="000A1884"/>
    <w:rsid w:val="000A1E70"/>
    <w:rsid w:val="000A2F16"/>
    <w:rsid w:val="000A61BB"/>
    <w:rsid w:val="000A67F3"/>
    <w:rsid w:val="000B0177"/>
    <w:rsid w:val="000B069B"/>
    <w:rsid w:val="000B2868"/>
    <w:rsid w:val="000B2C47"/>
    <w:rsid w:val="000B2E6E"/>
    <w:rsid w:val="000B3AA5"/>
    <w:rsid w:val="000B4A28"/>
    <w:rsid w:val="000B56FD"/>
    <w:rsid w:val="000B7A90"/>
    <w:rsid w:val="000C0385"/>
    <w:rsid w:val="000C041E"/>
    <w:rsid w:val="000C2F84"/>
    <w:rsid w:val="000C30D2"/>
    <w:rsid w:val="000C3BDE"/>
    <w:rsid w:val="000C4477"/>
    <w:rsid w:val="000C45D6"/>
    <w:rsid w:val="000C55ED"/>
    <w:rsid w:val="000C7389"/>
    <w:rsid w:val="000D0E1E"/>
    <w:rsid w:val="000D22AF"/>
    <w:rsid w:val="000D37BA"/>
    <w:rsid w:val="000D5706"/>
    <w:rsid w:val="000D5BC1"/>
    <w:rsid w:val="000D7577"/>
    <w:rsid w:val="000E072E"/>
    <w:rsid w:val="000E19B7"/>
    <w:rsid w:val="000E2B0E"/>
    <w:rsid w:val="000E4899"/>
    <w:rsid w:val="000E7CEE"/>
    <w:rsid w:val="000E7D55"/>
    <w:rsid w:val="000F10B7"/>
    <w:rsid w:val="000F16FE"/>
    <w:rsid w:val="000F20D7"/>
    <w:rsid w:val="000F4251"/>
    <w:rsid w:val="000F4557"/>
    <w:rsid w:val="000F49F6"/>
    <w:rsid w:val="000F4D8F"/>
    <w:rsid w:val="000F6ADB"/>
    <w:rsid w:val="000F6BAC"/>
    <w:rsid w:val="000F6C19"/>
    <w:rsid w:val="000F73DB"/>
    <w:rsid w:val="000F7778"/>
    <w:rsid w:val="00102DBD"/>
    <w:rsid w:val="001046E3"/>
    <w:rsid w:val="00104994"/>
    <w:rsid w:val="0010577C"/>
    <w:rsid w:val="00106DB1"/>
    <w:rsid w:val="00113CBF"/>
    <w:rsid w:val="00114758"/>
    <w:rsid w:val="00114B95"/>
    <w:rsid w:val="00115831"/>
    <w:rsid w:val="00115950"/>
    <w:rsid w:val="00115A07"/>
    <w:rsid w:val="00116FDD"/>
    <w:rsid w:val="00117D6F"/>
    <w:rsid w:val="00117DA0"/>
    <w:rsid w:val="001203CE"/>
    <w:rsid w:val="001212BB"/>
    <w:rsid w:val="00121B32"/>
    <w:rsid w:val="001233FA"/>
    <w:rsid w:val="00123F0C"/>
    <w:rsid w:val="0012404F"/>
    <w:rsid w:val="00124F3C"/>
    <w:rsid w:val="00126805"/>
    <w:rsid w:val="001279D9"/>
    <w:rsid w:val="001279DF"/>
    <w:rsid w:val="00127BEE"/>
    <w:rsid w:val="00130DFC"/>
    <w:rsid w:val="00133A88"/>
    <w:rsid w:val="001355F2"/>
    <w:rsid w:val="00136213"/>
    <w:rsid w:val="00136A56"/>
    <w:rsid w:val="00137D85"/>
    <w:rsid w:val="001400F7"/>
    <w:rsid w:val="00141BFF"/>
    <w:rsid w:val="001427FC"/>
    <w:rsid w:val="0014565F"/>
    <w:rsid w:val="00146698"/>
    <w:rsid w:val="00146BDC"/>
    <w:rsid w:val="00150F56"/>
    <w:rsid w:val="0015618A"/>
    <w:rsid w:val="00160975"/>
    <w:rsid w:val="001615F7"/>
    <w:rsid w:val="001622A2"/>
    <w:rsid w:val="00162409"/>
    <w:rsid w:val="00162715"/>
    <w:rsid w:val="00162A78"/>
    <w:rsid w:val="00163A2E"/>
    <w:rsid w:val="00164F70"/>
    <w:rsid w:val="0016510E"/>
    <w:rsid w:val="0016652D"/>
    <w:rsid w:val="00166AA7"/>
    <w:rsid w:val="00167628"/>
    <w:rsid w:val="001712C9"/>
    <w:rsid w:val="00171CB3"/>
    <w:rsid w:val="001730B7"/>
    <w:rsid w:val="0017753A"/>
    <w:rsid w:val="00177DD2"/>
    <w:rsid w:val="00181A8C"/>
    <w:rsid w:val="00181AE1"/>
    <w:rsid w:val="0018207C"/>
    <w:rsid w:val="00182C8E"/>
    <w:rsid w:val="00184856"/>
    <w:rsid w:val="001853DB"/>
    <w:rsid w:val="00187E8D"/>
    <w:rsid w:val="00191B37"/>
    <w:rsid w:val="00193A29"/>
    <w:rsid w:val="0019461A"/>
    <w:rsid w:val="001948DB"/>
    <w:rsid w:val="001A027E"/>
    <w:rsid w:val="001A0E2A"/>
    <w:rsid w:val="001A1C24"/>
    <w:rsid w:val="001A2E5E"/>
    <w:rsid w:val="001A35BC"/>
    <w:rsid w:val="001A3667"/>
    <w:rsid w:val="001A4646"/>
    <w:rsid w:val="001A46C7"/>
    <w:rsid w:val="001A48CE"/>
    <w:rsid w:val="001B028F"/>
    <w:rsid w:val="001B1B13"/>
    <w:rsid w:val="001B28FA"/>
    <w:rsid w:val="001B2F20"/>
    <w:rsid w:val="001B3250"/>
    <w:rsid w:val="001B4C77"/>
    <w:rsid w:val="001B4D45"/>
    <w:rsid w:val="001B572C"/>
    <w:rsid w:val="001B69E8"/>
    <w:rsid w:val="001B7E47"/>
    <w:rsid w:val="001C0BA2"/>
    <w:rsid w:val="001C0EB7"/>
    <w:rsid w:val="001C116D"/>
    <w:rsid w:val="001C11E5"/>
    <w:rsid w:val="001C2679"/>
    <w:rsid w:val="001C344B"/>
    <w:rsid w:val="001C39DE"/>
    <w:rsid w:val="001C3D16"/>
    <w:rsid w:val="001C4502"/>
    <w:rsid w:val="001C6579"/>
    <w:rsid w:val="001C76CD"/>
    <w:rsid w:val="001D037E"/>
    <w:rsid w:val="001D1015"/>
    <w:rsid w:val="001D1BA9"/>
    <w:rsid w:val="001D2BA9"/>
    <w:rsid w:val="001D3C90"/>
    <w:rsid w:val="001D459F"/>
    <w:rsid w:val="001D4CB2"/>
    <w:rsid w:val="001D6CE9"/>
    <w:rsid w:val="001D6E85"/>
    <w:rsid w:val="001E00B8"/>
    <w:rsid w:val="001E02EF"/>
    <w:rsid w:val="001E04BD"/>
    <w:rsid w:val="001E08B9"/>
    <w:rsid w:val="001E0E41"/>
    <w:rsid w:val="001E12BC"/>
    <w:rsid w:val="001E1F42"/>
    <w:rsid w:val="001E33FA"/>
    <w:rsid w:val="001E51B9"/>
    <w:rsid w:val="001E58EA"/>
    <w:rsid w:val="001E6B3F"/>
    <w:rsid w:val="001E7EC3"/>
    <w:rsid w:val="001F068B"/>
    <w:rsid w:val="001F0891"/>
    <w:rsid w:val="001F08F2"/>
    <w:rsid w:val="001F1279"/>
    <w:rsid w:val="001F2557"/>
    <w:rsid w:val="001F326C"/>
    <w:rsid w:val="001F436B"/>
    <w:rsid w:val="001F522A"/>
    <w:rsid w:val="001F6FEB"/>
    <w:rsid w:val="00200E4F"/>
    <w:rsid w:val="0020132B"/>
    <w:rsid w:val="002015A0"/>
    <w:rsid w:val="00201DC6"/>
    <w:rsid w:val="0020505E"/>
    <w:rsid w:val="002051E9"/>
    <w:rsid w:val="00206A1D"/>
    <w:rsid w:val="00207594"/>
    <w:rsid w:val="0021334F"/>
    <w:rsid w:val="00214272"/>
    <w:rsid w:val="002145E9"/>
    <w:rsid w:val="00214674"/>
    <w:rsid w:val="00215203"/>
    <w:rsid w:val="0022109D"/>
    <w:rsid w:val="00221D24"/>
    <w:rsid w:val="00221FD4"/>
    <w:rsid w:val="00222139"/>
    <w:rsid w:val="00223965"/>
    <w:rsid w:val="00223B27"/>
    <w:rsid w:val="00225EB5"/>
    <w:rsid w:val="0022679F"/>
    <w:rsid w:val="00227C5C"/>
    <w:rsid w:val="00230CFC"/>
    <w:rsid w:val="00232503"/>
    <w:rsid w:val="00232B87"/>
    <w:rsid w:val="00232D8F"/>
    <w:rsid w:val="0023492D"/>
    <w:rsid w:val="00234AA0"/>
    <w:rsid w:val="00235F59"/>
    <w:rsid w:val="002360AB"/>
    <w:rsid w:val="0023760F"/>
    <w:rsid w:val="002376CD"/>
    <w:rsid w:val="00241E19"/>
    <w:rsid w:val="00242A43"/>
    <w:rsid w:val="00246A9C"/>
    <w:rsid w:val="00246BF0"/>
    <w:rsid w:val="00251148"/>
    <w:rsid w:val="00251208"/>
    <w:rsid w:val="002512A8"/>
    <w:rsid w:val="00251A03"/>
    <w:rsid w:val="00253C89"/>
    <w:rsid w:val="00254DD7"/>
    <w:rsid w:val="0025512A"/>
    <w:rsid w:val="002555DC"/>
    <w:rsid w:val="0025565A"/>
    <w:rsid w:val="00255ADE"/>
    <w:rsid w:val="00255F97"/>
    <w:rsid w:val="002561A9"/>
    <w:rsid w:val="0025698B"/>
    <w:rsid w:val="00260661"/>
    <w:rsid w:val="00261710"/>
    <w:rsid w:val="00263066"/>
    <w:rsid w:val="00263306"/>
    <w:rsid w:val="002642CF"/>
    <w:rsid w:val="00264BDE"/>
    <w:rsid w:val="0026606F"/>
    <w:rsid w:val="00267352"/>
    <w:rsid w:val="0027097E"/>
    <w:rsid w:val="0027370D"/>
    <w:rsid w:val="00275139"/>
    <w:rsid w:val="0027525E"/>
    <w:rsid w:val="00276A0E"/>
    <w:rsid w:val="00276AD7"/>
    <w:rsid w:val="00277BDD"/>
    <w:rsid w:val="002806C0"/>
    <w:rsid w:val="002808E1"/>
    <w:rsid w:val="0028109D"/>
    <w:rsid w:val="00282F4B"/>
    <w:rsid w:val="002830EA"/>
    <w:rsid w:val="00283766"/>
    <w:rsid w:val="0028678D"/>
    <w:rsid w:val="00287CDA"/>
    <w:rsid w:val="00287CDC"/>
    <w:rsid w:val="00290577"/>
    <w:rsid w:val="00290D0D"/>
    <w:rsid w:val="002913EA"/>
    <w:rsid w:val="002922D7"/>
    <w:rsid w:val="002952E2"/>
    <w:rsid w:val="0029675C"/>
    <w:rsid w:val="00296A97"/>
    <w:rsid w:val="00296AD0"/>
    <w:rsid w:val="00297FAB"/>
    <w:rsid w:val="002A131A"/>
    <w:rsid w:val="002A2573"/>
    <w:rsid w:val="002A45D1"/>
    <w:rsid w:val="002A5764"/>
    <w:rsid w:val="002A5DF7"/>
    <w:rsid w:val="002A6D03"/>
    <w:rsid w:val="002B0B15"/>
    <w:rsid w:val="002B11B9"/>
    <w:rsid w:val="002B2065"/>
    <w:rsid w:val="002B31E9"/>
    <w:rsid w:val="002B3A81"/>
    <w:rsid w:val="002B3ED7"/>
    <w:rsid w:val="002B4B94"/>
    <w:rsid w:val="002B53C6"/>
    <w:rsid w:val="002C0E38"/>
    <w:rsid w:val="002C1182"/>
    <w:rsid w:val="002C16F2"/>
    <w:rsid w:val="002C1933"/>
    <w:rsid w:val="002C202B"/>
    <w:rsid w:val="002C31CE"/>
    <w:rsid w:val="002C3AFD"/>
    <w:rsid w:val="002C5A28"/>
    <w:rsid w:val="002D1E52"/>
    <w:rsid w:val="002D56CB"/>
    <w:rsid w:val="002D622D"/>
    <w:rsid w:val="002D6754"/>
    <w:rsid w:val="002D6B7B"/>
    <w:rsid w:val="002E0688"/>
    <w:rsid w:val="002E1D65"/>
    <w:rsid w:val="002E1D97"/>
    <w:rsid w:val="002E573F"/>
    <w:rsid w:val="002E6801"/>
    <w:rsid w:val="002E7292"/>
    <w:rsid w:val="002F1195"/>
    <w:rsid w:val="002F126B"/>
    <w:rsid w:val="002F12A8"/>
    <w:rsid w:val="002F192F"/>
    <w:rsid w:val="002F2053"/>
    <w:rsid w:val="002F26ED"/>
    <w:rsid w:val="002F447A"/>
    <w:rsid w:val="002F4CD3"/>
    <w:rsid w:val="002F5B11"/>
    <w:rsid w:val="002F5D9E"/>
    <w:rsid w:val="002F6600"/>
    <w:rsid w:val="002F687D"/>
    <w:rsid w:val="002F69AA"/>
    <w:rsid w:val="002F6FDA"/>
    <w:rsid w:val="002F75AF"/>
    <w:rsid w:val="002F78F2"/>
    <w:rsid w:val="0030218E"/>
    <w:rsid w:val="003033AB"/>
    <w:rsid w:val="003046F1"/>
    <w:rsid w:val="00304EA1"/>
    <w:rsid w:val="00304EF3"/>
    <w:rsid w:val="00305336"/>
    <w:rsid w:val="00310FAA"/>
    <w:rsid w:val="003123BB"/>
    <w:rsid w:val="00312489"/>
    <w:rsid w:val="0031296B"/>
    <w:rsid w:val="003146FA"/>
    <w:rsid w:val="00314886"/>
    <w:rsid w:val="00317D3B"/>
    <w:rsid w:val="00317FF4"/>
    <w:rsid w:val="0032281E"/>
    <w:rsid w:val="00322F90"/>
    <w:rsid w:val="00324A65"/>
    <w:rsid w:val="00325431"/>
    <w:rsid w:val="00325B63"/>
    <w:rsid w:val="003276E6"/>
    <w:rsid w:val="0033096E"/>
    <w:rsid w:val="003317F3"/>
    <w:rsid w:val="00332E56"/>
    <w:rsid w:val="003340B7"/>
    <w:rsid w:val="003343E3"/>
    <w:rsid w:val="00334567"/>
    <w:rsid w:val="00335A70"/>
    <w:rsid w:val="00336022"/>
    <w:rsid w:val="00336CED"/>
    <w:rsid w:val="003402CB"/>
    <w:rsid w:val="00340431"/>
    <w:rsid w:val="003408D8"/>
    <w:rsid w:val="00340A49"/>
    <w:rsid w:val="00342F26"/>
    <w:rsid w:val="00343035"/>
    <w:rsid w:val="003432D1"/>
    <w:rsid w:val="00344DAA"/>
    <w:rsid w:val="00345488"/>
    <w:rsid w:val="0034663C"/>
    <w:rsid w:val="003472AD"/>
    <w:rsid w:val="0034760C"/>
    <w:rsid w:val="00347620"/>
    <w:rsid w:val="00350C8F"/>
    <w:rsid w:val="00354734"/>
    <w:rsid w:val="00354B57"/>
    <w:rsid w:val="00355528"/>
    <w:rsid w:val="00356EE1"/>
    <w:rsid w:val="003571BA"/>
    <w:rsid w:val="00357F79"/>
    <w:rsid w:val="003603DE"/>
    <w:rsid w:val="00360784"/>
    <w:rsid w:val="00361607"/>
    <w:rsid w:val="00361A2E"/>
    <w:rsid w:val="00362DA1"/>
    <w:rsid w:val="00364D01"/>
    <w:rsid w:val="0036519C"/>
    <w:rsid w:val="00365ED6"/>
    <w:rsid w:val="003676E6"/>
    <w:rsid w:val="00367F70"/>
    <w:rsid w:val="00374585"/>
    <w:rsid w:val="003774ED"/>
    <w:rsid w:val="00377667"/>
    <w:rsid w:val="003814AC"/>
    <w:rsid w:val="00382728"/>
    <w:rsid w:val="00382D6F"/>
    <w:rsid w:val="00383431"/>
    <w:rsid w:val="003838CA"/>
    <w:rsid w:val="0038431D"/>
    <w:rsid w:val="00385452"/>
    <w:rsid w:val="003855AC"/>
    <w:rsid w:val="00385C46"/>
    <w:rsid w:val="0038669F"/>
    <w:rsid w:val="00392065"/>
    <w:rsid w:val="003927A0"/>
    <w:rsid w:val="003930D6"/>
    <w:rsid w:val="00393BFF"/>
    <w:rsid w:val="003951A2"/>
    <w:rsid w:val="003957E7"/>
    <w:rsid w:val="003961A9"/>
    <w:rsid w:val="00396D3F"/>
    <w:rsid w:val="003A0E55"/>
    <w:rsid w:val="003A1047"/>
    <w:rsid w:val="003A4006"/>
    <w:rsid w:val="003A48A1"/>
    <w:rsid w:val="003A5657"/>
    <w:rsid w:val="003B13B4"/>
    <w:rsid w:val="003B205D"/>
    <w:rsid w:val="003B3B49"/>
    <w:rsid w:val="003B49C5"/>
    <w:rsid w:val="003B57C8"/>
    <w:rsid w:val="003B66A2"/>
    <w:rsid w:val="003B7B66"/>
    <w:rsid w:val="003C158B"/>
    <w:rsid w:val="003C1A18"/>
    <w:rsid w:val="003C2078"/>
    <w:rsid w:val="003C367B"/>
    <w:rsid w:val="003C7602"/>
    <w:rsid w:val="003D2223"/>
    <w:rsid w:val="003D3C23"/>
    <w:rsid w:val="003D4EEA"/>
    <w:rsid w:val="003D6C89"/>
    <w:rsid w:val="003D716D"/>
    <w:rsid w:val="003D725F"/>
    <w:rsid w:val="003E0258"/>
    <w:rsid w:val="003E0534"/>
    <w:rsid w:val="003E1F9D"/>
    <w:rsid w:val="003E3664"/>
    <w:rsid w:val="003E5910"/>
    <w:rsid w:val="003E6F6E"/>
    <w:rsid w:val="003E7880"/>
    <w:rsid w:val="003E7E22"/>
    <w:rsid w:val="003F0263"/>
    <w:rsid w:val="003F0790"/>
    <w:rsid w:val="003F274E"/>
    <w:rsid w:val="003F2E92"/>
    <w:rsid w:val="003F548C"/>
    <w:rsid w:val="003F610E"/>
    <w:rsid w:val="00400AC9"/>
    <w:rsid w:val="00403079"/>
    <w:rsid w:val="00403BBB"/>
    <w:rsid w:val="00406663"/>
    <w:rsid w:val="00406835"/>
    <w:rsid w:val="00407889"/>
    <w:rsid w:val="00412FFD"/>
    <w:rsid w:val="00413D33"/>
    <w:rsid w:val="00415489"/>
    <w:rsid w:val="00415ED1"/>
    <w:rsid w:val="004207E9"/>
    <w:rsid w:val="00420DA3"/>
    <w:rsid w:val="00421C71"/>
    <w:rsid w:val="00422CEF"/>
    <w:rsid w:val="00425BFC"/>
    <w:rsid w:val="00425DEB"/>
    <w:rsid w:val="00426032"/>
    <w:rsid w:val="00426D2B"/>
    <w:rsid w:val="00427754"/>
    <w:rsid w:val="004313B9"/>
    <w:rsid w:val="00436373"/>
    <w:rsid w:val="004367B2"/>
    <w:rsid w:val="00437223"/>
    <w:rsid w:val="00437687"/>
    <w:rsid w:val="0044148A"/>
    <w:rsid w:val="00442A61"/>
    <w:rsid w:val="00442E70"/>
    <w:rsid w:val="00446A53"/>
    <w:rsid w:val="00446C0A"/>
    <w:rsid w:val="00447C82"/>
    <w:rsid w:val="00452024"/>
    <w:rsid w:val="00452069"/>
    <w:rsid w:val="00452D57"/>
    <w:rsid w:val="00452E58"/>
    <w:rsid w:val="0045338E"/>
    <w:rsid w:val="00460695"/>
    <w:rsid w:val="0046142D"/>
    <w:rsid w:val="00464F0B"/>
    <w:rsid w:val="004675F2"/>
    <w:rsid w:val="00470743"/>
    <w:rsid w:val="0047153B"/>
    <w:rsid w:val="004722CB"/>
    <w:rsid w:val="0047425C"/>
    <w:rsid w:val="00474590"/>
    <w:rsid w:val="00475854"/>
    <w:rsid w:val="00475E6E"/>
    <w:rsid w:val="0047602E"/>
    <w:rsid w:val="00476C3F"/>
    <w:rsid w:val="00481C9F"/>
    <w:rsid w:val="00482E8E"/>
    <w:rsid w:val="004844E0"/>
    <w:rsid w:val="00484C19"/>
    <w:rsid w:val="00484E91"/>
    <w:rsid w:val="0048669A"/>
    <w:rsid w:val="00486767"/>
    <w:rsid w:val="00486D4D"/>
    <w:rsid w:val="004909C8"/>
    <w:rsid w:val="004911EE"/>
    <w:rsid w:val="004935A2"/>
    <w:rsid w:val="00493959"/>
    <w:rsid w:val="00493D6C"/>
    <w:rsid w:val="00494FBD"/>
    <w:rsid w:val="004955E7"/>
    <w:rsid w:val="00495DEA"/>
    <w:rsid w:val="00497720"/>
    <w:rsid w:val="004A1AC0"/>
    <w:rsid w:val="004A281B"/>
    <w:rsid w:val="004A3A54"/>
    <w:rsid w:val="004A41FD"/>
    <w:rsid w:val="004A6BEA"/>
    <w:rsid w:val="004A778C"/>
    <w:rsid w:val="004B063E"/>
    <w:rsid w:val="004B0C1E"/>
    <w:rsid w:val="004B177A"/>
    <w:rsid w:val="004B1999"/>
    <w:rsid w:val="004B246E"/>
    <w:rsid w:val="004B3B02"/>
    <w:rsid w:val="004B3F03"/>
    <w:rsid w:val="004B58C8"/>
    <w:rsid w:val="004B61F9"/>
    <w:rsid w:val="004B67D8"/>
    <w:rsid w:val="004B7AC1"/>
    <w:rsid w:val="004B7CDC"/>
    <w:rsid w:val="004C017A"/>
    <w:rsid w:val="004C01E3"/>
    <w:rsid w:val="004C20A8"/>
    <w:rsid w:val="004C4174"/>
    <w:rsid w:val="004C4212"/>
    <w:rsid w:val="004C4990"/>
    <w:rsid w:val="004C4EEC"/>
    <w:rsid w:val="004C5D60"/>
    <w:rsid w:val="004C5E28"/>
    <w:rsid w:val="004D00CC"/>
    <w:rsid w:val="004D030C"/>
    <w:rsid w:val="004D18BC"/>
    <w:rsid w:val="004D2445"/>
    <w:rsid w:val="004D2F2F"/>
    <w:rsid w:val="004D696F"/>
    <w:rsid w:val="004D77F1"/>
    <w:rsid w:val="004E0BD8"/>
    <w:rsid w:val="004E325B"/>
    <w:rsid w:val="004E6048"/>
    <w:rsid w:val="004E68C2"/>
    <w:rsid w:val="004E6F93"/>
    <w:rsid w:val="004E728F"/>
    <w:rsid w:val="004F004D"/>
    <w:rsid w:val="004F1D88"/>
    <w:rsid w:val="004F1F2C"/>
    <w:rsid w:val="004F22E8"/>
    <w:rsid w:val="004F2A51"/>
    <w:rsid w:val="004F3386"/>
    <w:rsid w:val="004F44AC"/>
    <w:rsid w:val="005026BC"/>
    <w:rsid w:val="00502B9D"/>
    <w:rsid w:val="00504304"/>
    <w:rsid w:val="00504371"/>
    <w:rsid w:val="005059D7"/>
    <w:rsid w:val="00506268"/>
    <w:rsid w:val="00506967"/>
    <w:rsid w:val="005120B8"/>
    <w:rsid w:val="005120C2"/>
    <w:rsid w:val="00512F16"/>
    <w:rsid w:val="00513A4F"/>
    <w:rsid w:val="00513DD4"/>
    <w:rsid w:val="00516A2B"/>
    <w:rsid w:val="00516FFF"/>
    <w:rsid w:val="00517981"/>
    <w:rsid w:val="005217CD"/>
    <w:rsid w:val="00523B43"/>
    <w:rsid w:val="0052744F"/>
    <w:rsid w:val="005321B1"/>
    <w:rsid w:val="00533764"/>
    <w:rsid w:val="00533D34"/>
    <w:rsid w:val="005343FC"/>
    <w:rsid w:val="00536F60"/>
    <w:rsid w:val="005417A7"/>
    <w:rsid w:val="00541922"/>
    <w:rsid w:val="005545D9"/>
    <w:rsid w:val="00554D18"/>
    <w:rsid w:val="005603FC"/>
    <w:rsid w:val="00560C7F"/>
    <w:rsid w:val="00564839"/>
    <w:rsid w:val="005656F2"/>
    <w:rsid w:val="005660D0"/>
    <w:rsid w:val="00566BFA"/>
    <w:rsid w:val="00566CAE"/>
    <w:rsid w:val="00567838"/>
    <w:rsid w:val="00567CF7"/>
    <w:rsid w:val="00571BA2"/>
    <w:rsid w:val="00572E8D"/>
    <w:rsid w:val="00574249"/>
    <w:rsid w:val="005742EC"/>
    <w:rsid w:val="005745C4"/>
    <w:rsid w:val="0057485B"/>
    <w:rsid w:val="00574DAA"/>
    <w:rsid w:val="00575415"/>
    <w:rsid w:val="00576BC9"/>
    <w:rsid w:val="00576CCD"/>
    <w:rsid w:val="0057743D"/>
    <w:rsid w:val="00581529"/>
    <w:rsid w:val="005823AA"/>
    <w:rsid w:val="0058427A"/>
    <w:rsid w:val="0058584C"/>
    <w:rsid w:val="00586FEB"/>
    <w:rsid w:val="00587B11"/>
    <w:rsid w:val="00587E96"/>
    <w:rsid w:val="005934AA"/>
    <w:rsid w:val="00593F90"/>
    <w:rsid w:val="00594180"/>
    <w:rsid w:val="00595407"/>
    <w:rsid w:val="00596462"/>
    <w:rsid w:val="00596CAB"/>
    <w:rsid w:val="00597329"/>
    <w:rsid w:val="005A067D"/>
    <w:rsid w:val="005A23C7"/>
    <w:rsid w:val="005A26D2"/>
    <w:rsid w:val="005A2AAA"/>
    <w:rsid w:val="005A3EAA"/>
    <w:rsid w:val="005A62AF"/>
    <w:rsid w:val="005A70F6"/>
    <w:rsid w:val="005B0CCD"/>
    <w:rsid w:val="005B0D18"/>
    <w:rsid w:val="005B3547"/>
    <w:rsid w:val="005B3E23"/>
    <w:rsid w:val="005B55E3"/>
    <w:rsid w:val="005B6FA8"/>
    <w:rsid w:val="005C016E"/>
    <w:rsid w:val="005C0CD9"/>
    <w:rsid w:val="005C1C08"/>
    <w:rsid w:val="005C260C"/>
    <w:rsid w:val="005C56E7"/>
    <w:rsid w:val="005C63B5"/>
    <w:rsid w:val="005C6FE6"/>
    <w:rsid w:val="005C7066"/>
    <w:rsid w:val="005D155F"/>
    <w:rsid w:val="005D1761"/>
    <w:rsid w:val="005D1F1F"/>
    <w:rsid w:val="005D2B26"/>
    <w:rsid w:val="005D4762"/>
    <w:rsid w:val="005D4D25"/>
    <w:rsid w:val="005D5129"/>
    <w:rsid w:val="005D615A"/>
    <w:rsid w:val="005D620A"/>
    <w:rsid w:val="005D6A85"/>
    <w:rsid w:val="005D716D"/>
    <w:rsid w:val="005D771C"/>
    <w:rsid w:val="005E13BF"/>
    <w:rsid w:val="005E1A48"/>
    <w:rsid w:val="005E208E"/>
    <w:rsid w:val="005E2C18"/>
    <w:rsid w:val="005E2C70"/>
    <w:rsid w:val="005E37AE"/>
    <w:rsid w:val="005E6075"/>
    <w:rsid w:val="005E616A"/>
    <w:rsid w:val="005E798F"/>
    <w:rsid w:val="005E7DCB"/>
    <w:rsid w:val="005F013C"/>
    <w:rsid w:val="005F0D18"/>
    <w:rsid w:val="005F2D35"/>
    <w:rsid w:val="005F3517"/>
    <w:rsid w:val="005F3754"/>
    <w:rsid w:val="005F3811"/>
    <w:rsid w:val="005F3E4F"/>
    <w:rsid w:val="005F4BC8"/>
    <w:rsid w:val="005F4BCB"/>
    <w:rsid w:val="005F5546"/>
    <w:rsid w:val="005F6ADA"/>
    <w:rsid w:val="00601182"/>
    <w:rsid w:val="00601A0E"/>
    <w:rsid w:val="0060213F"/>
    <w:rsid w:val="00602EBB"/>
    <w:rsid w:val="00604EF0"/>
    <w:rsid w:val="006062E9"/>
    <w:rsid w:val="0060678B"/>
    <w:rsid w:val="00606939"/>
    <w:rsid w:val="00607F7A"/>
    <w:rsid w:val="006134A8"/>
    <w:rsid w:val="0061424D"/>
    <w:rsid w:val="0061434D"/>
    <w:rsid w:val="006207D1"/>
    <w:rsid w:val="006209FB"/>
    <w:rsid w:val="006217E6"/>
    <w:rsid w:val="00621CE2"/>
    <w:rsid w:val="00621F7F"/>
    <w:rsid w:val="00622A4E"/>
    <w:rsid w:val="00622B15"/>
    <w:rsid w:val="006252BF"/>
    <w:rsid w:val="00626150"/>
    <w:rsid w:val="00627522"/>
    <w:rsid w:val="00631CC6"/>
    <w:rsid w:val="00632CE8"/>
    <w:rsid w:val="0063439C"/>
    <w:rsid w:val="006349D1"/>
    <w:rsid w:val="00634A48"/>
    <w:rsid w:val="00634DB2"/>
    <w:rsid w:val="00635FC1"/>
    <w:rsid w:val="00644D93"/>
    <w:rsid w:val="006451DD"/>
    <w:rsid w:val="00646E19"/>
    <w:rsid w:val="00650A5B"/>
    <w:rsid w:val="006512F1"/>
    <w:rsid w:val="006518FD"/>
    <w:rsid w:val="00652634"/>
    <w:rsid w:val="006526F0"/>
    <w:rsid w:val="00654612"/>
    <w:rsid w:val="006546E7"/>
    <w:rsid w:val="00654804"/>
    <w:rsid w:val="0066373C"/>
    <w:rsid w:val="00663D0A"/>
    <w:rsid w:val="00665652"/>
    <w:rsid w:val="00666049"/>
    <w:rsid w:val="0066650C"/>
    <w:rsid w:val="00666679"/>
    <w:rsid w:val="00667A17"/>
    <w:rsid w:val="00673FC3"/>
    <w:rsid w:val="0067423D"/>
    <w:rsid w:val="00674D1A"/>
    <w:rsid w:val="00676221"/>
    <w:rsid w:val="0067665D"/>
    <w:rsid w:val="00676B65"/>
    <w:rsid w:val="006771EF"/>
    <w:rsid w:val="006821D2"/>
    <w:rsid w:val="006821DA"/>
    <w:rsid w:val="00684676"/>
    <w:rsid w:val="006849F0"/>
    <w:rsid w:val="00690FF4"/>
    <w:rsid w:val="00692605"/>
    <w:rsid w:val="00694B0A"/>
    <w:rsid w:val="006953FE"/>
    <w:rsid w:val="00696114"/>
    <w:rsid w:val="006974CC"/>
    <w:rsid w:val="006A1C52"/>
    <w:rsid w:val="006A1EB2"/>
    <w:rsid w:val="006A29FD"/>
    <w:rsid w:val="006A3E03"/>
    <w:rsid w:val="006A5871"/>
    <w:rsid w:val="006A6E7B"/>
    <w:rsid w:val="006B1ABF"/>
    <w:rsid w:val="006B2729"/>
    <w:rsid w:val="006B54E8"/>
    <w:rsid w:val="006B5A42"/>
    <w:rsid w:val="006B61D2"/>
    <w:rsid w:val="006B639B"/>
    <w:rsid w:val="006B641A"/>
    <w:rsid w:val="006C0414"/>
    <w:rsid w:val="006C2A46"/>
    <w:rsid w:val="006C478C"/>
    <w:rsid w:val="006C709E"/>
    <w:rsid w:val="006D0553"/>
    <w:rsid w:val="006D101E"/>
    <w:rsid w:val="006D269B"/>
    <w:rsid w:val="006D2DFC"/>
    <w:rsid w:val="006D437D"/>
    <w:rsid w:val="006D4B6E"/>
    <w:rsid w:val="006D4F9F"/>
    <w:rsid w:val="006D5B99"/>
    <w:rsid w:val="006D6FAC"/>
    <w:rsid w:val="006D71D8"/>
    <w:rsid w:val="006E09F6"/>
    <w:rsid w:val="006E11DA"/>
    <w:rsid w:val="006E1DC1"/>
    <w:rsid w:val="006E39B4"/>
    <w:rsid w:val="006E3C96"/>
    <w:rsid w:val="006E5A03"/>
    <w:rsid w:val="006E6BEF"/>
    <w:rsid w:val="006E74B9"/>
    <w:rsid w:val="006F072E"/>
    <w:rsid w:val="006F1116"/>
    <w:rsid w:val="006F1F07"/>
    <w:rsid w:val="006F5FD5"/>
    <w:rsid w:val="00702D7E"/>
    <w:rsid w:val="0070448B"/>
    <w:rsid w:val="00704ED7"/>
    <w:rsid w:val="00704F25"/>
    <w:rsid w:val="00712FD0"/>
    <w:rsid w:val="007137EF"/>
    <w:rsid w:val="00716058"/>
    <w:rsid w:val="00716EB2"/>
    <w:rsid w:val="00721E09"/>
    <w:rsid w:val="00725631"/>
    <w:rsid w:val="0072657E"/>
    <w:rsid w:val="0072716B"/>
    <w:rsid w:val="00727AF6"/>
    <w:rsid w:val="00733BCE"/>
    <w:rsid w:val="00734566"/>
    <w:rsid w:val="007357E7"/>
    <w:rsid w:val="007363EF"/>
    <w:rsid w:val="00736F14"/>
    <w:rsid w:val="00737283"/>
    <w:rsid w:val="00737437"/>
    <w:rsid w:val="0074027D"/>
    <w:rsid w:val="00740FB6"/>
    <w:rsid w:val="00741193"/>
    <w:rsid w:val="00741758"/>
    <w:rsid w:val="007434D1"/>
    <w:rsid w:val="0074407F"/>
    <w:rsid w:val="0074446A"/>
    <w:rsid w:val="00745CA8"/>
    <w:rsid w:val="00746842"/>
    <w:rsid w:val="00750ADC"/>
    <w:rsid w:val="00750C5F"/>
    <w:rsid w:val="00750EFB"/>
    <w:rsid w:val="00751004"/>
    <w:rsid w:val="00752E2D"/>
    <w:rsid w:val="00754AA8"/>
    <w:rsid w:val="00754D4C"/>
    <w:rsid w:val="00754FC0"/>
    <w:rsid w:val="00756889"/>
    <w:rsid w:val="007604A6"/>
    <w:rsid w:val="007615E8"/>
    <w:rsid w:val="007624EE"/>
    <w:rsid w:val="0076399A"/>
    <w:rsid w:val="00763CE5"/>
    <w:rsid w:val="0076458B"/>
    <w:rsid w:val="007671E1"/>
    <w:rsid w:val="00770EFD"/>
    <w:rsid w:val="007713B1"/>
    <w:rsid w:val="0077202F"/>
    <w:rsid w:val="00772734"/>
    <w:rsid w:val="00773AEB"/>
    <w:rsid w:val="00773E45"/>
    <w:rsid w:val="00773EEB"/>
    <w:rsid w:val="00775288"/>
    <w:rsid w:val="00776E08"/>
    <w:rsid w:val="007774E8"/>
    <w:rsid w:val="00777565"/>
    <w:rsid w:val="0078166B"/>
    <w:rsid w:val="007826E2"/>
    <w:rsid w:val="00783D17"/>
    <w:rsid w:val="007842FB"/>
    <w:rsid w:val="00784EB8"/>
    <w:rsid w:val="0078604E"/>
    <w:rsid w:val="00786731"/>
    <w:rsid w:val="0078683A"/>
    <w:rsid w:val="00787209"/>
    <w:rsid w:val="007918BE"/>
    <w:rsid w:val="0079317E"/>
    <w:rsid w:val="00793198"/>
    <w:rsid w:val="00793638"/>
    <w:rsid w:val="00793B5B"/>
    <w:rsid w:val="00793FB4"/>
    <w:rsid w:val="007945AA"/>
    <w:rsid w:val="00794B29"/>
    <w:rsid w:val="00795E64"/>
    <w:rsid w:val="007972B5"/>
    <w:rsid w:val="007A006A"/>
    <w:rsid w:val="007A1295"/>
    <w:rsid w:val="007A1B61"/>
    <w:rsid w:val="007A32FF"/>
    <w:rsid w:val="007A3E21"/>
    <w:rsid w:val="007A4604"/>
    <w:rsid w:val="007A4866"/>
    <w:rsid w:val="007A63B6"/>
    <w:rsid w:val="007B17B6"/>
    <w:rsid w:val="007B182D"/>
    <w:rsid w:val="007B2574"/>
    <w:rsid w:val="007B319B"/>
    <w:rsid w:val="007B3B0D"/>
    <w:rsid w:val="007B46E7"/>
    <w:rsid w:val="007B58F5"/>
    <w:rsid w:val="007B6806"/>
    <w:rsid w:val="007B7FDE"/>
    <w:rsid w:val="007C0268"/>
    <w:rsid w:val="007C2A61"/>
    <w:rsid w:val="007C32C4"/>
    <w:rsid w:val="007C37B4"/>
    <w:rsid w:val="007C451F"/>
    <w:rsid w:val="007C5A24"/>
    <w:rsid w:val="007C6DD0"/>
    <w:rsid w:val="007D0C25"/>
    <w:rsid w:val="007D11A4"/>
    <w:rsid w:val="007D155B"/>
    <w:rsid w:val="007D1ED0"/>
    <w:rsid w:val="007D400D"/>
    <w:rsid w:val="007D4010"/>
    <w:rsid w:val="007D46C9"/>
    <w:rsid w:val="007D46EC"/>
    <w:rsid w:val="007D4CCC"/>
    <w:rsid w:val="007D4D36"/>
    <w:rsid w:val="007D77A6"/>
    <w:rsid w:val="007D7EA2"/>
    <w:rsid w:val="007E031C"/>
    <w:rsid w:val="007E06F7"/>
    <w:rsid w:val="007E07F9"/>
    <w:rsid w:val="007E3107"/>
    <w:rsid w:val="007E45AB"/>
    <w:rsid w:val="007E662D"/>
    <w:rsid w:val="007E6860"/>
    <w:rsid w:val="007E7223"/>
    <w:rsid w:val="007E7A3C"/>
    <w:rsid w:val="007F1307"/>
    <w:rsid w:val="007F1492"/>
    <w:rsid w:val="007F17B7"/>
    <w:rsid w:val="007F31B4"/>
    <w:rsid w:val="007F4BAE"/>
    <w:rsid w:val="007F6CE2"/>
    <w:rsid w:val="007F6D15"/>
    <w:rsid w:val="007F7541"/>
    <w:rsid w:val="007F79E8"/>
    <w:rsid w:val="008009BD"/>
    <w:rsid w:val="00801ED7"/>
    <w:rsid w:val="00803008"/>
    <w:rsid w:val="0080372F"/>
    <w:rsid w:val="008053F3"/>
    <w:rsid w:val="00805DED"/>
    <w:rsid w:val="008060F9"/>
    <w:rsid w:val="0080620C"/>
    <w:rsid w:val="008065C3"/>
    <w:rsid w:val="00810D61"/>
    <w:rsid w:val="00810ED1"/>
    <w:rsid w:val="008122C1"/>
    <w:rsid w:val="00812CD8"/>
    <w:rsid w:val="00812D1B"/>
    <w:rsid w:val="00813137"/>
    <w:rsid w:val="0081489B"/>
    <w:rsid w:val="00817721"/>
    <w:rsid w:val="00817C37"/>
    <w:rsid w:val="0082002E"/>
    <w:rsid w:val="00825AAF"/>
    <w:rsid w:val="008265A0"/>
    <w:rsid w:val="008272E9"/>
    <w:rsid w:val="00830C4D"/>
    <w:rsid w:val="00830DCA"/>
    <w:rsid w:val="00832E1D"/>
    <w:rsid w:val="00833AAC"/>
    <w:rsid w:val="00833CDC"/>
    <w:rsid w:val="00834A45"/>
    <w:rsid w:val="0083726E"/>
    <w:rsid w:val="00837813"/>
    <w:rsid w:val="00837840"/>
    <w:rsid w:val="00842121"/>
    <w:rsid w:val="00843C75"/>
    <w:rsid w:val="008464E5"/>
    <w:rsid w:val="00850649"/>
    <w:rsid w:val="0085115B"/>
    <w:rsid w:val="008517B6"/>
    <w:rsid w:val="00851888"/>
    <w:rsid w:val="00853C95"/>
    <w:rsid w:val="008548E2"/>
    <w:rsid w:val="00854AB1"/>
    <w:rsid w:val="00854DCD"/>
    <w:rsid w:val="00855EBC"/>
    <w:rsid w:val="00855FD3"/>
    <w:rsid w:val="0085716C"/>
    <w:rsid w:val="00860621"/>
    <w:rsid w:val="0086315D"/>
    <w:rsid w:val="00865F55"/>
    <w:rsid w:val="008663A6"/>
    <w:rsid w:val="008672B0"/>
    <w:rsid w:val="00870463"/>
    <w:rsid w:val="00870D08"/>
    <w:rsid w:val="00870E85"/>
    <w:rsid w:val="00873174"/>
    <w:rsid w:val="008744CA"/>
    <w:rsid w:val="00875E1D"/>
    <w:rsid w:val="00877770"/>
    <w:rsid w:val="008811A6"/>
    <w:rsid w:val="00881274"/>
    <w:rsid w:val="00886CF8"/>
    <w:rsid w:val="00886DF5"/>
    <w:rsid w:val="00890157"/>
    <w:rsid w:val="00890DF0"/>
    <w:rsid w:val="00893A75"/>
    <w:rsid w:val="008954A1"/>
    <w:rsid w:val="008A246A"/>
    <w:rsid w:val="008A24B9"/>
    <w:rsid w:val="008A4F88"/>
    <w:rsid w:val="008A5DD7"/>
    <w:rsid w:val="008A5F44"/>
    <w:rsid w:val="008A7228"/>
    <w:rsid w:val="008A7D09"/>
    <w:rsid w:val="008B341F"/>
    <w:rsid w:val="008B3A01"/>
    <w:rsid w:val="008B5687"/>
    <w:rsid w:val="008B5773"/>
    <w:rsid w:val="008B6422"/>
    <w:rsid w:val="008B73B1"/>
    <w:rsid w:val="008B754E"/>
    <w:rsid w:val="008C16EA"/>
    <w:rsid w:val="008C1B67"/>
    <w:rsid w:val="008C303A"/>
    <w:rsid w:val="008C3B69"/>
    <w:rsid w:val="008C3D1D"/>
    <w:rsid w:val="008C44B2"/>
    <w:rsid w:val="008C56DA"/>
    <w:rsid w:val="008C574C"/>
    <w:rsid w:val="008C7C0F"/>
    <w:rsid w:val="008D04AE"/>
    <w:rsid w:val="008D05BD"/>
    <w:rsid w:val="008D07AF"/>
    <w:rsid w:val="008D1099"/>
    <w:rsid w:val="008D1161"/>
    <w:rsid w:val="008D2612"/>
    <w:rsid w:val="008D2E62"/>
    <w:rsid w:val="008D4E67"/>
    <w:rsid w:val="008D6EB0"/>
    <w:rsid w:val="008E12D0"/>
    <w:rsid w:val="008E2B8E"/>
    <w:rsid w:val="008E5AC5"/>
    <w:rsid w:val="008E5D02"/>
    <w:rsid w:val="008E7F5C"/>
    <w:rsid w:val="008F2864"/>
    <w:rsid w:val="008F396F"/>
    <w:rsid w:val="008F4116"/>
    <w:rsid w:val="008F4395"/>
    <w:rsid w:val="008F4A37"/>
    <w:rsid w:val="008F574A"/>
    <w:rsid w:val="008F7148"/>
    <w:rsid w:val="0090497F"/>
    <w:rsid w:val="00904DA2"/>
    <w:rsid w:val="009050FF"/>
    <w:rsid w:val="00907080"/>
    <w:rsid w:val="00907572"/>
    <w:rsid w:val="00912181"/>
    <w:rsid w:val="0091242C"/>
    <w:rsid w:val="0091243B"/>
    <w:rsid w:val="00914DAA"/>
    <w:rsid w:val="009152DD"/>
    <w:rsid w:val="00915572"/>
    <w:rsid w:val="009162D9"/>
    <w:rsid w:val="009162DA"/>
    <w:rsid w:val="00917711"/>
    <w:rsid w:val="009205DF"/>
    <w:rsid w:val="009209E4"/>
    <w:rsid w:val="009213F7"/>
    <w:rsid w:val="00922745"/>
    <w:rsid w:val="009252C7"/>
    <w:rsid w:val="009258E6"/>
    <w:rsid w:val="0092642A"/>
    <w:rsid w:val="00926D81"/>
    <w:rsid w:val="00927055"/>
    <w:rsid w:val="00927390"/>
    <w:rsid w:val="0093075C"/>
    <w:rsid w:val="00932041"/>
    <w:rsid w:val="0093350F"/>
    <w:rsid w:val="00933755"/>
    <w:rsid w:val="00934188"/>
    <w:rsid w:val="00935B8A"/>
    <w:rsid w:val="00936B31"/>
    <w:rsid w:val="0094133F"/>
    <w:rsid w:val="00941671"/>
    <w:rsid w:val="00945CBC"/>
    <w:rsid w:val="00945FA8"/>
    <w:rsid w:val="00950E6C"/>
    <w:rsid w:val="00951156"/>
    <w:rsid w:val="009528AC"/>
    <w:rsid w:val="00952B01"/>
    <w:rsid w:val="00961D79"/>
    <w:rsid w:val="0096221C"/>
    <w:rsid w:val="00962FF5"/>
    <w:rsid w:val="0096471E"/>
    <w:rsid w:val="00965149"/>
    <w:rsid w:val="0096688E"/>
    <w:rsid w:val="00966CBD"/>
    <w:rsid w:val="00970370"/>
    <w:rsid w:val="009707A9"/>
    <w:rsid w:val="00972038"/>
    <w:rsid w:val="00972061"/>
    <w:rsid w:val="00972171"/>
    <w:rsid w:val="009739A3"/>
    <w:rsid w:val="009740F3"/>
    <w:rsid w:val="00974177"/>
    <w:rsid w:val="00974B2E"/>
    <w:rsid w:val="009801A4"/>
    <w:rsid w:val="0098142C"/>
    <w:rsid w:val="00981D44"/>
    <w:rsid w:val="00982723"/>
    <w:rsid w:val="009827C4"/>
    <w:rsid w:val="00982904"/>
    <w:rsid w:val="00983090"/>
    <w:rsid w:val="0098383D"/>
    <w:rsid w:val="00985817"/>
    <w:rsid w:val="009875D0"/>
    <w:rsid w:val="00987EB2"/>
    <w:rsid w:val="00991FDE"/>
    <w:rsid w:val="00992D43"/>
    <w:rsid w:val="009938DD"/>
    <w:rsid w:val="009938EB"/>
    <w:rsid w:val="00994766"/>
    <w:rsid w:val="00995E77"/>
    <w:rsid w:val="00997272"/>
    <w:rsid w:val="0099758D"/>
    <w:rsid w:val="009A0073"/>
    <w:rsid w:val="009A0ED5"/>
    <w:rsid w:val="009A21B0"/>
    <w:rsid w:val="009A30DA"/>
    <w:rsid w:val="009A3958"/>
    <w:rsid w:val="009A3A60"/>
    <w:rsid w:val="009A3AA8"/>
    <w:rsid w:val="009A6A04"/>
    <w:rsid w:val="009A6B39"/>
    <w:rsid w:val="009A799D"/>
    <w:rsid w:val="009B41D4"/>
    <w:rsid w:val="009B4CA2"/>
    <w:rsid w:val="009B4E30"/>
    <w:rsid w:val="009B4F9B"/>
    <w:rsid w:val="009B515F"/>
    <w:rsid w:val="009B526F"/>
    <w:rsid w:val="009C058B"/>
    <w:rsid w:val="009C164D"/>
    <w:rsid w:val="009C3260"/>
    <w:rsid w:val="009C3858"/>
    <w:rsid w:val="009C4022"/>
    <w:rsid w:val="009C418E"/>
    <w:rsid w:val="009C4303"/>
    <w:rsid w:val="009C7776"/>
    <w:rsid w:val="009D01E4"/>
    <w:rsid w:val="009D2337"/>
    <w:rsid w:val="009D2474"/>
    <w:rsid w:val="009D3F42"/>
    <w:rsid w:val="009D4B01"/>
    <w:rsid w:val="009D4E81"/>
    <w:rsid w:val="009D5428"/>
    <w:rsid w:val="009D5D9F"/>
    <w:rsid w:val="009D61D3"/>
    <w:rsid w:val="009E1E10"/>
    <w:rsid w:val="009E2A0E"/>
    <w:rsid w:val="009E2CAB"/>
    <w:rsid w:val="009E4319"/>
    <w:rsid w:val="009E4921"/>
    <w:rsid w:val="009E558B"/>
    <w:rsid w:val="009E7F77"/>
    <w:rsid w:val="009F02E7"/>
    <w:rsid w:val="009F1ECB"/>
    <w:rsid w:val="009F4B4F"/>
    <w:rsid w:val="009F733A"/>
    <w:rsid w:val="009F7540"/>
    <w:rsid w:val="00A0046D"/>
    <w:rsid w:val="00A01C19"/>
    <w:rsid w:val="00A02AA0"/>
    <w:rsid w:val="00A03755"/>
    <w:rsid w:val="00A03ECD"/>
    <w:rsid w:val="00A0566E"/>
    <w:rsid w:val="00A10748"/>
    <w:rsid w:val="00A12E66"/>
    <w:rsid w:val="00A13EBC"/>
    <w:rsid w:val="00A14687"/>
    <w:rsid w:val="00A146B4"/>
    <w:rsid w:val="00A14E4F"/>
    <w:rsid w:val="00A15A47"/>
    <w:rsid w:val="00A15E73"/>
    <w:rsid w:val="00A16F4C"/>
    <w:rsid w:val="00A20922"/>
    <w:rsid w:val="00A22B70"/>
    <w:rsid w:val="00A22CC4"/>
    <w:rsid w:val="00A23679"/>
    <w:rsid w:val="00A245EB"/>
    <w:rsid w:val="00A24BCC"/>
    <w:rsid w:val="00A24F9F"/>
    <w:rsid w:val="00A25958"/>
    <w:rsid w:val="00A2651F"/>
    <w:rsid w:val="00A26957"/>
    <w:rsid w:val="00A3136C"/>
    <w:rsid w:val="00A3177C"/>
    <w:rsid w:val="00A31DF5"/>
    <w:rsid w:val="00A33293"/>
    <w:rsid w:val="00A3548D"/>
    <w:rsid w:val="00A35F35"/>
    <w:rsid w:val="00A36DB3"/>
    <w:rsid w:val="00A37802"/>
    <w:rsid w:val="00A4111F"/>
    <w:rsid w:val="00A41C11"/>
    <w:rsid w:val="00A424A7"/>
    <w:rsid w:val="00A438E9"/>
    <w:rsid w:val="00A444D1"/>
    <w:rsid w:val="00A4464B"/>
    <w:rsid w:val="00A45DFD"/>
    <w:rsid w:val="00A47A44"/>
    <w:rsid w:val="00A52B55"/>
    <w:rsid w:val="00A52B80"/>
    <w:rsid w:val="00A52F85"/>
    <w:rsid w:val="00A54977"/>
    <w:rsid w:val="00A54A33"/>
    <w:rsid w:val="00A57EB7"/>
    <w:rsid w:val="00A60DC5"/>
    <w:rsid w:val="00A626B3"/>
    <w:rsid w:val="00A63490"/>
    <w:rsid w:val="00A6497C"/>
    <w:rsid w:val="00A679FD"/>
    <w:rsid w:val="00A70047"/>
    <w:rsid w:val="00A70929"/>
    <w:rsid w:val="00A710D6"/>
    <w:rsid w:val="00A71122"/>
    <w:rsid w:val="00A72638"/>
    <w:rsid w:val="00A72813"/>
    <w:rsid w:val="00A73458"/>
    <w:rsid w:val="00A743F5"/>
    <w:rsid w:val="00A74BAE"/>
    <w:rsid w:val="00A750EA"/>
    <w:rsid w:val="00A75A23"/>
    <w:rsid w:val="00A765D6"/>
    <w:rsid w:val="00A76A69"/>
    <w:rsid w:val="00A7788A"/>
    <w:rsid w:val="00A77FA5"/>
    <w:rsid w:val="00A800A0"/>
    <w:rsid w:val="00A81D6B"/>
    <w:rsid w:val="00A82590"/>
    <w:rsid w:val="00A855A0"/>
    <w:rsid w:val="00A86BA6"/>
    <w:rsid w:val="00A87014"/>
    <w:rsid w:val="00A909EB"/>
    <w:rsid w:val="00A90D52"/>
    <w:rsid w:val="00A91026"/>
    <w:rsid w:val="00A91934"/>
    <w:rsid w:val="00A92AF0"/>
    <w:rsid w:val="00A93B34"/>
    <w:rsid w:val="00A946A2"/>
    <w:rsid w:val="00A94BD0"/>
    <w:rsid w:val="00A956EF"/>
    <w:rsid w:val="00A95B43"/>
    <w:rsid w:val="00A9734F"/>
    <w:rsid w:val="00A9780B"/>
    <w:rsid w:val="00AA0411"/>
    <w:rsid w:val="00AA0907"/>
    <w:rsid w:val="00AA1566"/>
    <w:rsid w:val="00AA2518"/>
    <w:rsid w:val="00AA3652"/>
    <w:rsid w:val="00AA3E6A"/>
    <w:rsid w:val="00AB03DB"/>
    <w:rsid w:val="00AB17A5"/>
    <w:rsid w:val="00AB1862"/>
    <w:rsid w:val="00AB22F8"/>
    <w:rsid w:val="00AB2937"/>
    <w:rsid w:val="00AB354D"/>
    <w:rsid w:val="00AB5D23"/>
    <w:rsid w:val="00AB5EB2"/>
    <w:rsid w:val="00AB7117"/>
    <w:rsid w:val="00AC0878"/>
    <w:rsid w:val="00AC1EE5"/>
    <w:rsid w:val="00AC20C6"/>
    <w:rsid w:val="00AC3AE2"/>
    <w:rsid w:val="00AC402D"/>
    <w:rsid w:val="00AC603B"/>
    <w:rsid w:val="00AC6D3C"/>
    <w:rsid w:val="00AD2A40"/>
    <w:rsid w:val="00AD3618"/>
    <w:rsid w:val="00AD46F3"/>
    <w:rsid w:val="00AD5E63"/>
    <w:rsid w:val="00AD77E0"/>
    <w:rsid w:val="00AE05C7"/>
    <w:rsid w:val="00AE0AF1"/>
    <w:rsid w:val="00AE1750"/>
    <w:rsid w:val="00AE21A8"/>
    <w:rsid w:val="00AE22EE"/>
    <w:rsid w:val="00AE2D91"/>
    <w:rsid w:val="00AE3241"/>
    <w:rsid w:val="00AE32A8"/>
    <w:rsid w:val="00AE3C4D"/>
    <w:rsid w:val="00AE4E91"/>
    <w:rsid w:val="00AE5B7C"/>
    <w:rsid w:val="00AE5C9E"/>
    <w:rsid w:val="00AF063C"/>
    <w:rsid w:val="00AF2C40"/>
    <w:rsid w:val="00AF3FA0"/>
    <w:rsid w:val="00AF60B7"/>
    <w:rsid w:val="00B03EBD"/>
    <w:rsid w:val="00B048C2"/>
    <w:rsid w:val="00B04C3E"/>
    <w:rsid w:val="00B0502B"/>
    <w:rsid w:val="00B06457"/>
    <w:rsid w:val="00B07C29"/>
    <w:rsid w:val="00B07C39"/>
    <w:rsid w:val="00B07E11"/>
    <w:rsid w:val="00B10685"/>
    <w:rsid w:val="00B13EE6"/>
    <w:rsid w:val="00B16B46"/>
    <w:rsid w:val="00B175EA"/>
    <w:rsid w:val="00B177A2"/>
    <w:rsid w:val="00B20514"/>
    <w:rsid w:val="00B20E17"/>
    <w:rsid w:val="00B21594"/>
    <w:rsid w:val="00B24EBE"/>
    <w:rsid w:val="00B2598A"/>
    <w:rsid w:val="00B25A5A"/>
    <w:rsid w:val="00B27D00"/>
    <w:rsid w:val="00B3134F"/>
    <w:rsid w:val="00B324F7"/>
    <w:rsid w:val="00B37146"/>
    <w:rsid w:val="00B427D3"/>
    <w:rsid w:val="00B43C67"/>
    <w:rsid w:val="00B4563C"/>
    <w:rsid w:val="00B4570A"/>
    <w:rsid w:val="00B4630A"/>
    <w:rsid w:val="00B47534"/>
    <w:rsid w:val="00B47876"/>
    <w:rsid w:val="00B510D9"/>
    <w:rsid w:val="00B53269"/>
    <w:rsid w:val="00B53471"/>
    <w:rsid w:val="00B544A1"/>
    <w:rsid w:val="00B5464F"/>
    <w:rsid w:val="00B549AE"/>
    <w:rsid w:val="00B5603E"/>
    <w:rsid w:val="00B56098"/>
    <w:rsid w:val="00B567B1"/>
    <w:rsid w:val="00B56F36"/>
    <w:rsid w:val="00B5760C"/>
    <w:rsid w:val="00B62741"/>
    <w:rsid w:val="00B6518A"/>
    <w:rsid w:val="00B65D7E"/>
    <w:rsid w:val="00B65FE0"/>
    <w:rsid w:val="00B67459"/>
    <w:rsid w:val="00B67E43"/>
    <w:rsid w:val="00B705AE"/>
    <w:rsid w:val="00B7628D"/>
    <w:rsid w:val="00B76F97"/>
    <w:rsid w:val="00B77997"/>
    <w:rsid w:val="00B77D0A"/>
    <w:rsid w:val="00B81C77"/>
    <w:rsid w:val="00B82DFC"/>
    <w:rsid w:val="00B83287"/>
    <w:rsid w:val="00B840D3"/>
    <w:rsid w:val="00B84E6B"/>
    <w:rsid w:val="00B8720D"/>
    <w:rsid w:val="00B910B3"/>
    <w:rsid w:val="00B9208C"/>
    <w:rsid w:val="00B9351D"/>
    <w:rsid w:val="00B936CE"/>
    <w:rsid w:val="00BA3F3F"/>
    <w:rsid w:val="00BA4FB6"/>
    <w:rsid w:val="00BA5225"/>
    <w:rsid w:val="00BA5AF2"/>
    <w:rsid w:val="00BB0918"/>
    <w:rsid w:val="00BB2532"/>
    <w:rsid w:val="00BB38D1"/>
    <w:rsid w:val="00BB4578"/>
    <w:rsid w:val="00BB4ACC"/>
    <w:rsid w:val="00BB4F5B"/>
    <w:rsid w:val="00BB55B4"/>
    <w:rsid w:val="00BB5DE8"/>
    <w:rsid w:val="00BB6474"/>
    <w:rsid w:val="00BB76E5"/>
    <w:rsid w:val="00BC0C24"/>
    <w:rsid w:val="00BC10B3"/>
    <w:rsid w:val="00BC181B"/>
    <w:rsid w:val="00BC2264"/>
    <w:rsid w:val="00BC2641"/>
    <w:rsid w:val="00BC3723"/>
    <w:rsid w:val="00BC76B0"/>
    <w:rsid w:val="00BC7DF6"/>
    <w:rsid w:val="00BD01C1"/>
    <w:rsid w:val="00BD0270"/>
    <w:rsid w:val="00BD131B"/>
    <w:rsid w:val="00BD407E"/>
    <w:rsid w:val="00BD5629"/>
    <w:rsid w:val="00BD6B49"/>
    <w:rsid w:val="00BD6D88"/>
    <w:rsid w:val="00BE06C9"/>
    <w:rsid w:val="00BE06F2"/>
    <w:rsid w:val="00BE1FAA"/>
    <w:rsid w:val="00BE313E"/>
    <w:rsid w:val="00BE47A7"/>
    <w:rsid w:val="00BF0958"/>
    <w:rsid w:val="00BF1A12"/>
    <w:rsid w:val="00BF1D24"/>
    <w:rsid w:val="00BF357D"/>
    <w:rsid w:val="00BF417A"/>
    <w:rsid w:val="00BF5127"/>
    <w:rsid w:val="00BF6A98"/>
    <w:rsid w:val="00BF6F05"/>
    <w:rsid w:val="00BF7044"/>
    <w:rsid w:val="00BF7B5D"/>
    <w:rsid w:val="00C00967"/>
    <w:rsid w:val="00C01975"/>
    <w:rsid w:val="00C01CB1"/>
    <w:rsid w:val="00C04093"/>
    <w:rsid w:val="00C0475A"/>
    <w:rsid w:val="00C049CD"/>
    <w:rsid w:val="00C05C33"/>
    <w:rsid w:val="00C06F24"/>
    <w:rsid w:val="00C07C9F"/>
    <w:rsid w:val="00C07E78"/>
    <w:rsid w:val="00C1145E"/>
    <w:rsid w:val="00C1187F"/>
    <w:rsid w:val="00C12375"/>
    <w:rsid w:val="00C17764"/>
    <w:rsid w:val="00C17831"/>
    <w:rsid w:val="00C21EAD"/>
    <w:rsid w:val="00C22ADA"/>
    <w:rsid w:val="00C24036"/>
    <w:rsid w:val="00C242CA"/>
    <w:rsid w:val="00C247A3"/>
    <w:rsid w:val="00C24B22"/>
    <w:rsid w:val="00C251E6"/>
    <w:rsid w:val="00C26983"/>
    <w:rsid w:val="00C2730B"/>
    <w:rsid w:val="00C3040C"/>
    <w:rsid w:val="00C32325"/>
    <w:rsid w:val="00C33365"/>
    <w:rsid w:val="00C333C4"/>
    <w:rsid w:val="00C3345F"/>
    <w:rsid w:val="00C33D42"/>
    <w:rsid w:val="00C3484C"/>
    <w:rsid w:val="00C34B55"/>
    <w:rsid w:val="00C35A93"/>
    <w:rsid w:val="00C35C40"/>
    <w:rsid w:val="00C3660F"/>
    <w:rsid w:val="00C40F2A"/>
    <w:rsid w:val="00C41084"/>
    <w:rsid w:val="00C4161F"/>
    <w:rsid w:val="00C43D76"/>
    <w:rsid w:val="00C44D44"/>
    <w:rsid w:val="00C45656"/>
    <w:rsid w:val="00C45A4D"/>
    <w:rsid w:val="00C45FAB"/>
    <w:rsid w:val="00C46FF0"/>
    <w:rsid w:val="00C52D22"/>
    <w:rsid w:val="00C55455"/>
    <w:rsid w:val="00C57705"/>
    <w:rsid w:val="00C60290"/>
    <w:rsid w:val="00C62913"/>
    <w:rsid w:val="00C64CB8"/>
    <w:rsid w:val="00C652A9"/>
    <w:rsid w:val="00C659C7"/>
    <w:rsid w:val="00C6660A"/>
    <w:rsid w:val="00C67241"/>
    <w:rsid w:val="00C67F41"/>
    <w:rsid w:val="00C7039E"/>
    <w:rsid w:val="00C70894"/>
    <w:rsid w:val="00C70E6C"/>
    <w:rsid w:val="00C723A0"/>
    <w:rsid w:val="00C75242"/>
    <w:rsid w:val="00C76145"/>
    <w:rsid w:val="00C7686F"/>
    <w:rsid w:val="00C76AAA"/>
    <w:rsid w:val="00C80400"/>
    <w:rsid w:val="00C809A2"/>
    <w:rsid w:val="00C809F1"/>
    <w:rsid w:val="00C80B8B"/>
    <w:rsid w:val="00C82319"/>
    <w:rsid w:val="00C846EE"/>
    <w:rsid w:val="00C86D7F"/>
    <w:rsid w:val="00C92169"/>
    <w:rsid w:val="00C94F71"/>
    <w:rsid w:val="00C96F49"/>
    <w:rsid w:val="00C96F53"/>
    <w:rsid w:val="00CA2086"/>
    <w:rsid w:val="00CA319A"/>
    <w:rsid w:val="00CA3F08"/>
    <w:rsid w:val="00CA3F3C"/>
    <w:rsid w:val="00CA4300"/>
    <w:rsid w:val="00CA5A99"/>
    <w:rsid w:val="00CA60B9"/>
    <w:rsid w:val="00CA75FC"/>
    <w:rsid w:val="00CB009E"/>
    <w:rsid w:val="00CB0262"/>
    <w:rsid w:val="00CB1BC6"/>
    <w:rsid w:val="00CB2086"/>
    <w:rsid w:val="00CB397C"/>
    <w:rsid w:val="00CB3F93"/>
    <w:rsid w:val="00CB5606"/>
    <w:rsid w:val="00CB575A"/>
    <w:rsid w:val="00CB6EF7"/>
    <w:rsid w:val="00CC37F6"/>
    <w:rsid w:val="00CC3EFD"/>
    <w:rsid w:val="00CC4E4B"/>
    <w:rsid w:val="00CC777A"/>
    <w:rsid w:val="00CC7F86"/>
    <w:rsid w:val="00CD01F8"/>
    <w:rsid w:val="00CD0974"/>
    <w:rsid w:val="00CD23DA"/>
    <w:rsid w:val="00CD2B7F"/>
    <w:rsid w:val="00CD2FD8"/>
    <w:rsid w:val="00CD36D9"/>
    <w:rsid w:val="00CD4845"/>
    <w:rsid w:val="00CD54D1"/>
    <w:rsid w:val="00CD58C5"/>
    <w:rsid w:val="00CD5994"/>
    <w:rsid w:val="00CE0DD1"/>
    <w:rsid w:val="00CE160F"/>
    <w:rsid w:val="00CE5194"/>
    <w:rsid w:val="00CE52F2"/>
    <w:rsid w:val="00CE6993"/>
    <w:rsid w:val="00CE7CB8"/>
    <w:rsid w:val="00CF0485"/>
    <w:rsid w:val="00CF0663"/>
    <w:rsid w:val="00CF1C16"/>
    <w:rsid w:val="00CF2E30"/>
    <w:rsid w:val="00CF5543"/>
    <w:rsid w:val="00CF5CAB"/>
    <w:rsid w:val="00CF642B"/>
    <w:rsid w:val="00CF65B2"/>
    <w:rsid w:val="00CF72A3"/>
    <w:rsid w:val="00D0157D"/>
    <w:rsid w:val="00D02CBC"/>
    <w:rsid w:val="00D0585D"/>
    <w:rsid w:val="00D05AB9"/>
    <w:rsid w:val="00D0690C"/>
    <w:rsid w:val="00D07009"/>
    <w:rsid w:val="00D0720C"/>
    <w:rsid w:val="00D07AE5"/>
    <w:rsid w:val="00D07C01"/>
    <w:rsid w:val="00D10304"/>
    <w:rsid w:val="00D110FA"/>
    <w:rsid w:val="00D11C41"/>
    <w:rsid w:val="00D13962"/>
    <w:rsid w:val="00D1602A"/>
    <w:rsid w:val="00D1768D"/>
    <w:rsid w:val="00D21845"/>
    <w:rsid w:val="00D21B1C"/>
    <w:rsid w:val="00D237B1"/>
    <w:rsid w:val="00D240C3"/>
    <w:rsid w:val="00D25159"/>
    <w:rsid w:val="00D26DBD"/>
    <w:rsid w:val="00D278DB"/>
    <w:rsid w:val="00D3022A"/>
    <w:rsid w:val="00D308DF"/>
    <w:rsid w:val="00D31549"/>
    <w:rsid w:val="00D31765"/>
    <w:rsid w:val="00D31D74"/>
    <w:rsid w:val="00D32291"/>
    <w:rsid w:val="00D32870"/>
    <w:rsid w:val="00D33CD0"/>
    <w:rsid w:val="00D33DA0"/>
    <w:rsid w:val="00D3536A"/>
    <w:rsid w:val="00D354FB"/>
    <w:rsid w:val="00D4015D"/>
    <w:rsid w:val="00D411DB"/>
    <w:rsid w:val="00D411E8"/>
    <w:rsid w:val="00D41C78"/>
    <w:rsid w:val="00D42726"/>
    <w:rsid w:val="00D4436A"/>
    <w:rsid w:val="00D46AEC"/>
    <w:rsid w:val="00D50680"/>
    <w:rsid w:val="00D514A8"/>
    <w:rsid w:val="00D521E9"/>
    <w:rsid w:val="00D6027E"/>
    <w:rsid w:val="00D6118E"/>
    <w:rsid w:val="00D62310"/>
    <w:rsid w:val="00D63148"/>
    <w:rsid w:val="00D65D95"/>
    <w:rsid w:val="00D65FF6"/>
    <w:rsid w:val="00D67EFD"/>
    <w:rsid w:val="00D706CF"/>
    <w:rsid w:val="00D7082C"/>
    <w:rsid w:val="00D71EEE"/>
    <w:rsid w:val="00D7208B"/>
    <w:rsid w:val="00D7450C"/>
    <w:rsid w:val="00D7496B"/>
    <w:rsid w:val="00D758F1"/>
    <w:rsid w:val="00D8205D"/>
    <w:rsid w:val="00D83B51"/>
    <w:rsid w:val="00D84213"/>
    <w:rsid w:val="00D844AF"/>
    <w:rsid w:val="00D85474"/>
    <w:rsid w:val="00D85A78"/>
    <w:rsid w:val="00D8788B"/>
    <w:rsid w:val="00D87CD0"/>
    <w:rsid w:val="00D904C7"/>
    <w:rsid w:val="00D942DC"/>
    <w:rsid w:val="00D9471D"/>
    <w:rsid w:val="00D95766"/>
    <w:rsid w:val="00D972F1"/>
    <w:rsid w:val="00DA0C38"/>
    <w:rsid w:val="00DA271E"/>
    <w:rsid w:val="00DA2AA1"/>
    <w:rsid w:val="00DA68BA"/>
    <w:rsid w:val="00DA747C"/>
    <w:rsid w:val="00DA75AC"/>
    <w:rsid w:val="00DA7831"/>
    <w:rsid w:val="00DA78A6"/>
    <w:rsid w:val="00DB0704"/>
    <w:rsid w:val="00DB0C33"/>
    <w:rsid w:val="00DB16F1"/>
    <w:rsid w:val="00DB346B"/>
    <w:rsid w:val="00DB3739"/>
    <w:rsid w:val="00DB3A00"/>
    <w:rsid w:val="00DC1C6E"/>
    <w:rsid w:val="00DC39DB"/>
    <w:rsid w:val="00DC4ECF"/>
    <w:rsid w:val="00DC57E4"/>
    <w:rsid w:val="00DC6EF9"/>
    <w:rsid w:val="00DD0C3B"/>
    <w:rsid w:val="00DD210D"/>
    <w:rsid w:val="00DD2CDC"/>
    <w:rsid w:val="00DD3166"/>
    <w:rsid w:val="00DD68AD"/>
    <w:rsid w:val="00DE0088"/>
    <w:rsid w:val="00DE1051"/>
    <w:rsid w:val="00DE15C5"/>
    <w:rsid w:val="00DE15FE"/>
    <w:rsid w:val="00DE2027"/>
    <w:rsid w:val="00DE4129"/>
    <w:rsid w:val="00DE44A0"/>
    <w:rsid w:val="00DE6077"/>
    <w:rsid w:val="00DE682F"/>
    <w:rsid w:val="00DF02B7"/>
    <w:rsid w:val="00DF0D7B"/>
    <w:rsid w:val="00DF2BEE"/>
    <w:rsid w:val="00DF4535"/>
    <w:rsid w:val="00DF467A"/>
    <w:rsid w:val="00DF46CD"/>
    <w:rsid w:val="00DF487C"/>
    <w:rsid w:val="00DF7815"/>
    <w:rsid w:val="00E00F83"/>
    <w:rsid w:val="00E10F25"/>
    <w:rsid w:val="00E12F0F"/>
    <w:rsid w:val="00E13CDD"/>
    <w:rsid w:val="00E13D27"/>
    <w:rsid w:val="00E14418"/>
    <w:rsid w:val="00E16087"/>
    <w:rsid w:val="00E178FF"/>
    <w:rsid w:val="00E212E4"/>
    <w:rsid w:val="00E22022"/>
    <w:rsid w:val="00E22C0C"/>
    <w:rsid w:val="00E237B5"/>
    <w:rsid w:val="00E254E4"/>
    <w:rsid w:val="00E25EAD"/>
    <w:rsid w:val="00E26F5E"/>
    <w:rsid w:val="00E304A5"/>
    <w:rsid w:val="00E331DC"/>
    <w:rsid w:val="00E3351B"/>
    <w:rsid w:val="00E33530"/>
    <w:rsid w:val="00E343CF"/>
    <w:rsid w:val="00E34A64"/>
    <w:rsid w:val="00E360AC"/>
    <w:rsid w:val="00E367F8"/>
    <w:rsid w:val="00E3707B"/>
    <w:rsid w:val="00E374B2"/>
    <w:rsid w:val="00E40CE1"/>
    <w:rsid w:val="00E41381"/>
    <w:rsid w:val="00E42E9C"/>
    <w:rsid w:val="00E431D2"/>
    <w:rsid w:val="00E4475A"/>
    <w:rsid w:val="00E46330"/>
    <w:rsid w:val="00E46C96"/>
    <w:rsid w:val="00E47245"/>
    <w:rsid w:val="00E474D7"/>
    <w:rsid w:val="00E50781"/>
    <w:rsid w:val="00E5296D"/>
    <w:rsid w:val="00E5360B"/>
    <w:rsid w:val="00E54743"/>
    <w:rsid w:val="00E54BF7"/>
    <w:rsid w:val="00E5570D"/>
    <w:rsid w:val="00E56E42"/>
    <w:rsid w:val="00E5729C"/>
    <w:rsid w:val="00E579BD"/>
    <w:rsid w:val="00E60E1C"/>
    <w:rsid w:val="00E6203E"/>
    <w:rsid w:val="00E6256A"/>
    <w:rsid w:val="00E63053"/>
    <w:rsid w:val="00E640A5"/>
    <w:rsid w:val="00E64FF4"/>
    <w:rsid w:val="00E65121"/>
    <w:rsid w:val="00E657AC"/>
    <w:rsid w:val="00E662A6"/>
    <w:rsid w:val="00E70B4E"/>
    <w:rsid w:val="00E70CB2"/>
    <w:rsid w:val="00E7192B"/>
    <w:rsid w:val="00E72BE6"/>
    <w:rsid w:val="00E72E32"/>
    <w:rsid w:val="00E737DD"/>
    <w:rsid w:val="00E750A9"/>
    <w:rsid w:val="00E80730"/>
    <w:rsid w:val="00E812F5"/>
    <w:rsid w:val="00E82385"/>
    <w:rsid w:val="00E836B9"/>
    <w:rsid w:val="00E83E62"/>
    <w:rsid w:val="00E85713"/>
    <w:rsid w:val="00E862DD"/>
    <w:rsid w:val="00E8689F"/>
    <w:rsid w:val="00E92A91"/>
    <w:rsid w:val="00E93AB2"/>
    <w:rsid w:val="00E94460"/>
    <w:rsid w:val="00EA02E4"/>
    <w:rsid w:val="00EA0BF5"/>
    <w:rsid w:val="00EA13C3"/>
    <w:rsid w:val="00EA39EA"/>
    <w:rsid w:val="00EA411A"/>
    <w:rsid w:val="00EA5376"/>
    <w:rsid w:val="00EA58B2"/>
    <w:rsid w:val="00EB004B"/>
    <w:rsid w:val="00EB057B"/>
    <w:rsid w:val="00EB0FB8"/>
    <w:rsid w:val="00EB1269"/>
    <w:rsid w:val="00EB2DBE"/>
    <w:rsid w:val="00EB3A69"/>
    <w:rsid w:val="00EB3D17"/>
    <w:rsid w:val="00EB60BE"/>
    <w:rsid w:val="00EC015D"/>
    <w:rsid w:val="00EC093B"/>
    <w:rsid w:val="00EC5E7E"/>
    <w:rsid w:val="00EC61F1"/>
    <w:rsid w:val="00EC7F73"/>
    <w:rsid w:val="00ED0E87"/>
    <w:rsid w:val="00ED1C69"/>
    <w:rsid w:val="00ED23BD"/>
    <w:rsid w:val="00ED37EA"/>
    <w:rsid w:val="00ED4A36"/>
    <w:rsid w:val="00ED7441"/>
    <w:rsid w:val="00ED778D"/>
    <w:rsid w:val="00EE50A5"/>
    <w:rsid w:val="00EE6943"/>
    <w:rsid w:val="00EE7D97"/>
    <w:rsid w:val="00EF0C27"/>
    <w:rsid w:val="00EF3412"/>
    <w:rsid w:val="00EF3AD0"/>
    <w:rsid w:val="00EF3FA7"/>
    <w:rsid w:val="00EF6834"/>
    <w:rsid w:val="00EF689B"/>
    <w:rsid w:val="00EF6ED7"/>
    <w:rsid w:val="00EF746B"/>
    <w:rsid w:val="00F00461"/>
    <w:rsid w:val="00F01210"/>
    <w:rsid w:val="00F02717"/>
    <w:rsid w:val="00F02880"/>
    <w:rsid w:val="00F03215"/>
    <w:rsid w:val="00F03B6F"/>
    <w:rsid w:val="00F06BC3"/>
    <w:rsid w:val="00F070AD"/>
    <w:rsid w:val="00F10D27"/>
    <w:rsid w:val="00F1248C"/>
    <w:rsid w:val="00F12937"/>
    <w:rsid w:val="00F129F3"/>
    <w:rsid w:val="00F1499C"/>
    <w:rsid w:val="00F1546E"/>
    <w:rsid w:val="00F158F4"/>
    <w:rsid w:val="00F15DE8"/>
    <w:rsid w:val="00F162FE"/>
    <w:rsid w:val="00F16439"/>
    <w:rsid w:val="00F16EF4"/>
    <w:rsid w:val="00F16F0E"/>
    <w:rsid w:val="00F20434"/>
    <w:rsid w:val="00F2085D"/>
    <w:rsid w:val="00F2178B"/>
    <w:rsid w:val="00F2181D"/>
    <w:rsid w:val="00F22396"/>
    <w:rsid w:val="00F2474B"/>
    <w:rsid w:val="00F267D3"/>
    <w:rsid w:val="00F26A76"/>
    <w:rsid w:val="00F26A97"/>
    <w:rsid w:val="00F27740"/>
    <w:rsid w:val="00F27DA5"/>
    <w:rsid w:val="00F27DA8"/>
    <w:rsid w:val="00F310A8"/>
    <w:rsid w:val="00F33766"/>
    <w:rsid w:val="00F34E53"/>
    <w:rsid w:val="00F369D8"/>
    <w:rsid w:val="00F37C5B"/>
    <w:rsid w:val="00F40E45"/>
    <w:rsid w:val="00F439B1"/>
    <w:rsid w:val="00F44217"/>
    <w:rsid w:val="00F44F6F"/>
    <w:rsid w:val="00F47C22"/>
    <w:rsid w:val="00F51361"/>
    <w:rsid w:val="00F51EF0"/>
    <w:rsid w:val="00F53CA2"/>
    <w:rsid w:val="00F5452B"/>
    <w:rsid w:val="00F54AC2"/>
    <w:rsid w:val="00F54ADC"/>
    <w:rsid w:val="00F54EAB"/>
    <w:rsid w:val="00F62B1B"/>
    <w:rsid w:val="00F634DB"/>
    <w:rsid w:val="00F638D3"/>
    <w:rsid w:val="00F652C5"/>
    <w:rsid w:val="00F66D60"/>
    <w:rsid w:val="00F66EA1"/>
    <w:rsid w:val="00F7035C"/>
    <w:rsid w:val="00F719AE"/>
    <w:rsid w:val="00F771E8"/>
    <w:rsid w:val="00F77334"/>
    <w:rsid w:val="00F77ACD"/>
    <w:rsid w:val="00F81403"/>
    <w:rsid w:val="00F815C2"/>
    <w:rsid w:val="00F83D2E"/>
    <w:rsid w:val="00F8560D"/>
    <w:rsid w:val="00F86787"/>
    <w:rsid w:val="00F87947"/>
    <w:rsid w:val="00F87C2B"/>
    <w:rsid w:val="00F87DFF"/>
    <w:rsid w:val="00F92F69"/>
    <w:rsid w:val="00F93110"/>
    <w:rsid w:val="00F932A1"/>
    <w:rsid w:val="00F93426"/>
    <w:rsid w:val="00F95509"/>
    <w:rsid w:val="00F95E8C"/>
    <w:rsid w:val="00F96FF4"/>
    <w:rsid w:val="00F97C0C"/>
    <w:rsid w:val="00F97C90"/>
    <w:rsid w:val="00FA0037"/>
    <w:rsid w:val="00FA04DE"/>
    <w:rsid w:val="00FA0E7B"/>
    <w:rsid w:val="00FA2B1F"/>
    <w:rsid w:val="00FA439C"/>
    <w:rsid w:val="00FA600E"/>
    <w:rsid w:val="00FA69B5"/>
    <w:rsid w:val="00FA6AAF"/>
    <w:rsid w:val="00FB1CC2"/>
    <w:rsid w:val="00FB25C4"/>
    <w:rsid w:val="00FB3EC1"/>
    <w:rsid w:val="00FB5091"/>
    <w:rsid w:val="00FB566B"/>
    <w:rsid w:val="00FB581E"/>
    <w:rsid w:val="00FB633D"/>
    <w:rsid w:val="00FB6FD8"/>
    <w:rsid w:val="00FB79C4"/>
    <w:rsid w:val="00FC05E6"/>
    <w:rsid w:val="00FC1B10"/>
    <w:rsid w:val="00FC2F3E"/>
    <w:rsid w:val="00FC3297"/>
    <w:rsid w:val="00FC45A4"/>
    <w:rsid w:val="00FC4B63"/>
    <w:rsid w:val="00FC63D4"/>
    <w:rsid w:val="00FD0342"/>
    <w:rsid w:val="00FD2508"/>
    <w:rsid w:val="00FD2866"/>
    <w:rsid w:val="00FD4E82"/>
    <w:rsid w:val="00FE02E6"/>
    <w:rsid w:val="00FE07A8"/>
    <w:rsid w:val="00FE0957"/>
    <w:rsid w:val="00FE0E47"/>
    <w:rsid w:val="00FE337D"/>
    <w:rsid w:val="00FE3A6C"/>
    <w:rsid w:val="00FF161C"/>
    <w:rsid w:val="00FF2A43"/>
    <w:rsid w:val="00FF35DF"/>
    <w:rsid w:val="00FF5920"/>
    <w:rsid w:val="11D81D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C0BC4C"/>
  <w15:chartTrackingRefBased/>
  <w15:docId w15:val="{D023A029-B66C-4340-B5C5-D3CD98DE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3A2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qFormat/>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rsid w:val="00A855A0"/>
    <w:rPr>
      <w:sz w:val="16"/>
      <w:szCs w:val="16"/>
    </w:rPr>
  </w:style>
  <w:style w:type="paragraph" w:styleId="CommentText">
    <w:name w:val="annotation text"/>
    <w:basedOn w:val="Normal"/>
    <w:link w:val="CommentTextChar"/>
    <w:rsid w:val="00A855A0"/>
    <w:rPr>
      <w:sz w:val="20"/>
      <w:szCs w:val="20"/>
    </w:rPr>
  </w:style>
  <w:style w:type="character" w:customStyle="1" w:styleId="CommentTextChar">
    <w:name w:val="Comment Tex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character" w:customStyle="1" w:styleId="normaltextrun">
    <w:name w:val="normaltextrun"/>
    <w:basedOn w:val="DefaultParagraphFont"/>
    <w:rsid w:val="002E1D97"/>
  </w:style>
  <w:style w:type="character" w:customStyle="1" w:styleId="eop">
    <w:name w:val="eop"/>
    <w:basedOn w:val="DefaultParagraphFont"/>
    <w:rsid w:val="002E1D97"/>
  </w:style>
  <w:style w:type="character" w:styleId="FollowedHyperlink">
    <w:name w:val="FollowedHyperlink"/>
    <w:basedOn w:val="DefaultParagraphFont"/>
    <w:rsid w:val="00D1768D"/>
    <w:rPr>
      <w:color w:val="954F72" w:themeColor="followedHyperlink"/>
      <w:u w:val="single"/>
    </w:rPr>
  </w:style>
  <w:style w:type="paragraph" w:styleId="Revision">
    <w:name w:val="Revision"/>
    <w:hidden/>
    <w:uiPriority w:val="99"/>
    <w:semiHidden/>
    <w:rsid w:val="00CB009E"/>
    <w:rPr>
      <w:sz w:val="24"/>
      <w:szCs w:val="24"/>
    </w:rPr>
  </w:style>
  <w:style w:type="character" w:styleId="UnresolvedMention">
    <w:name w:val="Unresolved Mention"/>
    <w:basedOn w:val="DefaultParagraphFont"/>
    <w:uiPriority w:val="99"/>
    <w:semiHidden/>
    <w:unhideWhenUsed/>
    <w:rsid w:val="00ED7441"/>
    <w:rPr>
      <w:color w:val="605E5C"/>
      <w:shd w:val="clear" w:color="auto" w:fill="E1DFDD"/>
    </w:rPr>
  </w:style>
  <w:style w:type="character" w:styleId="Mention">
    <w:name w:val="Mention"/>
    <w:basedOn w:val="DefaultParagraphFont"/>
    <w:uiPriority w:val="99"/>
    <w:unhideWhenUsed/>
    <w:rsid w:val="000C55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www.cms.gov/CCIIO/Resources/Files/external_appeals.html" TargetMode="External" /><Relationship Id="rId3" Type="http://schemas.openxmlformats.org/officeDocument/2006/relationships/hyperlink" Target="http://www.census.gov/a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F0DF9-8FDE-4623-8FF5-73BC89278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E1CCA-85F0-4962-91AC-19D30125F05D}">
  <ds:schemaRefs>
    <ds:schemaRef ds:uri="http://schemas.openxmlformats.org/officeDocument/2006/bibliography"/>
  </ds:schemaRefs>
</ds:datastoreItem>
</file>

<file path=customXml/itemProps3.xml><?xml version="1.0" encoding="utf-8"?>
<ds:datastoreItem xmlns:ds="http://schemas.openxmlformats.org/officeDocument/2006/customXml" ds:itemID="{4377F355-CB6B-4E1F-95AB-EABAD725E773}">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customXml/itemProps4.xml><?xml version="1.0" encoding="utf-8"?>
<ds:datastoreItem xmlns:ds="http://schemas.openxmlformats.org/officeDocument/2006/customXml" ds:itemID="{BC67CBF6-8B1D-42B5-85A0-DA2AF61E6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4678</Words>
  <Characters>26670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Van Dyke Lanita</cp:lastModifiedBy>
  <cp:revision>2</cp:revision>
  <cp:lastPrinted>2015-05-07T05:35:00Z</cp:lastPrinted>
  <dcterms:created xsi:type="dcterms:W3CDTF">2026-06-24T11:09:00Z</dcterms:created>
  <dcterms:modified xsi:type="dcterms:W3CDTF">2026-06-24T11:09:00Z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MediaServiceImageTags">
    <vt:lpwstr/>
  </property>
  <property fmtid="{D5CDD505-2E9C-101B-9397-08002B2CF9AE}" pid="4" name="_NewReviewCycle">
    <vt:lpwstr/>
  </property>
</Properties>
</file>