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tbl>
      <w:tblPr>
        <w:tblW w:w="7200" w:type="dxa"/>
        <w:tblInd w:w="2880" w:type="dxa"/>
        <w:tblLook w:val="04A0"/>
      </w:tblPr>
      <w:tblGrid>
        <w:gridCol w:w="7200"/>
      </w:tblGrid>
      <w:tr w14:paraId="5A501666" w14:textId="77777777" w:rsidTr="00102178">
        <w:tblPrEx>
          <w:tblW w:w="7200" w:type="dxa"/>
          <w:tblInd w:w="2880" w:type="dxa"/>
          <w:tblLook w:val="04A0"/>
        </w:tblPrEx>
        <w:trPr>
          <w:trHeight w:val="1656"/>
          <w:tblHeader/>
        </w:trPr>
        <w:tc>
          <w:tcPr>
            <w:tcW w:w="7200" w:type="dxa"/>
            <w:tcMar>
              <w:top w:w="72" w:type="dxa"/>
              <w:left w:w="0" w:type="dxa"/>
              <w:bottom w:w="72" w:type="dxa"/>
              <w:right w:w="0" w:type="dxa"/>
            </w:tcMar>
            <w:vAlign w:val="center"/>
          </w:tcPr>
          <w:p w:rsidR="00FE4257" w:rsidRPr="00FE4257" w:rsidP="00FE4257" w14:paraId="1610BFFD" w14:textId="77777777">
            <w:pPr>
              <w:pStyle w:val="Heading1"/>
              <w:rPr>
                <w:sz w:val="28"/>
                <w:szCs w:val="28"/>
              </w:rPr>
            </w:pPr>
            <w:bookmarkStart w:id="0" w:name="_Ref491646174"/>
            <w:r w:rsidRPr="00FE4257">
              <w:rPr>
                <w:sz w:val="28"/>
                <w:szCs w:val="28"/>
              </w:rPr>
              <w:t>National Reporting System (NRS) for Adult Education</w:t>
            </w:r>
          </w:p>
          <w:p w:rsidR="00FE4257" w:rsidRPr="00FE4257" w:rsidP="00FE4257" w14:paraId="1BA2045C" w14:textId="77777777">
            <w:pPr>
              <w:pStyle w:val="Heading1"/>
              <w:rPr>
                <w:sz w:val="28"/>
                <w:szCs w:val="28"/>
              </w:rPr>
            </w:pPr>
            <w:r w:rsidRPr="00FE4257">
              <w:rPr>
                <w:sz w:val="28"/>
                <w:szCs w:val="28"/>
              </w:rPr>
              <w:t>Information Collection Request</w:t>
            </w:r>
          </w:p>
          <w:p w:rsidR="00FE4257" w:rsidRPr="00FE4257" w:rsidP="00FE4257" w14:paraId="318E00C9" w14:textId="19A34095">
            <w:pPr>
              <w:pStyle w:val="Heading1"/>
              <w:rPr>
                <w:sz w:val="28"/>
                <w:szCs w:val="28"/>
              </w:rPr>
            </w:pPr>
            <w:r w:rsidRPr="00FE4257">
              <w:rPr>
                <w:sz w:val="28"/>
                <w:szCs w:val="28"/>
              </w:rPr>
              <w:t>OMB Control Number 1830-0027</w:t>
            </w:r>
          </w:p>
          <w:p w:rsidR="0077097B" w:rsidRPr="00FE4257" w:rsidP="00FE4257" w14:paraId="10A663D2" w14:textId="39DCF862">
            <w:pPr>
              <w:pStyle w:val="Heading1"/>
              <w:rPr>
                <w:sz w:val="28"/>
                <w:szCs w:val="28"/>
              </w:rPr>
            </w:pPr>
            <w:r w:rsidRPr="00FE4257">
              <w:rPr>
                <w:sz w:val="28"/>
                <w:szCs w:val="28"/>
              </w:rPr>
              <w:t>Responses to Public Comments Received During the 60-Day Notice</w:t>
            </w:r>
          </w:p>
        </w:tc>
      </w:tr>
    </w:tbl>
    <w:p w:rsidR="0049455C" w:rsidRPr="00080327" w:rsidP="00080327" w14:paraId="4D784037" w14:textId="74E2DFDA">
      <w:pPr>
        <w:pStyle w:val="Heading2"/>
      </w:pPr>
      <w:r w:rsidRPr="002775BB">
        <w:t>Reporting Reflects Current and Meaningful Adult Education Outcomes</w:t>
      </w:r>
    </w:p>
    <w:p w:rsidR="00FE4257" w:rsidRPr="00356AA7" w:rsidP="00FE4257" w14:paraId="54681D6B" w14:textId="1B00527E">
      <w:pPr>
        <w:pStyle w:val="Heading3"/>
      </w:pPr>
      <w:bookmarkStart w:id="1" w:name="_Toc493775489"/>
      <w:bookmarkStart w:id="2" w:name="_Toc496018159"/>
      <w:bookmarkStart w:id="3" w:name="_Toc419906644"/>
      <w:bookmarkStart w:id="4" w:name="_Toc430169762"/>
      <w:r w:rsidRPr="00356AA7">
        <w:t>Comment</w:t>
      </w:r>
    </w:p>
    <w:p w:rsidR="00FA46A9" w:rsidRPr="00875E12" w:rsidP="00FA46A9" w14:paraId="77AE143B" w14:textId="22B54745">
      <w:pPr>
        <w:spacing w:before="240" w:after="160" w:line="480" w:lineRule="auto"/>
        <w:rPr>
          <w:rFonts w:ascii="Calibri" w:eastAsia="Calibri" w:hAnsi="Calibri" w:cs="Calibri"/>
          <w:sz w:val="22"/>
          <w:szCs w:val="22"/>
        </w:rPr>
      </w:pPr>
      <w:r w:rsidRPr="2098428E">
        <w:rPr>
          <w:rFonts w:ascii="Calibri" w:eastAsia="Calibri" w:hAnsi="Calibri" w:cs="Calibri"/>
          <w:sz w:val="22"/>
          <w:szCs w:val="22"/>
        </w:rPr>
        <w:t xml:space="preserve">One commenter expressed support for extending the information collection without change but encouraged OCTAE to confirm in their supporting materials that the “current performance measures and reporting methods continue to reflect the most meaningful and up-to-date indicators of adult education program outcomes.” To achieve this, the commentator suggested that </w:t>
      </w:r>
      <w:r w:rsidRPr="2098428E" w:rsidR="46F65612">
        <w:rPr>
          <w:rFonts w:ascii="Calibri" w:eastAsia="Calibri" w:hAnsi="Calibri" w:cs="Calibri"/>
          <w:sz w:val="22"/>
          <w:szCs w:val="22"/>
        </w:rPr>
        <w:t>“</w:t>
      </w:r>
      <w:r w:rsidRPr="2098428E">
        <w:rPr>
          <w:rFonts w:ascii="Calibri" w:eastAsia="Calibri" w:hAnsi="Calibri" w:cs="Calibri"/>
          <w:sz w:val="22"/>
          <w:szCs w:val="22"/>
        </w:rPr>
        <w:t>OCTAE clarify whether any revisions to underlying definitions, methodologies, or data elements have become necessary since the collection was last approved.</w:t>
      </w:r>
      <w:r w:rsidR="00A92078">
        <w:rPr>
          <w:rFonts w:ascii="Calibri" w:eastAsia="Calibri" w:hAnsi="Calibri" w:cs="Calibri"/>
          <w:sz w:val="22"/>
          <w:szCs w:val="22"/>
        </w:rPr>
        <w:t>”</w:t>
      </w:r>
    </w:p>
    <w:p w:rsidR="00FE4257" w:rsidRPr="00356AA7" w:rsidP="00FE4257" w14:paraId="4D225076" w14:textId="2273BEA7">
      <w:pPr>
        <w:pStyle w:val="Heading3"/>
      </w:pPr>
      <w:r w:rsidRPr="00356AA7">
        <w:t>Discussion</w:t>
      </w:r>
    </w:p>
    <w:p w:rsidR="00B32633" w:rsidRPr="00C35217" w:rsidP="00C35217" w14:paraId="512ADAE0" w14:textId="2489E6B6">
      <w:pPr>
        <w:spacing w:before="120" w:line="480" w:lineRule="auto"/>
        <w:rPr>
          <w:sz w:val="22"/>
          <w:szCs w:val="22"/>
        </w:rPr>
      </w:pPr>
      <w:r w:rsidRPr="00C35217">
        <w:rPr>
          <w:sz w:val="22"/>
          <w:szCs w:val="22"/>
        </w:rPr>
        <w:t xml:space="preserve">We appreciate the support for extending the information collection period without change. </w:t>
      </w:r>
      <w:r w:rsidRPr="00C35217" w:rsidR="00113190">
        <w:rPr>
          <w:sz w:val="22"/>
          <w:szCs w:val="22"/>
        </w:rPr>
        <w:t xml:space="preserve">OCTAE recognizes the importance of periodically assessing whether underlying definitions, methodologies, and data elements remain appropriate and aligned with program and reporting needs. </w:t>
      </w:r>
      <w:r w:rsidRPr="00355B88" w:rsidR="00355B88">
        <w:rPr>
          <w:sz w:val="22"/>
          <w:szCs w:val="22"/>
        </w:rPr>
        <w:t xml:space="preserve">The performance indicators for adult education programs </w:t>
      </w:r>
      <w:r w:rsidR="009645F0">
        <w:rPr>
          <w:sz w:val="22"/>
          <w:szCs w:val="22"/>
        </w:rPr>
        <w:t xml:space="preserve">authorized under Title II of the </w:t>
      </w:r>
      <w:r w:rsidRPr="00355B88" w:rsidR="009645F0">
        <w:rPr>
          <w:sz w:val="22"/>
          <w:szCs w:val="22"/>
        </w:rPr>
        <w:t>Workforce Innovation and Opportunity Act (WIOA)</w:t>
      </w:r>
      <w:r w:rsidR="009645F0">
        <w:rPr>
          <w:sz w:val="22"/>
          <w:szCs w:val="22"/>
        </w:rPr>
        <w:t xml:space="preserve"> </w:t>
      </w:r>
      <w:r w:rsidRPr="00355B88" w:rsidR="00355B88">
        <w:rPr>
          <w:sz w:val="22"/>
          <w:szCs w:val="22"/>
        </w:rPr>
        <w:t xml:space="preserve">are defined in Section 116 of WIOA. The reporting methodology </w:t>
      </w:r>
      <w:r w:rsidR="00CB5C9D">
        <w:rPr>
          <w:sz w:val="22"/>
          <w:szCs w:val="22"/>
        </w:rPr>
        <w:t xml:space="preserve">for the indicators </w:t>
      </w:r>
      <w:r w:rsidRPr="00355B88" w:rsidR="00355B88">
        <w:rPr>
          <w:sz w:val="22"/>
          <w:szCs w:val="22"/>
        </w:rPr>
        <w:t>is defined in joint guidance issued by the U.S. Departments of Education and Labor</w:t>
      </w:r>
      <w:r w:rsidR="000A7852">
        <w:rPr>
          <w:sz w:val="22"/>
          <w:szCs w:val="22"/>
        </w:rPr>
        <w:t xml:space="preserve"> </w:t>
      </w:r>
      <w:r w:rsidR="009645F0">
        <w:rPr>
          <w:sz w:val="22"/>
          <w:szCs w:val="22"/>
        </w:rPr>
        <w:t>in</w:t>
      </w:r>
      <w:r w:rsidR="000A7852">
        <w:rPr>
          <w:sz w:val="22"/>
          <w:szCs w:val="22"/>
        </w:rPr>
        <w:t xml:space="preserve"> OCTAE Program Memorandum 17-2</w:t>
      </w:r>
      <w:r w:rsidRPr="00355B88" w:rsidR="00355B88">
        <w:rPr>
          <w:sz w:val="22"/>
          <w:szCs w:val="22"/>
        </w:rPr>
        <w:t>. We regularly work with our WIOA core partners to review and refine performance accountability guidance</w:t>
      </w:r>
      <w:r w:rsidR="00A420B9">
        <w:rPr>
          <w:sz w:val="22"/>
          <w:szCs w:val="22"/>
        </w:rPr>
        <w:t xml:space="preserve"> and technical assistance</w:t>
      </w:r>
      <w:r w:rsidRPr="00355B88" w:rsidR="00355B88">
        <w:rPr>
          <w:sz w:val="22"/>
          <w:szCs w:val="22"/>
        </w:rPr>
        <w:t xml:space="preserve">. </w:t>
      </w:r>
      <w:r w:rsidR="001D5984">
        <w:rPr>
          <w:sz w:val="22"/>
          <w:szCs w:val="22"/>
        </w:rPr>
        <w:t xml:space="preserve">Although we </w:t>
      </w:r>
      <w:r w:rsidR="00A420B9">
        <w:rPr>
          <w:sz w:val="22"/>
          <w:szCs w:val="22"/>
        </w:rPr>
        <w:t xml:space="preserve">have </w:t>
      </w:r>
      <w:r w:rsidR="001D5984">
        <w:rPr>
          <w:sz w:val="22"/>
          <w:szCs w:val="22"/>
        </w:rPr>
        <w:t xml:space="preserve">determined that revisions </w:t>
      </w:r>
      <w:r w:rsidR="00A420B9">
        <w:rPr>
          <w:sz w:val="22"/>
          <w:szCs w:val="22"/>
        </w:rPr>
        <w:t xml:space="preserve">are </w:t>
      </w:r>
      <w:r w:rsidR="001D5984">
        <w:rPr>
          <w:sz w:val="22"/>
          <w:szCs w:val="22"/>
        </w:rPr>
        <w:t xml:space="preserve">not needed since the most recent </w:t>
      </w:r>
      <w:r w:rsidR="009F49C7">
        <w:rPr>
          <w:sz w:val="22"/>
          <w:szCs w:val="22"/>
        </w:rPr>
        <w:t xml:space="preserve">renewal </w:t>
      </w:r>
      <w:r w:rsidR="001D5984">
        <w:rPr>
          <w:sz w:val="22"/>
          <w:szCs w:val="22"/>
        </w:rPr>
        <w:t>of this information collection, w</w:t>
      </w:r>
      <w:r w:rsidRPr="00C35217" w:rsidR="001D5984">
        <w:rPr>
          <w:sz w:val="22"/>
          <w:szCs w:val="22"/>
        </w:rPr>
        <w:t xml:space="preserve">e </w:t>
      </w:r>
      <w:r w:rsidRPr="00C35217">
        <w:rPr>
          <w:sz w:val="22"/>
          <w:szCs w:val="22"/>
        </w:rPr>
        <w:t xml:space="preserve">will carefully consider this feedback and </w:t>
      </w:r>
      <w:r w:rsidR="00763376">
        <w:rPr>
          <w:sz w:val="22"/>
          <w:szCs w:val="22"/>
        </w:rPr>
        <w:t xml:space="preserve">continue to </w:t>
      </w:r>
      <w:r w:rsidRPr="00C35217">
        <w:rPr>
          <w:sz w:val="22"/>
          <w:szCs w:val="22"/>
        </w:rPr>
        <w:t xml:space="preserve">assess whether additional clarification in supporting materials </w:t>
      </w:r>
      <w:r w:rsidR="00B4455F">
        <w:rPr>
          <w:sz w:val="22"/>
          <w:szCs w:val="22"/>
        </w:rPr>
        <w:t xml:space="preserve">or future </w:t>
      </w:r>
      <w:r w:rsidR="001D5984">
        <w:rPr>
          <w:sz w:val="22"/>
          <w:szCs w:val="22"/>
        </w:rPr>
        <w:t>revisions</w:t>
      </w:r>
      <w:r w:rsidR="009141BA">
        <w:rPr>
          <w:sz w:val="22"/>
          <w:szCs w:val="22"/>
        </w:rPr>
        <w:t xml:space="preserve"> </w:t>
      </w:r>
      <w:r w:rsidRPr="00C35217">
        <w:rPr>
          <w:sz w:val="22"/>
          <w:szCs w:val="22"/>
        </w:rPr>
        <w:t xml:space="preserve">may be warranted to better reflect program outcomes. </w:t>
      </w:r>
    </w:p>
    <w:p w:rsidR="00FE4257" w:rsidRPr="00356AA7" w:rsidP="00FE4257" w14:paraId="43B35DC0" w14:textId="3523ABC1">
      <w:pPr>
        <w:pStyle w:val="Heading3"/>
      </w:pPr>
      <w:r w:rsidRPr="00356AA7">
        <w:t>Change</w:t>
      </w:r>
    </w:p>
    <w:p w:rsidR="00FE4257" w:rsidRPr="00BE7331" w:rsidP="00FE4257" w14:paraId="3480CE53" w14:textId="74D11F48">
      <w:pPr>
        <w:rPr>
          <w:sz w:val="22"/>
          <w:szCs w:val="22"/>
        </w:rPr>
      </w:pPr>
      <w:r w:rsidRPr="00BE7331">
        <w:rPr>
          <w:sz w:val="22"/>
          <w:szCs w:val="22"/>
        </w:rPr>
        <w:t>No change.</w:t>
      </w:r>
    </w:p>
    <w:p w:rsidR="00FE4257" w:rsidRPr="00080327" w:rsidP="00FE4257" w14:paraId="100EB9F6" w14:textId="32F2D0A5">
      <w:pPr>
        <w:pStyle w:val="Heading2"/>
      </w:pPr>
      <w:r w:rsidRPr="00D81F59">
        <w:t>Data Reporting Consistency, Comparability, and Reporting Burden</w:t>
      </w:r>
    </w:p>
    <w:p w:rsidR="00FE4257" w:rsidP="00FE4257" w14:paraId="579ECD8E" w14:textId="77777777">
      <w:pPr>
        <w:pStyle w:val="Heading3"/>
      </w:pPr>
      <w:r>
        <w:t>Comment</w:t>
      </w:r>
    </w:p>
    <w:p w:rsidR="00C915B3" w:rsidP="0038762C" w14:paraId="26686D2B" w14:textId="5F33C323">
      <w:pPr>
        <w:spacing w:before="240" w:after="160" w:line="480" w:lineRule="auto"/>
        <w:rPr>
          <w:rFonts w:ascii="Calibri" w:eastAsia="Calibri" w:hAnsi="Calibri" w:cs="Calibri"/>
          <w:sz w:val="22"/>
          <w:szCs w:val="22"/>
        </w:rPr>
      </w:pPr>
      <w:r w:rsidRPr="00D81F59">
        <w:rPr>
          <w:rFonts w:ascii="Calibri" w:eastAsia="Calibri" w:hAnsi="Calibri" w:cs="Calibri"/>
          <w:sz w:val="22"/>
          <w:szCs w:val="22"/>
        </w:rPr>
        <w:t>One commenter noted that states have raised questions regarding the comparability and consistency of how certain measures are calculated and reported and encouraged OCTAE to address those concerns in its response to public comment. This commenter also encouraged OCTAE to describe the extent to which states are able to submit performance data electronically or through system-to-system reporting and to identify any opportunities for further reducing respondent burden</w:t>
      </w:r>
      <w:r w:rsidR="0038762C">
        <w:rPr>
          <w:rFonts w:ascii="Calibri" w:eastAsia="Calibri" w:hAnsi="Calibri" w:cs="Calibri"/>
          <w:sz w:val="22"/>
          <w:szCs w:val="22"/>
        </w:rPr>
        <w:t xml:space="preserve"> </w:t>
      </w:r>
      <w:r w:rsidRPr="0038762C" w:rsidR="0038762C">
        <w:rPr>
          <w:rFonts w:ascii="Calibri" w:eastAsia="Calibri" w:hAnsi="Calibri" w:cs="Calibri"/>
          <w:sz w:val="22"/>
          <w:szCs w:val="22"/>
        </w:rPr>
        <w:t>while improving the timeliness and usability of the data</w:t>
      </w:r>
      <w:r w:rsidRPr="00D81F59">
        <w:rPr>
          <w:rFonts w:ascii="Calibri" w:eastAsia="Calibri" w:hAnsi="Calibri" w:cs="Calibri"/>
          <w:sz w:val="22"/>
          <w:szCs w:val="22"/>
        </w:rPr>
        <w:t xml:space="preserve">. </w:t>
      </w:r>
    </w:p>
    <w:p w:rsidR="00EC1211" w:rsidP="00D412D2" w14:paraId="002B5D59" w14:textId="4102A422">
      <w:pPr>
        <w:pStyle w:val="Heading3"/>
        <w:spacing w:before="120" w:after="240"/>
      </w:pPr>
      <w:r w:rsidRPr="00356AA7">
        <w:t>Discussion</w:t>
      </w:r>
    </w:p>
    <w:p w:rsidR="00FC5B8F" w:rsidRPr="00C35217" w:rsidP="00D412D2" w14:paraId="725D8137" w14:textId="5C6F6A98">
      <w:pPr>
        <w:spacing w:line="480" w:lineRule="auto"/>
        <w:rPr>
          <w:sz w:val="22"/>
          <w:szCs w:val="22"/>
        </w:rPr>
      </w:pPr>
      <w:r w:rsidRPr="00C35217">
        <w:rPr>
          <w:sz w:val="22"/>
          <w:szCs w:val="22"/>
        </w:rPr>
        <w:t>We</w:t>
      </w:r>
      <w:r w:rsidRPr="00C35217" w:rsidR="001D2F4A">
        <w:rPr>
          <w:sz w:val="22"/>
          <w:szCs w:val="22"/>
        </w:rPr>
        <w:t xml:space="preserve"> thank the commenter for raising concerns regarding the comparability and consistency of performance measure calculations and reporting. </w:t>
      </w:r>
      <w:r w:rsidR="00DE5604">
        <w:rPr>
          <w:sz w:val="22"/>
          <w:szCs w:val="22"/>
        </w:rPr>
        <w:t xml:space="preserve">In compliance with </w:t>
      </w:r>
      <w:r w:rsidR="00437C4F">
        <w:rPr>
          <w:sz w:val="22"/>
          <w:szCs w:val="22"/>
        </w:rPr>
        <w:t>S</w:t>
      </w:r>
      <w:r w:rsidR="00DE5604">
        <w:rPr>
          <w:sz w:val="22"/>
          <w:szCs w:val="22"/>
        </w:rPr>
        <w:t xml:space="preserve">ection 116 of </w:t>
      </w:r>
      <w:r w:rsidR="00DE3C8A">
        <w:rPr>
          <w:sz w:val="22"/>
          <w:szCs w:val="22"/>
        </w:rPr>
        <w:t>WIOA</w:t>
      </w:r>
      <w:r w:rsidR="00427205">
        <w:rPr>
          <w:sz w:val="22"/>
          <w:szCs w:val="22"/>
        </w:rPr>
        <w:t xml:space="preserve"> and </w:t>
      </w:r>
      <w:r w:rsidR="00B5068B">
        <w:rPr>
          <w:sz w:val="22"/>
          <w:szCs w:val="22"/>
        </w:rPr>
        <w:t xml:space="preserve">implementation </w:t>
      </w:r>
      <w:r w:rsidR="00427205">
        <w:rPr>
          <w:sz w:val="22"/>
          <w:szCs w:val="22"/>
        </w:rPr>
        <w:t>guidance issued jointly by the Departments of Education and Labor</w:t>
      </w:r>
      <w:r w:rsidR="00DE3C8A">
        <w:rPr>
          <w:sz w:val="22"/>
          <w:szCs w:val="22"/>
        </w:rPr>
        <w:t>,</w:t>
      </w:r>
      <w:r w:rsidR="00A300C0">
        <w:rPr>
          <w:sz w:val="22"/>
          <w:szCs w:val="22"/>
        </w:rPr>
        <w:t xml:space="preserve"> all WIOA core programs calculate and report data </w:t>
      </w:r>
      <w:r w:rsidR="005E3C94">
        <w:rPr>
          <w:sz w:val="22"/>
          <w:szCs w:val="22"/>
        </w:rPr>
        <w:t xml:space="preserve">for the </w:t>
      </w:r>
      <w:r w:rsidR="00DA1EFE">
        <w:rPr>
          <w:sz w:val="22"/>
          <w:szCs w:val="22"/>
        </w:rPr>
        <w:t xml:space="preserve">applicable </w:t>
      </w:r>
      <w:r w:rsidR="005E3C94">
        <w:rPr>
          <w:sz w:val="22"/>
          <w:szCs w:val="22"/>
        </w:rPr>
        <w:t xml:space="preserve">WIOA primary indicators of performance according to </w:t>
      </w:r>
      <w:r w:rsidR="00934262">
        <w:rPr>
          <w:sz w:val="22"/>
          <w:szCs w:val="22"/>
        </w:rPr>
        <w:t>jointly articulated</w:t>
      </w:r>
      <w:r w:rsidR="00BD7C94">
        <w:rPr>
          <w:sz w:val="22"/>
          <w:szCs w:val="22"/>
        </w:rPr>
        <w:t xml:space="preserve"> </w:t>
      </w:r>
      <w:r w:rsidR="00934262">
        <w:rPr>
          <w:sz w:val="22"/>
          <w:szCs w:val="22"/>
        </w:rPr>
        <w:t>methodology.</w:t>
      </w:r>
      <w:r w:rsidR="00DE3C8A">
        <w:rPr>
          <w:sz w:val="22"/>
          <w:szCs w:val="22"/>
        </w:rPr>
        <w:t xml:space="preserve"> </w:t>
      </w:r>
      <w:r w:rsidRPr="00C35217" w:rsidR="001D2F4A">
        <w:rPr>
          <w:sz w:val="22"/>
          <w:szCs w:val="22"/>
        </w:rPr>
        <w:t xml:space="preserve">OCTAE </w:t>
      </w:r>
      <w:r w:rsidR="004C6CE2">
        <w:rPr>
          <w:sz w:val="22"/>
          <w:szCs w:val="22"/>
        </w:rPr>
        <w:t xml:space="preserve">has not received </w:t>
      </w:r>
      <w:r w:rsidR="00485587">
        <w:rPr>
          <w:sz w:val="22"/>
          <w:szCs w:val="22"/>
        </w:rPr>
        <w:t xml:space="preserve">any </w:t>
      </w:r>
      <w:r w:rsidR="00F025BE">
        <w:rPr>
          <w:sz w:val="22"/>
          <w:szCs w:val="22"/>
        </w:rPr>
        <w:t xml:space="preserve">recent </w:t>
      </w:r>
      <w:r w:rsidR="00485587">
        <w:rPr>
          <w:sz w:val="22"/>
          <w:szCs w:val="22"/>
        </w:rPr>
        <w:t xml:space="preserve">comments </w:t>
      </w:r>
      <w:r w:rsidR="00930B42">
        <w:rPr>
          <w:sz w:val="22"/>
          <w:szCs w:val="22"/>
        </w:rPr>
        <w:t>o</w:t>
      </w:r>
      <w:r w:rsidR="00485587">
        <w:rPr>
          <w:sz w:val="22"/>
          <w:szCs w:val="22"/>
        </w:rPr>
        <w:t xml:space="preserve">r </w:t>
      </w:r>
      <w:r w:rsidR="00370E01">
        <w:rPr>
          <w:sz w:val="22"/>
          <w:szCs w:val="22"/>
        </w:rPr>
        <w:t xml:space="preserve">concerns </w:t>
      </w:r>
      <w:r w:rsidR="00485587">
        <w:rPr>
          <w:sz w:val="22"/>
          <w:szCs w:val="22"/>
        </w:rPr>
        <w:t>from states</w:t>
      </w:r>
      <w:r w:rsidR="0099385B">
        <w:rPr>
          <w:sz w:val="22"/>
          <w:szCs w:val="22"/>
        </w:rPr>
        <w:t xml:space="preserve"> on this topic but </w:t>
      </w:r>
      <w:r w:rsidR="00736DAB">
        <w:rPr>
          <w:sz w:val="22"/>
          <w:szCs w:val="22"/>
        </w:rPr>
        <w:t xml:space="preserve">will seek and </w:t>
      </w:r>
      <w:r w:rsidRPr="00C35217" w:rsidR="001D2F4A">
        <w:rPr>
          <w:sz w:val="22"/>
          <w:szCs w:val="22"/>
        </w:rPr>
        <w:t xml:space="preserve">review </w:t>
      </w:r>
      <w:r w:rsidR="00CD1898">
        <w:rPr>
          <w:sz w:val="22"/>
          <w:szCs w:val="22"/>
        </w:rPr>
        <w:t>any</w:t>
      </w:r>
      <w:r w:rsidRPr="00C35217" w:rsidR="001D2F4A">
        <w:rPr>
          <w:sz w:val="22"/>
          <w:szCs w:val="22"/>
        </w:rPr>
        <w:t xml:space="preserve"> </w:t>
      </w:r>
      <w:r w:rsidR="00370E01">
        <w:rPr>
          <w:sz w:val="22"/>
          <w:szCs w:val="22"/>
        </w:rPr>
        <w:t xml:space="preserve">feedback </w:t>
      </w:r>
      <w:r w:rsidR="002256AF">
        <w:rPr>
          <w:sz w:val="22"/>
          <w:szCs w:val="22"/>
        </w:rPr>
        <w:t xml:space="preserve">shared </w:t>
      </w:r>
      <w:r w:rsidR="0099385B">
        <w:rPr>
          <w:sz w:val="22"/>
          <w:szCs w:val="22"/>
        </w:rPr>
        <w:t>in the future</w:t>
      </w:r>
      <w:r w:rsidR="002256AF">
        <w:rPr>
          <w:sz w:val="22"/>
          <w:szCs w:val="22"/>
        </w:rPr>
        <w:t xml:space="preserve"> </w:t>
      </w:r>
      <w:r w:rsidRPr="00C35217" w:rsidR="00A6065E">
        <w:rPr>
          <w:sz w:val="22"/>
          <w:szCs w:val="22"/>
        </w:rPr>
        <w:t xml:space="preserve">to determine </w:t>
      </w:r>
      <w:r w:rsidR="00736DAB">
        <w:rPr>
          <w:sz w:val="22"/>
          <w:szCs w:val="22"/>
        </w:rPr>
        <w:t>whether</w:t>
      </w:r>
      <w:r w:rsidRPr="00C35217" w:rsidR="00A6065E">
        <w:rPr>
          <w:sz w:val="22"/>
          <w:szCs w:val="22"/>
        </w:rPr>
        <w:t xml:space="preserve"> additional guidance </w:t>
      </w:r>
      <w:r w:rsidR="00370E01">
        <w:rPr>
          <w:sz w:val="22"/>
          <w:szCs w:val="22"/>
        </w:rPr>
        <w:t xml:space="preserve">or technical assistance </w:t>
      </w:r>
      <w:r w:rsidRPr="00C35217" w:rsidR="00A6065E">
        <w:rPr>
          <w:sz w:val="22"/>
          <w:szCs w:val="22"/>
        </w:rPr>
        <w:t>is needed.</w:t>
      </w:r>
      <w:r w:rsidRPr="00C35217" w:rsidR="001D2F4A">
        <w:rPr>
          <w:sz w:val="22"/>
          <w:szCs w:val="22"/>
        </w:rPr>
        <w:t xml:space="preserve"> OCTAE also appreciates the </w:t>
      </w:r>
      <w:r w:rsidRPr="00C35217" w:rsidR="003B760E">
        <w:rPr>
          <w:sz w:val="22"/>
          <w:szCs w:val="22"/>
        </w:rPr>
        <w:t>comment</w:t>
      </w:r>
      <w:r w:rsidRPr="00C35217" w:rsidR="001D2F4A">
        <w:rPr>
          <w:sz w:val="22"/>
          <w:szCs w:val="22"/>
        </w:rPr>
        <w:t xml:space="preserve"> regarding electronic data submission and system-to-system reporting. </w:t>
      </w:r>
      <w:r w:rsidRPr="00C35217" w:rsidR="00E23731">
        <w:rPr>
          <w:sz w:val="22"/>
          <w:szCs w:val="22"/>
        </w:rPr>
        <w:t>Although electronic reporting is standard</w:t>
      </w:r>
      <w:r w:rsidRPr="00C35217" w:rsidR="00291156">
        <w:rPr>
          <w:sz w:val="22"/>
          <w:szCs w:val="22"/>
        </w:rPr>
        <w:t xml:space="preserve"> through the NRS</w:t>
      </w:r>
      <w:r w:rsidRPr="00C35217" w:rsidR="00E23731">
        <w:rPr>
          <w:sz w:val="22"/>
          <w:szCs w:val="22"/>
        </w:rPr>
        <w:t>, states may vary in the design</w:t>
      </w:r>
      <w:r w:rsidRPr="00C35217" w:rsidR="00DC0137">
        <w:rPr>
          <w:sz w:val="22"/>
          <w:szCs w:val="22"/>
        </w:rPr>
        <w:t xml:space="preserve"> and</w:t>
      </w:r>
      <w:r w:rsidRPr="00C35217" w:rsidR="00E23731">
        <w:rPr>
          <w:sz w:val="22"/>
          <w:szCs w:val="22"/>
        </w:rPr>
        <w:t xml:space="preserve"> capabilities of the systems they use to collect, manage, and transmit data. </w:t>
      </w:r>
      <w:r w:rsidRPr="00C35217" w:rsidR="0086434D">
        <w:rPr>
          <w:sz w:val="22"/>
          <w:szCs w:val="22"/>
        </w:rPr>
        <w:t xml:space="preserve">Where feasible and consistent with </w:t>
      </w:r>
      <w:r w:rsidR="00904B9F">
        <w:rPr>
          <w:sz w:val="22"/>
          <w:szCs w:val="22"/>
        </w:rPr>
        <w:t xml:space="preserve">statutory and regulatory accountability </w:t>
      </w:r>
      <w:r w:rsidRPr="00C35217" w:rsidR="0086434D">
        <w:rPr>
          <w:sz w:val="22"/>
          <w:szCs w:val="22"/>
        </w:rPr>
        <w:t xml:space="preserve">requirements, OCTAE will continue to explore opportunities to </w:t>
      </w:r>
      <w:r w:rsidR="00133C08">
        <w:rPr>
          <w:sz w:val="22"/>
          <w:szCs w:val="22"/>
        </w:rPr>
        <w:t xml:space="preserve">analyze and evaluate </w:t>
      </w:r>
      <w:r w:rsidRPr="00C35217" w:rsidR="0086434D">
        <w:rPr>
          <w:sz w:val="22"/>
          <w:szCs w:val="22"/>
        </w:rPr>
        <w:t>existing reporting approaches and identify potential strategies for reducing respondent burden</w:t>
      </w:r>
      <w:r w:rsidR="00B27966">
        <w:rPr>
          <w:sz w:val="22"/>
          <w:szCs w:val="22"/>
        </w:rPr>
        <w:t xml:space="preserve"> </w:t>
      </w:r>
      <w:r w:rsidR="00133C08">
        <w:rPr>
          <w:sz w:val="22"/>
          <w:szCs w:val="22"/>
        </w:rPr>
        <w:t xml:space="preserve">further </w:t>
      </w:r>
      <w:r w:rsidR="00B27966">
        <w:rPr>
          <w:sz w:val="22"/>
          <w:szCs w:val="22"/>
        </w:rPr>
        <w:t>and accelerating public access to the most recent data</w:t>
      </w:r>
      <w:r w:rsidRPr="00C35217" w:rsidR="0086434D">
        <w:rPr>
          <w:sz w:val="22"/>
          <w:szCs w:val="22"/>
        </w:rPr>
        <w:t xml:space="preserve">. </w:t>
      </w:r>
    </w:p>
    <w:p w:rsidR="00243D30" w:rsidRPr="00356AA7" w:rsidP="00243D30" w14:paraId="4A3DF1CA" w14:textId="77777777">
      <w:pPr>
        <w:pStyle w:val="Heading3"/>
      </w:pPr>
      <w:r w:rsidRPr="00356AA7">
        <w:t>Change</w:t>
      </w:r>
    </w:p>
    <w:p w:rsidR="00FE4257" w:rsidRPr="00BE7331" w:rsidP="00FE4257" w14:paraId="2BAE21A2" w14:textId="0A892904">
      <w:pPr>
        <w:rPr>
          <w:sz w:val="22"/>
          <w:szCs w:val="22"/>
        </w:rPr>
      </w:pPr>
      <w:r w:rsidRPr="00BE7331">
        <w:rPr>
          <w:sz w:val="22"/>
          <w:szCs w:val="22"/>
        </w:rPr>
        <w:t xml:space="preserve">No change. </w:t>
      </w:r>
    </w:p>
    <w:p w:rsidR="00FE4257" w:rsidRPr="00080327" w:rsidP="00FE4257" w14:paraId="400790B7" w14:textId="156F1513">
      <w:pPr>
        <w:pStyle w:val="Heading2"/>
      </w:pPr>
      <w:r w:rsidRPr="00D81F59">
        <w:t>Create an Alternative Placement Row in Table 1.</w:t>
      </w:r>
    </w:p>
    <w:p w:rsidR="00FE4257" w:rsidP="00FE4257" w14:paraId="3C8CEE6A" w14:textId="77777777">
      <w:pPr>
        <w:pStyle w:val="Heading3"/>
      </w:pPr>
      <w:r>
        <w:t>Comment</w:t>
      </w:r>
    </w:p>
    <w:p w:rsidR="00FE4257" w:rsidRPr="00141A4A" w:rsidP="00141A4A" w14:paraId="05A31AF9" w14:textId="4BF5C4FB">
      <w:pPr>
        <w:spacing w:before="240" w:after="160" w:line="480" w:lineRule="auto"/>
        <w:rPr>
          <w:rFonts w:ascii="Calibri" w:eastAsia="Calibri" w:hAnsi="Calibri" w:cs="Calibri"/>
          <w:sz w:val="22"/>
          <w:szCs w:val="22"/>
        </w:rPr>
      </w:pPr>
      <w:r w:rsidRPr="00D81F59">
        <w:rPr>
          <w:rFonts w:ascii="Calibri" w:eastAsia="Calibri" w:hAnsi="Calibri" w:cs="Calibri"/>
          <w:sz w:val="22"/>
          <w:szCs w:val="22"/>
        </w:rPr>
        <w:t xml:space="preserve">One commenter suggested adding an Alternative Placement row and corresponding instructions to allow providers to report learners who participate in programs </w:t>
      </w:r>
      <w:r w:rsidR="006D7744">
        <w:rPr>
          <w:rFonts w:ascii="Calibri" w:eastAsia="Calibri" w:hAnsi="Calibri" w:cs="Calibri"/>
          <w:sz w:val="22"/>
          <w:szCs w:val="22"/>
        </w:rPr>
        <w:t xml:space="preserve">primarily </w:t>
      </w:r>
      <w:r w:rsidRPr="00D81F59">
        <w:rPr>
          <w:rFonts w:ascii="Calibri" w:eastAsia="Calibri" w:hAnsi="Calibri" w:cs="Calibri"/>
          <w:sz w:val="22"/>
          <w:szCs w:val="22"/>
        </w:rPr>
        <w:t>designed to result in measurable skill gains</w:t>
      </w:r>
      <w:r w:rsidR="00FE630A">
        <w:rPr>
          <w:rFonts w:ascii="Calibri" w:eastAsia="Calibri" w:hAnsi="Calibri" w:cs="Calibri"/>
          <w:sz w:val="22"/>
          <w:szCs w:val="22"/>
        </w:rPr>
        <w:t xml:space="preserve"> (MSGs)</w:t>
      </w:r>
      <w:r w:rsidR="00B418C2">
        <w:rPr>
          <w:rFonts w:ascii="Calibri" w:eastAsia="Calibri" w:hAnsi="Calibri" w:cs="Calibri"/>
          <w:sz w:val="22"/>
          <w:szCs w:val="22"/>
        </w:rPr>
        <w:t xml:space="preserve"> </w:t>
      </w:r>
      <w:r w:rsidR="0035685A">
        <w:rPr>
          <w:rFonts w:ascii="Calibri" w:eastAsia="Calibri" w:hAnsi="Calibri" w:cs="Calibri"/>
          <w:sz w:val="22"/>
          <w:szCs w:val="22"/>
        </w:rPr>
        <w:t xml:space="preserve">other than </w:t>
      </w:r>
      <w:r w:rsidR="00FF180E">
        <w:rPr>
          <w:rFonts w:ascii="Calibri" w:eastAsia="Calibri" w:hAnsi="Calibri" w:cs="Calibri"/>
          <w:sz w:val="22"/>
          <w:szCs w:val="22"/>
        </w:rPr>
        <w:t xml:space="preserve">an </w:t>
      </w:r>
      <w:r w:rsidR="00C0092E">
        <w:rPr>
          <w:rFonts w:ascii="Calibri" w:eastAsia="Calibri" w:hAnsi="Calibri" w:cs="Calibri"/>
          <w:sz w:val="22"/>
          <w:szCs w:val="22"/>
        </w:rPr>
        <w:t>Educational Functioning Level (</w:t>
      </w:r>
      <w:r w:rsidR="00B418C2">
        <w:rPr>
          <w:rFonts w:ascii="Calibri" w:eastAsia="Calibri" w:hAnsi="Calibri" w:cs="Calibri"/>
          <w:sz w:val="22"/>
          <w:szCs w:val="22"/>
        </w:rPr>
        <w:t>EFL</w:t>
      </w:r>
      <w:r w:rsidR="00C0092E">
        <w:rPr>
          <w:rFonts w:ascii="Calibri" w:eastAsia="Calibri" w:hAnsi="Calibri" w:cs="Calibri"/>
          <w:sz w:val="22"/>
          <w:szCs w:val="22"/>
        </w:rPr>
        <w:t>)</w:t>
      </w:r>
      <w:r w:rsidR="00B418C2">
        <w:rPr>
          <w:rFonts w:ascii="Calibri" w:eastAsia="Calibri" w:hAnsi="Calibri" w:cs="Calibri"/>
          <w:sz w:val="22"/>
          <w:szCs w:val="22"/>
        </w:rPr>
        <w:t xml:space="preserve"> gain</w:t>
      </w:r>
      <w:r w:rsidR="00A61B97">
        <w:rPr>
          <w:rFonts w:ascii="Calibri" w:eastAsia="Calibri" w:hAnsi="Calibri" w:cs="Calibri"/>
          <w:sz w:val="22"/>
          <w:szCs w:val="22"/>
        </w:rPr>
        <w:t xml:space="preserve"> under MSG type 1a</w:t>
      </w:r>
      <w:r w:rsidRPr="00D81F59">
        <w:rPr>
          <w:rFonts w:ascii="Calibri" w:eastAsia="Calibri" w:hAnsi="Calibri" w:cs="Calibri"/>
          <w:sz w:val="22"/>
          <w:szCs w:val="22"/>
        </w:rPr>
        <w:t>, such as Integrated Education and Training programs, workplace literacy programs, and preparatory classes for high school equivalency testing. The commenter noted that this approach would enable learners to “begin adult education programs without instantly being enrolled in a specified program” and would allow educators to focus on recommending the most appropriate course of study for each learner.</w:t>
      </w:r>
    </w:p>
    <w:p w:rsidR="00243D30" w:rsidRPr="00356AA7" w:rsidP="00141A4A" w14:paraId="599FFAE5" w14:textId="77777777">
      <w:pPr>
        <w:pStyle w:val="Heading3"/>
        <w:spacing w:before="120"/>
      </w:pPr>
      <w:r w:rsidRPr="00356AA7">
        <w:t>Discussion</w:t>
      </w:r>
    </w:p>
    <w:p w:rsidR="00243D30" w:rsidRPr="00C35217" w:rsidP="00CC5151" w14:paraId="6968F623" w14:textId="04D90CFF">
      <w:pPr>
        <w:spacing w:before="240" w:line="480" w:lineRule="auto"/>
        <w:rPr>
          <w:sz w:val="22"/>
          <w:szCs w:val="22"/>
        </w:rPr>
      </w:pPr>
      <w:r>
        <w:rPr>
          <w:sz w:val="22"/>
          <w:szCs w:val="22"/>
        </w:rPr>
        <w:t>During the previous renewal of this of this information collection</w:t>
      </w:r>
      <w:r w:rsidR="00C479CD">
        <w:rPr>
          <w:sz w:val="22"/>
          <w:szCs w:val="22"/>
        </w:rPr>
        <w:t xml:space="preserve"> in 2024</w:t>
      </w:r>
      <w:r>
        <w:rPr>
          <w:sz w:val="22"/>
          <w:szCs w:val="22"/>
        </w:rPr>
        <w:t xml:space="preserve">, </w:t>
      </w:r>
      <w:r w:rsidR="00FC36A1">
        <w:rPr>
          <w:sz w:val="22"/>
          <w:szCs w:val="22"/>
        </w:rPr>
        <w:t xml:space="preserve">we made changes in response to public comments </w:t>
      </w:r>
      <w:r w:rsidR="00C522B6">
        <w:rPr>
          <w:sz w:val="22"/>
          <w:szCs w:val="22"/>
        </w:rPr>
        <w:t xml:space="preserve">by adding </w:t>
      </w:r>
      <w:r w:rsidRPr="00C35217" w:rsidR="007E3879">
        <w:rPr>
          <w:sz w:val="22"/>
          <w:szCs w:val="22"/>
        </w:rPr>
        <w:t xml:space="preserve">Alternative </w:t>
      </w:r>
      <w:r w:rsidRPr="00C35217" w:rsidR="007E1B00">
        <w:rPr>
          <w:sz w:val="22"/>
          <w:szCs w:val="22"/>
        </w:rPr>
        <w:t xml:space="preserve">Placement </w:t>
      </w:r>
      <w:r w:rsidR="007E1B00">
        <w:rPr>
          <w:sz w:val="22"/>
          <w:szCs w:val="22"/>
        </w:rPr>
        <w:t xml:space="preserve">rows for </w:t>
      </w:r>
      <w:r w:rsidR="009B055F">
        <w:rPr>
          <w:sz w:val="22"/>
          <w:szCs w:val="22"/>
        </w:rPr>
        <w:t xml:space="preserve">the </w:t>
      </w:r>
      <w:r w:rsidR="005B62DF">
        <w:rPr>
          <w:sz w:val="22"/>
          <w:szCs w:val="22"/>
        </w:rPr>
        <w:t>Adult Basic Education (</w:t>
      </w:r>
      <w:r w:rsidRPr="00C35217" w:rsidR="007E3879">
        <w:rPr>
          <w:sz w:val="22"/>
          <w:szCs w:val="22"/>
        </w:rPr>
        <w:t>ABE</w:t>
      </w:r>
      <w:r w:rsidR="005B62DF">
        <w:rPr>
          <w:sz w:val="22"/>
          <w:szCs w:val="22"/>
        </w:rPr>
        <w:t>)</w:t>
      </w:r>
      <w:r w:rsidRPr="00C35217" w:rsidR="007E3879">
        <w:rPr>
          <w:sz w:val="22"/>
          <w:szCs w:val="22"/>
        </w:rPr>
        <w:t xml:space="preserve"> and </w:t>
      </w:r>
      <w:r w:rsidR="005B62DF">
        <w:rPr>
          <w:sz w:val="22"/>
          <w:szCs w:val="22"/>
        </w:rPr>
        <w:t>English as a Second Language (</w:t>
      </w:r>
      <w:r w:rsidRPr="00C35217" w:rsidR="007E3879">
        <w:rPr>
          <w:sz w:val="22"/>
          <w:szCs w:val="22"/>
        </w:rPr>
        <w:t>ESL</w:t>
      </w:r>
      <w:r w:rsidR="005B62DF">
        <w:rPr>
          <w:sz w:val="22"/>
          <w:szCs w:val="22"/>
        </w:rPr>
        <w:t>)</w:t>
      </w:r>
      <w:r w:rsidR="00C522B6">
        <w:rPr>
          <w:sz w:val="22"/>
          <w:szCs w:val="22"/>
        </w:rPr>
        <w:t xml:space="preserve"> </w:t>
      </w:r>
      <w:r w:rsidR="009B055F">
        <w:rPr>
          <w:sz w:val="22"/>
          <w:szCs w:val="22"/>
        </w:rPr>
        <w:t xml:space="preserve">programs </w:t>
      </w:r>
      <w:r w:rsidR="00C522B6">
        <w:rPr>
          <w:sz w:val="22"/>
          <w:szCs w:val="22"/>
        </w:rPr>
        <w:t xml:space="preserve">on </w:t>
      </w:r>
      <w:r w:rsidRPr="00C35217" w:rsidR="00C522B6">
        <w:rPr>
          <w:sz w:val="22"/>
          <w:szCs w:val="22"/>
        </w:rPr>
        <w:t>NRS Table 1</w:t>
      </w:r>
      <w:r w:rsidR="00C522B6">
        <w:rPr>
          <w:sz w:val="22"/>
          <w:szCs w:val="22"/>
        </w:rPr>
        <w:t xml:space="preserve"> </w:t>
      </w:r>
      <w:r w:rsidR="00D570DC">
        <w:rPr>
          <w:sz w:val="22"/>
          <w:szCs w:val="22"/>
        </w:rPr>
        <w:t>(“</w:t>
      </w:r>
      <w:r w:rsidRPr="00D570DC" w:rsidR="00D570DC">
        <w:rPr>
          <w:sz w:val="22"/>
          <w:szCs w:val="22"/>
        </w:rPr>
        <w:t>Participants by Entering Educational Functioning Level, Ethnicity, and Sex</w:t>
      </w:r>
      <w:r w:rsidR="00D570DC">
        <w:rPr>
          <w:sz w:val="22"/>
          <w:szCs w:val="22"/>
        </w:rPr>
        <w:t>”)</w:t>
      </w:r>
      <w:r w:rsidR="00A8624E">
        <w:rPr>
          <w:sz w:val="22"/>
          <w:szCs w:val="22"/>
        </w:rPr>
        <w:t xml:space="preserve">, </w:t>
      </w:r>
      <w:r w:rsidR="00C522B6">
        <w:rPr>
          <w:sz w:val="22"/>
          <w:szCs w:val="22"/>
        </w:rPr>
        <w:t>NRS Table 4</w:t>
      </w:r>
      <w:r w:rsidR="00D570DC">
        <w:rPr>
          <w:sz w:val="22"/>
          <w:szCs w:val="22"/>
        </w:rPr>
        <w:t xml:space="preserve"> (“</w:t>
      </w:r>
      <w:r w:rsidRPr="00B47566" w:rsidR="00B47566">
        <w:rPr>
          <w:sz w:val="22"/>
          <w:szCs w:val="22"/>
        </w:rPr>
        <w:t>Measurable Skill Gains (MSG) by Entry Level</w:t>
      </w:r>
      <w:r w:rsidR="00B47566">
        <w:rPr>
          <w:sz w:val="22"/>
          <w:szCs w:val="22"/>
        </w:rPr>
        <w:t>”)</w:t>
      </w:r>
      <w:r w:rsidR="00336860">
        <w:rPr>
          <w:sz w:val="22"/>
          <w:szCs w:val="22"/>
        </w:rPr>
        <w:t>, NRS Table 4a (“</w:t>
      </w:r>
      <w:r w:rsidRPr="00A8624E" w:rsidR="00A8624E">
        <w:rPr>
          <w:sz w:val="22"/>
          <w:szCs w:val="22"/>
        </w:rPr>
        <w:t>Educational Functioning Level Gain (MSG Types 1a, 1b, 1c, 1d</w:t>
      </w:r>
      <w:r w:rsidR="00A8624E">
        <w:rPr>
          <w:sz w:val="22"/>
          <w:szCs w:val="22"/>
        </w:rPr>
        <w:t>”</w:t>
      </w:r>
      <w:r w:rsidRPr="00A8624E" w:rsidR="00A8624E">
        <w:rPr>
          <w:sz w:val="22"/>
          <w:szCs w:val="22"/>
        </w:rPr>
        <w:t>)</w:t>
      </w:r>
      <w:r w:rsidR="00A8624E">
        <w:rPr>
          <w:sz w:val="22"/>
          <w:szCs w:val="22"/>
        </w:rPr>
        <w:t xml:space="preserve">, and </w:t>
      </w:r>
      <w:r w:rsidR="007D0CE6">
        <w:rPr>
          <w:sz w:val="22"/>
          <w:szCs w:val="22"/>
        </w:rPr>
        <w:t>NRS Table 4c (“</w:t>
      </w:r>
      <w:r w:rsidRPr="007D0CE6" w:rsidR="007D0CE6">
        <w:rPr>
          <w:sz w:val="22"/>
          <w:szCs w:val="22"/>
        </w:rPr>
        <w:t>Measurable Skill Gains by Entry Level for Participants in Distance Education</w:t>
      </w:r>
      <w:r w:rsidR="007D0CE6">
        <w:rPr>
          <w:sz w:val="22"/>
          <w:szCs w:val="22"/>
        </w:rPr>
        <w:t>”)</w:t>
      </w:r>
      <w:r w:rsidR="008E03A6">
        <w:rPr>
          <w:sz w:val="22"/>
          <w:szCs w:val="22"/>
        </w:rPr>
        <w:t xml:space="preserve">. </w:t>
      </w:r>
      <w:r w:rsidR="001948F4">
        <w:rPr>
          <w:sz w:val="22"/>
          <w:szCs w:val="22"/>
        </w:rPr>
        <w:t>T</w:t>
      </w:r>
      <w:r w:rsidR="008E03A6">
        <w:rPr>
          <w:sz w:val="22"/>
          <w:szCs w:val="22"/>
        </w:rPr>
        <w:t>he</w:t>
      </w:r>
      <w:r w:rsidR="001948F4">
        <w:rPr>
          <w:sz w:val="22"/>
          <w:szCs w:val="22"/>
        </w:rPr>
        <w:t>se</w:t>
      </w:r>
      <w:r w:rsidR="008E03A6">
        <w:rPr>
          <w:sz w:val="22"/>
          <w:szCs w:val="22"/>
        </w:rPr>
        <w:t xml:space="preserve"> changes</w:t>
      </w:r>
      <w:r w:rsidR="001948F4">
        <w:rPr>
          <w:sz w:val="22"/>
          <w:szCs w:val="22"/>
        </w:rPr>
        <w:t>, a</w:t>
      </w:r>
      <w:r w:rsidRPr="00C35217" w:rsidR="001948F4">
        <w:rPr>
          <w:sz w:val="22"/>
          <w:szCs w:val="22"/>
        </w:rPr>
        <w:t xml:space="preserve">long with accompanying </w:t>
      </w:r>
      <w:r w:rsidR="001948F4">
        <w:rPr>
          <w:sz w:val="22"/>
          <w:szCs w:val="22"/>
        </w:rPr>
        <w:t xml:space="preserve">reporting </w:t>
      </w:r>
      <w:r w:rsidRPr="00C35217" w:rsidR="001948F4">
        <w:rPr>
          <w:sz w:val="22"/>
          <w:szCs w:val="22"/>
        </w:rPr>
        <w:t xml:space="preserve">instructions, </w:t>
      </w:r>
      <w:r w:rsidR="009D1FE8">
        <w:rPr>
          <w:sz w:val="22"/>
          <w:szCs w:val="22"/>
        </w:rPr>
        <w:t xml:space="preserve">were </w:t>
      </w:r>
      <w:r w:rsidR="006D3CC2">
        <w:rPr>
          <w:sz w:val="22"/>
          <w:szCs w:val="22"/>
        </w:rPr>
        <w:t>intended</w:t>
      </w:r>
      <w:r w:rsidR="009D1FE8">
        <w:rPr>
          <w:sz w:val="22"/>
          <w:szCs w:val="22"/>
        </w:rPr>
        <w:t xml:space="preserve"> to </w:t>
      </w:r>
      <w:r w:rsidRPr="00C35217" w:rsidR="007E3879">
        <w:rPr>
          <w:sz w:val="22"/>
          <w:szCs w:val="22"/>
        </w:rPr>
        <w:t>support</w:t>
      </w:r>
      <w:r w:rsidR="008E03A6">
        <w:rPr>
          <w:sz w:val="22"/>
          <w:szCs w:val="22"/>
        </w:rPr>
        <w:t xml:space="preserve"> the </w:t>
      </w:r>
      <w:r w:rsidRPr="00C35217" w:rsidR="007E3879">
        <w:rPr>
          <w:sz w:val="22"/>
          <w:szCs w:val="22"/>
        </w:rPr>
        <w:t>reporting of participants</w:t>
      </w:r>
      <w:r w:rsidR="008E03A6">
        <w:rPr>
          <w:sz w:val="22"/>
          <w:szCs w:val="22"/>
        </w:rPr>
        <w:t xml:space="preserve"> </w:t>
      </w:r>
      <w:r w:rsidR="00697D82">
        <w:rPr>
          <w:sz w:val="22"/>
          <w:szCs w:val="22"/>
        </w:rPr>
        <w:t>and Measurable Skill Gain</w:t>
      </w:r>
      <w:r w:rsidR="00ED3AD0">
        <w:rPr>
          <w:sz w:val="22"/>
          <w:szCs w:val="22"/>
        </w:rPr>
        <w:t>s</w:t>
      </w:r>
      <w:r w:rsidR="00697D82">
        <w:rPr>
          <w:sz w:val="22"/>
          <w:szCs w:val="22"/>
        </w:rPr>
        <w:t xml:space="preserve"> (MSG) performance</w:t>
      </w:r>
      <w:r w:rsidRPr="00C35217" w:rsidR="007E3879">
        <w:rPr>
          <w:sz w:val="22"/>
          <w:szCs w:val="22"/>
        </w:rPr>
        <w:t xml:space="preserve"> in programs designed to </w:t>
      </w:r>
      <w:r w:rsidR="004A4C6E">
        <w:rPr>
          <w:sz w:val="22"/>
          <w:szCs w:val="22"/>
        </w:rPr>
        <w:t>yield</w:t>
      </w:r>
      <w:r w:rsidRPr="00C35217" w:rsidR="004A4C6E">
        <w:rPr>
          <w:sz w:val="22"/>
          <w:szCs w:val="22"/>
        </w:rPr>
        <w:t xml:space="preserve"> </w:t>
      </w:r>
      <w:r w:rsidR="00FE630A">
        <w:rPr>
          <w:sz w:val="22"/>
          <w:szCs w:val="22"/>
        </w:rPr>
        <w:t>MSG</w:t>
      </w:r>
      <w:r w:rsidRPr="00C35217" w:rsidR="007E3879">
        <w:rPr>
          <w:sz w:val="22"/>
          <w:szCs w:val="22"/>
        </w:rPr>
        <w:t>s other than EFL gains</w:t>
      </w:r>
      <w:r w:rsidR="003F4E2A">
        <w:rPr>
          <w:sz w:val="22"/>
          <w:szCs w:val="22"/>
        </w:rPr>
        <w:t xml:space="preserve"> through pre- and post-testing</w:t>
      </w:r>
      <w:r w:rsidRPr="00C35217" w:rsidR="007E3879">
        <w:rPr>
          <w:sz w:val="22"/>
          <w:szCs w:val="22"/>
        </w:rPr>
        <w:t>. The</w:t>
      </w:r>
      <w:r w:rsidR="006D3CC2">
        <w:rPr>
          <w:sz w:val="22"/>
          <w:szCs w:val="22"/>
        </w:rPr>
        <w:t xml:space="preserve"> </w:t>
      </w:r>
      <w:r w:rsidRPr="00C35217" w:rsidR="007E3879">
        <w:rPr>
          <w:sz w:val="22"/>
          <w:szCs w:val="22"/>
        </w:rPr>
        <w:t>addition</w:t>
      </w:r>
      <w:r w:rsidR="006D3CC2">
        <w:rPr>
          <w:sz w:val="22"/>
          <w:szCs w:val="22"/>
        </w:rPr>
        <w:t xml:space="preserve"> of these Alternative Placement rows </w:t>
      </w:r>
      <w:r w:rsidR="007D1727">
        <w:rPr>
          <w:sz w:val="22"/>
          <w:szCs w:val="22"/>
        </w:rPr>
        <w:t xml:space="preserve">has </w:t>
      </w:r>
      <w:r w:rsidR="00CA79D7">
        <w:rPr>
          <w:sz w:val="22"/>
          <w:szCs w:val="22"/>
        </w:rPr>
        <w:t xml:space="preserve">afforded </w:t>
      </w:r>
      <w:r w:rsidRPr="00C35217" w:rsidR="007E3879">
        <w:rPr>
          <w:sz w:val="22"/>
          <w:szCs w:val="22"/>
        </w:rPr>
        <w:t xml:space="preserve">states and </w:t>
      </w:r>
      <w:r w:rsidR="00CA0466">
        <w:rPr>
          <w:sz w:val="22"/>
          <w:szCs w:val="22"/>
        </w:rPr>
        <w:t xml:space="preserve">local </w:t>
      </w:r>
      <w:r w:rsidR="00CA79D7">
        <w:rPr>
          <w:sz w:val="22"/>
          <w:szCs w:val="22"/>
        </w:rPr>
        <w:t xml:space="preserve">providers </w:t>
      </w:r>
      <w:r w:rsidRPr="00C35217" w:rsidR="007E3879">
        <w:rPr>
          <w:sz w:val="22"/>
          <w:szCs w:val="22"/>
        </w:rPr>
        <w:t xml:space="preserve">a </w:t>
      </w:r>
      <w:r w:rsidR="00194D7A">
        <w:rPr>
          <w:sz w:val="22"/>
          <w:szCs w:val="22"/>
        </w:rPr>
        <w:t xml:space="preserve">useful </w:t>
      </w:r>
      <w:r w:rsidRPr="00C35217" w:rsidR="007E3879">
        <w:rPr>
          <w:sz w:val="22"/>
          <w:szCs w:val="22"/>
        </w:rPr>
        <w:t xml:space="preserve">option for reporting learners enrolled in programs such as </w:t>
      </w:r>
      <w:r w:rsidR="0029637B">
        <w:rPr>
          <w:sz w:val="22"/>
          <w:szCs w:val="22"/>
        </w:rPr>
        <w:t>Integrated Education and Training (</w:t>
      </w:r>
      <w:r w:rsidRPr="00C35217" w:rsidR="0029637B">
        <w:rPr>
          <w:sz w:val="22"/>
          <w:szCs w:val="22"/>
        </w:rPr>
        <w:t>IET</w:t>
      </w:r>
      <w:r w:rsidR="0029637B">
        <w:rPr>
          <w:sz w:val="22"/>
          <w:szCs w:val="22"/>
        </w:rPr>
        <w:t>)</w:t>
      </w:r>
      <w:r w:rsidRPr="00C35217" w:rsidR="007E3879">
        <w:rPr>
          <w:sz w:val="22"/>
          <w:szCs w:val="22"/>
        </w:rPr>
        <w:t xml:space="preserve">, workplace literacy, and other instructional models that may not be primarily focused on EFL advancement. </w:t>
      </w:r>
      <w:r w:rsidR="00A97DD1">
        <w:rPr>
          <w:sz w:val="22"/>
          <w:szCs w:val="22"/>
        </w:rPr>
        <w:t xml:space="preserve">We </w:t>
      </w:r>
      <w:r w:rsidRPr="00C35217" w:rsidR="007E3879">
        <w:rPr>
          <w:sz w:val="22"/>
          <w:szCs w:val="22"/>
        </w:rPr>
        <w:t>believe</w:t>
      </w:r>
      <w:r w:rsidR="00A97DD1">
        <w:rPr>
          <w:sz w:val="22"/>
          <w:szCs w:val="22"/>
        </w:rPr>
        <w:t xml:space="preserve"> </w:t>
      </w:r>
      <w:r w:rsidRPr="00C35217" w:rsidR="007E3879">
        <w:rPr>
          <w:sz w:val="22"/>
          <w:szCs w:val="22"/>
        </w:rPr>
        <w:t xml:space="preserve">that the </w:t>
      </w:r>
      <w:r w:rsidR="00697472">
        <w:rPr>
          <w:sz w:val="22"/>
          <w:szCs w:val="22"/>
        </w:rPr>
        <w:t>current</w:t>
      </w:r>
      <w:r w:rsidR="00960B0D">
        <w:rPr>
          <w:sz w:val="22"/>
          <w:szCs w:val="22"/>
        </w:rPr>
        <w:t xml:space="preserve"> version</w:t>
      </w:r>
      <w:r w:rsidR="00697D82">
        <w:rPr>
          <w:sz w:val="22"/>
          <w:szCs w:val="22"/>
        </w:rPr>
        <w:t>s</w:t>
      </w:r>
      <w:r w:rsidR="00960B0D">
        <w:rPr>
          <w:sz w:val="22"/>
          <w:szCs w:val="22"/>
        </w:rPr>
        <w:t xml:space="preserve"> of</w:t>
      </w:r>
      <w:r w:rsidRPr="00C35217" w:rsidR="007E3879">
        <w:rPr>
          <w:sz w:val="22"/>
          <w:szCs w:val="22"/>
        </w:rPr>
        <w:t xml:space="preserve"> </w:t>
      </w:r>
      <w:r w:rsidR="00697472">
        <w:rPr>
          <w:sz w:val="22"/>
          <w:szCs w:val="22"/>
        </w:rPr>
        <w:t xml:space="preserve">NRS </w:t>
      </w:r>
      <w:r w:rsidRPr="00C35217" w:rsidR="007E3879">
        <w:rPr>
          <w:sz w:val="22"/>
          <w:szCs w:val="22"/>
        </w:rPr>
        <w:t>Table</w:t>
      </w:r>
      <w:r w:rsidR="00697472">
        <w:rPr>
          <w:sz w:val="22"/>
          <w:szCs w:val="22"/>
        </w:rPr>
        <w:t>s</w:t>
      </w:r>
      <w:r w:rsidRPr="00C35217" w:rsidR="007E3879">
        <w:rPr>
          <w:sz w:val="22"/>
          <w:szCs w:val="22"/>
        </w:rPr>
        <w:t xml:space="preserve"> 1</w:t>
      </w:r>
      <w:r w:rsidR="00697472">
        <w:rPr>
          <w:sz w:val="22"/>
          <w:szCs w:val="22"/>
        </w:rPr>
        <w:t xml:space="preserve">, </w:t>
      </w:r>
      <w:r w:rsidR="00697D82">
        <w:rPr>
          <w:sz w:val="22"/>
          <w:szCs w:val="22"/>
        </w:rPr>
        <w:t>4</w:t>
      </w:r>
      <w:r w:rsidR="00697472">
        <w:rPr>
          <w:sz w:val="22"/>
          <w:szCs w:val="22"/>
        </w:rPr>
        <w:t>, 4a, and 4</w:t>
      </w:r>
      <w:r w:rsidR="00221A4E">
        <w:rPr>
          <w:sz w:val="22"/>
          <w:szCs w:val="22"/>
        </w:rPr>
        <w:t xml:space="preserve">c </w:t>
      </w:r>
      <w:r w:rsidRPr="00C35217" w:rsidR="00221A4E">
        <w:rPr>
          <w:sz w:val="22"/>
          <w:szCs w:val="22"/>
        </w:rPr>
        <w:t>address</w:t>
      </w:r>
      <w:r w:rsidRPr="00C35217" w:rsidR="007E3879">
        <w:rPr>
          <w:sz w:val="22"/>
          <w:szCs w:val="22"/>
        </w:rPr>
        <w:t xml:space="preserve"> the recommendation raised by the commenter.</w:t>
      </w:r>
    </w:p>
    <w:p w:rsidR="00243D30" w:rsidRPr="00356AA7" w:rsidP="00243D30" w14:paraId="7AB77979" w14:textId="77777777">
      <w:pPr>
        <w:pStyle w:val="Heading3"/>
      </w:pPr>
      <w:r w:rsidRPr="00356AA7">
        <w:t>Change</w:t>
      </w:r>
    </w:p>
    <w:p w:rsidR="00FE4257" w:rsidRPr="00BE7331" w:rsidP="006202E7" w14:paraId="47BEE40A" w14:textId="716DAE2C">
      <w:pPr>
        <w:spacing w:before="100" w:beforeAutospacing="1"/>
        <w:rPr>
          <w:sz w:val="22"/>
          <w:szCs w:val="22"/>
        </w:rPr>
      </w:pPr>
      <w:r w:rsidRPr="00BE7331">
        <w:rPr>
          <w:sz w:val="22"/>
          <w:szCs w:val="22"/>
        </w:rPr>
        <w:t xml:space="preserve">No change </w:t>
      </w:r>
    </w:p>
    <w:p w:rsidR="00FE4257" w:rsidRPr="00080327" w:rsidP="00FE4257" w14:paraId="0F21B12D" w14:textId="03C2218F">
      <w:pPr>
        <w:pStyle w:val="Heading2"/>
      </w:pPr>
      <w:r w:rsidRPr="00D81F59">
        <w:t xml:space="preserve">Allowing Multiple </w:t>
      </w:r>
      <w:r w:rsidR="00A74E7A">
        <w:t xml:space="preserve">Measurable Skill Gains </w:t>
      </w:r>
      <w:r w:rsidR="00525F06">
        <w:t xml:space="preserve">to be Reported </w:t>
      </w:r>
      <w:r w:rsidRPr="00D81F59">
        <w:t>in a Program Year</w:t>
      </w:r>
    </w:p>
    <w:p w:rsidR="00FE4257" w:rsidP="00FE4257" w14:paraId="23713E58" w14:textId="77777777">
      <w:pPr>
        <w:pStyle w:val="Heading3"/>
      </w:pPr>
      <w:r>
        <w:t>Comment</w:t>
      </w:r>
    </w:p>
    <w:p w:rsidR="00B97C97" w:rsidRPr="00356AA7" w:rsidP="00497C6A" w14:paraId="5B99F276" w14:textId="0E3A5FC8">
      <w:pPr>
        <w:spacing w:before="240" w:after="160" w:line="480" w:lineRule="auto"/>
        <w:rPr>
          <w:rFonts w:ascii="Arial" w:hAnsi="Arial" w:cs="Arial"/>
          <w:sz w:val="20"/>
          <w:szCs w:val="20"/>
        </w:rPr>
      </w:pPr>
      <w:r w:rsidRPr="00D81F59">
        <w:rPr>
          <w:rFonts w:ascii="Calibri" w:eastAsia="Calibri" w:hAnsi="Calibri" w:cs="Calibri"/>
          <w:sz w:val="22"/>
          <w:szCs w:val="22"/>
        </w:rPr>
        <w:t xml:space="preserve">One commenter noted that program directors and educators routinely express frustration with the </w:t>
      </w:r>
      <w:r w:rsidR="00966756">
        <w:rPr>
          <w:rFonts w:ascii="Calibri" w:eastAsia="Calibri" w:hAnsi="Calibri" w:cs="Calibri"/>
          <w:sz w:val="22"/>
          <w:szCs w:val="22"/>
        </w:rPr>
        <w:t xml:space="preserve">perceived </w:t>
      </w:r>
      <w:r w:rsidRPr="00D81F59">
        <w:rPr>
          <w:rFonts w:ascii="Calibri" w:eastAsia="Calibri" w:hAnsi="Calibri" w:cs="Calibri"/>
          <w:sz w:val="22"/>
          <w:szCs w:val="22"/>
        </w:rPr>
        <w:t xml:space="preserve">limitations in documenting </w:t>
      </w:r>
      <w:r w:rsidR="00A74E7A">
        <w:rPr>
          <w:rFonts w:ascii="Calibri" w:eastAsia="Calibri" w:hAnsi="Calibri" w:cs="Calibri"/>
          <w:sz w:val="22"/>
          <w:szCs w:val="22"/>
        </w:rPr>
        <w:t>MSG</w:t>
      </w:r>
      <w:r w:rsidRPr="00D81F59">
        <w:rPr>
          <w:rFonts w:ascii="Calibri" w:eastAsia="Calibri" w:hAnsi="Calibri" w:cs="Calibri"/>
          <w:sz w:val="22"/>
          <w:szCs w:val="22"/>
        </w:rPr>
        <w:t xml:space="preserve">s achieved by individual learners. The commenter suggested that allowing programs to report all progress made by learners during a program year would provide the Federal government and policymakers with a more complete picture of the range of skills and outcomes that adult education programs help learners attain. The commenter also stated this will help programs </w:t>
      </w:r>
      <w:r w:rsidR="00B31427">
        <w:rPr>
          <w:rFonts w:ascii="Calibri" w:eastAsia="Calibri" w:hAnsi="Calibri" w:cs="Calibri"/>
          <w:sz w:val="22"/>
          <w:szCs w:val="22"/>
        </w:rPr>
        <w:t xml:space="preserve">to </w:t>
      </w:r>
      <w:r w:rsidRPr="00D81F59">
        <w:rPr>
          <w:rFonts w:ascii="Calibri" w:eastAsia="Calibri" w:hAnsi="Calibri" w:cs="Calibri"/>
          <w:sz w:val="22"/>
          <w:szCs w:val="22"/>
        </w:rPr>
        <w:t>be “incentivized to encourage learners to continue to make skill gains after attaining one MSG.”</w:t>
      </w:r>
    </w:p>
    <w:p w:rsidR="00243D30" w:rsidRPr="00356AA7" w:rsidP="00497C6A" w14:paraId="2C4D7C91" w14:textId="77777777">
      <w:pPr>
        <w:pStyle w:val="Heading3"/>
        <w:spacing w:before="120"/>
      </w:pPr>
      <w:r w:rsidRPr="00356AA7">
        <w:t>Discussion</w:t>
      </w:r>
    </w:p>
    <w:p w:rsidR="00292B9D" w:rsidRPr="00C35217" w:rsidP="00292B9D" w14:paraId="09D8D2A2" w14:textId="24E0E97F">
      <w:pPr>
        <w:pStyle w:val="Heading3"/>
        <w:spacing w:line="480" w:lineRule="auto"/>
        <w:rPr>
          <w:rFonts w:asciiTheme="minorHAnsi" w:hAnsiTheme="minorHAnsi" w:cstheme="minorBidi"/>
          <w:b w:val="0"/>
          <w:color w:val="auto"/>
          <w:sz w:val="22"/>
          <w:szCs w:val="22"/>
        </w:rPr>
      </w:pPr>
      <w:r w:rsidRPr="00C35217">
        <w:rPr>
          <w:rFonts w:asciiTheme="minorHAnsi" w:hAnsiTheme="minorHAnsi" w:cstheme="minorBidi"/>
          <w:b w:val="0"/>
          <w:color w:val="auto"/>
          <w:sz w:val="22"/>
          <w:szCs w:val="22"/>
        </w:rPr>
        <w:t xml:space="preserve">We appreciate the comment and recognize the value of </w:t>
      </w:r>
      <w:r w:rsidR="009C03B7">
        <w:rPr>
          <w:rFonts w:asciiTheme="minorHAnsi" w:hAnsiTheme="minorHAnsi" w:cstheme="minorBidi"/>
          <w:b w:val="0"/>
          <w:color w:val="auto"/>
          <w:sz w:val="22"/>
          <w:szCs w:val="22"/>
        </w:rPr>
        <w:t xml:space="preserve">fully </w:t>
      </w:r>
      <w:r w:rsidRPr="00C35217">
        <w:rPr>
          <w:rFonts w:asciiTheme="minorHAnsi" w:hAnsiTheme="minorHAnsi" w:cstheme="minorBidi"/>
          <w:b w:val="0"/>
          <w:color w:val="auto"/>
          <w:sz w:val="22"/>
          <w:szCs w:val="22"/>
        </w:rPr>
        <w:t xml:space="preserve">documenting learner achievements that occur during participation. </w:t>
      </w:r>
      <w:r w:rsidR="002E2AED">
        <w:rPr>
          <w:rFonts w:asciiTheme="minorHAnsi" w:hAnsiTheme="minorHAnsi" w:cstheme="minorBidi"/>
          <w:b w:val="0"/>
          <w:color w:val="auto"/>
          <w:sz w:val="22"/>
          <w:szCs w:val="22"/>
        </w:rPr>
        <w:t xml:space="preserve">We note </w:t>
      </w:r>
      <w:r w:rsidRPr="00C35217">
        <w:rPr>
          <w:rFonts w:asciiTheme="minorHAnsi" w:hAnsiTheme="minorHAnsi" w:cstheme="minorBidi"/>
          <w:b w:val="0"/>
          <w:color w:val="auto"/>
          <w:sz w:val="22"/>
          <w:szCs w:val="22"/>
        </w:rPr>
        <w:t xml:space="preserve">that the </w:t>
      </w:r>
      <w:r w:rsidR="00C47392">
        <w:rPr>
          <w:rFonts w:asciiTheme="minorHAnsi" w:hAnsiTheme="minorHAnsi" w:cstheme="minorBidi"/>
          <w:b w:val="0"/>
          <w:color w:val="auto"/>
          <w:sz w:val="22"/>
          <w:szCs w:val="22"/>
        </w:rPr>
        <w:t xml:space="preserve">current </w:t>
      </w:r>
      <w:r w:rsidR="00AF385D">
        <w:rPr>
          <w:rFonts w:asciiTheme="minorHAnsi" w:hAnsiTheme="minorHAnsi" w:cstheme="minorBidi"/>
          <w:b w:val="0"/>
          <w:color w:val="auto"/>
          <w:sz w:val="22"/>
          <w:szCs w:val="22"/>
        </w:rPr>
        <w:t xml:space="preserve">joint WIOA accountability </w:t>
      </w:r>
      <w:r w:rsidRPr="00C35217">
        <w:rPr>
          <w:rFonts w:asciiTheme="minorHAnsi" w:hAnsiTheme="minorHAnsi" w:cstheme="minorBidi"/>
          <w:b w:val="0"/>
          <w:color w:val="auto"/>
          <w:sz w:val="22"/>
          <w:szCs w:val="22"/>
        </w:rPr>
        <w:t xml:space="preserve">reporting framework </w:t>
      </w:r>
      <w:r w:rsidR="00E55F97">
        <w:rPr>
          <w:rFonts w:asciiTheme="minorHAnsi" w:hAnsiTheme="minorHAnsi" w:cstheme="minorBidi"/>
          <w:b w:val="0"/>
          <w:color w:val="auto"/>
          <w:sz w:val="22"/>
          <w:szCs w:val="22"/>
        </w:rPr>
        <w:t xml:space="preserve">is designed to </w:t>
      </w:r>
      <w:r w:rsidRPr="00C35217">
        <w:rPr>
          <w:rFonts w:asciiTheme="minorHAnsi" w:hAnsiTheme="minorHAnsi" w:cstheme="minorBidi"/>
          <w:b w:val="0"/>
          <w:color w:val="auto"/>
          <w:sz w:val="22"/>
          <w:szCs w:val="22"/>
        </w:rPr>
        <w:t xml:space="preserve">capture a broad range of documented learner progress and outcomes through the </w:t>
      </w:r>
      <w:r w:rsidR="00E72500">
        <w:rPr>
          <w:rFonts w:asciiTheme="minorHAnsi" w:hAnsiTheme="minorHAnsi" w:cstheme="minorBidi"/>
          <w:b w:val="0"/>
          <w:color w:val="auto"/>
          <w:sz w:val="22"/>
          <w:szCs w:val="22"/>
        </w:rPr>
        <w:t xml:space="preserve">MSG </w:t>
      </w:r>
      <w:r w:rsidRPr="00C35217">
        <w:rPr>
          <w:rFonts w:asciiTheme="minorHAnsi" w:hAnsiTheme="minorHAnsi" w:cstheme="minorBidi"/>
          <w:b w:val="0"/>
          <w:color w:val="auto"/>
          <w:sz w:val="22"/>
          <w:szCs w:val="22"/>
        </w:rPr>
        <w:t>indicator</w:t>
      </w:r>
      <w:r w:rsidR="00E55F97">
        <w:rPr>
          <w:rFonts w:asciiTheme="minorHAnsi" w:hAnsiTheme="minorHAnsi" w:cstheme="minorBidi"/>
          <w:b w:val="0"/>
          <w:color w:val="auto"/>
          <w:sz w:val="22"/>
          <w:szCs w:val="22"/>
        </w:rPr>
        <w:t xml:space="preserve"> type</w:t>
      </w:r>
      <w:r w:rsidR="003559B4">
        <w:rPr>
          <w:rFonts w:asciiTheme="minorHAnsi" w:hAnsiTheme="minorHAnsi" w:cstheme="minorBidi"/>
          <w:b w:val="0"/>
          <w:color w:val="auto"/>
          <w:sz w:val="22"/>
          <w:szCs w:val="22"/>
        </w:rPr>
        <w:t>s</w:t>
      </w:r>
      <w:r w:rsidRPr="00C35217">
        <w:rPr>
          <w:rFonts w:asciiTheme="minorHAnsi" w:hAnsiTheme="minorHAnsi" w:cstheme="minorBidi"/>
          <w:b w:val="0"/>
          <w:color w:val="auto"/>
          <w:sz w:val="22"/>
          <w:szCs w:val="22"/>
        </w:rPr>
        <w:t xml:space="preserve"> and related reporting tables. </w:t>
      </w:r>
      <w:r w:rsidR="00E55F97">
        <w:rPr>
          <w:rFonts w:asciiTheme="minorHAnsi" w:hAnsiTheme="minorHAnsi" w:cstheme="minorBidi"/>
          <w:b w:val="0"/>
          <w:color w:val="auto"/>
          <w:sz w:val="22"/>
          <w:szCs w:val="22"/>
        </w:rPr>
        <w:t>S</w:t>
      </w:r>
      <w:r w:rsidR="003559B4">
        <w:rPr>
          <w:rFonts w:asciiTheme="minorHAnsi" w:hAnsiTheme="minorHAnsi" w:cstheme="minorBidi"/>
          <w:b w:val="0"/>
          <w:color w:val="auto"/>
          <w:sz w:val="22"/>
          <w:szCs w:val="22"/>
        </w:rPr>
        <w:t xml:space="preserve">pecifically, the </w:t>
      </w:r>
      <w:r w:rsidR="00E72500">
        <w:rPr>
          <w:rFonts w:asciiTheme="minorHAnsi" w:hAnsiTheme="minorHAnsi" w:cstheme="minorBidi"/>
          <w:b w:val="0"/>
          <w:color w:val="auto"/>
          <w:sz w:val="22"/>
          <w:szCs w:val="22"/>
        </w:rPr>
        <w:t>“</w:t>
      </w:r>
      <w:r w:rsidR="003559B4">
        <w:rPr>
          <w:rFonts w:asciiTheme="minorHAnsi" w:hAnsiTheme="minorHAnsi" w:cstheme="minorBidi"/>
          <w:b w:val="0"/>
          <w:color w:val="auto"/>
          <w:sz w:val="22"/>
          <w:szCs w:val="22"/>
        </w:rPr>
        <w:t>Measurable Skill Gain</w:t>
      </w:r>
      <w:r w:rsidR="00FA0F4D">
        <w:rPr>
          <w:rFonts w:asciiTheme="minorHAnsi" w:hAnsiTheme="minorHAnsi" w:cstheme="minorBidi"/>
          <w:b w:val="0"/>
          <w:color w:val="auto"/>
          <w:sz w:val="22"/>
          <w:szCs w:val="22"/>
        </w:rPr>
        <w:t>s</w:t>
      </w:r>
      <w:r w:rsidR="00E72500">
        <w:rPr>
          <w:rFonts w:asciiTheme="minorHAnsi" w:hAnsiTheme="minorHAnsi" w:cstheme="minorBidi"/>
          <w:b w:val="0"/>
          <w:color w:val="auto"/>
          <w:sz w:val="22"/>
          <w:szCs w:val="22"/>
        </w:rPr>
        <w:t>”</w:t>
      </w:r>
      <w:r w:rsidR="003559B4">
        <w:rPr>
          <w:rFonts w:asciiTheme="minorHAnsi" w:hAnsiTheme="minorHAnsi" w:cstheme="minorBidi"/>
          <w:b w:val="0"/>
          <w:color w:val="auto"/>
          <w:sz w:val="22"/>
          <w:szCs w:val="22"/>
        </w:rPr>
        <w:t xml:space="preserve"> </w:t>
      </w:r>
      <w:r w:rsidR="00347CB1">
        <w:rPr>
          <w:rFonts w:asciiTheme="minorHAnsi" w:hAnsiTheme="minorHAnsi" w:cstheme="minorBidi"/>
          <w:b w:val="0"/>
          <w:color w:val="auto"/>
          <w:sz w:val="22"/>
          <w:szCs w:val="22"/>
        </w:rPr>
        <w:t>table</w:t>
      </w:r>
      <w:r w:rsidR="00E10206">
        <w:rPr>
          <w:rFonts w:asciiTheme="minorHAnsi" w:hAnsiTheme="minorHAnsi" w:cstheme="minorBidi"/>
          <w:b w:val="0"/>
          <w:color w:val="auto"/>
          <w:sz w:val="22"/>
          <w:szCs w:val="22"/>
        </w:rPr>
        <w:t>,</w:t>
      </w:r>
      <w:r w:rsidR="00347CB1">
        <w:rPr>
          <w:rFonts w:asciiTheme="minorHAnsi" w:hAnsiTheme="minorHAnsi" w:cstheme="minorBidi"/>
          <w:b w:val="0"/>
          <w:color w:val="auto"/>
          <w:sz w:val="22"/>
          <w:szCs w:val="22"/>
        </w:rPr>
        <w:t xml:space="preserve"> </w:t>
      </w:r>
      <w:r w:rsidR="00D0641A">
        <w:rPr>
          <w:rFonts w:asciiTheme="minorHAnsi" w:hAnsiTheme="minorHAnsi" w:cstheme="minorBidi"/>
          <w:b w:val="0"/>
          <w:color w:val="auto"/>
          <w:sz w:val="22"/>
          <w:szCs w:val="22"/>
        </w:rPr>
        <w:t xml:space="preserve">approved </w:t>
      </w:r>
      <w:r w:rsidR="00D90451">
        <w:rPr>
          <w:rFonts w:asciiTheme="minorHAnsi" w:hAnsiTheme="minorHAnsi" w:cstheme="minorBidi"/>
          <w:b w:val="0"/>
          <w:color w:val="auto"/>
          <w:sz w:val="22"/>
          <w:szCs w:val="22"/>
        </w:rPr>
        <w:t xml:space="preserve">in the joint </w:t>
      </w:r>
      <w:r w:rsidR="00E10206">
        <w:rPr>
          <w:rFonts w:asciiTheme="minorHAnsi" w:hAnsiTheme="minorHAnsi" w:cstheme="minorBidi"/>
          <w:b w:val="0"/>
          <w:color w:val="auto"/>
          <w:sz w:val="22"/>
          <w:szCs w:val="22"/>
        </w:rPr>
        <w:t xml:space="preserve">information collection under OMB control number </w:t>
      </w:r>
      <w:r w:rsidRPr="00E10206" w:rsidR="00E10206">
        <w:rPr>
          <w:rFonts w:asciiTheme="minorHAnsi" w:hAnsiTheme="minorHAnsi" w:cstheme="minorBidi"/>
          <w:b w:val="0"/>
          <w:color w:val="auto"/>
          <w:sz w:val="22"/>
          <w:szCs w:val="22"/>
        </w:rPr>
        <w:t>1205-0526</w:t>
      </w:r>
      <w:r w:rsidR="00E10206">
        <w:rPr>
          <w:rFonts w:asciiTheme="minorHAnsi" w:hAnsiTheme="minorHAnsi" w:cstheme="minorBidi"/>
          <w:b w:val="0"/>
          <w:color w:val="auto"/>
          <w:sz w:val="22"/>
          <w:szCs w:val="22"/>
        </w:rPr>
        <w:t xml:space="preserve">, </w:t>
      </w:r>
      <w:r w:rsidR="00FA0F4D">
        <w:rPr>
          <w:rFonts w:asciiTheme="minorHAnsi" w:hAnsiTheme="minorHAnsi" w:cstheme="minorBidi"/>
          <w:b w:val="0"/>
          <w:color w:val="auto"/>
          <w:sz w:val="22"/>
          <w:szCs w:val="22"/>
        </w:rPr>
        <w:t xml:space="preserve">currently </w:t>
      </w:r>
      <w:r w:rsidR="00347CB1">
        <w:rPr>
          <w:rFonts w:asciiTheme="minorHAnsi" w:hAnsiTheme="minorHAnsi" w:cstheme="minorBidi"/>
          <w:b w:val="0"/>
          <w:color w:val="auto"/>
          <w:sz w:val="22"/>
          <w:szCs w:val="22"/>
        </w:rPr>
        <w:t xml:space="preserve">captures </w:t>
      </w:r>
      <w:r w:rsidR="00955623">
        <w:rPr>
          <w:rFonts w:asciiTheme="minorHAnsi" w:hAnsiTheme="minorHAnsi" w:cstheme="minorBidi"/>
          <w:b w:val="0"/>
          <w:color w:val="auto"/>
          <w:sz w:val="22"/>
          <w:szCs w:val="22"/>
        </w:rPr>
        <w:t xml:space="preserve">the total </w:t>
      </w:r>
      <w:r w:rsidR="00347CB1">
        <w:rPr>
          <w:rFonts w:asciiTheme="minorHAnsi" w:hAnsiTheme="minorHAnsi" w:cstheme="minorBidi"/>
          <w:b w:val="0"/>
          <w:color w:val="auto"/>
          <w:sz w:val="22"/>
          <w:szCs w:val="22"/>
        </w:rPr>
        <w:t>skill gains made</w:t>
      </w:r>
      <w:r w:rsidR="00A74E7A">
        <w:rPr>
          <w:rFonts w:asciiTheme="minorHAnsi" w:hAnsiTheme="minorHAnsi" w:cstheme="minorBidi"/>
          <w:b w:val="0"/>
          <w:color w:val="auto"/>
          <w:sz w:val="22"/>
          <w:szCs w:val="22"/>
        </w:rPr>
        <w:t xml:space="preserve"> </w:t>
      </w:r>
      <w:r w:rsidR="006D7F5B">
        <w:rPr>
          <w:rFonts w:asciiTheme="minorHAnsi" w:hAnsiTheme="minorHAnsi" w:cstheme="minorBidi"/>
          <w:b w:val="0"/>
          <w:color w:val="auto"/>
          <w:sz w:val="22"/>
          <w:szCs w:val="22"/>
        </w:rPr>
        <w:t>with</w:t>
      </w:r>
      <w:r w:rsidR="00A74E7A">
        <w:rPr>
          <w:rFonts w:asciiTheme="minorHAnsi" w:hAnsiTheme="minorHAnsi" w:cstheme="minorBidi"/>
          <w:b w:val="0"/>
          <w:color w:val="auto"/>
          <w:sz w:val="22"/>
          <w:szCs w:val="22"/>
        </w:rPr>
        <w:t>in each MSG</w:t>
      </w:r>
      <w:r w:rsidR="00955623">
        <w:rPr>
          <w:rFonts w:asciiTheme="minorHAnsi" w:hAnsiTheme="minorHAnsi" w:cstheme="minorBidi"/>
          <w:b w:val="0"/>
          <w:color w:val="auto"/>
          <w:sz w:val="22"/>
          <w:szCs w:val="22"/>
        </w:rPr>
        <w:t xml:space="preserve"> type</w:t>
      </w:r>
      <w:r w:rsidR="00347CB1">
        <w:rPr>
          <w:rFonts w:asciiTheme="minorHAnsi" w:hAnsiTheme="minorHAnsi" w:cstheme="minorBidi"/>
          <w:b w:val="0"/>
          <w:color w:val="auto"/>
          <w:sz w:val="22"/>
          <w:szCs w:val="22"/>
        </w:rPr>
        <w:t xml:space="preserve">. </w:t>
      </w:r>
      <w:r w:rsidR="00A02BCA">
        <w:rPr>
          <w:rFonts w:asciiTheme="minorHAnsi" w:hAnsiTheme="minorHAnsi" w:cstheme="minorBidi"/>
          <w:b w:val="0"/>
          <w:color w:val="auto"/>
          <w:sz w:val="22"/>
          <w:szCs w:val="22"/>
        </w:rPr>
        <w:t xml:space="preserve">Thus, a participant achieving more than one MSG type </w:t>
      </w:r>
      <w:r w:rsidR="001E6864">
        <w:rPr>
          <w:rFonts w:asciiTheme="minorHAnsi" w:hAnsiTheme="minorHAnsi" w:cstheme="minorBidi"/>
          <w:b w:val="0"/>
          <w:color w:val="auto"/>
          <w:sz w:val="22"/>
          <w:szCs w:val="22"/>
        </w:rPr>
        <w:t xml:space="preserve">may </w:t>
      </w:r>
      <w:r w:rsidR="00A02BCA">
        <w:rPr>
          <w:rFonts w:asciiTheme="minorHAnsi" w:hAnsiTheme="minorHAnsi" w:cstheme="minorBidi"/>
          <w:b w:val="0"/>
          <w:color w:val="auto"/>
          <w:sz w:val="22"/>
          <w:szCs w:val="22"/>
        </w:rPr>
        <w:t xml:space="preserve">be reported </w:t>
      </w:r>
      <w:r w:rsidR="006733B6">
        <w:rPr>
          <w:rFonts w:asciiTheme="minorHAnsi" w:hAnsiTheme="minorHAnsi" w:cstheme="minorBidi"/>
          <w:b w:val="0"/>
          <w:color w:val="auto"/>
          <w:sz w:val="22"/>
          <w:szCs w:val="22"/>
        </w:rPr>
        <w:t xml:space="preserve">more than once on the </w:t>
      </w:r>
      <w:r w:rsidR="001E6864">
        <w:rPr>
          <w:rFonts w:asciiTheme="minorHAnsi" w:hAnsiTheme="minorHAnsi" w:cstheme="minorBidi"/>
          <w:b w:val="0"/>
          <w:color w:val="auto"/>
          <w:sz w:val="22"/>
          <w:szCs w:val="22"/>
        </w:rPr>
        <w:t xml:space="preserve">joint </w:t>
      </w:r>
      <w:r w:rsidR="006733B6">
        <w:rPr>
          <w:rFonts w:asciiTheme="minorHAnsi" w:hAnsiTheme="minorHAnsi" w:cstheme="minorBidi"/>
          <w:b w:val="0"/>
          <w:color w:val="auto"/>
          <w:sz w:val="22"/>
          <w:szCs w:val="22"/>
        </w:rPr>
        <w:t xml:space="preserve">“Measurable Skill Gains” table. </w:t>
      </w:r>
      <w:r w:rsidR="00627B0F">
        <w:rPr>
          <w:rFonts w:asciiTheme="minorHAnsi" w:hAnsiTheme="minorHAnsi" w:cstheme="minorBidi"/>
          <w:b w:val="0"/>
          <w:color w:val="auto"/>
          <w:sz w:val="22"/>
          <w:szCs w:val="22"/>
        </w:rPr>
        <w:t xml:space="preserve">We will consider opportunities </w:t>
      </w:r>
      <w:r w:rsidR="003D54A5">
        <w:rPr>
          <w:rFonts w:asciiTheme="minorHAnsi" w:hAnsiTheme="minorHAnsi" w:cstheme="minorBidi"/>
          <w:b w:val="0"/>
          <w:color w:val="auto"/>
          <w:sz w:val="22"/>
          <w:szCs w:val="22"/>
        </w:rPr>
        <w:t xml:space="preserve">for </w:t>
      </w:r>
      <w:r w:rsidR="00627B0F">
        <w:rPr>
          <w:rFonts w:asciiTheme="minorHAnsi" w:hAnsiTheme="minorHAnsi" w:cstheme="minorBidi"/>
          <w:b w:val="0"/>
          <w:color w:val="auto"/>
          <w:sz w:val="22"/>
          <w:szCs w:val="22"/>
        </w:rPr>
        <w:t xml:space="preserve">enhanced technical </w:t>
      </w:r>
      <w:r w:rsidR="003D54A5">
        <w:rPr>
          <w:rFonts w:asciiTheme="minorHAnsi" w:hAnsiTheme="minorHAnsi" w:cstheme="minorBidi"/>
          <w:b w:val="0"/>
          <w:color w:val="auto"/>
          <w:sz w:val="22"/>
          <w:szCs w:val="22"/>
        </w:rPr>
        <w:t>assistance that highlights the usefulness of the data reported on the “Measurable Skill Gains” table</w:t>
      </w:r>
      <w:r w:rsidR="00425528">
        <w:rPr>
          <w:rFonts w:asciiTheme="minorHAnsi" w:hAnsiTheme="minorHAnsi" w:cstheme="minorBidi"/>
          <w:b w:val="0"/>
          <w:color w:val="auto"/>
          <w:sz w:val="22"/>
          <w:szCs w:val="22"/>
        </w:rPr>
        <w:t xml:space="preserve"> for program administration and public </w:t>
      </w:r>
      <w:r w:rsidR="00D14708">
        <w:rPr>
          <w:rFonts w:asciiTheme="minorHAnsi" w:hAnsiTheme="minorHAnsi" w:cstheme="minorBidi"/>
          <w:b w:val="0"/>
          <w:color w:val="auto"/>
          <w:sz w:val="22"/>
          <w:szCs w:val="22"/>
        </w:rPr>
        <w:t>accountability</w:t>
      </w:r>
      <w:r w:rsidR="00552985">
        <w:rPr>
          <w:rFonts w:asciiTheme="minorHAnsi" w:hAnsiTheme="minorHAnsi" w:cstheme="minorBidi"/>
          <w:b w:val="0"/>
          <w:color w:val="auto"/>
          <w:sz w:val="22"/>
          <w:szCs w:val="22"/>
        </w:rPr>
        <w:t xml:space="preserve"> and </w:t>
      </w:r>
      <w:r w:rsidRPr="00C35217">
        <w:rPr>
          <w:rFonts w:asciiTheme="minorHAnsi" w:hAnsiTheme="minorHAnsi" w:cstheme="minorBidi"/>
          <w:b w:val="0"/>
          <w:color w:val="auto"/>
          <w:sz w:val="22"/>
          <w:szCs w:val="22"/>
        </w:rPr>
        <w:t xml:space="preserve">will continue to review stakeholder feedback regarding </w:t>
      </w:r>
      <w:r w:rsidR="006111DB">
        <w:rPr>
          <w:rFonts w:asciiTheme="minorHAnsi" w:hAnsiTheme="minorHAnsi" w:cstheme="minorBidi"/>
          <w:b w:val="0"/>
          <w:color w:val="auto"/>
          <w:sz w:val="22"/>
          <w:szCs w:val="22"/>
        </w:rPr>
        <w:t xml:space="preserve">the need </w:t>
      </w:r>
      <w:r w:rsidRPr="00C35217">
        <w:rPr>
          <w:rFonts w:asciiTheme="minorHAnsi" w:hAnsiTheme="minorHAnsi" w:cstheme="minorBidi"/>
          <w:b w:val="0"/>
          <w:color w:val="auto"/>
          <w:sz w:val="22"/>
          <w:szCs w:val="22"/>
        </w:rPr>
        <w:t xml:space="preserve">to further enhance the reporting of participant achievements. </w:t>
      </w:r>
    </w:p>
    <w:p w:rsidR="00243D30" w:rsidRPr="00356AA7" w:rsidP="00243D30" w14:paraId="15B52B8C" w14:textId="69981133">
      <w:pPr>
        <w:pStyle w:val="Heading3"/>
      </w:pPr>
      <w:r w:rsidRPr="00356AA7">
        <w:t>Change</w:t>
      </w:r>
    </w:p>
    <w:p w:rsidR="00FE4257" w:rsidRPr="00BE7331" w:rsidP="00FE4257" w14:paraId="38327139" w14:textId="6F9D1B52">
      <w:pPr>
        <w:rPr>
          <w:sz w:val="22"/>
          <w:szCs w:val="22"/>
        </w:rPr>
      </w:pPr>
      <w:r w:rsidRPr="00BE7331">
        <w:rPr>
          <w:sz w:val="22"/>
          <w:szCs w:val="22"/>
        </w:rPr>
        <w:t>No change.</w:t>
      </w:r>
    </w:p>
    <w:p w:rsidR="00FE4257" w:rsidRPr="00080327" w:rsidP="00FE4257" w14:paraId="1C1AFEAA" w14:textId="69263D6E">
      <w:pPr>
        <w:pStyle w:val="Heading2"/>
      </w:pPr>
      <w:r w:rsidRPr="00D81F59">
        <w:t>High School Equivalency Subject Area Test as an MSG Type 4 Training Milestones</w:t>
      </w:r>
    </w:p>
    <w:p w:rsidR="00FE4257" w:rsidRPr="00356AA7" w:rsidP="00FE4257" w14:paraId="52A88C1C" w14:textId="77777777">
      <w:pPr>
        <w:pStyle w:val="Heading3"/>
      </w:pPr>
      <w:r w:rsidRPr="00356AA7">
        <w:t>Comment</w:t>
      </w:r>
    </w:p>
    <w:p w:rsidR="008D0F65" w:rsidRPr="00765D80" w:rsidP="000F22BF" w14:paraId="51D94FFB" w14:textId="36D9D997">
      <w:pPr>
        <w:spacing w:before="240" w:after="160" w:line="480" w:lineRule="auto"/>
        <w:rPr>
          <w:rFonts w:ascii="Calibri" w:eastAsia="Calibri" w:hAnsi="Calibri" w:cs="Calibri"/>
          <w:strike/>
          <w:sz w:val="22"/>
          <w:szCs w:val="22"/>
        </w:rPr>
      </w:pPr>
      <w:r w:rsidRPr="00D81F59">
        <w:rPr>
          <w:rFonts w:ascii="Calibri" w:eastAsia="Calibri" w:hAnsi="Calibri" w:cs="Calibri"/>
          <w:sz w:val="22"/>
          <w:szCs w:val="22"/>
        </w:rPr>
        <w:t>One commenter stated that passing a high school equivalency (HSE) subject area test is a significant accomplishment for adults who previously left school without earning a high school diploma or HSE credential. The commenter noted that achieving this milestone can motivate learners to continue their education and advance along a career pathway leading to family-sustaining wages. The commenter suggested that successful completion of an HSE subject area test be recognized as a Type 4 Training Milestone under the MSG indicator and that providers be allowed to capture and report this achievement as a measurable outcome. The commenter further indicated that recognizing this achievement could incentivize programs to “encourage learners to continue their education and training,” similar to proposals that would allow providers to report multiple MSGs within a program year.</w:t>
      </w:r>
    </w:p>
    <w:p w:rsidR="00243D30" w:rsidRPr="00356AA7" w:rsidP="008A52BF" w14:paraId="4F80BDC5" w14:textId="7B75C767">
      <w:pPr>
        <w:pStyle w:val="Heading3"/>
        <w:spacing w:before="120"/>
      </w:pPr>
      <w:r w:rsidRPr="00356AA7">
        <w:t>Discussion</w:t>
      </w:r>
    </w:p>
    <w:p w:rsidR="00B46FC0" w:rsidRPr="00C35217" w:rsidP="002A103F" w14:paraId="45724FBF" w14:textId="0A3581F9">
      <w:pPr>
        <w:pStyle w:val="Heading3"/>
        <w:spacing w:line="480" w:lineRule="auto"/>
        <w:rPr>
          <w:rFonts w:asciiTheme="minorHAnsi" w:hAnsiTheme="minorHAnsi" w:cstheme="minorBidi"/>
          <w:b w:val="0"/>
          <w:color w:val="auto"/>
          <w:sz w:val="22"/>
          <w:szCs w:val="22"/>
        </w:rPr>
      </w:pPr>
      <w:r w:rsidRPr="00C35217">
        <w:rPr>
          <w:rFonts w:asciiTheme="minorHAnsi" w:hAnsiTheme="minorHAnsi" w:cstheme="minorBidi"/>
          <w:b w:val="0"/>
          <w:color w:val="auto"/>
          <w:sz w:val="22"/>
          <w:szCs w:val="22"/>
        </w:rPr>
        <w:t xml:space="preserve">We appreciate the comment and recognize that passing an HSE subject area test represents important progress toward a secondary credential. </w:t>
      </w:r>
      <w:r w:rsidR="007E3E35">
        <w:rPr>
          <w:rFonts w:asciiTheme="minorHAnsi" w:hAnsiTheme="minorHAnsi" w:cstheme="minorBidi"/>
          <w:b w:val="0"/>
          <w:color w:val="auto"/>
          <w:sz w:val="22"/>
          <w:szCs w:val="22"/>
        </w:rPr>
        <w:t xml:space="preserve">In June 2024, </w:t>
      </w:r>
      <w:r w:rsidR="00A61D57">
        <w:rPr>
          <w:rFonts w:asciiTheme="minorHAnsi" w:hAnsiTheme="minorHAnsi" w:cstheme="minorBidi"/>
          <w:b w:val="0"/>
          <w:color w:val="auto"/>
          <w:sz w:val="22"/>
          <w:szCs w:val="22"/>
        </w:rPr>
        <w:t xml:space="preserve">MSG type 1d was added </w:t>
      </w:r>
      <w:r w:rsidR="0096253F">
        <w:rPr>
          <w:rFonts w:asciiTheme="minorHAnsi" w:hAnsiTheme="minorHAnsi" w:cstheme="minorBidi"/>
          <w:b w:val="0"/>
          <w:color w:val="auto"/>
          <w:sz w:val="22"/>
          <w:szCs w:val="22"/>
        </w:rPr>
        <w:t xml:space="preserve">as a new MSG </w:t>
      </w:r>
      <w:r w:rsidR="003D67C4">
        <w:rPr>
          <w:rFonts w:asciiTheme="minorHAnsi" w:hAnsiTheme="minorHAnsi" w:cstheme="minorBidi"/>
          <w:b w:val="0"/>
          <w:color w:val="auto"/>
          <w:sz w:val="22"/>
          <w:szCs w:val="22"/>
        </w:rPr>
        <w:t xml:space="preserve">type in the </w:t>
      </w:r>
      <w:r w:rsidRPr="00E82199" w:rsidR="00E82199">
        <w:rPr>
          <w:rFonts w:asciiTheme="minorHAnsi" w:hAnsiTheme="minorHAnsi" w:cstheme="minorBidi"/>
          <w:b w:val="0"/>
          <w:color w:val="auto"/>
          <w:sz w:val="22"/>
          <w:szCs w:val="22"/>
        </w:rPr>
        <w:t>joint performance accountability guidance for WIOA core programs (OCTAE Program Memorandum 17-2)</w:t>
      </w:r>
      <w:r w:rsidR="00890D77">
        <w:rPr>
          <w:rFonts w:asciiTheme="minorHAnsi" w:hAnsiTheme="minorHAnsi" w:cstheme="minorBidi"/>
          <w:b w:val="0"/>
          <w:color w:val="auto"/>
          <w:sz w:val="22"/>
          <w:szCs w:val="22"/>
        </w:rPr>
        <w:t>.</w:t>
      </w:r>
      <w:r w:rsidR="003D67C4">
        <w:rPr>
          <w:rFonts w:asciiTheme="minorHAnsi" w:hAnsiTheme="minorHAnsi" w:cstheme="minorBidi"/>
          <w:b w:val="0"/>
          <w:color w:val="auto"/>
          <w:sz w:val="22"/>
          <w:szCs w:val="22"/>
        </w:rPr>
        <w:t xml:space="preserve"> </w:t>
      </w:r>
      <w:r w:rsidR="00C004F5">
        <w:rPr>
          <w:rFonts w:asciiTheme="minorHAnsi" w:hAnsiTheme="minorHAnsi" w:cstheme="minorBidi"/>
          <w:b w:val="0"/>
          <w:color w:val="auto"/>
          <w:sz w:val="22"/>
          <w:szCs w:val="22"/>
        </w:rPr>
        <w:t xml:space="preserve">Under </w:t>
      </w:r>
      <w:r w:rsidR="00694DB3">
        <w:rPr>
          <w:rFonts w:asciiTheme="minorHAnsi" w:hAnsiTheme="minorHAnsi" w:cstheme="minorBidi"/>
          <w:b w:val="0"/>
          <w:color w:val="auto"/>
          <w:sz w:val="22"/>
          <w:szCs w:val="22"/>
        </w:rPr>
        <w:t xml:space="preserve">MSG Type </w:t>
      </w:r>
      <w:r w:rsidR="0014254D">
        <w:rPr>
          <w:rFonts w:asciiTheme="minorHAnsi" w:hAnsiTheme="minorHAnsi" w:cstheme="minorBidi"/>
          <w:b w:val="0"/>
          <w:color w:val="auto"/>
          <w:sz w:val="22"/>
          <w:szCs w:val="22"/>
        </w:rPr>
        <w:t>1d</w:t>
      </w:r>
      <w:r w:rsidR="00C004F5">
        <w:rPr>
          <w:rFonts w:asciiTheme="minorHAnsi" w:hAnsiTheme="minorHAnsi" w:cstheme="minorBidi"/>
          <w:b w:val="0"/>
          <w:color w:val="auto"/>
          <w:sz w:val="22"/>
          <w:szCs w:val="22"/>
        </w:rPr>
        <w:t>, s</w:t>
      </w:r>
      <w:r w:rsidRPr="00C004F5" w:rsidR="00C004F5">
        <w:rPr>
          <w:rFonts w:asciiTheme="minorHAnsi" w:hAnsiTheme="minorHAnsi" w:cstheme="minorBidi"/>
          <w:b w:val="0"/>
          <w:color w:val="auto"/>
          <w:sz w:val="22"/>
          <w:szCs w:val="22"/>
        </w:rPr>
        <w:t>tates may report an EFL gain for participants who pass a subtest on a state-recognized high school equivalency examination</w:t>
      </w:r>
      <w:r w:rsidR="00B160AE">
        <w:rPr>
          <w:rFonts w:asciiTheme="minorHAnsi" w:hAnsiTheme="minorHAnsi" w:cstheme="minorBidi"/>
          <w:b w:val="0"/>
          <w:color w:val="auto"/>
          <w:sz w:val="22"/>
          <w:szCs w:val="22"/>
        </w:rPr>
        <w:t>.</w:t>
      </w:r>
      <w:r w:rsidRPr="00D07078" w:rsidR="00D07078">
        <w:rPr>
          <w:rFonts w:asciiTheme="minorHAnsi" w:hAnsiTheme="minorHAnsi" w:cstheme="minorBidi"/>
          <w:b w:val="0"/>
          <w:color w:val="auto"/>
          <w:sz w:val="22"/>
          <w:szCs w:val="22"/>
        </w:rPr>
        <w:t xml:space="preserve"> </w:t>
      </w:r>
      <w:r w:rsidRPr="00C35217">
        <w:rPr>
          <w:rFonts w:asciiTheme="minorHAnsi" w:hAnsiTheme="minorHAnsi" w:cstheme="minorBidi"/>
          <w:b w:val="0"/>
          <w:color w:val="auto"/>
          <w:sz w:val="22"/>
          <w:szCs w:val="22"/>
        </w:rPr>
        <w:t xml:space="preserve">MSG Type 4 is intended for progress toward training-related milestones documented by an employer or training provider and is not designed to capture progress toward a high school equivalency credential. </w:t>
      </w:r>
      <w:r w:rsidR="008536EE">
        <w:rPr>
          <w:rFonts w:asciiTheme="minorHAnsi" w:hAnsiTheme="minorHAnsi" w:cstheme="minorBidi"/>
          <w:b w:val="0"/>
          <w:color w:val="auto"/>
          <w:sz w:val="22"/>
          <w:szCs w:val="22"/>
        </w:rPr>
        <w:t xml:space="preserve">We </w:t>
      </w:r>
      <w:r w:rsidR="00DF2FEB">
        <w:rPr>
          <w:rFonts w:asciiTheme="minorHAnsi" w:hAnsiTheme="minorHAnsi" w:cstheme="minorBidi"/>
          <w:b w:val="0"/>
          <w:color w:val="auto"/>
          <w:sz w:val="22"/>
          <w:szCs w:val="22"/>
        </w:rPr>
        <w:t>note that</w:t>
      </w:r>
      <w:r w:rsidRPr="00C35217" w:rsidR="00DF2FEB">
        <w:rPr>
          <w:rFonts w:asciiTheme="minorHAnsi" w:hAnsiTheme="minorHAnsi" w:cstheme="minorBidi"/>
          <w:b w:val="0"/>
          <w:color w:val="auto"/>
          <w:sz w:val="22"/>
          <w:szCs w:val="22"/>
        </w:rPr>
        <w:t xml:space="preserve"> </w:t>
      </w:r>
      <w:r w:rsidRPr="00C35217">
        <w:rPr>
          <w:rFonts w:asciiTheme="minorHAnsi" w:hAnsiTheme="minorHAnsi" w:cstheme="minorBidi"/>
          <w:b w:val="0"/>
          <w:color w:val="auto"/>
          <w:sz w:val="22"/>
          <w:szCs w:val="22"/>
        </w:rPr>
        <w:t xml:space="preserve">the current MSG framework appropriately distinguishes between training milestones and educational progress measures and will continue to </w:t>
      </w:r>
      <w:r w:rsidR="00D4292D">
        <w:rPr>
          <w:rFonts w:asciiTheme="minorHAnsi" w:hAnsiTheme="minorHAnsi" w:cstheme="minorBidi"/>
          <w:b w:val="0"/>
          <w:color w:val="auto"/>
          <w:sz w:val="22"/>
          <w:szCs w:val="22"/>
        </w:rPr>
        <w:t xml:space="preserve">seek and </w:t>
      </w:r>
      <w:r w:rsidRPr="00C35217">
        <w:rPr>
          <w:rFonts w:asciiTheme="minorHAnsi" w:hAnsiTheme="minorHAnsi" w:cstheme="minorBidi"/>
          <w:b w:val="0"/>
          <w:color w:val="auto"/>
          <w:sz w:val="22"/>
          <w:szCs w:val="22"/>
        </w:rPr>
        <w:t xml:space="preserve">review feedback regarding </w:t>
      </w:r>
      <w:r w:rsidRPr="00C35217">
        <w:rPr>
          <w:rFonts w:asciiTheme="minorHAnsi" w:hAnsiTheme="minorHAnsi" w:cstheme="minorBidi"/>
          <w:b w:val="0"/>
          <w:color w:val="auto"/>
          <w:sz w:val="22"/>
          <w:szCs w:val="22"/>
        </w:rPr>
        <w:t xml:space="preserve">opportunities to recognize </w:t>
      </w:r>
      <w:r w:rsidR="00D4292D">
        <w:rPr>
          <w:rFonts w:asciiTheme="minorHAnsi" w:hAnsiTheme="minorHAnsi" w:cstheme="minorBidi"/>
          <w:b w:val="0"/>
          <w:color w:val="auto"/>
          <w:sz w:val="22"/>
          <w:szCs w:val="22"/>
        </w:rPr>
        <w:t xml:space="preserve">additional </w:t>
      </w:r>
      <w:r w:rsidRPr="00C35217">
        <w:rPr>
          <w:rFonts w:asciiTheme="minorHAnsi" w:hAnsiTheme="minorHAnsi" w:cstheme="minorBidi"/>
          <w:b w:val="0"/>
          <w:color w:val="auto"/>
          <w:sz w:val="22"/>
          <w:szCs w:val="22"/>
        </w:rPr>
        <w:t xml:space="preserve">learner achievements within the </w:t>
      </w:r>
      <w:r w:rsidR="00343C34">
        <w:rPr>
          <w:rFonts w:asciiTheme="minorHAnsi" w:hAnsiTheme="minorHAnsi" w:cstheme="minorBidi"/>
          <w:b w:val="0"/>
          <w:color w:val="auto"/>
          <w:sz w:val="22"/>
          <w:szCs w:val="22"/>
        </w:rPr>
        <w:t xml:space="preserve">joint </w:t>
      </w:r>
      <w:r w:rsidR="00C6205D">
        <w:rPr>
          <w:rFonts w:asciiTheme="minorHAnsi" w:hAnsiTheme="minorHAnsi" w:cstheme="minorBidi"/>
          <w:b w:val="0"/>
          <w:color w:val="auto"/>
          <w:sz w:val="22"/>
          <w:szCs w:val="22"/>
        </w:rPr>
        <w:t xml:space="preserve">WIOA performance accountability </w:t>
      </w:r>
      <w:r w:rsidRPr="00C35217">
        <w:rPr>
          <w:rFonts w:asciiTheme="minorHAnsi" w:hAnsiTheme="minorHAnsi" w:cstheme="minorBidi"/>
          <w:b w:val="0"/>
          <w:color w:val="auto"/>
          <w:sz w:val="22"/>
          <w:szCs w:val="22"/>
        </w:rPr>
        <w:t>reporting structure.</w:t>
      </w:r>
    </w:p>
    <w:p w:rsidR="00243D30" w:rsidRPr="00356AA7" w:rsidP="002A103F" w14:paraId="41EA04E8" w14:textId="7908109D">
      <w:pPr>
        <w:pStyle w:val="Heading3"/>
        <w:spacing w:line="480" w:lineRule="auto"/>
      </w:pPr>
      <w:r w:rsidRPr="00356AA7">
        <w:t>Change</w:t>
      </w:r>
    </w:p>
    <w:p w:rsidR="00FE4257" w:rsidRPr="00BE7331" w:rsidP="002A103F" w14:paraId="0B55787E" w14:textId="65B59C47">
      <w:pPr>
        <w:spacing w:line="480" w:lineRule="auto"/>
        <w:rPr>
          <w:sz w:val="22"/>
          <w:szCs w:val="22"/>
        </w:rPr>
      </w:pPr>
      <w:r w:rsidRPr="00BE7331">
        <w:rPr>
          <w:sz w:val="22"/>
          <w:szCs w:val="22"/>
        </w:rPr>
        <w:t xml:space="preserve">No Change. </w:t>
      </w:r>
    </w:p>
    <w:p w:rsidR="00FE4257" w:rsidRPr="006F225B" w:rsidP="00FE4257" w14:paraId="68FC3C62" w14:textId="0624A9A1">
      <w:pPr>
        <w:pStyle w:val="Heading2"/>
      </w:pPr>
      <w:r w:rsidRPr="00D81F59">
        <w:t>Digital Literacy Assessments as MSG Type 4 Training Milestones</w:t>
      </w:r>
    </w:p>
    <w:p w:rsidR="00FE4257" w:rsidRPr="00356AA7" w:rsidP="00FE4257" w14:paraId="2FA567CD" w14:textId="77777777">
      <w:pPr>
        <w:pStyle w:val="Heading3"/>
      </w:pPr>
      <w:r w:rsidRPr="00356AA7">
        <w:t>Comment</w:t>
      </w:r>
    </w:p>
    <w:p w:rsidR="00FE4257" w:rsidRPr="00AB32CB" w:rsidP="005E247C" w14:paraId="778BE209" w14:textId="17DC41B3">
      <w:pPr>
        <w:spacing w:before="240" w:after="160" w:line="480" w:lineRule="auto"/>
        <w:rPr>
          <w:rFonts w:ascii="Calibri" w:eastAsia="Calibri" w:hAnsi="Calibri" w:cs="Calibri"/>
          <w:color w:val="000000" w:themeColor="text1"/>
          <w:sz w:val="22"/>
          <w:szCs w:val="22"/>
          <w:highlight w:val="green"/>
        </w:rPr>
      </w:pPr>
      <w:r w:rsidRPr="00D81F59">
        <w:rPr>
          <w:rFonts w:ascii="Calibri" w:eastAsia="Calibri" w:hAnsi="Calibri" w:cs="Calibri"/>
          <w:color w:val="000000" w:themeColor="text1"/>
          <w:sz w:val="22"/>
          <w:szCs w:val="22"/>
        </w:rPr>
        <w:t xml:space="preserve">One commenter noted that employer surveys consistently identify digital literacy as a critical skills gap, despite growing employer demand for these competencies in the workforce. The commenter recommended that the NRS recognize </w:t>
      </w:r>
      <w:r w:rsidR="006335B0">
        <w:rPr>
          <w:rFonts w:ascii="Calibri" w:eastAsia="Calibri" w:hAnsi="Calibri" w:cs="Calibri"/>
          <w:color w:val="000000" w:themeColor="text1"/>
          <w:sz w:val="22"/>
          <w:szCs w:val="22"/>
        </w:rPr>
        <w:t xml:space="preserve">progress on </w:t>
      </w:r>
      <w:r w:rsidRPr="00D81F59">
        <w:rPr>
          <w:rFonts w:ascii="Calibri" w:eastAsia="Calibri" w:hAnsi="Calibri" w:cs="Calibri"/>
          <w:color w:val="000000" w:themeColor="text1"/>
          <w:sz w:val="22"/>
          <w:szCs w:val="22"/>
        </w:rPr>
        <w:t>digital literacy assessments as a measurable skill gain to support learner attainment of these essential skills. The commenter further suggested that NRS tables and guidance support the use of MSG Type 4 training milestones to document progress toward established digital literacy objectives. Additionally, the commenter stated that implementing this recommendation would require alignment of service definitions across WIOA core partner programs.</w:t>
      </w:r>
    </w:p>
    <w:p w:rsidR="00243D30" w:rsidRPr="00356AA7" w:rsidP="005E247C" w14:paraId="2E6A896B" w14:textId="77777777">
      <w:pPr>
        <w:pStyle w:val="Heading3"/>
        <w:spacing w:before="120"/>
      </w:pPr>
      <w:r w:rsidRPr="00356AA7">
        <w:t>Discussion</w:t>
      </w:r>
    </w:p>
    <w:p w:rsidR="009D093C" w:rsidRPr="00C35217" w:rsidP="00883A16" w14:paraId="2439F55B" w14:textId="2C5B823C">
      <w:pPr>
        <w:spacing w:before="240" w:line="480" w:lineRule="auto"/>
        <w:rPr>
          <w:sz w:val="22"/>
          <w:szCs w:val="22"/>
        </w:rPr>
      </w:pPr>
      <w:r w:rsidRPr="00C35217">
        <w:rPr>
          <w:sz w:val="22"/>
          <w:szCs w:val="22"/>
        </w:rPr>
        <w:t xml:space="preserve">We appreciate the comment and recognize the importance of digital literacy skills for employment. Under </w:t>
      </w:r>
      <w:r w:rsidR="00007FB6">
        <w:rPr>
          <w:sz w:val="22"/>
          <w:szCs w:val="22"/>
        </w:rPr>
        <w:t>the current</w:t>
      </w:r>
      <w:r w:rsidR="0030628B">
        <w:rPr>
          <w:sz w:val="22"/>
          <w:szCs w:val="22"/>
        </w:rPr>
        <w:t xml:space="preserve"> </w:t>
      </w:r>
      <w:r w:rsidR="00A671C9">
        <w:rPr>
          <w:sz w:val="22"/>
          <w:szCs w:val="22"/>
        </w:rPr>
        <w:t xml:space="preserve">joint </w:t>
      </w:r>
      <w:r w:rsidR="0030628B">
        <w:rPr>
          <w:sz w:val="22"/>
          <w:szCs w:val="22"/>
        </w:rPr>
        <w:t xml:space="preserve">WIOA </w:t>
      </w:r>
      <w:r w:rsidR="00007FB6">
        <w:rPr>
          <w:sz w:val="22"/>
          <w:szCs w:val="22"/>
        </w:rPr>
        <w:t>performance accountability framework</w:t>
      </w:r>
      <w:r w:rsidRPr="00C35217">
        <w:rPr>
          <w:sz w:val="22"/>
          <w:szCs w:val="22"/>
        </w:rPr>
        <w:t xml:space="preserve">, </w:t>
      </w:r>
      <w:r w:rsidR="00987B23">
        <w:rPr>
          <w:sz w:val="22"/>
          <w:szCs w:val="22"/>
        </w:rPr>
        <w:t xml:space="preserve">progress on </w:t>
      </w:r>
      <w:r w:rsidRPr="00C35217">
        <w:rPr>
          <w:sz w:val="22"/>
          <w:szCs w:val="22"/>
        </w:rPr>
        <w:t xml:space="preserve">digital literacy assessments </w:t>
      </w:r>
      <w:r w:rsidR="00D476C2">
        <w:rPr>
          <w:sz w:val="22"/>
          <w:szCs w:val="22"/>
        </w:rPr>
        <w:t xml:space="preserve">is </w:t>
      </w:r>
      <w:r w:rsidRPr="00C35217">
        <w:rPr>
          <w:sz w:val="22"/>
          <w:szCs w:val="22"/>
        </w:rPr>
        <w:t xml:space="preserve">not identified as a separate measurable skill gain type. </w:t>
      </w:r>
      <w:r w:rsidR="00A91BD3">
        <w:rPr>
          <w:sz w:val="22"/>
          <w:szCs w:val="22"/>
        </w:rPr>
        <w:t xml:space="preserve">However, flexibilities </w:t>
      </w:r>
      <w:r w:rsidR="0003365E">
        <w:rPr>
          <w:sz w:val="22"/>
          <w:szCs w:val="22"/>
        </w:rPr>
        <w:t xml:space="preserve">exist for reporting digital literacy </w:t>
      </w:r>
      <w:r w:rsidR="008905D6">
        <w:rPr>
          <w:sz w:val="22"/>
          <w:szCs w:val="22"/>
        </w:rPr>
        <w:t xml:space="preserve">gains </w:t>
      </w:r>
      <w:r w:rsidR="0003365E">
        <w:rPr>
          <w:sz w:val="22"/>
          <w:szCs w:val="22"/>
        </w:rPr>
        <w:t xml:space="preserve">in </w:t>
      </w:r>
      <w:r w:rsidR="00DE4579">
        <w:rPr>
          <w:sz w:val="22"/>
          <w:szCs w:val="22"/>
        </w:rPr>
        <w:t xml:space="preserve">specific contexts. </w:t>
      </w:r>
      <w:r w:rsidRPr="00C35217">
        <w:rPr>
          <w:sz w:val="22"/>
          <w:szCs w:val="22"/>
        </w:rPr>
        <w:t xml:space="preserve">MSG Type 4 is intended to document satisfactory progress toward established training milestones reported by an employer or training provider and is generally used </w:t>
      </w:r>
      <w:r w:rsidR="00395BDE">
        <w:rPr>
          <w:sz w:val="22"/>
          <w:szCs w:val="22"/>
        </w:rPr>
        <w:t xml:space="preserve">to report gains </w:t>
      </w:r>
      <w:r w:rsidR="00ED7260">
        <w:rPr>
          <w:sz w:val="22"/>
          <w:szCs w:val="22"/>
        </w:rPr>
        <w:t xml:space="preserve">achieved </w:t>
      </w:r>
      <w:r w:rsidR="00395BDE">
        <w:rPr>
          <w:sz w:val="22"/>
          <w:szCs w:val="22"/>
        </w:rPr>
        <w:t xml:space="preserve">by </w:t>
      </w:r>
      <w:r w:rsidRPr="00C35217">
        <w:rPr>
          <w:sz w:val="22"/>
          <w:szCs w:val="22"/>
        </w:rPr>
        <w:t xml:space="preserve">workplace literacy and IET participants. </w:t>
      </w:r>
      <w:r w:rsidR="00DE4579">
        <w:rPr>
          <w:sz w:val="22"/>
          <w:szCs w:val="22"/>
        </w:rPr>
        <w:t>T</w:t>
      </w:r>
      <w:r w:rsidRPr="00DE4579" w:rsidR="00DE4579">
        <w:rPr>
          <w:sz w:val="22"/>
          <w:szCs w:val="22"/>
        </w:rPr>
        <w:t xml:space="preserve">he use of digital literacy assessments and related certifications </w:t>
      </w:r>
      <w:r w:rsidR="00F724A9">
        <w:rPr>
          <w:sz w:val="22"/>
          <w:szCs w:val="22"/>
        </w:rPr>
        <w:t>may</w:t>
      </w:r>
      <w:r w:rsidRPr="00DE4579" w:rsidR="00DE4579">
        <w:rPr>
          <w:sz w:val="22"/>
          <w:szCs w:val="22"/>
        </w:rPr>
        <w:t xml:space="preserve"> be appropriate for reporting digital skill gains in </w:t>
      </w:r>
      <w:r w:rsidR="00946F85">
        <w:rPr>
          <w:sz w:val="22"/>
          <w:szCs w:val="22"/>
        </w:rPr>
        <w:t>these programs</w:t>
      </w:r>
      <w:r w:rsidRPr="00DE4579" w:rsidR="00DE4579">
        <w:rPr>
          <w:sz w:val="22"/>
          <w:szCs w:val="22"/>
        </w:rPr>
        <w:t>.</w:t>
      </w:r>
      <w:r w:rsidR="00DE4579">
        <w:rPr>
          <w:sz w:val="22"/>
          <w:szCs w:val="22"/>
        </w:rPr>
        <w:t xml:space="preserve"> </w:t>
      </w:r>
      <w:r w:rsidR="005B73C3">
        <w:rPr>
          <w:sz w:val="22"/>
          <w:szCs w:val="22"/>
        </w:rPr>
        <w:t>We</w:t>
      </w:r>
      <w:r w:rsidRPr="00C35217" w:rsidR="005B73C3">
        <w:rPr>
          <w:sz w:val="22"/>
          <w:szCs w:val="22"/>
        </w:rPr>
        <w:t xml:space="preserve"> </w:t>
      </w:r>
      <w:r w:rsidRPr="00C35217">
        <w:rPr>
          <w:sz w:val="22"/>
          <w:szCs w:val="22"/>
        </w:rPr>
        <w:t xml:space="preserve">will continue to explore stakeholder feedback </w:t>
      </w:r>
      <w:r w:rsidR="0063424C">
        <w:rPr>
          <w:sz w:val="22"/>
          <w:szCs w:val="22"/>
        </w:rPr>
        <w:t xml:space="preserve">for </w:t>
      </w:r>
      <w:r w:rsidRPr="00C35217">
        <w:rPr>
          <w:sz w:val="22"/>
          <w:szCs w:val="22"/>
        </w:rPr>
        <w:t xml:space="preserve">opportunities to support the recognition of emerging competencies, including digital literacy, through </w:t>
      </w:r>
      <w:r w:rsidR="00CA5727">
        <w:rPr>
          <w:sz w:val="22"/>
          <w:szCs w:val="22"/>
        </w:rPr>
        <w:t>joint perf</w:t>
      </w:r>
      <w:r w:rsidR="005D06B5">
        <w:rPr>
          <w:sz w:val="22"/>
          <w:szCs w:val="22"/>
        </w:rPr>
        <w:t>ormance accountability</w:t>
      </w:r>
      <w:r w:rsidRPr="00C35217">
        <w:rPr>
          <w:sz w:val="22"/>
          <w:szCs w:val="22"/>
        </w:rPr>
        <w:t xml:space="preserve"> reporting structures.</w:t>
      </w:r>
      <w:r w:rsidRPr="0070608D" w:rsidR="0070608D">
        <w:t xml:space="preserve"> </w:t>
      </w:r>
      <w:r w:rsidRPr="008802B3" w:rsidR="008802B3">
        <w:rPr>
          <w:sz w:val="22"/>
          <w:szCs w:val="22"/>
        </w:rPr>
        <w:t xml:space="preserve">However, </w:t>
      </w:r>
      <w:r w:rsidR="00101E6B">
        <w:rPr>
          <w:sz w:val="22"/>
          <w:szCs w:val="22"/>
        </w:rPr>
        <w:t xml:space="preserve">as the commenter notes, </w:t>
      </w:r>
      <w:r w:rsidRPr="008802B3" w:rsidR="008802B3">
        <w:rPr>
          <w:sz w:val="22"/>
          <w:szCs w:val="22"/>
        </w:rPr>
        <w:t>c</w:t>
      </w:r>
      <w:r w:rsidRPr="008802B3" w:rsidR="002E44AB">
        <w:rPr>
          <w:sz w:val="22"/>
          <w:szCs w:val="22"/>
        </w:rPr>
        <w:t xml:space="preserve">hanges to MSG </w:t>
      </w:r>
      <w:r w:rsidRPr="008802B3" w:rsidR="002831A0">
        <w:rPr>
          <w:sz w:val="22"/>
          <w:szCs w:val="22"/>
        </w:rPr>
        <w:t xml:space="preserve">reporting </w:t>
      </w:r>
      <w:r w:rsidRPr="008802B3" w:rsidR="0070608D">
        <w:rPr>
          <w:sz w:val="22"/>
          <w:szCs w:val="22"/>
        </w:rPr>
        <w:t xml:space="preserve">fall within the purview of the joint </w:t>
      </w:r>
      <w:r w:rsidR="00DF4F49">
        <w:rPr>
          <w:sz w:val="22"/>
          <w:szCs w:val="22"/>
        </w:rPr>
        <w:t xml:space="preserve">information collection request </w:t>
      </w:r>
      <w:r w:rsidR="002A5DCA">
        <w:rPr>
          <w:sz w:val="22"/>
          <w:szCs w:val="22"/>
        </w:rPr>
        <w:t>(</w:t>
      </w:r>
      <w:r w:rsidRPr="008802B3" w:rsidR="0070608D">
        <w:rPr>
          <w:sz w:val="22"/>
          <w:szCs w:val="22"/>
        </w:rPr>
        <w:t>ICR</w:t>
      </w:r>
      <w:r w:rsidR="002A5DCA">
        <w:rPr>
          <w:sz w:val="22"/>
          <w:szCs w:val="22"/>
        </w:rPr>
        <w:t>)</w:t>
      </w:r>
      <w:r w:rsidRPr="008802B3" w:rsidR="0070608D">
        <w:rPr>
          <w:sz w:val="22"/>
          <w:szCs w:val="22"/>
        </w:rPr>
        <w:t xml:space="preserve"> </w:t>
      </w:r>
      <w:r w:rsidR="002A5DCA">
        <w:rPr>
          <w:sz w:val="22"/>
          <w:szCs w:val="22"/>
        </w:rPr>
        <w:t xml:space="preserve">under OMB control number </w:t>
      </w:r>
      <w:r w:rsidRPr="0019403F" w:rsidR="0019403F">
        <w:rPr>
          <w:sz w:val="22"/>
          <w:szCs w:val="22"/>
        </w:rPr>
        <w:t>1205-0526</w:t>
      </w:r>
      <w:r w:rsidR="008D733D">
        <w:rPr>
          <w:sz w:val="22"/>
          <w:szCs w:val="22"/>
        </w:rPr>
        <w:t xml:space="preserve"> and joint guidance for WIOA performance accountability in OCTAE Program Memorandum 17-2</w:t>
      </w:r>
      <w:r w:rsidRPr="008802B3" w:rsidR="00972BE3">
        <w:rPr>
          <w:sz w:val="22"/>
          <w:szCs w:val="22"/>
        </w:rPr>
        <w:t>.</w:t>
      </w:r>
      <w:r w:rsidR="00972BE3">
        <w:rPr>
          <w:sz w:val="22"/>
          <w:szCs w:val="22"/>
        </w:rPr>
        <w:t xml:space="preserve"> We </w:t>
      </w:r>
      <w:r w:rsidRPr="0070608D" w:rsidR="0070608D">
        <w:rPr>
          <w:sz w:val="22"/>
          <w:szCs w:val="22"/>
        </w:rPr>
        <w:t xml:space="preserve">will engage with our WIOA partners to identify </w:t>
      </w:r>
      <w:r w:rsidR="002E3209">
        <w:rPr>
          <w:sz w:val="22"/>
          <w:szCs w:val="22"/>
        </w:rPr>
        <w:t xml:space="preserve">any </w:t>
      </w:r>
      <w:r w:rsidRPr="0070608D" w:rsidR="0070608D">
        <w:rPr>
          <w:sz w:val="22"/>
          <w:szCs w:val="22"/>
        </w:rPr>
        <w:t xml:space="preserve">opportunities for further </w:t>
      </w:r>
      <w:r w:rsidR="00C9694D">
        <w:rPr>
          <w:sz w:val="22"/>
          <w:szCs w:val="22"/>
        </w:rPr>
        <w:t xml:space="preserve">recognition of </w:t>
      </w:r>
      <w:r w:rsidR="006C2080">
        <w:rPr>
          <w:sz w:val="22"/>
          <w:szCs w:val="22"/>
        </w:rPr>
        <w:t>these skills</w:t>
      </w:r>
      <w:r w:rsidRPr="0070608D" w:rsidR="0070608D">
        <w:rPr>
          <w:sz w:val="22"/>
          <w:szCs w:val="22"/>
        </w:rPr>
        <w:t xml:space="preserve">. </w:t>
      </w:r>
    </w:p>
    <w:p w:rsidR="00243D30" w:rsidRPr="00356AA7" w:rsidP="00243D30" w14:paraId="0A5C4C91" w14:textId="77777777">
      <w:pPr>
        <w:pStyle w:val="Heading3"/>
      </w:pPr>
      <w:r w:rsidRPr="00356AA7">
        <w:t>Change</w:t>
      </w:r>
    </w:p>
    <w:p w:rsidR="00FE4257" w:rsidRPr="00BE7331" w:rsidP="00FE4257" w14:paraId="4E63E67A" w14:textId="1F30BA15">
      <w:pPr>
        <w:rPr>
          <w:sz w:val="22"/>
          <w:szCs w:val="22"/>
        </w:rPr>
      </w:pPr>
      <w:r w:rsidRPr="00BE7331">
        <w:rPr>
          <w:sz w:val="22"/>
          <w:szCs w:val="22"/>
        </w:rPr>
        <w:t xml:space="preserve">No change. </w:t>
      </w:r>
    </w:p>
    <w:p w:rsidR="00F806F5" w:rsidRPr="006F225B" w:rsidP="00F806F5" w14:paraId="47EBAF50" w14:textId="2E17EA87">
      <w:pPr>
        <w:pStyle w:val="Heading2"/>
      </w:pPr>
      <w:bookmarkStart w:id="5" w:name="_Hlk149124739"/>
      <w:r w:rsidRPr="00D81F59">
        <w:t>Require Documentation of Co-Enrollment Between Title I and Title II</w:t>
      </w:r>
    </w:p>
    <w:bookmarkEnd w:id="5"/>
    <w:p w:rsidR="00F806F5" w:rsidRPr="00356AA7" w:rsidP="00F806F5" w14:paraId="37B16123" w14:textId="77777777">
      <w:pPr>
        <w:pStyle w:val="Heading3"/>
      </w:pPr>
      <w:r w:rsidRPr="00356AA7">
        <w:t>Comment</w:t>
      </w:r>
    </w:p>
    <w:p w:rsidR="00F806F5" w:rsidRPr="00660C8A" w:rsidP="00660C8A" w14:paraId="2AE843B9" w14:textId="3236012E">
      <w:pPr>
        <w:spacing w:before="240" w:after="160" w:line="480" w:lineRule="auto"/>
        <w:rPr>
          <w:rFonts w:ascii="Calibri" w:eastAsia="Calibri" w:hAnsi="Calibri" w:cs="Calibri"/>
          <w:sz w:val="22"/>
          <w:szCs w:val="22"/>
        </w:rPr>
      </w:pPr>
      <w:r w:rsidRPr="00D81F59">
        <w:rPr>
          <w:rFonts w:ascii="Calibri" w:eastAsia="Calibri" w:hAnsi="Calibri" w:cs="Calibri"/>
          <w:sz w:val="22"/>
          <w:szCs w:val="22"/>
        </w:rPr>
        <w:t xml:space="preserve">One commenter recommended that the </w:t>
      </w:r>
      <w:r w:rsidR="00440146">
        <w:rPr>
          <w:rFonts w:ascii="Calibri" w:eastAsia="Calibri" w:hAnsi="Calibri" w:cs="Calibri"/>
          <w:sz w:val="22"/>
          <w:szCs w:val="22"/>
        </w:rPr>
        <w:t>NRS</w:t>
      </w:r>
      <w:r w:rsidRPr="00D81F59">
        <w:rPr>
          <w:rFonts w:ascii="Calibri" w:eastAsia="Calibri" w:hAnsi="Calibri" w:cs="Calibri"/>
          <w:sz w:val="22"/>
          <w:szCs w:val="22"/>
        </w:rPr>
        <w:t xml:space="preserve"> include documentation of participants who are co-enrolled in Title I and Title II programs to support greater coordination and collaboration across WIOA core programs. The commenter also suggested that NRS instructions reiterate that measurable skill gains and other participant outcomes for co-enrolled individuals be measured and reported consistently across both systems, rather than separately.</w:t>
      </w:r>
    </w:p>
    <w:p w:rsidR="00243D30" w:rsidRPr="00356AA7" w:rsidP="00243D30" w14:paraId="1FCEF0D9" w14:textId="77777777">
      <w:pPr>
        <w:pStyle w:val="Heading3"/>
      </w:pPr>
      <w:r w:rsidRPr="00356AA7">
        <w:t>Discussion</w:t>
      </w:r>
    </w:p>
    <w:p w:rsidR="00CC7D12" w:rsidRPr="007A3DA7" w:rsidP="00CC7D12" w14:paraId="06C0C557" w14:textId="126E0B1E">
      <w:pPr>
        <w:pStyle w:val="Heading3"/>
        <w:spacing w:line="480" w:lineRule="auto"/>
        <w:rPr>
          <w:rFonts w:asciiTheme="minorHAnsi" w:hAnsiTheme="minorHAnsi" w:cstheme="minorBidi"/>
          <w:b w:val="0"/>
          <w:color w:val="auto"/>
          <w:sz w:val="22"/>
          <w:szCs w:val="22"/>
        </w:rPr>
      </w:pPr>
      <w:r w:rsidRPr="007A3DA7">
        <w:rPr>
          <w:rFonts w:asciiTheme="minorHAnsi" w:hAnsiTheme="minorHAnsi" w:cstheme="minorBidi"/>
          <w:b w:val="0"/>
          <w:color w:val="auto"/>
          <w:sz w:val="22"/>
          <w:szCs w:val="22"/>
        </w:rPr>
        <w:t xml:space="preserve">We appreciate the comment and recognize the value of coordination among </w:t>
      </w:r>
      <w:r w:rsidR="00541738">
        <w:rPr>
          <w:rFonts w:asciiTheme="minorHAnsi" w:hAnsiTheme="minorHAnsi" w:cstheme="minorBidi"/>
          <w:b w:val="0"/>
          <w:color w:val="auto"/>
          <w:sz w:val="22"/>
          <w:szCs w:val="22"/>
        </w:rPr>
        <w:t xml:space="preserve">WIOA </w:t>
      </w:r>
      <w:r w:rsidRPr="007A3DA7">
        <w:rPr>
          <w:rFonts w:asciiTheme="minorHAnsi" w:hAnsiTheme="minorHAnsi" w:cstheme="minorBidi"/>
          <w:b w:val="0"/>
          <w:color w:val="auto"/>
          <w:sz w:val="22"/>
          <w:szCs w:val="22"/>
        </w:rPr>
        <w:t xml:space="preserve">partner programs to improve </w:t>
      </w:r>
      <w:r w:rsidR="007D2A13">
        <w:rPr>
          <w:rFonts w:asciiTheme="minorHAnsi" w:hAnsiTheme="minorHAnsi" w:cstheme="minorBidi"/>
          <w:b w:val="0"/>
          <w:color w:val="auto"/>
          <w:sz w:val="22"/>
          <w:szCs w:val="22"/>
        </w:rPr>
        <w:t xml:space="preserve">data quality and </w:t>
      </w:r>
      <w:r w:rsidRPr="007A3DA7">
        <w:rPr>
          <w:rFonts w:asciiTheme="minorHAnsi" w:hAnsiTheme="minorHAnsi" w:cstheme="minorBidi"/>
          <w:b w:val="0"/>
          <w:color w:val="auto"/>
          <w:sz w:val="22"/>
          <w:szCs w:val="22"/>
        </w:rPr>
        <w:t xml:space="preserve">service delivery. </w:t>
      </w:r>
      <w:r w:rsidR="009E6504">
        <w:rPr>
          <w:rFonts w:asciiTheme="minorHAnsi" w:hAnsiTheme="minorHAnsi" w:cstheme="minorBidi"/>
          <w:b w:val="0"/>
          <w:color w:val="auto"/>
          <w:sz w:val="22"/>
          <w:szCs w:val="22"/>
        </w:rPr>
        <w:t>The reporting of c</w:t>
      </w:r>
      <w:r w:rsidR="001610D8">
        <w:rPr>
          <w:rFonts w:asciiTheme="minorHAnsi" w:hAnsiTheme="minorHAnsi" w:cstheme="minorBidi"/>
          <w:b w:val="0"/>
          <w:color w:val="auto"/>
          <w:sz w:val="22"/>
          <w:szCs w:val="22"/>
        </w:rPr>
        <w:t xml:space="preserve">o-enrollment </w:t>
      </w:r>
      <w:r w:rsidRPr="002E51DB" w:rsidR="002E51DB">
        <w:rPr>
          <w:rFonts w:asciiTheme="minorHAnsi" w:hAnsiTheme="minorHAnsi" w:cstheme="minorBidi"/>
          <w:b w:val="0"/>
          <w:color w:val="auto"/>
          <w:sz w:val="22"/>
          <w:szCs w:val="22"/>
        </w:rPr>
        <w:t>fall</w:t>
      </w:r>
      <w:r w:rsidR="009E6504">
        <w:rPr>
          <w:rFonts w:asciiTheme="minorHAnsi" w:hAnsiTheme="minorHAnsi" w:cstheme="minorBidi"/>
          <w:b w:val="0"/>
          <w:color w:val="auto"/>
          <w:sz w:val="22"/>
          <w:szCs w:val="22"/>
        </w:rPr>
        <w:t>s</w:t>
      </w:r>
      <w:r w:rsidRPr="002E51DB" w:rsidR="002E51DB">
        <w:rPr>
          <w:rFonts w:asciiTheme="minorHAnsi" w:hAnsiTheme="minorHAnsi" w:cstheme="minorBidi"/>
          <w:b w:val="0"/>
          <w:color w:val="auto"/>
          <w:sz w:val="22"/>
          <w:szCs w:val="22"/>
        </w:rPr>
        <w:t xml:space="preserve"> within the purview of the joint ICR on performance accountability </w:t>
      </w:r>
      <w:r w:rsidR="00220517">
        <w:rPr>
          <w:rFonts w:asciiTheme="minorHAnsi" w:hAnsiTheme="minorHAnsi" w:cstheme="minorBidi"/>
          <w:b w:val="0"/>
          <w:color w:val="auto"/>
          <w:sz w:val="22"/>
          <w:szCs w:val="22"/>
        </w:rPr>
        <w:t xml:space="preserve">under </w:t>
      </w:r>
      <w:r w:rsidRPr="002E51DB" w:rsidR="002E51DB">
        <w:rPr>
          <w:rFonts w:asciiTheme="minorHAnsi" w:hAnsiTheme="minorHAnsi" w:cstheme="minorBidi"/>
          <w:b w:val="0"/>
          <w:color w:val="auto"/>
          <w:sz w:val="22"/>
          <w:szCs w:val="22"/>
        </w:rPr>
        <w:t>OMB Control Number 1205-0526</w:t>
      </w:r>
      <w:r w:rsidR="00EB7FD0">
        <w:rPr>
          <w:rFonts w:asciiTheme="minorHAnsi" w:hAnsiTheme="minorHAnsi" w:cstheme="minorBidi"/>
          <w:b w:val="0"/>
          <w:color w:val="auto"/>
          <w:sz w:val="22"/>
          <w:szCs w:val="22"/>
        </w:rPr>
        <w:t>, reflecting the shared nature of the data</w:t>
      </w:r>
      <w:r w:rsidR="009E6504">
        <w:rPr>
          <w:rFonts w:asciiTheme="minorHAnsi" w:hAnsiTheme="minorHAnsi" w:cstheme="minorBidi"/>
          <w:b w:val="0"/>
          <w:color w:val="auto"/>
          <w:sz w:val="22"/>
          <w:szCs w:val="22"/>
        </w:rPr>
        <w:t>.</w:t>
      </w:r>
      <w:r w:rsidR="002E51DB">
        <w:rPr>
          <w:rFonts w:asciiTheme="minorHAnsi" w:hAnsiTheme="minorHAnsi" w:cstheme="minorBidi"/>
          <w:b w:val="0"/>
          <w:color w:val="auto"/>
          <w:sz w:val="22"/>
          <w:szCs w:val="22"/>
        </w:rPr>
        <w:t xml:space="preserve"> </w:t>
      </w:r>
      <w:r w:rsidR="000D1917">
        <w:rPr>
          <w:rFonts w:asciiTheme="minorHAnsi" w:hAnsiTheme="minorHAnsi" w:cstheme="minorBidi"/>
          <w:b w:val="0"/>
          <w:color w:val="auto"/>
          <w:sz w:val="22"/>
          <w:szCs w:val="22"/>
        </w:rPr>
        <w:t xml:space="preserve">Shared </w:t>
      </w:r>
      <w:r w:rsidRPr="007A3DA7">
        <w:rPr>
          <w:rFonts w:asciiTheme="minorHAnsi" w:hAnsiTheme="minorHAnsi" w:cstheme="minorBidi"/>
          <w:b w:val="0"/>
          <w:color w:val="auto"/>
          <w:sz w:val="22"/>
          <w:szCs w:val="22"/>
        </w:rPr>
        <w:t xml:space="preserve">WIOA performance accountability provisions </w:t>
      </w:r>
      <w:r w:rsidR="000D1917">
        <w:rPr>
          <w:rFonts w:asciiTheme="minorHAnsi" w:hAnsiTheme="minorHAnsi" w:cstheme="minorBidi"/>
          <w:b w:val="0"/>
          <w:color w:val="auto"/>
          <w:sz w:val="22"/>
          <w:szCs w:val="22"/>
        </w:rPr>
        <w:t xml:space="preserve">also </w:t>
      </w:r>
      <w:r w:rsidRPr="007A3DA7">
        <w:rPr>
          <w:rFonts w:asciiTheme="minorHAnsi" w:hAnsiTheme="minorHAnsi" w:cstheme="minorBidi"/>
          <w:b w:val="0"/>
          <w:color w:val="auto"/>
          <w:sz w:val="22"/>
          <w:szCs w:val="22"/>
        </w:rPr>
        <w:t xml:space="preserve">establish a common framework for measuring participant outcomes across the core programs, including measurable skill gains and other primary indicators of performance. </w:t>
      </w:r>
      <w:r w:rsidR="00D3509B">
        <w:rPr>
          <w:rFonts w:asciiTheme="minorHAnsi" w:hAnsiTheme="minorHAnsi" w:cstheme="minorBidi"/>
          <w:b w:val="0"/>
          <w:color w:val="auto"/>
          <w:sz w:val="22"/>
          <w:szCs w:val="22"/>
        </w:rPr>
        <w:t>Joint f</w:t>
      </w:r>
      <w:r w:rsidRPr="007A3DA7" w:rsidR="00D3509B">
        <w:rPr>
          <w:rFonts w:asciiTheme="minorHAnsi" w:hAnsiTheme="minorHAnsi" w:cstheme="minorBidi"/>
          <w:b w:val="0"/>
          <w:color w:val="auto"/>
          <w:sz w:val="22"/>
          <w:szCs w:val="22"/>
        </w:rPr>
        <w:t xml:space="preserve">ederal </w:t>
      </w:r>
      <w:r w:rsidRPr="007A3DA7">
        <w:rPr>
          <w:rFonts w:asciiTheme="minorHAnsi" w:hAnsiTheme="minorHAnsi" w:cstheme="minorBidi"/>
          <w:b w:val="0"/>
          <w:color w:val="auto"/>
          <w:sz w:val="22"/>
          <w:szCs w:val="22"/>
        </w:rPr>
        <w:t xml:space="preserve">WIOA performance </w:t>
      </w:r>
      <w:r w:rsidR="00D7288C">
        <w:rPr>
          <w:rFonts w:asciiTheme="minorHAnsi" w:hAnsiTheme="minorHAnsi" w:cstheme="minorBidi"/>
          <w:b w:val="0"/>
          <w:color w:val="auto"/>
          <w:sz w:val="22"/>
          <w:szCs w:val="22"/>
        </w:rPr>
        <w:t xml:space="preserve">accountability </w:t>
      </w:r>
      <w:r w:rsidRPr="007A3DA7">
        <w:rPr>
          <w:rFonts w:asciiTheme="minorHAnsi" w:hAnsiTheme="minorHAnsi" w:cstheme="minorBidi"/>
          <w:b w:val="0"/>
          <w:color w:val="auto"/>
          <w:sz w:val="22"/>
          <w:szCs w:val="22"/>
        </w:rPr>
        <w:t xml:space="preserve">guidance supports coordination across core programs and the linking or coordination of state data systems, including participant-level data matching and reporting where appropriate. </w:t>
      </w:r>
      <w:r w:rsidR="009029A3">
        <w:rPr>
          <w:rFonts w:asciiTheme="minorHAnsi" w:hAnsiTheme="minorHAnsi" w:cstheme="minorBidi"/>
          <w:b w:val="0"/>
          <w:color w:val="auto"/>
          <w:sz w:val="22"/>
          <w:szCs w:val="22"/>
        </w:rPr>
        <w:t>I</w:t>
      </w:r>
      <w:r w:rsidR="002433FA">
        <w:rPr>
          <w:rFonts w:asciiTheme="minorHAnsi" w:hAnsiTheme="minorHAnsi" w:cstheme="minorBidi"/>
          <w:b w:val="0"/>
          <w:color w:val="auto"/>
          <w:sz w:val="22"/>
          <w:szCs w:val="22"/>
        </w:rPr>
        <w:t xml:space="preserve">n compliance with </w:t>
      </w:r>
      <w:r w:rsidR="00142806">
        <w:rPr>
          <w:rFonts w:asciiTheme="minorHAnsi" w:hAnsiTheme="minorHAnsi" w:cstheme="minorBidi"/>
          <w:b w:val="0"/>
          <w:color w:val="auto"/>
          <w:sz w:val="22"/>
          <w:szCs w:val="22"/>
        </w:rPr>
        <w:t xml:space="preserve">the accountability requirements articulated in WIOA, </w:t>
      </w:r>
      <w:r w:rsidRPr="007A3DA7">
        <w:rPr>
          <w:rFonts w:asciiTheme="minorHAnsi" w:hAnsiTheme="minorHAnsi" w:cstheme="minorBidi"/>
          <w:b w:val="0"/>
          <w:color w:val="auto"/>
          <w:sz w:val="22"/>
          <w:szCs w:val="22"/>
        </w:rPr>
        <w:t xml:space="preserve">each core program </w:t>
      </w:r>
      <w:r w:rsidR="00842EEE">
        <w:rPr>
          <w:rFonts w:asciiTheme="minorHAnsi" w:hAnsiTheme="minorHAnsi" w:cstheme="minorBidi"/>
          <w:b w:val="0"/>
          <w:color w:val="auto"/>
          <w:sz w:val="22"/>
          <w:szCs w:val="22"/>
        </w:rPr>
        <w:t>collects and reports joint and title specific data</w:t>
      </w:r>
      <w:r w:rsidR="00410B00">
        <w:rPr>
          <w:rFonts w:asciiTheme="minorHAnsi" w:hAnsiTheme="minorHAnsi" w:cstheme="minorBidi"/>
          <w:b w:val="0"/>
          <w:color w:val="auto"/>
          <w:sz w:val="22"/>
          <w:szCs w:val="22"/>
        </w:rPr>
        <w:t xml:space="preserve"> </w:t>
      </w:r>
      <w:r w:rsidRPr="007A3DA7">
        <w:rPr>
          <w:rFonts w:asciiTheme="minorHAnsi" w:hAnsiTheme="minorHAnsi" w:cstheme="minorBidi"/>
          <w:b w:val="0"/>
          <w:color w:val="auto"/>
          <w:sz w:val="22"/>
          <w:szCs w:val="22"/>
        </w:rPr>
        <w:t xml:space="preserve">to support </w:t>
      </w:r>
      <w:r w:rsidR="00745293">
        <w:rPr>
          <w:rFonts w:asciiTheme="minorHAnsi" w:hAnsiTheme="minorHAnsi" w:cstheme="minorBidi"/>
          <w:b w:val="0"/>
          <w:color w:val="auto"/>
          <w:sz w:val="22"/>
          <w:szCs w:val="22"/>
        </w:rPr>
        <w:t xml:space="preserve">joint and </w:t>
      </w:r>
      <w:r w:rsidRPr="007A3DA7">
        <w:rPr>
          <w:rFonts w:asciiTheme="minorHAnsi" w:hAnsiTheme="minorHAnsi" w:cstheme="minorBidi"/>
          <w:b w:val="0"/>
          <w:color w:val="auto"/>
          <w:sz w:val="22"/>
          <w:szCs w:val="22"/>
        </w:rPr>
        <w:t xml:space="preserve">program-specific administration </w:t>
      </w:r>
      <w:r w:rsidRPr="007A3DA7">
        <w:rPr>
          <w:rFonts w:asciiTheme="minorHAnsi" w:hAnsiTheme="minorHAnsi" w:cstheme="minorBidi"/>
          <w:b w:val="0"/>
          <w:color w:val="auto"/>
          <w:sz w:val="22"/>
          <w:szCs w:val="22"/>
        </w:rPr>
        <w:t xml:space="preserve">and accountability. OCTAE will continue to </w:t>
      </w:r>
      <w:r w:rsidR="00CE600E">
        <w:rPr>
          <w:rFonts w:asciiTheme="minorHAnsi" w:hAnsiTheme="minorHAnsi" w:cstheme="minorBidi"/>
          <w:b w:val="0"/>
          <w:color w:val="auto"/>
          <w:sz w:val="22"/>
          <w:szCs w:val="22"/>
        </w:rPr>
        <w:t xml:space="preserve">seek and </w:t>
      </w:r>
      <w:r w:rsidRPr="007A3DA7">
        <w:rPr>
          <w:rFonts w:asciiTheme="minorHAnsi" w:hAnsiTheme="minorHAnsi" w:cstheme="minorBidi"/>
          <w:b w:val="0"/>
          <w:color w:val="auto"/>
          <w:sz w:val="22"/>
          <w:szCs w:val="22"/>
        </w:rPr>
        <w:t xml:space="preserve">review stakeholder feedback </w:t>
      </w:r>
      <w:r w:rsidR="0099661B">
        <w:rPr>
          <w:rFonts w:asciiTheme="minorHAnsi" w:hAnsiTheme="minorHAnsi" w:cstheme="minorBidi"/>
          <w:b w:val="0"/>
          <w:color w:val="auto"/>
          <w:sz w:val="22"/>
          <w:szCs w:val="22"/>
        </w:rPr>
        <w:t xml:space="preserve">for </w:t>
      </w:r>
      <w:r w:rsidRPr="007A3DA7">
        <w:rPr>
          <w:rFonts w:asciiTheme="minorHAnsi" w:hAnsiTheme="minorHAnsi" w:cstheme="minorBidi"/>
          <w:b w:val="0"/>
          <w:color w:val="auto"/>
          <w:sz w:val="22"/>
          <w:szCs w:val="22"/>
        </w:rPr>
        <w:t>opportunities to improve coordination and alignment in reporting outcomes for co-enrolled participants.</w:t>
      </w:r>
    </w:p>
    <w:p w:rsidR="00243D30" w:rsidRPr="00356AA7" w:rsidP="00243D30" w14:paraId="04A82C09" w14:textId="31723DFC">
      <w:pPr>
        <w:pStyle w:val="Heading3"/>
      </w:pPr>
      <w:r w:rsidRPr="00356AA7">
        <w:t>Change</w:t>
      </w:r>
    </w:p>
    <w:p w:rsidR="00F806F5" w:rsidRPr="00356AA7" w:rsidP="00FE4257" w14:paraId="10953A56" w14:textId="4721F4D4">
      <w:r w:rsidRPr="00BE7331">
        <w:rPr>
          <w:sz w:val="22"/>
          <w:szCs w:val="22"/>
        </w:rPr>
        <w:t>No change</w:t>
      </w:r>
      <w:r>
        <w:t>.</w:t>
      </w:r>
    </w:p>
    <w:p w:rsidR="00DC71A0" w:rsidRPr="00973838" w:rsidP="00FE4257" w14:paraId="4275F665" w14:textId="77777777"/>
    <w:bookmarkEnd w:id="0"/>
    <w:bookmarkEnd w:id="1"/>
    <w:bookmarkEnd w:id="2"/>
    <w:bookmarkEnd w:id="3"/>
    <w:bookmarkEnd w:id="4"/>
    <w:p w:rsidR="005B35DD" w:rsidRPr="00FE4257" w:rsidP="00FE4257" w14:paraId="72B5F7CF" w14:textId="77777777">
      <w:pPr>
        <w:rPr>
          <w:lang w:val="fr-FR"/>
        </w:rPr>
      </w:pPr>
    </w:p>
    <w:sectPr w:rsidSect="000F77F9">
      <w:headerReference w:type="default" r:id="rId8"/>
      <w:footerReference w:type="default" r:id="rId9"/>
      <w:headerReference w:type="first" r:id="rId10"/>
      <w:footerReference w:type="first" r:id="rId11"/>
      <w:pgSz w:w="12240" w:h="15840"/>
      <w:pgMar w:top="475" w:right="1080" w:bottom="1080" w:left="1080" w:header="0" w:footer="576"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altName w:val="Cambria"/>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47EE4" w:rsidP="00747EE4" w14:paraId="0FEAB7B1" w14:textId="77777777">
    <w:pPr>
      <w:pStyle w:val="FooterSpacerTop"/>
    </w:pPr>
  </w:p>
  <w:tbl>
    <w:tblPr>
      <w:tblW w:w="10079" w:type="dxa"/>
      <w:jc w:val="center"/>
      <w:tblBorders>
        <w:top w:val="single" w:sz="12" w:space="0" w:color="003462"/>
      </w:tblBorders>
      <w:tblLook w:val="0600"/>
    </w:tblPr>
    <w:tblGrid>
      <w:gridCol w:w="9575"/>
      <w:gridCol w:w="504"/>
    </w:tblGrid>
    <w:tr w14:paraId="296D6DFA" w14:textId="77777777" w:rsidTr="00102178">
      <w:tblPrEx>
        <w:tblW w:w="10079" w:type="dxa"/>
        <w:jc w:val="center"/>
        <w:tblBorders>
          <w:top w:val="single" w:sz="12" w:space="0" w:color="003462"/>
        </w:tblBorders>
        <w:tblLook w:val="0600"/>
      </w:tblPrEx>
      <w:trPr>
        <w:trHeight w:val="260"/>
        <w:jc w:val="center"/>
      </w:trPr>
      <w:tc>
        <w:tcPr>
          <w:tcW w:w="4750" w:type="pct"/>
        </w:tcPr>
        <w:p w:rsidR="00747EE4" w:rsidP="00747EE4" w14:paraId="3A95A9EA" w14:textId="69E25201">
          <w:pPr>
            <w:pStyle w:val="Footer"/>
          </w:pPr>
          <w:r>
            <w:t xml:space="preserve">Responses to </w:t>
          </w:r>
          <w:r w:rsidR="000042C3">
            <w:t>Public Comments OMB 1830-0027</w:t>
          </w:r>
        </w:p>
      </w:tc>
      <w:tc>
        <w:tcPr>
          <w:tcW w:w="250" w:type="pct"/>
          <w:shd w:val="clear" w:color="auto" w:fill="003462"/>
        </w:tcPr>
        <w:p w:rsidR="00747EE4" w:rsidRPr="00992B1F" w:rsidP="00FD0BAD" w14:paraId="1AA43AB8" w14:textId="77777777">
          <w:pPr>
            <w:pStyle w:val="FooterPageNumber"/>
          </w:pPr>
          <w:r w:rsidRPr="00992B1F">
            <w:fldChar w:fldCharType="begin"/>
          </w:r>
          <w:r w:rsidRPr="00992B1F">
            <w:instrText xml:space="preserve"> PAGE   \* MERGEFORMAT </w:instrText>
          </w:r>
          <w:r w:rsidRPr="00992B1F">
            <w:fldChar w:fldCharType="separate"/>
          </w:r>
          <w:r w:rsidR="007B2D75">
            <w:rPr>
              <w:noProof/>
            </w:rPr>
            <w:t>4</w:t>
          </w:r>
          <w:r w:rsidRPr="00992B1F">
            <w:fldChar w:fldCharType="end"/>
          </w:r>
        </w:p>
      </w:tc>
    </w:tr>
  </w:tbl>
  <w:p w:rsidR="00747EE4" w:rsidRPr="00E36533" w:rsidP="00747EE4" w14:paraId="6620CE15" w14:textId="77777777">
    <w:pPr>
      <w:pStyle w:val="FooterSpacerBottom"/>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359E5" w:rsidP="00C359E5" w14:paraId="19A078E2" w14:textId="77777777">
    <w:pPr>
      <w:pStyle w:val="FooterSpacerTop"/>
    </w:pPr>
  </w:p>
  <w:tbl>
    <w:tblPr>
      <w:tblW w:w="10079" w:type="dxa"/>
      <w:jc w:val="center"/>
      <w:tblBorders>
        <w:top w:val="single" w:sz="12" w:space="0" w:color="003462"/>
      </w:tblBorders>
      <w:tblLook w:val="0600"/>
    </w:tblPr>
    <w:tblGrid>
      <w:gridCol w:w="9575"/>
      <w:gridCol w:w="504"/>
    </w:tblGrid>
    <w:tr w14:paraId="61B5EB91" w14:textId="77777777" w:rsidTr="00102178">
      <w:tblPrEx>
        <w:tblW w:w="10079" w:type="dxa"/>
        <w:jc w:val="center"/>
        <w:tblBorders>
          <w:top w:val="single" w:sz="12" w:space="0" w:color="003462"/>
        </w:tblBorders>
        <w:tblLook w:val="0600"/>
      </w:tblPrEx>
      <w:trPr>
        <w:trHeight w:val="260"/>
        <w:jc w:val="center"/>
      </w:trPr>
      <w:tc>
        <w:tcPr>
          <w:tcW w:w="4750" w:type="pct"/>
        </w:tcPr>
        <w:p w:rsidR="00C359E5" w:rsidP="00C359E5" w14:paraId="3C4A34E4" w14:textId="19AE05BF">
          <w:pPr>
            <w:pStyle w:val="Footer"/>
          </w:pPr>
          <w:r>
            <w:t xml:space="preserve">Responses to </w:t>
          </w:r>
          <w:r w:rsidR="00B51229">
            <w:t>Public Comments OMB 1830-0027</w:t>
          </w:r>
        </w:p>
      </w:tc>
      <w:tc>
        <w:tcPr>
          <w:tcW w:w="250" w:type="pct"/>
          <w:shd w:val="clear" w:color="auto" w:fill="003462"/>
        </w:tcPr>
        <w:p w:rsidR="00C359E5" w:rsidRPr="00992B1F" w:rsidP="00C359E5" w14:paraId="05DBF0EA" w14:textId="77777777">
          <w:pPr>
            <w:pStyle w:val="FooterPageNumber"/>
          </w:pPr>
          <w:r w:rsidRPr="00992B1F">
            <w:fldChar w:fldCharType="begin"/>
          </w:r>
          <w:r w:rsidRPr="00992B1F">
            <w:instrText xml:space="preserve"> PAGE   \* MERGEFORMAT </w:instrText>
          </w:r>
          <w:r w:rsidRPr="00992B1F">
            <w:fldChar w:fldCharType="separate"/>
          </w:r>
          <w:r w:rsidR="007B2D75">
            <w:rPr>
              <w:noProof/>
            </w:rPr>
            <w:t>1</w:t>
          </w:r>
          <w:r w:rsidRPr="00992B1F">
            <w:fldChar w:fldCharType="end"/>
          </w:r>
        </w:p>
      </w:tc>
    </w:tr>
  </w:tbl>
  <w:p w:rsidR="00C359E5" w:rsidRPr="00E36533" w:rsidP="00C359E5" w14:paraId="1B1AFA1C" w14:textId="77777777">
    <w:pPr>
      <w:pStyle w:val="FooterSpacerBottom"/>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73571" w:rsidRPr="00747EE4" w:rsidP="00747EE4" w14:paraId="60F582EE" w14:textId="77777777">
    <w:pPr>
      <w:pStyle w:val="Header"/>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73571" w:rsidRPr="00E45052" w:rsidP="00102178" w14:paraId="6F0C8FCC" w14:textId="77777777">
    <w:pPr>
      <w:pStyle w:val="HeaderPg1"/>
    </w:pPr>
    <w:r w:rsidRPr="00E45052">
      <w:rPr>
        <w:noProof/>
      </w:rPr>
      <w:drawing>
        <wp:anchor distT="0" distB="0" distL="114300" distR="114300" simplePos="0" relativeHeight="251658240" behindDoc="0" locked="0" layoutInCell="1" allowOverlap="1">
          <wp:simplePos x="0" y="0"/>
          <wp:positionH relativeFrom="column">
            <wp:posOffset>-685800</wp:posOffset>
          </wp:positionH>
          <wp:positionV relativeFrom="page">
            <wp:posOffset>298580</wp:posOffset>
          </wp:positionV>
          <wp:extent cx="7772400" cy="1188085"/>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 descr="Background 1.JP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23096"/>
                  <a:stretch>
                    <a:fillRect/>
                  </a:stretch>
                </pic:blipFill>
                <pic:spPr bwMode="auto">
                  <a:xfrm>
                    <a:off x="0" y="0"/>
                    <a:ext cx="7776554" cy="1188720"/>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B2EC73A8"/>
    <w:lvl w:ilvl="0">
      <w:start w:val="1"/>
      <w:numFmt w:val="decimal"/>
      <w:lvlText w:val="%1."/>
      <w:lvlJc w:val="left"/>
      <w:pPr>
        <w:tabs>
          <w:tab w:val="num" w:pos="1800"/>
        </w:tabs>
        <w:ind w:left="1800" w:hanging="360"/>
      </w:pPr>
    </w:lvl>
  </w:abstractNum>
  <w:abstractNum w:abstractNumId="1">
    <w:nsid w:val="FFFFFF7D"/>
    <w:multiLevelType w:val="singleLevel"/>
    <w:tmpl w:val="FE243EEE"/>
    <w:lvl w:ilvl="0">
      <w:start w:val="1"/>
      <w:numFmt w:val="decimal"/>
      <w:lvlText w:val="%1."/>
      <w:lvlJc w:val="left"/>
      <w:pPr>
        <w:tabs>
          <w:tab w:val="num" w:pos="1440"/>
        </w:tabs>
        <w:ind w:left="1440" w:hanging="360"/>
      </w:pPr>
    </w:lvl>
  </w:abstractNum>
  <w:abstractNum w:abstractNumId="2">
    <w:nsid w:val="FFFFFF7E"/>
    <w:multiLevelType w:val="singleLevel"/>
    <w:tmpl w:val="0248F692"/>
    <w:lvl w:ilvl="0">
      <w:start w:val="1"/>
      <w:numFmt w:val="decimal"/>
      <w:lvlText w:val="%1."/>
      <w:lvlJc w:val="left"/>
      <w:pPr>
        <w:tabs>
          <w:tab w:val="num" w:pos="1080"/>
        </w:tabs>
        <w:ind w:left="1080" w:hanging="360"/>
      </w:pPr>
    </w:lvl>
  </w:abstractNum>
  <w:abstractNum w:abstractNumId="3">
    <w:nsid w:val="FFFFFF7F"/>
    <w:multiLevelType w:val="singleLevel"/>
    <w:tmpl w:val="D638B422"/>
    <w:lvl w:ilvl="0">
      <w:start w:val="1"/>
      <w:numFmt w:val="decimal"/>
      <w:lvlText w:val="%1."/>
      <w:lvlJc w:val="left"/>
      <w:pPr>
        <w:tabs>
          <w:tab w:val="num" w:pos="720"/>
        </w:tabs>
        <w:ind w:left="720" w:hanging="360"/>
      </w:pPr>
    </w:lvl>
  </w:abstractNum>
  <w:abstractNum w:abstractNumId="4">
    <w:nsid w:val="FFFFFF80"/>
    <w:multiLevelType w:val="singleLevel"/>
    <w:tmpl w:val="BA06E86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466A61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9BE88F3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032C1CC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836EB8D8"/>
    <w:lvl w:ilvl="0">
      <w:start w:val="1"/>
      <w:numFmt w:val="decimal"/>
      <w:lvlText w:val="%1."/>
      <w:lvlJc w:val="left"/>
      <w:pPr>
        <w:tabs>
          <w:tab w:val="num" w:pos="360"/>
        </w:tabs>
        <w:ind w:left="360" w:hanging="360"/>
      </w:pPr>
    </w:lvl>
  </w:abstractNum>
  <w:abstractNum w:abstractNumId="9">
    <w:nsid w:val="FFFFFF89"/>
    <w:multiLevelType w:val="singleLevel"/>
    <w:tmpl w:val="6B4A4D90"/>
    <w:lvl w:ilvl="0">
      <w:start w:val="1"/>
      <w:numFmt w:val="bullet"/>
      <w:lvlText w:val=""/>
      <w:lvlJc w:val="left"/>
      <w:pPr>
        <w:tabs>
          <w:tab w:val="num" w:pos="360"/>
        </w:tabs>
        <w:ind w:left="360" w:hanging="360"/>
      </w:pPr>
      <w:rPr>
        <w:rFonts w:ascii="Symbol" w:hAnsi="Symbol" w:hint="default"/>
      </w:rPr>
    </w:lvl>
  </w:abstractNum>
  <w:abstractNum w:abstractNumId="10">
    <w:nsid w:val="01B77A34"/>
    <w:multiLevelType w:val="multilevel"/>
    <w:tmpl w:val="99526938"/>
    <w:lvl w:ilvl="0">
      <w:start w:val="1"/>
      <w:numFmt w:val="bullet"/>
      <w:lvlText w:val=""/>
      <w:lvlJc w:val="left"/>
      <w:pPr>
        <w:ind w:left="720" w:hanging="360"/>
      </w:pPr>
      <w:rPr>
        <w:rFonts w:ascii="Wingdings" w:hAnsi="Wingdings" w:hint="default"/>
        <w:b w:val="0"/>
        <w:i w:val="0"/>
        <w:color w:val="000000" w:themeColor="text1"/>
        <w:sz w:val="24"/>
      </w:rPr>
    </w:lvl>
    <w:lvl w:ilvl="1">
      <w:start w:val="1"/>
      <w:numFmt w:val="bullet"/>
      <w:lvlText w:val="•"/>
      <w:lvlJc w:val="left"/>
      <w:pPr>
        <w:ind w:left="1080" w:hanging="360"/>
      </w:pPr>
      <w:rPr>
        <w:rFonts w:ascii="Times New Roman" w:hAnsi="Times New Roman" w:cs="Times New Roman" w:hint="default"/>
      </w:rPr>
    </w:lvl>
    <w:lvl w:ilvl="2">
      <w:start w:val="1"/>
      <w:numFmt w:val="bullet"/>
      <w:lvlText w:val=""/>
      <w:lvlJc w:val="left"/>
      <w:pPr>
        <w:ind w:left="1440" w:hanging="360"/>
      </w:pPr>
      <w:rPr>
        <w:rFonts w:ascii="Wingdings" w:hAnsi="Wingdings" w:hint="default"/>
        <w:b w:val="0"/>
        <w:i w:val="0"/>
        <w:sz w:val="12"/>
      </w:rPr>
    </w:lvl>
    <w:lvl w:ilvl="3">
      <w:start w:val="1"/>
      <w:numFmt w:val="bullet"/>
      <w:lvlText w:val="•"/>
      <w:lvlJc w:val="left"/>
      <w:pPr>
        <w:ind w:left="1800" w:hanging="360"/>
      </w:pPr>
      <w:rPr>
        <w:rFonts w:ascii="Times New Roman" w:hAnsi="Times New Roman" w:cs="Times New Roman" w:hint="default"/>
      </w:rPr>
    </w:lvl>
    <w:lvl w:ilvl="4">
      <w:start w:val="1"/>
      <w:numFmt w:val="bullet"/>
      <w:lvlText w:val="o"/>
      <w:lvlJc w:val="left"/>
      <w:pPr>
        <w:ind w:left="2160" w:hanging="360"/>
      </w:pPr>
      <w:rPr>
        <w:rFonts w:ascii="Courier New" w:hAnsi="Courier New"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2880" w:hanging="360"/>
      </w:pPr>
      <w:rPr>
        <w:rFonts w:ascii="Symbol" w:hAnsi="Symbol" w:hint="default"/>
      </w:rPr>
    </w:lvl>
    <w:lvl w:ilvl="7">
      <w:start w:val="1"/>
      <w:numFmt w:val="bullet"/>
      <w:lvlText w:val="o"/>
      <w:lvlJc w:val="left"/>
      <w:pPr>
        <w:ind w:left="3240" w:hanging="360"/>
      </w:pPr>
      <w:rPr>
        <w:rFonts w:ascii="Courier New" w:hAnsi="Courier New" w:hint="default"/>
      </w:rPr>
    </w:lvl>
    <w:lvl w:ilvl="8">
      <w:start w:val="1"/>
      <w:numFmt w:val="bullet"/>
      <w:lvlText w:val=""/>
      <w:lvlJc w:val="left"/>
      <w:pPr>
        <w:ind w:left="3600" w:hanging="360"/>
      </w:pPr>
      <w:rPr>
        <w:rFonts w:ascii="Wingdings" w:hAnsi="Wingdings" w:hint="default"/>
      </w:rPr>
    </w:lvl>
  </w:abstractNum>
  <w:abstractNum w:abstractNumId="11">
    <w:nsid w:val="06E6547A"/>
    <w:multiLevelType w:val="multilevel"/>
    <w:tmpl w:val="E6641922"/>
    <w:numStyleLink w:val="ListBullets"/>
  </w:abstractNum>
  <w:abstractNum w:abstractNumId="12">
    <w:nsid w:val="0D7B5EBE"/>
    <w:multiLevelType w:val="hybridMultilevel"/>
    <w:tmpl w:val="D8FA6E6E"/>
    <w:lvl w:ilvl="0">
      <w:start w:val="1"/>
      <w:numFmt w:val="bullet"/>
      <w:lvlText w:val=""/>
      <w:lvlJc w:val="left"/>
      <w:pPr>
        <w:ind w:left="720" w:hanging="360"/>
      </w:pPr>
      <w:rPr>
        <w:rFonts w:ascii="Symbol" w:hAnsi="Symbol" w:hint="default"/>
        <w:color w:val="00B388" w:themeColor="accent1"/>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10AB1117"/>
    <w:multiLevelType w:val="hybridMultilevel"/>
    <w:tmpl w:val="C96A8AB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18507531"/>
    <w:multiLevelType w:val="multilevel"/>
    <w:tmpl w:val="49CCA314"/>
    <w:styleLink w:val="List-OrderedTable"/>
    <w:lvl w:ilvl="0">
      <w:start w:val="1"/>
      <w:numFmt w:val="decimal"/>
      <w:pStyle w:val="TableNumbering"/>
      <w:lvlText w:val="%1."/>
      <w:lvlJc w:val="left"/>
      <w:pPr>
        <w:ind w:left="288" w:hanging="288"/>
      </w:pPr>
      <w:rPr>
        <w:rFonts w:asciiTheme="minorHAnsi" w:hAnsiTheme="minorHAnsi" w:hint="default"/>
      </w:rPr>
    </w:lvl>
    <w:lvl w:ilvl="1">
      <w:start w:val="1"/>
      <w:numFmt w:val="lowerLetter"/>
      <w:lvlText w:val="%2."/>
      <w:lvlJc w:val="left"/>
      <w:pPr>
        <w:ind w:left="576" w:hanging="288"/>
      </w:pPr>
      <w:rPr>
        <w:rFonts w:hint="default"/>
      </w:rPr>
    </w:lvl>
    <w:lvl w:ilvl="2">
      <w:start w:val="1"/>
      <w:numFmt w:val="lowerRoman"/>
      <w:lvlText w:val="%3."/>
      <w:lvlJc w:val="right"/>
      <w:pPr>
        <w:ind w:left="1152" w:hanging="288"/>
      </w:pPr>
      <w:rPr>
        <w:rFonts w:hint="default"/>
      </w:rPr>
    </w:lvl>
    <w:lvl w:ilvl="3">
      <w:start w:val="1"/>
      <w:numFmt w:val="decimal"/>
      <w:lvlText w:val="%4."/>
      <w:lvlJc w:val="left"/>
      <w:pPr>
        <w:ind w:left="1440" w:hanging="288"/>
      </w:pPr>
      <w:rPr>
        <w:rFonts w:hint="default"/>
        <w:b w:val="0"/>
        <w:i/>
      </w:rPr>
    </w:lvl>
    <w:lvl w:ilvl="4">
      <w:start w:val="1"/>
      <w:numFmt w:val="lowerLetter"/>
      <w:lvlText w:val="%5."/>
      <w:lvlJc w:val="left"/>
      <w:pPr>
        <w:ind w:left="2016" w:hanging="288"/>
      </w:pPr>
      <w:rPr>
        <w:rFonts w:hint="default"/>
        <w:b w:val="0"/>
        <w:i/>
      </w:rPr>
    </w:lvl>
    <w:lvl w:ilvl="5">
      <w:start w:val="1"/>
      <w:numFmt w:val="lowerRoman"/>
      <w:lvlText w:val="%6."/>
      <w:lvlJc w:val="right"/>
      <w:pPr>
        <w:tabs>
          <w:tab w:val="num" w:pos="4075"/>
        </w:tabs>
        <w:ind w:left="2592" w:hanging="288"/>
      </w:pPr>
      <w:rPr>
        <w:rFonts w:hint="default"/>
        <w:b w:val="0"/>
        <w:i/>
      </w:rPr>
    </w:lvl>
    <w:lvl w:ilvl="6">
      <w:start w:val="1"/>
      <w:numFmt w:val="decimal"/>
      <w:lvlText w:val="%7."/>
      <w:lvlJc w:val="left"/>
      <w:pPr>
        <w:ind w:left="4968" w:hanging="360"/>
      </w:pPr>
      <w:rPr>
        <w:rFonts w:hint="default"/>
      </w:rPr>
    </w:lvl>
    <w:lvl w:ilvl="7">
      <w:start w:val="1"/>
      <w:numFmt w:val="lowerLetter"/>
      <w:lvlText w:val="%8."/>
      <w:lvlJc w:val="left"/>
      <w:pPr>
        <w:ind w:left="5688" w:hanging="360"/>
      </w:pPr>
      <w:rPr>
        <w:rFonts w:hint="default"/>
      </w:rPr>
    </w:lvl>
    <w:lvl w:ilvl="8">
      <w:start w:val="1"/>
      <w:numFmt w:val="lowerRoman"/>
      <w:lvlText w:val="%9."/>
      <w:lvlJc w:val="right"/>
      <w:pPr>
        <w:ind w:left="6408" w:hanging="180"/>
      </w:pPr>
      <w:rPr>
        <w:rFonts w:hint="default"/>
      </w:rPr>
    </w:lvl>
  </w:abstractNum>
  <w:abstractNum w:abstractNumId="15">
    <w:nsid w:val="1D9C2004"/>
    <w:multiLevelType w:val="multilevel"/>
    <w:tmpl w:val="49CCA314"/>
    <w:numStyleLink w:val="List-OrderedTable"/>
  </w:abstractNum>
  <w:abstractNum w:abstractNumId="16">
    <w:nsid w:val="1EDA4C6E"/>
    <w:multiLevelType w:val="multilevel"/>
    <w:tmpl w:val="CADAC840"/>
    <w:numStyleLink w:val="ListOrdered"/>
  </w:abstractNum>
  <w:abstractNum w:abstractNumId="17">
    <w:nsid w:val="22E72E23"/>
    <w:multiLevelType w:val="multilevel"/>
    <w:tmpl w:val="E6641922"/>
    <w:numStyleLink w:val="ListBullets"/>
  </w:abstractNum>
  <w:abstractNum w:abstractNumId="18">
    <w:nsid w:val="251F565E"/>
    <w:multiLevelType w:val="hybridMultilevel"/>
    <w:tmpl w:val="2FD6B05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25B541B2"/>
    <w:multiLevelType w:val="hybridMultilevel"/>
    <w:tmpl w:val="3AA6695C"/>
    <w:lvl w:ilvl="0">
      <w:start w:val="1"/>
      <w:numFmt w:val="bullet"/>
      <w:lvlText w:val="●"/>
      <w:lvlJc w:val="left"/>
      <w:pPr>
        <w:ind w:left="720" w:hanging="360"/>
      </w:pPr>
      <w:rPr>
        <w:rFonts w:ascii="Calibri" w:hAnsi="Calibri" w:hint="default"/>
        <w:color w:val="00B388" w:themeColor="accent1"/>
        <w:sz w:val="22"/>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25C412BC"/>
    <w:multiLevelType w:val="multilevel"/>
    <w:tmpl w:val="802A5090"/>
    <w:lvl w:ilvl="0">
      <w:start w:val="1"/>
      <w:numFmt w:val="bullet"/>
      <w:lvlText w:val="●"/>
      <w:lvlJc w:val="left"/>
      <w:pPr>
        <w:ind w:left="720" w:hanging="360"/>
      </w:pPr>
      <w:rPr>
        <w:rFonts w:ascii="Calibri" w:hAnsi="Calibri" w:hint="default"/>
        <w:color w:val="00B388" w:themeColor="accent1"/>
        <w:sz w:val="22"/>
      </w:rPr>
    </w:lvl>
    <w:lvl w:ilvl="1">
      <w:start w:val="1"/>
      <w:numFmt w:val="bullet"/>
      <w:lvlText w:val="–"/>
      <w:lvlJc w:val="left"/>
      <w:pPr>
        <w:ind w:left="1440" w:hanging="360"/>
      </w:pPr>
      <w:rPr>
        <w:rFonts w:ascii="Calibri" w:hAnsi="Calibri" w:hint="default"/>
        <w:color w:val="008665" w:themeColor="accent1" w:themeShade="BF"/>
      </w:rPr>
    </w:lvl>
    <w:lvl w:ilvl="2">
      <w:start w:val="1"/>
      <w:numFmt w:val="bullet"/>
      <w:lvlText w:val="»"/>
      <w:lvlJc w:val="left"/>
      <w:pPr>
        <w:ind w:left="2160" w:hanging="360"/>
      </w:pPr>
      <w:rPr>
        <w:rFonts w:ascii="Calibri" w:hAnsi="Calibri" w:hint="default"/>
        <w:color w:val="008665" w:themeColor="accent1" w:themeShade="BF"/>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nsid w:val="2EC75574"/>
    <w:multiLevelType w:val="multilevel"/>
    <w:tmpl w:val="160ABFEC"/>
    <w:lvl w:ilvl="0">
      <w:start w:val="1"/>
      <w:numFmt w:val="bullet"/>
      <w:lvlText w:val="•"/>
      <w:lvlJc w:val="left"/>
      <w:pPr>
        <w:ind w:left="288" w:hanging="288"/>
      </w:pPr>
      <w:rPr>
        <w:rFonts w:ascii="Calibri" w:hAnsi="Calibri" w:hint="default"/>
        <w:color w:val="00B388" w:themeColor="accent1"/>
        <w:sz w:val="20"/>
      </w:rPr>
    </w:lvl>
    <w:lvl w:ilvl="1">
      <w:start w:val="1"/>
      <w:numFmt w:val="bullet"/>
      <w:lvlText w:val="–"/>
      <w:lvlJc w:val="left"/>
      <w:pPr>
        <w:ind w:left="576" w:hanging="288"/>
      </w:pPr>
      <w:rPr>
        <w:rFonts w:ascii="Calibri" w:hAnsi="Calibri" w:hint="default"/>
        <w:color w:val="82ACEE" w:themeColor="background2" w:themeShade="BF"/>
        <w:sz w:val="20"/>
      </w:rPr>
    </w:lvl>
    <w:lvl w:ilvl="2">
      <w:start w:val="1"/>
      <w:numFmt w:val="bullet"/>
      <w:lvlText w:val="»"/>
      <w:lvlJc w:val="left"/>
      <w:pPr>
        <w:ind w:left="864" w:hanging="288"/>
      </w:pPr>
      <w:rPr>
        <w:rFonts w:ascii="Calibri" w:hAnsi="Calibri" w:hint="default"/>
        <w:color w:val="00B388" w:themeColor="accent1"/>
        <w:sz w:val="20"/>
      </w:rPr>
    </w:lvl>
    <w:lvl w:ilvl="3">
      <w:start w:val="1"/>
      <w:numFmt w:val="bullet"/>
      <w:lvlText w:val=""/>
      <w:lvlJc w:val="left"/>
      <w:pPr>
        <w:ind w:left="1224" w:hanging="288"/>
      </w:pPr>
      <w:rPr>
        <w:rFonts w:ascii="Symbol" w:hAnsi="Symbol" w:hint="default"/>
      </w:rPr>
    </w:lvl>
    <w:lvl w:ilvl="4">
      <w:start w:val="1"/>
      <w:numFmt w:val="bullet"/>
      <w:lvlText w:val="o"/>
      <w:lvlJc w:val="left"/>
      <w:pPr>
        <w:ind w:left="1512" w:hanging="288"/>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nsid w:val="322A2964"/>
    <w:multiLevelType w:val="multilevel"/>
    <w:tmpl w:val="CADAC840"/>
    <w:styleLink w:val="ListOrdered"/>
    <w:lvl w:ilvl="0">
      <w:start w:val="1"/>
      <w:numFmt w:val="decimal"/>
      <w:pStyle w:val="NumberedList"/>
      <w:lvlText w:val="%1."/>
      <w:lvlJc w:val="left"/>
      <w:pPr>
        <w:ind w:left="720" w:hanging="360"/>
      </w:pPr>
      <w:rPr>
        <w:rFonts w:hint="default"/>
        <w:color w:val="000000" w:themeColor="text1"/>
      </w:rPr>
    </w:lvl>
    <w:lvl w:ilvl="1">
      <w:start w:val="1"/>
      <w:numFmt w:val="lowerLetter"/>
      <w:lvlText w:val="%2."/>
      <w:lvlJc w:val="left"/>
      <w:pPr>
        <w:ind w:left="1080" w:hanging="360"/>
      </w:pPr>
      <w:rPr>
        <w:rFonts w:hint="default"/>
        <w:color w:val="000000" w:themeColor="text1"/>
      </w:rPr>
    </w:lvl>
    <w:lvl w:ilvl="2">
      <w:start w:val="1"/>
      <w:numFmt w:val="lowerRoman"/>
      <w:lvlText w:val="%3."/>
      <w:lvlJc w:val="right"/>
      <w:pPr>
        <w:ind w:left="1800" w:hanging="360"/>
      </w:pPr>
      <w:rPr>
        <w:rFonts w:hint="default"/>
        <w:color w:val="000000" w:themeColor="text1"/>
      </w:rPr>
    </w:lvl>
    <w:lvl w:ilvl="3">
      <w:start w:val="1"/>
      <w:numFmt w:val="decimal"/>
      <w:lvlText w:val="%4)"/>
      <w:lvlJc w:val="left"/>
      <w:pPr>
        <w:ind w:left="2160" w:hanging="360"/>
      </w:pPr>
      <w:rPr>
        <w:rFonts w:hint="default"/>
        <w:color w:val="000000" w:themeColor="text1"/>
      </w:rPr>
    </w:lvl>
    <w:lvl w:ilvl="4">
      <w:start w:val="1"/>
      <w:numFmt w:val="lowerLetter"/>
      <w:lvlText w:val="%5)"/>
      <w:lvlJc w:val="left"/>
      <w:pPr>
        <w:ind w:left="2520" w:hanging="360"/>
      </w:pPr>
      <w:rPr>
        <w:rFonts w:hint="default"/>
        <w:color w:val="000000" w:themeColor="text1"/>
      </w:rPr>
    </w:lvl>
    <w:lvl w:ilvl="5">
      <w:start w:val="1"/>
      <w:numFmt w:val="lowerRoman"/>
      <w:lvlText w:val="%6)"/>
      <w:lvlJc w:val="right"/>
      <w:pPr>
        <w:ind w:left="3240" w:hanging="360"/>
      </w:pPr>
      <w:rPr>
        <w:rFonts w:hint="default"/>
        <w:color w:val="000000" w:themeColor="text1"/>
      </w:rPr>
    </w:lvl>
    <w:lvl w:ilvl="6">
      <w:start w:val="1"/>
      <w:numFmt w:val="decimal"/>
      <w:lvlText w:val="%7."/>
      <w:lvlJc w:val="left"/>
      <w:pPr>
        <w:ind w:left="5040" w:hanging="360"/>
      </w:pPr>
      <w:rPr>
        <w:rFonts w:hint="default"/>
        <w:b w:val="0"/>
        <w:i/>
        <w:color w:val="000000" w:themeColor="text1"/>
      </w:rPr>
    </w:lvl>
    <w:lvl w:ilvl="7">
      <w:start w:val="1"/>
      <w:numFmt w:val="lowerLetter"/>
      <w:lvlText w:val="%8."/>
      <w:lvlJc w:val="left"/>
      <w:pPr>
        <w:ind w:left="5760" w:hanging="360"/>
      </w:pPr>
      <w:rPr>
        <w:rFonts w:hint="default"/>
        <w:b w:val="0"/>
        <w:i/>
        <w:color w:val="000000" w:themeColor="text1"/>
      </w:rPr>
    </w:lvl>
    <w:lvl w:ilvl="8">
      <w:start w:val="1"/>
      <w:numFmt w:val="lowerRoman"/>
      <w:lvlText w:val="%9."/>
      <w:lvlJc w:val="right"/>
      <w:pPr>
        <w:ind w:left="6480" w:hanging="180"/>
      </w:pPr>
      <w:rPr>
        <w:rFonts w:hint="default"/>
        <w:b w:val="0"/>
        <w:i/>
        <w:color w:val="000000" w:themeColor="text1"/>
      </w:rPr>
    </w:lvl>
  </w:abstractNum>
  <w:abstractNum w:abstractNumId="23">
    <w:nsid w:val="364D5912"/>
    <w:multiLevelType w:val="multilevel"/>
    <w:tmpl w:val="49CCA314"/>
    <w:numStyleLink w:val="List-OrderedTable"/>
  </w:abstractNum>
  <w:abstractNum w:abstractNumId="24">
    <w:nsid w:val="37D35076"/>
    <w:multiLevelType w:val="hybridMultilevel"/>
    <w:tmpl w:val="F502F4E6"/>
    <w:lvl w:ilvl="0">
      <w:start w:val="1"/>
      <w:numFmt w:val="bullet"/>
      <w:lvlText w:val=""/>
      <w:lvlJc w:val="left"/>
      <w:pPr>
        <w:ind w:left="360" w:hanging="360"/>
      </w:pPr>
      <w:rPr>
        <w:rFonts w:ascii="Symbol" w:hAnsi="Symbol" w:hint="default"/>
        <w:sz w:val="24"/>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5">
    <w:nsid w:val="39A833F5"/>
    <w:multiLevelType w:val="multilevel"/>
    <w:tmpl w:val="E6641922"/>
    <w:styleLink w:val="ListBullets"/>
    <w:lvl w:ilvl="0">
      <w:start w:val="1"/>
      <w:numFmt w:val="bullet"/>
      <w:pStyle w:val="Bullet1"/>
      <w:lvlText w:val="●"/>
      <w:lvlJc w:val="left"/>
      <w:pPr>
        <w:ind w:left="720" w:hanging="360"/>
      </w:pPr>
      <w:rPr>
        <w:rFonts w:ascii="Calibri" w:hAnsi="Calibri" w:hint="default"/>
        <w:color w:val="000000" w:themeColor="text1"/>
        <w:sz w:val="22"/>
      </w:rPr>
    </w:lvl>
    <w:lvl w:ilvl="1">
      <w:start w:val="1"/>
      <w:numFmt w:val="bullet"/>
      <w:pStyle w:val="Bullet2"/>
      <w:lvlText w:val="–"/>
      <w:lvlJc w:val="left"/>
      <w:pPr>
        <w:ind w:left="1440" w:hanging="360"/>
      </w:pPr>
      <w:rPr>
        <w:rFonts w:ascii="Courier New" w:hAnsi="Courier New" w:hint="default"/>
        <w:color w:val="000000" w:themeColor="text1"/>
      </w:rPr>
    </w:lvl>
    <w:lvl w:ilvl="2">
      <w:start w:val="1"/>
      <w:numFmt w:val="bullet"/>
      <w:pStyle w:val="Bullet3"/>
      <w:lvlText w:val="»"/>
      <w:lvlJc w:val="left"/>
      <w:pPr>
        <w:ind w:left="2160" w:hanging="360"/>
      </w:pPr>
      <w:rPr>
        <w:rFonts w:ascii="Calibri" w:hAnsi="Calibri" w:hint="default"/>
        <w:color w:val="000000" w:themeColor="text1"/>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nsid w:val="42AB4FC5"/>
    <w:multiLevelType w:val="hybridMultilevel"/>
    <w:tmpl w:val="14402060"/>
    <w:lvl w:ilvl="0">
      <w:start w:val="1"/>
      <w:numFmt w:val="decimal"/>
      <w:lvlText w:val="%1."/>
      <w:lvlJc w:val="left"/>
      <w:pPr>
        <w:ind w:left="720" w:hanging="360"/>
      </w:pPr>
      <w:rPr>
        <w:color w:val="008665" w:themeColor="accent1" w:themeShade="BF"/>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nsid w:val="46027F72"/>
    <w:multiLevelType w:val="multilevel"/>
    <w:tmpl w:val="B30E9256"/>
    <w:styleLink w:val="ListBulletsTable"/>
    <w:lvl w:ilvl="0">
      <w:start w:val="1"/>
      <w:numFmt w:val="bullet"/>
      <w:pStyle w:val="TableBullet1"/>
      <w:lvlText w:val=""/>
      <w:lvlJc w:val="left"/>
      <w:pPr>
        <w:ind w:left="288" w:hanging="288"/>
      </w:pPr>
      <w:rPr>
        <w:rFonts w:ascii="Symbol" w:hAnsi="Symbol" w:hint="default"/>
        <w:color w:val="000000" w:themeColor="text1"/>
      </w:rPr>
    </w:lvl>
    <w:lvl w:ilvl="1">
      <w:start w:val="1"/>
      <w:numFmt w:val="bullet"/>
      <w:pStyle w:val="TableBullet2"/>
      <w:lvlText w:val="–"/>
      <w:lvlJc w:val="left"/>
      <w:pPr>
        <w:ind w:left="576" w:hanging="288"/>
      </w:pPr>
      <w:rPr>
        <w:rFonts w:ascii="Times New Roman" w:hAnsi="Times New Roman" w:cs="Times New Roman" w:hint="default"/>
        <w:color w:val="000000" w:themeColor="text1"/>
      </w:rPr>
    </w:lvl>
    <w:lvl w:ilvl="2">
      <w:start w:val="1"/>
      <w:numFmt w:val="bullet"/>
      <w:pStyle w:val="TableBullet3"/>
      <w:lvlText w:val="»"/>
      <w:lvlJc w:val="left"/>
      <w:pPr>
        <w:ind w:left="864" w:hanging="288"/>
      </w:pPr>
      <w:rPr>
        <w:rFonts w:ascii="Times New Roman" w:hAnsi="Times New Roman" w:cs="Times New Roman" w:hint="default"/>
        <w:color w:val="000000" w:themeColor="text1"/>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nsid w:val="471B20E7"/>
    <w:multiLevelType w:val="hybridMultilevel"/>
    <w:tmpl w:val="24542AF0"/>
    <w:lvl w:ilvl="0">
      <w:start w:val="1"/>
      <w:numFmt w:val="bullet"/>
      <w:lvlText w:val=""/>
      <w:lvlJc w:val="left"/>
      <w:pPr>
        <w:ind w:left="360" w:hanging="360"/>
      </w:pPr>
      <w:rPr>
        <w:rFonts w:ascii="Symbol" w:hAnsi="Symbol" w:hint="default"/>
        <w:sz w:val="22"/>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9">
    <w:nsid w:val="4F2D46C4"/>
    <w:multiLevelType w:val="hybridMultilevel"/>
    <w:tmpl w:val="6908EC88"/>
    <w:lvl w:ilvl="0">
      <w:start w:val="1"/>
      <w:numFmt w:val="bullet"/>
      <w:lvlText w:val="●"/>
      <w:lvlJc w:val="left"/>
      <w:pPr>
        <w:ind w:left="343" w:hanging="360"/>
      </w:pPr>
      <w:rPr>
        <w:rFonts w:ascii="Calibri" w:hAnsi="Calibri" w:hint="default"/>
        <w:color w:val="00B388" w:themeColor="accent1"/>
        <w:sz w:val="20"/>
      </w:rPr>
    </w:lvl>
    <w:lvl w:ilvl="1">
      <w:start w:val="1"/>
      <w:numFmt w:val="bullet"/>
      <w:lvlText w:val="o"/>
      <w:lvlJc w:val="left"/>
      <w:pPr>
        <w:ind w:left="2163" w:hanging="360"/>
      </w:pPr>
      <w:rPr>
        <w:rFonts w:ascii="Courier New" w:hAnsi="Courier New" w:cs="Courier New" w:hint="default"/>
      </w:rPr>
    </w:lvl>
    <w:lvl w:ilvl="2" w:tentative="1">
      <w:start w:val="1"/>
      <w:numFmt w:val="bullet"/>
      <w:lvlText w:val=""/>
      <w:lvlJc w:val="left"/>
      <w:pPr>
        <w:ind w:left="2883" w:hanging="360"/>
      </w:pPr>
      <w:rPr>
        <w:rFonts w:ascii="Wingdings" w:hAnsi="Wingdings" w:hint="default"/>
      </w:rPr>
    </w:lvl>
    <w:lvl w:ilvl="3" w:tentative="1">
      <w:start w:val="1"/>
      <w:numFmt w:val="bullet"/>
      <w:lvlText w:val=""/>
      <w:lvlJc w:val="left"/>
      <w:pPr>
        <w:ind w:left="3603" w:hanging="360"/>
      </w:pPr>
      <w:rPr>
        <w:rFonts w:ascii="Symbol" w:hAnsi="Symbol" w:hint="default"/>
      </w:rPr>
    </w:lvl>
    <w:lvl w:ilvl="4" w:tentative="1">
      <w:start w:val="1"/>
      <w:numFmt w:val="bullet"/>
      <w:lvlText w:val="o"/>
      <w:lvlJc w:val="left"/>
      <w:pPr>
        <w:ind w:left="4323" w:hanging="360"/>
      </w:pPr>
      <w:rPr>
        <w:rFonts w:ascii="Courier New" w:hAnsi="Courier New" w:cs="Courier New" w:hint="default"/>
      </w:rPr>
    </w:lvl>
    <w:lvl w:ilvl="5" w:tentative="1">
      <w:start w:val="1"/>
      <w:numFmt w:val="bullet"/>
      <w:lvlText w:val=""/>
      <w:lvlJc w:val="left"/>
      <w:pPr>
        <w:ind w:left="5043" w:hanging="360"/>
      </w:pPr>
      <w:rPr>
        <w:rFonts w:ascii="Wingdings" w:hAnsi="Wingdings" w:hint="default"/>
      </w:rPr>
    </w:lvl>
    <w:lvl w:ilvl="6" w:tentative="1">
      <w:start w:val="1"/>
      <w:numFmt w:val="bullet"/>
      <w:lvlText w:val=""/>
      <w:lvlJc w:val="left"/>
      <w:pPr>
        <w:ind w:left="5763" w:hanging="360"/>
      </w:pPr>
      <w:rPr>
        <w:rFonts w:ascii="Symbol" w:hAnsi="Symbol" w:hint="default"/>
      </w:rPr>
    </w:lvl>
    <w:lvl w:ilvl="7" w:tentative="1">
      <w:start w:val="1"/>
      <w:numFmt w:val="bullet"/>
      <w:lvlText w:val="o"/>
      <w:lvlJc w:val="left"/>
      <w:pPr>
        <w:ind w:left="6483" w:hanging="360"/>
      </w:pPr>
      <w:rPr>
        <w:rFonts w:ascii="Courier New" w:hAnsi="Courier New" w:cs="Courier New" w:hint="default"/>
      </w:rPr>
    </w:lvl>
    <w:lvl w:ilvl="8" w:tentative="1">
      <w:start w:val="1"/>
      <w:numFmt w:val="bullet"/>
      <w:lvlText w:val=""/>
      <w:lvlJc w:val="left"/>
      <w:pPr>
        <w:ind w:left="7203" w:hanging="360"/>
      </w:pPr>
      <w:rPr>
        <w:rFonts w:ascii="Wingdings" w:hAnsi="Wingdings" w:hint="default"/>
      </w:rPr>
    </w:lvl>
  </w:abstractNum>
  <w:abstractNum w:abstractNumId="30">
    <w:nsid w:val="59A902FB"/>
    <w:multiLevelType w:val="hybridMultilevel"/>
    <w:tmpl w:val="6D70C62C"/>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1">
    <w:nsid w:val="5BA873D6"/>
    <w:multiLevelType w:val="multilevel"/>
    <w:tmpl w:val="3F2E52E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right"/>
      <w:pPr>
        <w:ind w:left="1296"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righ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right"/>
      <w:pPr>
        <w:ind w:left="3600" w:hanging="360"/>
      </w:pPr>
      <w:rPr>
        <w:rFonts w:hint="default"/>
      </w:rPr>
    </w:lvl>
  </w:abstractNum>
  <w:abstractNum w:abstractNumId="32">
    <w:nsid w:val="5F063564"/>
    <w:multiLevelType w:val="hybridMultilevel"/>
    <w:tmpl w:val="81620B86"/>
    <w:lvl w:ilvl="0">
      <w:start w:val="1"/>
      <w:numFmt w:val="bullet"/>
      <w:lvlText w:val="–"/>
      <w:lvlJc w:val="left"/>
      <w:pPr>
        <w:ind w:left="1008" w:hanging="360"/>
      </w:pPr>
      <w:rPr>
        <w:rFonts w:ascii="Calibri" w:hAnsi="Calibri" w:hint="default"/>
        <w:color w:val="00D39F" w:themeColor="accent1" w:themeTint="E6"/>
        <w:sz w:val="22"/>
      </w:rPr>
    </w:lvl>
    <w:lvl w:ilvl="1" w:tentative="1">
      <w:start w:val="1"/>
      <w:numFmt w:val="bullet"/>
      <w:lvlText w:val="o"/>
      <w:lvlJc w:val="left"/>
      <w:pPr>
        <w:ind w:left="1728" w:hanging="360"/>
      </w:pPr>
      <w:rPr>
        <w:rFonts w:ascii="Courier New" w:hAnsi="Courier New" w:cs="Courier New" w:hint="default"/>
      </w:rPr>
    </w:lvl>
    <w:lvl w:ilvl="2" w:tentative="1">
      <w:start w:val="1"/>
      <w:numFmt w:val="bullet"/>
      <w:lvlText w:val=""/>
      <w:lvlJc w:val="left"/>
      <w:pPr>
        <w:ind w:left="2448" w:hanging="360"/>
      </w:pPr>
      <w:rPr>
        <w:rFonts w:ascii="Wingdings" w:hAnsi="Wingdings" w:hint="default"/>
      </w:rPr>
    </w:lvl>
    <w:lvl w:ilvl="3" w:tentative="1">
      <w:start w:val="1"/>
      <w:numFmt w:val="bullet"/>
      <w:lvlText w:val=""/>
      <w:lvlJc w:val="left"/>
      <w:pPr>
        <w:ind w:left="3168" w:hanging="360"/>
      </w:pPr>
      <w:rPr>
        <w:rFonts w:ascii="Symbol" w:hAnsi="Symbol" w:hint="default"/>
      </w:rPr>
    </w:lvl>
    <w:lvl w:ilvl="4" w:tentative="1">
      <w:start w:val="1"/>
      <w:numFmt w:val="bullet"/>
      <w:lvlText w:val="o"/>
      <w:lvlJc w:val="left"/>
      <w:pPr>
        <w:ind w:left="3888" w:hanging="360"/>
      </w:pPr>
      <w:rPr>
        <w:rFonts w:ascii="Courier New" w:hAnsi="Courier New" w:cs="Courier New" w:hint="default"/>
      </w:rPr>
    </w:lvl>
    <w:lvl w:ilvl="5" w:tentative="1">
      <w:start w:val="1"/>
      <w:numFmt w:val="bullet"/>
      <w:lvlText w:val=""/>
      <w:lvlJc w:val="left"/>
      <w:pPr>
        <w:ind w:left="4608" w:hanging="360"/>
      </w:pPr>
      <w:rPr>
        <w:rFonts w:ascii="Wingdings" w:hAnsi="Wingdings" w:hint="default"/>
      </w:rPr>
    </w:lvl>
    <w:lvl w:ilvl="6" w:tentative="1">
      <w:start w:val="1"/>
      <w:numFmt w:val="bullet"/>
      <w:lvlText w:val=""/>
      <w:lvlJc w:val="left"/>
      <w:pPr>
        <w:ind w:left="5328" w:hanging="360"/>
      </w:pPr>
      <w:rPr>
        <w:rFonts w:ascii="Symbol" w:hAnsi="Symbol" w:hint="default"/>
      </w:rPr>
    </w:lvl>
    <w:lvl w:ilvl="7" w:tentative="1">
      <w:start w:val="1"/>
      <w:numFmt w:val="bullet"/>
      <w:lvlText w:val="o"/>
      <w:lvlJc w:val="left"/>
      <w:pPr>
        <w:ind w:left="6048" w:hanging="360"/>
      </w:pPr>
      <w:rPr>
        <w:rFonts w:ascii="Courier New" w:hAnsi="Courier New" w:cs="Courier New" w:hint="default"/>
      </w:rPr>
    </w:lvl>
    <w:lvl w:ilvl="8" w:tentative="1">
      <w:start w:val="1"/>
      <w:numFmt w:val="bullet"/>
      <w:lvlText w:val=""/>
      <w:lvlJc w:val="left"/>
      <w:pPr>
        <w:ind w:left="6768" w:hanging="360"/>
      </w:pPr>
      <w:rPr>
        <w:rFonts w:ascii="Wingdings" w:hAnsi="Wingdings" w:hint="default"/>
      </w:rPr>
    </w:lvl>
  </w:abstractNum>
  <w:abstractNum w:abstractNumId="33">
    <w:nsid w:val="64B25FC7"/>
    <w:multiLevelType w:val="multilevel"/>
    <w:tmpl w:val="C9123F42"/>
    <w:lvl w:ilvl="0">
      <w:start w:val="1"/>
      <w:numFmt w:val="bullet"/>
      <w:lvlText w:val="●"/>
      <w:lvlJc w:val="left"/>
      <w:pPr>
        <w:ind w:left="720" w:hanging="360"/>
      </w:pPr>
      <w:rPr>
        <w:rFonts w:ascii="Calibri" w:hAnsi="Calibri" w:hint="default"/>
        <w:color w:val="00B388" w:themeColor="accent1"/>
        <w:sz w:val="22"/>
      </w:rPr>
    </w:lvl>
    <w:lvl w:ilvl="1">
      <w:start w:val="1"/>
      <w:numFmt w:val="bullet"/>
      <w:lvlText w:val="–"/>
      <w:lvlJc w:val="left"/>
      <w:pPr>
        <w:ind w:left="1440" w:hanging="360"/>
      </w:pPr>
      <w:rPr>
        <w:rFonts w:ascii="Calibri" w:hAnsi="Calibri" w:hint="default"/>
        <w:color w:val="008665" w:themeColor="accent1" w:themeShade="BF"/>
      </w:rPr>
    </w:lvl>
    <w:lvl w:ilvl="2">
      <w:start w:val="1"/>
      <w:numFmt w:val="bullet"/>
      <w:lvlText w:val="»"/>
      <w:lvlJc w:val="left"/>
      <w:pPr>
        <w:ind w:left="2160" w:hanging="360"/>
      </w:pPr>
      <w:rPr>
        <w:rFonts w:ascii="Calibri" w:hAnsi="Calibri" w:hint="default"/>
        <w:color w:val="008665" w:themeColor="accent1" w:themeShade="BF"/>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nsid w:val="6A4939E9"/>
    <w:multiLevelType w:val="multilevel"/>
    <w:tmpl w:val="A844AD1A"/>
    <w:lvl w:ilvl="0">
      <w:start w:val="1"/>
      <w:numFmt w:val="bullet"/>
      <w:lvlText w:val="•"/>
      <w:lvlJc w:val="left"/>
      <w:pPr>
        <w:ind w:left="360" w:hanging="360"/>
      </w:pPr>
      <w:rPr>
        <w:rFonts w:ascii="Calibri" w:hAnsi="Calibri" w:hint="default"/>
        <w:b w:val="0"/>
        <w:i w:val="0"/>
        <w:color w:val="00B388" w:themeColor="accent1"/>
        <w:sz w:val="24"/>
      </w:rPr>
    </w:lvl>
    <w:lvl w:ilvl="1">
      <w:start w:val="1"/>
      <w:numFmt w:val="bullet"/>
      <w:lvlText w:val="–"/>
      <w:lvlJc w:val="left"/>
      <w:pPr>
        <w:ind w:left="720" w:hanging="360"/>
      </w:pPr>
      <w:rPr>
        <w:rFonts w:ascii="Calibri" w:hAnsi="Calibri" w:hint="default"/>
        <w:color w:val="82ACEE" w:themeColor="background2" w:themeShade="BF"/>
        <w:sz w:val="24"/>
      </w:rPr>
    </w:lvl>
    <w:lvl w:ilvl="2">
      <w:start w:val="1"/>
      <w:numFmt w:val="bullet"/>
      <w:lvlText w:val="»"/>
      <w:lvlJc w:val="left"/>
      <w:pPr>
        <w:ind w:left="1080" w:hanging="360"/>
      </w:pPr>
      <w:rPr>
        <w:rFonts w:ascii="Calibri" w:hAnsi="Calibri" w:hint="default"/>
        <w:b w:val="0"/>
        <w:i w:val="0"/>
        <w:color w:val="00B388" w:themeColor="accent1"/>
        <w:sz w:val="24"/>
      </w:rPr>
    </w:lvl>
    <w:lvl w:ilvl="3">
      <w:start w:val="1"/>
      <w:numFmt w:val="bullet"/>
      <w:lvlText w:val="•"/>
      <w:lvlJc w:val="left"/>
      <w:pPr>
        <w:ind w:left="1800" w:hanging="360"/>
      </w:pPr>
      <w:rPr>
        <w:rFonts w:ascii="Times New Roman" w:hAnsi="Times New Roman" w:cs="Times New Roman" w:hint="default"/>
      </w:rPr>
    </w:lvl>
    <w:lvl w:ilvl="4">
      <w:start w:val="1"/>
      <w:numFmt w:val="bullet"/>
      <w:lvlText w:val="o"/>
      <w:lvlJc w:val="left"/>
      <w:pPr>
        <w:ind w:left="2160" w:hanging="360"/>
      </w:pPr>
      <w:rPr>
        <w:rFonts w:ascii="Courier New" w:hAnsi="Courier New"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2880" w:hanging="360"/>
      </w:pPr>
      <w:rPr>
        <w:rFonts w:ascii="Symbol" w:hAnsi="Symbol" w:hint="default"/>
      </w:rPr>
    </w:lvl>
    <w:lvl w:ilvl="7">
      <w:start w:val="1"/>
      <w:numFmt w:val="bullet"/>
      <w:lvlText w:val="o"/>
      <w:lvlJc w:val="left"/>
      <w:pPr>
        <w:ind w:left="3240" w:hanging="360"/>
      </w:pPr>
      <w:rPr>
        <w:rFonts w:ascii="Courier New" w:hAnsi="Courier New" w:hint="default"/>
      </w:rPr>
    </w:lvl>
    <w:lvl w:ilvl="8">
      <w:start w:val="1"/>
      <w:numFmt w:val="bullet"/>
      <w:lvlText w:val=""/>
      <w:lvlJc w:val="left"/>
      <w:pPr>
        <w:ind w:left="3600" w:hanging="360"/>
      </w:pPr>
      <w:rPr>
        <w:rFonts w:ascii="Wingdings" w:hAnsi="Wingdings" w:hint="default"/>
      </w:rPr>
    </w:lvl>
  </w:abstractNum>
  <w:abstractNum w:abstractNumId="35">
    <w:nsid w:val="6EC53F81"/>
    <w:multiLevelType w:val="multilevel"/>
    <w:tmpl w:val="A844AD1A"/>
    <w:lvl w:ilvl="0">
      <w:start w:val="1"/>
      <w:numFmt w:val="bullet"/>
      <w:lvlText w:val="•"/>
      <w:lvlJc w:val="left"/>
      <w:pPr>
        <w:ind w:left="360" w:hanging="360"/>
      </w:pPr>
      <w:rPr>
        <w:rFonts w:ascii="Calibri" w:hAnsi="Calibri" w:hint="default"/>
        <w:b w:val="0"/>
        <w:i w:val="0"/>
        <w:color w:val="00B388" w:themeColor="accent1"/>
        <w:sz w:val="24"/>
      </w:rPr>
    </w:lvl>
    <w:lvl w:ilvl="1">
      <w:start w:val="1"/>
      <w:numFmt w:val="bullet"/>
      <w:lvlText w:val="–"/>
      <w:lvlJc w:val="left"/>
      <w:pPr>
        <w:ind w:left="720" w:hanging="360"/>
      </w:pPr>
      <w:rPr>
        <w:rFonts w:ascii="Calibri" w:hAnsi="Calibri" w:hint="default"/>
        <w:color w:val="82ACEE" w:themeColor="background2" w:themeShade="BF"/>
        <w:sz w:val="24"/>
      </w:rPr>
    </w:lvl>
    <w:lvl w:ilvl="2">
      <w:start w:val="1"/>
      <w:numFmt w:val="bullet"/>
      <w:lvlText w:val="»"/>
      <w:lvlJc w:val="left"/>
      <w:pPr>
        <w:ind w:left="1080" w:hanging="360"/>
      </w:pPr>
      <w:rPr>
        <w:rFonts w:ascii="Calibri" w:hAnsi="Calibri" w:hint="default"/>
        <w:b w:val="0"/>
        <w:i w:val="0"/>
        <w:color w:val="00B388" w:themeColor="accent1"/>
        <w:sz w:val="24"/>
      </w:rPr>
    </w:lvl>
    <w:lvl w:ilvl="3">
      <w:start w:val="1"/>
      <w:numFmt w:val="bullet"/>
      <w:lvlText w:val="•"/>
      <w:lvlJc w:val="left"/>
      <w:pPr>
        <w:ind w:left="1800" w:hanging="360"/>
      </w:pPr>
      <w:rPr>
        <w:rFonts w:ascii="Times New Roman" w:hAnsi="Times New Roman" w:cs="Times New Roman" w:hint="default"/>
      </w:rPr>
    </w:lvl>
    <w:lvl w:ilvl="4">
      <w:start w:val="1"/>
      <w:numFmt w:val="bullet"/>
      <w:lvlText w:val="o"/>
      <w:lvlJc w:val="left"/>
      <w:pPr>
        <w:ind w:left="2160" w:hanging="360"/>
      </w:pPr>
      <w:rPr>
        <w:rFonts w:ascii="Courier New" w:hAnsi="Courier New"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2880" w:hanging="360"/>
      </w:pPr>
      <w:rPr>
        <w:rFonts w:ascii="Symbol" w:hAnsi="Symbol" w:hint="default"/>
      </w:rPr>
    </w:lvl>
    <w:lvl w:ilvl="7">
      <w:start w:val="1"/>
      <w:numFmt w:val="bullet"/>
      <w:lvlText w:val="o"/>
      <w:lvlJc w:val="left"/>
      <w:pPr>
        <w:ind w:left="3240" w:hanging="360"/>
      </w:pPr>
      <w:rPr>
        <w:rFonts w:ascii="Courier New" w:hAnsi="Courier New" w:hint="default"/>
      </w:rPr>
    </w:lvl>
    <w:lvl w:ilvl="8">
      <w:start w:val="1"/>
      <w:numFmt w:val="bullet"/>
      <w:lvlText w:val=""/>
      <w:lvlJc w:val="left"/>
      <w:pPr>
        <w:ind w:left="3600" w:hanging="360"/>
      </w:pPr>
      <w:rPr>
        <w:rFonts w:ascii="Wingdings" w:hAnsi="Wingdings" w:hint="default"/>
      </w:rPr>
    </w:lvl>
  </w:abstractNum>
  <w:abstractNum w:abstractNumId="36">
    <w:nsid w:val="71162F67"/>
    <w:multiLevelType w:val="multilevel"/>
    <w:tmpl w:val="49CCA314"/>
    <w:numStyleLink w:val="List-OrderedTable"/>
  </w:abstractNum>
  <w:abstractNum w:abstractNumId="37">
    <w:nsid w:val="74942A7C"/>
    <w:multiLevelType w:val="multilevel"/>
    <w:tmpl w:val="160ABFEC"/>
    <w:lvl w:ilvl="0">
      <w:start w:val="1"/>
      <w:numFmt w:val="bullet"/>
      <w:lvlText w:val="•"/>
      <w:lvlJc w:val="left"/>
      <w:pPr>
        <w:ind w:left="288" w:hanging="288"/>
      </w:pPr>
      <w:rPr>
        <w:rFonts w:ascii="Calibri" w:hAnsi="Calibri" w:hint="default"/>
        <w:color w:val="00B388" w:themeColor="accent1"/>
        <w:sz w:val="20"/>
      </w:rPr>
    </w:lvl>
    <w:lvl w:ilvl="1">
      <w:start w:val="1"/>
      <w:numFmt w:val="bullet"/>
      <w:lvlText w:val="–"/>
      <w:lvlJc w:val="left"/>
      <w:pPr>
        <w:ind w:left="576" w:hanging="288"/>
      </w:pPr>
      <w:rPr>
        <w:rFonts w:ascii="Calibri" w:hAnsi="Calibri" w:hint="default"/>
        <w:color w:val="82ACEE" w:themeColor="background2" w:themeShade="BF"/>
        <w:sz w:val="20"/>
      </w:rPr>
    </w:lvl>
    <w:lvl w:ilvl="2">
      <w:start w:val="1"/>
      <w:numFmt w:val="bullet"/>
      <w:lvlText w:val="»"/>
      <w:lvlJc w:val="left"/>
      <w:pPr>
        <w:ind w:left="864" w:hanging="288"/>
      </w:pPr>
      <w:rPr>
        <w:rFonts w:ascii="Calibri" w:hAnsi="Calibri" w:hint="default"/>
        <w:color w:val="00B388" w:themeColor="accent1"/>
        <w:sz w:val="20"/>
      </w:rPr>
    </w:lvl>
    <w:lvl w:ilvl="3">
      <w:start w:val="1"/>
      <w:numFmt w:val="bullet"/>
      <w:lvlText w:val=""/>
      <w:lvlJc w:val="left"/>
      <w:pPr>
        <w:ind w:left="1224" w:hanging="288"/>
      </w:pPr>
      <w:rPr>
        <w:rFonts w:ascii="Symbol" w:hAnsi="Symbol" w:hint="default"/>
      </w:rPr>
    </w:lvl>
    <w:lvl w:ilvl="4">
      <w:start w:val="1"/>
      <w:numFmt w:val="bullet"/>
      <w:lvlText w:val="o"/>
      <w:lvlJc w:val="left"/>
      <w:pPr>
        <w:ind w:left="1512" w:hanging="288"/>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8">
    <w:nsid w:val="7FCF00A2"/>
    <w:multiLevelType w:val="multilevel"/>
    <w:tmpl w:val="3F2E52E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right"/>
      <w:pPr>
        <w:ind w:left="1296"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righ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right"/>
      <w:pPr>
        <w:ind w:left="3600" w:hanging="360"/>
      </w:pPr>
      <w:rPr>
        <w:rFonts w:hint="default"/>
      </w:rPr>
    </w:lvl>
  </w:abstractNum>
  <w:num w:numId="1" w16cid:durableId="1354841448">
    <w:abstractNumId w:val="13"/>
  </w:num>
  <w:num w:numId="2" w16cid:durableId="971909311">
    <w:abstractNumId w:val="30"/>
  </w:num>
  <w:num w:numId="3" w16cid:durableId="1565873813">
    <w:abstractNumId w:val="24"/>
  </w:num>
  <w:num w:numId="4" w16cid:durableId="2121296310">
    <w:abstractNumId w:val="28"/>
  </w:num>
  <w:num w:numId="5" w16cid:durableId="1834643151">
    <w:abstractNumId w:val="9"/>
  </w:num>
  <w:num w:numId="6" w16cid:durableId="2026666133">
    <w:abstractNumId w:val="7"/>
  </w:num>
  <w:num w:numId="7" w16cid:durableId="1466460679">
    <w:abstractNumId w:val="6"/>
  </w:num>
  <w:num w:numId="8" w16cid:durableId="589461364">
    <w:abstractNumId w:val="5"/>
  </w:num>
  <w:num w:numId="9" w16cid:durableId="122428381">
    <w:abstractNumId w:val="4"/>
  </w:num>
  <w:num w:numId="10" w16cid:durableId="401372403">
    <w:abstractNumId w:val="8"/>
  </w:num>
  <w:num w:numId="11" w16cid:durableId="74786137">
    <w:abstractNumId w:val="3"/>
  </w:num>
  <w:num w:numId="12" w16cid:durableId="707875685">
    <w:abstractNumId w:val="2"/>
  </w:num>
  <w:num w:numId="13" w16cid:durableId="1014185131">
    <w:abstractNumId w:val="1"/>
  </w:num>
  <w:num w:numId="14" w16cid:durableId="2064326059">
    <w:abstractNumId w:val="0"/>
  </w:num>
  <w:num w:numId="15" w16cid:durableId="964770604">
    <w:abstractNumId w:val="26"/>
  </w:num>
  <w:num w:numId="16" w16cid:durableId="717779112">
    <w:abstractNumId w:val="18"/>
  </w:num>
  <w:num w:numId="17" w16cid:durableId="919559875">
    <w:abstractNumId w:val="25"/>
  </w:num>
  <w:num w:numId="18" w16cid:durableId="160629495">
    <w:abstractNumId w:val="17"/>
  </w:num>
  <w:num w:numId="19" w16cid:durableId="1705597326">
    <w:abstractNumId w:val="12"/>
  </w:num>
  <w:num w:numId="20" w16cid:durableId="1511942780">
    <w:abstractNumId w:val="19"/>
  </w:num>
  <w:num w:numId="21" w16cid:durableId="1522622544">
    <w:abstractNumId w:val="33"/>
  </w:num>
  <w:num w:numId="22" w16cid:durableId="1200822371">
    <w:abstractNumId w:val="29"/>
  </w:num>
  <w:num w:numId="23" w16cid:durableId="1470440941">
    <w:abstractNumId w:val="20"/>
  </w:num>
  <w:num w:numId="24" w16cid:durableId="699747601">
    <w:abstractNumId w:val="11"/>
  </w:num>
  <w:num w:numId="25" w16cid:durableId="1235623344">
    <w:abstractNumId w:val="27"/>
  </w:num>
  <w:num w:numId="26" w16cid:durableId="148042126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95368515">
    <w:abstractNumId w:val="22"/>
  </w:num>
  <w:num w:numId="28" w16cid:durableId="160642040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85505841">
    <w:abstractNumId w:val="35"/>
  </w:num>
  <w:num w:numId="30" w16cid:durableId="572400209">
    <w:abstractNumId w:val="38"/>
  </w:num>
  <w:num w:numId="31" w16cid:durableId="885338162">
    <w:abstractNumId w:val="31"/>
  </w:num>
  <w:num w:numId="32" w16cid:durableId="2059695459">
    <w:abstractNumId w:val="37"/>
  </w:num>
  <w:num w:numId="33" w16cid:durableId="1882087726">
    <w:abstractNumId w:val="14"/>
  </w:num>
  <w:num w:numId="34" w16cid:durableId="1549024959">
    <w:abstractNumId w:val="15"/>
  </w:num>
  <w:num w:numId="35" w16cid:durableId="746653738">
    <w:abstractNumId w:val="32"/>
  </w:num>
  <w:num w:numId="36" w16cid:durableId="1161848292">
    <w:abstractNumId w:val="34"/>
  </w:num>
  <w:num w:numId="37" w16cid:durableId="1603368710">
    <w:abstractNumId w:val="21"/>
  </w:num>
  <w:num w:numId="38" w16cid:durableId="995304758">
    <w:abstractNumId w:val="10"/>
  </w:num>
  <w:num w:numId="39" w16cid:durableId="1552300895">
    <w:abstractNumId w:val="16"/>
  </w:num>
  <w:num w:numId="40" w16cid:durableId="1450124269">
    <w:abstractNumId w:val="36"/>
  </w:num>
  <w:num w:numId="41" w16cid:durableId="18233128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1" w:allStyles="1" w:alternateStyleNames="0" w:clearFormatting="1" w:customStyles="0" w:directFormattingOnNumbering="0" w:directFormattingOnParagraphs="0" w:directFormattingOnRuns="0" w:directFormattingOnTables="0" w:headingStyles="1" w:latentStyles="0" w:numberingStyles="0" w:stylesInUse="0" w:tableStyles="0" w:top3HeadingStyles="0" w:visibleStyles="0"/>
  <w:stylePaneSortMethod w:val="name"/>
  <w:defaultTabStop w:val="720"/>
  <w:characterSpacingControl w:val="doNotCompress"/>
  <w:compat>
    <w:suppressTop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257"/>
    <w:rsid w:val="00000AAF"/>
    <w:rsid w:val="00002508"/>
    <w:rsid w:val="000042C3"/>
    <w:rsid w:val="00004B8E"/>
    <w:rsid w:val="00007FB6"/>
    <w:rsid w:val="0001627C"/>
    <w:rsid w:val="0002072C"/>
    <w:rsid w:val="00022C1B"/>
    <w:rsid w:val="00023680"/>
    <w:rsid w:val="0002488C"/>
    <w:rsid w:val="00030A9C"/>
    <w:rsid w:val="000317F8"/>
    <w:rsid w:val="0003365E"/>
    <w:rsid w:val="00033B4A"/>
    <w:rsid w:val="00035DC2"/>
    <w:rsid w:val="00041EF1"/>
    <w:rsid w:val="0005021F"/>
    <w:rsid w:val="00050B57"/>
    <w:rsid w:val="00052F64"/>
    <w:rsid w:val="00053DF3"/>
    <w:rsid w:val="00062986"/>
    <w:rsid w:val="00063EC0"/>
    <w:rsid w:val="0007014D"/>
    <w:rsid w:val="000716D3"/>
    <w:rsid w:val="00076204"/>
    <w:rsid w:val="000762E4"/>
    <w:rsid w:val="00076F88"/>
    <w:rsid w:val="00077D62"/>
    <w:rsid w:val="00080327"/>
    <w:rsid w:val="00080BDE"/>
    <w:rsid w:val="00082DDD"/>
    <w:rsid w:val="000831A7"/>
    <w:rsid w:val="00084DED"/>
    <w:rsid w:val="00086E36"/>
    <w:rsid w:val="00091A7C"/>
    <w:rsid w:val="00092B01"/>
    <w:rsid w:val="00092C51"/>
    <w:rsid w:val="000A2109"/>
    <w:rsid w:val="000A3FCD"/>
    <w:rsid w:val="000A62A7"/>
    <w:rsid w:val="000A64D9"/>
    <w:rsid w:val="000A7852"/>
    <w:rsid w:val="000B597E"/>
    <w:rsid w:val="000C0048"/>
    <w:rsid w:val="000C3928"/>
    <w:rsid w:val="000C6BB7"/>
    <w:rsid w:val="000C7DD7"/>
    <w:rsid w:val="000D1917"/>
    <w:rsid w:val="000D3D4C"/>
    <w:rsid w:val="000D4333"/>
    <w:rsid w:val="000D65BB"/>
    <w:rsid w:val="000E1932"/>
    <w:rsid w:val="000E1E50"/>
    <w:rsid w:val="000E1FC2"/>
    <w:rsid w:val="000E3DB4"/>
    <w:rsid w:val="000E5BC9"/>
    <w:rsid w:val="000E697B"/>
    <w:rsid w:val="000E7480"/>
    <w:rsid w:val="000F22BF"/>
    <w:rsid w:val="000F4E26"/>
    <w:rsid w:val="000F5366"/>
    <w:rsid w:val="000F77F9"/>
    <w:rsid w:val="00101E6B"/>
    <w:rsid w:val="00102178"/>
    <w:rsid w:val="001053A2"/>
    <w:rsid w:val="00110F30"/>
    <w:rsid w:val="00112B5D"/>
    <w:rsid w:val="00113190"/>
    <w:rsid w:val="00114AEE"/>
    <w:rsid w:val="00115215"/>
    <w:rsid w:val="001155CA"/>
    <w:rsid w:val="00123312"/>
    <w:rsid w:val="00124C75"/>
    <w:rsid w:val="00125161"/>
    <w:rsid w:val="00126F47"/>
    <w:rsid w:val="001305B9"/>
    <w:rsid w:val="00130B94"/>
    <w:rsid w:val="0013219E"/>
    <w:rsid w:val="00132265"/>
    <w:rsid w:val="001323C2"/>
    <w:rsid w:val="00133C08"/>
    <w:rsid w:val="0013403E"/>
    <w:rsid w:val="0013448C"/>
    <w:rsid w:val="001369F3"/>
    <w:rsid w:val="001411F4"/>
    <w:rsid w:val="001415C9"/>
    <w:rsid w:val="00141A4A"/>
    <w:rsid w:val="001421D9"/>
    <w:rsid w:val="0014254D"/>
    <w:rsid w:val="001425B2"/>
    <w:rsid w:val="001427B9"/>
    <w:rsid w:val="00142806"/>
    <w:rsid w:val="00143E26"/>
    <w:rsid w:val="0014579E"/>
    <w:rsid w:val="00147E54"/>
    <w:rsid w:val="001534DA"/>
    <w:rsid w:val="0015796A"/>
    <w:rsid w:val="00160D85"/>
    <w:rsid w:val="001610D8"/>
    <w:rsid w:val="0016132F"/>
    <w:rsid w:val="00165B76"/>
    <w:rsid w:val="001675E9"/>
    <w:rsid w:val="001704CB"/>
    <w:rsid w:val="00171248"/>
    <w:rsid w:val="00171AD4"/>
    <w:rsid w:val="0017382F"/>
    <w:rsid w:val="0017435D"/>
    <w:rsid w:val="001753EB"/>
    <w:rsid w:val="001778BD"/>
    <w:rsid w:val="001828FC"/>
    <w:rsid w:val="001937D2"/>
    <w:rsid w:val="0019403F"/>
    <w:rsid w:val="0019476B"/>
    <w:rsid w:val="001948F4"/>
    <w:rsid w:val="00194AA8"/>
    <w:rsid w:val="00194D7A"/>
    <w:rsid w:val="001A2EE6"/>
    <w:rsid w:val="001A3DC3"/>
    <w:rsid w:val="001A504A"/>
    <w:rsid w:val="001A5051"/>
    <w:rsid w:val="001A5456"/>
    <w:rsid w:val="001A580F"/>
    <w:rsid w:val="001A7675"/>
    <w:rsid w:val="001B2671"/>
    <w:rsid w:val="001B3E8D"/>
    <w:rsid w:val="001B51E9"/>
    <w:rsid w:val="001B51F1"/>
    <w:rsid w:val="001B5703"/>
    <w:rsid w:val="001B6717"/>
    <w:rsid w:val="001B6B28"/>
    <w:rsid w:val="001B7008"/>
    <w:rsid w:val="001C148D"/>
    <w:rsid w:val="001C618A"/>
    <w:rsid w:val="001C7F8E"/>
    <w:rsid w:val="001D11DB"/>
    <w:rsid w:val="001D1693"/>
    <w:rsid w:val="001D2838"/>
    <w:rsid w:val="001D2DD1"/>
    <w:rsid w:val="001D2F4A"/>
    <w:rsid w:val="001D33BF"/>
    <w:rsid w:val="001D3D92"/>
    <w:rsid w:val="001D43B6"/>
    <w:rsid w:val="001D456F"/>
    <w:rsid w:val="001D4F83"/>
    <w:rsid w:val="001D5984"/>
    <w:rsid w:val="001D6696"/>
    <w:rsid w:val="001E1C7D"/>
    <w:rsid w:val="001E1CBF"/>
    <w:rsid w:val="001E2E0D"/>
    <w:rsid w:val="001E351F"/>
    <w:rsid w:val="001E3BD2"/>
    <w:rsid w:val="001E487E"/>
    <w:rsid w:val="001E6864"/>
    <w:rsid w:val="001E6D84"/>
    <w:rsid w:val="001F36C3"/>
    <w:rsid w:val="001F3FF6"/>
    <w:rsid w:val="001F438E"/>
    <w:rsid w:val="001F7E5F"/>
    <w:rsid w:val="0020103F"/>
    <w:rsid w:val="00203DFA"/>
    <w:rsid w:val="00204CF3"/>
    <w:rsid w:val="00213725"/>
    <w:rsid w:val="00215B87"/>
    <w:rsid w:val="00217D9A"/>
    <w:rsid w:val="00220517"/>
    <w:rsid w:val="00221227"/>
    <w:rsid w:val="00221A4E"/>
    <w:rsid w:val="00222C0C"/>
    <w:rsid w:val="0022343D"/>
    <w:rsid w:val="002256AF"/>
    <w:rsid w:val="002303A1"/>
    <w:rsid w:val="0023207B"/>
    <w:rsid w:val="002325AF"/>
    <w:rsid w:val="002325F6"/>
    <w:rsid w:val="00232726"/>
    <w:rsid w:val="0023375B"/>
    <w:rsid w:val="002348F0"/>
    <w:rsid w:val="0023580A"/>
    <w:rsid w:val="00236513"/>
    <w:rsid w:val="002365C9"/>
    <w:rsid w:val="00240E33"/>
    <w:rsid w:val="00241443"/>
    <w:rsid w:val="00241456"/>
    <w:rsid w:val="002433FA"/>
    <w:rsid w:val="00243D30"/>
    <w:rsid w:val="00244E04"/>
    <w:rsid w:val="00247A6C"/>
    <w:rsid w:val="00250D24"/>
    <w:rsid w:val="00254E55"/>
    <w:rsid w:val="00256D71"/>
    <w:rsid w:val="002574A1"/>
    <w:rsid w:val="00257B22"/>
    <w:rsid w:val="00260DE3"/>
    <w:rsid w:val="0026115F"/>
    <w:rsid w:val="002627DB"/>
    <w:rsid w:val="002652D9"/>
    <w:rsid w:val="00266407"/>
    <w:rsid w:val="00266671"/>
    <w:rsid w:val="00273E35"/>
    <w:rsid w:val="00275328"/>
    <w:rsid w:val="002761DB"/>
    <w:rsid w:val="002775BB"/>
    <w:rsid w:val="002775F8"/>
    <w:rsid w:val="00281180"/>
    <w:rsid w:val="0028225F"/>
    <w:rsid w:val="002831A0"/>
    <w:rsid w:val="0028411A"/>
    <w:rsid w:val="00285F96"/>
    <w:rsid w:val="002862F4"/>
    <w:rsid w:val="0029067E"/>
    <w:rsid w:val="00291156"/>
    <w:rsid w:val="00292B9D"/>
    <w:rsid w:val="00295CCE"/>
    <w:rsid w:val="0029637B"/>
    <w:rsid w:val="002A103F"/>
    <w:rsid w:val="002A3FEF"/>
    <w:rsid w:val="002A47C9"/>
    <w:rsid w:val="002A4F62"/>
    <w:rsid w:val="002A5DCA"/>
    <w:rsid w:val="002B4EC5"/>
    <w:rsid w:val="002B6EEB"/>
    <w:rsid w:val="002B7E8C"/>
    <w:rsid w:val="002C00C2"/>
    <w:rsid w:val="002C1013"/>
    <w:rsid w:val="002C1748"/>
    <w:rsid w:val="002C2641"/>
    <w:rsid w:val="002C3777"/>
    <w:rsid w:val="002C4C98"/>
    <w:rsid w:val="002C596D"/>
    <w:rsid w:val="002C62CA"/>
    <w:rsid w:val="002D28D1"/>
    <w:rsid w:val="002D35AC"/>
    <w:rsid w:val="002D3913"/>
    <w:rsid w:val="002D3CD2"/>
    <w:rsid w:val="002D40DD"/>
    <w:rsid w:val="002D66F9"/>
    <w:rsid w:val="002E03D6"/>
    <w:rsid w:val="002E2AED"/>
    <w:rsid w:val="002E3209"/>
    <w:rsid w:val="002E44AB"/>
    <w:rsid w:val="002E4C8D"/>
    <w:rsid w:val="002E51DB"/>
    <w:rsid w:val="002E6DEC"/>
    <w:rsid w:val="002F1352"/>
    <w:rsid w:val="002F4CC2"/>
    <w:rsid w:val="00301F03"/>
    <w:rsid w:val="003031FB"/>
    <w:rsid w:val="003043DB"/>
    <w:rsid w:val="0030628B"/>
    <w:rsid w:val="00310164"/>
    <w:rsid w:val="0031273E"/>
    <w:rsid w:val="00314F9D"/>
    <w:rsid w:val="00316A66"/>
    <w:rsid w:val="00316D59"/>
    <w:rsid w:val="003179B9"/>
    <w:rsid w:val="00323478"/>
    <w:rsid w:val="00324768"/>
    <w:rsid w:val="00327E67"/>
    <w:rsid w:val="003314E9"/>
    <w:rsid w:val="00332E37"/>
    <w:rsid w:val="003342F7"/>
    <w:rsid w:val="00335E12"/>
    <w:rsid w:val="00336860"/>
    <w:rsid w:val="00337F01"/>
    <w:rsid w:val="003437AD"/>
    <w:rsid w:val="00343C34"/>
    <w:rsid w:val="00344E7B"/>
    <w:rsid w:val="0034543F"/>
    <w:rsid w:val="00347CB1"/>
    <w:rsid w:val="00351AEB"/>
    <w:rsid w:val="0035499D"/>
    <w:rsid w:val="00354A68"/>
    <w:rsid w:val="003559B4"/>
    <w:rsid w:val="00355B88"/>
    <w:rsid w:val="0035685A"/>
    <w:rsid w:val="00356AA7"/>
    <w:rsid w:val="00356D60"/>
    <w:rsid w:val="00360BF4"/>
    <w:rsid w:val="00366999"/>
    <w:rsid w:val="003669D4"/>
    <w:rsid w:val="00370E01"/>
    <w:rsid w:val="00373396"/>
    <w:rsid w:val="003735C2"/>
    <w:rsid w:val="00375862"/>
    <w:rsid w:val="00380A7E"/>
    <w:rsid w:val="00380F5F"/>
    <w:rsid w:val="00386C28"/>
    <w:rsid w:val="00387584"/>
    <w:rsid w:val="0038762C"/>
    <w:rsid w:val="003917DB"/>
    <w:rsid w:val="00395419"/>
    <w:rsid w:val="00395BDE"/>
    <w:rsid w:val="003A1E00"/>
    <w:rsid w:val="003A50A1"/>
    <w:rsid w:val="003A5557"/>
    <w:rsid w:val="003B35C6"/>
    <w:rsid w:val="003B3BAA"/>
    <w:rsid w:val="003B4FF8"/>
    <w:rsid w:val="003B711F"/>
    <w:rsid w:val="003B760E"/>
    <w:rsid w:val="003B7CA3"/>
    <w:rsid w:val="003C0F87"/>
    <w:rsid w:val="003C4DEC"/>
    <w:rsid w:val="003C5F23"/>
    <w:rsid w:val="003C6509"/>
    <w:rsid w:val="003D20EF"/>
    <w:rsid w:val="003D54A5"/>
    <w:rsid w:val="003D67C4"/>
    <w:rsid w:val="003D69DC"/>
    <w:rsid w:val="003E1AFD"/>
    <w:rsid w:val="003E23BF"/>
    <w:rsid w:val="003E419F"/>
    <w:rsid w:val="003E799C"/>
    <w:rsid w:val="003F231A"/>
    <w:rsid w:val="003F2ABA"/>
    <w:rsid w:val="003F32D2"/>
    <w:rsid w:val="003F4498"/>
    <w:rsid w:val="003F4E2A"/>
    <w:rsid w:val="003F5A2D"/>
    <w:rsid w:val="003F67D8"/>
    <w:rsid w:val="00401061"/>
    <w:rsid w:val="00402FCE"/>
    <w:rsid w:val="00406DF5"/>
    <w:rsid w:val="004102A2"/>
    <w:rsid w:val="00410B00"/>
    <w:rsid w:val="004125DC"/>
    <w:rsid w:val="0041463A"/>
    <w:rsid w:val="004146ED"/>
    <w:rsid w:val="004152BE"/>
    <w:rsid w:val="004155B8"/>
    <w:rsid w:val="0041650B"/>
    <w:rsid w:val="00425528"/>
    <w:rsid w:val="00427205"/>
    <w:rsid w:val="004317A6"/>
    <w:rsid w:val="0043594B"/>
    <w:rsid w:val="00435A8B"/>
    <w:rsid w:val="004368E2"/>
    <w:rsid w:val="00437C4F"/>
    <w:rsid w:val="00440146"/>
    <w:rsid w:val="00444112"/>
    <w:rsid w:val="00444517"/>
    <w:rsid w:val="00444CEA"/>
    <w:rsid w:val="00445B42"/>
    <w:rsid w:val="00454587"/>
    <w:rsid w:val="0045473D"/>
    <w:rsid w:val="00457A2C"/>
    <w:rsid w:val="00460231"/>
    <w:rsid w:val="00461347"/>
    <w:rsid w:val="00461AA4"/>
    <w:rsid w:val="00467209"/>
    <w:rsid w:val="00471D45"/>
    <w:rsid w:val="004736FF"/>
    <w:rsid w:val="00475C6D"/>
    <w:rsid w:val="00475FE1"/>
    <w:rsid w:val="0047762E"/>
    <w:rsid w:val="00485587"/>
    <w:rsid w:val="00487A9F"/>
    <w:rsid w:val="00493631"/>
    <w:rsid w:val="00493CBA"/>
    <w:rsid w:val="00493FCF"/>
    <w:rsid w:val="0049455C"/>
    <w:rsid w:val="004962EC"/>
    <w:rsid w:val="0049697E"/>
    <w:rsid w:val="00497C6A"/>
    <w:rsid w:val="004A0F1E"/>
    <w:rsid w:val="004A24DC"/>
    <w:rsid w:val="004A256D"/>
    <w:rsid w:val="004A276B"/>
    <w:rsid w:val="004A4C1B"/>
    <w:rsid w:val="004A4C6E"/>
    <w:rsid w:val="004A51E1"/>
    <w:rsid w:val="004A669A"/>
    <w:rsid w:val="004A71E5"/>
    <w:rsid w:val="004A789C"/>
    <w:rsid w:val="004A7B2A"/>
    <w:rsid w:val="004B06D2"/>
    <w:rsid w:val="004B187A"/>
    <w:rsid w:val="004B2027"/>
    <w:rsid w:val="004B2685"/>
    <w:rsid w:val="004B293A"/>
    <w:rsid w:val="004B6040"/>
    <w:rsid w:val="004B628D"/>
    <w:rsid w:val="004B66DC"/>
    <w:rsid w:val="004B6901"/>
    <w:rsid w:val="004B7C3F"/>
    <w:rsid w:val="004C10EF"/>
    <w:rsid w:val="004C2059"/>
    <w:rsid w:val="004C5386"/>
    <w:rsid w:val="004C6BAB"/>
    <w:rsid w:val="004C6CE2"/>
    <w:rsid w:val="004D22B4"/>
    <w:rsid w:val="004D23BD"/>
    <w:rsid w:val="004D5B91"/>
    <w:rsid w:val="004D7841"/>
    <w:rsid w:val="004E1AC3"/>
    <w:rsid w:val="004E1D91"/>
    <w:rsid w:val="004E223A"/>
    <w:rsid w:val="004E2A71"/>
    <w:rsid w:val="004E2FB3"/>
    <w:rsid w:val="004E5A1B"/>
    <w:rsid w:val="004E7E3D"/>
    <w:rsid w:val="004F0382"/>
    <w:rsid w:val="004F183C"/>
    <w:rsid w:val="004F25ED"/>
    <w:rsid w:val="004F30F8"/>
    <w:rsid w:val="004F32C8"/>
    <w:rsid w:val="004F469A"/>
    <w:rsid w:val="004F6650"/>
    <w:rsid w:val="004F79C6"/>
    <w:rsid w:val="00503945"/>
    <w:rsid w:val="005061A4"/>
    <w:rsid w:val="005120DE"/>
    <w:rsid w:val="00513437"/>
    <w:rsid w:val="00514D87"/>
    <w:rsid w:val="00516F3C"/>
    <w:rsid w:val="005205BF"/>
    <w:rsid w:val="00523082"/>
    <w:rsid w:val="0052445A"/>
    <w:rsid w:val="005254D3"/>
    <w:rsid w:val="00525F06"/>
    <w:rsid w:val="0052604A"/>
    <w:rsid w:val="005266FB"/>
    <w:rsid w:val="00527BBF"/>
    <w:rsid w:val="00531035"/>
    <w:rsid w:val="00532196"/>
    <w:rsid w:val="005325D5"/>
    <w:rsid w:val="00540FF4"/>
    <w:rsid w:val="00541738"/>
    <w:rsid w:val="005433B5"/>
    <w:rsid w:val="0054506E"/>
    <w:rsid w:val="00547774"/>
    <w:rsid w:val="005503A2"/>
    <w:rsid w:val="00552985"/>
    <w:rsid w:val="00554406"/>
    <w:rsid w:val="0055474F"/>
    <w:rsid w:val="00555860"/>
    <w:rsid w:val="00556A8E"/>
    <w:rsid w:val="00556B27"/>
    <w:rsid w:val="00556F47"/>
    <w:rsid w:val="005574C5"/>
    <w:rsid w:val="00557BC1"/>
    <w:rsid w:val="00560A37"/>
    <w:rsid w:val="005619F4"/>
    <w:rsid w:val="00562104"/>
    <w:rsid w:val="005637AB"/>
    <w:rsid w:val="00564152"/>
    <w:rsid w:val="005644F1"/>
    <w:rsid w:val="00565D1D"/>
    <w:rsid w:val="00566811"/>
    <w:rsid w:val="00566F40"/>
    <w:rsid w:val="00570171"/>
    <w:rsid w:val="00571BC8"/>
    <w:rsid w:val="005732E2"/>
    <w:rsid w:val="00573571"/>
    <w:rsid w:val="005753C3"/>
    <w:rsid w:val="00575C47"/>
    <w:rsid w:val="005761B4"/>
    <w:rsid w:val="005762A5"/>
    <w:rsid w:val="00576FBD"/>
    <w:rsid w:val="00581867"/>
    <w:rsid w:val="00584A64"/>
    <w:rsid w:val="005911ED"/>
    <w:rsid w:val="00593F7E"/>
    <w:rsid w:val="0059739F"/>
    <w:rsid w:val="005A14F6"/>
    <w:rsid w:val="005A2E53"/>
    <w:rsid w:val="005A6AF9"/>
    <w:rsid w:val="005A6C73"/>
    <w:rsid w:val="005B0284"/>
    <w:rsid w:val="005B0A39"/>
    <w:rsid w:val="005B35DD"/>
    <w:rsid w:val="005B3936"/>
    <w:rsid w:val="005B62DF"/>
    <w:rsid w:val="005B6AC7"/>
    <w:rsid w:val="005B722E"/>
    <w:rsid w:val="005B73C3"/>
    <w:rsid w:val="005C1A50"/>
    <w:rsid w:val="005C1BF8"/>
    <w:rsid w:val="005C2B55"/>
    <w:rsid w:val="005D06B5"/>
    <w:rsid w:val="005D192A"/>
    <w:rsid w:val="005D198B"/>
    <w:rsid w:val="005D34BD"/>
    <w:rsid w:val="005D5479"/>
    <w:rsid w:val="005D708B"/>
    <w:rsid w:val="005D76C1"/>
    <w:rsid w:val="005E012F"/>
    <w:rsid w:val="005E12D4"/>
    <w:rsid w:val="005E247C"/>
    <w:rsid w:val="005E2601"/>
    <w:rsid w:val="005E3C94"/>
    <w:rsid w:val="005E4EA4"/>
    <w:rsid w:val="005E6AA7"/>
    <w:rsid w:val="005E7EE4"/>
    <w:rsid w:val="005F312A"/>
    <w:rsid w:val="005F31FB"/>
    <w:rsid w:val="005F6C4F"/>
    <w:rsid w:val="0060316C"/>
    <w:rsid w:val="0060476D"/>
    <w:rsid w:val="006111DB"/>
    <w:rsid w:val="00613193"/>
    <w:rsid w:val="006142C7"/>
    <w:rsid w:val="0061612F"/>
    <w:rsid w:val="0061627C"/>
    <w:rsid w:val="006165F1"/>
    <w:rsid w:val="006166B8"/>
    <w:rsid w:val="00617B08"/>
    <w:rsid w:val="00617CDE"/>
    <w:rsid w:val="006202E7"/>
    <w:rsid w:val="00620BEC"/>
    <w:rsid w:val="00621494"/>
    <w:rsid w:val="00625DE6"/>
    <w:rsid w:val="00627B0F"/>
    <w:rsid w:val="00630FA4"/>
    <w:rsid w:val="00631C54"/>
    <w:rsid w:val="006335B0"/>
    <w:rsid w:val="0063424C"/>
    <w:rsid w:val="00636B22"/>
    <w:rsid w:val="0063733F"/>
    <w:rsid w:val="00640A23"/>
    <w:rsid w:val="00642504"/>
    <w:rsid w:val="0064364B"/>
    <w:rsid w:val="00645F34"/>
    <w:rsid w:val="006504EB"/>
    <w:rsid w:val="006513C0"/>
    <w:rsid w:val="00652B95"/>
    <w:rsid w:val="0065354F"/>
    <w:rsid w:val="00653630"/>
    <w:rsid w:val="00653F39"/>
    <w:rsid w:val="00655363"/>
    <w:rsid w:val="006565B6"/>
    <w:rsid w:val="00660C8A"/>
    <w:rsid w:val="006614C5"/>
    <w:rsid w:val="00661D37"/>
    <w:rsid w:val="006643E4"/>
    <w:rsid w:val="006702C0"/>
    <w:rsid w:val="0067126E"/>
    <w:rsid w:val="0067243B"/>
    <w:rsid w:val="006733B6"/>
    <w:rsid w:val="0067347E"/>
    <w:rsid w:val="0067530C"/>
    <w:rsid w:val="00681321"/>
    <w:rsid w:val="00682352"/>
    <w:rsid w:val="00682F33"/>
    <w:rsid w:val="006831BA"/>
    <w:rsid w:val="00686C52"/>
    <w:rsid w:val="00694DB3"/>
    <w:rsid w:val="00697472"/>
    <w:rsid w:val="00697D82"/>
    <w:rsid w:val="006A03EC"/>
    <w:rsid w:val="006A0664"/>
    <w:rsid w:val="006A29E2"/>
    <w:rsid w:val="006A547F"/>
    <w:rsid w:val="006B252A"/>
    <w:rsid w:val="006B2A9F"/>
    <w:rsid w:val="006B33C4"/>
    <w:rsid w:val="006B3593"/>
    <w:rsid w:val="006B3903"/>
    <w:rsid w:val="006B4901"/>
    <w:rsid w:val="006B61CF"/>
    <w:rsid w:val="006B7BED"/>
    <w:rsid w:val="006C2080"/>
    <w:rsid w:val="006C2AFE"/>
    <w:rsid w:val="006C3504"/>
    <w:rsid w:val="006C3A76"/>
    <w:rsid w:val="006C5809"/>
    <w:rsid w:val="006C6409"/>
    <w:rsid w:val="006D1174"/>
    <w:rsid w:val="006D19C7"/>
    <w:rsid w:val="006D3CC2"/>
    <w:rsid w:val="006D67D7"/>
    <w:rsid w:val="006D6C97"/>
    <w:rsid w:val="006D71B2"/>
    <w:rsid w:val="006D7744"/>
    <w:rsid w:val="006D7F5B"/>
    <w:rsid w:val="006E14A6"/>
    <w:rsid w:val="006E1B84"/>
    <w:rsid w:val="006E2A66"/>
    <w:rsid w:val="006E5CFF"/>
    <w:rsid w:val="006E5F3A"/>
    <w:rsid w:val="006E6E59"/>
    <w:rsid w:val="006F1890"/>
    <w:rsid w:val="006F225B"/>
    <w:rsid w:val="006F6803"/>
    <w:rsid w:val="006F7772"/>
    <w:rsid w:val="0070608D"/>
    <w:rsid w:val="007061FB"/>
    <w:rsid w:val="00706915"/>
    <w:rsid w:val="007075CE"/>
    <w:rsid w:val="007102B1"/>
    <w:rsid w:val="00712D24"/>
    <w:rsid w:val="00712EA9"/>
    <w:rsid w:val="00714BC8"/>
    <w:rsid w:val="007168A9"/>
    <w:rsid w:val="00722CF4"/>
    <w:rsid w:val="00722DD7"/>
    <w:rsid w:val="00723EEF"/>
    <w:rsid w:val="007267A1"/>
    <w:rsid w:val="007307E8"/>
    <w:rsid w:val="00730DB0"/>
    <w:rsid w:val="00731665"/>
    <w:rsid w:val="007348B2"/>
    <w:rsid w:val="00736DAB"/>
    <w:rsid w:val="0074001A"/>
    <w:rsid w:val="00740D89"/>
    <w:rsid w:val="00742E6D"/>
    <w:rsid w:val="00742E7A"/>
    <w:rsid w:val="00745293"/>
    <w:rsid w:val="00745F10"/>
    <w:rsid w:val="007475AD"/>
    <w:rsid w:val="00747EE4"/>
    <w:rsid w:val="00751CFC"/>
    <w:rsid w:val="00752604"/>
    <w:rsid w:val="00754A31"/>
    <w:rsid w:val="00755308"/>
    <w:rsid w:val="00757396"/>
    <w:rsid w:val="007579DA"/>
    <w:rsid w:val="007608BD"/>
    <w:rsid w:val="00760E4E"/>
    <w:rsid w:val="00760E58"/>
    <w:rsid w:val="0076105E"/>
    <w:rsid w:val="007621B7"/>
    <w:rsid w:val="007631B8"/>
    <w:rsid w:val="00763376"/>
    <w:rsid w:val="00763F03"/>
    <w:rsid w:val="0076460F"/>
    <w:rsid w:val="00764ED0"/>
    <w:rsid w:val="007651B3"/>
    <w:rsid w:val="007657C5"/>
    <w:rsid w:val="00765D80"/>
    <w:rsid w:val="00767580"/>
    <w:rsid w:val="00767C35"/>
    <w:rsid w:val="0077097B"/>
    <w:rsid w:val="007758E5"/>
    <w:rsid w:val="00775C42"/>
    <w:rsid w:val="0077759F"/>
    <w:rsid w:val="00780E21"/>
    <w:rsid w:val="00784BCC"/>
    <w:rsid w:val="00786A74"/>
    <w:rsid w:val="00787686"/>
    <w:rsid w:val="00787B07"/>
    <w:rsid w:val="00790223"/>
    <w:rsid w:val="0079062A"/>
    <w:rsid w:val="00793F58"/>
    <w:rsid w:val="007968F6"/>
    <w:rsid w:val="007A0DC2"/>
    <w:rsid w:val="007A35A6"/>
    <w:rsid w:val="007A3956"/>
    <w:rsid w:val="007A3DA7"/>
    <w:rsid w:val="007A42F9"/>
    <w:rsid w:val="007A6552"/>
    <w:rsid w:val="007A6B34"/>
    <w:rsid w:val="007B0474"/>
    <w:rsid w:val="007B19CC"/>
    <w:rsid w:val="007B2082"/>
    <w:rsid w:val="007B2999"/>
    <w:rsid w:val="007B2D75"/>
    <w:rsid w:val="007B71AE"/>
    <w:rsid w:val="007C26D6"/>
    <w:rsid w:val="007C75E7"/>
    <w:rsid w:val="007D0CE6"/>
    <w:rsid w:val="007D1727"/>
    <w:rsid w:val="007D20E7"/>
    <w:rsid w:val="007D2A13"/>
    <w:rsid w:val="007D4F2B"/>
    <w:rsid w:val="007D4F9D"/>
    <w:rsid w:val="007E08D5"/>
    <w:rsid w:val="007E1B00"/>
    <w:rsid w:val="007E33D8"/>
    <w:rsid w:val="007E3879"/>
    <w:rsid w:val="007E3E35"/>
    <w:rsid w:val="007E44F4"/>
    <w:rsid w:val="007E56EA"/>
    <w:rsid w:val="007F01E4"/>
    <w:rsid w:val="007F6BDF"/>
    <w:rsid w:val="007F6FBF"/>
    <w:rsid w:val="00802C35"/>
    <w:rsid w:val="00802CC8"/>
    <w:rsid w:val="00803926"/>
    <w:rsid w:val="00803BBD"/>
    <w:rsid w:val="00803C41"/>
    <w:rsid w:val="00806AEA"/>
    <w:rsid w:val="00807BE7"/>
    <w:rsid w:val="00812AEB"/>
    <w:rsid w:val="008138AB"/>
    <w:rsid w:val="00813EDD"/>
    <w:rsid w:val="00814431"/>
    <w:rsid w:val="00815A7F"/>
    <w:rsid w:val="00817CA8"/>
    <w:rsid w:val="0082417C"/>
    <w:rsid w:val="00827300"/>
    <w:rsid w:val="0082786B"/>
    <w:rsid w:val="00830ACE"/>
    <w:rsid w:val="00830DA6"/>
    <w:rsid w:val="008323A4"/>
    <w:rsid w:val="00833C95"/>
    <w:rsid w:val="008376DD"/>
    <w:rsid w:val="0084002E"/>
    <w:rsid w:val="0084169A"/>
    <w:rsid w:val="00842EEE"/>
    <w:rsid w:val="00843483"/>
    <w:rsid w:val="00844757"/>
    <w:rsid w:val="0084560E"/>
    <w:rsid w:val="00847E21"/>
    <w:rsid w:val="00847F9B"/>
    <w:rsid w:val="008528CE"/>
    <w:rsid w:val="008529AB"/>
    <w:rsid w:val="008536EE"/>
    <w:rsid w:val="00857D0F"/>
    <w:rsid w:val="00857E6D"/>
    <w:rsid w:val="0086261B"/>
    <w:rsid w:val="00862CEB"/>
    <w:rsid w:val="0086434D"/>
    <w:rsid w:val="00875E12"/>
    <w:rsid w:val="0087776B"/>
    <w:rsid w:val="00877B40"/>
    <w:rsid w:val="008802B3"/>
    <w:rsid w:val="00882B2F"/>
    <w:rsid w:val="008831CF"/>
    <w:rsid w:val="00883A16"/>
    <w:rsid w:val="0088405C"/>
    <w:rsid w:val="00887C89"/>
    <w:rsid w:val="008905D6"/>
    <w:rsid w:val="00890D77"/>
    <w:rsid w:val="008911C7"/>
    <w:rsid w:val="008915E6"/>
    <w:rsid w:val="008978B2"/>
    <w:rsid w:val="008A1049"/>
    <w:rsid w:val="008A1159"/>
    <w:rsid w:val="008A16A2"/>
    <w:rsid w:val="008A1B96"/>
    <w:rsid w:val="008A1D8A"/>
    <w:rsid w:val="008A23EE"/>
    <w:rsid w:val="008A52BF"/>
    <w:rsid w:val="008A7F92"/>
    <w:rsid w:val="008B1BA4"/>
    <w:rsid w:val="008B3869"/>
    <w:rsid w:val="008B46D2"/>
    <w:rsid w:val="008B5CDA"/>
    <w:rsid w:val="008B5FCA"/>
    <w:rsid w:val="008B7695"/>
    <w:rsid w:val="008C106F"/>
    <w:rsid w:val="008C134B"/>
    <w:rsid w:val="008C1A32"/>
    <w:rsid w:val="008C37E9"/>
    <w:rsid w:val="008C5FF2"/>
    <w:rsid w:val="008D0F65"/>
    <w:rsid w:val="008D10F2"/>
    <w:rsid w:val="008D733D"/>
    <w:rsid w:val="008E03A6"/>
    <w:rsid w:val="008E0B93"/>
    <w:rsid w:val="008E0F76"/>
    <w:rsid w:val="008E280F"/>
    <w:rsid w:val="008E3BD5"/>
    <w:rsid w:val="008E44DA"/>
    <w:rsid w:val="008E5E80"/>
    <w:rsid w:val="008F391C"/>
    <w:rsid w:val="008F582C"/>
    <w:rsid w:val="008F7120"/>
    <w:rsid w:val="009029A3"/>
    <w:rsid w:val="00903D21"/>
    <w:rsid w:val="00904B9F"/>
    <w:rsid w:val="00906AAF"/>
    <w:rsid w:val="0090744F"/>
    <w:rsid w:val="00910392"/>
    <w:rsid w:val="009105C7"/>
    <w:rsid w:val="00910F3E"/>
    <w:rsid w:val="00911549"/>
    <w:rsid w:val="009141BA"/>
    <w:rsid w:val="00915D2A"/>
    <w:rsid w:val="00915E26"/>
    <w:rsid w:val="00916377"/>
    <w:rsid w:val="0092230B"/>
    <w:rsid w:val="0092361E"/>
    <w:rsid w:val="00926CF7"/>
    <w:rsid w:val="00930B42"/>
    <w:rsid w:val="00930F86"/>
    <w:rsid w:val="0093295F"/>
    <w:rsid w:val="00934262"/>
    <w:rsid w:val="00937108"/>
    <w:rsid w:val="0094659F"/>
    <w:rsid w:val="00946F85"/>
    <w:rsid w:val="00947053"/>
    <w:rsid w:val="00950938"/>
    <w:rsid w:val="00950FF9"/>
    <w:rsid w:val="00951C83"/>
    <w:rsid w:val="00953F4B"/>
    <w:rsid w:val="00955623"/>
    <w:rsid w:val="00960B0D"/>
    <w:rsid w:val="0096204F"/>
    <w:rsid w:val="0096253F"/>
    <w:rsid w:val="009631F2"/>
    <w:rsid w:val="00964104"/>
    <w:rsid w:val="009645F0"/>
    <w:rsid w:val="00966756"/>
    <w:rsid w:val="009669C0"/>
    <w:rsid w:val="00966D95"/>
    <w:rsid w:val="00970740"/>
    <w:rsid w:val="00972BE3"/>
    <w:rsid w:val="00973838"/>
    <w:rsid w:val="00973985"/>
    <w:rsid w:val="00981080"/>
    <w:rsid w:val="00981945"/>
    <w:rsid w:val="009835E5"/>
    <w:rsid w:val="009842ED"/>
    <w:rsid w:val="009849B1"/>
    <w:rsid w:val="0098555C"/>
    <w:rsid w:val="00985ACD"/>
    <w:rsid w:val="009870B4"/>
    <w:rsid w:val="00987B23"/>
    <w:rsid w:val="00987DE1"/>
    <w:rsid w:val="00990163"/>
    <w:rsid w:val="009913B8"/>
    <w:rsid w:val="00992B1F"/>
    <w:rsid w:val="0099385B"/>
    <w:rsid w:val="0099661B"/>
    <w:rsid w:val="00996D50"/>
    <w:rsid w:val="009A04D5"/>
    <w:rsid w:val="009A0682"/>
    <w:rsid w:val="009A26EA"/>
    <w:rsid w:val="009A2DD9"/>
    <w:rsid w:val="009A3819"/>
    <w:rsid w:val="009A5DC7"/>
    <w:rsid w:val="009A75E0"/>
    <w:rsid w:val="009B055F"/>
    <w:rsid w:val="009B0F44"/>
    <w:rsid w:val="009B2B02"/>
    <w:rsid w:val="009B2F0A"/>
    <w:rsid w:val="009B3249"/>
    <w:rsid w:val="009B35B4"/>
    <w:rsid w:val="009B3B30"/>
    <w:rsid w:val="009B589E"/>
    <w:rsid w:val="009B6206"/>
    <w:rsid w:val="009C03B7"/>
    <w:rsid w:val="009C1631"/>
    <w:rsid w:val="009C1921"/>
    <w:rsid w:val="009C513A"/>
    <w:rsid w:val="009C56C3"/>
    <w:rsid w:val="009C59DF"/>
    <w:rsid w:val="009C694D"/>
    <w:rsid w:val="009D093C"/>
    <w:rsid w:val="009D148F"/>
    <w:rsid w:val="009D1FE8"/>
    <w:rsid w:val="009D29F1"/>
    <w:rsid w:val="009D309F"/>
    <w:rsid w:val="009D3993"/>
    <w:rsid w:val="009E2EB7"/>
    <w:rsid w:val="009E31CF"/>
    <w:rsid w:val="009E45DE"/>
    <w:rsid w:val="009E4CD9"/>
    <w:rsid w:val="009E61C3"/>
    <w:rsid w:val="009E629C"/>
    <w:rsid w:val="009E6504"/>
    <w:rsid w:val="009E69A8"/>
    <w:rsid w:val="009F411F"/>
    <w:rsid w:val="009F49C7"/>
    <w:rsid w:val="009F5996"/>
    <w:rsid w:val="00A02BCA"/>
    <w:rsid w:val="00A02D19"/>
    <w:rsid w:val="00A03486"/>
    <w:rsid w:val="00A05196"/>
    <w:rsid w:val="00A055C6"/>
    <w:rsid w:val="00A06FB5"/>
    <w:rsid w:val="00A1068A"/>
    <w:rsid w:val="00A109F5"/>
    <w:rsid w:val="00A122D3"/>
    <w:rsid w:val="00A163E0"/>
    <w:rsid w:val="00A16E76"/>
    <w:rsid w:val="00A21E73"/>
    <w:rsid w:val="00A2434D"/>
    <w:rsid w:val="00A249D9"/>
    <w:rsid w:val="00A2522C"/>
    <w:rsid w:val="00A300C0"/>
    <w:rsid w:val="00A350DE"/>
    <w:rsid w:val="00A371DE"/>
    <w:rsid w:val="00A420B9"/>
    <w:rsid w:val="00A43169"/>
    <w:rsid w:val="00A43CAF"/>
    <w:rsid w:val="00A453AC"/>
    <w:rsid w:val="00A468E8"/>
    <w:rsid w:val="00A50331"/>
    <w:rsid w:val="00A54CF9"/>
    <w:rsid w:val="00A576F7"/>
    <w:rsid w:val="00A602EF"/>
    <w:rsid w:val="00A60649"/>
    <w:rsid w:val="00A6065E"/>
    <w:rsid w:val="00A611ED"/>
    <w:rsid w:val="00A618BE"/>
    <w:rsid w:val="00A61B97"/>
    <w:rsid w:val="00A61D57"/>
    <w:rsid w:val="00A62299"/>
    <w:rsid w:val="00A66B7A"/>
    <w:rsid w:val="00A66D35"/>
    <w:rsid w:val="00A671C9"/>
    <w:rsid w:val="00A70BF9"/>
    <w:rsid w:val="00A72BF6"/>
    <w:rsid w:val="00A730AC"/>
    <w:rsid w:val="00A74E7A"/>
    <w:rsid w:val="00A7610C"/>
    <w:rsid w:val="00A80328"/>
    <w:rsid w:val="00A81585"/>
    <w:rsid w:val="00A8524A"/>
    <w:rsid w:val="00A8594E"/>
    <w:rsid w:val="00A8624E"/>
    <w:rsid w:val="00A863AC"/>
    <w:rsid w:val="00A91BD3"/>
    <w:rsid w:val="00A92078"/>
    <w:rsid w:val="00A930B2"/>
    <w:rsid w:val="00A936F1"/>
    <w:rsid w:val="00A95B11"/>
    <w:rsid w:val="00A96009"/>
    <w:rsid w:val="00A97646"/>
    <w:rsid w:val="00A97DD1"/>
    <w:rsid w:val="00A97FAC"/>
    <w:rsid w:val="00AA35D9"/>
    <w:rsid w:val="00AA4C34"/>
    <w:rsid w:val="00AA5027"/>
    <w:rsid w:val="00AA5B77"/>
    <w:rsid w:val="00AA6D3E"/>
    <w:rsid w:val="00AA78CC"/>
    <w:rsid w:val="00AB06DE"/>
    <w:rsid w:val="00AB32CB"/>
    <w:rsid w:val="00AB4CDC"/>
    <w:rsid w:val="00AB5397"/>
    <w:rsid w:val="00AB7D29"/>
    <w:rsid w:val="00AC0B2D"/>
    <w:rsid w:val="00AC4C31"/>
    <w:rsid w:val="00AC5FB3"/>
    <w:rsid w:val="00AC70A3"/>
    <w:rsid w:val="00AC792B"/>
    <w:rsid w:val="00AD0C57"/>
    <w:rsid w:val="00AD47EC"/>
    <w:rsid w:val="00AD76E0"/>
    <w:rsid w:val="00AE0FC9"/>
    <w:rsid w:val="00AE1DA5"/>
    <w:rsid w:val="00AE3907"/>
    <w:rsid w:val="00AE3DFB"/>
    <w:rsid w:val="00AE3E9F"/>
    <w:rsid w:val="00AE6D3A"/>
    <w:rsid w:val="00AE6FBC"/>
    <w:rsid w:val="00AF385D"/>
    <w:rsid w:val="00B04FB0"/>
    <w:rsid w:val="00B060D4"/>
    <w:rsid w:val="00B077E0"/>
    <w:rsid w:val="00B07C96"/>
    <w:rsid w:val="00B07ED4"/>
    <w:rsid w:val="00B111AF"/>
    <w:rsid w:val="00B11C94"/>
    <w:rsid w:val="00B14DA6"/>
    <w:rsid w:val="00B160AE"/>
    <w:rsid w:val="00B21AEF"/>
    <w:rsid w:val="00B236A8"/>
    <w:rsid w:val="00B27966"/>
    <w:rsid w:val="00B27BCB"/>
    <w:rsid w:val="00B31427"/>
    <w:rsid w:val="00B32633"/>
    <w:rsid w:val="00B35D83"/>
    <w:rsid w:val="00B406AA"/>
    <w:rsid w:val="00B4076D"/>
    <w:rsid w:val="00B409BB"/>
    <w:rsid w:val="00B40CEF"/>
    <w:rsid w:val="00B418C2"/>
    <w:rsid w:val="00B4455F"/>
    <w:rsid w:val="00B46566"/>
    <w:rsid w:val="00B46FC0"/>
    <w:rsid w:val="00B47566"/>
    <w:rsid w:val="00B501C3"/>
    <w:rsid w:val="00B5068B"/>
    <w:rsid w:val="00B50B2E"/>
    <w:rsid w:val="00B51229"/>
    <w:rsid w:val="00B520BF"/>
    <w:rsid w:val="00B52229"/>
    <w:rsid w:val="00B528D1"/>
    <w:rsid w:val="00B533BA"/>
    <w:rsid w:val="00B533C5"/>
    <w:rsid w:val="00B53FCB"/>
    <w:rsid w:val="00B5417D"/>
    <w:rsid w:val="00B57C4E"/>
    <w:rsid w:val="00B60DED"/>
    <w:rsid w:val="00B625A6"/>
    <w:rsid w:val="00B63F94"/>
    <w:rsid w:val="00B63FCA"/>
    <w:rsid w:val="00B64BD0"/>
    <w:rsid w:val="00B64EF0"/>
    <w:rsid w:val="00B71F7C"/>
    <w:rsid w:val="00B74A46"/>
    <w:rsid w:val="00B76E3D"/>
    <w:rsid w:val="00B82A94"/>
    <w:rsid w:val="00B8480A"/>
    <w:rsid w:val="00B85D94"/>
    <w:rsid w:val="00B90654"/>
    <w:rsid w:val="00B91092"/>
    <w:rsid w:val="00B91DFC"/>
    <w:rsid w:val="00B944ED"/>
    <w:rsid w:val="00B95580"/>
    <w:rsid w:val="00B97C79"/>
    <w:rsid w:val="00B97C97"/>
    <w:rsid w:val="00BA2902"/>
    <w:rsid w:val="00BA3D70"/>
    <w:rsid w:val="00BA44AC"/>
    <w:rsid w:val="00BA6B8A"/>
    <w:rsid w:val="00BB0267"/>
    <w:rsid w:val="00BB046B"/>
    <w:rsid w:val="00BB10E2"/>
    <w:rsid w:val="00BB125D"/>
    <w:rsid w:val="00BB1C2E"/>
    <w:rsid w:val="00BB260D"/>
    <w:rsid w:val="00BB2ADD"/>
    <w:rsid w:val="00BB2C27"/>
    <w:rsid w:val="00BB46D2"/>
    <w:rsid w:val="00BB5F9A"/>
    <w:rsid w:val="00BB6C96"/>
    <w:rsid w:val="00BC1EB0"/>
    <w:rsid w:val="00BC26A3"/>
    <w:rsid w:val="00BC3134"/>
    <w:rsid w:val="00BC44C7"/>
    <w:rsid w:val="00BC60C2"/>
    <w:rsid w:val="00BC79D3"/>
    <w:rsid w:val="00BD10D3"/>
    <w:rsid w:val="00BD2E1A"/>
    <w:rsid w:val="00BD6790"/>
    <w:rsid w:val="00BD7C94"/>
    <w:rsid w:val="00BE040E"/>
    <w:rsid w:val="00BE433A"/>
    <w:rsid w:val="00BE5665"/>
    <w:rsid w:val="00BE7331"/>
    <w:rsid w:val="00BF1568"/>
    <w:rsid w:val="00BF3789"/>
    <w:rsid w:val="00BF5853"/>
    <w:rsid w:val="00C004F5"/>
    <w:rsid w:val="00C0092E"/>
    <w:rsid w:val="00C01823"/>
    <w:rsid w:val="00C046D2"/>
    <w:rsid w:val="00C05FA1"/>
    <w:rsid w:val="00C0621F"/>
    <w:rsid w:val="00C07427"/>
    <w:rsid w:val="00C07770"/>
    <w:rsid w:val="00C124D4"/>
    <w:rsid w:val="00C156FD"/>
    <w:rsid w:val="00C15E94"/>
    <w:rsid w:val="00C25E8F"/>
    <w:rsid w:val="00C264AD"/>
    <w:rsid w:val="00C31183"/>
    <w:rsid w:val="00C350CB"/>
    <w:rsid w:val="00C35217"/>
    <w:rsid w:val="00C359E5"/>
    <w:rsid w:val="00C37D1E"/>
    <w:rsid w:val="00C406C0"/>
    <w:rsid w:val="00C40758"/>
    <w:rsid w:val="00C40EF0"/>
    <w:rsid w:val="00C46EB2"/>
    <w:rsid w:val="00C47392"/>
    <w:rsid w:val="00C479CD"/>
    <w:rsid w:val="00C522B6"/>
    <w:rsid w:val="00C54BDA"/>
    <w:rsid w:val="00C55A03"/>
    <w:rsid w:val="00C56E15"/>
    <w:rsid w:val="00C60DD5"/>
    <w:rsid w:val="00C61CE7"/>
    <w:rsid w:val="00C6205D"/>
    <w:rsid w:val="00C669B6"/>
    <w:rsid w:val="00C66C40"/>
    <w:rsid w:val="00C6732D"/>
    <w:rsid w:val="00C678EF"/>
    <w:rsid w:val="00C7010B"/>
    <w:rsid w:val="00C808B0"/>
    <w:rsid w:val="00C810C7"/>
    <w:rsid w:val="00C81640"/>
    <w:rsid w:val="00C82C96"/>
    <w:rsid w:val="00C82D50"/>
    <w:rsid w:val="00C830F2"/>
    <w:rsid w:val="00C87D35"/>
    <w:rsid w:val="00C915B3"/>
    <w:rsid w:val="00C9694D"/>
    <w:rsid w:val="00CA0466"/>
    <w:rsid w:val="00CA3D0E"/>
    <w:rsid w:val="00CA4A38"/>
    <w:rsid w:val="00CA5727"/>
    <w:rsid w:val="00CA74E5"/>
    <w:rsid w:val="00CA7867"/>
    <w:rsid w:val="00CA79D7"/>
    <w:rsid w:val="00CB014F"/>
    <w:rsid w:val="00CB4D9E"/>
    <w:rsid w:val="00CB5C9D"/>
    <w:rsid w:val="00CB7385"/>
    <w:rsid w:val="00CC2B6D"/>
    <w:rsid w:val="00CC3381"/>
    <w:rsid w:val="00CC5151"/>
    <w:rsid w:val="00CC7CE5"/>
    <w:rsid w:val="00CC7D12"/>
    <w:rsid w:val="00CD168F"/>
    <w:rsid w:val="00CD1898"/>
    <w:rsid w:val="00CD6BEF"/>
    <w:rsid w:val="00CD6FEC"/>
    <w:rsid w:val="00CD79F7"/>
    <w:rsid w:val="00CE2D14"/>
    <w:rsid w:val="00CE4F15"/>
    <w:rsid w:val="00CE600E"/>
    <w:rsid w:val="00CF0B9D"/>
    <w:rsid w:val="00CF1D28"/>
    <w:rsid w:val="00CF4EC5"/>
    <w:rsid w:val="00CF60E6"/>
    <w:rsid w:val="00CF702E"/>
    <w:rsid w:val="00CF74D1"/>
    <w:rsid w:val="00D01685"/>
    <w:rsid w:val="00D01BA1"/>
    <w:rsid w:val="00D0641A"/>
    <w:rsid w:val="00D07078"/>
    <w:rsid w:val="00D07951"/>
    <w:rsid w:val="00D1028B"/>
    <w:rsid w:val="00D112A5"/>
    <w:rsid w:val="00D122E7"/>
    <w:rsid w:val="00D143D2"/>
    <w:rsid w:val="00D14708"/>
    <w:rsid w:val="00D14A8C"/>
    <w:rsid w:val="00D17539"/>
    <w:rsid w:val="00D21F99"/>
    <w:rsid w:val="00D250A0"/>
    <w:rsid w:val="00D30BB6"/>
    <w:rsid w:val="00D31863"/>
    <w:rsid w:val="00D34B4A"/>
    <w:rsid w:val="00D3509B"/>
    <w:rsid w:val="00D36AC3"/>
    <w:rsid w:val="00D412D2"/>
    <w:rsid w:val="00D4292D"/>
    <w:rsid w:val="00D43778"/>
    <w:rsid w:val="00D469B2"/>
    <w:rsid w:val="00D46A96"/>
    <w:rsid w:val="00D47294"/>
    <w:rsid w:val="00D476C2"/>
    <w:rsid w:val="00D50345"/>
    <w:rsid w:val="00D513E6"/>
    <w:rsid w:val="00D52AE7"/>
    <w:rsid w:val="00D535EE"/>
    <w:rsid w:val="00D554FB"/>
    <w:rsid w:val="00D570DC"/>
    <w:rsid w:val="00D60584"/>
    <w:rsid w:val="00D6331D"/>
    <w:rsid w:val="00D64013"/>
    <w:rsid w:val="00D642AC"/>
    <w:rsid w:val="00D66EE5"/>
    <w:rsid w:val="00D66FDA"/>
    <w:rsid w:val="00D7013A"/>
    <w:rsid w:val="00D7288C"/>
    <w:rsid w:val="00D73FCD"/>
    <w:rsid w:val="00D7411C"/>
    <w:rsid w:val="00D77314"/>
    <w:rsid w:val="00D77BA4"/>
    <w:rsid w:val="00D81F59"/>
    <w:rsid w:val="00D82135"/>
    <w:rsid w:val="00D84A70"/>
    <w:rsid w:val="00D857C8"/>
    <w:rsid w:val="00D869A6"/>
    <w:rsid w:val="00D87846"/>
    <w:rsid w:val="00D90451"/>
    <w:rsid w:val="00D93050"/>
    <w:rsid w:val="00D96445"/>
    <w:rsid w:val="00D979BE"/>
    <w:rsid w:val="00D97BA1"/>
    <w:rsid w:val="00DA1DC7"/>
    <w:rsid w:val="00DA1EFE"/>
    <w:rsid w:val="00DA55E8"/>
    <w:rsid w:val="00DB1F82"/>
    <w:rsid w:val="00DB35FF"/>
    <w:rsid w:val="00DB5378"/>
    <w:rsid w:val="00DB73E7"/>
    <w:rsid w:val="00DC0137"/>
    <w:rsid w:val="00DC0840"/>
    <w:rsid w:val="00DC396A"/>
    <w:rsid w:val="00DC427A"/>
    <w:rsid w:val="00DC6C8F"/>
    <w:rsid w:val="00DC71A0"/>
    <w:rsid w:val="00DC7AA8"/>
    <w:rsid w:val="00DD3D71"/>
    <w:rsid w:val="00DD7C0F"/>
    <w:rsid w:val="00DE03B7"/>
    <w:rsid w:val="00DE05EF"/>
    <w:rsid w:val="00DE16C5"/>
    <w:rsid w:val="00DE21DC"/>
    <w:rsid w:val="00DE3C8A"/>
    <w:rsid w:val="00DE443C"/>
    <w:rsid w:val="00DE4579"/>
    <w:rsid w:val="00DE4E76"/>
    <w:rsid w:val="00DE4F35"/>
    <w:rsid w:val="00DE5604"/>
    <w:rsid w:val="00DF0218"/>
    <w:rsid w:val="00DF2FEB"/>
    <w:rsid w:val="00DF4F49"/>
    <w:rsid w:val="00DF5E2C"/>
    <w:rsid w:val="00E007A3"/>
    <w:rsid w:val="00E02E21"/>
    <w:rsid w:val="00E02F9C"/>
    <w:rsid w:val="00E10206"/>
    <w:rsid w:val="00E1326E"/>
    <w:rsid w:val="00E136DB"/>
    <w:rsid w:val="00E16A5B"/>
    <w:rsid w:val="00E20EEE"/>
    <w:rsid w:val="00E23731"/>
    <w:rsid w:val="00E25452"/>
    <w:rsid w:val="00E255EC"/>
    <w:rsid w:val="00E271A4"/>
    <w:rsid w:val="00E301E3"/>
    <w:rsid w:val="00E338CD"/>
    <w:rsid w:val="00E36533"/>
    <w:rsid w:val="00E374FE"/>
    <w:rsid w:val="00E40A83"/>
    <w:rsid w:val="00E41780"/>
    <w:rsid w:val="00E42F03"/>
    <w:rsid w:val="00E4335A"/>
    <w:rsid w:val="00E45052"/>
    <w:rsid w:val="00E45E2C"/>
    <w:rsid w:val="00E508E5"/>
    <w:rsid w:val="00E522C4"/>
    <w:rsid w:val="00E53C5E"/>
    <w:rsid w:val="00E55F97"/>
    <w:rsid w:val="00E56CA1"/>
    <w:rsid w:val="00E61C1D"/>
    <w:rsid w:val="00E622C0"/>
    <w:rsid w:val="00E63DC0"/>
    <w:rsid w:val="00E6466E"/>
    <w:rsid w:val="00E65A64"/>
    <w:rsid w:val="00E67BFF"/>
    <w:rsid w:val="00E72500"/>
    <w:rsid w:val="00E75611"/>
    <w:rsid w:val="00E80E94"/>
    <w:rsid w:val="00E81AB8"/>
    <w:rsid w:val="00E81B65"/>
    <w:rsid w:val="00E81FCD"/>
    <w:rsid w:val="00E82199"/>
    <w:rsid w:val="00E84E27"/>
    <w:rsid w:val="00E85B5F"/>
    <w:rsid w:val="00E90B9F"/>
    <w:rsid w:val="00E91937"/>
    <w:rsid w:val="00E94418"/>
    <w:rsid w:val="00E946E2"/>
    <w:rsid w:val="00E96FDE"/>
    <w:rsid w:val="00EA2C50"/>
    <w:rsid w:val="00EA372D"/>
    <w:rsid w:val="00EA5571"/>
    <w:rsid w:val="00EA6EB9"/>
    <w:rsid w:val="00EB1DE5"/>
    <w:rsid w:val="00EB65AA"/>
    <w:rsid w:val="00EB700C"/>
    <w:rsid w:val="00EB7FD0"/>
    <w:rsid w:val="00EC1211"/>
    <w:rsid w:val="00EC2AD1"/>
    <w:rsid w:val="00EC6069"/>
    <w:rsid w:val="00ED3AD0"/>
    <w:rsid w:val="00ED450A"/>
    <w:rsid w:val="00ED4DF0"/>
    <w:rsid w:val="00ED5A04"/>
    <w:rsid w:val="00ED7260"/>
    <w:rsid w:val="00EE0F56"/>
    <w:rsid w:val="00EE1F45"/>
    <w:rsid w:val="00EE32E8"/>
    <w:rsid w:val="00EE34A6"/>
    <w:rsid w:val="00EE39E1"/>
    <w:rsid w:val="00EE4A02"/>
    <w:rsid w:val="00EE4F78"/>
    <w:rsid w:val="00EE72AA"/>
    <w:rsid w:val="00EF123D"/>
    <w:rsid w:val="00EF32EC"/>
    <w:rsid w:val="00EF44CE"/>
    <w:rsid w:val="00EF5537"/>
    <w:rsid w:val="00EF62C0"/>
    <w:rsid w:val="00EF6521"/>
    <w:rsid w:val="00F010CD"/>
    <w:rsid w:val="00F0123E"/>
    <w:rsid w:val="00F025BE"/>
    <w:rsid w:val="00F042D2"/>
    <w:rsid w:val="00F10D26"/>
    <w:rsid w:val="00F137CE"/>
    <w:rsid w:val="00F175F4"/>
    <w:rsid w:val="00F17649"/>
    <w:rsid w:val="00F2110E"/>
    <w:rsid w:val="00F3216C"/>
    <w:rsid w:val="00F325F6"/>
    <w:rsid w:val="00F34534"/>
    <w:rsid w:val="00F34F6E"/>
    <w:rsid w:val="00F37D16"/>
    <w:rsid w:val="00F402E1"/>
    <w:rsid w:val="00F4131D"/>
    <w:rsid w:val="00F41DDE"/>
    <w:rsid w:val="00F41E94"/>
    <w:rsid w:val="00F47101"/>
    <w:rsid w:val="00F50F6E"/>
    <w:rsid w:val="00F57158"/>
    <w:rsid w:val="00F57DF7"/>
    <w:rsid w:val="00F618D6"/>
    <w:rsid w:val="00F62E21"/>
    <w:rsid w:val="00F6758D"/>
    <w:rsid w:val="00F67C3A"/>
    <w:rsid w:val="00F724A9"/>
    <w:rsid w:val="00F732F8"/>
    <w:rsid w:val="00F7346B"/>
    <w:rsid w:val="00F765A2"/>
    <w:rsid w:val="00F76F77"/>
    <w:rsid w:val="00F805E4"/>
    <w:rsid w:val="00F806F5"/>
    <w:rsid w:val="00F811A5"/>
    <w:rsid w:val="00F83920"/>
    <w:rsid w:val="00F85454"/>
    <w:rsid w:val="00F86BBF"/>
    <w:rsid w:val="00F876BD"/>
    <w:rsid w:val="00F87D5F"/>
    <w:rsid w:val="00F922B9"/>
    <w:rsid w:val="00F92959"/>
    <w:rsid w:val="00F9358D"/>
    <w:rsid w:val="00F96522"/>
    <w:rsid w:val="00F96E8E"/>
    <w:rsid w:val="00FA0F4D"/>
    <w:rsid w:val="00FA2D07"/>
    <w:rsid w:val="00FA368A"/>
    <w:rsid w:val="00FA3CDD"/>
    <w:rsid w:val="00FA46A9"/>
    <w:rsid w:val="00FB0EB2"/>
    <w:rsid w:val="00FB1AF2"/>
    <w:rsid w:val="00FB4C47"/>
    <w:rsid w:val="00FB704F"/>
    <w:rsid w:val="00FC0813"/>
    <w:rsid w:val="00FC2A64"/>
    <w:rsid w:val="00FC3490"/>
    <w:rsid w:val="00FC36A1"/>
    <w:rsid w:val="00FC38C1"/>
    <w:rsid w:val="00FC56CE"/>
    <w:rsid w:val="00FC5A05"/>
    <w:rsid w:val="00FC5B8F"/>
    <w:rsid w:val="00FC71C5"/>
    <w:rsid w:val="00FD07A6"/>
    <w:rsid w:val="00FD0BAD"/>
    <w:rsid w:val="00FD15EF"/>
    <w:rsid w:val="00FD1B8E"/>
    <w:rsid w:val="00FD47CF"/>
    <w:rsid w:val="00FD61AF"/>
    <w:rsid w:val="00FD7B29"/>
    <w:rsid w:val="00FD7E78"/>
    <w:rsid w:val="00FE1CA6"/>
    <w:rsid w:val="00FE2E6E"/>
    <w:rsid w:val="00FE4257"/>
    <w:rsid w:val="00FE4DE9"/>
    <w:rsid w:val="00FE630A"/>
    <w:rsid w:val="00FF0B5D"/>
    <w:rsid w:val="00FF180E"/>
    <w:rsid w:val="00FF345D"/>
    <w:rsid w:val="00FF4182"/>
    <w:rsid w:val="00FF5B63"/>
    <w:rsid w:val="00FF6757"/>
    <w:rsid w:val="2098428E"/>
    <w:rsid w:val="2987FD66"/>
    <w:rsid w:val="46F65612"/>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ocId w14:val="72F4F571"/>
  <w15:docId w15:val="{5F2DE9A9-E1D8-4AB1-AD67-6AF6A3E88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1"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B35DD"/>
  </w:style>
  <w:style w:type="paragraph" w:styleId="Heading1">
    <w:name w:val="heading 1"/>
    <w:basedOn w:val="Normal"/>
    <w:next w:val="Normal"/>
    <w:link w:val="Heading1Char"/>
    <w:uiPriority w:val="9"/>
    <w:qFormat/>
    <w:rsid w:val="00080327"/>
    <w:pPr>
      <w:keepNext/>
      <w:spacing w:line="240" w:lineRule="auto"/>
      <w:outlineLvl w:val="0"/>
    </w:pPr>
    <w:rPr>
      <w:rFonts w:ascii="Garamond" w:hAnsi="Garamond" w:cstheme="minorHAnsi"/>
      <w:b/>
      <w:color w:val="FFFFFF" w:themeColor="background1"/>
      <w:sz w:val="40"/>
      <w:szCs w:val="40"/>
    </w:rPr>
  </w:style>
  <w:style w:type="paragraph" w:styleId="Heading2">
    <w:name w:val="heading 2"/>
    <w:basedOn w:val="Normal"/>
    <w:next w:val="Normal"/>
    <w:link w:val="Heading2Char"/>
    <w:uiPriority w:val="9"/>
    <w:unhideWhenUsed/>
    <w:qFormat/>
    <w:rsid w:val="00080327"/>
    <w:pPr>
      <w:keepNext/>
      <w:pBdr>
        <w:left w:val="single" w:sz="36" w:space="4" w:color="00B388" w:themeColor="accent1"/>
      </w:pBdr>
      <w:shd w:val="clear" w:color="auto" w:fill="FFFFFF" w:themeFill="background1"/>
      <w:spacing w:before="360" w:after="120" w:line="240" w:lineRule="auto"/>
      <w:outlineLvl w:val="1"/>
    </w:pPr>
    <w:rPr>
      <w:rFonts w:asciiTheme="majorHAnsi" w:hAnsiTheme="majorHAnsi" w:cstheme="minorHAnsi"/>
      <w:b/>
      <w:color w:val="000000" w:themeColor="text1"/>
      <w:sz w:val="32"/>
    </w:rPr>
  </w:style>
  <w:style w:type="paragraph" w:styleId="Heading3">
    <w:name w:val="heading 3"/>
    <w:basedOn w:val="Heading2"/>
    <w:next w:val="Normal"/>
    <w:link w:val="Heading3Char"/>
    <w:uiPriority w:val="9"/>
    <w:unhideWhenUsed/>
    <w:qFormat/>
    <w:rsid w:val="00A122D3"/>
    <w:pPr>
      <w:pBdr>
        <w:left w:val="none" w:sz="0" w:space="0" w:color="auto"/>
      </w:pBdr>
      <w:spacing w:before="240" w:after="60"/>
      <w:outlineLvl w:val="2"/>
    </w:pPr>
    <w:rPr>
      <w:color w:val="008665" w:themeColor="accent1" w:themeShade="BF"/>
      <w:sz w:val="28"/>
    </w:rPr>
  </w:style>
  <w:style w:type="paragraph" w:styleId="Heading4">
    <w:name w:val="heading 4"/>
    <w:basedOn w:val="Heading3"/>
    <w:next w:val="Normal"/>
    <w:link w:val="Heading4Char"/>
    <w:uiPriority w:val="9"/>
    <w:unhideWhenUsed/>
    <w:qFormat/>
    <w:rsid w:val="00A122D3"/>
    <w:pPr>
      <w:spacing w:after="0"/>
      <w:outlineLvl w:val="3"/>
    </w:pPr>
    <w:rPr>
      <w:i/>
      <w:noProof/>
    </w:rPr>
  </w:style>
  <w:style w:type="paragraph" w:styleId="Heading5">
    <w:name w:val="heading 5"/>
    <w:basedOn w:val="BodyTextPostHead"/>
    <w:next w:val="Normal"/>
    <w:link w:val="Heading5Char"/>
    <w:uiPriority w:val="9"/>
    <w:unhideWhenUsed/>
    <w:qFormat/>
    <w:rsid w:val="00A122D3"/>
    <w:pPr>
      <w:outlineLvl w:val="4"/>
    </w:pPr>
    <w:rPr>
      <w:rFonts w:cstheme="minorHAnsi"/>
      <w:b/>
      <w:color w:val="008665" w:themeColor="accent1" w:themeShade="BF"/>
    </w:rPr>
  </w:style>
  <w:style w:type="paragraph" w:styleId="Heading6">
    <w:name w:val="heading 6"/>
    <w:basedOn w:val="BodyText"/>
    <w:next w:val="Normal"/>
    <w:link w:val="Heading6Char"/>
    <w:uiPriority w:val="9"/>
    <w:unhideWhenUsed/>
    <w:qFormat/>
    <w:rsid w:val="00A122D3"/>
    <w:pPr>
      <w:outlineLvl w:val="5"/>
    </w:pPr>
    <w:rPr>
      <w:rFonts w:cstheme="minorHAnsi"/>
      <w:i/>
      <w:color w:val="00866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erPageNumber">
    <w:name w:val="Footer Page Number"/>
    <w:basedOn w:val="Footer"/>
    <w:rsid w:val="00747EE4"/>
    <w:pPr>
      <w:jc w:val="center"/>
    </w:pPr>
  </w:style>
  <w:style w:type="table" w:customStyle="1" w:styleId="TableStyleNotes">
    <w:name w:val="Table Style—Notes"/>
    <w:basedOn w:val="TableNormal"/>
    <w:uiPriority w:val="99"/>
    <w:rsid w:val="00D73FCD"/>
    <w:pPr>
      <w:spacing w:line="360" w:lineRule="auto"/>
    </w:pPr>
    <w:tblPr>
      <w:tblStyleRowBandSize w:val="1"/>
      <w:tblBorders>
        <w:bottom w:val="single" w:sz="6" w:space="0" w:color="auto"/>
      </w:tblBorders>
      <w:tblCellMar>
        <w:left w:w="43" w:type="dxa"/>
        <w:right w:w="43" w:type="dxa"/>
      </w:tblCellMar>
    </w:tblPr>
    <w:tblStylePr w:type="firstRow">
      <w:tblPr/>
      <w:tcPr>
        <w:tcBorders>
          <w:top w:val="nil"/>
          <w:left w:val="nil"/>
          <w:bottom w:val="nil"/>
          <w:right w:val="nil"/>
          <w:insideH w:val="nil"/>
          <w:insideV w:val="nil"/>
          <w:tl2br w:val="nil"/>
          <w:tr2bl w:val="nil"/>
        </w:tcBorders>
      </w:tcPr>
    </w:tblStylePr>
    <w:tblStylePr w:type="band1Horz">
      <w:tblPr/>
      <w:tcPr>
        <w:tcBorders>
          <w:top w:val="nil"/>
          <w:left w:val="nil"/>
          <w:bottom w:val="single" w:sz="6" w:space="0" w:color="auto"/>
          <w:right w:val="nil"/>
          <w:insideH w:val="nil"/>
          <w:insideV w:val="nil"/>
          <w:tl2br w:val="nil"/>
          <w:tr2bl w:val="nil"/>
        </w:tcBorders>
      </w:tcPr>
    </w:tblStylePr>
    <w:tblStylePr w:type="band2Horz">
      <w:tblPr/>
      <w:tcPr>
        <w:tcBorders>
          <w:top w:val="nil"/>
          <w:left w:val="nil"/>
          <w:bottom w:val="single" w:sz="6" w:space="0" w:color="auto"/>
          <w:right w:val="nil"/>
          <w:insideH w:val="nil"/>
          <w:insideV w:val="nil"/>
          <w:tl2br w:val="nil"/>
          <w:tr2bl w:val="nil"/>
        </w:tcBorders>
      </w:tcPr>
    </w:tblStylePr>
  </w:style>
  <w:style w:type="table" w:styleId="TableGrid">
    <w:name w:val="Table Grid"/>
    <w:basedOn w:val="TableNormal"/>
    <w:uiPriority w:val="59"/>
    <w:rsid w:val="003031F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B0474"/>
    <w:pPr>
      <w:spacing w:after="952" w:line="240" w:lineRule="auto"/>
    </w:pPr>
  </w:style>
  <w:style w:type="character" w:customStyle="1" w:styleId="HeaderChar">
    <w:name w:val="Header Char"/>
    <w:basedOn w:val="DefaultParagraphFont"/>
    <w:link w:val="Header"/>
    <w:uiPriority w:val="99"/>
    <w:rsid w:val="007B0474"/>
  </w:style>
  <w:style w:type="paragraph" w:styleId="Footer">
    <w:name w:val="footer"/>
    <w:link w:val="FooterChar"/>
    <w:uiPriority w:val="99"/>
    <w:unhideWhenUsed/>
    <w:rsid w:val="00747EE4"/>
    <w:pPr>
      <w:jc w:val="right"/>
    </w:pPr>
    <w:rPr>
      <w:rFonts w:eastAsiaTheme="majorEastAsia" w:cstheme="majorBidi"/>
      <w:b/>
      <w:sz w:val="20"/>
      <w:szCs w:val="20"/>
    </w:rPr>
  </w:style>
  <w:style w:type="character" w:customStyle="1" w:styleId="FooterChar">
    <w:name w:val="Footer Char"/>
    <w:basedOn w:val="DefaultParagraphFont"/>
    <w:link w:val="Footer"/>
    <w:uiPriority w:val="99"/>
    <w:rsid w:val="00747EE4"/>
    <w:rPr>
      <w:rFonts w:eastAsiaTheme="majorEastAsia" w:cstheme="majorBidi"/>
      <w:b/>
      <w:sz w:val="20"/>
      <w:szCs w:val="20"/>
    </w:rPr>
  </w:style>
  <w:style w:type="paragraph" w:styleId="BalloonText">
    <w:name w:val="Balloon Text"/>
    <w:basedOn w:val="Normal"/>
    <w:link w:val="BalloonTextChar"/>
    <w:uiPriority w:val="99"/>
    <w:semiHidden/>
    <w:unhideWhenUsed/>
    <w:rsid w:val="000E193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1932"/>
    <w:rPr>
      <w:rFonts w:ascii="Tahoma" w:hAnsi="Tahoma" w:cs="Tahoma"/>
      <w:sz w:val="16"/>
      <w:szCs w:val="16"/>
    </w:rPr>
  </w:style>
  <w:style w:type="numbering" w:customStyle="1" w:styleId="ListOrdered">
    <w:name w:val="_List Ordered"/>
    <w:uiPriority w:val="99"/>
    <w:rsid w:val="009B3B30"/>
    <w:pPr>
      <w:numPr>
        <w:numId w:val="27"/>
      </w:numPr>
    </w:pPr>
  </w:style>
  <w:style w:type="character" w:styleId="CommentReference">
    <w:name w:val="annotation reference"/>
    <w:basedOn w:val="DefaultParagraphFont"/>
    <w:uiPriority w:val="99"/>
    <w:semiHidden/>
    <w:unhideWhenUsed/>
    <w:rsid w:val="00D01685"/>
    <w:rPr>
      <w:sz w:val="16"/>
      <w:szCs w:val="16"/>
    </w:rPr>
  </w:style>
  <w:style w:type="paragraph" w:styleId="CommentText">
    <w:name w:val="annotation text"/>
    <w:basedOn w:val="Normal"/>
    <w:link w:val="CommentTextChar"/>
    <w:uiPriority w:val="99"/>
    <w:unhideWhenUsed/>
    <w:rsid w:val="00D01685"/>
    <w:pPr>
      <w:spacing w:line="240" w:lineRule="auto"/>
    </w:pPr>
    <w:rPr>
      <w:sz w:val="20"/>
      <w:szCs w:val="20"/>
    </w:rPr>
  </w:style>
  <w:style w:type="character" w:customStyle="1" w:styleId="CommentTextChar">
    <w:name w:val="Comment Text Char"/>
    <w:basedOn w:val="DefaultParagraphFont"/>
    <w:link w:val="CommentText"/>
    <w:uiPriority w:val="99"/>
    <w:rsid w:val="00D01685"/>
    <w:rPr>
      <w:sz w:val="20"/>
      <w:szCs w:val="20"/>
    </w:rPr>
  </w:style>
  <w:style w:type="paragraph" w:styleId="CommentSubject">
    <w:name w:val="annotation subject"/>
    <w:basedOn w:val="CommentText"/>
    <w:next w:val="CommentText"/>
    <w:link w:val="CommentSubjectChar"/>
    <w:uiPriority w:val="99"/>
    <w:semiHidden/>
    <w:unhideWhenUsed/>
    <w:rsid w:val="00D01685"/>
    <w:rPr>
      <w:b/>
      <w:bCs/>
    </w:rPr>
  </w:style>
  <w:style w:type="character" w:customStyle="1" w:styleId="CommentSubjectChar">
    <w:name w:val="Comment Subject Char"/>
    <w:basedOn w:val="CommentTextChar"/>
    <w:link w:val="CommentSubject"/>
    <w:uiPriority w:val="99"/>
    <w:semiHidden/>
    <w:rsid w:val="00D01685"/>
    <w:rPr>
      <w:b/>
      <w:bCs/>
      <w:sz w:val="20"/>
      <w:szCs w:val="20"/>
    </w:rPr>
  </w:style>
  <w:style w:type="paragraph" w:styleId="Revision">
    <w:name w:val="Revision"/>
    <w:hidden/>
    <w:uiPriority w:val="99"/>
    <w:semiHidden/>
    <w:rsid w:val="00D01685"/>
    <w:pPr>
      <w:spacing w:line="240" w:lineRule="auto"/>
    </w:pPr>
  </w:style>
  <w:style w:type="paragraph" w:styleId="BodyText">
    <w:name w:val="Body Text"/>
    <w:basedOn w:val="Normal"/>
    <w:link w:val="BodyTextChar"/>
    <w:uiPriority w:val="99"/>
    <w:unhideWhenUsed/>
    <w:rsid w:val="00A122D3"/>
    <w:pPr>
      <w:spacing w:before="240" w:after="120" w:line="240" w:lineRule="auto"/>
    </w:pPr>
    <w:rPr>
      <w:color w:val="000000" w:themeColor="text1"/>
    </w:rPr>
  </w:style>
  <w:style w:type="character" w:customStyle="1" w:styleId="BodyTextChar">
    <w:name w:val="Body Text Char"/>
    <w:basedOn w:val="DefaultParagraphFont"/>
    <w:link w:val="BodyText"/>
    <w:uiPriority w:val="99"/>
    <w:rsid w:val="00A122D3"/>
    <w:rPr>
      <w:color w:val="000000" w:themeColor="text1"/>
    </w:rPr>
  </w:style>
  <w:style w:type="character" w:customStyle="1" w:styleId="Heading1Char">
    <w:name w:val="Heading 1 Char"/>
    <w:basedOn w:val="DefaultParagraphFont"/>
    <w:link w:val="Heading1"/>
    <w:uiPriority w:val="9"/>
    <w:rsid w:val="00080327"/>
    <w:rPr>
      <w:rFonts w:ascii="Garamond" w:hAnsi="Garamond" w:cstheme="minorHAnsi"/>
      <w:b/>
      <w:color w:val="FFFFFF" w:themeColor="background1"/>
      <w:sz w:val="40"/>
      <w:szCs w:val="40"/>
    </w:rPr>
  </w:style>
  <w:style w:type="character" w:customStyle="1" w:styleId="Heading2Char">
    <w:name w:val="Heading 2 Char"/>
    <w:basedOn w:val="DefaultParagraphFont"/>
    <w:link w:val="Heading2"/>
    <w:uiPriority w:val="9"/>
    <w:rsid w:val="00080327"/>
    <w:rPr>
      <w:rFonts w:asciiTheme="majorHAnsi" w:hAnsiTheme="majorHAnsi" w:cstheme="minorHAnsi"/>
      <w:b/>
      <w:color w:val="000000" w:themeColor="text1"/>
      <w:sz w:val="32"/>
      <w:shd w:val="clear" w:color="auto" w:fill="FFFFFF" w:themeFill="background1"/>
    </w:rPr>
  </w:style>
  <w:style w:type="paragraph" w:customStyle="1" w:styleId="TableColumnHeadCenter">
    <w:name w:val="Table Column Head Center"/>
    <w:basedOn w:val="TableColumnHeadLeft"/>
    <w:qFormat/>
    <w:rsid w:val="008E5E80"/>
    <w:pPr>
      <w:jc w:val="center"/>
    </w:pPr>
    <w:rPr>
      <w:rFonts w:eastAsiaTheme="minorEastAsia" w:cs="Arial"/>
      <w:bCs w:val="0"/>
    </w:rPr>
  </w:style>
  <w:style w:type="paragraph" w:customStyle="1" w:styleId="TableText">
    <w:name w:val="Table Text"/>
    <w:basedOn w:val="Normal"/>
    <w:uiPriority w:val="15"/>
    <w:qFormat/>
    <w:rsid w:val="008E5E80"/>
    <w:pPr>
      <w:spacing w:before="60" w:after="60"/>
    </w:pPr>
    <w:rPr>
      <w:rFonts w:eastAsiaTheme="minorEastAsia"/>
      <w:color w:val="000000" w:themeColor="text1"/>
      <w:sz w:val="22"/>
    </w:rPr>
  </w:style>
  <w:style w:type="character" w:customStyle="1" w:styleId="Heading3Char">
    <w:name w:val="Heading 3 Char"/>
    <w:basedOn w:val="DefaultParagraphFont"/>
    <w:link w:val="Heading3"/>
    <w:uiPriority w:val="9"/>
    <w:rsid w:val="00A122D3"/>
    <w:rPr>
      <w:rFonts w:asciiTheme="majorHAnsi" w:hAnsiTheme="majorHAnsi" w:cstheme="minorHAnsi"/>
      <w:b/>
      <w:color w:val="008665" w:themeColor="accent1" w:themeShade="BF"/>
      <w:sz w:val="28"/>
      <w:shd w:val="clear" w:color="auto" w:fill="FFFFFF" w:themeFill="background1"/>
    </w:rPr>
  </w:style>
  <w:style w:type="paragraph" w:customStyle="1" w:styleId="NumberedList">
    <w:name w:val="Numbered List"/>
    <w:basedOn w:val="BodyText"/>
    <w:uiPriority w:val="4"/>
    <w:qFormat/>
    <w:rsid w:val="009B3B30"/>
    <w:pPr>
      <w:numPr>
        <w:numId w:val="39"/>
      </w:numPr>
      <w:spacing w:before="120"/>
    </w:pPr>
  </w:style>
  <w:style w:type="numbering" w:customStyle="1" w:styleId="ListBullets">
    <w:name w:val="_List Bullets"/>
    <w:uiPriority w:val="99"/>
    <w:rsid w:val="004E5A1B"/>
    <w:pPr>
      <w:numPr>
        <w:numId w:val="17"/>
      </w:numPr>
    </w:pPr>
  </w:style>
  <w:style w:type="paragraph" w:customStyle="1" w:styleId="Bullet1">
    <w:name w:val="Bullet 1"/>
    <w:basedOn w:val="BodyText"/>
    <w:qFormat/>
    <w:rsid w:val="009B3B30"/>
    <w:pPr>
      <w:numPr>
        <w:numId w:val="24"/>
      </w:numPr>
      <w:spacing w:before="120"/>
    </w:pPr>
  </w:style>
  <w:style w:type="paragraph" w:customStyle="1" w:styleId="Bullet2">
    <w:name w:val="Bullet 2"/>
    <w:basedOn w:val="Bullet1"/>
    <w:qFormat/>
    <w:rsid w:val="005503A2"/>
    <w:pPr>
      <w:numPr>
        <w:ilvl w:val="1"/>
      </w:numPr>
    </w:pPr>
  </w:style>
  <w:style w:type="paragraph" w:customStyle="1" w:styleId="Bullet3">
    <w:name w:val="Bullet 3"/>
    <w:basedOn w:val="Bullet1"/>
    <w:qFormat/>
    <w:rsid w:val="005503A2"/>
    <w:pPr>
      <w:numPr>
        <w:ilvl w:val="2"/>
      </w:numPr>
    </w:pPr>
  </w:style>
  <w:style w:type="paragraph" w:customStyle="1" w:styleId="TableBullet1">
    <w:name w:val="Table Bullet 1"/>
    <w:basedOn w:val="Bullet1"/>
    <w:uiPriority w:val="16"/>
    <w:qFormat/>
    <w:rsid w:val="004A7B2A"/>
    <w:pPr>
      <w:numPr>
        <w:numId w:val="26"/>
      </w:numPr>
      <w:spacing w:before="60" w:after="60" w:line="276" w:lineRule="auto"/>
    </w:pPr>
    <w:rPr>
      <w:noProof/>
      <w:sz w:val="22"/>
    </w:rPr>
  </w:style>
  <w:style w:type="paragraph" w:customStyle="1" w:styleId="TableBullet2">
    <w:name w:val="Table Bullet 2"/>
    <w:basedOn w:val="Bullet2"/>
    <w:uiPriority w:val="16"/>
    <w:qFormat/>
    <w:rsid w:val="004A7B2A"/>
    <w:pPr>
      <w:numPr>
        <w:numId w:val="26"/>
      </w:numPr>
      <w:spacing w:before="60" w:after="60" w:line="276" w:lineRule="auto"/>
    </w:pPr>
    <w:rPr>
      <w:sz w:val="22"/>
    </w:rPr>
  </w:style>
  <w:style w:type="paragraph" w:customStyle="1" w:styleId="TableBullet3">
    <w:name w:val="Table Bullet 3"/>
    <w:basedOn w:val="Bullet3"/>
    <w:qFormat/>
    <w:rsid w:val="004A7B2A"/>
    <w:pPr>
      <w:numPr>
        <w:numId w:val="26"/>
      </w:numPr>
      <w:spacing w:before="60" w:after="60" w:line="276" w:lineRule="auto"/>
    </w:pPr>
    <w:rPr>
      <w:sz w:val="22"/>
    </w:rPr>
  </w:style>
  <w:style w:type="paragraph" w:customStyle="1" w:styleId="TableSubheading">
    <w:name w:val="Table Subheading"/>
    <w:basedOn w:val="TableText"/>
    <w:qFormat/>
    <w:rsid w:val="004A7B2A"/>
    <w:rPr>
      <w:b/>
    </w:rPr>
  </w:style>
  <w:style w:type="paragraph" w:customStyle="1" w:styleId="FooterSpacerTop">
    <w:name w:val="Footer Spacer Top"/>
    <w:basedOn w:val="Footer"/>
    <w:qFormat/>
    <w:rsid w:val="00E36533"/>
    <w:pPr>
      <w:spacing w:before="200"/>
    </w:pPr>
  </w:style>
  <w:style w:type="paragraph" w:customStyle="1" w:styleId="FooterSpacerBottom">
    <w:name w:val="Footer Spacer Bottom"/>
    <w:basedOn w:val="Footer"/>
    <w:qFormat/>
    <w:rsid w:val="00E36533"/>
    <w:rPr>
      <w:sz w:val="2"/>
      <w:szCs w:val="2"/>
    </w:rPr>
  </w:style>
  <w:style w:type="paragraph" w:customStyle="1" w:styleId="FigurePlacement">
    <w:name w:val="Figure Placement"/>
    <w:basedOn w:val="BodyText"/>
    <w:uiPriority w:val="14"/>
    <w:qFormat/>
    <w:rsid w:val="008E5E80"/>
    <w:pPr>
      <w:pBdr>
        <w:top w:val="single" w:sz="6" w:space="1" w:color="1B315E" w:themeColor="accent3"/>
        <w:left w:val="single" w:sz="6" w:space="4" w:color="1B315E" w:themeColor="accent3"/>
        <w:bottom w:val="single" w:sz="6" w:space="1" w:color="1B315E" w:themeColor="accent3"/>
        <w:right w:val="single" w:sz="6" w:space="4" w:color="1B315E" w:themeColor="accent3"/>
      </w:pBdr>
      <w:jc w:val="center"/>
    </w:pPr>
    <w:rPr>
      <w:noProof/>
    </w:rPr>
  </w:style>
  <w:style w:type="character" w:customStyle="1" w:styleId="Heading4Char">
    <w:name w:val="Heading 4 Char"/>
    <w:basedOn w:val="DefaultParagraphFont"/>
    <w:link w:val="Heading4"/>
    <w:uiPriority w:val="9"/>
    <w:rsid w:val="00A122D3"/>
    <w:rPr>
      <w:rFonts w:asciiTheme="majorHAnsi" w:hAnsiTheme="majorHAnsi" w:cstheme="minorHAnsi"/>
      <w:b/>
      <w:i/>
      <w:noProof/>
      <w:color w:val="008665" w:themeColor="accent1" w:themeShade="BF"/>
      <w:sz w:val="28"/>
      <w:shd w:val="clear" w:color="auto" w:fill="FFFFFF" w:themeFill="background1"/>
    </w:rPr>
  </w:style>
  <w:style w:type="paragraph" w:customStyle="1" w:styleId="HeaderPg1">
    <w:name w:val="Header Pg1"/>
    <w:basedOn w:val="Normal"/>
    <w:qFormat/>
    <w:rsid w:val="00C31183"/>
  </w:style>
  <w:style w:type="numbering" w:customStyle="1" w:styleId="ListBulletsTable">
    <w:name w:val="_List Bullets Table"/>
    <w:uiPriority w:val="99"/>
    <w:rsid w:val="004E5A1B"/>
    <w:pPr>
      <w:numPr>
        <w:numId w:val="25"/>
      </w:numPr>
    </w:pPr>
  </w:style>
  <w:style w:type="character" w:customStyle="1" w:styleId="Heading5Char">
    <w:name w:val="Heading 5 Char"/>
    <w:basedOn w:val="DefaultParagraphFont"/>
    <w:link w:val="Heading5"/>
    <w:uiPriority w:val="9"/>
    <w:rsid w:val="00A122D3"/>
    <w:rPr>
      <w:rFonts w:cstheme="minorHAnsi"/>
      <w:b/>
      <w:color w:val="008665" w:themeColor="accent1" w:themeShade="BF"/>
    </w:rPr>
  </w:style>
  <w:style w:type="character" w:customStyle="1" w:styleId="Heading6Char">
    <w:name w:val="Heading 6 Char"/>
    <w:basedOn w:val="DefaultParagraphFont"/>
    <w:link w:val="Heading6"/>
    <w:uiPriority w:val="9"/>
    <w:rsid w:val="00A122D3"/>
    <w:rPr>
      <w:rFonts w:cstheme="minorHAnsi"/>
      <w:i/>
      <w:color w:val="008665" w:themeColor="accent1" w:themeShade="BF"/>
    </w:rPr>
  </w:style>
  <w:style w:type="paragraph" w:styleId="FootnoteText">
    <w:name w:val="footnote text"/>
    <w:basedOn w:val="Normal"/>
    <w:link w:val="FootnoteTextChar"/>
    <w:uiPriority w:val="99"/>
    <w:unhideWhenUsed/>
    <w:qFormat/>
    <w:rsid w:val="0049455C"/>
    <w:pPr>
      <w:spacing w:line="240" w:lineRule="auto"/>
    </w:pPr>
    <w:rPr>
      <w:sz w:val="18"/>
      <w:szCs w:val="20"/>
    </w:rPr>
  </w:style>
  <w:style w:type="character" w:customStyle="1" w:styleId="FootnoteTextChar">
    <w:name w:val="Footnote Text Char"/>
    <w:basedOn w:val="DefaultParagraphFont"/>
    <w:link w:val="FootnoteText"/>
    <w:uiPriority w:val="99"/>
    <w:rsid w:val="0049455C"/>
    <w:rPr>
      <w:sz w:val="18"/>
      <w:szCs w:val="20"/>
    </w:rPr>
  </w:style>
  <w:style w:type="paragraph" w:styleId="BlockText">
    <w:name w:val="Block Text"/>
    <w:basedOn w:val="BodyText"/>
    <w:next w:val="BodyText"/>
    <w:uiPriority w:val="1"/>
    <w:unhideWhenUsed/>
    <w:qFormat/>
    <w:rsid w:val="0049455C"/>
    <w:pPr>
      <w:spacing w:line="276" w:lineRule="auto"/>
      <w:ind w:left="720"/>
    </w:pPr>
    <w:rPr>
      <w:rFonts w:eastAsiaTheme="minorEastAsia"/>
      <w:iCs/>
    </w:rPr>
  </w:style>
  <w:style w:type="paragraph" w:customStyle="1" w:styleId="TableTextCentered">
    <w:name w:val="Table Text Centered"/>
    <w:basedOn w:val="TableText"/>
    <w:qFormat/>
    <w:rsid w:val="008E5E80"/>
    <w:pPr>
      <w:jc w:val="center"/>
    </w:pPr>
  </w:style>
  <w:style w:type="paragraph" w:customStyle="1" w:styleId="TableNote">
    <w:name w:val="Table Note"/>
    <w:aliases w:val="Exhibit Note,Figure Note"/>
    <w:basedOn w:val="BodyText"/>
    <w:next w:val="BodyText"/>
    <w:uiPriority w:val="18"/>
    <w:qFormat/>
    <w:rsid w:val="0049455C"/>
    <w:pPr>
      <w:spacing w:after="360" w:line="276" w:lineRule="auto"/>
      <w:contextualSpacing/>
    </w:pPr>
    <w:rPr>
      <w:sz w:val="20"/>
      <w:szCs w:val="20"/>
    </w:rPr>
  </w:style>
  <w:style w:type="paragraph" w:customStyle="1" w:styleId="TableColumnHeadLeft">
    <w:name w:val="Table Column Head Left"/>
    <w:basedOn w:val="TableText"/>
    <w:next w:val="TableText"/>
    <w:qFormat/>
    <w:rsid w:val="00080327"/>
    <w:pPr>
      <w:suppressAutoHyphens/>
    </w:pPr>
    <w:rPr>
      <w:rFonts w:eastAsia="MS Mincho"/>
      <w:b/>
      <w:bCs/>
      <w:color w:val="FFFFFF" w:themeColor="background1"/>
    </w:rPr>
  </w:style>
  <w:style w:type="paragraph" w:customStyle="1" w:styleId="NotesHeading">
    <w:name w:val="Notes Heading"/>
    <w:basedOn w:val="Normal"/>
    <w:qFormat/>
    <w:rsid w:val="00D73FCD"/>
    <w:pPr>
      <w:spacing w:before="120" w:line="240" w:lineRule="auto"/>
    </w:pPr>
    <w:rPr>
      <w:b/>
      <w:color w:val="008665" w:themeColor="accent1" w:themeShade="BF"/>
    </w:rPr>
  </w:style>
  <w:style w:type="numbering" w:customStyle="1" w:styleId="List-OrderedTable">
    <w:name w:val="_List-Ordered Table"/>
    <w:uiPriority w:val="99"/>
    <w:rsid w:val="00787B07"/>
    <w:pPr>
      <w:numPr>
        <w:numId w:val="33"/>
      </w:numPr>
    </w:pPr>
  </w:style>
  <w:style w:type="paragraph" w:customStyle="1" w:styleId="TableNumbering">
    <w:name w:val="Table Numbering"/>
    <w:basedOn w:val="TableText"/>
    <w:uiPriority w:val="16"/>
    <w:qFormat/>
    <w:rsid w:val="00787B07"/>
    <w:pPr>
      <w:numPr>
        <w:numId w:val="41"/>
      </w:numPr>
    </w:pPr>
    <w:rPr>
      <w:rFonts w:eastAsia="Times New Roman" w:cs="Times New Roman"/>
    </w:rPr>
  </w:style>
  <w:style w:type="paragraph" w:customStyle="1" w:styleId="ExhibitTitle">
    <w:name w:val="Exhibit Title"/>
    <w:basedOn w:val="Caption"/>
    <w:next w:val="Normal"/>
    <w:uiPriority w:val="12"/>
    <w:qFormat/>
    <w:rsid w:val="00080327"/>
    <w:pPr>
      <w:keepNext/>
      <w:suppressAutoHyphens/>
      <w:spacing w:before="240" w:after="120" w:line="276" w:lineRule="auto"/>
    </w:pPr>
    <w:rPr>
      <w:rFonts w:eastAsia="Times New Roman" w:cs="Times"/>
      <w:b/>
      <w:i w:val="0"/>
      <w:iCs w:val="0"/>
      <w:color w:val="000000" w:themeColor="text1"/>
      <w:sz w:val="24"/>
      <w:szCs w:val="24"/>
    </w:rPr>
  </w:style>
  <w:style w:type="paragraph" w:customStyle="1" w:styleId="Reference">
    <w:name w:val="Reference"/>
    <w:basedOn w:val="BodyText"/>
    <w:link w:val="ReferenceChar"/>
    <w:uiPriority w:val="20"/>
    <w:qFormat/>
    <w:rsid w:val="0049455C"/>
    <w:pPr>
      <w:spacing w:after="240" w:line="276" w:lineRule="auto"/>
      <w:ind w:left="720" w:hanging="720"/>
    </w:pPr>
  </w:style>
  <w:style w:type="table" w:customStyle="1" w:styleId="TableStyleSimple">
    <w:name w:val="Table Style—Simple"/>
    <w:basedOn w:val="TableNormal"/>
    <w:uiPriority w:val="99"/>
    <w:rsid w:val="008E5E80"/>
    <w:pPr>
      <w:spacing w:before="60" w:after="60"/>
    </w:pPr>
    <w:rPr>
      <w:color w:val="404040" w:themeColor="text2" w:themeShade="BF"/>
      <w:sz w:val="22"/>
    </w:rPr>
    <w:tblPr>
      <w:tblStyleRowBandSize w:val="1"/>
      <w:tblInd w:w="72" w:type="dxa"/>
      <w:tblBorders>
        <w:top w:val="single" w:sz="6" w:space="0" w:color="1B315E" w:themeColor="accent3"/>
        <w:left w:val="single" w:sz="6" w:space="0" w:color="1B315E" w:themeColor="accent3"/>
        <w:bottom w:val="single" w:sz="6" w:space="0" w:color="1B315E" w:themeColor="accent3"/>
        <w:right w:val="single" w:sz="6" w:space="0" w:color="1B315E" w:themeColor="accent3"/>
        <w:insideH w:val="single" w:sz="6" w:space="0" w:color="1B315E" w:themeColor="accent3"/>
        <w:insideV w:val="single" w:sz="6" w:space="0" w:color="1B315E" w:themeColor="accent3"/>
      </w:tblBorders>
      <w:tblCellMar>
        <w:left w:w="72" w:type="dxa"/>
        <w:right w:w="72" w:type="dxa"/>
      </w:tblCellMar>
    </w:tblPr>
    <w:tblStylePr w:type="firstRow">
      <w:pPr>
        <w:jc w:val="left"/>
      </w:pPr>
      <w:rPr>
        <w:b w:val="0"/>
        <w:color w:val="FFFFFF" w:themeColor="background1"/>
      </w:rPr>
      <w:tblPr/>
      <w:tcPr>
        <w:tcBorders>
          <w:top w:val="single" w:sz="6" w:space="0" w:color="FFFFFF" w:themeColor="background1"/>
          <w:left w:val="single" w:sz="6" w:space="0" w:color="1B315E" w:themeColor="accent3"/>
          <w:bottom w:val="single" w:sz="6" w:space="0" w:color="FFFFFF" w:themeColor="background1"/>
          <w:right w:val="single" w:sz="6" w:space="0" w:color="1B315E" w:themeColor="accent3"/>
          <w:insideH w:val="nil"/>
          <w:insideV w:val="single" w:sz="6" w:space="0" w:color="FFFFFF" w:themeColor="background1"/>
          <w:tl2br w:val="nil"/>
          <w:tr2bl w:val="nil"/>
        </w:tcBorders>
        <w:shd w:val="clear" w:color="auto" w:fill="1B315E" w:themeFill="accent3"/>
      </w:tcPr>
    </w:tblStylePr>
    <w:tblStylePr w:type="lastRow">
      <w:rPr>
        <w:b/>
        <w:color w:val="565656" w:themeColor="text2"/>
      </w:rPr>
    </w:tblStylePr>
    <w:tblStylePr w:type="firstCol">
      <w:rPr>
        <w:b w:val="0"/>
        <w:color w:val="565656" w:themeColor="text2"/>
      </w:rPr>
    </w:tblStylePr>
    <w:tblStylePr w:type="band1Horz">
      <w:tblPr/>
      <w:tcPr>
        <w:shd w:val="clear" w:color="auto" w:fill="DDFFF6"/>
      </w:tcPr>
    </w:tblStylePr>
    <w:tblStylePr w:type="neCell">
      <w:rPr>
        <w:color w:val="FFFFFF" w:themeColor="background1"/>
      </w:rPr>
    </w:tblStylePr>
    <w:tblStylePr w:type="nwCell">
      <w:pPr>
        <w:jc w:val="left"/>
      </w:pPr>
      <w:tblPr/>
      <w:tcPr>
        <w:vAlign w:val="bottom"/>
      </w:tcPr>
    </w:tblStylePr>
  </w:style>
  <w:style w:type="paragraph" w:customStyle="1" w:styleId="BodyTextPostHead">
    <w:name w:val="Body Text Post Head"/>
    <w:basedOn w:val="BodyText"/>
    <w:next w:val="BodyText"/>
    <w:qFormat/>
    <w:rsid w:val="00080327"/>
    <w:pPr>
      <w:spacing w:before="0"/>
    </w:pPr>
  </w:style>
  <w:style w:type="character" w:styleId="Hyperlink">
    <w:name w:val="Hyperlink"/>
    <w:basedOn w:val="DefaultParagraphFont"/>
    <w:uiPriority w:val="99"/>
    <w:unhideWhenUsed/>
    <w:rsid w:val="0049455C"/>
    <w:rPr>
      <w:color w:val="1707FC" w:themeColor="hyperlink"/>
      <w:u w:val="single"/>
    </w:rPr>
  </w:style>
  <w:style w:type="character" w:styleId="FootnoteReference">
    <w:name w:val="footnote reference"/>
    <w:uiPriority w:val="99"/>
    <w:rsid w:val="0049455C"/>
    <w:rPr>
      <w:vertAlign w:val="superscript"/>
    </w:rPr>
  </w:style>
  <w:style w:type="character" w:customStyle="1" w:styleId="ReferenceChar">
    <w:name w:val="Reference Char"/>
    <w:basedOn w:val="DefaultParagraphFont"/>
    <w:link w:val="Reference"/>
    <w:uiPriority w:val="20"/>
    <w:rsid w:val="0049455C"/>
    <w:rPr>
      <w:sz w:val="24"/>
    </w:rPr>
  </w:style>
  <w:style w:type="character" w:customStyle="1" w:styleId="ReferenceItalics">
    <w:name w:val="Reference Italics"/>
    <w:basedOn w:val="DefaultParagraphFont"/>
    <w:uiPriority w:val="20"/>
    <w:qFormat/>
    <w:rsid w:val="0049455C"/>
    <w:rPr>
      <w:i/>
    </w:rPr>
  </w:style>
  <w:style w:type="paragraph" w:customStyle="1" w:styleId="ReferenceSubheading">
    <w:name w:val="Reference Subheading"/>
    <w:basedOn w:val="Heading3"/>
    <w:next w:val="Reference"/>
    <w:uiPriority w:val="19"/>
    <w:qFormat/>
    <w:rsid w:val="0049455C"/>
    <w:pPr>
      <w:keepLines/>
      <w:spacing w:after="120"/>
      <w:outlineLvl w:val="9"/>
    </w:pPr>
    <w:rPr>
      <w:rFonts w:eastAsia="Times New Roman" w:cs="Times New Roman"/>
      <w:bCs/>
      <w:color w:val="auto"/>
      <w:szCs w:val="26"/>
    </w:rPr>
  </w:style>
  <w:style w:type="paragraph" w:customStyle="1" w:styleId="Call-OutText">
    <w:name w:val="Call-Out Text"/>
    <w:next w:val="BodyText"/>
    <w:uiPriority w:val="1"/>
    <w:rsid w:val="00745F10"/>
    <w:pPr>
      <w:keepLines/>
      <w:pBdr>
        <w:left w:val="single" w:sz="48" w:space="4" w:color="1B315E" w:themeColor="accent3"/>
      </w:pBdr>
      <w:shd w:val="clear" w:color="auto" w:fill="DDFFF6"/>
      <w:spacing w:before="120" w:after="480" w:line="240" w:lineRule="auto"/>
      <w:ind w:left="720" w:right="720"/>
      <w:contextualSpacing/>
      <w:jc w:val="center"/>
    </w:pPr>
    <w:rPr>
      <w:rFonts w:eastAsia="Times New Roman" w:asciiTheme="majorHAnsi" w:hAnsiTheme="majorHAnsi" w:cstheme="majorHAnsi"/>
      <w:i/>
      <w:color w:val="1B315E" w:themeColor="accent3"/>
      <w:spacing w:val="-2"/>
    </w:rPr>
  </w:style>
  <w:style w:type="paragraph" w:styleId="Caption">
    <w:name w:val="caption"/>
    <w:basedOn w:val="Normal"/>
    <w:next w:val="Normal"/>
    <w:uiPriority w:val="35"/>
    <w:semiHidden/>
    <w:unhideWhenUsed/>
    <w:qFormat/>
    <w:rsid w:val="0049455C"/>
    <w:pPr>
      <w:spacing w:after="200" w:line="240" w:lineRule="auto"/>
    </w:pPr>
    <w:rPr>
      <w:i/>
      <w:iCs/>
      <w:color w:val="565656" w:themeColor="text2"/>
      <w:sz w:val="18"/>
      <w:szCs w:val="18"/>
    </w:rPr>
  </w:style>
  <w:style w:type="paragraph" w:customStyle="1" w:styleId="pf0">
    <w:name w:val="pf0"/>
    <w:basedOn w:val="Normal"/>
    <w:rsid w:val="00B97C97"/>
    <w:pPr>
      <w:spacing w:before="100" w:beforeAutospacing="1" w:after="100" w:afterAutospacing="1" w:line="240" w:lineRule="auto"/>
    </w:pPr>
    <w:rPr>
      <w:rFonts w:ascii="Times New Roman" w:eastAsia="Times New Roman" w:hAnsi="Times New Roman" w:cs="Times New Roman"/>
    </w:rPr>
  </w:style>
  <w:style w:type="character" w:customStyle="1" w:styleId="cf01">
    <w:name w:val="cf01"/>
    <w:basedOn w:val="DefaultParagraphFont"/>
    <w:rsid w:val="00B97C97"/>
    <w:rPr>
      <w:rFonts w:ascii="Segoe UI" w:hAnsi="Segoe UI" w:cs="Segoe UI" w:hint="default"/>
      <w:sz w:val="18"/>
      <w:szCs w:val="18"/>
    </w:rPr>
  </w:style>
  <w:style w:type="paragraph" w:styleId="NormalWeb">
    <w:name w:val="Normal (Web)"/>
    <w:basedOn w:val="Normal"/>
    <w:uiPriority w:val="99"/>
    <w:semiHidden/>
    <w:unhideWhenUsed/>
    <w:rsid w:val="00F9358D"/>
    <w:pPr>
      <w:spacing w:before="100" w:beforeAutospacing="1" w:after="100" w:afterAutospacing="1"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footer" Target="footer1.xml"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jrasmussen\Downloads\NRS%20HandoutTemplate_Portrait.dotx" TargetMode="External" /></Relationships>
</file>

<file path=word/theme/theme1.xml><?xml version="1.0" encoding="utf-8"?>
<a:theme xmlns:a="http://schemas.openxmlformats.org/drawingml/2006/main" name="Office Theme">
  <a:themeElements>
    <a:clrScheme name="NRS-National Reporting System">
      <a:dk1>
        <a:srgbClr val="000000"/>
      </a:dk1>
      <a:lt1>
        <a:srgbClr val="FFFFFF"/>
      </a:lt1>
      <a:dk2>
        <a:srgbClr val="565656"/>
      </a:dk2>
      <a:lt2>
        <a:srgbClr val="F0F5FD"/>
      </a:lt2>
      <a:accent1>
        <a:srgbClr val="00B388"/>
      </a:accent1>
      <a:accent2>
        <a:srgbClr val="199BD7"/>
      </a:accent2>
      <a:accent3>
        <a:srgbClr val="1B315E"/>
      </a:accent3>
      <a:accent4>
        <a:srgbClr val="F16114"/>
      </a:accent4>
      <a:accent5>
        <a:srgbClr val="EFB219"/>
      </a:accent5>
      <a:accent6>
        <a:srgbClr val="62CDFF"/>
      </a:accent6>
      <a:hlink>
        <a:srgbClr val="1707FC"/>
      </a:hlink>
      <a:folHlink>
        <a:srgbClr val="7030A0"/>
      </a:folHlink>
    </a:clrScheme>
    <a:fontScheme name="NRS National Reporting System">
      <a:majorFont>
        <a:latin typeface="Garamond"/>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D94A9A1B21074B80D7F2BF296A65C6" ma:contentTypeVersion="22" ma:contentTypeDescription="Create a new document." ma:contentTypeScope="" ma:versionID="ce2b60d0a051830d3858ce78a2f9e94f">
  <xsd:schema xmlns:xsd="http://www.w3.org/2001/XMLSchema" xmlns:xs="http://www.w3.org/2001/XMLSchema" xmlns:p="http://schemas.microsoft.com/office/2006/metadata/properties" xmlns:ns2="cd72edb4-e45c-45f4-9d63-a7e774ecc40f" xmlns:ns3="3b1535ea-af8c-4ff9-9bdc-c1f8398f1f8f" targetNamespace="http://schemas.microsoft.com/office/2006/metadata/properties" ma:root="true" ma:fieldsID="bdc65bb95beebddd68b4f0cb9e2b1d34" ns2:_="" ns3:_="">
    <xsd:import namespace="cd72edb4-e45c-45f4-9d63-a7e774ecc40f"/>
    <xsd:import namespace="3b1535ea-af8c-4ff9-9bdc-c1f8398f1f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3:TaxCatchAll" minOccurs="0"/>
                <xsd:element ref="ns2:lcf76f155ced4ddcb4097134ff3c332f" minOccurs="0"/>
                <xsd:element ref="ns2:MediaServiceObjectDetectorVersions" minOccurs="0"/>
                <xsd:element ref="ns2:MediaServiceLocation" minOccurs="0"/>
                <xsd:element ref="ns2:MediaServiceSearchProperties"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72edb4-e45c-45f4-9d63-a7e774ecc4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31da6f4-e52d-49d7-b108-9c7783d7746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Notes" ma:index="26" nillable="true" ma:displayName="Notes"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b1535ea-af8c-4ff9-9bdc-c1f8398f1f8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3bf2cb90-115e-4132-a2b2-0c78f9600309}" ma:internalName="TaxCatchAll" ma:showField="CatchAllData" ma:web="3b1535ea-af8c-4ff9-9bdc-c1f8398f1f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d72edb4-e45c-45f4-9d63-a7e774ecc40f">
      <Terms xmlns="http://schemas.microsoft.com/office/infopath/2007/PartnerControls"/>
    </lcf76f155ced4ddcb4097134ff3c332f>
    <TaxCatchAll xmlns="3b1535ea-af8c-4ff9-9bdc-c1f8398f1f8f" xsi:nil="true"/>
    <Notes xmlns="cd72edb4-e45c-45f4-9d63-a7e774ecc40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E27650-F8A1-4A72-B8B4-2C5390C32E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72edb4-e45c-45f4-9d63-a7e774ecc40f"/>
    <ds:schemaRef ds:uri="3b1535ea-af8c-4ff9-9bdc-c1f8398f1f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1657D8F-AD4D-423E-9A87-2BFE869A5CB0}">
  <ds:schemaRefs>
    <ds:schemaRef ds:uri="http://schemas.microsoft.com/office/2006/metadata/properties"/>
    <ds:schemaRef ds:uri="http://schemas.microsoft.com/office/infopath/2007/PartnerControls"/>
    <ds:schemaRef ds:uri="cd72edb4-e45c-45f4-9d63-a7e774ecc40f"/>
    <ds:schemaRef ds:uri="3b1535ea-af8c-4ff9-9bdc-c1f8398f1f8f"/>
  </ds:schemaRefs>
</ds:datastoreItem>
</file>

<file path=customXml/itemProps3.xml><?xml version="1.0" encoding="utf-8"?>
<ds:datastoreItem xmlns:ds="http://schemas.openxmlformats.org/officeDocument/2006/customXml" ds:itemID="{DC2C9DFF-C9C2-4E63-A395-906AF3A5ECBD}">
  <ds:schemaRefs>
    <ds:schemaRef ds:uri="http://schemas.microsoft.com/sharepoint/v3/contenttype/forms"/>
  </ds:schemaRefs>
</ds:datastoreItem>
</file>

<file path=customXml/itemProps4.xml><?xml version="1.0" encoding="utf-8"?>
<ds:datastoreItem xmlns:ds="http://schemas.openxmlformats.org/officeDocument/2006/customXml" ds:itemID="{7427A82D-6D89-40E9-82C3-0F819411C2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NRS HandoutTemplate_Portrait.dotx</Template>
  <TotalTime>2</TotalTime>
  <Pages>8</Pages>
  <Words>2025</Words>
  <Characters>11182</Characters>
  <Application>Microsoft Office Word</Application>
  <DocSecurity>0</DocSecurity>
  <Lines>508</Lines>
  <Paragraphs>150</Paragraphs>
  <ScaleCrop>false</ScaleCrop>
  <HeadingPairs>
    <vt:vector size="2" baseType="variant">
      <vt:variant>
        <vt:lpstr>Title</vt:lpstr>
      </vt:variant>
      <vt:variant>
        <vt:i4>1</vt:i4>
      </vt:variant>
    </vt:vector>
  </HeadingPairs>
  <TitlesOfParts>
    <vt:vector size="1" baseType="lpstr">
      <vt:lpstr>NRS Handout</vt:lpstr>
    </vt:vector>
  </TitlesOfParts>
  <Company/>
  <LinksUpToDate>false</LinksUpToDate>
  <CharactersWithSpaces>13057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NRS Handout</dc:title>
  <dc:creator>John.LeMaster@ed.gov</dc:creator>
  <cp:lastModifiedBy>LeMaster, John</cp:lastModifiedBy>
  <cp:revision>1</cp:revision>
  <cp:lastPrinted>2017-08-02T02:30:00Z</cp:lastPrinted>
  <dcterms:created xsi:type="dcterms:W3CDTF">2026-10-08T19:26:00Z</dcterms:created>
  <dcterms:modified xsi:type="dcterms:W3CDTF">2026-10-08T19:28:00Z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0x0101004AD94A9A1B21074B80D7F2BF296A65C6</vt:lpwstr>
  </property>
  <property fmtid="{D5CDD505-2E9C-101B-9397-08002B2CF9AE}" pid="3" name="MediaServiceImageTags">
    <vt:lpwstr/>
  </property>
  <property fmtid="{D5CDD505-2E9C-101B-9397-08002B2CF9AE}" pid="4" name="Order">
    <vt:r8>63500</vt:r8>
  </property>
  <property fmtid="{D5CDD505-2E9C-101B-9397-08002B2CF9AE}" pid="5" name="TaxKeyword">
    <vt:lpwstr/>
  </property>
</Properties>
</file>