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905B81" w:rsidP="0025185B" w14:paraId="64280E54" w14:textId="77777777">
      <w:pPr>
        <w:pStyle w:val="Heading1"/>
        <w:rPr>
          <w:b/>
          <w:bCs/>
          <w:sz w:val="24"/>
          <w:szCs w:val="24"/>
        </w:rPr>
      </w:pPr>
      <w:r w:rsidRPr="00905B81">
        <w:rPr>
          <w:b/>
          <w:bCs/>
          <w:sz w:val="24"/>
          <w:szCs w:val="24"/>
        </w:rPr>
        <w:t>SUPPORTING STATEMENT</w:t>
      </w:r>
    </w:p>
    <w:p w:rsidR="00043C32" w:rsidRPr="00905B81" w:rsidP="0025185B" w14:paraId="64280E55" w14:textId="0EEBC467">
      <w:pPr>
        <w:pStyle w:val="Heading1"/>
        <w:rPr>
          <w:b/>
          <w:bCs/>
          <w:sz w:val="24"/>
          <w:szCs w:val="24"/>
        </w:rPr>
      </w:pPr>
      <w:r w:rsidRPr="00905B81">
        <w:rPr>
          <w:b/>
          <w:bCs/>
          <w:sz w:val="24"/>
          <w:szCs w:val="24"/>
        </w:rPr>
        <w:t>FOR PAPERWORK REDUCTION ACT SUBMISSION</w:t>
      </w:r>
    </w:p>
    <w:p w:rsidR="00601A83" w:rsidRPr="00905B81" w:rsidP="0025185B" w14:paraId="2F3533BF" w14:textId="23271FB3">
      <w:pPr>
        <w:pStyle w:val="Title"/>
        <w:spacing w:before="0" w:after="0"/>
        <w:rPr>
          <w:rFonts w:asciiTheme="minorHAnsi" w:hAnsiTheme="minorHAnsi" w:cstheme="minorHAnsi"/>
          <w:b w:val="0"/>
          <w:bCs/>
          <w:sz w:val="24"/>
          <w:szCs w:val="24"/>
        </w:rPr>
      </w:pPr>
      <w:bookmarkStart w:id="0" w:name="_Hlk30666560"/>
      <w:r w:rsidRPr="00905B81">
        <w:rPr>
          <w:rFonts w:asciiTheme="minorHAnsi" w:hAnsiTheme="minorHAnsi" w:cstheme="minorHAnsi"/>
          <w:b w:val="0"/>
          <w:bCs/>
          <w:sz w:val="24"/>
          <w:szCs w:val="24"/>
        </w:rPr>
        <w:t>Application and Employment Certification for Public Service Loan Forgiveness</w:t>
      </w:r>
    </w:p>
    <w:bookmarkEnd w:id="0"/>
    <w:p w:rsidR="00043C32" w:rsidRPr="00905B81" w:rsidP="0025185B" w14:paraId="64280E56" w14:textId="77777777">
      <w:pPr>
        <w:tabs>
          <w:tab w:val="left" w:pos="0"/>
        </w:tabs>
        <w:suppressAutoHyphens/>
        <w:rPr>
          <w:rFonts w:ascii="Times New Roman" w:hAnsi="Times New Roman"/>
          <w:szCs w:val="24"/>
        </w:rPr>
      </w:pPr>
    </w:p>
    <w:p w:rsidR="00EA1767" w:rsidRPr="00905B81" w:rsidP="00905B81" w14:paraId="64280E57" w14:textId="23B1C776">
      <w:pPr>
        <w:pStyle w:val="ListParagraph"/>
        <w:numPr>
          <w:ilvl w:val="0"/>
          <w:numId w:val="4"/>
        </w:numPr>
        <w:suppressAutoHyphens/>
        <w:contextualSpacing w:val="0"/>
        <w:rPr>
          <w:rFonts w:ascii="Times New Roman" w:hAnsi="Times New Roman"/>
          <w:b/>
          <w:szCs w:val="24"/>
        </w:rPr>
      </w:pPr>
      <w:r w:rsidRPr="00905B81">
        <w:rPr>
          <w:rStyle w:val="Heading2Char"/>
          <w:rFonts w:ascii="Times New Roman" w:hAnsi="Times New Roman"/>
          <w:color w:val="auto"/>
          <w:sz w:val="24"/>
          <w:szCs w:val="24"/>
        </w:rPr>
        <w:t>Explain the circumstances</w:t>
      </w:r>
      <w:r w:rsidRPr="00905B81">
        <w:rPr>
          <w:rFonts w:ascii="Times New Roman" w:hAnsi="Times New Roman"/>
          <w:b/>
          <w:szCs w:val="24"/>
        </w:rPr>
        <w:t xml:space="preserve"> that make the collection of information necessary.  </w:t>
      </w:r>
      <w:r w:rsidRPr="00905B81" w:rsidR="007C0A4C">
        <w:rPr>
          <w:rFonts w:ascii="Times New Roman" w:hAnsi="Times New Roman"/>
          <w:b/>
          <w:szCs w:val="24"/>
        </w:rPr>
        <w:t>What is the purpose for this information collection</w:t>
      </w:r>
      <w:r w:rsidRPr="00905B81" w:rsidR="006A38F7">
        <w:rPr>
          <w:rFonts w:ascii="Times New Roman" w:hAnsi="Times New Roman"/>
          <w:b/>
          <w:szCs w:val="24"/>
        </w:rPr>
        <w:t>?</w:t>
      </w:r>
      <w:r w:rsidRPr="00905B81" w:rsidR="007C0A4C">
        <w:rPr>
          <w:rFonts w:ascii="Times New Roman" w:hAnsi="Times New Roman"/>
          <w:b/>
          <w:szCs w:val="24"/>
        </w:rPr>
        <w:t xml:space="preserve"> </w:t>
      </w:r>
      <w:r w:rsidRPr="00905B81">
        <w:rPr>
          <w:rFonts w:ascii="Times New Roman" w:hAnsi="Times New Roman"/>
          <w:b/>
          <w:szCs w:val="24"/>
        </w:rPr>
        <w:t xml:space="preserve">Identify any legal or administrative requirements that necessitate the collection.  </w:t>
      </w:r>
      <w:r w:rsidRPr="00905B81" w:rsidR="006A38F7">
        <w:rPr>
          <w:rFonts w:ascii="Times New Roman" w:hAnsi="Times New Roman"/>
          <w:b/>
          <w:szCs w:val="24"/>
        </w:rPr>
        <w:t xml:space="preserve">Include a citation that </w:t>
      </w:r>
      <w:r w:rsidRPr="00905B81">
        <w:rPr>
          <w:rFonts w:ascii="Times New Roman" w:hAnsi="Times New Roman"/>
          <w:b/>
          <w:szCs w:val="24"/>
        </w:rPr>
        <w:t>authoriz</w:t>
      </w:r>
      <w:r w:rsidRPr="00905B81" w:rsidR="006A38F7">
        <w:rPr>
          <w:rFonts w:ascii="Times New Roman" w:hAnsi="Times New Roman"/>
          <w:b/>
          <w:szCs w:val="24"/>
        </w:rPr>
        <w:t>es</w:t>
      </w:r>
      <w:r w:rsidRPr="00905B81">
        <w:rPr>
          <w:rFonts w:ascii="Times New Roman" w:hAnsi="Times New Roman"/>
          <w:b/>
          <w:szCs w:val="24"/>
        </w:rPr>
        <w:t xml:space="preserve"> the collection of information</w:t>
      </w:r>
      <w:r w:rsidRPr="00905B81" w:rsidR="006A38F7">
        <w:rPr>
          <w:rFonts w:ascii="Times New Roman" w:hAnsi="Times New Roman"/>
          <w:b/>
          <w:szCs w:val="24"/>
        </w:rPr>
        <w:t>.</w:t>
      </w:r>
      <w:r w:rsidRPr="00905B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905B81" w:rsidR="006A38F7">
        <w:rPr>
          <w:rFonts w:ascii="Times New Roman" w:hAnsi="Times New Roman"/>
          <w:b/>
          <w:szCs w:val="24"/>
        </w:rPr>
        <w:t xml:space="preserve">list </w:t>
      </w:r>
      <w:r w:rsidRPr="00905B81">
        <w:rPr>
          <w:rFonts w:ascii="Times New Roman" w:hAnsi="Times New Roman"/>
          <w:b/>
          <w:szCs w:val="24"/>
        </w:rPr>
        <w:t xml:space="preserve">the sections </w:t>
      </w:r>
      <w:r w:rsidRPr="00905B81" w:rsidR="006A38F7">
        <w:rPr>
          <w:rFonts w:ascii="Times New Roman" w:hAnsi="Times New Roman"/>
          <w:b/>
          <w:szCs w:val="24"/>
        </w:rPr>
        <w:t>with a brief description of the information collection requirement, and/</w:t>
      </w:r>
      <w:r w:rsidRPr="00905B81">
        <w:rPr>
          <w:rFonts w:ascii="Times New Roman" w:hAnsi="Times New Roman"/>
          <w:b/>
          <w:szCs w:val="24"/>
        </w:rPr>
        <w:t>or change</w:t>
      </w:r>
      <w:r w:rsidRPr="00905B81" w:rsidR="006A38F7">
        <w:rPr>
          <w:rFonts w:ascii="Times New Roman" w:hAnsi="Times New Roman"/>
          <w:b/>
          <w:szCs w:val="24"/>
        </w:rPr>
        <w:t>s to</w:t>
      </w:r>
      <w:r w:rsidRPr="00905B81">
        <w:rPr>
          <w:rFonts w:ascii="Times New Roman" w:hAnsi="Times New Roman"/>
          <w:b/>
          <w:szCs w:val="24"/>
        </w:rPr>
        <w:t xml:space="preserve"> sections, if applicable.</w:t>
      </w:r>
    </w:p>
    <w:p w:rsidR="005F4E11" w:rsidRPr="00905B81" w:rsidP="0025185B" w14:paraId="763DBF3F" w14:textId="77777777">
      <w:pPr>
        <w:suppressAutoHyphens/>
        <w:spacing w:line="240" w:lineRule="exact"/>
        <w:ind w:left="720"/>
        <w:rPr>
          <w:rFonts w:ascii="Times New Roman" w:hAnsi="Times New Roman"/>
          <w:bCs/>
          <w:szCs w:val="24"/>
        </w:rPr>
      </w:pPr>
    </w:p>
    <w:p w:rsidR="00D803C1" w:rsidRPr="00905B81" w:rsidP="00600500" w14:paraId="10F71661" w14:textId="794A0B38">
      <w:pPr>
        <w:ind w:left="720"/>
        <w:rPr>
          <w:rFonts w:asciiTheme="minorHAnsi" w:hAnsiTheme="minorHAnsi" w:cstheme="minorHAnsi"/>
          <w:szCs w:val="24"/>
        </w:rPr>
      </w:pPr>
      <w:bookmarkStart w:id="1" w:name="_Hlk132027580"/>
      <w:r w:rsidRPr="00905B81">
        <w:rPr>
          <w:rFonts w:asciiTheme="minorHAnsi" w:hAnsiTheme="minorHAnsi" w:cstheme="minorBidi"/>
          <w:szCs w:val="24"/>
        </w:rPr>
        <w:t>The Department of Education (Department) is requesting</w:t>
      </w:r>
      <w:r w:rsidRPr="00905B81">
        <w:rPr>
          <w:rFonts w:asciiTheme="minorHAnsi" w:hAnsiTheme="minorHAnsi" w:cstheme="minorHAnsi"/>
          <w:szCs w:val="24"/>
        </w:rPr>
        <w:t xml:space="preserve"> </w:t>
      </w:r>
      <w:r w:rsidRPr="00905B81" w:rsidR="00F62585">
        <w:rPr>
          <w:rFonts w:ascii="Calibri" w:hAnsi="Calibri" w:cs="Calibri"/>
          <w:szCs w:val="24"/>
        </w:rPr>
        <w:t xml:space="preserve">the </w:t>
      </w:r>
      <w:r w:rsidR="00AF3429">
        <w:rPr>
          <w:rFonts w:ascii="Calibri" w:hAnsi="Calibri" w:cs="Calibri"/>
          <w:szCs w:val="24"/>
        </w:rPr>
        <w:t>3</w:t>
      </w:r>
      <w:r w:rsidRPr="00905B81" w:rsidR="00F62585">
        <w:rPr>
          <w:rFonts w:ascii="Calibri" w:hAnsi="Calibri" w:cs="Calibri"/>
          <w:szCs w:val="24"/>
        </w:rPr>
        <w:t>0-day public comment period</w:t>
      </w:r>
      <w:r w:rsidR="00F62585">
        <w:rPr>
          <w:rFonts w:asciiTheme="minorHAnsi" w:hAnsiTheme="minorHAnsi" w:cstheme="minorHAnsi"/>
          <w:szCs w:val="24"/>
        </w:rPr>
        <w:t xml:space="preserve"> on the </w:t>
      </w:r>
      <w:r w:rsidR="007F2A30">
        <w:rPr>
          <w:rFonts w:asciiTheme="minorHAnsi" w:hAnsiTheme="minorHAnsi" w:cstheme="minorHAnsi"/>
          <w:szCs w:val="24"/>
        </w:rPr>
        <w:t>extension</w:t>
      </w:r>
      <w:r w:rsidRPr="00905B81">
        <w:rPr>
          <w:rFonts w:asciiTheme="minorHAnsi" w:hAnsiTheme="minorHAnsi" w:cstheme="minorHAnsi"/>
          <w:szCs w:val="24"/>
        </w:rPr>
        <w:t xml:space="preserve"> of the information collection, 1845-0110</w:t>
      </w:r>
      <w:r w:rsidR="00F62585">
        <w:rPr>
          <w:rFonts w:asciiTheme="minorHAnsi" w:hAnsiTheme="minorHAnsi" w:cstheme="minorHAnsi"/>
          <w:szCs w:val="24"/>
        </w:rPr>
        <w:t>, the Application and Employment Certification for Public Service Loan Forgiveness</w:t>
      </w:r>
      <w:r w:rsidRPr="00905B81" w:rsidR="00600500">
        <w:rPr>
          <w:rFonts w:ascii="Calibri" w:hAnsi="Calibri" w:cs="Calibri"/>
          <w:szCs w:val="24"/>
        </w:rPr>
        <w:t>.</w:t>
      </w:r>
      <w:r w:rsidR="00F62585">
        <w:rPr>
          <w:rFonts w:ascii="Calibri" w:hAnsi="Calibri" w:cs="Calibri"/>
          <w:szCs w:val="24"/>
        </w:rPr>
        <w:t xml:space="preserve">  An emergency clearance for this collection was granted by the Office of Management and Budget (OMB) on May 3, 2023 with an expiration date of the emergency clearance of November 31, 2023.</w:t>
      </w:r>
      <w:r w:rsidRPr="00905B81" w:rsidR="00415CE6">
        <w:rPr>
          <w:rFonts w:ascii="Calibri" w:hAnsi="Calibri" w:cs="Calibri"/>
          <w:szCs w:val="24"/>
        </w:rPr>
        <w:t xml:space="preserve">  </w:t>
      </w:r>
    </w:p>
    <w:bookmarkEnd w:id="1"/>
    <w:p w:rsidR="00D803C1" w:rsidRPr="00905B81" w:rsidP="00D803C1" w14:paraId="3D2AA193" w14:textId="77777777">
      <w:pPr>
        <w:tabs>
          <w:tab w:val="left" w:pos="0"/>
        </w:tabs>
        <w:suppressAutoHyphens/>
        <w:ind w:left="720"/>
        <w:rPr>
          <w:rFonts w:asciiTheme="minorHAnsi" w:hAnsiTheme="minorHAnsi" w:cstheme="minorHAnsi"/>
          <w:szCs w:val="24"/>
        </w:rPr>
      </w:pPr>
    </w:p>
    <w:p w:rsidR="00601A83" w:rsidRPr="00905B81" w:rsidP="00D803C1" w14:paraId="7EFBA356" w14:textId="7DF8643E">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The College Cost Reduction and Access Act of 2007 (Pub. L. No. 110-84) and the Higher Education Opportunity Act of 2008 (Pub. L. No. 110-315) amended Section 455 of the Higher Education Act of 1965, as amended, (the HEA) (20 USC 1087(e)(m))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0025185B" w:rsidRPr="00905B81" w:rsidP="0025185B" w14:paraId="7CA9B493" w14:textId="77777777">
      <w:pPr>
        <w:tabs>
          <w:tab w:val="left" w:pos="0"/>
        </w:tabs>
        <w:suppressAutoHyphens/>
        <w:ind w:left="720"/>
        <w:rPr>
          <w:rFonts w:asciiTheme="minorHAnsi" w:hAnsiTheme="minorHAnsi" w:cstheme="minorHAnsi"/>
          <w:szCs w:val="24"/>
        </w:rPr>
      </w:pPr>
    </w:p>
    <w:p w:rsidR="00601A83" w:rsidRPr="00905B81" w:rsidP="0025185B" w14:paraId="16B62217" w14:textId="25B8C6B3">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R</w:t>
      </w:r>
      <w:r w:rsidRPr="00905B81">
        <w:rPr>
          <w:rFonts w:asciiTheme="minorHAnsi" w:hAnsiTheme="minorHAnsi" w:cstheme="minorHAnsi"/>
          <w:szCs w:val="24"/>
        </w:rPr>
        <w:t xml:space="preserve">egulations for the Public Service Loan Forgiveness (PSLF) Program were </w:t>
      </w:r>
      <w:r w:rsidRPr="00905B81">
        <w:rPr>
          <w:rFonts w:asciiTheme="minorHAnsi" w:hAnsiTheme="minorHAnsi" w:cstheme="minorHAnsi"/>
          <w:szCs w:val="24"/>
        </w:rPr>
        <w:t xml:space="preserve">initially </w:t>
      </w:r>
      <w:r w:rsidRPr="00905B81">
        <w:rPr>
          <w:rFonts w:asciiTheme="minorHAnsi" w:hAnsiTheme="minorHAnsi" w:cstheme="minorHAnsi"/>
          <w:szCs w:val="24"/>
        </w:rPr>
        <w:t>published in the Federal Register on October 23, 2008 (73 FR 63256) and were codified in 34 CFR 685.219.  The regulations require a borrower to submit an application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0025185B" w:rsidRPr="00905B81" w:rsidP="0025185B" w14:paraId="33C6CF5F" w14:textId="77777777">
      <w:pPr>
        <w:tabs>
          <w:tab w:val="left" w:pos="0"/>
        </w:tabs>
        <w:suppressAutoHyphens/>
        <w:ind w:left="720"/>
        <w:rPr>
          <w:rFonts w:asciiTheme="minorHAnsi" w:hAnsiTheme="minorHAnsi" w:cstheme="minorHAnsi"/>
          <w:szCs w:val="24"/>
        </w:rPr>
      </w:pPr>
    </w:p>
    <w:p w:rsidR="00601A83" w:rsidRPr="00905B81" w:rsidP="007B6347" w14:paraId="01748B1B" w14:textId="3CAB7B3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The Consolidated Appropriations Act, 2018 (Pub. L. No. 115-141) provided limited, additional conditions under which a borrower may become eligible for loan forgiveness if some or all of the payments made on their Direct Loan loan(s) were under a non-qualifying repayment plan for PSLF.  The Department </w:t>
      </w:r>
      <w:r w:rsidRPr="00905B81" w:rsidR="00170546">
        <w:rPr>
          <w:rFonts w:asciiTheme="minorHAnsi" w:hAnsiTheme="minorHAnsi" w:cstheme="minorHAnsi"/>
          <w:szCs w:val="24"/>
        </w:rPr>
        <w:t>refers</w:t>
      </w:r>
      <w:r w:rsidRPr="00905B81">
        <w:rPr>
          <w:rFonts w:asciiTheme="minorHAnsi" w:hAnsiTheme="minorHAnsi" w:cstheme="minorHAnsi"/>
          <w:szCs w:val="24"/>
        </w:rPr>
        <w:t xml:space="preserve"> to this reconsideration as the Temporary Expanded Public Service Loan Forgiveness (TEPSLF) opportunity.  There are no regulations for the TEPSLF opportunity. This program opportunity has limited funding and is evaluated on a first come, first served basis.  </w:t>
      </w:r>
    </w:p>
    <w:p w:rsidR="0025185B" w:rsidRPr="00905B81" w:rsidP="0025185B" w14:paraId="1B3AB760" w14:textId="77777777">
      <w:pPr>
        <w:tabs>
          <w:tab w:val="left" w:pos="0"/>
        </w:tabs>
        <w:suppressAutoHyphens/>
        <w:ind w:left="720"/>
        <w:rPr>
          <w:rFonts w:asciiTheme="minorHAnsi" w:hAnsiTheme="minorHAnsi" w:cstheme="minorHAnsi"/>
          <w:szCs w:val="24"/>
        </w:rPr>
      </w:pPr>
    </w:p>
    <w:p w:rsidR="00601A83" w:rsidRPr="00905B81" w:rsidP="0025185B" w14:paraId="4E45E39C" w14:textId="5910D5B1">
      <w:pPr>
        <w:suppressAutoHyphens/>
        <w:ind w:left="720"/>
        <w:rPr>
          <w:rFonts w:asciiTheme="minorHAnsi" w:hAnsiTheme="minorHAnsi" w:cstheme="minorHAnsi"/>
          <w:szCs w:val="24"/>
        </w:rPr>
      </w:pPr>
      <w:r w:rsidRPr="00905B81">
        <w:rPr>
          <w:rFonts w:asciiTheme="minorHAnsi" w:hAnsiTheme="minorHAnsi" w:cstheme="minorHAnsi"/>
          <w:szCs w:val="24"/>
        </w:rPr>
        <w:t xml:space="preserve">The Department </w:t>
      </w:r>
      <w:r w:rsidRPr="00905B81" w:rsidR="008E7E16">
        <w:rPr>
          <w:rFonts w:asciiTheme="minorHAnsi" w:hAnsiTheme="minorHAnsi" w:cstheme="minorHAnsi"/>
          <w:szCs w:val="24"/>
        </w:rPr>
        <w:t>consolidated</w:t>
      </w:r>
      <w:r w:rsidRPr="00905B81">
        <w:rPr>
          <w:rFonts w:asciiTheme="minorHAnsi" w:hAnsiTheme="minorHAnsi" w:cstheme="minorHAnsi"/>
          <w:szCs w:val="24"/>
        </w:rPr>
        <w:t xml:space="preserve"> the </w:t>
      </w:r>
      <w:r w:rsidRPr="00905B81" w:rsidR="00170546">
        <w:rPr>
          <w:rFonts w:asciiTheme="minorHAnsi" w:hAnsiTheme="minorHAnsi" w:cstheme="minorHAnsi"/>
          <w:szCs w:val="24"/>
        </w:rPr>
        <w:t xml:space="preserve">previously separate </w:t>
      </w:r>
      <w:r w:rsidRPr="00905B81">
        <w:rPr>
          <w:rFonts w:asciiTheme="minorHAnsi" w:hAnsiTheme="minorHAnsi" w:cstheme="minorHAnsi"/>
          <w:szCs w:val="24"/>
        </w:rPr>
        <w:t xml:space="preserve">forms that borrowers </w:t>
      </w:r>
      <w:r w:rsidRPr="00905B81" w:rsidR="00170546">
        <w:rPr>
          <w:rFonts w:asciiTheme="minorHAnsi" w:hAnsiTheme="minorHAnsi" w:cstheme="minorHAnsi"/>
          <w:szCs w:val="24"/>
        </w:rPr>
        <w:t xml:space="preserve">had to </w:t>
      </w:r>
      <w:r w:rsidRPr="00905B81">
        <w:rPr>
          <w:rFonts w:asciiTheme="minorHAnsi" w:hAnsiTheme="minorHAnsi" w:cstheme="minorHAnsi"/>
          <w:szCs w:val="24"/>
        </w:rPr>
        <w:t>complete if they want to ultimately receive PSLF or TEPSLF</w:t>
      </w:r>
      <w:r w:rsidRPr="00905B81">
        <w:rPr>
          <w:rFonts w:asciiTheme="minorHAnsi" w:hAnsiTheme="minorHAnsi" w:cstheme="minorHAnsi"/>
          <w:i/>
          <w:iCs/>
          <w:szCs w:val="24"/>
        </w:rPr>
        <w:t xml:space="preserve">.  </w:t>
      </w:r>
      <w:r w:rsidRPr="00905B81">
        <w:rPr>
          <w:rFonts w:asciiTheme="minorHAnsi" w:hAnsiTheme="minorHAnsi" w:cstheme="minorHAnsi"/>
          <w:szCs w:val="24"/>
        </w:rPr>
        <w:t xml:space="preserve">The form named the </w:t>
      </w:r>
      <w:bookmarkStart w:id="2" w:name="_Hlk30666766"/>
      <w:r w:rsidRPr="00905B81">
        <w:rPr>
          <w:rFonts w:asciiTheme="minorHAnsi" w:hAnsiTheme="minorHAnsi" w:cstheme="minorHAnsi"/>
          <w:i/>
          <w:iCs/>
          <w:szCs w:val="24"/>
        </w:rPr>
        <w:t xml:space="preserve">Public Service Loan Forgiveness (PSLF) &amp; Temporary Expanded PLSF (TESPLF) </w:t>
      </w:r>
      <w:bookmarkEnd w:id="2"/>
      <w:r w:rsidRPr="00905B81">
        <w:rPr>
          <w:rFonts w:asciiTheme="minorHAnsi" w:hAnsiTheme="minorHAnsi" w:cstheme="minorHAnsi"/>
          <w:i/>
          <w:iCs/>
          <w:szCs w:val="24"/>
        </w:rPr>
        <w:t>Certification and Application</w:t>
      </w:r>
      <w:r w:rsidRPr="00905B81" w:rsidR="00170546">
        <w:rPr>
          <w:rFonts w:asciiTheme="minorHAnsi" w:hAnsiTheme="minorHAnsi" w:cstheme="minorHAnsi"/>
          <w:szCs w:val="24"/>
        </w:rPr>
        <w:t xml:space="preserve"> has been used for these programs since 2020. </w:t>
      </w:r>
      <w:r w:rsidRPr="00905B81">
        <w:rPr>
          <w:rFonts w:asciiTheme="minorHAnsi" w:hAnsiTheme="minorHAnsi" w:cstheme="minorHAnsi"/>
          <w:i/>
          <w:iCs/>
          <w:szCs w:val="24"/>
        </w:rPr>
        <w:t xml:space="preserve"> </w:t>
      </w:r>
      <w:r w:rsidRPr="00905B81">
        <w:rPr>
          <w:rFonts w:asciiTheme="minorHAnsi" w:hAnsiTheme="minorHAnsi" w:cstheme="minorHAnsi"/>
          <w:szCs w:val="24"/>
        </w:rPr>
        <w:t xml:space="preserve"> </w:t>
      </w:r>
      <w:r w:rsidRPr="00905B81">
        <w:rPr>
          <w:rFonts w:asciiTheme="minorHAnsi" w:hAnsiTheme="minorHAnsi" w:cstheme="minorHAnsi"/>
          <w:szCs w:val="24"/>
        </w:rPr>
        <w:t>This consolidat</w:t>
      </w:r>
      <w:r w:rsidRPr="00905B81" w:rsidR="008E7E16">
        <w:rPr>
          <w:rFonts w:asciiTheme="minorHAnsi" w:hAnsiTheme="minorHAnsi" w:cstheme="minorHAnsi"/>
          <w:szCs w:val="24"/>
        </w:rPr>
        <w:t>ed</w:t>
      </w:r>
      <w:r w:rsidRPr="00905B81" w:rsidR="000B24D7">
        <w:rPr>
          <w:rFonts w:asciiTheme="minorHAnsi" w:hAnsiTheme="minorHAnsi" w:cstheme="minorHAnsi"/>
          <w:szCs w:val="24"/>
        </w:rPr>
        <w:t xml:space="preserve"> </w:t>
      </w:r>
      <w:r w:rsidRPr="00905B81">
        <w:rPr>
          <w:rFonts w:asciiTheme="minorHAnsi" w:hAnsiTheme="minorHAnsi" w:cstheme="minorHAnsi"/>
          <w:szCs w:val="24"/>
        </w:rPr>
        <w:t>form remove</w:t>
      </w:r>
      <w:r w:rsidRPr="00905B81" w:rsidR="008E7E16">
        <w:rPr>
          <w:rFonts w:asciiTheme="minorHAnsi" w:hAnsiTheme="minorHAnsi" w:cstheme="minorHAnsi"/>
          <w:szCs w:val="24"/>
        </w:rPr>
        <w:t>d</w:t>
      </w:r>
      <w:r w:rsidRPr="00905B81">
        <w:rPr>
          <w:rFonts w:asciiTheme="minorHAnsi" w:hAnsiTheme="minorHAnsi" w:cstheme="minorHAnsi"/>
          <w:szCs w:val="24"/>
        </w:rPr>
        <w:t xml:space="preserve"> the need for borrowers to separately complete the PSLF application and submit a separate email for the TEPSLF program.  This combin</w:t>
      </w:r>
      <w:r w:rsidRPr="00905B81" w:rsidR="008E7E16">
        <w:rPr>
          <w:rFonts w:asciiTheme="minorHAnsi" w:hAnsiTheme="minorHAnsi" w:cstheme="minorHAnsi"/>
          <w:szCs w:val="24"/>
        </w:rPr>
        <w:t>ed form</w:t>
      </w:r>
      <w:r w:rsidRPr="00905B81">
        <w:rPr>
          <w:rFonts w:asciiTheme="minorHAnsi" w:hAnsiTheme="minorHAnsi" w:cstheme="minorHAnsi"/>
          <w:szCs w:val="24"/>
        </w:rPr>
        <w:t xml:space="preserve"> also aid</w:t>
      </w:r>
      <w:r w:rsidRPr="00905B81" w:rsidR="008E7E16">
        <w:rPr>
          <w:rFonts w:asciiTheme="minorHAnsi" w:hAnsiTheme="minorHAnsi" w:cstheme="minorHAnsi"/>
          <w:szCs w:val="24"/>
        </w:rPr>
        <w:t>ed</w:t>
      </w:r>
      <w:r w:rsidRPr="00905B81">
        <w:rPr>
          <w:rFonts w:asciiTheme="minorHAnsi" w:hAnsiTheme="minorHAnsi" w:cstheme="minorHAnsi"/>
          <w:szCs w:val="24"/>
        </w:rPr>
        <w:t xml:space="preserve"> the Department in streamlining the forgiveness determination process.</w:t>
      </w:r>
    </w:p>
    <w:p w:rsidR="007C700A" w:rsidRPr="00905B81" w:rsidP="0025185B" w14:paraId="5182F308" w14:textId="77777777">
      <w:pPr>
        <w:pStyle w:val="ListParagraph"/>
        <w:suppressAutoHyphens/>
        <w:spacing w:line="240" w:lineRule="exact"/>
        <w:contextualSpacing w:val="0"/>
        <w:rPr>
          <w:rFonts w:ascii="Times New Roman" w:hAnsi="Times New Roman"/>
          <w:szCs w:val="24"/>
        </w:rPr>
      </w:pPr>
    </w:p>
    <w:p w:rsidR="00D81486" w:rsidRPr="00905B81" w:rsidP="0070035C" w14:paraId="66AD1956" w14:textId="2FA71B2D">
      <w:pPr>
        <w:suppressAutoHyphens/>
        <w:ind w:left="720"/>
        <w:rPr>
          <w:rFonts w:asciiTheme="minorHAnsi" w:hAnsiTheme="minorHAnsi" w:cstheme="minorHAnsi"/>
          <w:szCs w:val="24"/>
        </w:rPr>
      </w:pPr>
      <w:r w:rsidRPr="00905B81">
        <w:rPr>
          <w:rFonts w:asciiTheme="minorHAnsi" w:hAnsiTheme="minorHAnsi" w:cstheme="minorHAnsi"/>
          <w:szCs w:val="24"/>
        </w:rPr>
        <w:t xml:space="preserve">The PSLF program </w:t>
      </w:r>
      <w:r w:rsidRPr="00905B81" w:rsidR="009E41D9">
        <w:rPr>
          <w:rFonts w:asciiTheme="minorHAnsi" w:hAnsiTheme="minorHAnsi" w:cstheme="minorHAnsi"/>
          <w:szCs w:val="24"/>
        </w:rPr>
        <w:t xml:space="preserve">was </w:t>
      </w:r>
      <w:r w:rsidRPr="00905B81">
        <w:rPr>
          <w:rFonts w:asciiTheme="minorHAnsi" w:hAnsiTheme="minorHAnsi" w:cstheme="minorHAnsi"/>
          <w:szCs w:val="24"/>
        </w:rPr>
        <w:t xml:space="preserve">revised during the Negotiated Rulemaking process </w:t>
      </w:r>
      <w:r w:rsidRPr="00905B81" w:rsidR="00170546">
        <w:rPr>
          <w:rFonts w:asciiTheme="minorHAnsi" w:hAnsiTheme="minorHAnsi" w:cstheme="minorHAnsi"/>
          <w:szCs w:val="24"/>
        </w:rPr>
        <w:t xml:space="preserve">in 2021 </w:t>
      </w:r>
      <w:r w:rsidRPr="00905B81">
        <w:rPr>
          <w:rFonts w:asciiTheme="minorHAnsi" w:hAnsiTheme="minorHAnsi" w:cstheme="minorHAnsi"/>
          <w:szCs w:val="24"/>
        </w:rPr>
        <w:t xml:space="preserve">resulting in Final </w:t>
      </w:r>
      <w:r w:rsidRPr="00905B81" w:rsidR="006241B2">
        <w:rPr>
          <w:rFonts w:asciiTheme="minorHAnsi" w:hAnsiTheme="minorHAnsi" w:cstheme="minorHAnsi"/>
          <w:szCs w:val="24"/>
        </w:rPr>
        <w:t xml:space="preserve">Rule </w:t>
      </w:r>
      <w:r w:rsidRPr="00905B81">
        <w:rPr>
          <w:rFonts w:asciiTheme="minorHAnsi" w:hAnsiTheme="minorHAnsi" w:cstheme="minorHAnsi"/>
          <w:szCs w:val="24"/>
        </w:rPr>
        <w:t>for the Public Service Loan Forgiveness (PSLF) Program that were published in the Federal Register on November 1, 2022 (</w:t>
      </w:r>
      <w:r w:rsidRPr="00905B81" w:rsidR="00CC0990">
        <w:rPr>
          <w:rFonts w:asciiTheme="minorHAnsi" w:hAnsiTheme="minorHAnsi" w:cstheme="minorHAnsi"/>
          <w:szCs w:val="24"/>
        </w:rPr>
        <w:t>87 FR 65904</w:t>
      </w:r>
      <w:r w:rsidRPr="00905B81">
        <w:rPr>
          <w:rFonts w:asciiTheme="minorHAnsi" w:hAnsiTheme="minorHAnsi" w:cstheme="minorHAnsi"/>
          <w:szCs w:val="24"/>
        </w:rPr>
        <w:t xml:space="preserve">) and </w:t>
      </w:r>
      <w:r w:rsidRPr="00905B81" w:rsidR="00170546">
        <w:rPr>
          <w:rFonts w:asciiTheme="minorHAnsi" w:hAnsiTheme="minorHAnsi" w:cstheme="minorHAnsi"/>
          <w:szCs w:val="24"/>
        </w:rPr>
        <w:t xml:space="preserve">continue to be </w:t>
      </w:r>
      <w:r w:rsidRPr="00905B81">
        <w:rPr>
          <w:rFonts w:asciiTheme="minorHAnsi" w:hAnsiTheme="minorHAnsi" w:cstheme="minorHAnsi"/>
          <w:szCs w:val="24"/>
        </w:rPr>
        <w:t>codified in 34 CFR 685.219.</w:t>
      </w:r>
      <w:r w:rsidRPr="00905B81" w:rsidR="00CC0990">
        <w:rPr>
          <w:rFonts w:asciiTheme="minorHAnsi" w:hAnsiTheme="minorHAnsi" w:cstheme="minorHAnsi"/>
          <w:szCs w:val="24"/>
        </w:rPr>
        <w:t xml:space="preserve"> These regulations</w:t>
      </w:r>
      <w:r w:rsidRPr="00905B81" w:rsidR="00F43F7A">
        <w:rPr>
          <w:rFonts w:asciiTheme="minorHAnsi" w:hAnsiTheme="minorHAnsi" w:cstheme="minorHAnsi"/>
          <w:szCs w:val="24"/>
        </w:rPr>
        <w:t xml:space="preserve"> </w:t>
      </w:r>
      <w:r w:rsidRPr="00905B81" w:rsidR="00F661BF">
        <w:rPr>
          <w:rFonts w:asciiTheme="minorHAnsi" w:hAnsiTheme="minorHAnsi" w:cstheme="minorHAnsi"/>
          <w:szCs w:val="24"/>
        </w:rPr>
        <w:t xml:space="preserve">defined or </w:t>
      </w:r>
      <w:r w:rsidRPr="00905B81" w:rsidR="00F43F7A">
        <w:rPr>
          <w:rFonts w:asciiTheme="minorHAnsi" w:hAnsiTheme="minorHAnsi" w:cstheme="minorHAnsi"/>
          <w:szCs w:val="24"/>
        </w:rPr>
        <w:t>redefined many terms</w:t>
      </w:r>
      <w:r w:rsidRPr="00905B81" w:rsidR="00F91AEF">
        <w:rPr>
          <w:rFonts w:asciiTheme="minorHAnsi" w:hAnsiTheme="minorHAnsi" w:cstheme="minorHAnsi"/>
          <w:szCs w:val="24"/>
        </w:rPr>
        <w:t xml:space="preserve"> </w:t>
      </w:r>
      <w:r w:rsidRPr="00905B81" w:rsidR="000C4EF3">
        <w:rPr>
          <w:rFonts w:asciiTheme="minorHAnsi" w:hAnsiTheme="minorHAnsi" w:cstheme="minorHAnsi"/>
          <w:szCs w:val="24"/>
        </w:rPr>
        <w:t xml:space="preserve">in the PSLF program including the definition of </w:t>
      </w:r>
      <w:r w:rsidRPr="00905B81" w:rsidR="002949A1">
        <w:rPr>
          <w:rFonts w:asciiTheme="minorHAnsi" w:hAnsiTheme="minorHAnsi" w:cstheme="minorHAnsi"/>
          <w:szCs w:val="24"/>
        </w:rPr>
        <w:t>“</w:t>
      </w:r>
      <w:r w:rsidRPr="00905B81" w:rsidR="000C4EF3">
        <w:rPr>
          <w:rFonts w:asciiTheme="minorHAnsi" w:hAnsiTheme="minorHAnsi" w:cstheme="minorHAnsi"/>
          <w:szCs w:val="24"/>
        </w:rPr>
        <w:t>full-time</w:t>
      </w:r>
      <w:r w:rsidRPr="00905B81" w:rsidR="002949A1">
        <w:rPr>
          <w:rFonts w:asciiTheme="minorHAnsi" w:hAnsiTheme="minorHAnsi" w:cstheme="minorHAnsi"/>
          <w:szCs w:val="24"/>
        </w:rPr>
        <w:t>”</w:t>
      </w:r>
      <w:r w:rsidRPr="00905B81" w:rsidR="000C4EF3">
        <w:rPr>
          <w:rFonts w:asciiTheme="minorHAnsi" w:hAnsiTheme="minorHAnsi" w:cstheme="minorHAnsi"/>
          <w:szCs w:val="24"/>
        </w:rPr>
        <w:t xml:space="preserve"> and </w:t>
      </w:r>
      <w:r w:rsidRPr="00905B81" w:rsidR="002949A1">
        <w:rPr>
          <w:rFonts w:asciiTheme="minorHAnsi" w:hAnsiTheme="minorHAnsi" w:cstheme="minorHAnsi"/>
          <w:szCs w:val="24"/>
        </w:rPr>
        <w:t xml:space="preserve">"employee or employed" </w:t>
      </w:r>
      <w:r w:rsidRPr="00905B81" w:rsidR="00F91AEF">
        <w:rPr>
          <w:rFonts w:asciiTheme="minorHAnsi" w:hAnsiTheme="minorHAnsi" w:cstheme="minorHAnsi"/>
          <w:szCs w:val="24"/>
        </w:rPr>
        <w:t xml:space="preserve">and further streamlined the </w:t>
      </w:r>
      <w:r w:rsidRPr="00905B81" w:rsidR="00C86243">
        <w:rPr>
          <w:rFonts w:asciiTheme="minorHAnsi" w:hAnsiTheme="minorHAnsi" w:cstheme="minorHAnsi"/>
          <w:szCs w:val="24"/>
        </w:rPr>
        <w:t>application process by</w:t>
      </w:r>
      <w:r w:rsidRPr="00905B81" w:rsidR="00AE3217">
        <w:rPr>
          <w:rFonts w:asciiTheme="minorHAnsi" w:hAnsiTheme="minorHAnsi" w:cstheme="minorHAnsi"/>
          <w:szCs w:val="24"/>
        </w:rPr>
        <w:t xml:space="preserve"> relying more directly on the employer database to </w:t>
      </w:r>
      <w:r w:rsidRPr="00905B81" w:rsidR="00D61340">
        <w:rPr>
          <w:rFonts w:asciiTheme="minorHAnsi" w:hAnsiTheme="minorHAnsi" w:cstheme="minorHAnsi"/>
          <w:szCs w:val="24"/>
        </w:rPr>
        <w:t xml:space="preserve">determine employer eligibility data </w:t>
      </w:r>
      <w:r w:rsidRPr="00905B81" w:rsidR="00D72F74">
        <w:rPr>
          <w:rFonts w:asciiTheme="minorHAnsi" w:hAnsiTheme="minorHAnsi" w:cstheme="minorHAnsi"/>
          <w:szCs w:val="24"/>
        </w:rPr>
        <w:t xml:space="preserve">rather </w:t>
      </w:r>
      <w:r w:rsidRPr="00905B81" w:rsidR="00D61340">
        <w:rPr>
          <w:rFonts w:asciiTheme="minorHAnsi" w:hAnsiTheme="minorHAnsi" w:cstheme="minorHAnsi"/>
          <w:szCs w:val="24"/>
        </w:rPr>
        <w:t xml:space="preserve">than </w:t>
      </w:r>
      <w:r w:rsidRPr="00905B81" w:rsidR="00822A07">
        <w:rPr>
          <w:rFonts w:asciiTheme="minorHAnsi" w:hAnsiTheme="minorHAnsi" w:cstheme="minorHAnsi"/>
          <w:szCs w:val="24"/>
        </w:rPr>
        <w:t xml:space="preserve">requesting the </w:t>
      </w:r>
      <w:r w:rsidRPr="00905B81" w:rsidR="00D72F74">
        <w:rPr>
          <w:rFonts w:asciiTheme="minorHAnsi" w:hAnsiTheme="minorHAnsi" w:cstheme="minorHAnsi"/>
          <w:szCs w:val="24"/>
        </w:rPr>
        <w:t>employer eligibility information</w:t>
      </w:r>
      <w:r w:rsidRPr="00905B81" w:rsidR="00822A07">
        <w:rPr>
          <w:rFonts w:asciiTheme="minorHAnsi" w:hAnsiTheme="minorHAnsi" w:cstheme="minorHAnsi"/>
          <w:szCs w:val="24"/>
        </w:rPr>
        <w:t xml:space="preserve"> to be collected on the application itself</w:t>
      </w:r>
      <w:r w:rsidRPr="00905B81" w:rsidR="00F661BF">
        <w:rPr>
          <w:rFonts w:asciiTheme="minorHAnsi" w:hAnsiTheme="minorHAnsi" w:cstheme="minorHAnsi"/>
          <w:szCs w:val="24"/>
        </w:rPr>
        <w:t xml:space="preserve"> resulting in those questions being removed from the form</w:t>
      </w:r>
      <w:r w:rsidRPr="00905B81" w:rsidR="00822A07">
        <w:rPr>
          <w:rFonts w:asciiTheme="minorHAnsi" w:hAnsiTheme="minorHAnsi" w:cstheme="minorHAnsi"/>
          <w:szCs w:val="24"/>
        </w:rPr>
        <w:t>.</w:t>
      </w:r>
      <w:r w:rsidRPr="00905B81">
        <w:rPr>
          <w:rFonts w:asciiTheme="minorHAnsi" w:hAnsiTheme="minorHAnsi" w:cstheme="minorHAnsi"/>
          <w:szCs w:val="24"/>
        </w:rPr>
        <w:t xml:space="preserve"> </w:t>
      </w:r>
      <w:r w:rsidRPr="00905B81" w:rsidR="00F32678">
        <w:rPr>
          <w:rFonts w:asciiTheme="minorHAnsi" w:hAnsiTheme="minorHAnsi" w:cstheme="minorHAnsi"/>
          <w:szCs w:val="24"/>
        </w:rPr>
        <w:t xml:space="preserve">The form was </w:t>
      </w:r>
      <w:r w:rsidRPr="00905B81" w:rsidR="000B4A2A">
        <w:rPr>
          <w:rFonts w:asciiTheme="minorHAnsi" w:hAnsiTheme="minorHAnsi" w:cstheme="minorHAnsi"/>
          <w:szCs w:val="24"/>
        </w:rPr>
        <w:t xml:space="preserve">also </w:t>
      </w:r>
      <w:r w:rsidRPr="00905B81" w:rsidR="00F32678">
        <w:rPr>
          <w:rFonts w:asciiTheme="minorHAnsi" w:hAnsiTheme="minorHAnsi" w:cstheme="minorHAnsi"/>
          <w:szCs w:val="24"/>
        </w:rPr>
        <w:t>updated to pro</w:t>
      </w:r>
      <w:r w:rsidRPr="00905B81" w:rsidR="00AF043A">
        <w:rPr>
          <w:rFonts w:asciiTheme="minorHAnsi" w:hAnsiTheme="minorHAnsi" w:cstheme="minorHAnsi"/>
          <w:szCs w:val="24"/>
        </w:rPr>
        <w:t xml:space="preserve">vide clearer instructions for questions that have proven to be confusing </w:t>
      </w:r>
      <w:r w:rsidRPr="00905B81" w:rsidR="002F7BFD">
        <w:rPr>
          <w:rFonts w:asciiTheme="minorHAnsi" w:hAnsiTheme="minorHAnsi" w:cstheme="minorHAnsi"/>
          <w:szCs w:val="24"/>
        </w:rPr>
        <w:t>or produce conflicting information in the past.</w:t>
      </w:r>
    </w:p>
    <w:p w:rsidR="00D81486" w:rsidRPr="00905B81" w:rsidP="0070035C" w14:paraId="2CC60C85" w14:textId="77777777">
      <w:pPr>
        <w:suppressAutoHyphens/>
        <w:ind w:left="720"/>
        <w:rPr>
          <w:rFonts w:asciiTheme="minorHAnsi" w:hAnsiTheme="minorHAnsi" w:cstheme="minorHAnsi"/>
          <w:szCs w:val="24"/>
        </w:rPr>
      </w:pPr>
    </w:p>
    <w:p w:rsidR="0070035C" w:rsidRPr="00905B81" w:rsidP="0070035C" w14:paraId="22207D30" w14:textId="1AFD054D">
      <w:pPr>
        <w:suppressAutoHyphens/>
        <w:ind w:left="720"/>
        <w:rPr>
          <w:rFonts w:asciiTheme="minorHAnsi" w:hAnsiTheme="minorHAnsi" w:cstheme="minorHAnsi"/>
          <w:szCs w:val="24"/>
        </w:rPr>
      </w:pPr>
      <w:r w:rsidRPr="00905B81">
        <w:rPr>
          <w:rFonts w:asciiTheme="minorHAnsi" w:hAnsiTheme="minorHAnsi" w:cstheme="minorHAnsi"/>
          <w:szCs w:val="24"/>
        </w:rPr>
        <w:t>Concurrent with th</w:t>
      </w:r>
      <w:r w:rsidRPr="00905B81" w:rsidR="0038579B">
        <w:rPr>
          <w:rFonts w:asciiTheme="minorHAnsi" w:hAnsiTheme="minorHAnsi" w:cstheme="minorHAnsi"/>
          <w:szCs w:val="24"/>
        </w:rPr>
        <w:t>ese new regulations</w:t>
      </w:r>
      <w:r w:rsidRPr="00905B81">
        <w:rPr>
          <w:rFonts w:asciiTheme="minorHAnsi" w:hAnsiTheme="minorHAnsi" w:cstheme="minorHAnsi"/>
          <w:szCs w:val="24"/>
        </w:rPr>
        <w:t>, the Department implemented</w:t>
      </w:r>
      <w:r w:rsidRPr="00905B81" w:rsidR="00A65A23">
        <w:rPr>
          <w:rFonts w:asciiTheme="minorHAnsi" w:hAnsiTheme="minorHAnsi" w:cstheme="minorHAnsi"/>
          <w:szCs w:val="24"/>
        </w:rPr>
        <w:t xml:space="preserve"> the ability </w:t>
      </w:r>
      <w:r w:rsidRPr="00905B81" w:rsidR="00123AF5">
        <w:rPr>
          <w:rFonts w:asciiTheme="minorHAnsi" w:hAnsiTheme="minorHAnsi" w:cstheme="minorHAnsi"/>
          <w:szCs w:val="24"/>
        </w:rPr>
        <w:t>for the borrower and employer to</w:t>
      </w:r>
      <w:r w:rsidRPr="00905B81" w:rsidR="00A65A23">
        <w:rPr>
          <w:rFonts w:asciiTheme="minorHAnsi" w:hAnsiTheme="minorHAnsi" w:cstheme="minorHAnsi"/>
          <w:szCs w:val="24"/>
        </w:rPr>
        <w:t xml:space="preserve"> digitally sign and submit the PSLF Form</w:t>
      </w:r>
      <w:r w:rsidRPr="00905B81" w:rsidR="005176CF">
        <w:rPr>
          <w:rFonts w:asciiTheme="minorHAnsi" w:hAnsiTheme="minorHAnsi" w:cstheme="minorHAnsi"/>
          <w:szCs w:val="24"/>
        </w:rPr>
        <w:t xml:space="preserve"> electronically through our Digital Platform</w:t>
      </w:r>
      <w:r w:rsidRPr="00905B81" w:rsidR="00F92A11">
        <w:rPr>
          <w:rFonts w:asciiTheme="minorHAnsi" w:hAnsiTheme="minorHAnsi" w:cstheme="minorHAnsi"/>
          <w:szCs w:val="24"/>
        </w:rPr>
        <w:t xml:space="preserve">. The </w:t>
      </w:r>
      <w:r w:rsidRPr="00905B81" w:rsidR="00E9773D">
        <w:rPr>
          <w:rFonts w:asciiTheme="minorHAnsi" w:hAnsiTheme="minorHAnsi" w:cstheme="minorHAnsi"/>
          <w:szCs w:val="24"/>
        </w:rPr>
        <w:t>PSLF form was redesigned to encourage</w:t>
      </w:r>
      <w:r w:rsidRPr="00905B81" w:rsidR="00BF780C">
        <w:rPr>
          <w:rFonts w:asciiTheme="minorHAnsi" w:hAnsiTheme="minorHAnsi" w:cstheme="minorHAnsi"/>
          <w:szCs w:val="24"/>
        </w:rPr>
        <w:t xml:space="preserve"> the</w:t>
      </w:r>
      <w:r w:rsidRPr="00905B81" w:rsidR="00E9773D">
        <w:rPr>
          <w:rFonts w:asciiTheme="minorHAnsi" w:hAnsiTheme="minorHAnsi" w:cstheme="minorHAnsi"/>
          <w:szCs w:val="24"/>
        </w:rPr>
        <w:t xml:space="preserve"> use of the new signature </w:t>
      </w:r>
      <w:r w:rsidRPr="00905B81" w:rsidR="0040489E">
        <w:rPr>
          <w:rFonts w:asciiTheme="minorHAnsi" w:hAnsiTheme="minorHAnsi" w:cstheme="minorHAnsi"/>
          <w:szCs w:val="24"/>
        </w:rPr>
        <w:t xml:space="preserve">options and align the instructions </w:t>
      </w:r>
      <w:r w:rsidRPr="00905B81" w:rsidR="00B37EED">
        <w:rPr>
          <w:rFonts w:asciiTheme="minorHAnsi" w:hAnsiTheme="minorHAnsi" w:cstheme="minorHAnsi"/>
          <w:szCs w:val="24"/>
        </w:rPr>
        <w:t>on</w:t>
      </w:r>
      <w:r w:rsidRPr="00905B81" w:rsidR="0039505F">
        <w:rPr>
          <w:rFonts w:asciiTheme="minorHAnsi" w:hAnsiTheme="minorHAnsi" w:cstheme="minorHAnsi"/>
          <w:szCs w:val="24"/>
        </w:rPr>
        <w:t xml:space="preserve"> the form to mimic the user experience </w:t>
      </w:r>
      <w:r w:rsidRPr="00905B81" w:rsidR="00B37EED">
        <w:rPr>
          <w:rFonts w:asciiTheme="minorHAnsi" w:hAnsiTheme="minorHAnsi" w:cstheme="minorHAnsi"/>
          <w:szCs w:val="24"/>
        </w:rPr>
        <w:t>connected to the online submission.</w:t>
      </w:r>
      <w:r w:rsidR="00C631CD">
        <w:rPr>
          <w:rFonts w:asciiTheme="minorHAnsi" w:hAnsiTheme="minorHAnsi" w:cstheme="minorHAnsi"/>
          <w:szCs w:val="24"/>
        </w:rPr>
        <w:t xml:space="preserve">  This new form bec</w:t>
      </w:r>
      <w:r w:rsidR="00B8750F">
        <w:rPr>
          <w:rFonts w:asciiTheme="minorHAnsi" w:hAnsiTheme="minorHAnsi" w:cstheme="minorHAnsi"/>
          <w:szCs w:val="24"/>
        </w:rPr>
        <w:t>a</w:t>
      </w:r>
      <w:r w:rsidR="00C631CD">
        <w:rPr>
          <w:rFonts w:asciiTheme="minorHAnsi" w:hAnsiTheme="minorHAnsi" w:cstheme="minorHAnsi"/>
          <w:szCs w:val="24"/>
        </w:rPr>
        <w:t>me effective on July 1, 2023.</w:t>
      </w:r>
    </w:p>
    <w:p w:rsidR="00A51984" w:rsidRPr="00905B81" w:rsidP="0070035C" w14:paraId="4BDB035A" w14:textId="749BBBD6">
      <w:pPr>
        <w:suppressAutoHyphens/>
        <w:ind w:left="720"/>
        <w:rPr>
          <w:rFonts w:asciiTheme="minorHAnsi" w:hAnsiTheme="minorHAnsi" w:cstheme="minorHAnsi"/>
          <w:szCs w:val="24"/>
        </w:rPr>
      </w:pPr>
    </w:p>
    <w:p w:rsidR="00AD381B" w:rsidRPr="00905B81" w:rsidP="00905B81" w14:paraId="64280E5A" w14:textId="0DF6F33A">
      <w:pPr>
        <w:pStyle w:val="ListParagraph"/>
        <w:numPr>
          <w:ilvl w:val="0"/>
          <w:numId w:val="4"/>
        </w:numPr>
        <w:suppressAutoHyphens/>
        <w:contextualSpacing w:val="0"/>
        <w:rPr>
          <w:rFonts w:ascii="Times New Roman" w:hAnsi="Times New Roman"/>
          <w:szCs w:val="24"/>
        </w:rPr>
      </w:pPr>
      <w:r w:rsidRPr="00905B81">
        <w:rPr>
          <w:rFonts w:ascii="Calibri" w:hAnsi="Calibri" w:cs="Calibri"/>
          <w:b/>
          <w:bCs/>
          <w:szCs w:val="24"/>
        </w:rPr>
        <w:t xml:space="preserve">In addition to the PSLF changes, the Final Rule included substantial changes to several federal student aid programs that required the Department to assess the implementation impacts and system change requirements necessary to implement the new regulations.  Developing the system requirements across multiple systems must be done in lockstep with the development of forms to support the changes.  As a result, in order to meet the July 1 implementation requirement, the Department is requesting </w:t>
      </w:r>
      <w:r w:rsidRPr="00905B81">
        <w:rPr>
          <w:rStyle w:val="normaltextrun"/>
          <w:rFonts w:ascii="Calibri" w:hAnsi="Calibri" w:cs="Calibri"/>
          <w:b/>
          <w:bCs/>
          <w:color w:val="000000"/>
          <w:szCs w:val="24"/>
          <w:shd w:val="clear" w:color="auto" w:fill="FFFFFF"/>
        </w:rPr>
        <w:t>that OMB approve the collection associated with the implementation of the PSLF form process using the emergency clearance procedures of the Paperwork Reduction Act of 1995, outlined in 44 U.S.C. 3507(j)</w:t>
      </w:r>
      <w:r w:rsidR="00905B81">
        <w:rPr>
          <w:rStyle w:val="normaltextrun"/>
          <w:rFonts w:ascii="Calibri" w:hAnsi="Calibri" w:cs="Calibri"/>
          <w:b/>
          <w:bCs/>
          <w:color w:val="000000"/>
          <w:szCs w:val="24"/>
          <w:shd w:val="clear" w:color="auto" w:fill="FFFFFF"/>
        </w:rPr>
        <w:t xml:space="preserve">. </w:t>
      </w:r>
      <w:r w:rsidRPr="00905B81" w:rsidR="00043C32">
        <w:rPr>
          <w:rFonts w:ascii="Times New Roman" w:hAnsi="Times New Roman"/>
          <w:b/>
          <w:bCs/>
          <w:szCs w:val="24"/>
        </w:rPr>
        <w:t xml:space="preserve">Indicate </w:t>
      </w:r>
      <w:r w:rsidRPr="00905B81" w:rsidR="00043C32">
        <w:rPr>
          <w:rFonts w:ascii="Times New Roman" w:hAnsi="Times New Roman"/>
          <w:b/>
          <w:szCs w:val="24"/>
        </w:rPr>
        <w:t>how, by whom, and for what purpose the information is to be used.  Except for a new collection, indicate the actual use the agency has made of the information received from the current collection.</w:t>
      </w:r>
    </w:p>
    <w:p w:rsidR="00AD381B" w:rsidRPr="00905B81" w:rsidP="00905B81" w14:paraId="64280E5B" w14:textId="6D06EA58">
      <w:pPr>
        <w:suppressAutoHyphens/>
        <w:ind w:left="720"/>
        <w:rPr>
          <w:rFonts w:ascii="Times New Roman" w:hAnsi="Times New Roman"/>
          <w:szCs w:val="24"/>
        </w:rPr>
      </w:pPr>
    </w:p>
    <w:p w:rsidR="00601A83" w:rsidRPr="00905B81" w:rsidP="0025185B" w14:paraId="3D2C2767" w14:textId="18D8BF94">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Department and its Direct Loan Program servicers use the information collected on the consolidated Public Service Loan Forgiveness (PSLF) &amp; Temporary Expanded PSLF (TEPSLF) Certification &amp; Application form to determine whether a borrower has worked for a qualified employer during the certification period and whether payments made against a borrower’s outstanding Direct Loan balance were qualifying payments for the purpose of the PSLF program or TEPSLF program.</w:t>
      </w:r>
      <w:r w:rsidRPr="00905B81" w:rsidR="008E7E16">
        <w:rPr>
          <w:rFonts w:asciiTheme="minorHAnsi" w:hAnsiTheme="minorHAnsi" w:cstheme="minorHAnsi"/>
          <w:szCs w:val="24"/>
        </w:rPr>
        <w:t xml:space="preserve">  </w:t>
      </w:r>
      <w:r w:rsidRPr="00905B81" w:rsidR="00AC2FC1">
        <w:rPr>
          <w:rFonts w:asciiTheme="minorHAnsi" w:hAnsiTheme="minorHAnsi" w:cstheme="minorHAnsi"/>
          <w:szCs w:val="24"/>
        </w:rPr>
        <w:t>General</w:t>
      </w:r>
      <w:r w:rsidRPr="00905B81" w:rsidR="00566841">
        <w:rPr>
          <w:rFonts w:asciiTheme="minorHAnsi" w:hAnsiTheme="minorHAnsi" w:cstheme="minorHAnsi"/>
          <w:szCs w:val="24"/>
        </w:rPr>
        <w:t xml:space="preserve"> information about the </w:t>
      </w:r>
      <w:r w:rsidRPr="00905B81" w:rsidR="00566841">
        <w:rPr>
          <w:rFonts w:asciiTheme="minorHAnsi" w:hAnsiTheme="minorHAnsi" w:cstheme="minorHAnsi"/>
          <w:szCs w:val="24"/>
        </w:rPr>
        <w:t>PSLF/TESPLF program</w:t>
      </w:r>
      <w:r w:rsidRPr="00905B81" w:rsidR="008E7E16">
        <w:rPr>
          <w:rFonts w:asciiTheme="minorHAnsi" w:hAnsiTheme="minorHAnsi" w:cstheme="minorHAnsi"/>
          <w:szCs w:val="24"/>
        </w:rPr>
        <w:t xml:space="preserve"> is available at </w:t>
      </w:r>
      <w:hyperlink r:id="rId9" w:history="1">
        <w:r w:rsidRPr="00905B81" w:rsidR="008E7E16">
          <w:rPr>
            <w:rStyle w:val="Hyperlink"/>
            <w:rFonts w:asciiTheme="minorHAnsi" w:hAnsiTheme="minorHAnsi" w:cstheme="minorHAnsi"/>
            <w:szCs w:val="24"/>
          </w:rPr>
          <w:t>studentaid.gov</w:t>
        </w:r>
        <w:r w:rsidRPr="00905B81" w:rsidR="00AC2FC1">
          <w:rPr>
            <w:rStyle w:val="Hyperlink"/>
            <w:rFonts w:asciiTheme="minorHAnsi" w:hAnsiTheme="minorHAnsi" w:cstheme="minorHAnsi"/>
            <w:szCs w:val="24"/>
          </w:rPr>
          <w:t>/publicservice</w:t>
        </w:r>
      </w:hyperlink>
      <w:r w:rsidRPr="00905B81" w:rsidR="00566841">
        <w:rPr>
          <w:rFonts w:asciiTheme="minorHAnsi" w:hAnsiTheme="minorHAnsi" w:cstheme="minorHAnsi"/>
          <w:szCs w:val="24"/>
        </w:rPr>
        <w:t xml:space="preserve">.  And the application </w:t>
      </w:r>
      <w:r w:rsidRPr="00905B81" w:rsidR="00E55B61">
        <w:rPr>
          <w:rFonts w:asciiTheme="minorHAnsi" w:hAnsiTheme="minorHAnsi" w:cstheme="minorHAnsi"/>
          <w:szCs w:val="24"/>
        </w:rPr>
        <w:t>is</w:t>
      </w:r>
      <w:r w:rsidRPr="00905B81" w:rsidR="00566841">
        <w:rPr>
          <w:rFonts w:asciiTheme="minorHAnsi" w:hAnsiTheme="minorHAnsi" w:cstheme="minorHAnsi"/>
          <w:szCs w:val="24"/>
        </w:rPr>
        <w:t xml:space="preserve"> available </w:t>
      </w:r>
      <w:r w:rsidRPr="00905B81" w:rsidR="007F2A30">
        <w:rPr>
          <w:rFonts w:asciiTheme="minorHAnsi" w:hAnsiTheme="minorHAnsi" w:cstheme="minorHAnsi"/>
          <w:szCs w:val="24"/>
        </w:rPr>
        <w:t>electronically</w:t>
      </w:r>
      <w:r w:rsidRPr="00905B81" w:rsidR="00566841">
        <w:rPr>
          <w:rFonts w:asciiTheme="minorHAnsi" w:hAnsiTheme="minorHAnsi" w:cstheme="minorHAnsi"/>
          <w:szCs w:val="24"/>
        </w:rPr>
        <w:t xml:space="preserve"> </w:t>
      </w:r>
      <w:r w:rsidRPr="00905B81" w:rsidR="00B016D4">
        <w:rPr>
          <w:rFonts w:asciiTheme="minorHAnsi" w:hAnsiTheme="minorHAnsi" w:cstheme="minorHAnsi"/>
          <w:szCs w:val="24"/>
        </w:rPr>
        <w:t xml:space="preserve">and can be electronically submitted at </w:t>
      </w:r>
      <w:hyperlink r:id="rId10" w:history="1">
        <w:r w:rsidRPr="00905B81" w:rsidR="003340C1">
          <w:rPr>
            <w:rStyle w:val="Hyperlink"/>
            <w:rFonts w:asciiTheme="minorHAnsi" w:hAnsiTheme="minorHAnsi" w:cstheme="minorHAnsi"/>
            <w:szCs w:val="24"/>
          </w:rPr>
          <w:t>studentaid.gov/pslf</w:t>
        </w:r>
      </w:hyperlink>
      <w:r w:rsidRPr="00905B81" w:rsidR="003340C1">
        <w:rPr>
          <w:rFonts w:asciiTheme="minorHAnsi" w:hAnsiTheme="minorHAnsi" w:cstheme="minorHAnsi"/>
          <w:szCs w:val="24"/>
        </w:rPr>
        <w:t xml:space="preserve">. </w:t>
      </w:r>
      <w:r w:rsidRPr="00905B81" w:rsidR="005C495E">
        <w:rPr>
          <w:rFonts w:asciiTheme="minorHAnsi" w:hAnsiTheme="minorHAnsi" w:cstheme="minorHAnsi"/>
          <w:szCs w:val="24"/>
        </w:rPr>
        <w:t xml:space="preserve">A </w:t>
      </w:r>
      <w:r w:rsidRPr="00905B81" w:rsidR="007D32A6">
        <w:rPr>
          <w:rFonts w:asciiTheme="minorHAnsi" w:hAnsiTheme="minorHAnsi" w:cstheme="minorHAnsi"/>
          <w:szCs w:val="24"/>
        </w:rPr>
        <w:t>physical version</w:t>
      </w:r>
      <w:r w:rsidRPr="00905B81" w:rsidR="002B6B33">
        <w:rPr>
          <w:rFonts w:asciiTheme="minorHAnsi" w:hAnsiTheme="minorHAnsi" w:cstheme="minorHAnsi"/>
          <w:szCs w:val="24"/>
        </w:rPr>
        <w:t xml:space="preserve"> of the</w:t>
      </w:r>
      <w:r w:rsidRPr="00905B81" w:rsidR="003340C1">
        <w:rPr>
          <w:rFonts w:asciiTheme="minorHAnsi" w:hAnsiTheme="minorHAnsi" w:cstheme="minorHAnsi"/>
          <w:szCs w:val="24"/>
        </w:rPr>
        <w:t xml:space="preserve"> form can be</w:t>
      </w:r>
      <w:r w:rsidRPr="00905B81" w:rsidR="00566841">
        <w:rPr>
          <w:rFonts w:asciiTheme="minorHAnsi" w:hAnsiTheme="minorHAnsi" w:cstheme="minorHAnsi"/>
          <w:szCs w:val="24"/>
        </w:rPr>
        <w:t xml:space="preserve"> printed </w:t>
      </w:r>
      <w:r w:rsidRPr="00905B81" w:rsidR="005C495E">
        <w:rPr>
          <w:rFonts w:asciiTheme="minorHAnsi" w:hAnsiTheme="minorHAnsi" w:cstheme="minorHAnsi"/>
          <w:szCs w:val="24"/>
        </w:rPr>
        <w:t>in</w:t>
      </w:r>
      <w:r w:rsidRPr="00905B81" w:rsidR="007A1467">
        <w:rPr>
          <w:rFonts w:asciiTheme="minorHAnsi" w:hAnsiTheme="minorHAnsi" w:cstheme="minorHAnsi"/>
          <w:szCs w:val="24"/>
        </w:rPr>
        <w:t xml:space="preserve"> </w:t>
      </w:r>
      <w:r w:rsidRPr="00905B81" w:rsidR="00566841">
        <w:rPr>
          <w:rFonts w:asciiTheme="minorHAnsi" w:hAnsiTheme="minorHAnsi" w:cstheme="minorHAnsi"/>
          <w:szCs w:val="24"/>
        </w:rPr>
        <w:t xml:space="preserve">a pdf format at </w:t>
      </w:r>
      <w:hyperlink r:id="rId11" w:history="1">
        <w:r w:rsidRPr="00905B81" w:rsidR="00267F23">
          <w:rPr>
            <w:rStyle w:val="Hyperlink"/>
            <w:rFonts w:asciiTheme="minorHAnsi" w:hAnsiTheme="minorHAnsi" w:cstheme="minorHAnsi"/>
            <w:szCs w:val="24"/>
          </w:rPr>
          <w:t>https://studentaid.gov/forms-library/</w:t>
        </w:r>
      </w:hyperlink>
    </w:p>
    <w:p w:rsidR="00601A83" w:rsidRPr="00905B81" w:rsidP="0025185B" w14:paraId="61F07E85" w14:textId="77777777">
      <w:pPr>
        <w:tabs>
          <w:tab w:val="left" w:pos="-720"/>
        </w:tabs>
        <w:suppressAutoHyphens/>
        <w:ind w:left="720"/>
        <w:rPr>
          <w:rFonts w:asciiTheme="minorHAnsi" w:hAnsiTheme="minorHAnsi" w:cstheme="minorHAnsi"/>
          <w:szCs w:val="24"/>
        </w:rPr>
      </w:pPr>
    </w:p>
    <w:p w:rsidR="00601A83" w:rsidRPr="00905B81" w:rsidP="0025185B" w14:paraId="6232A7EE"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continued submission of the Employer Certification Form prior to applying for loan forgiveness is done at the borrower’s discretion.  While the Department recommends that a borrower submit the Employer Certification Form annually, the borrower could submit the form when changing jobs, or could wait until he or she is eligible to submit an application for loan forgiveness and provide all Employment Certifications at that time.</w:t>
      </w:r>
    </w:p>
    <w:p w:rsidR="00601A83" w:rsidRPr="00905B81" w:rsidP="0025185B" w14:paraId="4C6139B7" w14:textId="77777777">
      <w:pPr>
        <w:tabs>
          <w:tab w:val="left" w:pos="-720"/>
        </w:tabs>
        <w:suppressAutoHyphens/>
        <w:ind w:left="720"/>
        <w:rPr>
          <w:rFonts w:asciiTheme="minorHAnsi" w:hAnsiTheme="minorHAnsi" w:cstheme="minorHAnsi"/>
          <w:szCs w:val="24"/>
        </w:rPr>
      </w:pPr>
    </w:p>
    <w:p w:rsidR="00601A83" w:rsidRPr="00905B81" w:rsidP="0025185B" w14:paraId="48EFFCAB"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If the borrower submits Employment Certifications prior to the submission of an application for forgiveness, the borrower’s Direct Loan servicer will retain the form on the borrower’s behalf and notify the borrower how many payments made during the certification period of employment count toward the required 120 payments.</w:t>
      </w:r>
    </w:p>
    <w:p w:rsidR="00AE6213" w:rsidRPr="00905B81" w:rsidP="0025185B" w14:paraId="5B801A60" w14:textId="77777777">
      <w:pPr>
        <w:tabs>
          <w:tab w:val="left" w:pos="-720"/>
        </w:tabs>
        <w:suppressAutoHyphens/>
        <w:ind w:left="720"/>
        <w:rPr>
          <w:rFonts w:asciiTheme="minorHAnsi" w:hAnsiTheme="minorHAnsi" w:cstheme="minorHAnsi"/>
          <w:szCs w:val="24"/>
        </w:rPr>
      </w:pPr>
    </w:p>
    <w:p w:rsidR="00AE6213" w:rsidRPr="00905B81" w:rsidP="0025185B" w14:paraId="1DA2CC91" w14:textId="509DBE0B">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If a borrower </w:t>
      </w:r>
      <w:r w:rsidRPr="00905B81" w:rsidR="00886B98">
        <w:rPr>
          <w:rFonts w:asciiTheme="minorHAnsi" w:hAnsiTheme="minorHAnsi" w:cstheme="minorHAnsi"/>
          <w:szCs w:val="24"/>
        </w:rPr>
        <w:t xml:space="preserve">opts to have their employer digitally sign their form, the </w:t>
      </w:r>
      <w:r w:rsidRPr="00905B81" w:rsidR="00532D25">
        <w:rPr>
          <w:rFonts w:asciiTheme="minorHAnsi" w:hAnsiTheme="minorHAnsi" w:cstheme="minorHAnsi"/>
          <w:szCs w:val="24"/>
        </w:rPr>
        <w:t xml:space="preserve">information provided on the form is </w:t>
      </w:r>
      <w:r w:rsidRPr="00905B81" w:rsidR="007D19BD">
        <w:rPr>
          <w:rFonts w:asciiTheme="minorHAnsi" w:hAnsiTheme="minorHAnsi" w:cstheme="minorHAnsi"/>
          <w:szCs w:val="24"/>
        </w:rPr>
        <w:t>compared to employer eligibility information stored in the Department’s employer database</w:t>
      </w:r>
      <w:r w:rsidRPr="00905B81" w:rsidR="007A1DD9">
        <w:rPr>
          <w:rFonts w:asciiTheme="minorHAnsi" w:hAnsiTheme="minorHAnsi" w:cstheme="minorHAnsi"/>
          <w:szCs w:val="24"/>
        </w:rPr>
        <w:t xml:space="preserve"> for the dates of employment provided on the form and the result is electronically submitted to the </w:t>
      </w:r>
      <w:r w:rsidRPr="00905B81" w:rsidR="00501E52">
        <w:rPr>
          <w:rFonts w:asciiTheme="minorHAnsi" w:hAnsiTheme="minorHAnsi" w:cstheme="minorHAnsi"/>
          <w:szCs w:val="24"/>
        </w:rPr>
        <w:t xml:space="preserve">Direct Loan Program servicer to store and compare to loan payment information </w:t>
      </w:r>
      <w:r w:rsidRPr="00905B81" w:rsidR="008C3C9C">
        <w:rPr>
          <w:rFonts w:asciiTheme="minorHAnsi" w:hAnsiTheme="minorHAnsi" w:cstheme="minorHAnsi"/>
          <w:szCs w:val="24"/>
        </w:rPr>
        <w:t>they have for the borrower to provide a count of qualifying payments to the borrower</w:t>
      </w:r>
      <w:r w:rsidRPr="00905B81" w:rsidR="003E2DC6">
        <w:rPr>
          <w:rFonts w:asciiTheme="minorHAnsi" w:hAnsiTheme="minorHAnsi" w:cstheme="minorHAnsi"/>
          <w:szCs w:val="24"/>
        </w:rPr>
        <w:t xml:space="preserve"> </w:t>
      </w:r>
      <w:r w:rsidRPr="00905B81" w:rsidR="004F3014">
        <w:rPr>
          <w:rFonts w:asciiTheme="minorHAnsi" w:hAnsiTheme="minorHAnsi" w:cstheme="minorHAnsi"/>
          <w:szCs w:val="24"/>
        </w:rPr>
        <w:t>b</w:t>
      </w:r>
      <w:r w:rsidRPr="00905B81" w:rsidR="003E2DC6">
        <w:rPr>
          <w:rFonts w:asciiTheme="minorHAnsi" w:hAnsiTheme="minorHAnsi" w:cstheme="minorHAnsi"/>
          <w:szCs w:val="24"/>
        </w:rPr>
        <w:t>ased on that review.</w:t>
      </w:r>
    </w:p>
    <w:p w:rsidR="00043C32" w:rsidRPr="00905B81" w:rsidP="0025185B" w14:paraId="64280E5C" w14:textId="77777777">
      <w:pPr>
        <w:suppressAutoHyphens/>
        <w:spacing w:line="240" w:lineRule="exact"/>
        <w:ind w:left="720"/>
        <w:rPr>
          <w:rFonts w:ascii="Times New Roman" w:hAnsi="Times New Roman"/>
          <w:szCs w:val="24"/>
        </w:rPr>
      </w:pPr>
    </w:p>
    <w:p w:rsidR="00043C32" w:rsidRPr="00905B81" w:rsidP="0025185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905B81" w:rsidR="006A38F7">
        <w:rPr>
          <w:rFonts w:ascii="Times New Roman" w:hAnsi="Times New Roman"/>
          <w:b/>
          <w:szCs w:val="24"/>
        </w:rPr>
        <w:t xml:space="preserve">Please identify systems or websites used to electronically collect this information. </w:t>
      </w:r>
      <w:r w:rsidRPr="00905B81">
        <w:rPr>
          <w:rFonts w:ascii="Times New Roman" w:hAnsi="Times New Roman"/>
          <w:b/>
          <w:szCs w:val="24"/>
        </w:rPr>
        <w:t>Also describe any consideration given to using technology to reduce burden.</w:t>
      </w:r>
      <w:r w:rsidRPr="00905B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905B81" w:rsidP="0025185B" w14:paraId="64280E5E" w14:textId="77777777">
      <w:pPr>
        <w:pStyle w:val="ListParagraph"/>
        <w:tabs>
          <w:tab w:val="left" w:pos="-720"/>
        </w:tabs>
        <w:suppressAutoHyphens/>
        <w:contextualSpacing w:val="0"/>
        <w:rPr>
          <w:rFonts w:ascii="Times New Roman" w:hAnsi="Times New Roman"/>
          <w:szCs w:val="24"/>
        </w:rPr>
      </w:pPr>
    </w:p>
    <w:p w:rsidR="000B4D38" w:rsidRPr="00905B81" w:rsidP="0025185B" w14:paraId="1DD1BE94" w14:textId="6BA5C04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As discussed in item 2, </w:t>
      </w:r>
      <w:hyperlink r:id="rId12" w:history="1">
        <w:r w:rsidRPr="00905B81">
          <w:rPr>
            <w:rStyle w:val="Hyperlink"/>
            <w:rFonts w:asciiTheme="minorHAnsi" w:hAnsiTheme="minorHAnsi" w:cstheme="minorHAnsi"/>
            <w:szCs w:val="24"/>
          </w:rPr>
          <w:t>studentaid.gov</w:t>
        </w:r>
        <w:r w:rsidRPr="00905B81" w:rsidR="009E364D">
          <w:rPr>
            <w:rStyle w:val="Hyperlink"/>
            <w:rFonts w:asciiTheme="minorHAnsi" w:hAnsiTheme="minorHAnsi" w:cstheme="minorHAnsi"/>
            <w:szCs w:val="24"/>
          </w:rPr>
          <w:t>/pslf</w:t>
        </w:r>
      </w:hyperlink>
      <w:r w:rsidRPr="00905B81">
        <w:rPr>
          <w:rFonts w:asciiTheme="minorHAnsi" w:hAnsiTheme="minorHAnsi" w:cstheme="minorHAnsi"/>
          <w:szCs w:val="24"/>
        </w:rPr>
        <w:t xml:space="preserve"> allows for the completion of the form(s) on-line and </w:t>
      </w:r>
      <w:r w:rsidRPr="00905B81" w:rsidR="00AF5052">
        <w:rPr>
          <w:rFonts w:asciiTheme="minorHAnsi" w:hAnsiTheme="minorHAnsi" w:cstheme="minorHAnsi"/>
          <w:szCs w:val="24"/>
        </w:rPr>
        <w:t xml:space="preserve">electronic </w:t>
      </w:r>
      <w:r w:rsidRPr="00905B81" w:rsidR="00E57CF5">
        <w:rPr>
          <w:rFonts w:asciiTheme="minorHAnsi" w:hAnsiTheme="minorHAnsi" w:cstheme="minorHAnsi"/>
          <w:szCs w:val="24"/>
        </w:rPr>
        <w:t xml:space="preserve">direct </w:t>
      </w:r>
      <w:r w:rsidRPr="00905B81">
        <w:rPr>
          <w:rFonts w:asciiTheme="minorHAnsi" w:hAnsiTheme="minorHAnsi" w:cstheme="minorHAnsi"/>
          <w:szCs w:val="24"/>
        </w:rPr>
        <w:t xml:space="preserve">submission </w:t>
      </w:r>
      <w:r w:rsidRPr="00905B81" w:rsidR="00AF5052">
        <w:rPr>
          <w:rFonts w:asciiTheme="minorHAnsi" w:hAnsiTheme="minorHAnsi" w:cstheme="minorHAnsi"/>
          <w:szCs w:val="24"/>
        </w:rPr>
        <w:t>to</w:t>
      </w:r>
      <w:r w:rsidRPr="00905B81" w:rsidR="00CF2474">
        <w:rPr>
          <w:rFonts w:asciiTheme="minorHAnsi" w:hAnsiTheme="minorHAnsi" w:cstheme="minorHAnsi"/>
          <w:szCs w:val="24"/>
        </w:rPr>
        <w:t xml:space="preserve"> the </w:t>
      </w:r>
      <w:r w:rsidRPr="00905B81" w:rsidR="00722728">
        <w:rPr>
          <w:rFonts w:asciiTheme="minorHAnsi" w:hAnsiTheme="minorHAnsi" w:cstheme="minorHAnsi"/>
          <w:szCs w:val="24"/>
        </w:rPr>
        <w:t>PSLF servicer,</w:t>
      </w:r>
      <w:r w:rsidRPr="00905B81" w:rsidR="00AF5052">
        <w:rPr>
          <w:rFonts w:asciiTheme="minorHAnsi" w:hAnsiTheme="minorHAnsi" w:cstheme="minorHAnsi"/>
          <w:szCs w:val="24"/>
        </w:rPr>
        <w:t xml:space="preserve"> MOH</w:t>
      </w:r>
      <w:r w:rsidRPr="00905B81" w:rsidR="00E57CF5">
        <w:rPr>
          <w:rFonts w:asciiTheme="minorHAnsi" w:hAnsiTheme="minorHAnsi" w:cstheme="minorHAnsi"/>
          <w:szCs w:val="24"/>
        </w:rPr>
        <w:t>ELA</w:t>
      </w:r>
      <w:r w:rsidRPr="00905B81" w:rsidR="00722728">
        <w:rPr>
          <w:rFonts w:asciiTheme="minorHAnsi" w:hAnsiTheme="minorHAnsi" w:cstheme="minorHAnsi"/>
          <w:szCs w:val="24"/>
        </w:rPr>
        <w:t>,</w:t>
      </w:r>
      <w:r w:rsidRPr="00905B81" w:rsidR="00E57CF5">
        <w:rPr>
          <w:rFonts w:asciiTheme="minorHAnsi" w:hAnsiTheme="minorHAnsi" w:cstheme="minorHAnsi"/>
          <w:szCs w:val="24"/>
        </w:rPr>
        <w:t xml:space="preserve"> if the borrower opted for </w:t>
      </w:r>
      <w:r w:rsidRPr="00905B81" w:rsidR="008B4959">
        <w:rPr>
          <w:rFonts w:asciiTheme="minorHAnsi" w:hAnsiTheme="minorHAnsi" w:cstheme="minorHAnsi"/>
          <w:szCs w:val="24"/>
        </w:rPr>
        <w:t xml:space="preserve">their employer to provide a </w:t>
      </w:r>
      <w:r w:rsidRPr="00905B81" w:rsidR="00E57CF5">
        <w:rPr>
          <w:rFonts w:asciiTheme="minorHAnsi" w:hAnsiTheme="minorHAnsi" w:cstheme="minorHAnsi"/>
          <w:szCs w:val="24"/>
        </w:rPr>
        <w:t>digital signature</w:t>
      </w:r>
      <w:r w:rsidRPr="00905B81" w:rsidR="008B4959">
        <w:rPr>
          <w:rFonts w:asciiTheme="minorHAnsi" w:hAnsiTheme="minorHAnsi" w:cstheme="minorHAnsi"/>
          <w:szCs w:val="24"/>
        </w:rPr>
        <w:t xml:space="preserve">. If they </w:t>
      </w:r>
      <w:r w:rsidRPr="00905B81" w:rsidR="00776D8F">
        <w:rPr>
          <w:rFonts w:asciiTheme="minorHAnsi" w:hAnsiTheme="minorHAnsi" w:cstheme="minorHAnsi"/>
          <w:szCs w:val="24"/>
        </w:rPr>
        <w:t xml:space="preserve">do not request a digital signature, the </w:t>
      </w:r>
      <w:r w:rsidRPr="00905B81" w:rsidR="00CE7321">
        <w:rPr>
          <w:rFonts w:asciiTheme="minorHAnsi" w:hAnsiTheme="minorHAnsi" w:cstheme="minorHAnsi"/>
          <w:szCs w:val="24"/>
        </w:rPr>
        <w:t>pre-</w:t>
      </w:r>
      <w:r w:rsidRPr="00905B81" w:rsidR="00776D8F">
        <w:rPr>
          <w:rFonts w:asciiTheme="minorHAnsi" w:hAnsiTheme="minorHAnsi" w:cstheme="minorHAnsi"/>
          <w:szCs w:val="24"/>
        </w:rPr>
        <w:t xml:space="preserve">filled form is produced as a </w:t>
      </w:r>
      <w:r w:rsidRPr="00905B81" w:rsidR="007C7495">
        <w:rPr>
          <w:rFonts w:asciiTheme="minorHAnsi" w:hAnsiTheme="minorHAnsi" w:cstheme="minorHAnsi"/>
          <w:szCs w:val="24"/>
        </w:rPr>
        <w:t>pdf that the borrower</w:t>
      </w:r>
      <w:r w:rsidRPr="00905B81" w:rsidR="009203FD">
        <w:rPr>
          <w:rFonts w:asciiTheme="minorHAnsi" w:hAnsiTheme="minorHAnsi" w:cstheme="minorHAnsi"/>
          <w:szCs w:val="24"/>
        </w:rPr>
        <w:t xml:space="preserve"> can</w:t>
      </w:r>
      <w:r w:rsidRPr="00905B81">
        <w:rPr>
          <w:rFonts w:asciiTheme="minorHAnsi" w:hAnsiTheme="minorHAnsi" w:cstheme="minorHAnsi"/>
          <w:szCs w:val="24"/>
        </w:rPr>
        <w:t xml:space="preserve"> upload through the MOHELA servicer website.</w:t>
      </w:r>
    </w:p>
    <w:p w:rsidR="00031A85" w:rsidRPr="00905B81" w:rsidP="0025185B" w14:paraId="3FFA2987" w14:textId="77777777">
      <w:pPr>
        <w:tabs>
          <w:tab w:val="left" w:pos="0"/>
        </w:tabs>
        <w:suppressAutoHyphens/>
        <w:ind w:left="720"/>
        <w:rPr>
          <w:rFonts w:asciiTheme="minorHAnsi" w:hAnsiTheme="minorHAnsi" w:cstheme="minorHAnsi"/>
          <w:szCs w:val="24"/>
        </w:rPr>
      </w:pPr>
    </w:p>
    <w:p w:rsidR="000B4D38" w:rsidRPr="00905B81" w:rsidP="0025185B" w14:paraId="3F8C075E" w14:textId="17398A70">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When a borrower use</w:t>
      </w:r>
      <w:r w:rsidRPr="00905B81" w:rsidR="00A021DD">
        <w:rPr>
          <w:rFonts w:asciiTheme="minorHAnsi" w:hAnsiTheme="minorHAnsi" w:cstheme="minorHAnsi"/>
          <w:szCs w:val="24"/>
        </w:rPr>
        <w:t xml:space="preserve">s the on-line form flow, </w:t>
      </w:r>
      <w:r w:rsidRPr="00905B81" w:rsidR="00457FEC">
        <w:rPr>
          <w:rFonts w:asciiTheme="minorHAnsi" w:hAnsiTheme="minorHAnsi" w:cstheme="minorHAnsi"/>
          <w:szCs w:val="24"/>
        </w:rPr>
        <w:t xml:space="preserve">their employer eligibility data is </w:t>
      </w:r>
      <w:r w:rsidRPr="00905B81" w:rsidR="00686162">
        <w:rPr>
          <w:rFonts w:asciiTheme="minorHAnsi" w:hAnsiTheme="minorHAnsi" w:cstheme="minorHAnsi"/>
          <w:szCs w:val="24"/>
        </w:rPr>
        <w:t>gathered and pre-</w:t>
      </w:r>
      <w:r w:rsidRPr="00905B81" w:rsidR="007F2A30">
        <w:rPr>
          <w:rFonts w:asciiTheme="minorHAnsi" w:hAnsiTheme="minorHAnsi" w:cstheme="minorHAnsi"/>
          <w:szCs w:val="24"/>
        </w:rPr>
        <w:t>populated</w:t>
      </w:r>
      <w:r w:rsidRPr="00905B81" w:rsidR="00686162">
        <w:rPr>
          <w:rFonts w:asciiTheme="minorHAnsi" w:hAnsiTheme="minorHAnsi" w:cstheme="minorHAnsi"/>
          <w:szCs w:val="24"/>
        </w:rPr>
        <w:t xml:space="preserve"> on the form from the </w:t>
      </w:r>
      <w:r w:rsidRPr="00905B81" w:rsidR="00CF257A">
        <w:rPr>
          <w:rFonts w:asciiTheme="minorHAnsi" w:hAnsiTheme="minorHAnsi" w:cstheme="minorHAnsi"/>
          <w:szCs w:val="24"/>
        </w:rPr>
        <w:t xml:space="preserve">Department’s </w:t>
      </w:r>
      <w:r w:rsidRPr="00905B81" w:rsidR="00686162">
        <w:rPr>
          <w:rFonts w:asciiTheme="minorHAnsi" w:hAnsiTheme="minorHAnsi" w:cstheme="minorHAnsi"/>
          <w:szCs w:val="24"/>
        </w:rPr>
        <w:t xml:space="preserve">employer </w:t>
      </w:r>
      <w:r w:rsidRPr="00905B81" w:rsidR="00CF257A">
        <w:rPr>
          <w:rFonts w:asciiTheme="minorHAnsi" w:hAnsiTheme="minorHAnsi" w:cstheme="minorHAnsi"/>
          <w:szCs w:val="24"/>
        </w:rPr>
        <w:t xml:space="preserve">database. If an employer is not in the database, </w:t>
      </w:r>
      <w:r w:rsidRPr="00905B81" w:rsidR="004B4271">
        <w:rPr>
          <w:rFonts w:asciiTheme="minorHAnsi" w:hAnsiTheme="minorHAnsi" w:cstheme="minorHAnsi"/>
          <w:szCs w:val="24"/>
        </w:rPr>
        <w:t>the borrower is notified and the form is not produced until an employer eligibility review has been performed</w:t>
      </w:r>
      <w:r w:rsidRPr="00905B81" w:rsidR="002A0ADB">
        <w:rPr>
          <w:rFonts w:asciiTheme="minorHAnsi" w:hAnsiTheme="minorHAnsi" w:cstheme="minorHAnsi"/>
          <w:szCs w:val="24"/>
        </w:rPr>
        <w:t xml:space="preserve">. This reduces the instances of forms being </w:t>
      </w:r>
      <w:r w:rsidRPr="00905B81" w:rsidR="00E851FF">
        <w:rPr>
          <w:rFonts w:asciiTheme="minorHAnsi" w:hAnsiTheme="minorHAnsi" w:cstheme="minorHAnsi"/>
          <w:szCs w:val="24"/>
        </w:rPr>
        <w:t>produced with conflicting or incomplete data</w:t>
      </w:r>
      <w:r w:rsidRPr="00905B81" w:rsidR="00EB3DB5">
        <w:rPr>
          <w:rFonts w:asciiTheme="minorHAnsi" w:hAnsiTheme="minorHAnsi" w:cstheme="minorHAnsi"/>
          <w:szCs w:val="24"/>
        </w:rPr>
        <w:t>.</w:t>
      </w:r>
    </w:p>
    <w:p w:rsidR="005F4E11" w:rsidRPr="00905B81" w:rsidP="0025185B" w14:paraId="50B84318" w14:textId="77777777">
      <w:pPr>
        <w:pStyle w:val="ListParagraph"/>
        <w:tabs>
          <w:tab w:val="left" w:pos="-720"/>
        </w:tabs>
        <w:suppressAutoHyphens/>
        <w:contextualSpacing w:val="0"/>
        <w:rPr>
          <w:rFonts w:ascii="Times New Roman" w:hAnsi="Times New Roman"/>
          <w:szCs w:val="24"/>
        </w:rPr>
      </w:pPr>
    </w:p>
    <w:p w:rsidR="00AD381B" w:rsidRPr="00905B81" w:rsidP="0025185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905B81" w:rsidR="00A23F26">
        <w:rPr>
          <w:rFonts w:ascii="Times New Roman" w:hAnsi="Times New Roman"/>
          <w:b/>
          <w:szCs w:val="24"/>
        </w:rPr>
        <w:t xml:space="preserve"> </w:t>
      </w:r>
    </w:p>
    <w:p w:rsidR="00246FE9" w:rsidRPr="00905B81" w:rsidP="0025185B" w14:paraId="64280E61" w14:textId="3E50282B">
      <w:pPr>
        <w:pStyle w:val="ListParagraph"/>
        <w:tabs>
          <w:tab w:val="left" w:pos="-720"/>
        </w:tabs>
        <w:suppressAutoHyphens/>
        <w:contextualSpacing w:val="0"/>
        <w:rPr>
          <w:rFonts w:ascii="Times New Roman" w:hAnsi="Times New Roman"/>
          <w:b/>
          <w:szCs w:val="24"/>
        </w:rPr>
      </w:pPr>
    </w:p>
    <w:p w:rsidR="00601A83" w:rsidRPr="00905B81" w:rsidP="0025185B" w14:paraId="7814A3B8" w14:textId="2FE0801A">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There is no similar information already available from other sources that can be used for the purposes described in Item 2.  Additionally, the regulations require a borrower to submit an application to determine eligibility to participate in the forgiveness program.</w:t>
      </w:r>
    </w:p>
    <w:p w:rsidR="0025185B" w:rsidRPr="00905B81" w:rsidP="0025185B" w14:paraId="5F70CA02" w14:textId="77777777">
      <w:pPr>
        <w:tabs>
          <w:tab w:val="left" w:pos="0"/>
        </w:tabs>
        <w:suppressAutoHyphens/>
        <w:ind w:left="720"/>
        <w:rPr>
          <w:rFonts w:asciiTheme="minorHAnsi" w:hAnsiTheme="minorHAnsi" w:cstheme="minorHAnsi"/>
          <w:szCs w:val="24"/>
        </w:rPr>
      </w:pPr>
    </w:p>
    <w:p w:rsidR="00043C32" w:rsidRPr="00905B81" w:rsidP="0025185B" w14:paraId="64280E62" w14:textId="409DCFD5">
      <w:pPr>
        <w:pStyle w:val="ListParagraph"/>
        <w:numPr>
          <w:ilvl w:val="0"/>
          <w:numId w:val="4"/>
        </w:numPr>
        <w:contextualSpacing w:val="0"/>
        <w:rPr>
          <w:rFonts w:ascii="Times New Roman" w:hAnsi="Times New Roman"/>
          <w:b/>
          <w:szCs w:val="24"/>
        </w:rPr>
      </w:pPr>
      <w:r w:rsidRPr="00905B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905B81" w:rsidP="0025185B" w14:paraId="64280E63" w14:textId="77777777">
      <w:pPr>
        <w:pStyle w:val="ListParagraph"/>
        <w:contextualSpacing w:val="0"/>
        <w:rPr>
          <w:rFonts w:ascii="Times New Roman" w:hAnsi="Times New Roman"/>
          <w:szCs w:val="24"/>
        </w:rPr>
      </w:pPr>
    </w:p>
    <w:p w:rsidR="00601A83" w:rsidRPr="00905B81" w:rsidP="0025185B" w14:paraId="24328DE4" w14:textId="3E99EFBD">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 xml:space="preserve">No small businesses are affected by this information collection. </w:t>
      </w:r>
    </w:p>
    <w:p w:rsidR="00EF4C67" w:rsidRPr="00905B81" w:rsidP="0025185B" w14:paraId="48B8773E" w14:textId="77777777">
      <w:pPr>
        <w:pStyle w:val="ListParagraph"/>
        <w:contextualSpacing w:val="0"/>
        <w:rPr>
          <w:rFonts w:asciiTheme="minorHAnsi" w:hAnsiTheme="minorHAnsi" w:cstheme="minorHAnsi"/>
          <w:szCs w:val="24"/>
        </w:rPr>
      </w:pPr>
    </w:p>
    <w:p w:rsidR="00043C32" w:rsidRPr="00905B81" w:rsidP="0025185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905B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905B81" w:rsidP="0025185B" w14:paraId="3424297C" w14:textId="6A8F3E9A">
      <w:pPr>
        <w:tabs>
          <w:tab w:val="left" w:pos="-720"/>
        </w:tabs>
        <w:suppressAutoHyphens/>
        <w:ind w:left="720"/>
        <w:rPr>
          <w:rFonts w:ascii="Times New Roman" w:hAnsi="Times New Roman"/>
          <w:bCs/>
          <w:szCs w:val="24"/>
        </w:rPr>
      </w:pPr>
    </w:p>
    <w:p w:rsidR="00601A83" w:rsidRPr="00905B81" w:rsidP="008E7E16" w14:paraId="32D87FD2" w14:textId="34D26D51">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If this collection of information were not conducted, the Department would be unable to determine whether borrowers are eligible for Public Service Loan Forgiveness. </w:t>
      </w:r>
    </w:p>
    <w:p w:rsidR="00601A83" w:rsidRPr="00905B81" w:rsidP="0025185B" w14:paraId="36AC592E" w14:textId="77777777">
      <w:pPr>
        <w:tabs>
          <w:tab w:val="left" w:pos="-720"/>
        </w:tabs>
        <w:suppressAutoHyphens/>
        <w:ind w:left="720"/>
        <w:rPr>
          <w:rFonts w:asciiTheme="minorHAnsi" w:hAnsiTheme="minorHAnsi" w:cstheme="minorHAnsi"/>
          <w:szCs w:val="24"/>
        </w:rPr>
      </w:pPr>
    </w:p>
    <w:p w:rsidR="00601A83" w:rsidRPr="00905B81" w:rsidP="0025185B" w14:paraId="0CE614E7" w14:textId="15809925">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As explained in Item 2 of this Supporting Statement, the frequency of submission of the Employment Certification Form is determined by the borrower and may be as frequent as the borrower determines necessary.  </w:t>
      </w:r>
    </w:p>
    <w:p w:rsidR="00601A83" w:rsidRPr="00905B81" w:rsidP="0025185B" w14:paraId="71BC9790" w14:textId="77777777">
      <w:pPr>
        <w:tabs>
          <w:tab w:val="left" w:pos="-720"/>
        </w:tabs>
        <w:suppressAutoHyphens/>
        <w:ind w:left="720"/>
        <w:rPr>
          <w:rFonts w:asciiTheme="minorHAnsi" w:hAnsiTheme="minorHAnsi" w:cstheme="minorHAnsi"/>
          <w:szCs w:val="24"/>
        </w:rPr>
      </w:pPr>
    </w:p>
    <w:p w:rsidR="00601A83" w:rsidRPr="00905B81" w:rsidP="0025185B" w14:paraId="6B0F719C"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905B81">
        <w:rPr>
          <w:rFonts w:asciiTheme="minorHAnsi" w:hAnsiTheme="minorHAnsi" w:cstheme="minorHAnsi"/>
          <w:szCs w:val="24"/>
          <w:vertAlign w:val="superscript"/>
        </w:rPr>
        <w:t>th</w:t>
      </w:r>
      <w:r w:rsidRPr="00905B81">
        <w:rPr>
          <w:rFonts w:asciiTheme="minorHAnsi" w:hAnsiTheme="minorHAnsi" w:cstheme="minorHAnsi"/>
          <w:szCs w:val="24"/>
        </w:rPr>
        <w:t xml:space="preserve"> qualifying payment.</w:t>
      </w:r>
    </w:p>
    <w:p w:rsidR="00601A83" w:rsidRPr="00905B81" w:rsidP="0025185B" w14:paraId="4A866914" w14:textId="77777777">
      <w:pPr>
        <w:tabs>
          <w:tab w:val="left" w:pos="-720"/>
        </w:tabs>
        <w:suppressAutoHyphens/>
        <w:ind w:left="720"/>
        <w:rPr>
          <w:rFonts w:asciiTheme="minorHAnsi" w:hAnsiTheme="minorHAnsi" w:cstheme="minorHAnsi"/>
          <w:szCs w:val="24"/>
        </w:rPr>
      </w:pPr>
    </w:p>
    <w:p w:rsidR="00601A83" w:rsidRPr="00905B81" w:rsidP="0025185B" w14:paraId="217A0467"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Further, by soliciting the Employment Certification section of the application less frequently, the Direct Loan servicers would receive a large number of forms at the same time, which would lead to delays in processing borrowers’ loan forgiveness applications.</w:t>
      </w:r>
    </w:p>
    <w:p w:rsidR="00601A83" w:rsidRPr="00905B81" w:rsidP="0025185B" w14:paraId="6107989E" w14:textId="77777777">
      <w:pPr>
        <w:tabs>
          <w:tab w:val="left" w:pos="-720"/>
        </w:tabs>
        <w:suppressAutoHyphens/>
        <w:ind w:left="720"/>
        <w:rPr>
          <w:rFonts w:asciiTheme="minorHAnsi" w:hAnsiTheme="minorHAnsi" w:cstheme="minorHAnsi"/>
          <w:szCs w:val="24"/>
        </w:rPr>
      </w:pPr>
    </w:p>
    <w:p w:rsidR="00601A83" w:rsidRPr="00905B81" w:rsidP="0025185B" w14:paraId="7B76BDE3" w14:textId="50CF85E4">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If the Department did not allow for Employment Certification section of the form to be submitted annually or more frequently, this would increase burden on borrowers and delay the Department’s determination of the borrower’s eligibility for Public Service Loan Forgiveness.</w:t>
      </w:r>
    </w:p>
    <w:p w:rsidR="00601A83" w:rsidRPr="00905B81" w:rsidP="0025185B" w14:paraId="155F9B2A" w14:textId="77777777">
      <w:pPr>
        <w:tabs>
          <w:tab w:val="left" w:pos="-720"/>
        </w:tabs>
        <w:suppressAutoHyphens/>
        <w:ind w:left="720"/>
        <w:rPr>
          <w:rFonts w:asciiTheme="minorHAnsi" w:hAnsiTheme="minorHAnsi" w:cstheme="minorHAnsi"/>
          <w:szCs w:val="24"/>
        </w:rPr>
      </w:pPr>
    </w:p>
    <w:p w:rsidR="00601A83" w:rsidRPr="00905B81" w:rsidP="0025185B" w14:paraId="0FD04ABD"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Application section of the form, however, is submitted when the borrower believes that he or she qualifies for forgiveness and wants to request that forgiveness.  If the borrower has not already done so, the borrower must submit Employment Certifications that cover the period or periods of time during which the borrower made the necessary payments.</w:t>
      </w:r>
    </w:p>
    <w:p w:rsidR="005F4E11" w:rsidRPr="00905B81" w:rsidP="0025185B" w14:paraId="51872AEE" w14:textId="77777777">
      <w:pPr>
        <w:tabs>
          <w:tab w:val="left" w:pos="-720"/>
        </w:tabs>
        <w:suppressAutoHyphens/>
        <w:ind w:left="720"/>
        <w:rPr>
          <w:rFonts w:ascii="Times New Roman" w:hAnsi="Times New Roman"/>
          <w:bCs/>
          <w:szCs w:val="24"/>
        </w:rPr>
      </w:pPr>
    </w:p>
    <w:p w:rsidR="00043C32" w:rsidRPr="00905B81" w:rsidP="0025185B" w14:paraId="64280E66" w14:textId="77777777">
      <w:pPr>
        <w:pStyle w:val="ListParagraph"/>
        <w:numPr>
          <w:ilvl w:val="0"/>
          <w:numId w:val="4"/>
        </w:numPr>
        <w:tabs>
          <w:tab w:val="left" w:pos="-720"/>
        </w:tabs>
        <w:suppressAutoHyphens/>
        <w:rPr>
          <w:rFonts w:ascii="Times New Roman" w:hAnsi="Times New Roman"/>
          <w:b/>
          <w:szCs w:val="24"/>
        </w:rPr>
      </w:pPr>
      <w:r w:rsidRPr="00905B81">
        <w:rPr>
          <w:rFonts w:ascii="Times New Roman" w:hAnsi="Times New Roman"/>
          <w:b/>
          <w:szCs w:val="24"/>
        </w:rPr>
        <w:t>Explain any special circumstances that would cause an information collection to be conducted in a manner:</w:t>
      </w:r>
    </w:p>
    <w:p w:rsidR="00043C32" w:rsidRPr="00905B81" w:rsidP="0025185B" w14:paraId="64280E68"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report information to the agency more often than quarterly;</w:t>
      </w:r>
    </w:p>
    <w:p w:rsidR="00043C32" w:rsidRPr="00905B81" w:rsidP="0025185B" w14:paraId="64280E6A"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prepare a written response to a collection of information in fewer than 30 days after receipt of it;</w:t>
      </w:r>
    </w:p>
    <w:p w:rsidR="00043C32" w:rsidRPr="00905B81" w:rsidP="0025185B" w14:paraId="64280E6C"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submit more than an original and two copies of any document;</w:t>
      </w:r>
    </w:p>
    <w:p w:rsidR="00043C32" w:rsidRPr="00905B81" w:rsidP="0025185B" w14:paraId="64280E6E"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retain records, other than health, medical, government contract, grant-in-aid, or tax records for more than three years;</w:t>
      </w:r>
    </w:p>
    <w:p w:rsidR="00043C32" w:rsidRPr="00905B81" w:rsidP="0025185B" w14:paraId="64280E70"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in connection with a statistical survey, that is not designed to produce valid and reliable results than can be generalized to the universe of study;</w:t>
      </w:r>
    </w:p>
    <w:p w:rsidR="00043C32" w:rsidRPr="00905B81" w:rsidP="0025185B" w14:paraId="64280E72"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the use of a statistical data classification that has not been reviewed and approved by OMB;</w:t>
      </w:r>
    </w:p>
    <w:p w:rsidR="00043C32" w:rsidRPr="00905B81" w:rsidP="0025185B" w14:paraId="64280E74"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905B81" w:rsidP="0025185B" w14:paraId="64280E76" w14:textId="77777777">
      <w:pPr>
        <w:numPr>
          <w:ilvl w:val="0"/>
          <w:numId w:val="3"/>
        </w:numPr>
        <w:tabs>
          <w:tab w:val="left" w:pos="-720"/>
          <w:tab w:val="clear" w:pos="1440"/>
        </w:tabs>
        <w:suppressAutoHyphens/>
        <w:rPr>
          <w:rFonts w:ascii="Times New Roman" w:hAnsi="Times New Roman"/>
          <w:b/>
          <w:szCs w:val="24"/>
        </w:rPr>
      </w:pPr>
      <w:r w:rsidRPr="00905B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905B81" w:rsidP="0025185B" w14:paraId="64280E77" w14:textId="77777777">
      <w:pPr>
        <w:pStyle w:val="ListParagraph"/>
        <w:rPr>
          <w:rFonts w:ascii="Times New Roman" w:hAnsi="Times New Roman"/>
          <w:bCs/>
          <w:szCs w:val="24"/>
        </w:rPr>
      </w:pPr>
    </w:p>
    <w:p w:rsidR="00601A83" w:rsidRPr="00905B81" w:rsidP="0025185B" w14:paraId="57B92963" w14:textId="74AF6E27">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This information collection does not involve any of the above conditions.</w:t>
      </w:r>
    </w:p>
    <w:p w:rsidR="005F4E11" w:rsidRPr="00905B81" w:rsidP="0025185B" w14:paraId="6109B5F4" w14:textId="77777777">
      <w:pPr>
        <w:tabs>
          <w:tab w:val="left" w:pos="-720"/>
        </w:tabs>
        <w:suppressAutoHyphens/>
        <w:ind w:left="720"/>
        <w:rPr>
          <w:rFonts w:ascii="Times New Roman" w:hAnsi="Times New Roman"/>
          <w:szCs w:val="24"/>
        </w:rPr>
      </w:pPr>
    </w:p>
    <w:p w:rsidR="00D75313" w:rsidRPr="00905B81" w:rsidP="0025185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905B81" w:rsidP="0025185B"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905B81" w:rsidP="0025185B" w14:paraId="64280E7B" w14:textId="77777777">
      <w:pPr>
        <w:pStyle w:val="ListParagraph"/>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Include a citation for the 60 day comment period (e.g. Vol. 84 FR ##### and the date of publication).</w:t>
      </w:r>
      <w:r w:rsidRPr="00905B81">
        <w:rPr>
          <w:rFonts w:ascii="Times New Roman" w:hAnsi="Times New Roman"/>
          <w:b/>
          <w:szCs w:val="24"/>
        </w:rPr>
        <w:t xml:space="preserve">  Summarize public comments received in response to </w:t>
      </w:r>
      <w:r w:rsidRPr="00905B81">
        <w:rPr>
          <w:rFonts w:ascii="Times New Roman" w:hAnsi="Times New Roman"/>
          <w:b/>
          <w:szCs w:val="24"/>
        </w:rPr>
        <w:t>the 60 day</w:t>
      </w:r>
      <w:r w:rsidRPr="00905B81">
        <w:rPr>
          <w:rFonts w:ascii="Times New Roman" w:hAnsi="Times New Roman"/>
          <w:b/>
          <w:szCs w:val="24"/>
        </w:rPr>
        <w:t xml:space="preserve"> notice and describe actions taken by the agency in response to these comments.  Specifically address comments received on cost and hour burden.</w:t>
      </w:r>
      <w:r w:rsidRPr="00905B81" w:rsidR="007C0A4C">
        <w:rPr>
          <w:rFonts w:ascii="Times New Roman" w:hAnsi="Times New Roman"/>
          <w:b/>
          <w:szCs w:val="24"/>
        </w:rPr>
        <w:t xml:space="preserve">  If only non-substantive comments are provided, please provide a statement to that effect and that it did not relate or warrant any change</w:t>
      </w:r>
      <w:r w:rsidRPr="00905B81">
        <w:rPr>
          <w:rFonts w:ascii="Times New Roman" w:hAnsi="Times New Roman"/>
          <w:b/>
          <w:szCs w:val="24"/>
        </w:rPr>
        <w:t>s to this information collection request</w:t>
      </w:r>
      <w:r w:rsidRPr="00905B81" w:rsidR="007C0A4C">
        <w:rPr>
          <w:rFonts w:ascii="Times New Roman" w:hAnsi="Times New Roman"/>
          <w:b/>
          <w:szCs w:val="24"/>
        </w:rPr>
        <w:t xml:space="preserve">. </w:t>
      </w:r>
      <w:r w:rsidRPr="00905B81">
        <w:rPr>
          <w:rFonts w:ascii="Times New Roman" w:hAnsi="Times New Roman"/>
          <w:b/>
          <w:szCs w:val="24"/>
        </w:rPr>
        <w:t>In your comments, please also indicate the number of public comments received.</w:t>
      </w:r>
    </w:p>
    <w:p w:rsidR="00D75313" w:rsidRPr="00905B81" w:rsidP="0025185B"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905B81" w:rsidP="0025185B" w14:paraId="64280E7D" w14:textId="77777777">
      <w:pPr>
        <w:pStyle w:val="ListParagraph"/>
        <w:tabs>
          <w:tab w:val="left" w:pos="-720"/>
          <w:tab w:val="left" w:pos="375"/>
        </w:tabs>
        <w:suppressAutoHyphens/>
        <w:contextualSpacing w:val="0"/>
        <w:rPr>
          <w:rFonts w:ascii="Times New Roman" w:hAnsi="Times New Roman"/>
          <w:b/>
          <w:szCs w:val="24"/>
        </w:rPr>
      </w:pPr>
      <w:r w:rsidRPr="00905B81">
        <w:rPr>
          <w:rFonts w:ascii="Times New Roman" w:hAnsi="Times New Roman"/>
          <w:b/>
          <w:szCs w:val="24"/>
        </w:rPr>
        <w:t>For the 30 day notice, indicate that a notice will be published.</w:t>
      </w:r>
    </w:p>
    <w:p w:rsidR="00043C32" w:rsidRPr="00905B81" w:rsidP="0025185B" w14:paraId="64280E7E" w14:textId="77777777">
      <w:pPr>
        <w:tabs>
          <w:tab w:val="left" w:pos="-720"/>
        </w:tabs>
        <w:suppressAutoHyphens/>
        <w:ind w:left="720"/>
        <w:rPr>
          <w:rStyle w:val="a"/>
          <w:rFonts w:ascii="Times New Roman" w:hAnsi="Times New Roman"/>
          <w:b/>
          <w:szCs w:val="24"/>
        </w:rPr>
      </w:pPr>
      <w:r w:rsidRPr="00905B81">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905B81">
        <w:rPr>
          <w:rStyle w:val="a"/>
          <w:rFonts w:ascii="Times New Roman" w:hAnsi="Times New Roman"/>
          <w:b/>
          <w:szCs w:val="24"/>
        </w:rPr>
        <w:t>keeping, disclosure, or reporting format (if any), and on the data elements to be recorded, disclosed, or reported.</w:t>
      </w:r>
    </w:p>
    <w:p w:rsidR="00043C32" w:rsidRPr="00905B81" w:rsidP="0025185B" w14:paraId="64280E7F" w14:textId="77777777">
      <w:pPr>
        <w:tabs>
          <w:tab w:val="left" w:pos="-720"/>
        </w:tabs>
        <w:suppressAutoHyphens/>
        <w:rPr>
          <w:rStyle w:val="a"/>
          <w:rFonts w:ascii="Times New Roman" w:hAnsi="Times New Roman"/>
          <w:b/>
          <w:szCs w:val="24"/>
        </w:rPr>
      </w:pPr>
    </w:p>
    <w:p w:rsidR="00043C32" w:rsidRPr="00905B81" w:rsidP="0025185B" w14:paraId="64280E80" w14:textId="77777777">
      <w:pPr>
        <w:tabs>
          <w:tab w:val="left" w:pos="-720"/>
        </w:tabs>
        <w:suppressAutoHyphens/>
        <w:ind w:left="720"/>
        <w:rPr>
          <w:rStyle w:val="a"/>
          <w:rFonts w:ascii="Times New Roman" w:hAnsi="Times New Roman"/>
          <w:b/>
          <w:szCs w:val="24"/>
        </w:rPr>
      </w:pPr>
      <w:r w:rsidRPr="00905B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905B81" w:rsidP="0025185B" w14:paraId="64280E81" w14:textId="77777777">
      <w:pPr>
        <w:tabs>
          <w:tab w:val="left" w:pos="-720"/>
        </w:tabs>
        <w:suppressAutoHyphens/>
        <w:ind w:left="720"/>
        <w:rPr>
          <w:rFonts w:ascii="Times New Roman" w:hAnsi="Times New Roman"/>
          <w:bCs/>
          <w:szCs w:val="24"/>
        </w:rPr>
      </w:pPr>
    </w:p>
    <w:p w:rsidR="00FF7506" w:rsidP="00AE0BB4" w14:paraId="5122CDC3" w14:textId="48B5CF5D">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w:t>
      </w:r>
      <w:r w:rsidR="009B2D7B">
        <w:rPr>
          <w:rFonts w:asciiTheme="minorHAnsi" w:hAnsiTheme="minorHAnsi" w:cstheme="minorHAnsi"/>
          <w:szCs w:val="24"/>
        </w:rPr>
        <w:t>emergency</w:t>
      </w:r>
      <w:r w:rsidRPr="00905B81">
        <w:rPr>
          <w:rFonts w:asciiTheme="minorHAnsi" w:hAnsiTheme="minorHAnsi" w:cstheme="minorHAnsi"/>
          <w:szCs w:val="24"/>
        </w:rPr>
        <w:t xml:space="preserve"> clearance package </w:t>
      </w:r>
      <w:r w:rsidR="009B2D7B">
        <w:rPr>
          <w:rFonts w:asciiTheme="minorHAnsi" w:hAnsiTheme="minorHAnsi" w:cstheme="minorHAnsi"/>
          <w:szCs w:val="24"/>
        </w:rPr>
        <w:t>was</w:t>
      </w:r>
      <w:r w:rsidRPr="00905B81">
        <w:rPr>
          <w:rFonts w:asciiTheme="minorHAnsi" w:hAnsiTheme="minorHAnsi" w:cstheme="minorHAnsi"/>
          <w:szCs w:val="24"/>
        </w:rPr>
        <w:t xml:space="preserve"> submitted to OMB</w:t>
      </w:r>
      <w:r w:rsidR="009B2D7B">
        <w:rPr>
          <w:rFonts w:asciiTheme="minorHAnsi" w:hAnsiTheme="minorHAnsi" w:cstheme="minorHAnsi"/>
          <w:szCs w:val="24"/>
        </w:rPr>
        <w:t xml:space="preserve"> and approved on May 3,2023.</w:t>
      </w:r>
    </w:p>
    <w:p w:rsidR="00FF7506" w:rsidRPr="00FF7506" w:rsidP="00AE0BB4" w14:paraId="01E0F908" w14:textId="40791BBE">
      <w:pPr>
        <w:tabs>
          <w:tab w:val="left" w:pos="-720"/>
        </w:tabs>
        <w:suppressAutoHyphens/>
        <w:ind w:left="720"/>
        <w:rPr>
          <w:rFonts w:asciiTheme="minorHAnsi" w:hAnsiTheme="minorHAnsi" w:cstheme="minorHAnsi"/>
          <w:szCs w:val="24"/>
        </w:rPr>
      </w:pPr>
    </w:p>
    <w:p w:rsidR="00FF7506" w:rsidP="00AE0BB4" w14:paraId="1311C981" w14:textId="242C02E0">
      <w:pPr>
        <w:tabs>
          <w:tab w:val="left" w:pos="-720"/>
        </w:tabs>
        <w:suppressAutoHyphens/>
        <w:ind w:left="720"/>
        <w:rPr>
          <w:rFonts w:asciiTheme="minorHAnsi" w:hAnsiTheme="minorHAnsi" w:cstheme="minorHAnsi"/>
          <w:szCs w:val="24"/>
        </w:rPr>
      </w:pPr>
      <w:r>
        <w:rPr>
          <w:rFonts w:asciiTheme="minorHAnsi" w:hAnsiTheme="minorHAnsi" w:cstheme="minorHAnsi"/>
          <w:szCs w:val="24"/>
        </w:rPr>
        <w:t>A Federal Register Notice was published on May 12, 2023 (Vol. 88, No 92, page 30732) inviting public comment on this information collection.  Eight comments were received from the public.  Attached are a table and 2 incoming letters with responses embedded.  Based on the public comments, minor changes were made to the form.  These changes do not alter the number of respondents/responses/burden hours represented in this renewal request.</w:t>
      </w:r>
    </w:p>
    <w:p w:rsidR="002E3E2C" w:rsidRPr="00FF7506" w:rsidP="00AE0BB4" w14:paraId="47771C4C" w14:textId="77777777">
      <w:pPr>
        <w:tabs>
          <w:tab w:val="left" w:pos="-720"/>
        </w:tabs>
        <w:suppressAutoHyphens/>
        <w:ind w:left="720"/>
        <w:rPr>
          <w:rFonts w:asciiTheme="minorHAnsi" w:hAnsiTheme="minorHAnsi" w:cstheme="minorHAnsi"/>
          <w:szCs w:val="24"/>
        </w:rPr>
      </w:pPr>
    </w:p>
    <w:p w:rsidR="00FF7506" w:rsidRPr="00FF7506" w:rsidP="00FF7506" w14:paraId="53DFF401" w14:textId="086FA58D">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is now requesting </w:t>
      </w:r>
      <w:r w:rsidRPr="00905B81" w:rsidR="00AE0BB4">
        <w:rPr>
          <w:rFonts w:asciiTheme="minorHAnsi" w:hAnsiTheme="minorHAnsi" w:cstheme="minorHAnsi"/>
          <w:szCs w:val="24"/>
        </w:rPr>
        <w:t>t</w:t>
      </w:r>
      <w:r>
        <w:rPr>
          <w:rFonts w:asciiTheme="minorHAnsi" w:hAnsiTheme="minorHAnsi" w:cstheme="minorHAnsi"/>
          <w:szCs w:val="24"/>
        </w:rPr>
        <w:t>hat t</w:t>
      </w:r>
      <w:r w:rsidRPr="00905B81" w:rsidR="00AE0BB4">
        <w:rPr>
          <w:rFonts w:asciiTheme="minorHAnsi" w:hAnsiTheme="minorHAnsi" w:cstheme="minorHAnsi"/>
          <w:szCs w:val="24"/>
        </w:rPr>
        <w:t xml:space="preserve">he </w:t>
      </w:r>
      <w:r w:rsidR="002E3E2C">
        <w:rPr>
          <w:rFonts w:asciiTheme="minorHAnsi" w:hAnsiTheme="minorHAnsi" w:cstheme="minorHAnsi"/>
          <w:szCs w:val="24"/>
        </w:rPr>
        <w:t>3</w:t>
      </w:r>
      <w:r w:rsidRPr="00905B81" w:rsidR="00AE0BB4">
        <w:rPr>
          <w:rFonts w:asciiTheme="minorHAnsi" w:hAnsiTheme="minorHAnsi" w:cstheme="minorHAnsi"/>
          <w:szCs w:val="24"/>
        </w:rPr>
        <w:t>0 day public comment period Federal Register notice b</w:t>
      </w:r>
      <w:r>
        <w:rPr>
          <w:rFonts w:asciiTheme="minorHAnsi" w:hAnsiTheme="minorHAnsi" w:cstheme="minorHAnsi"/>
          <w:szCs w:val="24"/>
        </w:rPr>
        <w:t>e</w:t>
      </w:r>
      <w:r w:rsidRPr="00905B81" w:rsidR="00AE0BB4">
        <w:rPr>
          <w:rFonts w:asciiTheme="minorHAnsi" w:hAnsiTheme="minorHAnsi" w:cstheme="minorHAnsi"/>
          <w:szCs w:val="24"/>
        </w:rPr>
        <w:t xml:space="preserve"> published in order to allow for full public comment on the process. </w:t>
      </w:r>
    </w:p>
    <w:p w:rsidR="00AE0BB4" w:rsidRPr="00905B81" w:rsidP="00AE0BB4" w14:paraId="1D1152AD" w14:textId="77777777">
      <w:pPr>
        <w:tabs>
          <w:tab w:val="left" w:pos="-720"/>
        </w:tabs>
        <w:suppressAutoHyphens/>
        <w:ind w:left="720"/>
        <w:rPr>
          <w:rFonts w:asciiTheme="minorHAnsi" w:hAnsiTheme="minorHAnsi" w:cstheme="minorHAnsi"/>
          <w:szCs w:val="24"/>
        </w:rPr>
      </w:pPr>
    </w:p>
    <w:p w:rsidR="00043C32" w:rsidRPr="00905B81" w:rsidP="0025185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05B81">
        <w:rPr>
          <w:rStyle w:val="a"/>
          <w:rFonts w:ascii="Times New Roman" w:hAnsi="Times New Roman"/>
          <w:b/>
          <w:szCs w:val="24"/>
        </w:rPr>
        <w:t>Explain any decision to provide any payment or gift to respondents, other than remuneration of contractors or grantees with meaningful justification.</w:t>
      </w:r>
    </w:p>
    <w:p w:rsidR="00920F63" w:rsidRPr="00905B81" w:rsidP="0025185B" w14:paraId="64280E84" w14:textId="0EDE5511">
      <w:pPr>
        <w:pStyle w:val="ListParagraph"/>
        <w:tabs>
          <w:tab w:val="left" w:pos="-720"/>
        </w:tabs>
        <w:suppressAutoHyphens/>
        <w:contextualSpacing w:val="0"/>
        <w:rPr>
          <w:rFonts w:ascii="Times New Roman" w:hAnsi="Times New Roman"/>
          <w:bCs/>
          <w:szCs w:val="24"/>
        </w:rPr>
      </w:pPr>
    </w:p>
    <w:p w:rsidR="00601A83" w:rsidRPr="00905B81" w:rsidP="0025185B" w14:paraId="4A8AB2DA" w14:textId="49AFB7CF">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No payments or gifts have been provided to respondents.</w:t>
      </w:r>
    </w:p>
    <w:p w:rsidR="00920F63" w:rsidRPr="00905B81" w:rsidP="0025185B" w14:paraId="64280E85" w14:textId="77777777">
      <w:pPr>
        <w:pStyle w:val="ListParagraph"/>
        <w:tabs>
          <w:tab w:val="left" w:pos="-720"/>
        </w:tabs>
        <w:suppressAutoHyphens/>
        <w:contextualSpacing w:val="0"/>
        <w:rPr>
          <w:rFonts w:ascii="Times New Roman" w:hAnsi="Times New Roman"/>
          <w:bCs/>
          <w:szCs w:val="24"/>
        </w:rPr>
      </w:pPr>
    </w:p>
    <w:p w:rsidR="00043C32" w:rsidRPr="00905B81" w:rsidP="0025185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05B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05B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905B81" w:rsidR="00920F63">
        <w:rPr>
          <w:rFonts w:ascii="Times New Roman" w:hAnsi="Times New Roman"/>
          <w:b/>
          <w:szCs w:val="24"/>
        </w:rPr>
        <w:t>ity</w:t>
      </w:r>
      <w:r w:rsidRPr="00905B81">
        <w:rPr>
          <w:rFonts w:ascii="Times New Roman" w:hAnsi="Times New Roman"/>
          <w:b/>
          <w:szCs w:val="24"/>
        </w:rPr>
        <w:t xml:space="preserve"> of the data.</w:t>
      </w:r>
      <w:r w:rsidRPr="00905B81" w:rsidR="009767AF">
        <w:rPr>
          <w:rFonts w:ascii="Times New Roman" w:hAnsi="Times New Roman"/>
          <w:b/>
          <w:szCs w:val="24"/>
        </w:rPr>
        <w:t xml:space="preserve"> If no PII will be collected, state that no assurance of confidentiality is provided to respondents.</w:t>
      </w:r>
      <w:r w:rsidRPr="00905B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905B81" w:rsidP="0025185B" w14:paraId="64280E87" w14:textId="08ED8571">
      <w:pPr>
        <w:tabs>
          <w:tab w:val="left" w:pos="-720"/>
        </w:tabs>
        <w:suppressAutoHyphens/>
        <w:ind w:left="720"/>
        <w:rPr>
          <w:rFonts w:ascii="Times New Roman" w:hAnsi="Times New Roman"/>
          <w:bCs/>
          <w:szCs w:val="24"/>
        </w:rPr>
      </w:pPr>
    </w:p>
    <w:p w:rsidR="00EF4C67" w:rsidRPr="00905B81" w:rsidP="2B37EAF9" w14:paraId="481A5EB4" w14:textId="017FEB99">
      <w:pPr>
        <w:suppressAutoHyphens/>
        <w:ind w:left="720"/>
        <w:rPr>
          <w:rFonts w:asciiTheme="minorHAnsi" w:hAnsiTheme="minorHAnsi" w:cstheme="minorBidi"/>
          <w:szCs w:val="24"/>
        </w:rPr>
      </w:pPr>
      <w:r w:rsidRPr="00905B81">
        <w:rPr>
          <w:rFonts w:asciiTheme="minorHAnsi" w:hAnsiTheme="minorHAnsi" w:cstheme="minorBidi"/>
          <w:szCs w:val="24"/>
        </w:rPr>
        <w:t>The form includes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547BB4" w:rsidRPr="00905B81" w:rsidP="0025185B" w14:paraId="63841DA8" w14:textId="1699FAA6">
      <w:pPr>
        <w:tabs>
          <w:tab w:val="left" w:pos="-720"/>
        </w:tabs>
        <w:suppressAutoHyphens/>
        <w:ind w:left="720"/>
        <w:rPr>
          <w:rFonts w:asciiTheme="minorHAnsi" w:hAnsiTheme="minorHAnsi" w:cstheme="minorHAnsi"/>
          <w:szCs w:val="24"/>
        </w:rPr>
      </w:pPr>
    </w:p>
    <w:p w:rsidR="00547BB4" w:rsidRPr="00905B81" w:rsidP="0025185B" w14:paraId="2C3170C2" w14:textId="3571A496">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information is part of data collected under the Systems of Record Notice Common Services for Borrowers (CSB), 18-11-16, </w:t>
      </w:r>
      <w:r w:rsidRPr="00905B81" w:rsidR="003E046B">
        <w:rPr>
          <w:rFonts w:asciiTheme="minorHAnsi" w:hAnsiTheme="minorHAnsi" w:cstheme="minorHAnsi"/>
          <w:szCs w:val="24"/>
        </w:rPr>
        <w:t>published September 13, 2022 (Vol. 87, No. 176).</w:t>
      </w:r>
    </w:p>
    <w:p w:rsidR="007C700A" w:rsidRPr="00905B81" w:rsidP="0025185B" w14:paraId="7A4EA0F0" w14:textId="77777777">
      <w:pPr>
        <w:tabs>
          <w:tab w:val="left" w:pos="-720"/>
        </w:tabs>
        <w:suppressAutoHyphens/>
        <w:ind w:left="720"/>
        <w:rPr>
          <w:rFonts w:ascii="Times New Roman" w:hAnsi="Times New Roman"/>
          <w:bCs/>
          <w:szCs w:val="24"/>
        </w:rPr>
      </w:pPr>
    </w:p>
    <w:p w:rsidR="00043C32" w:rsidRPr="00905B81" w:rsidP="0025185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05B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905B81" w:rsidP="0025185B" w14:paraId="64280E8A" w14:textId="6031739C">
      <w:pPr>
        <w:tabs>
          <w:tab w:val="left" w:pos="-720"/>
        </w:tabs>
        <w:suppressAutoHyphens/>
        <w:ind w:left="720"/>
        <w:rPr>
          <w:rFonts w:ascii="Times New Roman" w:hAnsi="Times New Roman"/>
          <w:bCs/>
          <w:szCs w:val="24"/>
        </w:rPr>
      </w:pPr>
    </w:p>
    <w:p w:rsidR="00601A83" w:rsidRPr="00905B81" w:rsidP="0025185B" w14:paraId="23ECA6F8" w14:textId="71B60942">
      <w:pPr>
        <w:tabs>
          <w:tab w:val="left" w:pos="0"/>
        </w:tabs>
        <w:suppressAutoHyphens/>
        <w:ind w:left="720"/>
        <w:rPr>
          <w:rFonts w:asciiTheme="minorHAnsi" w:hAnsiTheme="minorHAnsi" w:cstheme="minorHAnsi"/>
          <w:szCs w:val="24"/>
        </w:rPr>
      </w:pPr>
      <w:r w:rsidRPr="00905B81">
        <w:rPr>
          <w:rFonts w:asciiTheme="minorHAnsi" w:hAnsiTheme="minorHAnsi" w:cstheme="minorHAnsi"/>
          <w:szCs w:val="24"/>
        </w:rPr>
        <w:t>The form does not require borrowers to provide information such as that listed above.</w:t>
      </w:r>
    </w:p>
    <w:p w:rsidR="00920F63" w:rsidRPr="00905B81" w:rsidP="0025185B" w14:paraId="64280E8B" w14:textId="77777777">
      <w:pPr>
        <w:tabs>
          <w:tab w:val="left" w:pos="-720"/>
        </w:tabs>
        <w:suppressAutoHyphens/>
        <w:ind w:left="720"/>
        <w:rPr>
          <w:rFonts w:ascii="Times New Roman" w:hAnsi="Times New Roman"/>
          <w:bCs/>
          <w:szCs w:val="24"/>
        </w:rPr>
      </w:pPr>
    </w:p>
    <w:p w:rsidR="00043C32" w:rsidRPr="00905B81" w:rsidP="0025185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05B81">
        <w:rPr>
          <w:rStyle w:val="a"/>
          <w:rFonts w:ascii="Times New Roman" w:hAnsi="Times New Roman"/>
          <w:b/>
          <w:szCs w:val="24"/>
        </w:rPr>
        <w:t xml:space="preserve">Provide estimates of the hour burden </w:t>
      </w:r>
      <w:r w:rsidRPr="00905B81" w:rsidR="00F5782B">
        <w:rPr>
          <w:rStyle w:val="a"/>
          <w:rFonts w:ascii="Times New Roman" w:hAnsi="Times New Roman"/>
          <w:b/>
          <w:szCs w:val="24"/>
        </w:rPr>
        <w:t xml:space="preserve">for </w:t>
      </w:r>
      <w:r w:rsidRPr="00905B81">
        <w:rPr>
          <w:rStyle w:val="a"/>
          <w:rFonts w:ascii="Times New Roman" w:hAnsi="Times New Roman"/>
          <w:b/>
          <w:szCs w:val="24"/>
        </w:rPr>
        <w:t>th</w:t>
      </w:r>
      <w:r w:rsidRPr="00905B81" w:rsidR="00F5782B">
        <w:rPr>
          <w:rStyle w:val="a"/>
          <w:rFonts w:ascii="Times New Roman" w:hAnsi="Times New Roman"/>
          <w:b/>
          <w:szCs w:val="24"/>
        </w:rPr>
        <w:t>is</w:t>
      </w:r>
      <w:r w:rsidRPr="00905B81">
        <w:rPr>
          <w:rStyle w:val="a"/>
          <w:rFonts w:ascii="Times New Roman" w:hAnsi="Times New Roman"/>
          <w:b/>
          <w:szCs w:val="24"/>
        </w:rPr>
        <w:t xml:space="preserve"> </w:t>
      </w:r>
      <w:r w:rsidRPr="00905B81" w:rsidR="00F31BEC">
        <w:rPr>
          <w:rStyle w:val="a"/>
          <w:rFonts w:ascii="Times New Roman" w:hAnsi="Times New Roman"/>
          <w:b/>
          <w:szCs w:val="24"/>
        </w:rPr>
        <w:t>current information collection request</w:t>
      </w:r>
      <w:r w:rsidRPr="00905B81">
        <w:rPr>
          <w:rStyle w:val="a"/>
          <w:rFonts w:ascii="Times New Roman" w:hAnsi="Times New Roman"/>
          <w:b/>
          <w:szCs w:val="24"/>
        </w:rPr>
        <w:t>.  The statement should:</w:t>
      </w:r>
    </w:p>
    <w:p w:rsidR="00043C32" w:rsidRPr="00905B81" w:rsidP="0025185B" w14:paraId="64280E8D" w14:textId="77777777">
      <w:pPr>
        <w:tabs>
          <w:tab w:val="left" w:pos="-720"/>
        </w:tabs>
        <w:suppressAutoHyphens/>
        <w:rPr>
          <w:rStyle w:val="a"/>
          <w:rFonts w:ascii="Times New Roman" w:hAnsi="Times New Roman"/>
          <w:b/>
          <w:szCs w:val="24"/>
        </w:rPr>
      </w:pPr>
    </w:p>
    <w:p w:rsidR="00C224FD" w:rsidRPr="00905B81" w:rsidP="0025185B" w14:paraId="64280E8E"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905B81" w:rsidP="0025185B" w14:paraId="64280E8F"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Please do not include increases in burden and respondents numerically in this table. Explain these changes in number 15.</w:t>
      </w:r>
    </w:p>
    <w:p w:rsidR="00043C32" w:rsidRPr="00905B81" w:rsidP="0025185B" w14:paraId="64280E90" w14:textId="77777777">
      <w:pPr>
        <w:numPr>
          <w:ilvl w:val="0"/>
          <w:numId w:val="2"/>
        </w:numPr>
        <w:tabs>
          <w:tab w:val="left" w:pos="-720"/>
          <w:tab w:val="left" w:pos="1247"/>
        </w:tabs>
        <w:suppressAutoHyphens/>
        <w:rPr>
          <w:rStyle w:val="a"/>
          <w:rFonts w:ascii="Times New Roman" w:hAnsi="Times New Roman"/>
          <w:szCs w:val="24"/>
        </w:rPr>
      </w:pPr>
      <w:r w:rsidRPr="00905B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905B81" w:rsidR="00C224FD">
        <w:rPr>
          <w:rStyle w:val="a"/>
          <w:rFonts w:ascii="Times New Roman" w:hAnsi="Times New Roman"/>
          <w:b/>
          <w:szCs w:val="24"/>
        </w:rPr>
        <w:t>.</w:t>
      </w:r>
      <w:r w:rsidRPr="00905B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05B81" w:rsidP="0025185B" w14:paraId="64280E91" w14:textId="77777777">
      <w:pPr>
        <w:numPr>
          <w:ilvl w:val="0"/>
          <w:numId w:val="2"/>
        </w:numPr>
        <w:tabs>
          <w:tab w:val="left" w:pos="-720"/>
          <w:tab w:val="left" w:pos="1247"/>
        </w:tabs>
        <w:suppressAutoHyphens/>
        <w:rPr>
          <w:rStyle w:val="a"/>
          <w:rFonts w:ascii="Times New Roman" w:hAnsi="Times New Roman"/>
          <w:b/>
          <w:szCs w:val="24"/>
        </w:rPr>
      </w:pPr>
      <w:r w:rsidRPr="00905B81">
        <w:rPr>
          <w:rStyle w:val="a"/>
          <w:rFonts w:ascii="Times New Roman" w:hAnsi="Times New Roman"/>
          <w:b/>
          <w:szCs w:val="24"/>
        </w:rPr>
        <w:t xml:space="preserve">If this request for approval covers more than one form, provide separate hour burden estimates for each form and aggregate the hour burden in the </w:t>
      </w:r>
      <w:r w:rsidRPr="00905B81" w:rsidR="00C224FD">
        <w:rPr>
          <w:rStyle w:val="a"/>
          <w:rFonts w:ascii="Times New Roman" w:hAnsi="Times New Roman"/>
          <w:b/>
          <w:szCs w:val="24"/>
        </w:rPr>
        <w:t>table below.</w:t>
      </w:r>
    </w:p>
    <w:p w:rsidR="00043C32" w:rsidRPr="00905B81" w:rsidP="0025185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05B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3" w:history="1">
        <w:r w:rsidRPr="00905B81" w:rsidR="00C92035">
          <w:rPr>
            <w:rStyle w:val="Hyperlink"/>
            <w:rFonts w:ascii="Times New Roman" w:hAnsi="Times New Roman"/>
            <w:b/>
            <w:szCs w:val="24"/>
          </w:rPr>
          <w:t>U</w:t>
        </w:r>
        <w:r w:rsidRPr="00905B81" w:rsidR="00960C86">
          <w:rPr>
            <w:rStyle w:val="Hyperlink"/>
            <w:rFonts w:ascii="Times New Roman" w:hAnsi="Times New Roman"/>
            <w:b/>
            <w:szCs w:val="24"/>
          </w:rPr>
          <w:t>se this site</w:t>
        </w:r>
      </w:hyperlink>
      <w:r w:rsidRPr="00905B81" w:rsidR="00960C86">
        <w:rPr>
          <w:rStyle w:val="a"/>
          <w:rFonts w:ascii="Times New Roman" w:hAnsi="Times New Roman"/>
          <w:b/>
          <w:szCs w:val="24"/>
        </w:rPr>
        <w:t xml:space="preserve"> to research the appropriate wage rate. </w:t>
      </w:r>
      <w:r w:rsidRPr="00905B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905B81" w:rsidR="00D75313">
        <w:rPr>
          <w:rStyle w:val="a"/>
          <w:rFonts w:ascii="Times New Roman" w:hAnsi="Times New Roman"/>
          <w:b/>
          <w:szCs w:val="24"/>
        </w:rPr>
        <w:t xml:space="preserve"> If there is no cost to respondents, indicate by entering 0 in the chart below and/or provide a statement.</w:t>
      </w:r>
    </w:p>
    <w:p w:rsidR="00756FD3" w:rsidRPr="00905B81" w:rsidP="0025185B" w14:paraId="64280E93" w14:textId="77777777">
      <w:pPr>
        <w:tabs>
          <w:tab w:val="left" w:pos="-720"/>
          <w:tab w:val="left" w:pos="1247"/>
        </w:tabs>
        <w:suppressAutoHyphens/>
        <w:rPr>
          <w:rStyle w:val="a"/>
          <w:rFonts w:ascii="Times New Roman" w:hAnsi="Times New Roman"/>
          <w:b/>
          <w:szCs w:val="24"/>
        </w:rPr>
      </w:pPr>
    </w:p>
    <w:p w:rsidR="00601A83" w:rsidRPr="00905B81" w:rsidP="0025185B" w14:paraId="6FE34282" w14:textId="347BFF42">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 xml:space="preserve">The estimated time required to complete the form remains 0.5 hours (30 minutes).  </w:t>
      </w:r>
    </w:p>
    <w:p w:rsidR="00601A83" w:rsidRPr="00905B81" w:rsidP="0025185B" w14:paraId="7C7B7174" w14:textId="6D7EB85F">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Based on one response per respondent, this equates to a total estimated annual reporting burden of 4</w:t>
      </w:r>
      <w:r w:rsidR="00B8750F">
        <w:rPr>
          <w:rFonts w:asciiTheme="minorHAnsi" w:hAnsiTheme="minorHAnsi" w:cstheme="minorHAnsi"/>
          <w:szCs w:val="24"/>
        </w:rPr>
        <w:t>56</w:t>
      </w:r>
      <w:r w:rsidRPr="00905B81">
        <w:rPr>
          <w:rFonts w:asciiTheme="minorHAnsi" w:hAnsiTheme="minorHAnsi" w:cstheme="minorHAnsi"/>
          <w:szCs w:val="24"/>
        </w:rPr>
        <w:t>,</w:t>
      </w:r>
      <w:r w:rsidR="00B8750F">
        <w:rPr>
          <w:rFonts w:asciiTheme="minorHAnsi" w:hAnsiTheme="minorHAnsi" w:cstheme="minorHAnsi"/>
          <w:szCs w:val="24"/>
        </w:rPr>
        <w:t>857</w:t>
      </w:r>
      <w:r w:rsidRPr="00905B81">
        <w:rPr>
          <w:rFonts w:asciiTheme="minorHAnsi" w:hAnsiTheme="minorHAnsi" w:cstheme="minorHAnsi"/>
          <w:szCs w:val="24"/>
        </w:rPr>
        <w:t xml:space="preserve"> hours, calculated as follows:  </w:t>
      </w:r>
    </w:p>
    <w:p w:rsidR="008E7E16" w:rsidRPr="00905B81" w:rsidP="0025185B" w14:paraId="53D606B3" w14:textId="77777777">
      <w:pPr>
        <w:tabs>
          <w:tab w:val="left" w:pos="-720"/>
        </w:tabs>
        <w:suppressAutoHyphens/>
        <w:ind w:left="900"/>
        <w:rPr>
          <w:rFonts w:asciiTheme="minorHAnsi" w:hAnsiTheme="minorHAnsi" w:cstheme="minorHAnsi"/>
          <w:szCs w:val="24"/>
        </w:rPr>
      </w:pPr>
    </w:p>
    <w:p w:rsidR="00601A83" w:rsidRPr="00905B81" w:rsidP="0025185B" w14:paraId="26BC75A4" w14:textId="77777777">
      <w:pPr>
        <w:tabs>
          <w:tab w:val="left" w:pos="-720"/>
        </w:tabs>
        <w:suppressAutoHyphens/>
        <w:ind w:left="900"/>
        <w:rPr>
          <w:rFonts w:asciiTheme="minorHAnsi" w:hAnsiTheme="minorHAnsi" w:cstheme="minorHAnsi"/>
          <w:szCs w:val="24"/>
          <w:u w:val="single"/>
        </w:rPr>
      </w:pPr>
      <w:r w:rsidRPr="00905B81">
        <w:rPr>
          <w:rFonts w:asciiTheme="minorHAnsi" w:hAnsiTheme="minorHAnsi" w:cstheme="minorHAnsi"/>
          <w:szCs w:val="24"/>
          <w:u w:val="single"/>
        </w:rPr>
        <w:t>Public Service Loan Forgiveness (PSLF) &amp; Temporary Expanded PSLF (TEPSLF) Certification &amp; Application</w:t>
      </w:r>
    </w:p>
    <w:tbl>
      <w:tblPr>
        <w:tblW w:w="0" w:type="auto"/>
        <w:jc w:val="center"/>
        <w:tblLayout w:type="fixed"/>
        <w:tblLook w:val="04A0"/>
      </w:tblPr>
      <w:tblGrid>
        <w:gridCol w:w="4288"/>
        <w:gridCol w:w="504"/>
        <w:gridCol w:w="2048"/>
      </w:tblGrid>
      <w:tr w14:paraId="180A98BE" w14:textId="77777777">
        <w:tblPrEx>
          <w:tblW w:w="0" w:type="auto"/>
          <w:jc w:val="center"/>
          <w:tblLayout w:type="fixed"/>
          <w:tblLook w:val="04A0"/>
        </w:tblPrEx>
        <w:trPr>
          <w:jc w:val="center"/>
        </w:trPr>
        <w:tc>
          <w:tcPr>
            <w:tcW w:w="4288" w:type="dxa"/>
            <w:hideMark/>
          </w:tcPr>
          <w:p w:rsidR="00601A83" w:rsidRPr="00905B81" w:rsidP="0025185B" w14:paraId="26F9C9DB" w14:textId="77777777">
            <w:pPr>
              <w:pStyle w:val="EndnoteText"/>
              <w:ind w:left="432"/>
              <w:rPr>
                <w:rFonts w:asciiTheme="minorHAnsi" w:hAnsiTheme="minorHAnsi" w:cstheme="minorHAnsi"/>
                <w:szCs w:val="24"/>
              </w:rPr>
            </w:pPr>
            <w:r w:rsidRPr="00905B81">
              <w:rPr>
                <w:rFonts w:asciiTheme="minorHAnsi" w:hAnsiTheme="minorHAnsi" w:cstheme="minorHAnsi"/>
                <w:szCs w:val="24"/>
              </w:rPr>
              <w:t>Estimated annual number of respondents:</w:t>
            </w:r>
          </w:p>
        </w:tc>
        <w:tc>
          <w:tcPr>
            <w:tcW w:w="504" w:type="dxa"/>
          </w:tcPr>
          <w:p w:rsidR="00601A83" w:rsidRPr="00905B81" w:rsidP="0025185B" w14:paraId="57C18FA7" w14:textId="77777777">
            <w:pPr>
              <w:tabs>
                <w:tab w:val="left" w:pos="-720"/>
              </w:tabs>
              <w:suppressAutoHyphens/>
              <w:ind w:left="900"/>
              <w:rPr>
                <w:rFonts w:asciiTheme="minorHAnsi" w:hAnsiTheme="minorHAnsi" w:cstheme="minorHAnsi"/>
                <w:szCs w:val="24"/>
              </w:rPr>
            </w:pPr>
          </w:p>
        </w:tc>
        <w:tc>
          <w:tcPr>
            <w:tcW w:w="2048" w:type="dxa"/>
            <w:hideMark/>
          </w:tcPr>
          <w:p w:rsidR="00601A83" w:rsidRPr="00905B81" w:rsidP="0025185B" w14:paraId="37B0E33E" w14:textId="519ECF96">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913,713</w:t>
            </w:r>
          </w:p>
        </w:tc>
      </w:tr>
      <w:tr w14:paraId="6FA21EB5" w14:textId="77777777">
        <w:tblPrEx>
          <w:tblW w:w="0" w:type="auto"/>
          <w:jc w:val="center"/>
          <w:tblLayout w:type="fixed"/>
          <w:tblLook w:val="04A0"/>
        </w:tblPrEx>
        <w:trPr>
          <w:jc w:val="center"/>
        </w:trPr>
        <w:tc>
          <w:tcPr>
            <w:tcW w:w="4288" w:type="dxa"/>
            <w:hideMark/>
          </w:tcPr>
          <w:p w:rsidR="00601A83" w:rsidRPr="00905B81" w:rsidP="0025185B" w14:paraId="699274FB"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Number of responses per borrower:</w:t>
            </w:r>
          </w:p>
        </w:tc>
        <w:tc>
          <w:tcPr>
            <w:tcW w:w="504" w:type="dxa"/>
            <w:hideMark/>
          </w:tcPr>
          <w:p w:rsidR="00601A83" w:rsidRPr="00905B81" w:rsidP="0025185B" w14:paraId="329EB7B9"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x</w:t>
            </w:r>
          </w:p>
        </w:tc>
        <w:tc>
          <w:tcPr>
            <w:tcW w:w="2048" w:type="dxa"/>
            <w:hideMark/>
          </w:tcPr>
          <w:p w:rsidR="00601A83" w:rsidRPr="00905B81" w:rsidP="0025185B" w14:paraId="0DFAF553" w14:textId="77777777">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1</w:t>
            </w:r>
          </w:p>
        </w:tc>
      </w:tr>
      <w:tr w14:paraId="5FB4F0E1" w14:textId="77777777">
        <w:tblPrEx>
          <w:tblW w:w="0" w:type="auto"/>
          <w:jc w:val="center"/>
          <w:tblLayout w:type="fixed"/>
          <w:tblLook w:val="04A0"/>
        </w:tblPrEx>
        <w:trPr>
          <w:jc w:val="center"/>
        </w:trPr>
        <w:tc>
          <w:tcPr>
            <w:tcW w:w="4288" w:type="dxa"/>
            <w:hideMark/>
          </w:tcPr>
          <w:p w:rsidR="00601A83" w:rsidRPr="00905B81" w:rsidP="0025185B" w14:paraId="3980F061"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Hours per response:</w:t>
            </w:r>
          </w:p>
        </w:tc>
        <w:tc>
          <w:tcPr>
            <w:tcW w:w="504" w:type="dxa"/>
            <w:hideMark/>
          </w:tcPr>
          <w:p w:rsidR="00601A83" w:rsidRPr="00905B81" w:rsidP="0025185B" w14:paraId="22927F00"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x</w:t>
            </w:r>
          </w:p>
        </w:tc>
        <w:tc>
          <w:tcPr>
            <w:tcW w:w="2048" w:type="dxa"/>
            <w:tcBorders>
              <w:top w:val="nil"/>
              <w:left w:val="nil"/>
              <w:bottom w:val="single" w:sz="4" w:space="0" w:color="auto"/>
              <w:right w:val="nil"/>
            </w:tcBorders>
            <w:hideMark/>
          </w:tcPr>
          <w:p w:rsidR="00601A83" w:rsidRPr="00905B81" w:rsidP="0025185B" w14:paraId="691EDA98" w14:textId="77777777">
            <w:pPr>
              <w:tabs>
                <w:tab w:val="left" w:pos="-720"/>
              </w:tabs>
              <w:suppressAutoHyphens/>
              <w:ind w:left="1016"/>
              <w:rPr>
                <w:rFonts w:asciiTheme="minorHAnsi" w:hAnsiTheme="minorHAnsi" w:cstheme="minorHAnsi"/>
                <w:szCs w:val="24"/>
              </w:rPr>
            </w:pPr>
            <w:r w:rsidRPr="00905B81">
              <w:rPr>
                <w:rFonts w:asciiTheme="minorHAnsi" w:hAnsiTheme="minorHAnsi" w:cstheme="minorHAnsi"/>
                <w:szCs w:val="24"/>
              </w:rPr>
              <w:t xml:space="preserve">         0.5</w:t>
            </w:r>
          </w:p>
        </w:tc>
      </w:tr>
      <w:tr w14:paraId="234E7BCE" w14:textId="77777777">
        <w:tblPrEx>
          <w:tblW w:w="0" w:type="auto"/>
          <w:jc w:val="center"/>
          <w:tblLayout w:type="fixed"/>
          <w:tblLook w:val="04A0"/>
        </w:tblPrEx>
        <w:trPr>
          <w:jc w:val="center"/>
        </w:trPr>
        <w:tc>
          <w:tcPr>
            <w:tcW w:w="4288" w:type="dxa"/>
            <w:hideMark/>
          </w:tcPr>
          <w:p w:rsidR="00601A83" w:rsidRPr="00905B81" w:rsidP="0025185B" w14:paraId="3B89C4A6" w14:textId="77777777">
            <w:pPr>
              <w:tabs>
                <w:tab w:val="left" w:pos="-720"/>
              </w:tabs>
              <w:suppressAutoHyphens/>
              <w:ind w:left="432"/>
              <w:rPr>
                <w:rFonts w:asciiTheme="minorHAnsi" w:hAnsiTheme="minorHAnsi" w:cstheme="minorHAnsi"/>
                <w:szCs w:val="24"/>
              </w:rPr>
            </w:pPr>
            <w:r w:rsidRPr="00905B81">
              <w:rPr>
                <w:rFonts w:asciiTheme="minorHAnsi" w:hAnsiTheme="minorHAnsi" w:cstheme="minorHAnsi"/>
                <w:szCs w:val="24"/>
              </w:rPr>
              <w:t>Annual hour burden:</w:t>
            </w:r>
          </w:p>
        </w:tc>
        <w:tc>
          <w:tcPr>
            <w:tcW w:w="504" w:type="dxa"/>
          </w:tcPr>
          <w:p w:rsidR="00601A83" w:rsidRPr="00905B81" w:rsidP="0025185B" w14:paraId="2F49F723" w14:textId="77777777">
            <w:pPr>
              <w:tabs>
                <w:tab w:val="left" w:pos="-720"/>
              </w:tabs>
              <w:suppressAutoHyphens/>
              <w:ind w:left="900"/>
              <w:rPr>
                <w:rFonts w:asciiTheme="minorHAnsi" w:hAnsiTheme="minorHAnsi" w:cstheme="minorHAnsi"/>
                <w:szCs w:val="24"/>
              </w:rPr>
            </w:pPr>
          </w:p>
        </w:tc>
        <w:tc>
          <w:tcPr>
            <w:tcW w:w="2048" w:type="dxa"/>
            <w:hideMark/>
          </w:tcPr>
          <w:p w:rsidR="00601A83" w:rsidRPr="00905B81" w:rsidP="0025185B" w14:paraId="439AC398" w14:textId="64FFF62F">
            <w:pPr>
              <w:tabs>
                <w:tab w:val="left" w:pos="-720"/>
              </w:tabs>
              <w:suppressAutoHyphens/>
              <w:ind w:left="900"/>
              <w:jc w:val="right"/>
              <w:rPr>
                <w:rFonts w:asciiTheme="minorHAnsi" w:hAnsiTheme="minorHAnsi" w:cstheme="minorHAnsi"/>
                <w:szCs w:val="24"/>
              </w:rPr>
            </w:pPr>
            <w:r w:rsidRPr="00905B81">
              <w:rPr>
                <w:rFonts w:asciiTheme="minorHAnsi" w:hAnsiTheme="minorHAnsi" w:cstheme="minorHAnsi"/>
                <w:szCs w:val="24"/>
              </w:rPr>
              <w:t>456,857</w:t>
            </w:r>
            <w:r w:rsidRPr="00905B81">
              <w:rPr>
                <w:rFonts w:asciiTheme="minorHAnsi" w:hAnsiTheme="minorHAnsi" w:cstheme="minorHAnsi"/>
                <w:szCs w:val="24"/>
              </w:rPr>
              <w:t xml:space="preserve"> hours</w:t>
            </w:r>
          </w:p>
        </w:tc>
      </w:tr>
    </w:tbl>
    <w:p w:rsidR="008E7E16" w:rsidRPr="00905B81" w:rsidP="0025185B" w14:paraId="2ED9E2D1" w14:textId="77777777">
      <w:pPr>
        <w:tabs>
          <w:tab w:val="left" w:pos="-720"/>
        </w:tabs>
        <w:suppressAutoHyphens/>
        <w:ind w:left="900"/>
        <w:rPr>
          <w:rFonts w:asciiTheme="minorHAnsi" w:hAnsiTheme="minorHAnsi" w:cstheme="minorHAnsi"/>
          <w:szCs w:val="24"/>
        </w:rPr>
      </w:pPr>
    </w:p>
    <w:p w:rsidR="00601A83" w:rsidRPr="00905B81" w:rsidP="0025185B" w14:paraId="21C5F609" w14:textId="77777777">
      <w:pPr>
        <w:tabs>
          <w:tab w:val="left" w:pos="-720"/>
        </w:tabs>
        <w:suppressAutoHyphens/>
        <w:ind w:left="900"/>
        <w:rPr>
          <w:rFonts w:asciiTheme="minorHAnsi" w:hAnsiTheme="minorHAnsi" w:cstheme="minorHAnsi"/>
          <w:szCs w:val="24"/>
        </w:rPr>
      </w:pPr>
      <w:r w:rsidRPr="00905B81">
        <w:rPr>
          <w:rFonts w:asciiTheme="minorHAnsi" w:hAnsiTheme="minorHAnsi" w:cstheme="minorHAnsi"/>
          <w:szCs w:val="24"/>
        </w:rPr>
        <w:t>There are no annual costs to respondents associated with operating or maintaining systems or purchasing services.</w:t>
      </w:r>
    </w:p>
    <w:p w:rsidR="00EF4C67" w:rsidRPr="00905B81" w:rsidP="0025185B" w14:paraId="568C0275" w14:textId="427C6C65">
      <w:pPr>
        <w:tabs>
          <w:tab w:val="left" w:pos="-720"/>
        </w:tabs>
        <w:suppressAutoHyphens/>
        <w:ind w:left="1080"/>
        <w:rPr>
          <w:rFonts w:asciiTheme="minorHAnsi" w:hAnsiTheme="minorHAnsi" w:cstheme="minorHAnsi"/>
          <w:szCs w:val="24"/>
        </w:rPr>
      </w:pPr>
    </w:p>
    <w:p w:rsidR="00ED7195" w:rsidRPr="00905B81" w:rsidP="0025185B" w14:paraId="64280E96" w14:textId="1CE6151E">
      <w:pPr>
        <w:pStyle w:val="Caption"/>
        <w:spacing w:after="0"/>
        <w:jc w:val="center"/>
        <w:rPr>
          <w:rFonts w:ascii="Times New Roman" w:hAnsi="Times New Roman"/>
          <w:color w:val="000000" w:themeColor="text1"/>
          <w:sz w:val="24"/>
          <w:szCs w:val="24"/>
        </w:rPr>
      </w:pPr>
      <w:r w:rsidRPr="00905B81">
        <w:rPr>
          <w:rFonts w:ascii="Times New Roman" w:hAnsi="Times New Roman"/>
          <w:color w:val="000000" w:themeColor="text1"/>
          <w:sz w:val="24"/>
          <w:szCs w:val="24"/>
        </w:rPr>
        <w:t xml:space="preserve">Estimated </w:t>
      </w:r>
      <w:r w:rsidRPr="00905B81" w:rsidR="00F31BEC">
        <w:rPr>
          <w:rFonts w:ascii="Times New Roman" w:hAnsi="Times New Roman"/>
          <w:color w:val="000000" w:themeColor="text1"/>
          <w:sz w:val="24"/>
          <w:szCs w:val="24"/>
        </w:rPr>
        <w:t xml:space="preserve">Annual </w:t>
      </w:r>
      <w:r w:rsidRPr="00905B81" w:rsidR="007F6104">
        <w:rPr>
          <w:rFonts w:ascii="Times New Roman" w:hAnsi="Times New Roman"/>
          <w:color w:val="000000" w:themeColor="text1"/>
          <w:sz w:val="24"/>
          <w:szCs w:val="24"/>
        </w:rPr>
        <w:t>Burden and Respondent Costs</w:t>
      </w:r>
      <w:r w:rsidRPr="00905B81"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440"/>
        <w:gridCol w:w="1460"/>
        <w:gridCol w:w="1235"/>
        <w:gridCol w:w="1170"/>
        <w:gridCol w:w="1080"/>
        <w:gridCol w:w="1350"/>
        <w:gridCol w:w="1530"/>
      </w:tblGrid>
      <w:tr w14:paraId="30194A75" w14:textId="77777777" w:rsidTr="002E3E2C">
        <w:tblPrEx>
          <w:tblW w:w="9265" w:type="dxa"/>
          <w:tblLayout w:type="fixed"/>
          <w:tblLook w:val="0020"/>
        </w:tblPrEx>
        <w:trPr>
          <w:tblHeader/>
        </w:trPr>
        <w:tc>
          <w:tcPr>
            <w:tcW w:w="1440" w:type="dxa"/>
          </w:tcPr>
          <w:p w:rsidR="009C37AF" w:rsidRPr="00905B81" w:rsidP="002D6DE2" w14:paraId="5459AFEC" w14:textId="77777777">
            <w:pPr>
              <w:jc w:val="center"/>
              <w:rPr>
                <w:rFonts w:ascii="Times New Roman" w:hAnsi="Times New Roman"/>
                <w:szCs w:val="24"/>
              </w:rPr>
            </w:pPr>
            <w:r w:rsidRPr="00905B81">
              <w:rPr>
                <w:rFonts w:ascii="Times New Roman" w:hAnsi="Times New Roman"/>
                <w:szCs w:val="24"/>
              </w:rPr>
              <w:t>Information Activity or IC (with type of respondent)</w:t>
            </w:r>
          </w:p>
        </w:tc>
        <w:tc>
          <w:tcPr>
            <w:tcW w:w="1460" w:type="dxa"/>
          </w:tcPr>
          <w:p w:rsidR="009C37AF" w:rsidRPr="00905B81" w:rsidP="002D6DE2" w14:paraId="68244276" w14:textId="77777777">
            <w:pPr>
              <w:jc w:val="center"/>
              <w:rPr>
                <w:rFonts w:ascii="Times New Roman" w:hAnsi="Times New Roman"/>
                <w:szCs w:val="24"/>
              </w:rPr>
            </w:pPr>
            <w:r w:rsidRPr="00905B81">
              <w:rPr>
                <w:rFonts w:ascii="Times New Roman" w:hAnsi="Times New Roman"/>
                <w:szCs w:val="24"/>
              </w:rPr>
              <w:t>Number of Respondents</w:t>
            </w:r>
          </w:p>
        </w:tc>
        <w:tc>
          <w:tcPr>
            <w:tcW w:w="1235" w:type="dxa"/>
          </w:tcPr>
          <w:p w:rsidR="009C37AF" w:rsidRPr="00905B81" w:rsidP="002D6DE2" w14:paraId="2C56A71F" w14:textId="77777777">
            <w:pPr>
              <w:jc w:val="center"/>
              <w:rPr>
                <w:rFonts w:ascii="Times New Roman" w:hAnsi="Times New Roman"/>
                <w:szCs w:val="24"/>
              </w:rPr>
            </w:pPr>
            <w:r w:rsidRPr="00905B81">
              <w:rPr>
                <w:rFonts w:ascii="Times New Roman" w:hAnsi="Times New Roman"/>
                <w:szCs w:val="24"/>
              </w:rPr>
              <w:t>Number of Responses</w:t>
            </w:r>
          </w:p>
        </w:tc>
        <w:tc>
          <w:tcPr>
            <w:tcW w:w="1170" w:type="dxa"/>
          </w:tcPr>
          <w:p w:rsidR="009C37AF" w:rsidRPr="00905B81" w:rsidP="002D6DE2" w14:paraId="69413425" w14:textId="77777777">
            <w:pPr>
              <w:jc w:val="center"/>
              <w:rPr>
                <w:rFonts w:ascii="Times New Roman" w:hAnsi="Times New Roman"/>
                <w:szCs w:val="24"/>
              </w:rPr>
            </w:pPr>
            <w:r w:rsidRPr="00905B81">
              <w:rPr>
                <w:rFonts w:ascii="Times New Roman" w:hAnsi="Times New Roman"/>
                <w:szCs w:val="24"/>
              </w:rPr>
              <w:t>Average Burden Hours per Response</w:t>
            </w:r>
          </w:p>
        </w:tc>
        <w:tc>
          <w:tcPr>
            <w:tcW w:w="1080" w:type="dxa"/>
          </w:tcPr>
          <w:p w:rsidR="009C37AF" w:rsidRPr="00905B81" w:rsidP="002D6DE2" w14:paraId="41E0E3BB" w14:textId="77777777">
            <w:pPr>
              <w:jc w:val="center"/>
              <w:rPr>
                <w:rFonts w:ascii="Times New Roman" w:hAnsi="Times New Roman"/>
                <w:szCs w:val="24"/>
              </w:rPr>
            </w:pPr>
            <w:r w:rsidRPr="00905B81">
              <w:rPr>
                <w:rFonts w:ascii="Times New Roman" w:hAnsi="Times New Roman"/>
                <w:szCs w:val="24"/>
              </w:rPr>
              <w:t>Total Annual Burden Hours</w:t>
            </w:r>
          </w:p>
        </w:tc>
        <w:tc>
          <w:tcPr>
            <w:tcW w:w="1350" w:type="dxa"/>
          </w:tcPr>
          <w:p w:rsidR="009C37AF" w:rsidRPr="00905B81" w:rsidP="002D6DE2" w14:paraId="2D036494" w14:textId="77777777">
            <w:pPr>
              <w:jc w:val="center"/>
              <w:rPr>
                <w:rFonts w:ascii="Times New Roman" w:hAnsi="Times New Roman"/>
                <w:szCs w:val="24"/>
              </w:rPr>
            </w:pPr>
            <w:r w:rsidRPr="00905B81">
              <w:rPr>
                <w:rFonts w:ascii="Times New Roman" w:hAnsi="Times New Roman"/>
                <w:szCs w:val="24"/>
              </w:rPr>
              <w:t>Estimated Respondent Average Hourly Wage</w:t>
            </w:r>
          </w:p>
        </w:tc>
        <w:tc>
          <w:tcPr>
            <w:tcW w:w="1530" w:type="dxa"/>
          </w:tcPr>
          <w:p w:rsidR="009C37AF" w:rsidRPr="00905B81" w:rsidP="002D6DE2" w14:paraId="31A8B44A" w14:textId="77777777">
            <w:pPr>
              <w:jc w:val="center"/>
              <w:rPr>
                <w:rFonts w:ascii="Times New Roman" w:hAnsi="Times New Roman"/>
                <w:szCs w:val="24"/>
              </w:rPr>
            </w:pPr>
            <w:r w:rsidRPr="00905B81">
              <w:rPr>
                <w:rFonts w:ascii="Times New Roman" w:hAnsi="Times New Roman"/>
                <w:szCs w:val="24"/>
              </w:rPr>
              <w:t>Total Annual Costs (hourly wage x total burden hours)</w:t>
            </w:r>
          </w:p>
        </w:tc>
      </w:tr>
      <w:tr w14:paraId="34D5C39E" w14:textId="77777777" w:rsidTr="002E3E2C">
        <w:tblPrEx>
          <w:tblW w:w="9265" w:type="dxa"/>
          <w:tblLayout w:type="fixed"/>
          <w:tblLook w:val="0020"/>
        </w:tblPrEx>
        <w:tc>
          <w:tcPr>
            <w:tcW w:w="1440" w:type="dxa"/>
          </w:tcPr>
          <w:p w:rsidR="009C37AF" w:rsidRPr="00905B81" w:rsidP="0025185B" w14:paraId="554A4098" w14:textId="26449005">
            <w:pPr>
              <w:rPr>
                <w:rFonts w:asciiTheme="minorHAnsi" w:hAnsiTheme="minorHAnsi" w:cstheme="minorHAnsi"/>
                <w:szCs w:val="24"/>
              </w:rPr>
            </w:pPr>
            <w:r w:rsidRPr="00905B81">
              <w:rPr>
                <w:rFonts w:asciiTheme="minorHAnsi" w:hAnsiTheme="minorHAnsi" w:cstheme="minorHAnsi"/>
                <w:szCs w:val="24"/>
              </w:rPr>
              <w:t>Individual</w:t>
            </w:r>
          </w:p>
        </w:tc>
        <w:tc>
          <w:tcPr>
            <w:tcW w:w="1460" w:type="dxa"/>
          </w:tcPr>
          <w:p w:rsidR="009C37AF" w:rsidRPr="00905B81" w:rsidP="002D6DE2" w14:paraId="55A5A72E" w14:textId="4025E773">
            <w:pPr>
              <w:jc w:val="right"/>
              <w:rPr>
                <w:rFonts w:ascii="Calibri" w:eastAsia="Calibri" w:hAnsi="Calibri" w:cs="Calibri"/>
                <w:szCs w:val="24"/>
              </w:rPr>
            </w:pPr>
            <w:r w:rsidRPr="00905B81">
              <w:rPr>
                <w:rFonts w:asciiTheme="minorHAnsi" w:hAnsiTheme="minorHAnsi" w:cstheme="minorBidi"/>
                <w:szCs w:val="24"/>
              </w:rPr>
              <w:t>913,713</w:t>
            </w:r>
          </w:p>
        </w:tc>
        <w:tc>
          <w:tcPr>
            <w:tcW w:w="1235" w:type="dxa"/>
          </w:tcPr>
          <w:p w:rsidR="009C37AF" w:rsidRPr="00905B81" w:rsidP="002D6DE2" w14:paraId="4F0B7217" w14:textId="092CF3CF">
            <w:pPr>
              <w:jc w:val="right"/>
              <w:rPr>
                <w:rFonts w:asciiTheme="minorHAnsi" w:hAnsiTheme="minorHAnsi" w:cstheme="minorBidi"/>
                <w:szCs w:val="24"/>
              </w:rPr>
            </w:pPr>
            <w:r w:rsidRPr="00905B81">
              <w:rPr>
                <w:rFonts w:asciiTheme="minorHAnsi" w:hAnsiTheme="minorHAnsi" w:cstheme="minorBidi"/>
                <w:szCs w:val="24"/>
              </w:rPr>
              <w:t>913,713</w:t>
            </w:r>
          </w:p>
        </w:tc>
        <w:tc>
          <w:tcPr>
            <w:tcW w:w="1170" w:type="dxa"/>
          </w:tcPr>
          <w:p w:rsidR="009C37AF" w:rsidRPr="00905B81" w:rsidP="002D6DE2" w14:paraId="0524C928" w14:textId="7350E46D">
            <w:pPr>
              <w:jc w:val="right"/>
              <w:rPr>
                <w:rFonts w:asciiTheme="minorHAnsi" w:hAnsiTheme="minorHAnsi" w:cstheme="minorHAnsi"/>
                <w:szCs w:val="24"/>
              </w:rPr>
            </w:pPr>
            <w:r w:rsidRPr="00905B81">
              <w:rPr>
                <w:rFonts w:asciiTheme="minorHAnsi" w:hAnsiTheme="minorHAnsi" w:cstheme="minorHAnsi"/>
                <w:szCs w:val="24"/>
              </w:rPr>
              <w:t>.5 hours</w:t>
            </w:r>
          </w:p>
        </w:tc>
        <w:tc>
          <w:tcPr>
            <w:tcW w:w="1080" w:type="dxa"/>
          </w:tcPr>
          <w:p w:rsidR="009C37AF" w:rsidRPr="00905B81" w:rsidP="002D6DE2" w14:paraId="6F45AD1D" w14:textId="775C5A62">
            <w:pPr>
              <w:jc w:val="right"/>
              <w:rPr>
                <w:rFonts w:asciiTheme="minorHAnsi" w:hAnsiTheme="minorHAnsi" w:cstheme="minorBidi"/>
                <w:szCs w:val="24"/>
              </w:rPr>
            </w:pPr>
            <w:r w:rsidRPr="00905B81">
              <w:rPr>
                <w:rFonts w:asciiTheme="minorHAnsi" w:hAnsiTheme="minorHAnsi" w:cstheme="minorBidi"/>
                <w:szCs w:val="24"/>
              </w:rPr>
              <w:t>456,857</w:t>
            </w:r>
          </w:p>
        </w:tc>
        <w:tc>
          <w:tcPr>
            <w:tcW w:w="1350" w:type="dxa"/>
          </w:tcPr>
          <w:p w:rsidR="009C37AF" w:rsidRPr="00905B81" w:rsidP="002D6DE2" w14:paraId="5F0F2A78" w14:textId="5C61D420">
            <w:pPr>
              <w:jc w:val="right"/>
              <w:rPr>
                <w:rFonts w:asciiTheme="minorHAnsi" w:hAnsiTheme="minorHAnsi" w:cstheme="minorHAnsi"/>
                <w:szCs w:val="24"/>
              </w:rPr>
            </w:pPr>
            <w:r w:rsidRPr="00905B81">
              <w:rPr>
                <w:rFonts w:asciiTheme="minorHAnsi" w:hAnsiTheme="minorHAnsi" w:cstheme="minorHAnsi"/>
                <w:szCs w:val="24"/>
              </w:rPr>
              <w:t>$22.00</w:t>
            </w:r>
          </w:p>
        </w:tc>
        <w:tc>
          <w:tcPr>
            <w:tcW w:w="1530" w:type="dxa"/>
          </w:tcPr>
          <w:p w:rsidR="009C37AF" w:rsidRPr="00905B81" w:rsidP="002D6DE2" w14:paraId="63DD1E06" w14:textId="47F42C71">
            <w:pPr>
              <w:jc w:val="right"/>
              <w:rPr>
                <w:rFonts w:asciiTheme="minorHAnsi" w:hAnsiTheme="minorHAnsi" w:cstheme="minorBidi"/>
                <w:szCs w:val="24"/>
              </w:rPr>
            </w:pPr>
            <w:r w:rsidRPr="00905B81">
              <w:rPr>
                <w:rFonts w:asciiTheme="minorHAnsi" w:hAnsiTheme="minorHAnsi" w:cstheme="minorBidi"/>
                <w:szCs w:val="24"/>
              </w:rPr>
              <w:t>$</w:t>
            </w:r>
            <w:r w:rsidRPr="00905B81" w:rsidR="382528BD">
              <w:rPr>
                <w:rFonts w:asciiTheme="minorHAnsi" w:hAnsiTheme="minorHAnsi" w:cstheme="minorBidi"/>
                <w:szCs w:val="24"/>
              </w:rPr>
              <w:t>10,050,854</w:t>
            </w:r>
          </w:p>
        </w:tc>
      </w:tr>
      <w:tr w14:paraId="0E729D89" w14:textId="77777777" w:rsidTr="002E3E2C">
        <w:tblPrEx>
          <w:tblW w:w="9265" w:type="dxa"/>
          <w:tblLayout w:type="fixed"/>
          <w:tblLook w:val="0020"/>
        </w:tblPrEx>
        <w:tc>
          <w:tcPr>
            <w:tcW w:w="1440" w:type="dxa"/>
          </w:tcPr>
          <w:p w:rsidR="009C37AF" w:rsidRPr="00905B81" w:rsidP="0025185B" w14:paraId="07BE4C69" w14:textId="026083BB">
            <w:pPr>
              <w:rPr>
                <w:rFonts w:asciiTheme="minorHAnsi" w:hAnsiTheme="minorHAnsi" w:cstheme="minorHAnsi"/>
                <w:szCs w:val="24"/>
              </w:rPr>
            </w:pPr>
            <w:r w:rsidRPr="00905B81">
              <w:rPr>
                <w:rFonts w:asciiTheme="minorHAnsi" w:hAnsiTheme="minorHAnsi" w:cstheme="minorHAnsi"/>
                <w:szCs w:val="24"/>
              </w:rPr>
              <w:t>For-Profit Institutions</w:t>
            </w:r>
          </w:p>
        </w:tc>
        <w:tc>
          <w:tcPr>
            <w:tcW w:w="1460" w:type="dxa"/>
          </w:tcPr>
          <w:p w:rsidR="009C37AF" w:rsidRPr="00905B81" w:rsidP="002D6DE2" w14:paraId="2DD92A89" w14:textId="77777777">
            <w:pPr>
              <w:jc w:val="right"/>
              <w:rPr>
                <w:rFonts w:asciiTheme="minorHAnsi" w:hAnsiTheme="minorHAnsi" w:cstheme="minorHAnsi"/>
                <w:szCs w:val="24"/>
              </w:rPr>
            </w:pPr>
          </w:p>
        </w:tc>
        <w:tc>
          <w:tcPr>
            <w:tcW w:w="1235" w:type="dxa"/>
          </w:tcPr>
          <w:p w:rsidR="009C37AF" w:rsidRPr="00905B81" w:rsidP="002D6DE2" w14:paraId="7F418FD3" w14:textId="77777777">
            <w:pPr>
              <w:jc w:val="right"/>
              <w:rPr>
                <w:rFonts w:asciiTheme="minorHAnsi" w:hAnsiTheme="minorHAnsi" w:cstheme="minorHAnsi"/>
                <w:szCs w:val="24"/>
              </w:rPr>
            </w:pPr>
          </w:p>
        </w:tc>
        <w:tc>
          <w:tcPr>
            <w:tcW w:w="1170" w:type="dxa"/>
          </w:tcPr>
          <w:p w:rsidR="009C37AF" w:rsidRPr="00905B81" w:rsidP="002D6DE2" w14:paraId="11378B7D" w14:textId="77777777">
            <w:pPr>
              <w:jc w:val="right"/>
              <w:rPr>
                <w:rFonts w:asciiTheme="minorHAnsi" w:hAnsiTheme="minorHAnsi" w:cstheme="minorHAnsi"/>
                <w:szCs w:val="24"/>
              </w:rPr>
            </w:pPr>
          </w:p>
        </w:tc>
        <w:tc>
          <w:tcPr>
            <w:tcW w:w="1080" w:type="dxa"/>
          </w:tcPr>
          <w:p w:rsidR="009C37AF" w:rsidRPr="00905B81" w:rsidP="002D6DE2" w14:paraId="1AEEFB60" w14:textId="77777777">
            <w:pPr>
              <w:pStyle w:val="EndnoteText"/>
              <w:tabs>
                <w:tab w:val="clear" w:pos="-720"/>
              </w:tabs>
              <w:suppressAutoHyphens w:val="0"/>
              <w:jc w:val="right"/>
              <w:rPr>
                <w:rFonts w:asciiTheme="minorHAnsi" w:hAnsiTheme="minorHAnsi" w:cstheme="minorHAnsi"/>
                <w:szCs w:val="24"/>
              </w:rPr>
            </w:pPr>
          </w:p>
        </w:tc>
        <w:tc>
          <w:tcPr>
            <w:tcW w:w="1350" w:type="dxa"/>
          </w:tcPr>
          <w:p w:rsidR="009C37AF" w:rsidRPr="00905B81" w:rsidP="002D6DE2" w14:paraId="5D2E57DB" w14:textId="77777777">
            <w:pPr>
              <w:jc w:val="right"/>
              <w:rPr>
                <w:rFonts w:asciiTheme="minorHAnsi" w:hAnsiTheme="minorHAnsi" w:cstheme="minorHAnsi"/>
                <w:szCs w:val="24"/>
              </w:rPr>
            </w:pPr>
          </w:p>
        </w:tc>
        <w:tc>
          <w:tcPr>
            <w:tcW w:w="1530" w:type="dxa"/>
          </w:tcPr>
          <w:p w:rsidR="009C37AF" w:rsidRPr="00905B81" w:rsidP="002D6DE2" w14:paraId="55ED5F6C" w14:textId="77777777">
            <w:pPr>
              <w:jc w:val="right"/>
              <w:rPr>
                <w:rFonts w:asciiTheme="minorHAnsi" w:hAnsiTheme="minorHAnsi" w:cstheme="minorHAnsi"/>
                <w:szCs w:val="24"/>
              </w:rPr>
            </w:pPr>
          </w:p>
        </w:tc>
      </w:tr>
      <w:tr w14:paraId="3613CD1F" w14:textId="77777777" w:rsidTr="002E3E2C">
        <w:tblPrEx>
          <w:tblW w:w="9265" w:type="dxa"/>
          <w:tblLayout w:type="fixed"/>
          <w:tblLook w:val="0020"/>
        </w:tblPrEx>
        <w:tc>
          <w:tcPr>
            <w:tcW w:w="1440" w:type="dxa"/>
          </w:tcPr>
          <w:p w:rsidR="009C37AF" w:rsidRPr="00905B81" w:rsidP="0025185B" w14:paraId="5E124871" w14:textId="5501D8E4">
            <w:pPr>
              <w:rPr>
                <w:rFonts w:asciiTheme="minorHAnsi" w:hAnsiTheme="minorHAnsi" w:cstheme="minorHAnsi"/>
                <w:szCs w:val="24"/>
              </w:rPr>
            </w:pPr>
            <w:r w:rsidRPr="00905B81">
              <w:rPr>
                <w:rFonts w:asciiTheme="minorHAnsi" w:hAnsiTheme="minorHAnsi" w:cstheme="minorHAnsi"/>
                <w:szCs w:val="24"/>
              </w:rPr>
              <w:t>Private Institutions</w:t>
            </w:r>
          </w:p>
        </w:tc>
        <w:tc>
          <w:tcPr>
            <w:tcW w:w="1460" w:type="dxa"/>
          </w:tcPr>
          <w:p w:rsidR="009C37AF" w:rsidRPr="00905B81" w:rsidP="002D6DE2" w14:paraId="5E785442" w14:textId="77777777">
            <w:pPr>
              <w:jc w:val="right"/>
              <w:rPr>
                <w:rFonts w:asciiTheme="minorHAnsi" w:hAnsiTheme="minorHAnsi" w:cstheme="minorHAnsi"/>
                <w:szCs w:val="24"/>
              </w:rPr>
            </w:pPr>
          </w:p>
        </w:tc>
        <w:tc>
          <w:tcPr>
            <w:tcW w:w="1235" w:type="dxa"/>
          </w:tcPr>
          <w:p w:rsidR="009C37AF" w:rsidRPr="00905B81" w:rsidP="002D6DE2" w14:paraId="49455BBE" w14:textId="77777777">
            <w:pPr>
              <w:jc w:val="right"/>
              <w:rPr>
                <w:rFonts w:asciiTheme="minorHAnsi" w:hAnsiTheme="minorHAnsi" w:cstheme="minorHAnsi"/>
                <w:szCs w:val="24"/>
              </w:rPr>
            </w:pPr>
          </w:p>
        </w:tc>
        <w:tc>
          <w:tcPr>
            <w:tcW w:w="1170" w:type="dxa"/>
          </w:tcPr>
          <w:p w:rsidR="009C37AF" w:rsidRPr="00905B81" w:rsidP="002D6DE2" w14:paraId="04DD53DB" w14:textId="77777777">
            <w:pPr>
              <w:jc w:val="right"/>
              <w:rPr>
                <w:rFonts w:asciiTheme="minorHAnsi" w:hAnsiTheme="minorHAnsi" w:cstheme="minorHAnsi"/>
                <w:szCs w:val="24"/>
              </w:rPr>
            </w:pPr>
          </w:p>
        </w:tc>
        <w:tc>
          <w:tcPr>
            <w:tcW w:w="1080" w:type="dxa"/>
          </w:tcPr>
          <w:p w:rsidR="009C37AF" w:rsidRPr="00905B81" w:rsidP="002D6DE2" w14:paraId="39E6A524" w14:textId="77777777">
            <w:pPr>
              <w:pStyle w:val="EndnoteText"/>
              <w:tabs>
                <w:tab w:val="clear" w:pos="-720"/>
              </w:tabs>
              <w:suppressAutoHyphens w:val="0"/>
              <w:jc w:val="right"/>
              <w:rPr>
                <w:rFonts w:asciiTheme="minorHAnsi" w:hAnsiTheme="minorHAnsi" w:cstheme="minorHAnsi"/>
                <w:szCs w:val="24"/>
              </w:rPr>
            </w:pPr>
          </w:p>
        </w:tc>
        <w:tc>
          <w:tcPr>
            <w:tcW w:w="1350" w:type="dxa"/>
          </w:tcPr>
          <w:p w:rsidR="009C37AF" w:rsidRPr="00905B81" w:rsidP="002D6DE2" w14:paraId="605A32D6" w14:textId="77777777">
            <w:pPr>
              <w:jc w:val="right"/>
              <w:rPr>
                <w:rFonts w:asciiTheme="minorHAnsi" w:hAnsiTheme="minorHAnsi" w:cstheme="minorHAnsi"/>
                <w:szCs w:val="24"/>
              </w:rPr>
            </w:pPr>
          </w:p>
        </w:tc>
        <w:tc>
          <w:tcPr>
            <w:tcW w:w="1530" w:type="dxa"/>
          </w:tcPr>
          <w:p w:rsidR="009C37AF" w:rsidRPr="00905B81" w:rsidP="002D6DE2" w14:paraId="7F5D36FF" w14:textId="77777777">
            <w:pPr>
              <w:jc w:val="right"/>
              <w:rPr>
                <w:rFonts w:asciiTheme="minorHAnsi" w:hAnsiTheme="minorHAnsi" w:cstheme="minorHAnsi"/>
                <w:szCs w:val="24"/>
              </w:rPr>
            </w:pPr>
          </w:p>
        </w:tc>
      </w:tr>
      <w:tr w14:paraId="17134648" w14:textId="77777777" w:rsidTr="002E3E2C">
        <w:tblPrEx>
          <w:tblW w:w="9265" w:type="dxa"/>
          <w:tblLayout w:type="fixed"/>
          <w:tblLook w:val="0020"/>
        </w:tblPrEx>
        <w:tc>
          <w:tcPr>
            <w:tcW w:w="1440" w:type="dxa"/>
          </w:tcPr>
          <w:p w:rsidR="009C37AF" w:rsidRPr="00905B81" w:rsidP="0025185B" w14:paraId="30B0FB19" w14:textId="2DC30B36">
            <w:pPr>
              <w:rPr>
                <w:rFonts w:asciiTheme="minorHAnsi" w:hAnsiTheme="minorHAnsi" w:cstheme="minorHAnsi"/>
                <w:szCs w:val="24"/>
              </w:rPr>
            </w:pPr>
            <w:r w:rsidRPr="00905B81">
              <w:rPr>
                <w:rFonts w:asciiTheme="minorHAnsi" w:hAnsiTheme="minorHAnsi" w:cstheme="minorHAnsi"/>
                <w:szCs w:val="24"/>
              </w:rPr>
              <w:t>Public Institutions</w:t>
            </w:r>
          </w:p>
        </w:tc>
        <w:tc>
          <w:tcPr>
            <w:tcW w:w="1460" w:type="dxa"/>
          </w:tcPr>
          <w:p w:rsidR="009C37AF" w:rsidRPr="00905B81" w:rsidP="002D6DE2" w14:paraId="44D0EC38" w14:textId="77777777">
            <w:pPr>
              <w:jc w:val="right"/>
              <w:rPr>
                <w:rFonts w:asciiTheme="minorHAnsi" w:hAnsiTheme="minorHAnsi" w:cstheme="minorHAnsi"/>
                <w:szCs w:val="24"/>
              </w:rPr>
            </w:pPr>
          </w:p>
        </w:tc>
        <w:tc>
          <w:tcPr>
            <w:tcW w:w="1235" w:type="dxa"/>
          </w:tcPr>
          <w:p w:rsidR="009C37AF" w:rsidRPr="00905B81" w:rsidP="002D6DE2" w14:paraId="1E02F8B0" w14:textId="77777777">
            <w:pPr>
              <w:jc w:val="right"/>
              <w:rPr>
                <w:rFonts w:asciiTheme="minorHAnsi" w:hAnsiTheme="minorHAnsi" w:cstheme="minorHAnsi"/>
                <w:szCs w:val="24"/>
              </w:rPr>
            </w:pPr>
          </w:p>
        </w:tc>
        <w:tc>
          <w:tcPr>
            <w:tcW w:w="1170" w:type="dxa"/>
          </w:tcPr>
          <w:p w:rsidR="009C37AF" w:rsidRPr="00905B81" w:rsidP="002D6DE2" w14:paraId="730B3154" w14:textId="77777777">
            <w:pPr>
              <w:jc w:val="right"/>
              <w:rPr>
                <w:rFonts w:asciiTheme="minorHAnsi" w:hAnsiTheme="minorHAnsi" w:cstheme="minorHAnsi"/>
                <w:szCs w:val="24"/>
              </w:rPr>
            </w:pPr>
          </w:p>
        </w:tc>
        <w:tc>
          <w:tcPr>
            <w:tcW w:w="1080" w:type="dxa"/>
          </w:tcPr>
          <w:p w:rsidR="009C37AF" w:rsidRPr="00905B81" w:rsidP="002D6DE2" w14:paraId="0F7068F7" w14:textId="77777777">
            <w:pPr>
              <w:jc w:val="right"/>
              <w:rPr>
                <w:rFonts w:asciiTheme="minorHAnsi" w:hAnsiTheme="minorHAnsi" w:cstheme="minorHAnsi"/>
                <w:szCs w:val="24"/>
              </w:rPr>
            </w:pPr>
          </w:p>
        </w:tc>
        <w:tc>
          <w:tcPr>
            <w:tcW w:w="1350" w:type="dxa"/>
          </w:tcPr>
          <w:p w:rsidR="009C37AF" w:rsidRPr="00905B81" w:rsidP="002D6DE2" w14:paraId="66779289" w14:textId="77777777">
            <w:pPr>
              <w:jc w:val="right"/>
              <w:rPr>
                <w:rFonts w:asciiTheme="minorHAnsi" w:hAnsiTheme="minorHAnsi" w:cstheme="minorHAnsi"/>
                <w:szCs w:val="24"/>
              </w:rPr>
            </w:pPr>
          </w:p>
        </w:tc>
        <w:tc>
          <w:tcPr>
            <w:tcW w:w="1530" w:type="dxa"/>
          </w:tcPr>
          <w:p w:rsidR="009C37AF" w:rsidRPr="00905B81" w:rsidP="002D6DE2" w14:paraId="143D8490" w14:textId="77777777">
            <w:pPr>
              <w:jc w:val="right"/>
              <w:rPr>
                <w:rFonts w:asciiTheme="minorHAnsi" w:hAnsiTheme="minorHAnsi" w:cstheme="minorHAnsi"/>
                <w:szCs w:val="24"/>
              </w:rPr>
            </w:pPr>
          </w:p>
        </w:tc>
      </w:tr>
      <w:tr w14:paraId="3DEE77D3" w14:textId="77777777" w:rsidTr="002E3E2C">
        <w:tblPrEx>
          <w:tblW w:w="9265" w:type="dxa"/>
          <w:tblLayout w:type="fixed"/>
          <w:tblLook w:val="0020"/>
        </w:tblPrEx>
        <w:tc>
          <w:tcPr>
            <w:tcW w:w="1440" w:type="dxa"/>
          </w:tcPr>
          <w:p w:rsidR="00566841" w:rsidRPr="00905B81" w:rsidP="00566841" w14:paraId="597BF3F3" w14:textId="77777777">
            <w:pPr>
              <w:rPr>
                <w:rFonts w:ascii="Times New Roman" w:hAnsi="Times New Roman"/>
                <w:szCs w:val="24"/>
              </w:rPr>
            </w:pPr>
            <w:r w:rsidRPr="00905B81">
              <w:rPr>
                <w:rFonts w:ascii="Times New Roman" w:hAnsi="Times New Roman"/>
                <w:szCs w:val="24"/>
              </w:rPr>
              <w:t>Annualized Totals</w:t>
            </w:r>
          </w:p>
        </w:tc>
        <w:tc>
          <w:tcPr>
            <w:tcW w:w="1460" w:type="dxa"/>
          </w:tcPr>
          <w:p w:rsidR="00566841" w:rsidRPr="00905B81" w:rsidP="002D6DE2" w14:paraId="224C2C47" w14:textId="2EE42D90">
            <w:pPr>
              <w:jc w:val="right"/>
              <w:rPr>
                <w:rFonts w:asciiTheme="minorHAnsi" w:hAnsiTheme="minorHAnsi" w:cstheme="minorBidi"/>
                <w:szCs w:val="24"/>
              </w:rPr>
            </w:pPr>
            <w:r w:rsidRPr="00905B81">
              <w:rPr>
                <w:rFonts w:asciiTheme="minorHAnsi" w:hAnsiTheme="minorHAnsi" w:cstheme="minorBidi"/>
                <w:szCs w:val="24"/>
              </w:rPr>
              <w:t>913,713</w:t>
            </w:r>
          </w:p>
        </w:tc>
        <w:tc>
          <w:tcPr>
            <w:tcW w:w="1235" w:type="dxa"/>
          </w:tcPr>
          <w:p w:rsidR="00566841" w:rsidRPr="00905B81" w:rsidP="002D6DE2" w14:paraId="5F4B54EA" w14:textId="7D3B9BD1">
            <w:pPr>
              <w:jc w:val="right"/>
              <w:rPr>
                <w:rFonts w:asciiTheme="minorHAnsi" w:hAnsiTheme="minorHAnsi" w:cstheme="minorBidi"/>
                <w:szCs w:val="24"/>
              </w:rPr>
            </w:pPr>
            <w:r w:rsidRPr="00905B81">
              <w:rPr>
                <w:rFonts w:asciiTheme="minorHAnsi" w:hAnsiTheme="minorHAnsi" w:cstheme="minorBidi"/>
                <w:szCs w:val="24"/>
              </w:rPr>
              <w:t>913,713</w:t>
            </w:r>
          </w:p>
        </w:tc>
        <w:tc>
          <w:tcPr>
            <w:tcW w:w="1170" w:type="dxa"/>
          </w:tcPr>
          <w:p w:rsidR="00566841" w:rsidRPr="00905B81" w:rsidP="002D6DE2" w14:paraId="68058CE4" w14:textId="42F73C2A">
            <w:pPr>
              <w:jc w:val="right"/>
              <w:rPr>
                <w:rFonts w:asciiTheme="minorHAnsi" w:hAnsiTheme="minorHAnsi" w:cstheme="minorHAnsi"/>
                <w:szCs w:val="24"/>
              </w:rPr>
            </w:pPr>
            <w:r w:rsidRPr="00905B81">
              <w:rPr>
                <w:rFonts w:asciiTheme="minorHAnsi" w:hAnsiTheme="minorHAnsi" w:cstheme="minorHAnsi"/>
                <w:szCs w:val="24"/>
              </w:rPr>
              <w:t>.5 hours</w:t>
            </w:r>
          </w:p>
        </w:tc>
        <w:tc>
          <w:tcPr>
            <w:tcW w:w="1080" w:type="dxa"/>
          </w:tcPr>
          <w:p w:rsidR="00566841" w:rsidRPr="00905B81" w:rsidP="002D6DE2" w14:paraId="37FAF8A5" w14:textId="3F1E4C17">
            <w:pPr>
              <w:jc w:val="right"/>
              <w:rPr>
                <w:rFonts w:asciiTheme="minorHAnsi" w:hAnsiTheme="minorHAnsi" w:cstheme="minorBidi"/>
                <w:szCs w:val="24"/>
              </w:rPr>
            </w:pPr>
            <w:r w:rsidRPr="00905B81">
              <w:rPr>
                <w:rFonts w:asciiTheme="minorHAnsi" w:hAnsiTheme="minorHAnsi" w:cstheme="minorBidi"/>
                <w:szCs w:val="24"/>
              </w:rPr>
              <w:t>456,857</w:t>
            </w:r>
          </w:p>
        </w:tc>
        <w:tc>
          <w:tcPr>
            <w:tcW w:w="1350" w:type="dxa"/>
          </w:tcPr>
          <w:p w:rsidR="00566841" w:rsidRPr="00905B81" w:rsidP="002D6DE2" w14:paraId="3221A869" w14:textId="3A7E5FE7">
            <w:pPr>
              <w:jc w:val="right"/>
              <w:rPr>
                <w:rFonts w:asciiTheme="minorHAnsi" w:hAnsiTheme="minorHAnsi" w:cstheme="minorHAnsi"/>
                <w:szCs w:val="24"/>
              </w:rPr>
            </w:pPr>
            <w:r w:rsidRPr="00905B81">
              <w:rPr>
                <w:rFonts w:asciiTheme="minorHAnsi" w:hAnsiTheme="minorHAnsi" w:cstheme="minorHAnsi"/>
                <w:szCs w:val="24"/>
              </w:rPr>
              <w:t>$22.00</w:t>
            </w:r>
          </w:p>
        </w:tc>
        <w:tc>
          <w:tcPr>
            <w:tcW w:w="1530" w:type="dxa"/>
          </w:tcPr>
          <w:p w:rsidR="00566841" w:rsidRPr="00905B81" w:rsidP="002D6DE2" w14:paraId="50468F26" w14:textId="6909A180">
            <w:pPr>
              <w:jc w:val="right"/>
              <w:rPr>
                <w:rFonts w:asciiTheme="minorHAnsi" w:hAnsiTheme="minorHAnsi" w:cstheme="minorBidi"/>
                <w:szCs w:val="24"/>
              </w:rPr>
            </w:pPr>
            <w:r w:rsidRPr="00905B81">
              <w:rPr>
                <w:rFonts w:asciiTheme="minorHAnsi" w:hAnsiTheme="minorHAnsi" w:cstheme="minorBidi"/>
                <w:szCs w:val="24"/>
              </w:rPr>
              <w:t>$</w:t>
            </w:r>
            <w:r w:rsidRPr="00905B81" w:rsidR="09C6101B">
              <w:rPr>
                <w:rFonts w:asciiTheme="minorHAnsi" w:hAnsiTheme="minorHAnsi" w:cstheme="minorBidi"/>
                <w:szCs w:val="24"/>
              </w:rPr>
              <w:t>10,050,854</w:t>
            </w:r>
          </w:p>
        </w:tc>
      </w:tr>
    </w:tbl>
    <w:p w:rsidR="009C37AF" w:rsidRPr="00905B81" w:rsidP="0025185B" w14:paraId="41C4D4A6" w14:textId="77777777">
      <w:pPr>
        <w:rPr>
          <w:szCs w:val="24"/>
        </w:rPr>
      </w:pPr>
    </w:p>
    <w:p w:rsidR="00F31BEC" w:rsidRPr="00905B81" w:rsidP="002E3E2C" w14:paraId="64280EE2" w14:textId="77777777">
      <w:pPr>
        <w:pStyle w:val="ListParagraph"/>
        <w:tabs>
          <w:tab w:val="left" w:pos="-720"/>
        </w:tabs>
        <w:suppressAutoHyphens/>
        <w:ind w:left="0"/>
        <w:rPr>
          <w:rStyle w:val="a"/>
          <w:rFonts w:ascii="Times New Roman" w:hAnsi="Times New Roman"/>
          <w:b/>
          <w:bCs/>
          <w:i/>
          <w:iCs/>
          <w:szCs w:val="24"/>
        </w:rPr>
      </w:pPr>
      <w:r w:rsidRPr="00905B81">
        <w:rPr>
          <w:rStyle w:val="a"/>
          <w:rFonts w:ascii="Times New Roman" w:hAnsi="Times New Roman"/>
          <w:b/>
          <w:bCs/>
          <w:i/>
          <w:iCs/>
          <w:szCs w:val="24"/>
        </w:rPr>
        <w:t xml:space="preserve">Please ensure the annual total burden, </w:t>
      </w:r>
      <w:r w:rsidRPr="00905B81">
        <w:rPr>
          <w:rStyle w:val="a"/>
          <w:rFonts w:ascii="Times New Roman" w:hAnsi="Times New Roman"/>
          <w:b/>
          <w:bCs/>
          <w:i/>
          <w:iCs/>
          <w:szCs w:val="24"/>
        </w:rPr>
        <w:t>respondents</w:t>
      </w:r>
      <w:r w:rsidRPr="00905B81">
        <w:rPr>
          <w:rStyle w:val="a"/>
          <w:rFonts w:ascii="Times New Roman" w:hAnsi="Times New Roman"/>
          <w:b/>
          <w:bCs/>
          <w:i/>
          <w:iCs/>
          <w:szCs w:val="24"/>
        </w:rPr>
        <w:t xml:space="preserve"> and response match those entered in IC Data Parts 1 and 2</w:t>
      </w:r>
      <w:r w:rsidRPr="00905B81" w:rsidR="00916EE4">
        <w:rPr>
          <w:rStyle w:val="a"/>
          <w:rFonts w:ascii="Times New Roman" w:hAnsi="Times New Roman"/>
          <w:b/>
          <w:bCs/>
          <w:i/>
          <w:iCs/>
          <w:szCs w:val="24"/>
        </w:rPr>
        <w:t>, and</w:t>
      </w:r>
      <w:r w:rsidRPr="00905B81">
        <w:rPr>
          <w:rStyle w:val="a"/>
          <w:rFonts w:ascii="Times New Roman" w:hAnsi="Times New Roman"/>
          <w:b/>
          <w:bCs/>
          <w:i/>
          <w:iCs/>
          <w:szCs w:val="24"/>
        </w:rPr>
        <w:t xml:space="preserve"> the response per respondent matches the Paperwork Burden Statement that must be included on all forms.</w:t>
      </w:r>
    </w:p>
    <w:p w:rsidR="00920F63" w:rsidRPr="00905B81" w:rsidP="0025185B" w14:paraId="64280EE3" w14:textId="77777777">
      <w:pPr>
        <w:pStyle w:val="ListParagraph"/>
        <w:tabs>
          <w:tab w:val="left" w:pos="-720"/>
        </w:tabs>
        <w:suppressAutoHyphens/>
        <w:rPr>
          <w:rStyle w:val="a"/>
          <w:rFonts w:ascii="Times New Roman" w:hAnsi="Times New Roman"/>
          <w:szCs w:val="24"/>
        </w:rPr>
      </w:pPr>
    </w:p>
    <w:p w:rsidR="00043C32" w:rsidRPr="00905B81" w:rsidP="0025185B" w14:paraId="64280EE4" w14:textId="77777777">
      <w:pPr>
        <w:pStyle w:val="ListParagraph"/>
        <w:numPr>
          <w:ilvl w:val="0"/>
          <w:numId w:val="5"/>
        </w:numPr>
        <w:tabs>
          <w:tab w:val="left" w:pos="-720"/>
        </w:tabs>
        <w:suppressAutoHyphens/>
        <w:ind w:hanging="540"/>
        <w:rPr>
          <w:rFonts w:ascii="Times New Roman" w:hAnsi="Times New Roman"/>
          <w:b/>
          <w:szCs w:val="24"/>
        </w:rPr>
      </w:pPr>
      <w:r w:rsidRPr="00905B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905B81" w:rsidP="0025185B" w14:paraId="64280EE5" w14:textId="77777777">
      <w:pPr>
        <w:tabs>
          <w:tab w:val="left" w:pos="-720"/>
        </w:tabs>
        <w:suppressAutoHyphens/>
        <w:rPr>
          <w:rFonts w:ascii="Times New Roman" w:hAnsi="Times New Roman"/>
          <w:b/>
          <w:szCs w:val="24"/>
        </w:rPr>
      </w:pPr>
    </w:p>
    <w:p w:rsidR="00043C32" w:rsidRPr="00905B81" w:rsidP="0025185B"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905B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905B81">
        <w:rPr>
          <w:rFonts w:ascii="Times New Roman" w:hAnsi="Times New Roman"/>
          <w:b/>
          <w:szCs w:val="24"/>
        </w:rPr>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905B81" w:rsidP="0025185B"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905B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905B81" w:rsidP="0025185B"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905B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905B81" w:rsidR="009243F3">
        <w:rPr>
          <w:rFonts w:ascii="Times New Roman" w:hAnsi="Times New Roman"/>
          <w:b/>
          <w:szCs w:val="24"/>
        </w:rPr>
        <w:t>.</w:t>
      </w:r>
    </w:p>
    <w:p w:rsidR="00043C32" w:rsidRPr="00905B81" w:rsidP="0025185B" w14:paraId="64280EEB" w14:textId="77777777">
      <w:pPr>
        <w:tabs>
          <w:tab w:val="left" w:pos="-720"/>
        </w:tabs>
        <w:suppressAutoHyphens/>
        <w:rPr>
          <w:rFonts w:ascii="Times New Roman" w:hAnsi="Times New Roman"/>
          <w:b/>
          <w:szCs w:val="24"/>
        </w:rPr>
      </w:pPr>
    </w:p>
    <w:p w:rsidR="00043C32" w:rsidRPr="00905B81" w:rsidP="0025185B" w14:paraId="64280EEC" w14:textId="77777777">
      <w:pPr>
        <w:tabs>
          <w:tab w:val="left" w:pos="-720"/>
        </w:tabs>
        <w:suppressAutoHyphens/>
        <w:rPr>
          <w:rFonts w:ascii="Times New Roman" w:hAnsi="Times New Roman"/>
          <w:b/>
          <w:szCs w:val="24"/>
        </w:rPr>
      </w:pPr>
      <w:r w:rsidRPr="00905B81">
        <w:rPr>
          <w:rFonts w:ascii="Times New Roman" w:hAnsi="Times New Roman"/>
          <w:b/>
          <w:szCs w:val="24"/>
        </w:rPr>
        <w:tab/>
        <w:t>Total Annualized Capital/Startup Cost</w:t>
      </w:r>
      <w:r w:rsidRPr="00905B81">
        <w:rPr>
          <w:rFonts w:ascii="Times New Roman" w:hAnsi="Times New Roman"/>
          <w:b/>
          <w:szCs w:val="24"/>
        </w:rPr>
        <w:tab/>
        <w:t>:</w:t>
      </w:r>
    </w:p>
    <w:p w:rsidR="00043C32" w:rsidRPr="00905B81" w:rsidP="0025185B" w14:paraId="64280EED" w14:textId="77777777">
      <w:pPr>
        <w:tabs>
          <w:tab w:val="left" w:pos="-720"/>
        </w:tabs>
        <w:suppressAutoHyphens/>
        <w:rPr>
          <w:rFonts w:ascii="Times New Roman" w:hAnsi="Times New Roman"/>
          <w:b/>
          <w:szCs w:val="24"/>
        </w:rPr>
      </w:pPr>
      <w:r w:rsidRPr="00905B81">
        <w:rPr>
          <w:rFonts w:ascii="Times New Roman" w:hAnsi="Times New Roman"/>
          <w:b/>
          <w:szCs w:val="24"/>
        </w:rPr>
        <w:tab/>
        <w:t>Total Annual Costs (O&amp;M)</w:t>
      </w:r>
      <w:r w:rsidRPr="00905B81">
        <w:rPr>
          <w:rFonts w:ascii="Times New Roman" w:hAnsi="Times New Roman"/>
          <w:b/>
          <w:szCs w:val="24"/>
        </w:rPr>
        <w:tab/>
      </w:r>
      <w:r w:rsidRPr="00905B81">
        <w:rPr>
          <w:rFonts w:ascii="Times New Roman" w:hAnsi="Times New Roman"/>
          <w:b/>
          <w:szCs w:val="24"/>
        </w:rPr>
        <w:tab/>
      </w:r>
      <w:r w:rsidRPr="00905B81" w:rsidR="009243F3">
        <w:rPr>
          <w:rFonts w:ascii="Times New Roman" w:hAnsi="Times New Roman"/>
          <w:b/>
          <w:szCs w:val="24"/>
        </w:rPr>
        <w:tab/>
      </w:r>
      <w:r w:rsidRPr="00905B81">
        <w:rPr>
          <w:rFonts w:ascii="Times New Roman" w:hAnsi="Times New Roman"/>
          <w:b/>
          <w:szCs w:val="24"/>
        </w:rPr>
        <w:t>:____________________</w:t>
      </w:r>
    </w:p>
    <w:p w:rsidR="00043C32" w:rsidRPr="00905B81" w:rsidP="0025185B" w14:paraId="64280EEE" w14:textId="53D0F4C6">
      <w:pPr>
        <w:tabs>
          <w:tab w:val="left" w:pos="-720"/>
        </w:tabs>
        <w:suppressAutoHyphens/>
        <w:rPr>
          <w:rFonts w:ascii="Times New Roman" w:hAnsi="Times New Roman"/>
          <w:b/>
          <w:szCs w:val="24"/>
        </w:rPr>
      </w:pPr>
      <w:r w:rsidRPr="00905B81">
        <w:rPr>
          <w:rFonts w:ascii="Times New Roman" w:hAnsi="Times New Roman"/>
          <w:b/>
          <w:szCs w:val="24"/>
        </w:rPr>
        <w:tab/>
        <w:t>Total Annualized Costs Requested</w:t>
      </w:r>
      <w:r w:rsidRPr="00905B81">
        <w:rPr>
          <w:rFonts w:ascii="Times New Roman" w:hAnsi="Times New Roman"/>
          <w:b/>
          <w:szCs w:val="24"/>
        </w:rPr>
        <w:tab/>
      </w:r>
      <w:r w:rsidRPr="00905B81" w:rsidR="009243F3">
        <w:rPr>
          <w:rFonts w:ascii="Times New Roman" w:hAnsi="Times New Roman"/>
          <w:b/>
          <w:szCs w:val="24"/>
        </w:rPr>
        <w:tab/>
      </w:r>
      <w:r w:rsidRPr="00905B81">
        <w:rPr>
          <w:rFonts w:ascii="Times New Roman" w:hAnsi="Times New Roman"/>
          <w:b/>
          <w:szCs w:val="24"/>
        </w:rPr>
        <w:t>:</w:t>
      </w:r>
    </w:p>
    <w:p w:rsidR="00BB03CE" w:rsidRPr="00905B81" w:rsidP="0025185B" w14:paraId="124B3696" w14:textId="6A79C61F">
      <w:pPr>
        <w:tabs>
          <w:tab w:val="left" w:pos="-720"/>
        </w:tabs>
        <w:suppressAutoHyphens/>
        <w:rPr>
          <w:rFonts w:ascii="Times New Roman" w:hAnsi="Times New Roman"/>
          <w:b/>
          <w:szCs w:val="24"/>
        </w:rPr>
      </w:pPr>
    </w:p>
    <w:p w:rsidR="00601A83" w:rsidRPr="00905B81" w:rsidP="002D6DE2" w14:paraId="61DA7D4F" w14:textId="4A92CCBD">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There are no capital/startup costs to respondents.</w:t>
      </w:r>
    </w:p>
    <w:p w:rsidR="00043C32" w:rsidRPr="00905B81" w:rsidP="0025185B" w14:paraId="64280EEF" w14:textId="77777777">
      <w:pPr>
        <w:tabs>
          <w:tab w:val="left" w:pos="-720"/>
        </w:tabs>
        <w:suppressAutoHyphens/>
        <w:rPr>
          <w:rFonts w:ascii="Times New Roman" w:hAnsi="Times New Roman"/>
          <w:szCs w:val="24"/>
        </w:rPr>
      </w:pPr>
    </w:p>
    <w:p w:rsidR="00043C32" w:rsidRPr="00905B81" w:rsidP="0025185B"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905B81" w:rsidP="0025185B" w14:paraId="64280EF1" w14:textId="77777777">
      <w:pPr>
        <w:tabs>
          <w:tab w:val="left" w:pos="-720"/>
        </w:tabs>
        <w:suppressAutoHyphens/>
        <w:ind w:left="720"/>
        <w:rPr>
          <w:rFonts w:ascii="Times New Roman" w:hAnsi="Times New Roman"/>
          <w:szCs w:val="24"/>
        </w:rPr>
      </w:pPr>
    </w:p>
    <w:p w:rsidR="00601A83" w:rsidRPr="00905B81" w:rsidP="0025185B" w14:paraId="42BD6E85" w14:textId="37922723">
      <w:pPr>
        <w:ind w:left="720"/>
        <w:rPr>
          <w:rFonts w:asciiTheme="minorHAnsi" w:hAnsiTheme="minorHAnsi" w:cstheme="minorHAnsi"/>
          <w:szCs w:val="24"/>
        </w:rPr>
      </w:pPr>
      <w:r w:rsidRPr="00905B81">
        <w:rPr>
          <w:rFonts w:asciiTheme="minorHAnsi" w:hAnsiTheme="minorHAnsi" w:cstheme="minorHAnsi"/>
          <w:szCs w:val="24"/>
        </w:rPr>
        <w:t>There is no significant cost to the federal government related to these forms from Direct Loan borrowers, since servicers distribute and process the loan discharge applications, and the Department’s servicers do not specifically charge the government for distributing these forms.</w:t>
      </w:r>
    </w:p>
    <w:p w:rsidR="00534B4A" w:rsidRPr="00905B81" w:rsidP="0025185B" w14:paraId="64280EF2" w14:textId="51A513E4">
      <w:pPr>
        <w:pStyle w:val="ListParagraph"/>
        <w:tabs>
          <w:tab w:val="left" w:pos="-720"/>
        </w:tabs>
        <w:suppressAutoHyphens/>
        <w:contextualSpacing w:val="0"/>
        <w:rPr>
          <w:rFonts w:ascii="Times New Roman" w:hAnsi="Times New Roman"/>
          <w:szCs w:val="24"/>
        </w:rPr>
      </w:pPr>
    </w:p>
    <w:p w:rsidR="00800D30" w:rsidRPr="00905B81" w:rsidP="0025185B"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05B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w:t>
      </w:r>
      <w:r w:rsidRPr="00905B81">
        <w:rPr>
          <w:rFonts w:ascii="Times New Roman" w:hAnsi="Times New Roman"/>
          <w:b/>
          <w:szCs w:val="24"/>
        </w:rPr>
        <w:t>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905B81">
        <w:rPr>
          <w:rFonts w:ascii="Times New Roman" w:hAnsi="Times New Roman"/>
          <w:b/>
          <w:szCs w:val="24"/>
        </w:rPr>
        <w:t xml:space="preserve"> </w:t>
      </w:r>
    </w:p>
    <w:p w:rsidR="00800D30" w:rsidRPr="00905B81" w:rsidP="0025185B" w14:paraId="64280EF4" w14:textId="77777777">
      <w:pPr>
        <w:pStyle w:val="ListParagraph"/>
        <w:tabs>
          <w:tab w:val="left" w:pos="-720"/>
        </w:tabs>
        <w:suppressAutoHyphens/>
        <w:contextualSpacing w:val="0"/>
        <w:rPr>
          <w:rFonts w:ascii="Times New Roman" w:hAnsi="Times New Roman"/>
          <w:b/>
          <w:szCs w:val="24"/>
        </w:rPr>
      </w:pPr>
    </w:p>
    <w:p w:rsidR="00800D30" w:rsidRPr="00905B81" w:rsidP="0025185B" w14:paraId="64280EF5" w14:textId="77777777">
      <w:pPr>
        <w:pStyle w:val="ListParagraph"/>
        <w:tabs>
          <w:tab w:val="left" w:pos="-720"/>
        </w:tabs>
        <w:suppressAutoHyphens/>
        <w:contextualSpacing w:val="0"/>
        <w:rPr>
          <w:rFonts w:ascii="Times New Roman" w:hAnsi="Times New Roman"/>
          <w:b/>
          <w:szCs w:val="24"/>
        </w:rPr>
      </w:pPr>
      <w:r w:rsidRPr="00905B81">
        <w:rPr>
          <w:rFonts w:ascii="Times New Roman" w:hAnsi="Times New Roman"/>
          <w:b/>
          <w:szCs w:val="24"/>
        </w:rPr>
        <w:t>Provide a descriptive narrative for the reasons of any change in addition to completing the table with the burden hour change(s)</w:t>
      </w:r>
      <w:r w:rsidRPr="00905B81" w:rsidR="002A3221">
        <w:rPr>
          <w:rFonts w:ascii="Times New Roman" w:hAnsi="Times New Roman"/>
          <w:b/>
          <w:szCs w:val="24"/>
        </w:rPr>
        <w:t xml:space="preserve"> here</w:t>
      </w:r>
      <w:r w:rsidRPr="00905B81" w:rsidR="00946126">
        <w:rPr>
          <w:rFonts w:ascii="Times New Roman" w:hAnsi="Times New Roman"/>
          <w:b/>
          <w:szCs w:val="24"/>
        </w:rPr>
        <w:t>.</w:t>
      </w:r>
    </w:p>
    <w:p w:rsidR="00534B4A" w:rsidRPr="00905B81" w:rsidP="0025185B"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905B81" w:rsidP="0025185B" w14:paraId="64280EF7" w14:textId="77777777">
            <w:pPr>
              <w:tabs>
                <w:tab w:val="left" w:pos="-720"/>
              </w:tabs>
              <w:suppressAutoHyphens/>
              <w:rPr>
                <w:rFonts w:ascii="Times New Roman" w:hAnsi="Times New Roman"/>
                <w:b/>
                <w:szCs w:val="24"/>
              </w:rPr>
            </w:pPr>
          </w:p>
        </w:tc>
        <w:tc>
          <w:tcPr>
            <w:tcW w:w="2048" w:type="dxa"/>
          </w:tcPr>
          <w:p w:rsidR="0052073E" w:rsidRPr="00905B81" w:rsidP="0025185B" w14:paraId="64280EF8" w14:textId="77777777">
            <w:pPr>
              <w:tabs>
                <w:tab w:val="left" w:pos="-720"/>
              </w:tabs>
              <w:suppressAutoHyphens/>
              <w:rPr>
                <w:rFonts w:ascii="Times New Roman" w:hAnsi="Times New Roman"/>
                <w:b/>
                <w:szCs w:val="24"/>
              </w:rPr>
            </w:pPr>
            <w:r w:rsidRPr="00905B81">
              <w:rPr>
                <w:rFonts w:ascii="Times New Roman" w:hAnsi="Times New Roman"/>
                <w:b/>
                <w:szCs w:val="24"/>
              </w:rPr>
              <w:t>Program Change Due to New Statute</w:t>
            </w:r>
          </w:p>
        </w:tc>
        <w:tc>
          <w:tcPr>
            <w:tcW w:w="2829" w:type="dxa"/>
          </w:tcPr>
          <w:p w:rsidR="0052073E" w:rsidRPr="00905B81" w:rsidP="0025185B" w14:paraId="64280EF9" w14:textId="77777777">
            <w:pPr>
              <w:tabs>
                <w:tab w:val="left" w:pos="-720"/>
              </w:tabs>
              <w:suppressAutoHyphens/>
              <w:rPr>
                <w:rFonts w:ascii="Times New Roman" w:hAnsi="Times New Roman"/>
                <w:b/>
                <w:szCs w:val="24"/>
              </w:rPr>
            </w:pPr>
            <w:r w:rsidRPr="00905B81">
              <w:rPr>
                <w:rFonts w:ascii="Times New Roman" w:hAnsi="Times New Roman"/>
                <w:b/>
                <w:szCs w:val="24"/>
              </w:rPr>
              <w:t>Program Change Due to Agency Discretion</w:t>
            </w:r>
          </w:p>
        </w:tc>
        <w:tc>
          <w:tcPr>
            <w:tcW w:w="2520" w:type="dxa"/>
          </w:tcPr>
          <w:p w:rsidR="0052073E" w:rsidRPr="00905B81" w:rsidP="0025185B" w14:paraId="64280EFA" w14:textId="77777777">
            <w:pPr>
              <w:tabs>
                <w:tab w:val="left" w:pos="-720"/>
              </w:tabs>
              <w:suppressAutoHyphens/>
              <w:rPr>
                <w:rFonts w:ascii="Times New Roman" w:hAnsi="Times New Roman"/>
                <w:b/>
                <w:szCs w:val="24"/>
              </w:rPr>
            </w:pPr>
            <w:r w:rsidRPr="00905B81">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905B81" w:rsidP="0025185B" w14:paraId="64280EFC" w14:textId="77777777">
            <w:pPr>
              <w:tabs>
                <w:tab w:val="left" w:pos="-720"/>
              </w:tabs>
              <w:suppressAutoHyphens/>
              <w:rPr>
                <w:rFonts w:ascii="Times New Roman" w:hAnsi="Times New Roman"/>
                <w:b/>
                <w:szCs w:val="24"/>
              </w:rPr>
            </w:pPr>
            <w:r w:rsidRPr="00905B81">
              <w:rPr>
                <w:rFonts w:ascii="Times New Roman" w:hAnsi="Times New Roman"/>
                <w:b/>
                <w:szCs w:val="24"/>
              </w:rPr>
              <w:t>Total Burden</w:t>
            </w:r>
          </w:p>
        </w:tc>
        <w:tc>
          <w:tcPr>
            <w:tcW w:w="2048" w:type="dxa"/>
          </w:tcPr>
          <w:p w:rsidR="0052073E" w:rsidRPr="00905B81" w:rsidP="0025185B" w14:paraId="64280EFD" w14:textId="77777777">
            <w:pPr>
              <w:tabs>
                <w:tab w:val="left" w:pos="-720"/>
              </w:tabs>
              <w:suppressAutoHyphens/>
              <w:rPr>
                <w:rFonts w:ascii="Times New Roman" w:hAnsi="Times New Roman"/>
                <w:b/>
                <w:szCs w:val="24"/>
              </w:rPr>
            </w:pPr>
          </w:p>
        </w:tc>
        <w:tc>
          <w:tcPr>
            <w:tcW w:w="2829" w:type="dxa"/>
          </w:tcPr>
          <w:p w:rsidR="0052073E" w:rsidRPr="00905B81" w:rsidP="2ACAF005" w14:paraId="64280EFE" w14:textId="495CA981">
            <w:pPr>
              <w:suppressAutoHyphens/>
              <w:jc w:val="center"/>
              <w:rPr>
                <w:rFonts w:asciiTheme="minorHAnsi" w:hAnsiTheme="minorHAnsi" w:cstheme="minorBidi"/>
                <w:szCs w:val="24"/>
              </w:rPr>
            </w:pPr>
          </w:p>
        </w:tc>
        <w:tc>
          <w:tcPr>
            <w:tcW w:w="2520" w:type="dxa"/>
          </w:tcPr>
          <w:p w:rsidR="0052073E" w:rsidRPr="00905B81" w:rsidP="0025185B"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RPr="00905B81" w:rsidP="0025185B" w14:paraId="64280F01" w14:textId="77777777">
            <w:pPr>
              <w:tabs>
                <w:tab w:val="left" w:pos="-720"/>
              </w:tabs>
              <w:suppressAutoHyphens/>
              <w:rPr>
                <w:rFonts w:ascii="Times New Roman" w:hAnsi="Times New Roman"/>
                <w:b/>
                <w:szCs w:val="24"/>
              </w:rPr>
            </w:pPr>
            <w:r w:rsidRPr="00905B81">
              <w:rPr>
                <w:rFonts w:ascii="Times New Roman" w:hAnsi="Times New Roman"/>
                <w:b/>
                <w:szCs w:val="24"/>
              </w:rPr>
              <w:t>Total Responses</w:t>
            </w:r>
          </w:p>
        </w:tc>
        <w:tc>
          <w:tcPr>
            <w:tcW w:w="2048" w:type="dxa"/>
          </w:tcPr>
          <w:p w:rsidR="0052073E" w:rsidRPr="00905B81" w:rsidP="0025185B" w14:paraId="64280F02" w14:textId="77777777">
            <w:pPr>
              <w:tabs>
                <w:tab w:val="left" w:pos="-720"/>
              </w:tabs>
              <w:suppressAutoHyphens/>
              <w:rPr>
                <w:rFonts w:ascii="Times New Roman" w:hAnsi="Times New Roman"/>
                <w:b/>
                <w:szCs w:val="24"/>
              </w:rPr>
            </w:pPr>
          </w:p>
        </w:tc>
        <w:tc>
          <w:tcPr>
            <w:tcW w:w="2829" w:type="dxa"/>
          </w:tcPr>
          <w:p w:rsidR="005E1194" w:rsidRPr="00905B81" w:rsidP="005E1194" w14:paraId="64280F03" w14:textId="02DF8ED6">
            <w:pPr>
              <w:suppressAutoHyphens/>
              <w:jc w:val="center"/>
              <w:rPr>
                <w:rFonts w:asciiTheme="minorHAnsi" w:hAnsiTheme="minorHAnsi" w:cstheme="minorBidi"/>
                <w:szCs w:val="24"/>
              </w:rPr>
            </w:pPr>
          </w:p>
        </w:tc>
        <w:tc>
          <w:tcPr>
            <w:tcW w:w="2520" w:type="dxa"/>
          </w:tcPr>
          <w:p w:rsidR="0052073E" w:rsidRPr="00905B81" w:rsidP="0025185B"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RPr="00905B81" w:rsidP="0025185B" w14:paraId="64280F06" w14:textId="77777777">
            <w:pPr>
              <w:tabs>
                <w:tab w:val="left" w:pos="-720"/>
              </w:tabs>
              <w:suppressAutoHyphens/>
              <w:rPr>
                <w:rFonts w:ascii="Times New Roman" w:hAnsi="Times New Roman"/>
                <w:b/>
                <w:szCs w:val="24"/>
              </w:rPr>
            </w:pPr>
            <w:r w:rsidRPr="00905B81">
              <w:rPr>
                <w:rFonts w:ascii="Times New Roman" w:hAnsi="Times New Roman"/>
                <w:b/>
                <w:szCs w:val="24"/>
              </w:rPr>
              <w:t>Total Costs (if applicable)</w:t>
            </w:r>
          </w:p>
        </w:tc>
        <w:tc>
          <w:tcPr>
            <w:tcW w:w="2048" w:type="dxa"/>
          </w:tcPr>
          <w:p w:rsidR="0052073E" w:rsidRPr="00905B81" w:rsidP="0025185B" w14:paraId="64280F07" w14:textId="77777777">
            <w:pPr>
              <w:tabs>
                <w:tab w:val="left" w:pos="-720"/>
              </w:tabs>
              <w:suppressAutoHyphens/>
              <w:rPr>
                <w:rFonts w:ascii="Times New Roman" w:hAnsi="Times New Roman"/>
                <w:b/>
                <w:szCs w:val="24"/>
              </w:rPr>
            </w:pPr>
          </w:p>
        </w:tc>
        <w:tc>
          <w:tcPr>
            <w:tcW w:w="2829" w:type="dxa"/>
          </w:tcPr>
          <w:p w:rsidR="0052073E" w:rsidRPr="00905B81" w:rsidP="0025185B"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RPr="00905B81" w:rsidP="0025185B" w14:paraId="64280F09" w14:textId="77777777">
            <w:pPr>
              <w:tabs>
                <w:tab w:val="left" w:pos="-720"/>
              </w:tabs>
              <w:suppressAutoHyphens/>
              <w:rPr>
                <w:rFonts w:ascii="Times New Roman" w:hAnsi="Times New Roman"/>
                <w:b/>
                <w:szCs w:val="24"/>
              </w:rPr>
            </w:pPr>
          </w:p>
        </w:tc>
      </w:tr>
    </w:tbl>
    <w:p w:rsidR="00F27AAF" w:rsidRPr="00905B81" w:rsidP="0025185B" w14:paraId="64280F0B" w14:textId="77777777">
      <w:pPr>
        <w:tabs>
          <w:tab w:val="left" w:pos="-720"/>
        </w:tabs>
        <w:suppressAutoHyphens/>
        <w:ind w:left="720"/>
        <w:rPr>
          <w:rFonts w:ascii="Times New Roman" w:hAnsi="Times New Roman"/>
          <w:bCs/>
          <w:szCs w:val="24"/>
        </w:rPr>
      </w:pPr>
    </w:p>
    <w:p w:rsidR="00FF7506" w:rsidP="1D091B93" w14:paraId="30FC38BE" w14:textId="16214FBD">
      <w:pPr>
        <w:suppressAutoHyphens/>
        <w:ind w:left="720"/>
        <w:rPr>
          <w:rFonts w:asciiTheme="minorHAnsi" w:hAnsiTheme="minorHAnsi" w:cstheme="minorHAnsi"/>
          <w:szCs w:val="24"/>
        </w:rPr>
      </w:pPr>
      <w:r w:rsidRPr="00FF7506">
        <w:rPr>
          <w:rFonts w:asciiTheme="minorHAnsi" w:hAnsiTheme="minorHAnsi" w:cstheme="minorHAnsi"/>
        </w:rPr>
        <w:t>This request for extension does not request changes to the approved burden</w:t>
      </w:r>
      <w:r w:rsidRPr="00905B81" w:rsidR="00601A83">
        <w:rPr>
          <w:rFonts w:asciiTheme="minorHAnsi" w:hAnsiTheme="minorHAnsi" w:cstheme="minorBidi"/>
          <w:szCs w:val="24"/>
        </w:rPr>
        <w:t>.</w:t>
      </w:r>
      <w:r w:rsidRPr="00FF7506" w:rsidR="00601A83">
        <w:rPr>
          <w:rFonts w:asciiTheme="minorHAnsi" w:hAnsiTheme="minorHAnsi" w:cstheme="minorHAnsi"/>
          <w:szCs w:val="24"/>
        </w:rPr>
        <w:t xml:space="preserve">  </w:t>
      </w:r>
      <w:r w:rsidRPr="00905B81" w:rsidR="005C6A32">
        <w:rPr>
          <w:rFonts w:asciiTheme="minorHAnsi" w:hAnsiTheme="minorHAnsi" w:cstheme="minorBidi"/>
          <w:szCs w:val="24"/>
        </w:rPr>
        <w:t xml:space="preserve">This </w:t>
      </w:r>
      <w:r w:rsidR="005C6A32">
        <w:rPr>
          <w:rFonts w:asciiTheme="minorHAnsi" w:hAnsiTheme="minorHAnsi" w:cstheme="minorBidi"/>
          <w:szCs w:val="24"/>
        </w:rPr>
        <w:t>extension retains the approved</w:t>
      </w:r>
      <w:r w:rsidRPr="00905B81" w:rsidR="005C6A32">
        <w:rPr>
          <w:rFonts w:asciiTheme="minorHAnsi" w:hAnsiTheme="minorHAnsi" w:cstheme="minorBidi"/>
          <w:szCs w:val="24"/>
        </w:rPr>
        <w:t xml:space="preserve"> 56,226 burden hours and 112,452 respondents/responses.   </w:t>
      </w:r>
    </w:p>
    <w:p w:rsidR="00534B4A" w:rsidRPr="00905B81" w:rsidP="0025185B" w14:paraId="64280F0C" w14:textId="77777777">
      <w:pPr>
        <w:tabs>
          <w:tab w:val="left" w:pos="-720"/>
        </w:tabs>
        <w:suppressAutoHyphens/>
        <w:ind w:left="720"/>
        <w:rPr>
          <w:rFonts w:ascii="Times New Roman" w:hAnsi="Times New Roman"/>
          <w:bCs/>
          <w:szCs w:val="24"/>
        </w:rPr>
      </w:pPr>
    </w:p>
    <w:p w:rsidR="00043C32" w:rsidRPr="00905B81" w:rsidP="002D6DE2" w14:paraId="64280F0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905B81" w:rsidP="0025185B" w14:paraId="64280F0E" w14:textId="77777777">
      <w:pPr>
        <w:tabs>
          <w:tab w:val="left" w:pos="-720"/>
        </w:tabs>
        <w:suppressAutoHyphens/>
        <w:ind w:left="720"/>
        <w:rPr>
          <w:rFonts w:ascii="Times New Roman" w:hAnsi="Times New Roman"/>
          <w:szCs w:val="24"/>
        </w:rPr>
      </w:pPr>
    </w:p>
    <w:p w:rsidR="00601A83" w:rsidRPr="00905B81" w:rsidP="0025185B" w14:paraId="0055FC7D" w14:textId="520E8AE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results of this information collection will not be published.</w:t>
      </w:r>
    </w:p>
    <w:p w:rsidR="00534B4A" w:rsidRPr="00905B81" w:rsidP="0025185B" w14:paraId="64280F0F" w14:textId="77777777">
      <w:pPr>
        <w:tabs>
          <w:tab w:val="left" w:pos="-720"/>
        </w:tabs>
        <w:suppressAutoHyphens/>
        <w:ind w:left="720"/>
        <w:rPr>
          <w:rFonts w:ascii="Times New Roman" w:hAnsi="Times New Roman"/>
          <w:szCs w:val="24"/>
        </w:rPr>
      </w:pPr>
    </w:p>
    <w:p w:rsidR="00043C32" w:rsidRPr="00905B81" w:rsidP="002D6DE2" w14:paraId="64280F1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905B81">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905B81" w:rsidP="0025185B" w14:paraId="64280F11" w14:textId="77777777">
      <w:pPr>
        <w:tabs>
          <w:tab w:val="left" w:pos="-720"/>
        </w:tabs>
        <w:suppressAutoHyphens/>
        <w:ind w:left="720"/>
        <w:rPr>
          <w:rFonts w:ascii="Times New Roman" w:hAnsi="Times New Roman"/>
          <w:bCs/>
          <w:szCs w:val="24"/>
        </w:rPr>
      </w:pPr>
    </w:p>
    <w:p w:rsidR="00601A83" w:rsidRPr="00905B81" w:rsidP="0025185B" w14:paraId="1C45F883" w14:textId="27612D83">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Department is not seeking this approval.</w:t>
      </w:r>
    </w:p>
    <w:p w:rsidR="00534B4A" w:rsidRPr="00905B81" w:rsidP="0025185B" w14:paraId="64280F12" w14:textId="77777777">
      <w:pPr>
        <w:tabs>
          <w:tab w:val="left" w:pos="-720"/>
        </w:tabs>
        <w:suppressAutoHyphens/>
        <w:ind w:left="720"/>
        <w:rPr>
          <w:rFonts w:ascii="Times New Roman" w:hAnsi="Times New Roman"/>
          <w:bCs/>
          <w:szCs w:val="24"/>
        </w:rPr>
      </w:pPr>
    </w:p>
    <w:p w:rsidR="001C73C0" w:rsidRPr="00905B81" w:rsidP="002D6DE2"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905B81">
        <w:rPr>
          <w:rStyle w:val="a"/>
          <w:rFonts w:ascii="Times New Roman" w:hAnsi="Times New Roman"/>
          <w:b/>
          <w:szCs w:val="24"/>
        </w:rPr>
        <w:t>Explain each exception to the certification statement identified in the Certification of Paperwork Reduction Act.</w:t>
      </w:r>
    </w:p>
    <w:p w:rsidR="00AA5138" w:rsidRPr="00905B81" w:rsidP="0025185B" w14:paraId="07117DF1" w14:textId="68EA5D2C">
      <w:pPr>
        <w:tabs>
          <w:tab w:val="left" w:pos="-720"/>
        </w:tabs>
        <w:suppressAutoHyphens/>
        <w:ind w:left="720"/>
        <w:rPr>
          <w:rFonts w:ascii="Times New Roman" w:hAnsi="Times New Roman"/>
          <w:bCs/>
          <w:szCs w:val="24"/>
        </w:rPr>
      </w:pPr>
    </w:p>
    <w:p w:rsidR="0025185B" w:rsidRPr="00905B81" w:rsidP="0025185B" w14:paraId="089BCEE5" w14:textId="00C8FEA4">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The Department is not requesting any exceptions to the "Certification for Paperwork Reduction Act Submissions".</w:t>
      </w:r>
    </w:p>
    <w:p w:rsidR="00AA5138" w:rsidRPr="00905B81" w:rsidP="0025185B" w14:paraId="1D395179" w14:textId="5C5CD9D7">
      <w:pPr>
        <w:tabs>
          <w:tab w:val="left" w:pos="-720"/>
        </w:tabs>
        <w:suppressAutoHyphens/>
        <w:ind w:left="720"/>
        <w:rPr>
          <w:rFonts w:ascii="Times New Roman" w:hAnsi="Times New Roman"/>
          <w:bCs/>
          <w:szCs w:val="24"/>
        </w:rPr>
      </w:pPr>
    </w:p>
    <w:sectPr w:rsidSect="002E3E2C">
      <w:headerReference w:type="default" r:id="rId14"/>
      <w:footerReference w:type="default" r:id="rId15"/>
      <w:endnotePr>
        <w:numFmt w:val="decimal"/>
      </w:endnotePr>
      <w:pgSz w:w="12240" w:h="15840" w:code="1"/>
      <w:pgMar w:top="1440" w:right="1440" w:bottom="1440" w:left="126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B4E" w14:paraId="64280F18" w14:textId="77777777">
    <w:pPr>
      <w:spacing w:before="140" w:line="100" w:lineRule="exact"/>
      <w:rPr>
        <w:sz w:val="10"/>
      </w:rPr>
    </w:pPr>
  </w:p>
  <w:p w:rsidR="007F4B4E" w14:paraId="64280F19" w14:textId="77777777">
    <w:pPr>
      <w:tabs>
        <w:tab w:val="left" w:pos="0"/>
      </w:tabs>
      <w:suppressAutoHyphens/>
    </w:pPr>
  </w:p>
  <w:p w:rsidR="007F4B4E"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F4B4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7F4B4E"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4066" w:rsidP="00043C32" w14:paraId="4B61A4C1" w14:textId="77777777">
      <w:r>
        <w:separator/>
      </w:r>
    </w:p>
  </w:footnote>
  <w:footnote w:type="continuationSeparator" w:id="1">
    <w:p w:rsidR="00A94066" w:rsidP="00043C32" w14:paraId="4E1D5A07" w14:textId="77777777">
      <w:r>
        <w:continuationSeparator/>
      </w:r>
    </w:p>
  </w:footnote>
  <w:footnote w:type="continuationNotice" w:id="2">
    <w:p w:rsidR="00A94066" w14:paraId="2733E8FB"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FE9C5A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01A83">
      <w:rPr>
        <w:rFonts w:ascii="Times New Roman" w:hAnsi="Times New Roman"/>
        <w:szCs w:val="24"/>
      </w:rPr>
      <w:t>1845</w:t>
    </w:r>
    <w:r w:rsidR="007C700A">
      <w:rPr>
        <w:rFonts w:ascii="Times New Roman" w:hAnsi="Times New Roman"/>
        <w:szCs w:val="24"/>
      </w:rPr>
      <w:t>-</w:t>
    </w:r>
    <w:r w:rsidR="00601A83">
      <w:rPr>
        <w:rFonts w:ascii="Times New Roman" w:hAnsi="Times New Roman"/>
        <w:szCs w:val="24"/>
      </w:rPr>
      <w:t>0110</w:t>
    </w:r>
    <w:r w:rsidR="00E22FD3">
      <w:rPr>
        <w:rFonts w:ascii="Times New Roman" w:hAnsi="Times New Roman"/>
        <w:szCs w:val="24"/>
      </w:rPr>
      <w:tab/>
    </w:r>
    <w:r w:rsidRPr="00C875E8">
      <w:rPr>
        <w:rFonts w:ascii="Times New Roman" w:hAnsi="Times New Roman"/>
        <w:szCs w:val="24"/>
      </w:rPr>
      <w:t xml:space="preserve">Revised: </w:t>
    </w:r>
    <w:r w:rsidR="002E3E2C">
      <w:rPr>
        <w:rFonts w:ascii="Times New Roman" w:hAnsi="Times New Roman"/>
        <w:szCs w:val="24"/>
      </w:rPr>
      <w:t xml:space="preserve"> 8/30/</w:t>
    </w:r>
    <w:r w:rsidRPr="00F014B9" w:rsidR="002C1A68">
      <w:rPr>
        <w:rFonts w:ascii="Times New Roman" w:hAnsi="Times New Roman"/>
        <w:szCs w:val="24"/>
      </w:rPr>
      <w:t>20</w:t>
    </w:r>
    <w:r w:rsidR="002C1A68">
      <w:rPr>
        <w:rFonts w:ascii="Times New Roman" w:hAnsi="Times New Roman"/>
        <w:szCs w:val="24"/>
      </w:rPr>
      <w:t>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1A85"/>
    <w:rsid w:val="00035ED5"/>
    <w:rsid w:val="00043C32"/>
    <w:rsid w:val="000446F5"/>
    <w:rsid w:val="00045F58"/>
    <w:rsid w:val="0004674E"/>
    <w:rsid w:val="0007489F"/>
    <w:rsid w:val="00093017"/>
    <w:rsid w:val="00094151"/>
    <w:rsid w:val="000A0251"/>
    <w:rsid w:val="000B2033"/>
    <w:rsid w:val="000B24D7"/>
    <w:rsid w:val="000B4A2A"/>
    <w:rsid w:val="000B4D38"/>
    <w:rsid w:val="000C4EF3"/>
    <w:rsid w:val="000D2177"/>
    <w:rsid w:val="000E1877"/>
    <w:rsid w:val="00110C38"/>
    <w:rsid w:val="00112051"/>
    <w:rsid w:val="001148F0"/>
    <w:rsid w:val="00123AF5"/>
    <w:rsid w:val="00132D13"/>
    <w:rsid w:val="00144767"/>
    <w:rsid w:val="00147DEF"/>
    <w:rsid w:val="00155371"/>
    <w:rsid w:val="001643FC"/>
    <w:rsid w:val="00170546"/>
    <w:rsid w:val="0017061E"/>
    <w:rsid w:val="0017413E"/>
    <w:rsid w:val="001824F3"/>
    <w:rsid w:val="00184555"/>
    <w:rsid w:val="00184CD5"/>
    <w:rsid w:val="00186347"/>
    <w:rsid w:val="00195846"/>
    <w:rsid w:val="001A6AE0"/>
    <w:rsid w:val="001C73C0"/>
    <w:rsid w:val="001D253F"/>
    <w:rsid w:val="001E79BD"/>
    <w:rsid w:val="00200C7A"/>
    <w:rsid w:val="00203574"/>
    <w:rsid w:val="0021159F"/>
    <w:rsid w:val="0021332E"/>
    <w:rsid w:val="00214DB4"/>
    <w:rsid w:val="002225CC"/>
    <w:rsid w:val="00224A3B"/>
    <w:rsid w:val="0023179B"/>
    <w:rsid w:val="00235BA0"/>
    <w:rsid w:val="00240A39"/>
    <w:rsid w:val="002448F3"/>
    <w:rsid w:val="00246FE9"/>
    <w:rsid w:val="00250100"/>
    <w:rsid w:val="0025185B"/>
    <w:rsid w:val="00262A69"/>
    <w:rsid w:val="00263AC3"/>
    <w:rsid w:val="00264CC4"/>
    <w:rsid w:val="00265341"/>
    <w:rsid w:val="00267F23"/>
    <w:rsid w:val="00270AF7"/>
    <w:rsid w:val="002949A1"/>
    <w:rsid w:val="00296378"/>
    <w:rsid w:val="002A0ADB"/>
    <w:rsid w:val="002A3221"/>
    <w:rsid w:val="002B3184"/>
    <w:rsid w:val="002B6B33"/>
    <w:rsid w:val="002C1A68"/>
    <w:rsid w:val="002C3520"/>
    <w:rsid w:val="002D1FC5"/>
    <w:rsid w:val="002D6DE2"/>
    <w:rsid w:val="002E08BA"/>
    <w:rsid w:val="002E13F9"/>
    <w:rsid w:val="002E14E0"/>
    <w:rsid w:val="002E3E2C"/>
    <w:rsid w:val="002F465E"/>
    <w:rsid w:val="002F55E5"/>
    <w:rsid w:val="002F7BFD"/>
    <w:rsid w:val="00301D0A"/>
    <w:rsid w:val="0031270F"/>
    <w:rsid w:val="0032078A"/>
    <w:rsid w:val="00322E17"/>
    <w:rsid w:val="0032539E"/>
    <w:rsid w:val="003340C1"/>
    <w:rsid w:val="003378EC"/>
    <w:rsid w:val="00344528"/>
    <w:rsid w:val="00361F21"/>
    <w:rsid w:val="0037213D"/>
    <w:rsid w:val="00375E1B"/>
    <w:rsid w:val="00376D19"/>
    <w:rsid w:val="003772A6"/>
    <w:rsid w:val="0038579B"/>
    <w:rsid w:val="003860E4"/>
    <w:rsid w:val="003908B6"/>
    <w:rsid w:val="0039505F"/>
    <w:rsid w:val="003A15A0"/>
    <w:rsid w:val="003A2CCA"/>
    <w:rsid w:val="003A6FD5"/>
    <w:rsid w:val="003B1545"/>
    <w:rsid w:val="003B2FA2"/>
    <w:rsid w:val="003C13C1"/>
    <w:rsid w:val="003C4D7C"/>
    <w:rsid w:val="003D1CE6"/>
    <w:rsid w:val="003E046B"/>
    <w:rsid w:val="003E2DC6"/>
    <w:rsid w:val="0040489E"/>
    <w:rsid w:val="00412915"/>
    <w:rsid w:val="00415CE6"/>
    <w:rsid w:val="00440393"/>
    <w:rsid w:val="00442E07"/>
    <w:rsid w:val="00446C8D"/>
    <w:rsid w:val="00457FEC"/>
    <w:rsid w:val="00473B95"/>
    <w:rsid w:val="00480D7C"/>
    <w:rsid w:val="0049239A"/>
    <w:rsid w:val="004B4271"/>
    <w:rsid w:val="004B42F1"/>
    <w:rsid w:val="004D4DCA"/>
    <w:rsid w:val="004D77B4"/>
    <w:rsid w:val="004F1F18"/>
    <w:rsid w:val="004F3014"/>
    <w:rsid w:val="00501E52"/>
    <w:rsid w:val="00504A2C"/>
    <w:rsid w:val="0050657E"/>
    <w:rsid w:val="00507DFF"/>
    <w:rsid w:val="005176CF"/>
    <w:rsid w:val="005202EC"/>
    <w:rsid w:val="0052073E"/>
    <w:rsid w:val="005303DC"/>
    <w:rsid w:val="00532D25"/>
    <w:rsid w:val="0053393A"/>
    <w:rsid w:val="00534B4A"/>
    <w:rsid w:val="00547BB4"/>
    <w:rsid w:val="00551013"/>
    <w:rsid w:val="00565A60"/>
    <w:rsid w:val="00566841"/>
    <w:rsid w:val="00575DDA"/>
    <w:rsid w:val="00581C11"/>
    <w:rsid w:val="00583715"/>
    <w:rsid w:val="005902AB"/>
    <w:rsid w:val="005970F7"/>
    <w:rsid w:val="005976A1"/>
    <w:rsid w:val="005A7F2E"/>
    <w:rsid w:val="005C495E"/>
    <w:rsid w:val="005C4A47"/>
    <w:rsid w:val="005C6A32"/>
    <w:rsid w:val="005E1194"/>
    <w:rsid w:val="005F1F46"/>
    <w:rsid w:val="005F4E11"/>
    <w:rsid w:val="00600500"/>
    <w:rsid w:val="00601A83"/>
    <w:rsid w:val="00605B7C"/>
    <w:rsid w:val="00616E9C"/>
    <w:rsid w:val="006241B2"/>
    <w:rsid w:val="006346E7"/>
    <w:rsid w:val="006468DF"/>
    <w:rsid w:val="00676AAF"/>
    <w:rsid w:val="0068567A"/>
    <w:rsid w:val="00686162"/>
    <w:rsid w:val="006A0EFF"/>
    <w:rsid w:val="006A292A"/>
    <w:rsid w:val="006A2C38"/>
    <w:rsid w:val="006A38F7"/>
    <w:rsid w:val="006A4ADB"/>
    <w:rsid w:val="006A4EBB"/>
    <w:rsid w:val="006A6C6F"/>
    <w:rsid w:val="006B4172"/>
    <w:rsid w:val="006C0363"/>
    <w:rsid w:val="006D7B27"/>
    <w:rsid w:val="006E2821"/>
    <w:rsid w:val="006E3910"/>
    <w:rsid w:val="006E5532"/>
    <w:rsid w:val="0070035C"/>
    <w:rsid w:val="00702839"/>
    <w:rsid w:val="00703360"/>
    <w:rsid w:val="00713B69"/>
    <w:rsid w:val="00722728"/>
    <w:rsid w:val="00723BBE"/>
    <w:rsid w:val="0074031E"/>
    <w:rsid w:val="00752415"/>
    <w:rsid w:val="00755D79"/>
    <w:rsid w:val="00755D99"/>
    <w:rsid w:val="00756C74"/>
    <w:rsid w:val="00756FD3"/>
    <w:rsid w:val="00765392"/>
    <w:rsid w:val="00776D8F"/>
    <w:rsid w:val="0078452A"/>
    <w:rsid w:val="00790E3E"/>
    <w:rsid w:val="00794484"/>
    <w:rsid w:val="007A1467"/>
    <w:rsid w:val="007A1DD9"/>
    <w:rsid w:val="007A5F49"/>
    <w:rsid w:val="007B17BD"/>
    <w:rsid w:val="007B2119"/>
    <w:rsid w:val="007B6347"/>
    <w:rsid w:val="007C0A4C"/>
    <w:rsid w:val="007C700A"/>
    <w:rsid w:val="007C7495"/>
    <w:rsid w:val="007D19BD"/>
    <w:rsid w:val="007D32A6"/>
    <w:rsid w:val="007E75BC"/>
    <w:rsid w:val="007F2A30"/>
    <w:rsid w:val="007F4B4E"/>
    <w:rsid w:val="007F6104"/>
    <w:rsid w:val="00800D30"/>
    <w:rsid w:val="00807D1A"/>
    <w:rsid w:val="00822A07"/>
    <w:rsid w:val="00834A62"/>
    <w:rsid w:val="008421A7"/>
    <w:rsid w:val="008461CC"/>
    <w:rsid w:val="008465CC"/>
    <w:rsid w:val="00846849"/>
    <w:rsid w:val="00861EBD"/>
    <w:rsid w:val="00874EFE"/>
    <w:rsid w:val="00877769"/>
    <w:rsid w:val="00882126"/>
    <w:rsid w:val="00886231"/>
    <w:rsid w:val="00886B98"/>
    <w:rsid w:val="008924BC"/>
    <w:rsid w:val="008933F1"/>
    <w:rsid w:val="008B4959"/>
    <w:rsid w:val="008C3C9C"/>
    <w:rsid w:val="008C7904"/>
    <w:rsid w:val="008D0601"/>
    <w:rsid w:val="008D1248"/>
    <w:rsid w:val="008D1F11"/>
    <w:rsid w:val="008E5919"/>
    <w:rsid w:val="008E7E16"/>
    <w:rsid w:val="00904242"/>
    <w:rsid w:val="00905951"/>
    <w:rsid w:val="00905B81"/>
    <w:rsid w:val="00907EB6"/>
    <w:rsid w:val="00910CB8"/>
    <w:rsid w:val="00912D2C"/>
    <w:rsid w:val="00916EE4"/>
    <w:rsid w:val="009203FD"/>
    <w:rsid w:val="00920F63"/>
    <w:rsid w:val="009243F3"/>
    <w:rsid w:val="00932568"/>
    <w:rsid w:val="0093366B"/>
    <w:rsid w:val="00934185"/>
    <w:rsid w:val="00943977"/>
    <w:rsid w:val="00945FD9"/>
    <w:rsid w:val="00946126"/>
    <w:rsid w:val="00951B7A"/>
    <w:rsid w:val="009524A8"/>
    <w:rsid w:val="00952DF9"/>
    <w:rsid w:val="0095421D"/>
    <w:rsid w:val="00960C86"/>
    <w:rsid w:val="009767AF"/>
    <w:rsid w:val="0098101D"/>
    <w:rsid w:val="00981F58"/>
    <w:rsid w:val="00986D0A"/>
    <w:rsid w:val="0099058E"/>
    <w:rsid w:val="009A3C29"/>
    <w:rsid w:val="009B2D7B"/>
    <w:rsid w:val="009C10D0"/>
    <w:rsid w:val="009C37AF"/>
    <w:rsid w:val="009E364D"/>
    <w:rsid w:val="009E3E86"/>
    <w:rsid w:val="009E41D9"/>
    <w:rsid w:val="00A021DD"/>
    <w:rsid w:val="00A068BD"/>
    <w:rsid w:val="00A10146"/>
    <w:rsid w:val="00A118A2"/>
    <w:rsid w:val="00A12AE6"/>
    <w:rsid w:val="00A177B8"/>
    <w:rsid w:val="00A23F26"/>
    <w:rsid w:val="00A4001C"/>
    <w:rsid w:val="00A40AAB"/>
    <w:rsid w:val="00A46B1B"/>
    <w:rsid w:val="00A46D01"/>
    <w:rsid w:val="00A46D8F"/>
    <w:rsid w:val="00A51984"/>
    <w:rsid w:val="00A65A23"/>
    <w:rsid w:val="00A70816"/>
    <w:rsid w:val="00A71D3B"/>
    <w:rsid w:val="00A73590"/>
    <w:rsid w:val="00A7636D"/>
    <w:rsid w:val="00A9138E"/>
    <w:rsid w:val="00A94066"/>
    <w:rsid w:val="00A94A67"/>
    <w:rsid w:val="00A95310"/>
    <w:rsid w:val="00AA5138"/>
    <w:rsid w:val="00AB5948"/>
    <w:rsid w:val="00AB6F3D"/>
    <w:rsid w:val="00AB71E7"/>
    <w:rsid w:val="00AB7E45"/>
    <w:rsid w:val="00AC1C89"/>
    <w:rsid w:val="00AC2819"/>
    <w:rsid w:val="00AC2FC1"/>
    <w:rsid w:val="00AC56CB"/>
    <w:rsid w:val="00AD381B"/>
    <w:rsid w:val="00AD38FE"/>
    <w:rsid w:val="00AD3CB3"/>
    <w:rsid w:val="00AE021C"/>
    <w:rsid w:val="00AE0BB4"/>
    <w:rsid w:val="00AE3217"/>
    <w:rsid w:val="00AE34BB"/>
    <w:rsid w:val="00AE6213"/>
    <w:rsid w:val="00AF043A"/>
    <w:rsid w:val="00AF1EF9"/>
    <w:rsid w:val="00AF3429"/>
    <w:rsid w:val="00AF5052"/>
    <w:rsid w:val="00AF5B5B"/>
    <w:rsid w:val="00AF5D1A"/>
    <w:rsid w:val="00AF5DA5"/>
    <w:rsid w:val="00B00C06"/>
    <w:rsid w:val="00B016D4"/>
    <w:rsid w:val="00B017F9"/>
    <w:rsid w:val="00B07213"/>
    <w:rsid w:val="00B10A05"/>
    <w:rsid w:val="00B21626"/>
    <w:rsid w:val="00B37EED"/>
    <w:rsid w:val="00B4623B"/>
    <w:rsid w:val="00B54167"/>
    <w:rsid w:val="00B62E06"/>
    <w:rsid w:val="00B632BF"/>
    <w:rsid w:val="00B64B1D"/>
    <w:rsid w:val="00B661C0"/>
    <w:rsid w:val="00B6729C"/>
    <w:rsid w:val="00B83B34"/>
    <w:rsid w:val="00B8750F"/>
    <w:rsid w:val="00B9671B"/>
    <w:rsid w:val="00BA1D31"/>
    <w:rsid w:val="00BB03CE"/>
    <w:rsid w:val="00BC1A67"/>
    <w:rsid w:val="00BE088F"/>
    <w:rsid w:val="00BF06AE"/>
    <w:rsid w:val="00BF780C"/>
    <w:rsid w:val="00C164D3"/>
    <w:rsid w:val="00C20670"/>
    <w:rsid w:val="00C224FD"/>
    <w:rsid w:val="00C2280D"/>
    <w:rsid w:val="00C234D1"/>
    <w:rsid w:val="00C35EA4"/>
    <w:rsid w:val="00C631CD"/>
    <w:rsid w:val="00C7509B"/>
    <w:rsid w:val="00C82D8E"/>
    <w:rsid w:val="00C86243"/>
    <w:rsid w:val="00C86713"/>
    <w:rsid w:val="00C875E8"/>
    <w:rsid w:val="00C92035"/>
    <w:rsid w:val="00C97503"/>
    <w:rsid w:val="00CB588B"/>
    <w:rsid w:val="00CC0990"/>
    <w:rsid w:val="00CC1FBF"/>
    <w:rsid w:val="00CC2A72"/>
    <w:rsid w:val="00CC3FB5"/>
    <w:rsid w:val="00CC4258"/>
    <w:rsid w:val="00CD1030"/>
    <w:rsid w:val="00CD2067"/>
    <w:rsid w:val="00CD47BC"/>
    <w:rsid w:val="00CE7321"/>
    <w:rsid w:val="00CF2474"/>
    <w:rsid w:val="00CF257A"/>
    <w:rsid w:val="00D11EB4"/>
    <w:rsid w:val="00D34984"/>
    <w:rsid w:val="00D36C35"/>
    <w:rsid w:val="00D44D8A"/>
    <w:rsid w:val="00D54443"/>
    <w:rsid w:val="00D61340"/>
    <w:rsid w:val="00D638D9"/>
    <w:rsid w:val="00D657A0"/>
    <w:rsid w:val="00D72F74"/>
    <w:rsid w:val="00D75313"/>
    <w:rsid w:val="00D803C1"/>
    <w:rsid w:val="00D81486"/>
    <w:rsid w:val="00DA0739"/>
    <w:rsid w:val="00DB4253"/>
    <w:rsid w:val="00DB450E"/>
    <w:rsid w:val="00DE2400"/>
    <w:rsid w:val="00E03274"/>
    <w:rsid w:val="00E16ACD"/>
    <w:rsid w:val="00E17134"/>
    <w:rsid w:val="00E22FD3"/>
    <w:rsid w:val="00E25EBC"/>
    <w:rsid w:val="00E37EE3"/>
    <w:rsid w:val="00E45DB2"/>
    <w:rsid w:val="00E54332"/>
    <w:rsid w:val="00E554B0"/>
    <w:rsid w:val="00E55B61"/>
    <w:rsid w:val="00E56056"/>
    <w:rsid w:val="00E57CF5"/>
    <w:rsid w:val="00E57F59"/>
    <w:rsid w:val="00E66550"/>
    <w:rsid w:val="00E707E9"/>
    <w:rsid w:val="00E7550C"/>
    <w:rsid w:val="00E83BAE"/>
    <w:rsid w:val="00E84EC0"/>
    <w:rsid w:val="00E851FF"/>
    <w:rsid w:val="00E877BF"/>
    <w:rsid w:val="00E9479A"/>
    <w:rsid w:val="00E9773D"/>
    <w:rsid w:val="00EA1767"/>
    <w:rsid w:val="00EB0929"/>
    <w:rsid w:val="00EB0FA5"/>
    <w:rsid w:val="00EB3DB5"/>
    <w:rsid w:val="00EC01DD"/>
    <w:rsid w:val="00EC35E3"/>
    <w:rsid w:val="00ED7195"/>
    <w:rsid w:val="00EF4C67"/>
    <w:rsid w:val="00F014B9"/>
    <w:rsid w:val="00F0414F"/>
    <w:rsid w:val="00F070F3"/>
    <w:rsid w:val="00F239B2"/>
    <w:rsid w:val="00F27AAF"/>
    <w:rsid w:val="00F31BEC"/>
    <w:rsid w:val="00F32678"/>
    <w:rsid w:val="00F43F7A"/>
    <w:rsid w:val="00F52001"/>
    <w:rsid w:val="00F5782B"/>
    <w:rsid w:val="00F62585"/>
    <w:rsid w:val="00F65DBA"/>
    <w:rsid w:val="00F661BF"/>
    <w:rsid w:val="00F72C81"/>
    <w:rsid w:val="00F73131"/>
    <w:rsid w:val="00F74288"/>
    <w:rsid w:val="00F91412"/>
    <w:rsid w:val="00F91AEF"/>
    <w:rsid w:val="00F92A11"/>
    <w:rsid w:val="00F9388A"/>
    <w:rsid w:val="00FA0C49"/>
    <w:rsid w:val="00FB25F9"/>
    <w:rsid w:val="00FC669D"/>
    <w:rsid w:val="00FD1D9B"/>
    <w:rsid w:val="00FD4F0B"/>
    <w:rsid w:val="00FE02FC"/>
    <w:rsid w:val="00FE0B28"/>
    <w:rsid w:val="00FE1BAE"/>
    <w:rsid w:val="00FE356D"/>
    <w:rsid w:val="00FF7506"/>
    <w:rsid w:val="012191E7"/>
    <w:rsid w:val="030E73A7"/>
    <w:rsid w:val="047C0EAD"/>
    <w:rsid w:val="05278026"/>
    <w:rsid w:val="0775333B"/>
    <w:rsid w:val="0903A15E"/>
    <w:rsid w:val="09C6101B"/>
    <w:rsid w:val="0A525B74"/>
    <w:rsid w:val="0B2DF5CE"/>
    <w:rsid w:val="0BC096DB"/>
    <w:rsid w:val="0FC71C6A"/>
    <w:rsid w:val="10F1C2A3"/>
    <w:rsid w:val="110D0CD5"/>
    <w:rsid w:val="126DDEE2"/>
    <w:rsid w:val="149B57D6"/>
    <w:rsid w:val="14AA679E"/>
    <w:rsid w:val="15FBE578"/>
    <w:rsid w:val="17F9AE9E"/>
    <w:rsid w:val="18C7897C"/>
    <w:rsid w:val="18EDCDB4"/>
    <w:rsid w:val="199B3B71"/>
    <w:rsid w:val="1A4CDAE1"/>
    <w:rsid w:val="1D091B93"/>
    <w:rsid w:val="1E2E05C2"/>
    <w:rsid w:val="1E3D4B4C"/>
    <w:rsid w:val="20D6C4A3"/>
    <w:rsid w:val="226C0765"/>
    <w:rsid w:val="2291B1AE"/>
    <w:rsid w:val="24B80765"/>
    <w:rsid w:val="29B7EF82"/>
    <w:rsid w:val="2ACAF005"/>
    <w:rsid w:val="2AD02AFB"/>
    <w:rsid w:val="2B37EAF9"/>
    <w:rsid w:val="2B6D23F3"/>
    <w:rsid w:val="2BA71E32"/>
    <w:rsid w:val="2C8AF293"/>
    <w:rsid w:val="2D494787"/>
    <w:rsid w:val="2D699321"/>
    <w:rsid w:val="2DC6B77A"/>
    <w:rsid w:val="322B63CB"/>
    <w:rsid w:val="329FB61C"/>
    <w:rsid w:val="3408D3AC"/>
    <w:rsid w:val="3589A91B"/>
    <w:rsid w:val="382528BD"/>
    <w:rsid w:val="382B46CC"/>
    <w:rsid w:val="3850B72D"/>
    <w:rsid w:val="39F2E082"/>
    <w:rsid w:val="3AD88FCC"/>
    <w:rsid w:val="3C0108A2"/>
    <w:rsid w:val="3D3AF2CD"/>
    <w:rsid w:val="3D8DB982"/>
    <w:rsid w:val="3E2AF536"/>
    <w:rsid w:val="3F2FF3E9"/>
    <w:rsid w:val="3F3F3682"/>
    <w:rsid w:val="4863C4EE"/>
    <w:rsid w:val="487D8694"/>
    <w:rsid w:val="49DA7333"/>
    <w:rsid w:val="4A0A8883"/>
    <w:rsid w:val="4A1D70E9"/>
    <w:rsid w:val="4B1D4BF7"/>
    <w:rsid w:val="4CB5BB11"/>
    <w:rsid w:val="4D7DAF16"/>
    <w:rsid w:val="4E1D060C"/>
    <w:rsid w:val="5511DB84"/>
    <w:rsid w:val="55489482"/>
    <w:rsid w:val="5554A9F7"/>
    <w:rsid w:val="56A94EFB"/>
    <w:rsid w:val="575DA9AA"/>
    <w:rsid w:val="5A67757B"/>
    <w:rsid w:val="5A96AC2D"/>
    <w:rsid w:val="5B467958"/>
    <w:rsid w:val="5CDDBA89"/>
    <w:rsid w:val="5F0802F0"/>
    <w:rsid w:val="5FAED7A2"/>
    <w:rsid w:val="5FBC5D9F"/>
    <w:rsid w:val="61B2D743"/>
    <w:rsid w:val="6459A3B7"/>
    <w:rsid w:val="65761584"/>
    <w:rsid w:val="67592257"/>
    <w:rsid w:val="67E42198"/>
    <w:rsid w:val="68F73FC1"/>
    <w:rsid w:val="692ECE0D"/>
    <w:rsid w:val="699AB62E"/>
    <w:rsid w:val="69C7537E"/>
    <w:rsid w:val="6A6EFC45"/>
    <w:rsid w:val="6C464278"/>
    <w:rsid w:val="6DEB93F6"/>
    <w:rsid w:val="6E24DC16"/>
    <w:rsid w:val="6E7914B6"/>
    <w:rsid w:val="716D55AB"/>
    <w:rsid w:val="72434C31"/>
    <w:rsid w:val="787465E5"/>
    <w:rsid w:val="7C823B30"/>
    <w:rsid w:val="7CC16E16"/>
    <w:rsid w:val="7D4938C9"/>
    <w:rsid w:val="7DAA77CF"/>
    <w:rsid w:val="7F8C1A7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5C648ACE-9BAD-43CA-BF1E-4638FF66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601A83"/>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601A83"/>
    <w:rPr>
      <w:rFonts w:ascii="Arial" w:hAnsi="Arial"/>
      <w:b/>
      <w:kern w:val="28"/>
      <w:sz w:val="32"/>
    </w:rPr>
  </w:style>
  <w:style w:type="paragraph" w:styleId="Revision">
    <w:name w:val="Revision"/>
    <w:hidden/>
    <w:uiPriority w:val="99"/>
    <w:semiHidden/>
    <w:rsid w:val="0025185B"/>
    <w:rPr>
      <w:rFonts w:ascii="Courier" w:hAnsi="Courier"/>
      <w:sz w:val="24"/>
    </w:rPr>
  </w:style>
  <w:style w:type="character" w:styleId="Mention">
    <w:name w:val="Mention"/>
    <w:basedOn w:val="DefaultParagraphFont"/>
    <w:uiPriority w:val="99"/>
    <w:unhideWhenUsed/>
    <w:rsid w:val="006A0EFF"/>
    <w:rPr>
      <w:color w:val="2B579A"/>
      <w:shd w:val="clear" w:color="auto" w:fill="E1DFDD"/>
    </w:rPr>
  </w:style>
  <w:style w:type="character" w:customStyle="1" w:styleId="normaltextrun">
    <w:name w:val="normaltextrun"/>
    <w:basedOn w:val="DefaultParagraphFont"/>
    <w:rsid w:val="006241B2"/>
  </w:style>
  <w:style w:type="character" w:styleId="FollowedHyperlink">
    <w:name w:val="FollowedHyperlink"/>
    <w:basedOn w:val="DefaultParagraphFont"/>
    <w:uiPriority w:val="99"/>
    <w:semiHidden/>
    <w:unhideWhenUsed/>
    <w:rsid w:val="00F01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udentaid.gov/pslf" TargetMode="External" /><Relationship Id="rId11" Type="http://schemas.openxmlformats.org/officeDocument/2006/relationships/hyperlink" Target="https://studentaid.gov/forms-library/" TargetMode="External" /><Relationship Id="rId12" Type="http://schemas.openxmlformats.org/officeDocument/2006/relationships/hyperlink" Target="https://studentaid.gov/pslf/" TargetMode="External" /><Relationship Id="rId13" Type="http://schemas.openxmlformats.org/officeDocument/2006/relationships/hyperlink" Target="https://www.bls.gov/oes/current/oes_na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tudentaid.gov/manage-loans/forgiveness-cancellation/public-service/temporary-expanded-public-service-loan-forgiven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6" ma:contentTypeDescription="Create a new document." ma:contentTypeScope="" ma:versionID="f3352ba75362aa849532e3f49a88a54e">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29d19abcddb573422f3aeed433c5ea7b"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EBF3-C436-4369-B4A3-41CD7DB6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2023-08-31T17:15:00Z</dcterms:created>
  <dcterms:modified xsi:type="dcterms:W3CDTF">2023-08-31T17:15:00Z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