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C15BE" w:rsidRPr="00F5428B" w:rsidP="00BC15BE" w14:paraId="6A3C0555" w14:textId="3078A4B2">
      <w:pPr>
        <w:tabs>
          <w:tab w:val="center" w:pos="4680"/>
        </w:tabs>
        <w:jc w:val="center"/>
        <w:rPr>
          <w:b/>
          <w:bCs/>
          <w:sz w:val="24"/>
        </w:rPr>
      </w:pPr>
      <w:r>
        <w:rPr>
          <w:b/>
          <w:bCs/>
          <w:sz w:val="24"/>
        </w:rPr>
        <w:t xml:space="preserve"> </w:t>
      </w:r>
    </w:p>
    <w:p w:rsidR="00BC15BE" w:rsidP="00BC15BE" w14:paraId="1BA59068" w14:textId="77777777">
      <w:pPr>
        <w:tabs>
          <w:tab w:val="center" w:pos="4680"/>
        </w:tabs>
        <w:jc w:val="center"/>
        <w:rPr>
          <w:b/>
          <w:bCs/>
          <w:sz w:val="24"/>
        </w:rPr>
      </w:pPr>
      <w:r w:rsidRPr="00F5428B">
        <w:rPr>
          <w:b/>
          <w:bCs/>
          <w:sz w:val="24"/>
        </w:rPr>
        <w:t>SUPPORTING STATEMENT FOR</w:t>
      </w:r>
    </w:p>
    <w:p w:rsidR="00FE5160" w:rsidRPr="00F5428B" w:rsidP="00BC15BE" w14:paraId="31303ECC" w14:textId="742299AA">
      <w:pPr>
        <w:tabs>
          <w:tab w:val="center" w:pos="4680"/>
        </w:tabs>
        <w:jc w:val="center"/>
        <w:rPr>
          <w:b/>
          <w:bCs/>
          <w:sz w:val="24"/>
        </w:rPr>
      </w:pPr>
      <w:r>
        <w:rPr>
          <w:b/>
          <w:bCs/>
          <w:sz w:val="24"/>
        </w:rPr>
        <w:t>RM96-1-044</w:t>
      </w:r>
      <w:r w:rsidR="00CF60C8">
        <w:rPr>
          <w:b/>
          <w:bCs/>
          <w:sz w:val="24"/>
        </w:rPr>
        <w:t xml:space="preserve"> Proposed Rule and</w:t>
      </w:r>
    </w:p>
    <w:p w:rsidR="002B45F1" w:rsidP="002B45F1" w14:paraId="39A1A94B" w14:textId="4AD7FDB7">
      <w:pPr>
        <w:tabs>
          <w:tab w:val="center" w:pos="5040"/>
        </w:tabs>
        <w:jc w:val="center"/>
        <w:rPr>
          <w:b/>
          <w:bCs/>
          <w:sz w:val="24"/>
        </w:rPr>
      </w:pPr>
      <w:r w:rsidRPr="00F5428B">
        <w:rPr>
          <w:b/>
          <w:bCs/>
          <w:sz w:val="24"/>
        </w:rPr>
        <w:t>FERC-54</w:t>
      </w:r>
      <w:r w:rsidR="00C15E0A">
        <w:rPr>
          <w:b/>
          <w:bCs/>
          <w:sz w:val="24"/>
        </w:rPr>
        <w:t>9C</w:t>
      </w:r>
      <w:r w:rsidR="002A3DCD">
        <w:rPr>
          <w:bCs/>
          <w:sz w:val="24"/>
        </w:rPr>
        <w:t xml:space="preserve">, </w:t>
      </w:r>
      <w:r w:rsidRPr="00C15E0A" w:rsidR="00C15E0A">
        <w:rPr>
          <w:b/>
          <w:bCs/>
          <w:color w:val="000000"/>
          <w:sz w:val="24"/>
          <w:shd w:val="clear" w:color="auto" w:fill="FFFFFF"/>
        </w:rPr>
        <w:t>Standards for Business Practices of Interstate Natural Gas Pipelines</w:t>
      </w:r>
      <w:r w:rsidR="002A3DCD">
        <w:rPr>
          <w:b/>
          <w:bCs/>
          <w:sz w:val="24"/>
        </w:rPr>
        <w:t>,</w:t>
      </w:r>
    </w:p>
    <w:p w:rsidR="002A3DCD" w:rsidRPr="00F5428B" w:rsidP="002B45F1" w14:paraId="7222200A" w14:textId="461CAFF0">
      <w:pPr>
        <w:tabs>
          <w:tab w:val="center" w:pos="5040"/>
        </w:tabs>
        <w:jc w:val="center"/>
        <w:rPr>
          <w:b/>
          <w:bCs/>
          <w:sz w:val="24"/>
        </w:rPr>
      </w:pPr>
      <w:r>
        <w:rPr>
          <w:b/>
          <w:bCs/>
          <w:sz w:val="24"/>
        </w:rPr>
        <w:t>OMB Control Number 1902-0174</w:t>
      </w:r>
    </w:p>
    <w:p w:rsidR="00BC15BE" w:rsidRPr="00F5428B" w:rsidP="00BC15BE" w14:paraId="34F6204C" w14:textId="77777777">
      <w:pPr>
        <w:rPr>
          <w:sz w:val="24"/>
        </w:rPr>
      </w:pPr>
    </w:p>
    <w:p w:rsidR="00980179" w:rsidRPr="00980179" w:rsidP="0D2BD337" w14:paraId="1559779F" w14:textId="11B13218">
      <w:pPr>
        <w:rPr>
          <w:i/>
          <w:iCs/>
          <w:sz w:val="24"/>
        </w:rPr>
      </w:pPr>
      <w:r w:rsidRPr="0D2BD337">
        <w:rPr>
          <w:sz w:val="24"/>
        </w:rPr>
        <w:t>The Federal Energy Regulatory Commission (Commission or FERC) requests that the Office of Management and Budget (OMB) review the revision of the FERC-54</w:t>
      </w:r>
      <w:r w:rsidRPr="0D2BD337" w:rsidR="00C608F0">
        <w:rPr>
          <w:sz w:val="24"/>
        </w:rPr>
        <w:t>9C</w:t>
      </w:r>
      <w:r w:rsidRPr="0D2BD337">
        <w:rPr>
          <w:sz w:val="24"/>
        </w:rPr>
        <w:t xml:space="preserve"> information collection, </w:t>
      </w:r>
      <w:r w:rsidRPr="0D2BD337" w:rsidR="00C608F0">
        <w:rPr>
          <w:sz w:val="24"/>
        </w:rPr>
        <w:t xml:space="preserve">Standards for Business Practices of Interstate </w:t>
      </w:r>
      <w:r w:rsidRPr="0D2BD337" w:rsidR="007A1E41">
        <w:rPr>
          <w:sz w:val="24"/>
        </w:rPr>
        <w:t>Natural</w:t>
      </w:r>
      <w:r w:rsidRPr="0D2BD337" w:rsidR="00C608F0">
        <w:rPr>
          <w:sz w:val="24"/>
        </w:rPr>
        <w:t xml:space="preserve"> Gas Pipeline</w:t>
      </w:r>
      <w:r w:rsidRPr="0D2BD337" w:rsidR="005C486B">
        <w:rPr>
          <w:sz w:val="24"/>
        </w:rPr>
        <w:t>s, OMB Control Number 1902-0174,</w:t>
      </w:r>
      <w:r w:rsidRPr="0D2BD337" w:rsidR="00C608F0">
        <w:rPr>
          <w:sz w:val="24"/>
        </w:rPr>
        <w:t xml:space="preserve"> </w:t>
      </w:r>
      <w:r w:rsidRPr="0D2BD337">
        <w:rPr>
          <w:sz w:val="24"/>
        </w:rPr>
        <w:t>in connection with the</w:t>
      </w:r>
      <w:r w:rsidR="0042142E">
        <w:rPr>
          <w:sz w:val="24"/>
        </w:rPr>
        <w:t xml:space="preserve"> Notice of the Final Rule</w:t>
      </w:r>
      <w:r w:rsidRPr="0D2BD337">
        <w:rPr>
          <w:sz w:val="24"/>
        </w:rPr>
        <w:t xml:space="preserve"> in Docket No. </w:t>
      </w:r>
      <w:r w:rsidR="00036D98">
        <w:rPr>
          <w:sz w:val="24"/>
        </w:rPr>
        <w:t>RM96-1-044</w:t>
      </w:r>
      <w:r w:rsidRPr="0D2BD337">
        <w:rPr>
          <w:i/>
          <w:iCs/>
          <w:sz w:val="24"/>
        </w:rPr>
        <w:t>.</w:t>
      </w:r>
    </w:p>
    <w:p w:rsidR="0042142E" w:rsidRPr="00052AF3" w:rsidP="00BC15BE" w14:paraId="7B50BBAC" w14:textId="09102CC9">
      <w:pPr>
        <w:rPr>
          <w:b/>
          <w:sz w:val="24"/>
        </w:rPr>
      </w:pPr>
    </w:p>
    <w:p w:rsidR="00BC15BE" w:rsidRPr="00052AF3" w:rsidP="00BC15BE" w14:paraId="35BD39DC" w14:textId="65CD2A92">
      <w:pPr>
        <w:pStyle w:val="Level1"/>
        <w:widowControl/>
        <w:tabs>
          <w:tab w:val="left" w:pos="-1440"/>
          <w:tab w:val="num" w:pos="720"/>
        </w:tabs>
        <w:rPr>
          <w:b/>
        </w:rPr>
      </w:pPr>
      <w:r w:rsidRPr="0D2BD337">
        <w:rPr>
          <w:b/>
          <w:bCs/>
        </w:rPr>
        <w:t>CIRCUMSTANCES THAT MAKE THE COLLECTION OF INFORMATION NECESSARY</w:t>
      </w:r>
    </w:p>
    <w:p w:rsidR="0042142E" w:rsidP="0042142E" w14:paraId="744B7691" w14:textId="77777777">
      <w:pPr>
        <w:rPr>
          <w:i/>
          <w:iCs/>
          <w:sz w:val="24"/>
        </w:rPr>
      </w:pPr>
    </w:p>
    <w:p w:rsidR="0042142E" w:rsidP="0042142E" w14:paraId="0E1084BA" w14:textId="248795CE">
      <w:r>
        <w:t>In the Final Rule, the Commission</w:t>
      </w:r>
      <w:r w:rsidRPr="00FD1B27">
        <w:t xml:space="preserve"> amend</w:t>
      </w:r>
      <w:r>
        <w:t>s</w:t>
      </w:r>
      <w:r w:rsidRPr="00FD1B27">
        <w:t xml:space="preserve"> its regulations </w:t>
      </w:r>
      <w:r w:rsidRPr="00FD716E">
        <w:t xml:space="preserve">at 18 CFR 284.12 </w:t>
      </w:r>
      <w:r w:rsidRPr="00FD1B27">
        <w:t xml:space="preserve">to incorporate by reference, </w:t>
      </w:r>
      <w:r>
        <w:t xml:space="preserve">revisions to three of the </w:t>
      </w:r>
      <w:r w:rsidRPr="00FD1B27">
        <w:t xml:space="preserve">Version 4.0 Standards for Business Practices of Interstate Natural Gas Pipelines </w:t>
      </w:r>
      <w:bookmarkStart w:id="0" w:name="_Hlk149733405"/>
      <w:r w:rsidRPr="00FD1B27">
        <w:t>adopted by the Wholesale Gas Quadrant of the North American Energy Standards Board (NAESB)</w:t>
      </w:r>
      <w:bookmarkEnd w:id="0"/>
      <w:r w:rsidRPr="00FD1B27">
        <w:t>.</w:t>
      </w:r>
      <w:r>
        <w:rPr>
          <w:rStyle w:val="FootnoteReference"/>
        </w:rPr>
        <w:footnoteReference w:id="3"/>
      </w:r>
      <w:r>
        <w:t xml:space="preserve"> These amendments would affect FERC-545 and FERC-549C.  This supporting statement addresses the changes to FERC-549C.  A separate supporting statement addresses the changes to FERC-545.</w:t>
      </w:r>
    </w:p>
    <w:p w:rsidR="0042142E" w:rsidRPr="0042142E" w:rsidP="0042142E" w14:paraId="53339609" w14:textId="67EA7A6C"/>
    <w:p w:rsidR="00C66602" w:rsidP="001D119A" w14:paraId="0263CBF9" w14:textId="3FC78EDE">
      <w:pPr>
        <w:pStyle w:val="FERCparanumber"/>
        <w:numPr>
          <w:ilvl w:val="0"/>
          <w:numId w:val="0"/>
        </w:numPr>
        <w:rPr>
          <w:sz w:val="24"/>
        </w:rPr>
      </w:pPr>
      <w:r>
        <w:rPr>
          <w:sz w:val="24"/>
        </w:rPr>
        <w:t xml:space="preserve">The information collection at </w:t>
      </w:r>
      <w:r w:rsidRPr="00C66602">
        <w:rPr>
          <w:sz w:val="24"/>
        </w:rPr>
        <w:t xml:space="preserve">FERC-549C </w:t>
      </w:r>
      <w:r>
        <w:rPr>
          <w:sz w:val="24"/>
        </w:rPr>
        <w:t xml:space="preserve">is involved in the Commission’s </w:t>
      </w:r>
      <w:r w:rsidR="007C3367">
        <w:rPr>
          <w:sz w:val="24"/>
        </w:rPr>
        <w:t xml:space="preserve">compliance with </w:t>
      </w:r>
      <w:r w:rsidRPr="00C66602">
        <w:rPr>
          <w:sz w:val="24"/>
        </w:rPr>
        <w:t>sections 4, 5, 7, 8, 10, 14, 16, and 20 of the Natural Gas Act (NGA),</w:t>
      </w:r>
      <w:r>
        <w:rPr>
          <w:b/>
          <w:sz w:val="24"/>
          <w:vertAlign w:val="superscript"/>
        </w:rPr>
        <w:footnoteReference w:id="4"/>
      </w:r>
      <w:r w:rsidRPr="00C66602">
        <w:rPr>
          <w:sz w:val="24"/>
        </w:rPr>
        <w:t xml:space="preserve"> and sections 311, 501, and 504 of the Natural Gas Policy Act of 1978 (NGPA).</w:t>
      </w:r>
      <w:r>
        <w:rPr>
          <w:b/>
          <w:sz w:val="24"/>
          <w:vertAlign w:val="superscript"/>
        </w:rPr>
        <w:footnoteReference w:id="5"/>
      </w:r>
      <w:r w:rsidRPr="00C66602">
        <w:rPr>
          <w:sz w:val="24"/>
        </w:rPr>
        <w:t xml:space="preserve">  The Commission adopted the </w:t>
      </w:r>
      <w:r w:rsidR="00975AEC">
        <w:rPr>
          <w:sz w:val="24"/>
        </w:rPr>
        <w:t xml:space="preserve">information collection activities in FERC-549C </w:t>
      </w:r>
      <w:r w:rsidR="00EC7E91">
        <w:rPr>
          <w:sz w:val="24"/>
        </w:rPr>
        <w:t>in association with</w:t>
      </w:r>
      <w:r w:rsidR="00E56BB5">
        <w:rPr>
          <w:sz w:val="24"/>
        </w:rPr>
        <w:t xml:space="preserve"> </w:t>
      </w:r>
      <w:r w:rsidR="00003368">
        <w:rPr>
          <w:sz w:val="24"/>
        </w:rPr>
        <w:t xml:space="preserve">NAESB </w:t>
      </w:r>
      <w:r w:rsidRPr="00C66602">
        <w:rPr>
          <w:sz w:val="24"/>
        </w:rPr>
        <w:t xml:space="preserve">business practice standards </w:t>
      </w:r>
      <w:r w:rsidR="00FC2D3A">
        <w:rPr>
          <w:sz w:val="24"/>
        </w:rPr>
        <w:t xml:space="preserve">that </w:t>
      </w:r>
      <w:r w:rsidRPr="00C66602">
        <w:rPr>
          <w:sz w:val="24"/>
        </w:rPr>
        <w:t xml:space="preserve">update and standardize the natural gas industry’s business practices and procedures </w:t>
      </w:r>
      <w:r w:rsidR="004D17A2">
        <w:rPr>
          <w:sz w:val="24"/>
        </w:rPr>
        <w:t xml:space="preserve">and </w:t>
      </w:r>
      <w:r w:rsidRPr="00C66602">
        <w:rPr>
          <w:sz w:val="24"/>
        </w:rPr>
        <w:t>in addition improve the efficiency of the gas market and the means by which the gas industry conducts business across the interstate pipeline grid.</w:t>
      </w:r>
    </w:p>
    <w:p w:rsidR="00C66602" w:rsidP="001D119A" w14:paraId="6767DB1E" w14:textId="77777777">
      <w:pPr>
        <w:pStyle w:val="FERCparanumber"/>
        <w:numPr>
          <w:ilvl w:val="0"/>
          <w:numId w:val="0"/>
        </w:numPr>
        <w:rPr>
          <w:sz w:val="24"/>
        </w:rPr>
      </w:pPr>
    </w:p>
    <w:p w:rsidR="00E0035A" w:rsidP="00E0035A" w14:paraId="306F1216" w14:textId="088222DA">
      <w:pPr>
        <w:rPr>
          <w:sz w:val="24"/>
        </w:rPr>
      </w:pPr>
      <w:r w:rsidRPr="00FB3975">
        <w:rPr>
          <w:sz w:val="24"/>
        </w:rPr>
        <w:t xml:space="preserve">Since 1996, the Commission has adopted regulations to standardize the business practices and communication methodologies of interstate natural gas pipelines to create a more integrated and efficient pipeline grid.  </w:t>
      </w:r>
      <w:r w:rsidRPr="00B77DBC">
        <w:rPr>
          <w:sz w:val="24"/>
        </w:rPr>
        <w:t xml:space="preserve">The process of standardizing business practices in the natural gas </w:t>
      </w:r>
      <w:r>
        <w:rPr>
          <w:sz w:val="24"/>
        </w:rPr>
        <w:t xml:space="preserve">pipeline </w:t>
      </w:r>
      <w:r w:rsidRPr="00B77DBC">
        <w:rPr>
          <w:sz w:val="24"/>
        </w:rPr>
        <w:t xml:space="preserve">industry began with a Commission initiative to standardize electronic communication of capacity release transactions.  </w:t>
      </w:r>
      <w:r w:rsidR="007F2DFA">
        <w:rPr>
          <w:sz w:val="24"/>
        </w:rPr>
        <w:t>W</w:t>
      </w:r>
      <w:r w:rsidRPr="00B77DBC">
        <w:rPr>
          <w:sz w:val="24"/>
        </w:rPr>
        <w:t>orking groups composed of all segments of the natural gas industry w</w:t>
      </w:r>
      <w:r w:rsidR="007F2DFA">
        <w:rPr>
          <w:sz w:val="24"/>
        </w:rPr>
        <w:t xml:space="preserve">ere </w:t>
      </w:r>
      <w:r w:rsidRPr="00B77DBC">
        <w:rPr>
          <w:sz w:val="24"/>
        </w:rPr>
        <w:t xml:space="preserve"> created</w:t>
      </w:r>
      <w:r w:rsidR="0086668E">
        <w:rPr>
          <w:sz w:val="24"/>
        </w:rPr>
        <w:t xml:space="preserve"> and ultimately led to the creation of </w:t>
      </w:r>
      <w:r w:rsidRPr="00B77DBC">
        <w:rPr>
          <w:sz w:val="24"/>
        </w:rPr>
        <w:t>NAESB.</w:t>
      </w:r>
    </w:p>
    <w:p w:rsidR="00583C34" w:rsidP="00E0035A" w14:paraId="4DC6DA66" w14:textId="77777777">
      <w:pPr>
        <w:rPr>
          <w:sz w:val="24"/>
        </w:rPr>
      </w:pPr>
    </w:p>
    <w:p w:rsidR="005E1148" w:rsidP="00EB7781" w14:paraId="6503189A" w14:textId="609DCF30">
      <w:pPr>
        <w:pStyle w:val="FERCparanumber"/>
        <w:numPr>
          <w:ilvl w:val="0"/>
          <w:numId w:val="0"/>
        </w:numPr>
        <w:rPr>
          <w:sz w:val="24"/>
        </w:rPr>
      </w:pPr>
      <w:r>
        <w:rPr>
          <w:sz w:val="24"/>
        </w:rPr>
        <w:t>I</w:t>
      </w:r>
      <w:r w:rsidRPr="00FB3975" w:rsidR="00B51119">
        <w:rPr>
          <w:sz w:val="24"/>
        </w:rPr>
        <w:t>n the Order No. 587 series of orders,</w:t>
      </w:r>
      <w:r>
        <w:rPr>
          <w:rStyle w:val="FootnoteReference"/>
          <w:sz w:val="24"/>
          <w:szCs w:val="24"/>
        </w:rPr>
        <w:footnoteReference w:id="6"/>
      </w:r>
      <w:r w:rsidRPr="00FB3975" w:rsidR="00B51119">
        <w:rPr>
          <w:sz w:val="24"/>
        </w:rPr>
        <w:t xml:space="preserve"> </w:t>
      </w:r>
      <w:r>
        <w:rPr>
          <w:sz w:val="24"/>
        </w:rPr>
        <w:t xml:space="preserve">the Commission </w:t>
      </w:r>
      <w:r w:rsidRPr="00FB3975" w:rsidR="00B51119">
        <w:rPr>
          <w:sz w:val="24"/>
        </w:rPr>
        <w:t xml:space="preserve">has incorporated by reference standards for interstate natural gas pipeline business practices and electronic communications that were developed and adopted by </w:t>
      </w:r>
      <w:r w:rsidRPr="00FB3975" w:rsidR="00755C82">
        <w:rPr>
          <w:sz w:val="24"/>
        </w:rPr>
        <w:t xml:space="preserve">the Wholesale Gas Quadrant (WGQ) of </w:t>
      </w:r>
      <w:r w:rsidR="0086668E">
        <w:rPr>
          <w:sz w:val="24"/>
        </w:rPr>
        <w:t>NAESB.</w:t>
      </w:r>
      <w:r w:rsidR="009240C3">
        <w:rPr>
          <w:sz w:val="24"/>
        </w:rPr>
        <w:t xml:space="preserve">  Currently effective V</w:t>
      </w:r>
      <w:r w:rsidRPr="00FB3975" w:rsidR="001D119A">
        <w:rPr>
          <w:sz w:val="24"/>
        </w:rPr>
        <w:t xml:space="preserve">ersion 3.2 of the standards </w:t>
      </w:r>
      <w:r w:rsidR="009240C3">
        <w:rPr>
          <w:sz w:val="24"/>
        </w:rPr>
        <w:t xml:space="preserve">will be </w:t>
      </w:r>
      <w:r w:rsidRPr="00FB3975" w:rsidR="001D119A">
        <w:rPr>
          <w:sz w:val="24"/>
        </w:rPr>
        <w:t>replace</w:t>
      </w:r>
      <w:r w:rsidR="001D119A">
        <w:rPr>
          <w:sz w:val="24"/>
        </w:rPr>
        <w:t>d</w:t>
      </w:r>
      <w:r w:rsidRPr="00FB3975" w:rsidR="001D119A">
        <w:rPr>
          <w:sz w:val="24"/>
        </w:rPr>
        <w:t xml:space="preserve"> </w:t>
      </w:r>
      <w:r w:rsidR="009240C3">
        <w:rPr>
          <w:sz w:val="24"/>
        </w:rPr>
        <w:t>by Version 4</w:t>
      </w:r>
      <w:r w:rsidR="008D21F0">
        <w:rPr>
          <w:sz w:val="24"/>
        </w:rPr>
        <w:t>.</w:t>
      </w:r>
      <w:r w:rsidR="009240C3">
        <w:rPr>
          <w:sz w:val="24"/>
        </w:rPr>
        <w:t>0 when the</w:t>
      </w:r>
      <w:r w:rsidR="005630D1">
        <w:rPr>
          <w:sz w:val="24"/>
        </w:rPr>
        <w:t xml:space="preserve"> Final Rule</w:t>
      </w:r>
      <w:r w:rsidR="009240C3">
        <w:rPr>
          <w:sz w:val="24"/>
        </w:rPr>
        <w:t xml:space="preserve"> </w:t>
      </w:r>
      <w:r w:rsidR="00EB7889">
        <w:rPr>
          <w:sz w:val="24"/>
        </w:rPr>
        <w:t>is finalized and implemented.</w:t>
      </w:r>
    </w:p>
    <w:p w:rsidR="002C098E" w:rsidP="00EB7781" w14:paraId="0FD81A8E" w14:textId="77777777">
      <w:pPr>
        <w:pStyle w:val="FERCparanumber"/>
        <w:numPr>
          <w:ilvl w:val="0"/>
          <w:numId w:val="0"/>
        </w:numPr>
        <w:rPr>
          <w:sz w:val="24"/>
        </w:rPr>
      </w:pPr>
    </w:p>
    <w:p w:rsidR="002C098E" w:rsidRPr="001361B9" w:rsidP="002C098E" w14:paraId="7B465B12" w14:textId="77777777">
      <w:pPr>
        <w:spacing w:after="160" w:line="259" w:lineRule="auto"/>
        <w:rPr>
          <w:rFonts w:eastAsia="Calibri"/>
          <w:sz w:val="24"/>
        </w:rPr>
      </w:pPr>
      <w:r w:rsidRPr="001361B9">
        <w:rPr>
          <w:rFonts w:eastAsia="Calibri"/>
          <w:sz w:val="24"/>
        </w:rPr>
        <w:t>For each standard, the pipeline must specify in the tariff section or tariff sheet(s) listing all the NAESB standards:</w:t>
      </w:r>
    </w:p>
    <w:p w:rsidR="002C098E" w:rsidRPr="001361B9" w:rsidP="002C098E" w14:paraId="5520CB7B" w14:textId="39836BD2">
      <w:pPr>
        <w:spacing w:after="160" w:line="259" w:lineRule="auto"/>
        <w:rPr>
          <w:rFonts w:eastAsia="Calibri"/>
          <w:sz w:val="24"/>
        </w:rPr>
      </w:pPr>
      <w:r w:rsidRPr="001361B9">
        <w:rPr>
          <w:rFonts w:eastAsia="Calibri"/>
          <w:sz w:val="24"/>
        </w:rPr>
        <w:t>1.</w:t>
      </w:r>
      <w:r>
        <w:rPr>
          <w:rFonts w:eastAsia="Calibri"/>
          <w:sz w:val="24"/>
        </w:rPr>
        <w:t xml:space="preserve"> </w:t>
      </w:r>
      <w:r w:rsidR="00FB5C26">
        <w:rPr>
          <w:rFonts w:eastAsia="Calibri"/>
          <w:sz w:val="24"/>
        </w:rPr>
        <w:t>W</w:t>
      </w:r>
      <w:r w:rsidRPr="001361B9">
        <w:rPr>
          <w:rFonts w:eastAsia="Calibri"/>
          <w:sz w:val="24"/>
        </w:rPr>
        <w:t>hether the standard is incorporated by reference;</w:t>
      </w:r>
    </w:p>
    <w:p w:rsidR="002C098E" w:rsidRPr="001361B9" w:rsidP="002C098E" w14:paraId="662B16F5" w14:textId="5D359ED8">
      <w:pPr>
        <w:spacing w:after="160" w:line="259" w:lineRule="auto"/>
        <w:rPr>
          <w:rFonts w:eastAsia="Calibri"/>
          <w:sz w:val="24"/>
        </w:rPr>
      </w:pPr>
      <w:r w:rsidRPr="001361B9">
        <w:rPr>
          <w:rFonts w:eastAsia="Calibri"/>
          <w:sz w:val="24"/>
        </w:rPr>
        <w:t>2.</w:t>
      </w:r>
      <w:r>
        <w:rPr>
          <w:rFonts w:eastAsia="Calibri"/>
          <w:sz w:val="24"/>
        </w:rPr>
        <w:t xml:space="preserve"> </w:t>
      </w:r>
      <w:r w:rsidR="00FB5C26">
        <w:rPr>
          <w:rFonts w:eastAsia="Calibri"/>
          <w:sz w:val="24"/>
        </w:rPr>
        <w:t>F</w:t>
      </w:r>
      <w:r w:rsidRPr="001361B9">
        <w:rPr>
          <w:rFonts w:eastAsia="Calibri"/>
          <w:sz w:val="24"/>
        </w:rPr>
        <w:t>or those standards not incorporated by reference, the tariff provision that complies with the standard; or</w:t>
      </w:r>
    </w:p>
    <w:p w:rsidR="002C098E" w:rsidP="002C098E" w14:paraId="1E1C96B6" w14:textId="6BA72CBA">
      <w:pPr>
        <w:spacing w:after="160" w:line="259" w:lineRule="auto"/>
        <w:rPr>
          <w:rFonts w:eastAsia="Calibri"/>
          <w:sz w:val="24"/>
        </w:rPr>
      </w:pPr>
      <w:r w:rsidRPr="001361B9">
        <w:rPr>
          <w:rFonts w:eastAsia="Calibri"/>
          <w:sz w:val="24"/>
        </w:rPr>
        <w:t>3.</w:t>
      </w:r>
      <w:r>
        <w:rPr>
          <w:rFonts w:eastAsia="Calibri"/>
          <w:sz w:val="24"/>
        </w:rPr>
        <w:t xml:space="preserve"> </w:t>
      </w:r>
      <w:r w:rsidR="00FB5C26">
        <w:rPr>
          <w:rFonts w:eastAsia="Calibri"/>
          <w:sz w:val="24"/>
        </w:rPr>
        <w:t>F</w:t>
      </w:r>
      <w:r w:rsidRPr="001361B9">
        <w:rPr>
          <w:rFonts w:eastAsia="Calibri"/>
          <w:sz w:val="24"/>
        </w:rPr>
        <w:t>or those standards with which the pipeline does not comply, an explanatory statement, including an indication of whether the pipeline has been granted a waiver, extension of time, or other variance with respect to compliance with the standard.</w:t>
      </w:r>
    </w:p>
    <w:p w:rsidR="0052415B" w:rsidP="00EB7781" w14:paraId="0F7C87A1" w14:textId="77777777">
      <w:pPr>
        <w:pStyle w:val="FERCparanumber"/>
        <w:numPr>
          <w:ilvl w:val="0"/>
          <w:numId w:val="0"/>
        </w:numPr>
        <w:rPr>
          <w:sz w:val="24"/>
        </w:rPr>
      </w:pPr>
    </w:p>
    <w:p w:rsidR="001361B9" w:rsidRPr="003F4D62" w:rsidP="005C6E8A" w14:paraId="62FF0BC4" w14:textId="72275546">
      <w:pPr>
        <w:pStyle w:val="Level1"/>
        <w:widowControl/>
        <w:tabs>
          <w:tab w:val="left" w:pos="-1440"/>
          <w:tab w:val="num" w:pos="720"/>
        </w:tabs>
      </w:pPr>
      <w:r w:rsidRPr="003F4D62">
        <w:rPr>
          <w:b/>
        </w:rPr>
        <w:t>HOW, BY WHOM, AND FOR WHAT PURPOSE THE INFORMATION IS TO BE USED AND THE CONSEQUENCES OF NOT COLLECTING THE INFORMATION</w:t>
      </w:r>
    </w:p>
    <w:p w:rsidR="009C4E66" w:rsidP="001D119A" w14:paraId="43844727" w14:textId="77777777">
      <w:pPr>
        <w:rPr>
          <w:sz w:val="24"/>
        </w:rPr>
      </w:pPr>
    </w:p>
    <w:p w:rsidR="009F3A44" w:rsidRPr="0042142E" w:rsidP="0042142E" w14:paraId="496A9E0E" w14:textId="74EE8D22">
      <w:r w:rsidRPr="00452F31">
        <w:t xml:space="preserve">The </w:t>
      </w:r>
      <w:r>
        <w:t>Final Rule</w:t>
      </w:r>
      <w:r w:rsidRPr="00452F31">
        <w:t xml:space="preserve"> revise</w:t>
      </w:r>
      <w:r>
        <w:t>s</w:t>
      </w:r>
      <w:r w:rsidRPr="00452F31">
        <w:t xml:space="preserve"> the information collection activities in FERC-54</w:t>
      </w:r>
      <w:r>
        <w:t>5</w:t>
      </w:r>
      <w:r w:rsidRPr="00452F31">
        <w:t xml:space="preserve"> </w:t>
      </w:r>
      <w:r>
        <w:t xml:space="preserve">by </w:t>
      </w:r>
      <w:r w:rsidRPr="007957D4">
        <w:t>modify</w:t>
      </w:r>
      <w:r>
        <w:t>ing</w:t>
      </w:r>
      <w:r w:rsidRPr="007957D4">
        <w:t xml:space="preserve"> </w:t>
      </w:r>
      <w:r>
        <w:t xml:space="preserve">an existing standard </w:t>
      </w:r>
      <w:r w:rsidRPr="007957D4">
        <w:t>WGQ Version 4.0</w:t>
      </w:r>
      <w:r>
        <w:t xml:space="preserve"> to </w:t>
      </w:r>
      <w:r w:rsidRPr="007957D4">
        <w:t>WGQ Standard No. 4.3.23 under the Quadrant Electronic Delivery Mechanism Standards manual</w:t>
      </w:r>
      <w:r>
        <w:t>.  It will</w:t>
      </w:r>
      <w:r w:rsidRPr="007957D4">
        <w:t xml:space="preserve"> establish a new information posting category, Gas Electric Coordination, for use by a transportation service provider as part of its Informational Postings Web site.  The revised WGQ Standard No. 4.3.23 creates a central location on an Informational Postings Web site where a transportation service provider can post publicly available data, including scheduled quantity information, to help RTOs/ISOs and other parties access these data.</w:t>
      </w:r>
      <w:r>
        <w:t xml:space="preserve"> </w:t>
      </w:r>
      <w:r w:rsidRPr="007957D4">
        <w:t xml:space="preserve"> </w:t>
      </w:r>
      <w:r>
        <w:t xml:space="preserve">Further, this Final Rule will add a new standard under the WGQ Capacity Release Standards.  The </w:t>
      </w:r>
      <w:r w:rsidRPr="008C4386">
        <w:t>new standard</w:t>
      </w:r>
      <w:r>
        <w:t xml:space="preserve"> in </w:t>
      </w:r>
      <w:r w:rsidRPr="008C4386">
        <w:t>WGQ Standard No. 5.3.74</w:t>
      </w:r>
      <w:r>
        <w:t xml:space="preserve">, will </w:t>
      </w:r>
      <w:r w:rsidRPr="00A20D17">
        <w:t>support the inclusion of geographic information when a natural gas transportation service provider issues a critical notice, such as geographic information of impacted areas, locations, and pipeline facilities.</w:t>
      </w:r>
      <w:r>
        <w:rPr>
          <w:b/>
          <w:vertAlign w:val="superscript"/>
        </w:rPr>
        <w:footnoteReference w:id="7"/>
      </w:r>
      <w:r w:rsidRPr="00A20D17">
        <w:t xml:space="preserve">  </w:t>
      </w:r>
    </w:p>
    <w:p w:rsidR="009F3A44" w:rsidRPr="00B77DBC" w:rsidP="009F3A44" w14:paraId="3441A37D" w14:textId="77777777">
      <w:pPr>
        <w:pStyle w:val="FERCparanumber"/>
        <w:numPr>
          <w:ilvl w:val="0"/>
          <w:numId w:val="0"/>
        </w:numPr>
        <w:rPr>
          <w:sz w:val="24"/>
        </w:rPr>
      </w:pPr>
    </w:p>
    <w:p w:rsidR="001361B9" w:rsidP="001D119A" w14:paraId="27FAD1CB" w14:textId="4B2330C9">
      <w:pPr>
        <w:rPr>
          <w:sz w:val="24"/>
        </w:rPr>
      </w:pPr>
      <w:r w:rsidRPr="00B77DBC">
        <w:rPr>
          <w:sz w:val="24"/>
        </w:rPr>
        <w:t>Failure to collect the FERC-549C data would prevent the Commission from monitoring and properly evaluating pipeline transactions and/or meeting statutory obligations under both the NGA and NGPA.</w:t>
      </w:r>
    </w:p>
    <w:p w:rsidR="00A463A9" w:rsidP="001D119A" w14:paraId="7789B90B" w14:textId="77777777">
      <w:pPr>
        <w:rPr>
          <w:sz w:val="24"/>
        </w:rPr>
      </w:pPr>
    </w:p>
    <w:p w:rsidR="00805CDD" w:rsidRPr="00E2173D" w:rsidP="00587EBC" w14:paraId="78A061C4" w14:textId="7C2CC2AA">
      <w:pPr>
        <w:spacing w:after="160" w:line="259" w:lineRule="auto"/>
        <w:rPr>
          <w:sz w:val="24"/>
        </w:rPr>
      </w:pPr>
      <w:r w:rsidRPr="001361B9">
        <w:rPr>
          <w:rFonts w:eastAsia="Calibri"/>
          <w:sz w:val="24"/>
        </w:rPr>
        <w:t>The implementation of these</w:t>
      </w:r>
      <w:r w:rsidR="00003368">
        <w:rPr>
          <w:rFonts w:eastAsia="Calibri"/>
          <w:sz w:val="24"/>
        </w:rPr>
        <w:t xml:space="preserve"> </w:t>
      </w:r>
      <w:r w:rsidRPr="00F7698D" w:rsidR="00003368">
        <w:rPr>
          <w:rFonts w:eastAsia="Calibri"/>
          <w:sz w:val="24"/>
        </w:rPr>
        <w:t>business practice</w:t>
      </w:r>
      <w:r w:rsidRPr="00F7698D">
        <w:rPr>
          <w:rFonts w:eastAsia="Calibri"/>
          <w:sz w:val="24"/>
        </w:rPr>
        <w:t xml:space="preserve"> standards</w:t>
      </w:r>
      <w:r w:rsidRPr="001361B9">
        <w:rPr>
          <w:rFonts w:eastAsia="Calibri"/>
          <w:sz w:val="24"/>
        </w:rPr>
        <w:t xml:space="preserve"> and regulations </w:t>
      </w:r>
      <w:r w:rsidR="00FE2B2C">
        <w:rPr>
          <w:rFonts w:eastAsia="Calibri"/>
          <w:sz w:val="24"/>
        </w:rPr>
        <w:t xml:space="preserve">has </w:t>
      </w:r>
      <w:r w:rsidRPr="001361B9">
        <w:rPr>
          <w:rFonts w:eastAsia="Calibri"/>
          <w:sz w:val="24"/>
        </w:rPr>
        <w:t>promote</w:t>
      </w:r>
      <w:r w:rsidR="00FE2B2C">
        <w:rPr>
          <w:rFonts w:eastAsia="Calibri"/>
          <w:sz w:val="24"/>
        </w:rPr>
        <w:t>d</w:t>
      </w:r>
      <w:r w:rsidRPr="001361B9">
        <w:rPr>
          <w:rFonts w:eastAsia="Calibri"/>
          <w:sz w:val="24"/>
        </w:rPr>
        <w:t xml:space="preserve"> the additional efficiency and reliability of the natural gas industries’ operations thereby helping the Commission to carry out its responsibilities under the NGA.  In addition, the Commission’s Office of Enforcement will use the data for general industry oversight. </w:t>
      </w:r>
      <w:r w:rsidR="00D75BF5">
        <w:rPr>
          <w:rFonts w:eastAsia="Calibri"/>
          <w:sz w:val="24"/>
        </w:rPr>
        <w:t xml:space="preserve"> </w:t>
      </w:r>
      <w:r w:rsidRPr="001361B9">
        <w:rPr>
          <w:rFonts w:eastAsia="Calibri"/>
          <w:sz w:val="24"/>
        </w:rPr>
        <w:t>These requirements conform to our plan for efficient information collection, communication, and management within the natural gas pipeline industries.</w:t>
      </w:r>
    </w:p>
    <w:p w:rsidR="00BC15BE" w:rsidRPr="001D119A" w:rsidP="001D119A" w14:paraId="29271503" w14:textId="39C57A15">
      <w:pPr>
        <w:pStyle w:val="Level1"/>
        <w:widowControl/>
        <w:tabs>
          <w:tab w:val="left" w:pos="-1440"/>
        </w:tabs>
        <w:rPr>
          <w:b/>
        </w:rPr>
      </w:pPr>
      <w:r w:rsidRPr="001D119A">
        <w:rPr>
          <w:b/>
        </w:rPr>
        <w:t>DESCRIBE ANY CONSIDERATION FOR THE USE OF IMPROVED INFORMATION TECHNOLOGY TO REDUCE BURDEN AND TECHNICAL OR LEGAL OBSTACLES TO REDUCING BURDEN</w:t>
      </w:r>
    </w:p>
    <w:p w:rsidR="00573C31" w:rsidP="00F8150C" w14:paraId="69014BD5" w14:textId="77777777">
      <w:pPr>
        <w:rPr>
          <w:sz w:val="24"/>
        </w:rPr>
      </w:pPr>
    </w:p>
    <w:p w:rsidR="007B7E0C" w:rsidP="00F90719" w14:paraId="2179F510" w14:textId="27F16460">
      <w:pPr>
        <w:rPr>
          <w:sz w:val="24"/>
        </w:rPr>
      </w:pPr>
      <w:r>
        <w:rPr>
          <w:sz w:val="24"/>
        </w:rPr>
        <w:t>T</w:t>
      </w:r>
      <w:r w:rsidRPr="00F5428B" w:rsidR="00F8150C">
        <w:rPr>
          <w:sz w:val="24"/>
        </w:rPr>
        <w:t xml:space="preserve">he Commission </w:t>
      </w:r>
      <w:r w:rsidR="00211E9F">
        <w:rPr>
          <w:sz w:val="24"/>
        </w:rPr>
        <w:t xml:space="preserve">has </w:t>
      </w:r>
      <w:r w:rsidRPr="00F5428B" w:rsidR="00F8150C">
        <w:rPr>
          <w:sz w:val="24"/>
        </w:rPr>
        <w:t xml:space="preserve">implemented the capability and requirement for electronic </w:t>
      </w:r>
      <w:r>
        <w:rPr>
          <w:sz w:val="24"/>
        </w:rPr>
        <w:t xml:space="preserve">tariff </w:t>
      </w:r>
      <w:r w:rsidRPr="00F5428B" w:rsidR="00F8150C">
        <w:rPr>
          <w:sz w:val="24"/>
        </w:rPr>
        <w:t>filing</w:t>
      </w:r>
      <w:r>
        <w:rPr>
          <w:sz w:val="24"/>
        </w:rPr>
        <w:t>s</w:t>
      </w:r>
      <w:r w:rsidR="00CC0BAF">
        <w:rPr>
          <w:sz w:val="24"/>
        </w:rPr>
        <w:t>.</w:t>
      </w:r>
      <w:r w:rsidR="009E1DDF">
        <w:rPr>
          <w:sz w:val="24"/>
        </w:rPr>
        <w:t xml:space="preserve"> </w:t>
      </w:r>
      <w:r>
        <w:rPr>
          <w:sz w:val="24"/>
        </w:rPr>
        <w:t xml:space="preserve">Further, the Commission </w:t>
      </w:r>
      <w:r w:rsidR="00211E9F">
        <w:rPr>
          <w:sz w:val="24"/>
        </w:rPr>
        <w:t xml:space="preserve">has </w:t>
      </w:r>
      <w:r w:rsidRPr="00F5428B" w:rsidR="00F8150C">
        <w:rPr>
          <w:sz w:val="24"/>
        </w:rPr>
        <w:t xml:space="preserve">improved the security </w:t>
      </w:r>
      <w:r>
        <w:rPr>
          <w:sz w:val="24"/>
        </w:rPr>
        <w:t xml:space="preserve">for </w:t>
      </w:r>
      <w:r w:rsidRPr="00F5428B" w:rsidR="00F8150C">
        <w:rPr>
          <w:sz w:val="24"/>
        </w:rPr>
        <w:t xml:space="preserve">submitting electronic </w:t>
      </w:r>
      <w:r>
        <w:rPr>
          <w:sz w:val="24"/>
        </w:rPr>
        <w:t xml:space="preserve">tariff </w:t>
      </w:r>
      <w:r w:rsidRPr="00F5428B" w:rsidR="00F8150C">
        <w:rPr>
          <w:sz w:val="24"/>
        </w:rPr>
        <w:t>filings</w:t>
      </w:r>
      <w:r>
        <w:rPr>
          <w:sz w:val="24"/>
        </w:rPr>
        <w:t xml:space="preserve">.  In addition, the Commission </w:t>
      </w:r>
      <w:r w:rsidR="00D2208D">
        <w:rPr>
          <w:sz w:val="24"/>
        </w:rPr>
        <w:t xml:space="preserve">has </w:t>
      </w:r>
      <w:r>
        <w:rPr>
          <w:sz w:val="24"/>
        </w:rPr>
        <w:t xml:space="preserve">improved </w:t>
      </w:r>
      <w:r w:rsidRPr="00F5428B" w:rsidR="00F8150C">
        <w:rPr>
          <w:sz w:val="24"/>
        </w:rPr>
        <w:t>the pipelines’ online process of appointing and modifying agents with the authority to make a</w:t>
      </w:r>
      <w:r>
        <w:rPr>
          <w:sz w:val="24"/>
        </w:rPr>
        <w:t xml:space="preserve">n electronic tariff </w:t>
      </w:r>
      <w:r w:rsidRPr="00F5428B" w:rsidR="00F8150C">
        <w:rPr>
          <w:sz w:val="24"/>
        </w:rPr>
        <w:t>filing on the pipeline’s behalf</w:t>
      </w:r>
      <w:r w:rsidR="006C2E0E">
        <w:rPr>
          <w:sz w:val="24"/>
        </w:rPr>
        <w:t>.</w:t>
      </w:r>
    </w:p>
    <w:p w:rsidR="00C4337B" w:rsidRPr="00F5428B" w:rsidP="00F8150C" w14:paraId="4984098A" w14:textId="77777777">
      <w:pPr>
        <w:rPr>
          <w:sz w:val="24"/>
        </w:rPr>
      </w:pPr>
    </w:p>
    <w:p w:rsidR="00BC15BE" w:rsidRPr="00F5428B" w:rsidP="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00BC15BE" w:rsidRPr="00F5428B" w:rsidP="00D2208D" w14:paraId="21267518" w14:textId="30A202D3">
      <w:pPr>
        <w:tabs>
          <w:tab w:val="num" w:pos="0"/>
        </w:tabs>
        <w:spacing w:before="100" w:beforeAutospacing="1" w:after="240"/>
      </w:pPr>
      <w:r w:rsidRPr="00F5428B">
        <w:rPr>
          <w:sz w:val="24"/>
        </w:rPr>
        <w:t>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w:t>
      </w:r>
    </w:p>
    <w:p w:rsidR="00BC15BE" w:rsidRPr="00F5428B" w:rsidP="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14:paraId="19CD3887" w14:textId="77777777">
      <w:pPr>
        <w:rPr>
          <w:sz w:val="24"/>
        </w:rPr>
      </w:pPr>
    </w:p>
    <w:p w:rsidR="00F8150C" w:rsidRPr="00F5428B" w:rsidP="00F8150C" w14:paraId="70FE6071" w14:textId="449740B2">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w:t>
      </w:r>
      <w:r w:rsidR="00015DA5">
        <w:rPr>
          <w:sz w:val="24"/>
        </w:rPr>
        <w:t>2</w:t>
      </w:r>
      <w:r w:rsidRPr="00F5428B">
        <w:rPr>
          <w:sz w:val="24"/>
        </w:rPr>
        <w:t xml:space="preserve">01) has established a size standard for pipelines </w:t>
      </w:r>
      <w:r w:rsidRPr="00F5428B">
        <w:rPr>
          <w:sz w:val="24"/>
        </w:rPr>
        <w:t xml:space="preserve">transporting natural gas, </w:t>
      </w:r>
      <w:r w:rsidR="00015DA5">
        <w:rPr>
          <w:sz w:val="24"/>
        </w:rPr>
        <w:t xml:space="preserve">currently </w:t>
      </w:r>
      <w:r w:rsidRPr="00F5428B">
        <w:rPr>
          <w:sz w:val="24"/>
        </w:rPr>
        <w:t xml:space="preserve">stating that a firm is a small entity if its </w:t>
      </w:r>
      <w:r w:rsidR="00015DA5">
        <w:rPr>
          <w:sz w:val="24"/>
        </w:rPr>
        <w:t xml:space="preserve">total </w:t>
      </w:r>
      <w:r w:rsidRPr="00F5428B">
        <w:rPr>
          <w:sz w:val="24"/>
        </w:rPr>
        <w:t>annual receipts (in</w:t>
      </w:r>
      <w:r w:rsidR="00015DA5">
        <w:rPr>
          <w:sz w:val="24"/>
        </w:rPr>
        <w:t xml:space="preserve"> combination with </w:t>
      </w:r>
      <w:r w:rsidRPr="00F5428B">
        <w:rPr>
          <w:sz w:val="24"/>
        </w:rPr>
        <w:t>its affiliates) are $</w:t>
      </w:r>
      <w:r w:rsidR="00845B87">
        <w:rPr>
          <w:sz w:val="24"/>
        </w:rPr>
        <w:t>41.5</w:t>
      </w:r>
      <w:r w:rsidRPr="00F5428B">
        <w:rPr>
          <w:sz w:val="24"/>
        </w:rPr>
        <w:t xml:space="preserve"> million or less.</w:t>
      </w:r>
      <w:r>
        <w:rPr>
          <w:rStyle w:val="FootnoteReference"/>
          <w:sz w:val="24"/>
          <w:szCs w:val="24"/>
        </w:rPr>
        <w:footnoteReference w:id="8"/>
      </w:r>
    </w:p>
    <w:p w:rsidR="00966D03" w:rsidP="00F8150C" w14:paraId="02FFEA5C" w14:textId="77777777">
      <w:pPr>
        <w:rPr>
          <w:b/>
          <w:sz w:val="24"/>
        </w:rPr>
      </w:pPr>
    </w:p>
    <w:p w:rsidR="00F8150C" w:rsidRPr="00F5428B" w:rsidP="00F8150C" w14:paraId="2ECE79F4" w14:textId="68F9C8C6">
      <w:pPr>
        <w:rPr>
          <w:sz w:val="24"/>
        </w:rPr>
      </w:pPr>
      <w:r w:rsidRPr="00F5428B">
        <w:rPr>
          <w:sz w:val="24"/>
        </w:rPr>
        <w:t xml:space="preserve">The </w:t>
      </w:r>
      <w:r w:rsidR="00F90719">
        <w:rPr>
          <w:sz w:val="24"/>
        </w:rPr>
        <w:t xml:space="preserve">FERC-549C </w:t>
      </w:r>
      <w:r w:rsidRPr="00F5428B">
        <w:rPr>
          <w:sz w:val="24"/>
        </w:rPr>
        <w:t>filing</w:t>
      </w:r>
      <w:r w:rsidR="0026065D">
        <w:rPr>
          <w:sz w:val="24"/>
        </w:rPr>
        <w:t>s</w:t>
      </w:r>
      <w:r w:rsidR="00D74895">
        <w:rPr>
          <w:sz w:val="24"/>
        </w:rPr>
        <w:t xml:space="preserve"> are</w:t>
      </w:r>
      <w:r w:rsidRPr="00F5428B">
        <w:rPr>
          <w:sz w:val="24"/>
        </w:rPr>
        <w:t xml:space="preserve"> requirement</w:t>
      </w:r>
      <w:r w:rsidR="000B2C2A">
        <w:rPr>
          <w:sz w:val="24"/>
        </w:rPr>
        <w:t>s</w:t>
      </w:r>
      <w:r w:rsidRPr="00F5428B">
        <w:rPr>
          <w:sz w:val="24"/>
        </w:rPr>
        <w:t xml:space="preserve"> related to pipeline rate filing obligations for the transportation and storage of natural gas.  The filing</w:t>
      </w:r>
      <w:r w:rsidR="000B2C2A">
        <w:rPr>
          <w:sz w:val="24"/>
        </w:rPr>
        <w:t>s</w:t>
      </w:r>
      <w:r w:rsidRPr="00F5428B">
        <w:rPr>
          <w:sz w:val="24"/>
        </w:rPr>
        <w:t xml:space="preserve"> collect data from both large and small respondent companies.  The data required </w:t>
      </w:r>
      <w:r w:rsidR="00382FE7">
        <w:rPr>
          <w:sz w:val="24"/>
        </w:rPr>
        <w:t>was</w:t>
      </w:r>
      <w:r w:rsidRPr="00F5428B" w:rsidR="00353A27">
        <w:rPr>
          <w:sz w:val="24"/>
        </w:rPr>
        <w:t xml:space="preserv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00BC15BE" w:rsidRPr="00F5428B" w:rsidP="00573C31" w14:paraId="1CB13102" w14:textId="77777777">
      <w:pPr>
        <w:pStyle w:val="FERCparanumber"/>
        <w:numPr>
          <w:ilvl w:val="0"/>
          <w:numId w:val="0"/>
        </w:numPr>
        <w:autoSpaceDE w:val="0"/>
        <w:autoSpaceDN w:val="0"/>
        <w:adjustRightInd w:val="0"/>
        <w:rPr>
          <w:sz w:val="24"/>
        </w:rPr>
      </w:pPr>
    </w:p>
    <w:p w:rsidR="00BC15BE" w:rsidRPr="00F5428B" w:rsidP="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14:paraId="2BA137A1" w14:textId="77777777">
      <w:pPr>
        <w:tabs>
          <w:tab w:val="left" w:pos="0"/>
        </w:tabs>
        <w:rPr>
          <w:sz w:val="24"/>
        </w:rPr>
      </w:pPr>
    </w:p>
    <w:p w:rsidR="00F8150C" w:rsidRPr="00F5428B" w:rsidP="00F8150C" w14:paraId="62DFD3E8" w14:textId="4A70A2E5">
      <w:pPr>
        <w:tabs>
          <w:tab w:val="left" w:pos="0"/>
        </w:tabs>
        <w:rPr>
          <w:sz w:val="24"/>
        </w:rPr>
      </w:pPr>
      <w:r>
        <w:rPr>
          <w:sz w:val="24"/>
        </w:rPr>
        <w:t xml:space="preserve">The </w:t>
      </w:r>
      <w:r w:rsidR="00573C31">
        <w:rPr>
          <w:sz w:val="24"/>
        </w:rPr>
        <w:t>FERC-549C</w:t>
      </w:r>
      <w:r w:rsidRPr="00F5428B">
        <w:rPr>
          <w:sz w:val="24"/>
        </w:rPr>
        <w:t xml:space="preserve"> </w:t>
      </w:r>
      <w:r w:rsidR="006811A2">
        <w:rPr>
          <w:sz w:val="24"/>
        </w:rPr>
        <w:t xml:space="preserve">collection activities in the </w:t>
      </w:r>
      <w:r w:rsidR="00797817">
        <w:rPr>
          <w:sz w:val="24"/>
        </w:rPr>
        <w:t>Final Rule</w:t>
      </w:r>
      <w:r w:rsidR="006811A2">
        <w:rPr>
          <w:sz w:val="24"/>
        </w:rPr>
        <w:t xml:space="preserve"> are</w:t>
      </w:r>
      <w:r w:rsidR="00BD6B0B">
        <w:rPr>
          <w:sz w:val="24"/>
        </w:rPr>
        <w:t xml:space="preserve"> one-time compliance filing</w:t>
      </w:r>
      <w:r w:rsidR="006F3A6E">
        <w:rPr>
          <w:sz w:val="24"/>
        </w:rPr>
        <w:t>s</w:t>
      </w:r>
      <w:r w:rsidRPr="00F5428B">
        <w:rPr>
          <w:sz w:val="24"/>
        </w:rPr>
        <w:t xml:space="preserve">.  Failure to collect the information would prohibit </w:t>
      </w:r>
      <w:r w:rsidR="001B1135">
        <w:rPr>
          <w:sz w:val="24"/>
        </w:rPr>
        <w:t>the Commission</w:t>
      </w:r>
      <w:r w:rsidRPr="00F5428B" w:rsidR="001B1135">
        <w:rPr>
          <w:sz w:val="24"/>
        </w:rPr>
        <w:t xml:space="preserve"> </w:t>
      </w:r>
      <w:r w:rsidRPr="00F5428B">
        <w:rPr>
          <w:sz w:val="24"/>
        </w:rPr>
        <w:t xml:space="preserve">from properly monitoring and evaluating pipeline transactions and meeting statutory obligations under </w:t>
      </w:r>
      <w:r w:rsidR="001B1135">
        <w:rPr>
          <w:sz w:val="24"/>
        </w:rPr>
        <w:t xml:space="preserve">the </w:t>
      </w:r>
      <w:r>
        <w:rPr>
          <w:sz w:val="24"/>
        </w:rPr>
        <w:t>Natural Gas Policy Act and Natural Gas Act.</w:t>
      </w:r>
    </w:p>
    <w:p w:rsidR="00BC15BE" w:rsidRPr="00F5428B" w:rsidP="00BC15BE" w14:paraId="3FD162DE" w14:textId="77777777">
      <w:pPr>
        <w:pStyle w:val="Level1"/>
        <w:widowControl/>
        <w:numPr>
          <w:ilvl w:val="0"/>
          <w:numId w:val="0"/>
        </w:numPr>
        <w:tabs>
          <w:tab w:val="left" w:pos="-1440"/>
        </w:tabs>
      </w:pPr>
    </w:p>
    <w:p w:rsidR="00BC15BE" w:rsidRPr="00F5428B" w:rsidP="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00BC15BE" w:rsidRPr="00F5428B" w:rsidP="00BC15BE" w14:paraId="217EEBCF" w14:textId="77777777">
      <w:pPr>
        <w:pStyle w:val="Level1"/>
        <w:numPr>
          <w:ilvl w:val="0"/>
          <w:numId w:val="0"/>
        </w:numPr>
      </w:pPr>
    </w:p>
    <w:p w:rsidR="00F8150C" w:rsidRPr="00F5428B" w:rsidP="00BC15BE" w14:paraId="41837890" w14:textId="63AB7DF5">
      <w:pPr>
        <w:pStyle w:val="Level1"/>
        <w:numPr>
          <w:ilvl w:val="0"/>
          <w:numId w:val="0"/>
        </w:numPr>
      </w:pPr>
      <w:r>
        <w:t xml:space="preserve">The </w:t>
      </w:r>
      <w:r w:rsidR="00573C31">
        <w:t xml:space="preserve">549C </w:t>
      </w:r>
      <w:r w:rsidRPr="00F5428B">
        <w:t>present</w:t>
      </w:r>
      <w:r>
        <w:t>s</w:t>
      </w:r>
      <w:r w:rsidRPr="00F5428B">
        <w:t xml:space="preserve"> no special circumstances.</w:t>
      </w:r>
    </w:p>
    <w:p w:rsidR="00F45B52" w:rsidRPr="00F5428B" w:rsidP="00BC15BE" w14:paraId="6BB4F597" w14:textId="77777777">
      <w:pPr>
        <w:pStyle w:val="Level1"/>
        <w:numPr>
          <w:ilvl w:val="0"/>
          <w:numId w:val="0"/>
        </w:numPr>
      </w:pPr>
    </w:p>
    <w:p w:rsidR="00BC15BE" w:rsidRPr="00F5428B" w:rsidP="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14:paraId="517D2728" w14:textId="169B5E3F">
      <w:pPr>
        <w:tabs>
          <w:tab w:val="left" w:pos="-1440"/>
        </w:tabs>
        <w:rPr>
          <w:sz w:val="24"/>
        </w:rPr>
      </w:pPr>
    </w:p>
    <w:p w:rsidR="00797817" w:rsidRPr="00235F32" w:rsidP="00797817" w14:paraId="3029FDB0" w14:textId="7C735A10">
      <w:pPr>
        <w:tabs>
          <w:tab w:val="left" w:pos="-1440"/>
        </w:tabs>
        <w:rPr>
          <w:sz w:val="24"/>
        </w:rPr>
      </w:pPr>
      <w:r w:rsidRPr="00FC5166">
        <w:t xml:space="preserve">The Commission published the </w:t>
      </w:r>
      <w:r>
        <w:t xml:space="preserve">NOPR </w:t>
      </w:r>
      <w:r w:rsidRPr="00FC5166">
        <w:t xml:space="preserve">on </w:t>
      </w:r>
      <w:r w:rsidRPr="00B56676">
        <w:rPr>
          <w:sz w:val="24"/>
        </w:rPr>
        <w:t>November 19, 2025 (</w:t>
      </w:r>
      <w:r w:rsidRPr="00F7701B">
        <w:rPr>
          <w:sz w:val="24"/>
        </w:rPr>
        <w:t>90 FR 52012</w:t>
      </w:r>
      <w:r w:rsidRPr="00B56676">
        <w:rPr>
          <w:sz w:val="24"/>
        </w:rPr>
        <w:t>) and</w:t>
      </w:r>
      <w:r w:rsidRPr="008A7D8A">
        <w:rPr>
          <w:sz w:val="24"/>
        </w:rPr>
        <w:t xml:space="preserve"> invited public comments until </w:t>
      </w:r>
      <w:r w:rsidRPr="00B56676">
        <w:rPr>
          <w:sz w:val="24"/>
        </w:rPr>
        <w:t>January 20, 2025.</w:t>
      </w:r>
      <w:r>
        <w:rPr>
          <w:sz w:val="24"/>
        </w:rPr>
        <w:t xml:space="preserve"> The Commission received a total of eight comments regarding the proposed rule. Of these, only one comment specifically addressed matters related to the Paperwork Reduction Act (PRA).  </w:t>
      </w:r>
      <w:r>
        <w:t>The</w:t>
      </w:r>
      <w:r w:rsidRPr="00756380">
        <w:t xml:space="preserve"> individual</w:t>
      </w:r>
      <w:r>
        <w:t xml:space="preserve"> who </w:t>
      </w:r>
      <w:r w:rsidRPr="00AD3384">
        <w:t xml:space="preserve">filed </w:t>
      </w:r>
      <w:r>
        <w:t xml:space="preserve">the </w:t>
      </w:r>
      <w:r w:rsidRPr="00AD3384">
        <w:t>comment</w:t>
      </w:r>
      <w:r>
        <w:t xml:space="preserve"> pertaining to the PRA</w:t>
      </w:r>
      <w:r w:rsidRPr="00AD3384">
        <w:t xml:space="preserve"> oppos</w:t>
      </w:r>
      <w:r>
        <w:t>es</w:t>
      </w:r>
      <w:r w:rsidRPr="00AD3384">
        <w:t xml:space="preserve"> the NOPR proposal, arguing that the paperwork and compliance burdens were understated and raised general concerns about regulatory burdens.  However, this commenter </w:t>
      </w:r>
      <w:r>
        <w:t>does</w:t>
      </w:r>
      <w:r w:rsidRPr="00AD3384">
        <w:t xml:space="preserve"> not address or find fault with any specific proposed NAESB standards modification</w:t>
      </w:r>
      <w:r>
        <w:t xml:space="preserve"> nor proposes to make any specific changes regarding the proposed standards</w:t>
      </w:r>
      <w:r w:rsidRPr="00AD3384">
        <w:t>.</w:t>
      </w:r>
      <w:r w:rsidR="00E52C29">
        <w:t xml:space="preserve"> The Final Rule Published on May 28, 2026 (91 FR 31651)</w:t>
      </w:r>
    </w:p>
    <w:p w:rsidR="000E2B1D" w:rsidP="000E2B1D" w14:paraId="4622719D" w14:textId="77777777">
      <w:pPr>
        <w:tabs>
          <w:tab w:val="left" w:pos="-1440"/>
        </w:tabs>
        <w:rPr>
          <w:sz w:val="24"/>
        </w:rPr>
      </w:pPr>
    </w:p>
    <w:p w:rsidR="00BC15BE" w:rsidRPr="000E2B1D" w:rsidP="000E2B1D" w14:paraId="3AD239FD" w14:textId="2B025DBC">
      <w:pPr>
        <w:pStyle w:val="Level1"/>
        <w:tabs>
          <w:tab w:val="left" w:pos="-1440"/>
        </w:tabs>
        <w:rPr>
          <w:b/>
          <w:bCs/>
        </w:rPr>
      </w:pPr>
      <w:r w:rsidRPr="000E2B1D">
        <w:rPr>
          <w:b/>
          <w:bCs/>
        </w:rPr>
        <w:t>EXPLAIN</w:t>
      </w:r>
      <w:r w:rsidRPr="000E2B1D">
        <w:rPr>
          <w:b/>
        </w:rPr>
        <w:t xml:space="preserve"> ANY PAYMENT OR GIFTS TO RESPONDENTS</w:t>
      </w:r>
    </w:p>
    <w:p w:rsidR="002F39BD" w:rsidP="00BC15BE" w14:paraId="7051282D" w14:textId="77777777">
      <w:pPr>
        <w:rPr>
          <w:sz w:val="24"/>
        </w:rPr>
      </w:pPr>
    </w:p>
    <w:p w:rsidR="00BC15BE" w:rsidRPr="00F5428B" w:rsidP="00BC15BE" w14:paraId="747F4580" w14:textId="2F1C0C88">
      <w:pPr>
        <w:rPr>
          <w:sz w:val="24"/>
        </w:rPr>
      </w:pPr>
      <w:r w:rsidRPr="00F5428B">
        <w:rPr>
          <w:sz w:val="24"/>
        </w:rPr>
        <w:t>There are no payments or gifts</w:t>
      </w:r>
      <w:r w:rsidR="000326C9">
        <w:rPr>
          <w:sz w:val="24"/>
        </w:rPr>
        <w:t xml:space="preserve"> made or given </w:t>
      </w:r>
      <w:r w:rsidRPr="00F5428B">
        <w:rPr>
          <w:sz w:val="24"/>
        </w:rPr>
        <w:t>to respondents associated with</w:t>
      </w:r>
      <w:r w:rsidR="00CC7AD5">
        <w:rPr>
          <w:sz w:val="24"/>
        </w:rPr>
        <w:t xml:space="preserve"> </w:t>
      </w:r>
      <w:r w:rsidRPr="00F5428B" w:rsidR="00F8150C">
        <w:rPr>
          <w:sz w:val="24"/>
        </w:rPr>
        <w:t>FERC-</w:t>
      </w:r>
      <w:r w:rsidR="00573C31">
        <w:rPr>
          <w:sz w:val="24"/>
        </w:rPr>
        <w:t>549C</w:t>
      </w:r>
      <w:r w:rsidR="006512E7">
        <w:rPr>
          <w:sz w:val="24"/>
        </w:rPr>
        <w:t>.</w:t>
      </w:r>
    </w:p>
    <w:p w:rsidR="00BC15BE" w:rsidRPr="00F5428B" w:rsidP="00BC15BE" w14:paraId="519A22C7" w14:textId="77777777">
      <w:pPr>
        <w:ind w:left="720" w:hanging="720"/>
        <w:rPr>
          <w:b/>
          <w:bCs/>
          <w:sz w:val="24"/>
        </w:rPr>
      </w:pPr>
    </w:p>
    <w:p w:rsidR="00BC15BE" w:rsidRPr="000973F8" w:rsidP="000973F8" w14:paraId="2135200F" w14:textId="7B294BF4">
      <w:pPr>
        <w:pStyle w:val="Level1"/>
        <w:numPr>
          <w:ilvl w:val="0"/>
          <w:numId w:val="18"/>
        </w:numPr>
        <w:rPr>
          <w:b/>
        </w:rPr>
      </w:pPr>
      <w:r>
        <w:rPr>
          <w:bCs/>
        </w:rPr>
        <w:t xml:space="preserve"> </w:t>
      </w:r>
      <w:r w:rsidRPr="000973F8">
        <w:rPr>
          <w:b/>
        </w:rPr>
        <w:t>DESCRIBE ANY ASSURANCE OF CONFIDENTIALITY PROVIDED TO RESPONDENTS</w:t>
      </w:r>
    </w:p>
    <w:p w:rsidR="00DF6937" w:rsidRPr="000973F8" w:rsidP="000973F8" w14:paraId="7CAC0BB8" w14:textId="77777777">
      <w:pPr>
        <w:pStyle w:val="Level1"/>
        <w:numPr>
          <w:ilvl w:val="0"/>
          <w:numId w:val="0"/>
        </w:numPr>
        <w:ind w:left="720"/>
        <w:rPr>
          <w:b/>
        </w:rPr>
      </w:pPr>
    </w:p>
    <w:p w:rsidR="00B76E06" w:rsidP="00BC15BE" w14:paraId="78780F5D" w14:textId="67F5B321">
      <w:pPr>
        <w:rPr>
          <w:sz w:val="24"/>
        </w:rPr>
      </w:pPr>
      <w:r>
        <w:rPr>
          <w:sz w:val="24"/>
        </w:rPr>
        <w:t xml:space="preserve">The </w:t>
      </w:r>
      <w:r w:rsidR="00797817">
        <w:rPr>
          <w:sz w:val="24"/>
        </w:rPr>
        <w:t>Final Rule</w:t>
      </w:r>
      <w:r>
        <w:rPr>
          <w:sz w:val="24"/>
        </w:rPr>
        <w:t xml:space="preserve"> in Docket No, </w:t>
      </w:r>
      <w:r w:rsidR="00036D98">
        <w:rPr>
          <w:sz w:val="24"/>
        </w:rPr>
        <w:t>RM96-1-044</w:t>
      </w:r>
      <w:r>
        <w:rPr>
          <w:sz w:val="24"/>
        </w:rPr>
        <w:t xml:space="preserve"> does not affect assurances of confidentiality.  In the previously approved Standards, </w:t>
      </w:r>
      <w:r w:rsidRPr="00D72E84" w:rsidR="00DF6937">
        <w:rPr>
          <w:sz w:val="24"/>
        </w:rPr>
        <w:t>NAESB</w:t>
      </w:r>
      <w:r w:rsidRPr="00DF6937" w:rsidR="00DF6937">
        <w:rPr>
          <w:sz w:val="24"/>
        </w:rPr>
        <w:t xml:space="preserve"> added language to existing Standards 4.3.60, 4.3.61, 10.2.33, and 10.3.25 to clarify the Transport Layer Security protocol,</w:t>
      </w:r>
      <w:r>
        <w:rPr>
          <w:b/>
          <w:sz w:val="24"/>
          <w:vertAlign w:val="superscript"/>
        </w:rPr>
        <w:footnoteReference w:id="9"/>
      </w:r>
      <w:r w:rsidRPr="00DF6937" w:rsidR="00DF6937">
        <w:rPr>
          <w:sz w:val="24"/>
        </w:rPr>
        <w:t xml:space="preserve"> which encrypts data to hide information from electronic observers on the internet.  NAESB also deleted all references to the Secure Sockets Layer protocol in the standards. Concerning identification key lengths, the Sandia Surety Assessment recommended that Rivest-Shamir-Adelman keys</w:t>
      </w:r>
      <w:r>
        <w:rPr>
          <w:b/>
          <w:sz w:val="24"/>
          <w:vertAlign w:val="superscript"/>
        </w:rPr>
        <w:footnoteReference w:id="10"/>
      </w:r>
      <w:r w:rsidRPr="00DF6937" w:rsidR="00DF6937">
        <w:rPr>
          <w:sz w:val="24"/>
        </w:rPr>
        <w:t xml:space="preserve"> must be no shorter than 2048 bits, Elliptic Curve Digital Signature Algorithm keys</w:t>
      </w:r>
      <w:r>
        <w:rPr>
          <w:b/>
          <w:sz w:val="24"/>
          <w:vertAlign w:val="superscript"/>
        </w:rPr>
        <w:footnoteReference w:id="11"/>
      </w:r>
      <w:r w:rsidRPr="00DF6937" w:rsidR="00DF6937">
        <w:rPr>
          <w:sz w:val="24"/>
        </w:rPr>
        <w:t xml:space="preserve"> must be no shorter than 224 bits, Hash</w:t>
      </w:r>
      <w:r>
        <w:rPr>
          <w:b/>
          <w:sz w:val="24"/>
          <w:vertAlign w:val="superscript"/>
        </w:rPr>
        <w:footnoteReference w:id="12"/>
      </w:r>
      <w:r w:rsidRPr="00DF6937" w:rsidR="00DF6937">
        <w:rPr>
          <w:sz w:val="24"/>
        </w:rPr>
        <w:t xml:space="preserve"> algorithms should be from the Secure Hash Algorithm (SHA)-2</w:t>
      </w:r>
      <w:r>
        <w:rPr>
          <w:b/>
          <w:sz w:val="24"/>
          <w:vertAlign w:val="superscript"/>
        </w:rPr>
        <w:footnoteReference w:id="13"/>
      </w:r>
      <w:r w:rsidRPr="00DF6937" w:rsidR="00DF6937">
        <w:rPr>
          <w:sz w:val="24"/>
        </w:rPr>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(PGP)</w:t>
      </w:r>
      <w:r>
        <w:rPr>
          <w:b/>
          <w:sz w:val="24"/>
          <w:vertAlign w:val="superscript"/>
        </w:rPr>
        <w:footnoteReference w:id="14"/>
      </w:r>
      <w:r w:rsidR="00CC0BAF">
        <w:rPr>
          <w:sz w:val="24"/>
        </w:rPr>
        <w:t xml:space="preserve"> </w:t>
      </w:r>
      <w:r w:rsidRPr="00DF6937" w:rsidR="00DF6937">
        <w:rPr>
          <w:sz w:val="24"/>
        </w:rPr>
        <w:t>related hyperlink and to accommodate license-free OpenPGP, respectively.  NAESB also adopted a new Standard 10.2.39 to specify that OpenPGP should be used to create public and private keys for privacy and digital signature applications.</w:t>
      </w:r>
    </w:p>
    <w:p w:rsidR="00B76E06" w:rsidP="00BC15BE" w14:paraId="5D2E3CB2" w14:textId="77777777">
      <w:pPr>
        <w:rPr>
          <w:sz w:val="24"/>
        </w:rPr>
      </w:pPr>
    </w:p>
    <w:p w:rsidR="00F8150C" w:rsidP="00BC15BE" w14:paraId="3346081C" w14:textId="30F25EDE">
      <w:pPr>
        <w:rPr>
          <w:sz w:val="24"/>
        </w:rPr>
      </w:pPr>
      <w:r w:rsidRPr="00DF6937">
        <w:rPr>
          <w:sz w:val="24"/>
        </w:rPr>
        <w:t>In general, for submittals to the Commission, filers may submit specific requests for confidential treatment to the extent permitted by law; details are available in 18 C.F.R. Section 388.112.</w:t>
      </w:r>
    </w:p>
    <w:p w:rsidR="00206528" w:rsidRPr="00F5428B" w:rsidP="00BC15BE" w14:paraId="412A393E" w14:textId="77777777">
      <w:pPr>
        <w:rPr>
          <w:sz w:val="24"/>
        </w:rPr>
      </w:pPr>
    </w:p>
    <w:p w:rsidR="00BC15BE" w:rsidRPr="00F5428B" w:rsidP="00BC15BE" w14:paraId="20B1F703" w14:textId="77777777">
      <w:pPr>
        <w:pStyle w:val="Level1"/>
        <w:numPr>
          <w:ilvl w:val="0"/>
          <w:numId w:val="3"/>
        </w:numPr>
        <w:rPr>
          <w:b/>
        </w:rPr>
      </w:pPr>
      <w:r w:rsidRPr="00F5428B">
        <w:rPr>
          <w:b/>
        </w:rPr>
        <w:t xml:space="preserve">PROVIDE ADDITIONAL JUSTIFICATION FOR ANY QUESTIONS OF A SENSITIVE NATURE, SUCH AS SEXUAL BEHAVIOR AND ATTITUDES, RELIGIOUS BELIEFS, AND OTHER MATTERS THAT ARE COMMONLY </w:t>
      </w:r>
      <w:r w:rsidRPr="00F5428B">
        <w:rPr>
          <w:b/>
        </w:rPr>
        <w:t>CONSIDERED PRIVATE.</w:t>
      </w:r>
    </w:p>
    <w:p w:rsidR="00A17430" w:rsidP="00BC15BE" w14:paraId="46AEDFC5" w14:textId="77777777">
      <w:pPr>
        <w:rPr>
          <w:sz w:val="24"/>
        </w:rPr>
      </w:pPr>
    </w:p>
    <w:p w:rsidR="00BC15BE" w:rsidRPr="00F5428B" w:rsidP="00BC15BE" w14:paraId="3DCB60E8" w14:textId="77777777">
      <w:pPr>
        <w:rPr>
          <w:sz w:val="24"/>
        </w:rPr>
      </w:pPr>
      <w:r w:rsidRPr="00F5428B">
        <w:rPr>
          <w:sz w:val="24"/>
        </w:rPr>
        <w:t>There are no questions of a sensitive nature in the reporting requirements.</w:t>
      </w:r>
    </w:p>
    <w:p w:rsidR="00BC15BE" w:rsidRPr="00F5428B" w:rsidP="00BC15BE" w14:paraId="3E51840A" w14:textId="77777777">
      <w:pPr>
        <w:rPr>
          <w:sz w:val="24"/>
        </w:rPr>
      </w:pPr>
    </w:p>
    <w:p w:rsidR="00BC15BE" w:rsidP="00BC15BE" w14:paraId="584352B7" w14:textId="1EBBC641">
      <w:pPr>
        <w:pStyle w:val="Level1"/>
        <w:rPr>
          <w:b/>
        </w:rPr>
      </w:pPr>
      <w:r w:rsidRPr="00F5428B">
        <w:rPr>
          <w:b/>
        </w:rPr>
        <w:t>ESTIMATED BURDEN OF COLLECTION OF INFORMATION</w:t>
      </w:r>
    </w:p>
    <w:p w:rsidR="006D5606" w:rsidRPr="00F5428B" w:rsidP="006D5606" w14:paraId="24B166E2" w14:textId="77777777">
      <w:pPr>
        <w:pStyle w:val="Level1"/>
        <w:numPr>
          <w:ilvl w:val="0"/>
          <w:numId w:val="0"/>
        </w:numPr>
        <w:rPr>
          <w:b/>
        </w:rPr>
      </w:pPr>
    </w:p>
    <w:p w:rsidR="001F63CC" w:rsidRPr="001F63CC" w:rsidP="001F63CC" w14:paraId="589F53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42537">
        <w:rPr>
          <w:i/>
          <w:szCs w:val="26"/>
        </w:rPr>
        <w:t>Estimate of Annual Burden</w:t>
      </w:r>
      <w:r w:rsidR="00A66BEE">
        <w:rPr>
          <w:i/>
          <w:szCs w:val="26"/>
        </w:rPr>
        <w:t>:</w:t>
      </w:r>
      <w:r>
        <w:rPr>
          <w:b/>
          <w:iCs/>
          <w:szCs w:val="26"/>
          <w:vertAlign w:val="superscript"/>
        </w:rPr>
        <w:footnoteReference w:id="15"/>
      </w:r>
      <w:r w:rsidRPr="003554D7">
        <w:rPr>
          <w:iCs/>
        </w:rPr>
        <w:t xml:space="preserve"> </w:t>
      </w:r>
      <w:r w:rsidRPr="001F63CC">
        <w:rPr>
          <w:iCs/>
          <w:szCs w:val="26"/>
        </w:rPr>
        <w:t xml:space="preserve">The estimated hourly cost (salary plus benefits) provided in this section is based on the salary figures for May 2024 posted on April 2, 2025 by the Bureau of Labor Statistics for the Utilities sector (available at https://www.bls.gov/oes/current/naics2_22.htm) and scaled to reflect benefits using the relative importance of employer costs for employee compensation (available at https://www.bls.gov/news.release/ecec.nr0.htm).  The hourly estimates for salary plus benefits are: </w:t>
      </w:r>
    </w:p>
    <w:p w:rsidR="001F63CC" w:rsidRPr="001F63CC" w:rsidP="001F63CC" w14:paraId="7362E2B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Computer and Information Systems Manager (Occupation Code:  11-3021), $110.62</w:t>
      </w:r>
    </w:p>
    <w:p w:rsidR="001F63CC" w:rsidRPr="001F63CC" w:rsidP="001F63CC" w14:paraId="33A074DA"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Computer and Information Analysts (Occupation Code:  15-1210), $68.34</w:t>
      </w:r>
    </w:p>
    <w:p w:rsidR="001F63CC" w:rsidRPr="001F63CC" w:rsidP="001F63CC" w14:paraId="2DAF981A"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Electrical Engineer (Occupation Code:  17-2071), $71.19</w:t>
      </w:r>
    </w:p>
    <w:p w:rsidR="001F63CC" w:rsidRPr="001F63CC" w:rsidP="001F63CC" w14:paraId="446AED2B"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Legal (Occupation Code:  23-0000), $140.76</w:t>
      </w:r>
    </w:p>
    <w:p w:rsidR="001F63CC" w:rsidP="001F63CC" w14:paraId="3BC75F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A66BEE" w:rsidP="001F63CC" w14:paraId="46B447D3" w14:textId="5E188C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6"/>
        </w:rPr>
      </w:pPr>
      <w:r w:rsidRPr="001F63CC">
        <w:rPr>
          <w:iCs/>
          <w:szCs w:val="26"/>
        </w:rPr>
        <w:t xml:space="preserve">The average hourly cost (salary plus benefits), </w:t>
      </w:r>
      <w:r w:rsidRPr="001F63CC" w:rsidR="003853D0">
        <w:rPr>
          <w:iCs/>
          <w:szCs w:val="26"/>
        </w:rPr>
        <w:t>weighing</w:t>
      </w:r>
      <w:r w:rsidRPr="001F63CC">
        <w:rPr>
          <w:iCs/>
          <w:szCs w:val="26"/>
        </w:rPr>
        <w:t xml:space="preserve"> these skill sets evenly, is $97.728.  We round it to $98/hour</w:t>
      </w:r>
    </w:p>
    <w:p w:rsidR="001F63CC" w:rsidP="006D5606" w14:paraId="45D72A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001E4AEE" w:rsidP="006D5606" w14:paraId="47D509A5" w14:textId="6A9A8B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342537">
        <w:rPr>
          <w:szCs w:val="26"/>
        </w:rPr>
        <w:t xml:space="preserve">The Commission estimates the </w:t>
      </w:r>
      <w:r w:rsidR="00087122">
        <w:rPr>
          <w:szCs w:val="26"/>
        </w:rPr>
        <w:t xml:space="preserve">estimated </w:t>
      </w:r>
      <w:r w:rsidRPr="00342537">
        <w:rPr>
          <w:szCs w:val="26"/>
        </w:rPr>
        <w:t>annual burden and cost</w:t>
      </w:r>
      <w:r w:rsidRPr="00342537">
        <w:rPr>
          <w:szCs w:val="26"/>
          <w:vertAlign w:val="superscript"/>
        </w:rPr>
        <w:t xml:space="preserve"> </w:t>
      </w:r>
      <w:r w:rsidRPr="00342537">
        <w:rPr>
          <w:szCs w:val="26"/>
        </w:rPr>
        <w:t>for this information collection</w:t>
      </w:r>
      <w:r w:rsidR="00087122">
        <w:rPr>
          <w:szCs w:val="26"/>
        </w:rPr>
        <w:t xml:space="preserve">, due to the proposed rule in Docket No. </w:t>
      </w:r>
      <w:r w:rsidR="00036D98">
        <w:rPr>
          <w:szCs w:val="26"/>
        </w:rPr>
        <w:t>RM96-1-044</w:t>
      </w:r>
      <w:r w:rsidR="00087122">
        <w:rPr>
          <w:szCs w:val="26"/>
        </w:rPr>
        <w:t xml:space="preserve">, </w:t>
      </w:r>
      <w:r w:rsidRPr="00342537">
        <w:rPr>
          <w:szCs w:val="26"/>
        </w:rPr>
        <w:t>as follows:</w:t>
      </w:r>
    </w:p>
    <w:p w:rsidR="001E4AEE" w:rsidP="006D5606" w14:paraId="274829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Style w:val="TableGrid"/>
        <w:tblW w:w="0" w:type="auto"/>
        <w:tblLook w:val="04A0"/>
      </w:tblPr>
      <w:tblGrid>
        <w:gridCol w:w="1147"/>
        <w:gridCol w:w="1453"/>
        <w:gridCol w:w="1447"/>
        <w:gridCol w:w="1240"/>
        <w:gridCol w:w="1193"/>
        <w:gridCol w:w="1511"/>
        <w:gridCol w:w="1359"/>
      </w:tblGrid>
      <w:tr w14:paraId="00F019D7" w14:textId="5617D641" w:rsidTr="00314611">
        <w:tblPrEx>
          <w:tblW w:w="0" w:type="auto"/>
          <w:tblLook w:val="04A0"/>
        </w:tblPrEx>
        <w:tc>
          <w:tcPr>
            <w:tcW w:w="0" w:type="auto"/>
            <w:shd w:val="clear" w:color="auto" w:fill="D9D9D9" w:themeFill="background1" w:themeFillShade="D9"/>
            <w:vAlign w:val="bottom"/>
          </w:tcPr>
          <w:p w:rsidR="004E6EB6" w:rsidRPr="00314611" w:rsidP="00F74462" w14:paraId="56E6DEA4" w14:textId="4808A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Type of Response</w:t>
            </w:r>
          </w:p>
        </w:tc>
        <w:tc>
          <w:tcPr>
            <w:tcW w:w="0" w:type="auto"/>
            <w:shd w:val="clear" w:color="auto" w:fill="D9D9D9" w:themeFill="background1" w:themeFillShade="D9"/>
            <w:vAlign w:val="bottom"/>
          </w:tcPr>
          <w:p w:rsidR="004E6EB6" w:rsidRPr="00314611" w:rsidP="00F74462" w14:paraId="53EC08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Number of Respondents</w:t>
            </w:r>
          </w:p>
          <w:p w:rsidR="004E6EB6" w:rsidRPr="00314611" w:rsidP="00F74462" w14:paraId="71F81331" w14:textId="629808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(1)</w:t>
            </w:r>
          </w:p>
        </w:tc>
        <w:tc>
          <w:tcPr>
            <w:tcW w:w="0" w:type="auto"/>
            <w:shd w:val="clear" w:color="auto" w:fill="D9D9D9" w:themeFill="background1" w:themeFillShade="D9"/>
            <w:vAlign w:val="bottom"/>
          </w:tcPr>
          <w:p w:rsidR="004E6EB6" w:rsidRPr="00314611" w:rsidP="00F74462" w14:paraId="25ADA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Average Number of Responses per Respondent</w:t>
            </w:r>
          </w:p>
          <w:p w:rsidR="004E6EB6" w:rsidRPr="00314611" w:rsidP="00F74462" w14:paraId="550521EE" w14:textId="67C37B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(2)</w:t>
            </w:r>
          </w:p>
        </w:tc>
        <w:tc>
          <w:tcPr>
            <w:tcW w:w="0" w:type="auto"/>
            <w:shd w:val="clear" w:color="auto" w:fill="D9D9D9" w:themeFill="background1" w:themeFillShade="D9"/>
            <w:vAlign w:val="bottom"/>
          </w:tcPr>
          <w:p w:rsidR="004E6EB6" w:rsidRPr="00314611" w:rsidP="00F74462" w14:paraId="173043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Total Number of Responses</w:t>
            </w:r>
          </w:p>
          <w:p w:rsidR="004E6EB6" w:rsidRPr="00314611" w:rsidP="00F74462" w14:paraId="40F38D4A" w14:textId="477C4C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(3)</w:t>
            </w:r>
          </w:p>
        </w:tc>
        <w:tc>
          <w:tcPr>
            <w:tcW w:w="0" w:type="auto"/>
            <w:shd w:val="clear" w:color="auto" w:fill="D9D9D9" w:themeFill="background1" w:themeFillShade="D9"/>
            <w:vAlign w:val="bottom"/>
          </w:tcPr>
          <w:p w:rsidR="004E6EB6" w:rsidRPr="00314611" w:rsidP="00F74462" w14:paraId="2C2FE3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Average Burden &amp; Cost per Response</w:t>
            </w:r>
          </w:p>
          <w:p w:rsidR="00602A6B" w:rsidRPr="00314611" w:rsidP="00F74462" w14:paraId="5A8023F3" w14:textId="61C46C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(4)</w:t>
            </w:r>
          </w:p>
        </w:tc>
        <w:tc>
          <w:tcPr>
            <w:tcW w:w="0" w:type="auto"/>
            <w:shd w:val="clear" w:color="auto" w:fill="D9D9D9" w:themeFill="background1" w:themeFillShade="D9"/>
            <w:vAlign w:val="bottom"/>
          </w:tcPr>
          <w:p w:rsidR="004E6EB6" w:rsidRPr="00314611" w:rsidP="00F74462" w14:paraId="60A927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Total Annual Burden Hours &amp; Total Annual Cost</w:t>
            </w:r>
          </w:p>
          <w:p w:rsidR="004E6EB6" w:rsidRPr="00314611" w:rsidP="00F74462" w14:paraId="4AD0FADC" w14:textId="72A958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(3</w:t>
            </w:r>
            <w:r w:rsidRPr="00314611" w:rsidR="007A268D">
              <w:rPr>
                <w:b/>
                <w:bCs/>
                <w:sz w:val="22"/>
                <w:szCs w:val="22"/>
              </w:rPr>
              <w:t xml:space="preserve"> </w:t>
            </w:r>
            <w:r w:rsidRPr="00314611">
              <w:rPr>
                <w:b/>
                <w:bCs/>
                <w:sz w:val="22"/>
                <w:szCs w:val="22"/>
              </w:rPr>
              <w:t>*</w:t>
            </w:r>
            <w:r w:rsidRPr="00314611" w:rsidR="007A268D">
              <w:rPr>
                <w:b/>
                <w:bCs/>
                <w:sz w:val="22"/>
                <w:szCs w:val="22"/>
              </w:rPr>
              <w:t xml:space="preserve"> </w:t>
            </w:r>
            <w:r w:rsidRPr="00314611" w:rsidR="00602A6B">
              <w:rPr>
                <w:b/>
                <w:bCs/>
                <w:sz w:val="22"/>
                <w:szCs w:val="22"/>
              </w:rPr>
              <w:t>4 = 5)</w:t>
            </w:r>
          </w:p>
        </w:tc>
        <w:tc>
          <w:tcPr>
            <w:tcW w:w="0" w:type="auto"/>
            <w:shd w:val="clear" w:color="auto" w:fill="D9D9D9" w:themeFill="background1" w:themeFillShade="D9"/>
            <w:vAlign w:val="bottom"/>
          </w:tcPr>
          <w:p w:rsidR="00602A6B" w:rsidRPr="00314611" w:rsidP="00F74462" w14:paraId="4526E7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314611">
              <w:rPr>
                <w:b/>
                <w:bCs/>
                <w:sz w:val="22"/>
                <w:szCs w:val="22"/>
              </w:rPr>
              <w:t>Cost per Respondent</w:t>
            </w:r>
          </w:p>
          <w:p w:rsidR="004E6EB6" w:rsidRPr="00314611" w:rsidP="00F74462" w14:paraId="6B835B5F" w14:textId="6D5085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4611">
              <w:rPr>
                <w:b/>
                <w:bCs/>
                <w:sz w:val="22"/>
                <w:szCs w:val="22"/>
              </w:rPr>
              <w:t xml:space="preserve">(5 </w:t>
            </w:r>
            <w:r w:rsidRPr="00314611" w:rsidR="002B24D7">
              <w:rPr>
                <w:b/>
                <w:bCs/>
                <w:sz w:val="22"/>
                <w:szCs w:val="22"/>
              </w:rPr>
              <w:t xml:space="preserve">/ </w:t>
            </w:r>
            <w:r w:rsidRPr="00314611" w:rsidR="007A268D">
              <w:rPr>
                <w:b/>
                <w:bCs/>
                <w:sz w:val="22"/>
                <w:szCs w:val="22"/>
              </w:rPr>
              <w:t xml:space="preserve">1 </w:t>
            </w:r>
            <w:r w:rsidRPr="00314611" w:rsidR="00CB5EBB">
              <w:rPr>
                <w:b/>
                <w:bCs/>
                <w:sz w:val="22"/>
                <w:szCs w:val="22"/>
              </w:rPr>
              <w:t>= 6)</w:t>
            </w:r>
          </w:p>
        </w:tc>
      </w:tr>
      <w:tr w14:paraId="403B9B25" w14:textId="6DAC26C1" w:rsidTr="006C2B21">
        <w:tblPrEx>
          <w:tblW w:w="0" w:type="auto"/>
          <w:tblLook w:val="04A0"/>
        </w:tblPrEx>
        <w:tc>
          <w:tcPr>
            <w:tcW w:w="0" w:type="auto"/>
            <w:vAlign w:val="bottom"/>
          </w:tcPr>
          <w:p w:rsidR="002B50D0" w:rsidRPr="00314611" w:rsidP="002B50D0" w14:paraId="161C0A8D" w14:textId="192CC4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14611">
              <w:rPr>
                <w:rFonts w:eastAsia="Calibri"/>
                <w:sz w:val="24"/>
              </w:rPr>
              <w:t>FERC-549C (one-time)</w:t>
            </w:r>
          </w:p>
        </w:tc>
        <w:tc>
          <w:tcPr>
            <w:tcW w:w="0" w:type="auto"/>
          </w:tcPr>
          <w:p w:rsidR="002B50D0" w:rsidRPr="00314611" w:rsidP="002B50D0" w14:paraId="4CCD749A" w14:textId="11301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193</w:t>
            </w:r>
          </w:p>
        </w:tc>
        <w:tc>
          <w:tcPr>
            <w:tcW w:w="0" w:type="auto"/>
          </w:tcPr>
          <w:p w:rsidR="002B50D0" w:rsidRPr="00314611" w:rsidP="002B50D0" w14:paraId="00FF11D3" w14:textId="4ADF1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1</w:t>
            </w:r>
          </w:p>
        </w:tc>
        <w:tc>
          <w:tcPr>
            <w:tcW w:w="0" w:type="auto"/>
          </w:tcPr>
          <w:p w:rsidR="002B50D0" w:rsidRPr="00314611" w:rsidP="002B50D0" w14:paraId="545B8D97" w14:textId="5D72D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193</w:t>
            </w:r>
          </w:p>
        </w:tc>
        <w:tc>
          <w:tcPr>
            <w:tcW w:w="0" w:type="auto"/>
          </w:tcPr>
          <w:p w:rsidR="002B50D0" w:rsidRPr="005C1356" w:rsidP="002B50D0" w14:paraId="3635B77A" w14:textId="77777777">
            <w:pPr>
              <w:jc w:val="right"/>
              <w:rPr>
                <w:rFonts w:eastAsia="Calibri"/>
                <w:szCs w:val="20"/>
              </w:rPr>
            </w:pPr>
            <w:r w:rsidRPr="005C1356">
              <w:rPr>
                <w:rFonts w:eastAsia="Calibri"/>
                <w:szCs w:val="20"/>
              </w:rPr>
              <w:t>100 hrs.;</w:t>
            </w:r>
          </w:p>
          <w:p w:rsidR="002B50D0" w:rsidRPr="00314611" w:rsidP="002B50D0" w14:paraId="5753ADB3" w14:textId="45CCA3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w:t>
            </w:r>
            <w:r>
              <w:rPr>
                <w:rFonts w:eastAsia="Calibri"/>
                <w:szCs w:val="20"/>
              </w:rPr>
              <w:t>9,800</w:t>
            </w:r>
          </w:p>
        </w:tc>
        <w:tc>
          <w:tcPr>
            <w:tcW w:w="0" w:type="auto"/>
          </w:tcPr>
          <w:p w:rsidR="002B50D0" w:rsidRPr="005C1356" w:rsidP="002B50D0" w14:paraId="5B8E7A89" w14:textId="77777777">
            <w:pPr>
              <w:jc w:val="right"/>
              <w:rPr>
                <w:rFonts w:eastAsia="Calibri"/>
                <w:szCs w:val="20"/>
              </w:rPr>
            </w:pPr>
            <w:r w:rsidRPr="005C1356">
              <w:rPr>
                <w:rFonts w:eastAsia="Calibri"/>
                <w:szCs w:val="20"/>
              </w:rPr>
              <w:t>19,300 hrs.;</w:t>
            </w:r>
          </w:p>
          <w:p w:rsidR="002B50D0" w:rsidRPr="00314611" w:rsidP="002B50D0" w14:paraId="4A4A9910" w14:textId="03FFC5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w:t>
            </w:r>
            <w:r>
              <w:rPr>
                <w:rFonts w:eastAsia="Calibri"/>
                <w:szCs w:val="20"/>
              </w:rPr>
              <w:t>1,891,400</w:t>
            </w:r>
          </w:p>
        </w:tc>
        <w:tc>
          <w:tcPr>
            <w:tcW w:w="0" w:type="auto"/>
          </w:tcPr>
          <w:p w:rsidR="002B50D0" w:rsidRPr="00314611" w:rsidP="002B50D0" w14:paraId="00579E72" w14:textId="0939F2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C1356">
              <w:rPr>
                <w:rFonts w:eastAsia="Calibri"/>
                <w:szCs w:val="20"/>
              </w:rPr>
              <w:t>$</w:t>
            </w:r>
            <w:r>
              <w:rPr>
                <w:rFonts w:eastAsia="Calibri"/>
                <w:szCs w:val="20"/>
              </w:rPr>
              <w:t>9,800</w:t>
            </w:r>
          </w:p>
        </w:tc>
      </w:tr>
    </w:tbl>
    <w:p w:rsidR="001E4AEE" w:rsidP="006D5606" w14:paraId="288E74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00BC15BE" w:rsidRPr="00CC7AD5" w:rsidP="00BC15BE" w14:paraId="2D5A5365" w14:textId="77777777">
      <w:pPr>
        <w:pStyle w:val="Level1"/>
        <w:rPr>
          <w:b/>
        </w:rPr>
      </w:pPr>
      <w:r w:rsidRPr="00CC7AD5">
        <w:rPr>
          <w:b/>
        </w:rPr>
        <w:t>ESTIMATE OF THE TOTAL ANNUAL COST BURDEN TO RESPONDENTS</w:t>
      </w:r>
    </w:p>
    <w:p w:rsidR="0053203F" w:rsidP="00BC15BE" w14:paraId="20728F76" w14:textId="77777777">
      <w:pPr>
        <w:rPr>
          <w:sz w:val="24"/>
        </w:rPr>
      </w:pPr>
    </w:p>
    <w:p w:rsidR="00BC15BE" w:rsidRPr="00F5428B" w:rsidP="00BC15BE" w14:paraId="65DE3541" w14:textId="4AAB15DD">
      <w:pPr>
        <w:rPr>
          <w:sz w:val="24"/>
        </w:rPr>
      </w:pPr>
      <w:r w:rsidRPr="00F5428B">
        <w:rPr>
          <w:sz w:val="24"/>
        </w:rPr>
        <w:t xml:space="preserve">There are no capital or start-up costs that are not associated with the burden hours.  All of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00F8150C" w:rsidRPr="00F5428B" w:rsidP="00BC15BE" w14:paraId="18ADEA96" w14:textId="77777777">
      <w:pPr>
        <w:rPr>
          <w:sz w:val="24"/>
        </w:rPr>
      </w:pPr>
    </w:p>
    <w:p w:rsidR="00BC15BE" w:rsidRPr="00F5428B" w:rsidP="00BC15BE" w14:paraId="630D4C84" w14:textId="77777777">
      <w:pPr>
        <w:pStyle w:val="Level1"/>
        <w:rPr>
          <w:b/>
        </w:rPr>
      </w:pPr>
      <w:r w:rsidRPr="00F5428B">
        <w:rPr>
          <w:b/>
        </w:rPr>
        <w:t>ESTIMATED ANNUALIZED COST TO FEDERAL GOVERNMENT</w:t>
      </w:r>
    </w:p>
    <w:p w:rsidR="00BC15BE" w:rsidP="00BC15BE" w14:paraId="103D3D7F" w14:textId="77777777">
      <w:pPr>
        <w:rPr>
          <w:sz w:val="24"/>
        </w:rPr>
      </w:pPr>
    </w:p>
    <w:p w:rsidR="00757706" w:rsidRPr="00757706" w:rsidP="00757706" w14:paraId="2399652F" w14:textId="77777777">
      <w:pPr>
        <w:rPr>
          <w:b/>
          <w:bCs/>
          <w:sz w:val="24"/>
        </w:rPr>
      </w:pPr>
      <w:r w:rsidRPr="00757706">
        <w:rPr>
          <w:bCs/>
          <w:sz w:val="24"/>
        </w:rPr>
        <w:t>The PRA Administration Cost of $7,978 in the following table includes the federal costs of preparing supporting statements, notices, and other activities associated with compliance with the Paperwork Reduction Act.  The Data Processing and Analysis Cost in the following table is based on FERC’s Fiscal Year 2025 average cost per Full- Time Equivalent (salary plus benefits) of $214,093</w:t>
      </w:r>
      <w:r w:rsidRPr="00757706">
        <w:rPr>
          <w:b/>
          <w:bCs/>
          <w:sz w:val="24"/>
        </w:rPr>
        <w:t xml:space="preserve"> </w:t>
      </w:r>
      <w:r w:rsidRPr="00757706">
        <w:rPr>
          <w:bCs/>
          <w:sz w:val="24"/>
        </w:rPr>
        <w:t>per year (for 2,080 work hours).</w:t>
      </w:r>
    </w:p>
    <w:p w:rsidR="002C118D" w:rsidRPr="00F5428B" w:rsidP="002C118D" w14:paraId="24E448B3" w14:textId="77777777">
      <w:pPr>
        <w:rPr>
          <w:sz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06"/>
      </w:tblGrid>
      <w:tr w14:paraId="76270073" w14:textId="77777777" w:rsidTr="005925F8">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F5428B" w:rsidP="008D4689" w14:paraId="64C5C7C1" w14:textId="77777777">
            <w:pPr>
              <w:rPr>
                <w:sz w:val="24"/>
              </w:rPr>
            </w:pPr>
          </w:p>
        </w:tc>
        <w:tc>
          <w:tcPr>
            <w:tcW w:w="3101" w:type="dxa"/>
            <w:shd w:val="clear" w:color="auto" w:fill="CCCCCC"/>
            <w:vAlign w:val="bottom"/>
          </w:tcPr>
          <w:p w:rsidR="002C118D" w:rsidRPr="00F5428B" w:rsidP="008D4689" w14:paraId="128D10F5" w14:textId="77777777">
            <w:pPr>
              <w:jc w:val="center"/>
              <w:rPr>
                <w:b/>
                <w:sz w:val="24"/>
              </w:rPr>
            </w:pPr>
            <w:r w:rsidRPr="00F5428B">
              <w:rPr>
                <w:b/>
                <w:sz w:val="24"/>
              </w:rPr>
              <w:t>Number of Hours or FTE’s</w:t>
            </w:r>
          </w:p>
        </w:tc>
        <w:tc>
          <w:tcPr>
            <w:tcW w:w="3106" w:type="dxa"/>
            <w:shd w:val="clear" w:color="auto" w:fill="CCCCCC"/>
            <w:vAlign w:val="bottom"/>
          </w:tcPr>
          <w:p w:rsidR="002C118D" w:rsidRPr="00F5428B" w:rsidP="008D4689" w14:paraId="48D03250" w14:textId="04F75D81">
            <w:pPr>
              <w:jc w:val="center"/>
              <w:rPr>
                <w:b/>
                <w:sz w:val="24"/>
              </w:rPr>
            </w:pPr>
            <w:r w:rsidRPr="00F5428B">
              <w:rPr>
                <w:b/>
                <w:sz w:val="24"/>
              </w:rPr>
              <w:t xml:space="preserve">Estimated Annual Federal Cost ($) </w:t>
            </w:r>
          </w:p>
        </w:tc>
      </w:tr>
      <w:tr w14:paraId="5823F039" w14:textId="77777777" w:rsidTr="005925F8">
        <w:tblPrEx>
          <w:tblW w:w="9355" w:type="dxa"/>
          <w:tblLook w:val="01E0"/>
        </w:tblPrEx>
        <w:tc>
          <w:tcPr>
            <w:tcW w:w="3148" w:type="dxa"/>
            <w:vAlign w:val="bottom"/>
          </w:tcPr>
          <w:p w:rsidR="002C118D" w:rsidRPr="00F5428B" w:rsidP="0013182E" w14:paraId="5149305D" w14:textId="6FB888F1">
            <w:pPr>
              <w:jc w:val="center"/>
              <w:rPr>
                <w:sz w:val="24"/>
              </w:rPr>
            </w:pPr>
            <w:r w:rsidRPr="00F5428B">
              <w:rPr>
                <w:sz w:val="24"/>
              </w:rPr>
              <w:t>PRA Administration Cost</w:t>
            </w:r>
          </w:p>
        </w:tc>
        <w:tc>
          <w:tcPr>
            <w:tcW w:w="3101" w:type="dxa"/>
            <w:shd w:val="clear" w:color="auto" w:fill="FFFFFF"/>
            <w:vAlign w:val="bottom"/>
          </w:tcPr>
          <w:p w:rsidR="002C118D" w:rsidRPr="00F5428B" w:rsidP="008D4689" w14:paraId="7FD151E6" w14:textId="77777777">
            <w:pPr>
              <w:jc w:val="right"/>
              <w:rPr>
                <w:sz w:val="24"/>
              </w:rPr>
            </w:pPr>
            <w:r w:rsidRPr="00F5428B">
              <w:rPr>
                <w:sz w:val="24"/>
              </w:rPr>
              <w:t>-</w:t>
            </w:r>
          </w:p>
        </w:tc>
        <w:tc>
          <w:tcPr>
            <w:tcW w:w="3106" w:type="dxa"/>
            <w:vAlign w:val="bottom"/>
          </w:tcPr>
          <w:p w:rsidR="002C118D" w:rsidRPr="00E37BB0" w:rsidP="008D4689" w14:paraId="1C3FD6E6" w14:textId="6EB47C4A">
            <w:pPr>
              <w:jc w:val="right"/>
              <w:rPr>
                <w:sz w:val="24"/>
              </w:rPr>
            </w:pPr>
            <w:r>
              <w:rPr>
                <w:sz w:val="24"/>
              </w:rPr>
              <w:t>$</w:t>
            </w:r>
            <w:r w:rsidRPr="00783A40" w:rsidR="00783A40">
              <w:rPr>
                <w:sz w:val="24"/>
              </w:rPr>
              <w:t>7,978</w:t>
            </w:r>
          </w:p>
        </w:tc>
      </w:tr>
      <w:tr w14:paraId="69BB6999" w14:textId="77777777" w:rsidTr="005925F8">
        <w:tblPrEx>
          <w:tblW w:w="9355" w:type="dxa"/>
          <w:tblLook w:val="01E0"/>
        </w:tblPrEx>
        <w:tc>
          <w:tcPr>
            <w:tcW w:w="3148" w:type="dxa"/>
            <w:vAlign w:val="bottom"/>
          </w:tcPr>
          <w:p w:rsidR="0068135E" w:rsidRPr="00AC1033" w:rsidP="0013182E" w14:paraId="75C39D29" w14:textId="0D3CD9F2">
            <w:pPr>
              <w:jc w:val="center"/>
              <w:rPr>
                <w:i/>
                <w:sz w:val="24"/>
              </w:rPr>
            </w:pPr>
            <w:r w:rsidRPr="00AC1033">
              <w:rPr>
                <w:sz w:val="24"/>
              </w:rPr>
              <w:t>Data Processing and Analysis</w:t>
            </w:r>
            <w:r w:rsidR="00916AF2">
              <w:rPr>
                <w:sz w:val="24"/>
              </w:rPr>
              <w:t xml:space="preserve"> Cost</w:t>
            </w:r>
          </w:p>
        </w:tc>
        <w:tc>
          <w:tcPr>
            <w:tcW w:w="3101" w:type="dxa"/>
            <w:shd w:val="clear" w:color="auto" w:fill="FFFFFF" w:themeFill="background1"/>
            <w:vAlign w:val="bottom"/>
          </w:tcPr>
          <w:p w:rsidR="0068135E" w:rsidRPr="00AC1033" w:rsidP="008D4689" w14:paraId="6C7121A8" w14:textId="2A4C2149">
            <w:pPr>
              <w:jc w:val="right"/>
              <w:rPr>
                <w:sz w:val="24"/>
              </w:rPr>
            </w:pPr>
            <w:r w:rsidRPr="00AC1033">
              <w:rPr>
                <w:sz w:val="24"/>
              </w:rPr>
              <w:t>0.25</w:t>
            </w:r>
          </w:p>
        </w:tc>
        <w:tc>
          <w:tcPr>
            <w:tcW w:w="3106" w:type="dxa"/>
            <w:vAlign w:val="bottom"/>
          </w:tcPr>
          <w:p w:rsidR="0068135E" w:rsidRPr="00AC1033" w:rsidP="008D4689" w14:paraId="4B251C4C" w14:textId="108147A3">
            <w:pPr>
              <w:jc w:val="right"/>
              <w:rPr>
                <w:sz w:val="24"/>
              </w:rPr>
            </w:pPr>
            <w:r w:rsidRPr="00AC1033">
              <w:rPr>
                <w:sz w:val="24"/>
              </w:rPr>
              <w:t>$</w:t>
            </w:r>
            <w:r w:rsidRPr="00BA20C9" w:rsidR="00BA20C9">
              <w:rPr>
                <w:sz w:val="24"/>
              </w:rPr>
              <w:t>53,523.25</w:t>
            </w:r>
          </w:p>
        </w:tc>
      </w:tr>
      <w:tr w14:paraId="61D79815" w14:textId="77777777" w:rsidTr="005925F8">
        <w:tblPrEx>
          <w:tblW w:w="9355" w:type="dxa"/>
          <w:tblLook w:val="01E0"/>
        </w:tblPrEx>
        <w:tc>
          <w:tcPr>
            <w:tcW w:w="3148" w:type="dxa"/>
            <w:vAlign w:val="bottom"/>
          </w:tcPr>
          <w:p w:rsidR="0068135E" w:rsidRPr="00AC1033" w:rsidP="0013182E" w14:paraId="51494E06" w14:textId="5CF853AD">
            <w:pPr>
              <w:ind w:left="720"/>
              <w:jc w:val="center"/>
              <w:rPr>
                <w:i/>
                <w:sz w:val="24"/>
              </w:rPr>
            </w:pPr>
            <w:r w:rsidRPr="00AC1033">
              <w:rPr>
                <w:b/>
                <w:sz w:val="24"/>
              </w:rPr>
              <w:t>Total</w:t>
            </w:r>
          </w:p>
        </w:tc>
        <w:tc>
          <w:tcPr>
            <w:tcW w:w="3101" w:type="dxa"/>
            <w:vAlign w:val="bottom"/>
          </w:tcPr>
          <w:p w:rsidR="0068135E" w:rsidRPr="00AC1033" w:rsidP="008D4689" w14:paraId="04431892" w14:textId="6B548CF5">
            <w:pPr>
              <w:jc w:val="right"/>
              <w:rPr>
                <w:i/>
                <w:sz w:val="24"/>
              </w:rPr>
            </w:pPr>
          </w:p>
        </w:tc>
        <w:tc>
          <w:tcPr>
            <w:tcW w:w="3106" w:type="dxa"/>
            <w:vAlign w:val="bottom"/>
          </w:tcPr>
          <w:p w:rsidR="0068135E" w:rsidRPr="00AC1033" w:rsidP="008D4689" w14:paraId="1D124B18" w14:textId="711B2FE6">
            <w:pPr>
              <w:jc w:val="right"/>
              <w:rPr>
                <w:i/>
                <w:sz w:val="24"/>
              </w:rPr>
            </w:pPr>
            <w:r w:rsidRPr="00AC1033">
              <w:rPr>
                <w:sz w:val="24"/>
              </w:rPr>
              <w:t>$</w:t>
            </w:r>
            <w:r w:rsidRPr="00954884" w:rsidR="00954884">
              <w:rPr>
                <w:sz w:val="24"/>
              </w:rPr>
              <w:t>61,501.25</w:t>
            </w:r>
          </w:p>
        </w:tc>
      </w:tr>
    </w:tbl>
    <w:p w:rsidR="00BC15BE" w:rsidRPr="00AC1033" w:rsidP="00BC15BE" w14:paraId="2ED17E47" w14:textId="77777777">
      <w:pPr>
        <w:rPr>
          <w:sz w:val="24"/>
        </w:rPr>
      </w:pPr>
    </w:p>
    <w:p w:rsidR="00AC5B84" w:rsidRPr="00AC1033" w:rsidP="00AC5B84" w14:paraId="116A3679" w14:textId="229E72D9">
      <w:pPr>
        <w:pStyle w:val="Level1"/>
        <w:rPr>
          <w:b/>
        </w:rPr>
      </w:pPr>
      <w:r w:rsidRPr="00AC1033">
        <w:rPr>
          <w:b/>
        </w:rPr>
        <w:t>REASONS FOR CHANGES IN BURDEN INCLUDING THE NEED FOR ANY INCREASE</w:t>
      </w:r>
    </w:p>
    <w:p w:rsidR="00DA7F4B" w:rsidP="00DA7F4B" w14:paraId="7629B38A" w14:textId="77777777">
      <w:pPr>
        <w:rPr>
          <w:sz w:val="24"/>
        </w:rPr>
      </w:pPr>
    </w:p>
    <w:p w:rsidR="00A06433" w:rsidRPr="00A06433" w:rsidP="00A06433" w14:paraId="0EE69D6C" w14:textId="63AC2001">
      <w:pPr>
        <w:rPr>
          <w:bCs/>
          <w:sz w:val="24"/>
        </w:rPr>
      </w:pPr>
      <w:r w:rsidRPr="00A06433">
        <w:rPr>
          <w:bCs/>
          <w:sz w:val="24"/>
        </w:rPr>
        <w:t xml:space="preserve">The burden estimates associated with the </w:t>
      </w:r>
      <w:r w:rsidR="005630D1">
        <w:rPr>
          <w:bCs/>
          <w:sz w:val="24"/>
        </w:rPr>
        <w:t>final</w:t>
      </w:r>
      <w:r w:rsidRPr="00A06433">
        <w:rPr>
          <w:bCs/>
          <w:sz w:val="24"/>
        </w:rPr>
        <w:t xml:space="preserve"> rule in Docket No. RM96-1-044 are program changes for FERC-54</w:t>
      </w:r>
      <w:r>
        <w:rPr>
          <w:bCs/>
          <w:sz w:val="24"/>
        </w:rPr>
        <w:t>9C</w:t>
      </w:r>
      <w:r w:rsidR="005630D1">
        <w:rPr>
          <w:bCs/>
          <w:sz w:val="24"/>
        </w:rPr>
        <w:t xml:space="preserve"> to the version update and compliance filings</w:t>
      </w:r>
      <w:r w:rsidRPr="00A06433">
        <w:rPr>
          <w:bCs/>
          <w:sz w:val="24"/>
        </w:rPr>
        <w:t xml:space="preserve">.  </w:t>
      </w:r>
      <w:r w:rsidRPr="00A06433" w:rsidR="00E52C29">
        <w:rPr>
          <w:bCs/>
          <w:sz w:val="24"/>
        </w:rPr>
        <w:t>The following table</w:t>
      </w:r>
      <w:r w:rsidRPr="00A06433">
        <w:rPr>
          <w:bCs/>
          <w:sz w:val="24"/>
        </w:rPr>
        <w:t xml:space="preserve"> shows the change in burden. </w:t>
      </w:r>
    </w:p>
    <w:p w:rsidR="00862E03" w:rsidP="00BC15BE" w14:paraId="2686D727" w14:textId="1DF8B4F5">
      <w:pPr>
        <w:rPr>
          <w:sz w:val="24"/>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957"/>
      </w:tblGrid>
      <w:tr w14:paraId="184E9D04" w14:textId="77777777" w:rsidTr="00E3104D">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bottom w:val="single" w:sz="4" w:space="0" w:color="auto"/>
            </w:tcBorders>
            <w:shd w:val="clear" w:color="auto" w:fill="D9D9D9"/>
            <w:vAlign w:val="bottom"/>
          </w:tcPr>
          <w:p w:rsidR="00862E03" w:rsidRPr="00862E03" w:rsidP="00862E03" w14:paraId="6ABE724F" w14:textId="77777777">
            <w:pPr>
              <w:rPr>
                <w:b/>
                <w:sz w:val="24"/>
              </w:rPr>
            </w:pPr>
          </w:p>
        </w:tc>
        <w:tc>
          <w:tcPr>
            <w:tcW w:w="1461" w:type="dxa"/>
            <w:tcBorders>
              <w:bottom w:val="single" w:sz="4" w:space="0" w:color="auto"/>
            </w:tcBorders>
            <w:shd w:val="clear" w:color="auto" w:fill="D9D9D9"/>
            <w:vAlign w:val="bottom"/>
          </w:tcPr>
          <w:p w:rsidR="00862E03" w:rsidRPr="00862E03" w:rsidP="00862E03" w14:paraId="2734319E" w14:textId="77777777">
            <w:pPr>
              <w:rPr>
                <w:b/>
                <w:sz w:val="24"/>
              </w:rPr>
            </w:pPr>
            <w:r w:rsidRPr="00862E03">
              <w:rPr>
                <w:b/>
                <w:sz w:val="24"/>
              </w:rPr>
              <w:t>Total Request</w:t>
            </w:r>
          </w:p>
        </w:tc>
        <w:tc>
          <w:tcPr>
            <w:tcW w:w="1620" w:type="dxa"/>
            <w:tcBorders>
              <w:bottom w:val="single" w:sz="4" w:space="0" w:color="auto"/>
            </w:tcBorders>
            <w:shd w:val="clear" w:color="auto" w:fill="D9D9D9"/>
            <w:vAlign w:val="bottom"/>
          </w:tcPr>
          <w:p w:rsidR="00862E03" w:rsidRPr="00862E03" w:rsidP="00862E03" w14:paraId="186049FA" w14:textId="77777777">
            <w:pPr>
              <w:rPr>
                <w:b/>
                <w:sz w:val="24"/>
              </w:rPr>
            </w:pPr>
            <w:r w:rsidRPr="00862E03">
              <w:rPr>
                <w:b/>
                <w:sz w:val="24"/>
              </w:rPr>
              <w:t>Previously Approved</w:t>
            </w:r>
          </w:p>
        </w:tc>
        <w:tc>
          <w:tcPr>
            <w:tcW w:w="1800" w:type="dxa"/>
            <w:tcBorders>
              <w:bottom w:val="single" w:sz="4" w:space="0" w:color="auto"/>
            </w:tcBorders>
            <w:shd w:val="clear" w:color="auto" w:fill="D9D9D9"/>
            <w:vAlign w:val="bottom"/>
          </w:tcPr>
          <w:p w:rsidR="00862E03" w:rsidRPr="00862E03" w:rsidP="00862E03" w14:paraId="4102AB8D" w14:textId="77777777">
            <w:pPr>
              <w:rPr>
                <w:b/>
                <w:sz w:val="24"/>
              </w:rPr>
            </w:pPr>
            <w:r w:rsidRPr="00862E03">
              <w:rPr>
                <w:b/>
                <w:sz w:val="24"/>
              </w:rPr>
              <w:t>Change due to Adjustment in Estimate</w:t>
            </w:r>
          </w:p>
        </w:tc>
        <w:tc>
          <w:tcPr>
            <w:tcW w:w="1957" w:type="dxa"/>
            <w:tcBorders>
              <w:bottom w:val="single" w:sz="4" w:space="0" w:color="auto"/>
            </w:tcBorders>
            <w:shd w:val="clear" w:color="auto" w:fill="D9D9D9"/>
            <w:vAlign w:val="bottom"/>
          </w:tcPr>
          <w:p w:rsidR="00862E03" w:rsidRPr="00862E03" w:rsidP="00862E03" w14:paraId="1E7C0EC0" w14:textId="77777777">
            <w:pPr>
              <w:rPr>
                <w:b/>
                <w:sz w:val="24"/>
              </w:rPr>
            </w:pPr>
            <w:r w:rsidRPr="00862E03">
              <w:rPr>
                <w:b/>
                <w:sz w:val="24"/>
              </w:rPr>
              <w:t>Change Due to Agency Discretion</w:t>
            </w:r>
          </w:p>
        </w:tc>
      </w:tr>
      <w:tr w14:paraId="2C22EF4C" w14:textId="77777777" w:rsidTr="00954884">
        <w:tblPrEx>
          <w:tblW w:w="9517" w:type="dxa"/>
          <w:tblInd w:w="18" w:type="dxa"/>
          <w:tblLook w:val="01E0"/>
        </w:tblPrEx>
        <w:trPr>
          <w:trHeight w:val="431"/>
        </w:trPr>
        <w:tc>
          <w:tcPr>
            <w:tcW w:w="9517" w:type="dxa"/>
            <w:gridSpan w:val="5"/>
            <w:shd w:val="clear" w:color="auto" w:fill="D9D9D9" w:themeFill="background1" w:themeFillShade="D9"/>
            <w:vAlign w:val="bottom"/>
          </w:tcPr>
          <w:p w:rsidR="00862E03" w:rsidRPr="00862E03" w:rsidP="00862E03" w14:paraId="1AEA5DF3" w14:textId="0C1183A8">
            <w:pPr>
              <w:jc w:val="center"/>
              <w:rPr>
                <w:b/>
                <w:bCs/>
                <w:sz w:val="24"/>
              </w:rPr>
            </w:pPr>
            <w:r w:rsidRPr="00862E03">
              <w:rPr>
                <w:b/>
                <w:bCs/>
                <w:sz w:val="24"/>
              </w:rPr>
              <w:t>FERC-54</w:t>
            </w:r>
            <w:r>
              <w:rPr>
                <w:b/>
                <w:bCs/>
                <w:sz w:val="24"/>
              </w:rPr>
              <w:t>9C</w:t>
            </w:r>
          </w:p>
        </w:tc>
      </w:tr>
      <w:tr w14:paraId="543AF2B3" w14:textId="77777777" w:rsidTr="00E3104D">
        <w:tblPrEx>
          <w:tblW w:w="9517" w:type="dxa"/>
          <w:tblInd w:w="18" w:type="dxa"/>
          <w:tblLook w:val="01E0"/>
        </w:tblPrEx>
        <w:trPr>
          <w:trHeight w:val="591"/>
        </w:trPr>
        <w:tc>
          <w:tcPr>
            <w:tcW w:w="2679" w:type="dxa"/>
          </w:tcPr>
          <w:p w:rsidR="00862E03" w:rsidRPr="00862E03" w:rsidP="00862E03" w14:paraId="5342FD0B" w14:textId="77777777">
            <w:pPr>
              <w:rPr>
                <w:sz w:val="24"/>
              </w:rPr>
            </w:pPr>
            <w:r w:rsidRPr="00862E03">
              <w:rPr>
                <w:sz w:val="24"/>
              </w:rPr>
              <w:t>Annual Number of Responses</w:t>
            </w:r>
          </w:p>
        </w:tc>
        <w:tc>
          <w:tcPr>
            <w:tcW w:w="1461" w:type="dxa"/>
            <w:vAlign w:val="bottom"/>
          </w:tcPr>
          <w:p w:rsidR="00862E03" w:rsidRPr="00EC44BE" w:rsidP="00862E03" w14:paraId="4BF25EF2" w14:textId="72D13B40">
            <w:pPr>
              <w:jc w:val="center"/>
              <w:rPr>
                <w:sz w:val="24"/>
              </w:rPr>
            </w:pPr>
            <w:r>
              <w:rPr>
                <w:sz w:val="24"/>
              </w:rPr>
              <w:t>747</w:t>
            </w:r>
          </w:p>
        </w:tc>
        <w:tc>
          <w:tcPr>
            <w:tcW w:w="1620" w:type="dxa"/>
            <w:vAlign w:val="bottom"/>
          </w:tcPr>
          <w:p w:rsidR="00862E03" w:rsidRPr="00EC44BE" w:rsidP="00862E03" w14:paraId="2C313C7D" w14:textId="449BCE7B">
            <w:pPr>
              <w:jc w:val="center"/>
              <w:rPr>
                <w:sz w:val="24"/>
              </w:rPr>
            </w:pPr>
            <w:r>
              <w:rPr>
                <w:sz w:val="24"/>
              </w:rPr>
              <w:t>554</w:t>
            </w:r>
          </w:p>
        </w:tc>
        <w:tc>
          <w:tcPr>
            <w:tcW w:w="1800" w:type="dxa"/>
            <w:vAlign w:val="bottom"/>
          </w:tcPr>
          <w:p w:rsidR="00862E03" w:rsidRPr="00862E03" w:rsidP="00862E03" w14:paraId="77EA4154" w14:textId="4DCDECCC">
            <w:pPr>
              <w:jc w:val="center"/>
              <w:rPr>
                <w:sz w:val="24"/>
              </w:rPr>
            </w:pPr>
            <w:r>
              <w:rPr>
                <w:sz w:val="24"/>
              </w:rPr>
              <w:t>0</w:t>
            </w:r>
          </w:p>
        </w:tc>
        <w:tc>
          <w:tcPr>
            <w:tcW w:w="1957" w:type="dxa"/>
            <w:vAlign w:val="bottom"/>
          </w:tcPr>
          <w:p w:rsidR="00862E03" w:rsidRPr="00862E03" w:rsidP="00862E03" w14:paraId="70D91D03" w14:textId="49B81461">
            <w:pPr>
              <w:jc w:val="center"/>
              <w:rPr>
                <w:sz w:val="24"/>
              </w:rPr>
            </w:pPr>
            <w:r>
              <w:rPr>
                <w:sz w:val="24"/>
              </w:rPr>
              <w:t>+</w:t>
            </w:r>
            <w:r w:rsidR="00E4697B">
              <w:rPr>
                <w:sz w:val="24"/>
              </w:rPr>
              <w:t>193</w:t>
            </w:r>
          </w:p>
        </w:tc>
      </w:tr>
      <w:tr w14:paraId="6E286B1C" w14:textId="77777777" w:rsidTr="00E3104D">
        <w:tblPrEx>
          <w:tblW w:w="9517" w:type="dxa"/>
          <w:tblInd w:w="18" w:type="dxa"/>
          <w:tblLook w:val="01E0"/>
        </w:tblPrEx>
        <w:trPr>
          <w:trHeight w:val="575"/>
        </w:trPr>
        <w:tc>
          <w:tcPr>
            <w:tcW w:w="2679" w:type="dxa"/>
          </w:tcPr>
          <w:p w:rsidR="00862E03" w:rsidRPr="00862E03" w:rsidP="00862E03" w14:paraId="747DAB8B" w14:textId="77777777">
            <w:pPr>
              <w:rPr>
                <w:sz w:val="24"/>
              </w:rPr>
            </w:pPr>
            <w:r w:rsidRPr="00862E03">
              <w:rPr>
                <w:sz w:val="24"/>
              </w:rPr>
              <w:t>Annual Time Burden (Hr.)</w:t>
            </w:r>
          </w:p>
        </w:tc>
        <w:tc>
          <w:tcPr>
            <w:tcW w:w="1461" w:type="dxa"/>
            <w:vAlign w:val="bottom"/>
          </w:tcPr>
          <w:p w:rsidR="00862E03" w:rsidRPr="00EC44BE" w:rsidP="00862E03" w14:paraId="142AF0A1" w14:textId="53356D42">
            <w:pPr>
              <w:jc w:val="center"/>
              <w:rPr>
                <w:sz w:val="24"/>
              </w:rPr>
            </w:pPr>
            <w:r>
              <w:rPr>
                <w:sz w:val="24"/>
              </w:rPr>
              <w:t>72,773</w:t>
            </w:r>
          </w:p>
        </w:tc>
        <w:tc>
          <w:tcPr>
            <w:tcW w:w="1620" w:type="dxa"/>
            <w:vAlign w:val="bottom"/>
          </w:tcPr>
          <w:p w:rsidR="00862E03" w:rsidRPr="00EC44BE" w:rsidP="00862E03" w14:paraId="4E5E1127" w14:textId="1D1C6C5D">
            <w:pPr>
              <w:jc w:val="center"/>
              <w:rPr>
                <w:sz w:val="24"/>
              </w:rPr>
            </w:pPr>
            <w:r>
              <w:rPr>
                <w:sz w:val="24"/>
              </w:rPr>
              <w:t>53</w:t>
            </w:r>
            <w:r w:rsidR="003D48E3">
              <w:rPr>
                <w:sz w:val="24"/>
              </w:rPr>
              <w:t>,473</w:t>
            </w:r>
          </w:p>
        </w:tc>
        <w:tc>
          <w:tcPr>
            <w:tcW w:w="1800" w:type="dxa"/>
            <w:vAlign w:val="bottom"/>
          </w:tcPr>
          <w:p w:rsidR="00862E03" w:rsidRPr="00862E03" w:rsidP="00862E03" w14:paraId="09C4D5A5" w14:textId="38AC890B">
            <w:pPr>
              <w:jc w:val="center"/>
              <w:rPr>
                <w:sz w:val="24"/>
              </w:rPr>
            </w:pPr>
            <w:r>
              <w:rPr>
                <w:sz w:val="24"/>
              </w:rPr>
              <w:t>0</w:t>
            </w:r>
          </w:p>
        </w:tc>
        <w:tc>
          <w:tcPr>
            <w:tcW w:w="1957" w:type="dxa"/>
            <w:vAlign w:val="bottom"/>
          </w:tcPr>
          <w:p w:rsidR="00862E03" w:rsidRPr="00862E03" w:rsidP="00862E03" w14:paraId="5F44D190" w14:textId="346D2147">
            <w:pPr>
              <w:jc w:val="center"/>
              <w:rPr>
                <w:sz w:val="24"/>
              </w:rPr>
            </w:pPr>
            <w:r>
              <w:rPr>
                <w:sz w:val="24"/>
              </w:rPr>
              <w:t>+</w:t>
            </w:r>
            <w:r w:rsidR="003E00CA">
              <w:rPr>
                <w:sz w:val="24"/>
              </w:rPr>
              <w:t>19</w:t>
            </w:r>
            <w:r w:rsidR="001B6566">
              <w:rPr>
                <w:sz w:val="24"/>
              </w:rPr>
              <w:t>,</w:t>
            </w:r>
            <w:r w:rsidR="003E00CA">
              <w:rPr>
                <w:sz w:val="24"/>
              </w:rPr>
              <w:t>300</w:t>
            </w:r>
          </w:p>
        </w:tc>
      </w:tr>
      <w:tr w14:paraId="15FB5753" w14:textId="77777777" w:rsidTr="00E3104D">
        <w:tblPrEx>
          <w:tblW w:w="9517" w:type="dxa"/>
          <w:tblInd w:w="18" w:type="dxa"/>
          <w:tblLook w:val="01E0"/>
        </w:tblPrEx>
        <w:trPr>
          <w:trHeight w:val="295"/>
        </w:trPr>
        <w:tc>
          <w:tcPr>
            <w:tcW w:w="2679" w:type="dxa"/>
            <w:tcBorders>
              <w:bottom w:val="single" w:sz="4" w:space="0" w:color="auto"/>
            </w:tcBorders>
          </w:tcPr>
          <w:p w:rsidR="00862E03" w:rsidRPr="00862E03" w:rsidP="00862E03" w14:paraId="1FA1FD4C" w14:textId="77777777">
            <w:pPr>
              <w:rPr>
                <w:sz w:val="24"/>
              </w:rPr>
            </w:pPr>
            <w:r w:rsidRPr="00862E03">
              <w:rPr>
                <w:sz w:val="24"/>
              </w:rPr>
              <w:t>Annual Cost Burden ($)</w:t>
            </w:r>
          </w:p>
        </w:tc>
        <w:tc>
          <w:tcPr>
            <w:tcW w:w="1461" w:type="dxa"/>
            <w:tcBorders>
              <w:bottom w:val="single" w:sz="4" w:space="0" w:color="auto"/>
            </w:tcBorders>
            <w:vAlign w:val="bottom"/>
          </w:tcPr>
          <w:p w:rsidR="00862E03" w:rsidRPr="00EC44BE" w:rsidP="00862E03" w14:paraId="247F0448" w14:textId="77777777">
            <w:pPr>
              <w:jc w:val="center"/>
              <w:rPr>
                <w:sz w:val="24"/>
              </w:rPr>
            </w:pPr>
            <w:r w:rsidRPr="00EC44BE">
              <w:rPr>
                <w:sz w:val="24"/>
              </w:rPr>
              <w:t>$0</w:t>
            </w:r>
          </w:p>
        </w:tc>
        <w:tc>
          <w:tcPr>
            <w:tcW w:w="1620" w:type="dxa"/>
            <w:tcBorders>
              <w:bottom w:val="single" w:sz="4" w:space="0" w:color="auto"/>
            </w:tcBorders>
            <w:vAlign w:val="bottom"/>
          </w:tcPr>
          <w:p w:rsidR="00862E03" w:rsidRPr="00EC44BE" w:rsidP="00862E03" w14:paraId="37D4166C" w14:textId="77777777">
            <w:pPr>
              <w:jc w:val="center"/>
              <w:rPr>
                <w:sz w:val="24"/>
              </w:rPr>
            </w:pPr>
            <w:r w:rsidRPr="00EC44BE">
              <w:rPr>
                <w:sz w:val="24"/>
              </w:rPr>
              <w:t>$0</w:t>
            </w:r>
          </w:p>
        </w:tc>
        <w:tc>
          <w:tcPr>
            <w:tcW w:w="1800" w:type="dxa"/>
            <w:tcBorders>
              <w:bottom w:val="single" w:sz="4" w:space="0" w:color="auto"/>
            </w:tcBorders>
            <w:vAlign w:val="bottom"/>
          </w:tcPr>
          <w:p w:rsidR="00862E03" w:rsidRPr="00862E03" w:rsidP="00862E03" w14:paraId="5E6D0606" w14:textId="77777777">
            <w:pPr>
              <w:jc w:val="center"/>
              <w:rPr>
                <w:sz w:val="24"/>
              </w:rPr>
            </w:pPr>
            <w:r w:rsidRPr="00862E03">
              <w:rPr>
                <w:sz w:val="24"/>
              </w:rPr>
              <w:t>$0</w:t>
            </w:r>
          </w:p>
        </w:tc>
        <w:tc>
          <w:tcPr>
            <w:tcW w:w="1957" w:type="dxa"/>
            <w:tcBorders>
              <w:bottom w:val="single" w:sz="4" w:space="0" w:color="auto"/>
            </w:tcBorders>
            <w:vAlign w:val="bottom"/>
          </w:tcPr>
          <w:p w:rsidR="00862E03" w:rsidRPr="00862E03" w:rsidP="00862E03" w14:paraId="178CF763" w14:textId="77777777">
            <w:pPr>
              <w:jc w:val="center"/>
              <w:rPr>
                <w:sz w:val="24"/>
              </w:rPr>
            </w:pPr>
            <w:r w:rsidRPr="00862E03">
              <w:rPr>
                <w:sz w:val="24"/>
              </w:rPr>
              <w:t>$0</w:t>
            </w:r>
          </w:p>
        </w:tc>
      </w:tr>
    </w:tbl>
    <w:p w:rsidR="00862E03" w:rsidRPr="00F5428B" w:rsidP="00BC15BE" w14:paraId="6942E0E9" w14:textId="77777777">
      <w:pPr>
        <w:rPr>
          <w:sz w:val="24"/>
        </w:rPr>
      </w:pPr>
    </w:p>
    <w:p w:rsidR="00BC15BE" w:rsidRPr="00F5428B" w:rsidP="00BC15BE" w14:paraId="1DD34261" w14:textId="77777777">
      <w:pPr>
        <w:pStyle w:val="Level1"/>
        <w:rPr>
          <w:b/>
        </w:rPr>
      </w:pPr>
      <w:r w:rsidRPr="00F5428B">
        <w:rPr>
          <w:b/>
        </w:rPr>
        <w:t>TIME SCHEDULE FOR PUBLICATION OF DATA</w:t>
      </w:r>
    </w:p>
    <w:p w:rsidR="000C0189" w:rsidP="00BC15BE" w14:paraId="0A20ADCA" w14:textId="731B441E">
      <w:pPr>
        <w:rPr>
          <w:sz w:val="24"/>
        </w:rPr>
      </w:pPr>
    </w:p>
    <w:p w:rsidR="00DF6937" w:rsidRPr="00DF6937" w:rsidP="00DF6937" w14:paraId="7E8CED75" w14:textId="3969C233">
      <w:pPr>
        <w:rPr>
          <w:sz w:val="24"/>
        </w:rPr>
      </w:pPr>
      <w:r>
        <w:rPr>
          <w:sz w:val="24"/>
        </w:rPr>
        <w:t>D</w:t>
      </w:r>
      <w:r w:rsidR="005E583F">
        <w:rPr>
          <w:sz w:val="24"/>
        </w:rPr>
        <w:t xml:space="preserve">espite the fact that FERC-549C </w:t>
      </w:r>
      <w:r w:rsidRPr="00F5428B" w:rsidR="005E583F">
        <w:rPr>
          <w:sz w:val="24"/>
        </w:rPr>
        <w:t xml:space="preserve">data </w:t>
      </w:r>
      <w:r w:rsidR="005E583F">
        <w:rPr>
          <w:sz w:val="24"/>
        </w:rPr>
        <w:t>are</w:t>
      </w:r>
      <w:r w:rsidRPr="00F5428B" w:rsidR="005E583F">
        <w:rPr>
          <w:sz w:val="24"/>
        </w:rPr>
        <w:t xml:space="preserve"> </w:t>
      </w:r>
      <w:r w:rsidR="005E583F">
        <w:rPr>
          <w:sz w:val="24"/>
        </w:rPr>
        <w:t>publicly available,</w:t>
      </w:r>
      <w:r w:rsidRPr="00DF6937">
        <w:rPr>
          <w:sz w:val="24"/>
        </w:rPr>
        <w:t xml:space="preserve"> there </w:t>
      </w:r>
      <w:r w:rsidR="005E583F">
        <w:rPr>
          <w:sz w:val="24"/>
        </w:rPr>
        <w:t>are</w:t>
      </w:r>
      <w:r w:rsidRPr="00DF6937">
        <w:rPr>
          <w:sz w:val="24"/>
        </w:rPr>
        <w:t xml:space="preserve"> no tabulating, statistical or publication plans.</w:t>
      </w:r>
    </w:p>
    <w:p w:rsidR="00DF6937" w:rsidP="00BC15BE" w14:paraId="78111E1E" w14:textId="77777777">
      <w:pPr>
        <w:rPr>
          <w:sz w:val="24"/>
        </w:rPr>
      </w:pPr>
    </w:p>
    <w:p w:rsidR="00BC15BE" w:rsidRPr="00F5428B" w:rsidP="00BC15BE" w14:paraId="604362A8" w14:textId="77777777">
      <w:pPr>
        <w:pStyle w:val="Level1"/>
        <w:rPr>
          <w:b/>
        </w:rPr>
      </w:pPr>
      <w:r w:rsidRPr="00F5428B">
        <w:rPr>
          <w:b/>
        </w:rPr>
        <w:t>DISPLAY OF EXPIRATION DATE</w:t>
      </w:r>
    </w:p>
    <w:p w:rsidR="000C0189" w:rsidP="00BC15BE" w14:paraId="3EFB0E76" w14:textId="77777777">
      <w:pPr>
        <w:rPr>
          <w:sz w:val="24"/>
        </w:rPr>
      </w:pPr>
    </w:p>
    <w:p w:rsidR="003E4971" w:rsidRPr="003E4971" w:rsidP="003E4971" w14:paraId="4EC464D6" w14:textId="661DD6E7">
      <w:pPr>
        <w:rPr>
          <w:rFonts w:eastAsiaTheme="minorHAnsi"/>
          <w:sz w:val="24"/>
        </w:rPr>
      </w:pPr>
      <w:r w:rsidRPr="003E4971">
        <w:rPr>
          <w:rFonts w:eastAsiaTheme="minorHAnsi"/>
          <w:sz w:val="24"/>
        </w:rPr>
        <w:t xml:space="preserve">The expiration date is displayed in a table posted on ferc.gov at </w:t>
      </w:r>
      <w:hyperlink r:id="rId9" w:history="1">
        <w:r w:rsidRPr="003E4971">
          <w:rPr>
            <w:rFonts w:eastAsiaTheme="minorHAnsi"/>
            <w:color w:val="0000FF"/>
            <w:sz w:val="24"/>
            <w:u w:val="single"/>
          </w:rPr>
          <w:t>https://www.ferc.gov/information-collections</w:t>
        </w:r>
      </w:hyperlink>
      <w:r w:rsidR="00330CF6">
        <w:rPr>
          <w:rFonts w:eastAsiaTheme="minorHAnsi"/>
          <w:color w:val="0000FF"/>
          <w:sz w:val="24"/>
          <w:u w:val="single"/>
        </w:rPr>
        <w:t>.</w:t>
      </w:r>
    </w:p>
    <w:p w:rsidR="00BC15BE" w:rsidRPr="00F5428B" w:rsidP="00BC15BE" w14:paraId="39DDEEB5" w14:textId="77777777">
      <w:pPr>
        <w:rPr>
          <w:sz w:val="24"/>
        </w:rPr>
      </w:pPr>
    </w:p>
    <w:p w:rsidR="00BC15BE" w:rsidRPr="00F5428B" w:rsidP="00BC15BE" w14:paraId="121B55AC" w14:textId="77777777">
      <w:pPr>
        <w:pStyle w:val="Level1"/>
        <w:rPr>
          <w:b/>
        </w:rPr>
      </w:pPr>
      <w:r w:rsidRPr="00F5428B">
        <w:rPr>
          <w:b/>
        </w:rPr>
        <w:t>EXCEPTIONS TO THE CERTIFICATION STATEMENT</w:t>
      </w:r>
    </w:p>
    <w:p w:rsidR="000C0189" w:rsidP="00BC15BE" w14:paraId="4508C369" w14:textId="77777777">
      <w:pPr>
        <w:rPr>
          <w:sz w:val="24"/>
        </w:rPr>
      </w:pPr>
    </w:p>
    <w:p w:rsidR="0010764F" w:rsidRPr="00F5428B" w14:paraId="5DD536D6" w14:textId="3EE37FB2">
      <w:pPr>
        <w:rPr>
          <w:sz w:val="24"/>
        </w:rPr>
      </w:pPr>
      <w:r w:rsidRPr="00F5428B">
        <w:rPr>
          <w:sz w:val="24"/>
        </w:rPr>
        <w:t>There are no exceptions.</w:t>
      </w:r>
    </w:p>
    <w:sectPr w:rsidSect="008D4689">
      <w:headerReference w:type="default" r:id="rId10"/>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08A4" w:rsidP="00BC15BE" w14:paraId="2DC27AD0" w14:textId="77777777">
      <w:r>
        <w:separator/>
      </w:r>
    </w:p>
  </w:footnote>
  <w:footnote w:type="continuationSeparator" w:id="1">
    <w:p w:rsidR="005908A4" w:rsidP="00BC15BE" w14:paraId="08B33214" w14:textId="77777777">
      <w:r>
        <w:continuationSeparator/>
      </w:r>
    </w:p>
  </w:footnote>
  <w:footnote w:type="continuationNotice" w:id="2">
    <w:p w:rsidR="005908A4" w14:paraId="34552625" w14:textId="77777777"/>
  </w:footnote>
  <w:footnote w:id="3">
    <w:p w:rsidR="0042142E" w:rsidRPr="005630D1" w:rsidP="0042142E" w14:paraId="06BF8D3C" w14:textId="77777777">
      <w:pPr>
        <w:pStyle w:val="FootnoteText"/>
        <w:rPr>
          <w:sz w:val="24"/>
          <w:szCs w:val="24"/>
        </w:rPr>
      </w:pPr>
      <w:r w:rsidRPr="00655F29">
        <w:rPr>
          <w:rStyle w:val="FootnoteReference"/>
        </w:rPr>
        <w:footnoteRef/>
      </w:r>
      <w:r w:rsidRPr="00655F29">
        <w:rPr>
          <w:sz w:val="26"/>
        </w:rPr>
        <w:t xml:space="preserve"> </w:t>
      </w:r>
      <w:r w:rsidRPr="005630D1">
        <w:rPr>
          <w:sz w:val="24"/>
          <w:szCs w:val="24"/>
        </w:rPr>
        <w:t>NAESB is an American National Standards Institute-accredited, non-profit standards development organization formed for the purpose of developing voluntary standards and model business practices that promote more competitive and efficient natural gas and electric markets.</w:t>
      </w:r>
    </w:p>
    <w:p w:rsidR="0042142E" w:rsidRPr="00655F29" w:rsidP="0042142E" w14:paraId="7D99F788" w14:textId="77777777">
      <w:pPr>
        <w:pStyle w:val="FootnoteText"/>
        <w:rPr>
          <w:sz w:val="26"/>
        </w:rPr>
      </w:pPr>
    </w:p>
  </w:footnote>
  <w:footnote w:id="4">
    <w:p w:rsidR="00C66602" w:rsidP="00C66602" w14:paraId="050882B7" w14:textId="56989246">
      <w:pPr>
        <w:pStyle w:val="FootnoteText"/>
        <w:rPr>
          <w:sz w:val="24"/>
          <w:szCs w:val="24"/>
        </w:rPr>
      </w:pPr>
      <w:r>
        <w:rPr>
          <w:rStyle w:val="FootnoteReference"/>
          <w:sz w:val="24"/>
          <w:szCs w:val="24"/>
        </w:rPr>
        <w:footnoteRef/>
      </w:r>
      <w:r>
        <w:rPr>
          <w:sz w:val="24"/>
          <w:szCs w:val="24"/>
        </w:rPr>
        <w:t xml:space="preserve"> </w:t>
      </w:r>
      <w:r w:rsidRPr="005630D1">
        <w:rPr>
          <w:sz w:val="24"/>
          <w:szCs w:val="24"/>
        </w:rPr>
        <w:t>15 U.S.C. 717c-717w</w:t>
      </w:r>
      <w:r w:rsidRPr="005630D1" w:rsidR="00E6657E">
        <w:rPr>
          <w:sz w:val="24"/>
          <w:szCs w:val="24"/>
        </w:rPr>
        <w:t>, 717</w:t>
      </w:r>
      <w:r w:rsidRPr="005630D1" w:rsidR="00245823">
        <w:rPr>
          <w:sz w:val="24"/>
          <w:szCs w:val="24"/>
        </w:rPr>
        <w:t>o</w:t>
      </w:r>
    </w:p>
  </w:footnote>
  <w:footnote w:id="5">
    <w:p w:rsidR="00C66602" w:rsidRPr="005630D1" w:rsidP="00C66602" w14:paraId="328B4E7E" w14:textId="77777777">
      <w:pPr>
        <w:pStyle w:val="FootnoteText"/>
        <w:rPr>
          <w:sz w:val="24"/>
          <w:szCs w:val="24"/>
        </w:rPr>
      </w:pPr>
      <w:r>
        <w:rPr>
          <w:rStyle w:val="FootnoteReference"/>
          <w:sz w:val="24"/>
          <w:szCs w:val="24"/>
        </w:rPr>
        <w:footnoteRef/>
      </w:r>
      <w:r>
        <w:rPr>
          <w:sz w:val="24"/>
          <w:szCs w:val="24"/>
        </w:rPr>
        <w:t xml:space="preserve"> </w:t>
      </w:r>
      <w:r w:rsidRPr="005630D1">
        <w:rPr>
          <w:sz w:val="24"/>
          <w:szCs w:val="24"/>
        </w:rPr>
        <w:t>15 U.S.C. 3301-3432</w:t>
      </w:r>
    </w:p>
  </w:footnote>
  <w:footnote w:id="6">
    <w:p w:rsidR="00B51119" w:rsidRPr="00A909B1" w:rsidP="00B51119" w14:paraId="0CB6E7C8" w14:textId="6E725C0A">
      <w:pPr>
        <w:pStyle w:val="FootnoteText"/>
        <w:rPr>
          <w:sz w:val="26"/>
          <w:szCs w:val="24"/>
        </w:rPr>
      </w:pPr>
      <w:r w:rsidRPr="00A909B1">
        <w:rPr>
          <w:rStyle w:val="FootnoteReference"/>
          <w:szCs w:val="24"/>
        </w:rPr>
        <w:footnoteRef/>
      </w:r>
      <w:r w:rsidRPr="00A909B1">
        <w:rPr>
          <w:sz w:val="26"/>
          <w:szCs w:val="24"/>
        </w:rPr>
        <w:t xml:space="preserve"> This series of orders began with the Commission’s issuance of </w:t>
      </w:r>
      <w:r w:rsidRPr="00A909B1">
        <w:rPr>
          <w:i/>
          <w:sz w:val="26"/>
          <w:szCs w:val="24"/>
        </w:rPr>
        <w:t>Standards for Bus. Practices of Interstate Nat. Gas Pipelines</w:t>
      </w:r>
      <w:r w:rsidRPr="00A909B1">
        <w:rPr>
          <w:sz w:val="26"/>
          <w:szCs w:val="24"/>
        </w:rPr>
        <w:t>, Ord. No. 587, FERC Stats. &amp; Regs. ¶ 31,038 (1996).</w:t>
      </w:r>
    </w:p>
  </w:footnote>
  <w:footnote w:id="7">
    <w:p w:rsidR="0042142E" w:rsidP="0042142E" w14:paraId="1CC8B146" w14:textId="77777777">
      <w:pPr>
        <w:pStyle w:val="FootnoteText"/>
      </w:pPr>
      <w:r w:rsidRPr="000E39B3">
        <w:rPr>
          <w:rStyle w:val="FootnoteReference"/>
        </w:rPr>
        <w:footnoteRef/>
      </w:r>
      <w:r w:rsidRPr="000E39B3">
        <w:rPr>
          <w:sz w:val="26"/>
          <w:szCs w:val="26"/>
        </w:rPr>
        <w:t xml:space="preserve"> Critical notices are notices posted on a transportation service provider’s website that, according to existing WGQ Version 4.0 Standard No. 5.2.1, “pertain to information on transportation service provider conditions that affect scheduling or adversely affect scheduled gas flow.”</w:t>
      </w:r>
    </w:p>
  </w:footnote>
  <w:footnote w:id="8">
    <w:p w:rsidR="00D36F12" w:rsidRPr="002D35D1" w:rsidP="002567E4" w14:paraId="67E0ACF9" w14:textId="04A0DACB">
      <w:pPr>
        <w:pStyle w:val="FootnoteText"/>
        <w:rPr>
          <w:sz w:val="24"/>
          <w:szCs w:val="24"/>
        </w:rPr>
      </w:pPr>
      <w:r w:rsidRPr="002D35D1">
        <w:rPr>
          <w:rStyle w:val="FootnoteReference"/>
          <w:sz w:val="24"/>
          <w:szCs w:val="24"/>
        </w:rPr>
        <w:footnoteRef/>
      </w:r>
      <w:r w:rsidRPr="002D35D1">
        <w:rPr>
          <w:sz w:val="24"/>
          <w:szCs w:val="24"/>
        </w:rPr>
        <w:t xml:space="preserve"> U.S. Small Business Administration, Table of Small Business Size Standards for Pipeline Transportation of Natural Gas, NAICS Code 486210, </w:t>
      </w:r>
      <w:r w:rsidRPr="002D35D1" w:rsidR="00015DA5">
        <w:rPr>
          <w:sz w:val="24"/>
          <w:szCs w:val="24"/>
        </w:rPr>
        <w:t>Subsector 486</w:t>
      </w:r>
      <w:r w:rsidRPr="002D35D1">
        <w:rPr>
          <w:sz w:val="24"/>
          <w:szCs w:val="24"/>
        </w:rPr>
        <w:t xml:space="preserve"> at</w:t>
      </w:r>
      <w:r w:rsidR="00780864">
        <w:rPr>
          <w:sz w:val="24"/>
          <w:szCs w:val="24"/>
        </w:rPr>
        <w:t xml:space="preserve"> </w:t>
      </w:r>
      <w:r w:rsidR="008C00B9">
        <w:rPr>
          <w:sz w:val="24"/>
          <w:szCs w:val="24"/>
        </w:rPr>
        <w:t xml:space="preserve">13 CFR </w:t>
      </w:r>
      <w:r w:rsidR="00213E8A">
        <w:rPr>
          <w:sz w:val="24"/>
          <w:szCs w:val="24"/>
        </w:rPr>
        <w:t>121.201</w:t>
      </w:r>
      <w:r w:rsidR="00780864">
        <w:rPr>
          <w:sz w:val="24"/>
          <w:szCs w:val="24"/>
        </w:rPr>
        <w:t>.</w:t>
      </w:r>
    </w:p>
  </w:footnote>
  <w:footnote w:id="9">
    <w:p w:rsidR="00DF6937" w:rsidRPr="002D35D1" w:rsidP="00DF6937" w14:paraId="6241356D" w14:textId="77777777">
      <w:pPr>
        <w:pStyle w:val="FootnoteText"/>
        <w:rPr>
          <w:sz w:val="24"/>
          <w:szCs w:val="24"/>
        </w:rPr>
      </w:pPr>
      <w:r w:rsidRPr="002D35D1">
        <w:rPr>
          <w:rStyle w:val="FootnoteReference"/>
          <w:sz w:val="24"/>
          <w:szCs w:val="24"/>
        </w:rPr>
        <w:footnoteRef/>
      </w:r>
      <w:r w:rsidRPr="002D35D1">
        <w:rPr>
          <w:sz w:val="24"/>
          <w:szCs w:val="24"/>
        </w:rPr>
        <w:t xml:space="preserve"> The National Institute of Standards and Technology Special Pub. 800-52 requires government Transport Layer Security servers and clients to support Transport Layer Security Version 1.2 and recommends support for Transport Layer Security Version 1.3 by the year 2024.</w:t>
      </w:r>
    </w:p>
  </w:footnote>
  <w:footnote w:id="10">
    <w:p w:rsidR="00DF6937" w:rsidRPr="00B77DBC" w:rsidP="00DF6937" w14:paraId="7AAB85F0" w14:textId="77777777">
      <w:pPr>
        <w:pStyle w:val="FootnoteText"/>
        <w:rPr>
          <w:rFonts w:asciiTheme="minorHAnsi" w:hAnsiTheme="minorHAnsi" w:cstheme="minorBidi"/>
          <w:sz w:val="24"/>
          <w:szCs w:val="24"/>
        </w:rPr>
      </w:pPr>
      <w:r w:rsidRPr="00B77DBC">
        <w:rPr>
          <w:rStyle w:val="FootnoteReference"/>
          <w:sz w:val="24"/>
          <w:szCs w:val="24"/>
        </w:rPr>
        <w:footnoteRef/>
      </w:r>
      <w:r w:rsidRPr="00B77DBC">
        <w:rPr>
          <w:sz w:val="24"/>
          <w:szCs w:val="24"/>
        </w:rPr>
        <w:t xml:space="preserve"> Rivest-Shamir-Adelman is a public key infrastructure algorithm composed of a public component and a private component that is typically installed on a recognized Certificate Authority.</w:t>
      </w:r>
    </w:p>
  </w:footnote>
  <w:footnote w:id="11">
    <w:p w:rsidR="00DF6937" w:rsidRPr="002D35D1" w:rsidP="00DF6937" w14:paraId="213E453F" w14:textId="77777777">
      <w:pPr>
        <w:pStyle w:val="FootnoteText"/>
        <w:rPr>
          <w:rFonts w:asciiTheme="minorHAnsi" w:hAnsiTheme="minorHAnsi" w:cstheme="minorBidi"/>
          <w:sz w:val="24"/>
          <w:szCs w:val="24"/>
        </w:rPr>
      </w:pPr>
      <w:r w:rsidRPr="002D35D1">
        <w:rPr>
          <w:rStyle w:val="FootnoteReference"/>
          <w:sz w:val="24"/>
          <w:szCs w:val="24"/>
        </w:rPr>
        <w:footnoteRef/>
      </w:r>
      <w:r w:rsidRPr="002D35D1">
        <w:rPr>
          <w:sz w:val="24"/>
          <w:szCs w:val="24"/>
        </w:rPr>
        <w:t xml:space="preserve"> Elliptic Curve Digital Signature Algorithm public keys generate an encrypted signature to validate data.</w:t>
      </w:r>
    </w:p>
  </w:footnote>
  <w:footnote w:id="12">
    <w:p w:rsidR="00DF6937" w:rsidRPr="002D35D1" w:rsidP="00DF6937" w14:paraId="6CF33B81" w14:textId="77777777">
      <w:pPr>
        <w:pStyle w:val="FootnoteText"/>
        <w:rPr>
          <w:sz w:val="24"/>
          <w:szCs w:val="24"/>
        </w:rPr>
      </w:pPr>
      <w:r w:rsidRPr="002D35D1">
        <w:rPr>
          <w:rStyle w:val="FootnoteReference"/>
          <w:sz w:val="24"/>
          <w:szCs w:val="24"/>
        </w:rPr>
        <w:footnoteRef/>
      </w:r>
      <w:r w:rsidRPr="002D35D1">
        <w:rPr>
          <w:sz w:val="24"/>
          <w:szCs w:val="24"/>
        </w:rPr>
        <w:t xml:space="preserve"> A Hash is a cryptology technique used for digital signatures in which a series of numbers that may represent, for example, a password, an image, a document, or an executable file is used to generate a cryptographic hash (i.e., a large number).</w:t>
      </w:r>
    </w:p>
  </w:footnote>
  <w:footnote w:id="13">
    <w:p w:rsidR="00DF6937" w:rsidRPr="002D35D1" w:rsidP="00DF6937" w14:paraId="4A3EB7DA" w14:textId="77777777">
      <w:pPr>
        <w:pStyle w:val="FootnoteText"/>
        <w:rPr>
          <w:sz w:val="24"/>
          <w:szCs w:val="24"/>
        </w:rPr>
      </w:pPr>
      <w:r w:rsidRPr="002D35D1">
        <w:rPr>
          <w:rStyle w:val="FootnoteReference"/>
          <w:sz w:val="24"/>
          <w:szCs w:val="24"/>
        </w:rPr>
        <w:footnoteRef/>
      </w:r>
      <w:r w:rsidRPr="002D35D1">
        <w:rPr>
          <w:sz w:val="24"/>
          <w:szCs w:val="24"/>
        </w:rPr>
        <w:t xml:space="preserve"> SHA-2 is a set of cryptographic hash functions.</w:t>
      </w:r>
    </w:p>
  </w:footnote>
  <w:footnote w:id="14">
    <w:p w:rsidR="00DF6937" w:rsidRPr="002D35D1" w:rsidP="00DF6937" w14:paraId="632006ED" w14:textId="77777777">
      <w:pPr>
        <w:pStyle w:val="FootnoteText"/>
        <w:rPr>
          <w:sz w:val="24"/>
          <w:szCs w:val="24"/>
        </w:rPr>
      </w:pPr>
      <w:r w:rsidRPr="002D35D1">
        <w:rPr>
          <w:rStyle w:val="FootnoteReference"/>
          <w:sz w:val="24"/>
          <w:szCs w:val="24"/>
        </w:rPr>
        <w:footnoteRef/>
      </w:r>
      <w:r w:rsidRPr="002D35D1">
        <w:rPr>
          <w:sz w:val="24"/>
          <w:szCs w:val="24"/>
        </w:rPr>
        <w:t xml:space="preserve"> PGP is a proprietary (i.e., an organization must pay to use it) encryption program developed to enhance the confidentiality and integrity of data.</w:t>
      </w:r>
    </w:p>
  </w:footnote>
  <w:footnote w:id="15">
    <w:p w:rsidR="00CF1BAF" w:rsidRPr="002D35D1" w:rsidP="00CF1BAF" w14:paraId="1CBC1E08" w14:textId="3FAF0804">
      <w:pPr>
        <w:pStyle w:val="FootnoteText"/>
        <w:rPr>
          <w:sz w:val="24"/>
          <w:szCs w:val="24"/>
        </w:rPr>
      </w:pPr>
      <w:r w:rsidRPr="002D35D1">
        <w:rPr>
          <w:rStyle w:val="FootnoteReference"/>
          <w:sz w:val="24"/>
          <w:szCs w:val="24"/>
        </w:rPr>
        <w:footnoteRef/>
      </w:r>
      <w:r w:rsidRPr="002D35D1">
        <w:rPr>
          <w:sz w:val="24"/>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w:t>
      </w:r>
      <w:r w:rsidR="00C05362">
        <w:rPr>
          <w:sz w:val="24"/>
          <w:szCs w:val="24"/>
        </w:rPr>
        <w:t xml:space="preserve">5 CFR </w:t>
      </w:r>
      <w:r w:rsidRPr="002D35D1">
        <w:rPr>
          <w:sz w:val="24"/>
          <w:szCs w:val="24"/>
        </w:rPr>
        <w:t>1320.3.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F12" w:rsidRPr="00F5428B" w:rsidP="008D4689" w14:paraId="36675F88" w14:textId="07BFC26E">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3B6C0A" w:rsidP="002B45F1" w14:paraId="2BD795A8" w14:textId="6AB0FBC9">
    <w:pPr>
      <w:pStyle w:val="Header"/>
    </w:pPr>
    <w:r>
      <w:t>FERC-549C (OMB Control No. 1902-0174)</w:t>
    </w:r>
  </w:p>
  <w:p w:rsidR="00FE5160" w:rsidP="002B45F1" w14:paraId="7EDDA994" w14:textId="7ADD5E8A">
    <w:pPr>
      <w:pStyle w:val="Header"/>
    </w:pPr>
    <w:r>
      <w:t>Final Rule</w:t>
    </w:r>
    <w:r w:rsidR="00CF60C8">
      <w:t xml:space="preserve"> in </w:t>
    </w:r>
    <w:r w:rsidR="00371D41">
      <w:t>Docket No.</w:t>
    </w:r>
    <w:r w:rsidR="00CF60C8">
      <w:t xml:space="preserve"> RM96-1-04</w:t>
    </w:r>
    <w:r w:rsidR="00EB667E">
      <w:t>4</w:t>
    </w:r>
    <w:r w:rsidR="00D63D13">
      <w:t xml:space="preserve"> Published May 28, 2026</w:t>
    </w:r>
  </w:p>
  <w:p w:rsidR="00DD051B" w:rsidP="002B45F1" w14:paraId="6FFC0102" w14:textId="3F0A5E50">
    <w:pPr>
      <w:pStyle w:val="Header"/>
    </w:pPr>
    <w:r>
      <w:t>RIN#</w:t>
    </w:r>
    <w:r w:rsidR="00E52C29">
      <w:t xml:space="preserve"> 1902-AG39</w:t>
    </w:r>
  </w:p>
  <w:p w:rsidR="00EB4053" w:rsidRPr="00A873E5" w:rsidP="002B45F1" w14:paraId="6F73B6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526BF"/>
    <w:multiLevelType w:val="hybridMultilevel"/>
    <w:tmpl w:val="56406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59571A"/>
    <w:multiLevelType w:val="hybridMultilevel"/>
    <w:tmpl w:val="91F62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E719D3"/>
    <w:multiLevelType w:val="hybridMultilevel"/>
    <w:tmpl w:val="B9A2F77C"/>
    <w:lvl w:ilvl="0">
      <w:start w:val="1"/>
      <w:numFmt w:val="decimal"/>
      <w:pStyle w:val="FERCparanumber"/>
      <w:lvlText w:val="%1."/>
      <w:lvlJc w:val="left"/>
      <w:pPr>
        <w:tabs>
          <w:tab w:val="num" w:pos="1440"/>
        </w:tabs>
        <w:ind w:left="720" w:firstLine="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05075">
    <w:abstractNumId w:val="10"/>
  </w:num>
  <w:num w:numId="2" w16cid:durableId="2129469630">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3" w16cid:durableId="335379551">
    <w:abstractNumId w:val="0"/>
    <w:lvlOverride w:ilvl="0">
      <w:startOverride w:val="11"/>
      <w:lvl w:ilvl="0">
        <w:start w:val="11"/>
        <w:numFmt w:val="decimal"/>
        <w:pStyle w:val="Level1"/>
        <w:lvlText w:val="%1."/>
        <w:lvlJc w:val="left"/>
      </w:lvl>
    </w:lvlOverride>
  </w:num>
  <w:num w:numId="4" w16cid:durableId="1258824737">
    <w:abstractNumId w:val="12"/>
  </w:num>
  <w:num w:numId="5" w16cid:durableId="1094135702">
    <w:abstractNumId w:val="5"/>
  </w:num>
  <w:num w:numId="6" w16cid:durableId="1044720720">
    <w:abstractNumId w:val="17"/>
  </w:num>
  <w:num w:numId="7" w16cid:durableId="681054482">
    <w:abstractNumId w:val="4"/>
  </w:num>
  <w:num w:numId="8" w16cid:durableId="1686244774">
    <w:abstractNumId w:val="1"/>
  </w:num>
  <w:num w:numId="9" w16cid:durableId="1334799561">
    <w:abstractNumId w:val="9"/>
  </w:num>
  <w:num w:numId="10" w16cid:durableId="1626812206">
    <w:abstractNumId w:val="11"/>
  </w:num>
  <w:num w:numId="11" w16cid:durableId="727147391">
    <w:abstractNumId w:val="15"/>
  </w:num>
  <w:num w:numId="12" w16cid:durableId="457576343">
    <w:abstractNumId w:val="2"/>
  </w:num>
  <w:num w:numId="13" w16cid:durableId="1107391581">
    <w:abstractNumId w:val="14"/>
  </w:num>
  <w:num w:numId="14" w16cid:durableId="111443311">
    <w:abstractNumId w:val="16"/>
  </w:num>
  <w:num w:numId="15" w16cid:durableId="1422334543">
    <w:abstractNumId w:val="13"/>
  </w:num>
  <w:num w:numId="16" w16cid:durableId="573199732">
    <w:abstractNumId w:val="8"/>
  </w:num>
  <w:num w:numId="17" w16cid:durableId="1266965109">
    <w:abstractNumId w:val="6"/>
  </w:num>
  <w:num w:numId="18" w16cid:durableId="791752822">
    <w:abstractNumId w:val="0"/>
    <w:lvlOverride w:ilvl="0">
      <w:startOverride w:val="10"/>
      <w:lvl w:ilvl="0">
        <w:start w:val="10"/>
        <w:numFmt w:val="decimal"/>
        <w:pStyle w:val="Level1"/>
        <w:lvlText w:val="%1."/>
        <w:lvlJc w:val="left"/>
      </w:lvl>
    </w:lvlOverride>
  </w:num>
  <w:num w:numId="19" w16cid:durableId="1312447602">
    <w:abstractNumId w:val="7"/>
  </w:num>
  <w:num w:numId="20" w16cid:durableId="154127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3368"/>
    <w:rsid w:val="000046DF"/>
    <w:rsid w:val="0000597D"/>
    <w:rsid w:val="00006D51"/>
    <w:rsid w:val="000112B0"/>
    <w:rsid w:val="00015DA5"/>
    <w:rsid w:val="00016732"/>
    <w:rsid w:val="00023257"/>
    <w:rsid w:val="00027DA6"/>
    <w:rsid w:val="000326C9"/>
    <w:rsid w:val="00035182"/>
    <w:rsid w:val="000369B8"/>
    <w:rsid w:val="00036D98"/>
    <w:rsid w:val="00037FF0"/>
    <w:rsid w:val="00047F09"/>
    <w:rsid w:val="00051C3F"/>
    <w:rsid w:val="000524C2"/>
    <w:rsid w:val="00052AF3"/>
    <w:rsid w:val="00055A41"/>
    <w:rsid w:val="000564BA"/>
    <w:rsid w:val="0006460D"/>
    <w:rsid w:val="000652A8"/>
    <w:rsid w:val="000660ED"/>
    <w:rsid w:val="00073E1F"/>
    <w:rsid w:val="00074EFD"/>
    <w:rsid w:val="00085C6D"/>
    <w:rsid w:val="0008669A"/>
    <w:rsid w:val="00087122"/>
    <w:rsid w:val="00095B57"/>
    <w:rsid w:val="000973F8"/>
    <w:rsid w:val="000A268C"/>
    <w:rsid w:val="000B2C2A"/>
    <w:rsid w:val="000C0189"/>
    <w:rsid w:val="000C0DF3"/>
    <w:rsid w:val="000C4030"/>
    <w:rsid w:val="000C5550"/>
    <w:rsid w:val="000C5C75"/>
    <w:rsid w:val="000D03CF"/>
    <w:rsid w:val="000E2B1D"/>
    <w:rsid w:val="000E2C3C"/>
    <w:rsid w:val="000E39B3"/>
    <w:rsid w:val="000E71C5"/>
    <w:rsid w:val="000F3BD1"/>
    <w:rsid w:val="00102231"/>
    <w:rsid w:val="00103C09"/>
    <w:rsid w:val="00106AB4"/>
    <w:rsid w:val="0010764F"/>
    <w:rsid w:val="001235FD"/>
    <w:rsid w:val="00125BCF"/>
    <w:rsid w:val="0013182E"/>
    <w:rsid w:val="00132E7B"/>
    <w:rsid w:val="00133C8D"/>
    <w:rsid w:val="001361B9"/>
    <w:rsid w:val="00141E40"/>
    <w:rsid w:val="001456AE"/>
    <w:rsid w:val="00153E29"/>
    <w:rsid w:val="001547C8"/>
    <w:rsid w:val="00157642"/>
    <w:rsid w:val="00162EBD"/>
    <w:rsid w:val="00166A54"/>
    <w:rsid w:val="001705AD"/>
    <w:rsid w:val="001839B0"/>
    <w:rsid w:val="00185817"/>
    <w:rsid w:val="001915FB"/>
    <w:rsid w:val="00192876"/>
    <w:rsid w:val="00193412"/>
    <w:rsid w:val="001A535C"/>
    <w:rsid w:val="001B1135"/>
    <w:rsid w:val="001B6566"/>
    <w:rsid w:val="001B6B86"/>
    <w:rsid w:val="001C5DD6"/>
    <w:rsid w:val="001D119A"/>
    <w:rsid w:val="001D5A3B"/>
    <w:rsid w:val="001E4AEE"/>
    <w:rsid w:val="001E7B98"/>
    <w:rsid w:val="001F015E"/>
    <w:rsid w:val="001F1E2C"/>
    <w:rsid w:val="001F424A"/>
    <w:rsid w:val="001F63CC"/>
    <w:rsid w:val="00206528"/>
    <w:rsid w:val="0020662B"/>
    <w:rsid w:val="00207F89"/>
    <w:rsid w:val="00211E9F"/>
    <w:rsid w:val="00212162"/>
    <w:rsid w:val="00212D57"/>
    <w:rsid w:val="00213E8A"/>
    <w:rsid w:val="00215D6C"/>
    <w:rsid w:val="00226EC4"/>
    <w:rsid w:val="00235465"/>
    <w:rsid w:val="00235F32"/>
    <w:rsid w:val="00236096"/>
    <w:rsid w:val="00236356"/>
    <w:rsid w:val="00241C42"/>
    <w:rsid w:val="0024518E"/>
    <w:rsid w:val="00245823"/>
    <w:rsid w:val="00252F8E"/>
    <w:rsid w:val="00256088"/>
    <w:rsid w:val="002567E4"/>
    <w:rsid w:val="0026065D"/>
    <w:rsid w:val="00261F73"/>
    <w:rsid w:val="00267745"/>
    <w:rsid w:val="00273A74"/>
    <w:rsid w:val="00275D69"/>
    <w:rsid w:val="00276F19"/>
    <w:rsid w:val="0027779E"/>
    <w:rsid w:val="00283C63"/>
    <w:rsid w:val="0028473F"/>
    <w:rsid w:val="00292218"/>
    <w:rsid w:val="00292691"/>
    <w:rsid w:val="00295055"/>
    <w:rsid w:val="002978F1"/>
    <w:rsid w:val="002A0566"/>
    <w:rsid w:val="002A2273"/>
    <w:rsid w:val="002A2AFD"/>
    <w:rsid w:val="002A3DCD"/>
    <w:rsid w:val="002A4EBF"/>
    <w:rsid w:val="002B24D7"/>
    <w:rsid w:val="002B3C16"/>
    <w:rsid w:val="002B4415"/>
    <w:rsid w:val="002B45F1"/>
    <w:rsid w:val="002B50D0"/>
    <w:rsid w:val="002C098E"/>
    <w:rsid w:val="002C118D"/>
    <w:rsid w:val="002C7122"/>
    <w:rsid w:val="002C7CB1"/>
    <w:rsid w:val="002D0E77"/>
    <w:rsid w:val="002D1A59"/>
    <w:rsid w:val="002D35D1"/>
    <w:rsid w:val="002D4D89"/>
    <w:rsid w:val="002D5279"/>
    <w:rsid w:val="002D7F3A"/>
    <w:rsid w:val="002E2010"/>
    <w:rsid w:val="002E6CFA"/>
    <w:rsid w:val="002E7150"/>
    <w:rsid w:val="002E7DA9"/>
    <w:rsid w:val="002F39BD"/>
    <w:rsid w:val="002F6758"/>
    <w:rsid w:val="00314611"/>
    <w:rsid w:val="00315DF7"/>
    <w:rsid w:val="003276A0"/>
    <w:rsid w:val="00330CF6"/>
    <w:rsid w:val="00342537"/>
    <w:rsid w:val="00353A27"/>
    <w:rsid w:val="003554D7"/>
    <w:rsid w:val="00371D41"/>
    <w:rsid w:val="003770B7"/>
    <w:rsid w:val="00382D44"/>
    <w:rsid w:val="00382FE7"/>
    <w:rsid w:val="00382FF3"/>
    <w:rsid w:val="003853D0"/>
    <w:rsid w:val="00385B39"/>
    <w:rsid w:val="00392CD7"/>
    <w:rsid w:val="003941E0"/>
    <w:rsid w:val="00394CEF"/>
    <w:rsid w:val="00395CA7"/>
    <w:rsid w:val="003A6CBA"/>
    <w:rsid w:val="003B6C0A"/>
    <w:rsid w:val="003C06D1"/>
    <w:rsid w:val="003D13B6"/>
    <w:rsid w:val="003D2136"/>
    <w:rsid w:val="003D48E3"/>
    <w:rsid w:val="003E00CA"/>
    <w:rsid w:val="003E0393"/>
    <w:rsid w:val="003E164B"/>
    <w:rsid w:val="003E4247"/>
    <w:rsid w:val="003E4971"/>
    <w:rsid w:val="003F0E97"/>
    <w:rsid w:val="003F1AE2"/>
    <w:rsid w:val="003F4D62"/>
    <w:rsid w:val="00402714"/>
    <w:rsid w:val="00413B83"/>
    <w:rsid w:val="00416822"/>
    <w:rsid w:val="0042142E"/>
    <w:rsid w:val="004266B7"/>
    <w:rsid w:val="004272D3"/>
    <w:rsid w:val="00440A6C"/>
    <w:rsid w:val="00442B5F"/>
    <w:rsid w:val="00444390"/>
    <w:rsid w:val="00452F31"/>
    <w:rsid w:val="00454AFC"/>
    <w:rsid w:val="00462F10"/>
    <w:rsid w:val="00467965"/>
    <w:rsid w:val="00467A1C"/>
    <w:rsid w:val="004714B2"/>
    <w:rsid w:val="00476985"/>
    <w:rsid w:val="00481661"/>
    <w:rsid w:val="004832CE"/>
    <w:rsid w:val="00484E79"/>
    <w:rsid w:val="00486D73"/>
    <w:rsid w:val="004A3FF7"/>
    <w:rsid w:val="004B16C8"/>
    <w:rsid w:val="004B1A0E"/>
    <w:rsid w:val="004C1992"/>
    <w:rsid w:val="004D17A2"/>
    <w:rsid w:val="004D5056"/>
    <w:rsid w:val="004E6EB6"/>
    <w:rsid w:val="00504150"/>
    <w:rsid w:val="0050639B"/>
    <w:rsid w:val="00507E0D"/>
    <w:rsid w:val="005164D5"/>
    <w:rsid w:val="00516515"/>
    <w:rsid w:val="0052092D"/>
    <w:rsid w:val="005228C3"/>
    <w:rsid w:val="0052415B"/>
    <w:rsid w:val="00530CC0"/>
    <w:rsid w:val="00531B60"/>
    <w:rsid w:val="0053203F"/>
    <w:rsid w:val="00533037"/>
    <w:rsid w:val="005409EE"/>
    <w:rsid w:val="00543ECE"/>
    <w:rsid w:val="00552843"/>
    <w:rsid w:val="00553776"/>
    <w:rsid w:val="00554171"/>
    <w:rsid w:val="0056066E"/>
    <w:rsid w:val="005626CF"/>
    <w:rsid w:val="005630D1"/>
    <w:rsid w:val="00565AA0"/>
    <w:rsid w:val="005676A5"/>
    <w:rsid w:val="005703D3"/>
    <w:rsid w:val="00573C31"/>
    <w:rsid w:val="00577E07"/>
    <w:rsid w:val="00580FB0"/>
    <w:rsid w:val="00583C34"/>
    <w:rsid w:val="005850C9"/>
    <w:rsid w:val="00585E97"/>
    <w:rsid w:val="00587EBC"/>
    <w:rsid w:val="005908A4"/>
    <w:rsid w:val="00590FBB"/>
    <w:rsid w:val="005925F8"/>
    <w:rsid w:val="0059778C"/>
    <w:rsid w:val="005A0E17"/>
    <w:rsid w:val="005A646B"/>
    <w:rsid w:val="005A77A4"/>
    <w:rsid w:val="005B305F"/>
    <w:rsid w:val="005C1356"/>
    <w:rsid w:val="005C31E9"/>
    <w:rsid w:val="005C486B"/>
    <w:rsid w:val="005C6925"/>
    <w:rsid w:val="005C6E8A"/>
    <w:rsid w:val="005E1148"/>
    <w:rsid w:val="005E3C93"/>
    <w:rsid w:val="005E4269"/>
    <w:rsid w:val="005E583F"/>
    <w:rsid w:val="005E7DE0"/>
    <w:rsid w:val="005F2E53"/>
    <w:rsid w:val="005F5EB1"/>
    <w:rsid w:val="00602497"/>
    <w:rsid w:val="00602A6B"/>
    <w:rsid w:val="00605533"/>
    <w:rsid w:val="006071DF"/>
    <w:rsid w:val="006111C3"/>
    <w:rsid w:val="00613932"/>
    <w:rsid w:val="00613D99"/>
    <w:rsid w:val="00614E9B"/>
    <w:rsid w:val="00622554"/>
    <w:rsid w:val="006334BD"/>
    <w:rsid w:val="0063450C"/>
    <w:rsid w:val="006406B0"/>
    <w:rsid w:val="0064253C"/>
    <w:rsid w:val="006462AD"/>
    <w:rsid w:val="006512E7"/>
    <w:rsid w:val="006523E3"/>
    <w:rsid w:val="00652747"/>
    <w:rsid w:val="00653765"/>
    <w:rsid w:val="0065564D"/>
    <w:rsid w:val="00655D23"/>
    <w:rsid w:val="00655F29"/>
    <w:rsid w:val="006579F9"/>
    <w:rsid w:val="006703B3"/>
    <w:rsid w:val="00671BA2"/>
    <w:rsid w:val="00681128"/>
    <w:rsid w:val="006811A2"/>
    <w:rsid w:val="0068135E"/>
    <w:rsid w:val="00684BD1"/>
    <w:rsid w:val="00687AB1"/>
    <w:rsid w:val="00691DF4"/>
    <w:rsid w:val="00693FC9"/>
    <w:rsid w:val="006943C1"/>
    <w:rsid w:val="00695352"/>
    <w:rsid w:val="006A0BA1"/>
    <w:rsid w:val="006B13F9"/>
    <w:rsid w:val="006B7B80"/>
    <w:rsid w:val="006B7EB4"/>
    <w:rsid w:val="006C2B21"/>
    <w:rsid w:val="006C2E0E"/>
    <w:rsid w:val="006D5606"/>
    <w:rsid w:val="006D5C18"/>
    <w:rsid w:val="006E06FE"/>
    <w:rsid w:val="006E49AD"/>
    <w:rsid w:val="006F1BF6"/>
    <w:rsid w:val="006F3568"/>
    <w:rsid w:val="006F3A6E"/>
    <w:rsid w:val="007051A1"/>
    <w:rsid w:val="00714BD9"/>
    <w:rsid w:val="00725D1D"/>
    <w:rsid w:val="00733029"/>
    <w:rsid w:val="0073773B"/>
    <w:rsid w:val="00741AE3"/>
    <w:rsid w:val="00750D21"/>
    <w:rsid w:val="00750F03"/>
    <w:rsid w:val="00755C82"/>
    <w:rsid w:val="00756380"/>
    <w:rsid w:val="00757706"/>
    <w:rsid w:val="0076212B"/>
    <w:rsid w:val="00762CA3"/>
    <w:rsid w:val="007777B4"/>
    <w:rsid w:val="00780864"/>
    <w:rsid w:val="00781A4E"/>
    <w:rsid w:val="00783A40"/>
    <w:rsid w:val="00786926"/>
    <w:rsid w:val="00786B8A"/>
    <w:rsid w:val="00790B4E"/>
    <w:rsid w:val="00790F34"/>
    <w:rsid w:val="007957D4"/>
    <w:rsid w:val="00796692"/>
    <w:rsid w:val="007973BC"/>
    <w:rsid w:val="00797817"/>
    <w:rsid w:val="007A1E41"/>
    <w:rsid w:val="007A268D"/>
    <w:rsid w:val="007A42A3"/>
    <w:rsid w:val="007A7CD6"/>
    <w:rsid w:val="007B0B47"/>
    <w:rsid w:val="007B3FEF"/>
    <w:rsid w:val="007B7E0C"/>
    <w:rsid w:val="007C083D"/>
    <w:rsid w:val="007C196E"/>
    <w:rsid w:val="007C3367"/>
    <w:rsid w:val="007C344C"/>
    <w:rsid w:val="007C35D1"/>
    <w:rsid w:val="007C54BE"/>
    <w:rsid w:val="007C6797"/>
    <w:rsid w:val="007C6B30"/>
    <w:rsid w:val="007D0453"/>
    <w:rsid w:val="007E03B0"/>
    <w:rsid w:val="007E1376"/>
    <w:rsid w:val="007E4C21"/>
    <w:rsid w:val="007F1802"/>
    <w:rsid w:val="007F2B47"/>
    <w:rsid w:val="007F2DFA"/>
    <w:rsid w:val="007F3726"/>
    <w:rsid w:val="007F4D97"/>
    <w:rsid w:val="00800B4C"/>
    <w:rsid w:val="00805CDD"/>
    <w:rsid w:val="00807059"/>
    <w:rsid w:val="0080728B"/>
    <w:rsid w:val="0081549C"/>
    <w:rsid w:val="00817FF3"/>
    <w:rsid w:val="0082352D"/>
    <w:rsid w:val="008427D8"/>
    <w:rsid w:val="00845B87"/>
    <w:rsid w:val="00847E27"/>
    <w:rsid w:val="00857BDB"/>
    <w:rsid w:val="00860043"/>
    <w:rsid w:val="008611ED"/>
    <w:rsid w:val="00862E03"/>
    <w:rsid w:val="00863189"/>
    <w:rsid w:val="00863D5C"/>
    <w:rsid w:val="00865C5B"/>
    <w:rsid w:val="00866355"/>
    <w:rsid w:val="0086668E"/>
    <w:rsid w:val="0087618D"/>
    <w:rsid w:val="00882C18"/>
    <w:rsid w:val="00885C49"/>
    <w:rsid w:val="00886043"/>
    <w:rsid w:val="00895DFE"/>
    <w:rsid w:val="008A250D"/>
    <w:rsid w:val="008A7D8A"/>
    <w:rsid w:val="008B2AA6"/>
    <w:rsid w:val="008B5107"/>
    <w:rsid w:val="008B59AE"/>
    <w:rsid w:val="008C00B9"/>
    <w:rsid w:val="008C4386"/>
    <w:rsid w:val="008D21F0"/>
    <w:rsid w:val="008D3989"/>
    <w:rsid w:val="008D4689"/>
    <w:rsid w:val="008D6559"/>
    <w:rsid w:val="008E08A2"/>
    <w:rsid w:val="008F2C83"/>
    <w:rsid w:val="008F65E6"/>
    <w:rsid w:val="008F718E"/>
    <w:rsid w:val="009000DE"/>
    <w:rsid w:val="009048BB"/>
    <w:rsid w:val="00904FC9"/>
    <w:rsid w:val="00905816"/>
    <w:rsid w:val="00910DCD"/>
    <w:rsid w:val="00916AF2"/>
    <w:rsid w:val="009226E5"/>
    <w:rsid w:val="009240C3"/>
    <w:rsid w:val="009258FB"/>
    <w:rsid w:val="009314A0"/>
    <w:rsid w:val="0094085E"/>
    <w:rsid w:val="00947FC5"/>
    <w:rsid w:val="00950A2F"/>
    <w:rsid w:val="00954884"/>
    <w:rsid w:val="009603F4"/>
    <w:rsid w:val="00966D03"/>
    <w:rsid w:val="00971F55"/>
    <w:rsid w:val="00975AEC"/>
    <w:rsid w:val="00975CDD"/>
    <w:rsid w:val="00980179"/>
    <w:rsid w:val="00980CA7"/>
    <w:rsid w:val="00986AA7"/>
    <w:rsid w:val="009878A3"/>
    <w:rsid w:val="009944B7"/>
    <w:rsid w:val="00995629"/>
    <w:rsid w:val="009B43B6"/>
    <w:rsid w:val="009B640A"/>
    <w:rsid w:val="009C3D22"/>
    <w:rsid w:val="009C3F64"/>
    <w:rsid w:val="009C4E66"/>
    <w:rsid w:val="009C5ED8"/>
    <w:rsid w:val="009D1B59"/>
    <w:rsid w:val="009E1DDF"/>
    <w:rsid w:val="009E24F9"/>
    <w:rsid w:val="009E442F"/>
    <w:rsid w:val="009F01EC"/>
    <w:rsid w:val="009F020C"/>
    <w:rsid w:val="009F25EC"/>
    <w:rsid w:val="009F3A44"/>
    <w:rsid w:val="00A036CB"/>
    <w:rsid w:val="00A06433"/>
    <w:rsid w:val="00A12AE9"/>
    <w:rsid w:val="00A17430"/>
    <w:rsid w:val="00A1752A"/>
    <w:rsid w:val="00A20649"/>
    <w:rsid w:val="00A20D17"/>
    <w:rsid w:val="00A277D4"/>
    <w:rsid w:val="00A33AFB"/>
    <w:rsid w:val="00A34F76"/>
    <w:rsid w:val="00A36AE2"/>
    <w:rsid w:val="00A4633A"/>
    <w:rsid w:val="00A463A9"/>
    <w:rsid w:val="00A5122B"/>
    <w:rsid w:val="00A5298F"/>
    <w:rsid w:val="00A55A48"/>
    <w:rsid w:val="00A560CE"/>
    <w:rsid w:val="00A57FDF"/>
    <w:rsid w:val="00A66BEE"/>
    <w:rsid w:val="00A720A5"/>
    <w:rsid w:val="00A75096"/>
    <w:rsid w:val="00A77B43"/>
    <w:rsid w:val="00A802B2"/>
    <w:rsid w:val="00A842C1"/>
    <w:rsid w:val="00A873E5"/>
    <w:rsid w:val="00A909B1"/>
    <w:rsid w:val="00A9422F"/>
    <w:rsid w:val="00AA2539"/>
    <w:rsid w:val="00AA2983"/>
    <w:rsid w:val="00AA44F5"/>
    <w:rsid w:val="00AC1033"/>
    <w:rsid w:val="00AC4D8D"/>
    <w:rsid w:val="00AC5B84"/>
    <w:rsid w:val="00AD3384"/>
    <w:rsid w:val="00AD3668"/>
    <w:rsid w:val="00AE5A1C"/>
    <w:rsid w:val="00AF7DEA"/>
    <w:rsid w:val="00B12F41"/>
    <w:rsid w:val="00B15D99"/>
    <w:rsid w:val="00B2471C"/>
    <w:rsid w:val="00B3074E"/>
    <w:rsid w:val="00B32BB9"/>
    <w:rsid w:val="00B33CE5"/>
    <w:rsid w:val="00B33E93"/>
    <w:rsid w:val="00B3775B"/>
    <w:rsid w:val="00B37E87"/>
    <w:rsid w:val="00B51119"/>
    <w:rsid w:val="00B56676"/>
    <w:rsid w:val="00B572D2"/>
    <w:rsid w:val="00B6435E"/>
    <w:rsid w:val="00B70817"/>
    <w:rsid w:val="00B719A3"/>
    <w:rsid w:val="00B73977"/>
    <w:rsid w:val="00B76E06"/>
    <w:rsid w:val="00B77DBC"/>
    <w:rsid w:val="00B803B5"/>
    <w:rsid w:val="00B83849"/>
    <w:rsid w:val="00B83CB7"/>
    <w:rsid w:val="00B90ECF"/>
    <w:rsid w:val="00B91AF3"/>
    <w:rsid w:val="00B96244"/>
    <w:rsid w:val="00BA0B44"/>
    <w:rsid w:val="00BA20C9"/>
    <w:rsid w:val="00BA3975"/>
    <w:rsid w:val="00BB1744"/>
    <w:rsid w:val="00BC15BE"/>
    <w:rsid w:val="00BD5A04"/>
    <w:rsid w:val="00BD6B0B"/>
    <w:rsid w:val="00BE7994"/>
    <w:rsid w:val="00BF2521"/>
    <w:rsid w:val="00BF47F2"/>
    <w:rsid w:val="00C002D1"/>
    <w:rsid w:val="00C05362"/>
    <w:rsid w:val="00C132B3"/>
    <w:rsid w:val="00C152C8"/>
    <w:rsid w:val="00C15E0A"/>
    <w:rsid w:val="00C16812"/>
    <w:rsid w:val="00C169D8"/>
    <w:rsid w:val="00C33F9D"/>
    <w:rsid w:val="00C34573"/>
    <w:rsid w:val="00C375B5"/>
    <w:rsid w:val="00C40086"/>
    <w:rsid w:val="00C4337B"/>
    <w:rsid w:val="00C50902"/>
    <w:rsid w:val="00C51126"/>
    <w:rsid w:val="00C51371"/>
    <w:rsid w:val="00C608F0"/>
    <w:rsid w:val="00C60DEA"/>
    <w:rsid w:val="00C6428D"/>
    <w:rsid w:val="00C66602"/>
    <w:rsid w:val="00C74820"/>
    <w:rsid w:val="00C769FE"/>
    <w:rsid w:val="00C82FB6"/>
    <w:rsid w:val="00C90655"/>
    <w:rsid w:val="00C91AC4"/>
    <w:rsid w:val="00C950E3"/>
    <w:rsid w:val="00C95983"/>
    <w:rsid w:val="00CB2252"/>
    <w:rsid w:val="00CB5EBB"/>
    <w:rsid w:val="00CC0BAF"/>
    <w:rsid w:val="00CC6A49"/>
    <w:rsid w:val="00CC7AD5"/>
    <w:rsid w:val="00CD0664"/>
    <w:rsid w:val="00CE046E"/>
    <w:rsid w:val="00CE0D2D"/>
    <w:rsid w:val="00CE4075"/>
    <w:rsid w:val="00CF1BAF"/>
    <w:rsid w:val="00CF2FD7"/>
    <w:rsid w:val="00CF57C2"/>
    <w:rsid w:val="00CF60C8"/>
    <w:rsid w:val="00CF7E0C"/>
    <w:rsid w:val="00D008ED"/>
    <w:rsid w:val="00D00F0F"/>
    <w:rsid w:val="00D019E6"/>
    <w:rsid w:val="00D2208D"/>
    <w:rsid w:val="00D25A7D"/>
    <w:rsid w:val="00D27FFA"/>
    <w:rsid w:val="00D36505"/>
    <w:rsid w:val="00D36F12"/>
    <w:rsid w:val="00D41F97"/>
    <w:rsid w:val="00D43303"/>
    <w:rsid w:val="00D5112D"/>
    <w:rsid w:val="00D53DB5"/>
    <w:rsid w:val="00D569C6"/>
    <w:rsid w:val="00D60724"/>
    <w:rsid w:val="00D63D13"/>
    <w:rsid w:val="00D64990"/>
    <w:rsid w:val="00D72E84"/>
    <w:rsid w:val="00D74895"/>
    <w:rsid w:val="00D75BF5"/>
    <w:rsid w:val="00D81DD0"/>
    <w:rsid w:val="00D856B0"/>
    <w:rsid w:val="00D93F72"/>
    <w:rsid w:val="00D94EDA"/>
    <w:rsid w:val="00DA0302"/>
    <w:rsid w:val="00DA678D"/>
    <w:rsid w:val="00DA7F4B"/>
    <w:rsid w:val="00DB4B59"/>
    <w:rsid w:val="00DC1D42"/>
    <w:rsid w:val="00DC3319"/>
    <w:rsid w:val="00DC399D"/>
    <w:rsid w:val="00DD051B"/>
    <w:rsid w:val="00DD0DF0"/>
    <w:rsid w:val="00DD1BE3"/>
    <w:rsid w:val="00DE1FCB"/>
    <w:rsid w:val="00DE3EE7"/>
    <w:rsid w:val="00DE6187"/>
    <w:rsid w:val="00DF17B3"/>
    <w:rsid w:val="00DF624B"/>
    <w:rsid w:val="00DF6937"/>
    <w:rsid w:val="00E0035A"/>
    <w:rsid w:val="00E01384"/>
    <w:rsid w:val="00E06116"/>
    <w:rsid w:val="00E111A5"/>
    <w:rsid w:val="00E11608"/>
    <w:rsid w:val="00E133F3"/>
    <w:rsid w:val="00E2173D"/>
    <w:rsid w:val="00E23A1C"/>
    <w:rsid w:val="00E27617"/>
    <w:rsid w:val="00E30CE4"/>
    <w:rsid w:val="00E34C4E"/>
    <w:rsid w:val="00E350D2"/>
    <w:rsid w:val="00E37BB0"/>
    <w:rsid w:val="00E42F90"/>
    <w:rsid w:val="00E443F9"/>
    <w:rsid w:val="00E44AA6"/>
    <w:rsid w:val="00E4697B"/>
    <w:rsid w:val="00E52C29"/>
    <w:rsid w:val="00E56BB5"/>
    <w:rsid w:val="00E56FC1"/>
    <w:rsid w:val="00E57C05"/>
    <w:rsid w:val="00E639DE"/>
    <w:rsid w:val="00E64A43"/>
    <w:rsid w:val="00E6657E"/>
    <w:rsid w:val="00E83E38"/>
    <w:rsid w:val="00E91039"/>
    <w:rsid w:val="00E95713"/>
    <w:rsid w:val="00EB0092"/>
    <w:rsid w:val="00EB4053"/>
    <w:rsid w:val="00EB667E"/>
    <w:rsid w:val="00EB7781"/>
    <w:rsid w:val="00EB7889"/>
    <w:rsid w:val="00EC2AAF"/>
    <w:rsid w:val="00EC44BE"/>
    <w:rsid w:val="00EC646E"/>
    <w:rsid w:val="00EC7E91"/>
    <w:rsid w:val="00ED09DA"/>
    <w:rsid w:val="00ED751A"/>
    <w:rsid w:val="00EE3E11"/>
    <w:rsid w:val="00EF3830"/>
    <w:rsid w:val="00F27587"/>
    <w:rsid w:val="00F27BCC"/>
    <w:rsid w:val="00F35E8E"/>
    <w:rsid w:val="00F4226F"/>
    <w:rsid w:val="00F45B52"/>
    <w:rsid w:val="00F479B8"/>
    <w:rsid w:val="00F513B7"/>
    <w:rsid w:val="00F52BFE"/>
    <w:rsid w:val="00F52DA0"/>
    <w:rsid w:val="00F5428B"/>
    <w:rsid w:val="00F55615"/>
    <w:rsid w:val="00F559C3"/>
    <w:rsid w:val="00F56F9C"/>
    <w:rsid w:val="00F648AD"/>
    <w:rsid w:val="00F66FF0"/>
    <w:rsid w:val="00F74462"/>
    <w:rsid w:val="00F7698D"/>
    <w:rsid w:val="00F7701B"/>
    <w:rsid w:val="00F8150C"/>
    <w:rsid w:val="00F86954"/>
    <w:rsid w:val="00F90719"/>
    <w:rsid w:val="00F9387F"/>
    <w:rsid w:val="00F959E9"/>
    <w:rsid w:val="00FA0BA0"/>
    <w:rsid w:val="00FA1E20"/>
    <w:rsid w:val="00FA507E"/>
    <w:rsid w:val="00FA7C25"/>
    <w:rsid w:val="00FB3975"/>
    <w:rsid w:val="00FB5C26"/>
    <w:rsid w:val="00FC2D3A"/>
    <w:rsid w:val="00FC5166"/>
    <w:rsid w:val="00FC7822"/>
    <w:rsid w:val="00FD1B27"/>
    <w:rsid w:val="00FD716E"/>
    <w:rsid w:val="00FD7DF0"/>
    <w:rsid w:val="00FE2B2C"/>
    <w:rsid w:val="00FE5160"/>
    <w:rsid w:val="00FE6EB5"/>
    <w:rsid w:val="00FE7423"/>
    <w:rsid w:val="00FF3A92"/>
    <w:rsid w:val="0A5C3A4D"/>
    <w:rsid w:val="0D2BD337"/>
    <w:rsid w:val="43BB15E0"/>
    <w:rsid w:val="44A6DFD8"/>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n4,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Char Char,Footnote Text Char Ch Char,Footnote Text Char Ch1 Char,Footnote Text Char Char1 Char Char,Footnote Text Char1 Char,Footnote Text Char1 Char Char Char Char1,Footnote Text Char2 Char Char,Footnote Text1 Char Char,fn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EC5255B60F0840B1483E42EDAE769A" ma:contentTypeVersion="12" ma:contentTypeDescription="Create a new document." ma:contentTypeScope="" ma:versionID="809d2e83b6ddae39a45378153b37f801">
  <xsd:schema xmlns:xsd="http://www.w3.org/2001/XMLSchema" xmlns:xs="http://www.w3.org/2001/XMLSchema" xmlns:p="http://schemas.microsoft.com/office/2006/metadata/properties" xmlns:ns2="62c6221b-9cfc-4033-ba5e-3218dc9098cd" xmlns:ns3="78643c0f-3c8a-4853-8620-cef58757fef8" targetNamespace="http://schemas.microsoft.com/office/2006/metadata/properties" ma:root="true" ma:fieldsID="360d0fc59437707230ffe0efaae27ee2" ns2:_="" ns3:_="">
    <xsd:import namespace="62c6221b-9cfc-4033-ba5e-3218dc9098cd"/>
    <xsd:import namespace="78643c0f-3c8a-4853-8620-cef58757fef8"/>
    <xsd:element name="properties">
      <xsd:complexType>
        <xsd:sequence>
          <xsd:element name="documentManagement">
            <xsd:complexType>
              <xsd:all>
                <xsd:element ref="ns2:_x0023_" minOccurs="0"/>
                <xsd:element ref="ns2:Workpla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6221b-9cfc-4033-ba5e-3218dc9098cd" elementFormDefault="qualified">
    <xsd:import namespace="http://schemas.microsoft.com/office/2006/documentManagement/types"/>
    <xsd:import namespace="http://schemas.microsoft.com/office/infopath/2007/PartnerControls"/>
    <xsd:element name="_x0023_" ma:index="8" nillable="true" ma:displayName="ID or Docket #" ma:description="Project or Docket Number" ma:format="Dropdown" ma:internalName="_x0023_">
      <xsd:simpleType>
        <xsd:restriction base="dms:Text">
          <xsd:maxLength value="255"/>
        </xsd:restriction>
      </xsd:simpleType>
    </xsd:element>
    <xsd:element name="Workplan" ma:index="9" nillable="true" ma:displayName="Workplan" ma:description="A link to the project workplan in the Admin-Doc Library" ma:format="Hyperlink" ma:internalName="Workpl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43c0f-3c8a-4853-8620-cef58757fef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da4f331-6237-439a-9620-8b9a2f79ebf7}" ma:internalName="TaxCatchAll" ma:showField="CatchAllData" ma:web="78643c0f-3c8a-4853-8620-cef58757f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3_ xmlns="62c6221b-9cfc-4033-ba5e-3218dc9098cd" xsi:nil="true"/>
    <Workplan xmlns="62c6221b-9cfc-4033-ba5e-3218dc9098cd">
      <Url xsi:nil="true"/>
      <Description xsi:nil="true"/>
    </Workplan>
    <TaxCatchAll xmlns="78643c0f-3c8a-4853-8620-cef58757fef8" xsi:nil="true"/>
    <lcf76f155ced4ddcb4097134ff3c332f xmlns="62c6221b-9cfc-4033-ba5e-3218dc9098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9A4D3-CA86-48B6-B461-471D0663250E}">
  <ds:schemaRefs>
    <ds:schemaRef ds:uri="http://schemas.openxmlformats.org/officeDocument/2006/bibliography"/>
  </ds:schemaRefs>
</ds:datastoreItem>
</file>

<file path=customXml/itemProps2.xml><?xml version="1.0" encoding="utf-8"?>
<ds:datastoreItem xmlns:ds="http://schemas.openxmlformats.org/officeDocument/2006/customXml" ds:itemID="{DDC38553-048F-447C-88CA-91605A641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6221b-9cfc-4033-ba5e-3218dc9098cd"/>
    <ds:schemaRef ds:uri="78643c0f-3c8a-4853-8620-cef58757f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472E6-E3F7-4C35-B2DC-3F4E7649F8B4}">
  <ds:schemaRefs>
    <ds:schemaRef ds:uri="http://schemas.microsoft.com/office/2006/metadata/properties"/>
    <ds:schemaRef ds:uri="http://schemas.microsoft.com/office/infopath/2007/PartnerControls"/>
    <ds:schemaRef ds:uri="62c6221b-9cfc-4033-ba5e-3218dc9098cd"/>
    <ds:schemaRef ds:uri="78643c0f-3c8a-4853-8620-cef58757fef8"/>
  </ds:schemaRefs>
</ds:datastoreItem>
</file>

<file path=customXml/itemProps4.xml><?xml version="1.0" encoding="utf-8"?>
<ds:datastoreItem xmlns:ds="http://schemas.openxmlformats.org/officeDocument/2006/customXml" ds:itemID="{358C3B1B-D3A1-4D23-881C-01A45536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2037</Words>
  <Characters>11739</Characters>
  <Application>Microsoft Office Word</Application>
  <DocSecurity>0</DocSecurity>
  <Lines>317</Lines>
  <Paragraphs>128</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Oscar Santillana</dc:creator>
  <cp:lastModifiedBy>Kayla Williams</cp:lastModifiedBy>
  <cp:revision>3</cp:revision>
  <dcterms:created xsi:type="dcterms:W3CDTF">2026-07-02T15:01:00Z</dcterms:created>
  <dcterms:modified xsi:type="dcterms:W3CDTF">2026-07-02T15:02:00Z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osed? (Yes/No)">
    <vt:bool>false</vt:bool>
  </property>
  <property fmtid="{D5CDD505-2E9C-101B-9397-08002B2CF9AE}" pid="3" name="ContentTypeId">
    <vt:lpwstr>0x01010052EC5255B60F0840B1483E42EDAE769A</vt:lpwstr>
  </property>
  <property fmtid="{D5CDD505-2E9C-101B-9397-08002B2CF9AE}" pid="4" name="lcf76f155ced4ddcb4097134ff3c332f">
    <vt:lpwstr/>
  </property>
  <property fmtid="{D5CDD505-2E9C-101B-9397-08002B2CF9AE}" pid="5" name="MediaServiceImageTags">
    <vt:lpwstr/>
  </property>
  <property fmtid="{D5CDD505-2E9C-101B-9397-08002B2CF9AE}" pid="6" name="MSIP_Label_bd24d06a-0e85-4d57-b1e0-ba34b1abc708_ActionId">
    <vt:lpwstr>f9abf825-e20b-4c9f-a116-48cecec88d8d</vt:lpwstr>
  </property>
  <property fmtid="{D5CDD505-2E9C-101B-9397-08002B2CF9AE}" pid="7" name="MSIP_Label_bd24d06a-0e85-4d57-b1e0-ba34b1abc708_ContentBits">
    <vt:lpwstr>0</vt:lpwstr>
  </property>
  <property fmtid="{D5CDD505-2E9C-101B-9397-08002B2CF9AE}" pid="8" name="MSIP_Label_bd24d06a-0e85-4d57-b1e0-ba34b1abc708_Enabled">
    <vt:lpwstr>true</vt:lpwstr>
  </property>
  <property fmtid="{D5CDD505-2E9C-101B-9397-08002B2CF9AE}" pid="9" name="MSIP_Label_bd24d06a-0e85-4d57-b1e0-ba34b1abc708_Method">
    <vt:lpwstr>Privileged</vt:lpwstr>
  </property>
  <property fmtid="{D5CDD505-2E9C-101B-9397-08002B2CF9AE}" pid="10" name="MSIP_Label_bd24d06a-0e85-4d57-b1e0-ba34b1abc708_Name">
    <vt:lpwstr>bd24d06a-0e85-4d57-b1e0-ba34b1abc708</vt:lpwstr>
  </property>
  <property fmtid="{D5CDD505-2E9C-101B-9397-08002B2CF9AE}" pid="11" name="MSIP_Label_bd24d06a-0e85-4d57-b1e0-ba34b1abc708_SetDate">
    <vt:lpwstr>2025-11-19T15:51:09Z</vt:lpwstr>
  </property>
  <property fmtid="{D5CDD505-2E9C-101B-9397-08002B2CF9AE}" pid="12" name="MSIP_Label_bd24d06a-0e85-4d57-b1e0-ba34b1abc708_SiteId">
    <vt:lpwstr>19caa9e9-04ff-43fa-885f-d77fac387903</vt:lpwstr>
  </property>
  <property fmtid="{D5CDD505-2E9C-101B-9397-08002B2CF9AE}" pid="13" name="MSIP_Label_bd24d06a-0e85-4d57-b1e0-ba34b1abc708_Tag">
    <vt:lpwstr>10, 0, 1, 1</vt:lpwstr>
  </property>
  <property fmtid="{D5CDD505-2E9C-101B-9397-08002B2CF9AE}" pid="14" name="Order">
    <vt:r8>15098200</vt:r8>
  </property>
  <property fmtid="{D5CDD505-2E9C-101B-9397-08002B2CF9AE}" pid="15" name="TaxCatchAll">
    <vt:lpwstr/>
  </property>
</Properties>
</file>