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1375" w:rsidRPr="00A41375" w:rsidP="5213A355" w14:paraId="2E5FB1F4" w14:textId="72E448DA">
      <w:pPr>
        <w:spacing w:after="0" w:line="240" w:lineRule="auto"/>
        <w:jc w:val="center"/>
        <w:rPr>
          <w:rFonts w:ascii="Times New Roman" w:hAnsi="Times New Roman"/>
          <w:b/>
          <w:bCs/>
          <w:sz w:val="26"/>
          <w:szCs w:val="26"/>
        </w:rPr>
      </w:pPr>
      <w:r w:rsidRPr="5213A355" w:rsidR="70552093">
        <w:rPr>
          <w:rFonts w:ascii="Times New Roman" w:hAnsi="Times New Roman"/>
          <w:b/>
          <w:bCs/>
          <w:sz w:val="26"/>
          <w:szCs w:val="26"/>
        </w:rPr>
        <w:t>S</w:t>
      </w:r>
      <w:r w:rsidRPr="5213A355">
        <w:rPr>
          <w:rFonts w:ascii="Times New Roman" w:hAnsi="Times New Roman"/>
          <w:b/>
          <w:bCs/>
          <w:sz w:val="26"/>
          <w:szCs w:val="26"/>
        </w:rPr>
        <w:t>upporting Statement for</w:t>
      </w:r>
    </w:p>
    <w:p w:rsidR="00A41375" w:rsidP="00A41375" w14:paraId="3FBF02AE" w14:textId="77777777">
      <w:pPr>
        <w:spacing w:after="0" w:line="240" w:lineRule="auto"/>
        <w:jc w:val="center"/>
        <w:rPr>
          <w:rFonts w:ascii="Times New Roman" w:hAnsi="Times New Roman"/>
          <w:b/>
          <w:sz w:val="26"/>
        </w:rPr>
      </w:pPr>
      <w:r w:rsidRPr="506CCA6A">
        <w:rPr>
          <w:rFonts w:ascii="Times New Roman" w:hAnsi="Times New Roman"/>
          <w:b/>
          <w:bCs/>
          <w:sz w:val="26"/>
          <w:szCs w:val="26"/>
        </w:rPr>
        <w:t>FERC-537 (Gas Pipeline Certificates: Construction, Acquisition, and Abandonment)</w:t>
      </w:r>
    </w:p>
    <w:p w:rsidR="1359C66E" w:rsidP="506CCA6A" w14:paraId="417ECC9A" w14:textId="52388EF4">
      <w:pPr>
        <w:spacing w:after="0" w:line="240" w:lineRule="auto"/>
        <w:jc w:val="center"/>
        <w:rPr>
          <w:rFonts w:ascii="Times New Roman" w:eastAsia="Calibri" w:hAnsi="Times New Roman" w:cs="Arial"/>
          <w:b/>
          <w:bCs/>
          <w:sz w:val="26"/>
          <w:szCs w:val="26"/>
        </w:rPr>
      </w:pPr>
      <w:r w:rsidRPr="506CCA6A">
        <w:rPr>
          <w:rFonts w:ascii="Times New Roman" w:hAnsi="Times New Roman"/>
          <w:b/>
          <w:bCs/>
          <w:sz w:val="26"/>
          <w:szCs w:val="26"/>
        </w:rPr>
        <w:t xml:space="preserve">Associated with </w:t>
      </w:r>
      <w:r w:rsidRPr="506CCA6A">
        <w:rPr>
          <w:rFonts w:ascii="Times New Roman" w:eastAsia="Calibri" w:hAnsi="Times New Roman" w:cs="Arial"/>
          <w:b/>
          <w:bCs/>
          <w:sz w:val="26"/>
          <w:szCs w:val="26"/>
        </w:rPr>
        <w:t>RM25-12-000</w:t>
      </w:r>
      <w:r w:rsidRPr="506CCA6A" w:rsidR="3076A574">
        <w:rPr>
          <w:rFonts w:ascii="Times New Roman" w:eastAsia="Calibri" w:hAnsi="Times New Roman" w:cs="Arial"/>
          <w:b/>
          <w:bCs/>
          <w:sz w:val="26"/>
          <w:szCs w:val="26"/>
        </w:rPr>
        <w:t xml:space="preserve"> </w:t>
      </w:r>
    </w:p>
    <w:p w:rsidR="003D5A37" w:rsidP="003D5A37" w14:paraId="024EB479" w14:textId="77777777">
      <w:pPr>
        <w:spacing w:after="0" w:line="240" w:lineRule="auto"/>
        <w:rPr>
          <w:rFonts w:ascii="Times New Roman" w:hAnsi="Times New Roman"/>
          <w:b/>
          <w:sz w:val="26"/>
        </w:rPr>
      </w:pPr>
    </w:p>
    <w:p w:rsidR="007C3270" w:rsidP="007C3270" w14:paraId="405EC055" w14:textId="0C388B0B">
      <w:pPr>
        <w:spacing w:after="0" w:line="240" w:lineRule="auto"/>
        <w:rPr>
          <w:rFonts w:ascii="Times New Roman" w:hAnsi="Times New Roman"/>
          <w:sz w:val="26"/>
          <w:szCs w:val="26"/>
        </w:rPr>
      </w:pPr>
      <w:r w:rsidRPr="5213A355">
        <w:rPr>
          <w:rFonts w:ascii="Times New Roman" w:hAnsi="Times New Roman"/>
          <w:sz w:val="26"/>
          <w:szCs w:val="26"/>
        </w:rPr>
        <w:t xml:space="preserve">The Federal Energy Regulatory Commission (Commission or FERC) requests that the Office of Management and Budget (OMB) review the </w:t>
      </w:r>
      <w:r w:rsidRPr="5213A355" w:rsidR="58C28093">
        <w:rPr>
          <w:rFonts w:ascii="Times New Roman" w:hAnsi="Times New Roman"/>
          <w:sz w:val="26"/>
          <w:szCs w:val="26"/>
        </w:rPr>
        <w:t>proposed</w:t>
      </w:r>
      <w:r w:rsidRPr="5213A355" w:rsidR="45532A05">
        <w:rPr>
          <w:rFonts w:ascii="Times New Roman" w:hAnsi="Times New Roman"/>
          <w:sz w:val="26"/>
          <w:szCs w:val="26"/>
        </w:rPr>
        <w:t xml:space="preserve"> </w:t>
      </w:r>
      <w:r w:rsidRPr="5213A355">
        <w:rPr>
          <w:rFonts w:ascii="Times New Roman" w:hAnsi="Times New Roman"/>
          <w:sz w:val="26"/>
          <w:szCs w:val="26"/>
        </w:rPr>
        <w:t xml:space="preserve">modifications to </w:t>
      </w:r>
      <w:r w:rsidRPr="5213A355">
        <w:rPr>
          <w:rFonts w:ascii="Times New Roman" w:hAnsi="Times New Roman"/>
          <w:i/>
          <w:iCs/>
          <w:sz w:val="26"/>
          <w:szCs w:val="26"/>
        </w:rPr>
        <w:t>FERC-537: Gas Pipeline Certificat</w:t>
      </w:r>
      <w:r w:rsidRPr="5213A355" w:rsidR="00472F90">
        <w:rPr>
          <w:rFonts w:ascii="Times New Roman" w:hAnsi="Times New Roman"/>
          <w:i/>
          <w:iCs/>
          <w:sz w:val="26"/>
          <w:szCs w:val="26"/>
        </w:rPr>
        <w:t>es: Construction, Acquisition, and Abandonment</w:t>
      </w:r>
      <w:r w:rsidRPr="5213A355">
        <w:rPr>
          <w:rFonts w:ascii="Times New Roman" w:hAnsi="Times New Roman"/>
          <w:sz w:val="26"/>
          <w:szCs w:val="26"/>
        </w:rPr>
        <w:t xml:space="preserve">, as described in the </w:t>
      </w:r>
      <w:r w:rsidRPr="5213A355" w:rsidR="4A21609C">
        <w:rPr>
          <w:rFonts w:ascii="Times New Roman" w:hAnsi="Times New Roman"/>
          <w:sz w:val="26"/>
          <w:szCs w:val="26"/>
        </w:rPr>
        <w:t>RM25-12-000: Revisions to the Blanket Certificate Program</w:t>
      </w:r>
      <w:r w:rsidRPr="5213A355">
        <w:rPr>
          <w:rFonts w:ascii="Times New Roman" w:hAnsi="Times New Roman"/>
          <w:sz w:val="26"/>
          <w:szCs w:val="26"/>
        </w:rPr>
        <w:t xml:space="preserve">. </w:t>
      </w:r>
      <w:r w:rsidRPr="5213A355">
        <w:rPr>
          <w:rFonts w:ascii="Times New Roman" w:hAnsi="Times New Roman"/>
          <w:i/>
          <w:iCs/>
          <w:sz w:val="26"/>
          <w:szCs w:val="26"/>
        </w:rPr>
        <w:t>FERC-5</w:t>
      </w:r>
      <w:r w:rsidRPr="5213A355" w:rsidR="00472F90">
        <w:rPr>
          <w:rFonts w:ascii="Times New Roman" w:hAnsi="Times New Roman"/>
          <w:i/>
          <w:iCs/>
          <w:sz w:val="26"/>
          <w:szCs w:val="26"/>
        </w:rPr>
        <w:t>37</w:t>
      </w:r>
      <w:r w:rsidRPr="5213A355">
        <w:rPr>
          <w:rFonts w:ascii="Times New Roman" w:hAnsi="Times New Roman"/>
          <w:sz w:val="26"/>
          <w:szCs w:val="26"/>
        </w:rPr>
        <w:t xml:space="preserve"> (OMB Control No. 1902-0</w:t>
      </w:r>
      <w:r w:rsidRPr="5213A355" w:rsidR="00472F90">
        <w:rPr>
          <w:rFonts w:ascii="Times New Roman" w:hAnsi="Times New Roman"/>
          <w:sz w:val="26"/>
          <w:szCs w:val="26"/>
        </w:rPr>
        <w:t>060</w:t>
      </w:r>
      <w:r w:rsidRPr="5213A355">
        <w:rPr>
          <w:rFonts w:ascii="Times New Roman" w:hAnsi="Times New Roman"/>
          <w:sz w:val="26"/>
          <w:szCs w:val="26"/>
        </w:rPr>
        <w:t>) is an existing Commission data collection</w:t>
      </w:r>
      <w:r w:rsidRPr="5213A355" w:rsidR="00E66D3D">
        <w:rPr>
          <w:rFonts w:ascii="Times New Roman" w:hAnsi="Times New Roman"/>
          <w:sz w:val="26"/>
          <w:szCs w:val="26"/>
        </w:rPr>
        <w:t>, that implements sections 3 and 7 of the Natural Gas Act (NGA).</w:t>
      </w:r>
    </w:p>
    <w:p w:rsidR="005746AF" w:rsidP="007C3270" w14:paraId="45A78D2D" w14:textId="77777777">
      <w:pPr>
        <w:spacing w:after="0" w:line="240" w:lineRule="auto"/>
        <w:rPr>
          <w:rFonts w:ascii="Times New Roman" w:hAnsi="Times New Roman"/>
          <w:sz w:val="26"/>
          <w:szCs w:val="26"/>
        </w:rPr>
      </w:pPr>
    </w:p>
    <w:p w:rsidR="00391C45" w:rsidRPr="00391C45" w:rsidP="00543BEE" w14:paraId="0E0565B5" w14:textId="77777777">
      <w:pPr>
        <w:numPr>
          <w:ilvl w:val="0"/>
          <w:numId w:val="1"/>
        </w:numPr>
        <w:spacing w:after="0" w:line="240" w:lineRule="auto"/>
        <w:ind w:left="0" w:firstLine="0"/>
        <w:rPr>
          <w:rFonts w:ascii="Times New Roman" w:hAnsi="Times New Roman"/>
          <w:b/>
          <w:sz w:val="26"/>
        </w:rPr>
      </w:pPr>
      <w:r w:rsidRPr="00391C45">
        <w:rPr>
          <w:rFonts w:ascii="Times New Roman" w:hAnsi="Times New Roman"/>
          <w:b/>
          <w:sz w:val="26"/>
        </w:rPr>
        <w:t>CIRCUMSTANCES THAT MAKE THE COLLECTION OF INFORMATION NECESSARY</w:t>
      </w:r>
    </w:p>
    <w:p w:rsidR="00391C45" w:rsidRPr="00391C45" w:rsidP="00391C45" w14:paraId="001B88A8" w14:textId="77777777">
      <w:pPr>
        <w:spacing w:after="0" w:line="240" w:lineRule="auto"/>
        <w:rPr>
          <w:rFonts w:ascii="Times New Roman" w:hAnsi="Times New Roman"/>
          <w:sz w:val="26"/>
        </w:rPr>
      </w:pPr>
    </w:p>
    <w:p w:rsidR="00D149CA" w:rsidP="506CCA6A" w14:paraId="32B7354F" w14:textId="34410440">
      <w:pPr>
        <w:spacing w:after="0" w:line="240" w:lineRule="auto"/>
        <w:rPr>
          <w:rFonts w:ascii="Times New Roman" w:hAnsi="Times New Roman"/>
          <w:sz w:val="26"/>
          <w:szCs w:val="26"/>
        </w:rPr>
      </w:pPr>
      <w:r w:rsidRPr="00D149CA">
        <w:rPr>
          <w:rFonts w:ascii="Times New Roman" w:hAnsi="Times New Roman"/>
          <w:sz w:val="26"/>
          <w:szCs w:val="26"/>
        </w:rPr>
        <w:t>Section 7 of the Natural Gas Act</w:t>
      </w:r>
      <w:r>
        <w:rPr>
          <w:rFonts w:ascii="Times New Roman" w:hAnsi="Times New Roman"/>
          <w:b/>
          <w:sz w:val="26"/>
          <w:szCs w:val="26"/>
          <w:vertAlign w:val="superscript"/>
        </w:rPr>
        <w:footnoteReference w:id="3"/>
      </w:r>
      <w:r>
        <w:rPr>
          <w:rFonts w:ascii="Times New Roman" w:hAnsi="Times New Roman"/>
          <w:sz w:val="26"/>
          <w:szCs w:val="26"/>
        </w:rPr>
        <w:t xml:space="preserve"> </w:t>
      </w:r>
      <w:r w:rsidRPr="00D149CA">
        <w:rPr>
          <w:rFonts w:ascii="Times New Roman" w:hAnsi="Times New Roman"/>
          <w:sz w:val="26"/>
          <w:szCs w:val="26"/>
        </w:rPr>
        <w:t>provides that no natural gas company may engage in the transportation and sale of natural gas in interstate commerce for resale, the construction of facilities to be used in those activities, or the abandonment of any jurisdictional service or facilities, without first obtaining prior Commission approval for such activities.  To fulfill this statutory responsibility, the Commission has implemented a number of different certificate programs, including various generic determinations of public convenience and necessity.  In 1982, the Commission instituted a blanket certificate program, pursuant to which interstate pipelines that hold a certificate of public convenience and necessity under section 7(c) of the Natural Gas Act (NGA) may obtain a one-time blanket certificate under Part 157, Subpart F of the Commission’s regulations to undertake, without a case-specific authorization order, certain activities automatically and certain other activities after prior notice.</w:t>
      </w:r>
      <w:r>
        <w:rPr>
          <w:rFonts w:ascii="Times New Roman" w:hAnsi="Times New Roman"/>
          <w:b/>
          <w:sz w:val="26"/>
          <w:szCs w:val="26"/>
          <w:vertAlign w:val="superscript"/>
        </w:rPr>
        <w:footnoteReference w:id="4"/>
      </w:r>
      <w:r w:rsidRPr="00D149CA">
        <w:rPr>
          <w:rFonts w:ascii="Times New Roman" w:hAnsi="Times New Roman"/>
          <w:sz w:val="26"/>
          <w:szCs w:val="26"/>
        </w:rPr>
        <w:t xml:space="preserve">  The blanket certificate program was designed to “provide streamlined procedures which increase flexibility and reduce regulatory burden” for a generic class of routine activities, with particular conditions and procedures to ensure consistency with the Commission’s statutory obligations under the NGA and environmental statutes.</w:t>
      </w:r>
      <w:r>
        <w:rPr>
          <w:rFonts w:ascii="Times New Roman" w:hAnsi="Times New Roman"/>
          <w:b/>
          <w:sz w:val="26"/>
          <w:szCs w:val="26"/>
          <w:vertAlign w:val="superscript"/>
        </w:rPr>
        <w:footnoteReference w:id="5"/>
      </w:r>
      <w:r w:rsidRPr="00D149CA">
        <w:rPr>
          <w:rFonts w:ascii="Times New Roman" w:hAnsi="Times New Roman"/>
          <w:sz w:val="26"/>
          <w:szCs w:val="26"/>
        </w:rPr>
        <w:t xml:space="preserve">  </w:t>
      </w:r>
    </w:p>
    <w:p w:rsidR="00363654" w:rsidP="506CCA6A" w14:paraId="77D7416D" w14:textId="77777777">
      <w:pPr>
        <w:spacing w:after="0" w:line="240" w:lineRule="auto"/>
        <w:rPr>
          <w:rFonts w:ascii="Times New Roman" w:hAnsi="Times New Roman"/>
          <w:sz w:val="26"/>
          <w:szCs w:val="26"/>
        </w:rPr>
      </w:pPr>
    </w:p>
    <w:p w:rsidR="00363654" w:rsidP="00363654" w14:paraId="3E6F03DC" w14:textId="77777777">
      <w:pPr>
        <w:spacing w:after="0" w:line="240" w:lineRule="auto"/>
        <w:rPr>
          <w:rFonts w:ascii="Times New Roman" w:hAnsi="Times New Roman"/>
          <w:sz w:val="26"/>
          <w:szCs w:val="26"/>
        </w:rPr>
      </w:pPr>
      <w:r w:rsidRPr="00363654">
        <w:rPr>
          <w:rFonts w:ascii="Times New Roman" w:hAnsi="Times New Roman"/>
          <w:sz w:val="26"/>
          <w:szCs w:val="26"/>
        </w:rPr>
        <w:t>The last major modification to the blanket certificate program occurred in 2006, when the Commission, among other things, increased the cost limits, made mainline facilities eligible for the blanket certificate program, and expanded the environmental conditions and notice provisions.</w:t>
      </w:r>
      <w:r>
        <w:rPr>
          <w:rFonts w:ascii="Times New Roman" w:hAnsi="Times New Roman"/>
          <w:b/>
          <w:sz w:val="26"/>
          <w:szCs w:val="26"/>
          <w:vertAlign w:val="superscript"/>
        </w:rPr>
        <w:footnoteReference w:id="6"/>
      </w:r>
      <w:r w:rsidRPr="00363654">
        <w:rPr>
          <w:rFonts w:ascii="Times New Roman" w:hAnsi="Times New Roman"/>
          <w:sz w:val="26"/>
          <w:szCs w:val="26"/>
        </w:rPr>
        <w:t xml:space="preserve">  The Commission reiterated that it continued to apply the framework and principles expressed in the 1982 rulemaking to distinguish those types of activities that may be conducted under an interstate pipeline’s blanket certificate authority from those that merit closer, case-specific scrutiny due to their potentially significant impact on rates, services, safety, security, competing natural gas companies or their customers, or on the environment.</w:t>
      </w:r>
      <w:r>
        <w:rPr>
          <w:rFonts w:ascii="Times New Roman" w:hAnsi="Times New Roman"/>
          <w:b/>
          <w:sz w:val="26"/>
          <w:szCs w:val="26"/>
          <w:vertAlign w:val="superscript"/>
        </w:rPr>
        <w:footnoteReference w:id="7"/>
      </w:r>
    </w:p>
    <w:p w:rsidR="00E509E4" w:rsidP="00363654" w14:paraId="2F1668A7" w14:textId="77777777">
      <w:pPr>
        <w:spacing w:after="0" w:line="240" w:lineRule="auto"/>
        <w:rPr>
          <w:rFonts w:ascii="Times New Roman" w:hAnsi="Times New Roman"/>
          <w:sz w:val="26"/>
          <w:szCs w:val="26"/>
        </w:rPr>
      </w:pPr>
    </w:p>
    <w:p w:rsidR="00E509E4" w:rsidRPr="00363654" w:rsidP="00363654" w14:paraId="40B4E688" w14:textId="5D011997">
      <w:pPr>
        <w:spacing w:after="0" w:line="240" w:lineRule="auto"/>
        <w:rPr>
          <w:rFonts w:ascii="Times New Roman" w:hAnsi="Times New Roman"/>
          <w:sz w:val="26"/>
          <w:szCs w:val="26"/>
        </w:rPr>
      </w:pPr>
      <w:r w:rsidRPr="00E509E4">
        <w:rPr>
          <w:rFonts w:ascii="Times New Roman" w:hAnsi="Times New Roman"/>
          <w:sz w:val="26"/>
          <w:szCs w:val="26"/>
        </w:rPr>
        <w:t xml:space="preserve">To ensure that infrastructure projects can continue to be developed in a timely manner without undue regulatory review, </w:t>
      </w:r>
      <w:r w:rsidRPr="00E509E4" w:rsidR="689FA0E6">
        <w:rPr>
          <w:rFonts w:ascii="Times New Roman" w:hAnsi="Times New Roman"/>
          <w:sz w:val="26"/>
          <w:szCs w:val="26"/>
        </w:rPr>
        <w:t xml:space="preserve">in 2025, </w:t>
      </w:r>
      <w:r w:rsidRPr="00E509E4">
        <w:rPr>
          <w:rFonts w:ascii="Times New Roman" w:hAnsi="Times New Roman"/>
          <w:sz w:val="26"/>
          <w:szCs w:val="26"/>
        </w:rPr>
        <w:t>the Commission issued a notice of inquiry (NOI) requesting stakeholder comments on whether, and if so how, the Commission should modify the blanket certificate program to adjust the cost limitations for projects.</w:t>
      </w:r>
      <w:r>
        <w:rPr>
          <w:rFonts w:ascii="Times New Roman" w:hAnsi="Times New Roman"/>
          <w:b/>
          <w:bCs/>
          <w:sz w:val="26"/>
          <w:szCs w:val="26"/>
          <w:vertAlign w:val="superscript"/>
        </w:rPr>
        <w:footnoteReference w:id="8"/>
      </w:r>
    </w:p>
    <w:p w:rsidR="00363654" w:rsidP="506CCA6A" w14:paraId="01D0B5F0" w14:textId="77777777">
      <w:pPr>
        <w:spacing w:after="0" w:line="240" w:lineRule="auto"/>
        <w:rPr>
          <w:rFonts w:ascii="Times New Roman" w:hAnsi="Times New Roman"/>
          <w:sz w:val="26"/>
          <w:szCs w:val="26"/>
        </w:rPr>
      </w:pPr>
    </w:p>
    <w:p w:rsidR="00512061" w:rsidP="000A392C" w14:paraId="16031D5D" w14:textId="77777777">
      <w:pPr>
        <w:spacing w:after="0" w:line="240" w:lineRule="auto"/>
        <w:rPr>
          <w:rFonts w:ascii="Times New Roman" w:hAnsi="Times New Roman"/>
          <w:sz w:val="26"/>
          <w:szCs w:val="26"/>
        </w:rPr>
      </w:pPr>
      <w:r>
        <w:rPr>
          <w:rFonts w:ascii="Times New Roman" w:hAnsi="Times New Roman"/>
          <w:sz w:val="26"/>
          <w:szCs w:val="26"/>
        </w:rPr>
        <w:t xml:space="preserve">The Notice of Proposed Rulemaking in </w:t>
      </w:r>
      <w:r w:rsidRPr="506CCA6A" w:rsidR="506CCA6A">
        <w:rPr>
          <w:rFonts w:ascii="Times New Roman" w:hAnsi="Times New Roman"/>
          <w:sz w:val="26"/>
          <w:szCs w:val="26"/>
        </w:rPr>
        <w:t xml:space="preserve">Docket No. </w:t>
      </w:r>
      <w:r w:rsidRPr="506CCA6A" w:rsidR="0AA60942">
        <w:rPr>
          <w:rFonts w:ascii="Times New Roman" w:hAnsi="Times New Roman"/>
          <w:sz w:val="26"/>
          <w:szCs w:val="26"/>
        </w:rPr>
        <w:t>RM25-12-000</w:t>
      </w:r>
      <w:r w:rsidR="001003F4">
        <w:rPr>
          <w:rFonts w:ascii="Times New Roman" w:hAnsi="Times New Roman"/>
          <w:sz w:val="26"/>
          <w:szCs w:val="26"/>
        </w:rPr>
        <w:t xml:space="preserve"> </w:t>
      </w:r>
      <w:r w:rsidR="0092039E">
        <w:rPr>
          <w:rFonts w:ascii="Times New Roman" w:hAnsi="Times New Roman"/>
          <w:sz w:val="26"/>
          <w:szCs w:val="26"/>
        </w:rPr>
        <w:t xml:space="preserve">used input from the NOI </w:t>
      </w:r>
      <w:r w:rsidR="00F2123A">
        <w:rPr>
          <w:rFonts w:ascii="Times New Roman" w:hAnsi="Times New Roman"/>
          <w:sz w:val="26"/>
          <w:szCs w:val="26"/>
        </w:rPr>
        <w:t xml:space="preserve">and </w:t>
      </w:r>
      <w:r w:rsidR="000A392C">
        <w:rPr>
          <w:rFonts w:ascii="Times New Roman" w:hAnsi="Times New Roman"/>
          <w:sz w:val="26"/>
          <w:szCs w:val="26"/>
        </w:rPr>
        <w:t xml:space="preserve">describes </w:t>
      </w:r>
      <w:r w:rsidR="0092039E">
        <w:rPr>
          <w:rFonts w:ascii="Times New Roman" w:hAnsi="Times New Roman"/>
          <w:sz w:val="26"/>
          <w:szCs w:val="26"/>
        </w:rPr>
        <w:t>proposed changes to the blanket certificate program including</w:t>
      </w:r>
      <w:r>
        <w:rPr>
          <w:rFonts w:ascii="Times New Roman" w:hAnsi="Times New Roman"/>
          <w:sz w:val="26"/>
          <w:szCs w:val="26"/>
        </w:rPr>
        <w:t>:</w:t>
      </w:r>
    </w:p>
    <w:p w:rsidR="00512061" w:rsidRPr="00512061" w:rsidP="00512061" w14:paraId="7EF319B3" w14:textId="77777777">
      <w:pPr>
        <w:pStyle w:val="ListParagraph"/>
        <w:numPr>
          <w:ilvl w:val="0"/>
          <w:numId w:val="5"/>
        </w:numPr>
        <w:spacing w:after="0" w:line="240" w:lineRule="auto"/>
        <w:rPr>
          <w:rFonts w:ascii="Times New Roman" w:hAnsi="Times New Roman"/>
          <w:sz w:val="26"/>
        </w:rPr>
      </w:pPr>
      <w:r w:rsidRPr="00512061">
        <w:rPr>
          <w:rFonts w:ascii="Times New Roman" w:hAnsi="Times New Roman"/>
          <w:sz w:val="26"/>
          <w:szCs w:val="26"/>
        </w:rPr>
        <w:t xml:space="preserve">increasing cost limits, </w:t>
      </w:r>
    </w:p>
    <w:p w:rsidR="00512061" w:rsidRPr="00512061" w:rsidP="00512061" w14:paraId="2D7B250B" w14:textId="77777777">
      <w:pPr>
        <w:pStyle w:val="ListParagraph"/>
        <w:numPr>
          <w:ilvl w:val="0"/>
          <w:numId w:val="5"/>
        </w:numPr>
        <w:spacing w:after="0" w:line="240" w:lineRule="auto"/>
        <w:rPr>
          <w:rFonts w:ascii="Times New Roman" w:hAnsi="Times New Roman"/>
          <w:sz w:val="26"/>
        </w:rPr>
      </w:pPr>
      <w:r w:rsidRPr="00512061">
        <w:rPr>
          <w:rFonts w:ascii="Times New Roman" w:hAnsi="Times New Roman"/>
          <w:sz w:val="26"/>
          <w:szCs w:val="26"/>
        </w:rPr>
        <w:t xml:space="preserve">annual adjustment approaches, </w:t>
      </w:r>
    </w:p>
    <w:p w:rsidR="00512061" w:rsidRPr="00512061" w:rsidP="00512061" w14:paraId="5012C183" w14:textId="77777777">
      <w:pPr>
        <w:pStyle w:val="ListParagraph"/>
        <w:numPr>
          <w:ilvl w:val="0"/>
          <w:numId w:val="5"/>
        </w:numPr>
        <w:spacing w:after="0" w:line="240" w:lineRule="auto"/>
        <w:rPr>
          <w:rFonts w:ascii="Times New Roman" w:hAnsi="Times New Roman"/>
          <w:sz w:val="26"/>
        </w:rPr>
      </w:pPr>
      <w:r w:rsidRPr="00512061">
        <w:rPr>
          <w:rFonts w:ascii="Times New Roman" w:hAnsi="Times New Roman"/>
          <w:sz w:val="26"/>
          <w:szCs w:val="26"/>
        </w:rPr>
        <w:t>incremental rate</w:t>
      </w:r>
      <w:r w:rsidRPr="00512061" w:rsidR="000B6716">
        <w:rPr>
          <w:rFonts w:ascii="Times New Roman" w:hAnsi="Times New Roman"/>
          <w:sz w:val="26"/>
          <w:szCs w:val="26"/>
        </w:rPr>
        <w:t>s</w:t>
      </w:r>
      <w:r w:rsidRPr="00512061" w:rsidR="00C323F5">
        <w:rPr>
          <w:rFonts w:ascii="Times New Roman" w:hAnsi="Times New Roman"/>
          <w:sz w:val="26"/>
          <w:szCs w:val="26"/>
        </w:rPr>
        <w:t>,</w:t>
      </w:r>
      <w:r w:rsidRPr="00512061" w:rsidR="00C55DEB">
        <w:rPr>
          <w:rFonts w:ascii="Times New Roman" w:hAnsi="Times New Roman"/>
          <w:sz w:val="26"/>
          <w:szCs w:val="26"/>
        </w:rPr>
        <w:t xml:space="preserve"> </w:t>
      </w:r>
    </w:p>
    <w:p w:rsidR="00512061" w:rsidRPr="00512061" w:rsidP="00512061" w14:paraId="7CA4F9AD" w14:textId="77777777">
      <w:pPr>
        <w:pStyle w:val="ListParagraph"/>
        <w:numPr>
          <w:ilvl w:val="0"/>
          <w:numId w:val="5"/>
        </w:numPr>
        <w:spacing w:after="0" w:line="240" w:lineRule="auto"/>
        <w:rPr>
          <w:rFonts w:ascii="Times New Roman" w:hAnsi="Times New Roman"/>
          <w:sz w:val="26"/>
        </w:rPr>
      </w:pPr>
      <w:r w:rsidRPr="00512061">
        <w:rPr>
          <w:rFonts w:ascii="Times New Roman" w:hAnsi="Times New Roman"/>
          <w:sz w:val="26"/>
          <w:szCs w:val="26"/>
        </w:rPr>
        <w:t xml:space="preserve">extending the in-service requirement timeframe, </w:t>
      </w:r>
    </w:p>
    <w:p w:rsidR="00512061" w:rsidRPr="00512061" w:rsidP="00512061" w14:paraId="2DAC7644" w14:textId="77777777">
      <w:pPr>
        <w:pStyle w:val="ListParagraph"/>
        <w:numPr>
          <w:ilvl w:val="0"/>
          <w:numId w:val="5"/>
        </w:numPr>
        <w:spacing w:after="0" w:line="240" w:lineRule="auto"/>
        <w:rPr>
          <w:rFonts w:ascii="Times New Roman" w:hAnsi="Times New Roman"/>
          <w:sz w:val="26"/>
        </w:rPr>
      </w:pPr>
      <w:r w:rsidRPr="00512061">
        <w:rPr>
          <w:rFonts w:ascii="Times New Roman" w:hAnsi="Times New Roman"/>
          <w:sz w:val="26"/>
          <w:szCs w:val="26"/>
        </w:rPr>
        <w:t xml:space="preserve">harmonizing cost limit approaches for </w:t>
      </w:r>
      <w:r w:rsidRPr="00512061" w:rsidR="006065CF">
        <w:rPr>
          <w:rFonts w:ascii="Times New Roman" w:hAnsi="Times New Roman"/>
          <w:sz w:val="26"/>
          <w:szCs w:val="26"/>
        </w:rPr>
        <w:t xml:space="preserve">receipt points and delivery points, </w:t>
      </w:r>
    </w:p>
    <w:p w:rsidR="00391C45" w:rsidRPr="00671383" w:rsidP="00512061" w14:paraId="593C731A" w14:textId="600B5443">
      <w:pPr>
        <w:pStyle w:val="ListParagraph"/>
        <w:numPr>
          <w:ilvl w:val="0"/>
          <w:numId w:val="5"/>
        </w:numPr>
        <w:spacing w:after="0" w:line="240" w:lineRule="auto"/>
        <w:rPr>
          <w:rFonts w:ascii="Times New Roman" w:hAnsi="Times New Roman"/>
          <w:sz w:val="26"/>
        </w:rPr>
      </w:pPr>
      <w:r w:rsidRPr="00512061">
        <w:rPr>
          <w:rFonts w:ascii="Times New Roman" w:hAnsi="Times New Roman"/>
          <w:sz w:val="26"/>
          <w:szCs w:val="26"/>
        </w:rPr>
        <w:t>abandonment costs</w:t>
      </w:r>
    </w:p>
    <w:p w:rsidR="00671383" w:rsidRPr="00B24F8D" w:rsidP="00512061" w14:paraId="5ECAE679" w14:textId="2D5BD81F">
      <w:pPr>
        <w:pStyle w:val="ListParagraph"/>
        <w:numPr>
          <w:ilvl w:val="0"/>
          <w:numId w:val="5"/>
        </w:numPr>
        <w:spacing w:after="0" w:line="240" w:lineRule="auto"/>
        <w:rPr>
          <w:rFonts w:ascii="Times New Roman" w:hAnsi="Times New Roman"/>
          <w:sz w:val="26"/>
        </w:rPr>
      </w:pPr>
      <w:r>
        <w:rPr>
          <w:rFonts w:ascii="Times New Roman" w:hAnsi="Times New Roman"/>
          <w:sz w:val="26"/>
          <w:szCs w:val="26"/>
        </w:rPr>
        <w:t>authorization approaches for abandonment of storage wells</w:t>
      </w:r>
    </w:p>
    <w:p w:rsidR="00B24F8D" w:rsidRPr="00B752B4" w:rsidP="00512061" w14:paraId="076BE92A" w14:textId="1E5C8C81">
      <w:pPr>
        <w:pStyle w:val="ListParagraph"/>
        <w:numPr>
          <w:ilvl w:val="0"/>
          <w:numId w:val="5"/>
        </w:numPr>
        <w:spacing w:after="0" w:line="240" w:lineRule="auto"/>
        <w:rPr>
          <w:rFonts w:ascii="Times New Roman" w:hAnsi="Times New Roman"/>
          <w:sz w:val="26"/>
        </w:rPr>
      </w:pPr>
      <w:r>
        <w:rPr>
          <w:rFonts w:ascii="Times New Roman" w:hAnsi="Times New Roman"/>
          <w:sz w:val="26"/>
          <w:szCs w:val="26"/>
        </w:rPr>
        <w:t>r</w:t>
      </w:r>
      <w:r>
        <w:rPr>
          <w:rFonts w:ascii="Times New Roman" w:hAnsi="Times New Roman"/>
          <w:sz w:val="26"/>
          <w:szCs w:val="26"/>
        </w:rPr>
        <w:t>emoving cost limits for expansions of existing compressor stations</w:t>
      </w:r>
    </w:p>
    <w:p w:rsidR="00B752B4" w:rsidRPr="007211DF" w:rsidP="00512061" w14:paraId="25F4474D" w14:textId="494D8F98">
      <w:pPr>
        <w:pStyle w:val="ListParagraph"/>
        <w:numPr>
          <w:ilvl w:val="0"/>
          <w:numId w:val="5"/>
        </w:numPr>
        <w:spacing w:after="0" w:line="240" w:lineRule="auto"/>
        <w:rPr>
          <w:rFonts w:ascii="Times New Roman" w:hAnsi="Times New Roman"/>
          <w:sz w:val="26"/>
        </w:rPr>
      </w:pPr>
      <w:r>
        <w:rPr>
          <w:rFonts w:ascii="Times New Roman" w:hAnsi="Times New Roman"/>
          <w:sz w:val="26"/>
          <w:szCs w:val="26"/>
        </w:rPr>
        <w:t>updating reporting requirements to disclose the beneficiaries of automatic authorization projects</w:t>
      </w:r>
    </w:p>
    <w:p w:rsidR="007211DF" w:rsidRPr="00444F5B" w:rsidP="00512061" w14:paraId="763B477B" w14:textId="209083A6">
      <w:pPr>
        <w:pStyle w:val="ListParagraph"/>
        <w:numPr>
          <w:ilvl w:val="0"/>
          <w:numId w:val="5"/>
        </w:numPr>
        <w:spacing w:after="0" w:line="240" w:lineRule="auto"/>
        <w:rPr>
          <w:rFonts w:ascii="Times New Roman" w:hAnsi="Times New Roman"/>
          <w:sz w:val="26"/>
        </w:rPr>
      </w:pPr>
      <w:r>
        <w:rPr>
          <w:rFonts w:ascii="Times New Roman" w:hAnsi="Times New Roman"/>
          <w:sz w:val="26"/>
          <w:szCs w:val="26"/>
        </w:rPr>
        <w:t>h</w:t>
      </w:r>
      <w:r>
        <w:rPr>
          <w:rFonts w:ascii="Times New Roman" w:hAnsi="Times New Roman"/>
          <w:sz w:val="26"/>
          <w:szCs w:val="26"/>
        </w:rPr>
        <w:t xml:space="preserve">armonizing notification requirements </w:t>
      </w:r>
      <w:r>
        <w:rPr>
          <w:rFonts w:ascii="Times New Roman" w:hAnsi="Times New Roman"/>
          <w:sz w:val="26"/>
          <w:szCs w:val="26"/>
        </w:rPr>
        <w:t xml:space="preserve">with </w:t>
      </w:r>
      <w:r w:rsidR="007C0690">
        <w:rPr>
          <w:rFonts w:ascii="Times New Roman" w:hAnsi="Times New Roman"/>
          <w:sz w:val="26"/>
          <w:szCs w:val="26"/>
        </w:rPr>
        <w:t>S</w:t>
      </w:r>
      <w:r>
        <w:rPr>
          <w:rFonts w:ascii="Times New Roman" w:hAnsi="Times New Roman"/>
          <w:sz w:val="26"/>
          <w:szCs w:val="26"/>
        </w:rPr>
        <w:t>ection 7 applications</w:t>
      </w:r>
    </w:p>
    <w:p w:rsidR="00444F5B" w:rsidP="00512061" w14:paraId="306841FE" w14:textId="11A2BF03">
      <w:pPr>
        <w:pStyle w:val="ListParagraph"/>
        <w:numPr>
          <w:ilvl w:val="0"/>
          <w:numId w:val="5"/>
        </w:numPr>
        <w:spacing w:after="0" w:line="240" w:lineRule="auto"/>
        <w:rPr>
          <w:rFonts w:ascii="Times New Roman" w:hAnsi="Times New Roman"/>
          <w:sz w:val="26"/>
        </w:rPr>
      </w:pPr>
      <w:r>
        <w:rPr>
          <w:rFonts w:ascii="Times New Roman" w:hAnsi="Times New Roman"/>
          <w:sz w:val="26"/>
        </w:rPr>
        <w:t>a</w:t>
      </w:r>
      <w:r w:rsidR="00B5613A">
        <w:rPr>
          <w:rFonts w:ascii="Times New Roman" w:hAnsi="Times New Roman"/>
          <w:sz w:val="26"/>
        </w:rPr>
        <w:t>llow</w:t>
      </w:r>
      <w:r>
        <w:rPr>
          <w:rFonts w:ascii="Times New Roman" w:hAnsi="Times New Roman"/>
          <w:sz w:val="26"/>
        </w:rPr>
        <w:t>ing</w:t>
      </w:r>
      <w:r w:rsidR="00B5613A">
        <w:rPr>
          <w:rFonts w:ascii="Times New Roman" w:hAnsi="Times New Roman"/>
          <w:sz w:val="26"/>
        </w:rPr>
        <w:t xml:space="preserve"> the use of appropriate federal databases to assist in </w:t>
      </w:r>
      <w:r>
        <w:rPr>
          <w:rFonts w:ascii="Times New Roman" w:hAnsi="Times New Roman"/>
          <w:sz w:val="26"/>
        </w:rPr>
        <w:t>identifying if blank activities would affect a listed species or critical habitat</w:t>
      </w:r>
    </w:p>
    <w:p w:rsidR="007F3BFD" w:rsidRPr="00671383" w:rsidP="00512061" w14:paraId="2A741686" w14:textId="78FE1CA6">
      <w:pPr>
        <w:pStyle w:val="ListParagraph"/>
        <w:numPr>
          <w:ilvl w:val="0"/>
          <w:numId w:val="5"/>
        </w:numPr>
        <w:spacing w:after="0" w:line="240" w:lineRule="auto"/>
        <w:rPr>
          <w:rFonts w:ascii="Times New Roman" w:hAnsi="Times New Roman"/>
          <w:sz w:val="26"/>
        </w:rPr>
      </w:pPr>
      <w:r>
        <w:rPr>
          <w:rFonts w:ascii="Times New Roman" w:hAnsi="Times New Roman"/>
          <w:sz w:val="26"/>
        </w:rPr>
        <w:t>other technical edits</w:t>
      </w:r>
      <w:r w:rsidR="009E51EA">
        <w:rPr>
          <w:rFonts w:ascii="Times New Roman" w:hAnsi="Times New Roman"/>
          <w:sz w:val="26"/>
        </w:rPr>
        <w:t xml:space="preserve">, removal of outdated </w:t>
      </w:r>
      <w:r w:rsidR="00045162">
        <w:rPr>
          <w:rFonts w:ascii="Times New Roman" w:hAnsi="Times New Roman"/>
          <w:sz w:val="26"/>
        </w:rPr>
        <w:t>regulations,</w:t>
      </w:r>
      <w:r>
        <w:rPr>
          <w:rFonts w:ascii="Times New Roman" w:hAnsi="Times New Roman"/>
          <w:sz w:val="26"/>
        </w:rPr>
        <w:t xml:space="preserve"> and conforming changes</w:t>
      </w:r>
    </w:p>
    <w:p w:rsidR="00E71B2E" w:rsidRPr="009414F0" w:rsidP="00234743" w14:paraId="7644B2EA" w14:textId="77777777">
      <w:pPr>
        <w:spacing w:after="0" w:line="240" w:lineRule="auto"/>
        <w:rPr>
          <w:rFonts w:ascii="Times New Roman" w:hAnsi="Times New Roman"/>
          <w:sz w:val="26"/>
        </w:rPr>
      </w:pPr>
    </w:p>
    <w:p w:rsidR="00103037" w:rsidRPr="00103037" w:rsidP="00543BEE" w14:paraId="6B6E69FB" w14:textId="77777777">
      <w:pPr>
        <w:numPr>
          <w:ilvl w:val="0"/>
          <w:numId w:val="1"/>
        </w:numPr>
        <w:spacing w:after="0" w:line="240" w:lineRule="auto"/>
        <w:ind w:left="0" w:firstLine="0"/>
        <w:rPr>
          <w:rFonts w:ascii="Times New Roman" w:hAnsi="Times New Roman"/>
          <w:b/>
          <w:sz w:val="26"/>
        </w:rPr>
      </w:pPr>
      <w:r w:rsidRPr="00103037">
        <w:rPr>
          <w:rFonts w:ascii="Times New Roman" w:hAnsi="Times New Roman"/>
          <w:b/>
          <w:sz w:val="26"/>
        </w:rPr>
        <w:t>HOW, BY WHOM, AND FOR WHAT PURPOSE THE INFORMATION IS TO BE USED AND THE CONSEQUENCES OF NOT COLLECTING THE INFORMATION</w:t>
      </w:r>
    </w:p>
    <w:p w:rsidR="00103037" w:rsidRPr="00103037" w:rsidP="00103037" w14:paraId="05E4BC19" w14:textId="77777777">
      <w:pPr>
        <w:spacing w:after="0" w:line="240" w:lineRule="auto"/>
        <w:rPr>
          <w:rFonts w:ascii="Times New Roman" w:hAnsi="Times New Roman"/>
          <w:sz w:val="26"/>
        </w:rPr>
      </w:pPr>
    </w:p>
    <w:p w:rsidR="00932CEA" w:rsidRPr="00932CEA" w:rsidP="00932CEA" w14:paraId="5FB886E0" w14:textId="46C7595E">
      <w:pPr>
        <w:spacing w:after="0" w:line="240" w:lineRule="auto"/>
        <w:rPr>
          <w:rFonts w:ascii="Times New Roman" w:hAnsi="Times New Roman"/>
          <w:sz w:val="26"/>
        </w:rPr>
      </w:pPr>
      <w:r w:rsidRPr="00932CEA">
        <w:rPr>
          <w:rFonts w:ascii="Times New Roman" w:hAnsi="Times New Roman"/>
          <w:sz w:val="26"/>
        </w:rPr>
        <w:t>The Commission uses information provided through the FERC-537 data collection to analyze requests by natural gas pipelines pursuant to NGA section 7(c) permission to acquire</w:t>
      </w:r>
      <w:r w:rsidR="007F5D54">
        <w:rPr>
          <w:rFonts w:ascii="Times New Roman" w:hAnsi="Times New Roman"/>
          <w:sz w:val="26"/>
        </w:rPr>
        <w:t>,</w:t>
      </w:r>
      <w:r w:rsidRPr="00932CEA">
        <w:rPr>
          <w:rFonts w:ascii="Times New Roman" w:hAnsi="Times New Roman"/>
          <w:sz w:val="26"/>
        </w:rPr>
        <w:t xml:space="preserve"> build</w:t>
      </w:r>
      <w:r w:rsidR="001B3E85">
        <w:rPr>
          <w:rFonts w:ascii="Times New Roman" w:hAnsi="Times New Roman"/>
          <w:sz w:val="26"/>
        </w:rPr>
        <w:t xml:space="preserve">, or abandon </w:t>
      </w:r>
      <w:r w:rsidRPr="00932CEA">
        <w:rPr>
          <w:rFonts w:ascii="Times New Roman" w:hAnsi="Times New Roman"/>
          <w:sz w:val="26"/>
        </w:rPr>
        <w:t xml:space="preserve">pipelines and / or state facilities. </w:t>
      </w:r>
      <w:r w:rsidR="001B3E85">
        <w:rPr>
          <w:rFonts w:ascii="Times New Roman" w:hAnsi="Times New Roman"/>
          <w:sz w:val="26"/>
        </w:rPr>
        <w:t xml:space="preserve">The regulations </w:t>
      </w:r>
      <w:r w:rsidR="00CB2592">
        <w:rPr>
          <w:rFonts w:ascii="Times New Roman" w:hAnsi="Times New Roman"/>
          <w:sz w:val="26"/>
        </w:rPr>
        <w:t xml:space="preserve">also include different </w:t>
      </w:r>
      <w:r w:rsidR="008F6DDF">
        <w:rPr>
          <w:rFonts w:ascii="Times New Roman" w:hAnsi="Times New Roman"/>
          <w:sz w:val="26"/>
        </w:rPr>
        <w:t xml:space="preserve">conditions under which </w:t>
      </w:r>
      <w:r w:rsidR="0032633C">
        <w:rPr>
          <w:rFonts w:ascii="Times New Roman" w:hAnsi="Times New Roman"/>
          <w:sz w:val="26"/>
        </w:rPr>
        <w:t xml:space="preserve">it is not necessary to </w:t>
      </w:r>
      <w:r w:rsidR="00F3100E">
        <w:rPr>
          <w:rFonts w:ascii="Times New Roman" w:hAnsi="Times New Roman"/>
          <w:sz w:val="26"/>
        </w:rPr>
        <w:t>obtain prior Commission approval for such activities.</w:t>
      </w:r>
    </w:p>
    <w:p w:rsidR="000D3E5F" w:rsidP="750D58D3" w14:paraId="431FDEF0" w14:textId="13C5D633">
      <w:pPr>
        <w:spacing w:after="0" w:line="240" w:lineRule="auto"/>
        <w:rPr>
          <w:rFonts w:ascii="Times New Roman" w:hAnsi="Times New Roman"/>
          <w:sz w:val="26"/>
          <w:szCs w:val="26"/>
        </w:rPr>
      </w:pPr>
    </w:p>
    <w:p w:rsidR="000D3E5F" w:rsidRPr="000D3E5F" w:rsidP="750D58D3" w14:paraId="55C425CE" w14:textId="66BD1F34">
      <w:pPr>
        <w:spacing w:after="0" w:line="240" w:lineRule="auto"/>
        <w:rPr>
          <w:rFonts w:ascii="Times New Roman" w:hAnsi="Times New Roman"/>
          <w:b/>
          <w:bCs/>
          <w:sz w:val="26"/>
          <w:szCs w:val="26"/>
        </w:rPr>
      </w:pPr>
    </w:p>
    <w:p w:rsidR="000D3E5F" w:rsidRPr="000D3E5F" w:rsidP="750D58D3" w14:paraId="46D3A474" w14:textId="57EBE95B">
      <w:pPr>
        <w:spacing w:after="0" w:line="240" w:lineRule="auto"/>
      </w:pPr>
      <w:r>
        <w:br w:type="page"/>
      </w:r>
    </w:p>
    <w:p w:rsidR="000D3E5F" w:rsidRPr="000D3E5F" w:rsidP="750D58D3" w14:paraId="38B86F29" w14:textId="08E1BBFB">
      <w:pPr>
        <w:numPr>
          <w:ilvl w:val="0"/>
          <w:numId w:val="1"/>
        </w:numPr>
        <w:spacing w:after="0" w:line="240" w:lineRule="auto"/>
        <w:ind w:left="0" w:firstLine="0"/>
        <w:rPr>
          <w:rFonts w:ascii="Times New Roman" w:hAnsi="Times New Roman"/>
          <w:b/>
          <w:bCs/>
          <w:sz w:val="26"/>
          <w:szCs w:val="26"/>
        </w:rPr>
      </w:pPr>
      <w:r w:rsidRPr="750D58D3">
        <w:rPr>
          <w:rFonts w:ascii="Times New Roman" w:hAnsi="Times New Roman"/>
          <w:b/>
          <w:bCs/>
          <w:sz w:val="26"/>
          <w:szCs w:val="26"/>
        </w:rPr>
        <w:t>DESCRIBE ANY CONSIDERATION OF THE USE OF IMPROVED TECHNOLOGY TO REDUCE BURDEN AND TECHNICAL OR LEGAL OBSTACLES TO REDUCING BURDEN</w:t>
      </w:r>
    </w:p>
    <w:p w:rsidR="000D3E5F" w:rsidRPr="000D3E5F" w:rsidP="000D3E5F" w14:paraId="168D46CC" w14:textId="77777777">
      <w:pPr>
        <w:spacing w:after="0" w:line="240" w:lineRule="auto"/>
        <w:rPr>
          <w:rFonts w:ascii="Times New Roman" w:hAnsi="Times New Roman"/>
          <w:sz w:val="26"/>
        </w:rPr>
      </w:pPr>
    </w:p>
    <w:p w:rsidR="000D3E5F" w:rsidRPr="000D3E5F" w:rsidP="000D3E5F" w14:paraId="44E1BDDA" w14:textId="2640951C">
      <w:pPr>
        <w:spacing w:after="0" w:line="240" w:lineRule="auto"/>
        <w:rPr>
          <w:rFonts w:ascii="Times New Roman" w:hAnsi="Times New Roman"/>
          <w:sz w:val="26"/>
        </w:rPr>
      </w:pPr>
      <w:r w:rsidRPr="000D3E5F">
        <w:rPr>
          <w:rFonts w:ascii="Times New Roman" w:hAnsi="Times New Roman"/>
          <w:sz w:val="26"/>
        </w:rPr>
        <w:t xml:space="preserve">There is an ongoing FERC effort to increase the use of improved information technology in order to reduce the compliance burden.  </w:t>
      </w:r>
      <w:r w:rsidR="00F3100E">
        <w:rPr>
          <w:rFonts w:ascii="Times New Roman" w:hAnsi="Times New Roman"/>
          <w:sz w:val="26"/>
        </w:rPr>
        <w:t>M</w:t>
      </w:r>
      <w:r w:rsidRPr="000D3E5F">
        <w:rPr>
          <w:rFonts w:ascii="Times New Roman" w:hAnsi="Times New Roman"/>
          <w:sz w:val="26"/>
        </w:rPr>
        <w:t xml:space="preserve">aterials required by FERC-537 may be </w:t>
      </w:r>
      <w:r w:rsidR="00F3100E">
        <w:rPr>
          <w:rFonts w:ascii="Times New Roman" w:hAnsi="Times New Roman"/>
          <w:sz w:val="26"/>
        </w:rPr>
        <w:t>submitted</w:t>
      </w:r>
      <w:r w:rsidRPr="000D3E5F">
        <w:rPr>
          <w:rFonts w:ascii="Times New Roman" w:hAnsi="Times New Roman"/>
          <w:sz w:val="26"/>
        </w:rPr>
        <w:t xml:space="preserve"> through FERC’s eFiling system.</w:t>
      </w:r>
    </w:p>
    <w:p w:rsidR="000D3E5F" w:rsidRPr="000D3E5F" w:rsidP="000D3E5F" w14:paraId="535BD94F" w14:textId="77777777">
      <w:pPr>
        <w:spacing w:after="0" w:line="240" w:lineRule="auto"/>
        <w:rPr>
          <w:rFonts w:ascii="Times New Roman" w:hAnsi="Times New Roman"/>
          <w:b/>
          <w:bCs/>
          <w:sz w:val="26"/>
        </w:rPr>
      </w:pPr>
    </w:p>
    <w:p w:rsidR="000D3E5F" w:rsidRPr="000D3E5F" w:rsidP="00543BEE" w14:paraId="05AC87CA" w14:textId="77777777">
      <w:pPr>
        <w:numPr>
          <w:ilvl w:val="0"/>
          <w:numId w:val="1"/>
        </w:numPr>
        <w:spacing w:after="0" w:line="240" w:lineRule="auto"/>
        <w:ind w:left="0" w:firstLine="0"/>
        <w:rPr>
          <w:rFonts w:ascii="Times New Roman" w:hAnsi="Times New Roman"/>
          <w:b/>
          <w:bCs/>
          <w:sz w:val="26"/>
        </w:rPr>
      </w:pPr>
      <w:r w:rsidRPr="000D3E5F">
        <w:rPr>
          <w:rFonts w:ascii="Times New Roman" w:hAnsi="Times New Roman"/>
          <w:b/>
          <w:bCs/>
          <w:sz w:val="26"/>
        </w:rPr>
        <w:t>DESCRIBE EFFORTS TO IDENTIFY DUPLICATION AND SHOW SPECIFICALLY WHY ANY SIMILAR INFORMATION ALREADY AVAILABLE CANNOT BE USED OR MODIFIED FOR USE FOR THE PURPOSE(S) DESCRIBED IN INSTRUCTION NO. 2</w:t>
      </w:r>
    </w:p>
    <w:p w:rsidR="000D3E5F" w:rsidRPr="000D3E5F" w:rsidP="000D3E5F" w14:paraId="46E20CED" w14:textId="77777777">
      <w:pPr>
        <w:spacing w:after="0" w:line="240" w:lineRule="auto"/>
        <w:rPr>
          <w:rFonts w:ascii="Times New Roman" w:hAnsi="Times New Roman"/>
          <w:b/>
          <w:bCs/>
          <w:sz w:val="26"/>
        </w:rPr>
      </w:pPr>
    </w:p>
    <w:p w:rsidR="000D3E5F" w:rsidRPr="000D3E5F" w:rsidP="000D3E5F" w14:paraId="6916B0F1" w14:textId="77777777">
      <w:pPr>
        <w:spacing w:after="0" w:line="240" w:lineRule="auto"/>
        <w:rPr>
          <w:rFonts w:ascii="Times New Roman" w:hAnsi="Times New Roman"/>
          <w:sz w:val="26"/>
        </w:rPr>
      </w:pPr>
      <w:r w:rsidRPr="000D3E5F">
        <w:rPr>
          <w:rFonts w:ascii="Times New Roman" w:hAnsi="Times New Roman"/>
          <w:sz w:val="26"/>
        </w:rPr>
        <w:t>Filing requirements are periodically reviewed as OMB review dates arise or as the Commission may deem necessary in carrying out its regulatory responsibilities under the NGA and NEPA in order to eliminate duplication and ensure that filing burden is minimized. There are no similar sources for information available that can be used or modified for these reporting purposes.</w:t>
      </w:r>
    </w:p>
    <w:p w:rsidR="000D3E5F" w:rsidRPr="000D3E5F" w:rsidP="000D3E5F" w14:paraId="268F0D61" w14:textId="77777777">
      <w:pPr>
        <w:spacing w:after="0" w:line="240" w:lineRule="auto"/>
        <w:rPr>
          <w:rFonts w:ascii="Times New Roman" w:hAnsi="Times New Roman"/>
          <w:sz w:val="26"/>
        </w:rPr>
      </w:pPr>
    </w:p>
    <w:p w:rsidR="000D3E5F" w:rsidRPr="000D3E5F" w:rsidP="00543BEE" w14:paraId="5901176E" w14:textId="77777777">
      <w:pPr>
        <w:numPr>
          <w:ilvl w:val="0"/>
          <w:numId w:val="1"/>
        </w:numPr>
        <w:spacing w:after="0" w:line="240" w:lineRule="auto"/>
        <w:ind w:left="0" w:firstLine="0"/>
        <w:rPr>
          <w:rFonts w:ascii="Times New Roman" w:hAnsi="Times New Roman"/>
          <w:b/>
          <w:bCs/>
          <w:sz w:val="26"/>
        </w:rPr>
      </w:pPr>
      <w:r w:rsidRPr="000D3E5F">
        <w:rPr>
          <w:rFonts w:ascii="Times New Roman" w:hAnsi="Times New Roman"/>
          <w:b/>
          <w:bCs/>
          <w:sz w:val="26"/>
        </w:rPr>
        <w:t>METHODS USED TO MINIMIZE BURDEN IN COLLECTION OF INFORMATION INVOLVING SMALL ENTITIES</w:t>
      </w:r>
    </w:p>
    <w:p w:rsidR="000D3E5F" w:rsidRPr="000D3E5F" w:rsidP="002B7606" w14:paraId="19ECC4F5" w14:textId="77777777">
      <w:pPr>
        <w:spacing w:after="0" w:line="240" w:lineRule="auto"/>
        <w:rPr>
          <w:rFonts w:ascii="Times New Roman" w:hAnsi="Times New Roman"/>
          <w:sz w:val="26"/>
        </w:rPr>
      </w:pPr>
    </w:p>
    <w:p w:rsidR="00E72EF3" w:rsidRPr="00E72EF3" w:rsidP="00E72EF3" w14:paraId="74676779" w14:textId="3BF3792C">
      <w:pPr>
        <w:spacing w:after="0" w:line="240" w:lineRule="auto"/>
        <w:rPr>
          <w:rFonts w:ascii="Times New Roman" w:hAnsi="Times New Roman"/>
          <w:sz w:val="26"/>
        </w:rPr>
      </w:pPr>
      <w:bookmarkStart w:id="0" w:name="_Hlk101433795"/>
      <w:bookmarkEnd w:id="0"/>
      <w:r w:rsidRPr="00E72EF3">
        <w:rPr>
          <w:rFonts w:ascii="Times New Roman" w:hAnsi="Times New Roman"/>
          <w:sz w:val="26"/>
        </w:rPr>
        <w:t>The FERC-5</w:t>
      </w:r>
      <w:r w:rsidR="00BB1A22">
        <w:rPr>
          <w:rFonts w:ascii="Times New Roman" w:hAnsi="Times New Roman"/>
          <w:sz w:val="26"/>
        </w:rPr>
        <w:t>37</w:t>
      </w:r>
      <w:r w:rsidRPr="00E72EF3">
        <w:rPr>
          <w:rFonts w:ascii="Times New Roman" w:hAnsi="Times New Roman"/>
          <w:sz w:val="26"/>
        </w:rPr>
        <w:t xml:space="preserve"> filing collects data from </w:t>
      </w:r>
      <w:r w:rsidRPr="009414F0">
        <w:rPr>
          <w:rFonts w:ascii="Times New Roman" w:hAnsi="Times New Roman"/>
          <w:sz w:val="26"/>
        </w:rPr>
        <w:t>both large and small respondent companies</w:t>
      </w:r>
      <w:r w:rsidRPr="00CF0CAA">
        <w:rPr>
          <w:rFonts w:ascii="Times New Roman" w:hAnsi="Times New Roman"/>
          <w:sz w:val="26"/>
        </w:rPr>
        <w:t>.</w:t>
      </w:r>
      <w:r w:rsidRPr="00E72EF3">
        <w:rPr>
          <w:rFonts w:ascii="Times New Roman" w:hAnsi="Times New Roman"/>
          <w:sz w:val="26"/>
        </w:rPr>
        <w:t xml:space="preserve">  The data required impose the least possible burden for companies while collecting the required information for the certificated rate filings.  </w:t>
      </w:r>
      <w:r w:rsidR="005866D1">
        <w:rPr>
          <w:rFonts w:ascii="Times New Roman" w:hAnsi="Times New Roman"/>
          <w:sz w:val="26"/>
        </w:rPr>
        <w:t xml:space="preserve">If implemented, the proposed rulemaking would also expand the blanket authorization program and reduce the </w:t>
      </w:r>
      <w:r w:rsidR="004766F9">
        <w:rPr>
          <w:rFonts w:ascii="Times New Roman" w:hAnsi="Times New Roman"/>
          <w:sz w:val="26"/>
        </w:rPr>
        <w:t>activities that require prior approval</w:t>
      </w:r>
      <w:r w:rsidR="00250E23">
        <w:rPr>
          <w:rFonts w:ascii="Times New Roman" w:hAnsi="Times New Roman"/>
          <w:sz w:val="26"/>
        </w:rPr>
        <w:t>, thus also reducing reporting burden for large and small entities.</w:t>
      </w:r>
    </w:p>
    <w:p w:rsidR="000D3E5F" w:rsidRPr="000D3E5F" w:rsidP="002B7606" w14:paraId="2B4CB75C" w14:textId="6CED61B9">
      <w:pPr>
        <w:spacing w:after="0" w:line="240" w:lineRule="auto"/>
        <w:rPr>
          <w:rFonts w:ascii="Times New Roman" w:hAnsi="Times New Roman"/>
          <w:sz w:val="26"/>
        </w:rPr>
      </w:pPr>
    </w:p>
    <w:p w:rsidR="000D3E5F" w:rsidRPr="000D3E5F" w:rsidP="00543BEE" w14:paraId="3922FB6C" w14:textId="77777777">
      <w:pPr>
        <w:numPr>
          <w:ilvl w:val="0"/>
          <w:numId w:val="1"/>
        </w:numPr>
        <w:spacing w:after="0" w:line="240" w:lineRule="auto"/>
        <w:ind w:left="0" w:firstLine="0"/>
        <w:rPr>
          <w:rFonts w:ascii="Times New Roman" w:hAnsi="Times New Roman"/>
          <w:b/>
          <w:sz w:val="26"/>
        </w:rPr>
      </w:pPr>
      <w:r w:rsidRPr="000D3E5F">
        <w:rPr>
          <w:rFonts w:ascii="Times New Roman" w:hAnsi="Times New Roman"/>
          <w:b/>
          <w:sz w:val="26"/>
        </w:rPr>
        <w:t>CONSEQUENCE TO FEDERAL PROGRAM IF COLLECTION WERE CONDUCTED LESS FREQUENTLY</w:t>
      </w:r>
    </w:p>
    <w:p w:rsidR="000D3E5F" w:rsidRPr="000D3E5F" w:rsidP="002B7606" w14:paraId="0E141E27" w14:textId="77777777">
      <w:pPr>
        <w:spacing w:after="0" w:line="240" w:lineRule="auto"/>
        <w:rPr>
          <w:rFonts w:ascii="Times New Roman" w:hAnsi="Times New Roman"/>
          <w:bCs/>
          <w:sz w:val="26"/>
        </w:rPr>
      </w:pPr>
    </w:p>
    <w:p w:rsidR="000D3E5F" w:rsidRPr="000D3E5F" w:rsidP="002B7606" w14:paraId="34D56F52" w14:textId="77777777">
      <w:pPr>
        <w:spacing w:after="0" w:line="240" w:lineRule="auto"/>
        <w:rPr>
          <w:rFonts w:ascii="Times New Roman" w:hAnsi="Times New Roman"/>
          <w:sz w:val="26"/>
        </w:rPr>
      </w:pPr>
      <w:r w:rsidRPr="000D3E5F">
        <w:rPr>
          <w:rFonts w:ascii="Times New Roman" w:hAnsi="Times New Roman"/>
          <w:sz w:val="26"/>
        </w:rPr>
        <w:t>The Commission reviews and analyzes the information subject to FERC-537 to determine whether to approve or deny the requested authorization.  If the Commission failed to collect these data, it would lose its ability to review relevant information to determine whether the requested certificate should be authorized.</w:t>
      </w:r>
    </w:p>
    <w:p w:rsidR="000D3E5F" w:rsidRPr="000D3E5F" w:rsidP="750D58D3" w14:paraId="7B1C7C9E" w14:textId="77777777">
      <w:pPr>
        <w:spacing w:after="0" w:line="240" w:lineRule="auto"/>
        <w:rPr>
          <w:rFonts w:ascii="Times New Roman" w:hAnsi="Times New Roman"/>
          <w:sz w:val="26"/>
          <w:szCs w:val="26"/>
        </w:rPr>
      </w:pPr>
    </w:p>
    <w:p w:rsidR="750D58D3" w14:paraId="3775E316" w14:textId="055644B9">
      <w:r>
        <w:br w:type="page"/>
      </w:r>
    </w:p>
    <w:p w:rsidR="750D58D3" w:rsidP="750D58D3" w14:paraId="635BF5BE" w14:textId="646B6FD0">
      <w:pPr>
        <w:spacing w:after="0" w:line="240" w:lineRule="auto"/>
        <w:rPr>
          <w:rFonts w:ascii="Times New Roman" w:hAnsi="Times New Roman"/>
          <w:sz w:val="26"/>
          <w:szCs w:val="26"/>
        </w:rPr>
      </w:pPr>
    </w:p>
    <w:p w:rsidR="000D3E5F" w:rsidRPr="000D3E5F" w:rsidP="00543BEE" w14:paraId="0EE5C5D1" w14:textId="77777777">
      <w:pPr>
        <w:numPr>
          <w:ilvl w:val="0"/>
          <w:numId w:val="1"/>
        </w:numPr>
        <w:spacing w:after="0" w:line="240" w:lineRule="auto"/>
        <w:ind w:left="0" w:firstLine="0"/>
        <w:rPr>
          <w:rFonts w:ascii="Times New Roman" w:hAnsi="Times New Roman"/>
          <w:b/>
          <w:sz w:val="26"/>
        </w:rPr>
      </w:pPr>
      <w:r w:rsidRPr="000D3E5F">
        <w:rPr>
          <w:rFonts w:ascii="Times New Roman" w:hAnsi="Times New Roman"/>
          <w:b/>
          <w:sz w:val="26"/>
        </w:rPr>
        <w:t>EXPLAIN ANY SPECIAL CIRCUMSTANCES RELATING TO THE INFORMATION</w:t>
      </w:r>
    </w:p>
    <w:p w:rsidR="000D3E5F" w:rsidRPr="000D3E5F" w:rsidP="002B7606" w14:paraId="1FE2A5B0" w14:textId="77777777">
      <w:pPr>
        <w:spacing w:after="0" w:line="240" w:lineRule="auto"/>
        <w:rPr>
          <w:rFonts w:ascii="Times New Roman" w:hAnsi="Times New Roman"/>
          <w:b/>
          <w:sz w:val="26"/>
        </w:rPr>
      </w:pPr>
    </w:p>
    <w:p w:rsidR="007F2345" w:rsidRPr="007F2345" w:rsidP="750D58D3" w14:paraId="54FB24B5" w14:textId="77777777">
      <w:pPr>
        <w:spacing w:after="0" w:line="240" w:lineRule="auto"/>
        <w:rPr>
          <w:rFonts w:ascii="Times New Roman" w:hAnsi="Times New Roman"/>
          <w:sz w:val="26"/>
          <w:szCs w:val="26"/>
        </w:rPr>
      </w:pPr>
      <w:r w:rsidRPr="750D58D3">
        <w:rPr>
          <w:rFonts w:ascii="Times New Roman" w:hAnsi="Times New Roman"/>
          <w:sz w:val="26"/>
          <w:szCs w:val="26"/>
        </w:rPr>
        <w:t>FERC-537 presents only one special circumstance.  The Commission’s regulation at 18 CFR 157.6, which applies to the FERC-53</w:t>
      </w:r>
      <w:r w:rsidRPr="750D58D3" w:rsidR="00464F16">
        <w:rPr>
          <w:rFonts w:ascii="Times New Roman" w:hAnsi="Times New Roman"/>
          <w:sz w:val="26"/>
          <w:szCs w:val="26"/>
        </w:rPr>
        <w:t>7</w:t>
      </w:r>
      <w:r w:rsidRPr="750D58D3">
        <w:rPr>
          <w:rFonts w:ascii="Times New Roman" w:hAnsi="Times New Roman"/>
          <w:sz w:val="26"/>
          <w:szCs w:val="26"/>
        </w:rPr>
        <w:t xml:space="preserve"> collection of information, requires applicants to file an original plus seven paper copies.  On its face, this regulation exceeds the OMB limitation of two copies at 5 CFR 1320.5(d)(2)(iii).  However, the regulation at 18 CFR 157.6 an applicant that uses electronic eFiling is not required to provide seven paper copies.  Since eFiling is currently the typical method for submitting information involving FERC-53</w:t>
      </w:r>
      <w:r w:rsidRPr="750D58D3" w:rsidR="00464F16">
        <w:rPr>
          <w:rFonts w:ascii="Times New Roman" w:hAnsi="Times New Roman"/>
          <w:sz w:val="26"/>
          <w:szCs w:val="26"/>
        </w:rPr>
        <w:t>7</w:t>
      </w:r>
      <w:r w:rsidRPr="750D58D3">
        <w:rPr>
          <w:rFonts w:ascii="Times New Roman" w:hAnsi="Times New Roman"/>
          <w:sz w:val="26"/>
          <w:szCs w:val="26"/>
        </w:rPr>
        <w:t>, the special circumstance presented by 18 CFR 157.6 is rarely pertinent.</w:t>
      </w:r>
    </w:p>
    <w:p w:rsidR="000D3E5F" w:rsidRPr="000D3E5F" w:rsidP="002B7606" w14:paraId="41BC1071" w14:textId="77777777">
      <w:pPr>
        <w:spacing w:after="0" w:line="240" w:lineRule="auto"/>
        <w:rPr>
          <w:rFonts w:ascii="Times New Roman" w:hAnsi="Times New Roman"/>
          <w:bCs/>
          <w:sz w:val="26"/>
        </w:rPr>
      </w:pPr>
    </w:p>
    <w:p w:rsidR="000D3E5F" w:rsidRPr="000D3E5F" w:rsidP="750D58D3" w14:paraId="66CF8CF9" w14:textId="4F7AFA2B">
      <w:pPr>
        <w:spacing w:after="0" w:line="240" w:lineRule="auto"/>
        <w:rPr>
          <w:rFonts w:ascii="Times New Roman" w:hAnsi="Times New Roman"/>
          <w:sz w:val="26"/>
          <w:szCs w:val="26"/>
        </w:rPr>
      </w:pPr>
      <w:r w:rsidRPr="750D58D3">
        <w:rPr>
          <w:rFonts w:ascii="Times New Roman" w:hAnsi="Times New Roman"/>
          <w:b/>
          <w:bCs/>
          <w:sz w:val="26"/>
          <w:szCs w:val="26"/>
        </w:rPr>
        <w:t xml:space="preserve">8. </w:t>
      </w:r>
      <w:r>
        <w:tab/>
      </w:r>
      <w:r w:rsidRPr="750D58D3">
        <w:rPr>
          <w:rFonts w:ascii="Times New Roman" w:hAnsi="Times New Roman"/>
          <w:b/>
          <w:bCs/>
          <w:sz w:val="26"/>
          <w:szCs w:val="26"/>
        </w:rPr>
        <w:t>DESCRIBE EFFORTS TO CONSULT OUTSIDE THE AGENCY:  SUMMARIZE PUBLIC COMMENTS AND THE AGENCY’S RESPONSE TO THESE COMMENTS</w:t>
      </w:r>
    </w:p>
    <w:p w:rsidR="00C22E60" w:rsidP="009D5886" w14:paraId="688A3836" w14:textId="77777777">
      <w:pPr>
        <w:spacing w:after="0" w:line="240" w:lineRule="auto"/>
        <w:rPr>
          <w:rFonts w:ascii="Times New Roman" w:hAnsi="Times New Roman"/>
          <w:sz w:val="26"/>
        </w:rPr>
      </w:pPr>
    </w:p>
    <w:p w:rsidR="00C05645" w:rsidP="5213A355" w14:paraId="5027BA47" w14:textId="210BE96F">
      <w:pPr>
        <w:spacing w:after="0" w:line="240" w:lineRule="auto"/>
        <w:rPr>
          <w:rFonts w:ascii="Times New Roman" w:hAnsi="Times New Roman"/>
          <w:sz w:val="26"/>
          <w:szCs w:val="26"/>
        </w:rPr>
      </w:pPr>
      <w:r w:rsidRPr="5213A355">
        <w:rPr>
          <w:rFonts w:ascii="Times New Roman" w:hAnsi="Times New Roman"/>
          <w:sz w:val="26"/>
          <w:szCs w:val="26"/>
        </w:rPr>
        <w:t>To ensure that infrastructure projects can continue to be developed in a timely manner without undue regulatory review, the Commission issued a notice of inquiry (NOI) in this proceeding, requesting stakeholder comments on whether, and if so how, the Commission should modify the blanket certificate program to adjust the cost limitations for projects.</w:t>
      </w:r>
      <w:r>
        <w:rPr>
          <w:rFonts w:ascii="Times New Roman" w:hAnsi="Times New Roman"/>
          <w:b/>
          <w:bCs/>
          <w:sz w:val="26"/>
          <w:szCs w:val="26"/>
          <w:vertAlign w:val="superscript"/>
        </w:rPr>
        <w:footnoteReference w:id="9"/>
      </w:r>
    </w:p>
    <w:p w:rsidR="00610A32" w:rsidRPr="00C05645" w:rsidP="5213A355" w14:paraId="66D9BD86" w14:textId="1E4C0A4C">
      <w:pPr>
        <w:spacing w:after="0" w:line="240" w:lineRule="auto"/>
        <w:rPr>
          <w:rFonts w:ascii="Times New Roman" w:hAnsi="Times New Roman"/>
          <w:sz w:val="26"/>
          <w:szCs w:val="26"/>
        </w:rPr>
      </w:pPr>
    </w:p>
    <w:p w:rsidR="00610A32" w:rsidRPr="00C05645" w:rsidP="5213A355" w14:paraId="64C556AC" w14:textId="621158D3">
      <w:pPr>
        <w:spacing w:after="0" w:line="240" w:lineRule="auto"/>
        <w:rPr>
          <w:rFonts w:ascii="Times New Roman" w:hAnsi="Times New Roman"/>
          <w:sz w:val="26"/>
          <w:szCs w:val="26"/>
        </w:rPr>
      </w:pPr>
      <w:r w:rsidRPr="5213A355">
        <w:rPr>
          <w:rFonts w:ascii="Times New Roman" w:hAnsi="Times New Roman"/>
          <w:sz w:val="26"/>
          <w:szCs w:val="26"/>
        </w:rPr>
        <w:t>The Commission received 17 comments—nine from pipeline companies and related trade associations, four from pipeline customer groups, one from a non-governmental organization, one from a state government official, and two from individuals.</w:t>
      </w:r>
      <w:r>
        <w:rPr>
          <w:rFonts w:ascii="Times New Roman" w:hAnsi="Times New Roman"/>
          <w:b/>
          <w:bCs/>
          <w:sz w:val="26"/>
          <w:szCs w:val="26"/>
          <w:vertAlign w:val="superscript"/>
        </w:rPr>
        <w:footnoteReference w:id="10"/>
      </w:r>
      <w:r w:rsidRPr="5213A355">
        <w:rPr>
          <w:rFonts w:ascii="Times New Roman" w:hAnsi="Times New Roman"/>
          <w:sz w:val="26"/>
          <w:szCs w:val="26"/>
        </w:rPr>
        <w:t xml:space="preserve">  The comments addressed a variety of issues, including the </w:t>
      </w:r>
      <w:r w:rsidRPr="5213A355">
        <w:rPr>
          <w:rFonts w:ascii="Times New Roman" w:hAnsi="Times New Roman"/>
          <w:sz w:val="26"/>
          <w:szCs w:val="26"/>
        </w:rPr>
        <w:t>appropriate cost</w:t>
      </w:r>
      <w:r w:rsidRPr="5213A355">
        <w:rPr>
          <w:rFonts w:ascii="Times New Roman" w:hAnsi="Times New Roman"/>
          <w:sz w:val="26"/>
          <w:szCs w:val="26"/>
        </w:rPr>
        <w:t xml:space="preserve"> limits, the scope of projects that may be constructed, reporting requirements, and the rate treatment for blanket certificate projects.</w:t>
      </w:r>
      <w:r>
        <w:rPr>
          <w:rFonts w:ascii="Times New Roman" w:hAnsi="Times New Roman"/>
          <w:b/>
          <w:bCs/>
          <w:sz w:val="26"/>
          <w:szCs w:val="26"/>
          <w:vertAlign w:val="superscript"/>
        </w:rPr>
        <w:footnoteReference w:id="11"/>
      </w:r>
      <w:r w:rsidRPr="5213A355">
        <w:rPr>
          <w:rFonts w:ascii="Times New Roman" w:hAnsi="Times New Roman"/>
          <w:sz w:val="26"/>
          <w:szCs w:val="26"/>
        </w:rPr>
        <w:t xml:space="preserve">  Additionally, Energy Transfer LP (Energy Transfer) filed supplemental comments, and the Natural Gas Supply Association (NGSA),</w:t>
      </w:r>
      <w:r>
        <w:rPr>
          <w:rFonts w:ascii="Times New Roman" w:hAnsi="Times New Roman"/>
          <w:b/>
          <w:bCs/>
          <w:sz w:val="26"/>
          <w:szCs w:val="26"/>
          <w:vertAlign w:val="superscript"/>
        </w:rPr>
        <w:footnoteReference w:id="12"/>
      </w:r>
      <w:r w:rsidRPr="5213A355">
        <w:rPr>
          <w:rFonts w:ascii="Times New Roman" w:hAnsi="Times New Roman"/>
          <w:sz w:val="26"/>
          <w:szCs w:val="26"/>
        </w:rPr>
        <w:t xml:space="preserve"> American Gas Association (AGA),</w:t>
      </w:r>
      <w:r>
        <w:rPr>
          <w:rFonts w:ascii="Times New Roman" w:hAnsi="Times New Roman"/>
          <w:b/>
          <w:bCs/>
          <w:sz w:val="26"/>
          <w:szCs w:val="26"/>
          <w:vertAlign w:val="superscript"/>
        </w:rPr>
        <w:footnoteReference w:id="13"/>
      </w:r>
      <w:r w:rsidRPr="5213A355">
        <w:rPr>
          <w:rFonts w:ascii="Times New Roman" w:hAnsi="Times New Roman"/>
          <w:sz w:val="26"/>
          <w:szCs w:val="26"/>
        </w:rPr>
        <w:t xml:space="preserve"> American Public Gas Association (APGA),</w:t>
      </w:r>
      <w:r>
        <w:rPr>
          <w:rFonts w:ascii="Times New Roman" w:hAnsi="Times New Roman"/>
          <w:b/>
          <w:bCs/>
          <w:sz w:val="26"/>
          <w:szCs w:val="26"/>
          <w:vertAlign w:val="superscript"/>
        </w:rPr>
        <w:footnoteReference w:id="14"/>
      </w:r>
      <w:r w:rsidRPr="5213A355">
        <w:rPr>
          <w:rFonts w:ascii="Times New Roman" w:hAnsi="Times New Roman"/>
          <w:sz w:val="26"/>
          <w:szCs w:val="26"/>
        </w:rPr>
        <w:t xml:space="preserve"> and the Process Gas Consumers Group (PGC)</w:t>
      </w:r>
      <w:r>
        <w:rPr>
          <w:rFonts w:ascii="Times New Roman" w:hAnsi="Times New Roman"/>
          <w:b/>
          <w:bCs/>
          <w:sz w:val="26"/>
          <w:szCs w:val="26"/>
          <w:vertAlign w:val="superscript"/>
        </w:rPr>
        <w:footnoteReference w:id="15"/>
      </w:r>
      <w:r w:rsidRPr="5213A355">
        <w:rPr>
          <w:rFonts w:ascii="Times New Roman" w:hAnsi="Times New Roman"/>
          <w:sz w:val="26"/>
          <w:szCs w:val="26"/>
        </w:rPr>
        <w:t xml:space="preserve"> and the Industrial Energy Consumers of America (IECA)</w:t>
      </w:r>
      <w:r>
        <w:rPr>
          <w:rFonts w:ascii="Times New Roman" w:hAnsi="Times New Roman"/>
          <w:b/>
          <w:bCs/>
          <w:sz w:val="26"/>
          <w:szCs w:val="26"/>
          <w:vertAlign w:val="superscript"/>
        </w:rPr>
        <w:footnoteReference w:id="16"/>
      </w:r>
      <w:r w:rsidRPr="5213A355">
        <w:rPr>
          <w:rFonts w:ascii="Times New Roman" w:hAnsi="Times New Roman"/>
          <w:sz w:val="26"/>
          <w:szCs w:val="26"/>
        </w:rPr>
        <w:t xml:space="preserve"> filed reply comments.</w:t>
      </w:r>
      <w:r>
        <w:rPr>
          <w:rFonts w:ascii="Times New Roman" w:hAnsi="Times New Roman"/>
          <w:b/>
          <w:bCs/>
          <w:sz w:val="26"/>
          <w:szCs w:val="26"/>
          <w:vertAlign w:val="superscript"/>
        </w:rPr>
        <w:footnoteReference w:id="17"/>
      </w:r>
      <w:r w:rsidRPr="5213A355" w:rsidR="5787527D">
        <w:rPr>
          <w:rFonts w:ascii="Times New Roman" w:hAnsi="Times New Roman"/>
          <w:sz w:val="26"/>
          <w:szCs w:val="26"/>
        </w:rPr>
        <w:t xml:space="preserve"> </w:t>
      </w:r>
      <w:r w:rsidRPr="5213A355" w:rsidR="5787527D">
        <w:rPr>
          <w:rFonts w:ascii="Times New Roman" w:hAnsi="Times New Roman"/>
          <w:sz w:val="26"/>
          <w:szCs w:val="26"/>
        </w:rPr>
        <w:t>All of</w:t>
      </w:r>
      <w:r w:rsidRPr="5213A355" w:rsidR="5787527D">
        <w:rPr>
          <w:rFonts w:ascii="Times New Roman" w:hAnsi="Times New Roman"/>
          <w:sz w:val="26"/>
          <w:szCs w:val="26"/>
        </w:rPr>
        <w:t xml:space="preserve"> the comments are publicly available online by searching FERC’s </w:t>
      </w:r>
      <w:hyperlink r:id="rId9">
        <w:r w:rsidRPr="5213A355" w:rsidR="5787527D">
          <w:rPr>
            <w:rStyle w:val="Hyperlink"/>
            <w:rFonts w:ascii="Times New Roman" w:hAnsi="Times New Roman"/>
            <w:sz w:val="26"/>
            <w:szCs w:val="26"/>
          </w:rPr>
          <w:t>eLibrary system</w:t>
        </w:r>
      </w:hyperlink>
      <w:r w:rsidRPr="5213A355" w:rsidR="5787527D">
        <w:rPr>
          <w:rFonts w:ascii="Times New Roman" w:hAnsi="Times New Roman"/>
          <w:sz w:val="26"/>
          <w:szCs w:val="26"/>
        </w:rPr>
        <w:t xml:space="preserve"> for RM25-12</w:t>
      </w:r>
      <w:r w:rsidRPr="5213A355" w:rsidR="0BD2DE0A">
        <w:rPr>
          <w:rFonts w:ascii="Times New Roman" w:hAnsi="Times New Roman"/>
          <w:sz w:val="26"/>
          <w:szCs w:val="26"/>
        </w:rPr>
        <w:t>-000</w:t>
      </w:r>
      <w:r w:rsidRPr="5213A355" w:rsidR="206155EE">
        <w:rPr>
          <w:rFonts w:ascii="Times New Roman" w:hAnsi="Times New Roman"/>
          <w:sz w:val="26"/>
          <w:szCs w:val="26"/>
        </w:rPr>
        <w:t>.</w:t>
      </w:r>
    </w:p>
    <w:p w:rsidR="000D3E5F" w:rsidRPr="000D3E5F" w:rsidP="000D3E5F" w14:paraId="7259F5AB" w14:textId="77777777">
      <w:pPr>
        <w:spacing w:after="0" w:line="240" w:lineRule="auto"/>
        <w:rPr>
          <w:rFonts w:ascii="Times New Roman" w:hAnsi="Times New Roman"/>
          <w:sz w:val="26"/>
        </w:rPr>
      </w:pPr>
    </w:p>
    <w:p w:rsidR="000D3E5F" w:rsidRPr="000D3E5F" w:rsidP="750D58D3" w14:paraId="00329ED2" w14:textId="77777777">
      <w:pPr>
        <w:numPr>
          <w:ilvl w:val="0"/>
          <w:numId w:val="4"/>
        </w:numPr>
        <w:spacing w:after="0" w:line="240" w:lineRule="auto"/>
        <w:ind w:left="720" w:hanging="720"/>
        <w:rPr>
          <w:rFonts w:ascii="Times New Roman" w:hAnsi="Times New Roman"/>
          <w:sz w:val="26"/>
          <w:szCs w:val="26"/>
        </w:rPr>
      </w:pPr>
      <w:r w:rsidRPr="750D58D3">
        <w:rPr>
          <w:rFonts w:ascii="Times New Roman" w:hAnsi="Times New Roman"/>
          <w:b/>
          <w:bCs/>
          <w:sz w:val="26"/>
          <w:szCs w:val="26"/>
        </w:rPr>
        <w:t>EXPLAIN ANY PAYMENT OR GIFTS TO RESPONDENTS</w:t>
      </w:r>
    </w:p>
    <w:p w:rsidR="000D3E5F" w:rsidRPr="000D3E5F" w:rsidP="000D3E5F" w14:paraId="31038A46" w14:textId="77777777">
      <w:pPr>
        <w:spacing w:after="0" w:line="240" w:lineRule="auto"/>
        <w:rPr>
          <w:rFonts w:ascii="Times New Roman" w:hAnsi="Times New Roman"/>
          <w:bCs/>
          <w:sz w:val="26"/>
        </w:rPr>
      </w:pPr>
    </w:p>
    <w:p w:rsidR="000D3E5F" w:rsidRPr="000D3E5F" w:rsidP="000D3E5F" w14:paraId="6FDC6ACE" w14:textId="7B03BE18">
      <w:pPr>
        <w:spacing w:after="0" w:line="240" w:lineRule="auto"/>
        <w:rPr>
          <w:rFonts w:ascii="Times New Roman" w:hAnsi="Times New Roman"/>
          <w:sz w:val="26"/>
        </w:rPr>
      </w:pPr>
      <w:r w:rsidRPr="000D3E5F">
        <w:rPr>
          <w:rFonts w:ascii="Times New Roman" w:hAnsi="Times New Roman"/>
          <w:sz w:val="26"/>
        </w:rPr>
        <w:t>There are no payments or gifts to respondents of FERC-537</w:t>
      </w:r>
      <w:r w:rsidR="00C05645">
        <w:rPr>
          <w:rFonts w:ascii="Times New Roman" w:hAnsi="Times New Roman"/>
          <w:sz w:val="26"/>
        </w:rPr>
        <w:t>.</w:t>
      </w:r>
    </w:p>
    <w:p w:rsidR="000D3E5F" w:rsidRPr="000D3E5F" w:rsidP="000D3E5F" w14:paraId="75FA6515" w14:textId="77777777">
      <w:pPr>
        <w:spacing w:after="0" w:line="240" w:lineRule="auto"/>
        <w:rPr>
          <w:rFonts w:ascii="Times New Roman" w:hAnsi="Times New Roman"/>
          <w:sz w:val="26"/>
        </w:rPr>
      </w:pPr>
    </w:p>
    <w:p w:rsidR="000D3E5F" w:rsidRPr="000D3E5F" w:rsidP="750D58D3" w14:paraId="2204C766" w14:textId="77777777">
      <w:pPr>
        <w:numPr>
          <w:ilvl w:val="0"/>
          <w:numId w:val="4"/>
        </w:numPr>
        <w:spacing w:after="0" w:line="240" w:lineRule="auto"/>
        <w:ind w:left="720" w:hanging="720"/>
        <w:rPr>
          <w:rFonts w:ascii="Times New Roman" w:hAnsi="Times New Roman"/>
          <w:sz w:val="26"/>
          <w:szCs w:val="26"/>
        </w:rPr>
      </w:pPr>
      <w:r w:rsidRPr="750D58D3">
        <w:rPr>
          <w:rFonts w:ascii="Times New Roman" w:hAnsi="Times New Roman"/>
          <w:b/>
          <w:bCs/>
          <w:sz w:val="26"/>
          <w:szCs w:val="26"/>
        </w:rPr>
        <w:t>DESCRIBE ANY ASSURANCE OF CONFIDENTIALITY PROVIDED TO RESPONDENTS</w:t>
      </w:r>
    </w:p>
    <w:p w:rsidR="000D3E5F" w:rsidRPr="000D3E5F" w:rsidP="000D3E5F" w14:paraId="2C6255C5" w14:textId="77777777">
      <w:pPr>
        <w:spacing w:after="0" w:line="240" w:lineRule="auto"/>
        <w:rPr>
          <w:rFonts w:ascii="Times New Roman" w:hAnsi="Times New Roman"/>
          <w:sz w:val="26"/>
        </w:rPr>
      </w:pPr>
    </w:p>
    <w:p w:rsidR="000D3E5F" w:rsidRPr="000D3E5F" w:rsidP="000D3E5F" w14:paraId="53812581" w14:textId="7170E610">
      <w:pPr>
        <w:spacing w:after="0" w:line="240" w:lineRule="auto"/>
        <w:rPr>
          <w:rFonts w:ascii="Times New Roman" w:hAnsi="Times New Roman"/>
          <w:sz w:val="26"/>
        </w:rPr>
      </w:pPr>
      <w:r w:rsidRPr="000D3E5F">
        <w:rPr>
          <w:rFonts w:ascii="Times New Roman" w:hAnsi="Times New Roman"/>
          <w:sz w:val="26"/>
        </w:rPr>
        <w:t xml:space="preserve">The Commission does not guarantee the information provided by applicants to be confidential.  The Commission encourages applicants to indicate information which may be Critical Energy/Electric Infrastructure Information (CEII), or privileged, and thus initially confidential.  CEII as defined in Section 18 CFR 388.113 includes information about proposed or existing natural gas facilities that could be used by a person planning an attack on critical energy infrastructure.  Privileged material most often includes proprietary business information, specific cultural resource details and locations, and personal identification information of affected landowners.  More information about CEII and privileged security levels of information </w:t>
      </w:r>
      <w:r w:rsidR="00C96EFA">
        <w:rPr>
          <w:rFonts w:ascii="Times New Roman" w:hAnsi="Times New Roman"/>
          <w:sz w:val="26"/>
        </w:rPr>
        <w:t xml:space="preserve">is </w:t>
      </w:r>
      <w:r w:rsidRPr="000D3E5F">
        <w:rPr>
          <w:rFonts w:ascii="Times New Roman" w:hAnsi="Times New Roman"/>
          <w:sz w:val="26"/>
        </w:rPr>
        <w:t xml:space="preserve">posted at </w:t>
      </w:r>
      <w:hyperlink r:id="rId10" w:history="1">
        <w:r w:rsidRPr="000D3E5F">
          <w:rPr>
            <w:rStyle w:val="Hyperlink"/>
            <w:rFonts w:ascii="Times New Roman" w:hAnsi="Times New Roman"/>
            <w:sz w:val="26"/>
          </w:rPr>
          <w:t>http://www.ferc.gov/legal/ceii-foia/ceii.asp</w:t>
        </w:r>
      </w:hyperlink>
      <w:r w:rsidRPr="000D3E5F">
        <w:rPr>
          <w:rFonts w:ascii="Times New Roman" w:hAnsi="Times New Roman"/>
          <w:sz w:val="26"/>
        </w:rPr>
        <w:t xml:space="preserve"> and </w:t>
      </w:r>
      <w:hyperlink r:id="rId11" w:history="1">
        <w:r w:rsidRPr="000D3E5F">
          <w:rPr>
            <w:rStyle w:val="Hyperlink"/>
            <w:rFonts w:ascii="Times New Roman" w:hAnsi="Times New Roman"/>
            <w:sz w:val="26"/>
          </w:rPr>
          <w:t>http://www.ferc.gov/legal/ceii-foia/ceii/classes.asp</w:t>
        </w:r>
      </w:hyperlink>
      <w:r w:rsidRPr="000D3E5F">
        <w:rPr>
          <w:rFonts w:ascii="Times New Roman" w:hAnsi="Times New Roman"/>
          <w:sz w:val="26"/>
        </w:rPr>
        <w:t xml:space="preserve">.  The Commission’s procedures in Part 388 are designed to ensure that CEII and privileged material are not placed in the Commission’s public records.  </w:t>
      </w:r>
    </w:p>
    <w:p w:rsidR="000D3E5F" w:rsidRPr="000D3E5F" w:rsidP="000D3E5F" w14:paraId="1C88B5E2" w14:textId="77777777">
      <w:pPr>
        <w:spacing w:after="0" w:line="240" w:lineRule="auto"/>
        <w:rPr>
          <w:rFonts w:ascii="Times New Roman" w:hAnsi="Times New Roman"/>
          <w:bCs/>
          <w:sz w:val="26"/>
        </w:rPr>
      </w:pPr>
    </w:p>
    <w:p w:rsidR="000D3E5F" w:rsidRPr="000D3E5F" w:rsidP="750D58D3" w14:paraId="43B667C8" w14:textId="77777777">
      <w:pPr>
        <w:numPr>
          <w:ilvl w:val="0"/>
          <w:numId w:val="4"/>
        </w:numPr>
        <w:spacing w:after="0" w:line="240" w:lineRule="auto"/>
        <w:ind w:left="810" w:hanging="810"/>
        <w:rPr>
          <w:rFonts w:ascii="Times New Roman" w:hAnsi="Times New Roman"/>
          <w:sz w:val="26"/>
          <w:szCs w:val="26"/>
        </w:rPr>
      </w:pPr>
      <w:r w:rsidRPr="750D58D3">
        <w:rPr>
          <w:rFonts w:ascii="Times New Roman" w:hAnsi="Times New Roman"/>
          <w:b/>
          <w:bCs/>
          <w:sz w:val="26"/>
          <w:szCs w:val="26"/>
        </w:rPr>
        <w:t>PROVIDE ADDITIONAL JUSTIFICATION FOR ANY QUESTIONS OF A SENSITIVE NATURE, SUCH AS SEXUAL BEHAVIOR AND ATTITUDES, RELIGIOUS BELIEFS, AND OTHER MATTERS THAT ARE COMMONLY CONSIDERED PRIVATE</w:t>
      </w:r>
    </w:p>
    <w:p w:rsidR="000D3E5F" w:rsidRPr="000D3E5F" w:rsidP="000D3E5F" w14:paraId="47B844D7" w14:textId="77777777">
      <w:pPr>
        <w:spacing w:after="0" w:line="240" w:lineRule="auto"/>
        <w:rPr>
          <w:rFonts w:ascii="Times New Roman" w:hAnsi="Times New Roman"/>
          <w:sz w:val="26"/>
        </w:rPr>
      </w:pPr>
    </w:p>
    <w:p w:rsidR="000D3E5F" w:rsidRPr="000D3E5F" w:rsidP="000D3E5F" w14:paraId="0335B623" w14:textId="77777777">
      <w:pPr>
        <w:spacing w:after="0" w:line="240" w:lineRule="auto"/>
        <w:rPr>
          <w:rFonts w:ascii="Times New Roman" w:hAnsi="Times New Roman"/>
          <w:sz w:val="26"/>
        </w:rPr>
      </w:pPr>
      <w:r w:rsidRPr="000D3E5F">
        <w:rPr>
          <w:rFonts w:ascii="Times New Roman" w:hAnsi="Times New Roman"/>
          <w:sz w:val="26"/>
        </w:rPr>
        <w:t>There are no questions of a sensitive nature associated with FERC-537.</w:t>
      </w:r>
    </w:p>
    <w:p w:rsidR="000D3E5F" w:rsidRPr="000D3E5F" w:rsidP="000D3E5F" w14:paraId="3E9921E0" w14:textId="77777777">
      <w:pPr>
        <w:spacing w:after="0" w:line="240" w:lineRule="auto"/>
        <w:rPr>
          <w:rFonts w:ascii="Times New Roman" w:hAnsi="Times New Roman"/>
          <w:sz w:val="26"/>
        </w:rPr>
      </w:pPr>
    </w:p>
    <w:p w:rsidR="000D3E5F" w:rsidRPr="000D3E5F" w:rsidP="750D58D3" w14:paraId="13B55AF5" w14:textId="77777777">
      <w:pPr>
        <w:numPr>
          <w:ilvl w:val="0"/>
          <w:numId w:val="4"/>
        </w:numPr>
        <w:spacing w:after="0" w:line="240" w:lineRule="auto"/>
        <w:ind w:left="720" w:hanging="720"/>
        <w:rPr>
          <w:rFonts w:ascii="Times New Roman" w:hAnsi="Times New Roman"/>
          <w:b/>
          <w:bCs/>
          <w:sz w:val="26"/>
          <w:szCs w:val="26"/>
        </w:rPr>
      </w:pPr>
      <w:r w:rsidRPr="750D58D3">
        <w:rPr>
          <w:rFonts w:ascii="Times New Roman" w:hAnsi="Times New Roman"/>
          <w:b/>
          <w:bCs/>
          <w:sz w:val="26"/>
          <w:szCs w:val="26"/>
        </w:rPr>
        <w:t>ESTIMATED BURDEN COLLECTION OF INFORMATION</w:t>
      </w:r>
    </w:p>
    <w:p w:rsidR="000D3E5F" w:rsidRPr="000D3E5F" w:rsidP="000D3E5F" w14:paraId="2F6F258C" w14:textId="77777777">
      <w:pPr>
        <w:spacing w:after="0" w:line="240" w:lineRule="auto"/>
        <w:rPr>
          <w:rFonts w:ascii="Times New Roman" w:hAnsi="Times New Roman"/>
          <w:b/>
          <w:sz w:val="26"/>
        </w:rPr>
      </w:pPr>
    </w:p>
    <w:p w:rsidR="00AA08B2" w:rsidP="00AA08B2" w14:paraId="40B2BE2E" w14:textId="0AAD967F">
      <w:pPr>
        <w:spacing w:after="0" w:line="240" w:lineRule="auto"/>
        <w:rPr>
          <w:rFonts w:ascii="Times New Roman" w:hAnsi="Times New Roman"/>
          <w:bCs/>
          <w:sz w:val="26"/>
        </w:rPr>
      </w:pPr>
      <w:r w:rsidRPr="00AA08B2">
        <w:rPr>
          <w:rFonts w:ascii="Times New Roman" w:hAnsi="Times New Roman"/>
          <w:bCs/>
          <w:sz w:val="26"/>
        </w:rPr>
        <w:t xml:space="preserve">The Commission estimates the </w:t>
      </w:r>
      <w:r w:rsidR="00245CEF">
        <w:rPr>
          <w:rFonts w:ascii="Times New Roman" w:hAnsi="Times New Roman"/>
          <w:bCs/>
          <w:sz w:val="26"/>
        </w:rPr>
        <w:t>total burden for FERC-537 as a result of the proposed rulemaking would be:</w:t>
      </w:r>
    </w:p>
    <w:p w:rsidR="00AA08B2" w:rsidP="00AA08B2" w14:paraId="453AEA3D" w14:textId="77777777">
      <w:pPr>
        <w:spacing w:after="0" w:line="240" w:lineRule="auto"/>
        <w:rPr>
          <w:rFonts w:ascii="Times New Roman" w:hAnsi="Times New Roman"/>
          <w:bCs/>
          <w:sz w:val="26"/>
        </w:rPr>
      </w:pPr>
    </w:p>
    <w:tbl>
      <w:tblPr>
        <w:tblW w:w="53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9"/>
        <w:gridCol w:w="1524"/>
        <w:gridCol w:w="1429"/>
        <w:gridCol w:w="1313"/>
        <w:gridCol w:w="1303"/>
        <w:gridCol w:w="1313"/>
        <w:gridCol w:w="1429"/>
      </w:tblGrid>
      <w:tr w14:paraId="4CEA4420" w14:textId="77777777" w:rsidTr="750D58D3">
        <w:tblPrEx>
          <w:tblW w:w="53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E8F" w:rsidRPr="00BD0E8F" w:rsidP="00BD0E8F" w14:paraId="54DD914E" w14:textId="77777777">
            <w:pPr>
              <w:spacing w:after="0" w:line="240" w:lineRule="auto"/>
              <w:rPr>
                <w:rFonts w:ascii="Times New Roman" w:hAnsi="Times New Roman"/>
                <w:b/>
                <w:bCs/>
              </w:rPr>
            </w:pP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531C4483" w14:textId="77777777">
            <w:pPr>
              <w:spacing w:after="0" w:line="240" w:lineRule="auto"/>
              <w:rPr>
                <w:rFonts w:ascii="Times New Roman" w:hAnsi="Times New Roman"/>
                <w:b/>
                <w:bCs/>
              </w:rPr>
            </w:pPr>
            <w:r w:rsidRPr="00BD0E8F">
              <w:rPr>
                <w:rFonts w:ascii="Times New Roman" w:hAnsi="Times New Roman"/>
                <w:b/>
                <w:bCs/>
              </w:rPr>
              <w:t>Number of Respondents</w:t>
            </w:r>
            <w:r w:rsidRPr="00BD0E8F">
              <w:rPr>
                <w:rFonts w:ascii="Times New Roman" w:hAnsi="Times New Roman"/>
                <w:b/>
                <w:bCs/>
              </w:rPr>
              <w:br/>
            </w:r>
            <w:r w:rsidRPr="00BD0E8F">
              <w:rPr>
                <w:rFonts w:ascii="Times New Roman" w:hAnsi="Times New Roman"/>
                <w:b/>
                <w:bCs/>
              </w:rPr>
              <w:t>(1)</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7E7D33FF" w14:textId="77777777">
            <w:pPr>
              <w:spacing w:after="0" w:line="240" w:lineRule="auto"/>
              <w:rPr>
                <w:rFonts w:ascii="Times New Roman" w:hAnsi="Times New Roman"/>
                <w:b/>
                <w:bCs/>
              </w:rPr>
            </w:pPr>
            <w:r w:rsidRPr="00BD0E8F">
              <w:rPr>
                <w:rFonts w:ascii="Times New Roman" w:hAnsi="Times New Roman"/>
                <w:b/>
                <w:bCs/>
              </w:rPr>
              <w:t>Annual Number of Responses per Respondent</w:t>
            </w:r>
          </w:p>
          <w:p w:rsidR="00BD0E8F" w:rsidRPr="00BD0E8F" w:rsidP="00BD0E8F" w14:paraId="2440B8BF" w14:textId="77777777">
            <w:pPr>
              <w:spacing w:after="0" w:line="240" w:lineRule="auto"/>
              <w:rPr>
                <w:rFonts w:ascii="Times New Roman" w:hAnsi="Times New Roman"/>
                <w:b/>
                <w:bCs/>
              </w:rPr>
            </w:pPr>
            <w:r w:rsidRPr="00BD0E8F">
              <w:rPr>
                <w:rFonts w:ascii="Times New Roman" w:hAnsi="Times New Roman"/>
                <w:b/>
                <w:bCs/>
              </w:rPr>
              <w:t>(2)</w:t>
            </w: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61FC3BA5" w14:textId="77777777">
            <w:pPr>
              <w:spacing w:after="0" w:line="240" w:lineRule="auto"/>
              <w:rPr>
                <w:rFonts w:ascii="Times New Roman" w:hAnsi="Times New Roman"/>
                <w:b/>
                <w:bCs/>
              </w:rPr>
            </w:pPr>
            <w:r w:rsidRPr="00BD0E8F">
              <w:rPr>
                <w:rFonts w:ascii="Times New Roman" w:hAnsi="Times New Roman"/>
                <w:b/>
                <w:bCs/>
              </w:rPr>
              <w:t>Total Number of Responses (1)*(2)=(3)</w:t>
            </w:r>
          </w:p>
        </w:tc>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248914FD" w14:textId="77777777">
            <w:pPr>
              <w:spacing w:after="0" w:line="240" w:lineRule="auto"/>
              <w:rPr>
                <w:rFonts w:ascii="Times New Roman" w:hAnsi="Times New Roman"/>
                <w:b/>
                <w:bCs/>
              </w:rPr>
            </w:pPr>
            <w:r w:rsidRPr="00BD0E8F">
              <w:rPr>
                <w:rFonts w:ascii="Times New Roman" w:hAnsi="Times New Roman"/>
                <w:b/>
                <w:bCs/>
              </w:rPr>
              <w:t>Average Burden &amp; Cost Per Response</w:t>
            </w:r>
            <w:r>
              <w:rPr>
                <w:rFonts w:ascii="Times New Roman" w:hAnsi="Times New Roman"/>
                <w:b/>
                <w:bCs/>
                <w:vertAlign w:val="superscript"/>
              </w:rPr>
              <w:footnoteReference w:id="18"/>
            </w:r>
          </w:p>
          <w:p w:rsidR="00BD0E8F" w:rsidRPr="00BD0E8F" w:rsidP="00BD0E8F" w14:paraId="39F704E7" w14:textId="77777777">
            <w:pPr>
              <w:spacing w:after="0" w:line="240" w:lineRule="auto"/>
              <w:rPr>
                <w:rFonts w:ascii="Times New Roman" w:hAnsi="Times New Roman"/>
                <w:b/>
                <w:bCs/>
              </w:rPr>
            </w:pPr>
            <w:r w:rsidRPr="00BD0E8F">
              <w:rPr>
                <w:rFonts w:ascii="Times New Roman" w:hAnsi="Times New Roman"/>
                <w:b/>
                <w:bCs/>
              </w:rPr>
              <w:t>(4)</w:t>
            </w:r>
          </w:p>
        </w:tc>
        <w:tc>
          <w:tcPr>
            <w:tcW w:w="65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5483E756" w14:textId="77777777">
            <w:pPr>
              <w:spacing w:after="0" w:line="240" w:lineRule="auto"/>
              <w:rPr>
                <w:rFonts w:ascii="Times New Roman" w:hAnsi="Times New Roman"/>
                <w:b/>
                <w:bCs/>
              </w:rPr>
            </w:pPr>
            <w:r w:rsidRPr="00BD0E8F">
              <w:rPr>
                <w:rFonts w:ascii="Times New Roman" w:hAnsi="Times New Roman"/>
                <w:b/>
                <w:bCs/>
              </w:rPr>
              <w:t>Total Annual Burden Hours &amp; Total Annual Cost</w:t>
            </w:r>
          </w:p>
          <w:p w:rsidR="00BD0E8F" w:rsidRPr="00BD0E8F" w:rsidP="00BD0E8F" w14:paraId="634EAAC7" w14:textId="77777777">
            <w:pPr>
              <w:spacing w:after="0" w:line="240" w:lineRule="auto"/>
              <w:rPr>
                <w:rFonts w:ascii="Times New Roman" w:hAnsi="Times New Roman"/>
                <w:b/>
                <w:bCs/>
              </w:rPr>
            </w:pPr>
            <w:r w:rsidRPr="00BD0E8F">
              <w:rPr>
                <w:rFonts w:ascii="Times New Roman" w:hAnsi="Times New Roman"/>
                <w:b/>
                <w:bCs/>
              </w:rPr>
              <w:t>(3)*(4)=(5)</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5BFA7AA5" w14:textId="77777777">
            <w:pPr>
              <w:spacing w:after="0" w:line="240" w:lineRule="auto"/>
              <w:rPr>
                <w:rFonts w:ascii="Times New Roman" w:hAnsi="Times New Roman"/>
                <w:b/>
                <w:bCs/>
              </w:rPr>
            </w:pPr>
            <w:r w:rsidRPr="00BD0E8F">
              <w:rPr>
                <w:rFonts w:ascii="Times New Roman" w:hAnsi="Times New Roman"/>
                <w:b/>
                <w:bCs/>
              </w:rPr>
              <w:t>Cost per Respondent</w:t>
            </w:r>
          </w:p>
          <w:p w:rsidR="00BD0E8F" w:rsidRPr="00BD0E8F" w:rsidP="00BD0E8F" w14:paraId="333FEA6D" w14:textId="77777777">
            <w:pPr>
              <w:spacing w:after="0" w:line="240" w:lineRule="auto"/>
              <w:rPr>
                <w:rFonts w:ascii="Times New Roman" w:hAnsi="Times New Roman"/>
                <w:b/>
                <w:bCs/>
              </w:rPr>
            </w:pPr>
            <w:r w:rsidRPr="00BD0E8F">
              <w:rPr>
                <w:rFonts w:ascii="Times New Roman" w:hAnsi="Times New Roman"/>
                <w:b/>
                <w:bCs/>
              </w:rPr>
              <w:t>($)</w:t>
            </w:r>
          </w:p>
          <w:p w:rsidR="00BD0E8F" w:rsidRPr="00BD0E8F" w:rsidP="00BD0E8F" w14:paraId="36113350" w14:textId="77777777">
            <w:pPr>
              <w:spacing w:after="0" w:line="240" w:lineRule="auto"/>
              <w:rPr>
                <w:rFonts w:ascii="Times New Roman" w:hAnsi="Times New Roman"/>
                <w:b/>
                <w:bCs/>
              </w:rPr>
            </w:pPr>
            <w:r w:rsidRPr="00BD0E8F">
              <w:rPr>
                <w:rFonts w:ascii="Times New Roman" w:hAnsi="Times New Roman"/>
                <w:b/>
                <w:bCs/>
              </w:rPr>
              <w:t>(5)÷(1)</w:t>
            </w:r>
            <w:r>
              <w:rPr>
                <w:rFonts w:ascii="Times New Roman" w:hAnsi="Times New Roman"/>
                <w:b/>
                <w:bCs/>
                <w:vertAlign w:val="superscript"/>
              </w:rPr>
              <w:footnoteReference w:id="19"/>
            </w:r>
          </w:p>
        </w:tc>
      </w:tr>
      <w:tr w14:paraId="150E799F" w14:textId="77777777" w:rsidTr="750D58D3">
        <w:tblPrEx>
          <w:tblW w:w="5353" w:type="pct"/>
          <w:tblInd w:w="-72" w:type="dxa"/>
          <w:tblLook w:val="01E0"/>
        </w:tblPrEx>
        <w:trPr>
          <w:cantSplit/>
        </w:trPr>
        <w:tc>
          <w:tcPr>
            <w:tcW w:w="848" w:type="pct"/>
            <w:tcBorders>
              <w:top w:val="single" w:sz="4" w:space="0" w:color="auto"/>
              <w:left w:val="single" w:sz="4" w:space="0" w:color="auto"/>
              <w:bottom w:val="single" w:sz="4" w:space="0" w:color="auto"/>
              <w:right w:val="single" w:sz="4" w:space="0" w:color="auto"/>
            </w:tcBorders>
            <w:hideMark/>
          </w:tcPr>
          <w:p w:rsidR="00BD0E8F" w:rsidRPr="00BD0E8F" w:rsidP="00BD0E8F" w14:paraId="52446514" w14:textId="77777777">
            <w:pPr>
              <w:spacing w:after="0" w:line="240" w:lineRule="auto"/>
              <w:rPr>
                <w:rFonts w:ascii="Times New Roman" w:hAnsi="Times New Roman"/>
                <w:bCs/>
              </w:rPr>
            </w:pPr>
            <w:r w:rsidRPr="00BD0E8F">
              <w:rPr>
                <w:rFonts w:ascii="Times New Roman" w:hAnsi="Times New Roman"/>
                <w:bCs/>
              </w:rPr>
              <w:t xml:space="preserve">18 CFR 157.6 </w:t>
            </w:r>
            <w:bookmarkStart w:id="1" w:name="_Hlk71797181"/>
            <w:r w:rsidRPr="00BD0E8F">
              <w:rPr>
                <w:rFonts w:ascii="Times New Roman" w:hAnsi="Times New Roman"/>
                <w:bCs/>
              </w:rPr>
              <w:t>Interstate Certificate and Abandonment Applications</w:t>
            </w:r>
            <w:bookmarkEnd w:id="1"/>
            <w:r>
              <w:rPr>
                <w:rFonts w:ascii="Times New Roman" w:hAnsi="Times New Roman"/>
                <w:b/>
                <w:bCs/>
                <w:vertAlign w:val="superscript"/>
              </w:rPr>
              <w:footnoteReference w:id="20"/>
            </w:r>
          </w:p>
        </w:tc>
        <w:tc>
          <w:tcPr>
            <w:tcW w:w="761" w:type="pct"/>
            <w:tcBorders>
              <w:top w:val="single" w:sz="4" w:space="0" w:color="auto"/>
              <w:left w:val="single" w:sz="4" w:space="0" w:color="auto"/>
              <w:bottom w:val="single" w:sz="4" w:space="0" w:color="auto"/>
              <w:right w:val="single" w:sz="4" w:space="0" w:color="auto"/>
            </w:tcBorders>
            <w:hideMark/>
          </w:tcPr>
          <w:p w:rsidR="00BD0E8F" w:rsidRPr="00BD0E8F" w:rsidP="00BD0E8F" w14:paraId="24E687DC" w14:textId="77777777">
            <w:pPr>
              <w:spacing w:after="0" w:line="240" w:lineRule="auto"/>
              <w:rPr>
                <w:rFonts w:ascii="Times New Roman" w:hAnsi="Times New Roman"/>
                <w:bCs/>
              </w:rPr>
            </w:pPr>
            <w:r w:rsidRPr="00BD0E8F">
              <w:rPr>
                <w:rFonts w:ascii="Times New Roman" w:hAnsi="Times New Roman"/>
                <w:bCs/>
              </w:rPr>
              <w:t>22</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3AF6C35C" w14:textId="77777777">
            <w:pPr>
              <w:spacing w:after="0" w:line="240" w:lineRule="auto"/>
              <w:rPr>
                <w:rFonts w:ascii="Times New Roman" w:hAnsi="Times New Roman"/>
                <w:bCs/>
              </w:rPr>
            </w:pPr>
            <w:r w:rsidRPr="00BD0E8F">
              <w:rPr>
                <w:rFonts w:ascii="Times New Roman" w:hAnsi="Times New Roman"/>
                <w:bCs/>
              </w:rPr>
              <w:t>1.39</w:t>
            </w:r>
          </w:p>
        </w:tc>
        <w:tc>
          <w:tcPr>
            <w:tcW w:w="656" w:type="pct"/>
            <w:tcBorders>
              <w:top w:val="single" w:sz="4" w:space="0" w:color="auto"/>
              <w:left w:val="single" w:sz="4" w:space="0" w:color="auto"/>
              <w:bottom w:val="single" w:sz="4" w:space="0" w:color="auto"/>
              <w:right w:val="single" w:sz="4" w:space="0" w:color="auto"/>
            </w:tcBorders>
          </w:tcPr>
          <w:p w:rsidR="00BD0E8F" w:rsidRPr="00BD0E8F" w:rsidP="00BD0E8F" w14:paraId="27B1825B" w14:textId="77777777">
            <w:pPr>
              <w:spacing w:after="0" w:line="240" w:lineRule="auto"/>
              <w:rPr>
                <w:rFonts w:ascii="Times New Roman" w:hAnsi="Times New Roman"/>
                <w:bCs/>
              </w:rPr>
            </w:pPr>
            <w:r w:rsidRPr="00BD0E8F">
              <w:rPr>
                <w:rFonts w:ascii="Times New Roman" w:hAnsi="Times New Roman"/>
                <w:bCs/>
              </w:rPr>
              <w:t>30.58</w:t>
            </w:r>
          </w:p>
        </w:tc>
        <w:tc>
          <w:tcPr>
            <w:tcW w:w="651" w:type="pct"/>
            <w:tcBorders>
              <w:top w:val="single" w:sz="4" w:space="0" w:color="auto"/>
              <w:left w:val="single" w:sz="4" w:space="0" w:color="auto"/>
              <w:bottom w:val="single" w:sz="4" w:space="0" w:color="auto"/>
              <w:right w:val="single" w:sz="4" w:space="0" w:color="auto"/>
            </w:tcBorders>
            <w:hideMark/>
          </w:tcPr>
          <w:p w:rsidR="00BD0E8F" w:rsidRPr="00BD0E8F" w:rsidP="00BD0E8F" w14:paraId="5FE2A00B" w14:textId="77777777">
            <w:pPr>
              <w:spacing w:after="0" w:line="240" w:lineRule="auto"/>
              <w:rPr>
                <w:rFonts w:ascii="Times New Roman" w:hAnsi="Times New Roman"/>
                <w:bCs/>
              </w:rPr>
            </w:pPr>
            <w:r w:rsidRPr="00BD0E8F">
              <w:rPr>
                <w:rFonts w:ascii="Times New Roman" w:hAnsi="Times New Roman"/>
                <w:bCs/>
              </w:rPr>
              <w:t>500 hrs.;</w:t>
            </w:r>
          </w:p>
          <w:p w:rsidR="00BD0E8F" w:rsidRPr="00BD0E8F" w:rsidP="00BD0E8F" w14:paraId="1422AEAD" w14:textId="77777777">
            <w:pPr>
              <w:spacing w:after="0" w:line="240" w:lineRule="auto"/>
              <w:rPr>
                <w:rFonts w:ascii="Times New Roman" w:hAnsi="Times New Roman"/>
                <w:bCs/>
              </w:rPr>
            </w:pPr>
            <w:r w:rsidRPr="00BD0E8F">
              <w:rPr>
                <w:rFonts w:ascii="Times New Roman" w:hAnsi="Times New Roman"/>
                <w:bCs/>
              </w:rPr>
              <w:t>$51,000</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750D58D3" w14:paraId="1193CCD0" w14:textId="26FDE68B">
            <w:pPr>
              <w:spacing w:after="0" w:line="240" w:lineRule="auto"/>
              <w:rPr>
                <w:rFonts w:ascii="Times New Roman" w:hAnsi="Times New Roman"/>
              </w:rPr>
            </w:pPr>
            <w:r w:rsidRPr="750D58D3">
              <w:rPr>
                <w:rFonts w:ascii="Times New Roman" w:hAnsi="Times New Roman"/>
              </w:rPr>
              <w:t>15,290</w:t>
            </w:r>
            <w:r w:rsidRPr="750D58D3" w:rsidR="4C900C46">
              <w:rPr>
                <w:rFonts w:ascii="Times New Roman" w:hAnsi="Times New Roman"/>
              </w:rPr>
              <w:t xml:space="preserve"> </w:t>
            </w:r>
            <w:r w:rsidRPr="750D58D3">
              <w:rPr>
                <w:rFonts w:ascii="Times New Roman" w:hAnsi="Times New Roman"/>
              </w:rPr>
              <w:t>hrs</w:t>
            </w:r>
            <w:r w:rsidRPr="750D58D3" w:rsidR="5AE1FBDA">
              <w:rPr>
                <w:rFonts w:ascii="Times New Roman" w:hAnsi="Times New Roman"/>
              </w:rPr>
              <w:t>.</w:t>
            </w:r>
            <w:r w:rsidRPr="750D58D3" w:rsidR="115AAA3D">
              <w:rPr>
                <w:rFonts w:ascii="Times New Roman" w:hAnsi="Times New Roman"/>
              </w:rPr>
              <w:t>;</w:t>
            </w:r>
          </w:p>
          <w:p w:rsidR="00BD0E8F" w:rsidRPr="00BD0E8F" w:rsidP="00BD0E8F" w14:paraId="6E24F03F" w14:textId="77777777">
            <w:pPr>
              <w:spacing w:after="0" w:line="240" w:lineRule="auto"/>
              <w:rPr>
                <w:rFonts w:ascii="Times New Roman" w:hAnsi="Times New Roman"/>
                <w:bCs/>
              </w:rPr>
            </w:pPr>
            <w:r w:rsidRPr="00BD0E8F">
              <w:rPr>
                <w:rFonts w:ascii="Times New Roman" w:hAnsi="Times New Roman"/>
                <w:bCs/>
              </w:rPr>
              <w:t>$ 1,559,580</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1A2192EE" w14:textId="77777777">
            <w:pPr>
              <w:spacing w:after="0" w:line="240" w:lineRule="auto"/>
              <w:rPr>
                <w:rFonts w:ascii="Times New Roman" w:hAnsi="Times New Roman"/>
                <w:bCs/>
              </w:rPr>
            </w:pPr>
            <w:r w:rsidRPr="00BD0E8F">
              <w:rPr>
                <w:rFonts w:ascii="Times New Roman" w:hAnsi="Times New Roman"/>
                <w:bCs/>
              </w:rPr>
              <w:t>$70,890</w:t>
            </w:r>
          </w:p>
        </w:tc>
      </w:tr>
      <w:tr w14:paraId="57FAE91A"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1529F1C3" w:rsidP="750D58D3" w14:paraId="29B45D38" w14:textId="5EA12F03">
            <w:pPr>
              <w:spacing w:line="240" w:lineRule="auto"/>
              <w:rPr>
                <w:rFonts w:ascii="Times New Roman" w:hAnsi="Times New Roman"/>
              </w:rPr>
            </w:pPr>
            <w:r w:rsidRPr="750D58D3">
              <w:rPr>
                <w:rFonts w:ascii="Times New Roman" w:hAnsi="Times New Roman"/>
              </w:rPr>
              <w:t>18 CFR 157.53 Pipeline Purging/Testing Exemptions</w:t>
            </w:r>
          </w:p>
        </w:tc>
        <w:tc>
          <w:tcPr>
            <w:tcW w:w="1524" w:type="dxa"/>
            <w:tcBorders>
              <w:top w:val="single" w:sz="4" w:space="0" w:color="auto"/>
              <w:left w:val="single" w:sz="4" w:space="0" w:color="auto"/>
              <w:bottom w:val="single" w:sz="4" w:space="0" w:color="auto"/>
              <w:right w:val="single" w:sz="4" w:space="0" w:color="auto"/>
            </w:tcBorders>
            <w:hideMark/>
          </w:tcPr>
          <w:p w:rsidR="1529F1C3" w:rsidP="750D58D3" w14:paraId="40B647B4" w14:textId="5D3ADD45">
            <w:pPr>
              <w:spacing w:line="240" w:lineRule="auto"/>
              <w:rPr>
                <w:rFonts w:ascii="Times New Roman" w:hAnsi="Times New Roman"/>
              </w:rPr>
            </w:pPr>
            <w:r w:rsidRPr="750D58D3">
              <w:rPr>
                <w:rFonts w:ascii="Times New Roman" w:hAnsi="Times New Roman"/>
              </w:rPr>
              <w:t>1</w:t>
            </w:r>
          </w:p>
        </w:tc>
        <w:tc>
          <w:tcPr>
            <w:tcW w:w="1429" w:type="dxa"/>
            <w:tcBorders>
              <w:top w:val="single" w:sz="4" w:space="0" w:color="auto"/>
              <w:left w:val="single" w:sz="4" w:space="0" w:color="auto"/>
              <w:bottom w:val="single" w:sz="4" w:space="0" w:color="auto"/>
              <w:right w:val="single" w:sz="4" w:space="0" w:color="auto"/>
            </w:tcBorders>
            <w:hideMark/>
          </w:tcPr>
          <w:p w:rsidR="1529F1C3" w:rsidP="750D58D3" w14:paraId="2A8009AA" w14:textId="722DC16C">
            <w:pPr>
              <w:spacing w:line="240" w:lineRule="auto"/>
              <w:rPr>
                <w:rFonts w:ascii="Times New Roman" w:hAnsi="Times New Roman"/>
              </w:rPr>
            </w:pPr>
            <w:r w:rsidRPr="750D58D3">
              <w:rPr>
                <w:rFonts w:ascii="Times New Roman" w:hAnsi="Times New Roman"/>
              </w:rPr>
              <w:t>1</w:t>
            </w:r>
          </w:p>
        </w:tc>
        <w:tc>
          <w:tcPr>
            <w:tcW w:w="1313" w:type="dxa"/>
            <w:tcBorders>
              <w:top w:val="single" w:sz="4" w:space="0" w:color="auto"/>
              <w:left w:val="single" w:sz="4" w:space="0" w:color="auto"/>
              <w:bottom w:val="single" w:sz="4" w:space="0" w:color="auto"/>
              <w:right w:val="single" w:sz="4" w:space="0" w:color="auto"/>
            </w:tcBorders>
          </w:tcPr>
          <w:p w:rsidR="1529F1C3" w:rsidP="750D58D3" w14:paraId="3ADC1912" w14:textId="7FB13A2C">
            <w:pPr>
              <w:spacing w:line="240" w:lineRule="auto"/>
              <w:rPr>
                <w:rFonts w:ascii="Times New Roman" w:hAnsi="Times New Roman"/>
              </w:rPr>
            </w:pPr>
            <w:r w:rsidRPr="750D58D3">
              <w:rPr>
                <w:rFonts w:ascii="Times New Roman" w:hAnsi="Times New Roman"/>
              </w:rPr>
              <w:t>1</w:t>
            </w:r>
          </w:p>
        </w:tc>
        <w:tc>
          <w:tcPr>
            <w:tcW w:w="1303" w:type="dxa"/>
            <w:tcBorders>
              <w:top w:val="single" w:sz="4" w:space="0" w:color="auto"/>
              <w:left w:val="single" w:sz="4" w:space="0" w:color="auto"/>
              <w:bottom w:val="single" w:sz="4" w:space="0" w:color="auto"/>
              <w:right w:val="single" w:sz="4" w:space="0" w:color="auto"/>
            </w:tcBorders>
            <w:hideMark/>
          </w:tcPr>
          <w:p w:rsidR="1529F1C3" w:rsidP="750D58D3" w14:paraId="4D599731" w14:textId="33215BA6">
            <w:pPr>
              <w:spacing w:line="240" w:lineRule="auto"/>
              <w:rPr>
                <w:rFonts w:ascii="Times New Roman" w:hAnsi="Times New Roman"/>
              </w:rPr>
            </w:pPr>
            <w:r w:rsidRPr="750D58D3">
              <w:rPr>
                <w:rFonts w:ascii="Times New Roman" w:hAnsi="Times New Roman"/>
              </w:rPr>
              <w:t>50 hrs.; $5,100</w:t>
            </w:r>
          </w:p>
        </w:tc>
        <w:tc>
          <w:tcPr>
            <w:tcW w:w="1313" w:type="dxa"/>
            <w:tcBorders>
              <w:top w:val="single" w:sz="4" w:space="0" w:color="auto"/>
              <w:left w:val="single" w:sz="4" w:space="0" w:color="auto"/>
              <w:bottom w:val="single" w:sz="4" w:space="0" w:color="auto"/>
              <w:right w:val="single" w:sz="4" w:space="0" w:color="auto"/>
            </w:tcBorders>
            <w:hideMark/>
          </w:tcPr>
          <w:p w:rsidR="1529F1C3" w:rsidP="750D58D3" w14:paraId="53896F88" w14:textId="55ECB69F">
            <w:pPr>
              <w:spacing w:line="240" w:lineRule="auto"/>
              <w:rPr>
                <w:rFonts w:ascii="Times New Roman" w:hAnsi="Times New Roman"/>
              </w:rPr>
            </w:pPr>
            <w:r w:rsidRPr="750D58D3">
              <w:rPr>
                <w:rFonts w:ascii="Times New Roman" w:hAnsi="Times New Roman"/>
              </w:rPr>
              <w:t>50 hrs.; $5,100</w:t>
            </w:r>
          </w:p>
        </w:tc>
        <w:tc>
          <w:tcPr>
            <w:tcW w:w="1429" w:type="dxa"/>
            <w:tcBorders>
              <w:top w:val="single" w:sz="4" w:space="0" w:color="auto"/>
              <w:left w:val="single" w:sz="4" w:space="0" w:color="auto"/>
              <w:bottom w:val="single" w:sz="4" w:space="0" w:color="auto"/>
              <w:right w:val="single" w:sz="4" w:space="0" w:color="auto"/>
            </w:tcBorders>
            <w:hideMark/>
          </w:tcPr>
          <w:p w:rsidR="1529F1C3" w:rsidP="750D58D3" w14:paraId="468053C1" w14:textId="3890640A">
            <w:pPr>
              <w:spacing w:line="240" w:lineRule="auto"/>
              <w:rPr>
                <w:rFonts w:ascii="Times New Roman" w:hAnsi="Times New Roman"/>
              </w:rPr>
            </w:pPr>
            <w:r w:rsidRPr="750D58D3">
              <w:rPr>
                <w:rFonts w:ascii="Times New Roman" w:hAnsi="Times New Roman"/>
              </w:rPr>
              <w:t>$5,100</w:t>
            </w:r>
          </w:p>
        </w:tc>
      </w:tr>
      <w:tr w14:paraId="32014004" w14:textId="77777777" w:rsidTr="750D58D3">
        <w:tblPrEx>
          <w:tblW w:w="5353" w:type="pct"/>
          <w:tblInd w:w="-72" w:type="dxa"/>
          <w:tblLook w:val="01E0"/>
        </w:tblPrEx>
        <w:trPr>
          <w:cantSplit/>
        </w:trPr>
        <w:tc>
          <w:tcPr>
            <w:tcW w:w="848" w:type="pct"/>
            <w:tcBorders>
              <w:top w:val="single" w:sz="4" w:space="0" w:color="auto"/>
              <w:left w:val="single" w:sz="4" w:space="0" w:color="auto"/>
              <w:bottom w:val="single" w:sz="4" w:space="0" w:color="auto"/>
              <w:right w:val="single" w:sz="4" w:space="0" w:color="auto"/>
            </w:tcBorders>
            <w:hideMark/>
          </w:tcPr>
          <w:p w:rsidR="00BD0E8F" w:rsidRPr="00BD0E8F" w:rsidP="00BD0E8F" w14:paraId="675C9556" w14:textId="77777777">
            <w:pPr>
              <w:spacing w:after="0" w:line="240" w:lineRule="auto"/>
              <w:rPr>
                <w:rFonts w:ascii="Times New Roman" w:hAnsi="Times New Roman"/>
                <w:bCs/>
              </w:rPr>
            </w:pPr>
            <w:r w:rsidRPr="00BD0E8F">
              <w:rPr>
                <w:rFonts w:ascii="Times New Roman" w:hAnsi="Times New Roman"/>
                <w:bCs/>
              </w:rPr>
              <w:t>18 CFR 157.203(c) Blanket Certificates Prior Notice Filings</w:t>
            </w:r>
          </w:p>
        </w:tc>
        <w:tc>
          <w:tcPr>
            <w:tcW w:w="761" w:type="pct"/>
            <w:tcBorders>
              <w:top w:val="single" w:sz="4" w:space="0" w:color="auto"/>
              <w:left w:val="single" w:sz="4" w:space="0" w:color="auto"/>
              <w:bottom w:val="single" w:sz="4" w:space="0" w:color="auto"/>
              <w:right w:val="single" w:sz="4" w:space="0" w:color="auto"/>
            </w:tcBorders>
          </w:tcPr>
          <w:p w:rsidR="00BD0E8F" w:rsidRPr="00BD0E8F" w:rsidP="00BD0E8F" w14:paraId="65D9F681" w14:textId="77777777">
            <w:pPr>
              <w:spacing w:after="0" w:line="240" w:lineRule="auto"/>
              <w:rPr>
                <w:rFonts w:ascii="Times New Roman" w:hAnsi="Times New Roman"/>
                <w:bCs/>
              </w:rPr>
            </w:pPr>
            <w:r w:rsidRPr="00BD0E8F">
              <w:rPr>
                <w:rFonts w:ascii="Times New Roman" w:hAnsi="Times New Roman"/>
                <w:bCs/>
              </w:rPr>
              <w:t>30</w:t>
            </w:r>
          </w:p>
          <w:p w:rsidR="00BD0E8F" w:rsidRPr="00BD0E8F" w:rsidP="00BD0E8F" w14:paraId="75D2B323" w14:textId="77777777">
            <w:pPr>
              <w:spacing w:after="0" w:line="240" w:lineRule="auto"/>
              <w:rPr>
                <w:rFonts w:ascii="Times New Roman" w:hAnsi="Times New Roman"/>
                <w:bCs/>
              </w:rPr>
            </w:pP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2F2F44B8" w14:textId="77777777">
            <w:pPr>
              <w:spacing w:after="0" w:line="240" w:lineRule="auto"/>
              <w:rPr>
                <w:rFonts w:ascii="Times New Roman" w:hAnsi="Times New Roman"/>
                <w:bCs/>
              </w:rPr>
            </w:pPr>
            <w:r w:rsidRPr="00BD0E8F">
              <w:rPr>
                <w:rFonts w:ascii="Times New Roman" w:hAnsi="Times New Roman"/>
                <w:bCs/>
              </w:rPr>
              <w:t>2.125</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436C1C30" w14:textId="77777777">
            <w:pPr>
              <w:spacing w:after="0" w:line="240" w:lineRule="auto"/>
              <w:rPr>
                <w:rFonts w:ascii="Times New Roman" w:hAnsi="Times New Roman"/>
                <w:bCs/>
              </w:rPr>
            </w:pPr>
            <w:r w:rsidRPr="00BD0E8F">
              <w:rPr>
                <w:rFonts w:ascii="Times New Roman" w:hAnsi="Times New Roman"/>
                <w:bCs/>
              </w:rPr>
              <w:t>63.75</w:t>
            </w:r>
          </w:p>
        </w:tc>
        <w:tc>
          <w:tcPr>
            <w:tcW w:w="651" w:type="pct"/>
            <w:tcBorders>
              <w:top w:val="single" w:sz="4" w:space="0" w:color="auto"/>
              <w:left w:val="single" w:sz="4" w:space="0" w:color="auto"/>
              <w:bottom w:val="single" w:sz="4" w:space="0" w:color="auto"/>
              <w:right w:val="single" w:sz="4" w:space="0" w:color="auto"/>
            </w:tcBorders>
            <w:hideMark/>
          </w:tcPr>
          <w:p w:rsidR="00BD0E8F" w:rsidRPr="00BD0E8F" w:rsidP="00BD0E8F" w14:paraId="25823302" w14:textId="77777777">
            <w:pPr>
              <w:spacing w:after="0" w:line="240" w:lineRule="auto"/>
              <w:rPr>
                <w:rFonts w:ascii="Times New Roman" w:hAnsi="Times New Roman"/>
                <w:bCs/>
              </w:rPr>
            </w:pPr>
            <w:r w:rsidRPr="00BD0E8F">
              <w:rPr>
                <w:rFonts w:ascii="Times New Roman" w:hAnsi="Times New Roman"/>
                <w:bCs/>
              </w:rPr>
              <w:t>200 hrs.;</w:t>
            </w:r>
          </w:p>
          <w:p w:rsidR="00BD0E8F" w:rsidRPr="00BD0E8F" w:rsidP="00BD0E8F" w14:paraId="0EEB97D7" w14:textId="77777777">
            <w:pPr>
              <w:spacing w:after="0" w:line="240" w:lineRule="auto"/>
              <w:rPr>
                <w:rFonts w:ascii="Times New Roman" w:hAnsi="Times New Roman"/>
                <w:bCs/>
              </w:rPr>
            </w:pPr>
            <w:r w:rsidRPr="00BD0E8F">
              <w:rPr>
                <w:rFonts w:ascii="Times New Roman" w:hAnsi="Times New Roman"/>
                <w:bCs/>
              </w:rPr>
              <w:t>$20,400</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7F2CCAD9" w14:textId="77777777">
            <w:pPr>
              <w:spacing w:after="0" w:line="240" w:lineRule="auto"/>
              <w:rPr>
                <w:rFonts w:ascii="Times New Roman" w:hAnsi="Times New Roman"/>
                <w:bCs/>
              </w:rPr>
            </w:pPr>
            <w:r w:rsidRPr="00BD0E8F">
              <w:rPr>
                <w:rFonts w:ascii="Times New Roman" w:hAnsi="Times New Roman"/>
                <w:bCs/>
              </w:rPr>
              <w:t>12,750 hrs.;</w:t>
            </w:r>
          </w:p>
          <w:p w:rsidR="00BD0E8F" w:rsidRPr="00BD0E8F" w:rsidP="00BD0E8F" w14:paraId="746EEC6D" w14:textId="77777777">
            <w:pPr>
              <w:spacing w:after="0" w:line="240" w:lineRule="auto"/>
              <w:rPr>
                <w:rFonts w:ascii="Times New Roman" w:hAnsi="Times New Roman"/>
                <w:bCs/>
              </w:rPr>
            </w:pPr>
            <w:r w:rsidRPr="00BD0E8F">
              <w:rPr>
                <w:rFonts w:ascii="Times New Roman" w:hAnsi="Times New Roman"/>
                <w:bCs/>
              </w:rPr>
              <w:t>$ 1,300,500</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5E710CB4" w14:textId="77777777">
            <w:pPr>
              <w:spacing w:after="0" w:line="240" w:lineRule="auto"/>
              <w:rPr>
                <w:rFonts w:ascii="Times New Roman" w:hAnsi="Times New Roman"/>
                <w:bCs/>
              </w:rPr>
            </w:pPr>
            <w:r w:rsidRPr="00BD0E8F">
              <w:rPr>
                <w:rFonts w:ascii="Times New Roman" w:hAnsi="Times New Roman"/>
                <w:bCs/>
              </w:rPr>
              <w:t>$43,350</w:t>
            </w:r>
          </w:p>
        </w:tc>
      </w:tr>
      <w:tr w14:paraId="4EFA3956" w14:textId="77777777" w:rsidTr="750D58D3">
        <w:tblPrEx>
          <w:tblW w:w="5353" w:type="pct"/>
          <w:tblInd w:w="-72" w:type="dxa"/>
          <w:tblLook w:val="01E0"/>
        </w:tblPrEx>
        <w:trPr>
          <w:cantSplit/>
        </w:trPr>
        <w:tc>
          <w:tcPr>
            <w:tcW w:w="848" w:type="pct"/>
            <w:tcBorders>
              <w:top w:val="single" w:sz="4" w:space="0" w:color="auto"/>
              <w:left w:val="single" w:sz="4" w:space="0" w:color="auto"/>
              <w:bottom w:val="single" w:sz="4" w:space="0" w:color="auto"/>
              <w:right w:val="single" w:sz="4" w:space="0" w:color="auto"/>
            </w:tcBorders>
            <w:hideMark/>
          </w:tcPr>
          <w:p w:rsidR="00BD0E8F" w:rsidRPr="00BD0E8F" w:rsidP="00BD0E8F" w14:paraId="75019F22" w14:textId="77777777">
            <w:pPr>
              <w:spacing w:after="0" w:line="240" w:lineRule="auto"/>
              <w:rPr>
                <w:rFonts w:ascii="Times New Roman" w:hAnsi="Times New Roman"/>
                <w:bCs/>
              </w:rPr>
            </w:pPr>
            <w:r w:rsidRPr="00BD0E8F">
              <w:rPr>
                <w:rFonts w:ascii="Times New Roman" w:hAnsi="Times New Roman"/>
                <w:bCs/>
              </w:rPr>
              <w:t>18 CFR 157.207 Blanket Certificates – Annual Reports</w:t>
            </w:r>
          </w:p>
        </w:tc>
        <w:tc>
          <w:tcPr>
            <w:tcW w:w="761" w:type="pct"/>
            <w:tcBorders>
              <w:top w:val="single" w:sz="4" w:space="0" w:color="auto"/>
              <w:left w:val="single" w:sz="4" w:space="0" w:color="auto"/>
              <w:bottom w:val="single" w:sz="4" w:space="0" w:color="auto"/>
              <w:right w:val="single" w:sz="4" w:space="0" w:color="auto"/>
            </w:tcBorders>
            <w:hideMark/>
          </w:tcPr>
          <w:p w:rsidR="00BD0E8F" w:rsidRPr="00BD0E8F" w:rsidP="00BD0E8F" w14:paraId="5A42D8B5" w14:textId="77777777">
            <w:pPr>
              <w:spacing w:after="0" w:line="240" w:lineRule="auto"/>
              <w:rPr>
                <w:rFonts w:ascii="Times New Roman" w:hAnsi="Times New Roman"/>
                <w:bCs/>
              </w:rPr>
            </w:pPr>
            <w:r w:rsidRPr="00BD0E8F">
              <w:rPr>
                <w:rFonts w:ascii="Times New Roman" w:hAnsi="Times New Roman"/>
                <w:bCs/>
              </w:rPr>
              <w:t>176</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51806D3F" w14:textId="77777777">
            <w:pPr>
              <w:spacing w:after="0" w:line="240" w:lineRule="auto"/>
              <w:rPr>
                <w:rFonts w:ascii="Times New Roman" w:hAnsi="Times New Roman"/>
                <w:bCs/>
              </w:rPr>
            </w:pPr>
            <w:r w:rsidRPr="00BD0E8F">
              <w:rPr>
                <w:rFonts w:ascii="Times New Roman" w:hAnsi="Times New Roman"/>
                <w:bCs/>
              </w:rPr>
              <w:t>1</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46EBED64" w14:textId="77777777">
            <w:pPr>
              <w:spacing w:after="0" w:line="240" w:lineRule="auto"/>
              <w:rPr>
                <w:rFonts w:ascii="Times New Roman" w:hAnsi="Times New Roman"/>
                <w:bCs/>
              </w:rPr>
            </w:pPr>
            <w:r w:rsidRPr="00BD0E8F">
              <w:rPr>
                <w:rFonts w:ascii="Times New Roman" w:hAnsi="Times New Roman"/>
                <w:bCs/>
              </w:rPr>
              <w:t>176</w:t>
            </w:r>
          </w:p>
        </w:tc>
        <w:tc>
          <w:tcPr>
            <w:tcW w:w="651" w:type="pct"/>
            <w:tcBorders>
              <w:top w:val="single" w:sz="4" w:space="0" w:color="auto"/>
              <w:left w:val="single" w:sz="4" w:space="0" w:color="auto"/>
              <w:bottom w:val="single" w:sz="4" w:space="0" w:color="auto"/>
              <w:right w:val="single" w:sz="4" w:space="0" w:color="auto"/>
            </w:tcBorders>
            <w:hideMark/>
          </w:tcPr>
          <w:p w:rsidR="00BD0E8F" w:rsidRPr="00BD0E8F" w:rsidP="00BD0E8F" w14:paraId="63FEF78F" w14:textId="77777777">
            <w:pPr>
              <w:spacing w:after="0" w:line="240" w:lineRule="auto"/>
              <w:rPr>
                <w:rFonts w:ascii="Times New Roman" w:hAnsi="Times New Roman"/>
                <w:bCs/>
              </w:rPr>
            </w:pPr>
            <w:r w:rsidRPr="00BD0E8F">
              <w:rPr>
                <w:rFonts w:ascii="Times New Roman" w:hAnsi="Times New Roman"/>
                <w:bCs/>
              </w:rPr>
              <w:t>50 hrs.;</w:t>
            </w:r>
          </w:p>
          <w:p w:rsidR="00BD0E8F" w:rsidRPr="00BD0E8F" w:rsidP="00BD0E8F" w14:paraId="476C07CF" w14:textId="77777777">
            <w:pPr>
              <w:spacing w:after="0" w:line="240" w:lineRule="auto"/>
              <w:rPr>
                <w:rFonts w:ascii="Times New Roman" w:hAnsi="Times New Roman"/>
                <w:bCs/>
              </w:rPr>
            </w:pPr>
            <w:r w:rsidRPr="00BD0E8F">
              <w:rPr>
                <w:rFonts w:ascii="Times New Roman" w:hAnsi="Times New Roman"/>
                <w:bCs/>
              </w:rPr>
              <w:t>$5,100</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16746865" w14:textId="77777777">
            <w:pPr>
              <w:spacing w:after="0" w:line="240" w:lineRule="auto"/>
              <w:rPr>
                <w:rFonts w:ascii="Times New Roman" w:hAnsi="Times New Roman"/>
                <w:bCs/>
              </w:rPr>
            </w:pPr>
            <w:r w:rsidRPr="00BD0E8F">
              <w:rPr>
                <w:rFonts w:ascii="Times New Roman" w:hAnsi="Times New Roman"/>
                <w:bCs/>
              </w:rPr>
              <w:t>8,800hrs.;</w:t>
            </w:r>
          </w:p>
          <w:p w:rsidR="00BD0E8F" w:rsidRPr="00BD0E8F" w:rsidP="00BD0E8F" w14:paraId="0AD59627" w14:textId="77777777">
            <w:pPr>
              <w:spacing w:after="0" w:line="240" w:lineRule="auto"/>
              <w:rPr>
                <w:rFonts w:ascii="Times New Roman" w:hAnsi="Times New Roman"/>
                <w:bCs/>
              </w:rPr>
            </w:pPr>
            <w:r w:rsidRPr="00BD0E8F">
              <w:rPr>
                <w:rFonts w:ascii="Times New Roman" w:hAnsi="Times New Roman"/>
                <w:bCs/>
              </w:rPr>
              <w:t>$897,600</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3EEE1722" w14:textId="77777777">
            <w:pPr>
              <w:spacing w:after="0" w:line="240" w:lineRule="auto"/>
              <w:rPr>
                <w:rFonts w:ascii="Times New Roman" w:hAnsi="Times New Roman"/>
                <w:bCs/>
              </w:rPr>
            </w:pPr>
            <w:r w:rsidRPr="00BD0E8F">
              <w:rPr>
                <w:rFonts w:ascii="Times New Roman" w:hAnsi="Times New Roman"/>
                <w:bCs/>
              </w:rPr>
              <w:t>$5,100</w:t>
            </w:r>
          </w:p>
        </w:tc>
      </w:tr>
      <w:tr w14:paraId="47BBC862"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7F150501" w:rsidP="750D58D3" w14:paraId="3C7C672B" w14:textId="020BFA21">
            <w:pPr>
              <w:spacing w:line="240" w:lineRule="auto"/>
              <w:rPr>
                <w:rFonts w:ascii="Times New Roman" w:hAnsi="Times New Roman"/>
              </w:rPr>
            </w:pPr>
            <w:r w:rsidRPr="750D58D3">
              <w:rPr>
                <w:rFonts w:ascii="Times New Roman" w:hAnsi="Times New Roman"/>
              </w:rPr>
              <w:t>18 CFR 284.11 NGPA Section 311 Construction – Annual Reports</w:t>
            </w:r>
          </w:p>
        </w:tc>
        <w:tc>
          <w:tcPr>
            <w:tcW w:w="1524" w:type="dxa"/>
            <w:tcBorders>
              <w:top w:val="single" w:sz="4" w:space="0" w:color="auto"/>
              <w:left w:val="single" w:sz="4" w:space="0" w:color="auto"/>
              <w:bottom w:val="single" w:sz="4" w:space="0" w:color="auto"/>
              <w:right w:val="single" w:sz="4" w:space="0" w:color="auto"/>
            </w:tcBorders>
            <w:hideMark/>
          </w:tcPr>
          <w:p w:rsidR="7F150501" w:rsidP="750D58D3" w14:paraId="7C1717CE" w14:textId="4CE9F5FC">
            <w:pPr>
              <w:spacing w:line="240" w:lineRule="auto"/>
              <w:rPr>
                <w:rFonts w:ascii="Times New Roman" w:hAnsi="Times New Roman"/>
              </w:rPr>
            </w:pPr>
            <w:r w:rsidRPr="750D58D3">
              <w:rPr>
                <w:rFonts w:ascii="Times New Roman" w:hAnsi="Times New Roman"/>
              </w:rPr>
              <w:t>75</w:t>
            </w:r>
          </w:p>
        </w:tc>
        <w:tc>
          <w:tcPr>
            <w:tcW w:w="1429" w:type="dxa"/>
            <w:tcBorders>
              <w:top w:val="single" w:sz="4" w:space="0" w:color="auto"/>
              <w:left w:val="single" w:sz="4" w:space="0" w:color="auto"/>
              <w:bottom w:val="single" w:sz="4" w:space="0" w:color="auto"/>
              <w:right w:val="single" w:sz="4" w:space="0" w:color="auto"/>
            </w:tcBorders>
            <w:hideMark/>
          </w:tcPr>
          <w:p w:rsidR="7F150501" w:rsidP="750D58D3" w14:paraId="680D04E8" w14:textId="22DD39ED">
            <w:pPr>
              <w:spacing w:line="240" w:lineRule="auto"/>
              <w:rPr>
                <w:rFonts w:ascii="Times New Roman" w:hAnsi="Times New Roman"/>
              </w:rPr>
            </w:pPr>
            <w:r w:rsidRPr="750D58D3">
              <w:rPr>
                <w:rFonts w:ascii="Times New Roman" w:hAnsi="Times New Roman"/>
              </w:rPr>
              <w:t>1</w:t>
            </w:r>
          </w:p>
        </w:tc>
        <w:tc>
          <w:tcPr>
            <w:tcW w:w="1313" w:type="dxa"/>
            <w:tcBorders>
              <w:top w:val="single" w:sz="4" w:space="0" w:color="auto"/>
              <w:left w:val="single" w:sz="4" w:space="0" w:color="auto"/>
              <w:bottom w:val="single" w:sz="4" w:space="0" w:color="auto"/>
              <w:right w:val="single" w:sz="4" w:space="0" w:color="auto"/>
            </w:tcBorders>
            <w:hideMark/>
          </w:tcPr>
          <w:p w:rsidR="7F150501" w:rsidP="750D58D3" w14:paraId="70FB72FB" w14:textId="28CC48CC">
            <w:pPr>
              <w:spacing w:line="240" w:lineRule="auto"/>
              <w:rPr>
                <w:rFonts w:ascii="Times New Roman" w:hAnsi="Times New Roman"/>
              </w:rPr>
            </w:pPr>
            <w:r w:rsidRPr="750D58D3">
              <w:rPr>
                <w:rFonts w:ascii="Times New Roman" w:hAnsi="Times New Roman"/>
              </w:rPr>
              <w:t>75</w:t>
            </w:r>
          </w:p>
        </w:tc>
        <w:tc>
          <w:tcPr>
            <w:tcW w:w="1303" w:type="dxa"/>
            <w:tcBorders>
              <w:top w:val="single" w:sz="4" w:space="0" w:color="auto"/>
              <w:left w:val="single" w:sz="4" w:space="0" w:color="auto"/>
              <w:bottom w:val="single" w:sz="4" w:space="0" w:color="auto"/>
              <w:right w:val="single" w:sz="4" w:space="0" w:color="auto"/>
            </w:tcBorders>
            <w:hideMark/>
          </w:tcPr>
          <w:p w:rsidR="7F150501" w:rsidP="750D58D3" w14:paraId="0524EE5D" w14:textId="238FC6D9">
            <w:pPr>
              <w:spacing w:line="240" w:lineRule="auto"/>
              <w:rPr>
                <w:rFonts w:ascii="Times New Roman" w:hAnsi="Times New Roman"/>
              </w:rPr>
            </w:pPr>
            <w:r w:rsidRPr="750D58D3">
              <w:rPr>
                <w:rFonts w:ascii="Times New Roman" w:hAnsi="Times New Roman"/>
              </w:rPr>
              <w:t>50 hrs.; $5,100</w:t>
            </w:r>
          </w:p>
        </w:tc>
        <w:tc>
          <w:tcPr>
            <w:tcW w:w="1313" w:type="dxa"/>
            <w:tcBorders>
              <w:top w:val="single" w:sz="4" w:space="0" w:color="auto"/>
              <w:left w:val="single" w:sz="4" w:space="0" w:color="auto"/>
              <w:bottom w:val="single" w:sz="4" w:space="0" w:color="auto"/>
              <w:right w:val="single" w:sz="4" w:space="0" w:color="auto"/>
            </w:tcBorders>
            <w:hideMark/>
          </w:tcPr>
          <w:p w:rsidR="7F150501" w:rsidP="750D58D3" w14:paraId="0BE867A8" w14:textId="74700488">
            <w:pPr>
              <w:spacing w:line="240" w:lineRule="auto"/>
              <w:rPr>
                <w:rFonts w:ascii="Times New Roman" w:hAnsi="Times New Roman"/>
              </w:rPr>
            </w:pPr>
            <w:r w:rsidRPr="750D58D3">
              <w:rPr>
                <w:rFonts w:ascii="Times New Roman" w:hAnsi="Times New Roman"/>
              </w:rPr>
              <w:t>3,750 hrs.; $382,500</w:t>
            </w:r>
          </w:p>
        </w:tc>
        <w:tc>
          <w:tcPr>
            <w:tcW w:w="1429" w:type="dxa"/>
            <w:tcBorders>
              <w:top w:val="single" w:sz="4" w:space="0" w:color="auto"/>
              <w:left w:val="single" w:sz="4" w:space="0" w:color="auto"/>
              <w:bottom w:val="single" w:sz="4" w:space="0" w:color="auto"/>
              <w:right w:val="single" w:sz="4" w:space="0" w:color="auto"/>
            </w:tcBorders>
            <w:hideMark/>
          </w:tcPr>
          <w:p w:rsidR="7F150501" w:rsidP="750D58D3" w14:paraId="3D7CA998" w14:textId="1C4FA4D5">
            <w:pPr>
              <w:spacing w:line="240" w:lineRule="auto"/>
              <w:rPr>
                <w:rFonts w:ascii="Times New Roman" w:hAnsi="Times New Roman"/>
              </w:rPr>
            </w:pPr>
            <w:r w:rsidRPr="750D58D3">
              <w:rPr>
                <w:rFonts w:ascii="Times New Roman" w:hAnsi="Times New Roman"/>
              </w:rPr>
              <w:t>$5,100</w:t>
            </w:r>
          </w:p>
        </w:tc>
      </w:tr>
      <w:tr w14:paraId="1F964403" w14:textId="77777777" w:rsidTr="750D58D3">
        <w:tblPrEx>
          <w:tblW w:w="5353" w:type="pct"/>
          <w:tblInd w:w="-72" w:type="dxa"/>
          <w:tblLook w:val="01E0"/>
        </w:tblPrEx>
        <w:trPr>
          <w:cantSplit/>
        </w:trPr>
        <w:tc>
          <w:tcPr>
            <w:tcW w:w="848" w:type="pct"/>
            <w:tcBorders>
              <w:top w:val="single" w:sz="4" w:space="0" w:color="auto"/>
              <w:left w:val="single" w:sz="4" w:space="0" w:color="auto"/>
              <w:bottom w:val="single" w:sz="4" w:space="0" w:color="auto"/>
              <w:right w:val="single" w:sz="4" w:space="0" w:color="auto"/>
            </w:tcBorders>
            <w:hideMark/>
          </w:tcPr>
          <w:p w:rsidR="00BD0E8F" w:rsidRPr="00BD0E8F" w:rsidP="00BD0E8F" w14:paraId="707664BE" w14:textId="77777777">
            <w:pPr>
              <w:spacing w:after="0" w:line="240" w:lineRule="auto"/>
              <w:rPr>
                <w:rFonts w:ascii="Times New Roman" w:hAnsi="Times New Roman"/>
                <w:bCs/>
              </w:rPr>
            </w:pPr>
            <w:r w:rsidRPr="00BD0E8F">
              <w:rPr>
                <w:rFonts w:ascii="Times New Roman" w:hAnsi="Times New Roman"/>
                <w:bCs/>
              </w:rPr>
              <w:t>18 CFR 284.221 Blanket Certificates – Transportation by Interstate Pipelines on behalf of others</w:t>
            </w:r>
          </w:p>
        </w:tc>
        <w:tc>
          <w:tcPr>
            <w:tcW w:w="761" w:type="pct"/>
            <w:tcBorders>
              <w:top w:val="single" w:sz="4" w:space="0" w:color="auto"/>
              <w:left w:val="single" w:sz="4" w:space="0" w:color="auto"/>
              <w:bottom w:val="single" w:sz="4" w:space="0" w:color="auto"/>
              <w:right w:val="single" w:sz="4" w:space="0" w:color="auto"/>
            </w:tcBorders>
            <w:hideMark/>
          </w:tcPr>
          <w:p w:rsidR="00BD0E8F" w:rsidRPr="00BD0E8F" w:rsidP="00BD0E8F" w14:paraId="0903B853" w14:textId="77777777">
            <w:pPr>
              <w:spacing w:after="0" w:line="240" w:lineRule="auto"/>
              <w:rPr>
                <w:rFonts w:ascii="Times New Roman" w:hAnsi="Times New Roman"/>
                <w:bCs/>
              </w:rPr>
            </w:pPr>
            <w:r w:rsidRPr="00BD0E8F">
              <w:rPr>
                <w:rFonts w:ascii="Times New Roman" w:hAnsi="Times New Roman"/>
                <w:bCs/>
              </w:rPr>
              <w:t>1</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6EC2FFD2" w14:textId="77777777">
            <w:pPr>
              <w:spacing w:after="0" w:line="240" w:lineRule="auto"/>
              <w:rPr>
                <w:rFonts w:ascii="Times New Roman" w:hAnsi="Times New Roman"/>
                <w:bCs/>
              </w:rPr>
            </w:pPr>
            <w:r w:rsidRPr="00BD0E8F">
              <w:rPr>
                <w:rFonts w:ascii="Times New Roman" w:hAnsi="Times New Roman"/>
                <w:bCs/>
              </w:rPr>
              <w:t>1</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49DD19EB" w14:textId="77777777">
            <w:pPr>
              <w:spacing w:after="0" w:line="240" w:lineRule="auto"/>
              <w:rPr>
                <w:rFonts w:ascii="Times New Roman" w:hAnsi="Times New Roman"/>
                <w:bCs/>
              </w:rPr>
            </w:pPr>
            <w:r w:rsidRPr="00BD0E8F">
              <w:rPr>
                <w:rFonts w:ascii="Times New Roman" w:hAnsi="Times New Roman"/>
                <w:bCs/>
              </w:rPr>
              <w:t>1</w:t>
            </w:r>
          </w:p>
        </w:tc>
        <w:tc>
          <w:tcPr>
            <w:tcW w:w="651" w:type="pct"/>
            <w:tcBorders>
              <w:top w:val="single" w:sz="4" w:space="0" w:color="auto"/>
              <w:left w:val="single" w:sz="4" w:space="0" w:color="auto"/>
              <w:bottom w:val="single" w:sz="4" w:space="0" w:color="auto"/>
              <w:right w:val="single" w:sz="4" w:space="0" w:color="auto"/>
            </w:tcBorders>
            <w:hideMark/>
          </w:tcPr>
          <w:p w:rsidR="00BD0E8F" w:rsidRPr="00BD0E8F" w:rsidP="00BD0E8F" w14:paraId="42382550" w14:textId="77777777">
            <w:pPr>
              <w:spacing w:after="0" w:line="240" w:lineRule="auto"/>
              <w:rPr>
                <w:rFonts w:ascii="Times New Roman" w:hAnsi="Times New Roman"/>
                <w:bCs/>
              </w:rPr>
            </w:pPr>
            <w:r w:rsidRPr="00BD0E8F">
              <w:rPr>
                <w:rFonts w:ascii="Times New Roman" w:hAnsi="Times New Roman"/>
                <w:bCs/>
              </w:rPr>
              <w:t>100 hrs.;</w:t>
            </w:r>
          </w:p>
          <w:p w:rsidR="00BD0E8F" w:rsidRPr="00BD0E8F" w:rsidP="00BD0E8F" w14:paraId="7EFC38D6" w14:textId="77777777">
            <w:pPr>
              <w:spacing w:after="0" w:line="240" w:lineRule="auto"/>
              <w:rPr>
                <w:rFonts w:ascii="Times New Roman" w:hAnsi="Times New Roman"/>
                <w:bCs/>
              </w:rPr>
            </w:pPr>
            <w:r w:rsidRPr="00BD0E8F">
              <w:rPr>
                <w:rFonts w:ascii="Times New Roman" w:hAnsi="Times New Roman"/>
                <w:bCs/>
              </w:rPr>
              <w:t>$10,200</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2D1D7496" w14:textId="77777777">
            <w:pPr>
              <w:spacing w:after="0" w:line="240" w:lineRule="auto"/>
              <w:rPr>
                <w:rFonts w:ascii="Times New Roman" w:hAnsi="Times New Roman"/>
                <w:bCs/>
              </w:rPr>
            </w:pPr>
            <w:r w:rsidRPr="00BD0E8F">
              <w:rPr>
                <w:rFonts w:ascii="Times New Roman" w:hAnsi="Times New Roman"/>
                <w:bCs/>
              </w:rPr>
              <w:t>100 hrs.;</w:t>
            </w:r>
          </w:p>
          <w:p w:rsidR="00BD0E8F" w:rsidRPr="00BD0E8F" w:rsidP="00BD0E8F" w14:paraId="5E0E684C" w14:textId="77777777">
            <w:pPr>
              <w:spacing w:after="0" w:line="240" w:lineRule="auto"/>
              <w:rPr>
                <w:rFonts w:ascii="Times New Roman" w:hAnsi="Times New Roman"/>
                <w:bCs/>
              </w:rPr>
            </w:pPr>
            <w:r w:rsidRPr="00BD0E8F">
              <w:rPr>
                <w:rFonts w:ascii="Times New Roman" w:hAnsi="Times New Roman"/>
                <w:bCs/>
              </w:rPr>
              <w:t>$10,200</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69C40239" w14:textId="77777777">
            <w:pPr>
              <w:spacing w:after="0" w:line="240" w:lineRule="auto"/>
              <w:rPr>
                <w:rFonts w:ascii="Times New Roman" w:hAnsi="Times New Roman"/>
                <w:bCs/>
              </w:rPr>
            </w:pPr>
            <w:r w:rsidRPr="00BD0E8F">
              <w:rPr>
                <w:rFonts w:ascii="Times New Roman" w:hAnsi="Times New Roman"/>
                <w:bCs/>
              </w:rPr>
              <w:t>$10,200</w:t>
            </w:r>
          </w:p>
        </w:tc>
      </w:tr>
      <w:tr w14:paraId="4242984B"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013088B6" w:rsidP="750D58D3" w14:paraId="3CAE1588" w14:textId="4764F1F7">
            <w:pPr>
              <w:spacing w:line="240" w:lineRule="auto"/>
              <w:rPr>
                <w:rFonts w:ascii="Times New Roman" w:hAnsi="Times New Roman"/>
              </w:rPr>
            </w:pPr>
            <w:r w:rsidRPr="750D58D3">
              <w:rPr>
                <w:rFonts w:ascii="Times New Roman" w:hAnsi="Times New Roman"/>
              </w:rPr>
              <w:t>18 CFR 284.8</w:t>
            </w:r>
            <w:r>
              <w:rPr>
                <w:rFonts w:ascii="Times New Roman" w:hAnsi="Times New Roman"/>
                <w:vertAlign w:val="superscript"/>
              </w:rPr>
              <w:footnoteReference w:id="21"/>
            </w:r>
            <w:r w:rsidRPr="750D58D3">
              <w:rPr>
                <w:rFonts w:ascii="Times New Roman" w:hAnsi="Times New Roman"/>
              </w:rPr>
              <w:t xml:space="preserve"> Request for Waiver of Capacity Release Regulations</w:t>
            </w:r>
          </w:p>
        </w:tc>
        <w:tc>
          <w:tcPr>
            <w:tcW w:w="1524" w:type="dxa"/>
            <w:tcBorders>
              <w:top w:val="single" w:sz="4" w:space="0" w:color="auto"/>
              <w:left w:val="single" w:sz="4" w:space="0" w:color="auto"/>
              <w:bottom w:val="single" w:sz="4" w:space="0" w:color="auto"/>
              <w:right w:val="single" w:sz="4" w:space="0" w:color="auto"/>
            </w:tcBorders>
            <w:hideMark/>
          </w:tcPr>
          <w:p w:rsidR="6CEDDFCC" w:rsidP="750D58D3" w14:paraId="56EBB4FB" w14:textId="7FD88FAB">
            <w:pPr>
              <w:spacing w:line="240" w:lineRule="auto"/>
              <w:rPr>
                <w:rFonts w:ascii="Times New Roman" w:hAnsi="Times New Roman"/>
              </w:rPr>
            </w:pPr>
            <w:r w:rsidRPr="750D58D3">
              <w:rPr>
                <w:rFonts w:ascii="Times New Roman" w:hAnsi="Times New Roman"/>
              </w:rPr>
              <w:t>31</w:t>
            </w:r>
          </w:p>
        </w:tc>
        <w:tc>
          <w:tcPr>
            <w:tcW w:w="1429" w:type="dxa"/>
            <w:tcBorders>
              <w:top w:val="single" w:sz="4" w:space="0" w:color="auto"/>
              <w:left w:val="single" w:sz="4" w:space="0" w:color="auto"/>
              <w:bottom w:val="single" w:sz="4" w:space="0" w:color="auto"/>
              <w:right w:val="single" w:sz="4" w:space="0" w:color="auto"/>
            </w:tcBorders>
            <w:hideMark/>
          </w:tcPr>
          <w:p w:rsidR="6CEDDFCC" w:rsidP="750D58D3" w14:paraId="417FE278" w14:textId="7DD72E1F">
            <w:pPr>
              <w:spacing w:line="240" w:lineRule="auto"/>
              <w:rPr>
                <w:rFonts w:ascii="Times New Roman" w:hAnsi="Times New Roman"/>
              </w:rPr>
            </w:pPr>
            <w:r w:rsidRPr="750D58D3">
              <w:rPr>
                <w:rFonts w:ascii="Times New Roman" w:hAnsi="Times New Roman"/>
              </w:rPr>
              <w:t>1.39</w:t>
            </w:r>
          </w:p>
        </w:tc>
        <w:tc>
          <w:tcPr>
            <w:tcW w:w="1313" w:type="dxa"/>
            <w:tcBorders>
              <w:top w:val="single" w:sz="4" w:space="0" w:color="auto"/>
              <w:left w:val="single" w:sz="4" w:space="0" w:color="auto"/>
              <w:bottom w:val="single" w:sz="4" w:space="0" w:color="auto"/>
              <w:right w:val="single" w:sz="4" w:space="0" w:color="auto"/>
            </w:tcBorders>
            <w:hideMark/>
          </w:tcPr>
          <w:p w:rsidR="6CEDDFCC" w:rsidP="750D58D3" w14:paraId="760EBEFD" w14:textId="3A552686">
            <w:pPr>
              <w:spacing w:line="240" w:lineRule="auto"/>
              <w:rPr>
                <w:rFonts w:ascii="Times New Roman" w:hAnsi="Times New Roman"/>
              </w:rPr>
            </w:pPr>
            <w:r w:rsidRPr="750D58D3">
              <w:rPr>
                <w:rFonts w:ascii="Times New Roman" w:hAnsi="Times New Roman"/>
              </w:rPr>
              <w:t>43.09</w:t>
            </w:r>
          </w:p>
        </w:tc>
        <w:tc>
          <w:tcPr>
            <w:tcW w:w="1303" w:type="dxa"/>
            <w:tcBorders>
              <w:top w:val="single" w:sz="4" w:space="0" w:color="auto"/>
              <w:left w:val="single" w:sz="4" w:space="0" w:color="auto"/>
              <w:bottom w:val="single" w:sz="4" w:space="0" w:color="auto"/>
              <w:right w:val="single" w:sz="4" w:space="0" w:color="auto"/>
            </w:tcBorders>
            <w:hideMark/>
          </w:tcPr>
          <w:p w:rsidR="6CEDDFCC" w:rsidP="750D58D3" w14:paraId="482510AC" w14:textId="538D1304">
            <w:pPr>
              <w:spacing w:line="240" w:lineRule="auto"/>
              <w:rPr>
                <w:rFonts w:ascii="Times New Roman" w:hAnsi="Times New Roman"/>
              </w:rPr>
            </w:pPr>
            <w:r w:rsidRPr="750D58D3">
              <w:rPr>
                <w:rFonts w:ascii="Times New Roman" w:hAnsi="Times New Roman"/>
              </w:rPr>
              <w:t>10 hrs.: $1,020</w:t>
            </w:r>
          </w:p>
        </w:tc>
        <w:tc>
          <w:tcPr>
            <w:tcW w:w="1313" w:type="dxa"/>
            <w:tcBorders>
              <w:top w:val="single" w:sz="4" w:space="0" w:color="auto"/>
              <w:left w:val="single" w:sz="4" w:space="0" w:color="auto"/>
              <w:bottom w:val="single" w:sz="4" w:space="0" w:color="auto"/>
              <w:right w:val="single" w:sz="4" w:space="0" w:color="auto"/>
            </w:tcBorders>
            <w:hideMark/>
          </w:tcPr>
          <w:p w:rsidR="6CEDDFCC" w:rsidP="750D58D3" w14:paraId="7E51877A" w14:textId="44F5AA0E">
            <w:pPr>
              <w:spacing w:after="240"/>
            </w:pPr>
            <w:r w:rsidRPr="750D58D3">
              <w:rPr>
                <w:rFonts w:ascii="Times New Roman" w:eastAsia="Times New Roman" w:hAnsi="Times New Roman" w:cs="Times New Roman"/>
              </w:rPr>
              <w:t>430.9 hrs.; $ 43,952</w:t>
            </w:r>
          </w:p>
        </w:tc>
        <w:tc>
          <w:tcPr>
            <w:tcW w:w="1429" w:type="dxa"/>
            <w:tcBorders>
              <w:top w:val="single" w:sz="4" w:space="0" w:color="auto"/>
              <w:left w:val="single" w:sz="4" w:space="0" w:color="auto"/>
              <w:bottom w:val="single" w:sz="4" w:space="0" w:color="auto"/>
              <w:right w:val="single" w:sz="4" w:space="0" w:color="auto"/>
            </w:tcBorders>
            <w:hideMark/>
          </w:tcPr>
          <w:p w:rsidR="6CEDDFCC" w:rsidP="750D58D3" w14:paraId="10476EAB" w14:textId="59DC5B2A">
            <w:pPr>
              <w:spacing w:line="240" w:lineRule="auto"/>
              <w:rPr>
                <w:rFonts w:ascii="Times New Roman" w:hAnsi="Times New Roman"/>
              </w:rPr>
            </w:pPr>
            <w:r w:rsidRPr="750D58D3">
              <w:rPr>
                <w:rFonts w:ascii="Times New Roman" w:hAnsi="Times New Roman"/>
              </w:rPr>
              <w:t>$1,418</w:t>
            </w:r>
          </w:p>
        </w:tc>
      </w:tr>
      <w:tr w14:paraId="2C75A82B"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6CEDDFCC" w:rsidP="750D58D3" w14:paraId="13B89622" w14:textId="37DDB9B4">
            <w:pPr>
              <w:spacing w:line="240" w:lineRule="auto"/>
              <w:rPr>
                <w:rFonts w:ascii="Times New Roman" w:hAnsi="Times New Roman"/>
              </w:rPr>
            </w:pPr>
            <w:r w:rsidRPr="750D58D3">
              <w:rPr>
                <w:rFonts w:ascii="Times New Roman" w:hAnsi="Times New Roman"/>
              </w:rPr>
              <w:t>18 CFR 284.13(e) and 284.126(a) Interstate and Intrastate Bypass Notice</w:t>
            </w:r>
          </w:p>
        </w:tc>
        <w:tc>
          <w:tcPr>
            <w:tcW w:w="1524" w:type="dxa"/>
            <w:tcBorders>
              <w:top w:val="single" w:sz="4" w:space="0" w:color="auto"/>
              <w:left w:val="single" w:sz="4" w:space="0" w:color="auto"/>
              <w:bottom w:val="single" w:sz="4" w:space="0" w:color="auto"/>
              <w:right w:val="single" w:sz="4" w:space="0" w:color="auto"/>
            </w:tcBorders>
            <w:hideMark/>
          </w:tcPr>
          <w:p w:rsidR="6CEDDFCC" w:rsidP="750D58D3" w14:paraId="226D5674" w14:textId="1225646F">
            <w:pPr>
              <w:spacing w:line="240" w:lineRule="auto"/>
              <w:rPr>
                <w:rFonts w:ascii="Times New Roman" w:hAnsi="Times New Roman"/>
              </w:rPr>
            </w:pPr>
            <w:r w:rsidRPr="750D58D3">
              <w:rPr>
                <w:rFonts w:ascii="Times New Roman" w:hAnsi="Times New Roman"/>
              </w:rPr>
              <w:t>2</w:t>
            </w:r>
          </w:p>
        </w:tc>
        <w:tc>
          <w:tcPr>
            <w:tcW w:w="1429" w:type="dxa"/>
            <w:tcBorders>
              <w:top w:val="single" w:sz="4" w:space="0" w:color="auto"/>
              <w:left w:val="single" w:sz="4" w:space="0" w:color="auto"/>
              <w:bottom w:val="single" w:sz="4" w:space="0" w:color="auto"/>
              <w:right w:val="single" w:sz="4" w:space="0" w:color="auto"/>
            </w:tcBorders>
            <w:hideMark/>
          </w:tcPr>
          <w:p w:rsidR="6CEDDFCC" w:rsidP="750D58D3" w14:paraId="1951827A" w14:textId="2ECB20B2">
            <w:pPr>
              <w:spacing w:line="240" w:lineRule="auto"/>
              <w:rPr>
                <w:rFonts w:ascii="Times New Roman" w:hAnsi="Times New Roman"/>
              </w:rPr>
            </w:pPr>
            <w:r w:rsidRPr="750D58D3">
              <w:rPr>
                <w:rFonts w:ascii="Times New Roman" w:hAnsi="Times New Roman"/>
              </w:rPr>
              <w:t>1</w:t>
            </w:r>
          </w:p>
        </w:tc>
        <w:tc>
          <w:tcPr>
            <w:tcW w:w="1313" w:type="dxa"/>
            <w:tcBorders>
              <w:top w:val="single" w:sz="4" w:space="0" w:color="auto"/>
              <w:left w:val="single" w:sz="4" w:space="0" w:color="auto"/>
              <w:bottom w:val="single" w:sz="4" w:space="0" w:color="auto"/>
              <w:right w:val="single" w:sz="4" w:space="0" w:color="auto"/>
            </w:tcBorders>
            <w:hideMark/>
          </w:tcPr>
          <w:p w:rsidR="6CEDDFCC" w:rsidP="750D58D3" w14:paraId="2C751665" w14:textId="4EF49599">
            <w:pPr>
              <w:spacing w:line="240" w:lineRule="auto"/>
              <w:rPr>
                <w:rFonts w:ascii="Times New Roman" w:hAnsi="Times New Roman"/>
              </w:rPr>
            </w:pPr>
            <w:r w:rsidRPr="750D58D3">
              <w:rPr>
                <w:rFonts w:ascii="Times New Roman" w:hAnsi="Times New Roman"/>
              </w:rPr>
              <w:t>2</w:t>
            </w:r>
          </w:p>
        </w:tc>
        <w:tc>
          <w:tcPr>
            <w:tcW w:w="1303" w:type="dxa"/>
            <w:tcBorders>
              <w:top w:val="single" w:sz="4" w:space="0" w:color="auto"/>
              <w:left w:val="single" w:sz="4" w:space="0" w:color="auto"/>
              <w:bottom w:val="single" w:sz="4" w:space="0" w:color="auto"/>
              <w:right w:val="single" w:sz="4" w:space="0" w:color="auto"/>
            </w:tcBorders>
            <w:hideMark/>
          </w:tcPr>
          <w:p w:rsidR="6CEDDFCC" w:rsidP="750D58D3" w14:paraId="7B3486A0" w14:textId="4EC64F33">
            <w:pPr>
              <w:spacing w:line="240" w:lineRule="auto"/>
              <w:rPr>
                <w:rFonts w:ascii="Times New Roman" w:hAnsi="Times New Roman"/>
              </w:rPr>
            </w:pPr>
            <w:r w:rsidRPr="750D58D3">
              <w:rPr>
                <w:rFonts w:ascii="Times New Roman" w:hAnsi="Times New Roman"/>
              </w:rPr>
              <w:t>30 hrs.; $3,060</w:t>
            </w:r>
          </w:p>
        </w:tc>
        <w:tc>
          <w:tcPr>
            <w:tcW w:w="1313" w:type="dxa"/>
            <w:tcBorders>
              <w:top w:val="single" w:sz="4" w:space="0" w:color="auto"/>
              <w:left w:val="single" w:sz="4" w:space="0" w:color="auto"/>
              <w:bottom w:val="single" w:sz="4" w:space="0" w:color="auto"/>
              <w:right w:val="single" w:sz="4" w:space="0" w:color="auto"/>
            </w:tcBorders>
            <w:hideMark/>
          </w:tcPr>
          <w:p w:rsidR="6CEDDFCC" w:rsidP="750D58D3" w14:paraId="4E5BF1CE" w14:textId="341DA94B">
            <w:pPr>
              <w:rPr>
                <w:rFonts w:ascii="Times New Roman" w:eastAsia="Times New Roman" w:hAnsi="Times New Roman" w:cs="Times New Roman"/>
              </w:rPr>
            </w:pPr>
            <w:r w:rsidRPr="750D58D3">
              <w:rPr>
                <w:rFonts w:ascii="Times New Roman" w:eastAsia="Times New Roman" w:hAnsi="Times New Roman" w:cs="Times New Roman"/>
              </w:rPr>
              <w:t>60 hrs.; $6,120</w:t>
            </w:r>
          </w:p>
        </w:tc>
        <w:tc>
          <w:tcPr>
            <w:tcW w:w="1429" w:type="dxa"/>
            <w:tcBorders>
              <w:top w:val="single" w:sz="4" w:space="0" w:color="auto"/>
              <w:left w:val="single" w:sz="4" w:space="0" w:color="auto"/>
              <w:bottom w:val="single" w:sz="4" w:space="0" w:color="auto"/>
              <w:right w:val="single" w:sz="4" w:space="0" w:color="auto"/>
            </w:tcBorders>
            <w:hideMark/>
          </w:tcPr>
          <w:p w:rsidR="6CEDDFCC" w:rsidP="750D58D3" w14:paraId="4F6D5346" w14:textId="5EDE21DB">
            <w:pPr>
              <w:spacing w:line="240" w:lineRule="auto"/>
              <w:rPr>
                <w:rFonts w:ascii="Times New Roman" w:hAnsi="Times New Roman"/>
              </w:rPr>
            </w:pPr>
            <w:r w:rsidRPr="750D58D3">
              <w:rPr>
                <w:rFonts w:ascii="Times New Roman" w:hAnsi="Times New Roman"/>
              </w:rPr>
              <w:t>$3,060</w:t>
            </w:r>
          </w:p>
        </w:tc>
      </w:tr>
      <w:tr w14:paraId="2A3EF95F"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6CEDDFCC" w:rsidP="750D58D3" w14:paraId="2CBD1B6F" w14:textId="2C41260F">
            <w:pPr>
              <w:spacing w:line="240" w:lineRule="auto"/>
              <w:rPr>
                <w:rFonts w:ascii="Times New Roman" w:hAnsi="Times New Roman"/>
              </w:rPr>
            </w:pPr>
            <w:r w:rsidRPr="750D58D3">
              <w:rPr>
                <w:rFonts w:ascii="Times New Roman" w:hAnsi="Times New Roman"/>
              </w:rPr>
              <w:t>18 CFR 284.221 Blanket Certificates – Transportation by Interstate Pipelines on behalf of others</w:t>
            </w:r>
          </w:p>
        </w:tc>
        <w:tc>
          <w:tcPr>
            <w:tcW w:w="1524" w:type="dxa"/>
            <w:tcBorders>
              <w:top w:val="single" w:sz="4" w:space="0" w:color="auto"/>
              <w:left w:val="single" w:sz="4" w:space="0" w:color="auto"/>
              <w:bottom w:val="single" w:sz="4" w:space="0" w:color="auto"/>
              <w:right w:val="single" w:sz="4" w:space="0" w:color="auto"/>
            </w:tcBorders>
            <w:hideMark/>
          </w:tcPr>
          <w:p w:rsidR="6CEDDFCC" w:rsidP="750D58D3" w14:paraId="2B4210A6" w14:textId="1AB34AF6">
            <w:pPr>
              <w:spacing w:line="240" w:lineRule="auto"/>
              <w:rPr>
                <w:rFonts w:ascii="Times New Roman" w:hAnsi="Times New Roman"/>
              </w:rPr>
            </w:pPr>
            <w:r w:rsidRPr="750D58D3">
              <w:rPr>
                <w:rFonts w:ascii="Times New Roman" w:hAnsi="Times New Roman"/>
              </w:rPr>
              <w:t>1</w:t>
            </w:r>
          </w:p>
        </w:tc>
        <w:tc>
          <w:tcPr>
            <w:tcW w:w="1429" w:type="dxa"/>
            <w:tcBorders>
              <w:top w:val="single" w:sz="4" w:space="0" w:color="auto"/>
              <w:left w:val="single" w:sz="4" w:space="0" w:color="auto"/>
              <w:bottom w:val="single" w:sz="4" w:space="0" w:color="auto"/>
              <w:right w:val="single" w:sz="4" w:space="0" w:color="auto"/>
            </w:tcBorders>
            <w:hideMark/>
          </w:tcPr>
          <w:p w:rsidR="6CEDDFCC" w:rsidP="750D58D3" w14:paraId="13FB3F92" w14:textId="005BE7C8">
            <w:pPr>
              <w:spacing w:line="240" w:lineRule="auto"/>
              <w:rPr>
                <w:rFonts w:ascii="Times New Roman" w:hAnsi="Times New Roman"/>
              </w:rPr>
            </w:pPr>
            <w:r w:rsidRPr="750D58D3">
              <w:rPr>
                <w:rFonts w:ascii="Times New Roman" w:hAnsi="Times New Roman"/>
              </w:rPr>
              <w:t>1</w:t>
            </w:r>
          </w:p>
        </w:tc>
        <w:tc>
          <w:tcPr>
            <w:tcW w:w="1313" w:type="dxa"/>
            <w:tcBorders>
              <w:top w:val="single" w:sz="4" w:space="0" w:color="auto"/>
              <w:left w:val="single" w:sz="4" w:space="0" w:color="auto"/>
              <w:bottom w:val="single" w:sz="4" w:space="0" w:color="auto"/>
              <w:right w:val="single" w:sz="4" w:space="0" w:color="auto"/>
            </w:tcBorders>
            <w:hideMark/>
          </w:tcPr>
          <w:p w:rsidR="6CEDDFCC" w:rsidP="750D58D3" w14:paraId="12319731" w14:textId="2D8EA979">
            <w:pPr>
              <w:spacing w:line="240" w:lineRule="auto"/>
              <w:rPr>
                <w:rFonts w:ascii="Times New Roman" w:hAnsi="Times New Roman"/>
              </w:rPr>
            </w:pPr>
            <w:r w:rsidRPr="750D58D3">
              <w:rPr>
                <w:rFonts w:ascii="Times New Roman" w:hAnsi="Times New Roman"/>
              </w:rPr>
              <w:t>1</w:t>
            </w:r>
          </w:p>
        </w:tc>
        <w:tc>
          <w:tcPr>
            <w:tcW w:w="1303" w:type="dxa"/>
            <w:tcBorders>
              <w:top w:val="single" w:sz="4" w:space="0" w:color="auto"/>
              <w:left w:val="single" w:sz="4" w:space="0" w:color="auto"/>
              <w:bottom w:val="single" w:sz="4" w:space="0" w:color="auto"/>
              <w:right w:val="single" w:sz="4" w:space="0" w:color="auto"/>
            </w:tcBorders>
            <w:hideMark/>
          </w:tcPr>
          <w:p w:rsidR="6CEDDFCC" w:rsidP="750D58D3" w14:paraId="26176791" w14:textId="6E99FBC5">
            <w:pPr>
              <w:spacing w:line="240" w:lineRule="auto"/>
              <w:rPr>
                <w:rFonts w:ascii="Times New Roman" w:hAnsi="Times New Roman"/>
              </w:rPr>
            </w:pPr>
            <w:r w:rsidRPr="750D58D3">
              <w:rPr>
                <w:rFonts w:ascii="Times New Roman" w:hAnsi="Times New Roman"/>
              </w:rPr>
              <w:t>100 hrs.; $10,200</w:t>
            </w:r>
          </w:p>
        </w:tc>
        <w:tc>
          <w:tcPr>
            <w:tcW w:w="1313" w:type="dxa"/>
            <w:tcBorders>
              <w:top w:val="single" w:sz="4" w:space="0" w:color="auto"/>
              <w:left w:val="single" w:sz="4" w:space="0" w:color="auto"/>
              <w:bottom w:val="single" w:sz="4" w:space="0" w:color="auto"/>
              <w:right w:val="single" w:sz="4" w:space="0" w:color="auto"/>
            </w:tcBorders>
            <w:hideMark/>
          </w:tcPr>
          <w:p w:rsidR="6CEDDFCC" w:rsidP="750D58D3" w14:paraId="7D56CD20" w14:textId="4F0E241B">
            <w:pPr>
              <w:rPr>
                <w:rFonts w:ascii="Times New Roman" w:eastAsia="Times New Roman" w:hAnsi="Times New Roman" w:cs="Times New Roman"/>
              </w:rPr>
            </w:pPr>
            <w:r w:rsidRPr="750D58D3">
              <w:rPr>
                <w:rFonts w:ascii="Times New Roman" w:eastAsia="Times New Roman" w:hAnsi="Times New Roman" w:cs="Times New Roman"/>
              </w:rPr>
              <w:t>100 hrs.; $10,200</w:t>
            </w:r>
          </w:p>
        </w:tc>
        <w:tc>
          <w:tcPr>
            <w:tcW w:w="1429" w:type="dxa"/>
            <w:tcBorders>
              <w:top w:val="single" w:sz="4" w:space="0" w:color="auto"/>
              <w:left w:val="single" w:sz="4" w:space="0" w:color="auto"/>
              <w:bottom w:val="single" w:sz="4" w:space="0" w:color="auto"/>
              <w:right w:val="single" w:sz="4" w:space="0" w:color="auto"/>
            </w:tcBorders>
            <w:hideMark/>
          </w:tcPr>
          <w:p w:rsidR="6CEDDFCC" w:rsidP="750D58D3" w14:paraId="12C54B26" w14:textId="56BBD0B7">
            <w:pPr>
              <w:spacing w:line="240" w:lineRule="auto"/>
              <w:rPr>
                <w:rFonts w:ascii="Times New Roman" w:eastAsia="Times New Roman" w:hAnsi="Times New Roman" w:cs="Times New Roman"/>
              </w:rPr>
            </w:pPr>
            <w:r w:rsidRPr="750D58D3">
              <w:rPr>
                <w:rFonts w:ascii="Times New Roman" w:eastAsia="Times New Roman" w:hAnsi="Times New Roman" w:cs="Times New Roman"/>
              </w:rPr>
              <w:t>$10,200</w:t>
            </w:r>
          </w:p>
        </w:tc>
      </w:tr>
      <w:tr w14:paraId="24E03C12" w14:textId="77777777" w:rsidTr="750D58D3">
        <w:tblPrEx>
          <w:tblW w:w="5353" w:type="pct"/>
          <w:tblInd w:w="-72" w:type="dxa"/>
          <w:tblLook w:val="01E0"/>
        </w:tblPrEx>
        <w:trPr>
          <w:cantSplit/>
        </w:trPr>
        <w:tc>
          <w:tcPr>
            <w:tcW w:w="848" w:type="pct"/>
            <w:tcBorders>
              <w:top w:val="single" w:sz="4" w:space="0" w:color="auto"/>
              <w:left w:val="single" w:sz="4" w:space="0" w:color="auto"/>
              <w:bottom w:val="single" w:sz="4" w:space="0" w:color="auto"/>
              <w:right w:val="single" w:sz="4" w:space="0" w:color="auto"/>
            </w:tcBorders>
            <w:hideMark/>
          </w:tcPr>
          <w:p w:rsidR="00BD0E8F" w:rsidRPr="00BD0E8F" w:rsidP="750D58D3" w14:paraId="62BBF1DE" w14:textId="1361BA8F">
            <w:pPr>
              <w:spacing w:after="0" w:line="240" w:lineRule="auto"/>
              <w:rPr>
                <w:rFonts w:ascii="Times New Roman" w:hAnsi="Times New Roman"/>
              </w:rPr>
            </w:pPr>
            <w:r w:rsidRPr="750D58D3">
              <w:rPr>
                <w:rFonts w:ascii="Times New Roman" w:hAnsi="Times New Roman"/>
              </w:rPr>
              <w:t>18 CFR 284.224 Blanket Certificate - Hinshaw Pipeline Blanket Certificates</w:t>
            </w:r>
          </w:p>
        </w:tc>
        <w:tc>
          <w:tcPr>
            <w:tcW w:w="761" w:type="pct"/>
            <w:tcBorders>
              <w:top w:val="single" w:sz="4" w:space="0" w:color="auto"/>
              <w:left w:val="single" w:sz="4" w:space="0" w:color="auto"/>
              <w:bottom w:val="single" w:sz="4" w:space="0" w:color="auto"/>
              <w:right w:val="single" w:sz="4" w:space="0" w:color="auto"/>
            </w:tcBorders>
            <w:hideMark/>
          </w:tcPr>
          <w:p w:rsidR="00BD0E8F" w:rsidRPr="00BD0E8F" w:rsidP="00BD0E8F" w14:paraId="5F3AB620" w14:textId="77777777">
            <w:pPr>
              <w:spacing w:after="0" w:line="240" w:lineRule="auto"/>
              <w:rPr>
                <w:rFonts w:ascii="Times New Roman" w:hAnsi="Times New Roman"/>
                <w:bCs/>
              </w:rPr>
            </w:pPr>
            <w:r w:rsidRPr="00BD0E8F">
              <w:rPr>
                <w:rFonts w:ascii="Times New Roman" w:hAnsi="Times New Roman"/>
                <w:bCs/>
              </w:rPr>
              <w:t>2</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6A69D9B7" w14:textId="77777777">
            <w:pPr>
              <w:spacing w:after="0" w:line="240" w:lineRule="auto"/>
              <w:rPr>
                <w:rFonts w:ascii="Times New Roman" w:hAnsi="Times New Roman"/>
                <w:bCs/>
              </w:rPr>
            </w:pPr>
            <w:r w:rsidRPr="00BD0E8F">
              <w:rPr>
                <w:rFonts w:ascii="Times New Roman" w:hAnsi="Times New Roman"/>
                <w:bCs/>
              </w:rPr>
              <w:t>1</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79D2377D" w14:textId="77777777">
            <w:pPr>
              <w:spacing w:after="0" w:line="240" w:lineRule="auto"/>
              <w:rPr>
                <w:rFonts w:ascii="Times New Roman" w:hAnsi="Times New Roman"/>
                <w:bCs/>
              </w:rPr>
            </w:pPr>
            <w:r w:rsidRPr="00BD0E8F">
              <w:rPr>
                <w:rFonts w:ascii="Times New Roman" w:hAnsi="Times New Roman"/>
                <w:bCs/>
              </w:rPr>
              <w:t>2</w:t>
            </w:r>
          </w:p>
        </w:tc>
        <w:tc>
          <w:tcPr>
            <w:tcW w:w="651" w:type="pct"/>
            <w:tcBorders>
              <w:top w:val="single" w:sz="4" w:space="0" w:color="auto"/>
              <w:left w:val="single" w:sz="4" w:space="0" w:color="auto"/>
              <w:bottom w:val="single" w:sz="4" w:space="0" w:color="auto"/>
              <w:right w:val="single" w:sz="4" w:space="0" w:color="auto"/>
            </w:tcBorders>
            <w:hideMark/>
          </w:tcPr>
          <w:p w:rsidR="00BD0E8F" w:rsidRPr="00BD0E8F" w:rsidP="00BD0E8F" w14:paraId="10A7B9D6" w14:textId="77777777">
            <w:pPr>
              <w:spacing w:after="0" w:line="240" w:lineRule="auto"/>
              <w:rPr>
                <w:rFonts w:ascii="Times New Roman" w:hAnsi="Times New Roman"/>
                <w:bCs/>
              </w:rPr>
            </w:pPr>
            <w:r w:rsidRPr="00BD0E8F">
              <w:rPr>
                <w:rFonts w:ascii="Times New Roman" w:hAnsi="Times New Roman"/>
                <w:bCs/>
              </w:rPr>
              <w:t>75 hrs.;</w:t>
            </w:r>
          </w:p>
          <w:p w:rsidR="00BD0E8F" w:rsidRPr="00BD0E8F" w:rsidP="00BD0E8F" w14:paraId="0D91114D" w14:textId="77777777">
            <w:pPr>
              <w:spacing w:after="0" w:line="240" w:lineRule="auto"/>
              <w:rPr>
                <w:rFonts w:ascii="Times New Roman" w:hAnsi="Times New Roman"/>
                <w:bCs/>
              </w:rPr>
            </w:pPr>
            <w:r w:rsidRPr="00BD0E8F">
              <w:rPr>
                <w:rFonts w:ascii="Times New Roman" w:hAnsi="Times New Roman"/>
                <w:bCs/>
              </w:rPr>
              <w:t>$7,650</w:t>
            </w: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11516030" w14:textId="77777777">
            <w:pPr>
              <w:spacing w:after="0" w:line="240" w:lineRule="auto"/>
              <w:rPr>
                <w:rFonts w:ascii="Times New Roman" w:hAnsi="Times New Roman"/>
                <w:bCs/>
              </w:rPr>
            </w:pPr>
            <w:r w:rsidRPr="00BD0E8F">
              <w:rPr>
                <w:rFonts w:ascii="Times New Roman" w:hAnsi="Times New Roman"/>
                <w:bCs/>
              </w:rPr>
              <w:t>150 hrs.;</w:t>
            </w:r>
          </w:p>
          <w:p w:rsidR="00BD0E8F" w:rsidRPr="00BD0E8F" w:rsidP="00BD0E8F" w14:paraId="79E3C12A" w14:textId="77777777">
            <w:pPr>
              <w:spacing w:after="0" w:line="240" w:lineRule="auto"/>
              <w:rPr>
                <w:rFonts w:ascii="Times New Roman" w:hAnsi="Times New Roman"/>
                <w:bCs/>
              </w:rPr>
            </w:pPr>
            <w:r w:rsidRPr="00BD0E8F">
              <w:rPr>
                <w:rFonts w:ascii="Times New Roman" w:hAnsi="Times New Roman"/>
                <w:bCs/>
              </w:rPr>
              <w:t>$15,300</w:t>
            </w:r>
          </w:p>
        </w:tc>
        <w:tc>
          <w:tcPr>
            <w:tcW w:w="714" w:type="pct"/>
            <w:tcBorders>
              <w:top w:val="single" w:sz="4" w:space="0" w:color="auto"/>
              <w:left w:val="single" w:sz="4" w:space="0" w:color="auto"/>
              <w:bottom w:val="single" w:sz="4" w:space="0" w:color="auto"/>
              <w:right w:val="single" w:sz="4" w:space="0" w:color="auto"/>
            </w:tcBorders>
            <w:hideMark/>
          </w:tcPr>
          <w:p w:rsidR="00BD0E8F" w:rsidRPr="00BD0E8F" w:rsidP="00BD0E8F" w14:paraId="31765D26" w14:textId="77777777">
            <w:pPr>
              <w:spacing w:after="0" w:line="240" w:lineRule="auto"/>
              <w:rPr>
                <w:rFonts w:ascii="Times New Roman" w:hAnsi="Times New Roman"/>
                <w:bCs/>
              </w:rPr>
            </w:pPr>
            <w:r w:rsidRPr="00BD0E8F">
              <w:rPr>
                <w:rFonts w:ascii="Times New Roman" w:hAnsi="Times New Roman"/>
                <w:bCs/>
              </w:rPr>
              <w:t>$7,650</w:t>
            </w:r>
          </w:p>
        </w:tc>
      </w:tr>
      <w:tr w14:paraId="25BC2732"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0183DC5B" w:rsidP="750D58D3" w14:paraId="4B474962" w14:textId="7E4937AD">
            <w:pPr>
              <w:spacing w:line="240" w:lineRule="auto"/>
              <w:rPr>
                <w:rFonts w:ascii="Times New Roman" w:hAnsi="Times New Roman"/>
              </w:rPr>
            </w:pPr>
            <w:r w:rsidRPr="750D58D3">
              <w:rPr>
                <w:rFonts w:ascii="Times New Roman" w:hAnsi="Times New Roman"/>
              </w:rPr>
              <w:t>18 CFR 157.18 Non-facility Certificate or Abandonment Applications</w:t>
            </w:r>
          </w:p>
        </w:tc>
        <w:tc>
          <w:tcPr>
            <w:tcW w:w="1524" w:type="dxa"/>
            <w:tcBorders>
              <w:top w:val="single" w:sz="4" w:space="0" w:color="auto"/>
              <w:left w:val="single" w:sz="4" w:space="0" w:color="auto"/>
              <w:bottom w:val="single" w:sz="4" w:space="0" w:color="auto"/>
              <w:right w:val="single" w:sz="4" w:space="0" w:color="auto"/>
            </w:tcBorders>
            <w:hideMark/>
          </w:tcPr>
          <w:p w:rsidR="0183DC5B" w:rsidP="750D58D3" w14:paraId="242D2E53" w14:textId="69DAC0AB">
            <w:pPr>
              <w:spacing w:line="240" w:lineRule="auto"/>
              <w:rPr>
                <w:rFonts w:ascii="Times New Roman" w:hAnsi="Times New Roman"/>
              </w:rPr>
            </w:pPr>
            <w:r w:rsidRPr="750D58D3">
              <w:rPr>
                <w:rFonts w:ascii="Times New Roman" w:hAnsi="Times New Roman"/>
              </w:rPr>
              <w:t>11</w:t>
            </w:r>
          </w:p>
        </w:tc>
        <w:tc>
          <w:tcPr>
            <w:tcW w:w="1429" w:type="dxa"/>
            <w:tcBorders>
              <w:top w:val="single" w:sz="4" w:space="0" w:color="auto"/>
              <w:left w:val="single" w:sz="4" w:space="0" w:color="auto"/>
              <w:bottom w:val="single" w:sz="4" w:space="0" w:color="auto"/>
              <w:right w:val="single" w:sz="4" w:space="0" w:color="auto"/>
            </w:tcBorders>
            <w:hideMark/>
          </w:tcPr>
          <w:p w:rsidR="0183DC5B" w:rsidP="750D58D3" w14:paraId="6EC98FEF" w14:textId="0B6C9E55">
            <w:pPr>
              <w:spacing w:line="240" w:lineRule="auto"/>
              <w:rPr>
                <w:rFonts w:ascii="Times New Roman" w:hAnsi="Times New Roman"/>
              </w:rPr>
            </w:pPr>
            <w:r w:rsidRPr="750D58D3">
              <w:rPr>
                <w:rFonts w:ascii="Times New Roman" w:hAnsi="Times New Roman"/>
              </w:rPr>
              <w:t>1.36</w:t>
            </w:r>
          </w:p>
        </w:tc>
        <w:tc>
          <w:tcPr>
            <w:tcW w:w="1313" w:type="dxa"/>
            <w:tcBorders>
              <w:top w:val="single" w:sz="4" w:space="0" w:color="auto"/>
              <w:left w:val="single" w:sz="4" w:space="0" w:color="auto"/>
              <w:bottom w:val="single" w:sz="4" w:space="0" w:color="auto"/>
              <w:right w:val="single" w:sz="4" w:space="0" w:color="auto"/>
            </w:tcBorders>
            <w:hideMark/>
          </w:tcPr>
          <w:p w:rsidR="0183DC5B" w:rsidP="750D58D3" w14:paraId="1664241C" w14:textId="22EEF6FA">
            <w:pPr>
              <w:spacing w:line="240" w:lineRule="auto"/>
              <w:rPr>
                <w:rFonts w:ascii="Times New Roman" w:hAnsi="Times New Roman"/>
              </w:rPr>
            </w:pPr>
            <w:r w:rsidRPr="750D58D3">
              <w:rPr>
                <w:rFonts w:ascii="Times New Roman" w:hAnsi="Times New Roman"/>
              </w:rPr>
              <w:t>14.96</w:t>
            </w:r>
          </w:p>
        </w:tc>
        <w:tc>
          <w:tcPr>
            <w:tcW w:w="1303" w:type="dxa"/>
            <w:tcBorders>
              <w:top w:val="single" w:sz="4" w:space="0" w:color="auto"/>
              <w:left w:val="single" w:sz="4" w:space="0" w:color="auto"/>
              <w:bottom w:val="single" w:sz="4" w:space="0" w:color="auto"/>
              <w:right w:val="single" w:sz="4" w:space="0" w:color="auto"/>
            </w:tcBorders>
            <w:hideMark/>
          </w:tcPr>
          <w:p w:rsidR="0183DC5B" w:rsidP="750D58D3" w14:paraId="48821764" w14:textId="5906106E">
            <w:pPr>
              <w:spacing w:line="240" w:lineRule="auto"/>
              <w:rPr>
                <w:rFonts w:ascii="Times New Roman" w:hAnsi="Times New Roman"/>
              </w:rPr>
            </w:pPr>
            <w:r w:rsidRPr="750D58D3">
              <w:rPr>
                <w:rFonts w:ascii="Times New Roman" w:hAnsi="Times New Roman"/>
              </w:rPr>
              <w:t>75 hrs.; $7,650</w:t>
            </w:r>
          </w:p>
        </w:tc>
        <w:tc>
          <w:tcPr>
            <w:tcW w:w="1313" w:type="dxa"/>
            <w:tcBorders>
              <w:top w:val="single" w:sz="4" w:space="0" w:color="auto"/>
              <w:left w:val="single" w:sz="4" w:space="0" w:color="auto"/>
              <w:bottom w:val="single" w:sz="4" w:space="0" w:color="auto"/>
              <w:right w:val="single" w:sz="4" w:space="0" w:color="auto"/>
            </w:tcBorders>
            <w:hideMark/>
          </w:tcPr>
          <w:p w:rsidR="0183DC5B" w:rsidP="750D58D3" w14:paraId="271E77A4" w14:textId="6B10BCAE">
            <w:pPr>
              <w:spacing w:line="240" w:lineRule="auto"/>
              <w:rPr>
                <w:rFonts w:ascii="Times New Roman" w:hAnsi="Times New Roman"/>
              </w:rPr>
            </w:pPr>
            <w:r w:rsidRPr="750D58D3">
              <w:rPr>
                <w:rFonts w:ascii="Times New Roman" w:hAnsi="Times New Roman"/>
              </w:rPr>
              <w:t>1,122 hrs.; $114,444</w:t>
            </w:r>
          </w:p>
        </w:tc>
        <w:tc>
          <w:tcPr>
            <w:tcW w:w="1429" w:type="dxa"/>
            <w:tcBorders>
              <w:top w:val="single" w:sz="4" w:space="0" w:color="auto"/>
              <w:left w:val="single" w:sz="4" w:space="0" w:color="auto"/>
              <w:bottom w:val="single" w:sz="4" w:space="0" w:color="auto"/>
              <w:right w:val="single" w:sz="4" w:space="0" w:color="auto"/>
            </w:tcBorders>
            <w:hideMark/>
          </w:tcPr>
          <w:p w:rsidR="0183DC5B" w:rsidP="750D58D3" w14:paraId="155E0B9F" w14:textId="79A3F7EB">
            <w:pPr>
              <w:spacing w:line="240" w:lineRule="auto"/>
              <w:rPr>
                <w:rFonts w:ascii="Times New Roman" w:hAnsi="Times New Roman"/>
              </w:rPr>
            </w:pPr>
            <w:r w:rsidRPr="750D58D3">
              <w:rPr>
                <w:rFonts w:ascii="Times New Roman" w:hAnsi="Times New Roman"/>
              </w:rPr>
              <w:t>$10,200</w:t>
            </w:r>
          </w:p>
        </w:tc>
      </w:tr>
      <w:tr w14:paraId="18501AB7" w14:textId="77777777" w:rsidTr="750D58D3">
        <w:tblPrEx>
          <w:tblW w:w="5353" w:type="pct"/>
          <w:tblInd w:w="-72" w:type="dxa"/>
          <w:tblLook w:val="01E0"/>
        </w:tblPrEx>
        <w:trPr>
          <w:cantSplit/>
          <w:trHeight w:val="300"/>
        </w:trPr>
        <w:tc>
          <w:tcPr>
            <w:tcW w:w="1699" w:type="dxa"/>
            <w:tcBorders>
              <w:top w:val="single" w:sz="4" w:space="0" w:color="auto"/>
              <w:left w:val="single" w:sz="4" w:space="0" w:color="auto"/>
              <w:bottom w:val="single" w:sz="4" w:space="0" w:color="auto"/>
              <w:right w:val="single" w:sz="4" w:space="0" w:color="auto"/>
            </w:tcBorders>
            <w:hideMark/>
          </w:tcPr>
          <w:p w:rsidR="0183DC5B" w:rsidP="750D58D3" w14:paraId="6F6E778E" w14:textId="099AA462">
            <w:pPr>
              <w:spacing w:line="240" w:lineRule="auto"/>
              <w:rPr>
                <w:rFonts w:ascii="Times New Roman" w:hAnsi="Times New Roman"/>
              </w:rPr>
            </w:pPr>
            <w:r w:rsidRPr="750D58D3">
              <w:rPr>
                <w:rFonts w:ascii="Times New Roman" w:hAnsi="Times New Roman"/>
              </w:rPr>
              <w:t>Project based Labor wages</w:t>
            </w:r>
          </w:p>
        </w:tc>
        <w:tc>
          <w:tcPr>
            <w:tcW w:w="1524" w:type="dxa"/>
            <w:tcBorders>
              <w:top w:val="single" w:sz="4" w:space="0" w:color="auto"/>
              <w:left w:val="single" w:sz="4" w:space="0" w:color="auto"/>
              <w:bottom w:val="single" w:sz="4" w:space="0" w:color="auto"/>
              <w:right w:val="single" w:sz="4" w:space="0" w:color="auto"/>
            </w:tcBorders>
            <w:hideMark/>
          </w:tcPr>
          <w:p w:rsidR="0183DC5B" w:rsidP="750D58D3" w14:paraId="60550CE5" w14:textId="1549571C">
            <w:pPr>
              <w:spacing w:line="240" w:lineRule="auto"/>
              <w:rPr>
                <w:rFonts w:ascii="Times New Roman" w:hAnsi="Times New Roman"/>
              </w:rPr>
            </w:pPr>
            <w:r w:rsidRPr="750D58D3">
              <w:rPr>
                <w:rFonts w:ascii="Times New Roman" w:hAnsi="Times New Roman"/>
              </w:rPr>
              <w:t>22</w:t>
            </w:r>
          </w:p>
        </w:tc>
        <w:tc>
          <w:tcPr>
            <w:tcW w:w="1429" w:type="dxa"/>
            <w:tcBorders>
              <w:top w:val="single" w:sz="4" w:space="0" w:color="auto"/>
              <w:left w:val="single" w:sz="4" w:space="0" w:color="auto"/>
              <w:bottom w:val="single" w:sz="4" w:space="0" w:color="auto"/>
              <w:right w:val="single" w:sz="4" w:space="0" w:color="auto"/>
            </w:tcBorders>
            <w:hideMark/>
          </w:tcPr>
          <w:p w:rsidR="0183DC5B" w:rsidP="750D58D3" w14:paraId="195BB769" w14:textId="5AB36EA6">
            <w:pPr>
              <w:spacing w:line="240" w:lineRule="auto"/>
              <w:rPr>
                <w:rFonts w:ascii="Times New Roman" w:hAnsi="Times New Roman"/>
              </w:rPr>
            </w:pPr>
            <w:r w:rsidRPr="750D58D3">
              <w:rPr>
                <w:rFonts w:ascii="Times New Roman" w:hAnsi="Times New Roman"/>
              </w:rPr>
              <w:t>1</w:t>
            </w:r>
          </w:p>
        </w:tc>
        <w:tc>
          <w:tcPr>
            <w:tcW w:w="1313" w:type="dxa"/>
            <w:tcBorders>
              <w:top w:val="single" w:sz="4" w:space="0" w:color="auto"/>
              <w:left w:val="single" w:sz="4" w:space="0" w:color="auto"/>
              <w:bottom w:val="single" w:sz="4" w:space="0" w:color="auto"/>
              <w:right w:val="single" w:sz="4" w:space="0" w:color="auto"/>
            </w:tcBorders>
            <w:hideMark/>
          </w:tcPr>
          <w:p w:rsidR="0183DC5B" w:rsidP="750D58D3" w14:paraId="313ACD5B" w14:textId="66119391">
            <w:pPr>
              <w:spacing w:line="240" w:lineRule="auto"/>
              <w:rPr>
                <w:rFonts w:ascii="Times New Roman" w:hAnsi="Times New Roman"/>
              </w:rPr>
            </w:pPr>
            <w:r w:rsidRPr="750D58D3">
              <w:rPr>
                <w:rFonts w:ascii="Times New Roman" w:hAnsi="Times New Roman"/>
              </w:rPr>
              <w:t>22</w:t>
            </w:r>
          </w:p>
        </w:tc>
        <w:tc>
          <w:tcPr>
            <w:tcW w:w="1303" w:type="dxa"/>
            <w:tcBorders>
              <w:top w:val="single" w:sz="4" w:space="0" w:color="auto"/>
              <w:left w:val="single" w:sz="4" w:space="0" w:color="auto"/>
              <w:bottom w:val="single" w:sz="4" w:space="0" w:color="auto"/>
              <w:right w:val="single" w:sz="4" w:space="0" w:color="auto"/>
            </w:tcBorders>
            <w:hideMark/>
          </w:tcPr>
          <w:p w:rsidR="0183DC5B" w:rsidP="750D58D3" w14:paraId="5E408E00" w14:textId="008C51F1">
            <w:pPr>
              <w:spacing w:line="240" w:lineRule="auto"/>
              <w:rPr>
                <w:rFonts w:ascii="Times New Roman" w:hAnsi="Times New Roman"/>
              </w:rPr>
            </w:pPr>
            <w:r w:rsidRPr="750D58D3">
              <w:rPr>
                <w:rFonts w:ascii="Times New Roman" w:hAnsi="Times New Roman"/>
              </w:rPr>
              <w:t>15 hrs. $1,530</w:t>
            </w:r>
          </w:p>
        </w:tc>
        <w:tc>
          <w:tcPr>
            <w:tcW w:w="1313" w:type="dxa"/>
            <w:tcBorders>
              <w:top w:val="single" w:sz="4" w:space="0" w:color="auto"/>
              <w:left w:val="single" w:sz="4" w:space="0" w:color="auto"/>
              <w:bottom w:val="single" w:sz="4" w:space="0" w:color="auto"/>
              <w:right w:val="single" w:sz="4" w:space="0" w:color="auto"/>
            </w:tcBorders>
            <w:hideMark/>
          </w:tcPr>
          <w:p w:rsidR="0183DC5B" w:rsidP="750D58D3" w14:paraId="29CCC604" w14:textId="4A9BB0EC">
            <w:pPr>
              <w:spacing w:line="240" w:lineRule="auto"/>
              <w:rPr>
                <w:rFonts w:ascii="Times New Roman" w:hAnsi="Times New Roman"/>
              </w:rPr>
            </w:pPr>
            <w:r w:rsidRPr="750D58D3">
              <w:rPr>
                <w:rFonts w:ascii="Times New Roman" w:hAnsi="Times New Roman"/>
              </w:rPr>
              <w:t>330 hrs. $33,660</w:t>
            </w:r>
          </w:p>
        </w:tc>
        <w:tc>
          <w:tcPr>
            <w:tcW w:w="1429" w:type="dxa"/>
            <w:tcBorders>
              <w:top w:val="single" w:sz="4" w:space="0" w:color="auto"/>
              <w:left w:val="single" w:sz="4" w:space="0" w:color="auto"/>
              <w:bottom w:val="single" w:sz="4" w:space="0" w:color="auto"/>
              <w:right w:val="single" w:sz="4" w:space="0" w:color="auto"/>
            </w:tcBorders>
            <w:hideMark/>
          </w:tcPr>
          <w:p w:rsidR="0183DC5B" w:rsidP="750D58D3" w14:paraId="77DD1A4C" w14:textId="246C2268">
            <w:pPr>
              <w:spacing w:line="240" w:lineRule="auto"/>
              <w:rPr>
                <w:rFonts w:ascii="Times New Roman" w:hAnsi="Times New Roman"/>
              </w:rPr>
            </w:pPr>
            <w:r w:rsidRPr="750D58D3">
              <w:rPr>
                <w:rFonts w:ascii="Times New Roman" w:hAnsi="Times New Roman"/>
              </w:rPr>
              <w:t>$1,530</w:t>
            </w:r>
          </w:p>
        </w:tc>
      </w:tr>
      <w:tr w14:paraId="11BCCE23" w14:textId="77777777" w:rsidTr="750D58D3">
        <w:tblPrEx>
          <w:tblW w:w="5353" w:type="pct"/>
          <w:tblInd w:w="-72" w:type="dxa"/>
          <w:tblLook w:val="01E0"/>
        </w:tblPrEx>
        <w:trPr>
          <w:cantSplit/>
          <w:trHeight w:val="485"/>
        </w:trPr>
        <w:tc>
          <w:tcPr>
            <w:tcW w:w="848" w:type="pct"/>
            <w:tcBorders>
              <w:top w:val="single" w:sz="4" w:space="0" w:color="auto"/>
              <w:left w:val="single" w:sz="4" w:space="0" w:color="auto"/>
              <w:bottom w:val="single" w:sz="4" w:space="0" w:color="auto"/>
              <w:right w:val="single" w:sz="4" w:space="0" w:color="auto"/>
            </w:tcBorders>
            <w:hideMark/>
          </w:tcPr>
          <w:p w:rsidR="00BD0E8F" w:rsidRPr="00BD0E8F" w:rsidP="00BD0E8F" w14:paraId="496D3A08" w14:textId="77777777">
            <w:pPr>
              <w:spacing w:after="0" w:line="240" w:lineRule="auto"/>
              <w:rPr>
                <w:rFonts w:ascii="Times New Roman" w:hAnsi="Times New Roman"/>
                <w:b/>
                <w:bCs/>
              </w:rPr>
            </w:pPr>
            <w:r w:rsidRPr="00BD0E8F">
              <w:rPr>
                <w:rFonts w:ascii="Times New Roman" w:hAnsi="Times New Roman"/>
                <w:b/>
                <w:bCs/>
              </w:rPr>
              <w:t>TOTAL</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D0E8F" w:rsidRPr="00BD0E8F" w:rsidP="00BD0E8F" w14:paraId="7E582749" w14:textId="77777777">
            <w:pPr>
              <w:spacing w:after="0" w:line="240" w:lineRule="auto"/>
              <w:rPr>
                <w:rFonts w:ascii="Times New Roman" w:hAnsi="Times New Roman"/>
                <w:bCs/>
              </w:rPr>
            </w:pP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E8F" w:rsidRPr="00BD0E8F" w:rsidP="00BD0E8F" w14:paraId="16E80851" w14:textId="77777777">
            <w:pPr>
              <w:spacing w:after="0" w:line="240" w:lineRule="auto"/>
              <w:rPr>
                <w:rFonts w:ascii="Times New Roman" w:hAnsi="Times New Roman"/>
                <w:bCs/>
              </w:rPr>
            </w:pPr>
          </w:p>
        </w:tc>
        <w:tc>
          <w:tcPr>
            <w:tcW w:w="656" w:type="pct"/>
            <w:tcBorders>
              <w:top w:val="single" w:sz="4" w:space="0" w:color="auto"/>
              <w:left w:val="single" w:sz="4" w:space="0" w:color="auto"/>
              <w:bottom w:val="single" w:sz="4" w:space="0" w:color="auto"/>
              <w:right w:val="single" w:sz="4" w:space="0" w:color="auto"/>
            </w:tcBorders>
            <w:hideMark/>
          </w:tcPr>
          <w:p w:rsidR="00BD0E8F" w:rsidRPr="00BD0E8F" w:rsidP="00BD0E8F" w14:paraId="5E93DB5F" w14:textId="14C54C5F">
            <w:pPr>
              <w:spacing w:after="0" w:line="240" w:lineRule="auto"/>
              <w:rPr>
                <w:rFonts w:ascii="Times New Roman" w:hAnsi="Times New Roman"/>
                <w:b/>
                <w:bCs/>
              </w:rPr>
            </w:pPr>
            <w:r w:rsidRPr="750D58D3">
              <w:rPr>
                <w:rFonts w:ascii="Times New Roman" w:hAnsi="Times New Roman"/>
                <w:b/>
                <w:bCs/>
              </w:rPr>
              <w:t>431</w:t>
            </w:r>
            <w:r>
              <w:rPr>
                <w:rFonts w:ascii="Times New Roman" w:hAnsi="Times New Roman"/>
                <w:b/>
                <w:bCs/>
                <w:vertAlign w:val="superscript"/>
              </w:rPr>
              <w:footnoteReference w:id="22"/>
            </w:r>
            <w:r w:rsidRPr="750D58D3">
              <w:rPr>
                <w:rFonts w:ascii="Times New Roman" w:hAnsi="Times New Roman"/>
                <w:b/>
                <w:bCs/>
              </w:rPr>
              <w:t xml:space="preserve"> (rounded)</w:t>
            </w:r>
          </w:p>
        </w:tc>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E8F" w:rsidRPr="00BD0E8F" w:rsidP="00BD0E8F" w14:paraId="6953C472" w14:textId="77777777">
            <w:pPr>
              <w:spacing w:after="0" w:line="240" w:lineRule="auto"/>
              <w:rPr>
                <w:rFonts w:ascii="Times New Roman" w:hAnsi="Times New Roman"/>
                <w:bCs/>
              </w:rPr>
            </w:pPr>
          </w:p>
        </w:tc>
        <w:tc>
          <w:tcPr>
            <w:tcW w:w="656" w:type="pct"/>
            <w:tcBorders>
              <w:top w:val="single" w:sz="4" w:space="0" w:color="auto"/>
              <w:left w:val="single" w:sz="4" w:space="0" w:color="auto"/>
              <w:bottom w:val="single" w:sz="4" w:space="0" w:color="auto"/>
              <w:right w:val="single" w:sz="4" w:space="0" w:color="auto"/>
            </w:tcBorders>
            <w:hideMark/>
          </w:tcPr>
          <w:p w:rsidR="2E5476B2" w:rsidP="750D58D3" w14:paraId="5244E231" w14:textId="2988A0EA">
            <w:pPr>
              <w:spacing w:after="0" w:line="240" w:lineRule="auto"/>
              <w:rPr>
                <w:rFonts w:ascii="Times New Roman" w:hAnsi="Times New Roman"/>
                <w:b/>
                <w:bCs/>
              </w:rPr>
            </w:pPr>
            <w:r w:rsidRPr="750D58D3">
              <w:rPr>
                <w:rFonts w:ascii="Times New Roman" w:hAnsi="Times New Roman"/>
                <w:b/>
                <w:bCs/>
              </w:rPr>
              <w:t>42,833 hrs.; (rounded) $4,368,956</w:t>
            </w:r>
          </w:p>
          <w:p w:rsidR="00BD0E8F" w:rsidRPr="00BD0E8F" w:rsidP="00BD0E8F" w14:paraId="4C22A54F" w14:textId="77777777">
            <w:pPr>
              <w:spacing w:after="0" w:line="240" w:lineRule="auto"/>
              <w:rPr>
                <w:rFonts w:ascii="Times New Roman" w:hAnsi="Times New Roman"/>
                <w:b/>
                <w:bCs/>
              </w:rPr>
            </w:pP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0E8F" w:rsidRPr="00BD0E8F" w:rsidP="00BD0E8F" w14:paraId="682C977F" w14:textId="77777777">
            <w:pPr>
              <w:spacing w:after="0" w:line="240" w:lineRule="auto"/>
              <w:rPr>
                <w:rFonts w:ascii="Times New Roman" w:hAnsi="Times New Roman"/>
                <w:b/>
                <w:bCs/>
              </w:rPr>
            </w:pPr>
          </w:p>
        </w:tc>
      </w:tr>
    </w:tbl>
    <w:p w:rsidR="007F701C" w:rsidP="001055D8" w14:paraId="1474EB3B" w14:textId="77777777">
      <w:pPr>
        <w:spacing w:after="0" w:line="240" w:lineRule="auto"/>
        <w:rPr>
          <w:rFonts w:ascii="Times New Roman" w:hAnsi="Times New Roman"/>
          <w:sz w:val="26"/>
        </w:rPr>
      </w:pPr>
    </w:p>
    <w:p w:rsidR="00BE208D" w:rsidRPr="00742C91" w:rsidP="007F701C" w14:paraId="6470EA6F" w14:textId="77777777">
      <w:pPr>
        <w:pStyle w:val="FootnoteText"/>
        <w:numPr>
          <w:ilvl w:val="0"/>
          <w:numId w:val="4"/>
        </w:numPr>
        <w:ind w:left="0" w:firstLine="0"/>
        <w:rPr>
          <w:sz w:val="26"/>
        </w:rPr>
      </w:pPr>
      <w:r w:rsidRPr="00742C91">
        <w:rPr>
          <w:b/>
          <w:sz w:val="26"/>
        </w:rPr>
        <w:t>ESTIMATE OF THE TOTAL ANNUAL COST BURDEN TO RESPONDENTS</w:t>
      </w:r>
    </w:p>
    <w:p w:rsidR="00BE208D" w:rsidRPr="00742C91" w:rsidP="00BE208D" w14:paraId="5ADE8069" w14:textId="77777777">
      <w:pPr>
        <w:pStyle w:val="FootnoteText"/>
        <w:rPr>
          <w:b/>
          <w:sz w:val="26"/>
        </w:rPr>
      </w:pPr>
    </w:p>
    <w:p w:rsidR="00BE208D" w:rsidRPr="00742C91" w:rsidP="00BE208D" w14:paraId="24F11F0D" w14:textId="77777777">
      <w:pPr>
        <w:pStyle w:val="FootnoteText"/>
        <w:rPr>
          <w:sz w:val="26"/>
        </w:rPr>
      </w:pPr>
      <w:r w:rsidRPr="00742C91">
        <w:rPr>
          <w:sz w:val="26"/>
        </w:rPr>
        <w:t>There are no non-labor start-up costs. All costs are related to burden hours and are addressed in Questions #12 and #15.</w:t>
      </w:r>
    </w:p>
    <w:p w:rsidR="00BE208D" w:rsidRPr="0028058A" w:rsidP="00BE208D" w14:paraId="51410692" w14:textId="77777777">
      <w:pPr>
        <w:pStyle w:val="FootnoteText"/>
        <w:rPr>
          <w:sz w:val="26"/>
        </w:rPr>
      </w:pPr>
    </w:p>
    <w:p w:rsidR="00BE208D" w:rsidRPr="00101346" w:rsidP="007F701C" w14:paraId="46A5E881" w14:textId="77777777">
      <w:pPr>
        <w:pStyle w:val="FootnoteText"/>
        <w:numPr>
          <w:ilvl w:val="0"/>
          <w:numId w:val="4"/>
        </w:numPr>
        <w:ind w:left="0" w:firstLine="0"/>
        <w:rPr>
          <w:b/>
          <w:sz w:val="26"/>
        </w:rPr>
      </w:pPr>
      <w:r w:rsidRPr="00101346">
        <w:rPr>
          <w:b/>
          <w:sz w:val="26"/>
        </w:rPr>
        <w:t>ESTIMATED ANNUALIZED COST TO FEDERAL GOVERNMENT</w:t>
      </w:r>
    </w:p>
    <w:p w:rsidR="00BE208D" w:rsidRPr="00101346" w:rsidP="00BE208D" w14:paraId="65D5720E" w14:textId="77777777">
      <w:pPr>
        <w:pStyle w:val="FootnoteText"/>
        <w:rPr>
          <w:b/>
          <w:sz w:val="26"/>
        </w:rPr>
      </w:pPr>
    </w:p>
    <w:p w:rsidR="6A7D771D" w:rsidP="750D58D3" w14:paraId="144894F1" w14:textId="467724DF">
      <w:pPr>
        <w:pStyle w:val="FootnoteText"/>
        <w:rPr>
          <w:sz w:val="26"/>
          <w:szCs w:val="26"/>
        </w:rPr>
      </w:pPr>
      <w:r w:rsidRPr="5213A355">
        <w:rPr>
          <w:sz w:val="26"/>
          <w:szCs w:val="26"/>
        </w:rPr>
        <w:t>The estimate of the cost for analysis and processing of filings is based on salaries and benefits for professional and clerical support</w:t>
      </w:r>
      <w:r w:rsidRPr="5213A355">
        <w:rPr>
          <w:sz w:val="26"/>
          <w:szCs w:val="26"/>
        </w:rPr>
        <w:t xml:space="preserve">.  </w:t>
      </w:r>
      <w:r w:rsidRPr="5213A355">
        <w:rPr>
          <w:sz w:val="26"/>
          <w:szCs w:val="26"/>
        </w:rPr>
        <w:t>The Commission</w:t>
      </w:r>
      <w:r w:rsidRPr="5213A355" w:rsidR="0D41896F">
        <w:rPr>
          <w:sz w:val="26"/>
          <w:szCs w:val="26"/>
        </w:rPr>
        <w:t xml:space="preserve"> also</w:t>
      </w:r>
      <w:r w:rsidRPr="5213A355">
        <w:rPr>
          <w:sz w:val="26"/>
          <w:szCs w:val="26"/>
        </w:rPr>
        <w:t xml:space="preserve"> incurs costs associated with obt</w:t>
      </w:r>
      <w:r w:rsidRPr="5213A355">
        <w:rPr>
          <w:sz w:val="26"/>
          <w:szCs w:val="26"/>
        </w:rPr>
        <w:t>ain</w:t>
      </w:r>
      <w:r w:rsidRPr="5213A355">
        <w:rPr>
          <w:sz w:val="26"/>
          <w:szCs w:val="26"/>
        </w:rPr>
        <w:t>ing OMB clearance for the FER</w:t>
      </w:r>
      <w:r w:rsidRPr="5213A355">
        <w:rPr>
          <w:sz w:val="26"/>
          <w:szCs w:val="26"/>
        </w:rPr>
        <w:t>C-</w:t>
      </w:r>
      <w:r w:rsidRPr="5213A355" w:rsidR="004A7645">
        <w:rPr>
          <w:sz w:val="26"/>
          <w:szCs w:val="26"/>
        </w:rPr>
        <w:t>5</w:t>
      </w:r>
      <w:r w:rsidRPr="5213A355" w:rsidR="004A7645">
        <w:rPr>
          <w:sz w:val="26"/>
          <w:szCs w:val="26"/>
        </w:rPr>
        <w:t>37</w:t>
      </w:r>
      <w:r w:rsidRPr="5213A355">
        <w:rPr>
          <w:sz w:val="26"/>
          <w:szCs w:val="26"/>
        </w:rPr>
        <w:t xml:space="preserve"> information collection under the Paperwork Reduction Act (PRA). The PRA Administrative Cost is a federal cost associated with prep</w:t>
      </w:r>
      <w:r w:rsidRPr="5213A355">
        <w:rPr>
          <w:sz w:val="26"/>
          <w:szCs w:val="26"/>
        </w:rPr>
        <w:t>ari</w:t>
      </w:r>
      <w:r w:rsidRPr="5213A355">
        <w:rPr>
          <w:sz w:val="26"/>
          <w:szCs w:val="26"/>
        </w:rPr>
        <w:t xml:space="preserve">ng, issuing, and </w:t>
      </w:r>
      <w:r w:rsidRPr="5213A355">
        <w:rPr>
          <w:sz w:val="26"/>
          <w:szCs w:val="26"/>
        </w:rPr>
        <w:t>submitting</w:t>
      </w:r>
      <w:r w:rsidRPr="5213A355">
        <w:rPr>
          <w:sz w:val="26"/>
          <w:szCs w:val="26"/>
        </w:rPr>
        <w:t xml:space="preserve"> materials necessary to </w:t>
      </w:r>
      <w:r w:rsidRPr="5213A355">
        <w:rPr>
          <w:sz w:val="26"/>
          <w:szCs w:val="26"/>
        </w:rPr>
        <w:t>comply with</w:t>
      </w:r>
      <w:r w:rsidRPr="5213A355">
        <w:rPr>
          <w:sz w:val="26"/>
          <w:szCs w:val="26"/>
        </w:rPr>
        <w:t xml:space="preserve"> the PRA </w:t>
      </w:r>
      <w:r w:rsidRPr="5213A355">
        <w:rPr>
          <w:sz w:val="26"/>
          <w:szCs w:val="26"/>
        </w:rPr>
        <w:t>for</w:t>
      </w:r>
      <w:r w:rsidRPr="5213A355">
        <w:rPr>
          <w:sz w:val="26"/>
          <w:szCs w:val="26"/>
        </w:rPr>
        <w:t xml:space="preserve"> any vehicle (including a rulemaking) used to create, </w:t>
      </w:r>
      <w:r w:rsidRPr="5213A355">
        <w:rPr>
          <w:sz w:val="26"/>
          <w:szCs w:val="26"/>
        </w:rPr>
        <w:t>modify</w:t>
      </w:r>
      <w:r w:rsidRPr="5213A355">
        <w:rPr>
          <w:sz w:val="26"/>
          <w:szCs w:val="26"/>
        </w:rPr>
        <w:t xml:space="preserve">, extend, or </w:t>
      </w:r>
      <w:r w:rsidRPr="5213A355">
        <w:rPr>
          <w:sz w:val="26"/>
          <w:szCs w:val="26"/>
        </w:rPr>
        <w:t>discontinue</w:t>
      </w:r>
      <w:r w:rsidRPr="5213A355">
        <w:rPr>
          <w:sz w:val="26"/>
          <w:szCs w:val="26"/>
        </w:rPr>
        <w:t xml:space="preserve"> an information collection</w:t>
      </w:r>
      <w:r w:rsidRPr="5213A355">
        <w:rPr>
          <w:sz w:val="26"/>
          <w:szCs w:val="26"/>
        </w:rPr>
        <w:t xml:space="preserve">.  </w:t>
      </w:r>
      <w:r w:rsidRPr="5213A355">
        <w:rPr>
          <w:sz w:val="26"/>
          <w:szCs w:val="26"/>
        </w:rPr>
        <w:t>This average annual cost includes requests for extensions, all associated rulemakings and orders, other changes to the collection, and associated publications in the Federal Register.</w:t>
      </w:r>
    </w:p>
    <w:p w:rsidR="750D58D3" w:rsidP="750D58D3" w14:paraId="0F815044" w14:textId="51D714E9">
      <w:pPr>
        <w:pStyle w:val="FootnoteText"/>
        <w:rPr>
          <w:sz w:val="26"/>
          <w:szCs w:val="26"/>
        </w:rPr>
      </w:pPr>
    </w:p>
    <w:p w:rsidR="750D58D3" w:rsidP="750D58D3" w14:paraId="590490CC" w14:textId="216B1CEA">
      <w:pPr>
        <w:pStyle w:val="FootnoteText"/>
        <w:rPr>
          <w:sz w:val="26"/>
          <w:szCs w:val="26"/>
        </w:rPr>
      </w:pPr>
    </w:p>
    <w:p w:rsidR="750D58D3" w14:paraId="53F0D6B0" w14:textId="2B1F3EA2">
      <w:r>
        <w:br w:type="page"/>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3180"/>
        <w:gridCol w:w="3195"/>
        <w:gridCol w:w="2985"/>
      </w:tblGrid>
      <w:tr w14:paraId="5812C500" w14:textId="77777777" w:rsidTr="750D58D3">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555"/>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45" w:type="dxa"/>
              <w:left w:w="105" w:type="dxa"/>
              <w:right w:w="45" w:type="dxa"/>
            </w:tcMar>
          </w:tcPr>
          <w:p w:rsidR="167EF469" w:rsidP="167EF469" w14:paraId="694E4848" w14:textId="77777777">
            <w:pPr>
              <w:spacing w:line="259" w:lineRule="auto"/>
              <w:rPr>
                <w:rFonts w:ascii="Times New Roman" w:eastAsia="Times New Roman" w:hAnsi="Times New Roman" w:cs="Times New Roman"/>
                <w:color w:val="000000" w:themeColor="text1"/>
                <w:sz w:val="26"/>
                <w:szCs w:val="26"/>
              </w:rPr>
            </w:pPr>
          </w:p>
        </w:tc>
        <w:tc>
          <w:tcPr>
            <w:tcW w:w="3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45" w:type="dxa"/>
              <w:left w:w="105" w:type="dxa"/>
              <w:right w:w="45" w:type="dxa"/>
            </w:tcMar>
            <w:vAlign w:val="bottom"/>
          </w:tcPr>
          <w:p w:rsidR="167EF469" w:rsidP="003F0F1C" w14:paraId="7B37E5B1" w14:textId="4D454155">
            <w:pPr>
              <w:jc w:val="center"/>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b/>
                <w:bCs/>
                <w:color w:val="000000" w:themeColor="text1"/>
                <w:sz w:val="26"/>
                <w:szCs w:val="26"/>
              </w:rPr>
              <w:t>Number of Employees (FTE)</w:t>
            </w:r>
            <w:r>
              <w:rPr>
                <w:rStyle w:val="FootnoteReference"/>
                <w:rFonts w:eastAsia="Times New Roman"/>
                <w:b w:val="0"/>
                <w:color w:val="000000" w:themeColor="text1"/>
              </w:rPr>
              <w:footnoteReference w:id="23"/>
            </w:r>
          </w:p>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45" w:type="dxa"/>
              <w:left w:w="105" w:type="dxa"/>
              <w:right w:w="45" w:type="dxa"/>
            </w:tcMar>
            <w:vAlign w:val="bottom"/>
          </w:tcPr>
          <w:p w:rsidR="167EF469" w:rsidP="003F0F1C" w14:paraId="2A73BAF4" w14:textId="77777777">
            <w:pPr>
              <w:jc w:val="center"/>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b/>
                <w:bCs/>
                <w:color w:val="000000" w:themeColor="text1"/>
                <w:sz w:val="26"/>
                <w:szCs w:val="26"/>
              </w:rPr>
              <w:t>Estimated Annual Federal</w:t>
            </w:r>
          </w:p>
          <w:p w:rsidR="167EF469" w:rsidP="003F0F1C" w14:paraId="34D7DBA9" w14:textId="77777777">
            <w:pPr>
              <w:jc w:val="center"/>
              <w:rPr>
                <w:rFonts w:ascii="Times New Roman" w:eastAsia="Times New Roman" w:hAnsi="Times New Roman" w:cs="Times New Roman"/>
                <w:color w:val="000000" w:themeColor="text1"/>
                <w:sz w:val="26"/>
                <w:szCs w:val="26"/>
              </w:rPr>
            </w:pPr>
            <w:r w:rsidRPr="0D561EAA">
              <w:rPr>
                <w:rFonts w:ascii="Times New Roman" w:eastAsia="Times New Roman" w:hAnsi="Times New Roman" w:cs="Times New Roman"/>
                <w:b/>
                <w:bCs/>
                <w:color w:val="000000" w:themeColor="text1"/>
                <w:sz w:val="26"/>
                <w:szCs w:val="26"/>
              </w:rPr>
              <w:t>Cost</w:t>
            </w:r>
          </w:p>
        </w:tc>
      </w:tr>
      <w:tr w14:paraId="5E5E8DDA" w14:textId="77777777" w:rsidTr="750D58D3">
        <w:tblPrEx>
          <w:tblW w:w="0" w:type="auto"/>
          <w:tblLayout w:type="fixed"/>
          <w:tblLook w:val="0000"/>
        </w:tblPrEx>
        <w:trPr>
          <w:trHeight w:val="555"/>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rsidR="167EF469" w:rsidP="167EF469" w14:paraId="631C6C56" w14:textId="77777777">
            <w:pPr>
              <w:spacing w:line="259" w:lineRule="auto"/>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color w:val="000000" w:themeColor="text1"/>
                <w:sz w:val="26"/>
                <w:szCs w:val="26"/>
              </w:rPr>
              <w:t xml:space="preserve">Analysis and Processing of filings </w:t>
            </w:r>
          </w:p>
        </w:tc>
        <w:tc>
          <w:tcPr>
            <w:tcW w:w="31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vAlign w:val="bottom"/>
          </w:tcPr>
          <w:p w:rsidR="167EF469" w:rsidP="167EF469" w14:paraId="54750931" w14:textId="77777777">
            <w:pPr>
              <w:spacing w:line="259" w:lineRule="auto"/>
              <w:ind w:right="62"/>
              <w:jc w:val="right"/>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color w:val="000000" w:themeColor="text1"/>
                <w:sz w:val="26"/>
                <w:szCs w:val="26"/>
              </w:rPr>
              <w:t xml:space="preserve">4 </w:t>
            </w:r>
          </w:p>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vAlign w:val="bottom"/>
          </w:tcPr>
          <w:p w:rsidR="167EF469" w:rsidP="167EF469" w14:paraId="28EE707F" w14:textId="4D8B2EA6">
            <w:pPr>
              <w:spacing w:line="259" w:lineRule="auto"/>
              <w:ind w:right="60"/>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7C09CE">
              <w:rPr>
                <w:rFonts w:ascii="Times New Roman" w:eastAsia="Times New Roman" w:hAnsi="Times New Roman" w:cs="Times New Roman"/>
                <w:color w:val="000000" w:themeColor="text1"/>
                <w:sz w:val="26"/>
                <w:szCs w:val="26"/>
              </w:rPr>
              <w:t>852,012</w:t>
            </w:r>
          </w:p>
        </w:tc>
      </w:tr>
      <w:tr w14:paraId="77FC8C3E" w14:textId="77777777" w:rsidTr="750D58D3">
        <w:tblPrEx>
          <w:tblW w:w="0" w:type="auto"/>
          <w:tblLayout w:type="fixed"/>
          <w:tblLook w:val="0000"/>
        </w:tblPrEx>
        <w:trPr>
          <w:trHeight w:val="285"/>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rsidR="167EF469" w:rsidP="167EF469" w14:paraId="6C74DC9A" w14:textId="77777777">
            <w:pPr>
              <w:spacing w:line="259" w:lineRule="auto"/>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color w:val="000000" w:themeColor="text1"/>
                <w:sz w:val="26"/>
                <w:szCs w:val="26"/>
              </w:rPr>
              <w:t xml:space="preserve">PRA Administrative Cost </w:t>
            </w:r>
          </w:p>
        </w:tc>
        <w:tc>
          <w:tcPr>
            <w:tcW w:w="31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105" w:type="dxa"/>
              <w:right w:w="45" w:type="dxa"/>
            </w:tcMar>
            <w:vAlign w:val="center"/>
          </w:tcPr>
          <w:p w:rsidR="167EF469" w:rsidP="167EF469" w14:paraId="5A3FFC2D" w14:textId="77777777">
            <w:pPr>
              <w:spacing w:line="259" w:lineRule="auto"/>
              <w:ind w:right="2"/>
              <w:jc w:val="right"/>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color w:val="000000" w:themeColor="text1"/>
                <w:sz w:val="26"/>
                <w:szCs w:val="26"/>
              </w:rPr>
              <w:t xml:space="preserve"> </w:t>
            </w:r>
          </w:p>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rsidR="167EF469" w:rsidP="167EF469" w14:paraId="63BA2A7B" w14:textId="2DCBEA26">
            <w:pPr>
              <w:spacing w:line="259" w:lineRule="auto"/>
              <w:ind w:right="60"/>
              <w:jc w:val="right"/>
              <w:rPr>
                <w:rFonts w:ascii="Times New Roman" w:eastAsia="Times New Roman" w:hAnsi="Times New Roman" w:cs="Times New Roman"/>
                <w:color w:val="000000" w:themeColor="text1"/>
                <w:sz w:val="26"/>
                <w:szCs w:val="26"/>
              </w:rPr>
            </w:pPr>
            <w:r w:rsidRPr="00747C6B">
              <w:rPr>
                <w:rFonts w:ascii="Times New Roman" w:eastAsia="Times New Roman" w:hAnsi="Times New Roman" w:cs="Times New Roman"/>
                <w:color w:val="000000" w:themeColor="text1"/>
                <w:sz w:val="26"/>
                <w:szCs w:val="26"/>
              </w:rPr>
              <w:t>$</w:t>
            </w:r>
            <w:r w:rsidRPr="00B50D3F" w:rsidR="00B50D3F">
              <w:rPr>
                <w:rFonts w:ascii="Times New Roman" w:eastAsia="Times New Roman" w:hAnsi="Times New Roman" w:cs="Times New Roman"/>
                <w:color w:val="000000" w:themeColor="text1"/>
                <w:sz w:val="26"/>
                <w:szCs w:val="26"/>
              </w:rPr>
              <w:t>8,</w:t>
            </w:r>
            <w:r w:rsidR="007C09CE">
              <w:rPr>
                <w:rFonts w:ascii="Times New Roman" w:eastAsia="Times New Roman" w:hAnsi="Times New Roman" w:cs="Times New Roman"/>
                <w:color w:val="000000" w:themeColor="text1"/>
                <w:sz w:val="26"/>
                <w:szCs w:val="26"/>
              </w:rPr>
              <w:t>404</w:t>
            </w:r>
          </w:p>
        </w:tc>
      </w:tr>
      <w:tr w14:paraId="5BB71379" w14:textId="77777777" w:rsidTr="750D58D3">
        <w:tblPrEx>
          <w:tblW w:w="0" w:type="auto"/>
          <w:tblLayout w:type="fixed"/>
          <w:tblLook w:val="0000"/>
        </w:tblPrEx>
        <w:trPr>
          <w:trHeight w:val="270"/>
        </w:trPr>
        <w:tc>
          <w:tcPr>
            <w:tcW w:w="31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rsidR="167EF469" w:rsidP="167EF469" w14:paraId="2E9D2561" w14:textId="77777777">
            <w:pPr>
              <w:spacing w:line="259" w:lineRule="auto"/>
              <w:rPr>
                <w:rFonts w:ascii="Times New Roman" w:eastAsia="Times New Roman" w:hAnsi="Times New Roman" w:cs="Times New Roman"/>
                <w:color w:val="000000" w:themeColor="text1"/>
                <w:sz w:val="26"/>
                <w:szCs w:val="26"/>
              </w:rPr>
            </w:pPr>
            <w:r w:rsidRPr="167EF469">
              <w:rPr>
                <w:rFonts w:ascii="Times New Roman" w:eastAsia="Times New Roman" w:hAnsi="Times New Roman" w:cs="Times New Roman"/>
                <w:b/>
                <w:bCs/>
                <w:color w:val="000000" w:themeColor="text1"/>
                <w:sz w:val="26"/>
                <w:szCs w:val="26"/>
              </w:rPr>
              <w:t xml:space="preserve">FERC Total </w:t>
            </w:r>
          </w:p>
        </w:tc>
        <w:tc>
          <w:tcPr>
            <w:tcW w:w="3195" w:type="dxa"/>
            <w:vMerge/>
            <w:vAlign w:val="center"/>
          </w:tcPr>
          <w:p w:rsidR="00A63904" w14:paraId="5DAFC1A5" w14:textId="77777777"/>
        </w:tc>
        <w:tc>
          <w:tcPr>
            <w:tcW w:w="2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105" w:type="dxa"/>
              <w:right w:w="45" w:type="dxa"/>
            </w:tcMar>
          </w:tcPr>
          <w:p w:rsidR="167EF469" w:rsidP="167EF469" w14:paraId="3AA4B4C1" w14:textId="0A1BDB1D">
            <w:pPr>
              <w:spacing w:line="259" w:lineRule="auto"/>
              <w:ind w:right="60"/>
              <w:jc w:val="right"/>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E01D7B">
              <w:rPr>
                <w:rFonts w:ascii="Times New Roman" w:eastAsia="Times New Roman" w:hAnsi="Times New Roman" w:cs="Times New Roman"/>
                <w:color w:val="000000" w:themeColor="text1"/>
                <w:sz w:val="26"/>
                <w:szCs w:val="26"/>
              </w:rPr>
              <w:t>860,416</w:t>
            </w:r>
          </w:p>
        </w:tc>
      </w:tr>
    </w:tbl>
    <w:p w:rsidR="00BD6E39" w:rsidP="00BD6E39" w14:paraId="1972EE1D" w14:textId="77777777">
      <w:pPr>
        <w:pStyle w:val="FootnoteText"/>
        <w:rPr>
          <w:b/>
          <w:bCs/>
          <w:sz w:val="26"/>
          <w:szCs w:val="26"/>
        </w:rPr>
      </w:pPr>
    </w:p>
    <w:p w:rsidR="00BE208D" w:rsidRPr="00975B38" w:rsidP="00BD6E39" w14:paraId="69258A40" w14:textId="77777777">
      <w:pPr>
        <w:pStyle w:val="FootnoteText"/>
        <w:numPr>
          <w:ilvl w:val="0"/>
          <w:numId w:val="4"/>
        </w:numPr>
        <w:ind w:left="0" w:firstLine="0"/>
        <w:rPr>
          <w:b/>
          <w:sz w:val="26"/>
        </w:rPr>
      </w:pPr>
      <w:r w:rsidRPr="00975B38">
        <w:rPr>
          <w:b/>
          <w:sz w:val="26"/>
        </w:rPr>
        <w:t>REASONS FOR CHANGES IN BURDEN INCLUDING THE NEED FOR ANY INCREASE</w:t>
      </w:r>
    </w:p>
    <w:p w:rsidR="00BE208D" w:rsidRPr="00975B38" w:rsidP="00BE208D" w14:paraId="6035B089" w14:textId="77777777">
      <w:pPr>
        <w:pStyle w:val="FootnoteText"/>
        <w:rPr>
          <w:b/>
          <w:sz w:val="26"/>
        </w:rPr>
      </w:pPr>
    </w:p>
    <w:p w:rsidR="00074345" w:rsidRPr="00074345" w:rsidP="00074345" w14:paraId="4647429D" w14:textId="77777777">
      <w:pPr>
        <w:pStyle w:val="FootnoteText"/>
        <w:rPr>
          <w:sz w:val="26"/>
          <w:szCs w:val="26"/>
        </w:rPr>
      </w:pPr>
      <w:r w:rsidRPr="00074345">
        <w:rPr>
          <w:sz w:val="26"/>
          <w:szCs w:val="26"/>
        </w:rPr>
        <w:t>The Commission estimates that the proposals in this notice of proposed rulemaking</w:t>
      </w:r>
      <w:r w:rsidRPr="00074345">
        <w:rPr>
          <w:sz w:val="26"/>
          <w:szCs w:val="26"/>
        </w:rPr>
        <w:t xml:space="preserve"> </w:t>
      </w:r>
      <w:r w:rsidRPr="00074345">
        <w:rPr>
          <w:sz w:val="26"/>
          <w:szCs w:val="26"/>
        </w:rPr>
        <w:t xml:space="preserve">will expand the scope and scale of projects that interstate natural gas pipelines may construct without a case-specific authorization order and increase the cost limits for such projects, among other changes.  As a result, these proposals would reduce the number of full applications and reporting burden. </w:t>
      </w:r>
    </w:p>
    <w:p w:rsidR="00995631" w:rsidRPr="00995631" w:rsidP="00995631" w14:paraId="28A5D279" w14:textId="77777777">
      <w:pPr>
        <w:pStyle w:val="FootnoteText"/>
        <w:rPr>
          <w:sz w:val="26"/>
          <w:szCs w:val="26"/>
        </w:rPr>
      </w:pPr>
    </w:p>
    <w:p w:rsidR="00995631" w:rsidRPr="00995631" w:rsidP="00995631" w14:paraId="7C883FA6" w14:textId="77777777">
      <w:pPr>
        <w:pStyle w:val="FootnoteText"/>
        <w:rPr>
          <w:sz w:val="26"/>
          <w:szCs w:val="26"/>
        </w:rPr>
      </w:pPr>
      <w:r w:rsidRPr="00995631">
        <w:rPr>
          <w:sz w:val="26"/>
          <w:szCs w:val="26"/>
        </w:rPr>
        <w:t>The following table shows the total burden of the new collection of information.  The format, labels, and definitions of the table follow the ROCIS submission system’s “Information Collection Request Summary of Burden” for the metadata.</w:t>
      </w:r>
    </w:p>
    <w:p w:rsidR="005E454A" w:rsidRPr="005E454A" w:rsidP="005E454A" w14:paraId="4A5F1245" w14:textId="77777777">
      <w:pPr>
        <w:pStyle w:val="FootnoteText"/>
        <w:rPr>
          <w:b/>
        </w:rPr>
      </w:pPr>
    </w:p>
    <w:tbl>
      <w:tblPr>
        <w:tblStyle w:val="TableGrid"/>
        <w:tblW w:w="0" w:type="auto"/>
        <w:tblLook w:val="04A0"/>
      </w:tblPr>
      <w:tblGrid>
        <w:gridCol w:w="1870"/>
        <w:gridCol w:w="1870"/>
        <w:gridCol w:w="1870"/>
        <w:gridCol w:w="1870"/>
        <w:gridCol w:w="1870"/>
      </w:tblGrid>
      <w:tr w14:paraId="0E3C26FA" w14:textId="77777777" w:rsidTr="750D58D3">
        <w:tblPrEx>
          <w:tblW w:w="0" w:type="auto"/>
          <w:tblLook w:val="04A0"/>
        </w:tblPrEx>
        <w:tc>
          <w:tcPr>
            <w:tcW w:w="1870" w:type="dxa"/>
            <w:shd w:val="clear" w:color="auto" w:fill="D9D9D9" w:themeFill="background1" w:themeFillShade="D9"/>
            <w:vAlign w:val="bottom"/>
          </w:tcPr>
          <w:p w:rsidR="005E454A" w:rsidRPr="005E454A" w:rsidP="005E454A" w14:paraId="3C4CADF2" w14:textId="77777777">
            <w:pPr>
              <w:pStyle w:val="FootnoteText"/>
              <w:rPr>
                <w:b/>
              </w:rPr>
            </w:pPr>
          </w:p>
        </w:tc>
        <w:tc>
          <w:tcPr>
            <w:tcW w:w="1870" w:type="dxa"/>
            <w:shd w:val="clear" w:color="auto" w:fill="D9D9D9" w:themeFill="background1" w:themeFillShade="D9"/>
            <w:vAlign w:val="bottom"/>
          </w:tcPr>
          <w:p w:rsidR="005E454A" w:rsidRPr="005E454A" w:rsidP="750D58D3" w14:paraId="64B9DE53" w14:textId="44EA5289">
            <w:pPr>
              <w:pStyle w:val="FootnoteText"/>
              <w:jc w:val="center"/>
              <w:rPr>
                <w:b/>
                <w:bCs/>
              </w:rPr>
            </w:pPr>
            <w:r w:rsidRPr="750D58D3">
              <w:rPr>
                <w:b/>
                <w:bCs/>
              </w:rPr>
              <w:t>Total Request</w:t>
            </w:r>
            <w:r w:rsidRPr="750D58D3" w:rsidR="73203C94">
              <w:rPr>
                <w:b/>
                <w:bCs/>
              </w:rPr>
              <w:t xml:space="preserve"> (Rounded</w:t>
            </w:r>
            <w:r w:rsidRPr="750D58D3" w:rsidR="73203C94">
              <w:rPr>
                <w:b/>
                <w:bCs/>
                <w:vertAlign w:val="superscript"/>
              </w:rPr>
              <w:t>)</w:t>
            </w:r>
            <w:r>
              <w:rPr>
                <w:b/>
                <w:bCs/>
                <w:vertAlign w:val="superscript"/>
              </w:rPr>
              <w:footnoteReference w:id="24"/>
            </w:r>
          </w:p>
        </w:tc>
        <w:tc>
          <w:tcPr>
            <w:tcW w:w="1870" w:type="dxa"/>
            <w:shd w:val="clear" w:color="auto" w:fill="D9D9D9" w:themeFill="background1" w:themeFillShade="D9"/>
            <w:vAlign w:val="bottom"/>
          </w:tcPr>
          <w:p w:rsidR="005E454A" w:rsidRPr="005E454A" w:rsidP="00C55184" w14:paraId="499305F2" w14:textId="77777777">
            <w:pPr>
              <w:pStyle w:val="FootnoteText"/>
              <w:jc w:val="center"/>
              <w:rPr>
                <w:b/>
              </w:rPr>
            </w:pPr>
            <w:r w:rsidRPr="005E454A">
              <w:rPr>
                <w:b/>
              </w:rPr>
              <w:t>Previously Approved</w:t>
            </w:r>
            <w:r w:rsidR="00C55184">
              <w:rPr>
                <w:b/>
              </w:rPr>
              <w:t xml:space="preserve"> (Rounded)</w:t>
            </w:r>
          </w:p>
        </w:tc>
        <w:tc>
          <w:tcPr>
            <w:tcW w:w="1870" w:type="dxa"/>
            <w:shd w:val="clear" w:color="auto" w:fill="D9D9D9" w:themeFill="background1" w:themeFillShade="D9"/>
            <w:vAlign w:val="bottom"/>
          </w:tcPr>
          <w:p w:rsidR="005E454A" w:rsidRPr="005E454A" w:rsidP="00C55184" w14:paraId="2857EF0E" w14:textId="77777777">
            <w:pPr>
              <w:pStyle w:val="FootnoteText"/>
              <w:jc w:val="center"/>
              <w:rPr>
                <w:b/>
              </w:rPr>
            </w:pPr>
            <w:r w:rsidRPr="005E454A">
              <w:rPr>
                <w:b/>
              </w:rPr>
              <w:t>Change Due to Adjustment in Estimate</w:t>
            </w:r>
          </w:p>
        </w:tc>
        <w:tc>
          <w:tcPr>
            <w:tcW w:w="1870" w:type="dxa"/>
            <w:shd w:val="clear" w:color="auto" w:fill="D9D9D9" w:themeFill="background1" w:themeFillShade="D9"/>
            <w:vAlign w:val="bottom"/>
          </w:tcPr>
          <w:p w:rsidR="005E454A" w:rsidRPr="005E454A" w:rsidP="00C55184" w14:paraId="507AB344" w14:textId="77777777">
            <w:pPr>
              <w:pStyle w:val="FootnoteText"/>
              <w:jc w:val="center"/>
              <w:rPr>
                <w:b/>
              </w:rPr>
            </w:pPr>
            <w:r w:rsidRPr="005E454A">
              <w:rPr>
                <w:b/>
              </w:rPr>
              <w:t>Change Due to Agency Discretion</w:t>
            </w:r>
          </w:p>
        </w:tc>
      </w:tr>
      <w:tr w14:paraId="40575AFF" w14:textId="77777777" w:rsidTr="750D58D3">
        <w:tblPrEx>
          <w:tblW w:w="0" w:type="auto"/>
          <w:tblLook w:val="04A0"/>
        </w:tblPrEx>
        <w:tc>
          <w:tcPr>
            <w:tcW w:w="1870" w:type="dxa"/>
            <w:vAlign w:val="bottom"/>
          </w:tcPr>
          <w:p w:rsidR="005E454A" w:rsidRPr="005E454A" w:rsidP="005E454A" w14:paraId="34AFEE2F" w14:textId="77777777">
            <w:pPr>
              <w:pStyle w:val="FootnoteText"/>
              <w:rPr>
                <w:bCs/>
              </w:rPr>
            </w:pPr>
            <w:r w:rsidRPr="005E454A">
              <w:rPr>
                <w:bCs/>
              </w:rPr>
              <w:t>Annual Number of Responses</w:t>
            </w:r>
          </w:p>
        </w:tc>
        <w:tc>
          <w:tcPr>
            <w:tcW w:w="1870" w:type="dxa"/>
            <w:vAlign w:val="bottom"/>
          </w:tcPr>
          <w:p w:rsidR="005E454A" w:rsidRPr="005E454A" w:rsidP="750D58D3" w14:paraId="5C513EBD" w14:textId="7961EA02">
            <w:pPr>
              <w:pStyle w:val="FootnoteText"/>
              <w:jc w:val="right"/>
            </w:pPr>
            <w:r>
              <w:t>431</w:t>
            </w:r>
          </w:p>
        </w:tc>
        <w:tc>
          <w:tcPr>
            <w:tcW w:w="1870" w:type="dxa"/>
            <w:vAlign w:val="bottom"/>
          </w:tcPr>
          <w:p w:rsidR="005E454A" w:rsidRPr="005E454A" w:rsidP="00E40B2B" w14:paraId="33E0C54F" w14:textId="2FB4B82C">
            <w:pPr>
              <w:pStyle w:val="FootnoteText"/>
              <w:jc w:val="right"/>
              <w:rPr>
                <w:bCs/>
              </w:rPr>
            </w:pPr>
            <w:r>
              <w:rPr>
                <w:bCs/>
              </w:rPr>
              <w:t>444</w:t>
            </w:r>
          </w:p>
        </w:tc>
        <w:tc>
          <w:tcPr>
            <w:tcW w:w="1870" w:type="dxa"/>
            <w:vAlign w:val="bottom"/>
          </w:tcPr>
          <w:p w:rsidR="005E454A" w:rsidRPr="005E454A" w:rsidP="00E40B2B" w14:paraId="50FE29B6" w14:textId="77777777">
            <w:pPr>
              <w:pStyle w:val="FootnoteText"/>
              <w:jc w:val="right"/>
              <w:rPr>
                <w:bCs/>
              </w:rPr>
            </w:pPr>
            <w:r w:rsidRPr="005E454A">
              <w:rPr>
                <w:bCs/>
              </w:rPr>
              <w:t>0</w:t>
            </w:r>
          </w:p>
        </w:tc>
        <w:tc>
          <w:tcPr>
            <w:tcW w:w="1870" w:type="dxa"/>
            <w:vAlign w:val="bottom"/>
          </w:tcPr>
          <w:p w:rsidR="005E454A" w:rsidRPr="005E454A" w:rsidP="750D58D3" w14:paraId="419305EE" w14:textId="3694AF47">
            <w:pPr>
              <w:pStyle w:val="FootnoteText"/>
              <w:jc w:val="right"/>
            </w:pPr>
            <w:r>
              <w:t>-1</w:t>
            </w:r>
            <w:r w:rsidR="520F598A">
              <w:t>3</w:t>
            </w:r>
          </w:p>
        </w:tc>
      </w:tr>
      <w:tr w14:paraId="241F48B5" w14:textId="77777777" w:rsidTr="750D58D3">
        <w:tblPrEx>
          <w:tblW w:w="0" w:type="auto"/>
          <w:tblLook w:val="04A0"/>
        </w:tblPrEx>
        <w:tc>
          <w:tcPr>
            <w:tcW w:w="1870" w:type="dxa"/>
          </w:tcPr>
          <w:p w:rsidR="00C55184" w:rsidRPr="005E454A" w:rsidP="00C55184" w14:paraId="724AB2D0" w14:textId="77777777">
            <w:pPr>
              <w:pStyle w:val="FootnoteText"/>
              <w:rPr>
                <w:bCs/>
              </w:rPr>
            </w:pPr>
            <w:r w:rsidRPr="005E454A">
              <w:rPr>
                <w:bCs/>
              </w:rPr>
              <w:t>Annual Time Burden (Hrs.)</w:t>
            </w:r>
          </w:p>
        </w:tc>
        <w:tc>
          <w:tcPr>
            <w:tcW w:w="1870" w:type="dxa"/>
            <w:vAlign w:val="bottom"/>
          </w:tcPr>
          <w:p w:rsidR="00C55184" w:rsidRPr="005E454A" w:rsidP="00C55184" w14:paraId="36BACF06" w14:textId="1441D571">
            <w:pPr>
              <w:pStyle w:val="FootnoteText"/>
              <w:jc w:val="right"/>
            </w:pPr>
            <w:r>
              <w:t>42,833</w:t>
            </w:r>
          </w:p>
        </w:tc>
        <w:tc>
          <w:tcPr>
            <w:tcW w:w="1870" w:type="dxa"/>
            <w:vAlign w:val="bottom"/>
          </w:tcPr>
          <w:p w:rsidR="00C55184" w:rsidRPr="005E454A" w:rsidP="00C55184" w14:paraId="37A4DD97" w14:textId="50BECF3D">
            <w:pPr>
              <w:pStyle w:val="FootnoteText"/>
              <w:jc w:val="right"/>
              <w:rPr>
                <w:bCs/>
              </w:rPr>
            </w:pPr>
            <w:r>
              <w:rPr>
                <w:bCs/>
              </w:rPr>
              <w:t>49,091</w:t>
            </w:r>
          </w:p>
        </w:tc>
        <w:tc>
          <w:tcPr>
            <w:tcW w:w="1870" w:type="dxa"/>
            <w:vAlign w:val="bottom"/>
          </w:tcPr>
          <w:p w:rsidR="00C55184" w:rsidRPr="005E454A" w:rsidP="167EF469" w14:paraId="4AD5BD7A" w14:textId="77777777">
            <w:pPr>
              <w:pStyle w:val="FootnoteText"/>
              <w:jc w:val="right"/>
            </w:pPr>
            <w:r>
              <w:t>0</w:t>
            </w:r>
          </w:p>
        </w:tc>
        <w:tc>
          <w:tcPr>
            <w:tcW w:w="1870" w:type="dxa"/>
            <w:vAlign w:val="bottom"/>
          </w:tcPr>
          <w:p w:rsidR="00C55184" w:rsidRPr="005E454A" w:rsidP="00C55184" w14:paraId="04D2C013" w14:textId="08DD324D">
            <w:pPr>
              <w:pStyle w:val="FootnoteText"/>
              <w:jc w:val="right"/>
            </w:pPr>
            <w:r>
              <w:t>-</w:t>
            </w:r>
            <w:r w:rsidR="29398F82">
              <w:t>6,258</w:t>
            </w:r>
          </w:p>
        </w:tc>
      </w:tr>
      <w:tr w14:paraId="0C5C8627" w14:textId="77777777" w:rsidTr="750D58D3">
        <w:tblPrEx>
          <w:tblW w:w="0" w:type="auto"/>
          <w:tblLook w:val="04A0"/>
        </w:tblPrEx>
        <w:tc>
          <w:tcPr>
            <w:tcW w:w="1870" w:type="dxa"/>
          </w:tcPr>
          <w:p w:rsidR="00C55184" w:rsidRPr="005E454A" w:rsidP="00C55184" w14:paraId="5F351D3F" w14:textId="77777777">
            <w:pPr>
              <w:pStyle w:val="FootnoteText"/>
              <w:rPr>
                <w:bCs/>
              </w:rPr>
            </w:pPr>
            <w:r w:rsidRPr="005E454A">
              <w:rPr>
                <w:bCs/>
              </w:rPr>
              <w:t>Annual Cost Burden ($)</w:t>
            </w:r>
          </w:p>
        </w:tc>
        <w:tc>
          <w:tcPr>
            <w:tcW w:w="1870" w:type="dxa"/>
            <w:vAlign w:val="bottom"/>
          </w:tcPr>
          <w:p w:rsidR="00C55184" w:rsidRPr="005E454A" w:rsidP="00C55184" w14:paraId="13AFDD65" w14:textId="77777777">
            <w:pPr>
              <w:pStyle w:val="FootnoteText"/>
              <w:jc w:val="right"/>
              <w:rPr>
                <w:bCs/>
              </w:rPr>
            </w:pPr>
            <w:r w:rsidRPr="001C33BC">
              <w:rPr>
                <w:bCs/>
              </w:rPr>
              <w:t>$</w:t>
            </w:r>
            <w:r w:rsidR="003526D4">
              <w:rPr>
                <w:bCs/>
              </w:rPr>
              <w:t>0</w:t>
            </w:r>
          </w:p>
        </w:tc>
        <w:tc>
          <w:tcPr>
            <w:tcW w:w="1870" w:type="dxa"/>
            <w:vAlign w:val="bottom"/>
          </w:tcPr>
          <w:p w:rsidR="00C55184" w:rsidRPr="005E454A" w:rsidP="00C55184" w14:paraId="5CCD278F" w14:textId="77777777">
            <w:pPr>
              <w:pStyle w:val="FootnoteText"/>
              <w:jc w:val="right"/>
              <w:rPr>
                <w:bCs/>
              </w:rPr>
            </w:pPr>
            <w:r w:rsidRPr="001C33BC">
              <w:rPr>
                <w:bCs/>
              </w:rPr>
              <w:t>$</w:t>
            </w:r>
            <w:r w:rsidR="003526D4">
              <w:rPr>
                <w:bCs/>
              </w:rPr>
              <w:t>0</w:t>
            </w:r>
          </w:p>
        </w:tc>
        <w:tc>
          <w:tcPr>
            <w:tcW w:w="1870" w:type="dxa"/>
            <w:vAlign w:val="bottom"/>
          </w:tcPr>
          <w:p w:rsidR="00C55184" w:rsidRPr="005E454A" w:rsidP="167EF469" w14:paraId="457377CF" w14:textId="77777777">
            <w:pPr>
              <w:pStyle w:val="FootnoteText"/>
              <w:jc w:val="right"/>
            </w:pPr>
            <w:r>
              <w:t>$0</w:t>
            </w:r>
          </w:p>
        </w:tc>
        <w:tc>
          <w:tcPr>
            <w:tcW w:w="1870" w:type="dxa"/>
            <w:vAlign w:val="bottom"/>
          </w:tcPr>
          <w:p w:rsidR="00C55184" w:rsidRPr="005E454A" w:rsidP="00C55184" w14:paraId="79C81863" w14:textId="77777777">
            <w:pPr>
              <w:pStyle w:val="FootnoteText"/>
              <w:jc w:val="right"/>
              <w:rPr>
                <w:bCs/>
              </w:rPr>
            </w:pPr>
            <w:r w:rsidRPr="005E454A">
              <w:rPr>
                <w:bCs/>
              </w:rPr>
              <w:t>$0</w:t>
            </w:r>
          </w:p>
        </w:tc>
      </w:tr>
    </w:tbl>
    <w:p w:rsidR="00BE208D" w:rsidRPr="00975B38" w:rsidP="00BE208D" w14:paraId="54934721" w14:textId="77777777">
      <w:pPr>
        <w:pStyle w:val="FootnoteText"/>
        <w:rPr>
          <w:b/>
        </w:rPr>
      </w:pPr>
    </w:p>
    <w:p w:rsidR="00BE208D" w:rsidRPr="00975B38" w:rsidP="00EA59F7" w14:paraId="311CA956" w14:textId="77777777">
      <w:pPr>
        <w:pStyle w:val="FootnoteText"/>
        <w:numPr>
          <w:ilvl w:val="0"/>
          <w:numId w:val="4"/>
        </w:numPr>
        <w:ind w:left="0" w:firstLine="0"/>
        <w:rPr>
          <w:b/>
          <w:sz w:val="26"/>
        </w:rPr>
      </w:pPr>
      <w:r w:rsidRPr="00975B38">
        <w:rPr>
          <w:b/>
          <w:sz w:val="26"/>
        </w:rPr>
        <w:t>TIME SCHEDULE FOR PUBLICATION OF DATA</w:t>
      </w:r>
    </w:p>
    <w:p w:rsidR="00BE208D" w:rsidRPr="00975B38" w:rsidP="00BE208D" w14:paraId="339914BF" w14:textId="77777777">
      <w:pPr>
        <w:pStyle w:val="FootnoteText"/>
        <w:rPr>
          <w:b/>
          <w:sz w:val="26"/>
        </w:rPr>
      </w:pPr>
    </w:p>
    <w:p w:rsidR="00BE208D" w:rsidP="00BE208D" w14:paraId="12BDA853" w14:textId="77777777">
      <w:pPr>
        <w:pStyle w:val="FootnoteText"/>
        <w:rPr>
          <w:sz w:val="26"/>
        </w:rPr>
      </w:pPr>
      <w:r w:rsidRPr="00975B38">
        <w:rPr>
          <w:sz w:val="26"/>
        </w:rPr>
        <w:t>There are no publications for the collection</w:t>
      </w:r>
      <w:r>
        <w:rPr>
          <w:sz w:val="26"/>
        </w:rPr>
        <w:t>s</w:t>
      </w:r>
      <w:r w:rsidRPr="00975B38">
        <w:rPr>
          <w:sz w:val="26"/>
        </w:rPr>
        <w:t xml:space="preserve"> of information.</w:t>
      </w:r>
    </w:p>
    <w:p w:rsidR="00BE208D" w:rsidP="00BE208D" w14:paraId="10EF2FD4" w14:textId="77777777">
      <w:pPr>
        <w:rPr>
          <w:szCs w:val="20"/>
        </w:rPr>
      </w:pPr>
    </w:p>
    <w:p w:rsidR="00BE208D" w:rsidRPr="00975B38" w:rsidP="00EA59F7" w14:paraId="430A89EB" w14:textId="77777777">
      <w:pPr>
        <w:pStyle w:val="FootnoteText"/>
        <w:numPr>
          <w:ilvl w:val="0"/>
          <w:numId w:val="4"/>
        </w:numPr>
        <w:ind w:left="0" w:firstLine="0"/>
        <w:rPr>
          <w:b/>
          <w:sz w:val="26"/>
        </w:rPr>
      </w:pPr>
      <w:r w:rsidRPr="004C2360">
        <w:rPr>
          <w:b/>
          <w:sz w:val="26"/>
        </w:rPr>
        <w:t>DISPLAY OF EXPIRATION DATES</w:t>
      </w:r>
    </w:p>
    <w:p w:rsidR="00BE208D" w:rsidRPr="004C2360" w:rsidP="00BE208D" w14:paraId="0659D52A" w14:textId="77777777">
      <w:pPr>
        <w:pStyle w:val="FootnoteText"/>
        <w:rPr>
          <w:b/>
          <w:sz w:val="26"/>
        </w:rPr>
      </w:pPr>
    </w:p>
    <w:p w:rsidR="00650E76" w:rsidRPr="00526595" w:rsidP="00650E76" w14:paraId="3F53691A" w14:textId="701EB22D">
      <w:pPr>
        <w:pStyle w:val="FootnoteText"/>
        <w:rPr>
          <w:bCs/>
          <w:sz w:val="26"/>
        </w:rPr>
      </w:pPr>
      <w:r>
        <w:rPr>
          <w:sz w:val="26"/>
        </w:rPr>
        <w:t>The expiration date for FERC-537 (</w:t>
      </w:r>
      <w:r w:rsidR="00BE422D">
        <w:rPr>
          <w:sz w:val="26"/>
        </w:rPr>
        <w:t>November 30, 2027)</w:t>
      </w:r>
      <w:r>
        <w:rPr>
          <w:sz w:val="26"/>
        </w:rPr>
        <w:t xml:space="preserve"> will not change as a result of the proposed rule.  </w:t>
      </w:r>
      <w:r w:rsidRPr="00C21703" w:rsidR="00C21703">
        <w:rPr>
          <w:sz w:val="26"/>
        </w:rPr>
        <w:t>The OMB expiration date</w:t>
      </w:r>
      <w:r w:rsidR="00C21703">
        <w:rPr>
          <w:sz w:val="26"/>
        </w:rPr>
        <w:t xml:space="preserve"> is</w:t>
      </w:r>
      <w:r w:rsidRPr="00C21703" w:rsidR="00C21703">
        <w:rPr>
          <w:sz w:val="26"/>
        </w:rPr>
        <w:t xml:space="preserve"> posted on </w:t>
      </w:r>
      <w:hyperlink r:id="rId12" w:tgtFrame="_blank" w:history="1">
        <w:r w:rsidRPr="00C21703" w:rsidR="00C21703">
          <w:rPr>
            <w:rStyle w:val="Hyperlink"/>
            <w:sz w:val="26"/>
          </w:rPr>
          <w:t>Information Collections | Federal Energy Regulatory Commission (ferc.gov)</w:t>
        </w:r>
      </w:hyperlink>
      <w:r w:rsidRPr="00C21703" w:rsidR="00C21703">
        <w:rPr>
          <w:sz w:val="26"/>
        </w:rPr>
        <w:t>. </w:t>
      </w:r>
    </w:p>
    <w:p w:rsidR="008459C5" w14:paraId="7DF3D0CD" w14:textId="3B567D0F">
      <w:pPr>
        <w:rPr>
          <w:rFonts w:ascii="Times New Roman" w:hAnsi="Times New Roman"/>
          <w:b/>
          <w:bCs/>
          <w:sz w:val="26"/>
          <w:szCs w:val="20"/>
        </w:rPr>
      </w:pPr>
    </w:p>
    <w:p w:rsidR="00BE208D" w:rsidRPr="00B1373A" w:rsidP="00EA59F7" w14:paraId="0D9E37D2" w14:textId="77777777">
      <w:pPr>
        <w:pStyle w:val="FootnoteText"/>
        <w:numPr>
          <w:ilvl w:val="0"/>
          <w:numId w:val="4"/>
        </w:numPr>
        <w:ind w:left="0" w:firstLine="0"/>
        <w:rPr>
          <w:b/>
          <w:sz w:val="26"/>
        </w:rPr>
      </w:pPr>
      <w:r w:rsidRPr="00B1373A">
        <w:rPr>
          <w:b/>
          <w:sz w:val="26"/>
        </w:rPr>
        <w:t>EXCEPTIONS TO THE CERTIFICATION STATEMENT</w:t>
      </w:r>
    </w:p>
    <w:p w:rsidR="00BE208D" w:rsidRPr="00B1373A" w:rsidP="00BE208D" w14:paraId="09D023C5" w14:textId="77777777">
      <w:pPr>
        <w:pStyle w:val="FootnoteText"/>
        <w:rPr>
          <w:b/>
          <w:sz w:val="26"/>
        </w:rPr>
      </w:pPr>
    </w:p>
    <w:p w:rsidR="00BE208D" w:rsidRPr="00B1373A" w:rsidP="00BE208D" w14:paraId="10F9040D" w14:textId="77777777">
      <w:pPr>
        <w:pStyle w:val="FootnoteText"/>
        <w:rPr>
          <w:sz w:val="26"/>
        </w:rPr>
      </w:pPr>
      <w:r w:rsidRPr="00B1373A">
        <w:rPr>
          <w:sz w:val="26"/>
        </w:rPr>
        <w:t>There are no exceptions.</w:t>
      </w:r>
    </w:p>
    <w:sectPr>
      <w:headerReference w:type="even" r:id="rId13"/>
      <w:headerReference w:type="default" r:id="rId14"/>
      <w:footerReference w:type="default" r:id="rId15"/>
      <w:headerReference w:type="first" r:id="rId1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55352"/>
      <w:docPartObj>
        <w:docPartGallery w:val="Page Numbers (Bottom of Page)"/>
        <w:docPartUnique/>
      </w:docPartObj>
    </w:sdtPr>
    <w:sdtEndPr>
      <w:rPr>
        <w:noProof/>
      </w:rPr>
    </w:sdtEndPr>
    <w:sdtContent>
      <w:p w:rsidR="005B7349" w14:paraId="1DD2F5B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44B1A6E" w:rsidP="044B1A6E" w14:paraId="4129D9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3517" w:rsidP="00515F23" w14:paraId="7FCB7BE4" w14:textId="77777777">
      <w:pPr>
        <w:spacing w:after="0" w:line="240" w:lineRule="auto"/>
      </w:pPr>
      <w:r>
        <w:separator/>
      </w:r>
    </w:p>
  </w:footnote>
  <w:footnote w:type="continuationSeparator" w:id="1">
    <w:p w:rsidR="00D73517" w:rsidP="00515F23" w14:paraId="52C32407" w14:textId="77777777">
      <w:pPr>
        <w:spacing w:after="0" w:line="240" w:lineRule="auto"/>
      </w:pPr>
      <w:r>
        <w:continuationSeparator/>
      </w:r>
    </w:p>
  </w:footnote>
  <w:footnote w:type="continuationNotice" w:id="2">
    <w:p w:rsidR="00D73517" w14:paraId="6C1F44D8" w14:textId="77777777">
      <w:pPr>
        <w:spacing w:after="0" w:line="240" w:lineRule="auto"/>
      </w:pPr>
    </w:p>
  </w:footnote>
  <w:footnote w:id="3">
    <w:p w:rsidR="00D149CA" w:rsidRPr="00DC7783" w:rsidP="00D149CA" w14:paraId="3D4CE7B6" w14:textId="77777777">
      <w:pPr>
        <w:pStyle w:val="FootnoteText"/>
        <w:widowControl/>
      </w:pPr>
      <w:r w:rsidRPr="00DC7783">
        <w:rPr>
          <w:rStyle w:val="FootnoteReference"/>
        </w:rPr>
        <w:footnoteRef/>
      </w:r>
      <w:r w:rsidRPr="00DC7783">
        <w:t xml:space="preserve"> 15 U.S.C. 717f(c).</w:t>
      </w:r>
    </w:p>
  </w:footnote>
  <w:footnote w:id="4">
    <w:p w:rsidR="00D149CA" w:rsidRPr="00DC7783" w:rsidP="00D149CA" w14:paraId="7D0A20AF" w14:textId="77777777">
      <w:pPr>
        <w:pStyle w:val="FootnoteText"/>
        <w:widowControl/>
      </w:pPr>
      <w:r w:rsidRPr="00DC7783">
        <w:rPr>
          <w:rStyle w:val="FootnoteReference"/>
        </w:rPr>
        <w:footnoteRef/>
      </w:r>
      <w:r w:rsidRPr="00DC7783">
        <w:t xml:space="preserve"> 18 CFR part 157, subpart F.</w:t>
      </w:r>
    </w:p>
  </w:footnote>
  <w:footnote w:id="5">
    <w:p w:rsidR="00D149CA" w:rsidRPr="00DC7783" w:rsidP="00D149CA" w14:paraId="0894C3FA" w14:textId="77777777">
      <w:pPr>
        <w:pStyle w:val="FootnoteText"/>
        <w:widowControl/>
      </w:pPr>
      <w:r w:rsidRPr="00DC7783">
        <w:rPr>
          <w:rStyle w:val="FootnoteReference"/>
        </w:rPr>
        <w:footnoteRef/>
      </w:r>
      <w:r w:rsidRPr="00DC7783">
        <w:t xml:space="preserve"> </w:t>
      </w:r>
      <w:r w:rsidRPr="00DC7783">
        <w:rPr>
          <w:i/>
          <w:iCs/>
        </w:rPr>
        <w:t>Interstate Pipeline Certificates for Routine Transactions</w:t>
      </w:r>
      <w:r w:rsidRPr="00DC7783">
        <w:t xml:space="preserve">, Order No. 234, FERC Stats. &amp; Regs. ¶ 30,368, at 30,201 (1982) (cross-referenced at 19 FERC ¶ 61,216); </w:t>
      </w:r>
      <w:r w:rsidRPr="00DC7783">
        <w:rPr>
          <w:i/>
          <w:iCs/>
        </w:rPr>
        <w:t>see also Revisions to the Blanket Certificate Regulations &amp; Clarification Regarding Rates</w:t>
      </w:r>
      <w:r w:rsidRPr="00DC7783">
        <w:t>, Order No. 686, 117 FERC ¶ 61,074, at P 7 (2006) (“The blanket certificate program was designed to provide an administratively efficient means to authorize a generic class of routine activities, without subjecting each minor project to a full, case-specific NGA section 7 certificate proceeding.”).</w:t>
      </w:r>
    </w:p>
  </w:footnote>
  <w:footnote w:id="6">
    <w:p w:rsidR="00363654" w:rsidRPr="00DC7783" w:rsidP="00363654" w14:paraId="43F3ECA8" w14:textId="77777777">
      <w:pPr>
        <w:pStyle w:val="FootnoteText"/>
        <w:widowControl/>
      </w:pPr>
      <w:r w:rsidRPr="00DC7783">
        <w:rPr>
          <w:rStyle w:val="FootnoteReference"/>
        </w:rPr>
        <w:footnoteRef/>
      </w:r>
      <w:r w:rsidRPr="00DC7783">
        <w:t xml:space="preserve"> Order No. 686, 117 FERC ¶ 61,074.</w:t>
      </w:r>
    </w:p>
  </w:footnote>
  <w:footnote w:id="7">
    <w:p w:rsidR="00363654" w:rsidRPr="00DC7783" w:rsidP="00363654" w14:paraId="7FCACBC8" w14:textId="77777777">
      <w:pPr>
        <w:pStyle w:val="FootnoteText"/>
        <w:widowControl/>
      </w:pPr>
      <w:r w:rsidRPr="00DC7783">
        <w:rPr>
          <w:rStyle w:val="FootnoteReference"/>
        </w:rPr>
        <w:footnoteRef/>
      </w:r>
      <w:r w:rsidRPr="00DC7783">
        <w:t xml:space="preserve"> </w:t>
      </w:r>
      <w:r w:rsidRPr="00DC7783">
        <w:rPr>
          <w:i/>
          <w:iCs/>
        </w:rPr>
        <w:t>Id.</w:t>
      </w:r>
      <w:r w:rsidRPr="00DC7783">
        <w:t xml:space="preserve"> P 8.</w:t>
      </w:r>
    </w:p>
  </w:footnote>
  <w:footnote w:id="8">
    <w:p w:rsidR="00E509E4" w:rsidRPr="00DC7783" w:rsidP="00E509E4" w14:paraId="0EA708AD" w14:textId="77777777">
      <w:pPr>
        <w:pStyle w:val="FootnoteText"/>
        <w:widowControl/>
      </w:pPr>
      <w:r w:rsidRPr="00DC7783">
        <w:rPr>
          <w:rStyle w:val="FootnoteReference"/>
        </w:rPr>
        <w:footnoteRef/>
      </w:r>
      <w:r w:rsidRPr="00DC7783">
        <w:t xml:space="preserve"> </w:t>
      </w:r>
      <w:r w:rsidRPr="00DC7783">
        <w:rPr>
          <w:i/>
          <w:iCs/>
        </w:rPr>
        <w:t>Blanket Certificate Cost Limitations</w:t>
      </w:r>
      <w:r w:rsidRPr="00DC7783">
        <w:t>, 191 FERC ¶ 61,207 (2025) (NOI).</w:t>
      </w:r>
    </w:p>
  </w:footnote>
  <w:footnote w:id="9">
    <w:p w:rsidR="00D742FC" w:rsidRPr="00DC7783" w:rsidP="00D742FC" w14:paraId="610719F8" w14:textId="77777777">
      <w:pPr>
        <w:pStyle w:val="FootnoteText"/>
        <w:widowControl/>
      </w:pPr>
      <w:r w:rsidRPr="00DC7783">
        <w:rPr>
          <w:rStyle w:val="FootnoteReference"/>
        </w:rPr>
        <w:footnoteRef/>
      </w:r>
      <w:r w:rsidRPr="00DC7783">
        <w:t xml:space="preserve"> </w:t>
      </w:r>
      <w:r w:rsidRPr="00DC7783">
        <w:rPr>
          <w:i/>
          <w:iCs/>
        </w:rPr>
        <w:t>Blanket Certificate Cost Limitations</w:t>
      </w:r>
      <w:r w:rsidRPr="00DC7783">
        <w:t>, 191 FERC ¶ 61,207 (2025) (NOI).</w:t>
      </w:r>
    </w:p>
  </w:footnote>
  <w:footnote w:id="10">
    <w:p w:rsidR="00610A32" w:rsidRPr="00DC7783" w:rsidP="00610A32" w14:paraId="7FF128CE" w14:textId="77777777">
      <w:pPr>
        <w:pStyle w:val="FootnoteText"/>
      </w:pPr>
      <w:r w:rsidRPr="00DC7783">
        <w:rPr>
          <w:rStyle w:val="FootnoteReference"/>
        </w:rPr>
        <w:footnoteRef/>
      </w:r>
      <w:r w:rsidRPr="00DC7783">
        <w:t xml:space="preserve"> Additionally, Ms. Diana Dakey filed comments in Docket No. CP25-208-000 generally opposing </w:t>
      </w:r>
      <w:r>
        <w:t>alteration or waiver</w:t>
      </w:r>
      <w:r w:rsidRPr="00DC7783">
        <w:t xml:space="preserve"> of the Commission’s regulations.  Diana Dakey Comments, Docket No. CP25-208-000, at 2 (filed July 21, 2025).</w:t>
      </w:r>
    </w:p>
  </w:footnote>
  <w:footnote w:id="11">
    <w:p w:rsidR="00610A32" w:rsidRPr="00DC7783" w:rsidP="00610A32" w14:paraId="61B75760" w14:textId="77777777">
      <w:pPr>
        <w:pStyle w:val="FootnoteText"/>
        <w:widowControl/>
      </w:pPr>
      <w:r w:rsidRPr="00DC7783">
        <w:rPr>
          <w:rStyle w:val="FootnoteReference"/>
        </w:rPr>
        <w:footnoteRef/>
      </w:r>
      <w:r w:rsidRPr="00DC7783">
        <w:t xml:space="preserve"> Energy Transfer </w:t>
      </w:r>
      <w:r>
        <w:t xml:space="preserve">LP </w:t>
      </w:r>
      <w:r w:rsidRPr="00DC7783">
        <w:t>supports the Commission allowing minor LNG projects to proceed under the blanket certificate program.  This topic is the subject of a separate notice of inquiry</w:t>
      </w:r>
      <w:r>
        <w:t>,</w:t>
      </w:r>
      <w:r w:rsidRPr="00DC7783">
        <w:t xml:space="preserve"> and </w:t>
      </w:r>
      <w:r>
        <w:t xml:space="preserve">is accordingly </w:t>
      </w:r>
      <w:r w:rsidRPr="00DC7783">
        <w:t>not discussed further</w:t>
      </w:r>
      <w:r>
        <w:t xml:space="preserve"> herein</w:t>
      </w:r>
      <w:r w:rsidRPr="00DC7783">
        <w:t xml:space="preserve">.  </w:t>
      </w:r>
      <w:r w:rsidRPr="00DC7783">
        <w:rPr>
          <w:i/>
          <w:iCs/>
        </w:rPr>
        <w:t>See Authorizations for Certain Activities at Liquefied Nat. Gas Plants</w:t>
      </w:r>
      <w:r w:rsidRPr="00DC7783">
        <w:t>, 193 FERC ¶ 61,141 (2026).</w:t>
      </w:r>
    </w:p>
  </w:footnote>
  <w:footnote w:id="12">
    <w:p w:rsidR="00610A32" w:rsidP="00610A32" w14:paraId="519FF77C" w14:textId="77777777">
      <w:pPr>
        <w:pStyle w:val="FootnoteText"/>
      </w:pPr>
      <w:r>
        <w:rPr>
          <w:rStyle w:val="FootnoteReference"/>
        </w:rPr>
        <w:footnoteRef/>
      </w:r>
      <w:r>
        <w:t xml:space="preserve"> </w:t>
      </w:r>
      <w:r w:rsidRPr="00DC7783">
        <w:t>NGSA represents integrated and independent companies that supply natural gas and is the only national trade association that solely focuses on producer-marketer issues related to the downstream natural gas industry</w:t>
      </w:r>
      <w:r>
        <w:t>.</w:t>
      </w:r>
    </w:p>
  </w:footnote>
  <w:footnote w:id="13">
    <w:p w:rsidR="00610A32" w:rsidP="00610A32" w14:paraId="00E62253" w14:textId="77777777">
      <w:pPr>
        <w:pStyle w:val="FootnoteText"/>
      </w:pPr>
      <w:r>
        <w:rPr>
          <w:rStyle w:val="FootnoteReference"/>
        </w:rPr>
        <w:footnoteRef/>
      </w:r>
      <w:r>
        <w:t xml:space="preserve"> </w:t>
      </w:r>
      <w:r w:rsidRPr="00DC7783">
        <w:t>AGA represents more than 200 local energy companies that deliver natural gas throughout the United States</w:t>
      </w:r>
      <w:r>
        <w:t>.</w:t>
      </w:r>
    </w:p>
  </w:footnote>
  <w:footnote w:id="14">
    <w:p w:rsidR="00610A32" w:rsidP="00610A32" w14:paraId="17BF6834" w14:textId="77777777">
      <w:pPr>
        <w:pStyle w:val="FootnoteText"/>
      </w:pPr>
      <w:r>
        <w:rPr>
          <w:rStyle w:val="FootnoteReference"/>
        </w:rPr>
        <w:footnoteRef/>
      </w:r>
      <w:r>
        <w:t xml:space="preserve"> </w:t>
      </w:r>
      <w:r w:rsidRPr="00DC7783">
        <w:t>APGA is a trade association for more than 730 communities across the US that own and operate their retail gas distribution entities</w:t>
      </w:r>
      <w:r>
        <w:t>.</w:t>
      </w:r>
    </w:p>
  </w:footnote>
  <w:footnote w:id="15">
    <w:p w:rsidR="00610A32" w:rsidP="00610A32" w14:paraId="250D4027" w14:textId="77777777">
      <w:pPr>
        <w:pStyle w:val="FootnoteText"/>
      </w:pPr>
      <w:r>
        <w:rPr>
          <w:rStyle w:val="FootnoteReference"/>
        </w:rPr>
        <w:footnoteRef/>
      </w:r>
      <w:r>
        <w:t xml:space="preserve"> </w:t>
      </w:r>
      <w:r w:rsidRPr="00DC7783">
        <w:t>PGC is a trade association that represents energy-intensive large industrial and manufacturing natural gas consumers</w:t>
      </w:r>
      <w:r>
        <w:t>.</w:t>
      </w:r>
    </w:p>
  </w:footnote>
  <w:footnote w:id="16">
    <w:p w:rsidR="00610A32" w:rsidP="00610A32" w14:paraId="0862CC0F" w14:textId="77777777">
      <w:pPr>
        <w:pStyle w:val="FootnoteText"/>
      </w:pPr>
      <w:r>
        <w:rPr>
          <w:rStyle w:val="FootnoteReference"/>
        </w:rPr>
        <w:footnoteRef/>
      </w:r>
      <w:r>
        <w:t xml:space="preserve"> </w:t>
      </w:r>
      <w:r w:rsidRPr="00172B39">
        <w:t>IECA</w:t>
      </w:r>
      <w:r w:rsidRPr="00774568">
        <w:rPr>
          <w:szCs w:val="24"/>
        </w:rPr>
        <w:t xml:space="preserve"> </w:t>
      </w:r>
      <w:r w:rsidRPr="00774568">
        <w:t>is a nonpartisan association of manufacturing companies</w:t>
      </w:r>
      <w:r>
        <w:t xml:space="preserve"> for </w:t>
      </w:r>
      <w:r w:rsidRPr="00774568">
        <w:t>industries including chemicals, plastics, steel, iron ore, aluminum, paper, food processing, fertilizer, insulation, glass, industrial gases, pharmaceutical, consumer goods, building products, automotive, independent oil refining, and cement</w:t>
      </w:r>
      <w:r>
        <w:t>.</w:t>
      </w:r>
    </w:p>
  </w:footnote>
  <w:footnote w:id="17">
    <w:p w:rsidR="00610A32" w:rsidP="00610A32" w14:paraId="513B19E7" w14:textId="77777777">
      <w:pPr>
        <w:pStyle w:val="FootnoteText"/>
      </w:pPr>
      <w:r>
        <w:rPr>
          <w:rStyle w:val="FootnoteReference"/>
        </w:rPr>
        <w:footnoteRef/>
      </w:r>
      <w:r>
        <w:t xml:space="preserve"> Although the NOI did not provide for reply comments, we accept the pleadings because they have assisted our development of this notice of proposed rulemaking.</w:t>
      </w:r>
    </w:p>
  </w:footnote>
  <w:footnote w:id="18">
    <w:p w:rsidR="00BD0E8F" w:rsidRPr="006941C3" w:rsidP="00BD0E8F" w14:paraId="133CD6E1" w14:textId="77777777">
      <w:pPr>
        <w:pStyle w:val="FootnoteText"/>
        <w:rPr>
          <w:szCs w:val="26"/>
        </w:rPr>
      </w:pPr>
      <w:r w:rsidRPr="0081448C">
        <w:rPr>
          <w:rStyle w:val="FootnoteReference"/>
          <w:szCs w:val="26"/>
        </w:rPr>
        <w:footnoteRef/>
      </w:r>
      <w:r w:rsidRPr="006941C3">
        <w:rPr>
          <w:szCs w:val="26"/>
        </w:rPr>
        <w:t xml:space="preserve"> Commission staff estimates that the industry’s hourly cost for wages plus benefits is similar to the Commission’s $102 FY 2026 average hourly cost for wages and benefits.</w:t>
      </w:r>
    </w:p>
  </w:footnote>
  <w:footnote w:id="19">
    <w:p w:rsidR="00BD0E8F" w:rsidP="00BD0E8F" w14:paraId="200C3821" w14:textId="77777777">
      <w:pPr>
        <w:pStyle w:val="FootnoteText"/>
        <w:rPr>
          <w:sz w:val="24"/>
        </w:rPr>
      </w:pPr>
      <w:r w:rsidRPr="0081448C">
        <w:rPr>
          <w:rStyle w:val="FootnoteReference"/>
          <w:szCs w:val="26"/>
        </w:rPr>
        <w:footnoteRef/>
      </w:r>
      <w:r w:rsidRPr="006941C3">
        <w:rPr>
          <w:szCs w:val="26"/>
        </w:rPr>
        <w:t xml:space="preserve"> Each of the figures in this column are rounded to the nearest dollar.</w:t>
      </w:r>
    </w:p>
  </w:footnote>
  <w:footnote w:id="20">
    <w:p w:rsidR="00BD0E8F" w:rsidP="00BD0E8F" w14:paraId="0FD1FAEB" w14:textId="77777777">
      <w:pPr>
        <w:pStyle w:val="FootnoteText"/>
      </w:pPr>
      <w:r>
        <w:rPr>
          <w:rStyle w:val="FootnoteReference"/>
        </w:rPr>
        <w:footnoteRef/>
      </w:r>
      <w:r>
        <w:t xml:space="preserve"> This proposed rulemaking would reduce the number of applications. There is no proposed impact on the other parts of this collection.</w:t>
      </w:r>
    </w:p>
  </w:footnote>
  <w:footnote w:id="21">
    <w:p w:rsidR="750D58D3" w14:paraId="2B12EACF" w14:textId="1C0EB4CB">
      <w:r w:rsidRPr="750D58D3">
        <w:rPr>
          <w:vertAlign w:val="superscript"/>
        </w:rPr>
        <w:footnoteRef/>
      </w:r>
      <w:r>
        <w:t xml:space="preserve"> A Certificate Abandonment Application would require waiver of the Commission’s capacity release regulations in 18 CFR 284.8; therefore this activity is associated with Interstate Certificate and Abandonment Applications.</w:t>
      </w:r>
    </w:p>
  </w:footnote>
  <w:footnote w:id="22">
    <w:p w:rsidR="750D58D3" w14:paraId="5F34C1BB" w14:textId="1F584E88">
      <w:r w:rsidRPr="750D58D3">
        <w:rPr>
          <w:vertAlign w:val="superscript"/>
        </w:rPr>
        <w:footnoteRef/>
      </w:r>
      <w:r>
        <w:t xml:space="preserve"> Note: These figures differs slightly from those in ROCIS due to rounding.</w:t>
      </w:r>
    </w:p>
  </w:footnote>
  <w:footnote w:id="23">
    <w:p w:rsidR="001013C6" w14:paraId="74E83331" w14:textId="03EF9A7C">
      <w:pPr>
        <w:pStyle w:val="FootnoteText"/>
      </w:pPr>
      <w:r>
        <w:rPr>
          <w:rStyle w:val="FootnoteReference"/>
        </w:rPr>
        <w:footnoteRef/>
      </w:r>
      <w:r>
        <w:t xml:space="preserve"> </w:t>
      </w:r>
      <w:r w:rsidR="00B13FC6">
        <w:t xml:space="preserve">The </w:t>
      </w:r>
      <w:r w:rsidRPr="006941C3" w:rsidR="00B13FC6">
        <w:rPr>
          <w:szCs w:val="26"/>
        </w:rPr>
        <w:t>Commission’s FY 2026 average cost for wages and benefits</w:t>
      </w:r>
      <w:r w:rsidR="00B13FC6">
        <w:rPr>
          <w:szCs w:val="26"/>
        </w:rPr>
        <w:t xml:space="preserve"> is </w:t>
      </w:r>
      <w:r w:rsidRPr="006941C3" w:rsidR="00B13FC6">
        <w:rPr>
          <w:szCs w:val="26"/>
        </w:rPr>
        <w:t>$102</w:t>
      </w:r>
      <w:r w:rsidR="00B13FC6">
        <w:rPr>
          <w:szCs w:val="26"/>
        </w:rPr>
        <w:t>/</w:t>
      </w:r>
      <w:r w:rsidR="007C09CE">
        <w:rPr>
          <w:szCs w:val="26"/>
        </w:rPr>
        <w:t>hr or $213,003 annually.</w:t>
      </w:r>
    </w:p>
  </w:footnote>
  <w:footnote w:id="24">
    <w:p w:rsidR="750D58D3" w14:paraId="30428F2F" w14:textId="7EFF9DEB">
      <w:r w:rsidRPr="750D58D3">
        <w:rPr>
          <w:vertAlign w:val="superscript"/>
        </w:rPr>
        <w:footnoteRef/>
      </w:r>
      <w:r>
        <w:t xml:space="preserve"> Note: These figures differ slightly from those in ROCIS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71A" w14:paraId="056DE3AB" w14:textId="690AE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3BA9" w:rsidP="00C43BA9" w14:paraId="6ABE700D" w14:textId="3F5989DE">
    <w:pPr>
      <w:pStyle w:val="Header"/>
      <w:rPr>
        <w:rFonts w:ascii="Times New Roman" w:hAnsi="Times New Roman"/>
        <w:sz w:val="26"/>
      </w:rPr>
    </w:pPr>
    <w:r w:rsidRPr="00C43BA9">
      <w:rPr>
        <w:rFonts w:ascii="Times New Roman" w:hAnsi="Times New Roman"/>
        <w:sz w:val="26"/>
      </w:rPr>
      <w:t>FERC-5</w:t>
    </w:r>
    <w:r w:rsidR="00CA146A">
      <w:rPr>
        <w:rFonts w:ascii="Times New Roman" w:hAnsi="Times New Roman"/>
        <w:sz w:val="26"/>
      </w:rPr>
      <w:t>3</w:t>
    </w:r>
    <w:r w:rsidRPr="00C43BA9">
      <w:rPr>
        <w:rFonts w:ascii="Times New Roman" w:hAnsi="Times New Roman"/>
        <w:sz w:val="26"/>
      </w:rPr>
      <w:t>7 (</w:t>
    </w:r>
    <w:r w:rsidR="004874D9">
      <w:rPr>
        <w:rFonts w:ascii="Times New Roman" w:hAnsi="Times New Roman"/>
        <w:sz w:val="26"/>
      </w:rPr>
      <w:t xml:space="preserve">OMB Control No. </w:t>
    </w:r>
    <w:r w:rsidRPr="00C43BA9">
      <w:rPr>
        <w:rFonts w:ascii="Times New Roman" w:hAnsi="Times New Roman"/>
        <w:sz w:val="26"/>
      </w:rPr>
      <w:t>1902-0</w:t>
    </w:r>
    <w:r w:rsidR="00CA146A">
      <w:rPr>
        <w:rFonts w:ascii="Times New Roman" w:hAnsi="Times New Roman"/>
        <w:sz w:val="26"/>
      </w:rPr>
      <w:t>060</w:t>
    </w:r>
    <w:r w:rsidRPr="00C43BA9">
      <w:rPr>
        <w:rFonts w:ascii="Times New Roman" w:hAnsi="Times New Roman"/>
        <w:sz w:val="26"/>
      </w:rPr>
      <w:t>)</w:t>
    </w:r>
  </w:p>
  <w:p w:rsidR="004874D9" w:rsidP="506CCA6A" w14:paraId="32798FC4" w14:textId="30001D11">
    <w:pPr>
      <w:pStyle w:val="Header"/>
      <w:rPr>
        <w:rFonts w:ascii="Times New Roman" w:eastAsia="Calibri" w:hAnsi="Times New Roman" w:cs="Arial"/>
        <w:sz w:val="26"/>
        <w:szCs w:val="26"/>
      </w:rPr>
    </w:pPr>
    <w:r w:rsidRPr="506CCA6A">
      <w:rPr>
        <w:rFonts w:ascii="Times New Roman" w:hAnsi="Times New Roman"/>
        <w:sz w:val="26"/>
        <w:szCs w:val="26"/>
      </w:rPr>
      <w:t xml:space="preserve">Docket No. </w:t>
    </w:r>
    <w:r w:rsidRPr="506CCA6A">
      <w:rPr>
        <w:rFonts w:ascii="Times New Roman" w:eastAsia="Calibri" w:hAnsi="Times New Roman" w:cs="Arial"/>
        <w:sz w:val="26"/>
        <w:szCs w:val="26"/>
      </w:rPr>
      <w:t>RM25-12-000</w:t>
    </w:r>
  </w:p>
  <w:p w:rsidR="00124CD5" w:rsidP="00C43BA9" w14:paraId="26DD9776" w14:textId="77777777">
    <w:pPr>
      <w:pStyle w:val="Header"/>
      <w:rPr>
        <w:rFonts w:ascii="Times New Roman" w:hAnsi="Times New Roman"/>
        <w:sz w:val="26"/>
      </w:rPr>
    </w:pPr>
  </w:p>
  <w:p w:rsidR="00515F23" w14:paraId="42E028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671A" w14:paraId="7E87549C" w14:textId="36FDB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F5612"/>
    <w:multiLevelType w:val="hybridMultilevel"/>
    <w:tmpl w:val="642C6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E824CD"/>
    <w:multiLevelType w:val="hybridMultilevel"/>
    <w:tmpl w:val="311C7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882AEB"/>
    <w:multiLevelType w:val="hybridMultilevel"/>
    <w:tmpl w:val="E12CEEDA"/>
    <w:lvl w:ilvl="0">
      <w:start w:val="9"/>
      <w:numFmt w:val="decimal"/>
      <w:lvlText w:val="%1."/>
      <w:lvlJc w:val="left"/>
      <w:pPr>
        <w:ind w:left="360" w:hanging="360"/>
      </w:pPr>
      <w:rPr>
        <w:rFonts w:hint="default"/>
        <w:b/>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
    <w:nsid w:val="49B03C6D"/>
    <w:multiLevelType w:val="hybridMultilevel"/>
    <w:tmpl w:val="E3387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CC1895"/>
    <w:multiLevelType w:val="hybridMultilevel"/>
    <w:tmpl w:val="632C2E0E"/>
    <w:lvl w:ilvl="0">
      <w:start w:val="1"/>
      <w:numFmt w:val="decimal"/>
      <w:lvlText w:val="%1."/>
      <w:lvlJc w:val="left"/>
      <w:pPr>
        <w:ind w:left="23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99214">
    <w:abstractNumId w:val="4"/>
  </w:num>
  <w:num w:numId="2" w16cid:durableId="2114741592">
    <w:abstractNumId w:val="3"/>
  </w:num>
  <w:num w:numId="3" w16cid:durableId="1028262870">
    <w:abstractNumId w:val="1"/>
  </w:num>
  <w:num w:numId="4" w16cid:durableId="188875347">
    <w:abstractNumId w:val="2"/>
  </w:num>
  <w:num w:numId="5" w16cid:durableId="153118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72"/>
    <w:rsid w:val="00000A06"/>
    <w:rsid w:val="00011A13"/>
    <w:rsid w:val="00011E13"/>
    <w:rsid w:val="00045162"/>
    <w:rsid w:val="00057508"/>
    <w:rsid w:val="00074345"/>
    <w:rsid w:val="00075DBB"/>
    <w:rsid w:val="00075E63"/>
    <w:rsid w:val="00076607"/>
    <w:rsid w:val="000A369A"/>
    <w:rsid w:val="000A392C"/>
    <w:rsid w:val="000B6716"/>
    <w:rsid w:val="000D1A46"/>
    <w:rsid w:val="000D3E5F"/>
    <w:rsid w:val="000E06AD"/>
    <w:rsid w:val="000F58EA"/>
    <w:rsid w:val="001003F4"/>
    <w:rsid w:val="00101346"/>
    <w:rsid w:val="001013C6"/>
    <w:rsid w:val="00103037"/>
    <w:rsid w:val="001055D8"/>
    <w:rsid w:val="001063E1"/>
    <w:rsid w:val="0010695B"/>
    <w:rsid w:val="00124CD5"/>
    <w:rsid w:val="001319EE"/>
    <w:rsid w:val="00141A14"/>
    <w:rsid w:val="00144548"/>
    <w:rsid w:val="00144D45"/>
    <w:rsid w:val="00147521"/>
    <w:rsid w:val="00151528"/>
    <w:rsid w:val="00154074"/>
    <w:rsid w:val="0016701A"/>
    <w:rsid w:val="001708BD"/>
    <w:rsid w:val="00172B39"/>
    <w:rsid w:val="001B3E85"/>
    <w:rsid w:val="001B3EB9"/>
    <w:rsid w:val="001C3061"/>
    <w:rsid w:val="001C33BC"/>
    <w:rsid w:val="001D7536"/>
    <w:rsid w:val="001E4E7B"/>
    <w:rsid w:val="001F5D78"/>
    <w:rsid w:val="00223A27"/>
    <w:rsid w:val="002251E3"/>
    <w:rsid w:val="00234743"/>
    <w:rsid w:val="00241FF2"/>
    <w:rsid w:val="00245CEF"/>
    <w:rsid w:val="00250E23"/>
    <w:rsid w:val="00256BD0"/>
    <w:rsid w:val="0026501F"/>
    <w:rsid w:val="002761A6"/>
    <w:rsid w:val="0028058A"/>
    <w:rsid w:val="00291597"/>
    <w:rsid w:val="00291AE6"/>
    <w:rsid w:val="00291D75"/>
    <w:rsid w:val="00297AB1"/>
    <w:rsid w:val="002B1068"/>
    <w:rsid w:val="002B4F17"/>
    <w:rsid w:val="002B7606"/>
    <w:rsid w:val="002D2080"/>
    <w:rsid w:val="002D3AC8"/>
    <w:rsid w:val="002E0122"/>
    <w:rsid w:val="002E58B9"/>
    <w:rsid w:val="002F09DB"/>
    <w:rsid w:val="002F2842"/>
    <w:rsid w:val="002F7716"/>
    <w:rsid w:val="00311EF3"/>
    <w:rsid w:val="0032633C"/>
    <w:rsid w:val="00340C9B"/>
    <w:rsid w:val="003526D4"/>
    <w:rsid w:val="00363654"/>
    <w:rsid w:val="00391C45"/>
    <w:rsid w:val="003A382B"/>
    <w:rsid w:val="003B32DB"/>
    <w:rsid w:val="003B7B20"/>
    <w:rsid w:val="003D5A37"/>
    <w:rsid w:val="003D7B29"/>
    <w:rsid w:val="003F0F1C"/>
    <w:rsid w:val="003F5737"/>
    <w:rsid w:val="004124E9"/>
    <w:rsid w:val="004176AB"/>
    <w:rsid w:val="00423FBD"/>
    <w:rsid w:val="00441A36"/>
    <w:rsid w:val="0044295F"/>
    <w:rsid w:val="00444F5B"/>
    <w:rsid w:val="00454439"/>
    <w:rsid w:val="00454C67"/>
    <w:rsid w:val="00464F16"/>
    <w:rsid w:val="004678C7"/>
    <w:rsid w:val="00472F90"/>
    <w:rsid w:val="0047523B"/>
    <w:rsid w:val="004766F9"/>
    <w:rsid w:val="00476BD3"/>
    <w:rsid w:val="004874D9"/>
    <w:rsid w:val="00495D67"/>
    <w:rsid w:val="004A7645"/>
    <w:rsid w:val="004C2360"/>
    <w:rsid w:val="004C5ADA"/>
    <w:rsid w:val="004C7042"/>
    <w:rsid w:val="004C7CF9"/>
    <w:rsid w:val="004E76D8"/>
    <w:rsid w:val="004F3C63"/>
    <w:rsid w:val="00512061"/>
    <w:rsid w:val="00514EF5"/>
    <w:rsid w:val="00515F23"/>
    <w:rsid w:val="00521E9E"/>
    <w:rsid w:val="00526595"/>
    <w:rsid w:val="00543BEE"/>
    <w:rsid w:val="00552482"/>
    <w:rsid w:val="00552824"/>
    <w:rsid w:val="00563DB2"/>
    <w:rsid w:val="005746AF"/>
    <w:rsid w:val="00582196"/>
    <w:rsid w:val="00582CF2"/>
    <w:rsid w:val="005866D1"/>
    <w:rsid w:val="005931D5"/>
    <w:rsid w:val="005B1622"/>
    <w:rsid w:val="005B1635"/>
    <w:rsid w:val="005B17E0"/>
    <w:rsid w:val="005B2FC1"/>
    <w:rsid w:val="005B7349"/>
    <w:rsid w:val="005E454A"/>
    <w:rsid w:val="006065CF"/>
    <w:rsid w:val="00610A32"/>
    <w:rsid w:val="006143F1"/>
    <w:rsid w:val="00621500"/>
    <w:rsid w:val="00650E76"/>
    <w:rsid w:val="00671383"/>
    <w:rsid w:val="006936E6"/>
    <w:rsid w:val="006941C3"/>
    <w:rsid w:val="006A37E8"/>
    <w:rsid w:val="006A69D3"/>
    <w:rsid w:val="006B0407"/>
    <w:rsid w:val="006B287F"/>
    <w:rsid w:val="006D0C9F"/>
    <w:rsid w:val="006D71D7"/>
    <w:rsid w:val="006F65D8"/>
    <w:rsid w:val="006F7766"/>
    <w:rsid w:val="007211DF"/>
    <w:rsid w:val="0072216E"/>
    <w:rsid w:val="00731BC0"/>
    <w:rsid w:val="00742C91"/>
    <w:rsid w:val="00747C6B"/>
    <w:rsid w:val="00765AE1"/>
    <w:rsid w:val="00774568"/>
    <w:rsid w:val="00775EA1"/>
    <w:rsid w:val="00785319"/>
    <w:rsid w:val="00787114"/>
    <w:rsid w:val="00790857"/>
    <w:rsid w:val="00794C74"/>
    <w:rsid w:val="007A0DAA"/>
    <w:rsid w:val="007A7B19"/>
    <w:rsid w:val="007B1B7E"/>
    <w:rsid w:val="007C0690"/>
    <w:rsid w:val="007C09CE"/>
    <w:rsid w:val="007C3270"/>
    <w:rsid w:val="007D5E93"/>
    <w:rsid w:val="007E6872"/>
    <w:rsid w:val="007F2345"/>
    <w:rsid w:val="007F3BFD"/>
    <w:rsid w:val="007F5D54"/>
    <w:rsid w:val="007F701C"/>
    <w:rsid w:val="00803043"/>
    <w:rsid w:val="008375B1"/>
    <w:rsid w:val="00837CD5"/>
    <w:rsid w:val="008459C5"/>
    <w:rsid w:val="0084667D"/>
    <w:rsid w:val="00861D33"/>
    <w:rsid w:val="008846EA"/>
    <w:rsid w:val="00892566"/>
    <w:rsid w:val="00895C3F"/>
    <w:rsid w:val="008A1D0E"/>
    <w:rsid w:val="008D09ED"/>
    <w:rsid w:val="008F6DDF"/>
    <w:rsid w:val="0090225F"/>
    <w:rsid w:val="009032C9"/>
    <w:rsid w:val="00910373"/>
    <w:rsid w:val="0092039E"/>
    <w:rsid w:val="00932C86"/>
    <w:rsid w:val="00932CEA"/>
    <w:rsid w:val="009414F0"/>
    <w:rsid w:val="00975B38"/>
    <w:rsid w:val="0097613B"/>
    <w:rsid w:val="00981CF9"/>
    <w:rsid w:val="00981FEA"/>
    <w:rsid w:val="0099057E"/>
    <w:rsid w:val="00995631"/>
    <w:rsid w:val="009A3F35"/>
    <w:rsid w:val="009B1541"/>
    <w:rsid w:val="009B5063"/>
    <w:rsid w:val="009C7B3F"/>
    <w:rsid w:val="009D06ED"/>
    <w:rsid w:val="009D5886"/>
    <w:rsid w:val="009E51EA"/>
    <w:rsid w:val="009F484A"/>
    <w:rsid w:val="00A007AE"/>
    <w:rsid w:val="00A01420"/>
    <w:rsid w:val="00A0671A"/>
    <w:rsid w:val="00A077A0"/>
    <w:rsid w:val="00A107B1"/>
    <w:rsid w:val="00A34230"/>
    <w:rsid w:val="00A40447"/>
    <w:rsid w:val="00A41375"/>
    <w:rsid w:val="00A60E16"/>
    <w:rsid w:val="00A6117A"/>
    <w:rsid w:val="00A62E8B"/>
    <w:rsid w:val="00A63904"/>
    <w:rsid w:val="00A702A7"/>
    <w:rsid w:val="00A808DB"/>
    <w:rsid w:val="00A84C49"/>
    <w:rsid w:val="00A921AB"/>
    <w:rsid w:val="00AA08B2"/>
    <w:rsid w:val="00AA1C6B"/>
    <w:rsid w:val="00AB0E3E"/>
    <w:rsid w:val="00AB5492"/>
    <w:rsid w:val="00AC01EF"/>
    <w:rsid w:val="00AC7C44"/>
    <w:rsid w:val="00B0044B"/>
    <w:rsid w:val="00B01463"/>
    <w:rsid w:val="00B017AE"/>
    <w:rsid w:val="00B020DC"/>
    <w:rsid w:val="00B1373A"/>
    <w:rsid w:val="00B13FC6"/>
    <w:rsid w:val="00B24F8D"/>
    <w:rsid w:val="00B41BAD"/>
    <w:rsid w:val="00B437C6"/>
    <w:rsid w:val="00B50D3F"/>
    <w:rsid w:val="00B52492"/>
    <w:rsid w:val="00B5613A"/>
    <w:rsid w:val="00B71135"/>
    <w:rsid w:val="00B752B4"/>
    <w:rsid w:val="00B91D94"/>
    <w:rsid w:val="00BB1A22"/>
    <w:rsid w:val="00BD0E8F"/>
    <w:rsid w:val="00BD6E39"/>
    <w:rsid w:val="00BE208D"/>
    <w:rsid w:val="00BE422D"/>
    <w:rsid w:val="00BE4231"/>
    <w:rsid w:val="00BF1C19"/>
    <w:rsid w:val="00BF4124"/>
    <w:rsid w:val="00C01E1F"/>
    <w:rsid w:val="00C05645"/>
    <w:rsid w:val="00C2033F"/>
    <w:rsid w:val="00C21703"/>
    <w:rsid w:val="00C22E60"/>
    <w:rsid w:val="00C23F84"/>
    <w:rsid w:val="00C26951"/>
    <w:rsid w:val="00C323CE"/>
    <w:rsid w:val="00C323F5"/>
    <w:rsid w:val="00C43BA9"/>
    <w:rsid w:val="00C55184"/>
    <w:rsid w:val="00C55DEB"/>
    <w:rsid w:val="00C73E07"/>
    <w:rsid w:val="00C81E23"/>
    <w:rsid w:val="00C83F0D"/>
    <w:rsid w:val="00C845D4"/>
    <w:rsid w:val="00C96EFA"/>
    <w:rsid w:val="00CA146A"/>
    <w:rsid w:val="00CB2592"/>
    <w:rsid w:val="00CB2684"/>
    <w:rsid w:val="00CC2D1E"/>
    <w:rsid w:val="00CC547C"/>
    <w:rsid w:val="00CE0537"/>
    <w:rsid w:val="00CE3F68"/>
    <w:rsid w:val="00CF0CAA"/>
    <w:rsid w:val="00CF3450"/>
    <w:rsid w:val="00D004A6"/>
    <w:rsid w:val="00D01B3E"/>
    <w:rsid w:val="00D1114A"/>
    <w:rsid w:val="00D149CA"/>
    <w:rsid w:val="00D2206D"/>
    <w:rsid w:val="00D42F66"/>
    <w:rsid w:val="00D50EC0"/>
    <w:rsid w:val="00D65434"/>
    <w:rsid w:val="00D73517"/>
    <w:rsid w:val="00D742FC"/>
    <w:rsid w:val="00D84B16"/>
    <w:rsid w:val="00D94578"/>
    <w:rsid w:val="00DA0FC2"/>
    <w:rsid w:val="00DB1242"/>
    <w:rsid w:val="00DB1FB4"/>
    <w:rsid w:val="00DC6A62"/>
    <w:rsid w:val="00DC7783"/>
    <w:rsid w:val="00DE697D"/>
    <w:rsid w:val="00E01D7B"/>
    <w:rsid w:val="00E14DFD"/>
    <w:rsid w:val="00E40B2B"/>
    <w:rsid w:val="00E4130D"/>
    <w:rsid w:val="00E4576B"/>
    <w:rsid w:val="00E509E4"/>
    <w:rsid w:val="00E545E6"/>
    <w:rsid w:val="00E5784C"/>
    <w:rsid w:val="00E624F5"/>
    <w:rsid w:val="00E66D3D"/>
    <w:rsid w:val="00E67CDB"/>
    <w:rsid w:val="00E71B2E"/>
    <w:rsid w:val="00E72EF3"/>
    <w:rsid w:val="00E976DB"/>
    <w:rsid w:val="00EA59F7"/>
    <w:rsid w:val="00F13F72"/>
    <w:rsid w:val="00F17236"/>
    <w:rsid w:val="00F2123A"/>
    <w:rsid w:val="00F241C6"/>
    <w:rsid w:val="00F3100E"/>
    <w:rsid w:val="00F35B7E"/>
    <w:rsid w:val="00F545F4"/>
    <w:rsid w:val="00F60F3B"/>
    <w:rsid w:val="00F85E50"/>
    <w:rsid w:val="00F86C29"/>
    <w:rsid w:val="00FB41C2"/>
    <w:rsid w:val="00FB5E9F"/>
    <w:rsid w:val="00FE921A"/>
    <w:rsid w:val="00FF1991"/>
    <w:rsid w:val="0103F220"/>
    <w:rsid w:val="012E1B18"/>
    <w:rsid w:val="013088B6"/>
    <w:rsid w:val="013A5440"/>
    <w:rsid w:val="0183DC5B"/>
    <w:rsid w:val="02644133"/>
    <w:rsid w:val="026999ED"/>
    <w:rsid w:val="02AB5019"/>
    <w:rsid w:val="03CB3B80"/>
    <w:rsid w:val="044B1A6E"/>
    <w:rsid w:val="04DB9E88"/>
    <w:rsid w:val="05670BE1"/>
    <w:rsid w:val="0A1234B0"/>
    <w:rsid w:val="0AA60942"/>
    <w:rsid w:val="0AE92BE8"/>
    <w:rsid w:val="0B2B0485"/>
    <w:rsid w:val="0BD2DE0A"/>
    <w:rsid w:val="0C1F3CAE"/>
    <w:rsid w:val="0CFE6394"/>
    <w:rsid w:val="0D41896F"/>
    <w:rsid w:val="0D561EAA"/>
    <w:rsid w:val="0DDE96BC"/>
    <w:rsid w:val="0E2FB3BA"/>
    <w:rsid w:val="0F7F29DB"/>
    <w:rsid w:val="0FB154CB"/>
    <w:rsid w:val="10710883"/>
    <w:rsid w:val="11144AB0"/>
    <w:rsid w:val="113FA037"/>
    <w:rsid w:val="115AAA3D"/>
    <w:rsid w:val="1248F24F"/>
    <w:rsid w:val="124F0EDE"/>
    <w:rsid w:val="1359C66E"/>
    <w:rsid w:val="1479C8A5"/>
    <w:rsid w:val="14DFBFA1"/>
    <w:rsid w:val="1529F1C3"/>
    <w:rsid w:val="155A3E63"/>
    <w:rsid w:val="15FA2ED7"/>
    <w:rsid w:val="167EF469"/>
    <w:rsid w:val="168B02AE"/>
    <w:rsid w:val="16E8C44D"/>
    <w:rsid w:val="17D9FDBE"/>
    <w:rsid w:val="1838BAEA"/>
    <w:rsid w:val="18B50540"/>
    <w:rsid w:val="19B650A8"/>
    <w:rsid w:val="1A992514"/>
    <w:rsid w:val="1AF2855F"/>
    <w:rsid w:val="1D98BCF2"/>
    <w:rsid w:val="1E92C8B6"/>
    <w:rsid w:val="1EA53CF7"/>
    <w:rsid w:val="1FC5F682"/>
    <w:rsid w:val="2005904E"/>
    <w:rsid w:val="2040B975"/>
    <w:rsid w:val="206155EE"/>
    <w:rsid w:val="22802BC1"/>
    <w:rsid w:val="22BBC5EB"/>
    <w:rsid w:val="249967A5"/>
    <w:rsid w:val="24A81060"/>
    <w:rsid w:val="2579B9BA"/>
    <w:rsid w:val="26353806"/>
    <w:rsid w:val="274D1AA9"/>
    <w:rsid w:val="27D75940"/>
    <w:rsid w:val="28258DBF"/>
    <w:rsid w:val="29398F82"/>
    <w:rsid w:val="296F840D"/>
    <w:rsid w:val="2AC46AC2"/>
    <w:rsid w:val="2CA03CFD"/>
    <w:rsid w:val="2DB6C0B4"/>
    <w:rsid w:val="2DFE069A"/>
    <w:rsid w:val="2E5476B2"/>
    <w:rsid w:val="2E6CE73A"/>
    <w:rsid w:val="2E9FF842"/>
    <w:rsid w:val="2EA8FD28"/>
    <w:rsid w:val="2F6CC2E3"/>
    <w:rsid w:val="3076A574"/>
    <w:rsid w:val="328A31D7"/>
    <w:rsid w:val="3313BB0E"/>
    <w:rsid w:val="34ABEF6A"/>
    <w:rsid w:val="34E01C17"/>
    <w:rsid w:val="350A3F0A"/>
    <w:rsid w:val="357186F7"/>
    <w:rsid w:val="39DE6D44"/>
    <w:rsid w:val="3D2681AF"/>
    <w:rsid w:val="3D797A6B"/>
    <w:rsid w:val="3DD4D204"/>
    <w:rsid w:val="3F70A265"/>
    <w:rsid w:val="410C72C6"/>
    <w:rsid w:val="42263032"/>
    <w:rsid w:val="435105CE"/>
    <w:rsid w:val="44637E7C"/>
    <w:rsid w:val="45532A05"/>
    <w:rsid w:val="45E3917B"/>
    <w:rsid w:val="461CE589"/>
    <w:rsid w:val="4634C683"/>
    <w:rsid w:val="47F8A2B5"/>
    <w:rsid w:val="482F85EB"/>
    <w:rsid w:val="49368587"/>
    <w:rsid w:val="4A21609C"/>
    <w:rsid w:val="4AC39618"/>
    <w:rsid w:val="4C16758A"/>
    <w:rsid w:val="4C7C26C9"/>
    <w:rsid w:val="4C900C46"/>
    <w:rsid w:val="4D268A5A"/>
    <w:rsid w:val="4D7C0ECC"/>
    <w:rsid w:val="4E547293"/>
    <w:rsid w:val="506CCA6A"/>
    <w:rsid w:val="50D1C19F"/>
    <w:rsid w:val="51A4F7FE"/>
    <w:rsid w:val="520F598A"/>
    <w:rsid w:val="5210C718"/>
    <w:rsid w:val="5213A355"/>
    <w:rsid w:val="523435C2"/>
    <w:rsid w:val="52617AD9"/>
    <w:rsid w:val="526D9200"/>
    <w:rsid w:val="52C5AA75"/>
    <w:rsid w:val="54421866"/>
    <w:rsid w:val="54DC98C0"/>
    <w:rsid w:val="558DA97E"/>
    <w:rsid w:val="55BE5B1F"/>
    <w:rsid w:val="56B903EB"/>
    <w:rsid w:val="5787527D"/>
    <w:rsid w:val="5793C938"/>
    <w:rsid w:val="5843DF1B"/>
    <w:rsid w:val="584B0F79"/>
    <w:rsid w:val="58A02E05"/>
    <w:rsid w:val="58C28093"/>
    <w:rsid w:val="58F5FBE1"/>
    <w:rsid w:val="5AA20A77"/>
    <w:rsid w:val="5AE1FBDA"/>
    <w:rsid w:val="5C147446"/>
    <w:rsid w:val="5C2D9CA3"/>
    <w:rsid w:val="5D37ADE7"/>
    <w:rsid w:val="5D3FE3CD"/>
    <w:rsid w:val="5D6C73F1"/>
    <w:rsid w:val="5DC96D04"/>
    <w:rsid w:val="5F0CBDBF"/>
    <w:rsid w:val="621354F0"/>
    <w:rsid w:val="6372DF31"/>
    <w:rsid w:val="64A549FE"/>
    <w:rsid w:val="664B7907"/>
    <w:rsid w:val="66D4CF6D"/>
    <w:rsid w:val="6713C76F"/>
    <w:rsid w:val="689FA0E6"/>
    <w:rsid w:val="68A9D042"/>
    <w:rsid w:val="68D5B995"/>
    <w:rsid w:val="68FFC77B"/>
    <w:rsid w:val="6904F7E2"/>
    <w:rsid w:val="6A69B211"/>
    <w:rsid w:val="6A7D771D"/>
    <w:rsid w:val="6B10673A"/>
    <w:rsid w:val="6BC5DAD5"/>
    <w:rsid w:val="6CA6648F"/>
    <w:rsid w:val="6CEDDFCC"/>
    <w:rsid w:val="6DAB5452"/>
    <w:rsid w:val="6DF61501"/>
    <w:rsid w:val="6EA10307"/>
    <w:rsid w:val="6EB91233"/>
    <w:rsid w:val="6FD905D7"/>
    <w:rsid w:val="6FE73EF1"/>
    <w:rsid w:val="702557D9"/>
    <w:rsid w:val="703CD368"/>
    <w:rsid w:val="70552093"/>
    <w:rsid w:val="7154C5C1"/>
    <w:rsid w:val="71816B4C"/>
    <w:rsid w:val="71AE0427"/>
    <w:rsid w:val="72033DA8"/>
    <w:rsid w:val="721159CE"/>
    <w:rsid w:val="73203C94"/>
    <w:rsid w:val="73586A81"/>
    <w:rsid w:val="7374742A"/>
    <w:rsid w:val="73D38B09"/>
    <w:rsid w:val="750D58D3"/>
    <w:rsid w:val="759F4597"/>
    <w:rsid w:val="760C5AE1"/>
    <w:rsid w:val="781250FE"/>
    <w:rsid w:val="78BBC145"/>
    <w:rsid w:val="7A9120C0"/>
    <w:rsid w:val="7B1284BA"/>
    <w:rsid w:val="7C2BD441"/>
    <w:rsid w:val="7DE53B4E"/>
    <w:rsid w:val="7EB726D1"/>
    <w:rsid w:val="7EF6C0EB"/>
    <w:rsid w:val="7F150501"/>
    <w:rsid w:val="7F196250"/>
    <w:rsid w:val="7F6439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F1316E"/>
  <w15:chartTrackingRefBased/>
  <w15:docId w15:val="{8F0A17E4-7CCA-48AD-B5A3-44E580AB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F23"/>
  </w:style>
  <w:style w:type="paragraph" w:styleId="Footer">
    <w:name w:val="footer"/>
    <w:basedOn w:val="Normal"/>
    <w:link w:val="FooterChar"/>
    <w:uiPriority w:val="99"/>
    <w:unhideWhenUsed/>
    <w:rsid w:val="00515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23"/>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rsid w:val="00291D75"/>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 Char Char Char,Footnote Text Char Char Char1,Footnote Text Char Char1 Char,Footnote Text Char1 Char Char,Footnote Text Char1 Char Char Char1 Char,Footnote Text Char1 Char1,Footnote Text Char2 Char Char,c Char,f Char"/>
    <w:basedOn w:val="DefaultParagraphFont"/>
    <w:link w:val="FootnoteText"/>
    <w:uiPriority w:val="99"/>
    <w:rsid w:val="00291D75"/>
    <w:rPr>
      <w:rFonts w:ascii="Times New Roman" w:hAnsi="Times New Roman"/>
      <w:sz w:val="20"/>
      <w:szCs w:val="20"/>
    </w:rPr>
  </w:style>
  <w:style w:type="character" w:styleId="FootnoteReference">
    <w:name w:val="footnote reference"/>
    <w:aliases w:val="(NECG) Footnote Reference,EIS Footnote Reference,FTPLK,Footnote Reference (EIS),Footnote reference (EA),Styl,Style 12,Style 13,Style 15,Style 17,Style 18,Style 19,Style 20,Style 28,Style 7,Style 8,Style 9,fnr,fr,fr1,fr2,fr3,o,o1,o2,o3"/>
    <w:basedOn w:val="DefaultParagraphFont"/>
    <w:unhideWhenUsed/>
    <w:qFormat/>
    <w:rsid w:val="00291D75"/>
    <w:rPr>
      <w:rFonts w:ascii="Times New Roman" w:hAnsi="Times New Roman" w:cs="Times New Roman"/>
      <w:b/>
      <w:sz w:val="26"/>
      <w:vertAlign w:val="superscript"/>
    </w:rPr>
  </w:style>
  <w:style w:type="character" w:styleId="Hyperlink">
    <w:name w:val="Hyperlink"/>
    <w:basedOn w:val="DefaultParagraphFont"/>
    <w:uiPriority w:val="99"/>
    <w:unhideWhenUsed/>
    <w:rsid w:val="00103037"/>
    <w:rPr>
      <w:color w:val="0563C1" w:themeColor="hyperlink"/>
      <w:u w:val="single"/>
    </w:rPr>
  </w:style>
  <w:style w:type="character" w:styleId="UnresolvedMention">
    <w:name w:val="Unresolved Mention"/>
    <w:basedOn w:val="DefaultParagraphFont"/>
    <w:uiPriority w:val="99"/>
    <w:semiHidden/>
    <w:unhideWhenUsed/>
    <w:rsid w:val="00103037"/>
    <w:rPr>
      <w:color w:val="605E5C"/>
      <w:shd w:val="clear" w:color="auto" w:fill="E1DFDD"/>
    </w:rPr>
  </w:style>
  <w:style w:type="character" w:styleId="FollowedHyperlink">
    <w:name w:val="FollowedHyperlink"/>
    <w:basedOn w:val="DefaultParagraphFont"/>
    <w:uiPriority w:val="99"/>
    <w:semiHidden/>
    <w:unhideWhenUsed/>
    <w:rsid w:val="00340C9B"/>
    <w:rPr>
      <w:color w:val="954F72" w:themeColor="followedHyperlink"/>
      <w:u w:val="single"/>
    </w:rPr>
  </w:style>
  <w:style w:type="table" w:styleId="TableGrid">
    <w:name w:val="Table Grid"/>
    <w:basedOn w:val="TableNormal"/>
    <w:uiPriority w:val="39"/>
    <w:rsid w:val="005E4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AB1"/>
    <w:pPr>
      <w:spacing w:after="0" w:line="240" w:lineRule="auto"/>
    </w:pPr>
  </w:style>
  <w:style w:type="character" w:customStyle="1" w:styleId="CommentReference">
    <w:name w:val="Comment Reference"/>
    <w:basedOn w:val="DefaultParagraphFont"/>
    <w:semiHidden/>
    <w:unhideWhenUsed/>
    <w:rsid w:val="002F7716"/>
    <w:rPr>
      <w:sz w:val="16"/>
      <w:szCs w:val="16"/>
    </w:rPr>
  </w:style>
  <w:style w:type="paragraph" w:customStyle="1" w:styleId="CommentText">
    <w:name w:val="Comment Text"/>
    <w:basedOn w:val="Normal"/>
    <w:link w:val="CommentTextChar"/>
    <w:uiPriority w:val="99"/>
    <w:unhideWhenUsed/>
    <w:rsid w:val="002F7716"/>
    <w:pPr>
      <w:spacing w:line="240" w:lineRule="auto"/>
    </w:pPr>
    <w:rPr>
      <w:sz w:val="20"/>
      <w:szCs w:val="20"/>
    </w:rPr>
  </w:style>
  <w:style w:type="character" w:customStyle="1" w:styleId="CommentTextChar">
    <w:name w:val="Comment Text Char"/>
    <w:basedOn w:val="DefaultParagraphFont"/>
    <w:link w:val="CommentText"/>
    <w:uiPriority w:val="99"/>
    <w:rsid w:val="002F7716"/>
    <w:rPr>
      <w:sz w:val="20"/>
      <w:szCs w:val="20"/>
    </w:rPr>
  </w:style>
  <w:style w:type="paragraph" w:customStyle="1" w:styleId="CommentSubject">
    <w:name w:val="Comment Subject"/>
    <w:basedOn w:val="CommentText"/>
    <w:next w:val="CommentText"/>
    <w:link w:val="CommentSubjectChar"/>
    <w:uiPriority w:val="99"/>
    <w:semiHidden/>
    <w:unhideWhenUsed/>
    <w:rsid w:val="002F7716"/>
    <w:rPr>
      <w:b/>
      <w:bCs/>
    </w:rPr>
  </w:style>
  <w:style w:type="character" w:customStyle="1" w:styleId="CommentSubjectChar">
    <w:name w:val="Comment Subject Char"/>
    <w:basedOn w:val="CommentTextChar"/>
    <w:link w:val="CommentSubject"/>
    <w:uiPriority w:val="99"/>
    <w:semiHidden/>
    <w:rsid w:val="002F7716"/>
    <w:rPr>
      <w:b/>
      <w:bCs/>
      <w:sz w:val="20"/>
      <w:szCs w:val="20"/>
    </w:rPr>
  </w:style>
  <w:style w:type="character" w:styleId="Mention">
    <w:name w:val="Mention"/>
    <w:basedOn w:val="DefaultParagraphFont"/>
    <w:uiPriority w:val="99"/>
    <w:unhideWhenUsed/>
    <w:rsid w:val="002F7716"/>
    <w:rPr>
      <w:color w:val="2B579A"/>
      <w:shd w:val="clear" w:color="auto" w:fill="E1DFDD"/>
    </w:rPr>
  </w:style>
  <w:style w:type="paragraph" w:styleId="ListParagraph">
    <w:name w:val="List Paragraph"/>
    <w:basedOn w:val="Normal"/>
    <w:uiPriority w:val="34"/>
    <w:qFormat/>
    <w:rsid w:val="00512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legal/ceii-foia/ceii.asp" TargetMode="External" /><Relationship Id="rId11" Type="http://schemas.openxmlformats.org/officeDocument/2006/relationships/hyperlink" Target="http://www.ferc.gov/legal/ceii-foia/ceii/classes.asp" TargetMode="External" /><Relationship Id="rId12" Type="http://schemas.openxmlformats.org/officeDocument/2006/relationships/hyperlink" Target="https://www.ferc.gov/information-collection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library.ferc.gov/eLibrary/search"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333A-DC3F-4F04-81DE-E46D65C88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7A1EE-5A06-42FE-B5CA-B2E67B7835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94DD5-2F27-444F-849E-31705D9D5DB8}">
  <ds:schemaRefs>
    <ds:schemaRef ds:uri="http://schemas.microsoft.com/sharepoint/v3/contenttype/forms"/>
  </ds:schemaRefs>
</ds:datastoreItem>
</file>

<file path=customXml/itemProps4.xml><?xml version="1.0" encoding="utf-8"?>
<ds:datastoreItem xmlns:ds="http://schemas.openxmlformats.org/officeDocument/2006/customXml" ds:itemID="{B67A5596-B9FB-405D-849E-1564D926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Ken Ambrose</cp:lastModifiedBy>
  <cp:revision>72</cp:revision>
  <dcterms:created xsi:type="dcterms:W3CDTF">2026-05-27T14:25:00Z</dcterms:created>
  <dcterms:modified xsi:type="dcterms:W3CDTF">2026-05-27T14:37:53Z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#ff0000,13,Times New Roman</vt:lpwstr>
  </property>
  <property fmtid="{D5CDD505-2E9C-101B-9397-08002B2CF9AE}" pid="3" name="ClassificationContentMarkingHeaderShapeIds">
    <vt:lpwstr>3</vt:lpwstr>
  </property>
  <property fmtid="{D5CDD505-2E9C-101B-9397-08002B2CF9AE}" pid="4" name="ClassificationContentMarkingHeaderText">
    <vt:lpwstr>CUI</vt:lpwstr>
  </property>
  <property fmtid="{D5CDD505-2E9C-101B-9397-08002B2CF9AE}" pid="5" name="ContentTypeId">
    <vt:lpwstr>0x0101006492A12D26BD054EAF7308A64C3FCB4C</vt:lpwstr>
  </property>
  <property fmtid="{D5CDD505-2E9C-101B-9397-08002B2CF9AE}" pid="6" name="MediaServiceImageTags">
    <vt:lpwstr/>
  </property>
  <property fmtid="{D5CDD505-2E9C-101B-9397-08002B2CF9AE}" pid="7" name="MSIP_Label_bd24d06a-0e85-4d57-b1e0-ba34b1abc708_ActionId">
    <vt:lpwstr>6e5d1fdd-83d3-4490-9620-4121f9704dc2</vt:lpwstr>
  </property>
  <property fmtid="{D5CDD505-2E9C-101B-9397-08002B2CF9AE}" pid="8" name="MSIP_Label_bd24d06a-0e85-4d57-b1e0-ba34b1abc708_ContentBits">
    <vt:lpwstr>0</vt:lpwstr>
  </property>
  <property fmtid="{D5CDD505-2E9C-101B-9397-08002B2CF9AE}" pid="9" name="MSIP_Label_bd24d06a-0e85-4d57-b1e0-ba34b1abc708_Enabled">
    <vt:lpwstr>true</vt:lpwstr>
  </property>
  <property fmtid="{D5CDD505-2E9C-101B-9397-08002B2CF9AE}" pid="10" name="MSIP_Label_bd24d06a-0e85-4d57-b1e0-ba34b1abc708_Method">
    <vt:lpwstr>Privileged</vt:lpwstr>
  </property>
  <property fmtid="{D5CDD505-2E9C-101B-9397-08002B2CF9AE}" pid="11" name="MSIP_Label_bd24d06a-0e85-4d57-b1e0-ba34b1abc708_Name">
    <vt:lpwstr>bd24d06a-0e85-4d57-b1e0-ba34b1abc708</vt:lpwstr>
  </property>
  <property fmtid="{D5CDD505-2E9C-101B-9397-08002B2CF9AE}" pid="12" name="MSIP_Label_bd24d06a-0e85-4d57-b1e0-ba34b1abc708_SetDate">
    <vt:lpwstr>2026-05-27T14:25:30Z</vt:lpwstr>
  </property>
  <property fmtid="{D5CDD505-2E9C-101B-9397-08002B2CF9AE}" pid="13" name="MSIP_Label_bd24d06a-0e85-4d57-b1e0-ba34b1abc708_SiteId">
    <vt:lpwstr>19caa9e9-04ff-43fa-885f-d77fac387903</vt:lpwstr>
  </property>
  <property fmtid="{D5CDD505-2E9C-101B-9397-08002B2CF9AE}" pid="14" name="MSIP_Label_bd24d06a-0e85-4d57-b1e0-ba34b1abc708_Tag">
    <vt:lpwstr>10, 0, 1, 2</vt:lpwstr>
  </property>
</Properties>
</file>