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C2719" w:rsidP="00CC2719" w14:paraId="051C6A4D" w14:textId="77777777">
      <w:pPr>
        <w:rPr>
          <w:noProof/>
        </w:rPr>
      </w:pPr>
    </w:p>
    <w:p w:rsidR="00CC2719" w:rsidP="00CC2719" w14:paraId="2E26B928" w14:textId="77777777">
      <w:r>
        <w:rPr>
          <w:noProof/>
        </w:rPr>
        <w:drawing>
          <wp:anchor distT="0" distB="0" distL="114300" distR="114300" simplePos="0" relativeHeight="251665408"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541096362"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96362"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softHyphen/>
      </w:r>
      <w:r>
        <w:rPr>
          <w:noProof/>
        </w:rPr>
        <w:softHyphen/>
      </w:r>
      <w:r>
        <w:rPr>
          <w:noProof/>
        </w:rPr>
        <w:softHyphen/>
      </w:r>
    </w:p>
    <w:p w:rsidR="00CC2719" w:rsidP="00CC2719" w14:paraId="1E99FB51" w14:textId="77777777"/>
    <w:p w:rsidR="00CC2719" w:rsidP="00CC2719" w14:paraId="144B065B" w14:textId="77777777">
      <w:r>
        <w:tab/>
      </w:r>
    </w:p>
    <w:p w:rsidR="00CC2719" w:rsidP="00CC2719" w14:paraId="1D3F7FD1" w14:textId="77777777"/>
    <w:p w:rsidR="00CC2719" w:rsidP="00CC2719" w14:paraId="28173597" w14:textId="77777777"/>
    <w:p w:rsidR="00CC2719" w:rsidP="00CC2719" w14:paraId="1D6FB255" w14:textId="77777777"/>
    <w:p w:rsidR="00CC2719" w:rsidP="00CC2719" w14:paraId="61191D80" w14:textId="77777777">
      <w:r>
        <w:rPr>
          <w:noProof/>
        </w:rPr>
        <mc:AlternateContent>
          <mc:Choice Requires="wps">
            <w:drawing>
              <wp:anchor distT="0" distB="0" distL="114300" distR="114300" simplePos="0" relativeHeight="251668480" behindDoc="0" locked="0" layoutInCell="1" allowOverlap="1">
                <wp:simplePos x="0" y="0"/>
                <wp:positionH relativeFrom="margin">
                  <wp:posOffset>388620</wp:posOffset>
                </wp:positionH>
                <wp:positionV relativeFrom="margin">
                  <wp:posOffset>5821680</wp:posOffset>
                </wp:positionV>
                <wp:extent cx="5318760" cy="1844040"/>
                <wp:effectExtent l="0" t="0" r="0" b="0"/>
                <wp:wrapSquare wrapText="bothSides"/>
                <wp:docPr id="84303145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18440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2719" w:rsidRPr="00E054DF" w:rsidP="00CC2719" w14:textId="695757BF">
                            <w:pPr>
                              <w:pStyle w:val="Boxtext"/>
                              <w:rPr>
                                <w:rFonts w:ascii="Times New Roman" w:hAnsi="Times New Roman"/>
                                <w:sz w:val="36"/>
                                <w:szCs w:val="36"/>
                              </w:rPr>
                            </w:pPr>
                            <w:bookmarkStart w:id="0" w:name="_Toc466046933"/>
                            <w:bookmarkStart w:id="1" w:name="_Toc128056073"/>
                            <w:r>
                              <w:rPr>
                                <w:rStyle w:val="Heading1Char"/>
                              </w:rPr>
                              <w:t>Part A</w:t>
                            </w:r>
                            <w:r w:rsidRPr="00E054DF">
                              <w:rPr>
                                <w:rStyle w:val="Heading1Char"/>
                              </w:rPr>
                              <w:t xml:space="preserve">: </w:t>
                            </w:r>
                            <w:bookmarkEnd w:id="0"/>
                            <w:r>
                              <w:rPr>
                                <w:rStyle w:val="Heading1Char"/>
                              </w:rPr>
                              <w:t>Justifications</w:t>
                            </w:r>
                            <w:bookmarkEnd w:id="1"/>
                            <w:r>
                              <w:br/>
                            </w:r>
                            <w:r w:rsidRPr="00E054DF">
                              <w:rPr>
                                <w:rFonts w:ascii="Times New Roman" w:hAnsi="Times New Roman"/>
                                <w:sz w:val="36"/>
                                <w:szCs w:val="36"/>
                              </w:rPr>
                              <w:t>OMB No. 1905-</w:t>
                            </w:r>
                            <w:r>
                              <w:rPr>
                                <w:rFonts w:ascii="Times New Roman" w:hAnsi="Times New Roman"/>
                                <w:sz w:val="36"/>
                                <w:szCs w:val="36"/>
                              </w:rPr>
                              <w:t>NEW</w:t>
                            </w:r>
                          </w:p>
                          <w:p w:rsidR="00CC2719" w:rsidRPr="0059212D" w:rsidP="00CC2719" w14:textId="56CE1B7E">
                            <w:pPr>
                              <w:rPr>
                                <w:i/>
                                <w:sz w:val="28"/>
                                <w:szCs w:val="28"/>
                              </w:rPr>
                            </w:pPr>
                            <w:r w:rsidRPr="0059212D">
                              <w:rPr>
                                <w:i/>
                                <w:sz w:val="28"/>
                                <w:szCs w:val="28"/>
                              </w:rPr>
                              <w:t>Form EIA-</w:t>
                            </w:r>
                            <w:r>
                              <w:rPr>
                                <w:i/>
                                <w:sz w:val="28"/>
                                <w:szCs w:val="28"/>
                              </w:rPr>
                              <w:t>847</w:t>
                            </w:r>
                            <w:r w:rsidR="003155E4">
                              <w:rPr>
                                <w:i/>
                                <w:sz w:val="28"/>
                                <w:szCs w:val="28"/>
                              </w:rPr>
                              <w:t>, Annual Manufacturing Energy Consumption Survey</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18.8pt;height:145.2pt;margin-top:458.4pt;margin-left:30.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CC2719" w:rsidRPr="00E054DF" w:rsidP="00CC2719" w14:paraId="6135EA59" w14:textId="695757BF">
                      <w:pPr>
                        <w:pStyle w:val="Boxtext"/>
                        <w:rPr>
                          <w:rFonts w:ascii="Times New Roman" w:hAnsi="Times New Roman"/>
                          <w:sz w:val="36"/>
                          <w:szCs w:val="36"/>
                        </w:rPr>
                      </w:pPr>
                      <w:bookmarkStart w:id="0" w:name="_Toc466046933"/>
                      <w:bookmarkStart w:id="1" w:name="_Toc128056073"/>
                      <w:r>
                        <w:rPr>
                          <w:rStyle w:val="Heading1Char"/>
                        </w:rPr>
                        <w:t>Part A</w:t>
                      </w:r>
                      <w:r w:rsidRPr="00E054DF">
                        <w:rPr>
                          <w:rStyle w:val="Heading1Char"/>
                        </w:rPr>
                        <w:t xml:space="preserve">: </w:t>
                      </w:r>
                      <w:bookmarkEnd w:id="0"/>
                      <w:r>
                        <w:rPr>
                          <w:rStyle w:val="Heading1Char"/>
                        </w:rPr>
                        <w:t>Justifications</w:t>
                      </w:r>
                      <w:bookmarkEnd w:id="1"/>
                      <w:r>
                        <w:br/>
                      </w:r>
                      <w:r w:rsidRPr="00E054DF">
                        <w:rPr>
                          <w:rFonts w:ascii="Times New Roman" w:hAnsi="Times New Roman"/>
                          <w:sz w:val="36"/>
                          <w:szCs w:val="36"/>
                        </w:rPr>
                        <w:t>OMB No. 1905-</w:t>
                      </w:r>
                      <w:r>
                        <w:rPr>
                          <w:rFonts w:ascii="Times New Roman" w:hAnsi="Times New Roman"/>
                          <w:sz w:val="36"/>
                          <w:szCs w:val="36"/>
                        </w:rPr>
                        <w:t>NEW</w:t>
                      </w:r>
                    </w:p>
                    <w:p w:rsidR="00CC2719" w:rsidRPr="0059212D" w:rsidP="00CC2719" w14:paraId="6C6C4833" w14:textId="56CE1B7E">
                      <w:pPr>
                        <w:rPr>
                          <w:i/>
                          <w:sz w:val="28"/>
                          <w:szCs w:val="28"/>
                        </w:rPr>
                      </w:pPr>
                      <w:r w:rsidRPr="0059212D">
                        <w:rPr>
                          <w:i/>
                          <w:sz w:val="28"/>
                          <w:szCs w:val="28"/>
                        </w:rPr>
                        <w:t>Form EIA-</w:t>
                      </w:r>
                      <w:r>
                        <w:rPr>
                          <w:i/>
                          <w:sz w:val="28"/>
                          <w:szCs w:val="28"/>
                        </w:rPr>
                        <w:t>847</w:t>
                      </w:r>
                      <w:r w:rsidR="003155E4">
                        <w:rPr>
                          <w:i/>
                          <w:sz w:val="28"/>
                          <w:szCs w:val="28"/>
                        </w:rPr>
                        <w:t>, Annual Manufacturing Energy Consumption Survey</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posOffset>363855</wp:posOffset>
                </wp:positionH>
                <wp:positionV relativeFrom="paragraph">
                  <wp:posOffset>960755</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2719" w:rsidRPr="009F61F7" w:rsidP="00CC2719" w14:textId="3C019A33">
                            <w:pPr>
                              <w:spacing w:line="276" w:lineRule="auto"/>
                              <w:rPr>
                                <w:b/>
                                <w:sz w:val="60"/>
                                <w:szCs w:val="60"/>
                              </w:rPr>
                            </w:pPr>
                            <w:r>
                              <w:rPr>
                                <w:rFonts w:ascii="Times New Roman" w:hAnsi="Times New Roman"/>
                                <w:b/>
                                <w:color w:val="139CD8"/>
                                <w:sz w:val="60"/>
                                <w:szCs w:val="60"/>
                              </w:rPr>
                              <w:t xml:space="preserve">Supporting Statement for </w:t>
                            </w:r>
                            <w:r w:rsidR="0083728F">
                              <w:rPr>
                                <w:rFonts w:ascii="Times New Roman" w:hAnsi="Times New Roman"/>
                                <w:b/>
                                <w:color w:val="139CD8"/>
                                <w:sz w:val="60"/>
                                <w:szCs w:val="60"/>
                              </w:rPr>
                              <w:t>Annual Manufacturing Energy Consumption Survey</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6"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0288" filled="f" stroked="f">
                <v:textbox inset="0">
                  <w:txbxContent>
                    <w:p w:rsidR="00CC2719" w:rsidRPr="009F61F7" w:rsidP="00CC2719" w14:paraId="47840947" w14:textId="3C019A33">
                      <w:pPr>
                        <w:spacing w:line="276" w:lineRule="auto"/>
                        <w:rPr>
                          <w:b/>
                          <w:sz w:val="60"/>
                          <w:szCs w:val="60"/>
                        </w:rPr>
                      </w:pPr>
                      <w:r>
                        <w:rPr>
                          <w:rFonts w:ascii="Times New Roman" w:hAnsi="Times New Roman"/>
                          <w:b/>
                          <w:color w:val="139CD8"/>
                          <w:sz w:val="60"/>
                          <w:szCs w:val="60"/>
                        </w:rPr>
                        <w:t xml:space="preserve">Supporting Statement for </w:t>
                      </w:r>
                      <w:r w:rsidR="0083728F">
                        <w:rPr>
                          <w:rFonts w:ascii="Times New Roman" w:hAnsi="Times New Roman"/>
                          <w:b/>
                          <w:color w:val="139CD8"/>
                          <w:sz w:val="60"/>
                          <w:szCs w:val="60"/>
                        </w:rPr>
                        <w:t>Annual Manufacturing Energy Consumption Survey</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CC2719" w:rsidRPr="00E054DF" w:rsidP="00CC2719"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CC2719" w:rsidRPr="00E054DF" w:rsidP="00CC2719"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CC2719" w:rsidRPr="00E054DF" w:rsidP="00CC2719"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4384" filled="f" stroked="f">
                <v:textbox inset="0">
                  <w:txbxContent>
                    <w:p w:rsidR="00CC2719" w:rsidRPr="00E054DF" w:rsidP="00CC2719" w14:paraId="45104F1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CC2719" w:rsidRPr="00E054DF" w:rsidP="00CC2719" w14:paraId="1DB78E3C"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CC2719" w:rsidRPr="00E054DF" w:rsidP="00CC2719" w14:paraId="25D85BF4"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CC2719" w:rsidP="00CC2719" w14:textId="77777777">
                            <w:r w:rsidRPr="00583CFD">
                              <w:rPr>
                                <w:noProof/>
                              </w:rPr>
                              <w:drawing>
                                <wp:inline distT="0" distB="0" distL="0" distR="0">
                                  <wp:extent cx="2162175" cy="476250"/>
                                  <wp:effectExtent l="0" t="0" r="0" b="0"/>
                                  <wp:docPr id="701248605"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48605"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7456" filled="f" stroked="f">
                <v:textbox>
                  <w:txbxContent>
                    <w:p w:rsidR="00CC2719" w:rsidP="00CC2719" w14:paraId="28675AA9" w14:textId="77777777">
                      <w:drawing>
                        <wp:inline distT="0" distB="0" distL="0" distR="0">
                          <wp:extent cx="2162175" cy="476250"/>
                          <wp:effectExtent l="0" t="0" r="0" b="0"/>
                          <wp:docPr id="1940744027"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44027"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posOffset>391160</wp:posOffset>
                </wp:positionH>
                <wp:positionV relativeFrom="margin">
                  <wp:posOffset>5288280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2719" w:rsidRPr="00E054DF" w:rsidP="00CC2719" w14:textId="2BB95467">
                            <w:pPr>
                              <w:rPr>
                                <w:rFonts w:ascii="Franklin Gothic Medium" w:hAnsi="Franklin Gothic Medium"/>
                                <w:color w:val="7F7F7F"/>
                                <w:sz w:val="36"/>
                              </w:rPr>
                            </w:pPr>
                            <w:r>
                              <w:rPr>
                                <w:rFonts w:ascii="Franklin Gothic Medium" w:hAnsi="Franklin Gothic Medium"/>
                                <w:color w:val="7F7F7F"/>
                                <w:sz w:val="36"/>
                              </w:rPr>
                              <w:t>May</w:t>
                            </w:r>
                            <w:r w:rsidRPr="00E054DF">
                              <w:rPr>
                                <w:rFonts w:ascii="Franklin Gothic Medium" w:hAnsi="Franklin Gothic Medium"/>
                                <w:color w:val="7F7F7F"/>
                                <w:sz w:val="36"/>
                              </w:rPr>
                              <w:t xml:space="preserve"> 202</w:t>
                            </w:r>
                            <w:r>
                              <w:rPr>
                                <w:rFonts w:ascii="Franklin Gothic Medium" w:hAnsi="Franklin Gothic Medium"/>
                                <w:color w:val="7F7F7F"/>
                                <w:sz w:val="36"/>
                              </w:rPr>
                              <w:t>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width:187.2pt;height:37.6pt;margin-top:416.4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2336" filled="f" stroked="f">
                <v:textbox style="mso-fit-shape-to-text:t" inset="0">
                  <w:txbxContent>
                    <w:p w:rsidR="00CC2719" w:rsidRPr="00E054DF" w:rsidP="00CC2719" w14:paraId="1CE458EB" w14:textId="2BB95467">
                      <w:pPr>
                        <w:rPr>
                          <w:rFonts w:ascii="Franklin Gothic Medium" w:hAnsi="Franklin Gothic Medium"/>
                          <w:color w:val="7F7F7F"/>
                          <w:sz w:val="36"/>
                        </w:rPr>
                      </w:pPr>
                      <w:r>
                        <w:rPr>
                          <w:rFonts w:ascii="Franklin Gothic Medium" w:hAnsi="Franklin Gothic Medium"/>
                          <w:color w:val="7F7F7F"/>
                          <w:sz w:val="36"/>
                        </w:rPr>
                        <w:t>May</w:t>
                      </w:r>
                      <w:r w:rsidRPr="00E054DF">
                        <w:rPr>
                          <w:rFonts w:ascii="Franklin Gothic Medium" w:hAnsi="Franklin Gothic Medium"/>
                          <w:color w:val="7F7F7F"/>
                          <w:sz w:val="36"/>
                        </w:rPr>
                        <w:t xml:space="preserve"> 202</w:t>
                      </w:r>
                      <w:r>
                        <w:rPr>
                          <w:rFonts w:ascii="Franklin Gothic Medium" w:hAnsi="Franklin Gothic Medium"/>
                          <w:color w:val="7F7F7F"/>
                          <w:sz w:val="36"/>
                        </w:rPr>
                        <w:t>6</w:t>
                      </w:r>
                    </w:p>
                  </w:txbxContent>
                </v:textbox>
                <w10:wrap type="square"/>
              </v:shape>
            </w:pict>
          </mc:Fallback>
        </mc:AlternateContent>
      </w:r>
      <w:r>
        <w:br w:type="page"/>
      </w:r>
    </w:p>
    <w:p w:rsidR="00CC2719" w:rsidP="00CC2719" w14:paraId="1B8DA14D" w14:textId="77777777">
      <w:pPr>
        <w:sectPr w:rsidSect="00CC2719">
          <w:footerReference w:type="default" r:id="rId11"/>
          <w:footnotePr>
            <w:pos w:val="beneathText"/>
          </w:footnotePr>
          <w:type w:val="continuous"/>
          <w:pgSz w:w="12240" w:h="15840"/>
          <w:pgMar w:top="720" w:right="1440" w:bottom="720" w:left="1440" w:header="720" w:footer="720" w:gutter="0"/>
          <w:pgNumType w:fmt="lowerRoman" w:start="0"/>
          <w:cols w:space="720"/>
          <w:titlePg/>
          <w:docGrid w:linePitch="360"/>
        </w:sectPr>
      </w:pPr>
    </w:p>
    <w:p w:rsidR="00CC2719" w:rsidP="00CC2719" w14:paraId="2371CCBC" w14:textId="77777777"/>
    <w:p w:rsidR="00CC2719" w:rsidP="00CC2719" w14:paraId="5FC7FFE4" w14:textId="77777777"/>
    <w:p w:rsidR="00CC2719" w:rsidP="00CC2719" w14:paraId="16B0C57E" w14:textId="77777777"/>
    <w:p w:rsidR="00CC2719" w:rsidP="00CC2719" w14:paraId="16952953" w14:textId="77777777"/>
    <w:p w:rsidR="00CC2719" w:rsidP="00CC2719" w14:paraId="735F119E" w14:textId="77777777"/>
    <w:p w:rsidR="00CC2719" w:rsidP="00CC2719" w14:paraId="2133CAA5" w14:textId="77777777"/>
    <w:p w:rsidR="00CC2719" w:rsidP="00CC2719" w14:paraId="5AF1D350" w14:textId="77777777"/>
    <w:p w:rsidR="00CC2719" w:rsidP="00CC2719" w14:paraId="0A4486D2" w14:textId="77777777"/>
    <w:p w:rsidR="00CC2719" w:rsidP="00CC2719" w14:paraId="01F4E934" w14:textId="77777777"/>
    <w:p w:rsidR="00CC2719" w:rsidP="00CC2719" w14:paraId="2BA32B3C" w14:textId="77777777"/>
    <w:p w:rsidR="00CC2719" w:rsidP="00CC2719" w14:paraId="2DBE713F" w14:textId="77777777"/>
    <w:p w:rsidR="00CC2719" w:rsidP="00CC2719" w14:paraId="7E0B3D33" w14:textId="77777777"/>
    <w:p w:rsidR="00CC2719" w:rsidP="00CC2719" w14:paraId="1037BA07" w14:textId="77777777"/>
    <w:p w:rsidR="00CC2719" w:rsidP="00CC2719" w14:paraId="44E8529E" w14:textId="77777777"/>
    <w:p w:rsidR="00CC2719" w:rsidP="00CC2719" w14:paraId="1FB65A75" w14:textId="77777777"/>
    <w:p w:rsidR="00CC2719" w:rsidP="00CC2719" w14:paraId="31B8F2ED" w14:textId="77777777"/>
    <w:p w:rsidR="00CC2719" w:rsidP="00CC2719" w14:paraId="1F4C3F52" w14:textId="77777777"/>
    <w:p w:rsidR="00CC2719" w:rsidP="00CC2719" w14:paraId="4B2602BB" w14:textId="77777777"/>
    <w:p w:rsidR="00CC2719" w:rsidP="00CC2719" w14:paraId="0C43A6E3" w14:textId="77777777"/>
    <w:p w:rsidR="00CC2719" w:rsidP="00CC2719" w14:paraId="1A661BF9" w14:textId="77777777"/>
    <w:p w:rsidR="00CC2719" w:rsidP="00CC2719" w14:paraId="5A4BDA33" w14:textId="77777777"/>
    <w:p w:rsidR="00CC2719" w:rsidP="00CC2719" w14:paraId="2AFEBFF4" w14:textId="77777777">
      <w:pPr>
        <w:pStyle w:val="Boxtext"/>
        <w:sectPr w:rsidSect="00CC2719">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br/>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CC2719" w:rsidP="00CC2719" w14:paraId="0A16BCED" w14:textId="77777777">
      <w:pPr>
        <w:sectPr w:rsidSect="00CC2719">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31220B" w:rsidP="00711414" w14:paraId="6A05A809" w14:textId="3EF91F5D">
      <w:pPr>
        <w:sectPr w:rsidSect="001F3A8F">
          <w:headerReference w:type="default" r:id="rId14"/>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Content>
        <w:p w:rsidR="0059212D" w:rsidP="0088601F" w14:paraId="22E0FC93" w14:textId="77777777">
          <w:pPr>
            <w:pStyle w:val="TOCHeading"/>
          </w:pPr>
          <w:r>
            <w:t>Table of Contents</w:t>
          </w:r>
        </w:p>
        <w:p w:rsidR="003407AA" w14:paraId="07B5F646" w14:textId="6B675705">
          <w:pPr>
            <w:pStyle w:val="TOC1"/>
            <w:rPr>
              <w:rFonts w:eastAsiaTheme="minorEastAsia"/>
              <w:noProof/>
              <w:color w:val="auto"/>
              <w:kern w:val="2"/>
              <w:sz w:val="24"/>
              <w:szCs w:val="24"/>
              <w14:ligatures w14:val="standardContextual"/>
            </w:rPr>
          </w:pPr>
          <w:r>
            <w:fldChar w:fldCharType="begin"/>
          </w:r>
          <w:r>
            <w:instrText xml:space="preserve"> TOC \o "1-3" \h \z \u </w:instrText>
          </w:r>
          <w:r>
            <w:fldChar w:fldCharType="separate"/>
          </w:r>
          <w:hyperlink w:anchor="_Toc229059418" w:history="1">
            <w:r w:rsidRPr="00712F7E">
              <w:rPr>
                <w:rStyle w:val="Hyperlink"/>
                <w:noProof/>
              </w:rPr>
              <w:t>Part A: Justification</w:t>
            </w:r>
            <w:r>
              <w:rPr>
                <w:noProof/>
                <w:webHidden/>
              </w:rPr>
              <w:tab/>
            </w:r>
            <w:r>
              <w:rPr>
                <w:noProof/>
                <w:webHidden/>
              </w:rPr>
              <w:fldChar w:fldCharType="begin"/>
            </w:r>
            <w:r>
              <w:rPr>
                <w:noProof/>
                <w:webHidden/>
              </w:rPr>
              <w:instrText xml:space="preserve"> PAGEREF _Toc229059418 \h </w:instrText>
            </w:r>
            <w:r>
              <w:rPr>
                <w:noProof/>
                <w:webHidden/>
              </w:rPr>
              <w:fldChar w:fldCharType="separate"/>
            </w:r>
            <w:r w:rsidR="00DB2391">
              <w:rPr>
                <w:noProof/>
                <w:webHidden/>
              </w:rPr>
              <w:t>i</w:t>
            </w:r>
            <w:r>
              <w:rPr>
                <w:noProof/>
                <w:webHidden/>
              </w:rPr>
              <w:fldChar w:fldCharType="end"/>
            </w:r>
          </w:hyperlink>
        </w:p>
        <w:p w:rsidR="003407AA" w14:paraId="6AB5919A" w14:textId="367D8271">
          <w:pPr>
            <w:pStyle w:val="TOC2"/>
            <w:rPr>
              <w:rFonts w:eastAsiaTheme="minorEastAsia"/>
              <w:noProof/>
              <w:color w:val="auto"/>
              <w:kern w:val="2"/>
              <w:sz w:val="24"/>
              <w:szCs w:val="24"/>
              <w14:ligatures w14:val="standardContextual"/>
            </w:rPr>
          </w:pPr>
          <w:hyperlink w:anchor="_Toc229059419" w:history="1">
            <w:r w:rsidRPr="00712F7E">
              <w:rPr>
                <w:rStyle w:val="Hyperlink"/>
                <w:noProof/>
              </w:rPr>
              <w:t>Introduction</w:t>
            </w:r>
            <w:r>
              <w:rPr>
                <w:noProof/>
                <w:webHidden/>
              </w:rPr>
              <w:tab/>
            </w:r>
            <w:r>
              <w:rPr>
                <w:noProof/>
                <w:webHidden/>
              </w:rPr>
              <w:fldChar w:fldCharType="begin"/>
            </w:r>
            <w:r>
              <w:rPr>
                <w:noProof/>
                <w:webHidden/>
              </w:rPr>
              <w:instrText xml:space="preserve"> PAGEREF _Toc229059419 \h </w:instrText>
            </w:r>
            <w:r>
              <w:rPr>
                <w:noProof/>
                <w:webHidden/>
              </w:rPr>
              <w:fldChar w:fldCharType="separate"/>
            </w:r>
            <w:r w:rsidR="00DB2391">
              <w:rPr>
                <w:noProof/>
                <w:webHidden/>
              </w:rPr>
              <w:t>2</w:t>
            </w:r>
            <w:r>
              <w:rPr>
                <w:noProof/>
                <w:webHidden/>
              </w:rPr>
              <w:fldChar w:fldCharType="end"/>
            </w:r>
          </w:hyperlink>
        </w:p>
        <w:p w:rsidR="003407AA" w14:paraId="529FA74C" w14:textId="78F0FFE5">
          <w:pPr>
            <w:pStyle w:val="TOC2"/>
            <w:rPr>
              <w:rFonts w:eastAsiaTheme="minorEastAsia"/>
              <w:noProof/>
              <w:color w:val="auto"/>
              <w:kern w:val="2"/>
              <w:sz w:val="24"/>
              <w:szCs w:val="24"/>
              <w14:ligatures w14:val="standardContextual"/>
            </w:rPr>
          </w:pPr>
          <w:hyperlink w:anchor="_Toc229059420" w:history="1">
            <w:r w:rsidRPr="00712F7E">
              <w:rPr>
                <w:rStyle w:val="Hyperlink"/>
                <w:noProof/>
              </w:rPr>
              <w:t>A.1. Legal Justification</w:t>
            </w:r>
            <w:r>
              <w:rPr>
                <w:noProof/>
                <w:webHidden/>
              </w:rPr>
              <w:tab/>
            </w:r>
            <w:r>
              <w:rPr>
                <w:noProof/>
                <w:webHidden/>
              </w:rPr>
              <w:fldChar w:fldCharType="begin"/>
            </w:r>
            <w:r>
              <w:rPr>
                <w:noProof/>
                <w:webHidden/>
              </w:rPr>
              <w:instrText xml:space="preserve"> PAGEREF _Toc229059420 \h </w:instrText>
            </w:r>
            <w:r>
              <w:rPr>
                <w:noProof/>
                <w:webHidden/>
              </w:rPr>
              <w:fldChar w:fldCharType="separate"/>
            </w:r>
            <w:r w:rsidR="00DB2391">
              <w:rPr>
                <w:noProof/>
                <w:webHidden/>
              </w:rPr>
              <w:t>2</w:t>
            </w:r>
            <w:r>
              <w:rPr>
                <w:noProof/>
                <w:webHidden/>
              </w:rPr>
              <w:fldChar w:fldCharType="end"/>
            </w:r>
          </w:hyperlink>
        </w:p>
        <w:p w:rsidR="003407AA" w14:paraId="51E1ED18" w14:textId="20A576D0">
          <w:pPr>
            <w:pStyle w:val="TOC2"/>
            <w:rPr>
              <w:rFonts w:eastAsiaTheme="minorEastAsia"/>
              <w:noProof/>
              <w:color w:val="auto"/>
              <w:kern w:val="2"/>
              <w:sz w:val="24"/>
              <w:szCs w:val="24"/>
              <w14:ligatures w14:val="standardContextual"/>
            </w:rPr>
          </w:pPr>
          <w:hyperlink w:anchor="_Toc229059421" w:history="1">
            <w:r w:rsidRPr="00712F7E">
              <w:rPr>
                <w:rStyle w:val="Hyperlink"/>
                <w:noProof/>
              </w:rPr>
              <w:t>A.2. Needs and Uses of Data</w:t>
            </w:r>
            <w:r>
              <w:rPr>
                <w:noProof/>
                <w:webHidden/>
              </w:rPr>
              <w:tab/>
            </w:r>
            <w:r>
              <w:rPr>
                <w:noProof/>
                <w:webHidden/>
              </w:rPr>
              <w:fldChar w:fldCharType="begin"/>
            </w:r>
            <w:r>
              <w:rPr>
                <w:noProof/>
                <w:webHidden/>
              </w:rPr>
              <w:instrText xml:space="preserve"> PAGEREF _Toc229059421 \h </w:instrText>
            </w:r>
            <w:r>
              <w:rPr>
                <w:noProof/>
                <w:webHidden/>
              </w:rPr>
              <w:fldChar w:fldCharType="separate"/>
            </w:r>
            <w:r w:rsidR="00DB2391">
              <w:rPr>
                <w:noProof/>
                <w:webHidden/>
              </w:rPr>
              <w:t>3</w:t>
            </w:r>
            <w:r>
              <w:rPr>
                <w:noProof/>
                <w:webHidden/>
              </w:rPr>
              <w:fldChar w:fldCharType="end"/>
            </w:r>
          </w:hyperlink>
        </w:p>
        <w:p w:rsidR="003407AA" w14:paraId="63518D6E" w14:textId="32D930B0">
          <w:pPr>
            <w:pStyle w:val="TOC2"/>
            <w:rPr>
              <w:rFonts w:eastAsiaTheme="minorEastAsia"/>
              <w:noProof/>
              <w:color w:val="auto"/>
              <w:kern w:val="2"/>
              <w:sz w:val="24"/>
              <w:szCs w:val="24"/>
              <w14:ligatures w14:val="standardContextual"/>
            </w:rPr>
          </w:pPr>
          <w:hyperlink w:anchor="_Toc229059422" w:history="1">
            <w:r w:rsidRPr="00712F7E">
              <w:rPr>
                <w:rStyle w:val="Hyperlink"/>
                <w:noProof/>
              </w:rPr>
              <w:t>A.3. Use of Technology</w:t>
            </w:r>
            <w:r>
              <w:rPr>
                <w:noProof/>
                <w:webHidden/>
              </w:rPr>
              <w:tab/>
            </w:r>
            <w:r>
              <w:rPr>
                <w:noProof/>
                <w:webHidden/>
              </w:rPr>
              <w:fldChar w:fldCharType="begin"/>
            </w:r>
            <w:r>
              <w:rPr>
                <w:noProof/>
                <w:webHidden/>
              </w:rPr>
              <w:instrText xml:space="preserve"> PAGEREF _Toc229059422 \h </w:instrText>
            </w:r>
            <w:r>
              <w:rPr>
                <w:noProof/>
                <w:webHidden/>
              </w:rPr>
              <w:fldChar w:fldCharType="separate"/>
            </w:r>
            <w:r w:rsidR="00DB2391">
              <w:rPr>
                <w:noProof/>
                <w:webHidden/>
              </w:rPr>
              <w:t>4</w:t>
            </w:r>
            <w:r>
              <w:rPr>
                <w:noProof/>
                <w:webHidden/>
              </w:rPr>
              <w:fldChar w:fldCharType="end"/>
            </w:r>
          </w:hyperlink>
        </w:p>
        <w:p w:rsidR="003407AA" w14:paraId="4AAB9B63" w14:textId="4CD3549D">
          <w:pPr>
            <w:pStyle w:val="TOC2"/>
            <w:rPr>
              <w:rFonts w:eastAsiaTheme="minorEastAsia"/>
              <w:noProof/>
              <w:color w:val="auto"/>
              <w:kern w:val="2"/>
              <w:sz w:val="24"/>
              <w:szCs w:val="24"/>
              <w14:ligatures w14:val="standardContextual"/>
            </w:rPr>
          </w:pPr>
          <w:hyperlink w:anchor="_Toc229059423" w:history="1">
            <w:r w:rsidRPr="00712F7E">
              <w:rPr>
                <w:rStyle w:val="Hyperlink"/>
                <w:noProof/>
              </w:rPr>
              <w:t>A.4. Efforts to Identify Duplication</w:t>
            </w:r>
            <w:r>
              <w:rPr>
                <w:noProof/>
                <w:webHidden/>
              </w:rPr>
              <w:tab/>
            </w:r>
            <w:r>
              <w:rPr>
                <w:noProof/>
                <w:webHidden/>
              </w:rPr>
              <w:fldChar w:fldCharType="begin"/>
            </w:r>
            <w:r>
              <w:rPr>
                <w:noProof/>
                <w:webHidden/>
              </w:rPr>
              <w:instrText xml:space="preserve"> PAGEREF _Toc229059423 \h </w:instrText>
            </w:r>
            <w:r>
              <w:rPr>
                <w:noProof/>
                <w:webHidden/>
              </w:rPr>
              <w:fldChar w:fldCharType="separate"/>
            </w:r>
            <w:r w:rsidR="00DB2391">
              <w:rPr>
                <w:noProof/>
                <w:webHidden/>
              </w:rPr>
              <w:t>5</w:t>
            </w:r>
            <w:r>
              <w:rPr>
                <w:noProof/>
                <w:webHidden/>
              </w:rPr>
              <w:fldChar w:fldCharType="end"/>
            </w:r>
          </w:hyperlink>
        </w:p>
        <w:p w:rsidR="003407AA" w14:paraId="34750A6B" w14:textId="76351157">
          <w:pPr>
            <w:pStyle w:val="TOC2"/>
            <w:rPr>
              <w:rFonts w:eastAsiaTheme="minorEastAsia"/>
              <w:noProof/>
              <w:color w:val="auto"/>
              <w:kern w:val="2"/>
              <w:sz w:val="24"/>
              <w:szCs w:val="24"/>
              <w14:ligatures w14:val="standardContextual"/>
            </w:rPr>
          </w:pPr>
          <w:hyperlink w:anchor="_Toc229059424" w:history="1">
            <w:r w:rsidRPr="00712F7E">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_Toc229059424 \h </w:instrText>
            </w:r>
            <w:r>
              <w:rPr>
                <w:noProof/>
                <w:webHidden/>
              </w:rPr>
              <w:fldChar w:fldCharType="separate"/>
            </w:r>
            <w:r w:rsidR="00DB2391">
              <w:rPr>
                <w:noProof/>
                <w:webHidden/>
              </w:rPr>
              <w:t>8</w:t>
            </w:r>
            <w:r>
              <w:rPr>
                <w:noProof/>
                <w:webHidden/>
              </w:rPr>
              <w:fldChar w:fldCharType="end"/>
            </w:r>
          </w:hyperlink>
        </w:p>
        <w:p w:rsidR="003407AA" w14:paraId="091D8277" w14:textId="6CE73FA6">
          <w:pPr>
            <w:pStyle w:val="TOC2"/>
            <w:rPr>
              <w:rFonts w:eastAsiaTheme="minorEastAsia"/>
              <w:noProof/>
              <w:color w:val="auto"/>
              <w:kern w:val="2"/>
              <w:sz w:val="24"/>
              <w:szCs w:val="24"/>
              <w14:ligatures w14:val="standardContextual"/>
            </w:rPr>
          </w:pPr>
          <w:hyperlink w:anchor="_Toc229059425" w:history="1">
            <w:r w:rsidRPr="00712F7E">
              <w:rPr>
                <w:rStyle w:val="Hyperlink"/>
                <w:noProof/>
              </w:rPr>
              <w:t>A.6. Consequences of Less-Frequent Reporting</w:t>
            </w:r>
            <w:r>
              <w:rPr>
                <w:noProof/>
                <w:webHidden/>
              </w:rPr>
              <w:tab/>
            </w:r>
            <w:r>
              <w:rPr>
                <w:noProof/>
                <w:webHidden/>
              </w:rPr>
              <w:fldChar w:fldCharType="begin"/>
            </w:r>
            <w:r>
              <w:rPr>
                <w:noProof/>
                <w:webHidden/>
              </w:rPr>
              <w:instrText xml:space="preserve"> PAGEREF _Toc229059425 \h </w:instrText>
            </w:r>
            <w:r>
              <w:rPr>
                <w:noProof/>
                <w:webHidden/>
              </w:rPr>
              <w:fldChar w:fldCharType="separate"/>
            </w:r>
            <w:r w:rsidR="00DB2391">
              <w:rPr>
                <w:noProof/>
                <w:webHidden/>
              </w:rPr>
              <w:t>9</w:t>
            </w:r>
            <w:r>
              <w:rPr>
                <w:noProof/>
                <w:webHidden/>
              </w:rPr>
              <w:fldChar w:fldCharType="end"/>
            </w:r>
          </w:hyperlink>
        </w:p>
        <w:p w:rsidR="003407AA" w14:paraId="4C22CFAB" w14:textId="0AEFAE93">
          <w:pPr>
            <w:pStyle w:val="TOC2"/>
            <w:rPr>
              <w:rFonts w:eastAsiaTheme="minorEastAsia"/>
              <w:noProof/>
              <w:color w:val="auto"/>
              <w:kern w:val="2"/>
              <w:sz w:val="24"/>
              <w:szCs w:val="24"/>
              <w14:ligatures w14:val="standardContextual"/>
            </w:rPr>
          </w:pPr>
          <w:hyperlink w:anchor="_Toc229059426" w:history="1">
            <w:r w:rsidRPr="00712F7E">
              <w:rPr>
                <w:rStyle w:val="Hyperlink"/>
                <w:noProof/>
              </w:rPr>
              <w:t>A.7. Compliance with 5 CFR 1320.5</w:t>
            </w:r>
            <w:r>
              <w:rPr>
                <w:noProof/>
                <w:webHidden/>
              </w:rPr>
              <w:tab/>
            </w:r>
            <w:r>
              <w:rPr>
                <w:noProof/>
                <w:webHidden/>
              </w:rPr>
              <w:fldChar w:fldCharType="begin"/>
            </w:r>
            <w:r>
              <w:rPr>
                <w:noProof/>
                <w:webHidden/>
              </w:rPr>
              <w:instrText xml:space="preserve"> PAGEREF _Toc229059426 \h </w:instrText>
            </w:r>
            <w:r>
              <w:rPr>
                <w:noProof/>
                <w:webHidden/>
              </w:rPr>
              <w:fldChar w:fldCharType="separate"/>
            </w:r>
            <w:r w:rsidR="00DB2391">
              <w:rPr>
                <w:noProof/>
                <w:webHidden/>
              </w:rPr>
              <w:t>10</w:t>
            </w:r>
            <w:r>
              <w:rPr>
                <w:noProof/>
                <w:webHidden/>
              </w:rPr>
              <w:fldChar w:fldCharType="end"/>
            </w:r>
          </w:hyperlink>
        </w:p>
        <w:p w:rsidR="003407AA" w14:paraId="6E85B50D" w14:textId="0631DC84">
          <w:pPr>
            <w:pStyle w:val="TOC2"/>
            <w:rPr>
              <w:rFonts w:eastAsiaTheme="minorEastAsia"/>
              <w:noProof/>
              <w:color w:val="auto"/>
              <w:kern w:val="2"/>
              <w:sz w:val="24"/>
              <w:szCs w:val="24"/>
              <w14:ligatures w14:val="standardContextual"/>
            </w:rPr>
          </w:pPr>
          <w:hyperlink w:anchor="_Toc229059427" w:history="1">
            <w:r w:rsidRPr="00712F7E">
              <w:rPr>
                <w:rStyle w:val="Hyperlink"/>
                <w:noProof/>
              </w:rPr>
              <w:t>A.8. Summary of Consultations Outside of the Agency</w:t>
            </w:r>
            <w:r>
              <w:rPr>
                <w:noProof/>
                <w:webHidden/>
              </w:rPr>
              <w:tab/>
            </w:r>
            <w:r>
              <w:rPr>
                <w:noProof/>
                <w:webHidden/>
              </w:rPr>
              <w:fldChar w:fldCharType="begin"/>
            </w:r>
            <w:r>
              <w:rPr>
                <w:noProof/>
                <w:webHidden/>
              </w:rPr>
              <w:instrText xml:space="preserve"> PAGEREF _Toc229059427 \h </w:instrText>
            </w:r>
            <w:r>
              <w:rPr>
                <w:noProof/>
                <w:webHidden/>
              </w:rPr>
              <w:fldChar w:fldCharType="separate"/>
            </w:r>
            <w:r w:rsidR="00DB2391">
              <w:rPr>
                <w:noProof/>
                <w:webHidden/>
              </w:rPr>
              <w:t>10</w:t>
            </w:r>
            <w:r>
              <w:rPr>
                <w:noProof/>
                <w:webHidden/>
              </w:rPr>
              <w:fldChar w:fldCharType="end"/>
            </w:r>
          </w:hyperlink>
        </w:p>
        <w:p w:rsidR="003407AA" w14:paraId="1A7F9D13" w14:textId="7E81A5AF">
          <w:pPr>
            <w:pStyle w:val="TOC2"/>
            <w:rPr>
              <w:rFonts w:eastAsiaTheme="minorEastAsia"/>
              <w:noProof/>
              <w:color w:val="auto"/>
              <w:kern w:val="2"/>
              <w:sz w:val="24"/>
              <w:szCs w:val="24"/>
              <w14:ligatures w14:val="standardContextual"/>
            </w:rPr>
          </w:pPr>
          <w:hyperlink w:anchor="_Toc229059428" w:history="1">
            <w:r w:rsidRPr="00712F7E">
              <w:rPr>
                <w:rStyle w:val="Hyperlink"/>
                <w:noProof/>
              </w:rPr>
              <w:t>A.9. Payments or Gifts to Respondents</w:t>
            </w:r>
            <w:r>
              <w:rPr>
                <w:noProof/>
                <w:webHidden/>
              </w:rPr>
              <w:tab/>
            </w:r>
            <w:r>
              <w:rPr>
                <w:noProof/>
                <w:webHidden/>
              </w:rPr>
              <w:fldChar w:fldCharType="begin"/>
            </w:r>
            <w:r>
              <w:rPr>
                <w:noProof/>
                <w:webHidden/>
              </w:rPr>
              <w:instrText xml:space="preserve"> PAGEREF _Toc229059428 \h </w:instrText>
            </w:r>
            <w:r>
              <w:rPr>
                <w:noProof/>
                <w:webHidden/>
              </w:rPr>
              <w:fldChar w:fldCharType="separate"/>
            </w:r>
            <w:r w:rsidR="00DB2391">
              <w:rPr>
                <w:noProof/>
                <w:webHidden/>
              </w:rPr>
              <w:t>10</w:t>
            </w:r>
            <w:r>
              <w:rPr>
                <w:noProof/>
                <w:webHidden/>
              </w:rPr>
              <w:fldChar w:fldCharType="end"/>
            </w:r>
          </w:hyperlink>
        </w:p>
        <w:p w:rsidR="003407AA" w14:paraId="2CB9A45E" w14:textId="4EBE1772">
          <w:pPr>
            <w:pStyle w:val="TOC2"/>
            <w:rPr>
              <w:rFonts w:eastAsiaTheme="minorEastAsia"/>
              <w:noProof/>
              <w:color w:val="auto"/>
              <w:kern w:val="2"/>
              <w:sz w:val="24"/>
              <w:szCs w:val="24"/>
              <w14:ligatures w14:val="standardContextual"/>
            </w:rPr>
          </w:pPr>
          <w:hyperlink w:anchor="_Toc229059429" w:history="1">
            <w:r w:rsidRPr="00712F7E">
              <w:rPr>
                <w:rStyle w:val="Hyperlink"/>
                <w:noProof/>
              </w:rPr>
              <w:t>A.10. Provisions for Protection of Information</w:t>
            </w:r>
            <w:r>
              <w:rPr>
                <w:noProof/>
                <w:webHidden/>
              </w:rPr>
              <w:tab/>
            </w:r>
            <w:r>
              <w:rPr>
                <w:noProof/>
                <w:webHidden/>
              </w:rPr>
              <w:fldChar w:fldCharType="begin"/>
            </w:r>
            <w:r>
              <w:rPr>
                <w:noProof/>
                <w:webHidden/>
              </w:rPr>
              <w:instrText xml:space="preserve"> PAGEREF _Toc229059429 \h </w:instrText>
            </w:r>
            <w:r>
              <w:rPr>
                <w:noProof/>
                <w:webHidden/>
              </w:rPr>
              <w:fldChar w:fldCharType="separate"/>
            </w:r>
            <w:r w:rsidR="00DB2391">
              <w:rPr>
                <w:noProof/>
                <w:webHidden/>
              </w:rPr>
              <w:t>10</w:t>
            </w:r>
            <w:r>
              <w:rPr>
                <w:noProof/>
                <w:webHidden/>
              </w:rPr>
              <w:fldChar w:fldCharType="end"/>
            </w:r>
          </w:hyperlink>
        </w:p>
        <w:p w:rsidR="003407AA" w14:paraId="68E3620B" w14:textId="6D964767">
          <w:pPr>
            <w:pStyle w:val="TOC2"/>
            <w:rPr>
              <w:rFonts w:eastAsiaTheme="minorEastAsia"/>
              <w:noProof/>
              <w:color w:val="auto"/>
              <w:kern w:val="2"/>
              <w:sz w:val="24"/>
              <w:szCs w:val="24"/>
              <w14:ligatures w14:val="standardContextual"/>
            </w:rPr>
          </w:pPr>
          <w:hyperlink w:anchor="_Toc229059430" w:history="1">
            <w:r w:rsidRPr="00712F7E">
              <w:rPr>
                <w:rStyle w:val="Hyperlink"/>
                <w:noProof/>
              </w:rPr>
              <w:t>A.11. Justification for Sensitive Questions</w:t>
            </w:r>
            <w:r>
              <w:rPr>
                <w:noProof/>
                <w:webHidden/>
              </w:rPr>
              <w:tab/>
            </w:r>
            <w:r>
              <w:rPr>
                <w:noProof/>
                <w:webHidden/>
              </w:rPr>
              <w:fldChar w:fldCharType="begin"/>
            </w:r>
            <w:r>
              <w:rPr>
                <w:noProof/>
                <w:webHidden/>
              </w:rPr>
              <w:instrText xml:space="preserve"> PAGEREF _Toc229059430 \h </w:instrText>
            </w:r>
            <w:r>
              <w:rPr>
                <w:noProof/>
                <w:webHidden/>
              </w:rPr>
              <w:fldChar w:fldCharType="separate"/>
            </w:r>
            <w:r w:rsidR="00DB2391">
              <w:rPr>
                <w:noProof/>
                <w:webHidden/>
              </w:rPr>
              <w:t>11</w:t>
            </w:r>
            <w:r>
              <w:rPr>
                <w:noProof/>
                <w:webHidden/>
              </w:rPr>
              <w:fldChar w:fldCharType="end"/>
            </w:r>
          </w:hyperlink>
        </w:p>
        <w:p w:rsidR="003407AA" w14:paraId="76352D2A" w14:textId="393E3633">
          <w:pPr>
            <w:pStyle w:val="TOC2"/>
            <w:rPr>
              <w:rFonts w:eastAsiaTheme="minorEastAsia"/>
              <w:noProof/>
              <w:color w:val="auto"/>
              <w:kern w:val="2"/>
              <w:sz w:val="24"/>
              <w:szCs w:val="24"/>
              <w14:ligatures w14:val="standardContextual"/>
            </w:rPr>
          </w:pPr>
          <w:hyperlink w:anchor="_Toc229059431" w:history="1">
            <w:r w:rsidRPr="00712F7E">
              <w:rPr>
                <w:rStyle w:val="Hyperlink"/>
                <w:noProof/>
              </w:rPr>
              <w:t>A.12. Estimate of Respondent Burden Hours and Cost</w:t>
            </w:r>
            <w:r>
              <w:rPr>
                <w:noProof/>
                <w:webHidden/>
              </w:rPr>
              <w:tab/>
            </w:r>
            <w:r>
              <w:rPr>
                <w:noProof/>
                <w:webHidden/>
              </w:rPr>
              <w:fldChar w:fldCharType="begin"/>
            </w:r>
            <w:r>
              <w:rPr>
                <w:noProof/>
                <w:webHidden/>
              </w:rPr>
              <w:instrText xml:space="preserve"> PAGEREF _Toc229059431 \h </w:instrText>
            </w:r>
            <w:r>
              <w:rPr>
                <w:noProof/>
                <w:webHidden/>
              </w:rPr>
              <w:fldChar w:fldCharType="separate"/>
            </w:r>
            <w:r w:rsidR="00DB2391">
              <w:rPr>
                <w:noProof/>
                <w:webHidden/>
              </w:rPr>
              <w:t>11</w:t>
            </w:r>
            <w:r>
              <w:rPr>
                <w:noProof/>
                <w:webHidden/>
              </w:rPr>
              <w:fldChar w:fldCharType="end"/>
            </w:r>
          </w:hyperlink>
        </w:p>
        <w:p w:rsidR="003407AA" w14:paraId="7112970C" w14:textId="22B21F11">
          <w:pPr>
            <w:pStyle w:val="TOC2"/>
            <w:rPr>
              <w:rFonts w:eastAsiaTheme="minorEastAsia"/>
              <w:noProof/>
              <w:color w:val="auto"/>
              <w:kern w:val="2"/>
              <w:sz w:val="24"/>
              <w:szCs w:val="24"/>
              <w14:ligatures w14:val="standardContextual"/>
            </w:rPr>
          </w:pPr>
          <w:hyperlink w:anchor="_Toc229059432" w:history="1">
            <w:r w:rsidRPr="00712F7E">
              <w:rPr>
                <w:rStyle w:val="Hyperlink"/>
                <w:noProof/>
              </w:rPr>
              <w:t>A.13. Annual Cost to the Federal Government</w:t>
            </w:r>
            <w:r>
              <w:rPr>
                <w:noProof/>
                <w:webHidden/>
              </w:rPr>
              <w:tab/>
            </w:r>
            <w:r>
              <w:rPr>
                <w:noProof/>
                <w:webHidden/>
              </w:rPr>
              <w:fldChar w:fldCharType="begin"/>
            </w:r>
            <w:r>
              <w:rPr>
                <w:noProof/>
                <w:webHidden/>
              </w:rPr>
              <w:instrText xml:space="preserve"> PAGEREF _Toc229059432 \h </w:instrText>
            </w:r>
            <w:r>
              <w:rPr>
                <w:noProof/>
                <w:webHidden/>
              </w:rPr>
              <w:fldChar w:fldCharType="separate"/>
            </w:r>
            <w:r w:rsidR="00DB2391">
              <w:rPr>
                <w:noProof/>
                <w:webHidden/>
              </w:rPr>
              <w:t>11</w:t>
            </w:r>
            <w:r>
              <w:rPr>
                <w:noProof/>
                <w:webHidden/>
              </w:rPr>
              <w:fldChar w:fldCharType="end"/>
            </w:r>
          </w:hyperlink>
        </w:p>
        <w:p w:rsidR="003407AA" w14:paraId="71398BB0" w14:textId="265E8F2B">
          <w:pPr>
            <w:pStyle w:val="TOC2"/>
            <w:rPr>
              <w:rFonts w:eastAsiaTheme="minorEastAsia"/>
              <w:noProof/>
              <w:color w:val="auto"/>
              <w:kern w:val="2"/>
              <w:sz w:val="24"/>
              <w:szCs w:val="24"/>
              <w14:ligatures w14:val="standardContextual"/>
            </w:rPr>
          </w:pPr>
          <w:hyperlink w:anchor="_Toc229059433" w:history="1">
            <w:r w:rsidRPr="00712F7E">
              <w:rPr>
                <w:rStyle w:val="Hyperlink"/>
                <w:noProof/>
              </w:rPr>
              <w:t>A.14. Collection, Tabulation, and Publication Plans</w:t>
            </w:r>
            <w:r>
              <w:rPr>
                <w:noProof/>
                <w:webHidden/>
              </w:rPr>
              <w:tab/>
            </w:r>
            <w:r>
              <w:rPr>
                <w:noProof/>
                <w:webHidden/>
              </w:rPr>
              <w:fldChar w:fldCharType="begin"/>
            </w:r>
            <w:r>
              <w:rPr>
                <w:noProof/>
                <w:webHidden/>
              </w:rPr>
              <w:instrText xml:space="preserve"> PAGEREF _Toc229059433 \h </w:instrText>
            </w:r>
            <w:r>
              <w:rPr>
                <w:noProof/>
                <w:webHidden/>
              </w:rPr>
              <w:fldChar w:fldCharType="separate"/>
            </w:r>
            <w:r w:rsidR="00DB2391">
              <w:rPr>
                <w:noProof/>
                <w:webHidden/>
              </w:rPr>
              <w:t>12</w:t>
            </w:r>
            <w:r>
              <w:rPr>
                <w:noProof/>
                <w:webHidden/>
              </w:rPr>
              <w:fldChar w:fldCharType="end"/>
            </w:r>
          </w:hyperlink>
        </w:p>
        <w:p w:rsidR="003407AA" w14:paraId="47B0C12B" w14:textId="14A71CBF">
          <w:pPr>
            <w:pStyle w:val="TOC2"/>
            <w:rPr>
              <w:rFonts w:eastAsiaTheme="minorEastAsia"/>
              <w:noProof/>
              <w:color w:val="auto"/>
              <w:kern w:val="2"/>
              <w:sz w:val="24"/>
              <w:szCs w:val="24"/>
              <w14:ligatures w14:val="standardContextual"/>
            </w:rPr>
          </w:pPr>
          <w:hyperlink w:anchor="_Toc229059434" w:history="1">
            <w:r w:rsidRPr="00712F7E">
              <w:rPr>
                <w:rStyle w:val="Hyperlink"/>
                <w:noProof/>
              </w:rPr>
              <w:t>A.15. OMB Number and Expiration Date</w:t>
            </w:r>
            <w:r>
              <w:rPr>
                <w:noProof/>
                <w:webHidden/>
              </w:rPr>
              <w:tab/>
            </w:r>
            <w:r>
              <w:rPr>
                <w:noProof/>
                <w:webHidden/>
              </w:rPr>
              <w:fldChar w:fldCharType="begin"/>
            </w:r>
            <w:r>
              <w:rPr>
                <w:noProof/>
                <w:webHidden/>
              </w:rPr>
              <w:instrText xml:space="preserve"> PAGEREF _Toc229059434 \h </w:instrText>
            </w:r>
            <w:r>
              <w:rPr>
                <w:noProof/>
                <w:webHidden/>
              </w:rPr>
              <w:fldChar w:fldCharType="separate"/>
            </w:r>
            <w:r w:rsidR="00DB2391">
              <w:rPr>
                <w:noProof/>
                <w:webHidden/>
              </w:rPr>
              <w:t>13</w:t>
            </w:r>
            <w:r>
              <w:rPr>
                <w:noProof/>
                <w:webHidden/>
              </w:rPr>
              <w:fldChar w:fldCharType="end"/>
            </w:r>
          </w:hyperlink>
        </w:p>
        <w:p w:rsidR="003407AA" w14:paraId="62EF6D8E" w14:textId="6A0680BC">
          <w:pPr>
            <w:pStyle w:val="TOC2"/>
            <w:rPr>
              <w:rFonts w:eastAsiaTheme="minorEastAsia"/>
              <w:noProof/>
              <w:color w:val="auto"/>
              <w:kern w:val="2"/>
              <w:sz w:val="24"/>
              <w:szCs w:val="24"/>
              <w14:ligatures w14:val="standardContextual"/>
            </w:rPr>
          </w:pPr>
          <w:hyperlink w:anchor="_Toc229059435" w:history="1">
            <w:r w:rsidRPr="00712F7E">
              <w:rPr>
                <w:rStyle w:val="Hyperlink"/>
                <w:noProof/>
              </w:rPr>
              <w:t>A.16. Certification Statement</w:t>
            </w:r>
            <w:r>
              <w:rPr>
                <w:noProof/>
                <w:webHidden/>
              </w:rPr>
              <w:tab/>
            </w:r>
            <w:r>
              <w:rPr>
                <w:noProof/>
                <w:webHidden/>
              </w:rPr>
              <w:fldChar w:fldCharType="begin"/>
            </w:r>
            <w:r>
              <w:rPr>
                <w:noProof/>
                <w:webHidden/>
              </w:rPr>
              <w:instrText xml:space="preserve"> PAGEREF _Toc229059435 \h </w:instrText>
            </w:r>
            <w:r>
              <w:rPr>
                <w:noProof/>
                <w:webHidden/>
              </w:rPr>
              <w:fldChar w:fldCharType="separate"/>
            </w:r>
            <w:r w:rsidR="00DB2391">
              <w:rPr>
                <w:noProof/>
                <w:webHidden/>
              </w:rPr>
              <w:t>13</w:t>
            </w:r>
            <w:r>
              <w:rPr>
                <w:noProof/>
                <w:webHidden/>
              </w:rPr>
              <w:fldChar w:fldCharType="end"/>
            </w:r>
          </w:hyperlink>
        </w:p>
        <w:p w:rsidR="0059212D" w14:paraId="5A39BBE3" w14:textId="164ABFBF">
          <w:r>
            <w:rPr>
              <w:b/>
              <w:bCs/>
              <w:noProof/>
            </w:rPr>
            <w:fldChar w:fldCharType="end"/>
          </w:r>
        </w:p>
      </w:sdtContent>
    </w:sdt>
    <w:p w:rsidR="001F3A8F" w:rsidP="00D928FD" w14:paraId="41C8F396" w14:textId="77777777"/>
    <w:p w:rsidR="00D928FD" w:rsidP="00D928FD" w14:paraId="72A3D3EC" w14:textId="77777777">
      <w:pPr>
        <w:sectPr w:rsidSect="00725453">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0D0B940D" w14:textId="78B0EE19">
      <w:pPr>
        <w:spacing w:line="240" w:lineRule="auto"/>
      </w:pPr>
    </w:p>
    <w:p w:rsidR="00041909" w:rsidP="00933D5D" w14:paraId="6BE07A68" w14:textId="77777777">
      <w:pPr>
        <w:tabs>
          <w:tab w:val="left" w:pos="7365"/>
        </w:tabs>
      </w:pPr>
    </w:p>
    <w:p w:rsidR="00DA480B" w:rsidRPr="00933D5D" w:rsidP="00933D5D" w14:paraId="60061E4C" w14:textId="1A9A895E">
      <w:pPr>
        <w:tabs>
          <w:tab w:val="left" w:pos="7365"/>
        </w:tabs>
        <w:sectPr w:rsidSect="00725453">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p>
    <w:p w:rsidR="006C485C" w:rsidRPr="006C485C" w:rsidP="00D2080D" w14:paraId="0D0BD601" w14:textId="7B684F82">
      <w:pPr>
        <w:pStyle w:val="Heading2"/>
      </w:pPr>
      <w:bookmarkStart w:id="2" w:name="_Toc229059419"/>
      <w:r>
        <w:rPr>
          <w:noProof/>
        </w:rPr>
        <w:drawing>
          <wp:anchor distT="0" distB="0" distL="114300" distR="114300" simplePos="0" relativeHeight="251658240" behindDoc="0" locked="0" layoutInCell="1" allowOverlap="1">
            <wp:simplePos x="0" y="0"/>
            <wp:positionH relativeFrom="page">
              <wp:posOffset>1564005</wp:posOffset>
            </wp:positionH>
            <wp:positionV relativeFrom="page">
              <wp:posOffset>-12393180</wp:posOffset>
            </wp:positionV>
            <wp:extent cx="6343650" cy="647700"/>
            <wp:effectExtent l="0" t="0" r="0" b="0"/>
            <wp:wrapThrough wrapText="bothSides">
              <wp:wrapPolygon>
                <wp:start x="0" y="0"/>
                <wp:lineTo x="0" y="20965"/>
                <wp:lineTo x="21535" y="20965"/>
                <wp:lineTo x="21535" y="0"/>
                <wp:lineTo x="0"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port_title_bottom.png"/>
                    <pic:cNvPicPr/>
                  </pic:nvPicPr>
                  <pic:blipFill>
                    <a:blip xmlns:r="http://schemas.openxmlformats.org/officeDocument/2006/relationships" r:embed="rId18" cstate="print"/>
                    <a:stretch>
                      <a:fillRect/>
                    </a:stretch>
                  </pic:blipFill>
                  <pic:spPr>
                    <a:xfrm>
                      <a:off x="0" y="0"/>
                      <a:ext cx="6343650" cy="647700"/>
                    </a:xfrm>
                    <a:prstGeom prst="rect">
                      <a:avLst/>
                    </a:prstGeom>
                  </pic:spPr>
                </pic:pic>
              </a:graphicData>
            </a:graphic>
          </wp:anchor>
        </w:drawing>
      </w:r>
      <w:r w:rsidR="008C734C">
        <w:t>Introdu</w:t>
      </w:r>
      <w:r w:rsidR="00844524">
        <w:t>ction</w:t>
      </w:r>
      <w:bookmarkEnd w:id="2"/>
    </w:p>
    <w:p w:rsidR="00DA467B" w:rsidRPr="00DA467B" w:rsidP="00842826" w14:paraId="36B1BCFD" w14:textId="2BF80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A467B">
        <w:t xml:space="preserve">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 EIA is required to publish, and otherwise make available independent, high-quality statistical data to federal government agencies, state and local governments, the energy industry, researchers, and the </w:t>
      </w:r>
      <w:r w:rsidRPr="00DA467B">
        <w:t>general public</w:t>
      </w:r>
      <w:r w:rsidRPr="00DA467B">
        <w:t>. To meet this obligation, EIA utilizes Form EIA-84</w:t>
      </w:r>
      <w:r w:rsidR="0002603C">
        <w:t>7</w:t>
      </w:r>
      <w:r w:rsidRPr="00DA467B">
        <w:t xml:space="preserve">, </w:t>
      </w:r>
      <w:r w:rsidRPr="0002603C" w:rsidR="0002603C">
        <w:rPr>
          <w:i/>
          <w:iCs/>
        </w:rPr>
        <w:t>Annual</w:t>
      </w:r>
      <w:r w:rsidR="0002603C">
        <w:t xml:space="preserve"> </w:t>
      </w:r>
      <w:r w:rsidRPr="00DA467B">
        <w:rPr>
          <w:i/>
        </w:rPr>
        <w:t>Manufacturing Energy Consumption Survey (</w:t>
      </w:r>
      <w:r w:rsidR="00E417A6">
        <w:rPr>
          <w:i/>
        </w:rPr>
        <w:t>A</w:t>
      </w:r>
      <w:r w:rsidRPr="00DA467B">
        <w:rPr>
          <w:i/>
        </w:rPr>
        <w:t xml:space="preserve">MECS), </w:t>
      </w:r>
      <w:r w:rsidRPr="00DA467B">
        <w:t>to collect data on</w:t>
      </w:r>
      <w:r w:rsidRPr="00DA467B">
        <w:rPr>
          <w:i/>
        </w:rPr>
        <w:t xml:space="preserve"> </w:t>
      </w:r>
      <w:r w:rsidRPr="00DA467B">
        <w:t xml:space="preserve">manufacturing energy consumption and expenditures within the United States. </w:t>
      </w:r>
    </w:p>
    <w:p w:rsidR="00DA467B" w:rsidRPr="00DA467B" w:rsidP="00DA467B" w14:paraId="5BAC003D" w14:textId="63FD4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DA467B">
        <w:t xml:space="preserve">EIA is requesting a </w:t>
      </w:r>
      <w:r w:rsidR="006D05D5">
        <w:t>one</w:t>
      </w:r>
      <w:r w:rsidRPr="00DA467B">
        <w:t xml:space="preserve">-year </w:t>
      </w:r>
      <w:r w:rsidR="0002603C">
        <w:t>clearance</w:t>
      </w:r>
      <w:r w:rsidRPr="00AA3858">
        <w:t xml:space="preserve"> </w:t>
      </w:r>
      <w:r w:rsidRPr="00DA467B">
        <w:t>to Form EIA-84</w:t>
      </w:r>
      <w:r w:rsidR="0002603C">
        <w:t>7</w:t>
      </w:r>
      <w:r w:rsidRPr="00DA467B">
        <w:t xml:space="preserve">. Response to this survey is mandatory. </w:t>
      </w:r>
    </w:p>
    <w:p w:rsidR="00DA467B" w:rsidRPr="00DA467B" w:rsidP="00DA467B" w14:paraId="70920531" w14:textId="615E33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DA467B">
        <w:rPr>
          <w:b/>
        </w:rPr>
        <w:t>EIA-84</w:t>
      </w:r>
      <w:r w:rsidR="0002603C">
        <w:rPr>
          <w:b/>
        </w:rPr>
        <w:t>7</w:t>
      </w:r>
      <w:r w:rsidRPr="00DA467B">
        <w:rPr>
          <w:b/>
        </w:rPr>
        <w:t xml:space="preserve">, </w:t>
      </w:r>
      <w:r w:rsidR="0002603C">
        <w:rPr>
          <w:b/>
        </w:rPr>
        <w:t xml:space="preserve">Annual </w:t>
      </w:r>
      <w:r w:rsidRPr="00DA467B">
        <w:rPr>
          <w:b/>
        </w:rPr>
        <w:t>Manufacturing Energy Consumption Survey</w:t>
      </w:r>
    </w:p>
    <w:p w:rsidR="00DA467B" w:rsidRPr="00DA467B" w:rsidP="00DA467B" w14:paraId="2CDE0B42" w14:textId="4058EC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574B65">
        <w:t>Form EIA-84</w:t>
      </w:r>
      <w:r w:rsidRPr="00574B65" w:rsidR="0002603C">
        <w:t>7</w:t>
      </w:r>
      <w:r w:rsidRPr="00574B65">
        <w:t xml:space="preserve"> </w:t>
      </w:r>
      <w:r w:rsidRPr="00512766" w:rsidR="0008468D">
        <w:t xml:space="preserve">consists of </w:t>
      </w:r>
      <w:r w:rsidRPr="00827A39">
        <w:t xml:space="preserve">a </w:t>
      </w:r>
      <w:r w:rsidRPr="00827A39" w:rsidR="0002603C">
        <w:t>sub</w:t>
      </w:r>
      <w:r w:rsidRPr="00827A39" w:rsidR="00700D6B">
        <w:t>set</w:t>
      </w:r>
      <w:r w:rsidRPr="00827A39" w:rsidR="0002603C">
        <w:t xml:space="preserve"> </w:t>
      </w:r>
      <w:r w:rsidRPr="00827A39" w:rsidR="00215F66">
        <w:t xml:space="preserve">of </w:t>
      </w:r>
      <w:r w:rsidRPr="00512766" w:rsidR="0008468D">
        <w:t>questions</w:t>
      </w:r>
      <w:r w:rsidRPr="00512766" w:rsidR="00912EE8">
        <w:t xml:space="preserve"> focusing on </w:t>
      </w:r>
      <w:r w:rsidRPr="00512766" w:rsidR="005F61CD">
        <w:t>select energy sources</w:t>
      </w:r>
      <w:r w:rsidRPr="00512766" w:rsidR="00EC7C0E">
        <w:t xml:space="preserve"> and select industries</w:t>
      </w:r>
      <w:r w:rsidRPr="00827A39" w:rsidR="00215F66">
        <w:t xml:space="preserve"> from </w:t>
      </w:r>
      <w:r w:rsidRPr="00827A39" w:rsidR="0002603C">
        <w:t xml:space="preserve">the </w:t>
      </w:r>
      <w:r w:rsidRPr="00827A39" w:rsidR="00215F66">
        <w:t>nationally representative</w:t>
      </w:r>
      <w:r w:rsidRPr="00827A39">
        <w:t xml:space="preserve"> sample survey</w:t>
      </w:r>
      <w:r w:rsidRPr="00574B65" w:rsidR="0002603C">
        <w:t>,</w:t>
      </w:r>
      <w:r w:rsidR="00512766">
        <w:t xml:space="preserve"> </w:t>
      </w:r>
      <w:r w:rsidRPr="00574B65" w:rsidR="0002603C">
        <w:t xml:space="preserve">EIA-846, </w:t>
      </w:r>
      <w:r w:rsidRPr="00574B65" w:rsidR="0002603C">
        <w:rPr>
          <w:i/>
          <w:iCs/>
        </w:rPr>
        <w:t>Manufacturing Energy Consumption Survey</w:t>
      </w:r>
      <w:r w:rsidRPr="00574B65" w:rsidR="0002603C">
        <w:t>,</w:t>
      </w:r>
      <w:r w:rsidRPr="00574B65">
        <w:t xml:space="preserve"> </w:t>
      </w:r>
      <w:r w:rsidR="00574B65">
        <w:t>which</w:t>
      </w:r>
      <w:r w:rsidRPr="00574B65">
        <w:t xml:space="preserve"> collects information on energy consumption and expenditure data from establishments in the manufacturing </w:t>
      </w:r>
      <w:r w:rsidRPr="00574B65" w:rsidR="00A11D87">
        <w:t>sector,</w:t>
      </w:r>
      <w:r w:rsidRPr="00574B65">
        <w:t xml:space="preserve"> i.e., North American Industry Classification System (NAICS) codes 31-33.</w:t>
      </w:r>
      <w:r w:rsidRPr="00DA467B">
        <w:t xml:space="preserve"> </w:t>
      </w:r>
      <w:r w:rsidR="0002603C">
        <w:t>For</w:t>
      </w:r>
      <w:r w:rsidR="00BA114A">
        <w:t xml:space="preserve"> the first time, </w:t>
      </w:r>
      <w:r w:rsidR="007D410F">
        <w:t>annual</w:t>
      </w:r>
      <w:r w:rsidRPr="00DA467B">
        <w:t xml:space="preserve"> information </w:t>
      </w:r>
      <w:r w:rsidR="007D410F">
        <w:t xml:space="preserve">will be collected and </w:t>
      </w:r>
      <w:r w:rsidRPr="00DA467B">
        <w:t xml:space="preserve">used to publish aggregate statistics </w:t>
      </w:r>
      <w:r w:rsidR="002F04D7">
        <w:t>on</w:t>
      </w:r>
      <w:r w:rsidRPr="00DA467B" w:rsidR="002F04D7">
        <w:t xml:space="preserve"> </w:t>
      </w:r>
      <w:r w:rsidRPr="00DA467B">
        <w:t>consumption of energy for fuel and nonfuel purposes, as well as certain energy-related issues such as energy prices</w:t>
      </w:r>
      <w:r w:rsidR="00387A55">
        <w:t xml:space="preserve"> </w:t>
      </w:r>
      <w:r w:rsidRPr="00387A55" w:rsidR="00387A55">
        <w:t>within the six most energy-intensive manufacturing subsectors</w:t>
      </w:r>
      <w:r w:rsidR="007D410F">
        <w:t>.</w:t>
      </w:r>
      <w:r w:rsidRPr="00DA467B">
        <w:t xml:space="preserve"> The </w:t>
      </w:r>
      <w:r w:rsidR="006C37FC">
        <w:t>A</w:t>
      </w:r>
      <w:r w:rsidR="006D05D5">
        <w:t xml:space="preserve">nnual </w:t>
      </w:r>
      <w:r w:rsidRPr="00DA467B">
        <w:t xml:space="preserve">MECS data </w:t>
      </w:r>
      <w:r w:rsidR="007D410F">
        <w:t xml:space="preserve">will </w:t>
      </w:r>
      <w:r w:rsidRPr="00DA467B">
        <w:t xml:space="preserve">also </w:t>
      </w:r>
      <w:r w:rsidR="007D410F">
        <w:t xml:space="preserve">be </w:t>
      </w:r>
      <w:r w:rsidRPr="00DA467B">
        <w:t>used in EIA’s National Energy Modeling System (NEMS) industrial models which are used to benchmark other government and non-government modeling systems.</w:t>
      </w:r>
    </w:p>
    <w:p w:rsidR="00DA467B" w:rsidRPr="00DA467B" w:rsidP="43AB5A4F" w14:paraId="5D62B087" w14:textId="3FB8D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Clearance is requested to permit EIA to implement the 20</w:t>
      </w:r>
      <w:r w:rsidR="005D5020">
        <w:t>2</w:t>
      </w:r>
      <w:r w:rsidR="00AC452D">
        <w:t>5</w:t>
      </w:r>
      <w:r>
        <w:t xml:space="preserve"> </w:t>
      </w:r>
      <w:r w:rsidR="0059795C">
        <w:t xml:space="preserve">Annual </w:t>
      </w:r>
      <w:r>
        <w:t>Manufacturing Energy Consumption Survey (</w:t>
      </w:r>
      <w:r w:rsidR="009F4B7A">
        <w:t>A</w:t>
      </w:r>
      <w:r>
        <w:t>MECS), Form EIA-84</w:t>
      </w:r>
      <w:r w:rsidR="0059795C">
        <w:t>7</w:t>
      </w:r>
      <w:r>
        <w:t xml:space="preserve">, to collect </w:t>
      </w:r>
      <w:r w:rsidR="006D05D5">
        <w:t xml:space="preserve">annual </w:t>
      </w:r>
      <w:r>
        <w:t>data on energy consumption</w:t>
      </w:r>
      <w:r w:rsidR="00BA114A">
        <w:t xml:space="preserve"> and expenditures</w:t>
      </w:r>
      <w:r>
        <w:t xml:space="preserve"> for the manufacturing sector of the U.S. economy. The </w:t>
      </w:r>
      <w:r w:rsidR="006C37FC">
        <w:t>A</w:t>
      </w:r>
      <w:r w:rsidR="006D05D5">
        <w:t xml:space="preserve">nnual </w:t>
      </w:r>
      <w:r>
        <w:t xml:space="preserve">MECS will be conducted by the U.S. Department of Commerce’s Bureau of the Census, acting as the data collection agent for EIA. This survey will be fielded in </w:t>
      </w:r>
      <w:r w:rsidR="007D410F">
        <w:t>2026</w:t>
      </w:r>
      <w:r>
        <w:t xml:space="preserve"> to collect data for calendar year 20</w:t>
      </w:r>
      <w:r w:rsidR="005D5020">
        <w:t>2</w:t>
      </w:r>
      <w:r w:rsidR="007D410F">
        <w:t>5</w:t>
      </w:r>
      <w:r w:rsidR="00DE6312">
        <w:t>.</w:t>
      </w:r>
      <w:r>
        <w:t xml:space="preserve"> This </w:t>
      </w:r>
      <w:r w:rsidR="00DE6312">
        <w:t xml:space="preserve">will </w:t>
      </w:r>
      <w:r w:rsidR="007D410F">
        <w:t xml:space="preserve">be the first </w:t>
      </w:r>
      <w:r>
        <w:t xml:space="preserve">time </w:t>
      </w:r>
      <w:r w:rsidR="006D05D5">
        <w:t xml:space="preserve">an </w:t>
      </w:r>
      <w:r w:rsidR="00363B5E">
        <w:t>A</w:t>
      </w:r>
      <w:r w:rsidR="006D05D5">
        <w:t xml:space="preserve">nnual </w:t>
      </w:r>
      <w:r>
        <w:t xml:space="preserve">MECS will be conducted. Although responses are mandatory under law, the </w:t>
      </w:r>
      <w:r w:rsidR="006C37FC">
        <w:t>A</w:t>
      </w:r>
      <w:r w:rsidR="006D05D5">
        <w:t xml:space="preserve">nnual </w:t>
      </w:r>
      <w:r>
        <w:t xml:space="preserve">MECS data will be used for statistical purposes only. All individual responses are strictly confidential and no data that could lead to respondent identification, either directly or indirectly, will be released. </w:t>
      </w:r>
    </w:p>
    <w:p w:rsidR="008C734C" w:rsidP="00D2080D" w14:paraId="62915736" w14:textId="77777777">
      <w:pPr>
        <w:pStyle w:val="Heading2"/>
      </w:pPr>
      <w:bookmarkStart w:id="3" w:name="_Toc229059420"/>
      <w:r>
        <w:t>A.1. Legal Justification</w:t>
      </w:r>
      <w:bookmarkEnd w:id="3"/>
    </w:p>
    <w:p w:rsidR="00DA467B" w:rsidRPr="00DA467B" w:rsidP="00DA467B" w14:paraId="7036F50F" w14:textId="77777777">
      <w:pPr>
        <w:ind w:left="360" w:hanging="360"/>
      </w:pPr>
      <w:r w:rsidRPr="00DA467B">
        <w:t>The authority for this mandatory data collection is provided by the following provisions:</w:t>
      </w:r>
    </w:p>
    <w:p w:rsidR="00DA467B" w:rsidRPr="00DA467B" w:rsidP="108B3B2E" w14:paraId="07642964" w14:textId="6B75B6C8">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Title</w:t>
      </w:r>
      <w:r w:rsidRPr="00DA467B">
        <w:t xml:space="preserve"> 15 U.S.C. 772(b), of the Federal Energy Administration Act of 1974 (FEA Act), Public Law 93 275</w:t>
      </w:r>
      <w:r w:rsidRPr="00C04F24" w:rsidR="00C04F24">
        <w:rPr>
          <w:rFonts w:ascii="Calibri" w:hAnsi="Calibri" w:cs="Calibri"/>
          <w:color w:val="444444"/>
          <w:shd w:val="clear" w:color="auto" w:fill="FFFFFF"/>
        </w:rPr>
        <w:t xml:space="preserve"> </w:t>
      </w:r>
      <w:r w:rsidR="00C04F24">
        <w:rPr>
          <w:rFonts w:ascii="Calibri" w:hAnsi="Calibri" w:cs="Calibri"/>
          <w:color w:val="444444"/>
          <w:shd w:val="clear" w:color="auto" w:fill="FFFFFF"/>
        </w:rPr>
        <w:t>authorizes mandatory collection of energy supply and consumption data by the Administrator</w:t>
      </w:r>
      <w:r w:rsidR="00C04F24">
        <w:t>.</w:t>
      </w:r>
    </w:p>
    <w:p w:rsidR="00DA467B" w:rsidRPr="00C04F24" w:rsidP="108B3B2E" w14:paraId="55270E3A" w14:textId="0ABA35C4">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heme="minorEastAsia"/>
        </w:rPr>
      </w:pPr>
      <w:r>
        <w:t>Title</w:t>
      </w:r>
      <w:r>
        <w:t xml:space="preserve"> 15 U.S.C. 764(</w:t>
      </w:r>
      <w:r>
        <w:t xml:space="preserve">a and </w:t>
      </w:r>
      <w:r>
        <w:t>b</w:t>
      </w:r>
      <w:r>
        <w:t>) e</w:t>
      </w:r>
      <w:r w:rsidRPr="00C04F24">
        <w:rPr>
          <w:rFonts w:ascii="Calibri" w:hAnsi="Calibri" w:cs="Calibri"/>
          <w:color w:val="444444"/>
          <w:shd w:val="clear" w:color="auto" w:fill="FFFFFF"/>
        </w:rPr>
        <w:t>stablish</w:t>
      </w:r>
      <w:r w:rsidR="00D57D5C">
        <w:rPr>
          <w:rFonts w:ascii="Calibri" w:hAnsi="Calibri" w:cs="Calibri"/>
          <w:color w:val="444444"/>
          <w:shd w:val="clear" w:color="auto" w:fill="FFFFFF"/>
        </w:rPr>
        <w:t>es</w:t>
      </w:r>
      <w:r w:rsidRPr="00C04F24">
        <w:rPr>
          <w:rFonts w:ascii="Calibri" w:hAnsi="Calibri" w:cs="Calibri"/>
          <w:color w:val="444444"/>
          <w:shd w:val="clear" w:color="auto" w:fill="FFFFFF"/>
        </w:rPr>
        <w:t xml:space="preserve"> the Administrator's powers to plan, direct, and conduct mandatory and voluntary energy programs related to the production, conservati</w:t>
      </w:r>
      <w:r>
        <w:rPr>
          <w:rFonts w:ascii="Calibri" w:hAnsi="Calibri" w:cs="Calibri"/>
          <w:color w:val="444444"/>
          <w:shd w:val="clear" w:color="auto" w:fill="FFFFFF"/>
        </w:rPr>
        <w:t>on, use, control, distribution,</w:t>
      </w:r>
      <w:r w:rsidRPr="108B3B2E">
        <w:rPr>
          <w:rFonts w:ascii="Calibri" w:hAnsi="Calibri" w:cs="Calibri"/>
          <w:color w:val="444444"/>
        </w:rPr>
        <w:t xml:space="preserve"> rationing, and allocation of all forms of energy that are designed and implemented in a fair and efficient manner, including duties to collect, evaluate, assemble, and analyze energy </w:t>
      </w:r>
      <w:r w:rsidRPr="108B3B2E">
        <w:rPr>
          <w:rFonts w:ascii="Calibri" w:hAnsi="Calibri" w:cs="Calibri"/>
          <w:color w:val="444444"/>
        </w:rPr>
        <w:t>information on reserves, production, demand, and related economic data and work with business, labor, consumer and other interests and obtain their cooperation.</w:t>
      </w:r>
    </w:p>
    <w:p w:rsidR="00DA467B" w:rsidRPr="00DA467B" w:rsidP="108B3B2E" w14:paraId="121B3A74" w14:textId="1A41032E">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heme="minorEastAsia"/>
        </w:rPr>
      </w:pPr>
      <w:r>
        <w:t>Title</w:t>
      </w:r>
      <w:r w:rsidRPr="00DA467B">
        <w:t xml:space="preserve"> 15 U.S.C. 790</w:t>
      </w:r>
      <w:r w:rsidR="00D57D5C">
        <w:t>(</w:t>
      </w:r>
      <w:r w:rsidRPr="00DA467B">
        <w:t>a</w:t>
      </w:r>
      <w:r w:rsidR="00D57D5C">
        <w:t>)</w:t>
      </w:r>
      <w:r>
        <w:t xml:space="preserve"> </w:t>
      </w:r>
      <w:r w:rsidRPr="108B3B2E">
        <w:rPr>
          <w:rFonts w:ascii="Calibri" w:hAnsi="Calibri" w:cs="Calibri"/>
          <w:color w:val="444444"/>
        </w:rPr>
        <w:t>establishes a National Energy Information System that is the enclave containing energy information collected by EIA as required to provide a description of and facilitate analysis of energy supply and consumption within and affecting the US on the basis of</w:t>
      </w:r>
      <w:r>
        <w:rPr>
          <w:rFonts w:ascii="Calibri" w:hAnsi="Calibri" w:cs="Calibri"/>
          <w:color w:val="444444"/>
          <w:shd w:val="clear" w:color="auto" w:fill="FFFFFF"/>
        </w:rPr>
        <w:t xml:space="preserve"> such geographic areas and economic sectors to carry out the Administration's statistical and forecasting activities to meet the needs of DOE, Congress, and the States</w:t>
      </w:r>
      <w:r w:rsidR="00D57D5C">
        <w:rPr>
          <w:rFonts w:ascii="Calibri" w:hAnsi="Calibri" w:cs="Calibri"/>
          <w:color w:val="444444"/>
          <w:shd w:val="clear" w:color="auto" w:fill="FFFFFF"/>
        </w:rPr>
        <w:t>.</w:t>
      </w:r>
    </w:p>
    <w:p w:rsidR="70E1FD7E" w:rsidRPr="00D2080D" w:rsidP="00B74CB9" w14:paraId="6533E615" w14:textId="13884E48">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Calibri" w:hAnsi="Calibri" w:cs="Calibri"/>
          <w:color w:val="444444"/>
        </w:rPr>
      </w:pPr>
      <w:r w:rsidRPr="00D2080D">
        <w:rPr>
          <w:color w:val="000000" w:themeColor="text1"/>
        </w:rPr>
        <w:t xml:space="preserve">Title </w:t>
      </w:r>
      <w:hyperlink r:id="rId19" w:history="1">
        <w:r w:rsidRPr="00D2080D" w:rsidR="00DA467B">
          <w:rPr>
            <w:color w:val="1396D8"/>
            <w:u w:val="single"/>
          </w:rPr>
          <w:t>42 U.S.C. 7135</w:t>
        </w:r>
      </w:hyperlink>
      <w:r w:rsidRPr="00D2080D" w:rsidR="00DA467B">
        <w:rPr>
          <w:color w:val="000000" w:themeColor="text1"/>
        </w:rPr>
        <w:t xml:space="preserve"> </w:t>
      </w:r>
      <w:r w:rsidRPr="00D2080D">
        <w:rPr>
          <w:rFonts w:ascii="Calibri" w:hAnsi="Calibri" w:cs="Calibri"/>
          <w:color w:val="444444"/>
        </w:rPr>
        <w:t xml:space="preserve">authorizes the Administrator to conduct and publish results from manufacturing, residential, and commercial energy consumption surveys, as well as </w:t>
      </w:r>
      <w:r w:rsidRPr="00D2080D" w:rsidR="00E51D07">
        <w:rPr>
          <w:rFonts w:ascii="Calibri" w:hAnsi="Calibri" w:cs="Calibri"/>
          <w:color w:val="444444"/>
        </w:rPr>
        <w:t xml:space="preserve">an </w:t>
      </w:r>
      <w:r w:rsidRPr="00D2080D">
        <w:rPr>
          <w:rFonts w:ascii="Calibri" w:hAnsi="Calibri" w:cs="Calibri"/>
          <w:color w:val="444444"/>
        </w:rPr>
        <w:t>annual survey of electricity production from domestic renewable energy resources</w:t>
      </w:r>
      <w:r w:rsidRPr="00D2080D" w:rsidR="006F2081">
        <w:rPr>
          <w:rFonts w:ascii="Calibri" w:hAnsi="Calibri" w:cs="Calibri"/>
          <w:color w:val="444444"/>
        </w:rPr>
        <w:t>.</w:t>
      </w:r>
    </w:p>
    <w:p w:rsidR="008C734C" w:rsidP="00D2080D" w14:paraId="2ADC858E" w14:textId="77777777">
      <w:pPr>
        <w:pStyle w:val="Heading2"/>
      </w:pPr>
      <w:bookmarkStart w:id="4" w:name="_Toc229059421"/>
      <w:r>
        <w:t>A.2. Needs and Uses of Data</w:t>
      </w:r>
      <w:bookmarkEnd w:id="4"/>
    </w:p>
    <w:p w:rsidR="00226271" w:rsidRPr="00226271" w:rsidP="00226271" w14:paraId="14D2EF50" w14:textId="4C324316">
      <w:r w:rsidRPr="00226271">
        <w:t xml:space="preserve">The purpose of the </w:t>
      </w:r>
      <w:r w:rsidR="00E417A6">
        <w:t>A</w:t>
      </w:r>
      <w:r w:rsidR="006D05D5">
        <w:t xml:space="preserve">nnual </w:t>
      </w:r>
      <w:r w:rsidRPr="00226271">
        <w:t xml:space="preserve">MECS is to collect information from </w:t>
      </w:r>
      <w:r w:rsidR="00507895">
        <w:t xml:space="preserve">the six most energy-intensive </w:t>
      </w:r>
      <w:r w:rsidRPr="00226271">
        <w:t xml:space="preserve">manufacturing </w:t>
      </w:r>
      <w:r w:rsidR="00507895">
        <w:t>subsectors</w:t>
      </w:r>
      <w:r w:rsidRPr="00226271">
        <w:t xml:space="preserve"> on basic energy consumption and </w:t>
      </w:r>
      <w:r w:rsidRPr="00226271">
        <w:t>expenditures</w:t>
      </w:r>
      <w:r w:rsidR="000D4E6A">
        <w:t xml:space="preserve"> </w:t>
      </w:r>
      <w:r w:rsidR="000D4E6A">
        <w:t>of</w:t>
      </w:r>
      <w:r w:rsidR="000D4E6A">
        <w:t xml:space="preserve"> selected energy sources.</w:t>
      </w:r>
      <w:r w:rsidR="00507895">
        <w:t xml:space="preserve"> These six subsectors account for about 85% of the energy consumed in the U.S. manufacturing sector.</w:t>
      </w:r>
    </w:p>
    <w:p w:rsidR="00226271" w:rsidRPr="00226271" w:rsidP="00226271" w14:paraId="7B337E37" w14:textId="62DA2EC1">
      <w:r w:rsidRPr="00226271">
        <w:t xml:space="preserve">The </w:t>
      </w:r>
      <w:r w:rsidR="006C37FC">
        <w:t>A</w:t>
      </w:r>
      <w:r w:rsidR="006D05D5">
        <w:t xml:space="preserve">nnual </w:t>
      </w:r>
      <w:r w:rsidRPr="00226271">
        <w:t xml:space="preserve">MECS fulfills multiple needs and requirements for analysis at DOE. It is the only </w:t>
      </w:r>
      <w:r w:rsidRPr="00226271" w:rsidR="0010785E">
        <w:t>annual national</w:t>
      </w:r>
      <w:r w:rsidRPr="00226271">
        <w:t xml:space="preserve"> survey on energy consumption of the </w:t>
      </w:r>
      <w:r w:rsidRPr="00CB29AA" w:rsidR="00CB29AA">
        <w:t>six most energy-intensive manufacturing subsectors</w:t>
      </w:r>
      <w:r w:rsidRPr="00226271">
        <w:t xml:space="preserve"> that is statistically reliable. Data obtained from the </w:t>
      </w:r>
      <w:r w:rsidR="006C37FC">
        <w:t>A</w:t>
      </w:r>
      <w:r w:rsidR="006D05D5">
        <w:t xml:space="preserve">nnual </w:t>
      </w:r>
      <w:r w:rsidRPr="00226271">
        <w:t xml:space="preserve">MECS </w:t>
      </w:r>
      <w:r w:rsidR="00E064AD">
        <w:t xml:space="preserve">will </w:t>
      </w:r>
      <w:r w:rsidRPr="00226271">
        <w:t xml:space="preserve">serve as a major input </w:t>
      </w:r>
      <w:r w:rsidRPr="00226271">
        <w:t>into</w:t>
      </w:r>
      <w:r w:rsidRPr="00226271">
        <w:t xml:space="preserve"> EIA’s National Energy Modeling System (NEMS) industrial models which are used to benchmark other government and non-government modeling systems. The results of the NEMS, as well as the </w:t>
      </w:r>
      <w:r w:rsidR="006C37FC">
        <w:t>A</w:t>
      </w:r>
      <w:r w:rsidR="006D05D5">
        <w:t xml:space="preserve">nnual </w:t>
      </w:r>
      <w:r w:rsidRPr="00226271">
        <w:t xml:space="preserve">MECS data themselves, are used as inputs into national energy policy decisions and DOE research and development strategies as well as a broad range of conservation and renewable energy industrial programs. </w:t>
      </w:r>
    </w:p>
    <w:p w:rsidR="00226271" w:rsidRPr="00226271" w:rsidP="00226271" w14:paraId="017DFFFE" w14:textId="6231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6271">
        <w:t xml:space="preserve">EIA has a series of surveys in place that collect data on energy consumption to analyze the issues of the demand for energy and the effect of that demand on the Nation's social and economic needs. Three of these systems are now operating: Forms EIA-457 A-G, “Residential Energy Consumption Survey” (OMB Number 1905-0092); Forms EIA-871 A-F, “Commercial Buildings Energy Consumption Survey” (OMB Number 1905-0145); and Form EIA-846, “Manufacturing Energy Consumption Survey” (OMB Number 1905-0169). These surveys span end-use sectors that account for </w:t>
      </w:r>
      <w:r w:rsidR="006C4200">
        <w:t xml:space="preserve">approximately </w:t>
      </w:r>
      <w:r w:rsidRPr="00E42E9B">
        <w:t>55</w:t>
      </w:r>
      <w:r w:rsidRPr="00226271">
        <w:rPr>
          <w:rFonts w:ascii="GoudyOlSt BT" w:hAnsi="GoudyOlSt BT"/>
        </w:rPr>
        <w:t xml:space="preserve"> </w:t>
      </w:r>
      <w:r w:rsidRPr="00226271">
        <w:t>percent of the energy consumption in the United States. Manufacturing operations alone account for approximately</w:t>
      </w:r>
      <w:r w:rsidRPr="005E296F" w:rsidR="1CFE2EA3">
        <w:t xml:space="preserve"> 30 percent </w:t>
      </w:r>
      <w:r w:rsidRPr="00226271">
        <w:t xml:space="preserve">of total </w:t>
      </w:r>
      <w:r w:rsidR="2BEF25CC">
        <w:t xml:space="preserve">U.S. </w:t>
      </w:r>
      <w:r w:rsidRPr="00226271">
        <w:t xml:space="preserve">energy consumption. The wide range of data that </w:t>
      </w:r>
      <w:r w:rsidR="006C37FC">
        <w:t xml:space="preserve">the Annual </w:t>
      </w:r>
      <w:r w:rsidRPr="00226271" w:rsidR="00CA4C54">
        <w:t>MECS</w:t>
      </w:r>
      <w:r w:rsidRPr="00226271">
        <w:t xml:space="preserve"> </w:t>
      </w:r>
      <w:r w:rsidR="009F4B7A">
        <w:t xml:space="preserve">will </w:t>
      </w:r>
      <w:r w:rsidRPr="00226271">
        <w:t xml:space="preserve">collect and publish, with known precision, </w:t>
      </w:r>
      <w:r w:rsidRPr="00226271" w:rsidR="00CA4C54">
        <w:t>makes</w:t>
      </w:r>
      <w:r w:rsidRPr="00226271">
        <w:t xml:space="preserve"> it the most reliable and accurate tool for providing energy statistics covering the </w:t>
      </w:r>
      <w:r w:rsidR="008E49CB">
        <w:t xml:space="preserve">most energy-intensive </w:t>
      </w:r>
      <w:r w:rsidR="000F53A3">
        <w:t>manufacturing subsectors</w:t>
      </w:r>
      <w:r w:rsidRPr="00226271">
        <w:t xml:space="preserve">. </w:t>
      </w:r>
    </w:p>
    <w:p w:rsidR="000F53A3" w:rsidP="000F53A3" w14:paraId="6D22AA2E" w14:textId="69C60FE5">
      <w:r w:rsidRPr="00B548EC">
        <w:t xml:space="preserve">The information </w:t>
      </w:r>
      <w:r w:rsidR="00A92F04">
        <w:t xml:space="preserve">from </w:t>
      </w:r>
      <w:r>
        <w:t>the Annual MECS</w:t>
      </w:r>
      <w:r w:rsidRPr="00B548EC">
        <w:t xml:space="preserve"> will be used to produce aggregate statistics on the energy consumption of the manufacturing sector, including energy purchases, expenditures, transfers in and shipments out, onsite generation and both fuel and nonfuel use of five widely used energy sources. To maintain an updated NEMS each year, Form EIA-847 will also be used to update the historical industrial energy consumption benchmark.</w:t>
      </w:r>
      <w:r>
        <w:t xml:space="preserve"> Since the Annual MECS is a new </w:t>
      </w:r>
      <w:r w:rsidR="00C41DE5">
        <w:t>collection,</w:t>
      </w:r>
      <w:r>
        <w:t xml:space="preserve"> it’d be wrong to speculate how other data users would use the data; however, it’s anticipated that these data </w:t>
      </w:r>
      <w:r w:rsidR="00A92F04">
        <w:t>would be used in a similar manner to previous MECS</w:t>
      </w:r>
      <w:r w:rsidR="00C41DE5">
        <w:t xml:space="preserve"> data. </w:t>
      </w:r>
    </w:p>
    <w:p w:rsidR="00226271" w:rsidRPr="00226271" w:rsidP="00226271" w14:paraId="2319A1F9" w14:textId="523CC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Among MECS data users is the </w:t>
      </w:r>
      <w:r w:rsidR="00234E77">
        <w:t xml:space="preserve">Industrial Technologies Office (ITO) </w:t>
      </w:r>
      <w:r w:rsidR="004372EF">
        <w:t xml:space="preserve">at </w:t>
      </w:r>
      <w:r>
        <w:t xml:space="preserve">US Department of Energy Office of </w:t>
      </w:r>
      <w:r w:rsidR="004372EF">
        <w:t xml:space="preserve">Energy Efficiency and Renewable Energy. </w:t>
      </w:r>
      <w:r w:rsidRPr="00226271">
        <w:t>Updates are in progress for another set of Web products, Manufacturing Energy and Carbon Footprints, which can be found at</w:t>
      </w:r>
      <w:r w:rsidR="00234E77">
        <w:t xml:space="preserve"> </w:t>
      </w:r>
      <w:hyperlink r:id="rId20" w:history="1">
        <w:r w:rsidRPr="00206C65" w:rsidR="00234E77">
          <w:rPr>
            <w:rStyle w:val="Hyperlink"/>
          </w:rPr>
          <w:t>https://www.energy.gov/eere/iedo/manufacturing-energy-and-carbon-footprints-2018-mecs</w:t>
        </w:r>
      </w:hyperlink>
      <w:r w:rsidRPr="00226271">
        <w:t>.</w:t>
      </w:r>
      <w:r w:rsidR="00234E77">
        <w:t xml:space="preserve"> </w:t>
      </w:r>
      <w:r w:rsidRPr="00226271">
        <w:t xml:space="preserve">Those documents, originally </w:t>
      </w:r>
      <w:r w:rsidRPr="00226271">
        <w:rPr>
          <w:color w:val="000000"/>
        </w:rPr>
        <w:t>developed</w:t>
      </w:r>
      <w:r w:rsidRPr="00226271">
        <w:t xml:space="preserve"> in partnership with DOE’s </w:t>
      </w:r>
      <w:r w:rsidR="00234E77">
        <w:t>Industrial Technologies Office</w:t>
      </w:r>
      <w:r w:rsidRPr="00226271">
        <w:t xml:space="preserve">, summarize MECS and other related data for sixteen manufacturing industries that are significant consumers of energy. The MECS establishes the basis of ongoing estimates for changes in energy intensity and greenhouse gases. The data </w:t>
      </w:r>
      <w:r w:rsidRPr="00226271" w:rsidR="006C3518">
        <w:t>is</w:t>
      </w:r>
      <w:r w:rsidRPr="00226271">
        <w:t xml:space="preserve"> used extensively by EIA's Office of Energy Consumption and Efficiency Analysis as inputs to NEMS models. </w:t>
      </w:r>
    </w:p>
    <w:p w:rsidR="00226271" w:rsidRPr="00A41763" w:rsidP="00226271" w14:paraId="08BACD5D" w14:textId="3D44E6F4">
      <w:pPr>
        <w:rPr>
          <w:i/>
          <w:iCs/>
        </w:rPr>
      </w:pPr>
      <w:r>
        <w:t>The International Energy Agency (IEA) receives</w:t>
      </w:r>
      <w:r w:rsidRPr="00226271">
        <w:t xml:space="preserve"> MECS aggregate data regularly as the</w:t>
      </w:r>
      <w:r>
        <w:t>y</w:t>
      </w:r>
      <w:r w:rsidRPr="00226271">
        <w:t xml:space="preserve"> benchmark for U.S. manufacturing energy consumption. MECS estimates are used routinely in many research projects being conducted by organizations such as the Gas Research Institute, Pacific Northwest National Laboratory, Argonne National Laboratory, Lawrence Berkeley National Laboratory and others.</w:t>
      </w:r>
    </w:p>
    <w:p w:rsidR="008C734C" w:rsidP="00D2080D" w14:paraId="0124EF08" w14:textId="77777777">
      <w:pPr>
        <w:pStyle w:val="Heading2"/>
      </w:pPr>
      <w:bookmarkStart w:id="5" w:name="_Toc229059422"/>
      <w:r>
        <w:t>A.</w:t>
      </w:r>
      <w:r w:rsidRPr="00A41763" w:rsidR="00A41763">
        <w:t xml:space="preserve">3. </w:t>
      </w:r>
      <w:r>
        <w:t>Use of Technology</w:t>
      </w:r>
      <w:bookmarkEnd w:id="5"/>
    </w:p>
    <w:p w:rsidR="00B50AD5" w:rsidRPr="00B50AD5" w:rsidP="00B50AD5" w14:paraId="1B044889" w14:textId="6185512D">
      <w:r w:rsidRPr="00B50AD5">
        <w:t xml:space="preserve">The MECS is largely an Internet-based electronic survey, with a paper form version for those respondents that require it. </w:t>
      </w:r>
      <w:r w:rsidR="00B80750">
        <w:t xml:space="preserve">However, the </w:t>
      </w:r>
      <w:r w:rsidR="006C37FC">
        <w:t>A</w:t>
      </w:r>
      <w:r w:rsidR="006D05D5">
        <w:t xml:space="preserve">nnual </w:t>
      </w:r>
      <w:r w:rsidR="00B80750">
        <w:t xml:space="preserve">MECS data collection will only be available on Centurion, </w:t>
      </w:r>
      <w:r w:rsidR="009C17E5">
        <w:t xml:space="preserve">an </w:t>
      </w:r>
      <w:r w:rsidR="00B80750">
        <w:t xml:space="preserve">electronic-collection platform. The use of Centurion allows for a reduction in response burden and data processing time, allowing </w:t>
      </w:r>
      <w:r w:rsidR="00153D1A">
        <w:t>annual replication of the survey.</w:t>
      </w:r>
      <w:r w:rsidRPr="00B50AD5">
        <w:t xml:space="preserve"> </w:t>
      </w:r>
    </w:p>
    <w:p w:rsidR="00B50AD5" w:rsidRPr="00B50AD5" w:rsidP="00B50AD5" w14:paraId="0E5F7FDF" w14:textId="6C359D82">
      <w:r w:rsidRPr="00B50AD5">
        <w:t xml:space="preserve">Due to the ease of electronic filing, approximately 85 percent of respondents who reported data for the 2006 MECS did so using the Internet. </w:t>
      </w:r>
      <w:r w:rsidR="00782A68">
        <w:t xml:space="preserve">U.S. </w:t>
      </w:r>
      <w:r w:rsidR="009C17E5">
        <w:t>Census</w:t>
      </w:r>
      <w:r w:rsidR="00782A68">
        <w:t xml:space="preserve"> Bureau</w:t>
      </w:r>
      <w:r w:rsidR="009C17E5">
        <w:t xml:space="preserve">, </w:t>
      </w:r>
      <w:r w:rsidR="00782A68">
        <w:t xml:space="preserve">on behalf of </w:t>
      </w:r>
      <w:r w:rsidRPr="00B50AD5">
        <w:t>EIA</w:t>
      </w:r>
      <w:r w:rsidR="00782A68">
        <w:t>,</w:t>
      </w:r>
      <w:r w:rsidRPr="00B50AD5">
        <w:t xml:space="preserve"> has continued to collect data through </w:t>
      </w:r>
      <w:r w:rsidR="00153D1A">
        <w:t>Centurion</w:t>
      </w:r>
      <w:r w:rsidRPr="00B50AD5">
        <w:t xml:space="preserve"> for every MECS since then and will continue this practice. The reporting of data electronically has continued to increase. As of the 20</w:t>
      </w:r>
      <w:r w:rsidR="00234E77">
        <w:t>22</w:t>
      </w:r>
      <w:r w:rsidRPr="00B50AD5">
        <w:t xml:space="preserve"> MECS about 9</w:t>
      </w:r>
      <w:r w:rsidR="00153D1A">
        <w:t>2</w:t>
      </w:r>
      <w:r w:rsidRPr="00B50AD5">
        <w:t xml:space="preserve"> percent of respondents reported data through the Internet. EIA believes that collecting data through the Internet lessens the response burden because it is easier to use, faster to complete, and requires fewer edit callbacks than the paper form reporting method.</w:t>
      </w:r>
    </w:p>
    <w:p w:rsidR="00B50AD5" w:rsidRPr="00B50AD5" w:rsidP="43AB5A4F" w14:paraId="00B94829" w14:textId="4E5D7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Many of the same features that were employed for the 2006 MECS </w:t>
      </w:r>
      <w:r w:rsidR="00153D1A">
        <w:t>Centurion</w:t>
      </w:r>
      <w:r>
        <w:t xml:space="preserve"> questionnaire such as using the NAICS code to customize the form without prior preparation will continue to be utilized for the 202</w:t>
      </w:r>
      <w:r w:rsidR="00153D1A">
        <w:t xml:space="preserve">5 </w:t>
      </w:r>
      <w:r w:rsidR="009F4B7A">
        <w:t>A</w:t>
      </w:r>
      <w:r w:rsidR="006D05D5">
        <w:t xml:space="preserve">nnual </w:t>
      </w:r>
      <w:r>
        <w:t xml:space="preserve">MECS. This allows respondents in </w:t>
      </w:r>
      <w:r w:rsidR="00153D1A">
        <w:t>the refining</w:t>
      </w:r>
      <w:r>
        <w:t xml:space="preserve"> industry to tailor their form so that it includes only questions relevant to their industry. Thus, Form EIA-84</w:t>
      </w:r>
      <w:r w:rsidR="006C37FC">
        <w:t>7</w:t>
      </w:r>
      <w:r>
        <w:t xml:space="preserve"> represents a substantial reduction in burden on the refining industry and will continue to collect only fuel consumption for petroleum products. For energy sources that are not petroleum products, the same data will be collected as for other industries. However, for both petroleum and non-petroleum products consumed in refineries, no feedstock data will be collected. </w:t>
      </w:r>
    </w:p>
    <w:p w:rsidR="00A41763" w:rsidP="43AB5A4F" w14:paraId="253E9245" w14:textId="6DA775A3">
      <w:pPr>
        <w:rPr>
          <w:i/>
          <w:iCs/>
        </w:rPr>
      </w:pPr>
      <w:r>
        <w:t xml:space="preserve">Petroleum refineries, which receive Form EIA-846(B), ship greater quantities of energy sources than any other manufacturing industry. However, Form EIA-846(B) took advantage of common data available from Form EIA-810, “Monthly Refinery Report” and employed a different concept of energy sources inputs.  Data reported on Form EIA-810, “Monthly Refinery Report” are used to measure feedstock and offsite-produced fuel usage. Therefore, petroleum refiners will receive a shorter </w:t>
      </w:r>
      <w:r w:rsidR="00153D1A">
        <w:t>Centurion</w:t>
      </w:r>
      <w:r>
        <w:t xml:space="preserve"> </w:t>
      </w:r>
      <w:r>
        <w:t>questionnaire for the 202</w:t>
      </w:r>
      <w:r w:rsidR="00153D1A">
        <w:t xml:space="preserve">5 </w:t>
      </w:r>
      <w:r w:rsidR="00700D6B">
        <w:t>A</w:t>
      </w:r>
      <w:r w:rsidR="006C37FC">
        <w:t xml:space="preserve">nnual </w:t>
      </w:r>
      <w:r>
        <w:t xml:space="preserve">MECS because EIA will continue to </w:t>
      </w:r>
      <w:r w:rsidRPr="43AB5A4F">
        <w:rPr>
          <w:color w:val="000000" w:themeColor="text1"/>
        </w:rPr>
        <w:t>make use of</w:t>
      </w:r>
      <w:r w:rsidRPr="43AB5A4F">
        <w:rPr>
          <w:color w:val="FF0000"/>
        </w:rPr>
        <w:t xml:space="preserve"> </w:t>
      </w:r>
      <w:r>
        <w:t>data from other surveys.</w:t>
      </w:r>
      <w:r w:rsidRPr="43AB5A4F">
        <w:rPr>
          <w:i/>
          <w:iCs/>
        </w:rPr>
        <w:t xml:space="preserve"> </w:t>
      </w:r>
    </w:p>
    <w:p w:rsidR="008C734C" w:rsidP="00D2080D" w14:paraId="690217F5" w14:textId="77777777">
      <w:pPr>
        <w:pStyle w:val="Heading2"/>
      </w:pPr>
      <w:bookmarkStart w:id="6" w:name="_Toc229059423"/>
      <w:r>
        <w:t>A.</w:t>
      </w:r>
      <w:r w:rsidRPr="00A41763" w:rsidR="00A41763">
        <w:t xml:space="preserve">4. </w:t>
      </w:r>
      <w:r>
        <w:t>Efforts to Identify Duplication</w:t>
      </w:r>
      <w:bookmarkEnd w:id="6"/>
    </w:p>
    <w:p w:rsidR="00EB7413" w:rsidRPr="00EB7413" w:rsidP="00BD2AB7" w14:paraId="5EF1AF6E" w14:textId="3B023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rsidRPr="00EB7413">
        <w:t>EIA reviews and evaluates manufacturing energy consumption information available from a variety of sources, including other federal agencies, industry trade associations, state governments, and commercial information services, to identify instances of duplication. Additionally, in the public notices and consultations associated with the clearance of Form EIA-84</w:t>
      </w:r>
      <w:r w:rsidR="006C37FC">
        <w:t>7</w:t>
      </w:r>
      <w:r w:rsidRPr="00EB7413">
        <w:t xml:space="preserve">, EIA encourages respondents and data users to identify alternate sources of manufacturing energy consumption information EIA proposes to collect. Instances of potential data duplication identified by EIA are evaluated in terms of data coverage, level of aggregation, frequency of collection, data reliability, and statutory requirements to determine whether alternate data sources represent a suitable substitute for EIA data. </w:t>
      </w:r>
    </w:p>
    <w:p w:rsidR="00EB7413" w:rsidRPr="00EB7413" w14:paraId="78E3FDA0" w14:textId="51464A4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EB7413">
        <w:t>EIA has carefully examined several federal government survey instruments to assess whether there is any duplicative data collection with Form EIA-84</w:t>
      </w:r>
      <w:r w:rsidR="00C2436F">
        <w:t>7</w:t>
      </w:r>
      <w:r w:rsidRPr="00EB7413">
        <w:t xml:space="preserve">. These instruments are: Form EIA-3, Quarterly Survey of Non-Electric Sector Coal Data; Form EIA-810, Monthly Refinery Report; Form EIA-820, Annual Refinery Report; FERC-1, Annual Report of Major Electric Utilities, Licensees, and Others; EIA-923, Power Plant Operations Report; the Environmental Protection Agency Rule (40 CFR Part 98), Mandatory Reporting of Greenhouse Gases; and Bureau of the Census Form MA-1000, Annual Survey of Manufactures and Economic Census - Manufacturing. The inadequacies of </w:t>
      </w:r>
      <w:r w:rsidRPr="00EB7413">
        <w:t>these</w:t>
      </w:r>
      <w:r w:rsidRPr="00EB7413">
        <w:t xml:space="preserve"> data as a substitute for the </w:t>
      </w:r>
      <w:r w:rsidR="006C37FC">
        <w:t xml:space="preserve">Annual </w:t>
      </w:r>
      <w:r w:rsidRPr="00EB7413">
        <w:t>MECS are discussed below.</w:t>
      </w:r>
    </w:p>
    <w:p w:rsidR="00EB7413" w:rsidRPr="00EB7413" w:rsidP="00EB7413" w14:paraId="5D85EE3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EB7413">
        <w:rPr>
          <w:u w:val="single"/>
        </w:rPr>
        <w:t>The Inadequacies of Similar Data</w:t>
      </w:r>
    </w:p>
    <w:p w:rsidR="00EB7413" w:rsidRPr="00EB7413" w:rsidP="00EB7413" w14:paraId="760FAC6F" w14:textId="3AF84F7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EB7413">
        <w:t xml:space="preserve">Each survey form (Forms EIA-3, EIA-810, EIA-820, FERC-1, EIA-923, Rule (40 CFR Part 98), and MA-10000) was established to collect a specific set of data for in depth, narrowly defined purposes. The </w:t>
      </w:r>
      <w:r w:rsidR="003E4C56">
        <w:t xml:space="preserve">narrow scope </w:t>
      </w:r>
      <w:r w:rsidRPr="00EB7413">
        <w:t xml:space="preserve">of these data collections </w:t>
      </w:r>
      <w:r w:rsidRPr="00EB7413" w:rsidR="005A4123">
        <w:t>makes</w:t>
      </w:r>
      <w:r w:rsidRPr="00EB7413">
        <w:t xml:space="preserve"> </w:t>
      </w:r>
      <w:r w:rsidR="00EC2AAE">
        <w:t>them</w:t>
      </w:r>
      <w:r w:rsidRPr="00EB7413">
        <w:t xml:space="preserve"> unsuitable to </w:t>
      </w:r>
      <w:r w:rsidR="003E4C56">
        <w:t xml:space="preserve">meet </w:t>
      </w:r>
      <w:r w:rsidRPr="00EB7413">
        <w:t xml:space="preserve">the purposes of the </w:t>
      </w:r>
      <w:r w:rsidR="00C2436F">
        <w:t xml:space="preserve">Annual </w:t>
      </w:r>
      <w:r w:rsidRPr="00EB7413">
        <w:t>MECS.</w:t>
      </w:r>
    </w:p>
    <w:p w:rsidR="00EB7413" w:rsidRPr="00EB7413" w:rsidP="1BBDFA61" w14:paraId="525707F9" w14:textId="73A7BD6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bCs/>
        </w:rPr>
      </w:pPr>
      <w:r w:rsidRPr="1BBDFA61">
        <w:rPr>
          <w:b/>
          <w:bCs/>
        </w:rPr>
        <w:t>a</w:t>
      </w:r>
      <w:r w:rsidRPr="1BBDFA61">
        <w:rPr>
          <w:b/>
          <w:bCs/>
        </w:rPr>
        <w:t>.</w:t>
      </w:r>
      <w:r w:rsidRPr="1BBDFA61" w:rsidR="653663C0">
        <w:rPr>
          <w:b/>
          <w:bCs/>
        </w:rPr>
        <w:t xml:space="preserve"> </w:t>
      </w:r>
      <w:r w:rsidRPr="00EB7413">
        <w:rPr>
          <w:b/>
        </w:rPr>
        <w:tab/>
      </w:r>
      <w:r w:rsidRPr="1BBDFA61">
        <w:rPr>
          <w:b/>
          <w:bCs/>
        </w:rPr>
        <w:t>Quarterly</w:t>
      </w:r>
      <w:r w:rsidRPr="1BBDFA61">
        <w:rPr>
          <w:b/>
          <w:bCs/>
        </w:rPr>
        <w:t xml:space="preserve"> Survey of Non-Electric Sector Coal Data (EIA-3) (OMB No. 1905-0167)</w:t>
      </w:r>
    </w:p>
    <w:p w:rsidR="00EB7413" w:rsidRPr="00EB7413" w:rsidP="00EB7413" w14:paraId="6FD9B9CA" w14:textId="5382DB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EB7413">
        <w:t>Form</w:t>
      </w:r>
      <w:r w:rsidRPr="00EB7413">
        <w:t xml:space="preserve"> EIA-3 provides data on consumption of coal on a limited number of establishments. It collects information only from manufacturing establishments that are known to consume coal for purposes other than coke production. The list of such establishments contains approximately 825 of the 293,000 manufacturing establishments in the United States, restricted to those that consumed 1,000 or more tons in the previous year. There </w:t>
      </w:r>
      <w:r w:rsidRPr="00EB7413">
        <w:t>are</w:t>
      </w:r>
      <w:r w:rsidRPr="00EB7413">
        <w:t xml:space="preserve"> no data on inputs, dispositions, and consumption for energy sources other than coal. Nor </w:t>
      </w:r>
      <w:r w:rsidRPr="00EB7413">
        <w:t>are</w:t>
      </w:r>
      <w:r w:rsidRPr="00EB7413">
        <w:t xml:space="preserve"> there data that </w:t>
      </w:r>
      <w:r w:rsidR="00C2436F">
        <w:t xml:space="preserve">Annual </w:t>
      </w:r>
      <w:r w:rsidRPr="00EB7413">
        <w:t xml:space="preserve">MECS </w:t>
      </w:r>
      <w:r w:rsidRPr="00EB7413">
        <w:t>requires:</w:t>
      </w:r>
      <w:r w:rsidRPr="00EB7413">
        <w:t xml:space="preserve"> cogeneration of electricity, uses of energy </w:t>
      </w:r>
      <w:r w:rsidRPr="00EB7413">
        <w:t>sources</w:t>
      </w:r>
      <w:r w:rsidRPr="00EB7413">
        <w:t xml:space="preserve"> as feedstocks, end-use estimates, or establishment characteristics. There are some differences between the two systems in what establishments populate the manufacturing sector.</w:t>
      </w:r>
    </w:p>
    <w:p w:rsidR="00EB7413" w:rsidRPr="00EB7413" w:rsidP="1BBDFA61" w14:paraId="0EB96E86" w14:textId="6B6228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bCs/>
        </w:rPr>
      </w:pPr>
      <w:r w:rsidRPr="1BBDFA61">
        <w:rPr>
          <w:b/>
          <w:bCs/>
        </w:rPr>
        <w:t>b</w:t>
      </w:r>
      <w:r w:rsidRPr="1BBDFA61">
        <w:rPr>
          <w:b/>
          <w:bCs/>
        </w:rPr>
        <w:t>.</w:t>
      </w:r>
      <w:r w:rsidRPr="1BBDFA61" w:rsidR="01EA7952">
        <w:rPr>
          <w:b/>
          <w:bCs/>
        </w:rPr>
        <w:t xml:space="preserve"> </w:t>
      </w:r>
      <w:r w:rsidRPr="00EB7413">
        <w:rPr>
          <w:b/>
        </w:rPr>
        <w:tab/>
      </w:r>
      <w:r w:rsidRPr="1BBDFA61">
        <w:rPr>
          <w:b/>
          <w:bCs/>
        </w:rPr>
        <w:t>Monthly</w:t>
      </w:r>
      <w:r w:rsidRPr="1BBDFA61">
        <w:rPr>
          <w:b/>
          <w:bCs/>
        </w:rPr>
        <w:t xml:space="preserve"> and Annual Refinery Reports (EIA-810 and EIA-820) (OMB No. 1905-0165)</w:t>
      </w:r>
    </w:p>
    <w:p w:rsidR="00EB7413" w:rsidRPr="00EB7413" w:rsidP="00EB7413" w14:paraId="7AD1D322" w14:textId="7629F50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EB7413">
        <w:t>Forms EIA-810 and EIA-820 are considered together because they are comple</w:t>
      </w:r>
      <w:r w:rsidRPr="00EB7413">
        <w:softHyphen/>
        <w:t xml:space="preserve">mentary systems that cover the same population. From the universe of approximately </w:t>
      </w:r>
      <w:r w:rsidRPr="0017016E">
        <w:t>200</w:t>
      </w:r>
      <w:r w:rsidRPr="00EB7413">
        <w:t xml:space="preserve"> refineries and blenders in the United States, these reports collect data on inputs of crude oil and other unfinished products, outputs of petroleum products, and on-site consumption of energy by those establishments. Refineries constitute a small but significant segment of the manufacturing industries. In addition, the two systems are designed </w:t>
      </w:r>
      <w:r w:rsidRPr="00EB7413">
        <w:t xml:space="preserve">to collect data for </w:t>
      </w:r>
      <w:r w:rsidRPr="00EB7413">
        <w:rPr>
          <w:iCs/>
        </w:rPr>
        <w:t>refining and blending operations only</w:t>
      </w:r>
      <w:r w:rsidRPr="00EB7413">
        <w:t xml:space="preserve">. In cases where the establishment houses a refinery that also contains separate petrochemical processing (not unusual), the data </w:t>
      </w:r>
      <w:r w:rsidRPr="00EB7413">
        <w:t>exclude</w:t>
      </w:r>
      <w:r w:rsidRPr="00EB7413">
        <w:t xml:space="preserve"> the petrochemical activities. Thus, these refinery data systems do not provide comprehensive coverage of the energy sources of refining establishments. The </w:t>
      </w:r>
      <w:r w:rsidR="00C2436F">
        <w:t xml:space="preserve">Annual </w:t>
      </w:r>
      <w:r w:rsidRPr="00EB7413">
        <w:t xml:space="preserve">MECS, on the other hand, obtains energy data on the entire establishment. </w:t>
      </w:r>
    </w:p>
    <w:p w:rsidR="00EB7413" w:rsidRPr="00EB7413" w:rsidP="00EB7413" w14:paraId="5E9DB1FE" w14:textId="76C390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EB7413">
        <w:t xml:space="preserve">Prior to fielding the 1985 MECS, EIA proposed modifying Form EIA-820, the Annual Refinery Report, to collect MECS data. To explore this possibility, discussions were held with the American Petroleum Institute (API) before the 1985 MECS was conducted. API pointed out that since Form EIA-820 is an ongoing data collection that is well understood at the refineries, modifying it to incorporate </w:t>
      </w:r>
      <w:r w:rsidRPr="00EB7413">
        <w:t>all of</w:t>
      </w:r>
      <w:r w:rsidRPr="00EB7413">
        <w:t xml:space="preserve"> the data to be collected for a periodic MECS would cause confusion and increase the burden on respondents. Spokesmen for API said that it would be preferable to conduct the two surveys separately rather than combine them. EIA will continue to manage burden by using Form EIA-810 data to arrive at an estimate of the nonfuel energy consumed in the refining process. The refineries' data on fuel consumption, however, must be obtained via the </w:t>
      </w:r>
      <w:r w:rsidR="00C2436F">
        <w:t xml:space="preserve">Annual </w:t>
      </w:r>
      <w:r w:rsidRPr="00EB7413">
        <w:t xml:space="preserve">MECS </w:t>
      </w:r>
      <w:r w:rsidR="00C2436F">
        <w:t xml:space="preserve">to remain consistent with the collection of the quadrennial MECS </w:t>
      </w:r>
      <w:r w:rsidRPr="00EB7413">
        <w:t>fuel consumption</w:t>
      </w:r>
      <w:r w:rsidR="00C2436F">
        <w:t xml:space="preserve"> data</w:t>
      </w:r>
      <w:r w:rsidRPr="00EB7413">
        <w:t xml:space="preserve">. </w:t>
      </w:r>
    </w:p>
    <w:p w:rsidR="00EB7413" w:rsidRPr="00EB7413" w:rsidP="1BBDFA61" w14:paraId="62C233D0" w14:textId="6342AC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b/>
          <w:bCs/>
        </w:rPr>
      </w:pPr>
      <w:r w:rsidRPr="1BBDFA61">
        <w:rPr>
          <w:b/>
          <w:bCs/>
        </w:rPr>
        <w:t>c.</w:t>
      </w:r>
      <w:r w:rsidRPr="1BBDFA61" w:rsidR="46C18D0A">
        <w:rPr>
          <w:b/>
          <w:bCs/>
        </w:rPr>
        <w:t xml:space="preserve"> </w:t>
      </w:r>
      <w:r w:rsidRPr="00EB7413">
        <w:rPr>
          <w:b/>
        </w:rPr>
        <w:tab/>
      </w:r>
      <w:r w:rsidRPr="1BBDFA61">
        <w:rPr>
          <w:b/>
          <w:bCs/>
        </w:rPr>
        <w:t>Annual Report of Major Electric Utilities, Licensees and Others (FERC-1) (OMB No. 1902-0021)</w:t>
      </w:r>
    </w:p>
    <w:p w:rsidR="00EB7413" w:rsidRPr="00EB7413" w:rsidP="00EB7413" w14:paraId="4F4AAAE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EB7413">
        <w:t xml:space="preserve">The Federal Energy Regulatory Commission (FERC), Form FERC-1, Annual Report of Major Electric Utilities, Licensees, and Others, collects financial information from privately owned utilities. Data gathered via FERC-1 include quantity and value of electricity purchases and transfers from "other non-utility sources." Because these sources are listed by name but not categorized, industrial sources are included with other sources and not always readily identifiable. </w:t>
      </w:r>
    </w:p>
    <w:p w:rsidR="00EB7413" w:rsidRPr="00EB7413" w:rsidP="00EB7413" w14:paraId="7E8B0873" w14:textId="31F188A9">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EB7413">
        <w:t xml:space="preserve">The survey of utilities develops information on how much electricity is produced and consumed in the non-utility sector. Moreover, the survey does not address the topics of energy sources or processes by how electricity is produced in the manufacturing sector. The </w:t>
      </w:r>
      <w:r w:rsidR="00C2436F">
        <w:t xml:space="preserve">Annual </w:t>
      </w:r>
      <w:r w:rsidRPr="00EB7413">
        <w:t xml:space="preserve">MECS must obtain information from manufacturers about the extent of industrial self-generation of electricity, and sales and transfers to utilities on a nationwide basis. </w:t>
      </w:r>
      <w:r w:rsidR="00C2436F">
        <w:t xml:space="preserve">Annual </w:t>
      </w:r>
      <w:r w:rsidRPr="00EB7413">
        <w:t>MECS data will provide complete information for electric-power analysis and modeling efforts</w:t>
      </w:r>
      <w:r w:rsidR="00040C35">
        <w:t xml:space="preserve"> within the six most energy-intensive manufacturing subsectors</w:t>
      </w:r>
      <w:r w:rsidRPr="00EB7413">
        <w:t xml:space="preserve">. </w:t>
      </w:r>
    </w:p>
    <w:p w:rsidR="00EB7413" w:rsidRPr="00EB7413" w:rsidP="1BBDFA61" w14:paraId="36D02E3F" w14:textId="2E519A2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b/>
          <w:bCs/>
        </w:rPr>
      </w:pPr>
      <w:r w:rsidRPr="1BBDFA61">
        <w:rPr>
          <w:b/>
          <w:bCs/>
        </w:rPr>
        <w:t>d</w:t>
      </w:r>
      <w:r w:rsidRPr="1BBDFA61">
        <w:rPr>
          <w:b/>
          <w:bCs/>
        </w:rPr>
        <w:t>.</w:t>
      </w:r>
      <w:r w:rsidRPr="1BBDFA61" w:rsidR="6B040F91">
        <w:rPr>
          <w:b/>
          <w:bCs/>
        </w:rPr>
        <w:t xml:space="preserve"> </w:t>
      </w:r>
      <w:r w:rsidRPr="00EB7413">
        <w:rPr>
          <w:b/>
        </w:rPr>
        <w:tab/>
      </w:r>
      <w:r w:rsidRPr="1BBDFA61">
        <w:rPr>
          <w:b/>
          <w:bCs/>
        </w:rPr>
        <w:t>Power</w:t>
      </w:r>
      <w:r w:rsidRPr="1BBDFA61">
        <w:rPr>
          <w:b/>
          <w:bCs/>
        </w:rPr>
        <w:t xml:space="preserve"> Plant Operations Report (EIA-923) (OMB No. 1905-0129)</w:t>
      </w:r>
    </w:p>
    <w:p w:rsidR="00EB7413" w:rsidRPr="00EB7413" w:rsidP="00EB7413" w14:paraId="6B8AF423" w14:textId="0DA84265">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EB7413">
        <w:t>Form</w:t>
      </w:r>
      <w:r w:rsidRPr="00EB7413">
        <w:t xml:space="preserve"> EIA-923 collects monthly cost and quality of fossil fuels delivered to unregulated and regulated entities with a total fossil fuel nameplate generating capacity of 50 megawatts or greater. Although some intersection with </w:t>
      </w:r>
      <w:r w:rsidR="0098536E">
        <w:t xml:space="preserve">Annual </w:t>
      </w:r>
      <w:r w:rsidRPr="00EB7413">
        <w:t xml:space="preserve">MECS respondents is expected, there would be great difficulty in determining exact matches. Further, Form EIA-923 is designed to collect fuels that enter the generating plant only and not for the entire establishment as is the </w:t>
      </w:r>
      <w:r w:rsidR="0098536E">
        <w:t xml:space="preserve">Annual </w:t>
      </w:r>
      <w:r w:rsidRPr="00EB7413">
        <w:t>MECS.</w:t>
      </w:r>
    </w:p>
    <w:p w:rsidR="00EB7413" w:rsidRPr="00EB7413" w:rsidP="00EB7413" w14:paraId="4CC4C6F8" w14:textId="016781C8">
      <w:pPr>
        <w:spacing w:after="120"/>
      </w:pPr>
      <w:r w:rsidRPr="00EB7413">
        <w:t>Form</w:t>
      </w:r>
      <w:r w:rsidRPr="00EB7413">
        <w:t xml:space="preserve"> EIA-923 also collects data on air and water quality from steam-electric plants. Information collected on this form is used to derive emission estimates and includes fuel consumption, electricity generation, and useful thermal output. Form EIA-923 respondents include all regulated and unregulated electric power plants in the United States. Respondents </w:t>
      </w:r>
      <w:r w:rsidRPr="00EB7413">
        <w:t>report</w:t>
      </w:r>
      <w:r w:rsidRPr="00EB7413">
        <w:t xml:space="preserve"> electric power generation, energy source consumption, end of reporting period fossil fuel stocks, and useful thermal output from co-generators. </w:t>
      </w:r>
      <w:r w:rsidRPr="00EB7413">
        <w:t xml:space="preserve">Although </w:t>
      </w:r>
      <w:r w:rsidR="0098536E">
        <w:t xml:space="preserve">Annual </w:t>
      </w:r>
      <w:r w:rsidRPr="00EB7413">
        <w:t xml:space="preserve">MECS establishments can be expected to be a subset of the facilities that provide data for these surveys, the </w:t>
      </w:r>
      <w:r w:rsidR="0098536E">
        <w:t xml:space="preserve">Annual </w:t>
      </w:r>
      <w:r w:rsidRPr="00EB7413">
        <w:t xml:space="preserve">MECS requires information for all aspects of consumption in manufacturing plants, not just for electric generation systems. Second, the </w:t>
      </w:r>
      <w:r w:rsidR="0098536E">
        <w:t xml:space="preserve">Annual </w:t>
      </w:r>
      <w:r w:rsidRPr="00EB7413">
        <w:t xml:space="preserve">MECS collects thermal output from boilers not necessarily associated with electric generation. It is often difficult to match generators identified separately on EIA electric generation forms with </w:t>
      </w:r>
      <w:r w:rsidR="0098536E">
        <w:t xml:space="preserve">Annual </w:t>
      </w:r>
      <w:r w:rsidRPr="00EB7413">
        <w:t xml:space="preserve">MECS manufacturing plants as identified by boundaries and classification associated with the Economic Census - Manufacturing, the </w:t>
      </w:r>
      <w:r w:rsidR="0098536E">
        <w:t xml:space="preserve">Annual </w:t>
      </w:r>
      <w:r w:rsidRPr="00EB7413">
        <w:t xml:space="preserve">MECS frame. Therefore, the surveys may differ as to which generating facilities are associated with </w:t>
      </w:r>
      <w:r w:rsidRPr="00EB7413">
        <w:t>particular establishments</w:t>
      </w:r>
      <w:r w:rsidRPr="00EB7413">
        <w:t xml:space="preserve"> or more generally, the manufacturing sector. </w:t>
      </w:r>
    </w:p>
    <w:p w:rsidR="00EB7413" w:rsidRPr="00EB7413" w:rsidP="1BBDFA61" w14:paraId="3411F36F" w14:textId="52BF0AE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bCs/>
        </w:rPr>
      </w:pPr>
      <w:r w:rsidRPr="1BBDFA61">
        <w:rPr>
          <w:b/>
          <w:bCs/>
        </w:rPr>
        <w:t>e</w:t>
      </w:r>
      <w:r w:rsidRPr="1BBDFA61">
        <w:rPr>
          <w:b/>
          <w:bCs/>
        </w:rPr>
        <w:t>.</w:t>
      </w:r>
      <w:r w:rsidRPr="1BBDFA61" w:rsidR="4C007045">
        <w:rPr>
          <w:b/>
          <w:bCs/>
        </w:rPr>
        <w:t xml:space="preserve"> </w:t>
      </w:r>
      <w:r w:rsidRPr="00EB7413">
        <w:rPr>
          <w:b/>
        </w:rPr>
        <w:tab/>
      </w:r>
      <w:r w:rsidRPr="1BBDFA61">
        <w:rPr>
          <w:b/>
          <w:bCs/>
        </w:rPr>
        <w:t>Mandatory</w:t>
      </w:r>
      <w:r w:rsidRPr="1BBDFA61">
        <w:rPr>
          <w:b/>
          <w:bCs/>
        </w:rPr>
        <w:t xml:space="preserve"> Reporting of Greenhouse Gases Rule (40 CFR Parts 86, 87, 89, 90, 94, 98, 1033, 1039, 1042, 1045, 1048, 1051, 1054, 1065) (OMB No. 2060-0629)</w:t>
      </w:r>
    </w:p>
    <w:p w:rsidR="00EB7413" w:rsidRPr="00EB7413" w:rsidP="00EB7413" w14:paraId="2FB4ACE9" w14:textId="2B63BE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The rule requires reporting of greenhouse gas (GHG) emissions from large sources and suppliers in the United States; facilities emitting 25,000 metric tons or more of GHG emissions per year. It is not entirely clear at this point the exact extent of the duplication with </w:t>
      </w:r>
      <w:r w:rsidR="0098536E">
        <w:t xml:space="preserve">Annual </w:t>
      </w:r>
      <w:r>
        <w:t xml:space="preserve">MECS. These facilities are required to collect combustion-unit level and fuel type data; </w:t>
      </w:r>
      <w:r w:rsidR="00083A85">
        <w:t>however,</w:t>
      </w:r>
      <w:r>
        <w:t xml:space="preserve"> they do not have to report these data in </w:t>
      </w:r>
      <w:r w:rsidRPr="00E96069" w:rsidR="004372EF">
        <w:t>2018</w:t>
      </w:r>
      <w:r w:rsidRPr="00E96069">
        <w:t>. The</w:t>
      </w:r>
      <w:r>
        <w:t xml:space="preserve"> reporting requirements for these entities may change for the reporting year </w:t>
      </w:r>
      <w:r w:rsidRPr="00E96069">
        <w:t>20</w:t>
      </w:r>
      <w:r w:rsidRPr="00E96069" w:rsidR="004372EF">
        <w:t xml:space="preserve">21 </w:t>
      </w:r>
      <w:r w:rsidRPr="00E96069">
        <w:t>and</w:t>
      </w:r>
      <w:r>
        <w:t xml:space="preserve"> beyond. These data are used to calculate the facility-wide GHG emissions that are submitted to the Environmental Protection Agency (EPA).</w:t>
      </w:r>
    </w:p>
    <w:p w:rsidR="00EB7413" w:rsidRPr="00EB7413" w:rsidP="00EB7413" w14:paraId="415A3A57" w14:textId="3D82003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Although the mandatory reporting of greenhouse gases rule has some overlap with the </w:t>
      </w:r>
      <w:r w:rsidR="0098536E">
        <w:t xml:space="preserve">Annual </w:t>
      </w:r>
      <w:r>
        <w:t>MECS</w:t>
      </w:r>
      <w:r w:rsidR="00D731D7">
        <w:t>,</w:t>
      </w:r>
      <w:r>
        <w:t xml:space="preserve"> it is small and hard to know in advance which establishments or facilities overlap. </w:t>
      </w:r>
      <w:r w:rsidR="0098536E">
        <w:t>The first</w:t>
      </w:r>
      <w:r>
        <w:t xml:space="preserve"> difference is definitional in the level of reporting. The </w:t>
      </w:r>
      <w:r w:rsidR="0098536E">
        <w:t xml:space="preserve">Annual </w:t>
      </w:r>
      <w:r>
        <w:t>MECS is an establishment survey; however, according to the rule, the level of reporting for EPA is at the facility level. “Facilities” may or may not align exactly with the Census/</w:t>
      </w:r>
      <w:r w:rsidR="0098536E">
        <w:t xml:space="preserve">Annual </w:t>
      </w:r>
      <w:r>
        <w:t xml:space="preserve">MECS definition of the “establishment”. Also, as mentioned above, the rule requires only the largest and most energy/carbon-intensive facilities to report their emissions presumably excluding all others. Alternatively, the </w:t>
      </w:r>
      <w:r w:rsidR="0098536E">
        <w:t xml:space="preserve">Annual </w:t>
      </w:r>
      <w:r>
        <w:t>MECS is a sample survey that includes small, medium, and large U.S. manufacturing establishments</w:t>
      </w:r>
      <w:r w:rsidR="00307C0B">
        <w:t xml:space="preserve"> in the most energy-intensive industries</w:t>
      </w:r>
      <w:r w:rsidR="00045391">
        <w:t xml:space="preserve">, capturing </w:t>
      </w:r>
      <w:r w:rsidR="00307C0B">
        <w:t>about 85%</w:t>
      </w:r>
      <w:r w:rsidR="00045391">
        <w:t xml:space="preserve"> of total US manufacturing </w:t>
      </w:r>
      <w:r w:rsidR="00307C0B">
        <w:t>energy consumption</w:t>
      </w:r>
      <w:r w:rsidR="00045391">
        <w:t xml:space="preserve">.  </w:t>
      </w:r>
    </w:p>
    <w:p w:rsidR="00EB7413" w:rsidRPr="00EB7413" w:rsidP="00EB7413" w14:paraId="3D7CF153" w14:textId="64C1692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EB7413">
        <w:t xml:space="preserve">As both the </w:t>
      </w:r>
      <w:r w:rsidR="0098536E">
        <w:t xml:space="preserve">Annual </w:t>
      </w:r>
      <w:r w:rsidRPr="00EB7413">
        <w:t>MECS and the EPA rule</w:t>
      </w:r>
      <w:r w:rsidR="00045391">
        <w:t>s</w:t>
      </w:r>
      <w:r w:rsidRPr="00EB7413">
        <w:t xml:space="preserve"> have respondents assemble and collect energy consumption data albeit for different purposes, there is some duplication for some subsets of the manufacturing population. However, this duplication is necessary for the </w:t>
      </w:r>
      <w:r w:rsidR="0098536E">
        <w:t xml:space="preserve">Annual </w:t>
      </w:r>
      <w:r w:rsidRPr="00EB7413">
        <w:t xml:space="preserve">MECS to fulfill its mission of providing not only energy consumption data, but also data on energy </w:t>
      </w:r>
      <w:r w:rsidR="0098536E">
        <w:t xml:space="preserve">prices and </w:t>
      </w:r>
      <w:r w:rsidRPr="00EB7413">
        <w:t>expenditures</w:t>
      </w:r>
      <w:r w:rsidR="0098536E">
        <w:t>.</w:t>
      </w:r>
      <w:r w:rsidRPr="00EB7413">
        <w:t xml:space="preserve"> </w:t>
      </w:r>
      <w:r w:rsidRPr="00EB7413" w:rsidR="00083A85">
        <w:t>All</w:t>
      </w:r>
      <w:r w:rsidRPr="00EB7413">
        <w:t xml:space="preserve"> these data sets contribute to determining manufacturing’s use of energy </w:t>
      </w:r>
      <w:r w:rsidR="00045391">
        <w:t>and</w:t>
      </w:r>
      <w:r w:rsidRPr="00EB7413" w:rsidR="00045391">
        <w:t xml:space="preserve"> </w:t>
      </w:r>
      <w:r w:rsidRPr="00EB7413">
        <w:t>also</w:t>
      </w:r>
      <w:r w:rsidRPr="00EB7413">
        <w:t xml:space="preserve"> adds to the understanding of carbon dioxide emissions. </w:t>
      </w:r>
    </w:p>
    <w:p w:rsidR="00EB7413" w:rsidRPr="00EB7413" w:rsidP="1BBDFA61" w14:paraId="7D42CF32" w14:textId="0DBB47D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bCs/>
        </w:rPr>
      </w:pPr>
      <w:r w:rsidRPr="1BBDFA61">
        <w:rPr>
          <w:b/>
          <w:bCs/>
        </w:rPr>
        <w:t xml:space="preserve"> f</w:t>
      </w:r>
      <w:r w:rsidRPr="1BBDFA61">
        <w:rPr>
          <w:b/>
          <w:bCs/>
        </w:rPr>
        <w:t>.</w:t>
      </w:r>
      <w:r w:rsidRPr="1BBDFA61" w:rsidR="7F97F6D5">
        <w:rPr>
          <w:b/>
          <w:bCs/>
        </w:rPr>
        <w:t xml:space="preserve"> </w:t>
      </w:r>
      <w:r w:rsidRPr="00EB7413">
        <w:rPr>
          <w:b/>
        </w:rPr>
        <w:tab/>
      </w:r>
      <w:r w:rsidRPr="1BBDFA61">
        <w:rPr>
          <w:b/>
          <w:bCs/>
        </w:rPr>
        <w:t>Annual</w:t>
      </w:r>
      <w:r w:rsidRPr="1BBDFA61">
        <w:rPr>
          <w:b/>
          <w:bCs/>
        </w:rPr>
        <w:t xml:space="preserve"> </w:t>
      </w:r>
      <w:r w:rsidR="00414E4B">
        <w:rPr>
          <w:b/>
          <w:bCs/>
        </w:rPr>
        <w:t>Integrated Economic Survey</w:t>
      </w:r>
      <w:r w:rsidRPr="1BBDFA61">
        <w:rPr>
          <w:b/>
          <w:bCs/>
        </w:rPr>
        <w:t xml:space="preserve"> </w:t>
      </w:r>
      <w:r w:rsidR="009727AE">
        <w:rPr>
          <w:b/>
          <w:bCs/>
        </w:rPr>
        <w:t>(MA-1000)</w:t>
      </w:r>
      <w:r w:rsidR="00A86B92">
        <w:rPr>
          <w:b/>
          <w:bCs/>
        </w:rPr>
        <w:t xml:space="preserve"> </w:t>
      </w:r>
      <w:r w:rsidRPr="1BBDFA61">
        <w:rPr>
          <w:b/>
          <w:bCs/>
        </w:rPr>
        <w:t>(OMB No. 0607-</w:t>
      </w:r>
      <w:r w:rsidR="00414E4B">
        <w:rPr>
          <w:b/>
          <w:bCs/>
        </w:rPr>
        <w:t>1024</w:t>
      </w:r>
      <w:r w:rsidRPr="1BBDFA61">
        <w:rPr>
          <w:b/>
          <w:bCs/>
        </w:rPr>
        <w:t>)</w:t>
      </w:r>
    </w:p>
    <w:p w:rsidR="00EB7413" w:rsidRPr="00EB7413" w:rsidP="00EB7413" w14:paraId="0713AD66" w14:textId="3D2F3C2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EB7413">
        <w:t>The</w:t>
      </w:r>
      <w:r w:rsidRPr="00653925" w:rsidR="00653925">
        <w:t xml:space="preserve"> Annual Integrated Economic Survey</w:t>
      </w:r>
      <w:r w:rsidRPr="00EB7413">
        <w:t xml:space="preserve"> </w:t>
      </w:r>
      <w:r w:rsidR="00653925">
        <w:t>(</w:t>
      </w:r>
      <w:r w:rsidR="00F15677">
        <w:t>AIES</w:t>
      </w:r>
      <w:r w:rsidR="00653925">
        <w:t>)</w:t>
      </w:r>
      <w:r w:rsidR="00F15677">
        <w:t xml:space="preserve"> </w:t>
      </w:r>
      <w:r w:rsidRPr="00EB7413">
        <w:t>is an economic survey that collects information on such characteristics as employment, payroll, value of shipments, capital expenditures, and value added by manufacturing. As such, the A</w:t>
      </w:r>
      <w:r w:rsidR="00414E4B">
        <w:t>IES</w:t>
      </w:r>
      <w:r w:rsidRPr="00EB7413">
        <w:t xml:space="preserve"> collects limited energy data. The relationship of the </w:t>
      </w:r>
      <w:r w:rsidR="00414E4B">
        <w:t>AIES’s</w:t>
      </w:r>
      <w:r w:rsidRPr="00EB7413">
        <w:t xml:space="preserve"> energy data to the </w:t>
      </w:r>
      <w:r w:rsidR="00414E4B">
        <w:t xml:space="preserve">Annual </w:t>
      </w:r>
      <w:r w:rsidRPr="00EB7413">
        <w:t xml:space="preserve">MECS program is discussed below. </w:t>
      </w:r>
    </w:p>
    <w:p w:rsidR="00EB7413" w:rsidRPr="00EB7413" w:rsidP="00EB7413" w14:paraId="18EFDBD4" w14:textId="39EF416A">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EB7413">
        <w:t>Cost of Fuels--The A</w:t>
      </w:r>
      <w:r w:rsidR="00414E4B">
        <w:t>IES</w:t>
      </w:r>
      <w:r w:rsidRPr="00EB7413">
        <w:t xml:space="preserve"> collects data on total costs for all purchased fuels. The </w:t>
      </w:r>
      <w:r w:rsidR="00414E4B">
        <w:t xml:space="preserve">Annual </w:t>
      </w:r>
      <w:r w:rsidRPr="00EB7413">
        <w:t>MECS, on the other hand, collects data on the cost for each separate fuel.</w:t>
      </w:r>
    </w:p>
    <w:p w:rsidR="0090033F" w:rsidP="0090033F" w14:paraId="5B2518C7" w14:textId="77777777">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EB7413">
        <w:t>Cost and Quantity of Purchased Electricity</w:t>
      </w:r>
      <w:r>
        <w:t xml:space="preserve">—The </w:t>
      </w:r>
      <w:r w:rsidRPr="00EB7413" w:rsidR="000812DC">
        <w:t>AIES</w:t>
      </w:r>
      <w:r w:rsidR="000812DC">
        <w:t xml:space="preserve"> </w:t>
      </w:r>
      <w:r w:rsidRPr="00EB7413" w:rsidR="000812DC">
        <w:t>collects data on electricity purchases and expenditures, but it does not collect any data pertaining to electricity transfers into the establishment.</w:t>
      </w:r>
    </w:p>
    <w:p w:rsidR="00EB7413" w:rsidRPr="00EB7413" w:rsidP="0090033F" w14:paraId="44D10937" w14:textId="3207495E">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EB7413">
        <w:t xml:space="preserve">The </w:t>
      </w:r>
      <w:r w:rsidR="001019FC">
        <w:t xml:space="preserve">Annual </w:t>
      </w:r>
      <w:r w:rsidRPr="00EB7413">
        <w:t xml:space="preserve">MECS collects purchases and transfers separately, including </w:t>
      </w:r>
      <w:r w:rsidRPr="00EB7413">
        <w:t>expenditures</w:t>
      </w:r>
      <w:r w:rsidRPr="00EB7413">
        <w:t xml:space="preserve">. </w:t>
      </w:r>
    </w:p>
    <w:p w:rsidR="0090033F" w:rsidP="0090033F" w14:paraId="3563F39E" w14:textId="440307FD">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EB7413">
        <w:t xml:space="preserve">Electricity Sold or Transferred--The </w:t>
      </w:r>
      <w:r w:rsidR="001019FC">
        <w:t>AIES</w:t>
      </w:r>
      <w:r w:rsidRPr="00EB7413">
        <w:t xml:space="preserve"> collects data on total electricity sold or transferred to other establishments. The </w:t>
      </w:r>
      <w:r w:rsidR="001019FC">
        <w:t xml:space="preserve">Annual </w:t>
      </w:r>
      <w:r w:rsidRPr="00EB7413">
        <w:t>MECS collects and publishes these data separately.</w:t>
      </w:r>
    </w:p>
    <w:p w:rsidR="0090033F" w:rsidP="0090033F" w14:paraId="12353C0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pPr>
    </w:p>
    <w:p w:rsidR="00EB7413" w:rsidRPr="00EB7413" w:rsidP="00EB7413" w14:paraId="0032780E" w14:textId="1BBA5A7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EB7413">
        <w:t xml:space="preserve">Thus, although there is some overlap between the two surveys, the </w:t>
      </w:r>
      <w:r w:rsidR="001019FC">
        <w:t xml:space="preserve">Annual </w:t>
      </w:r>
      <w:r w:rsidRPr="00EB7413">
        <w:t>MECS provides more comprehensive energy related data needed for policy and program management analysis than the A</w:t>
      </w:r>
      <w:r w:rsidR="001019FC">
        <w:t>IES</w:t>
      </w:r>
      <w:r w:rsidRPr="00EB7413">
        <w:t xml:space="preserve">. This overlap is desirable from the point of view of increasing the reliability of the </w:t>
      </w:r>
      <w:r w:rsidR="001019FC">
        <w:t xml:space="preserve">Annual </w:t>
      </w:r>
      <w:r w:rsidRPr="00EB7413">
        <w:t xml:space="preserve">MECS. As described in Section B.3., the Census Bureau will conduct the </w:t>
      </w:r>
      <w:r w:rsidR="001019FC">
        <w:t xml:space="preserve">Annual </w:t>
      </w:r>
      <w:r w:rsidRPr="00EB7413">
        <w:t xml:space="preserve">MECS using a sample selected from the Economic Census - Manufacturing (ECM) mail frame. Editing procedures will be developed for the </w:t>
      </w:r>
      <w:r w:rsidR="001019FC">
        <w:t xml:space="preserve">Annual </w:t>
      </w:r>
      <w:r w:rsidRPr="00EB7413">
        <w:t>MECS responses that will compare the total of the disaggregated quantities on Form EIA-84</w:t>
      </w:r>
      <w:r w:rsidR="001019FC">
        <w:t>7</w:t>
      </w:r>
      <w:r w:rsidRPr="00EB7413">
        <w:t xml:space="preserve"> with the corresponding totals reported on </w:t>
      </w:r>
      <w:r w:rsidR="001019FC">
        <w:t>AIES</w:t>
      </w:r>
      <w:r w:rsidRPr="00EB7413">
        <w:t xml:space="preserve">, providing a check on respondents' errors and misreporting. Additionally, it is appropriate to have some intersection between the two questionnaires for control purposes to improve the reliability of the </w:t>
      </w:r>
      <w:r w:rsidR="00E87C03">
        <w:t xml:space="preserve">Annual </w:t>
      </w:r>
      <w:r w:rsidRPr="00EB7413">
        <w:t xml:space="preserve">MECS. This greater control would decrease non-sampling error and reduce overall respondent burden. </w:t>
      </w:r>
    </w:p>
    <w:p w:rsidR="00EB7413" w:rsidRPr="00EB7413" w:rsidP="00EB7413" w14:paraId="2B346F81" w14:textId="63A9C81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rPr>
      </w:pPr>
      <w:r w:rsidRPr="00EB7413">
        <w:rPr>
          <w:b/>
        </w:rPr>
        <w:t xml:space="preserve">g. </w:t>
      </w:r>
      <w:r w:rsidRPr="00EB7413">
        <w:rPr>
          <w:b/>
        </w:rPr>
        <w:tab/>
        <w:t xml:space="preserve">Economic Census – Manufacturing </w:t>
      </w:r>
      <w:r w:rsidR="00A86B92">
        <w:rPr>
          <w:b/>
          <w:bCs/>
        </w:rPr>
        <w:t xml:space="preserve">(MA-1000) </w:t>
      </w:r>
      <w:r w:rsidRPr="00EB7413">
        <w:rPr>
          <w:b/>
        </w:rPr>
        <w:t>(OMB No. 0607-0899)</w:t>
      </w:r>
    </w:p>
    <w:p w:rsidR="008C734C" w:rsidP="00306257" w14:paraId="45FB0818" w14:textId="127E71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EB7413">
        <w:t>The Economic Census - Manufacturing (ECM) is conducted by the Census Bureau in place of the A</w:t>
      </w:r>
      <w:r w:rsidR="00E87C03">
        <w:t>IES</w:t>
      </w:r>
      <w:r w:rsidRPr="00EB7413">
        <w:t xml:space="preserve"> for years ending in the digit "2" and the digit "7" (e.g., 2012 and 2017). The ECM, like the A</w:t>
      </w:r>
      <w:r w:rsidR="00E87C03">
        <w:t>IES</w:t>
      </w:r>
      <w:r w:rsidRPr="00EB7413">
        <w:t>, collects primarily economic data</w:t>
      </w:r>
      <w:r w:rsidR="008D6C44">
        <w:t>, including</w:t>
      </w:r>
      <w:r w:rsidRPr="00EB7413">
        <w:t xml:space="preserve"> data about material inputs. Some of those data items correspond to nonfuel or feedstock use of energy sources which are also collected by the </w:t>
      </w:r>
      <w:r w:rsidR="00F15677">
        <w:t xml:space="preserve">Annual </w:t>
      </w:r>
      <w:r w:rsidRPr="00EB7413">
        <w:t xml:space="preserve">MECS. In fact, this overlap was helpful for editing purposes in the 2002 </w:t>
      </w:r>
      <w:r w:rsidR="00DE6667">
        <w:t xml:space="preserve">and 2022 </w:t>
      </w:r>
      <w:r w:rsidRPr="00EB7413">
        <w:t xml:space="preserve">MECS. However, the </w:t>
      </w:r>
      <w:r w:rsidR="00484A60">
        <w:t xml:space="preserve">Annual </w:t>
      </w:r>
      <w:r w:rsidRPr="00EB7413">
        <w:t xml:space="preserve">MECS </w:t>
      </w:r>
      <w:r w:rsidR="00E03EEC">
        <w:t>is intended to</w:t>
      </w:r>
      <w:r w:rsidR="00484A60">
        <w:t xml:space="preserve"> be collected every year</w:t>
      </w:r>
      <w:r w:rsidR="0026272A">
        <w:t>,</w:t>
      </w:r>
      <w:r w:rsidR="00484A60">
        <w:t xml:space="preserve"> excluding </w:t>
      </w:r>
      <w:r w:rsidR="0026272A">
        <w:t>the years a traditional MECS is collected,</w:t>
      </w:r>
      <w:r w:rsidRPr="00EB7413">
        <w:t xml:space="preserve"> while the ECM is conducted every five years so in most years a one-to-one comparison is not possible. Further, not all </w:t>
      </w:r>
      <w:r w:rsidR="0026272A">
        <w:t xml:space="preserve">Annual </w:t>
      </w:r>
      <w:r w:rsidRPr="00EB7413">
        <w:t xml:space="preserve">MECS feedstock data are duplicated by the ECM, nor does the ECM collect the data for all </w:t>
      </w:r>
      <w:r w:rsidR="00E06FDF">
        <w:t>energy-intensive</w:t>
      </w:r>
      <w:r w:rsidRPr="00EB7413">
        <w:t xml:space="preserve"> industries as does the </w:t>
      </w:r>
      <w:r w:rsidR="0026272A">
        <w:t xml:space="preserve">Annual </w:t>
      </w:r>
      <w:r w:rsidRPr="00EB7413">
        <w:t xml:space="preserve">MECS. </w:t>
      </w:r>
    </w:p>
    <w:p w:rsidR="008C734C" w:rsidP="00D2080D" w14:paraId="68632270" w14:textId="77777777">
      <w:pPr>
        <w:pStyle w:val="Heading2"/>
      </w:pPr>
      <w:bookmarkStart w:id="7" w:name="_Toc229059424"/>
      <w:r>
        <w:t>A.</w:t>
      </w:r>
      <w:r w:rsidRPr="00A41763" w:rsidR="00A41763">
        <w:t xml:space="preserve">5. </w:t>
      </w:r>
      <w:r w:rsidRPr="008C734C">
        <w:t>Provisions for Reducing Burden on Small Businesses</w:t>
      </w:r>
      <w:bookmarkEnd w:id="7"/>
      <w:r w:rsidRPr="008C734C">
        <w:t xml:space="preserve"> </w:t>
      </w:r>
    </w:p>
    <w:p w:rsidR="00B05D1A" w:rsidRPr="00B05D1A" w:rsidP="00842826" w14:paraId="5991E0BD" w14:textId="7E745E11">
      <w:r w:rsidRPr="00B05D1A">
        <w:t xml:space="preserve">EIA recognizes the need to minimize the reporting burden on small businesses and designs data surveys so that small operations are not unduly affected. EIA has established reporting thresholds for </w:t>
      </w:r>
      <w:r w:rsidRPr="00B05D1A" w:rsidR="00DE6667">
        <w:t>surveys</w:t>
      </w:r>
      <w:r w:rsidRPr="00B05D1A">
        <w:t xml:space="preserve"> likely to affect small businesses. </w:t>
      </w:r>
      <w:r w:rsidRPr="00B05D1A" w:rsidR="00DE6667">
        <w:t>These thresholds</w:t>
      </w:r>
      <w:r w:rsidRPr="00B05D1A">
        <w:t xml:space="preserve"> either eliminate the reporting requirement for small businesses or limit the amount of information they are asked to supply. </w:t>
      </w:r>
    </w:p>
    <w:p w:rsidR="00B05D1A" w:rsidRPr="00B05D1A" w:rsidP="00B05D1A" w14:paraId="4C679C62" w14:textId="4A19AA17">
      <w:r w:rsidRPr="00B05D1A">
        <w:t xml:space="preserve">Because the </w:t>
      </w:r>
      <w:r w:rsidR="008520E1">
        <w:t xml:space="preserve">Annual </w:t>
      </w:r>
      <w:r w:rsidRPr="00B05D1A">
        <w:t xml:space="preserve">MECS spans the </w:t>
      </w:r>
      <w:r w:rsidR="00E06FDF">
        <w:t>energy-</w:t>
      </w:r>
      <w:r w:rsidR="008E7E75">
        <w:t xml:space="preserve">intensive </w:t>
      </w:r>
      <w:r w:rsidRPr="00B05D1A" w:rsidR="008E7E75">
        <w:t>manufacturing</w:t>
      </w:r>
      <w:r w:rsidRPr="00B05D1A">
        <w:t xml:space="preserve"> </w:t>
      </w:r>
      <w:r w:rsidR="00E06FDF">
        <w:t>sub</w:t>
      </w:r>
      <w:r w:rsidRPr="00B05D1A">
        <w:t>sector</w:t>
      </w:r>
      <w:r w:rsidR="00E06FDF">
        <w:t>s</w:t>
      </w:r>
      <w:r w:rsidRPr="00B05D1A">
        <w:t xml:space="preserve">, small establishments will be included in the sample frame out of necessity. However, the current version of the </w:t>
      </w:r>
      <w:r w:rsidR="008520E1">
        <w:t xml:space="preserve">Annual </w:t>
      </w:r>
      <w:r w:rsidRPr="00B05D1A">
        <w:t xml:space="preserve">MECS form is designed to minimize the complexity of reporting, which will help the small establishments. As mentioned above in Section A.3, by using the Internet-based electronic questionnaire, establishments </w:t>
      </w:r>
      <w:r w:rsidRPr="00B05D1A" w:rsidR="002A4477">
        <w:t>can</w:t>
      </w:r>
      <w:r w:rsidRPr="00B05D1A">
        <w:t xml:space="preserve"> customize their form and only see the data items relevant to them. This is a significant time savings over the written questionnaire. A paper version of Form EIA-84</w:t>
      </w:r>
      <w:r w:rsidR="008520E1">
        <w:t>7</w:t>
      </w:r>
      <w:r w:rsidRPr="00B05D1A">
        <w:t xml:space="preserve"> will </w:t>
      </w:r>
      <w:r w:rsidR="008520E1">
        <w:t xml:space="preserve">not be available which will reduce </w:t>
      </w:r>
      <w:r w:rsidR="008520E1">
        <w:t>response and processing/editing burden.</w:t>
      </w:r>
      <w:r w:rsidRPr="00B05D1A">
        <w:t xml:space="preserve"> Therefore, all respondents will </w:t>
      </w:r>
      <w:r w:rsidR="008520E1">
        <w:t xml:space="preserve">need </w:t>
      </w:r>
      <w:r w:rsidRPr="00B05D1A">
        <w:t xml:space="preserve">to use the Internet-based electronic questionnaire. </w:t>
      </w:r>
    </w:p>
    <w:p w:rsidR="00B05D1A" w:rsidRPr="00B05D1A" w:rsidP="00B05D1A" w14:paraId="3DE740C1" w14:textId="6CE6779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B05D1A">
        <w:t>Overall, the role of the small establishment</w:t>
      </w:r>
      <w:r w:rsidR="00CB4602">
        <w:t>s</w:t>
      </w:r>
      <w:r w:rsidRPr="00B05D1A">
        <w:t xml:space="preserve"> in the survey will be relatively minor. Under EIA's arrangement with the Census Bureau to serve as the data-collection agent for this survey, the </w:t>
      </w:r>
      <w:r w:rsidR="008520E1">
        <w:t>Annual M</w:t>
      </w:r>
      <w:r w:rsidRPr="00B05D1A">
        <w:t xml:space="preserve">ECS will be a </w:t>
      </w:r>
      <w:r w:rsidR="00096991">
        <w:t>sub-</w:t>
      </w:r>
      <w:r w:rsidRPr="00B05D1A">
        <w:t xml:space="preserve">sample of </w:t>
      </w:r>
      <w:r w:rsidR="002A4477">
        <w:t xml:space="preserve">approximately </w:t>
      </w:r>
      <w:r w:rsidR="008520E1">
        <w:t>4,500</w:t>
      </w:r>
      <w:r w:rsidRPr="00B05D1A">
        <w:t xml:space="preserve"> manufacturing establishments selected from the </w:t>
      </w:r>
      <w:r w:rsidR="00096991">
        <w:t xml:space="preserve">previous quadrennial MECS which is a sample of the </w:t>
      </w:r>
      <w:r w:rsidRPr="00B05D1A">
        <w:rPr>
          <w:color w:val="000000"/>
        </w:rPr>
        <w:t>Economic Census - Manufacturing (ECM) mail file</w:t>
      </w:r>
      <w:r w:rsidRPr="00B05D1A">
        <w:t xml:space="preserve"> and supplemented by Social Security Administration lists of new establishments. By sampling directly from the </w:t>
      </w:r>
      <w:r w:rsidR="00096991">
        <w:t xml:space="preserve">previous MECS, a sample from the </w:t>
      </w:r>
      <w:r w:rsidRPr="00B05D1A">
        <w:t xml:space="preserve">ECM </w:t>
      </w:r>
      <w:r w:rsidR="00096991">
        <w:t xml:space="preserve">frame, </w:t>
      </w:r>
      <w:r w:rsidRPr="00B05D1A">
        <w:t xml:space="preserve">rather than sub-sampling from the </w:t>
      </w:r>
      <w:r w:rsidR="008520E1">
        <w:t>AIES</w:t>
      </w:r>
      <w:r w:rsidRPr="00B05D1A">
        <w:t>, the overlap of small establishment</w:t>
      </w:r>
      <w:r w:rsidR="002A4477">
        <w:t>s</w:t>
      </w:r>
      <w:r w:rsidRPr="00B05D1A">
        <w:t xml:space="preserve"> in the </w:t>
      </w:r>
      <w:r w:rsidR="008520E1">
        <w:t xml:space="preserve">Annual </w:t>
      </w:r>
      <w:r w:rsidRPr="00B05D1A">
        <w:t xml:space="preserve">MECS and </w:t>
      </w:r>
      <w:r w:rsidR="008520E1">
        <w:t xml:space="preserve">AIES </w:t>
      </w:r>
      <w:r w:rsidRPr="00B05D1A">
        <w:t>samples is significantly reduced. The A</w:t>
      </w:r>
      <w:r w:rsidR="008520E1">
        <w:t>IES</w:t>
      </w:r>
      <w:r w:rsidRPr="00B05D1A">
        <w:t xml:space="preserve"> sample contains approximately 50,000 establishments selected from the ECM, supplemented by the Social Security Administration’s lists of new establishments, which reduces coverage error within the current sampling frame. </w:t>
      </w:r>
    </w:p>
    <w:p w:rsidR="00B05D1A" w:rsidRPr="00B05D1A" w:rsidP="00B05D1A" w14:paraId="6BAC0E31" w14:textId="00FCFA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B05D1A">
        <w:t xml:space="preserve">Establishments with fewer than approximately five employees (the actual number varies based on NAICS classification) are considered </w:t>
      </w:r>
      <w:r w:rsidRPr="00B05D1A">
        <w:t>administrative record</w:t>
      </w:r>
      <w:r w:rsidRPr="00B05D1A">
        <w:t xml:space="preserve"> establishments and are excluded from the </w:t>
      </w:r>
      <w:r w:rsidR="001E5CAB">
        <w:t xml:space="preserve">Annual </w:t>
      </w:r>
      <w:r w:rsidRPr="00B05D1A">
        <w:t xml:space="preserve">MECS population and therefore the sample. Other establishments (i.e., those having approximately 5 to 250 employees) are sampled with probabilities ranging from 0.005 to 1.000. In the </w:t>
      </w:r>
      <w:r w:rsidR="001E5CAB">
        <w:t xml:space="preserve">Annual </w:t>
      </w:r>
      <w:r w:rsidRPr="00B05D1A">
        <w:t xml:space="preserve">MECS sampling strategy, the sampled proportion of establishments that employ 100 to 250 employees is greater than the sampled </w:t>
      </w:r>
      <w:r>
        <w:t>proportion</w:t>
      </w:r>
      <w:r w:rsidRPr="00B05D1A">
        <w:t xml:space="preserve"> of establishments with fewer than 100 employees. Moreover, the sampling of establishments with fewer than 50 employees is expected to be very light. The </w:t>
      </w:r>
      <w:r w:rsidR="001E5CAB">
        <w:t xml:space="preserve">Annual </w:t>
      </w:r>
      <w:r w:rsidRPr="00B05D1A">
        <w:t xml:space="preserve">MECS sample will be selected to maximize the efficiency of the survey for estimating energy consumption. </w:t>
      </w:r>
    </w:p>
    <w:p w:rsidR="008C734C" w:rsidP="00A41763" w14:paraId="049F31CB" w14:textId="0D6A3456">
      <w:r w:rsidRPr="00B05D1A">
        <w:t>Establishments with fewer than 50 employees consume less than four percent of total purchased fuels and, in general, do not have the wide variabi</w:t>
      </w:r>
      <w:r w:rsidRPr="00B05D1A">
        <w:softHyphen/>
        <w:t xml:space="preserve">lity of consumption of the larger establishments. </w:t>
      </w:r>
      <w:r w:rsidRPr="00B05D1A" w:rsidR="00B97329">
        <w:t>Therefore</w:t>
      </w:r>
      <w:r w:rsidRPr="00B05D1A">
        <w:t xml:space="preserve">, the proportion of smaller establishments selected for the </w:t>
      </w:r>
      <w:r w:rsidR="00651E4C">
        <w:t xml:space="preserve">Annual </w:t>
      </w:r>
      <w:r w:rsidRPr="00B05D1A">
        <w:t xml:space="preserve">MECS is designed to be quite low. However, small </w:t>
      </w:r>
      <w:r w:rsidRPr="00B05D1A" w:rsidR="00F204C5">
        <w:t>establishments</w:t>
      </w:r>
      <w:r w:rsidRPr="00B05D1A">
        <w:t xml:space="preserve"> are eligible, which allows the sample to represent the population of manufacturing establishments, excluding those with five or fewer employees</w:t>
      </w:r>
      <w:r>
        <w:t>.</w:t>
      </w:r>
    </w:p>
    <w:p w:rsidR="008C734C" w:rsidP="00D2080D" w14:paraId="63B79B0D" w14:textId="31B3EF90">
      <w:pPr>
        <w:pStyle w:val="Heading2"/>
      </w:pPr>
      <w:bookmarkStart w:id="8" w:name="_Toc229059425"/>
      <w:r>
        <w:t>A.</w:t>
      </w:r>
      <w:r w:rsidRPr="00A41763" w:rsidR="00A41763">
        <w:t xml:space="preserve">6. </w:t>
      </w:r>
      <w:r w:rsidRPr="008C734C">
        <w:t xml:space="preserve">Consequences of </w:t>
      </w:r>
      <w:r w:rsidRPr="008C734C">
        <w:t>Less-Frequent</w:t>
      </w:r>
      <w:r w:rsidRPr="008C734C">
        <w:t xml:space="preserve"> Reporting</w:t>
      </w:r>
      <w:bookmarkEnd w:id="8"/>
    </w:p>
    <w:p w:rsidR="00B05D1A" w:rsidRPr="00B05D1A" w:rsidP="00B05D1A" w14:paraId="3742F333" w14:textId="05486F4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B05D1A">
        <w:t xml:space="preserve">The MECS had a statutory requirement to be a biennial survey and was a triennial survey, providing data for 1985, 1988, 1991, and 1994, before switching to a quadrennial schedule because of budget considerations. The current statutory requirement is for the MECS to be a </w:t>
      </w:r>
      <w:r w:rsidR="005774B8">
        <w:t xml:space="preserve">quadrennial </w:t>
      </w:r>
      <w:r w:rsidRPr="00B05D1A">
        <w:t>survey with the option to conduct the survey more frequently</w:t>
      </w:r>
      <w:r w:rsidR="00651E4C">
        <w:t xml:space="preserve">, and EIA is exercising that option to collect </w:t>
      </w:r>
      <w:r w:rsidR="001B1045">
        <w:t xml:space="preserve">some </w:t>
      </w:r>
      <w:r w:rsidR="00651E4C">
        <w:t>data annually</w:t>
      </w:r>
      <w:r w:rsidRPr="00B05D1A">
        <w:t>.</w:t>
      </w:r>
    </w:p>
    <w:p w:rsidR="008C734C" w:rsidP="00A41763" w14:paraId="53128261" w14:textId="15623DDC">
      <w:r>
        <w:t xml:space="preserve">The manufacturing sector is constantly evolving, in part, because of technological advancements. The increased monitoring of manufacturing energy demand is essential in keeping pace with the changing manufacturing trends. Major shifts in energy demand, especially in the manufacturing sector, are tied to both profitability and </w:t>
      </w:r>
      <w:r>
        <w:t>expenditures</w:t>
      </w:r>
      <w:r>
        <w:t xml:space="preserve"> for capital equipment--and both require medium- to long-term planning processes. </w:t>
      </w:r>
      <w:r w:rsidR="00590ACE">
        <w:t>An annual cycle would give EIA the ability</w:t>
      </w:r>
      <w:r>
        <w:t xml:space="preserve"> to monitor these major shifts in manufacturing energy demand </w:t>
      </w:r>
      <w:r w:rsidR="00590ACE">
        <w:t xml:space="preserve">more </w:t>
      </w:r>
      <w:r>
        <w:t xml:space="preserve">accurately. </w:t>
      </w:r>
    </w:p>
    <w:p w:rsidR="008C734C" w:rsidP="00D2080D" w14:paraId="0B97654D" w14:textId="77777777">
      <w:pPr>
        <w:pStyle w:val="Heading2"/>
      </w:pPr>
      <w:bookmarkStart w:id="9" w:name="_Toc229059426"/>
      <w:r>
        <w:t>A.</w:t>
      </w:r>
      <w:r w:rsidRPr="00A41763" w:rsidR="00A41763">
        <w:t xml:space="preserve">7. </w:t>
      </w:r>
      <w:r w:rsidRPr="008C734C">
        <w:t>Compliance with 5 CFR 1320.5</w:t>
      </w:r>
      <w:bookmarkEnd w:id="9"/>
    </w:p>
    <w:p w:rsidR="008C734C" w:rsidP="00842826" w14:paraId="62486C05" w14:textId="38274ABD">
      <w:pPr>
        <w:rPr>
          <w:szCs w:val="24"/>
        </w:rPr>
      </w:pPr>
      <w:r w:rsidRPr="00B05D1A">
        <w:rPr>
          <w:szCs w:val="24"/>
        </w:rPr>
        <w:t>Form</w:t>
      </w:r>
      <w:r w:rsidRPr="00B05D1A">
        <w:rPr>
          <w:szCs w:val="24"/>
        </w:rPr>
        <w:t xml:space="preserve"> EIA-84</w:t>
      </w:r>
      <w:r w:rsidR="002D6006">
        <w:rPr>
          <w:szCs w:val="24"/>
        </w:rPr>
        <w:t>7</w:t>
      </w:r>
      <w:r w:rsidRPr="00B05D1A">
        <w:rPr>
          <w:szCs w:val="24"/>
        </w:rPr>
        <w:t xml:space="preserve"> data collection </w:t>
      </w:r>
      <w:r w:rsidRPr="00B05D1A">
        <w:rPr>
          <w:szCs w:val="24"/>
        </w:rPr>
        <w:t>is in compliance with</w:t>
      </w:r>
      <w:r w:rsidRPr="00B05D1A">
        <w:rPr>
          <w:szCs w:val="24"/>
        </w:rPr>
        <w:t xml:space="preserve"> the guidelines in CFR 1320.5.</w:t>
      </w:r>
    </w:p>
    <w:p w:rsidR="008C734C" w:rsidP="00D2080D" w14:paraId="52C6E1F5" w14:textId="26FC4624">
      <w:pPr>
        <w:pStyle w:val="Heading2"/>
      </w:pPr>
      <w:bookmarkStart w:id="10" w:name="_Toc229059427"/>
      <w:r>
        <w:t>A.</w:t>
      </w:r>
      <w:r w:rsidRPr="00A41763" w:rsidR="00A41763">
        <w:t xml:space="preserve">8. </w:t>
      </w:r>
      <w:r w:rsidRPr="008C734C">
        <w:t>Summary of Consultations Outside of the Agency</w:t>
      </w:r>
      <w:bookmarkEnd w:id="10"/>
    </w:p>
    <w:p w:rsidR="00961398" w:rsidRPr="006937FC" w:rsidP="39E8EABA" w14:paraId="66A3A96D" w14:textId="777D10D4">
      <w:pPr>
        <w:rPr>
          <w:color w:val="000000" w:themeColor="text1"/>
        </w:rPr>
      </w:pPr>
      <w:r w:rsidRPr="0069594D">
        <w:rPr>
          <w:color w:val="000000" w:themeColor="text1"/>
        </w:rPr>
        <w:t xml:space="preserve">On </w:t>
      </w:r>
      <w:r w:rsidRPr="0069594D" w:rsidR="00A60394">
        <w:rPr>
          <w:color w:val="000000" w:themeColor="text1"/>
        </w:rPr>
        <w:t>February 9, 2026</w:t>
      </w:r>
      <w:r w:rsidRPr="0069594D">
        <w:rPr>
          <w:color w:val="000000" w:themeColor="text1"/>
        </w:rPr>
        <w:t xml:space="preserve">, </w:t>
      </w:r>
      <w:r w:rsidRPr="0069594D" w:rsidR="0554F75A">
        <w:rPr>
          <w:color w:val="000000" w:themeColor="text1"/>
        </w:rPr>
        <w:t>EIA invited the public to comment on extending the collection of data related to manufacturing energy use by publishing</w:t>
      </w:r>
      <w:r w:rsidRPr="0069594D" w:rsidR="4B7ECEBE">
        <w:rPr>
          <w:color w:val="000000" w:themeColor="text1"/>
        </w:rPr>
        <w:t xml:space="preserve"> a 60-day Federal Register </w:t>
      </w:r>
      <w:r w:rsidRPr="0069594D" w:rsidR="1BDE3360">
        <w:rPr>
          <w:color w:val="000000" w:themeColor="text1"/>
        </w:rPr>
        <w:t xml:space="preserve">Notice </w:t>
      </w:r>
      <w:r w:rsidRPr="0069594D" w:rsidR="6A81A04B">
        <w:rPr>
          <w:rFonts w:ascii="Calibri" w:eastAsia="Calibri" w:hAnsi="Calibri" w:cs="Calibri"/>
          <w:color w:val="000000" w:themeColor="text1"/>
        </w:rPr>
        <w:t xml:space="preserve">(Vol. </w:t>
      </w:r>
      <w:r w:rsidRPr="0069594D" w:rsidR="00A60394">
        <w:rPr>
          <w:rFonts w:ascii="Calibri" w:eastAsia="Calibri" w:hAnsi="Calibri" w:cs="Calibri"/>
          <w:color w:val="000000" w:themeColor="text1"/>
        </w:rPr>
        <w:t>91</w:t>
      </w:r>
      <w:r w:rsidRPr="0069594D" w:rsidR="6A81A04B">
        <w:rPr>
          <w:rFonts w:ascii="Calibri" w:eastAsia="Calibri" w:hAnsi="Calibri" w:cs="Calibri"/>
          <w:color w:val="000000" w:themeColor="text1"/>
        </w:rPr>
        <w:t xml:space="preserve">, No. </w:t>
      </w:r>
      <w:r w:rsidRPr="0069594D" w:rsidR="0069594D">
        <w:rPr>
          <w:rFonts w:ascii="Calibri" w:eastAsia="Calibri" w:hAnsi="Calibri" w:cs="Calibri"/>
          <w:color w:val="000000" w:themeColor="text1"/>
        </w:rPr>
        <w:t>26</w:t>
      </w:r>
      <w:r w:rsidRPr="0069594D" w:rsidR="6A81A04B">
        <w:rPr>
          <w:rFonts w:ascii="Calibri" w:eastAsia="Calibri" w:hAnsi="Calibri" w:cs="Calibri"/>
          <w:color w:val="000000" w:themeColor="text1"/>
        </w:rPr>
        <w:t xml:space="preserve">, pp. </w:t>
      </w:r>
      <w:r w:rsidRPr="0069594D" w:rsidR="0069594D">
        <w:rPr>
          <w:rFonts w:ascii="Calibri" w:eastAsia="Calibri" w:hAnsi="Calibri" w:cs="Calibri"/>
          <w:color w:val="000000" w:themeColor="text1"/>
        </w:rPr>
        <w:t>5756</w:t>
      </w:r>
      <w:r w:rsidRPr="0069594D" w:rsidR="6A81A04B">
        <w:rPr>
          <w:rFonts w:ascii="Calibri" w:eastAsia="Calibri" w:hAnsi="Calibri" w:cs="Calibri"/>
          <w:color w:val="000000" w:themeColor="text1"/>
        </w:rPr>
        <w:t xml:space="preserve">, FR Doc. </w:t>
      </w:r>
      <w:r w:rsidRPr="0069594D" w:rsidR="0069594D">
        <w:rPr>
          <w:rFonts w:ascii="Calibri" w:eastAsia="Calibri" w:hAnsi="Calibri" w:cs="Calibri"/>
          <w:color w:val="000000" w:themeColor="text1"/>
        </w:rPr>
        <w:t>2026–02536</w:t>
      </w:r>
      <w:r w:rsidRPr="0069594D" w:rsidR="6A81A04B">
        <w:rPr>
          <w:rFonts w:ascii="Calibri" w:eastAsia="Calibri" w:hAnsi="Calibri" w:cs="Calibri"/>
          <w:color w:val="000000" w:themeColor="text1"/>
        </w:rPr>
        <w:t>)</w:t>
      </w:r>
      <w:r w:rsidRPr="0069594D">
        <w:rPr>
          <w:color w:val="000000" w:themeColor="text1"/>
        </w:rPr>
        <w:t>.</w:t>
      </w:r>
    </w:p>
    <w:p w:rsidR="00B548EC" w:rsidRPr="00B548EC" w:rsidP="00B548EC" w14:paraId="7DBCDF5D" w14:textId="66831F46">
      <w:r w:rsidRPr="00A60394">
        <w:t>The 60-day Federal Register Notice proposed</w:t>
      </w:r>
      <w:r w:rsidRPr="00B548EC">
        <w:t xml:space="preserve"> initiat</w:t>
      </w:r>
      <w:r>
        <w:t>ing</w:t>
      </w:r>
      <w:r w:rsidRPr="00B548EC">
        <w:t xml:space="preserve"> a narrower but more frequent data collection, the Annual Manufacturing Energy Consumption Survey, Form EIA-847</w:t>
      </w:r>
      <w:r>
        <w:t>, g</w:t>
      </w:r>
      <w:r w:rsidRPr="00B548EC">
        <w:t>iven the rapidly evolving energy-intensive economic landscape.</w:t>
      </w:r>
      <w:r>
        <w:t xml:space="preserve"> </w:t>
      </w:r>
      <w:r w:rsidRPr="00B548EC">
        <w:t>This new form would supplement the quadrennial collection with a subset of data covering the intervening years. EIA could initiate collection under Form EIA-847 as early as 2026 for the 2025 reference year. EIA is not currently proposing any changes to Form EIA-84</w:t>
      </w:r>
      <w:r w:rsidR="00A63805">
        <w:t>6</w:t>
      </w:r>
      <w:r w:rsidRPr="00B548EC">
        <w:t xml:space="preserve">, which would continue to be administered in support of EIA’s National Energy Modeling System (NEMS) industrial models. The purpose of Form EIA-847 would be to collect the minimal data required to update NEMS each year. </w:t>
      </w:r>
    </w:p>
    <w:p w:rsidR="00B548EC" w:rsidRPr="00B548EC" w:rsidP="00B548EC" w14:paraId="51D1DF81" w14:textId="168592BA">
      <w:r w:rsidRPr="00B548EC">
        <w:t>Form</w:t>
      </w:r>
      <w:r w:rsidRPr="00B548EC">
        <w:t xml:space="preserve"> EIA-</w:t>
      </w:r>
      <w:r w:rsidRPr="00B548EC">
        <w:t>847</w:t>
      </w:r>
      <w:r w:rsidRPr="00B548EC">
        <w:t xml:space="preserve"> will be a self-administered sample survey of a subset of the manufacturing sector. Specifically, </w:t>
      </w:r>
      <w:bookmarkStart w:id="11" w:name="_Hlk220928063"/>
      <w:r w:rsidRPr="00B548EC">
        <w:t xml:space="preserve">EIA proposes to limit this subset to sector codes 31-33 of the North American Industry Classification System (NAICS). The information from this survey will be used to produce aggregate statistics on the energy consumption of the manufacturing sector, including energy purchases, expenditures, transfers in and shipments out, onsite generation and both fuel and nonfuel use of five widely used energy sources. </w:t>
      </w:r>
      <w:bookmarkEnd w:id="11"/>
      <w:r w:rsidRPr="00B548EC">
        <w:t>To maintain an updated NEMS each year, Form EIA-847 will also be used to update the historical industrial energy consumption benchmark.</w:t>
      </w:r>
    </w:p>
    <w:p w:rsidR="00B548EC" w:rsidRPr="00B548EC" w:rsidP="00B548EC" w14:paraId="7B784747" w14:textId="1D5AA8AA">
      <w:r w:rsidRPr="00B548EC">
        <w:t>Form EIA-847, consisting of approximately 60 questions, will have a significantly reduced response burden compared to Form EIA-846, which consists of more than 250 questions. To keep the response burden as low as possible, EIA proposes a reduced sample size and only collecting data through Centurion, an electronic-collection platform. This method will allow respondents to choose which questions are pertinent to a specific establishment and will improve data editing and processing times overall.</w:t>
      </w:r>
    </w:p>
    <w:p w:rsidR="00A63805" w:rsidP="00E63D2B" w14:paraId="5F4E0680" w14:textId="7777777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Calibri" w:eastAsia="Calibri" w:hAnsi="Calibri" w:cs="Calibri"/>
        </w:rPr>
      </w:pPr>
      <w:r w:rsidRPr="00AD3984">
        <w:rPr>
          <w:rFonts w:ascii="Calibri" w:eastAsia="Calibri" w:hAnsi="Calibri" w:cs="Calibri"/>
        </w:rPr>
        <w:t xml:space="preserve">Further, EIA </w:t>
      </w:r>
      <w:r w:rsidRPr="00AD3984" w:rsidR="00AD3984">
        <w:rPr>
          <w:rFonts w:ascii="Calibri" w:eastAsia="Calibri" w:hAnsi="Calibri" w:cs="Calibri"/>
        </w:rPr>
        <w:t xml:space="preserve">did not </w:t>
      </w:r>
      <w:r w:rsidRPr="00AD3984">
        <w:rPr>
          <w:rFonts w:ascii="Calibri" w:eastAsia="Calibri" w:hAnsi="Calibri" w:cs="Calibri"/>
        </w:rPr>
        <w:t xml:space="preserve">receive </w:t>
      </w:r>
      <w:r w:rsidRPr="00AD3984" w:rsidR="00AD3984">
        <w:rPr>
          <w:rFonts w:ascii="Calibri" w:eastAsia="Calibri" w:hAnsi="Calibri" w:cs="Calibri"/>
        </w:rPr>
        <w:t xml:space="preserve">any </w:t>
      </w:r>
      <w:r w:rsidRPr="00AD3984">
        <w:rPr>
          <w:rFonts w:ascii="Calibri" w:eastAsia="Calibri" w:hAnsi="Calibri" w:cs="Calibri"/>
        </w:rPr>
        <w:t>response</w:t>
      </w:r>
      <w:r w:rsidRPr="00AD3984" w:rsidR="00AD3984">
        <w:rPr>
          <w:rFonts w:ascii="Calibri" w:eastAsia="Calibri" w:hAnsi="Calibri" w:cs="Calibri"/>
        </w:rPr>
        <w:t>s</w:t>
      </w:r>
      <w:r w:rsidRPr="00AD3984">
        <w:rPr>
          <w:rFonts w:ascii="Calibri" w:eastAsia="Calibri" w:hAnsi="Calibri" w:cs="Calibri"/>
        </w:rPr>
        <w:t xml:space="preserve"> to the 60-day </w:t>
      </w:r>
      <w:r w:rsidRPr="00AD3984">
        <w:rPr>
          <w:rFonts w:ascii="Calibri" w:eastAsia="Calibri" w:hAnsi="Calibri" w:cs="Calibri"/>
          <w:i/>
          <w:iCs/>
        </w:rPr>
        <w:t>Federal Register</w:t>
      </w:r>
      <w:r w:rsidRPr="00AD3984">
        <w:rPr>
          <w:rFonts w:ascii="Calibri" w:eastAsia="Calibri" w:hAnsi="Calibri" w:cs="Calibri"/>
        </w:rPr>
        <w:t xml:space="preserve"> notice.</w:t>
      </w:r>
      <w:r w:rsidR="00E63D2B">
        <w:rPr>
          <w:rFonts w:ascii="Calibri" w:eastAsia="Calibri" w:hAnsi="Calibri" w:cs="Calibri"/>
        </w:rPr>
        <w:t xml:space="preserve"> </w:t>
      </w:r>
    </w:p>
    <w:p w:rsidR="00A41763" w:rsidRPr="006937FC" w:rsidP="00E63D2B" w14:paraId="08D5D2C6" w14:textId="39FB449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color w:val="000000" w:themeColor="text1"/>
        </w:rPr>
      </w:pPr>
      <w:r w:rsidRPr="00A841EE">
        <w:rPr>
          <w:color w:val="000000" w:themeColor="text1"/>
        </w:rPr>
        <w:t xml:space="preserve">The 30-day Federal Register </w:t>
      </w:r>
      <w:r w:rsidRPr="00A841EE" w:rsidR="007100B8">
        <w:rPr>
          <w:color w:val="000000" w:themeColor="text1"/>
        </w:rPr>
        <w:t>N</w:t>
      </w:r>
      <w:r w:rsidRPr="00A841EE">
        <w:rPr>
          <w:color w:val="000000" w:themeColor="text1"/>
        </w:rPr>
        <w:t>otice</w:t>
      </w:r>
      <w:r w:rsidRPr="00A841EE" w:rsidR="007100B8">
        <w:rPr>
          <w:color w:val="000000" w:themeColor="text1"/>
        </w:rPr>
        <w:t xml:space="preserve"> </w:t>
      </w:r>
      <w:r w:rsidRPr="0000397C" w:rsidR="0000397C">
        <w:rPr>
          <w:color w:val="000000" w:themeColor="text1"/>
        </w:rPr>
        <w:t>91 FR 24215, Doc. 2026-08723</w:t>
      </w:r>
      <w:r w:rsidRPr="00A841EE" w:rsidR="0000397C">
        <w:rPr>
          <w:color w:val="000000" w:themeColor="text1"/>
        </w:rPr>
        <w:t xml:space="preserve"> </w:t>
      </w:r>
      <w:r w:rsidRPr="00A841EE">
        <w:rPr>
          <w:color w:val="000000" w:themeColor="text1"/>
        </w:rPr>
        <w:t xml:space="preserve">was published on </w:t>
      </w:r>
      <w:r w:rsidRPr="00BF246F" w:rsidR="00BF246F">
        <w:rPr>
          <w:color w:val="000000" w:themeColor="text1"/>
        </w:rPr>
        <w:t xml:space="preserve">May 5th, </w:t>
      </w:r>
      <w:r w:rsidRPr="00BF246F" w:rsidR="004D05C7">
        <w:rPr>
          <w:color w:val="000000" w:themeColor="text1"/>
        </w:rPr>
        <w:t>2026,</w:t>
      </w:r>
      <w:r w:rsidRPr="00BF246F" w:rsidR="00BF246F">
        <w:rPr>
          <w:color w:val="000000" w:themeColor="text1"/>
        </w:rPr>
        <w:t xml:space="preserve"> </w:t>
      </w:r>
      <w:r w:rsidRPr="00A841EE">
        <w:rPr>
          <w:color w:val="000000" w:themeColor="text1"/>
        </w:rPr>
        <w:t>announcing the submission of this information collection request to OMB.</w:t>
      </w:r>
    </w:p>
    <w:p w:rsidR="008C734C" w:rsidP="00D2080D" w14:paraId="4FD649CF" w14:textId="77777777">
      <w:pPr>
        <w:pStyle w:val="Heading2"/>
      </w:pPr>
      <w:bookmarkStart w:id="12" w:name="_Toc229059428"/>
      <w:r>
        <w:t>A.</w:t>
      </w:r>
      <w:r w:rsidRPr="00A41763" w:rsidR="00A41763">
        <w:t xml:space="preserve">9. </w:t>
      </w:r>
      <w:r w:rsidRPr="008C734C">
        <w:t>Payments or Gifts to Respondents</w:t>
      </w:r>
      <w:bookmarkEnd w:id="12"/>
      <w:r w:rsidRPr="008C734C">
        <w:t xml:space="preserve"> </w:t>
      </w:r>
    </w:p>
    <w:p w:rsidR="00A41763" w:rsidRPr="00A41763" w:rsidP="00A41763" w14:paraId="683CC333" w14:textId="0788AC3C">
      <w:r>
        <w:t xml:space="preserve">There will be no </w:t>
      </w:r>
      <w:r w:rsidRPr="00834DEF">
        <w:t xml:space="preserve">gifts </w:t>
      </w:r>
      <w:r>
        <w:t xml:space="preserve">or payments </w:t>
      </w:r>
      <w:r w:rsidRPr="00834DEF">
        <w:t xml:space="preserve">given to respondents </w:t>
      </w:r>
      <w:r>
        <w:t xml:space="preserve">as an incentive </w:t>
      </w:r>
      <w:r w:rsidRPr="00834DEF">
        <w:t>for completing Form EIA-8</w:t>
      </w:r>
      <w:r>
        <w:t>4</w:t>
      </w:r>
      <w:r w:rsidR="009727AE">
        <w:t>7</w:t>
      </w:r>
      <w:r w:rsidRPr="00834DEF">
        <w:t>.</w:t>
      </w:r>
    </w:p>
    <w:p w:rsidR="008C734C" w:rsidP="00D2080D" w14:paraId="5BD317D7" w14:textId="77777777">
      <w:pPr>
        <w:pStyle w:val="Heading2"/>
      </w:pPr>
      <w:bookmarkStart w:id="13" w:name="_Toc229059429"/>
      <w:r>
        <w:t>A.</w:t>
      </w:r>
      <w:r w:rsidRPr="00A41763" w:rsidR="00A41763">
        <w:t xml:space="preserve">10. </w:t>
      </w:r>
      <w:r w:rsidRPr="008C734C">
        <w:t>Provisions for Protection of Information</w:t>
      </w:r>
      <w:bookmarkEnd w:id="13"/>
      <w:r w:rsidRPr="008C734C">
        <w:t xml:space="preserve"> </w:t>
      </w:r>
    </w:p>
    <w:p w:rsidR="00794460" w:rsidRPr="00794460" w:rsidP="00794460" w14:paraId="1DE10736" w14:textId="156DD2C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794460">
        <w:t xml:space="preserve">The </w:t>
      </w:r>
      <w:r w:rsidR="00651E4C">
        <w:t xml:space="preserve">Annual </w:t>
      </w:r>
      <w:r w:rsidRPr="00794460">
        <w:t xml:space="preserve">MECS will be conducted by the Special Reimbursement Survey Branch within the Economic Reimbursable Division of the Census Bureau, as EIA's collection agent. The survey, authorized by the data-collection mandate of DOE, will be conducted according to the confidentiality provisions of the </w:t>
      </w:r>
      <w:r w:rsidRPr="00794460">
        <w:t xml:space="preserve">Census Bureau as specified in 13 U.S.C. § 9. This law requires, (1) the information furnished under the provisions of this title may not be used for any purpose other than the statistical purposes for which it is supplied; </w:t>
      </w:r>
      <w:bookmarkStart w:id="14" w:name="a_2"/>
      <w:bookmarkEnd w:id="14"/>
      <w:r w:rsidRPr="00794460">
        <w:t xml:space="preserve">(2) the agency to protect the identifiability of the reported information; and (3) restricts access to the information to sworn officers and employees of the Census Bureau. </w:t>
      </w:r>
      <w:bookmarkStart w:id="15" w:name="a_3"/>
      <w:bookmarkEnd w:id="15"/>
    </w:p>
    <w:p w:rsidR="00F056C3" w:rsidRPr="003407AA" w:rsidP="00A41763" w14:paraId="1299C43A" w14:textId="39273201">
      <w:r w:rsidRPr="00794460">
        <w:t>The respondents will be informed of both the confidentia</w:t>
      </w:r>
      <w:r w:rsidRPr="00794460">
        <w:softHyphen/>
        <w:t xml:space="preserve">lity provisions and the mandatory nature of the survey on the first page of the questionnaire, in the instructions, and in a </w:t>
      </w:r>
      <w:r w:rsidRPr="00794460">
        <w:t>cover</w:t>
      </w:r>
      <w:r w:rsidRPr="00794460">
        <w:t xml:space="preserve"> letter cosigned by the Administrator of the EIA and the Director of the Census Bureau.</w:t>
      </w:r>
    </w:p>
    <w:p w:rsidR="00F056C3" w:rsidP="00D2080D" w14:paraId="53D3CECB" w14:textId="77777777">
      <w:pPr>
        <w:pStyle w:val="Heading2"/>
      </w:pPr>
      <w:bookmarkStart w:id="16" w:name="_Toc229059430"/>
      <w:r>
        <w:t>A.</w:t>
      </w:r>
      <w:r w:rsidRPr="00A41763" w:rsidR="00A41763">
        <w:t xml:space="preserve">11. </w:t>
      </w:r>
      <w:r w:rsidRPr="00F056C3">
        <w:t>Justification for Sensitive Questions</w:t>
      </w:r>
      <w:bookmarkEnd w:id="16"/>
      <w:r w:rsidRPr="00F056C3">
        <w:t xml:space="preserve"> </w:t>
      </w:r>
    </w:p>
    <w:p w:rsidR="00A41763" w:rsidRPr="00A41763" w:rsidP="005F433A" w14:paraId="4AEDCFB4" w14:textId="514446CF">
      <w:r>
        <w:t>No sensitive questions are asked on Form EIA-84</w:t>
      </w:r>
      <w:r w:rsidR="009727AE">
        <w:t>7</w:t>
      </w:r>
      <w:r>
        <w:t>.</w:t>
      </w:r>
    </w:p>
    <w:p w:rsidR="00F056C3" w:rsidP="00D2080D" w14:paraId="0ED11F3A" w14:textId="77777777">
      <w:pPr>
        <w:pStyle w:val="Heading2"/>
      </w:pPr>
      <w:bookmarkStart w:id="17" w:name="_Toc229059431"/>
      <w:r>
        <w:t>A.</w:t>
      </w:r>
      <w:r w:rsidRPr="00A41763" w:rsidR="00A41763">
        <w:t xml:space="preserve">12. </w:t>
      </w:r>
      <w:r w:rsidRPr="00F056C3">
        <w:t>Estimate of Respondent Burden Hours and Cost</w:t>
      </w:r>
      <w:bookmarkEnd w:id="17"/>
      <w:r w:rsidRPr="00F056C3">
        <w:t xml:space="preserve"> </w:t>
      </w:r>
    </w:p>
    <w:p w:rsidR="00564A01" w:rsidP="00E82D4C" w14:paraId="46605683" w14:textId="4F5C67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The sample size </w:t>
      </w:r>
      <w:r w:rsidR="00D246F8">
        <w:t xml:space="preserve">for the 2025 </w:t>
      </w:r>
      <w:r w:rsidR="005A27D2">
        <w:t>A</w:t>
      </w:r>
      <w:r w:rsidR="00D246F8">
        <w:t xml:space="preserve">nnual MECS </w:t>
      </w:r>
      <w:r>
        <w:t xml:space="preserve">will </w:t>
      </w:r>
      <w:r w:rsidR="00D246F8">
        <w:t xml:space="preserve">be about </w:t>
      </w:r>
      <w:r w:rsidR="005A27D2">
        <w:t>one-third</w:t>
      </w:r>
      <w:r w:rsidR="00D246F8">
        <w:t xml:space="preserve"> the size of a typical quadrennial MECS sample, about </w:t>
      </w:r>
      <w:r w:rsidR="005A27D2">
        <w:t>4</w:t>
      </w:r>
      <w:r w:rsidR="00D246F8">
        <w:t>,500 establishments. A</w:t>
      </w:r>
      <w:r>
        <w:t xml:space="preserve"> breakdown for total respondent burden is shown below. The numbers of respondents completing the form in the following table are estimates.</w:t>
      </w:r>
    </w:p>
    <w:bookmarkStart w:id="18" w:name="_MON_1569847778"/>
    <w:bookmarkEnd w:id="18"/>
    <w:p w:rsidR="009F62D1" w:rsidP="004809A1" w14:paraId="47DAE09F" w14:textId="4FBDF7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b/>
          <w:bCs/>
        </w:rPr>
      </w:pPr>
      <w:r>
        <w:rPr>
          <w:b/>
          <w:bCs/>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9.4pt;height:117pt" o:oleicon="f" o:ole="">
            <v:imagedata r:id="rId21" o:title=""/>
          </v:shape>
          <o:OLEObject Type="Embed" ProgID="Excel.Sheet.12" ShapeID="_x0000_i1030" DrawAspect="Content" ObjectID="_1839746332" r:id="rId22"/>
        </w:object>
      </w:r>
    </w:p>
    <w:p w:rsidR="00377B4B" w:rsidP="43AB5A4F" w14:paraId="7D46E943" w14:textId="17CF86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If all </w:t>
      </w:r>
      <w:r w:rsidR="009D3621">
        <w:t>4</w:t>
      </w:r>
      <w:r w:rsidR="00CB403A">
        <w:t>,500</w:t>
      </w:r>
      <w:r>
        <w:t xml:space="preserve"> establishments completed the survey as indicated above, the total burden would be </w:t>
      </w:r>
      <w:r w:rsidR="009D3621">
        <w:t>8,</w:t>
      </w:r>
      <w:r w:rsidR="00F43857">
        <w:t>484</w:t>
      </w:r>
      <w:r w:rsidR="009D3621">
        <w:t xml:space="preserve"> </w:t>
      </w:r>
      <w:r>
        <w:t xml:space="preserve">hours. Because the </w:t>
      </w:r>
      <w:r w:rsidR="00AA1EB4">
        <w:t xml:space="preserve">Annual </w:t>
      </w:r>
      <w:r>
        <w:t xml:space="preserve">MECS will collect information </w:t>
      </w:r>
      <w:r w:rsidR="00B72B9F">
        <w:t>annually</w:t>
      </w:r>
      <w:r>
        <w:t xml:space="preserve">, the average annual reporting burden is </w:t>
      </w:r>
      <w:r w:rsidR="009D3621">
        <w:t>8,</w:t>
      </w:r>
      <w:r w:rsidR="00F43857">
        <w:t>484</w:t>
      </w:r>
      <w:r>
        <w:t xml:space="preserve"> hours.</w:t>
      </w:r>
    </w:p>
    <w:p w:rsidR="00377B4B" w:rsidP="108B3B2E" w14:paraId="5726562F" w14:textId="1EA8F8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The annual cost to the respondents is estimated to be </w:t>
      </w:r>
      <w:r w:rsidRPr="006D3480">
        <w:t>$</w:t>
      </w:r>
      <w:r w:rsidR="00F8279D">
        <w:t>805,895</w:t>
      </w:r>
      <w:r w:rsidRPr="76633566">
        <w:rPr>
          <w:color w:val="FF0000"/>
        </w:rPr>
        <w:t xml:space="preserve"> </w:t>
      </w:r>
      <w:r>
        <w:t>(</w:t>
      </w:r>
      <w:r w:rsidR="009D3621">
        <w:t>8,</w:t>
      </w:r>
      <w:r w:rsidR="00F8279D">
        <w:t>484</w:t>
      </w:r>
      <w:r w:rsidR="2573EE1C">
        <w:t xml:space="preserve"> </w:t>
      </w:r>
      <w:r>
        <w:t xml:space="preserve">annual burden hours multiplied by </w:t>
      </w:r>
      <w:r w:rsidRPr="006D3480">
        <w:t>$</w:t>
      </w:r>
      <w:r w:rsidRPr="006D3480" w:rsidR="006D3480">
        <w:t>94.99</w:t>
      </w:r>
      <w:r w:rsidRPr="006D3480" w:rsidR="78008602">
        <w:rPr>
          <w:color w:val="FF0000"/>
        </w:rPr>
        <w:t xml:space="preserve"> </w:t>
      </w:r>
      <w:r w:rsidRPr="006D3480">
        <w:t>per burden hour</w:t>
      </w:r>
      <w:r>
        <w:t xml:space="preserve">). </w:t>
      </w:r>
    </w:p>
    <w:p w:rsidR="00E82D4C" w:rsidP="76633566" w14:paraId="6E64EDAF" w14:textId="0C8B60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An average cost per hour of </w:t>
      </w:r>
      <w:r w:rsidRPr="006D3480">
        <w:rPr>
          <w:color w:val="000000" w:themeColor="text1"/>
        </w:rPr>
        <w:t>$</w:t>
      </w:r>
      <w:r w:rsidRPr="006D3480" w:rsidR="006D3480">
        <w:rPr>
          <w:color w:val="000000" w:themeColor="text1"/>
        </w:rPr>
        <w:t>94.99</w:t>
      </w:r>
      <w:r w:rsidRPr="76633566" w:rsidR="78008602">
        <w:rPr>
          <w:color w:val="000000" w:themeColor="text1"/>
        </w:rPr>
        <w:t xml:space="preserve"> </w:t>
      </w:r>
      <w:r>
        <w:t>is used because that is the average loaded (salary plus benefits) cost for an EIA employee. EIA assumes that the survey respondent workforce completing surveys for EIA is comparable with the EIA workforce.</w:t>
      </w:r>
      <w:r w:rsidR="7FFC0A4D">
        <w:t xml:space="preserve"> </w:t>
      </w:r>
    </w:p>
    <w:p w:rsidR="00F056C3" w:rsidP="00D2080D" w14:paraId="3EF6F366" w14:textId="77777777">
      <w:pPr>
        <w:pStyle w:val="Heading2"/>
      </w:pPr>
      <w:bookmarkStart w:id="19" w:name="_Toc229059432"/>
      <w:r w:rsidRPr="00442996">
        <w:t>A.</w:t>
      </w:r>
      <w:r w:rsidRPr="00442996" w:rsidR="00A41763">
        <w:t xml:space="preserve">13. </w:t>
      </w:r>
      <w:r w:rsidRPr="00442996">
        <w:t>Annual Cost to the Federal Government</w:t>
      </w:r>
      <w:bookmarkEnd w:id="19"/>
    </w:p>
    <w:p w:rsidR="00377B4B" w:rsidP="43AB5A4F" w14:paraId="2F8BC7EA" w14:textId="30A645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total cost to the Government for the 20</w:t>
      </w:r>
      <w:r w:rsidR="23E0CE85">
        <w:t>2</w:t>
      </w:r>
      <w:r w:rsidR="001165B9">
        <w:t>5 Annual</w:t>
      </w:r>
      <w:r>
        <w:t xml:space="preserve"> MECS is estimated to </w:t>
      </w:r>
      <w:r w:rsidRPr="00442996">
        <w:t>be $</w:t>
      </w:r>
      <w:r w:rsidR="00442996">
        <w:t>1,633,703</w:t>
      </w:r>
      <w:r w:rsidRPr="00442996">
        <w:t>. Of the $</w:t>
      </w:r>
      <w:r w:rsidR="00442996">
        <w:t>1,633,703</w:t>
      </w:r>
      <w:r>
        <w:t xml:space="preserve">, </w:t>
      </w:r>
      <w:r w:rsidR="37DCD519">
        <w:t>about 60 percent</w:t>
      </w:r>
      <w:r>
        <w:t xml:space="preserve"> </w:t>
      </w:r>
      <w:r w:rsidRPr="001165B9">
        <w:t>($</w:t>
      </w:r>
      <w:r w:rsidR="001165B9">
        <w:t>1,041,277</w:t>
      </w:r>
      <w:r>
        <w:t xml:space="preserve">), is paid to the U.S. Census Bureau, pursuant to a reimbursable agreement, for selecting the sample, collecting, and processing the data. The remaining </w:t>
      </w:r>
      <w:r w:rsidRPr="006D3480" w:rsidR="006D3480">
        <w:t>$</w:t>
      </w:r>
      <w:r w:rsidR="001165B9">
        <w:t>592,426</w:t>
      </w:r>
      <w:r w:rsidRPr="76633566" w:rsidR="006D3480">
        <w:rPr>
          <w:color w:val="FF0000"/>
        </w:rPr>
        <w:t xml:space="preserve"> </w:t>
      </w:r>
      <w:r>
        <w:t xml:space="preserve">covers EIA staff time, which is estimated at three FTE’s, at an average cost of </w:t>
      </w:r>
      <w:r w:rsidRPr="006D3480">
        <w:t>$</w:t>
      </w:r>
      <w:r w:rsidR="001165B9">
        <w:t>197,475</w:t>
      </w:r>
      <w:r w:rsidRPr="76633566">
        <w:t xml:space="preserve"> </w:t>
      </w:r>
      <w:r>
        <w:t xml:space="preserve">per FTE. EIA staff costs cover: 1) identifying and monitoring user needs; 2) revising the survey questionnaire; 3) consulting with the Census Bureau on sample design, data collection, non-response </w:t>
      </w:r>
      <w:r w:rsidR="7711327B">
        <w:t>follow-up</w:t>
      </w:r>
      <w:r>
        <w:t>, non-</w:t>
      </w:r>
      <w:r>
        <w:t>response adjustments, data processing, parameter and variance estimation, production of tables and survey documentation; 4) analyzing data; and 5) preparing data reports and special analyses.</w:t>
      </w:r>
    </w:p>
    <w:p w:rsidR="00B23E8B" w:rsidP="00377B4B" w14:paraId="687AD69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377B4B" w:rsidRPr="00B23E8B" w:rsidP="004809A1" w14:paraId="20812C7C" w14:textId="54D0C6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0" w:line="240" w:lineRule="auto"/>
        <w:jc w:val="center"/>
        <w:rPr>
          <w:b/>
          <w:color w:val="00B0F0"/>
          <w:sz w:val="28"/>
          <w:szCs w:val="28"/>
        </w:rPr>
      </w:pPr>
      <w:r w:rsidRPr="00B23E8B">
        <w:rPr>
          <w:b/>
          <w:iCs/>
          <w:color w:val="00B0F0"/>
          <w:sz w:val="28"/>
          <w:szCs w:val="28"/>
        </w:rPr>
        <w:t>Table A2. Annual Cost to the Federal Government, Form EIA-84</w:t>
      </w:r>
      <w:r w:rsidR="00A60394">
        <w:rPr>
          <w:b/>
          <w:iCs/>
          <w:color w:val="00B0F0"/>
          <w:sz w:val="28"/>
          <w:szCs w:val="28"/>
        </w:rPr>
        <w:t>7</w:t>
      </w:r>
      <w:r w:rsidRPr="00B23E8B">
        <w:rPr>
          <w:b/>
          <w:iCs/>
          <w:color w:val="00B0F0"/>
          <w:sz w:val="28"/>
          <w:szCs w:val="28"/>
        </w:rPr>
        <w:t xml:space="preserve"> (Estimated)</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5539"/>
        <w:gridCol w:w="3811"/>
      </w:tblGrid>
      <w:tr w14:paraId="04F792EF" w14:textId="77777777" w:rsidTr="76633566">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trHeight w:val="431"/>
        </w:trPr>
        <w:tc>
          <w:tcPr>
            <w:tcW w:w="7524" w:type="dxa"/>
            <w:shd w:val="clear" w:color="auto" w:fill="00B0F0"/>
          </w:tcPr>
          <w:p w:rsidR="006F66ED" w:rsidRPr="00A31FBA" w:rsidP="00B23E8B" w14:paraId="02487027" w14:textId="53854623">
            <w:pPr>
              <w:spacing w:after="120"/>
              <w:rPr>
                <w:iCs/>
              </w:rPr>
            </w:pPr>
            <w:r>
              <w:rPr>
                <w:iCs/>
              </w:rPr>
              <w:t>Agency</w:t>
            </w:r>
          </w:p>
        </w:tc>
        <w:tc>
          <w:tcPr>
            <w:tcW w:w="5071" w:type="dxa"/>
            <w:shd w:val="clear" w:color="auto" w:fill="00B0F0"/>
          </w:tcPr>
          <w:p w:rsidR="006F66ED" w:rsidRPr="00B23E8B" w:rsidP="00B23E8B" w14:paraId="30032D8F" w14:textId="28CC85FC">
            <w:pPr>
              <w:jc w:val="left"/>
              <w:rPr>
                <w:iCs/>
                <w:sz w:val="20"/>
                <w:szCs w:val="20"/>
              </w:rPr>
            </w:pPr>
            <w:r w:rsidRPr="00B23E8B">
              <w:rPr>
                <w:iCs/>
                <w:sz w:val="20"/>
                <w:szCs w:val="20"/>
              </w:rPr>
              <w:t>Cost</w:t>
            </w:r>
          </w:p>
        </w:tc>
      </w:tr>
      <w:tr w14:paraId="31157F98" w14:textId="77777777" w:rsidTr="76633566">
        <w:tblPrEx>
          <w:tblW w:w="0" w:type="auto"/>
          <w:tblLook w:val="04A0"/>
        </w:tblPrEx>
        <w:trPr>
          <w:trHeight w:val="564"/>
        </w:trPr>
        <w:tc>
          <w:tcPr>
            <w:tcW w:w="7524" w:type="dxa"/>
            <w:tcBorders>
              <w:bottom w:val="none" w:sz="0" w:space="0" w:color="auto"/>
            </w:tcBorders>
          </w:tcPr>
          <w:p w:rsidR="00377B4B" w:rsidRPr="00A31FBA" w:rsidP="00B23E8B" w14:paraId="5C5CA77E" w14:textId="77777777">
            <w:pPr>
              <w:spacing w:after="120"/>
              <w:rPr>
                <w:iCs/>
                <w:sz w:val="22"/>
              </w:rPr>
            </w:pPr>
            <w:r w:rsidRPr="00A31FBA">
              <w:rPr>
                <w:iCs/>
                <w:sz w:val="22"/>
              </w:rPr>
              <w:t>Data Collection and Processing</w:t>
            </w:r>
            <w:r>
              <w:rPr>
                <w:iCs/>
                <w:sz w:val="22"/>
              </w:rPr>
              <w:t xml:space="preserve"> (Census Bureau) </w:t>
            </w:r>
          </w:p>
        </w:tc>
        <w:tc>
          <w:tcPr>
            <w:tcW w:w="5071" w:type="dxa"/>
            <w:tcBorders>
              <w:bottom w:val="none" w:sz="0" w:space="0" w:color="auto"/>
            </w:tcBorders>
          </w:tcPr>
          <w:p w:rsidR="00377B4B" w:rsidRPr="00442996" w:rsidP="76633566" w14:paraId="69926ABB" w14:textId="1A44371F">
            <w:pPr>
              <w:jc w:val="left"/>
              <w:rPr>
                <w:sz w:val="22"/>
              </w:rPr>
            </w:pPr>
            <w:r w:rsidRPr="00442996">
              <w:rPr>
                <w:sz w:val="22"/>
              </w:rPr>
              <w:t>$</w:t>
            </w:r>
            <w:r w:rsidR="00442996">
              <w:rPr>
                <w:sz w:val="22"/>
              </w:rPr>
              <w:t>1,041,277</w:t>
            </w:r>
          </w:p>
        </w:tc>
      </w:tr>
      <w:tr w14:paraId="7ED1852A" w14:textId="77777777" w:rsidTr="76633566">
        <w:tblPrEx>
          <w:tblW w:w="0" w:type="auto"/>
          <w:tblLook w:val="04A0"/>
        </w:tblPrEx>
        <w:trPr>
          <w:trHeight w:val="564"/>
        </w:trPr>
        <w:tc>
          <w:tcPr>
            <w:tcW w:w="7524" w:type="dxa"/>
            <w:tcBorders>
              <w:bottom w:val="none" w:sz="0" w:space="0" w:color="auto"/>
            </w:tcBorders>
          </w:tcPr>
          <w:p w:rsidR="00377B4B" w:rsidRPr="00A31FBA" w:rsidP="00B23E8B" w14:paraId="20CCC722" w14:textId="77777777">
            <w:pPr>
              <w:spacing w:after="120"/>
              <w:rPr>
                <w:iCs/>
                <w:sz w:val="22"/>
              </w:rPr>
            </w:pPr>
            <w:r w:rsidRPr="00A31FBA">
              <w:rPr>
                <w:iCs/>
                <w:sz w:val="22"/>
              </w:rPr>
              <w:t>System Maintenance and Enhancement</w:t>
            </w:r>
            <w:r>
              <w:rPr>
                <w:iCs/>
                <w:sz w:val="22"/>
              </w:rPr>
              <w:t xml:space="preserve"> (EIA)</w:t>
            </w:r>
          </w:p>
        </w:tc>
        <w:tc>
          <w:tcPr>
            <w:tcW w:w="5071" w:type="dxa"/>
            <w:tcBorders>
              <w:bottom w:val="none" w:sz="0" w:space="0" w:color="auto"/>
            </w:tcBorders>
          </w:tcPr>
          <w:p w:rsidR="00377B4B" w:rsidRPr="00442996" w:rsidP="00B23E8B" w14:paraId="6B001FD1" w14:textId="6768174A">
            <w:pPr>
              <w:jc w:val="left"/>
              <w:rPr>
                <w:iCs/>
                <w:sz w:val="22"/>
              </w:rPr>
            </w:pPr>
            <w:r w:rsidRPr="00442996">
              <w:rPr>
                <w:iCs/>
                <w:sz w:val="22"/>
              </w:rPr>
              <w:t>$</w:t>
            </w:r>
            <w:r w:rsidR="00A60394">
              <w:rPr>
                <w:iCs/>
                <w:sz w:val="22"/>
              </w:rPr>
              <w:t>592,426</w:t>
            </w:r>
          </w:p>
        </w:tc>
      </w:tr>
      <w:tr w14:paraId="210AE5B6" w14:textId="77777777" w:rsidTr="76633566">
        <w:tblPrEx>
          <w:tblW w:w="0" w:type="auto"/>
          <w:tblLook w:val="04A0"/>
        </w:tblPrEx>
        <w:trPr>
          <w:trHeight w:val="282"/>
        </w:trPr>
        <w:tc>
          <w:tcPr>
            <w:tcW w:w="7524" w:type="dxa"/>
            <w:tcBorders>
              <w:bottom w:val="none" w:sz="0" w:space="0" w:color="auto"/>
            </w:tcBorders>
          </w:tcPr>
          <w:p w:rsidR="00377B4B" w:rsidRPr="006F66ED" w:rsidP="00B23E8B" w14:paraId="46EEA05B" w14:textId="77777777">
            <w:pPr>
              <w:spacing w:after="120"/>
              <w:rPr>
                <w:b/>
                <w:iCs/>
                <w:sz w:val="22"/>
              </w:rPr>
            </w:pPr>
            <w:r w:rsidRPr="006F66ED">
              <w:rPr>
                <w:b/>
                <w:iCs/>
                <w:sz w:val="22"/>
              </w:rPr>
              <w:t>Total</w:t>
            </w:r>
          </w:p>
        </w:tc>
        <w:tc>
          <w:tcPr>
            <w:tcW w:w="5071" w:type="dxa"/>
            <w:tcBorders>
              <w:bottom w:val="none" w:sz="0" w:space="0" w:color="auto"/>
            </w:tcBorders>
          </w:tcPr>
          <w:p w:rsidR="00377B4B" w:rsidRPr="00442996" w:rsidP="76633566" w14:paraId="4B8AA5E3" w14:textId="5F5958B2">
            <w:pPr>
              <w:jc w:val="left"/>
              <w:rPr>
                <w:color w:val="FF0000"/>
                <w:sz w:val="22"/>
              </w:rPr>
            </w:pPr>
            <w:r w:rsidRPr="00442996">
              <w:rPr>
                <w:sz w:val="22"/>
              </w:rPr>
              <w:t>$</w:t>
            </w:r>
            <w:r w:rsidR="00A60394">
              <w:rPr>
                <w:sz w:val="22"/>
              </w:rPr>
              <w:t>1,633,703</w:t>
            </w:r>
          </w:p>
        </w:tc>
      </w:tr>
    </w:tbl>
    <w:p w:rsidR="00F056C3" w:rsidP="00D2080D" w14:paraId="6795E3C6" w14:textId="6647BB5B">
      <w:pPr>
        <w:pStyle w:val="Heading2"/>
      </w:pPr>
      <w:bookmarkStart w:id="20" w:name="_Toc229059433"/>
      <w:r>
        <w:t>A.</w:t>
      </w:r>
      <w:r w:rsidRPr="00A41763" w:rsidR="00A41763">
        <w:t>1</w:t>
      </w:r>
      <w:r w:rsidR="009727AE">
        <w:t>4</w:t>
      </w:r>
      <w:r w:rsidRPr="00A41763" w:rsidR="00A41763">
        <w:t xml:space="preserve">. </w:t>
      </w:r>
      <w:r w:rsidRPr="00F056C3">
        <w:t>Collection, Tabulation, and Publication Plans</w:t>
      </w:r>
      <w:bookmarkEnd w:id="20"/>
    </w:p>
    <w:p w:rsidR="00D97E7E" w:rsidRPr="00D97E7E" w:rsidP="00D97E7E" w14:paraId="4BC63710" w14:textId="20E5BF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D97E7E">
        <w:t xml:space="preserve">The results of the </w:t>
      </w:r>
      <w:r w:rsidR="009727AE">
        <w:t xml:space="preserve">Annual </w:t>
      </w:r>
      <w:r w:rsidRPr="00D97E7E">
        <w:t xml:space="preserve">MECS will be released electronically by EIA on the EIA Website </w:t>
      </w:r>
      <w:hyperlink r:id="rId23" w:history="1">
        <w:r w:rsidRPr="00D97E7E">
          <w:rPr>
            <w:color w:val="1396D8"/>
            <w:u w:val="single"/>
          </w:rPr>
          <w:t>http://www.eia.gov/consumption/manufacturing/index.cfm</w:t>
        </w:r>
      </w:hyperlink>
      <w:r w:rsidRPr="00D97E7E">
        <w:t>.</w:t>
      </w:r>
    </w:p>
    <w:p w:rsidR="00D97E7E" w:rsidRPr="00D97E7E" w:rsidP="00D97E7E" w14:paraId="0E3B306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D97E7E">
        <w:t xml:space="preserve">All tables in the publication will be prepared by the Census Bureau in accordance with EIA's directions. All tables will be reviewed by the Census Bureau for conformity to their disclosure standards. These standards are established to protect the confidentiality of individual respondents as required by Title 13, Section 9, of the U.S. Code. </w:t>
      </w:r>
    </w:p>
    <w:p w:rsidR="00D97E7E" w:rsidRPr="00D97E7E" w:rsidP="005A27D2" w14:paraId="25483C91" w14:textId="719F0F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primary electronic output for the 20</w:t>
      </w:r>
      <w:r w:rsidR="00E81DE3">
        <w:t>2</w:t>
      </w:r>
      <w:r w:rsidR="005A27D2">
        <w:t>5</w:t>
      </w:r>
      <w:r>
        <w:t xml:space="preserve"> survey will contain tables covering consumption of </w:t>
      </w:r>
      <w:r w:rsidRPr="005A27D2" w:rsidR="005A27D2">
        <w:t>specific</w:t>
      </w:r>
      <w:r w:rsidR="005A27D2">
        <w:t xml:space="preserve"> </w:t>
      </w:r>
      <w:r>
        <w:t xml:space="preserve">energy sources by </w:t>
      </w:r>
      <w:r w:rsidR="005A27D2">
        <w:t xml:space="preserve">selected </w:t>
      </w:r>
      <w:r>
        <w:t>3</w:t>
      </w:r>
      <w:r w:rsidR="005A27D2">
        <w:t xml:space="preserve">, 4 and </w:t>
      </w:r>
      <w:r>
        <w:t>6-digit North American Industry Classification System (NAICS) codes</w:t>
      </w:r>
      <w:r w:rsidR="005A27D2">
        <w:t>.</w:t>
      </w:r>
      <w:r>
        <w:t xml:space="preserve"> Consumption estimates are of four types: total primary consumption; consumption for heat, power, and generation of electricity; consumption for non-fuel (e.g. feedstock) use; and consumption of received energy sources for the purpose of heat, power, and generation of electricity. </w:t>
      </w:r>
    </w:p>
    <w:p w:rsidR="00D97E7E" w:rsidRPr="00D97E7E" w:rsidP="00D97E7E" w14:paraId="5F485DE4" w14:textId="0122D0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pPr>
      <w:r>
        <w:t>The 20</w:t>
      </w:r>
      <w:r w:rsidR="00E81DE3">
        <w:t>2</w:t>
      </w:r>
      <w:r w:rsidR="005A27D2">
        <w:t>5</w:t>
      </w:r>
      <w:r>
        <w:t xml:space="preserve"> </w:t>
      </w:r>
      <w:r w:rsidR="005A27D2">
        <w:t xml:space="preserve">Annual </w:t>
      </w:r>
      <w:r>
        <w:t xml:space="preserve">MECS release will continue the practice of presenting estimates of generalized relative standard errors (RSE) for each table estimate. </w:t>
      </w:r>
    </w:p>
    <w:p w:rsidR="00D97E7E" w:rsidRPr="00D97E7E" w:rsidP="43AB5A4F" w14:paraId="7646DE26" w14:textId="0B9F0D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A website report reviewing the results of the 20</w:t>
      </w:r>
      <w:r w:rsidR="00E81DE3">
        <w:t>2</w:t>
      </w:r>
      <w:r w:rsidR="00312519">
        <w:t>5 Annual</w:t>
      </w:r>
      <w:r>
        <w:t xml:space="preserve"> MECS and changes from the </w:t>
      </w:r>
      <w:r w:rsidR="00DC57D9">
        <w:t>2022</w:t>
      </w:r>
      <w:r w:rsidR="00312519">
        <w:t xml:space="preserve"> MECS</w:t>
      </w:r>
      <w:r>
        <w:t xml:space="preserve"> will be produced along with other special topic analytical reports to be determined.</w:t>
      </w:r>
    </w:p>
    <w:p w:rsidR="00D97E7E" w:rsidP="43AB5A4F" w14:paraId="075B473C" w14:textId="38587F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Data collection for the 20</w:t>
      </w:r>
      <w:r w:rsidR="00E81DE3">
        <w:t>2</w:t>
      </w:r>
      <w:r w:rsidR="00312519">
        <w:t>5 Annual</w:t>
      </w:r>
      <w:r>
        <w:t xml:space="preserve"> MECS is scheduled to begin in </w:t>
      </w:r>
      <w:r w:rsidR="003D32A0">
        <w:t>October</w:t>
      </w:r>
      <w:r w:rsidR="00312519">
        <w:t xml:space="preserve"> 2026</w:t>
      </w:r>
      <w:r>
        <w:t xml:space="preserve">. Responses are expected no later than </w:t>
      </w:r>
      <w:r w:rsidR="00312519">
        <w:t>March</w:t>
      </w:r>
      <w:r>
        <w:t xml:space="preserve"> 20</w:t>
      </w:r>
      <w:r w:rsidR="00E81DE3">
        <w:t>2</w:t>
      </w:r>
      <w:r w:rsidR="002F03CC">
        <w:t>7</w:t>
      </w:r>
      <w:r>
        <w:t xml:space="preserve">. (See Section B.3. for follow-up procedures.) The final data set (including final edits) and the summary tabulations are expected to be ready by </w:t>
      </w:r>
      <w:r w:rsidR="20480974">
        <w:t>M</w:t>
      </w:r>
      <w:r w:rsidR="00312519">
        <w:t>ay 2027</w:t>
      </w:r>
      <w:r>
        <w:t xml:space="preserve">. The analysis and publication of summary reports are scheduled for </w:t>
      </w:r>
      <w:r w:rsidR="00312519">
        <w:t>May</w:t>
      </w:r>
      <w:r w:rsidR="25917671">
        <w:t xml:space="preserve"> 20</w:t>
      </w:r>
      <w:r w:rsidR="00312519">
        <w:t>27</w:t>
      </w:r>
      <w:r>
        <w:t xml:space="preserve"> through </w:t>
      </w:r>
      <w:r w:rsidR="00312519">
        <w:t>July 2027</w:t>
      </w:r>
      <w:r w:rsidR="00B23E8B">
        <w:t xml:space="preserve">. </w:t>
      </w:r>
      <w:r>
        <w:t>Plans to tabulate and publish data collected by Form EIA-84</w:t>
      </w:r>
      <w:r w:rsidR="00312519">
        <w:t>7</w:t>
      </w:r>
      <w:r>
        <w:t xml:space="preserve"> are described below</w:t>
      </w:r>
      <w:r w:rsidR="000B439D">
        <w:t xml:space="preserve">: </w:t>
      </w:r>
    </w:p>
    <w:p w:rsidR="002D0BC4" w:rsidP="43AB5A4F" w14:paraId="002D9BC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2D0BC4" w:rsidP="43AB5A4F" w14:paraId="51AD2E4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2D0BC4" w:rsidRPr="00D97E7E" w:rsidP="43AB5A4F" w14:paraId="7B213EF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tbl>
      <w:tblPr>
        <w:tblW w:w="0" w:type="auto"/>
        <w:jc w:val="center"/>
        <w:tblLayout w:type="fixed"/>
        <w:tblCellMar>
          <w:left w:w="134" w:type="dxa"/>
          <w:right w:w="134" w:type="dxa"/>
        </w:tblCellMar>
        <w:tblLook w:val="04A0"/>
      </w:tblPr>
      <w:tblGrid>
        <w:gridCol w:w="4680"/>
        <w:gridCol w:w="5256"/>
      </w:tblGrid>
      <w:tr w14:paraId="4FA61023" w14:textId="77777777" w:rsidTr="08B2961E">
        <w:tblPrEx>
          <w:tblW w:w="0" w:type="auto"/>
          <w:jc w:val="center"/>
          <w:tblLayout w:type="fixed"/>
          <w:tblCellMar>
            <w:left w:w="134" w:type="dxa"/>
            <w:right w:w="134" w:type="dxa"/>
          </w:tblCellMar>
          <w:tblLook w:val="04A0"/>
        </w:tblPrEx>
        <w:trPr>
          <w:jc w:val="center"/>
        </w:trPr>
        <w:tc>
          <w:tcPr>
            <w:tcW w:w="4680"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shd w:val="clear" w:color="auto" w:fill="00B0F0"/>
            <w:hideMark/>
          </w:tcPr>
          <w:p w:rsidR="00D97E7E" w:rsidRPr="00D97E7E" w:rsidP="00D97E7E" w14:paraId="53C8844A" w14:textId="77777777">
            <w:pPr>
              <w:rPr>
                <w:b/>
              </w:rPr>
            </w:pPr>
            <w:bookmarkStart w:id="21" w:name="_Toc265751349"/>
            <w:r w:rsidRPr="00D97E7E">
              <w:rPr>
                <w:b/>
              </w:rPr>
              <w:t>Activity</w:t>
            </w:r>
            <w:bookmarkEnd w:id="21"/>
          </w:p>
        </w:tc>
        <w:tc>
          <w:tcPr>
            <w:tcW w:w="5256" w:type="dxa"/>
            <w:tcBorders>
              <w:top w:val="single" w:sz="8" w:space="0" w:color="000000" w:themeColor="text1"/>
              <w:left w:val="single" w:sz="8" w:space="0" w:color="000000" w:themeColor="text1"/>
              <w:bottom w:val="single" w:sz="6" w:space="0" w:color="FFFFFF" w:themeColor="background1"/>
              <w:right w:val="single" w:sz="8" w:space="0" w:color="000000" w:themeColor="text1"/>
            </w:tcBorders>
            <w:shd w:val="clear" w:color="auto" w:fill="00B0F0"/>
            <w:hideMark/>
          </w:tcPr>
          <w:p w:rsidR="00D97E7E" w:rsidRPr="00D97E7E" w:rsidP="00D97E7E" w14:paraId="4E87ED43" w14:textId="77777777">
            <w:pPr>
              <w:rPr>
                <w:b/>
              </w:rPr>
            </w:pPr>
            <w:bookmarkStart w:id="22" w:name="_Toc265751350"/>
            <w:r w:rsidRPr="00D97E7E">
              <w:rPr>
                <w:b/>
              </w:rPr>
              <w:t>Expected Date of Completion</w:t>
            </w:r>
            <w:bookmarkEnd w:id="22"/>
          </w:p>
        </w:tc>
      </w:tr>
      <w:tr w14:paraId="50493FEB" w14:textId="77777777" w:rsidTr="08B2961E">
        <w:tblPrEx>
          <w:tblW w:w="0" w:type="auto"/>
          <w:jc w:val="center"/>
          <w:tblLayout w:type="fixed"/>
          <w:tblCellMar>
            <w:left w:w="134" w:type="dxa"/>
            <w:right w:w="134" w:type="dxa"/>
          </w:tblCellMar>
          <w:tblLook w:val="04A0"/>
        </w:tblPrEx>
        <w:trPr>
          <w:jc w:val="center"/>
        </w:trPr>
        <w:tc>
          <w:tcPr>
            <w:tcW w:w="4680"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00D97E7E" w:rsidRPr="00D97E7E" w:rsidP="00D97E7E" w14:paraId="30C5DEAA" w14:textId="77777777">
            <w:pPr>
              <w:keepNext/>
              <w:keepLines/>
              <w:spacing w:line="163" w:lineRule="exact"/>
            </w:pPr>
          </w:p>
          <w:p w:rsidR="00D97E7E" w:rsidRPr="00D97E7E" w:rsidP="00D97E7E" w14:paraId="31FBF254" w14:textId="77777777">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16" w:lineRule="auto"/>
            </w:pPr>
            <w:r w:rsidRPr="00D97E7E">
              <w:t>Begin Data Collection</w:t>
            </w:r>
          </w:p>
        </w:tc>
        <w:tc>
          <w:tcPr>
            <w:tcW w:w="5256" w:type="dxa"/>
            <w:tcBorders>
              <w:top w:val="single" w:sz="8" w:space="0" w:color="000000" w:themeColor="text1"/>
              <w:left w:val="single" w:sz="8" w:space="0" w:color="000000" w:themeColor="text1"/>
              <w:bottom w:val="single" w:sz="6" w:space="0" w:color="FFFFFF" w:themeColor="background1"/>
              <w:right w:val="single" w:sz="8" w:space="0" w:color="000000" w:themeColor="text1"/>
            </w:tcBorders>
          </w:tcPr>
          <w:p w:rsidR="00D97E7E" w:rsidRPr="00D97E7E" w:rsidP="00D97E7E" w14:paraId="298C60CD" w14:textId="77777777">
            <w:pPr>
              <w:keepNext/>
              <w:keepLines/>
              <w:spacing w:line="163" w:lineRule="exact"/>
            </w:pPr>
          </w:p>
          <w:p w:rsidR="00D97E7E" w:rsidRPr="00D97E7E" w:rsidP="112CE3B0" w14:paraId="096A5B9D" w14:textId="669A8E2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16" w:lineRule="auto"/>
            </w:pPr>
            <w:r>
              <w:t>October</w:t>
            </w:r>
            <w:r w:rsidR="00312519">
              <w:t xml:space="preserve"> 2026</w:t>
            </w:r>
          </w:p>
        </w:tc>
      </w:tr>
      <w:tr w14:paraId="0A19C343" w14:textId="77777777" w:rsidTr="08B2961E">
        <w:tblPrEx>
          <w:tblW w:w="0" w:type="auto"/>
          <w:jc w:val="center"/>
          <w:tblLayout w:type="fixed"/>
          <w:tblCellMar>
            <w:left w:w="134" w:type="dxa"/>
            <w:right w:w="134" w:type="dxa"/>
          </w:tblCellMar>
          <w:tblLook w:val="04A0"/>
        </w:tblPrEx>
        <w:trPr>
          <w:jc w:val="center"/>
        </w:trPr>
        <w:tc>
          <w:tcPr>
            <w:tcW w:w="4680"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00D97E7E" w:rsidRPr="00D97E7E" w:rsidP="00D97E7E" w14:paraId="252608D1" w14:textId="77777777">
            <w:pPr>
              <w:keepNext/>
              <w:keepLines/>
              <w:spacing w:line="163" w:lineRule="exact"/>
            </w:pPr>
          </w:p>
          <w:p w:rsidR="00D97E7E" w:rsidRPr="00D97E7E" w:rsidP="00D97E7E" w14:paraId="3F2D09BA" w14:textId="77777777">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16" w:lineRule="auto"/>
            </w:pPr>
            <w:r w:rsidRPr="00D97E7E">
              <w:t>End Data Collection</w:t>
            </w:r>
          </w:p>
        </w:tc>
        <w:tc>
          <w:tcPr>
            <w:tcW w:w="5256" w:type="dxa"/>
            <w:tcBorders>
              <w:top w:val="single" w:sz="8" w:space="0" w:color="000000" w:themeColor="text1"/>
              <w:left w:val="single" w:sz="8" w:space="0" w:color="000000" w:themeColor="text1"/>
              <w:bottom w:val="single" w:sz="6" w:space="0" w:color="FFFFFF" w:themeColor="background1"/>
              <w:right w:val="single" w:sz="8" w:space="0" w:color="000000" w:themeColor="text1"/>
            </w:tcBorders>
          </w:tcPr>
          <w:p w:rsidR="00D97E7E" w:rsidRPr="00D97E7E" w:rsidP="00D97E7E" w14:paraId="3DDAE935" w14:textId="77777777">
            <w:pPr>
              <w:keepNext/>
              <w:keepLines/>
              <w:spacing w:line="163" w:lineRule="exact"/>
            </w:pPr>
          </w:p>
          <w:p w:rsidR="00D97E7E" w:rsidRPr="00D97E7E" w:rsidP="112CE3B0" w14:paraId="1231586B" w14:textId="1D976B2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16" w:lineRule="auto"/>
            </w:pPr>
            <w:r>
              <w:t>March 2027</w:t>
            </w:r>
          </w:p>
        </w:tc>
      </w:tr>
      <w:tr w14:paraId="0C9549EF" w14:textId="77777777" w:rsidTr="08B2961E">
        <w:tblPrEx>
          <w:tblW w:w="0" w:type="auto"/>
          <w:jc w:val="center"/>
          <w:tblLayout w:type="fixed"/>
          <w:tblCellMar>
            <w:left w:w="134" w:type="dxa"/>
            <w:right w:w="134" w:type="dxa"/>
          </w:tblCellMar>
          <w:tblLook w:val="04A0"/>
        </w:tblPrEx>
        <w:trPr>
          <w:jc w:val="center"/>
        </w:trPr>
        <w:tc>
          <w:tcPr>
            <w:tcW w:w="4680"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00D97E7E" w:rsidRPr="00D97E7E" w:rsidP="00D97E7E" w14:paraId="19649245" w14:textId="77777777">
            <w:pPr>
              <w:keepNext/>
              <w:keepLines/>
              <w:spacing w:line="163" w:lineRule="exact"/>
            </w:pPr>
          </w:p>
          <w:p w:rsidR="00D97E7E" w:rsidRPr="00D97E7E" w:rsidP="00D97E7E" w14:paraId="424C2BFF" w14:textId="77777777">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16" w:lineRule="auto"/>
            </w:pPr>
            <w:r w:rsidRPr="00D97E7E">
              <w:t xml:space="preserve">Final Data Set Compiled </w:t>
            </w:r>
          </w:p>
        </w:tc>
        <w:tc>
          <w:tcPr>
            <w:tcW w:w="5256" w:type="dxa"/>
            <w:tcBorders>
              <w:top w:val="single" w:sz="8" w:space="0" w:color="000000" w:themeColor="text1"/>
              <w:left w:val="single" w:sz="8" w:space="0" w:color="000000" w:themeColor="text1"/>
              <w:bottom w:val="single" w:sz="6" w:space="0" w:color="FFFFFF" w:themeColor="background1"/>
              <w:right w:val="single" w:sz="8" w:space="0" w:color="000000" w:themeColor="text1"/>
            </w:tcBorders>
          </w:tcPr>
          <w:p w:rsidR="00D97E7E" w:rsidRPr="00D97E7E" w:rsidP="00D97E7E" w14:paraId="7F40A1AF" w14:textId="77777777">
            <w:pPr>
              <w:keepNext/>
              <w:keepLines/>
              <w:spacing w:line="163" w:lineRule="exact"/>
            </w:pPr>
          </w:p>
          <w:p w:rsidR="00D97E7E" w:rsidRPr="00D97E7E" w:rsidP="112CE3B0" w14:paraId="6D87C4C9" w14:textId="0C04830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16" w:lineRule="auto"/>
            </w:pPr>
            <w:r>
              <w:t>April 2027</w:t>
            </w:r>
          </w:p>
        </w:tc>
      </w:tr>
      <w:tr w14:paraId="2B8E4BBF" w14:textId="77777777" w:rsidTr="08B2961E">
        <w:tblPrEx>
          <w:tblW w:w="0" w:type="auto"/>
          <w:jc w:val="center"/>
          <w:tblLayout w:type="fixed"/>
          <w:tblCellMar>
            <w:left w:w="134" w:type="dxa"/>
            <w:right w:w="134" w:type="dxa"/>
          </w:tblCellMar>
          <w:tblLook w:val="04A0"/>
        </w:tblPrEx>
        <w:trPr>
          <w:jc w:val="center"/>
        </w:trPr>
        <w:tc>
          <w:tcPr>
            <w:tcW w:w="4680"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00D97E7E" w:rsidRPr="00D97E7E" w:rsidP="00D97E7E" w14:paraId="5642137D" w14:textId="77777777">
            <w:pPr>
              <w:keepNext/>
              <w:keepLines/>
              <w:spacing w:line="163" w:lineRule="exact"/>
            </w:pPr>
          </w:p>
          <w:p w:rsidR="00D97E7E" w:rsidRPr="00D97E7E" w:rsidP="00D97E7E" w14:paraId="3FF28F0E" w14:textId="77777777">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16" w:lineRule="auto"/>
            </w:pPr>
            <w:r w:rsidRPr="00D97E7E">
              <w:t>Summary Tabulations</w:t>
            </w:r>
          </w:p>
        </w:tc>
        <w:tc>
          <w:tcPr>
            <w:tcW w:w="5256" w:type="dxa"/>
            <w:tcBorders>
              <w:top w:val="single" w:sz="8" w:space="0" w:color="000000" w:themeColor="text1"/>
              <w:left w:val="single" w:sz="8" w:space="0" w:color="000000" w:themeColor="text1"/>
              <w:bottom w:val="single" w:sz="6" w:space="0" w:color="FFFFFF" w:themeColor="background1"/>
              <w:right w:val="single" w:sz="8" w:space="0" w:color="000000" w:themeColor="text1"/>
            </w:tcBorders>
          </w:tcPr>
          <w:p w:rsidR="00D97E7E" w:rsidRPr="00D97E7E" w:rsidP="00D97E7E" w14:paraId="5766F476" w14:textId="77777777">
            <w:pPr>
              <w:keepNext/>
              <w:keepLines/>
              <w:spacing w:line="163" w:lineRule="exact"/>
            </w:pPr>
          </w:p>
          <w:p w:rsidR="00D97E7E" w:rsidRPr="00D97E7E" w:rsidP="112CE3B0" w14:paraId="23BD2DAF" w14:textId="77EF2EA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16" w:lineRule="auto"/>
            </w:pPr>
            <w:r>
              <w:t>May 2027</w:t>
            </w:r>
          </w:p>
        </w:tc>
      </w:tr>
      <w:tr w14:paraId="13B637EF" w14:textId="77777777" w:rsidTr="08B2961E">
        <w:tblPrEx>
          <w:tblW w:w="0" w:type="auto"/>
          <w:jc w:val="center"/>
          <w:tblLayout w:type="fixed"/>
          <w:tblCellMar>
            <w:left w:w="134" w:type="dxa"/>
            <w:right w:w="134" w:type="dxa"/>
          </w:tblCellMar>
          <w:tblLook w:val="04A0"/>
        </w:tblPrEx>
        <w:trPr>
          <w:jc w:val="center"/>
        </w:trPr>
        <w:tc>
          <w:tcPr>
            <w:tcW w:w="468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00D97E7E" w:rsidRPr="00D97E7E" w:rsidP="00D97E7E" w14:paraId="0CFCA892" w14:textId="77777777">
            <w:pPr>
              <w:keepNext/>
              <w:keepLines/>
              <w:spacing w:line="163" w:lineRule="exact"/>
            </w:pPr>
          </w:p>
          <w:p w:rsidR="00D97E7E" w:rsidRPr="00D97E7E" w:rsidP="00D97E7E" w14:paraId="53DB95C5" w14:textId="77777777">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9" w:line="216" w:lineRule="auto"/>
            </w:pPr>
            <w:r w:rsidRPr="00D97E7E">
              <w:t>Publication of Analysis</w:t>
            </w:r>
          </w:p>
        </w:tc>
        <w:tc>
          <w:tcPr>
            <w:tcW w:w="52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97E7E" w:rsidRPr="00D97E7E" w:rsidP="00D97E7E" w14:paraId="2A0D9144" w14:textId="77777777">
            <w:pPr>
              <w:keepNext/>
              <w:keepLines/>
              <w:spacing w:line="163" w:lineRule="exact"/>
            </w:pPr>
          </w:p>
          <w:p w:rsidR="00D97E7E" w:rsidRPr="00D97E7E" w:rsidP="112CE3B0" w14:paraId="658AAA5A" w14:textId="4D04E00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9" w:line="216" w:lineRule="auto"/>
            </w:pPr>
            <w:r>
              <w:t>May 2027 through July 2027</w:t>
            </w:r>
          </w:p>
        </w:tc>
      </w:tr>
    </w:tbl>
    <w:p w:rsidR="00F056C3" w:rsidP="00D2080D" w14:paraId="50907907" w14:textId="2C57940E">
      <w:pPr>
        <w:pStyle w:val="Heading2"/>
      </w:pPr>
      <w:bookmarkStart w:id="23" w:name="_Toc229059434"/>
      <w:r>
        <w:t>A.</w:t>
      </w:r>
      <w:r w:rsidRPr="00A41763" w:rsidR="00A41763">
        <w:t>1</w:t>
      </w:r>
      <w:r w:rsidR="009727AE">
        <w:t>5</w:t>
      </w:r>
      <w:r w:rsidRPr="00A41763" w:rsidR="00A41763">
        <w:t xml:space="preserve">. </w:t>
      </w:r>
      <w:r w:rsidRPr="00F056C3">
        <w:t>OMB Number and Expiration Date</w:t>
      </w:r>
      <w:bookmarkEnd w:id="23"/>
      <w:r w:rsidRPr="00F056C3">
        <w:t xml:space="preserve"> </w:t>
      </w:r>
    </w:p>
    <w:p w:rsidR="00A41763" w:rsidRPr="00A41763" w:rsidP="00A41763" w14:paraId="5710DB5B" w14:textId="6D12EEB7">
      <w:r w:rsidRPr="001D4659">
        <w:t xml:space="preserve">The </w:t>
      </w:r>
      <w:r>
        <w:t xml:space="preserve">OMB Number </w:t>
      </w:r>
      <w:r w:rsidRPr="00765256" w:rsidR="00765256">
        <w:t>1905-NEW</w:t>
      </w:r>
      <w:r>
        <w:t xml:space="preserve"> and data collection </w:t>
      </w:r>
      <w:r w:rsidRPr="001D4659">
        <w:t xml:space="preserve">expiration date will be displayed on </w:t>
      </w:r>
      <w:r>
        <w:t xml:space="preserve">all data collection forms and instructions. </w:t>
      </w:r>
    </w:p>
    <w:p w:rsidR="00F056C3" w:rsidP="00D2080D" w14:paraId="578AAF11" w14:textId="0824E6BA">
      <w:pPr>
        <w:pStyle w:val="Heading2"/>
      </w:pPr>
      <w:bookmarkStart w:id="24" w:name="_Toc229059435"/>
      <w:r>
        <w:t>A.</w:t>
      </w:r>
      <w:r w:rsidRPr="00A41763" w:rsidR="00A41763">
        <w:t>1</w:t>
      </w:r>
      <w:r w:rsidR="009727AE">
        <w:t>6</w:t>
      </w:r>
      <w:r w:rsidRPr="00A41763" w:rsidR="00A41763">
        <w:t xml:space="preserve">. </w:t>
      </w:r>
      <w:r w:rsidRPr="00F056C3">
        <w:t>Certification Statement</w:t>
      </w:r>
      <w:bookmarkEnd w:id="24"/>
      <w:r w:rsidRPr="00F056C3">
        <w:t xml:space="preserve"> </w:t>
      </w:r>
    </w:p>
    <w:p w:rsidR="00A41763" w:rsidRPr="00A41763" w:rsidP="00D97E7E" w14:paraId="25DDF8D0" w14:textId="7A1F1659">
      <w:r>
        <w:t xml:space="preserve">There are no exceptions to the certification statement identified in Item 19, “certification for Paperwork Reduction Act Submissions,” of OMB Form 83-I. This information collection request complies with 5 CFR 1320.9. </w:t>
      </w:r>
    </w:p>
    <w:sectPr w:rsidSect="009F4B7A">
      <w:footerReference w:type="default" r:id="rId24"/>
      <w:pgSz w:w="12240" w:h="15840"/>
      <w:pgMar w:top="1440" w:right="1440" w:bottom="1440" w:left="1440" w:header="720" w:footer="720" w:gutter="0"/>
      <w:pgNumType w:star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oudyOlSt BT">
    <w:altName w:val="Georg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719" w:rsidRPr="001F3A8F" w:rsidP="001F3A8F" w14:paraId="7983DC69" w14:textId="78FA6A14">
    <w:pPr>
      <w:pStyle w:val="Footer"/>
    </w:pPr>
    <w:r w:rsidRPr="00CB180D">
      <w:t xml:space="preserve">U.S. Energy Information Administration   |   </w:t>
    </w:r>
    <w:r>
      <w:t>S</w:t>
    </w:r>
    <w:r w:rsidR="006E696A">
      <w:t>upporting Statement A – Annual Manufacturing Energy Consumption Survey</w:t>
    </w:r>
    <w:r>
      <w:tab/>
    </w:r>
    <w:r>
      <w:fldChar w:fldCharType="begin"/>
    </w:r>
    <w:r>
      <w:instrText xml:space="preserve"> PAGE   \* MERGEFORMAT </w:instrText>
    </w:r>
    <w:r>
      <w:fldChar w:fldCharType="separate"/>
    </w:r>
    <w:r>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719" w:rsidP="00760677" w14:paraId="1B4CD3C6"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CC2719" w14:paraId="6D6525C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719" w:rsidP="00760677" w14:paraId="1CB8ACCC"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CC2719" w14:paraId="73C9C07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0B8" w:rsidRPr="001F3A8F" w:rsidP="00616E46" w14:paraId="661C9A45" w14:textId="417CB7CA">
    <w:pPr>
      <w:pStyle w:val="Footer"/>
      <w:tabs>
        <w:tab w:val="left" w:pos="8655"/>
        <w:tab w:val="clear" w:pos="9720"/>
      </w:tabs>
    </w:pPr>
    <w:r w:rsidRPr="00CB180D">
      <w:t>U.S. Energy Information Administration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9F449B">
          <w:t>Supporting Statement A – Annual Manufacturing Energy Consumption Survey</w:t>
        </w:r>
      </w:sdtContent>
    </w:sdt>
    <w:r>
      <w:tab/>
      <w:t xml:space="preserve"> </w:t>
    </w:r>
    <w:r>
      <w:fldChar w:fldCharType="begin"/>
    </w:r>
    <w:r>
      <w:instrText xml:space="preserve"> PAGE   \* MERGEFORMAT </w:instrText>
    </w:r>
    <w:r>
      <w:fldChar w:fldCharType="separate"/>
    </w:r>
    <w:r w:rsidR="00F70DFA">
      <w:rPr>
        <w:noProof/>
      </w:rPr>
      <w:t>ii</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0B8" w:rsidP="00760677" w14:paraId="66E0BDEC"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7100B8" w14:paraId="52E5622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0B8" w:rsidP="00760677" w14:paraId="79C92855"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7100B8" w:rsidP="00760677" w14:paraId="6DFB9E2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0B8" w:rsidRPr="001F3A8F" w:rsidP="00616E46" w14:paraId="234394CA" w14:textId="68A3A755">
    <w:pPr>
      <w:pStyle w:val="Footer"/>
      <w:tabs>
        <w:tab w:val="left" w:pos="8655"/>
        <w:tab w:val="clear" w:pos="9720"/>
      </w:tabs>
    </w:pPr>
    <w:r w:rsidRPr="00CB180D">
      <w:t>U.S. Energy Information Administration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9F449B">
          <w:t>Supporting Statement A – Annual Manufacturing Energy Consumption Survey</w:t>
        </w:r>
      </w:sdtContent>
    </w:sdt>
    <w:r>
      <w:t xml:space="preserve"> </w:t>
    </w:r>
    <w:r>
      <w:tab/>
      <w:t xml:space="preserve"> </w:t>
    </w:r>
    <w:r>
      <w:fldChar w:fldCharType="begin"/>
    </w:r>
    <w:r>
      <w:instrText xml:space="preserve"> PAGE   \* MERGEFORMAT </w:instrText>
    </w:r>
    <w:r>
      <w:fldChar w:fldCharType="separate"/>
    </w:r>
    <w:r w:rsidR="00F70DFA">
      <w:rPr>
        <w:noProof/>
      </w:rPr>
      <w:t>18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0B8" w:rsidP="00725453" w14:paraId="6537F28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multilevel"/>
    <w:tmpl w:val="F948091A"/>
    <w:lvl w:ilvl="0">
      <w:start w:val="1"/>
      <w:numFmt w:val="bullet"/>
      <w:pStyle w:val="ListBullet3"/>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3"/>
    <w:multiLevelType w:val="multilevel"/>
    <w:tmpl w:val="5268DBE4"/>
    <w:lvl w:ilvl="0">
      <w:start w:val="1"/>
      <w:numFmt w:val="bullet"/>
      <w:pStyle w:val="ListBullet2"/>
      <w:lvlText w:val=""/>
      <w:lvlJc w:val="left"/>
      <w:pPr>
        <w:tabs>
          <w:tab w:val="num" w:pos="720"/>
        </w:tabs>
        <w:ind w:left="72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88"/>
    <w:multiLevelType w:val="multilevel"/>
    <w:tmpl w:val="8220A528"/>
    <w:lvl w:ilvl="0">
      <w:start w:val="1"/>
      <w:numFmt w:val="decimal"/>
      <w:pStyle w:val="ListNumber"/>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09B50A6E"/>
    <w:multiLevelType w:val="hybridMultilevel"/>
    <w:tmpl w:val="79CE38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B223D81"/>
    <w:multiLevelType w:val="hybridMultilevel"/>
    <w:tmpl w:val="5CC66A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D437DE"/>
    <w:multiLevelType w:val="hybridMultilevel"/>
    <w:tmpl w:val="23B8D23E"/>
    <w:lvl w:ilvl="0">
      <w:start w:val="1"/>
      <w:numFmt w:val="bullet"/>
      <w:pStyle w:val="ListParagraph"/>
      <w:lvlText w:val=""/>
      <w:lvlJc w:val="left"/>
      <w:pPr>
        <w:tabs>
          <w:tab w:val="num" w:pos="720"/>
        </w:tabs>
        <w:ind w:left="720" w:hanging="360"/>
      </w:pPr>
      <w:rPr>
        <w:rFonts w:ascii="Symbol" w:hAnsi="Symbol" w:hint="default"/>
      </w:rPr>
    </w:lvl>
    <w:lvl w:ilvl="1">
      <w:start w:val="0"/>
      <w:numFmt w:val="bullet"/>
      <w:lvlText w:val="–"/>
      <w:lvlJc w:val="left"/>
      <w:pPr>
        <w:tabs>
          <w:tab w:val="num" w:pos="1800"/>
        </w:tabs>
        <w:ind w:left="1800" w:hanging="72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D5F1980"/>
    <w:multiLevelType w:val="hybridMultilevel"/>
    <w:tmpl w:val="6492B200"/>
    <w:lvl w:ilvl="0">
      <w:start w:val="2018"/>
      <w:numFmt w:val="decimal"/>
      <w:lvlText w:val="%1"/>
      <w:lvlJc w:val="left"/>
      <w:pPr>
        <w:ind w:left="800" w:hanging="4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05563AC"/>
    <w:multiLevelType w:val="hybridMultilevel"/>
    <w:tmpl w:val="0450DA88"/>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nsid w:val="6A7673AD"/>
    <w:multiLevelType w:val="hybridMultilevel"/>
    <w:tmpl w:val="2C38E1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F863061"/>
    <w:multiLevelType w:val="multilevel"/>
    <w:tmpl w:val="9A7E434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4">
    <w:nsid w:val="7C9834C9"/>
    <w:multiLevelType w:val="hybridMultilevel"/>
    <w:tmpl w:val="972E31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68394127">
    <w:abstractNumId w:val="3"/>
  </w:num>
  <w:num w:numId="2" w16cid:durableId="1827895692">
    <w:abstractNumId w:val="6"/>
  </w:num>
  <w:num w:numId="3" w16cid:durableId="35324214">
    <w:abstractNumId w:val="5"/>
  </w:num>
  <w:num w:numId="4" w16cid:durableId="2002266704">
    <w:abstractNumId w:val="4"/>
  </w:num>
  <w:num w:numId="5" w16cid:durableId="115371264">
    <w:abstractNumId w:val="2"/>
  </w:num>
  <w:num w:numId="6" w16cid:durableId="1383673285">
    <w:abstractNumId w:val="1"/>
  </w:num>
  <w:num w:numId="7" w16cid:durableId="651299762">
    <w:abstractNumId w:val="0"/>
  </w:num>
  <w:num w:numId="8" w16cid:durableId="1940940900">
    <w:abstractNumId w:val="13"/>
  </w:num>
  <w:num w:numId="9" w16cid:durableId="1082870659">
    <w:abstractNumId w:val="11"/>
  </w:num>
  <w:num w:numId="10" w16cid:durableId="1917592299">
    <w:abstractNumId w:val="8"/>
  </w:num>
  <w:num w:numId="11" w16cid:durableId="1080564642">
    <w:abstractNumId w:val="14"/>
  </w:num>
  <w:num w:numId="12" w16cid:durableId="475489269">
    <w:abstractNumId w:val="7"/>
  </w:num>
  <w:num w:numId="13" w16cid:durableId="2082870757">
    <w:abstractNumId w:val="9"/>
  </w:num>
  <w:num w:numId="14" w16cid:durableId="2136947957">
    <w:abstractNumId w:val="12"/>
  </w:num>
  <w:num w:numId="15" w16cid:durableId="102093527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397C"/>
    <w:rsid w:val="00004135"/>
    <w:rsid w:val="000041A1"/>
    <w:rsid w:val="000053BB"/>
    <w:rsid w:val="00011B3F"/>
    <w:rsid w:val="00013373"/>
    <w:rsid w:val="000142E5"/>
    <w:rsid w:val="00015DA7"/>
    <w:rsid w:val="000165E3"/>
    <w:rsid w:val="00016D72"/>
    <w:rsid w:val="000248CE"/>
    <w:rsid w:val="00024E1E"/>
    <w:rsid w:val="0002603C"/>
    <w:rsid w:val="000264BD"/>
    <w:rsid w:val="00032AC4"/>
    <w:rsid w:val="00034A4B"/>
    <w:rsid w:val="0003503D"/>
    <w:rsid w:val="00040C35"/>
    <w:rsid w:val="00041909"/>
    <w:rsid w:val="00042E3B"/>
    <w:rsid w:val="00045391"/>
    <w:rsid w:val="00045493"/>
    <w:rsid w:val="000457E4"/>
    <w:rsid w:val="00046593"/>
    <w:rsid w:val="00047C08"/>
    <w:rsid w:val="0005401F"/>
    <w:rsid w:val="00055769"/>
    <w:rsid w:val="00056C85"/>
    <w:rsid w:val="00056EC3"/>
    <w:rsid w:val="00057605"/>
    <w:rsid w:val="00062CFE"/>
    <w:rsid w:val="00065745"/>
    <w:rsid w:val="0007117F"/>
    <w:rsid w:val="0007129A"/>
    <w:rsid w:val="00071D3C"/>
    <w:rsid w:val="00071F72"/>
    <w:rsid w:val="00072C60"/>
    <w:rsid w:val="00075898"/>
    <w:rsid w:val="00076B57"/>
    <w:rsid w:val="000812DC"/>
    <w:rsid w:val="000831C4"/>
    <w:rsid w:val="00083A85"/>
    <w:rsid w:val="000844CA"/>
    <w:rsid w:val="0008468D"/>
    <w:rsid w:val="00092B84"/>
    <w:rsid w:val="00096991"/>
    <w:rsid w:val="000A3EAA"/>
    <w:rsid w:val="000B323A"/>
    <w:rsid w:val="000B3FBE"/>
    <w:rsid w:val="000B439D"/>
    <w:rsid w:val="000C0F57"/>
    <w:rsid w:val="000C28E1"/>
    <w:rsid w:val="000C4A0B"/>
    <w:rsid w:val="000C5311"/>
    <w:rsid w:val="000D01C8"/>
    <w:rsid w:val="000D0B76"/>
    <w:rsid w:val="000D47D3"/>
    <w:rsid w:val="000D4E6A"/>
    <w:rsid w:val="000D726E"/>
    <w:rsid w:val="000D74EF"/>
    <w:rsid w:val="000E0F98"/>
    <w:rsid w:val="000F040A"/>
    <w:rsid w:val="000F2544"/>
    <w:rsid w:val="000F41D9"/>
    <w:rsid w:val="000F53A3"/>
    <w:rsid w:val="000F775D"/>
    <w:rsid w:val="001019FC"/>
    <w:rsid w:val="00101AD4"/>
    <w:rsid w:val="001034E8"/>
    <w:rsid w:val="0010785E"/>
    <w:rsid w:val="00112A69"/>
    <w:rsid w:val="0011541D"/>
    <w:rsid w:val="001165B9"/>
    <w:rsid w:val="00117D80"/>
    <w:rsid w:val="00121E9E"/>
    <w:rsid w:val="00122A44"/>
    <w:rsid w:val="001248D6"/>
    <w:rsid w:val="00125876"/>
    <w:rsid w:val="001301DE"/>
    <w:rsid w:val="00130B03"/>
    <w:rsid w:val="0013216D"/>
    <w:rsid w:val="00132F4A"/>
    <w:rsid w:val="0014524A"/>
    <w:rsid w:val="00153D1A"/>
    <w:rsid w:val="00154192"/>
    <w:rsid w:val="001559BB"/>
    <w:rsid w:val="00160BC8"/>
    <w:rsid w:val="00162CED"/>
    <w:rsid w:val="00163A57"/>
    <w:rsid w:val="001643AA"/>
    <w:rsid w:val="00167425"/>
    <w:rsid w:val="0017016E"/>
    <w:rsid w:val="00170EF0"/>
    <w:rsid w:val="001807A3"/>
    <w:rsid w:val="00185CAC"/>
    <w:rsid w:val="001904DF"/>
    <w:rsid w:val="00193B91"/>
    <w:rsid w:val="001947D5"/>
    <w:rsid w:val="00195B9A"/>
    <w:rsid w:val="001A2B05"/>
    <w:rsid w:val="001A6E1E"/>
    <w:rsid w:val="001B0E69"/>
    <w:rsid w:val="001B1045"/>
    <w:rsid w:val="001B6585"/>
    <w:rsid w:val="001B7821"/>
    <w:rsid w:val="001C1D70"/>
    <w:rsid w:val="001C7E11"/>
    <w:rsid w:val="001D032F"/>
    <w:rsid w:val="001D03A8"/>
    <w:rsid w:val="001D3733"/>
    <w:rsid w:val="001D4659"/>
    <w:rsid w:val="001E0BCB"/>
    <w:rsid w:val="001E1B91"/>
    <w:rsid w:val="001E5CAB"/>
    <w:rsid w:val="001F0E07"/>
    <w:rsid w:val="001F2DC1"/>
    <w:rsid w:val="001F3A8F"/>
    <w:rsid w:val="002008B4"/>
    <w:rsid w:val="00201F24"/>
    <w:rsid w:val="0020220C"/>
    <w:rsid w:val="00202392"/>
    <w:rsid w:val="002044B3"/>
    <w:rsid w:val="00206C65"/>
    <w:rsid w:val="002076C6"/>
    <w:rsid w:val="00211B51"/>
    <w:rsid w:val="00211D77"/>
    <w:rsid w:val="002127CE"/>
    <w:rsid w:val="00215842"/>
    <w:rsid w:val="00215F66"/>
    <w:rsid w:val="00217604"/>
    <w:rsid w:val="002207DF"/>
    <w:rsid w:val="00221AC2"/>
    <w:rsid w:val="00226271"/>
    <w:rsid w:val="00227E4B"/>
    <w:rsid w:val="0023015A"/>
    <w:rsid w:val="00230D01"/>
    <w:rsid w:val="00234247"/>
    <w:rsid w:val="00234E77"/>
    <w:rsid w:val="0023708A"/>
    <w:rsid w:val="00245DD8"/>
    <w:rsid w:val="00246950"/>
    <w:rsid w:val="00247480"/>
    <w:rsid w:val="0025022D"/>
    <w:rsid w:val="002530BB"/>
    <w:rsid w:val="002547DE"/>
    <w:rsid w:val="002548EC"/>
    <w:rsid w:val="00255647"/>
    <w:rsid w:val="002556F3"/>
    <w:rsid w:val="00255B5E"/>
    <w:rsid w:val="00255E98"/>
    <w:rsid w:val="00260EDF"/>
    <w:rsid w:val="00261945"/>
    <w:rsid w:val="002626E4"/>
    <w:rsid w:val="0026272A"/>
    <w:rsid w:val="00264148"/>
    <w:rsid w:val="00267E50"/>
    <w:rsid w:val="002722D9"/>
    <w:rsid w:val="00274179"/>
    <w:rsid w:val="002763F5"/>
    <w:rsid w:val="00292067"/>
    <w:rsid w:val="002930DB"/>
    <w:rsid w:val="002A0A58"/>
    <w:rsid w:val="002A2904"/>
    <w:rsid w:val="002A2D19"/>
    <w:rsid w:val="002A4477"/>
    <w:rsid w:val="002A65C4"/>
    <w:rsid w:val="002B0FD2"/>
    <w:rsid w:val="002B4781"/>
    <w:rsid w:val="002B4F3A"/>
    <w:rsid w:val="002C378C"/>
    <w:rsid w:val="002C37A6"/>
    <w:rsid w:val="002D0BC4"/>
    <w:rsid w:val="002D0D9C"/>
    <w:rsid w:val="002D6006"/>
    <w:rsid w:val="002D7E01"/>
    <w:rsid w:val="002E3FD5"/>
    <w:rsid w:val="002E7A38"/>
    <w:rsid w:val="002F03CC"/>
    <w:rsid w:val="002F04D7"/>
    <w:rsid w:val="002F2524"/>
    <w:rsid w:val="002F2F36"/>
    <w:rsid w:val="00306257"/>
    <w:rsid w:val="00306516"/>
    <w:rsid w:val="00307C0B"/>
    <w:rsid w:val="0031220B"/>
    <w:rsid w:val="00312519"/>
    <w:rsid w:val="00313F29"/>
    <w:rsid w:val="003155E4"/>
    <w:rsid w:val="00316F03"/>
    <w:rsid w:val="0033011D"/>
    <w:rsid w:val="00330CA8"/>
    <w:rsid w:val="00331311"/>
    <w:rsid w:val="00335004"/>
    <w:rsid w:val="003407AA"/>
    <w:rsid w:val="003418FB"/>
    <w:rsid w:val="00346143"/>
    <w:rsid w:val="0034633B"/>
    <w:rsid w:val="003469CB"/>
    <w:rsid w:val="003476A7"/>
    <w:rsid w:val="00350C8B"/>
    <w:rsid w:val="00351313"/>
    <w:rsid w:val="00351A73"/>
    <w:rsid w:val="00355E6D"/>
    <w:rsid w:val="003601EC"/>
    <w:rsid w:val="003619BA"/>
    <w:rsid w:val="00363331"/>
    <w:rsid w:val="00363B5E"/>
    <w:rsid w:val="00365B7E"/>
    <w:rsid w:val="00366034"/>
    <w:rsid w:val="0037191A"/>
    <w:rsid w:val="00371E14"/>
    <w:rsid w:val="00373208"/>
    <w:rsid w:val="0037356F"/>
    <w:rsid w:val="0037389D"/>
    <w:rsid w:val="003745C6"/>
    <w:rsid w:val="00377464"/>
    <w:rsid w:val="00377B4B"/>
    <w:rsid w:val="00381A28"/>
    <w:rsid w:val="003825E5"/>
    <w:rsid w:val="00383DB3"/>
    <w:rsid w:val="003854B2"/>
    <w:rsid w:val="00385AE6"/>
    <w:rsid w:val="00387A55"/>
    <w:rsid w:val="00387C8D"/>
    <w:rsid w:val="00390687"/>
    <w:rsid w:val="00390CFB"/>
    <w:rsid w:val="00392DD0"/>
    <w:rsid w:val="00393F5E"/>
    <w:rsid w:val="003957D1"/>
    <w:rsid w:val="00396BCB"/>
    <w:rsid w:val="00397825"/>
    <w:rsid w:val="003A1073"/>
    <w:rsid w:val="003A10F3"/>
    <w:rsid w:val="003A19C3"/>
    <w:rsid w:val="003A3906"/>
    <w:rsid w:val="003A55A9"/>
    <w:rsid w:val="003B03A4"/>
    <w:rsid w:val="003B1D01"/>
    <w:rsid w:val="003B69C1"/>
    <w:rsid w:val="003C00DB"/>
    <w:rsid w:val="003C03EA"/>
    <w:rsid w:val="003C0820"/>
    <w:rsid w:val="003C690C"/>
    <w:rsid w:val="003D1145"/>
    <w:rsid w:val="003D1F10"/>
    <w:rsid w:val="003D32A0"/>
    <w:rsid w:val="003D4DE9"/>
    <w:rsid w:val="003D5BA2"/>
    <w:rsid w:val="003D5D6C"/>
    <w:rsid w:val="003D70E8"/>
    <w:rsid w:val="003D7F2B"/>
    <w:rsid w:val="003E0E61"/>
    <w:rsid w:val="003E2596"/>
    <w:rsid w:val="003E40FA"/>
    <w:rsid w:val="003E4C56"/>
    <w:rsid w:val="003E6187"/>
    <w:rsid w:val="003F24ED"/>
    <w:rsid w:val="003F3F76"/>
    <w:rsid w:val="003F529E"/>
    <w:rsid w:val="003F68CE"/>
    <w:rsid w:val="004008D1"/>
    <w:rsid w:val="00400B28"/>
    <w:rsid w:val="00401FF5"/>
    <w:rsid w:val="00403EF0"/>
    <w:rsid w:val="00407CCE"/>
    <w:rsid w:val="004113DD"/>
    <w:rsid w:val="00411EEC"/>
    <w:rsid w:val="00412180"/>
    <w:rsid w:val="00413007"/>
    <w:rsid w:val="00414E4B"/>
    <w:rsid w:val="00417482"/>
    <w:rsid w:val="00426481"/>
    <w:rsid w:val="00427B36"/>
    <w:rsid w:val="00427FA5"/>
    <w:rsid w:val="0043283D"/>
    <w:rsid w:val="00432966"/>
    <w:rsid w:val="00433CEC"/>
    <w:rsid w:val="004342C5"/>
    <w:rsid w:val="00436E96"/>
    <w:rsid w:val="004372EF"/>
    <w:rsid w:val="00442996"/>
    <w:rsid w:val="004430FB"/>
    <w:rsid w:val="0045392E"/>
    <w:rsid w:val="0045608E"/>
    <w:rsid w:val="0045662F"/>
    <w:rsid w:val="00460552"/>
    <w:rsid w:val="00461437"/>
    <w:rsid w:val="00466959"/>
    <w:rsid w:val="00467698"/>
    <w:rsid w:val="00470BEA"/>
    <w:rsid w:val="0047602A"/>
    <w:rsid w:val="004774E7"/>
    <w:rsid w:val="0047784B"/>
    <w:rsid w:val="004809A1"/>
    <w:rsid w:val="00484A60"/>
    <w:rsid w:val="004852C8"/>
    <w:rsid w:val="00486013"/>
    <w:rsid w:val="0048750E"/>
    <w:rsid w:val="00493FFD"/>
    <w:rsid w:val="004946F0"/>
    <w:rsid w:val="00497C2A"/>
    <w:rsid w:val="004A3E6E"/>
    <w:rsid w:val="004B1075"/>
    <w:rsid w:val="004B2E40"/>
    <w:rsid w:val="004B4913"/>
    <w:rsid w:val="004C277B"/>
    <w:rsid w:val="004C4152"/>
    <w:rsid w:val="004D05C7"/>
    <w:rsid w:val="004D05FB"/>
    <w:rsid w:val="004D1B46"/>
    <w:rsid w:val="004D29C7"/>
    <w:rsid w:val="004D2C61"/>
    <w:rsid w:val="004E333E"/>
    <w:rsid w:val="004E5A9C"/>
    <w:rsid w:val="004F5711"/>
    <w:rsid w:val="00504119"/>
    <w:rsid w:val="005065CF"/>
    <w:rsid w:val="00506BB4"/>
    <w:rsid w:val="0050705F"/>
    <w:rsid w:val="00507895"/>
    <w:rsid w:val="00512766"/>
    <w:rsid w:val="005170D3"/>
    <w:rsid w:val="00517225"/>
    <w:rsid w:val="005227FA"/>
    <w:rsid w:val="0052493A"/>
    <w:rsid w:val="005270C4"/>
    <w:rsid w:val="005273A7"/>
    <w:rsid w:val="0052783E"/>
    <w:rsid w:val="0053223E"/>
    <w:rsid w:val="00535CAF"/>
    <w:rsid w:val="00536054"/>
    <w:rsid w:val="0053654B"/>
    <w:rsid w:val="00536CE1"/>
    <w:rsid w:val="0054180D"/>
    <w:rsid w:val="005420EA"/>
    <w:rsid w:val="00545835"/>
    <w:rsid w:val="00545C0F"/>
    <w:rsid w:val="00547B53"/>
    <w:rsid w:val="00550175"/>
    <w:rsid w:val="005515CD"/>
    <w:rsid w:val="00552549"/>
    <w:rsid w:val="00554245"/>
    <w:rsid w:val="00554C45"/>
    <w:rsid w:val="00557664"/>
    <w:rsid w:val="005643B5"/>
    <w:rsid w:val="00564A01"/>
    <w:rsid w:val="00571D8F"/>
    <w:rsid w:val="0057336A"/>
    <w:rsid w:val="0057367D"/>
    <w:rsid w:val="00573ED1"/>
    <w:rsid w:val="00574B65"/>
    <w:rsid w:val="005774B8"/>
    <w:rsid w:val="00580334"/>
    <w:rsid w:val="005814F8"/>
    <w:rsid w:val="00584549"/>
    <w:rsid w:val="00585BE3"/>
    <w:rsid w:val="0058632C"/>
    <w:rsid w:val="00590ACE"/>
    <w:rsid w:val="0059212D"/>
    <w:rsid w:val="00593935"/>
    <w:rsid w:val="0059795C"/>
    <w:rsid w:val="005A27D2"/>
    <w:rsid w:val="005A35A1"/>
    <w:rsid w:val="005A4123"/>
    <w:rsid w:val="005A5242"/>
    <w:rsid w:val="005A7483"/>
    <w:rsid w:val="005B2B58"/>
    <w:rsid w:val="005B3C34"/>
    <w:rsid w:val="005B5058"/>
    <w:rsid w:val="005C00FA"/>
    <w:rsid w:val="005C0EF1"/>
    <w:rsid w:val="005C2D89"/>
    <w:rsid w:val="005C3001"/>
    <w:rsid w:val="005C3D51"/>
    <w:rsid w:val="005C485B"/>
    <w:rsid w:val="005C5AE5"/>
    <w:rsid w:val="005D39D7"/>
    <w:rsid w:val="005D4572"/>
    <w:rsid w:val="005D5020"/>
    <w:rsid w:val="005D5956"/>
    <w:rsid w:val="005D6F63"/>
    <w:rsid w:val="005E1568"/>
    <w:rsid w:val="005E296F"/>
    <w:rsid w:val="005F1C5F"/>
    <w:rsid w:val="005F433A"/>
    <w:rsid w:val="005F4848"/>
    <w:rsid w:val="005F61CD"/>
    <w:rsid w:val="005F670C"/>
    <w:rsid w:val="00605813"/>
    <w:rsid w:val="00612D1C"/>
    <w:rsid w:val="00614BA2"/>
    <w:rsid w:val="00615E54"/>
    <w:rsid w:val="00616E46"/>
    <w:rsid w:val="0062008C"/>
    <w:rsid w:val="00620797"/>
    <w:rsid w:val="00621588"/>
    <w:rsid w:val="00622B9E"/>
    <w:rsid w:val="00626494"/>
    <w:rsid w:val="00631993"/>
    <w:rsid w:val="00633C21"/>
    <w:rsid w:val="00641DE2"/>
    <w:rsid w:val="00643384"/>
    <w:rsid w:val="00644433"/>
    <w:rsid w:val="00645100"/>
    <w:rsid w:val="00646C89"/>
    <w:rsid w:val="006477BC"/>
    <w:rsid w:val="00651E4C"/>
    <w:rsid w:val="00653925"/>
    <w:rsid w:val="0065406F"/>
    <w:rsid w:val="00654D59"/>
    <w:rsid w:val="006630E1"/>
    <w:rsid w:val="00663EC4"/>
    <w:rsid w:val="00671C11"/>
    <w:rsid w:val="00677C5F"/>
    <w:rsid w:val="0068184E"/>
    <w:rsid w:val="00685709"/>
    <w:rsid w:val="00685E78"/>
    <w:rsid w:val="00686836"/>
    <w:rsid w:val="006937FC"/>
    <w:rsid w:val="0069594D"/>
    <w:rsid w:val="00695C3D"/>
    <w:rsid w:val="006A0BC7"/>
    <w:rsid w:val="006A6E62"/>
    <w:rsid w:val="006A71AF"/>
    <w:rsid w:val="006B01A0"/>
    <w:rsid w:val="006B030C"/>
    <w:rsid w:val="006B065C"/>
    <w:rsid w:val="006B0F10"/>
    <w:rsid w:val="006C0062"/>
    <w:rsid w:val="006C01E7"/>
    <w:rsid w:val="006C097E"/>
    <w:rsid w:val="006C2DC3"/>
    <w:rsid w:val="006C3518"/>
    <w:rsid w:val="006C37FC"/>
    <w:rsid w:val="006C4200"/>
    <w:rsid w:val="006C485C"/>
    <w:rsid w:val="006D0439"/>
    <w:rsid w:val="006D05D5"/>
    <w:rsid w:val="006D3480"/>
    <w:rsid w:val="006D39D4"/>
    <w:rsid w:val="006D42EC"/>
    <w:rsid w:val="006D5DE5"/>
    <w:rsid w:val="006D64A3"/>
    <w:rsid w:val="006D6609"/>
    <w:rsid w:val="006E696A"/>
    <w:rsid w:val="006F016C"/>
    <w:rsid w:val="006F2081"/>
    <w:rsid w:val="006F3DCF"/>
    <w:rsid w:val="006F66ED"/>
    <w:rsid w:val="00700D6B"/>
    <w:rsid w:val="0070419A"/>
    <w:rsid w:val="00704B7D"/>
    <w:rsid w:val="007100B8"/>
    <w:rsid w:val="00710578"/>
    <w:rsid w:val="00711414"/>
    <w:rsid w:val="00712F7E"/>
    <w:rsid w:val="00714BB6"/>
    <w:rsid w:val="007156ED"/>
    <w:rsid w:val="00723690"/>
    <w:rsid w:val="00725453"/>
    <w:rsid w:val="007308EF"/>
    <w:rsid w:val="00730DA0"/>
    <w:rsid w:val="00737591"/>
    <w:rsid w:val="007438F2"/>
    <w:rsid w:val="007455F4"/>
    <w:rsid w:val="00745E77"/>
    <w:rsid w:val="00755C3D"/>
    <w:rsid w:val="00756255"/>
    <w:rsid w:val="007576EF"/>
    <w:rsid w:val="00760677"/>
    <w:rsid w:val="00761C12"/>
    <w:rsid w:val="007620CB"/>
    <w:rsid w:val="007626B4"/>
    <w:rsid w:val="00765256"/>
    <w:rsid w:val="007658BA"/>
    <w:rsid w:val="007721EB"/>
    <w:rsid w:val="0077546E"/>
    <w:rsid w:val="00776CF4"/>
    <w:rsid w:val="00777E63"/>
    <w:rsid w:val="007826D9"/>
    <w:rsid w:val="00782A68"/>
    <w:rsid w:val="00784F89"/>
    <w:rsid w:val="00785417"/>
    <w:rsid w:val="0078618F"/>
    <w:rsid w:val="00786336"/>
    <w:rsid w:val="007870EF"/>
    <w:rsid w:val="00790F44"/>
    <w:rsid w:val="00792A49"/>
    <w:rsid w:val="00794460"/>
    <w:rsid w:val="007951D6"/>
    <w:rsid w:val="007961A7"/>
    <w:rsid w:val="007A0E7F"/>
    <w:rsid w:val="007A4378"/>
    <w:rsid w:val="007B10D2"/>
    <w:rsid w:val="007B6A00"/>
    <w:rsid w:val="007C1D2D"/>
    <w:rsid w:val="007C5CE9"/>
    <w:rsid w:val="007D39CC"/>
    <w:rsid w:val="007D410F"/>
    <w:rsid w:val="007D6AAF"/>
    <w:rsid w:val="007D6DA8"/>
    <w:rsid w:val="007E1A41"/>
    <w:rsid w:val="007E22DF"/>
    <w:rsid w:val="007E29F8"/>
    <w:rsid w:val="007E511E"/>
    <w:rsid w:val="007E5A11"/>
    <w:rsid w:val="007E73E6"/>
    <w:rsid w:val="007F16D5"/>
    <w:rsid w:val="007F1954"/>
    <w:rsid w:val="007F21D7"/>
    <w:rsid w:val="00802657"/>
    <w:rsid w:val="008057F8"/>
    <w:rsid w:val="00811910"/>
    <w:rsid w:val="00812C91"/>
    <w:rsid w:val="00813918"/>
    <w:rsid w:val="008140EF"/>
    <w:rsid w:val="00814505"/>
    <w:rsid w:val="008213F9"/>
    <w:rsid w:val="00822216"/>
    <w:rsid w:val="0082285B"/>
    <w:rsid w:val="00827A39"/>
    <w:rsid w:val="008307E1"/>
    <w:rsid w:val="00834DEF"/>
    <w:rsid w:val="00836D62"/>
    <w:rsid w:val="0083703D"/>
    <w:rsid w:val="0083728F"/>
    <w:rsid w:val="00842826"/>
    <w:rsid w:val="008444DD"/>
    <w:rsid w:val="00844524"/>
    <w:rsid w:val="0084626C"/>
    <w:rsid w:val="0085070D"/>
    <w:rsid w:val="00851BBC"/>
    <w:rsid w:val="008520E1"/>
    <w:rsid w:val="00853530"/>
    <w:rsid w:val="0085416A"/>
    <w:rsid w:val="00857C23"/>
    <w:rsid w:val="00861125"/>
    <w:rsid w:val="00867160"/>
    <w:rsid w:val="0087205B"/>
    <w:rsid w:val="008747FE"/>
    <w:rsid w:val="00874FB8"/>
    <w:rsid w:val="00875191"/>
    <w:rsid w:val="00875DF8"/>
    <w:rsid w:val="00876C82"/>
    <w:rsid w:val="008814AD"/>
    <w:rsid w:val="00881C7A"/>
    <w:rsid w:val="00884C36"/>
    <w:rsid w:val="008855E2"/>
    <w:rsid w:val="0088601F"/>
    <w:rsid w:val="00891AD0"/>
    <w:rsid w:val="00895669"/>
    <w:rsid w:val="0089602B"/>
    <w:rsid w:val="00897946"/>
    <w:rsid w:val="008A1B95"/>
    <w:rsid w:val="008A3276"/>
    <w:rsid w:val="008A3447"/>
    <w:rsid w:val="008A3A38"/>
    <w:rsid w:val="008A7E5F"/>
    <w:rsid w:val="008C0866"/>
    <w:rsid w:val="008C3727"/>
    <w:rsid w:val="008C583E"/>
    <w:rsid w:val="008C734C"/>
    <w:rsid w:val="008D6C44"/>
    <w:rsid w:val="008D6D67"/>
    <w:rsid w:val="008E49CB"/>
    <w:rsid w:val="008E4BF2"/>
    <w:rsid w:val="008E7836"/>
    <w:rsid w:val="008E7E75"/>
    <w:rsid w:val="008F440B"/>
    <w:rsid w:val="008F4799"/>
    <w:rsid w:val="008F4CBD"/>
    <w:rsid w:val="0090033F"/>
    <w:rsid w:val="009017AD"/>
    <w:rsid w:val="00901BED"/>
    <w:rsid w:val="00905252"/>
    <w:rsid w:val="00905735"/>
    <w:rsid w:val="009072B6"/>
    <w:rsid w:val="00912712"/>
    <w:rsid w:val="00912EE8"/>
    <w:rsid w:val="009131B9"/>
    <w:rsid w:val="0091409C"/>
    <w:rsid w:val="0091565B"/>
    <w:rsid w:val="00925542"/>
    <w:rsid w:val="00933D5D"/>
    <w:rsid w:val="00935805"/>
    <w:rsid w:val="009368F3"/>
    <w:rsid w:val="00943377"/>
    <w:rsid w:val="00943531"/>
    <w:rsid w:val="00944551"/>
    <w:rsid w:val="00947C42"/>
    <w:rsid w:val="00950489"/>
    <w:rsid w:val="00950777"/>
    <w:rsid w:val="00951927"/>
    <w:rsid w:val="009546EF"/>
    <w:rsid w:val="00956887"/>
    <w:rsid w:val="00957DE9"/>
    <w:rsid w:val="00961398"/>
    <w:rsid w:val="009616F7"/>
    <w:rsid w:val="00963E81"/>
    <w:rsid w:val="00965A44"/>
    <w:rsid w:val="00967D7C"/>
    <w:rsid w:val="009727AE"/>
    <w:rsid w:val="0097548D"/>
    <w:rsid w:val="009757AD"/>
    <w:rsid w:val="00980B6A"/>
    <w:rsid w:val="009818F9"/>
    <w:rsid w:val="0098325A"/>
    <w:rsid w:val="0098536E"/>
    <w:rsid w:val="0098618F"/>
    <w:rsid w:val="00987C32"/>
    <w:rsid w:val="00991646"/>
    <w:rsid w:val="00992B7D"/>
    <w:rsid w:val="0099448B"/>
    <w:rsid w:val="00995335"/>
    <w:rsid w:val="00997347"/>
    <w:rsid w:val="009A31C1"/>
    <w:rsid w:val="009A4C06"/>
    <w:rsid w:val="009A6172"/>
    <w:rsid w:val="009B19CE"/>
    <w:rsid w:val="009B2EF1"/>
    <w:rsid w:val="009B2F54"/>
    <w:rsid w:val="009B404D"/>
    <w:rsid w:val="009B5D72"/>
    <w:rsid w:val="009C17E5"/>
    <w:rsid w:val="009C202F"/>
    <w:rsid w:val="009C496C"/>
    <w:rsid w:val="009C54CE"/>
    <w:rsid w:val="009C77F7"/>
    <w:rsid w:val="009D27E1"/>
    <w:rsid w:val="009D3621"/>
    <w:rsid w:val="009D5843"/>
    <w:rsid w:val="009D6ADD"/>
    <w:rsid w:val="009E0698"/>
    <w:rsid w:val="009E48F1"/>
    <w:rsid w:val="009E4A03"/>
    <w:rsid w:val="009E5ABC"/>
    <w:rsid w:val="009E5B9C"/>
    <w:rsid w:val="009E75B6"/>
    <w:rsid w:val="009F17F2"/>
    <w:rsid w:val="009F2E7B"/>
    <w:rsid w:val="009F2EDD"/>
    <w:rsid w:val="009F449B"/>
    <w:rsid w:val="009F4B7A"/>
    <w:rsid w:val="009F4ED1"/>
    <w:rsid w:val="009F5447"/>
    <w:rsid w:val="009F61F7"/>
    <w:rsid w:val="009F62D1"/>
    <w:rsid w:val="00A00D71"/>
    <w:rsid w:val="00A00EDF"/>
    <w:rsid w:val="00A017C3"/>
    <w:rsid w:val="00A117CD"/>
    <w:rsid w:val="00A11D03"/>
    <w:rsid w:val="00A11D87"/>
    <w:rsid w:val="00A243AE"/>
    <w:rsid w:val="00A24E6F"/>
    <w:rsid w:val="00A26A17"/>
    <w:rsid w:val="00A30169"/>
    <w:rsid w:val="00A312A3"/>
    <w:rsid w:val="00A31FBA"/>
    <w:rsid w:val="00A33538"/>
    <w:rsid w:val="00A33D9F"/>
    <w:rsid w:val="00A37229"/>
    <w:rsid w:val="00A41763"/>
    <w:rsid w:val="00A418C9"/>
    <w:rsid w:val="00A42382"/>
    <w:rsid w:val="00A436D4"/>
    <w:rsid w:val="00A46021"/>
    <w:rsid w:val="00A46987"/>
    <w:rsid w:val="00A513DE"/>
    <w:rsid w:val="00A54713"/>
    <w:rsid w:val="00A54A19"/>
    <w:rsid w:val="00A5516D"/>
    <w:rsid w:val="00A578B9"/>
    <w:rsid w:val="00A60394"/>
    <w:rsid w:val="00A60D06"/>
    <w:rsid w:val="00A62790"/>
    <w:rsid w:val="00A63379"/>
    <w:rsid w:val="00A63805"/>
    <w:rsid w:val="00A64FA4"/>
    <w:rsid w:val="00A66661"/>
    <w:rsid w:val="00A72AA8"/>
    <w:rsid w:val="00A74C9B"/>
    <w:rsid w:val="00A82916"/>
    <w:rsid w:val="00A841EE"/>
    <w:rsid w:val="00A84D19"/>
    <w:rsid w:val="00A86B92"/>
    <w:rsid w:val="00A874E4"/>
    <w:rsid w:val="00A92F04"/>
    <w:rsid w:val="00A93478"/>
    <w:rsid w:val="00A93725"/>
    <w:rsid w:val="00A951DE"/>
    <w:rsid w:val="00A97FE7"/>
    <w:rsid w:val="00AA03BA"/>
    <w:rsid w:val="00AA1EB4"/>
    <w:rsid w:val="00AA3858"/>
    <w:rsid w:val="00AA38B3"/>
    <w:rsid w:val="00AA3FD0"/>
    <w:rsid w:val="00AA46CA"/>
    <w:rsid w:val="00AA5967"/>
    <w:rsid w:val="00AA6C1C"/>
    <w:rsid w:val="00AA7EFA"/>
    <w:rsid w:val="00AB1264"/>
    <w:rsid w:val="00AB288E"/>
    <w:rsid w:val="00AB31A9"/>
    <w:rsid w:val="00AB46D2"/>
    <w:rsid w:val="00AB61B3"/>
    <w:rsid w:val="00AB6EE7"/>
    <w:rsid w:val="00AC02C3"/>
    <w:rsid w:val="00AC1D23"/>
    <w:rsid w:val="00AC2D0B"/>
    <w:rsid w:val="00AC323A"/>
    <w:rsid w:val="00AC452D"/>
    <w:rsid w:val="00AD3984"/>
    <w:rsid w:val="00AD5732"/>
    <w:rsid w:val="00AD6357"/>
    <w:rsid w:val="00AD7F81"/>
    <w:rsid w:val="00AE4CA9"/>
    <w:rsid w:val="00AE6AF1"/>
    <w:rsid w:val="00AE944B"/>
    <w:rsid w:val="00AF367D"/>
    <w:rsid w:val="00AF45FD"/>
    <w:rsid w:val="00AF670D"/>
    <w:rsid w:val="00AF7777"/>
    <w:rsid w:val="00B05D1A"/>
    <w:rsid w:val="00B07385"/>
    <w:rsid w:val="00B13DAD"/>
    <w:rsid w:val="00B14951"/>
    <w:rsid w:val="00B1706E"/>
    <w:rsid w:val="00B2386E"/>
    <w:rsid w:val="00B23E8B"/>
    <w:rsid w:val="00B35E2A"/>
    <w:rsid w:val="00B37007"/>
    <w:rsid w:val="00B4263D"/>
    <w:rsid w:val="00B45488"/>
    <w:rsid w:val="00B50AD5"/>
    <w:rsid w:val="00B52E24"/>
    <w:rsid w:val="00B548EC"/>
    <w:rsid w:val="00B56F49"/>
    <w:rsid w:val="00B60745"/>
    <w:rsid w:val="00B61E11"/>
    <w:rsid w:val="00B63EB5"/>
    <w:rsid w:val="00B6647E"/>
    <w:rsid w:val="00B67C29"/>
    <w:rsid w:val="00B71CC4"/>
    <w:rsid w:val="00B71FBD"/>
    <w:rsid w:val="00B72B9F"/>
    <w:rsid w:val="00B7442A"/>
    <w:rsid w:val="00B74CB9"/>
    <w:rsid w:val="00B77CA6"/>
    <w:rsid w:val="00B80750"/>
    <w:rsid w:val="00B8123A"/>
    <w:rsid w:val="00B952BB"/>
    <w:rsid w:val="00B97002"/>
    <w:rsid w:val="00B97329"/>
    <w:rsid w:val="00BA114A"/>
    <w:rsid w:val="00BA39D0"/>
    <w:rsid w:val="00BB2F70"/>
    <w:rsid w:val="00BB47ED"/>
    <w:rsid w:val="00BB6CF4"/>
    <w:rsid w:val="00BC0AFC"/>
    <w:rsid w:val="00BC14C3"/>
    <w:rsid w:val="00BC1ABE"/>
    <w:rsid w:val="00BD1381"/>
    <w:rsid w:val="00BD2AB7"/>
    <w:rsid w:val="00BD2F20"/>
    <w:rsid w:val="00BD4F62"/>
    <w:rsid w:val="00BD6380"/>
    <w:rsid w:val="00BD79F6"/>
    <w:rsid w:val="00BE0DC9"/>
    <w:rsid w:val="00BE4AFD"/>
    <w:rsid w:val="00BE7114"/>
    <w:rsid w:val="00BE71BF"/>
    <w:rsid w:val="00BF246F"/>
    <w:rsid w:val="00C00590"/>
    <w:rsid w:val="00C01AFA"/>
    <w:rsid w:val="00C04647"/>
    <w:rsid w:val="00C04F24"/>
    <w:rsid w:val="00C058CF"/>
    <w:rsid w:val="00C12165"/>
    <w:rsid w:val="00C12551"/>
    <w:rsid w:val="00C13BAE"/>
    <w:rsid w:val="00C1501C"/>
    <w:rsid w:val="00C16B0A"/>
    <w:rsid w:val="00C211CD"/>
    <w:rsid w:val="00C22317"/>
    <w:rsid w:val="00C2436F"/>
    <w:rsid w:val="00C25328"/>
    <w:rsid w:val="00C269E7"/>
    <w:rsid w:val="00C34870"/>
    <w:rsid w:val="00C36C82"/>
    <w:rsid w:val="00C36E3A"/>
    <w:rsid w:val="00C3744D"/>
    <w:rsid w:val="00C37CA4"/>
    <w:rsid w:val="00C40AC4"/>
    <w:rsid w:val="00C41DE5"/>
    <w:rsid w:val="00C4220B"/>
    <w:rsid w:val="00C43A84"/>
    <w:rsid w:val="00C46E06"/>
    <w:rsid w:val="00C52EBE"/>
    <w:rsid w:val="00C64137"/>
    <w:rsid w:val="00C658E4"/>
    <w:rsid w:val="00C711A2"/>
    <w:rsid w:val="00C7266E"/>
    <w:rsid w:val="00C7482F"/>
    <w:rsid w:val="00C75242"/>
    <w:rsid w:val="00C76394"/>
    <w:rsid w:val="00C76C66"/>
    <w:rsid w:val="00C827BD"/>
    <w:rsid w:val="00C82DF9"/>
    <w:rsid w:val="00C850C6"/>
    <w:rsid w:val="00C87190"/>
    <w:rsid w:val="00C9299C"/>
    <w:rsid w:val="00CA1564"/>
    <w:rsid w:val="00CA4C54"/>
    <w:rsid w:val="00CA7C8A"/>
    <w:rsid w:val="00CB180D"/>
    <w:rsid w:val="00CB29AA"/>
    <w:rsid w:val="00CB403A"/>
    <w:rsid w:val="00CB44E8"/>
    <w:rsid w:val="00CB4602"/>
    <w:rsid w:val="00CB7978"/>
    <w:rsid w:val="00CC1D12"/>
    <w:rsid w:val="00CC2719"/>
    <w:rsid w:val="00CC69F0"/>
    <w:rsid w:val="00CD05DE"/>
    <w:rsid w:val="00CD278B"/>
    <w:rsid w:val="00CE42E9"/>
    <w:rsid w:val="00CE6015"/>
    <w:rsid w:val="00CF4AD4"/>
    <w:rsid w:val="00CF7F96"/>
    <w:rsid w:val="00D001E4"/>
    <w:rsid w:val="00D00AA8"/>
    <w:rsid w:val="00D01EFC"/>
    <w:rsid w:val="00D02778"/>
    <w:rsid w:val="00D028F5"/>
    <w:rsid w:val="00D10FA3"/>
    <w:rsid w:val="00D13E84"/>
    <w:rsid w:val="00D15719"/>
    <w:rsid w:val="00D17918"/>
    <w:rsid w:val="00D2080D"/>
    <w:rsid w:val="00D246F8"/>
    <w:rsid w:val="00D300F4"/>
    <w:rsid w:val="00D30CC5"/>
    <w:rsid w:val="00D3344B"/>
    <w:rsid w:val="00D33D1B"/>
    <w:rsid w:val="00D3531E"/>
    <w:rsid w:val="00D359CE"/>
    <w:rsid w:val="00D40175"/>
    <w:rsid w:val="00D4321D"/>
    <w:rsid w:val="00D46ACC"/>
    <w:rsid w:val="00D50482"/>
    <w:rsid w:val="00D508DA"/>
    <w:rsid w:val="00D55243"/>
    <w:rsid w:val="00D56DE5"/>
    <w:rsid w:val="00D56FDC"/>
    <w:rsid w:val="00D57D5C"/>
    <w:rsid w:val="00D6125C"/>
    <w:rsid w:val="00D62F90"/>
    <w:rsid w:val="00D63E74"/>
    <w:rsid w:val="00D64699"/>
    <w:rsid w:val="00D715C4"/>
    <w:rsid w:val="00D731D7"/>
    <w:rsid w:val="00D854D8"/>
    <w:rsid w:val="00D928FD"/>
    <w:rsid w:val="00D95811"/>
    <w:rsid w:val="00D97E7E"/>
    <w:rsid w:val="00DA27AC"/>
    <w:rsid w:val="00DA331D"/>
    <w:rsid w:val="00DA467B"/>
    <w:rsid w:val="00DA480B"/>
    <w:rsid w:val="00DA7344"/>
    <w:rsid w:val="00DB2391"/>
    <w:rsid w:val="00DB2FCB"/>
    <w:rsid w:val="00DB3FCD"/>
    <w:rsid w:val="00DB48E4"/>
    <w:rsid w:val="00DB518B"/>
    <w:rsid w:val="00DB6DDB"/>
    <w:rsid w:val="00DC57D9"/>
    <w:rsid w:val="00DC79E3"/>
    <w:rsid w:val="00DD0D79"/>
    <w:rsid w:val="00DD51E1"/>
    <w:rsid w:val="00DE189C"/>
    <w:rsid w:val="00DE2D54"/>
    <w:rsid w:val="00DE6312"/>
    <w:rsid w:val="00DE6667"/>
    <w:rsid w:val="00DE7A1C"/>
    <w:rsid w:val="00DE7A95"/>
    <w:rsid w:val="00E02BB0"/>
    <w:rsid w:val="00E02EFE"/>
    <w:rsid w:val="00E03CE6"/>
    <w:rsid w:val="00E03EEC"/>
    <w:rsid w:val="00E054DF"/>
    <w:rsid w:val="00E064AD"/>
    <w:rsid w:val="00E06FDF"/>
    <w:rsid w:val="00E13716"/>
    <w:rsid w:val="00E13BA4"/>
    <w:rsid w:val="00E149C3"/>
    <w:rsid w:val="00E1661B"/>
    <w:rsid w:val="00E172FE"/>
    <w:rsid w:val="00E23777"/>
    <w:rsid w:val="00E266FF"/>
    <w:rsid w:val="00E27661"/>
    <w:rsid w:val="00E3120B"/>
    <w:rsid w:val="00E417A6"/>
    <w:rsid w:val="00E42E9B"/>
    <w:rsid w:val="00E4392C"/>
    <w:rsid w:val="00E47DB3"/>
    <w:rsid w:val="00E509A9"/>
    <w:rsid w:val="00E51D07"/>
    <w:rsid w:val="00E51F8B"/>
    <w:rsid w:val="00E5242A"/>
    <w:rsid w:val="00E52BC9"/>
    <w:rsid w:val="00E53398"/>
    <w:rsid w:val="00E54E3A"/>
    <w:rsid w:val="00E63D2B"/>
    <w:rsid w:val="00E66AE2"/>
    <w:rsid w:val="00E74DA4"/>
    <w:rsid w:val="00E81B89"/>
    <w:rsid w:val="00E81DE3"/>
    <w:rsid w:val="00E82D4C"/>
    <w:rsid w:val="00E87C03"/>
    <w:rsid w:val="00E90DE3"/>
    <w:rsid w:val="00E91432"/>
    <w:rsid w:val="00E91B5A"/>
    <w:rsid w:val="00E96069"/>
    <w:rsid w:val="00E97C15"/>
    <w:rsid w:val="00EA405A"/>
    <w:rsid w:val="00EA6B57"/>
    <w:rsid w:val="00EB7413"/>
    <w:rsid w:val="00EB7620"/>
    <w:rsid w:val="00EC0BD0"/>
    <w:rsid w:val="00EC0DB9"/>
    <w:rsid w:val="00EC2917"/>
    <w:rsid w:val="00EC2AAE"/>
    <w:rsid w:val="00EC7C0E"/>
    <w:rsid w:val="00ED649F"/>
    <w:rsid w:val="00ED6E45"/>
    <w:rsid w:val="00EE2CAF"/>
    <w:rsid w:val="00EE43E4"/>
    <w:rsid w:val="00EE43FC"/>
    <w:rsid w:val="00EE44DA"/>
    <w:rsid w:val="00EF4479"/>
    <w:rsid w:val="00EF51A6"/>
    <w:rsid w:val="00EF766B"/>
    <w:rsid w:val="00F001EA"/>
    <w:rsid w:val="00F056C3"/>
    <w:rsid w:val="00F148D2"/>
    <w:rsid w:val="00F15677"/>
    <w:rsid w:val="00F16B90"/>
    <w:rsid w:val="00F1777B"/>
    <w:rsid w:val="00F202B1"/>
    <w:rsid w:val="00F204C5"/>
    <w:rsid w:val="00F2151F"/>
    <w:rsid w:val="00F34F19"/>
    <w:rsid w:val="00F35F81"/>
    <w:rsid w:val="00F43857"/>
    <w:rsid w:val="00F44A21"/>
    <w:rsid w:val="00F45FC6"/>
    <w:rsid w:val="00F46D31"/>
    <w:rsid w:val="00F47E9D"/>
    <w:rsid w:val="00F52BF5"/>
    <w:rsid w:val="00F575F0"/>
    <w:rsid w:val="00F61B19"/>
    <w:rsid w:val="00F64986"/>
    <w:rsid w:val="00F6664C"/>
    <w:rsid w:val="00F70DFA"/>
    <w:rsid w:val="00F750E7"/>
    <w:rsid w:val="00F75B90"/>
    <w:rsid w:val="00F80AF1"/>
    <w:rsid w:val="00F825BD"/>
    <w:rsid w:val="00F8279D"/>
    <w:rsid w:val="00F8298C"/>
    <w:rsid w:val="00F90245"/>
    <w:rsid w:val="00F920D9"/>
    <w:rsid w:val="00F94781"/>
    <w:rsid w:val="00F9522D"/>
    <w:rsid w:val="00F95842"/>
    <w:rsid w:val="00FA0F05"/>
    <w:rsid w:val="00FA1002"/>
    <w:rsid w:val="00FA456E"/>
    <w:rsid w:val="00FA5388"/>
    <w:rsid w:val="00FA68F3"/>
    <w:rsid w:val="00FB08E3"/>
    <w:rsid w:val="00FB25E7"/>
    <w:rsid w:val="00FB4EDF"/>
    <w:rsid w:val="00FB6861"/>
    <w:rsid w:val="00FB6BF3"/>
    <w:rsid w:val="00FC2854"/>
    <w:rsid w:val="00FC45CB"/>
    <w:rsid w:val="00FC5460"/>
    <w:rsid w:val="00FC78BF"/>
    <w:rsid w:val="00FD2D0C"/>
    <w:rsid w:val="00FD397B"/>
    <w:rsid w:val="00FD4B01"/>
    <w:rsid w:val="00FD52F2"/>
    <w:rsid w:val="00FD79BD"/>
    <w:rsid w:val="00FD7CDC"/>
    <w:rsid w:val="00FE58E0"/>
    <w:rsid w:val="00FE74D0"/>
    <w:rsid w:val="00FF3AFC"/>
    <w:rsid w:val="00FF3C0A"/>
    <w:rsid w:val="01EA7952"/>
    <w:rsid w:val="022D0BAF"/>
    <w:rsid w:val="03D40231"/>
    <w:rsid w:val="03FAD991"/>
    <w:rsid w:val="0554F75A"/>
    <w:rsid w:val="0578BB3C"/>
    <w:rsid w:val="06C64EA6"/>
    <w:rsid w:val="06EAFE59"/>
    <w:rsid w:val="08B2961E"/>
    <w:rsid w:val="08D9FAC3"/>
    <w:rsid w:val="09036696"/>
    <w:rsid w:val="0B1B0DBF"/>
    <w:rsid w:val="0B922FA4"/>
    <w:rsid w:val="0CBCF7A9"/>
    <w:rsid w:val="0CCF255C"/>
    <w:rsid w:val="0D4B138A"/>
    <w:rsid w:val="0F27BE06"/>
    <w:rsid w:val="108B3B2E"/>
    <w:rsid w:val="112CE3B0"/>
    <w:rsid w:val="11533C99"/>
    <w:rsid w:val="117D45BE"/>
    <w:rsid w:val="11832631"/>
    <w:rsid w:val="11A9E574"/>
    <w:rsid w:val="11CFB74C"/>
    <w:rsid w:val="122C1D69"/>
    <w:rsid w:val="12B3949D"/>
    <w:rsid w:val="134957FE"/>
    <w:rsid w:val="138A3FB0"/>
    <w:rsid w:val="138EC02C"/>
    <w:rsid w:val="1467D43E"/>
    <w:rsid w:val="14D2322A"/>
    <w:rsid w:val="161F1E4D"/>
    <w:rsid w:val="1652753C"/>
    <w:rsid w:val="166D1E98"/>
    <w:rsid w:val="17225329"/>
    <w:rsid w:val="17D4BEE7"/>
    <w:rsid w:val="18E7E2F9"/>
    <w:rsid w:val="1A0E4972"/>
    <w:rsid w:val="1AAE3310"/>
    <w:rsid w:val="1AB8785B"/>
    <w:rsid w:val="1B16D39F"/>
    <w:rsid w:val="1B5432A7"/>
    <w:rsid w:val="1BBDFA61"/>
    <w:rsid w:val="1BDE3360"/>
    <w:rsid w:val="1CFE2EA3"/>
    <w:rsid w:val="1D17A016"/>
    <w:rsid w:val="1D6AF7BE"/>
    <w:rsid w:val="1DEEADBF"/>
    <w:rsid w:val="1EA6DFFF"/>
    <w:rsid w:val="1F248675"/>
    <w:rsid w:val="1FE02F25"/>
    <w:rsid w:val="1FF9518A"/>
    <w:rsid w:val="2029289E"/>
    <w:rsid w:val="20480974"/>
    <w:rsid w:val="207B8F4B"/>
    <w:rsid w:val="209DD323"/>
    <w:rsid w:val="21FB7FB4"/>
    <w:rsid w:val="222E9639"/>
    <w:rsid w:val="226FA457"/>
    <w:rsid w:val="2282993A"/>
    <w:rsid w:val="23826701"/>
    <w:rsid w:val="23E0CE85"/>
    <w:rsid w:val="24128B53"/>
    <w:rsid w:val="245DDA9F"/>
    <w:rsid w:val="24877102"/>
    <w:rsid w:val="24FAF63E"/>
    <w:rsid w:val="2573EE1C"/>
    <w:rsid w:val="25917671"/>
    <w:rsid w:val="25BFEE28"/>
    <w:rsid w:val="26362A2A"/>
    <w:rsid w:val="26AC6105"/>
    <w:rsid w:val="26EB9D8A"/>
    <w:rsid w:val="27D3A361"/>
    <w:rsid w:val="28193958"/>
    <w:rsid w:val="28B8FB87"/>
    <w:rsid w:val="29595DEF"/>
    <w:rsid w:val="2A45E603"/>
    <w:rsid w:val="2A935F4B"/>
    <w:rsid w:val="2AAB011B"/>
    <w:rsid w:val="2B534CF4"/>
    <w:rsid w:val="2B58E7E3"/>
    <w:rsid w:val="2B7332F5"/>
    <w:rsid w:val="2B8255D5"/>
    <w:rsid w:val="2BEF25CC"/>
    <w:rsid w:val="2BF110FF"/>
    <w:rsid w:val="2C0B180C"/>
    <w:rsid w:val="2C6D5E1F"/>
    <w:rsid w:val="2D1E9532"/>
    <w:rsid w:val="2D512C1E"/>
    <w:rsid w:val="2E165C36"/>
    <w:rsid w:val="2E902074"/>
    <w:rsid w:val="2ECB812E"/>
    <w:rsid w:val="2EECFC7F"/>
    <w:rsid w:val="2F2393BC"/>
    <w:rsid w:val="2F283D0B"/>
    <w:rsid w:val="3026BD1F"/>
    <w:rsid w:val="30612704"/>
    <w:rsid w:val="32E0CD00"/>
    <w:rsid w:val="33E6441C"/>
    <w:rsid w:val="34A5EA18"/>
    <w:rsid w:val="34FEA129"/>
    <w:rsid w:val="35977E8F"/>
    <w:rsid w:val="3607266D"/>
    <w:rsid w:val="366702B3"/>
    <w:rsid w:val="36C137BD"/>
    <w:rsid w:val="37DCD519"/>
    <w:rsid w:val="37F5BFF1"/>
    <w:rsid w:val="37F90DAA"/>
    <w:rsid w:val="3853DE42"/>
    <w:rsid w:val="38D70CD7"/>
    <w:rsid w:val="39E8EABA"/>
    <w:rsid w:val="3A5C583A"/>
    <w:rsid w:val="3ADFAA1A"/>
    <w:rsid w:val="3B4EA13C"/>
    <w:rsid w:val="3B73F11B"/>
    <w:rsid w:val="3D0744FD"/>
    <w:rsid w:val="3D44DCC3"/>
    <w:rsid w:val="3D57DB79"/>
    <w:rsid w:val="3E0C60E9"/>
    <w:rsid w:val="3E336DB5"/>
    <w:rsid w:val="3E5B12DB"/>
    <w:rsid w:val="3EBC5BDD"/>
    <w:rsid w:val="3F2C2271"/>
    <w:rsid w:val="40E21EBC"/>
    <w:rsid w:val="41667CF4"/>
    <w:rsid w:val="41E1B04B"/>
    <w:rsid w:val="420DA941"/>
    <w:rsid w:val="4219E185"/>
    <w:rsid w:val="438FCD00"/>
    <w:rsid w:val="43AB5A4F"/>
    <w:rsid w:val="43D257B0"/>
    <w:rsid w:val="44436DAE"/>
    <w:rsid w:val="4540761B"/>
    <w:rsid w:val="459C6782"/>
    <w:rsid w:val="45C251D6"/>
    <w:rsid w:val="45CDBB22"/>
    <w:rsid w:val="45EF2388"/>
    <w:rsid w:val="46103EC1"/>
    <w:rsid w:val="46520F0F"/>
    <w:rsid w:val="46C18D0A"/>
    <w:rsid w:val="46E764CD"/>
    <w:rsid w:val="47950210"/>
    <w:rsid w:val="488BEC02"/>
    <w:rsid w:val="48D47CFA"/>
    <w:rsid w:val="4AAE11D7"/>
    <w:rsid w:val="4ADE74F2"/>
    <w:rsid w:val="4B7ECEBE"/>
    <w:rsid w:val="4BDC43DA"/>
    <w:rsid w:val="4C007045"/>
    <w:rsid w:val="4D22ABF0"/>
    <w:rsid w:val="4F015749"/>
    <w:rsid w:val="4F5DD2EB"/>
    <w:rsid w:val="4FA417E5"/>
    <w:rsid w:val="507A3EF0"/>
    <w:rsid w:val="50DBD7CE"/>
    <w:rsid w:val="50FBCD10"/>
    <w:rsid w:val="511BD922"/>
    <w:rsid w:val="5289F5CB"/>
    <w:rsid w:val="52C0BFE4"/>
    <w:rsid w:val="52EAFB40"/>
    <w:rsid w:val="53EC8E86"/>
    <w:rsid w:val="53F93545"/>
    <w:rsid w:val="546574E4"/>
    <w:rsid w:val="54CB0264"/>
    <w:rsid w:val="55917812"/>
    <w:rsid w:val="55D1CE75"/>
    <w:rsid w:val="577989DF"/>
    <w:rsid w:val="57DA815A"/>
    <w:rsid w:val="57F5E814"/>
    <w:rsid w:val="58421EA0"/>
    <w:rsid w:val="59C26E8A"/>
    <w:rsid w:val="5A2FDADF"/>
    <w:rsid w:val="5A3FD1F0"/>
    <w:rsid w:val="5AEFCCE4"/>
    <w:rsid w:val="5B504209"/>
    <w:rsid w:val="5B926486"/>
    <w:rsid w:val="5C29BA56"/>
    <w:rsid w:val="5CDE89BB"/>
    <w:rsid w:val="5E0E2727"/>
    <w:rsid w:val="5EB16024"/>
    <w:rsid w:val="5F193ED6"/>
    <w:rsid w:val="5F218395"/>
    <w:rsid w:val="5FA060C8"/>
    <w:rsid w:val="6039453A"/>
    <w:rsid w:val="612DCD0B"/>
    <w:rsid w:val="6163200B"/>
    <w:rsid w:val="6173E722"/>
    <w:rsid w:val="620E6BEC"/>
    <w:rsid w:val="6242D410"/>
    <w:rsid w:val="62FFA96E"/>
    <w:rsid w:val="649C5179"/>
    <w:rsid w:val="653663C0"/>
    <w:rsid w:val="656985AE"/>
    <w:rsid w:val="659B08DB"/>
    <w:rsid w:val="65C1C21A"/>
    <w:rsid w:val="65EB25BF"/>
    <w:rsid w:val="66504E75"/>
    <w:rsid w:val="69D786D2"/>
    <w:rsid w:val="6A02971B"/>
    <w:rsid w:val="6A1A1549"/>
    <w:rsid w:val="6A81A04B"/>
    <w:rsid w:val="6B040F91"/>
    <w:rsid w:val="6B6E3EF6"/>
    <w:rsid w:val="6C297B44"/>
    <w:rsid w:val="6DCFA94B"/>
    <w:rsid w:val="6DFCBA61"/>
    <w:rsid w:val="70836D18"/>
    <w:rsid w:val="70B012A9"/>
    <w:rsid w:val="70E1FD7E"/>
    <w:rsid w:val="70FC580C"/>
    <w:rsid w:val="73A25736"/>
    <w:rsid w:val="73A7CF32"/>
    <w:rsid w:val="73B48E88"/>
    <w:rsid w:val="7426265F"/>
    <w:rsid w:val="742D7365"/>
    <w:rsid w:val="746ED47E"/>
    <w:rsid w:val="7548B16D"/>
    <w:rsid w:val="76633566"/>
    <w:rsid w:val="76A5C4FF"/>
    <w:rsid w:val="7711327B"/>
    <w:rsid w:val="7769686A"/>
    <w:rsid w:val="77FD487F"/>
    <w:rsid w:val="78008602"/>
    <w:rsid w:val="78A725C8"/>
    <w:rsid w:val="7955C2C1"/>
    <w:rsid w:val="7956D46C"/>
    <w:rsid w:val="796E6BD0"/>
    <w:rsid w:val="796F0940"/>
    <w:rsid w:val="79797349"/>
    <w:rsid w:val="7995531D"/>
    <w:rsid w:val="79B0DF7C"/>
    <w:rsid w:val="7B7F1D7B"/>
    <w:rsid w:val="7B94CC1F"/>
    <w:rsid w:val="7BAF5542"/>
    <w:rsid w:val="7BF3C1B8"/>
    <w:rsid w:val="7D26D322"/>
    <w:rsid w:val="7E245F73"/>
    <w:rsid w:val="7E290CAB"/>
    <w:rsid w:val="7F3A3EB8"/>
    <w:rsid w:val="7F7BF901"/>
    <w:rsid w:val="7F97F6D5"/>
    <w:rsid w:val="7FFC0A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B5DABF"/>
  <w15:docId w15:val="{E7306FA5-C0C7-4DC3-9195-6DD22761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D2080D"/>
    <w:pPr>
      <w:keepNext/>
      <w:keepLines/>
      <w:spacing w:before="24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D2080D"/>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17016E"/>
    <w:pPr>
      <w:numPr>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style>
  <w:style w:type="paragraph" w:styleId="TOCHeading">
    <w:name w:val="TOC Heading"/>
    <w:basedOn w:val="Heading1"/>
    <w:next w:val="Normal"/>
    <w:autoRedefine/>
    <w:uiPriority w:val="39"/>
    <w:qFormat/>
    <w:rsid w:val="0088601F"/>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88601F"/>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uiPriority w:val="99"/>
    <w:unhideWhenUsed/>
    <w:lock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rsid w:val="001D3733"/>
    <w:rPr>
      <w:b/>
      <w:bCs/>
    </w:rPr>
  </w:style>
  <w:style w:type="character" w:customStyle="1" w:styleId="CommentSubjectChar">
    <w:name w:val="Comment Subject Char"/>
    <w:basedOn w:val="CommentTextChar"/>
    <w:link w:val="CommentSubject"/>
    <w:uiPriority w:val="99"/>
    <w:semiHidden/>
    <w:rsid w:val="001D3733"/>
    <w:rPr>
      <w:b/>
      <w:bCs/>
      <w:sz w:val="20"/>
      <w:szCs w:val="20"/>
    </w:rPr>
  </w:style>
  <w:style w:type="character" w:styleId="FollowedHyperlink">
    <w:name w:val="FollowedHyperlink"/>
    <w:basedOn w:val="DefaultParagraphFont"/>
    <w:uiPriority w:val="99"/>
    <w:semiHidden/>
    <w:unhideWhenUsed/>
    <w:locked/>
    <w:rsid w:val="005D5020"/>
    <w:rPr>
      <w:color w:val="5D9732" w:themeColor="followedHyperlink"/>
      <w:u w:val="single"/>
    </w:rPr>
  </w:style>
  <w:style w:type="paragraph" w:styleId="Revision">
    <w:name w:val="Revision"/>
    <w:hidden/>
    <w:uiPriority w:val="99"/>
    <w:semiHidden/>
    <w:rsid w:val="0088601F"/>
    <w:pPr>
      <w:spacing w:after="0"/>
    </w:pPr>
  </w:style>
  <w:style w:type="character" w:styleId="UnresolvedMention">
    <w:name w:val="Unresolved Mention"/>
    <w:basedOn w:val="DefaultParagraphFont"/>
    <w:uiPriority w:val="99"/>
    <w:semiHidden/>
    <w:unhideWhenUsed/>
    <w:rsid w:val="00234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1.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image" Target="media/image3.png" /><Relationship Id="rId19" Type="http://schemas.openxmlformats.org/officeDocument/2006/relationships/hyperlink" Target="http://www.law.cornell.edu/uscode/html/uscode42/usc_sec_42_00007135----000-.html" TargetMode="External" /><Relationship Id="rId2" Type="http://schemas.openxmlformats.org/officeDocument/2006/relationships/webSettings" Target="webSettings.xml" /><Relationship Id="rId20" Type="http://schemas.openxmlformats.org/officeDocument/2006/relationships/hyperlink" Target="https://www.energy.gov/eere/iedo/manufacturing-energy-and-carbon-footprints-2018-mecs" TargetMode="External" /><Relationship Id="rId21" Type="http://schemas.openxmlformats.org/officeDocument/2006/relationships/image" Target="media/image4.emf" /><Relationship Id="rId22" Type="http://schemas.openxmlformats.org/officeDocument/2006/relationships/package" Target="embeddings/ooxmlPackage1.xlsx" /><Relationship Id="rId23" Type="http://schemas.openxmlformats.org/officeDocument/2006/relationships/hyperlink" Target="http://www.eia.gov/consumption/manufacturing/index.cfm" TargetMode="External" /><Relationship Id="rId24" Type="http://schemas.openxmlformats.org/officeDocument/2006/relationships/footer" Target="footer7.xml" /><Relationship Id="rId25" Type="http://schemas.openxmlformats.org/officeDocument/2006/relationships/glossaryDocument" Target="glossary/document.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oudyOlSt BT">
    <w:altName w:val="Georgia"/>
    <w:charset w:val="00"/>
    <w:family w:val="roman"/>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117D80"/>
    <w:rsid w:val="00130B03"/>
    <w:rsid w:val="001D77BD"/>
    <w:rsid w:val="00211D77"/>
    <w:rsid w:val="00261945"/>
    <w:rsid w:val="002B4F3A"/>
    <w:rsid w:val="00330CA8"/>
    <w:rsid w:val="00331311"/>
    <w:rsid w:val="003436BE"/>
    <w:rsid w:val="003D7F2B"/>
    <w:rsid w:val="00450C80"/>
    <w:rsid w:val="0048315A"/>
    <w:rsid w:val="004C4152"/>
    <w:rsid w:val="004E1B7B"/>
    <w:rsid w:val="00554C45"/>
    <w:rsid w:val="0057336A"/>
    <w:rsid w:val="005C5AE5"/>
    <w:rsid w:val="005F3F98"/>
    <w:rsid w:val="006267A2"/>
    <w:rsid w:val="00671C11"/>
    <w:rsid w:val="006A75E6"/>
    <w:rsid w:val="006C4D74"/>
    <w:rsid w:val="006D4CA8"/>
    <w:rsid w:val="0070419A"/>
    <w:rsid w:val="007308EF"/>
    <w:rsid w:val="0076630E"/>
    <w:rsid w:val="00785417"/>
    <w:rsid w:val="007B6529"/>
    <w:rsid w:val="00813918"/>
    <w:rsid w:val="009546EF"/>
    <w:rsid w:val="00955A53"/>
    <w:rsid w:val="0097548D"/>
    <w:rsid w:val="00976DD9"/>
    <w:rsid w:val="009B404D"/>
    <w:rsid w:val="009E75B6"/>
    <w:rsid w:val="00A03A47"/>
    <w:rsid w:val="00A062FF"/>
    <w:rsid w:val="00A5405F"/>
    <w:rsid w:val="00AA6C1C"/>
    <w:rsid w:val="00B52E24"/>
    <w:rsid w:val="00B8666B"/>
    <w:rsid w:val="00B952BB"/>
    <w:rsid w:val="00C02588"/>
    <w:rsid w:val="00C1501C"/>
    <w:rsid w:val="00C36E3A"/>
    <w:rsid w:val="00C670C2"/>
    <w:rsid w:val="00D028F5"/>
    <w:rsid w:val="00D17918"/>
    <w:rsid w:val="00D27ECC"/>
    <w:rsid w:val="00D4321D"/>
    <w:rsid w:val="00D508DA"/>
    <w:rsid w:val="00D51D29"/>
    <w:rsid w:val="00D67EBC"/>
    <w:rsid w:val="00E32579"/>
    <w:rsid w:val="00E90DE3"/>
    <w:rsid w:val="00EF766B"/>
    <w:rsid w:val="00EF77FA"/>
    <w:rsid w:val="00F35F81"/>
    <w:rsid w:val="00F513AE"/>
    <w:rsid w:val="00FE11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AD706D01D33245979051D7ADEA80FD" ma:contentTypeVersion="3" ma:contentTypeDescription="Create a new document." ma:contentTypeScope="" ma:versionID="083a2d992d3768e0681cb858b849dd1e">
  <xsd:schema xmlns:xsd="http://www.w3.org/2001/XMLSchema" xmlns:xs="http://www.w3.org/2001/XMLSchema" xmlns:p="http://schemas.microsoft.com/office/2006/metadata/properties" xmlns:ns2="3be06a51-72dd-45b9-9ac9-71b5c8f5b318" targetNamespace="http://schemas.microsoft.com/office/2006/metadata/properties" ma:root="true" ma:fieldsID="5c029be2b6b8a70c0abb60e6eab334a6" ns2:_="">
    <xsd:import namespace="3be06a51-72dd-45b9-9ac9-71b5c8f5b3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06a51-72dd-45b9-9ac9-71b5c8f5b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ECF657-1128-4E7F-836D-E0FAD3EAB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06a51-72dd-45b9-9ac9-71b5c8f5b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871F4-6C65-4938-8F24-F1787D36F4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846D27-228F-4694-8D2A-D1D2F25B8328}">
  <ds:schemaRefs>
    <ds:schemaRef ds:uri="http://schemas.openxmlformats.org/officeDocument/2006/bibliography"/>
  </ds:schemaRefs>
</ds:datastoreItem>
</file>

<file path=customXml/itemProps5.xml><?xml version="1.0" encoding="utf-8"?>
<ds:datastoreItem xmlns:ds="http://schemas.openxmlformats.org/officeDocument/2006/customXml" ds:itemID="{40FE3C40-20DA-4FFE-8C33-B41EB14A1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5494</Words>
  <Characters>31347</Characters>
  <Application>Microsoft Office Word</Application>
  <DocSecurity>0</DocSecurity>
  <Lines>497</Lines>
  <Paragraphs>137</Paragraphs>
  <ScaleCrop>false</ScaleCrop>
  <HeadingPairs>
    <vt:vector size="2" baseType="variant">
      <vt:variant>
        <vt:lpstr>Title</vt:lpstr>
      </vt:variant>
      <vt:variant>
        <vt:i4>1</vt:i4>
      </vt:variant>
    </vt:vector>
  </HeadingPairs>
  <TitlesOfParts>
    <vt:vector size="1" baseType="lpstr">
      <vt:lpstr>Supporting Statement for Survey Clearance</vt:lpstr>
    </vt:vector>
  </TitlesOfParts>
  <Company/>
  <LinksUpToDate>false</LinksUpToDate>
  <CharactersWithSpaces>36758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Annual Manufacturing Energy Consumption Survey</dc:title>
  <dc:subject>Improving the Quality and Scope of EIA Data</dc:subject>
  <dc:creator>Stroud, Lawrence</dc:creator>
  <cp:lastModifiedBy>Hernandez, Aryn D.</cp:lastModifiedBy>
  <cp:revision>3</cp:revision>
  <cp:lastPrinted>2011-12-12T20:42:00Z</cp:lastPrinted>
  <dcterms:created xsi:type="dcterms:W3CDTF">2026-05-08T15:45:00Z</dcterms:created>
  <dcterms:modified xsi:type="dcterms:W3CDTF">2026-05-08T15:52:00Z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0x0101001CAD706D01D33245979051D7ADEA80FD</vt:lpwstr>
  </property>
  <property fmtid="{D5CDD505-2E9C-101B-9397-08002B2CF9AE}" pid="3" name="docLang">
    <vt:lpwstr>en</vt:lpwstr>
  </property>
</Properties>
</file>