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noProof/>
        </w:rPr>
        <w:id w:val="1260801264"/>
        <w:docPartObj>
          <w:docPartGallery w:val="Cover Pages"/>
        </w:docPartObj>
      </w:sdtPr>
      <w:sdtEndPr>
        <w:rPr>
          <w:noProof w:val="0"/>
        </w:rPr>
      </w:sdtEndPr>
      <w:sdtContent>
        <w:p w:rsidR="00026B36" w:rsidP="00026B36" w14:paraId="5F8699E7" w14:textId="77777777">
          <w:pPr>
            <w:rPr>
              <w:noProof/>
            </w:rPr>
          </w:pPr>
        </w:p>
        <w:p w:rsidR="00026B36" w:rsidP="00026B36" w14:paraId="49CB1CDE" w14:textId="77777777">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softHyphen/>
          </w:r>
          <w:r>
            <w:rPr>
              <w:noProof/>
            </w:rPr>
            <w:softHyphen/>
          </w:r>
          <w:r>
            <w:rPr>
              <w:noProof/>
            </w:rPr>
            <w:softHyphen/>
          </w:r>
        </w:p>
        <w:p w:rsidR="00026B36" w:rsidP="00026B36" w14:paraId="101F4459" w14:textId="77777777"/>
        <w:p w:rsidR="00026B36" w:rsidP="00026B36" w14:paraId="1A8DB9B0" w14:textId="77777777">
          <w:r>
            <w:tab/>
          </w:r>
        </w:p>
        <w:p w:rsidR="00026B36" w:rsidP="00026B36" w14:paraId="4A1966FC" w14:textId="77777777"/>
        <w:p w:rsidR="00026B36" w:rsidP="00026B36" w14:paraId="4B90A76A" w14:textId="77777777"/>
        <w:p w:rsidR="00026B36" w:rsidP="00026B36" w14:paraId="07736D7F" w14:textId="77777777"/>
        <w:p w:rsidR="00026B36" w:rsidP="00026B36" w14:paraId="723C4865" w14:textId="77777777">
          <w:r>
            <w:rPr>
              <w:noProof/>
            </w:rPr>
            <mc:AlternateContent>
              <mc:Choice Requires="wps">
                <w:drawing>
                  <wp:anchor distT="0" distB="0" distL="114300" distR="114300" simplePos="0" relativeHeight="251667456" behindDoc="0" locked="0" layoutInCell="1" allowOverlap="1">
                    <wp:simplePos x="0" y="0"/>
                    <wp:positionH relativeFrom="margin">
                      <wp:posOffset>388620</wp:posOffset>
                    </wp:positionH>
                    <wp:positionV relativeFrom="margin">
                      <wp:posOffset>5821680</wp:posOffset>
                    </wp:positionV>
                    <wp:extent cx="5318760" cy="1844040"/>
                    <wp:effectExtent l="0" t="0" r="0" b="0"/>
                    <wp:wrapSquare wrapText="bothSides"/>
                    <wp:docPr id="1995249557"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844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26B36" w:rsidRPr="00E054DF" w:rsidP="00026B36" w14:textId="287DE716">
                                <w:pPr>
                                  <w:pStyle w:val="Boxtext"/>
                                  <w:rPr>
                                    <w:rFonts w:ascii="Times New Roman" w:hAnsi="Times New Roman"/>
                                    <w:sz w:val="36"/>
                                    <w:szCs w:val="36"/>
                                  </w:rPr>
                                </w:pPr>
                                <w:bookmarkStart w:id="0" w:name="_Toc466046933"/>
                                <w:r w:rsidRPr="00E054DF">
                                  <w:rPr>
                                    <w:rStyle w:val="Heading1Char"/>
                                  </w:rPr>
                                  <w:t>Part B: Collections of Information Employing Statistical Methods</w:t>
                                </w:r>
                                <w:bookmarkEnd w:id="0"/>
                                <w:r>
                                  <w:br/>
                                </w:r>
                                <w:r w:rsidRPr="00E054DF">
                                  <w:rPr>
                                    <w:rFonts w:ascii="Times New Roman" w:hAnsi="Times New Roman"/>
                                    <w:sz w:val="36"/>
                                    <w:szCs w:val="36"/>
                                  </w:rPr>
                                  <w:t>OMB No. 1905</w:t>
                                </w:r>
                                <w:r>
                                  <w:rPr>
                                    <w:rFonts w:ascii="Times New Roman" w:hAnsi="Times New Roman"/>
                                    <w:sz w:val="36"/>
                                    <w:szCs w:val="36"/>
                                  </w:rPr>
                                  <w:t>-NEW</w:t>
                                </w:r>
                              </w:p>
                              <w:p w:rsidR="00026B36" w:rsidRPr="0059212D" w:rsidP="00026B36" w14:textId="461A9D73">
                                <w:pPr>
                                  <w:rPr>
                                    <w:i/>
                                    <w:sz w:val="28"/>
                                    <w:szCs w:val="28"/>
                                  </w:rPr>
                                </w:pPr>
                                <w:r w:rsidRPr="0059212D">
                                  <w:rPr>
                                    <w:i/>
                                    <w:sz w:val="28"/>
                                    <w:szCs w:val="28"/>
                                  </w:rPr>
                                  <w:t>Form EIA-</w:t>
                                </w:r>
                                <w:r>
                                  <w:rPr>
                                    <w:i/>
                                    <w:sz w:val="28"/>
                                    <w:szCs w:val="28"/>
                                  </w:rPr>
                                  <w:t>847</w:t>
                                </w:r>
                                <w:r w:rsidRPr="0059212D">
                                  <w:rPr>
                                    <w:i/>
                                    <w:sz w:val="28"/>
                                    <w:szCs w:val="28"/>
                                  </w:rPr>
                                  <w:t xml:space="preserve">, </w:t>
                                </w:r>
                                <w:r>
                                  <w:rPr>
                                    <w:i/>
                                    <w:sz w:val="28"/>
                                    <w:szCs w:val="28"/>
                                  </w:rPr>
                                  <w:t>Annual Manufacturing Energy Consumption Survey</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18.8pt;height:145.2pt;margin-top:458.4pt;margin-left:3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026B36" w:rsidRPr="00E054DF" w:rsidP="00026B36" w14:paraId="1DE88025" w14:textId="287DE716">
                          <w:pPr>
                            <w:pStyle w:val="Boxtext"/>
                            <w:rPr>
                              <w:rFonts w:ascii="Times New Roman" w:hAnsi="Times New Roman"/>
                              <w:sz w:val="36"/>
                              <w:szCs w:val="36"/>
                            </w:rPr>
                          </w:pPr>
                          <w:bookmarkStart w:id="0" w:name="_Toc466046933"/>
                          <w:r w:rsidRPr="00E054DF">
                            <w:rPr>
                              <w:rStyle w:val="Heading1Char"/>
                            </w:rPr>
                            <w:t>Part B: Collections of Information Employing Statistical Methods</w:t>
                          </w:r>
                          <w:bookmarkEnd w:id="0"/>
                          <w:r>
                            <w:br/>
                          </w:r>
                          <w:r w:rsidRPr="00E054DF">
                            <w:rPr>
                              <w:rFonts w:ascii="Times New Roman" w:hAnsi="Times New Roman"/>
                              <w:sz w:val="36"/>
                              <w:szCs w:val="36"/>
                            </w:rPr>
                            <w:t>OMB No. 1905</w:t>
                          </w:r>
                          <w:r>
                            <w:rPr>
                              <w:rFonts w:ascii="Times New Roman" w:hAnsi="Times New Roman"/>
                              <w:sz w:val="36"/>
                              <w:szCs w:val="36"/>
                            </w:rPr>
                            <w:t>-NEW</w:t>
                          </w:r>
                        </w:p>
                        <w:p w:rsidR="00026B36" w:rsidRPr="0059212D" w:rsidP="00026B36" w14:paraId="7B88C0F0" w14:textId="461A9D73">
                          <w:pPr>
                            <w:rPr>
                              <w:i/>
                              <w:sz w:val="28"/>
                              <w:szCs w:val="28"/>
                            </w:rPr>
                          </w:pPr>
                          <w:r w:rsidRPr="0059212D">
                            <w:rPr>
                              <w:i/>
                              <w:sz w:val="28"/>
                              <w:szCs w:val="28"/>
                            </w:rPr>
                            <w:t>Form EIA-</w:t>
                          </w:r>
                          <w:r>
                            <w:rPr>
                              <w:i/>
                              <w:sz w:val="28"/>
                              <w:szCs w:val="28"/>
                            </w:rPr>
                            <w:t>847</w:t>
                          </w:r>
                          <w:r w:rsidRPr="0059212D">
                            <w:rPr>
                              <w:i/>
                              <w:sz w:val="28"/>
                              <w:szCs w:val="28"/>
                            </w:rPr>
                            <w:t xml:space="preserve">, </w:t>
                          </w:r>
                          <w:r>
                            <w:rPr>
                              <w:i/>
                              <w:sz w:val="28"/>
                              <w:szCs w:val="28"/>
                            </w:rPr>
                            <w:t>Annual Manufacturing Energy Consumption Survey</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1244857928"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26B36" w:rsidRPr="009F61F7" w:rsidP="00026B36" w14:textId="536E1A0E">
                                <w:pPr>
                                  <w:spacing w:line="276" w:lineRule="auto"/>
                                  <w:rPr>
                                    <w:b/>
                                    <w:sz w:val="60"/>
                                    <w:szCs w:val="60"/>
                                  </w:rPr>
                                </w:pPr>
                                <w:r>
                                  <w:rPr>
                                    <w:rFonts w:ascii="Times New Roman" w:hAnsi="Times New Roman"/>
                                    <w:b/>
                                    <w:color w:val="139CD8"/>
                                    <w:sz w:val="60"/>
                                    <w:szCs w:val="60"/>
                                  </w:rPr>
                                  <w:t>Supporting Statement for Annual Manufacturing Energy Consumption Survey</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6"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026B36" w:rsidRPr="009F61F7" w:rsidP="00026B36" w14:paraId="72E81D81" w14:textId="536E1A0E">
                          <w:pPr>
                            <w:spacing w:line="276" w:lineRule="auto"/>
                            <w:rPr>
                              <w:b/>
                              <w:sz w:val="60"/>
                              <w:szCs w:val="60"/>
                            </w:rPr>
                          </w:pPr>
                          <w:r>
                            <w:rPr>
                              <w:rFonts w:ascii="Times New Roman" w:hAnsi="Times New Roman"/>
                              <w:b/>
                              <w:color w:val="139CD8"/>
                              <w:sz w:val="60"/>
                              <w:szCs w:val="60"/>
                            </w:rPr>
                            <w:t xml:space="preserve">Supporting Statement for </w:t>
                          </w:r>
                          <w:r>
                            <w:rPr>
                              <w:rFonts w:ascii="Times New Roman" w:hAnsi="Times New Roman"/>
                              <w:b/>
                              <w:color w:val="139CD8"/>
                              <w:sz w:val="60"/>
                              <w:szCs w:val="60"/>
                            </w:rPr>
                            <w:t>Annual Manufacturing Energy Consumption Survey</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026B36" w:rsidRPr="00E054DF" w:rsidP="00026B36"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026B36" w:rsidRPr="00E054DF" w:rsidP="00026B36"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026B36" w:rsidRPr="00E054DF" w:rsidP="00026B36"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026B36" w:rsidRPr="00E054DF" w:rsidP="00026B36" w14:paraId="7BE5DA67"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026B36" w:rsidRPr="00E054DF" w:rsidP="00026B36" w14:paraId="3BF8A73E"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026B36" w:rsidRPr="00E054DF" w:rsidP="00026B36" w14:paraId="4D34B8E2"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026B36" w:rsidP="00026B36" w14:textId="77777777">
                                <w:r w:rsidRPr="00583CFD">
                                  <w:rPr>
                                    <w:noProof/>
                                  </w:rPr>
                                  <w:drawing>
                                    <wp:inline distT="0" distB="0" distL="0" distR="0">
                                      <wp:extent cx="2162175" cy="476250"/>
                                      <wp:effectExtent l="0" t="0" r="0" b="0"/>
                                      <wp:docPr id="1544854120"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54120"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026B36" w:rsidP="00026B36" w14:paraId="3E41EEB2" w14:textId="77777777">
                          <w:drawing>
                            <wp:inline distT="0" distB="0" distL="0" distR="0">
                              <wp:extent cx="2162175" cy="476250"/>
                              <wp:effectExtent l="0" t="0" r="0" b="0"/>
                              <wp:docPr id="205642849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28491"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26B36" w:rsidRPr="00E054DF" w:rsidP="00026B36" w14:textId="6C88E77A">
                                <w:pPr>
                                  <w:rPr>
                                    <w:rFonts w:ascii="Franklin Gothic Medium" w:hAnsi="Franklin Gothic Medium"/>
                                    <w:color w:val="7F7F7F"/>
                                    <w:sz w:val="36"/>
                                  </w:rPr>
                                </w:pPr>
                                <w:r>
                                  <w:rPr>
                                    <w:rFonts w:ascii="Franklin Gothic Medium" w:hAnsi="Franklin Gothic Medium"/>
                                    <w:color w:val="7F7F7F"/>
                                    <w:sz w:val="36"/>
                                  </w:rPr>
                                  <w:t>May</w:t>
                                </w:r>
                                <w:r w:rsidRPr="00E054DF">
                                  <w:rPr>
                                    <w:rFonts w:ascii="Franklin Gothic Medium" w:hAnsi="Franklin Gothic Medium"/>
                                    <w:color w:val="7F7F7F"/>
                                    <w:sz w:val="36"/>
                                  </w:rPr>
                                  <w:t xml:space="preserve"> 202</w:t>
                                </w:r>
                                <w:r>
                                  <w:rPr>
                                    <w:rFonts w:ascii="Franklin Gothic Medium" w:hAnsi="Franklin Gothic Medium"/>
                                    <w:color w:val="7F7F7F"/>
                                    <w:sz w:val="36"/>
                                  </w:rPr>
                                  <w:t>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width:187.2pt;height:37.6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026B36" w:rsidRPr="00E054DF" w:rsidP="00026B36" w14:paraId="3CC31132" w14:textId="6C88E77A">
                          <w:pPr>
                            <w:rPr>
                              <w:rFonts w:ascii="Franklin Gothic Medium" w:hAnsi="Franklin Gothic Medium"/>
                              <w:color w:val="7F7F7F"/>
                              <w:sz w:val="36"/>
                            </w:rPr>
                          </w:pPr>
                          <w:r>
                            <w:rPr>
                              <w:rFonts w:ascii="Franklin Gothic Medium" w:hAnsi="Franklin Gothic Medium"/>
                              <w:color w:val="7F7F7F"/>
                              <w:sz w:val="36"/>
                            </w:rPr>
                            <w:t>May</w:t>
                          </w:r>
                          <w:r w:rsidRPr="00E054DF">
                            <w:rPr>
                              <w:rFonts w:ascii="Franklin Gothic Medium" w:hAnsi="Franklin Gothic Medium"/>
                              <w:color w:val="7F7F7F"/>
                              <w:sz w:val="36"/>
                            </w:rPr>
                            <w:t xml:space="preserve"> 202</w:t>
                          </w:r>
                          <w:r>
                            <w:rPr>
                              <w:rFonts w:ascii="Franklin Gothic Medium" w:hAnsi="Franklin Gothic Medium"/>
                              <w:color w:val="7F7F7F"/>
                              <w:sz w:val="36"/>
                            </w:rPr>
                            <w:t>6</w:t>
                          </w:r>
                        </w:p>
                      </w:txbxContent>
                    </v:textbox>
                    <w10:wrap type="square"/>
                  </v:shape>
                </w:pict>
              </mc:Fallback>
            </mc:AlternateContent>
          </w:r>
          <w:r>
            <w:br w:type="page"/>
          </w:r>
        </w:p>
        <w:p w:rsidR="00026B36" w:rsidP="00026B36" w14:paraId="0DB251CA" w14:textId="77777777">
          <w:pPr>
            <w:sectPr w:rsidSect="00026B36">
              <w:footerReference w:type="default" r:id="rId12"/>
              <w:footnotePr>
                <w:pos w:val="beneathText"/>
              </w:footnotePr>
              <w:type w:val="continuous"/>
              <w:pgSz w:w="12240" w:h="15840"/>
              <w:pgMar w:top="720" w:right="1440" w:bottom="720" w:left="1440" w:header="720" w:footer="720" w:gutter="0"/>
              <w:pgNumType w:fmt="lowerRoman" w:start="0"/>
              <w:cols w:space="720"/>
              <w:titlePg/>
              <w:docGrid w:linePitch="360"/>
            </w:sectPr>
          </w:pPr>
        </w:p>
        <w:p w:rsidR="00026B36" w:rsidP="00026B36" w14:paraId="0CF8790B" w14:textId="77777777"/>
        <w:p w:rsidR="00026B36" w:rsidP="00026B36" w14:paraId="3348597D" w14:textId="77777777"/>
        <w:p w:rsidR="00026B36" w:rsidP="00026B36" w14:paraId="799DD69D" w14:textId="77777777"/>
        <w:p w:rsidR="00026B36" w:rsidP="00026B36" w14:paraId="373F4CCE" w14:textId="77777777"/>
        <w:p w:rsidR="00026B36" w:rsidP="00026B36" w14:paraId="127259C6" w14:textId="77777777"/>
        <w:p w:rsidR="00026B36" w:rsidP="00026B36" w14:paraId="47EAB9BA" w14:textId="77777777"/>
        <w:p w:rsidR="00026B36" w:rsidP="00026B36" w14:paraId="12E3E246" w14:textId="77777777"/>
        <w:p w:rsidR="00026B36" w:rsidP="00026B36" w14:paraId="4B6C58C4" w14:textId="77777777"/>
        <w:p w:rsidR="00026B36" w:rsidP="00026B36" w14:paraId="16964008" w14:textId="77777777"/>
        <w:p w:rsidR="00026B36" w:rsidP="00026B36" w14:paraId="1D232ACE" w14:textId="77777777"/>
        <w:p w:rsidR="00026B36" w:rsidP="00026B36" w14:paraId="692DE7A4" w14:textId="77777777"/>
        <w:p w:rsidR="00026B36" w:rsidP="00026B36" w14:paraId="211C715F" w14:textId="77777777"/>
        <w:p w:rsidR="00026B36" w:rsidP="00026B36" w14:paraId="5B36077A" w14:textId="77777777"/>
        <w:p w:rsidR="00026B36" w:rsidP="00026B36" w14:paraId="42C9B57A" w14:textId="77777777"/>
        <w:p w:rsidR="00026B36" w:rsidP="00026B36" w14:paraId="4F43E136" w14:textId="77777777"/>
        <w:p w:rsidR="00026B36" w:rsidP="00026B36" w14:paraId="7A23B0ED" w14:textId="77777777"/>
        <w:p w:rsidR="00026B36" w:rsidP="00026B36" w14:paraId="46476BE8" w14:textId="77777777"/>
        <w:p w:rsidR="00026B36" w:rsidP="00026B36" w14:paraId="3D038E34" w14:textId="77777777"/>
        <w:p w:rsidR="00026B36" w:rsidP="00026B36" w14:paraId="4C734272" w14:textId="77777777"/>
        <w:p w:rsidR="00026B36" w:rsidP="00026B36" w14:paraId="7CC8FC48" w14:textId="77777777"/>
        <w:p w:rsidR="00026B36" w:rsidP="00026B36" w14:paraId="45835370" w14:textId="77777777"/>
        <w:p w:rsidR="00026B36" w:rsidP="00026B36" w14:paraId="5A24BE23" w14:textId="77777777">
          <w:pPr>
            <w:pStyle w:val="Boxtext"/>
            <w:sectPr w:rsidSect="00026B36">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br/>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026B36" w:rsidP="00026B36" w14:paraId="4E9F255F" w14:textId="77777777">
          <w:pPr>
            <w:sectPr w:rsidSect="00026B36">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00A75817" w:rsidP="00026B36" w14:paraId="788838D8" w14:textId="32AC7CBB">
          <w:r>
            <w:rPr>
              <w:noProof/>
            </w:rPr>
            <w:softHyphen/>
          </w:r>
          <w:r>
            <w:rPr>
              <w:noProof/>
            </w:rPr>
            <w:softHyphen/>
          </w:r>
          <w:r>
            <w:rPr>
              <w:noProof/>
            </w:rPr>
            <w:softHyphen/>
          </w:r>
        </w:p>
      </w:sdtContent>
    </w:sdt>
    <w:p w:rsidR="00A75817" w:rsidP="00A75817" w14:paraId="52F94307" w14:textId="77777777">
      <w:pPr>
        <w:sectPr w:rsidSect="00A75817">
          <w:headerReference w:type="default" r:id="rId15"/>
          <w:footerReference w:type="default" r:id="rId16"/>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466513693"/>
        <w:docPartObj>
          <w:docPartGallery w:val="Table of Contents"/>
          <w:docPartUnique/>
        </w:docPartObj>
      </w:sdtPr>
      <w:sdtEndPr>
        <w:rPr>
          <w:noProof/>
        </w:rPr>
      </w:sdtEndPr>
      <w:sdtContent>
        <w:p w:rsidR="00A75817" w:rsidP="00A75817" w14:paraId="3F8D421A" w14:textId="77777777">
          <w:pPr>
            <w:pStyle w:val="TOCHeading"/>
          </w:pPr>
          <w:r>
            <w:t>Table of Contents</w:t>
          </w:r>
        </w:p>
        <w:p w:rsidR="008268DA" w14:paraId="7C83E531" w14:textId="6DC90664">
          <w:pPr>
            <w:pStyle w:val="TOC1"/>
            <w:rPr>
              <w:rFonts w:eastAsiaTheme="minorEastAsia"/>
              <w:noProof/>
              <w:color w:val="auto"/>
              <w:kern w:val="2"/>
              <w:sz w:val="24"/>
              <w:szCs w:val="24"/>
              <w14:ligatures w14:val="standardContextual"/>
            </w:rPr>
          </w:pPr>
          <w:r>
            <w:fldChar w:fldCharType="begin"/>
          </w:r>
          <w:r>
            <w:instrText xml:space="preserve"> TOC \o "1-3" \h \z \u </w:instrText>
          </w:r>
          <w:r>
            <w:fldChar w:fldCharType="separate"/>
          </w:r>
          <w:hyperlink w:anchor="_Toc229064886" w:history="1">
            <w:r w:rsidRPr="00893AF2">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_Toc229064886 \h </w:instrText>
            </w:r>
            <w:r>
              <w:rPr>
                <w:noProof/>
                <w:webHidden/>
              </w:rPr>
              <w:fldChar w:fldCharType="separate"/>
            </w:r>
            <w:r w:rsidR="003544B5">
              <w:rPr>
                <w:noProof/>
                <w:webHidden/>
              </w:rPr>
              <w:t>i</w:t>
            </w:r>
            <w:r>
              <w:rPr>
                <w:noProof/>
                <w:webHidden/>
              </w:rPr>
              <w:fldChar w:fldCharType="end"/>
            </w:r>
          </w:hyperlink>
        </w:p>
        <w:p w:rsidR="008268DA" w14:paraId="6AFC9404" w14:textId="2DAA869D">
          <w:pPr>
            <w:pStyle w:val="TOC2"/>
            <w:rPr>
              <w:rFonts w:eastAsiaTheme="minorEastAsia"/>
              <w:noProof/>
              <w:color w:val="auto"/>
              <w:kern w:val="2"/>
              <w:sz w:val="24"/>
              <w:szCs w:val="24"/>
              <w14:ligatures w14:val="standardContextual"/>
            </w:rPr>
          </w:pPr>
          <w:hyperlink w:anchor="_Toc229064887" w:history="1">
            <w:r w:rsidRPr="00893AF2">
              <w:rPr>
                <w:rStyle w:val="Hyperlink"/>
                <w:noProof/>
              </w:rPr>
              <w:t>B.1. Respondent Universe</w:t>
            </w:r>
            <w:r>
              <w:rPr>
                <w:noProof/>
                <w:webHidden/>
              </w:rPr>
              <w:tab/>
            </w:r>
            <w:r>
              <w:rPr>
                <w:noProof/>
                <w:webHidden/>
              </w:rPr>
              <w:fldChar w:fldCharType="begin"/>
            </w:r>
            <w:r>
              <w:rPr>
                <w:noProof/>
                <w:webHidden/>
              </w:rPr>
              <w:instrText xml:space="preserve"> PAGEREF _Toc229064887 \h </w:instrText>
            </w:r>
            <w:r>
              <w:rPr>
                <w:noProof/>
                <w:webHidden/>
              </w:rPr>
              <w:fldChar w:fldCharType="separate"/>
            </w:r>
            <w:r w:rsidR="003544B5">
              <w:rPr>
                <w:noProof/>
                <w:webHidden/>
              </w:rPr>
              <w:t>1</w:t>
            </w:r>
            <w:r>
              <w:rPr>
                <w:noProof/>
                <w:webHidden/>
              </w:rPr>
              <w:fldChar w:fldCharType="end"/>
            </w:r>
          </w:hyperlink>
        </w:p>
        <w:p w:rsidR="008268DA" w14:paraId="76C74A2C" w14:textId="1277529A">
          <w:pPr>
            <w:pStyle w:val="TOC2"/>
            <w:rPr>
              <w:rFonts w:eastAsiaTheme="minorEastAsia"/>
              <w:noProof/>
              <w:color w:val="auto"/>
              <w:kern w:val="2"/>
              <w:sz w:val="24"/>
              <w:szCs w:val="24"/>
              <w14:ligatures w14:val="standardContextual"/>
            </w:rPr>
          </w:pPr>
          <w:hyperlink w:anchor="_Toc229064888" w:history="1">
            <w:r w:rsidRPr="00893AF2">
              <w:rPr>
                <w:rStyle w:val="Hyperlink"/>
                <w:noProof/>
              </w:rPr>
              <w:t>B.2. Statistical Methods</w:t>
            </w:r>
            <w:r>
              <w:rPr>
                <w:noProof/>
                <w:webHidden/>
              </w:rPr>
              <w:tab/>
            </w:r>
            <w:r>
              <w:rPr>
                <w:noProof/>
                <w:webHidden/>
              </w:rPr>
              <w:fldChar w:fldCharType="begin"/>
            </w:r>
            <w:r>
              <w:rPr>
                <w:noProof/>
                <w:webHidden/>
              </w:rPr>
              <w:instrText xml:space="preserve"> PAGEREF _Toc229064888 \h </w:instrText>
            </w:r>
            <w:r>
              <w:rPr>
                <w:noProof/>
                <w:webHidden/>
              </w:rPr>
              <w:fldChar w:fldCharType="separate"/>
            </w:r>
            <w:r w:rsidR="003544B5">
              <w:rPr>
                <w:noProof/>
                <w:webHidden/>
              </w:rPr>
              <w:t>1</w:t>
            </w:r>
            <w:r>
              <w:rPr>
                <w:noProof/>
                <w:webHidden/>
              </w:rPr>
              <w:fldChar w:fldCharType="end"/>
            </w:r>
          </w:hyperlink>
        </w:p>
        <w:p w:rsidR="008268DA" w14:paraId="56756967" w14:textId="0AAC32C0">
          <w:pPr>
            <w:pStyle w:val="TOC2"/>
            <w:rPr>
              <w:rFonts w:eastAsiaTheme="minorEastAsia"/>
              <w:noProof/>
              <w:color w:val="auto"/>
              <w:kern w:val="2"/>
              <w:sz w:val="24"/>
              <w:szCs w:val="24"/>
              <w14:ligatures w14:val="standardContextual"/>
            </w:rPr>
          </w:pPr>
          <w:hyperlink w:anchor="_Toc229064889" w:history="1">
            <w:r w:rsidRPr="00893AF2">
              <w:rPr>
                <w:rStyle w:val="Hyperlink"/>
                <w:noProof/>
              </w:rPr>
              <w:t>B.4. Test Procedures and Form Consultations</w:t>
            </w:r>
            <w:r>
              <w:rPr>
                <w:noProof/>
                <w:webHidden/>
              </w:rPr>
              <w:tab/>
            </w:r>
            <w:r>
              <w:rPr>
                <w:noProof/>
                <w:webHidden/>
              </w:rPr>
              <w:fldChar w:fldCharType="begin"/>
            </w:r>
            <w:r>
              <w:rPr>
                <w:noProof/>
                <w:webHidden/>
              </w:rPr>
              <w:instrText xml:space="preserve"> PAGEREF _Toc229064889 \h </w:instrText>
            </w:r>
            <w:r>
              <w:rPr>
                <w:noProof/>
                <w:webHidden/>
              </w:rPr>
              <w:fldChar w:fldCharType="separate"/>
            </w:r>
            <w:r w:rsidR="003544B5">
              <w:rPr>
                <w:noProof/>
                <w:webHidden/>
              </w:rPr>
              <w:t>3</w:t>
            </w:r>
            <w:r>
              <w:rPr>
                <w:noProof/>
                <w:webHidden/>
              </w:rPr>
              <w:fldChar w:fldCharType="end"/>
            </w:r>
          </w:hyperlink>
        </w:p>
        <w:p w:rsidR="008268DA" w14:paraId="71597227" w14:textId="72A3E972">
          <w:pPr>
            <w:pStyle w:val="TOC2"/>
            <w:rPr>
              <w:rFonts w:eastAsiaTheme="minorEastAsia"/>
              <w:noProof/>
              <w:color w:val="auto"/>
              <w:kern w:val="2"/>
              <w:sz w:val="24"/>
              <w:szCs w:val="24"/>
              <w14:ligatures w14:val="standardContextual"/>
            </w:rPr>
          </w:pPr>
          <w:hyperlink w:anchor="_Toc229064890" w:history="1">
            <w:r w:rsidRPr="00893AF2">
              <w:rPr>
                <w:rStyle w:val="Hyperlink"/>
                <w:noProof/>
              </w:rPr>
              <w:t>B.5. Statistical Consultations</w:t>
            </w:r>
            <w:r>
              <w:rPr>
                <w:noProof/>
                <w:webHidden/>
              </w:rPr>
              <w:tab/>
            </w:r>
            <w:r>
              <w:rPr>
                <w:noProof/>
                <w:webHidden/>
              </w:rPr>
              <w:fldChar w:fldCharType="begin"/>
            </w:r>
            <w:r>
              <w:rPr>
                <w:noProof/>
                <w:webHidden/>
              </w:rPr>
              <w:instrText xml:space="preserve"> PAGEREF _Toc229064890 \h </w:instrText>
            </w:r>
            <w:r>
              <w:rPr>
                <w:noProof/>
                <w:webHidden/>
              </w:rPr>
              <w:fldChar w:fldCharType="separate"/>
            </w:r>
            <w:r w:rsidR="003544B5">
              <w:rPr>
                <w:noProof/>
                <w:webHidden/>
              </w:rPr>
              <w:t>4</w:t>
            </w:r>
            <w:r>
              <w:rPr>
                <w:noProof/>
                <w:webHidden/>
              </w:rPr>
              <w:fldChar w:fldCharType="end"/>
            </w:r>
          </w:hyperlink>
        </w:p>
        <w:p w:rsidR="00A75817" w:rsidP="00A75817" w14:paraId="5EDFD661" w14:textId="0F7D24ED">
          <w:r>
            <w:rPr>
              <w:b/>
              <w:bCs/>
              <w:noProof/>
            </w:rPr>
            <w:fldChar w:fldCharType="end"/>
          </w:r>
        </w:p>
      </w:sdtContent>
    </w:sdt>
    <w:p w:rsidR="00A75817" w:rsidP="00A75817" w14:paraId="4C303CBA" w14:textId="77777777"/>
    <w:p w:rsidR="00A75817" w:rsidP="00A75817" w14:paraId="71967E37" w14:textId="77777777">
      <w:pPr>
        <w:sectPr w:rsidSect="00A75817">
          <w:footerReference w:type="first" r:id="rId17"/>
          <w:footnotePr>
            <w:pos w:val="beneathText"/>
          </w:footnotePr>
          <w:type w:val="continuous"/>
          <w:pgSz w:w="12240" w:h="15840"/>
          <w:pgMar w:top="1440" w:right="1440" w:bottom="1440" w:left="1440" w:header="720" w:footer="720" w:gutter="0"/>
          <w:pgNumType w:fmt="lowerRoman" w:start="1"/>
          <w:cols w:space="720"/>
          <w:docGrid w:linePitch="360"/>
        </w:sectPr>
      </w:pPr>
    </w:p>
    <w:p w:rsidR="00A65AD8" w:rsidP="00A65AD8" w14:paraId="6656F50F" w14:textId="51739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b/>
        </w:rPr>
      </w:pPr>
      <w:r>
        <w:t>Form EIA-84</w:t>
      </w:r>
      <w:r w:rsidR="00AC1AB2">
        <w:t>7</w:t>
      </w:r>
      <w:r>
        <w:t xml:space="preserve">, </w:t>
      </w:r>
      <w:r w:rsidRPr="00AC1AB2" w:rsidR="00AC1AB2">
        <w:rPr>
          <w:i/>
          <w:iCs/>
        </w:rPr>
        <w:t>Annual</w:t>
      </w:r>
      <w:r w:rsidR="00AC1AB2">
        <w:t xml:space="preserve"> </w:t>
      </w:r>
      <w:r>
        <w:rPr>
          <w:i/>
        </w:rPr>
        <w:t xml:space="preserve">Manufacturing Energy Consumption Survey, </w:t>
      </w:r>
      <w:r>
        <w:t xml:space="preserve">is a mandatory survey that collects data on </w:t>
      </w:r>
      <w:r w:rsidRPr="007D4B87">
        <w:t>ene</w:t>
      </w:r>
      <w:r>
        <w:t>rgy consumption and expenditure</w:t>
      </w:r>
      <w:r w:rsidRPr="007D4B87">
        <w:t xml:space="preserve"> data from </w:t>
      </w:r>
      <w:r w:rsidR="005B22A3">
        <w:t>a</w:t>
      </w:r>
      <w:r w:rsidR="000F4F5E">
        <w:t xml:space="preserve"> subset of </w:t>
      </w:r>
      <w:r w:rsidRPr="007D4B87">
        <w:t xml:space="preserve">establishments in the manufacturing </w:t>
      </w:r>
      <w:r w:rsidRPr="007D4B87" w:rsidR="008268DA">
        <w:t>sector,</w:t>
      </w:r>
      <w:r w:rsidRPr="007D4B87">
        <w:t xml:space="preserve"> i.e., North American Industry Classification System (NAICS) codes 31-33. </w:t>
      </w:r>
      <w:r w:rsidRPr="009F1982">
        <w:t>The information from this survey is used to publish aggregate statistics</w:t>
      </w:r>
      <w:r>
        <w:t>, at the National level,</w:t>
      </w:r>
      <w:r w:rsidRPr="009F1982">
        <w:t xml:space="preserve"> on the consumption of energy for fuel and nonfuel purposes. </w:t>
      </w:r>
      <w:r w:rsidRPr="007D4B87">
        <w:t xml:space="preserve">The </w:t>
      </w:r>
      <w:r w:rsidR="00AC1AB2">
        <w:t xml:space="preserve">Annual </w:t>
      </w:r>
      <w:r w:rsidRPr="007D4B87">
        <w:t xml:space="preserve">MECS </w:t>
      </w:r>
      <w:r w:rsidR="00AC1AB2">
        <w:t xml:space="preserve">will </w:t>
      </w:r>
      <w:r w:rsidRPr="007D4B87">
        <w:t xml:space="preserve">also </w:t>
      </w:r>
      <w:r w:rsidR="00AC1AB2">
        <w:t xml:space="preserve">be </w:t>
      </w:r>
      <w:r w:rsidRPr="007D4B87">
        <w:t>used to benchmark EIA's industry forecasting model and update changes</w:t>
      </w:r>
      <w:r w:rsidR="00AC1AB2">
        <w:t>.</w:t>
      </w:r>
    </w:p>
    <w:p w:rsidR="00A65AD8" w:rsidP="005511EA" w14:paraId="31044107" w14:textId="69AB677E">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202</w:t>
      </w:r>
      <w:r w:rsidR="00327317">
        <w:t>5</w:t>
      </w:r>
      <w:r>
        <w:t xml:space="preserve"> </w:t>
      </w:r>
      <w:r w:rsidR="00327317">
        <w:t xml:space="preserve">Annual </w:t>
      </w:r>
      <w:r>
        <w:t>MECS survey will largely follow the 20</w:t>
      </w:r>
      <w:r w:rsidR="0023362F">
        <w:t>22</w:t>
      </w:r>
      <w:r>
        <w:t xml:space="preserve"> </w:t>
      </w:r>
      <w:r w:rsidR="00327317">
        <w:t xml:space="preserve">MECS </w:t>
      </w:r>
      <w:r w:rsidR="00C8331A">
        <w:t>design.</w:t>
      </w:r>
      <w:r>
        <w:t xml:space="preserve"> The 202</w:t>
      </w:r>
      <w:r w:rsidR="00327317">
        <w:t>5</w:t>
      </w:r>
      <w:r>
        <w:t xml:space="preserve"> </w:t>
      </w:r>
      <w:r w:rsidR="00327317">
        <w:t xml:space="preserve">Annual </w:t>
      </w:r>
      <w:r>
        <w:t xml:space="preserve">MECS will use the </w:t>
      </w:r>
      <w:r w:rsidR="00327317">
        <w:t xml:space="preserve">2022 quadrennial MECS sample </w:t>
      </w:r>
      <w:r>
        <w:t xml:space="preserve">to identify establishments eligible for </w:t>
      </w:r>
      <w:r w:rsidR="00327317">
        <w:t xml:space="preserve">the Annual </w:t>
      </w:r>
      <w:r>
        <w:t xml:space="preserve">MECS. The U.S. Census Bureau will conduct the </w:t>
      </w:r>
      <w:r w:rsidR="0051276D">
        <w:t xml:space="preserve">data collection </w:t>
      </w:r>
      <w:r>
        <w:t xml:space="preserve">for the survey, acting as EIA's data collection agent. </w:t>
      </w:r>
    </w:p>
    <w:p w:rsidR="00FC6DE3" w:rsidP="6FD72EB7" w14:paraId="6F1F3E6A" w14:textId="60948614">
      <w:r>
        <w:t>An Internet-based electronic reporting method will be available for the 20</w:t>
      </w:r>
      <w:r w:rsidR="00EA7C57">
        <w:t>2</w:t>
      </w:r>
      <w:r w:rsidR="00327317">
        <w:t>5 Annual</w:t>
      </w:r>
      <w:r>
        <w:t xml:space="preserve"> MECS. The Census Bureau will mail a letter</w:t>
      </w:r>
      <w:r w:rsidR="0023362F">
        <w:t>.</w:t>
      </w:r>
      <w:r>
        <w:t xml:space="preserve"> </w:t>
      </w:r>
      <w:r w:rsidR="00327317">
        <w:t>T</w:t>
      </w:r>
      <w:r>
        <w:t xml:space="preserve">he letter will give detailed instructions on how to complete the questionnaire through the Internet. Nonresponse follow-up procedures, as described in Section </w:t>
      </w:r>
      <w:r w:rsidR="00B94E8A">
        <w:t>B.</w:t>
      </w:r>
      <w:r>
        <w:t xml:space="preserve">3 below, will be </w:t>
      </w:r>
      <w:r>
        <w:t>similar to</w:t>
      </w:r>
      <w:r>
        <w:t xml:space="preserve"> those used in 20</w:t>
      </w:r>
      <w:r w:rsidR="0023362F">
        <w:t>22</w:t>
      </w:r>
      <w:r>
        <w:t>, which are performed to maximize response rate. Data processing and editing will be aided by modernized, automated data entry and storage equipment and editing procedures.</w:t>
      </w:r>
      <w:r w:rsidR="5AB29E1D">
        <w:t xml:space="preserve"> The 2025 Annual MECS will use</w:t>
      </w:r>
      <w:r w:rsidR="389D454E">
        <w:t xml:space="preserve"> a form of data perturbation as the primary disclosure avoidance method, specifically </w:t>
      </w:r>
      <w:r w:rsidR="0FA56BCD">
        <w:t xml:space="preserve">multiplicative noise. This change will allow for </w:t>
      </w:r>
      <w:r w:rsidR="004D6F9E">
        <w:t>an</w:t>
      </w:r>
      <w:r w:rsidR="0FA56BCD">
        <w:t xml:space="preserve"> accelerated timeline as compare</w:t>
      </w:r>
      <w:r w:rsidR="00314AF1">
        <w:t>d</w:t>
      </w:r>
      <w:r w:rsidR="0FA56BCD">
        <w:t xml:space="preserve"> to the quadrennial MECS.</w:t>
      </w:r>
    </w:p>
    <w:p w:rsidR="007E53C4" w:rsidP="007C0319" w14:paraId="1B1ABF27" w14:textId="18256EFA">
      <w:pPr>
        <w:pStyle w:val="Heading2"/>
      </w:pPr>
      <w:bookmarkStart w:id="1" w:name="_Toc229064887"/>
      <w:r>
        <w:t>B.</w:t>
      </w:r>
      <w:r w:rsidR="00A41763">
        <w:t xml:space="preserve">1. </w:t>
      </w:r>
      <w:r>
        <w:t>Respondent Universe</w:t>
      </w:r>
      <w:bookmarkEnd w:id="1"/>
    </w:p>
    <w:p w:rsidR="007E53C4" w:rsidRPr="00A41763" w:rsidP="00A41763" w14:paraId="1B1ABF2A" w14:textId="112DB969">
      <w:r>
        <w:t>T</w:t>
      </w:r>
      <w:r w:rsidRPr="1A140A59">
        <w:rPr>
          <w:rStyle w:val="normaltextrun"/>
          <w:rFonts w:ascii="Calibri" w:hAnsi="Calibri" w:cs="Calibri"/>
        </w:rPr>
        <w:t>he target population for the 2025 Annual MECS will consist of U.S. manufacturing establishments</w:t>
      </w:r>
      <w:r w:rsidR="00512E8F">
        <w:rPr>
          <w:rStyle w:val="normaltextrun"/>
          <w:rFonts w:ascii="Calibri" w:hAnsi="Calibri" w:cs="Calibri"/>
        </w:rPr>
        <w:t xml:space="preserve"> in the six most energy-intensive manufacturing subsectors</w:t>
      </w:r>
      <w:r w:rsidR="00824D10">
        <w:rPr>
          <w:rStyle w:val="normaltextrun"/>
          <w:rFonts w:ascii="Calibri" w:hAnsi="Calibri" w:cs="Calibri"/>
        </w:rPr>
        <w:t xml:space="preserve"> </w:t>
      </w:r>
      <w:r w:rsidRPr="1A140A59">
        <w:rPr>
          <w:rStyle w:val="normaltextrun"/>
          <w:rFonts w:ascii="Calibri" w:hAnsi="Calibri" w:cs="Calibri"/>
        </w:rPr>
        <w:t xml:space="preserve">that </w:t>
      </w:r>
      <w:r w:rsidR="00594625">
        <w:rPr>
          <w:rStyle w:val="normaltextrun"/>
          <w:rFonts w:ascii="Calibri" w:hAnsi="Calibri" w:cs="Calibri"/>
        </w:rPr>
        <w:t>were</w:t>
      </w:r>
      <w:r w:rsidRPr="1A140A59">
        <w:rPr>
          <w:rStyle w:val="normaltextrun"/>
          <w:rFonts w:ascii="Calibri" w:hAnsi="Calibri" w:cs="Calibri"/>
        </w:rPr>
        <w:t xml:space="preserve"> active in 2025 with paid employees, except for small single-establishment companies that make up </w:t>
      </w:r>
      <w:r w:rsidR="0015352D">
        <w:rPr>
          <w:rStyle w:val="normaltextrun"/>
          <w:rFonts w:ascii="Calibri" w:hAnsi="Calibri" w:cs="Calibri"/>
        </w:rPr>
        <w:t>less than</w:t>
      </w:r>
      <w:r w:rsidRPr="1A140A59">
        <w:rPr>
          <w:rStyle w:val="normaltextrun"/>
          <w:rFonts w:ascii="Calibri" w:hAnsi="Calibri" w:cs="Calibri"/>
        </w:rPr>
        <w:t xml:space="preserve"> 3% of the total 2025 U.S. manufacturing payroll</w:t>
      </w:r>
      <w:r w:rsidR="00F337C2">
        <w:rPr>
          <w:rStyle w:val="normaltextrun"/>
          <w:rFonts w:ascii="Calibri" w:hAnsi="Calibri" w:cs="Calibri"/>
        </w:rPr>
        <w:t xml:space="preserve">, and the 2025 Annual MECS sample size will be approximately 4,500 </w:t>
      </w:r>
      <w:r w:rsidR="001F09C7">
        <w:rPr>
          <w:rStyle w:val="normaltextrun"/>
          <w:rFonts w:ascii="Calibri" w:hAnsi="Calibri" w:cs="Calibri"/>
        </w:rPr>
        <w:t>establishments</w:t>
      </w:r>
      <w:r w:rsidR="00F337C2">
        <w:rPr>
          <w:rStyle w:val="normaltextrun"/>
          <w:rFonts w:ascii="Calibri" w:hAnsi="Calibri" w:cs="Calibri"/>
        </w:rPr>
        <w:t>.</w:t>
      </w:r>
      <w:r w:rsidR="00BF5BF7">
        <w:t xml:space="preserve"> </w:t>
      </w:r>
      <w:r w:rsidR="005323B0">
        <w:t xml:space="preserve">The frame for the Annual MECS will be based </w:t>
      </w:r>
      <w:r w:rsidR="005B7126">
        <w:t xml:space="preserve">on the 2022 quadrennial MECS sample. </w:t>
      </w:r>
      <w:r w:rsidR="00EA7C57">
        <w:t xml:space="preserve">The frame for the </w:t>
      </w:r>
      <w:r w:rsidR="005B7126">
        <w:t xml:space="preserve">2022 quadrennial </w:t>
      </w:r>
      <w:r w:rsidR="00EA7C57">
        <w:t>MECS</w:t>
      </w:r>
      <w:r w:rsidR="005B7126">
        <w:t xml:space="preserve"> is </w:t>
      </w:r>
      <w:r w:rsidR="00EA7C57">
        <w:t>based largely on the NAICS classifications of the 202</w:t>
      </w:r>
      <w:r w:rsidR="005B7126">
        <w:t>1</w:t>
      </w:r>
      <w:r w:rsidR="00EA7C57">
        <w:t xml:space="preserve"> Business Register and the annual payroll thresholds by industry established for the 20</w:t>
      </w:r>
      <w:r w:rsidR="00B57CBA">
        <w:t>17</w:t>
      </w:r>
      <w:r w:rsidR="00EA7C57">
        <w:t xml:space="preserve"> </w:t>
      </w:r>
      <w:r w:rsidR="000B1E16">
        <w:t>Economic Census of Manufactures (</w:t>
      </w:r>
      <w:r w:rsidR="00EA7C57">
        <w:t>ECM</w:t>
      </w:r>
      <w:r w:rsidR="000B1E16">
        <w:t>)</w:t>
      </w:r>
      <w:r w:rsidR="00EA7C57">
        <w:t xml:space="preserve"> mail-out, which cover approximately 170,000 manufacturing establishments and accounted for the top 97 percent of the</w:t>
      </w:r>
      <w:r w:rsidR="00C8331A">
        <w:t xml:space="preserve"> total </w:t>
      </w:r>
      <w:r w:rsidRPr="1A140A59" w:rsidR="00C8331A">
        <w:rPr>
          <w:rStyle w:val="normaltextrun"/>
          <w:rFonts w:ascii="Calibri" w:hAnsi="Calibri" w:cs="Calibri"/>
        </w:rPr>
        <w:t>202</w:t>
      </w:r>
      <w:r w:rsidRPr="1A140A59" w:rsidR="005B7126">
        <w:rPr>
          <w:rStyle w:val="normaltextrun"/>
          <w:rFonts w:ascii="Calibri" w:hAnsi="Calibri" w:cs="Calibri"/>
        </w:rPr>
        <w:t>2</w:t>
      </w:r>
      <w:r w:rsidRPr="1A140A59" w:rsidR="00C8331A">
        <w:rPr>
          <w:rStyle w:val="normaltextrun"/>
          <w:rFonts w:ascii="Calibri" w:hAnsi="Calibri" w:cs="Calibri"/>
        </w:rPr>
        <w:t xml:space="preserve"> U.S. manufacturing payroll</w:t>
      </w:r>
      <w:r w:rsidR="00EA7C57">
        <w:t>.</w:t>
      </w:r>
      <w:r w:rsidR="00D642A5">
        <w:t xml:space="preserve"> </w:t>
      </w:r>
    </w:p>
    <w:p w:rsidR="007E53C4" w:rsidP="009F6610" w14:paraId="1B1ABF2B" w14:textId="77777777">
      <w:pPr>
        <w:pStyle w:val="Heading2"/>
      </w:pPr>
      <w:bookmarkStart w:id="2" w:name="_Toc229064888"/>
      <w:r>
        <w:t>B.</w:t>
      </w:r>
      <w:r w:rsidRPr="00A41763" w:rsidR="00A41763">
        <w:t xml:space="preserve">2. </w:t>
      </w:r>
      <w:r>
        <w:t>Statistical Methods</w:t>
      </w:r>
      <w:bookmarkEnd w:id="2"/>
    </w:p>
    <w:p w:rsidR="00F31DDE" w:rsidP="00F31DDE" w14:paraId="591D529B" w14:textId="6FED2B7F">
      <w:r>
        <w:t>The sampling frame for the 202</w:t>
      </w:r>
      <w:r w:rsidR="000F4A09">
        <w:t>5 Annual</w:t>
      </w:r>
      <w:r>
        <w:t xml:space="preserve"> MECS sample is constructed from a list of establishments from the </w:t>
      </w:r>
      <w:r w:rsidR="000F4A09">
        <w:t xml:space="preserve">2022 quadrennial MECS which comes from the </w:t>
      </w:r>
      <w:r>
        <w:t>Census Bureau’s 202</w:t>
      </w:r>
      <w:r w:rsidR="000F4A09">
        <w:t>1</w:t>
      </w:r>
      <w:r>
        <w:t xml:space="preserve"> Business Register. The establishments</w:t>
      </w:r>
      <w:r w:rsidR="000F4A09">
        <w:t xml:space="preserve"> from the Census Bureau’s Business Register</w:t>
      </w:r>
      <w:r>
        <w:t xml:space="preserve"> include all manufacturing establishments in the U.S. that are active in 20</w:t>
      </w:r>
      <w:r w:rsidRPr="00AA2758">
        <w:t>2</w:t>
      </w:r>
      <w:r w:rsidRPr="00AA2758" w:rsidR="000F4A09">
        <w:t>1</w:t>
      </w:r>
      <w:r>
        <w:t xml:space="preserve"> with paid employees, except for small single-establishment companies</w:t>
      </w:r>
      <w:r w:rsidRPr="1A140A59">
        <w:rPr>
          <w:color w:val="1F497D"/>
        </w:rPr>
        <w:t xml:space="preserve">.  </w:t>
      </w:r>
      <w:r>
        <w:t xml:space="preserve">These small single-establishment companies have </w:t>
      </w:r>
      <w:r w:rsidRPr="001A3D7C">
        <w:t>202</w:t>
      </w:r>
      <w:r w:rsidRPr="001A3D7C" w:rsidR="000F4A09">
        <w:t>1</w:t>
      </w:r>
      <w:r w:rsidRPr="001A3D7C">
        <w:t xml:space="preserve"> </w:t>
      </w:r>
      <w:r>
        <w:t>payroll below annual cutoffs that were determined using payroll data from the 20</w:t>
      </w:r>
      <w:r w:rsidR="00B57CBA">
        <w:t>17</w:t>
      </w:r>
      <w:r>
        <w:t xml:space="preserve"> Economic Census.</w:t>
      </w:r>
    </w:p>
    <w:p w:rsidR="00EA7C57" w14:paraId="39A25C35" w14:textId="2A57C7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202</w:t>
      </w:r>
      <w:r w:rsidR="000F4A09">
        <w:t>5</w:t>
      </w:r>
      <w:r>
        <w:t xml:space="preserve"> </w:t>
      </w:r>
      <w:r w:rsidR="000F4A09">
        <w:t xml:space="preserve">Annual </w:t>
      </w:r>
      <w:r>
        <w:t xml:space="preserve">MECS frame will be stratified by NAICS industry with some provisions to also stratify according to Census Region. Independent samples are selected by stratum. </w:t>
      </w:r>
      <w:r w:rsidR="007E2F1D">
        <w:t xml:space="preserve">A </w:t>
      </w:r>
      <w:r>
        <w:t xml:space="preserve">major portion of the </w:t>
      </w:r>
      <w:r w:rsidR="0050143C">
        <w:t xml:space="preserve">Annual </w:t>
      </w:r>
      <w:r>
        <w:t xml:space="preserve">MECS sample will be devoted to the strata defined by </w:t>
      </w:r>
      <w:r w:rsidR="0050143C">
        <w:t>specific energy-intensive</w:t>
      </w:r>
      <w:r w:rsidRPr="24CDF668" w:rsidR="00D642A5">
        <w:rPr>
          <w:rStyle w:val="normaltextrun"/>
          <w:rFonts w:ascii="Calibri" w:hAnsi="Calibri" w:cs="Calibri"/>
        </w:rPr>
        <w:t xml:space="preserve"> 3-digit NAICS subsectors that comprise U.S. manufacturing, </w:t>
      </w:r>
      <w:r w:rsidRPr="24CDF668" w:rsidR="00BB77B8">
        <w:rPr>
          <w:rStyle w:val="normaltextrun"/>
          <w:rFonts w:ascii="Calibri" w:hAnsi="Calibri" w:cs="Calibri"/>
        </w:rPr>
        <w:t>as well as</w:t>
      </w:r>
      <w:r w:rsidRPr="24CDF668" w:rsidR="00D642A5">
        <w:rPr>
          <w:rStyle w:val="normaltextrun"/>
          <w:rFonts w:ascii="Calibri" w:hAnsi="Calibri" w:cs="Calibri"/>
        </w:rPr>
        <w:t> </w:t>
      </w:r>
      <w:r w:rsidRPr="24CDF668" w:rsidR="00BB77B8">
        <w:rPr>
          <w:rStyle w:val="normaltextrun"/>
          <w:rFonts w:ascii="Calibri" w:hAnsi="Calibri" w:cs="Calibri"/>
        </w:rPr>
        <w:t>12</w:t>
      </w:r>
      <w:r w:rsidRPr="24CDF668" w:rsidR="00D642A5">
        <w:rPr>
          <w:rStyle w:val="normaltextrun"/>
          <w:rFonts w:ascii="Calibri" w:hAnsi="Calibri" w:cs="Calibri"/>
        </w:rPr>
        <w:t xml:space="preserve"> 4-digit and 6-digit NAICS industry groups and industries, at the </w:t>
      </w:r>
      <w:r w:rsidRPr="24CDF668" w:rsidR="0050143C">
        <w:rPr>
          <w:rStyle w:val="normaltextrun"/>
          <w:rFonts w:ascii="Calibri" w:hAnsi="Calibri" w:cs="Calibri"/>
        </w:rPr>
        <w:t>National</w:t>
      </w:r>
      <w:r w:rsidRPr="24CDF668" w:rsidR="00D642A5">
        <w:rPr>
          <w:rStyle w:val="normaltextrun"/>
          <w:rFonts w:ascii="Calibri" w:hAnsi="Calibri" w:cs="Calibri"/>
        </w:rPr>
        <w:t xml:space="preserve"> level.</w:t>
      </w:r>
      <w:r w:rsidR="00D642A5">
        <w:t xml:space="preserve"> </w:t>
      </w:r>
      <w:r w:rsidRPr="24CDF668" w:rsidR="00D642A5">
        <w:rPr>
          <w:rStyle w:val="normaltextrun"/>
          <w:rFonts w:ascii="Calibri" w:hAnsi="Calibri" w:cs="Calibri"/>
        </w:rPr>
        <w:t xml:space="preserve">The industry groups and sub-industries will be chosen based upon their </w:t>
      </w:r>
      <w:r w:rsidRPr="24CDF668" w:rsidR="00D642A5">
        <w:rPr>
          <w:rStyle w:val="normaltextrun"/>
          <w:rFonts w:ascii="Calibri" w:hAnsi="Calibri" w:cs="Calibri"/>
        </w:rPr>
        <w:t xml:space="preserve">fuel consumption, economic output, feedstock usage, </w:t>
      </w:r>
      <w:r w:rsidRPr="24CDF668" w:rsidR="00D642A5">
        <w:rPr>
          <w:rStyle w:val="normaltextrun"/>
          <w:rFonts w:ascii="Calibri" w:hAnsi="Calibri" w:cs="Calibri"/>
          <w:sz w:val="21"/>
          <w:szCs w:val="21"/>
        </w:rPr>
        <w:t>and</w:t>
      </w:r>
      <w:r w:rsidRPr="24CDF668" w:rsidR="00D642A5">
        <w:rPr>
          <w:rStyle w:val="normaltextrun"/>
          <w:rFonts w:ascii="Calibri" w:hAnsi="Calibri" w:cs="Calibri"/>
        </w:rPr>
        <w:t xml:space="preserve"> other programmatic interests</w:t>
      </w:r>
      <w:r w:rsidRPr="00AC5300" w:rsidR="00D642A5">
        <w:rPr>
          <w:rStyle w:val="normaltextrun"/>
          <w:rFonts w:ascii="Calibri" w:hAnsi="Calibri" w:cs="Calibri"/>
        </w:rPr>
        <w:t xml:space="preserve">. </w:t>
      </w:r>
      <w:r w:rsidRPr="00AC5300" w:rsidR="00AC5300">
        <w:t>A</w:t>
      </w:r>
      <w:r w:rsidRPr="00AC5300" w:rsidR="00D920EC">
        <w:t xml:space="preserve">ll establishments classified in one of </w:t>
      </w:r>
      <w:r w:rsidRPr="00AC5300" w:rsidR="00AC5300">
        <w:t>six</w:t>
      </w:r>
      <w:r w:rsidRPr="00AC5300">
        <w:t xml:space="preserve"> </w:t>
      </w:r>
      <w:r w:rsidRPr="00AC5300" w:rsidR="0005438C">
        <w:t xml:space="preserve">specified </w:t>
      </w:r>
      <w:r w:rsidRPr="00AC5300">
        <w:t>industries are expected to be</w:t>
      </w:r>
      <w:r>
        <w:t xml:space="preserve"> selected </w:t>
      </w:r>
      <w:r w:rsidR="00D920EC">
        <w:t xml:space="preserve">in the </w:t>
      </w:r>
      <w:r w:rsidR="00BB77B8">
        <w:t xml:space="preserve">Annual </w:t>
      </w:r>
      <w:r w:rsidR="00D920EC">
        <w:t xml:space="preserve">MECS sample </w:t>
      </w:r>
      <w:r>
        <w:t>with certainty</w:t>
      </w:r>
      <w:r w:rsidR="002A45B9">
        <w:t xml:space="preserve">. </w:t>
      </w:r>
      <w:r>
        <w:t>For other industries, maximum bounds on the sampling weights and target coefficients of variation (CVs) for estimating total measure of size are set depending on the NAICS level (six, four, or three digit) as well as other factors such as energy intensity.</w:t>
      </w:r>
    </w:p>
    <w:p w:rsidR="00EA7C57" w:rsidP="00EA7C57" w14:paraId="24B833F3" w14:textId="73E7F4A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measure of size (MOS) is used to assign overall probabilities of </w:t>
      </w:r>
      <w:r w:rsidR="00BB77B8">
        <w:t xml:space="preserve">Annual </w:t>
      </w:r>
      <w:r>
        <w:t xml:space="preserve">MECS selection to each establishment, excluding the </w:t>
      </w:r>
      <w:r w:rsidR="00BB77B8">
        <w:t xml:space="preserve">Annual </w:t>
      </w:r>
      <w:r>
        <w:t>MECS certainty strata. The 20</w:t>
      </w:r>
      <w:r w:rsidR="006867EB">
        <w:t>2</w:t>
      </w:r>
      <w:r w:rsidR="00BB77B8">
        <w:t>5 Annual</w:t>
      </w:r>
      <w:r>
        <w:t xml:space="preserve"> MECS MOS will be the sum of annual cost of fuel and cost of electricity (CF). These data come from the </w:t>
      </w:r>
      <w:r w:rsidR="11B21F48">
        <w:t xml:space="preserve">2022 quadrennial MECS or from </w:t>
      </w:r>
      <w:r>
        <w:t>the</w:t>
      </w:r>
      <w:r w:rsidR="007B3981">
        <w:t xml:space="preserve"> 2022</w:t>
      </w:r>
      <w:r>
        <w:t xml:space="preserve"> ECM</w:t>
      </w:r>
      <w:r w:rsidR="14A71503">
        <w:t>.</w:t>
      </w:r>
    </w:p>
    <w:p w:rsidR="00EA7C57" w:rsidRPr="0024282E" w:rsidP="00EA7C57" w14:paraId="49ADAAD2" w14:textId="38E1B2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MECS uses a probability proportionate to size (PPS) approach to assigning inclusion probabilities to manufacturing establishments in the</w:t>
      </w:r>
      <w:r w:rsidR="005D647F">
        <w:t xml:space="preserve"> non-certainty s</w:t>
      </w:r>
      <w:r>
        <w:t xml:space="preserve">trata. However, the MOS is not highly correlated with measured values of energy consumed as </w:t>
      </w:r>
      <w:r w:rsidR="008268DA">
        <w:t>feedstock</w:t>
      </w:r>
      <w:r>
        <w:t xml:space="preserve"> and certain energy sources used as fuel. To address this, as in previous MECS, the 20</w:t>
      </w:r>
      <w:r w:rsidR="00E35C3E">
        <w:t>2</w:t>
      </w:r>
      <w:r w:rsidR="00B35309">
        <w:t>5 Annual</w:t>
      </w:r>
      <w:r>
        <w:t xml:space="preserve"> MECS will select </w:t>
      </w:r>
      <w:r w:rsidR="002402A4">
        <w:t>all</w:t>
      </w:r>
      <w:r>
        <w:t xml:space="preserve"> establishments in the frame known to be significant consumers in these areas. </w:t>
      </w:r>
    </w:p>
    <w:p w:rsidR="00EA7C57" w:rsidP="000A1AEB" w14:paraId="267F2750" w14:textId="22D8068D">
      <w:pPr>
        <w:pStyle w:val="CommentText"/>
      </w:pPr>
      <w:r w:rsidRPr="0024282E">
        <w:rPr>
          <w:sz w:val="22"/>
          <w:szCs w:val="22"/>
        </w:rPr>
        <w:t>After the inclusion probabilities are assigned, a modified version of a sample selection algorithm called Pareto sampling</w:t>
      </w:r>
      <w:r>
        <w:rPr>
          <w:rStyle w:val="FootnoteReference"/>
          <w:sz w:val="22"/>
          <w:szCs w:val="22"/>
        </w:rPr>
        <w:footnoteReference w:id="2"/>
      </w:r>
      <w:r w:rsidRPr="0024282E">
        <w:rPr>
          <w:sz w:val="22"/>
          <w:szCs w:val="22"/>
        </w:rPr>
        <w:t xml:space="preserve"> is employed to obtain the 20</w:t>
      </w:r>
      <w:r w:rsidRPr="0024282E" w:rsidR="00E35C3E">
        <w:rPr>
          <w:sz w:val="22"/>
          <w:szCs w:val="22"/>
        </w:rPr>
        <w:t>2</w:t>
      </w:r>
      <w:r w:rsidR="00EE534A">
        <w:rPr>
          <w:sz w:val="22"/>
          <w:szCs w:val="22"/>
        </w:rPr>
        <w:t xml:space="preserve">5 Annual </w:t>
      </w:r>
      <w:r w:rsidRPr="0024282E">
        <w:rPr>
          <w:sz w:val="22"/>
          <w:szCs w:val="22"/>
        </w:rPr>
        <w:t>MECS sample</w:t>
      </w:r>
      <w:r w:rsidRPr="0024282E" w:rsidR="007A3C0B">
        <w:rPr>
          <w:sz w:val="22"/>
          <w:szCs w:val="22"/>
        </w:rPr>
        <w:t xml:space="preserve"> </w:t>
      </w:r>
      <w:r w:rsidR="002402A4">
        <w:rPr>
          <w:sz w:val="22"/>
          <w:szCs w:val="22"/>
        </w:rPr>
        <w:t>in</w:t>
      </w:r>
      <w:r w:rsidRPr="0024282E" w:rsidR="007A3C0B">
        <w:rPr>
          <w:sz w:val="22"/>
          <w:szCs w:val="22"/>
        </w:rPr>
        <w:t xml:space="preserve"> each </w:t>
      </w:r>
      <w:r w:rsidR="002402A4">
        <w:rPr>
          <w:sz w:val="22"/>
          <w:szCs w:val="22"/>
        </w:rPr>
        <w:t xml:space="preserve">of the remaining </w:t>
      </w:r>
      <w:r w:rsidRPr="0024282E" w:rsidR="007A3C0B">
        <w:rPr>
          <w:sz w:val="22"/>
          <w:szCs w:val="22"/>
        </w:rPr>
        <w:t>stratum</w:t>
      </w:r>
      <w:r w:rsidRPr="0024282E">
        <w:rPr>
          <w:sz w:val="22"/>
          <w:szCs w:val="22"/>
        </w:rPr>
        <w:t xml:space="preserve">. Since the 1998 MECS, the sample in each stratum </w:t>
      </w:r>
      <w:r w:rsidRPr="0024282E" w:rsidR="000D0D1D">
        <w:rPr>
          <w:sz w:val="22"/>
          <w:szCs w:val="22"/>
        </w:rPr>
        <w:t>has been</w:t>
      </w:r>
      <w:r w:rsidRPr="0024282E">
        <w:rPr>
          <w:sz w:val="22"/>
          <w:szCs w:val="22"/>
        </w:rPr>
        <w:t xml:space="preserve"> of a fixed, predetermined size. This benefits the MECS by preventing cost overruns due to the actual sample size being larger than expected. Additionally, this selection method has been used since the 2010 MECS, instead of </w:t>
      </w:r>
      <w:r w:rsidRPr="0024282E">
        <w:rPr>
          <w:sz w:val="22"/>
          <w:szCs w:val="22"/>
        </w:rPr>
        <w:t>Tillé</w:t>
      </w:r>
      <w:r w:rsidRPr="0024282E">
        <w:rPr>
          <w:sz w:val="22"/>
          <w:szCs w:val="22"/>
        </w:rPr>
        <w:t xml:space="preserve"> sampling, because the variance is simple and easy to estimate and does not involve joint probabilities. Also, Pareto sampling is easy to implement and to transfer knowledge to </w:t>
      </w:r>
      <w:r w:rsidRPr="0024282E" w:rsidR="0024282E">
        <w:rPr>
          <w:sz w:val="22"/>
          <w:szCs w:val="22"/>
        </w:rPr>
        <w:t xml:space="preserve">maintain the sampling program if in the future certain modifications are desired. </w:t>
      </w:r>
      <w:r w:rsidR="00904DB0">
        <w:rPr>
          <w:sz w:val="22"/>
          <w:szCs w:val="22"/>
        </w:rPr>
        <w:t xml:space="preserve">Below is a description of the weighting </w:t>
      </w:r>
      <w:r w:rsidR="007D5390">
        <w:rPr>
          <w:sz w:val="22"/>
          <w:szCs w:val="22"/>
        </w:rPr>
        <w:t xml:space="preserve">and estimation </w:t>
      </w:r>
      <w:r w:rsidR="00904DB0">
        <w:rPr>
          <w:sz w:val="22"/>
          <w:szCs w:val="22"/>
        </w:rPr>
        <w:t>process for the noncertainty establishments.</w:t>
      </w:r>
      <w:r w:rsidRPr="0024282E" w:rsidR="00FA1338">
        <w:rPr>
          <w:sz w:val="22"/>
          <w:szCs w:val="22"/>
        </w:rPr>
        <w:t xml:space="preserve">  </w:t>
      </w:r>
    </w:p>
    <w:p w:rsidR="00EA7C57" w:rsidRPr="00F93F1F" w:rsidP="00EA7C57" w14:paraId="7713E68D" w14:textId="77777777">
      <w:pPr>
        <w:pStyle w:val="BodyText"/>
      </w:pPr>
      <w:r w:rsidRPr="00F93F1F">
        <w:t xml:space="preserve">The </w:t>
      </w:r>
      <w:r w:rsidRPr="00F93F1F">
        <w:t>statistic</w:t>
      </w:r>
      <w:r w:rsidRPr="00F93F1F">
        <w:t xml:space="preserve"> reported for each stratum </w:t>
      </w:r>
      <w:r w:rsidRPr="00F93F1F">
        <w:t>is</w:t>
      </w:r>
      <w:r w:rsidRPr="00F93F1F">
        <w:t xml:space="preserve"> an estimator of the total of some </w:t>
      </w:r>
      <w:r w:rsidRPr="00F93F1F">
        <w:t>measure</w:t>
      </w:r>
      <w:r w:rsidRPr="00F93F1F">
        <w:t xml:space="preserve"> of energy consumption (e.g. the total natural gas, in billion cubic feet, for the Northeast primary metals industry). Modified Horvitz-Thompson estimators are used for estimating totals.</w:t>
      </w:r>
      <w:r>
        <w:t xml:space="preserve"> </w:t>
      </w:r>
      <w:r w:rsidRPr="00F93F1F">
        <w:t xml:space="preserve">For each stratum, the estimates are of the following form: </w:t>
      </w:r>
    </w:p>
    <w:p w:rsidR="00EA7C57" w:rsidRPr="00F93F1F" w:rsidP="00EA7C57" w14:paraId="51809BCB" w14:textId="77777777">
      <w:r>
        <w:rPr>
          <w:noProof/>
        </w:rPr>
        <w:drawing>
          <wp:inline distT="0" distB="0" distL="0" distR="0">
            <wp:extent cx="1266825" cy="504825"/>
            <wp:effectExtent l="0" t="0" r="9525" b="9525"/>
            <wp:docPr id="20" name="Picture 20"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266825" cy="504825"/>
                    </a:xfrm>
                    <a:prstGeom prst="rect">
                      <a:avLst/>
                    </a:prstGeom>
                  </pic:spPr>
                </pic:pic>
              </a:graphicData>
            </a:graphic>
          </wp:inline>
        </w:drawing>
      </w:r>
    </w:p>
    <w:p w:rsidR="00EA7C57" w:rsidRPr="00F93F1F" w:rsidP="00EA7C57" w14:paraId="4DE59C3A" w14:textId="77777777">
      <w:pPr>
        <w:spacing w:before="100" w:beforeAutospacing="1" w:after="100" w:afterAutospacing="1"/>
      </w:pPr>
      <w:r w:rsidRPr="00F93F1F">
        <w:t>where:</w:t>
      </w:r>
    </w:p>
    <w:p w:rsidR="00EA7C57" w:rsidRPr="00F93F1F" w:rsidP="6FD72EB7" w14:paraId="7CA742F8" w14:textId="770FBBCF">
      <w:pPr>
        <w:spacing w:before="100" w:beforeAutospacing="1" w:after="100" w:afterAutospacing="1"/>
      </w:pPr>
      <w:r w:rsidRPr="6FD72EB7">
        <w:rPr>
          <w:i/>
          <w:iCs/>
        </w:rPr>
        <w:t>y</w:t>
      </w:r>
      <w:r w:rsidR="003544B5">
        <w:rPr>
          <w:i/>
          <w:iCs/>
          <w:vertAlign w:val="subscript"/>
        </w:rPr>
        <w:t>i</w:t>
      </w:r>
      <w:r>
        <w:t>,</w:t>
      </w:r>
      <w:r>
        <w:t xml:space="preserve"> </w:t>
      </w:r>
      <w:r w:rsidRPr="6FD72EB7">
        <w:rPr>
          <w:i/>
          <w:iCs/>
        </w:rPr>
        <w:t>i</w:t>
      </w:r>
      <w:r>
        <w:t xml:space="preserve"> = </w:t>
      </w:r>
      <w:r>
        <w:t>1</w:t>
      </w:r>
      <w:r w:rsidR="003544B5">
        <w:t xml:space="preserve"> </w:t>
      </w:r>
      <w:r>
        <w:t>:</w:t>
      </w:r>
      <w:r w:rsidRPr="6FD72EB7">
        <w:rPr>
          <w:i/>
          <w:iCs/>
        </w:rPr>
        <w:t xml:space="preserve"> n</w:t>
      </w:r>
      <w:r w:rsidRPr="6FD72EB7">
        <w:rPr>
          <w:i/>
          <w:iCs/>
          <w:vertAlign w:val="subscript"/>
        </w:rPr>
        <w:t>s</w:t>
      </w:r>
      <w:r w:rsidR="003544B5">
        <w:t xml:space="preserve">, </w:t>
      </w:r>
      <w:r>
        <w:t xml:space="preserve">are the values of the consumption measure for the </w:t>
      </w:r>
      <w:r w:rsidRPr="6FD72EB7">
        <w:rPr>
          <w:i/>
          <w:iCs/>
        </w:rPr>
        <w:t>n</w:t>
      </w:r>
      <w:r w:rsidRPr="6FD72EB7">
        <w:rPr>
          <w:i/>
          <w:iCs/>
          <w:vertAlign w:val="subscript"/>
        </w:rPr>
        <w:t>s</w:t>
      </w:r>
      <w:r>
        <w:t xml:space="preserve"> establishments in stratum</w:t>
      </w:r>
      <w:r w:rsidRPr="6FD72EB7">
        <w:rPr>
          <w:i/>
          <w:iCs/>
        </w:rPr>
        <w:t xml:space="preserve"> s</w:t>
      </w:r>
      <w:r>
        <w:t xml:space="preserve"> that were selected for the sample and responded. </w:t>
      </w:r>
    </w:p>
    <w:p w:rsidR="00EA7C57" w:rsidRPr="00F93F1F" w:rsidP="00EA7C57" w14:paraId="37C1257F" w14:textId="2EA7BBE2">
      <w:r>
        <w:rPr>
          <w:noProof/>
        </w:rPr>
        <w:drawing>
          <wp:inline distT="0" distB="0" distL="0" distR="0">
            <wp:extent cx="342900" cy="266700"/>
            <wp:effectExtent l="0" t="0" r="0" b="0"/>
            <wp:docPr id="19" name="Picture 19"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342900" cy="266700"/>
                    </a:xfrm>
                    <a:prstGeom prst="rect">
                      <a:avLst/>
                    </a:prstGeom>
                  </pic:spPr>
                </pic:pic>
              </a:graphicData>
            </a:graphic>
          </wp:inline>
        </w:drawing>
      </w:r>
      <w:r>
        <w:t xml:space="preserve">, </w:t>
      </w:r>
      <w:r w:rsidRPr="1A140A59">
        <w:rPr>
          <w:i/>
          <w:iCs/>
        </w:rPr>
        <w:t>i</w:t>
      </w:r>
      <w:r>
        <w:t xml:space="preserve"> = 1 :</w:t>
      </w:r>
      <w:r w:rsidRPr="1A140A59">
        <w:rPr>
          <w:i/>
          <w:iCs/>
        </w:rPr>
        <w:t xml:space="preserve"> n</w:t>
      </w:r>
      <w:r w:rsidRPr="1A140A59">
        <w:rPr>
          <w:i/>
          <w:iCs/>
          <w:vertAlign w:val="subscript"/>
        </w:rPr>
        <w:t>s</w:t>
      </w:r>
      <w:r w:rsidR="003544B5">
        <w:t xml:space="preserve">, </w:t>
      </w:r>
      <w:r>
        <w:t xml:space="preserve">are the final weights for the </w:t>
      </w:r>
      <w:r w:rsidRPr="1A140A59">
        <w:rPr>
          <w:i/>
          <w:iCs/>
        </w:rPr>
        <w:t>n</w:t>
      </w:r>
      <w:r w:rsidRPr="1A140A59">
        <w:rPr>
          <w:i/>
          <w:iCs/>
          <w:vertAlign w:val="subscript"/>
        </w:rPr>
        <w:t>s</w:t>
      </w:r>
      <w:r>
        <w:t xml:space="preserve"> establishments in stratum </w:t>
      </w:r>
      <w:r w:rsidRPr="1A140A59">
        <w:rPr>
          <w:i/>
          <w:iCs/>
        </w:rPr>
        <w:t>s</w:t>
      </w:r>
      <w:r>
        <w:t xml:space="preserve"> that were selected for the sample and responded, where the final weight for an establishment is the sample weight, which is defined as the inverse of the establishment’s probability of selection, multiplied by an adjustment factor that corrects for unit nonresponse and births and deaths in the population using data extracted from the 20</w:t>
      </w:r>
      <w:r w:rsidR="00E35C3E">
        <w:t>2</w:t>
      </w:r>
      <w:r w:rsidR="00EE534A">
        <w:t>5</w:t>
      </w:r>
      <w:r>
        <w:t xml:space="preserve"> Business Register</w:t>
      </w:r>
      <w:r w:rsidR="004C39A4">
        <w:t xml:space="preserve"> and 202</w:t>
      </w:r>
      <w:r w:rsidR="00EE534A">
        <w:t>5</w:t>
      </w:r>
      <w:r w:rsidR="004C39A4">
        <w:t xml:space="preserve"> A</w:t>
      </w:r>
      <w:r w:rsidR="00EE534A">
        <w:t>IES</w:t>
      </w:r>
      <w:r>
        <w:t xml:space="preserve">. </w:t>
      </w:r>
    </w:p>
    <w:p w:rsidR="00EA7C57" w:rsidRPr="00F93F1F" w:rsidP="00EA7C57" w14:paraId="07C8474A" w14:textId="77777777">
      <w:r>
        <w:rPr>
          <w:noProof/>
        </w:rPr>
        <w:drawing>
          <wp:inline distT="0" distB="0" distL="0" distR="0">
            <wp:extent cx="200025" cy="247650"/>
            <wp:effectExtent l="0" t="0" r="9525" b="0"/>
            <wp:docPr id="18" name="Picture 18"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200025" cy="247650"/>
                    </a:xfrm>
                    <a:prstGeom prst="rect">
                      <a:avLst/>
                    </a:prstGeom>
                  </pic:spPr>
                </pic:pic>
              </a:graphicData>
            </a:graphic>
          </wp:inline>
        </w:drawing>
      </w:r>
      <w:r>
        <w:t xml:space="preserve">is an estimate for </w:t>
      </w:r>
      <w:r>
        <w:rPr>
          <w:noProof/>
        </w:rPr>
        <w:drawing>
          <wp:inline distT="0" distB="0" distL="0" distR="0">
            <wp:extent cx="771525" cy="504825"/>
            <wp:effectExtent l="0" t="0" r="9525" b="9525"/>
            <wp:docPr id="17" name="Picture 17"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771525" cy="504825"/>
                    </a:xfrm>
                    <a:prstGeom prst="rect">
                      <a:avLst/>
                    </a:prstGeom>
                  </pic:spPr>
                </pic:pic>
              </a:graphicData>
            </a:graphic>
          </wp:inline>
        </w:drawing>
      </w:r>
      <w:r>
        <w:t xml:space="preserve">which is the actual total for stratum </w:t>
      </w:r>
      <w:r w:rsidRPr="2799324E">
        <w:rPr>
          <w:i/>
          <w:iCs/>
        </w:rPr>
        <w:t>s</w:t>
      </w:r>
    </w:p>
    <w:p w:rsidR="00CC1C30" w:rsidP="6FD72EB7" w14:paraId="10B8E8F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Population totals will be estimated from 20</w:t>
      </w:r>
      <w:r w:rsidR="00E35C3E">
        <w:t>2</w:t>
      </w:r>
      <w:r w:rsidR="00EE534A">
        <w:t xml:space="preserve">5 Annual </w:t>
      </w:r>
      <w:r>
        <w:t>MECS data by summing the weighted sample data based on the final weights. For the 2010</w:t>
      </w:r>
      <w:r w:rsidR="00E35C3E">
        <w:t>, 2014,</w:t>
      </w:r>
      <w:r>
        <w:t xml:space="preserve"> 201</w:t>
      </w:r>
      <w:r w:rsidR="00E35C3E">
        <w:t>8</w:t>
      </w:r>
      <w:r w:rsidR="00922ED1">
        <w:t>, and 2022</w:t>
      </w:r>
      <w:r>
        <w:t xml:space="preserve"> MECS, the adjustment factors were calculated separately for certainty and non-certainty establishments within adjustment cells that were based on the strata. That practice will likely be continued for </w:t>
      </w:r>
      <w:r w:rsidR="00EE534A">
        <w:t xml:space="preserve">the </w:t>
      </w:r>
      <w:r>
        <w:t>20</w:t>
      </w:r>
      <w:r w:rsidR="00E35C3E">
        <w:t>2</w:t>
      </w:r>
      <w:r w:rsidR="00EE534A">
        <w:t>5 annual survey</w:t>
      </w:r>
      <w:r>
        <w:t>.</w:t>
      </w:r>
    </w:p>
    <w:p w:rsidR="005F6AFC" w:rsidP="6FD72EB7" w14:paraId="60A05AA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CC1C30" w:rsidRPr="00CC1C30" w:rsidP="00CC1C30" w14:paraId="4620EE0B" w14:textId="77777777">
      <w:pPr>
        <w:pStyle w:val="NoSpacing"/>
        <w:rPr>
          <w:b/>
          <w:bCs/>
          <w:color w:val="0096D7" w:themeColor="accent1"/>
          <w:sz w:val="28"/>
          <w:szCs w:val="28"/>
        </w:rPr>
      </w:pPr>
      <w:r w:rsidRPr="00CC1C30">
        <w:rPr>
          <w:b/>
          <w:bCs/>
          <w:color w:val="0096D7" w:themeColor="accent1"/>
          <w:sz w:val="28"/>
          <w:szCs w:val="28"/>
        </w:rPr>
        <w:t>B.</w:t>
      </w:r>
      <w:r w:rsidRPr="00CC1C30" w:rsidR="00A41763">
        <w:rPr>
          <w:b/>
          <w:bCs/>
          <w:color w:val="0096D7" w:themeColor="accent1"/>
          <w:sz w:val="28"/>
          <w:szCs w:val="28"/>
        </w:rPr>
        <w:t xml:space="preserve">3. </w:t>
      </w:r>
      <w:r w:rsidRPr="00CC1C30" w:rsidR="007E53C4">
        <w:rPr>
          <w:b/>
          <w:bCs/>
          <w:color w:val="0096D7" w:themeColor="accent1"/>
          <w:sz w:val="28"/>
          <w:szCs w:val="28"/>
        </w:rPr>
        <w:t>Maximizing Response Rates</w:t>
      </w:r>
    </w:p>
    <w:p w:rsidR="00992B4E" w:rsidRPr="000F4D37" w:rsidP="00CC1C30" w14:paraId="57CC5531" w14:textId="53694EF5">
      <w:pPr>
        <w:pStyle w:val="NoSpacing"/>
      </w:pPr>
      <w:r>
        <w:t>To maximize response rates, EIA survey</w:t>
      </w:r>
      <w:r w:rsidR="00CC1C30">
        <w:t xml:space="preserve"> questionnaires</w:t>
      </w:r>
      <w:r>
        <w:t xml:space="preserve"> and</w:t>
      </w:r>
      <w:r w:rsidRPr="1A140A59">
        <w:t xml:space="preserve"> </w:t>
      </w:r>
      <w:r>
        <w:t xml:space="preserve">instructions are designed and written for clarity and conciseness. Data not expected to change from year-to-year are prepopulated on the forms. Notifications are mailed to maximize the time that respondents </w:t>
      </w:r>
      <w:r>
        <w:t>have to</w:t>
      </w:r>
      <w:r>
        <w:t xml:space="preserve"> complete the survey. </w:t>
      </w:r>
    </w:p>
    <w:p w:rsidR="00992B4E" w:rsidP="00992B4E" w14:paraId="54ED217A" w14:textId="115287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weighted coverage rate (ratio of the total weighted MOS of the responders to the total weighted MOS of all establishments in the sample) for the 20</w:t>
      </w:r>
      <w:r w:rsidR="005C5B4C">
        <w:t>22</w:t>
      </w:r>
      <w:r>
        <w:t xml:space="preserve"> MECS was approximately 8</w:t>
      </w:r>
      <w:r w:rsidR="005C5B4C">
        <w:t>0</w:t>
      </w:r>
      <w:r>
        <w:t xml:space="preserve"> percent. By using the Census Bureau as the data-collection agent, the survey is not only under the data-collection authority of the DOE mandate, but also has the confidentiality protection that Title 13, Section 9, of the U.S. Code confers on surveys conducted by the Census Bureau.</w:t>
      </w:r>
    </w:p>
    <w:p w:rsidR="00992B4E" w:rsidP="00992B4E" w14:paraId="282A15A5" w14:textId="323149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Census Bureau has developed standard procedures for nonresponse follow-up and calculation of response rates. The Census Bureau will conduct two mail follow-ups, as well as a telephone follow-up of the largest delinquents. Smaller delinquents will receive only the two mail follow-ups. An enhancement to the telephone nonresponse follow-up instituted for the 2002 MECS</w:t>
      </w:r>
      <w:r w:rsidR="002A2EE4">
        <w:t>,</w:t>
      </w:r>
      <w:r>
        <w:t xml:space="preserve"> </w:t>
      </w:r>
      <w:r w:rsidR="004D6F9E">
        <w:t xml:space="preserve">and used for every MECS telephone nonresponse follow-up since, </w:t>
      </w:r>
      <w:r>
        <w:t>will be continued for the 202</w:t>
      </w:r>
      <w:r w:rsidR="00FF5099">
        <w:t>5 Annual</w:t>
      </w:r>
      <w:r>
        <w:t xml:space="preserve"> MECS. In that procedure, follow-up was done to maximize response of establishments that have the greatest MOS in the adjustment cells</w:t>
      </w:r>
      <w:r w:rsidR="009C59CA">
        <w:t xml:space="preserve"> used in estimation</w:t>
      </w:r>
      <w:r>
        <w:t xml:space="preserve">. The procedure established target coverage rates (ratio of the total MOS of the responders to the total MOS for all sampled establishments </w:t>
      </w:r>
      <w:r w:rsidR="002A2EE4">
        <w:t>in each</w:t>
      </w:r>
      <w:r>
        <w:t xml:space="preserve"> stratum) for the follow-up based on the overall importance of the cell. </w:t>
      </w:r>
    </w:p>
    <w:p w:rsidR="007E53C4" w:rsidRPr="00992B4E" w:rsidP="00A41763" w14:paraId="1B1ABF32" w14:textId="77777777">
      <w:pPr>
        <w:rPr>
          <w:iCs/>
        </w:rPr>
      </w:pPr>
    </w:p>
    <w:p w:rsidR="007E53C4" w:rsidP="009F6610" w14:paraId="1B1ABF33" w14:textId="77777777">
      <w:pPr>
        <w:pStyle w:val="Heading2"/>
      </w:pPr>
      <w:bookmarkStart w:id="3" w:name="_Toc229064889"/>
      <w:r>
        <w:t>B.</w:t>
      </w:r>
      <w:r w:rsidRPr="00A41763" w:rsidR="00A41763">
        <w:t xml:space="preserve">4. </w:t>
      </w:r>
      <w:r>
        <w:t>Test Procedures and Form Consultations</w:t>
      </w:r>
      <w:bookmarkEnd w:id="3"/>
    </w:p>
    <w:p w:rsidR="00992B4E" w:rsidP="00992B4E" w14:paraId="4A699F9F" w14:textId="3121F59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This will be the </w:t>
      </w:r>
      <w:r w:rsidR="00FF5099">
        <w:t xml:space="preserve">first time the Annual MECS </w:t>
      </w:r>
      <w:r>
        <w:t>will be conducted. After consideration of past results and outside consultations (as described in Section A</w:t>
      </w:r>
      <w:r w:rsidR="00BB7346">
        <w:t>.</w:t>
      </w:r>
      <w:r w:rsidR="006F5399">
        <w:t>8</w:t>
      </w:r>
      <w:r>
        <w:t>), the questionnaire has undergone substantial redesign in the method of collection. The effectiveness of these changes was analyzed during the editing and review of the 2010 MECS data. The respondents actively supported the changes during the post-survey interviews of respondents in 2012. The few changes to the instrument for 20</w:t>
      </w:r>
      <w:r w:rsidR="009F7B79">
        <w:t>22</w:t>
      </w:r>
      <w:r>
        <w:t xml:space="preserve"> targeted </w:t>
      </w:r>
      <w:r>
        <w:t xml:space="preserve">opportunities for increased data reporting frequency, improved data quality, and reporting efficiency. </w:t>
      </w:r>
      <w:r w:rsidR="00011F30">
        <w:t xml:space="preserve">The 2025 annual </w:t>
      </w:r>
      <w:r>
        <w:t xml:space="preserve">questionnaire </w:t>
      </w:r>
      <w:r w:rsidR="00011F30">
        <w:t xml:space="preserve">will be similar in structure to the quadrennial questionnaire but only ask questions about 5 common energy sources. This </w:t>
      </w:r>
      <w:r w:rsidR="00F54B95">
        <w:t xml:space="preserve">significantly </w:t>
      </w:r>
      <w:r w:rsidR="00011F30">
        <w:t xml:space="preserve">reduces the size of the 2025 annual questionnaire compared to the more comprehensive quadrennial questionnaire, however no other changes </w:t>
      </w:r>
      <w:r>
        <w:t>are anticipated for the 20</w:t>
      </w:r>
      <w:r w:rsidR="00822644">
        <w:t>2</w:t>
      </w:r>
      <w:r w:rsidR="00011F30">
        <w:t>5 Annual</w:t>
      </w:r>
      <w:r>
        <w:t xml:space="preserve"> MECS. </w:t>
      </w:r>
    </w:p>
    <w:p w:rsidR="00992B4E" w:rsidP="00992B4E" w14:paraId="511D6FA0" w14:textId="7B41490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In carrying out the 20</w:t>
      </w:r>
      <w:r w:rsidR="00822644">
        <w:t>2</w:t>
      </w:r>
      <w:r w:rsidR="00011F30">
        <w:t>5 Annual</w:t>
      </w:r>
      <w:r>
        <w:t xml:space="preserve"> MECS, the Census Bureau will use </w:t>
      </w:r>
      <w:r w:rsidR="00ED0425">
        <w:t xml:space="preserve">data collection </w:t>
      </w:r>
      <w:r>
        <w:t xml:space="preserve">procedures </w:t>
      </w:r>
      <w:r w:rsidR="002A2EE4">
        <w:t>like</w:t>
      </w:r>
      <w:r>
        <w:t xml:space="preserve"> those used for the 20</w:t>
      </w:r>
      <w:r w:rsidR="0050238D">
        <w:t>22</w:t>
      </w:r>
      <w:r>
        <w:t xml:space="preserve"> MECS. No further tests of procedures are planned. </w:t>
      </w:r>
    </w:p>
    <w:p w:rsidR="007E53C4" w:rsidRPr="00A41763" w:rsidP="00A41763" w14:paraId="1B1ABF37" w14:textId="77777777"/>
    <w:p w:rsidR="007E53C4" w:rsidP="009F6610" w14:paraId="1B1ABF38" w14:textId="77777777">
      <w:pPr>
        <w:pStyle w:val="Heading2"/>
      </w:pPr>
      <w:bookmarkStart w:id="4" w:name="_Toc229064890"/>
      <w:r>
        <w:t>B.</w:t>
      </w:r>
      <w:r w:rsidRPr="00A41763" w:rsidR="00A41763">
        <w:t xml:space="preserve">5. </w:t>
      </w:r>
      <w:r>
        <w:t>Statistical Consultations</w:t>
      </w:r>
      <w:bookmarkEnd w:id="4"/>
    </w:p>
    <w:p w:rsidR="00992B4E" w:rsidP="00992B4E" w14:paraId="4F6271F4" w14:textId="0A3B7289">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The U.S. Bureau of the Census is selecting the </w:t>
      </w:r>
      <w:r w:rsidR="00BB7346">
        <w:t>A</w:t>
      </w:r>
      <w:r>
        <w:t xml:space="preserve">MECS sample under the supervision of </w:t>
      </w:r>
      <w:r w:rsidR="00110E33">
        <w:t>Toni Warner</w:t>
      </w:r>
      <w:r w:rsidRPr="002A2EE4">
        <w:t xml:space="preserve">, Chief of the Manufacturing Surveys Statistical Methods Branch. </w:t>
      </w:r>
      <w:r w:rsidRPr="002A2EE4" w:rsidR="00110E33">
        <w:t>Ms</w:t>
      </w:r>
      <w:r w:rsidR="00BB7346">
        <w:t>.</w:t>
      </w:r>
      <w:r w:rsidRPr="002A2EE4" w:rsidR="00110E33">
        <w:t xml:space="preserve"> Warner</w:t>
      </w:r>
      <w:r w:rsidRPr="002A2EE4">
        <w:t xml:space="preserve"> can be reached at (301) 763-</w:t>
      </w:r>
      <w:r w:rsidRPr="002A2EE4" w:rsidR="00110E33">
        <w:t>5983</w:t>
      </w:r>
      <w:r w:rsidRPr="002A2EE4">
        <w:t>.</w:t>
      </w:r>
      <w:r>
        <w:t xml:space="preserve"> The overall administrative responsibility for </w:t>
      </w:r>
      <w:r w:rsidR="00BB7346">
        <w:t>A</w:t>
      </w:r>
      <w:r>
        <w:t xml:space="preserve">MECS at the Census Bureau rests with </w:t>
      </w:r>
      <w:r w:rsidR="42BC7FB5">
        <w:t>Michael Sprung</w:t>
      </w:r>
      <w:r w:rsidRPr="002A2EE4" w:rsidR="78074D97">
        <w:t xml:space="preserve"> Acting</w:t>
      </w:r>
      <w:r w:rsidRPr="002A2EE4">
        <w:t xml:space="preserve"> Division Chief of the Econom</w:t>
      </w:r>
      <w:r w:rsidRPr="002A2EE4" w:rsidR="4F34CD74">
        <w:t>y Wide</w:t>
      </w:r>
      <w:r w:rsidRPr="002A2EE4">
        <w:t xml:space="preserve"> Surveys Division. Mr. </w:t>
      </w:r>
      <w:r w:rsidR="5E4BADC8">
        <w:t xml:space="preserve">Sprung </w:t>
      </w:r>
      <w:r w:rsidRPr="002A2EE4">
        <w:t>can be reached at (301) 763-</w:t>
      </w:r>
      <w:r w:rsidRPr="002A2EE4" w:rsidR="33B23386">
        <w:t>7150</w:t>
      </w:r>
      <w:r w:rsidRPr="002A2EE4">
        <w:t>.</w:t>
      </w:r>
      <w:r>
        <w:t xml:space="preserve"> For questions or additional information regarding the statistical methods for this survey, contact Tom Lorenz, Survey Statistician, at (202) 586-3442, email </w:t>
      </w:r>
      <w:hyperlink r:id="rId22">
        <w:r w:rsidRPr="6FD72EB7">
          <w:rPr>
            <w:rStyle w:val="Hyperlink"/>
          </w:rPr>
          <w:t>Thomas.lorenz@eia.gov</w:t>
        </w:r>
      </w:hyperlink>
      <w:r>
        <w:t xml:space="preserve">, of the Office of Energy Consumption and Efficiency Statistics within the Office of Energy Statistics of the U.S. Energy Information Administration. </w:t>
      </w:r>
    </w:p>
    <w:sectPr w:rsidSect="008F4CBD">
      <w:headerReference w:type="even" r:id="rId23"/>
      <w:headerReference w:type="default" r:id="rId24"/>
      <w:footerReference w:type="even" r:id="rId25"/>
      <w:headerReference w:type="first" r:id="rId26"/>
      <w:footerReference w:type="first" r:id="rId2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B36" w:rsidRPr="001F3A8F" w:rsidP="00C23C15" w14:paraId="23752666" w14:textId="3C4802CC">
    <w:pPr>
      <w:pStyle w:val="Footer"/>
    </w:pPr>
    <w:r w:rsidRPr="00CB180D">
      <w:t xml:space="preserve">U.S. Energy Information Administration   |   </w:t>
    </w:r>
    <w:r>
      <w:t xml:space="preserve">Supporting Statement B </w:t>
    </w:r>
    <w:r w:rsidR="00C23C15">
      <w:t>–</w:t>
    </w:r>
    <w:r>
      <w:t xml:space="preserve"> </w:t>
    </w:r>
    <w:r w:rsidR="00C23C15">
      <w:t>Annual Manufacturing Energy Consumption Survey</w:t>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B36" w:rsidP="00760677" w14:paraId="49A5961D"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026B36" w14:paraId="707CAA8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B36" w:rsidP="00760677" w14:paraId="141DA4C8"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026B36" w14:paraId="50473DB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817" w:rsidRPr="001F3A8F" w:rsidP="007C6C65" w14:paraId="2C5F7FFD" w14:textId="38C0D188">
    <w:pPr>
      <w:pStyle w:val="Footer"/>
    </w:pPr>
    <w:r w:rsidRPr="00CB180D">
      <w:t>U.S. Energy Information Administration</w:t>
    </w:r>
    <w:r>
      <w:t xml:space="preserve">    </w:t>
    </w:r>
    <w:r w:rsidRPr="00CB180D">
      <w:t>|</w:t>
    </w:r>
    <w:r>
      <w:t xml:space="preserve">  </w:t>
    </w:r>
    <w:r w:rsidRPr="00CB180D" w:rsidR="00E95282">
      <w:t xml:space="preserve">  </w:t>
    </w:r>
    <w:r w:rsidR="00E95282">
      <w:t>Supporting Statement B – Annual Manufacturing Energy Consumption Survey</w:t>
    </w:r>
    <w:r>
      <w:tab/>
      <w:t xml:space="preserve"> </w:t>
    </w: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817" w:rsidP="00510CED" w14:paraId="6222DE86" w14:textId="694CCD9D">
    <w:pPr>
      <w:pStyle w:val="Footer"/>
    </w:pPr>
    <w:sdt>
      <w:sdtPr>
        <w:id w:val="868263651"/>
        <w:docPartObj>
          <w:docPartGallery w:val="Page Numbers (Bottom of Page)"/>
          <w:docPartUnique/>
        </w:docPartObj>
      </w:sdtPr>
      <w:sdtContent>
        <w:r w:rsidRPr="00CB180D">
          <w:t>U.S. Energy Information Administration</w:t>
        </w:r>
        <w:r>
          <w:t xml:space="preserve">    </w:t>
        </w:r>
        <w:r w:rsidRPr="00CB180D">
          <w:t>|</w:t>
        </w:r>
        <w:r>
          <w:t xml:space="preserve">  </w:t>
        </w:r>
        <w:r w:rsidRPr="00CB180D">
          <w:t xml:space="preserve"> </w:t>
        </w:r>
        <w:sdt>
          <w:sdtPr>
            <w:alias w:val="Subject"/>
            <w:id w:val="-1467815789"/>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A75817" w:rsidP="00510CED" w14:paraId="6EBF945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1B1ABF5B"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760677" w14:paraId="1B1ABF5D" w14:textId="77777777">
    <w:pPr>
      <w:pStyle w:val="Footer"/>
    </w:pPr>
    <w:sdt>
      <w:sdtPr>
        <w:id w:val="1705557553"/>
        <w:docPartObj>
          <w:docPartGallery w:val="Page Numbers (Bottom of Page)"/>
          <w:docPartUnique/>
        </w:docPartObj>
      </w:sdtPr>
      <w:sdtContent>
        <w:r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rsidR="007A0E7F">
      <w:fldChar w:fldCharType="begin"/>
    </w:r>
    <w:r w:rsidR="007A0E7F">
      <w:instrText xml:space="preserve"> PAGE   \* MERGEFORMAT </w:instrText>
    </w:r>
    <w:r w:rsidR="007A0E7F">
      <w:fldChar w:fldCharType="separate"/>
    </w:r>
    <w:r>
      <w:rPr>
        <w:noProof/>
      </w:rPr>
      <w:t>1</w:t>
    </w:r>
    <w:r w:rsidR="007A0E7F">
      <w:rPr>
        <w:noProof/>
      </w:rPr>
      <w:fldChar w:fldCharType="end"/>
    </w:r>
  </w:p>
  <w:p w:rsidR="00132F4A" w:rsidP="00760677" w14:paraId="1B1ABF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07E5" w:rsidP="00536CE1" w14:paraId="0E4933A6" w14:textId="77777777">
      <w:pPr>
        <w:spacing w:after="0" w:line="240" w:lineRule="auto"/>
      </w:pPr>
      <w:r>
        <w:separator/>
      </w:r>
    </w:p>
  </w:footnote>
  <w:footnote w:type="continuationSeparator" w:id="1">
    <w:p w:rsidR="006F07E5" w:rsidP="00536CE1" w14:paraId="5B4A5640" w14:textId="77777777">
      <w:pPr>
        <w:spacing w:after="0" w:line="240" w:lineRule="auto"/>
      </w:pPr>
      <w:r>
        <w:continuationSeparator/>
      </w:r>
    </w:p>
  </w:footnote>
  <w:footnote w:id="2">
    <w:p w:rsidR="00EA7C57" w:rsidRPr="00D05B81" w:rsidP="00EA7C57" w14:paraId="35D80982" w14:textId="1D3C4717">
      <w:pPr>
        <w:pStyle w:val="FootnoteText"/>
        <w:rPr>
          <w:sz w:val="20"/>
        </w:rPr>
      </w:pPr>
      <w:r>
        <w:rPr>
          <w:rStyle w:val="FootnoteReference"/>
        </w:rPr>
        <w:footnoteRef/>
      </w:r>
      <w:r>
        <w:t xml:space="preserve"> </w:t>
      </w:r>
      <w:r>
        <w:rPr>
          <w:sz w:val="20"/>
        </w:rPr>
        <w:t>Pareto sampling</w:t>
      </w:r>
      <w:r w:rsidRPr="00D05B81">
        <w:rPr>
          <w:sz w:val="20"/>
        </w:rPr>
        <w:t xml:space="preserve"> was introduced in two articles by Bengt Rosén [Journal of Statistical Planning and Inference 62 (1997) pp. 135-158 and pp. 159-191].</w:t>
      </w:r>
      <w:r>
        <w:rPr>
          <w:sz w:val="20"/>
        </w:rPr>
        <w:t xml:space="preserve"> </w:t>
      </w:r>
      <w:r w:rsidRPr="00D05B81">
        <w:rPr>
          <w:sz w:val="20"/>
        </w:rPr>
        <w:t>It is also referenced by Särndal and Lundström (</w:t>
      </w:r>
      <w:r w:rsidRPr="00D05B81">
        <w:rPr>
          <w:sz w:val="20"/>
          <w:u w:val="single"/>
        </w:rPr>
        <w:t>Estimation in Surveys with Nonresponse</w:t>
      </w:r>
      <w:r w:rsidRPr="00D05B81">
        <w:rPr>
          <w:sz w:val="20"/>
        </w:rPr>
        <w:t>, Wiley 2005 p.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817" w:rsidP="00725453" w14:paraId="10435F4C"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373208" w:rsidP="00041909" w14:paraId="1B1ABF59" w14:textId="77777777">
    <w:pPr>
      <w:pStyle w:val="Header"/>
    </w:pPr>
    <w:r>
      <w:t>September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RPr="00F8298C" w:rsidP="00041909" w14:paraId="1B1ABF5A" w14:textId="2E2B7E32">
    <w:pPr>
      <w:pStyle w:val="Header"/>
    </w:pPr>
    <w:r>
      <w:t>April</w:t>
    </w:r>
    <w:r w:rsidRPr="00AC1AB2" w:rsidR="00AC1AB2">
      <w:t xml:space="preserve"> 202</w:t>
    </w:r>
    <w: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F4A" w:rsidP="00041909" w14:paraId="1B1ABF5C"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B22AA68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916980580">
    <w:abstractNumId w:val="10"/>
  </w:num>
  <w:num w:numId="2" w16cid:durableId="282077624">
    <w:abstractNumId w:val="9"/>
  </w:num>
  <w:num w:numId="3" w16cid:durableId="50427380">
    <w:abstractNumId w:val="7"/>
  </w:num>
  <w:num w:numId="4" w16cid:durableId="2044595884">
    <w:abstractNumId w:val="6"/>
  </w:num>
  <w:num w:numId="5" w16cid:durableId="960309113">
    <w:abstractNumId w:val="5"/>
  </w:num>
  <w:num w:numId="6" w16cid:durableId="875241799">
    <w:abstractNumId w:val="4"/>
  </w:num>
  <w:num w:numId="7" w16cid:durableId="1133601627">
    <w:abstractNumId w:val="8"/>
  </w:num>
  <w:num w:numId="8" w16cid:durableId="885410855">
    <w:abstractNumId w:val="3"/>
  </w:num>
  <w:num w:numId="9" w16cid:durableId="1037705583">
    <w:abstractNumId w:val="2"/>
  </w:num>
  <w:num w:numId="10" w16cid:durableId="1647471561">
    <w:abstractNumId w:val="1"/>
  </w:num>
  <w:num w:numId="11" w16cid:durableId="462844740">
    <w:abstractNumId w:val="0"/>
  </w:num>
  <w:num w:numId="12" w16cid:durableId="665595636">
    <w:abstractNumId w:val="16"/>
  </w:num>
  <w:num w:numId="13" w16cid:durableId="1214582519">
    <w:abstractNumId w:val="12"/>
  </w:num>
  <w:num w:numId="14" w16cid:durableId="2146584926">
    <w:abstractNumId w:val="13"/>
  </w:num>
  <w:num w:numId="15" w16cid:durableId="285284040">
    <w:abstractNumId w:val="15"/>
  </w:num>
  <w:num w:numId="16" w16cid:durableId="303975434">
    <w:abstractNumId w:val="10"/>
  </w:num>
  <w:num w:numId="17" w16cid:durableId="1878542379">
    <w:abstractNumId w:val="10"/>
  </w:num>
  <w:num w:numId="18" w16cid:durableId="1669550971">
    <w:abstractNumId w:val="14"/>
  </w:num>
  <w:num w:numId="19" w16cid:durableId="9036862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2713048">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984196330">
    <w:abstractNumId w:val="10"/>
  </w:num>
  <w:num w:numId="22" w16cid:durableId="1765690733">
    <w:abstractNumId w:val="10"/>
  </w:num>
  <w:num w:numId="23" w16cid:durableId="1537616985">
    <w:abstractNumId w:val="10"/>
  </w:num>
  <w:num w:numId="24" w16cid:durableId="1530530775">
    <w:abstractNumId w:val="10"/>
  </w:num>
  <w:num w:numId="25" w16cid:durableId="812412403">
    <w:abstractNumId w:val="10"/>
  </w:num>
  <w:num w:numId="26" w16cid:durableId="919094606">
    <w:abstractNumId w:val="17"/>
  </w:num>
  <w:num w:numId="27" w16cid:durableId="1920096691">
    <w:abstractNumId w:val="10"/>
  </w:num>
  <w:num w:numId="28" w16cid:durableId="943612912">
    <w:abstractNumId w:val="17"/>
  </w:num>
  <w:num w:numId="29" w16cid:durableId="288049083">
    <w:abstractNumId w:val="17"/>
  </w:num>
  <w:num w:numId="30" w16cid:durableId="1408457290">
    <w:abstractNumId w:val="17"/>
  </w:num>
  <w:num w:numId="31" w16cid:durableId="101263559">
    <w:abstractNumId w:val="10"/>
  </w:num>
  <w:num w:numId="32" w16cid:durableId="1932544710">
    <w:abstractNumId w:val="10"/>
  </w:num>
  <w:num w:numId="33" w16cid:durableId="2054307118">
    <w:abstractNumId w:val="10"/>
  </w:num>
  <w:num w:numId="34" w16cid:durableId="889342598">
    <w:abstractNumId w:val="9"/>
  </w:num>
  <w:num w:numId="35" w16cid:durableId="1214149048">
    <w:abstractNumId w:val="7"/>
  </w:num>
  <w:num w:numId="36" w16cid:durableId="1564754578">
    <w:abstractNumId w:val="6"/>
  </w:num>
  <w:num w:numId="37" w16cid:durableId="662588185">
    <w:abstractNumId w:val="5"/>
  </w:num>
  <w:num w:numId="38" w16cid:durableId="1019236220">
    <w:abstractNumId w:val="12"/>
  </w:num>
  <w:num w:numId="39" w16cid:durableId="1933540045">
    <w:abstractNumId w:val="17"/>
  </w:num>
  <w:num w:numId="40" w16cid:durableId="249312871">
    <w:abstractNumId w:val="17"/>
  </w:num>
  <w:num w:numId="41" w16cid:durableId="167914610">
    <w:abstractNumId w:val="17"/>
  </w:num>
  <w:num w:numId="42" w16cid:durableId="15009779">
    <w:abstractNumId w:val="12"/>
  </w:num>
  <w:num w:numId="43" w16cid:durableId="1352607258">
    <w:abstractNumId w:val="12"/>
  </w:num>
  <w:num w:numId="44" w16cid:durableId="795874726">
    <w:abstractNumId w:val="12"/>
  </w:num>
  <w:num w:numId="45" w16cid:durableId="1374845176">
    <w:abstractNumId w:val="12"/>
  </w:num>
  <w:num w:numId="46" w16cid:durableId="723481150">
    <w:abstractNumId w:val="11"/>
  </w:num>
  <w:num w:numId="47" w16cid:durableId="1784226069">
    <w:abstractNumId w:val="18"/>
  </w:num>
  <w:num w:numId="48" w16cid:durableId="13042360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05620"/>
    <w:rsid w:val="00011B3F"/>
    <w:rsid w:val="00011F30"/>
    <w:rsid w:val="00013373"/>
    <w:rsid w:val="000142E5"/>
    <w:rsid w:val="00015DA7"/>
    <w:rsid w:val="000201A3"/>
    <w:rsid w:val="000248CE"/>
    <w:rsid w:val="00024E1E"/>
    <w:rsid w:val="00026B36"/>
    <w:rsid w:val="00034A4B"/>
    <w:rsid w:val="0004152D"/>
    <w:rsid w:val="00041909"/>
    <w:rsid w:val="00042F22"/>
    <w:rsid w:val="00046593"/>
    <w:rsid w:val="00047C08"/>
    <w:rsid w:val="0005401F"/>
    <w:rsid w:val="0005438C"/>
    <w:rsid w:val="00055769"/>
    <w:rsid w:val="00056EC3"/>
    <w:rsid w:val="00062CFE"/>
    <w:rsid w:val="0007129A"/>
    <w:rsid w:val="00075CCA"/>
    <w:rsid w:val="000831C4"/>
    <w:rsid w:val="000844CA"/>
    <w:rsid w:val="00090E7A"/>
    <w:rsid w:val="000A10E8"/>
    <w:rsid w:val="000A1AEB"/>
    <w:rsid w:val="000B1E16"/>
    <w:rsid w:val="000B3359"/>
    <w:rsid w:val="000B3FBE"/>
    <w:rsid w:val="000C27B6"/>
    <w:rsid w:val="000C28E1"/>
    <w:rsid w:val="000C5311"/>
    <w:rsid w:val="000D0D1D"/>
    <w:rsid w:val="000E0168"/>
    <w:rsid w:val="000F040A"/>
    <w:rsid w:val="000F306C"/>
    <w:rsid w:val="000F4A09"/>
    <w:rsid w:val="000F4D37"/>
    <w:rsid w:val="000F4F5E"/>
    <w:rsid w:val="001034E8"/>
    <w:rsid w:val="00105786"/>
    <w:rsid w:val="00110E33"/>
    <w:rsid w:val="00112A69"/>
    <w:rsid w:val="00112CF8"/>
    <w:rsid w:val="00113FAA"/>
    <w:rsid w:val="0011541D"/>
    <w:rsid w:val="00117D80"/>
    <w:rsid w:val="001231A2"/>
    <w:rsid w:val="00123663"/>
    <w:rsid w:val="00132F4A"/>
    <w:rsid w:val="00141A99"/>
    <w:rsid w:val="00150745"/>
    <w:rsid w:val="0015352D"/>
    <w:rsid w:val="00154192"/>
    <w:rsid w:val="00160BC8"/>
    <w:rsid w:val="00161E75"/>
    <w:rsid w:val="00167425"/>
    <w:rsid w:val="0017106C"/>
    <w:rsid w:val="00171374"/>
    <w:rsid w:val="00177434"/>
    <w:rsid w:val="001807A3"/>
    <w:rsid w:val="00186F0C"/>
    <w:rsid w:val="001947D5"/>
    <w:rsid w:val="001957C1"/>
    <w:rsid w:val="001A3D7C"/>
    <w:rsid w:val="001A6E1E"/>
    <w:rsid w:val="001A78F4"/>
    <w:rsid w:val="001B0E69"/>
    <w:rsid w:val="001B6585"/>
    <w:rsid w:val="001C018E"/>
    <w:rsid w:val="001D03A8"/>
    <w:rsid w:val="001D1262"/>
    <w:rsid w:val="001F09C7"/>
    <w:rsid w:val="001F3A8F"/>
    <w:rsid w:val="002008B4"/>
    <w:rsid w:val="00201F24"/>
    <w:rsid w:val="002037B4"/>
    <w:rsid w:val="002127CE"/>
    <w:rsid w:val="00215842"/>
    <w:rsid w:val="002207DF"/>
    <w:rsid w:val="00221AC2"/>
    <w:rsid w:val="00226BB9"/>
    <w:rsid w:val="00227E4B"/>
    <w:rsid w:val="0023015A"/>
    <w:rsid w:val="0023362F"/>
    <w:rsid w:val="0023708A"/>
    <w:rsid w:val="002402A4"/>
    <w:rsid w:val="0024282E"/>
    <w:rsid w:val="00242C2C"/>
    <w:rsid w:val="0025022D"/>
    <w:rsid w:val="002530BB"/>
    <w:rsid w:val="0025505E"/>
    <w:rsid w:val="002556F3"/>
    <w:rsid w:val="00260EDF"/>
    <w:rsid w:val="00264148"/>
    <w:rsid w:val="00274179"/>
    <w:rsid w:val="00282407"/>
    <w:rsid w:val="002A2EE4"/>
    <w:rsid w:val="002A45B9"/>
    <w:rsid w:val="002A63FF"/>
    <w:rsid w:val="002B0FD2"/>
    <w:rsid w:val="002B18E6"/>
    <w:rsid w:val="002C1C39"/>
    <w:rsid w:val="002C378C"/>
    <w:rsid w:val="002E3FD5"/>
    <w:rsid w:val="002E7A38"/>
    <w:rsid w:val="00306516"/>
    <w:rsid w:val="00314AF1"/>
    <w:rsid w:val="0032332B"/>
    <w:rsid w:val="00327317"/>
    <w:rsid w:val="00344F7E"/>
    <w:rsid w:val="003469CB"/>
    <w:rsid w:val="00350C8B"/>
    <w:rsid w:val="003544B5"/>
    <w:rsid w:val="00363331"/>
    <w:rsid w:val="00363DB4"/>
    <w:rsid w:val="0037094F"/>
    <w:rsid w:val="00371E14"/>
    <w:rsid w:val="00373208"/>
    <w:rsid w:val="00373AFD"/>
    <w:rsid w:val="00383DB3"/>
    <w:rsid w:val="003854B2"/>
    <w:rsid w:val="00385AE6"/>
    <w:rsid w:val="00387C8D"/>
    <w:rsid w:val="00392DD0"/>
    <w:rsid w:val="00396BCB"/>
    <w:rsid w:val="00397825"/>
    <w:rsid w:val="003A1073"/>
    <w:rsid w:val="003A10F3"/>
    <w:rsid w:val="003A3625"/>
    <w:rsid w:val="003A3906"/>
    <w:rsid w:val="003B03A4"/>
    <w:rsid w:val="003C03EA"/>
    <w:rsid w:val="003C19BF"/>
    <w:rsid w:val="003C690C"/>
    <w:rsid w:val="003D1F05"/>
    <w:rsid w:val="003E40FA"/>
    <w:rsid w:val="003E4B42"/>
    <w:rsid w:val="003F24ED"/>
    <w:rsid w:val="003F529E"/>
    <w:rsid w:val="004068D6"/>
    <w:rsid w:val="00407A00"/>
    <w:rsid w:val="00426481"/>
    <w:rsid w:val="00432966"/>
    <w:rsid w:val="00433730"/>
    <w:rsid w:val="0045608E"/>
    <w:rsid w:val="0045662F"/>
    <w:rsid w:val="00461389"/>
    <w:rsid w:val="004639CF"/>
    <w:rsid w:val="00466959"/>
    <w:rsid w:val="00466B24"/>
    <w:rsid w:val="0047784B"/>
    <w:rsid w:val="0048581E"/>
    <w:rsid w:val="00485CCF"/>
    <w:rsid w:val="004946F0"/>
    <w:rsid w:val="00497C2A"/>
    <w:rsid w:val="004B1075"/>
    <w:rsid w:val="004C277B"/>
    <w:rsid w:val="004C2C90"/>
    <w:rsid w:val="004C39A4"/>
    <w:rsid w:val="004C3EB9"/>
    <w:rsid w:val="004D05FB"/>
    <w:rsid w:val="004D29C7"/>
    <w:rsid w:val="004D6F9E"/>
    <w:rsid w:val="004E7F96"/>
    <w:rsid w:val="0050143C"/>
    <w:rsid w:val="0050238D"/>
    <w:rsid w:val="00504119"/>
    <w:rsid w:val="005065CF"/>
    <w:rsid w:val="00506BB4"/>
    <w:rsid w:val="0050705F"/>
    <w:rsid w:val="00510CED"/>
    <w:rsid w:val="0051276D"/>
    <w:rsid w:val="00512E8F"/>
    <w:rsid w:val="005170D3"/>
    <w:rsid w:val="0051731D"/>
    <w:rsid w:val="0052493A"/>
    <w:rsid w:val="00531DC9"/>
    <w:rsid w:val="005323B0"/>
    <w:rsid w:val="00535CAF"/>
    <w:rsid w:val="00536054"/>
    <w:rsid w:val="0053654B"/>
    <w:rsid w:val="00536CE1"/>
    <w:rsid w:val="0053707B"/>
    <w:rsid w:val="0054180D"/>
    <w:rsid w:val="00542B07"/>
    <w:rsid w:val="00547B53"/>
    <w:rsid w:val="005511EA"/>
    <w:rsid w:val="00554C45"/>
    <w:rsid w:val="005601EF"/>
    <w:rsid w:val="00571D8F"/>
    <w:rsid w:val="0057367D"/>
    <w:rsid w:val="00575684"/>
    <w:rsid w:val="0058065C"/>
    <w:rsid w:val="0058588B"/>
    <w:rsid w:val="00585BE3"/>
    <w:rsid w:val="0059212D"/>
    <w:rsid w:val="00594625"/>
    <w:rsid w:val="0059463A"/>
    <w:rsid w:val="00596629"/>
    <w:rsid w:val="005970DC"/>
    <w:rsid w:val="0059758C"/>
    <w:rsid w:val="005A18FC"/>
    <w:rsid w:val="005A22C8"/>
    <w:rsid w:val="005B22A3"/>
    <w:rsid w:val="005B2B58"/>
    <w:rsid w:val="005B7126"/>
    <w:rsid w:val="005C00FA"/>
    <w:rsid w:val="005C2D89"/>
    <w:rsid w:val="005C3C72"/>
    <w:rsid w:val="005C485B"/>
    <w:rsid w:val="005C5AE5"/>
    <w:rsid w:val="005C5B4C"/>
    <w:rsid w:val="005D39D7"/>
    <w:rsid w:val="005D5956"/>
    <w:rsid w:val="005D647F"/>
    <w:rsid w:val="005D6F63"/>
    <w:rsid w:val="005F4848"/>
    <w:rsid w:val="005F6AFC"/>
    <w:rsid w:val="005F7F81"/>
    <w:rsid w:val="00603377"/>
    <w:rsid w:val="00611D3F"/>
    <w:rsid w:val="00614D4D"/>
    <w:rsid w:val="00616E46"/>
    <w:rsid w:val="0062008C"/>
    <w:rsid w:val="00620797"/>
    <w:rsid w:val="00626494"/>
    <w:rsid w:val="006326C3"/>
    <w:rsid w:val="006328AF"/>
    <w:rsid w:val="006330EB"/>
    <w:rsid w:val="006414B0"/>
    <w:rsid w:val="00641DE2"/>
    <w:rsid w:val="00643384"/>
    <w:rsid w:val="0065406F"/>
    <w:rsid w:val="00663EC4"/>
    <w:rsid w:val="006749A6"/>
    <w:rsid w:val="00677C5F"/>
    <w:rsid w:val="00685FE4"/>
    <w:rsid w:val="006867EB"/>
    <w:rsid w:val="006A0BC7"/>
    <w:rsid w:val="006A7679"/>
    <w:rsid w:val="006C0062"/>
    <w:rsid w:val="006C097E"/>
    <w:rsid w:val="006C2DC3"/>
    <w:rsid w:val="006C6574"/>
    <w:rsid w:val="006C753B"/>
    <w:rsid w:val="006D0439"/>
    <w:rsid w:val="006D42EC"/>
    <w:rsid w:val="006D780F"/>
    <w:rsid w:val="006E12A8"/>
    <w:rsid w:val="006E12B4"/>
    <w:rsid w:val="006E1F11"/>
    <w:rsid w:val="006F07E5"/>
    <w:rsid w:val="006F5399"/>
    <w:rsid w:val="00711396"/>
    <w:rsid w:val="00711414"/>
    <w:rsid w:val="00721D9C"/>
    <w:rsid w:val="007230B3"/>
    <w:rsid w:val="00724EB3"/>
    <w:rsid w:val="00725453"/>
    <w:rsid w:val="00730DA0"/>
    <w:rsid w:val="00737591"/>
    <w:rsid w:val="007438F2"/>
    <w:rsid w:val="00744E8D"/>
    <w:rsid w:val="00755C3D"/>
    <w:rsid w:val="007576EF"/>
    <w:rsid w:val="00760677"/>
    <w:rsid w:val="00761C12"/>
    <w:rsid w:val="007658BA"/>
    <w:rsid w:val="00776CF4"/>
    <w:rsid w:val="00780EFA"/>
    <w:rsid w:val="00784F89"/>
    <w:rsid w:val="00786336"/>
    <w:rsid w:val="00796207"/>
    <w:rsid w:val="007A0E7F"/>
    <w:rsid w:val="007A3C0B"/>
    <w:rsid w:val="007A4378"/>
    <w:rsid w:val="007A4995"/>
    <w:rsid w:val="007B3981"/>
    <w:rsid w:val="007C0319"/>
    <w:rsid w:val="007C5CE9"/>
    <w:rsid w:val="007C6C65"/>
    <w:rsid w:val="007D257F"/>
    <w:rsid w:val="007D39CC"/>
    <w:rsid w:val="007D4B87"/>
    <w:rsid w:val="007D50D5"/>
    <w:rsid w:val="007D5390"/>
    <w:rsid w:val="007D6AAF"/>
    <w:rsid w:val="007E0C1B"/>
    <w:rsid w:val="007E13AE"/>
    <w:rsid w:val="007E2F1D"/>
    <w:rsid w:val="007E53C4"/>
    <w:rsid w:val="007E5A11"/>
    <w:rsid w:val="007E73E6"/>
    <w:rsid w:val="007F1954"/>
    <w:rsid w:val="007F21D7"/>
    <w:rsid w:val="007F2A1E"/>
    <w:rsid w:val="008057F8"/>
    <w:rsid w:val="00810A0D"/>
    <w:rsid w:val="008212BB"/>
    <w:rsid w:val="008213F9"/>
    <w:rsid w:val="00822644"/>
    <w:rsid w:val="0082474D"/>
    <w:rsid w:val="00824D10"/>
    <w:rsid w:val="008268DA"/>
    <w:rsid w:val="008307E1"/>
    <w:rsid w:val="00836D62"/>
    <w:rsid w:val="00836F21"/>
    <w:rsid w:val="00844524"/>
    <w:rsid w:val="00850F92"/>
    <w:rsid w:val="00862769"/>
    <w:rsid w:val="00865D9C"/>
    <w:rsid w:val="00867160"/>
    <w:rsid w:val="0087205B"/>
    <w:rsid w:val="00874FB8"/>
    <w:rsid w:val="00890C20"/>
    <w:rsid w:val="00893AF2"/>
    <w:rsid w:val="00895669"/>
    <w:rsid w:val="00897946"/>
    <w:rsid w:val="00897DF5"/>
    <w:rsid w:val="008A3276"/>
    <w:rsid w:val="008A3447"/>
    <w:rsid w:val="008C734C"/>
    <w:rsid w:val="008E4BF2"/>
    <w:rsid w:val="008F4395"/>
    <w:rsid w:val="008F4CBD"/>
    <w:rsid w:val="008F6EC5"/>
    <w:rsid w:val="009017AD"/>
    <w:rsid w:val="00901BED"/>
    <w:rsid w:val="00904DB0"/>
    <w:rsid w:val="00905735"/>
    <w:rsid w:val="009122B2"/>
    <w:rsid w:val="009131B9"/>
    <w:rsid w:val="00922885"/>
    <w:rsid w:val="00922935"/>
    <w:rsid w:val="00922ED1"/>
    <w:rsid w:val="00924DCF"/>
    <w:rsid w:val="00935805"/>
    <w:rsid w:val="009368F3"/>
    <w:rsid w:val="00947C42"/>
    <w:rsid w:val="00950489"/>
    <w:rsid w:val="0095355C"/>
    <w:rsid w:val="009561EA"/>
    <w:rsid w:val="00957DE9"/>
    <w:rsid w:val="00965A44"/>
    <w:rsid w:val="00967D7C"/>
    <w:rsid w:val="0097548D"/>
    <w:rsid w:val="009757AD"/>
    <w:rsid w:val="00980B6A"/>
    <w:rsid w:val="009818F9"/>
    <w:rsid w:val="0098618F"/>
    <w:rsid w:val="00987C32"/>
    <w:rsid w:val="00991646"/>
    <w:rsid w:val="00992B4E"/>
    <w:rsid w:val="0099448B"/>
    <w:rsid w:val="009970F4"/>
    <w:rsid w:val="00997347"/>
    <w:rsid w:val="009A37A8"/>
    <w:rsid w:val="009B19CE"/>
    <w:rsid w:val="009C202F"/>
    <w:rsid w:val="009C59CA"/>
    <w:rsid w:val="009C77F7"/>
    <w:rsid w:val="009D4865"/>
    <w:rsid w:val="009D5092"/>
    <w:rsid w:val="009E5ABC"/>
    <w:rsid w:val="009E5B9C"/>
    <w:rsid w:val="009F0B5F"/>
    <w:rsid w:val="009F1982"/>
    <w:rsid w:val="009F4ED1"/>
    <w:rsid w:val="009F61F7"/>
    <w:rsid w:val="009F6610"/>
    <w:rsid w:val="009F7B79"/>
    <w:rsid w:val="00A00D71"/>
    <w:rsid w:val="00A00EDF"/>
    <w:rsid w:val="00A11753"/>
    <w:rsid w:val="00A14C3E"/>
    <w:rsid w:val="00A26A17"/>
    <w:rsid w:val="00A30169"/>
    <w:rsid w:val="00A312A3"/>
    <w:rsid w:val="00A331E8"/>
    <w:rsid w:val="00A33D9F"/>
    <w:rsid w:val="00A37229"/>
    <w:rsid w:val="00A41763"/>
    <w:rsid w:val="00A418C9"/>
    <w:rsid w:val="00A56D9E"/>
    <w:rsid w:val="00A65AD8"/>
    <w:rsid w:val="00A74C9B"/>
    <w:rsid w:val="00A75817"/>
    <w:rsid w:val="00A75E77"/>
    <w:rsid w:val="00A8533E"/>
    <w:rsid w:val="00A93478"/>
    <w:rsid w:val="00A97FE7"/>
    <w:rsid w:val="00AA2758"/>
    <w:rsid w:val="00AA46CA"/>
    <w:rsid w:val="00AA6C1C"/>
    <w:rsid w:val="00AA7EFA"/>
    <w:rsid w:val="00AB61B3"/>
    <w:rsid w:val="00AC05D4"/>
    <w:rsid w:val="00AC1AB2"/>
    <w:rsid w:val="00AC323A"/>
    <w:rsid w:val="00AC3C74"/>
    <w:rsid w:val="00AC5300"/>
    <w:rsid w:val="00AC5400"/>
    <w:rsid w:val="00AD6357"/>
    <w:rsid w:val="00AD7F81"/>
    <w:rsid w:val="00AE3040"/>
    <w:rsid w:val="00AE4CA9"/>
    <w:rsid w:val="00AE6871"/>
    <w:rsid w:val="00AF11D1"/>
    <w:rsid w:val="00AF367D"/>
    <w:rsid w:val="00AF45FD"/>
    <w:rsid w:val="00AF490E"/>
    <w:rsid w:val="00AF56EA"/>
    <w:rsid w:val="00B04252"/>
    <w:rsid w:val="00B06474"/>
    <w:rsid w:val="00B07E19"/>
    <w:rsid w:val="00B10926"/>
    <w:rsid w:val="00B23991"/>
    <w:rsid w:val="00B2482D"/>
    <w:rsid w:val="00B27F99"/>
    <w:rsid w:val="00B35309"/>
    <w:rsid w:val="00B35E2A"/>
    <w:rsid w:val="00B4263D"/>
    <w:rsid w:val="00B523A7"/>
    <w:rsid w:val="00B53C85"/>
    <w:rsid w:val="00B56F49"/>
    <w:rsid w:val="00B57CBA"/>
    <w:rsid w:val="00B7261E"/>
    <w:rsid w:val="00B7442A"/>
    <w:rsid w:val="00B871A9"/>
    <w:rsid w:val="00B94E8A"/>
    <w:rsid w:val="00B952BB"/>
    <w:rsid w:val="00B965E5"/>
    <w:rsid w:val="00B97002"/>
    <w:rsid w:val="00BA2433"/>
    <w:rsid w:val="00BA66E2"/>
    <w:rsid w:val="00BB0A58"/>
    <w:rsid w:val="00BB276E"/>
    <w:rsid w:val="00BB2F70"/>
    <w:rsid w:val="00BB6CF4"/>
    <w:rsid w:val="00BB7346"/>
    <w:rsid w:val="00BB77B8"/>
    <w:rsid w:val="00BB784D"/>
    <w:rsid w:val="00BC1332"/>
    <w:rsid w:val="00BC14C3"/>
    <w:rsid w:val="00BC1ABE"/>
    <w:rsid w:val="00BD2A57"/>
    <w:rsid w:val="00BD2F20"/>
    <w:rsid w:val="00BD3FCC"/>
    <w:rsid w:val="00BD455B"/>
    <w:rsid w:val="00BD4F62"/>
    <w:rsid w:val="00BE34C3"/>
    <w:rsid w:val="00BE4A57"/>
    <w:rsid w:val="00BE4AFD"/>
    <w:rsid w:val="00BF5BF7"/>
    <w:rsid w:val="00C00590"/>
    <w:rsid w:val="00C04647"/>
    <w:rsid w:val="00C058CF"/>
    <w:rsid w:val="00C12551"/>
    <w:rsid w:val="00C211CD"/>
    <w:rsid w:val="00C23C15"/>
    <w:rsid w:val="00C25328"/>
    <w:rsid w:val="00C34B26"/>
    <w:rsid w:val="00C36E3A"/>
    <w:rsid w:val="00C3744D"/>
    <w:rsid w:val="00C41A72"/>
    <w:rsid w:val="00C43A84"/>
    <w:rsid w:val="00C52C67"/>
    <w:rsid w:val="00C61F84"/>
    <w:rsid w:val="00C64137"/>
    <w:rsid w:val="00C658E4"/>
    <w:rsid w:val="00C7266E"/>
    <w:rsid w:val="00C734C9"/>
    <w:rsid w:val="00C76C66"/>
    <w:rsid w:val="00C82DF9"/>
    <w:rsid w:val="00C8331A"/>
    <w:rsid w:val="00C87190"/>
    <w:rsid w:val="00C901AD"/>
    <w:rsid w:val="00CA1564"/>
    <w:rsid w:val="00CA7C8A"/>
    <w:rsid w:val="00CB1274"/>
    <w:rsid w:val="00CB180D"/>
    <w:rsid w:val="00CB44E8"/>
    <w:rsid w:val="00CB7978"/>
    <w:rsid w:val="00CC1C30"/>
    <w:rsid w:val="00CC1D12"/>
    <w:rsid w:val="00CC1F6C"/>
    <w:rsid w:val="00CD4BF3"/>
    <w:rsid w:val="00CE1B11"/>
    <w:rsid w:val="00CE2794"/>
    <w:rsid w:val="00CE3764"/>
    <w:rsid w:val="00CE3972"/>
    <w:rsid w:val="00CE42E9"/>
    <w:rsid w:val="00D001E4"/>
    <w:rsid w:val="00D00AA8"/>
    <w:rsid w:val="00D02778"/>
    <w:rsid w:val="00D028F5"/>
    <w:rsid w:val="00D05B81"/>
    <w:rsid w:val="00D13E84"/>
    <w:rsid w:val="00D218BB"/>
    <w:rsid w:val="00D22F2E"/>
    <w:rsid w:val="00D300F4"/>
    <w:rsid w:val="00D3344B"/>
    <w:rsid w:val="00D34A3A"/>
    <w:rsid w:val="00D376D3"/>
    <w:rsid w:val="00D40175"/>
    <w:rsid w:val="00D45888"/>
    <w:rsid w:val="00D508DA"/>
    <w:rsid w:val="00D51D76"/>
    <w:rsid w:val="00D54731"/>
    <w:rsid w:val="00D55243"/>
    <w:rsid w:val="00D62F90"/>
    <w:rsid w:val="00D63E74"/>
    <w:rsid w:val="00D642A5"/>
    <w:rsid w:val="00D715C4"/>
    <w:rsid w:val="00D80D09"/>
    <w:rsid w:val="00D920EC"/>
    <w:rsid w:val="00D928FD"/>
    <w:rsid w:val="00DC79E3"/>
    <w:rsid w:val="00DD51E1"/>
    <w:rsid w:val="00DE055A"/>
    <w:rsid w:val="00DE20E3"/>
    <w:rsid w:val="00DE2D54"/>
    <w:rsid w:val="00DE6EA2"/>
    <w:rsid w:val="00DE7A1C"/>
    <w:rsid w:val="00E02BB0"/>
    <w:rsid w:val="00E03CE6"/>
    <w:rsid w:val="00E054DF"/>
    <w:rsid w:val="00E13716"/>
    <w:rsid w:val="00E266FF"/>
    <w:rsid w:val="00E27661"/>
    <w:rsid w:val="00E35C3E"/>
    <w:rsid w:val="00E41BE0"/>
    <w:rsid w:val="00E466A3"/>
    <w:rsid w:val="00E47DB3"/>
    <w:rsid w:val="00E509A9"/>
    <w:rsid w:val="00E51F8B"/>
    <w:rsid w:val="00E5242A"/>
    <w:rsid w:val="00E53398"/>
    <w:rsid w:val="00E66AE2"/>
    <w:rsid w:val="00E72287"/>
    <w:rsid w:val="00E74DA4"/>
    <w:rsid w:val="00E81B89"/>
    <w:rsid w:val="00E91432"/>
    <w:rsid w:val="00E91B5A"/>
    <w:rsid w:val="00E91E66"/>
    <w:rsid w:val="00E95282"/>
    <w:rsid w:val="00EA7C57"/>
    <w:rsid w:val="00EB141C"/>
    <w:rsid w:val="00ED0425"/>
    <w:rsid w:val="00ED4E89"/>
    <w:rsid w:val="00ED6E45"/>
    <w:rsid w:val="00ED73F3"/>
    <w:rsid w:val="00EE1EDA"/>
    <w:rsid w:val="00EE2CAF"/>
    <w:rsid w:val="00EE43E4"/>
    <w:rsid w:val="00EE5088"/>
    <w:rsid w:val="00EE534A"/>
    <w:rsid w:val="00EF6939"/>
    <w:rsid w:val="00F001EA"/>
    <w:rsid w:val="00F056C3"/>
    <w:rsid w:val="00F06CB5"/>
    <w:rsid w:val="00F16B90"/>
    <w:rsid w:val="00F31DDE"/>
    <w:rsid w:val="00F337C2"/>
    <w:rsid w:val="00F34F19"/>
    <w:rsid w:val="00F375BC"/>
    <w:rsid w:val="00F41573"/>
    <w:rsid w:val="00F44A21"/>
    <w:rsid w:val="00F52187"/>
    <w:rsid w:val="00F54B95"/>
    <w:rsid w:val="00F575F0"/>
    <w:rsid w:val="00F6664C"/>
    <w:rsid w:val="00F66ED1"/>
    <w:rsid w:val="00F72072"/>
    <w:rsid w:val="00F80AF1"/>
    <w:rsid w:val="00F8298C"/>
    <w:rsid w:val="00F83203"/>
    <w:rsid w:val="00F86AF1"/>
    <w:rsid w:val="00F90245"/>
    <w:rsid w:val="00F920D9"/>
    <w:rsid w:val="00F93F1F"/>
    <w:rsid w:val="00F94781"/>
    <w:rsid w:val="00F94E02"/>
    <w:rsid w:val="00FA1338"/>
    <w:rsid w:val="00FA5388"/>
    <w:rsid w:val="00FB08E3"/>
    <w:rsid w:val="00FB142F"/>
    <w:rsid w:val="00FB2814"/>
    <w:rsid w:val="00FB6BF3"/>
    <w:rsid w:val="00FC47D4"/>
    <w:rsid w:val="00FC6DE3"/>
    <w:rsid w:val="00FD397B"/>
    <w:rsid w:val="00FD4B01"/>
    <w:rsid w:val="00FD52F2"/>
    <w:rsid w:val="00FD639C"/>
    <w:rsid w:val="00FD7191"/>
    <w:rsid w:val="00FD7CDC"/>
    <w:rsid w:val="00FE02FD"/>
    <w:rsid w:val="00FE58E0"/>
    <w:rsid w:val="00FE74D0"/>
    <w:rsid w:val="00FF5099"/>
    <w:rsid w:val="00FF7943"/>
    <w:rsid w:val="00FF7AA7"/>
    <w:rsid w:val="024474E3"/>
    <w:rsid w:val="0523AC6B"/>
    <w:rsid w:val="0C5DB963"/>
    <w:rsid w:val="0FA56BCD"/>
    <w:rsid w:val="11B21F48"/>
    <w:rsid w:val="140D1261"/>
    <w:rsid w:val="148913D1"/>
    <w:rsid w:val="14A71503"/>
    <w:rsid w:val="16EEDA87"/>
    <w:rsid w:val="193A44F5"/>
    <w:rsid w:val="1A140A59"/>
    <w:rsid w:val="1B9D440F"/>
    <w:rsid w:val="1DF0A2F2"/>
    <w:rsid w:val="1F7EC5D2"/>
    <w:rsid w:val="21FD51E4"/>
    <w:rsid w:val="24CDF668"/>
    <w:rsid w:val="2799324E"/>
    <w:rsid w:val="2A64F4D4"/>
    <w:rsid w:val="2DE7B658"/>
    <w:rsid w:val="33B23386"/>
    <w:rsid w:val="389D454E"/>
    <w:rsid w:val="3BBFA076"/>
    <w:rsid w:val="40F07F6F"/>
    <w:rsid w:val="42BC7FB5"/>
    <w:rsid w:val="4560F084"/>
    <w:rsid w:val="464257D5"/>
    <w:rsid w:val="4791C809"/>
    <w:rsid w:val="4B45B845"/>
    <w:rsid w:val="4D05C0E4"/>
    <w:rsid w:val="4F34CD74"/>
    <w:rsid w:val="4FA2703C"/>
    <w:rsid w:val="5563A846"/>
    <w:rsid w:val="5753E152"/>
    <w:rsid w:val="5AB29E1D"/>
    <w:rsid w:val="5B336915"/>
    <w:rsid w:val="5CE444FF"/>
    <w:rsid w:val="5E4BADC8"/>
    <w:rsid w:val="5E7D7C90"/>
    <w:rsid w:val="6809C04B"/>
    <w:rsid w:val="6D277B2E"/>
    <w:rsid w:val="6D95333F"/>
    <w:rsid w:val="6FD72EB7"/>
    <w:rsid w:val="737A902D"/>
    <w:rsid w:val="770C13E8"/>
    <w:rsid w:val="778615A0"/>
    <w:rsid w:val="78074D97"/>
    <w:rsid w:val="7B858720"/>
    <w:rsid w:val="7D2D6C20"/>
    <w:rsid w:val="7E754A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B1ABF0E"/>
  <w15:docId w15:val="{8A05B020-F0E7-4517-A686-FB713053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9F6610"/>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9F6610"/>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uiPriority w:val="99"/>
    <w:unhideWhenUsed/>
    <w:lock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344F7E"/>
    <w:rPr>
      <w:b/>
      <w:bCs/>
    </w:rPr>
  </w:style>
  <w:style w:type="character" w:customStyle="1" w:styleId="CommentSubjectChar">
    <w:name w:val="Comment Subject Char"/>
    <w:basedOn w:val="CommentTextChar"/>
    <w:link w:val="CommentSubject"/>
    <w:uiPriority w:val="99"/>
    <w:semiHidden/>
    <w:rsid w:val="00344F7E"/>
    <w:rPr>
      <w:b/>
      <w:bCs/>
      <w:sz w:val="20"/>
      <w:szCs w:val="20"/>
    </w:rPr>
  </w:style>
  <w:style w:type="character" w:styleId="FollowedHyperlink">
    <w:name w:val="FollowedHyperlink"/>
    <w:basedOn w:val="DefaultParagraphFont"/>
    <w:uiPriority w:val="99"/>
    <w:semiHidden/>
    <w:unhideWhenUsed/>
    <w:locked/>
    <w:rsid w:val="002A45B9"/>
    <w:rPr>
      <w:color w:val="5D9732" w:themeColor="followedHyperlink"/>
      <w:u w:val="single"/>
    </w:rPr>
  </w:style>
  <w:style w:type="character" w:customStyle="1" w:styleId="normaltextrun">
    <w:name w:val="normaltextrun"/>
    <w:basedOn w:val="DefaultParagraphFont"/>
    <w:rsid w:val="00C8331A"/>
  </w:style>
  <w:style w:type="paragraph" w:styleId="Revision">
    <w:name w:val="Revision"/>
    <w:hidden/>
    <w:uiPriority w:val="99"/>
    <w:semiHidden/>
    <w:rsid w:val="00DE6EA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1.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image" Target="media/image3.png" /><Relationship Id="rId19" Type="http://schemas.openxmlformats.org/officeDocument/2006/relationships/image" Target="media/image4.png" /><Relationship Id="rId2" Type="http://schemas.openxmlformats.org/officeDocument/2006/relationships/settings" Target="settings.xml" /><Relationship Id="rId20" Type="http://schemas.openxmlformats.org/officeDocument/2006/relationships/image" Target="media/image5.png" /><Relationship Id="rId21" Type="http://schemas.openxmlformats.org/officeDocument/2006/relationships/image" Target="media/image6.png" /><Relationship Id="rId22" Type="http://schemas.openxmlformats.org/officeDocument/2006/relationships/hyperlink" Target="mailto:Thomas.lorenz@eia.gov" TargetMode="External" /><Relationship Id="rId23" Type="http://schemas.openxmlformats.org/officeDocument/2006/relationships/header" Target="header2.xml" /><Relationship Id="rId24" Type="http://schemas.openxmlformats.org/officeDocument/2006/relationships/header" Target="header3.xml" /><Relationship Id="rId25" Type="http://schemas.openxmlformats.org/officeDocument/2006/relationships/footer" Target="footer6.xml" /><Relationship Id="rId26" Type="http://schemas.openxmlformats.org/officeDocument/2006/relationships/header" Target="header4.xml" /><Relationship Id="rId27" Type="http://schemas.openxmlformats.org/officeDocument/2006/relationships/footer" Target="footer7.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AD706D01D33245979051D7ADEA80FD" ma:contentTypeVersion="3" ma:contentTypeDescription="Create a new document." ma:contentTypeScope="" ma:versionID="083a2d992d3768e0681cb858b849dd1e">
  <xsd:schema xmlns:xsd="http://www.w3.org/2001/XMLSchema" xmlns:xs="http://www.w3.org/2001/XMLSchema" xmlns:p="http://schemas.microsoft.com/office/2006/metadata/properties" xmlns:ns2="3be06a51-72dd-45b9-9ac9-71b5c8f5b318" targetNamespace="http://schemas.microsoft.com/office/2006/metadata/properties" ma:root="true" ma:fieldsID="5c029be2b6b8a70c0abb60e6eab334a6" ns2:_="">
    <xsd:import namespace="3be06a51-72dd-45b9-9ac9-71b5c8f5b3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06a51-72dd-45b9-9ac9-71b5c8f5b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B9266D-2399-4AB2-9BA7-0A786714BDF4}">
  <ds:schemaRefs>
    <ds:schemaRef ds:uri="http://schemas.microsoft.com/sharepoint/v3/contenttype/forms"/>
  </ds:schemaRefs>
</ds:datastoreItem>
</file>

<file path=customXml/itemProps3.xml><?xml version="1.0" encoding="utf-8"?>
<ds:datastoreItem xmlns:ds="http://schemas.openxmlformats.org/officeDocument/2006/customXml" ds:itemID="{2CDEC923-1C26-4642-B364-227179F41200}">
  <ds:schemaRefs>
    <ds:schemaRef ds:uri="http://schemas.openxmlformats.org/officeDocument/2006/bibliography"/>
  </ds:schemaRefs>
</ds:datastoreItem>
</file>

<file path=customXml/itemProps4.xml><?xml version="1.0" encoding="utf-8"?>
<ds:datastoreItem xmlns:ds="http://schemas.openxmlformats.org/officeDocument/2006/customXml" ds:itemID="{6B1E525F-BCAE-4E49-B4D6-3BE4F128D1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F831AEE-1753-43CE-9B2E-4BECAB06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06a51-72dd-45b9-9ac9-71b5c8f5b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1719</Words>
  <Characters>9453</Characters>
  <Application>Microsoft Office Word</Application>
  <DocSecurity>0</DocSecurity>
  <Lines>170</Lines>
  <Paragraphs>33</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dc:title>
  <dc:subject>Improving the Quality and Scope of EIA Data</dc:subject>
  <dc:creator>Stroud, Lawrence</dc:creator>
  <cp:lastModifiedBy>Hernandez, Aryn D.</cp:lastModifiedBy>
  <cp:revision>3</cp:revision>
  <cp:lastPrinted>2011-12-12T20:42:00Z</cp:lastPrinted>
  <dcterms:created xsi:type="dcterms:W3CDTF">2026-05-08T14:31:00Z</dcterms:created>
  <dcterms:modified xsi:type="dcterms:W3CDTF">2026-05-08T14:44:00Z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0x0101001CAD706D01D33245979051D7ADEA80FD</vt:lpwstr>
  </property>
  <property fmtid="{D5CDD505-2E9C-101B-9397-08002B2CF9AE}" pid="3" name="docLang">
    <vt:lpwstr>en</vt:lpwstr>
  </property>
</Properties>
</file>