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E4443" w:rsidP="008E4A58" w14:paraId="529AC878" w14:textId="77777777">
      <w:pPr>
        <w:shd w:val="clear" w:color="auto" w:fill="FFFFFF"/>
        <w:spacing w:after="0" w:line="240" w:lineRule="auto"/>
        <w:jc w:val="center"/>
        <w:rPr>
          <w:rFonts w:eastAsia="Times New Roman" w:asciiTheme="minorBidi" w:hAnsiTheme="minorBidi"/>
          <w:b/>
          <w:sz w:val="24"/>
          <w:szCs w:val="24"/>
        </w:rPr>
      </w:pPr>
      <w:r>
        <w:rPr>
          <w:rFonts w:eastAsia="Times New Roman" w:asciiTheme="minorBidi" w:hAnsiTheme="minorBidi"/>
          <w:b/>
          <w:sz w:val="24"/>
          <w:szCs w:val="24"/>
        </w:rPr>
        <w:t>Department of Transportation</w:t>
      </w:r>
    </w:p>
    <w:p w:rsidR="008E4A58" w:rsidRPr="003F0DC3" w:rsidP="008E4A58" w14:paraId="2044AF07" w14:textId="120E8897">
      <w:pPr>
        <w:shd w:val="clear" w:color="auto" w:fill="FFFFFF"/>
        <w:spacing w:after="0" w:line="240" w:lineRule="auto"/>
        <w:jc w:val="center"/>
        <w:rPr>
          <w:rFonts w:eastAsia="Times New Roman" w:asciiTheme="minorBidi" w:hAnsiTheme="minorBidi"/>
          <w:b/>
          <w:sz w:val="24"/>
          <w:szCs w:val="24"/>
        </w:rPr>
      </w:pPr>
      <w:r w:rsidRPr="003F0DC3">
        <w:rPr>
          <w:rFonts w:eastAsia="Times New Roman" w:asciiTheme="minorBidi" w:hAnsiTheme="minorBidi"/>
          <w:b/>
          <w:sz w:val="24"/>
          <w:szCs w:val="24"/>
        </w:rPr>
        <w:t>Supporting Statement, A</w:t>
      </w:r>
    </w:p>
    <w:p w:rsidR="008E4A58" w:rsidRPr="003F0DC3" w:rsidP="008E4A58" w14:paraId="05FB5D70" w14:textId="77777777">
      <w:pPr>
        <w:shd w:val="clear" w:color="auto" w:fill="FFFFFF"/>
        <w:spacing w:after="0" w:line="240" w:lineRule="auto"/>
        <w:jc w:val="center"/>
        <w:rPr>
          <w:rFonts w:asciiTheme="minorBidi" w:hAnsiTheme="minorBidi"/>
          <w:b/>
          <w:sz w:val="24"/>
          <w:szCs w:val="24"/>
        </w:rPr>
      </w:pPr>
      <w:r w:rsidRPr="003F0DC3">
        <w:rPr>
          <w:rFonts w:asciiTheme="minorBidi" w:hAnsiTheme="minorBidi"/>
          <w:b/>
          <w:sz w:val="24"/>
          <w:szCs w:val="24"/>
        </w:rPr>
        <w:t>DOT Technical Assistance PRA</w:t>
      </w:r>
    </w:p>
    <w:p w:rsidR="008E4A58" w:rsidRPr="003F0DC3" w:rsidP="008E4A58" w14:paraId="173C4684" w14:textId="77777777">
      <w:pPr>
        <w:shd w:val="clear" w:color="auto" w:fill="FFFFFF"/>
        <w:spacing w:after="0" w:line="240" w:lineRule="auto"/>
        <w:jc w:val="center"/>
        <w:rPr>
          <w:rFonts w:eastAsia="Times New Roman" w:asciiTheme="minorBidi" w:hAnsiTheme="minorBidi"/>
          <w:b/>
          <w:sz w:val="24"/>
          <w:szCs w:val="24"/>
        </w:rPr>
      </w:pPr>
      <w:r w:rsidRPr="003F0DC3">
        <w:rPr>
          <w:rFonts w:asciiTheme="minorBidi" w:hAnsiTheme="minorBidi"/>
          <w:b/>
          <w:sz w:val="24"/>
          <w:szCs w:val="24"/>
        </w:rPr>
        <w:t xml:space="preserve">OMB Number 2105-0584 </w:t>
      </w:r>
    </w:p>
    <w:p w:rsidR="008E4A58" w:rsidRPr="003F0DC3" w:rsidP="008E4A58" w14:paraId="7E69EB99" w14:textId="77777777">
      <w:pPr>
        <w:shd w:val="clear" w:color="auto" w:fill="FFFFFF"/>
        <w:spacing w:after="0" w:line="240" w:lineRule="auto"/>
        <w:rPr>
          <w:rFonts w:eastAsia="Times New Roman" w:asciiTheme="minorBidi" w:hAnsiTheme="minorBidi"/>
          <w:sz w:val="24"/>
          <w:szCs w:val="24"/>
        </w:rPr>
      </w:pPr>
    </w:p>
    <w:p w:rsidR="008E4A58" w:rsidRPr="003F0DC3" w:rsidP="008E4A58" w14:paraId="40804EE2" w14:textId="77777777">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 xml:space="preserve">ABSTRACT: </w:t>
      </w:r>
    </w:p>
    <w:p w:rsidR="008E4A58" w:rsidRPr="003F0DC3" w:rsidP="008E4A58" w14:paraId="155F0926" w14:textId="77777777">
      <w:pPr>
        <w:shd w:val="clear" w:color="auto" w:fill="FFFFFF"/>
        <w:spacing w:after="0" w:line="240" w:lineRule="auto"/>
        <w:rPr>
          <w:rFonts w:eastAsia="Times New Roman" w:asciiTheme="minorBidi" w:hAnsiTheme="minorBidi"/>
          <w:sz w:val="24"/>
          <w:szCs w:val="24"/>
        </w:rPr>
      </w:pPr>
    </w:p>
    <w:p w:rsidR="008E4A58" w:rsidRPr="003F0DC3" w:rsidP="008E4A58" w14:paraId="79EEB07F" w14:textId="0F18572F">
      <w:pPr>
        <w:pStyle w:val="Default"/>
        <w:rPr>
          <w:rFonts w:asciiTheme="minorBidi" w:hAnsiTheme="minorBidi" w:cstheme="minorBidi"/>
        </w:rPr>
      </w:pPr>
      <w:r w:rsidRPr="003F0DC3">
        <w:rPr>
          <w:rFonts w:asciiTheme="minorBidi" w:hAnsiTheme="minorBidi" w:cstheme="minorBidi"/>
        </w:rPr>
        <w:t xml:space="preserve">The purpose of this request is to seek the </w:t>
      </w:r>
      <w:r w:rsidRPr="003F0DC3">
        <w:rPr>
          <w:rFonts w:asciiTheme="minorBidi" w:hAnsiTheme="minorBidi" w:cstheme="minorBidi"/>
        </w:rPr>
        <w:t>Office of Management and Budget</w:t>
      </w:r>
      <w:r w:rsidRPr="003F0DC3">
        <w:rPr>
          <w:rFonts w:asciiTheme="minorBidi" w:hAnsiTheme="minorBidi" w:cstheme="minorBidi"/>
        </w:rPr>
        <w:t>’s</w:t>
      </w:r>
      <w:r w:rsidRPr="003F0DC3">
        <w:rPr>
          <w:rFonts w:asciiTheme="minorBidi" w:hAnsiTheme="minorBidi" w:cstheme="minorBidi"/>
        </w:rPr>
        <w:t xml:space="preserve"> (OMB)</w:t>
      </w:r>
      <w:r w:rsidRPr="003F0DC3">
        <w:rPr>
          <w:rFonts w:asciiTheme="minorBidi" w:hAnsiTheme="minorBidi" w:cstheme="minorBidi"/>
        </w:rPr>
        <w:t xml:space="preserve"> approval to </w:t>
      </w:r>
      <w:r w:rsidRPr="003F0DC3" w:rsidR="00F66342">
        <w:rPr>
          <w:rFonts w:asciiTheme="minorBidi" w:hAnsiTheme="minorBidi" w:cstheme="minorBidi"/>
        </w:rPr>
        <w:t>renew</w:t>
      </w:r>
      <w:r w:rsidRPr="003F0DC3">
        <w:rPr>
          <w:rFonts w:asciiTheme="minorBidi" w:hAnsiTheme="minorBidi" w:cstheme="minorBidi"/>
        </w:rPr>
        <w:t xml:space="preserve"> the existing information collection request (ICR) under OMB Control Number 2105-0584, “DOT Technical Assistance PRA”,</w:t>
      </w:r>
      <w:r w:rsidRPr="003F0DC3">
        <w:rPr>
          <w:rFonts w:asciiTheme="minorBidi" w:hAnsiTheme="minorBidi" w:cstheme="minorBidi"/>
        </w:rPr>
        <w:t xml:space="preserve"> to </w:t>
      </w:r>
      <w:r w:rsidRPr="003F0DC3" w:rsidR="000E7841">
        <w:rPr>
          <w:rFonts w:asciiTheme="minorBidi" w:hAnsiTheme="minorBidi" w:cstheme="minorBidi"/>
        </w:rPr>
        <w:t>enable</w:t>
      </w:r>
      <w:r w:rsidRPr="003F0DC3">
        <w:rPr>
          <w:rFonts w:asciiTheme="minorBidi" w:hAnsiTheme="minorBidi" w:cstheme="minorBidi"/>
        </w:rPr>
        <w:t xml:space="preserve"> </w:t>
      </w:r>
      <w:r w:rsidRPr="003F0DC3">
        <w:rPr>
          <w:rFonts w:asciiTheme="minorBidi" w:hAnsiTheme="minorBidi" w:cstheme="minorBidi"/>
        </w:rPr>
        <w:t xml:space="preserve">the Department of Transportation’s (DOT) Office of the Secretary (OST) </w:t>
      </w:r>
      <w:r w:rsidRPr="003F0DC3">
        <w:rPr>
          <w:rFonts w:eastAsia="Times New Roman" w:asciiTheme="minorBidi" w:hAnsiTheme="minorBidi" w:cstheme="minorBidi"/>
        </w:rPr>
        <w:t>Build America Bureau</w:t>
      </w:r>
      <w:r w:rsidRPr="003F0DC3" w:rsidR="00D55C80">
        <w:rPr>
          <w:rFonts w:eastAsia="Times New Roman" w:asciiTheme="minorBidi" w:hAnsiTheme="minorBidi" w:cstheme="minorBidi"/>
        </w:rPr>
        <w:t xml:space="preserve"> (the Bureau)</w:t>
      </w:r>
      <w:r w:rsidRPr="003F0DC3">
        <w:rPr>
          <w:rFonts w:eastAsia="Times New Roman" w:asciiTheme="minorBidi" w:hAnsiTheme="minorBidi" w:cstheme="minorBidi"/>
        </w:rPr>
        <w:t xml:space="preserve"> </w:t>
      </w:r>
      <w:r w:rsidRPr="003F0DC3" w:rsidR="00A04AF5">
        <w:rPr>
          <w:rFonts w:eastAsia="Times New Roman" w:asciiTheme="minorBidi" w:hAnsiTheme="minorBidi" w:cstheme="minorBidi"/>
        </w:rPr>
        <w:t xml:space="preserve">to implement </w:t>
      </w:r>
      <w:r w:rsidRPr="003F0DC3" w:rsidR="00DE27BD">
        <w:rPr>
          <w:rFonts w:eastAsia="Times New Roman" w:asciiTheme="minorBidi" w:hAnsiTheme="minorBidi" w:cstheme="minorBidi"/>
        </w:rPr>
        <w:t xml:space="preserve">the </w:t>
      </w:r>
      <w:r w:rsidRPr="003F0DC3">
        <w:rPr>
          <w:rFonts w:asciiTheme="minorBidi" w:hAnsiTheme="minorBidi" w:cstheme="minorBidi"/>
        </w:rPr>
        <w:t xml:space="preserve">Rural and Tribal Assistance </w:t>
      </w:r>
      <w:r w:rsidRPr="003F0DC3" w:rsidR="000773D5">
        <w:rPr>
          <w:rFonts w:asciiTheme="minorBidi" w:hAnsiTheme="minorBidi" w:cstheme="minorBidi"/>
        </w:rPr>
        <w:t xml:space="preserve">(RTA) </w:t>
      </w:r>
      <w:r w:rsidRPr="003F0DC3">
        <w:rPr>
          <w:rFonts w:asciiTheme="minorBidi" w:hAnsiTheme="minorBidi" w:cstheme="minorBidi"/>
        </w:rPr>
        <w:t xml:space="preserve">Pilot and the </w:t>
      </w:r>
      <w:r w:rsidRPr="003F0DC3" w:rsidR="00F87A5B">
        <w:rPr>
          <w:rFonts w:asciiTheme="minorBidi" w:hAnsiTheme="minorBidi" w:cstheme="minorBidi"/>
        </w:rPr>
        <w:t xml:space="preserve">Asset Concession and Innovative Finance Assistance </w:t>
      </w:r>
      <w:r w:rsidRPr="003F0DC3" w:rsidR="00FB4048">
        <w:rPr>
          <w:rFonts w:asciiTheme="minorBidi" w:hAnsiTheme="minorBidi" w:cstheme="minorBidi"/>
        </w:rPr>
        <w:t>(</w:t>
      </w:r>
      <w:r w:rsidRPr="003F0DC3" w:rsidR="00F87A5B">
        <w:rPr>
          <w:rFonts w:asciiTheme="minorBidi" w:hAnsiTheme="minorBidi" w:cstheme="minorBidi"/>
        </w:rPr>
        <w:t xml:space="preserve">also known as the </w:t>
      </w:r>
      <w:r w:rsidRPr="003F0DC3" w:rsidR="000773D5">
        <w:rPr>
          <w:rFonts w:asciiTheme="minorBidi" w:hAnsiTheme="minorBidi" w:cstheme="minorBidi"/>
        </w:rPr>
        <w:t xml:space="preserve">Innovative Finance </w:t>
      </w:r>
      <w:r w:rsidRPr="003F0DC3" w:rsidR="00243026">
        <w:rPr>
          <w:rFonts w:asciiTheme="minorBidi" w:hAnsiTheme="minorBidi" w:cstheme="minorBidi"/>
        </w:rPr>
        <w:t xml:space="preserve">and </w:t>
      </w:r>
      <w:r w:rsidRPr="003F0DC3">
        <w:rPr>
          <w:rFonts w:asciiTheme="minorBidi" w:hAnsiTheme="minorBidi" w:cstheme="minorBidi"/>
        </w:rPr>
        <w:t xml:space="preserve">Asset Concession </w:t>
      </w:r>
      <w:r w:rsidRPr="003F0DC3" w:rsidR="000773D5">
        <w:rPr>
          <w:rFonts w:asciiTheme="minorBidi" w:hAnsiTheme="minorBidi" w:cstheme="minorBidi"/>
        </w:rPr>
        <w:t>(IFAC)</w:t>
      </w:r>
      <w:r w:rsidRPr="003F0DC3" w:rsidR="00FB4048">
        <w:rPr>
          <w:rFonts w:asciiTheme="minorBidi" w:hAnsiTheme="minorBidi" w:cstheme="minorBidi"/>
        </w:rPr>
        <w:t>)</w:t>
      </w:r>
      <w:r w:rsidRPr="003F0DC3" w:rsidR="000773D5">
        <w:rPr>
          <w:rFonts w:asciiTheme="minorBidi" w:hAnsiTheme="minorBidi" w:cstheme="minorBidi"/>
        </w:rPr>
        <w:t xml:space="preserve"> </w:t>
      </w:r>
      <w:r w:rsidRPr="003F0DC3" w:rsidR="00FF5348">
        <w:rPr>
          <w:rFonts w:asciiTheme="minorBidi" w:hAnsiTheme="minorBidi" w:cstheme="minorBidi"/>
        </w:rPr>
        <w:t>grant programs</w:t>
      </w:r>
      <w:r w:rsidRPr="003F0DC3">
        <w:rPr>
          <w:rFonts w:eastAsia="Times New Roman" w:asciiTheme="minorBidi" w:hAnsiTheme="minorBidi" w:cstheme="minorBidi"/>
        </w:rPr>
        <w:t xml:space="preserve">. </w:t>
      </w:r>
      <w:r w:rsidRPr="003F0DC3" w:rsidR="0084077E">
        <w:rPr>
          <w:rFonts w:eastAsia="Times New Roman" w:asciiTheme="minorBidi" w:hAnsiTheme="minorBidi" w:cstheme="minorBidi"/>
        </w:rPr>
        <w:t xml:space="preserve">This </w:t>
      </w:r>
      <w:r w:rsidRPr="003F0DC3" w:rsidR="00791BF9">
        <w:rPr>
          <w:rFonts w:eastAsia="Times New Roman" w:asciiTheme="minorBidi" w:hAnsiTheme="minorBidi" w:cstheme="minorBidi"/>
        </w:rPr>
        <w:t>renewal</w:t>
      </w:r>
      <w:r w:rsidRPr="003F0DC3" w:rsidR="0084077E">
        <w:rPr>
          <w:rFonts w:eastAsia="Times New Roman" w:asciiTheme="minorBidi" w:hAnsiTheme="minorBidi" w:cstheme="minorBidi"/>
        </w:rPr>
        <w:t xml:space="preserve"> </w:t>
      </w:r>
      <w:r w:rsidRPr="003F0DC3" w:rsidR="000D0AB9">
        <w:rPr>
          <w:rFonts w:eastAsia="Times New Roman" w:asciiTheme="minorBidi" w:hAnsiTheme="minorBidi" w:cstheme="minorBidi"/>
        </w:rPr>
        <w:t>includes</w:t>
      </w:r>
      <w:r w:rsidRPr="003F0DC3" w:rsidR="0084077E">
        <w:rPr>
          <w:rFonts w:eastAsia="Times New Roman" w:asciiTheme="minorBidi" w:hAnsiTheme="minorBidi" w:cstheme="minorBidi"/>
        </w:rPr>
        <w:t xml:space="preserve"> an adjustment to estimation and burden reduction </w:t>
      </w:r>
      <w:r w:rsidRPr="003F0DC3" w:rsidR="00FF5348">
        <w:rPr>
          <w:rFonts w:eastAsia="Times New Roman" w:asciiTheme="minorBidi" w:hAnsiTheme="minorBidi" w:cstheme="minorBidi"/>
        </w:rPr>
        <w:t xml:space="preserve">for the </w:t>
      </w:r>
      <w:r w:rsidRPr="003F0DC3" w:rsidR="000D0AB9">
        <w:rPr>
          <w:rFonts w:eastAsia="Times New Roman" w:asciiTheme="minorBidi" w:hAnsiTheme="minorBidi" w:cstheme="minorBidi"/>
        </w:rPr>
        <w:t xml:space="preserve">respective </w:t>
      </w:r>
      <w:r w:rsidRPr="003F0DC3" w:rsidR="00FF5348">
        <w:rPr>
          <w:rFonts w:eastAsia="Times New Roman" w:asciiTheme="minorBidi" w:hAnsiTheme="minorBidi" w:cstheme="minorBidi"/>
        </w:rPr>
        <w:t xml:space="preserve">grant programs as well as </w:t>
      </w:r>
      <w:r w:rsidRPr="003F0DC3" w:rsidR="0084077E">
        <w:rPr>
          <w:rFonts w:eastAsia="Times New Roman" w:asciiTheme="minorBidi" w:hAnsiTheme="minorBidi" w:cstheme="minorBidi"/>
        </w:rPr>
        <w:t xml:space="preserve">the removal </w:t>
      </w:r>
      <w:r w:rsidRPr="003F0DC3" w:rsidR="00344C24">
        <w:rPr>
          <w:rFonts w:eastAsia="Times New Roman" w:asciiTheme="minorBidi" w:hAnsiTheme="minorBidi" w:cstheme="minorBidi"/>
        </w:rPr>
        <w:t xml:space="preserve">of </w:t>
      </w:r>
      <w:r w:rsidRPr="003F0DC3" w:rsidR="003C7EB5">
        <w:rPr>
          <w:rFonts w:eastAsia="Times New Roman" w:asciiTheme="minorBidi" w:hAnsiTheme="minorBidi" w:cstheme="minorBidi"/>
        </w:rPr>
        <w:t xml:space="preserve">the </w:t>
      </w:r>
      <w:r w:rsidRPr="003F0DC3" w:rsidR="00344C24">
        <w:rPr>
          <w:rFonts w:eastAsia="Times New Roman" w:asciiTheme="minorBidi" w:hAnsiTheme="minorBidi" w:cstheme="minorBidi"/>
        </w:rPr>
        <w:t xml:space="preserve">information collection for </w:t>
      </w:r>
      <w:r w:rsidRPr="003F0DC3" w:rsidR="0084077E">
        <w:rPr>
          <w:rFonts w:eastAsia="Times New Roman" w:asciiTheme="minorBidi" w:hAnsiTheme="minorBidi" w:cstheme="minorBidi"/>
        </w:rPr>
        <w:t>the Thriving Communities Program</w:t>
      </w:r>
      <w:r w:rsidRPr="003F0DC3" w:rsidR="00C418A2">
        <w:rPr>
          <w:rFonts w:eastAsia="Times New Roman" w:asciiTheme="minorBidi" w:hAnsiTheme="minorBidi" w:cstheme="minorBidi"/>
        </w:rPr>
        <w:t xml:space="preserve"> (TCP)</w:t>
      </w:r>
      <w:r w:rsidRPr="003F0DC3" w:rsidR="0084077E">
        <w:rPr>
          <w:rFonts w:eastAsia="Times New Roman" w:asciiTheme="minorBidi" w:hAnsiTheme="minorBidi" w:cstheme="minorBidi"/>
        </w:rPr>
        <w:t>. Previous OMB submissions included burden hour totals for the TCP program-related activities. This IC</w:t>
      </w:r>
      <w:r w:rsidRPr="003F0DC3" w:rsidR="00C418A2">
        <w:rPr>
          <w:rFonts w:eastAsia="Times New Roman" w:asciiTheme="minorBidi" w:hAnsiTheme="minorBidi" w:cstheme="minorBidi"/>
        </w:rPr>
        <w:t>R</w:t>
      </w:r>
      <w:r w:rsidRPr="003F0DC3" w:rsidR="0084077E">
        <w:rPr>
          <w:rFonts w:eastAsia="Times New Roman" w:asciiTheme="minorBidi" w:hAnsiTheme="minorBidi" w:cstheme="minorBidi"/>
        </w:rPr>
        <w:t xml:space="preserve"> was adjusted to include </w:t>
      </w:r>
      <w:r w:rsidRPr="003F0DC3" w:rsidR="00F8724F">
        <w:rPr>
          <w:rFonts w:eastAsia="Times New Roman" w:asciiTheme="minorBidi" w:hAnsiTheme="minorBidi" w:cstheme="minorBidi"/>
        </w:rPr>
        <w:t>only</w:t>
      </w:r>
      <w:r w:rsidRPr="003F0DC3" w:rsidR="0084077E">
        <w:rPr>
          <w:rFonts w:eastAsia="Times New Roman" w:asciiTheme="minorBidi" w:hAnsiTheme="minorBidi" w:cstheme="minorBidi"/>
        </w:rPr>
        <w:t xml:space="preserve"> burden specifically related to the RTA and IFAC grant programs.  </w:t>
      </w:r>
    </w:p>
    <w:p w:rsidR="008E4A58" w:rsidRPr="003F0DC3" w:rsidP="008E4A58" w14:paraId="54F5F318" w14:textId="77777777">
      <w:pPr>
        <w:spacing w:after="0" w:line="240" w:lineRule="auto"/>
        <w:textAlignment w:val="baseline"/>
        <w:rPr>
          <w:rFonts w:eastAsia="Times New Roman" w:asciiTheme="minorBidi" w:hAnsiTheme="minorBidi"/>
          <w:b/>
          <w:i/>
          <w:sz w:val="24"/>
          <w:szCs w:val="24"/>
        </w:rPr>
      </w:pPr>
    </w:p>
    <w:p w:rsidR="008E4A58" w:rsidRPr="003F0DC3" w:rsidP="008E4A58" w14:paraId="7A7BBC67" w14:textId="77777777">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b/>
          <w:sz w:val="24"/>
          <w:szCs w:val="24"/>
        </w:rPr>
        <w:t>1. Explain the circumstances that make the collection of information necessary.  Identify any legal or administrative requirements that necessitate the collection.</w:t>
      </w:r>
    </w:p>
    <w:p w:rsidR="006E4DEA" w:rsidRPr="003F0DC3" w:rsidP="00AB0568" w14:paraId="753F8A76" w14:textId="3E4A2549">
      <w:pPr>
        <w:shd w:val="clear" w:color="auto" w:fill="FFFFFF"/>
        <w:spacing w:after="0" w:line="240" w:lineRule="auto"/>
        <w:rPr>
          <w:rFonts w:eastAsia="Calibri" w:asciiTheme="minorBidi" w:hAnsiTheme="minorBidi"/>
          <w:sz w:val="24"/>
          <w:szCs w:val="24"/>
        </w:rPr>
      </w:pPr>
      <w:r w:rsidRPr="003F0DC3">
        <w:rPr>
          <w:rFonts w:eastAsia="Times New Roman" w:asciiTheme="minorBidi" w:hAnsiTheme="minorBidi"/>
          <w:sz w:val="24"/>
          <w:szCs w:val="24"/>
        </w:rPr>
        <w:br/>
      </w:r>
      <w:r w:rsidRPr="003F0DC3">
        <w:rPr>
          <w:rFonts w:eastAsia="Calibri" w:asciiTheme="minorBidi" w:hAnsiTheme="minorBidi"/>
          <w:sz w:val="24"/>
          <w:szCs w:val="24"/>
        </w:rPr>
        <w:t xml:space="preserve">The Infrastructure Investment and Jobs Act (IIJA, </w:t>
      </w:r>
      <w:r w:rsidRPr="003F0DC3" w:rsidR="00886A2E">
        <w:rPr>
          <w:rFonts w:eastAsia="Calibri" w:asciiTheme="minorBidi" w:hAnsiTheme="minorBidi"/>
          <w:sz w:val="24"/>
          <w:szCs w:val="24"/>
        </w:rPr>
        <w:t>P</w:t>
      </w:r>
      <w:r w:rsidRPr="003F0DC3" w:rsidR="00CC774C">
        <w:rPr>
          <w:rFonts w:eastAsia="Calibri" w:asciiTheme="minorBidi" w:hAnsiTheme="minorBidi"/>
          <w:sz w:val="24"/>
          <w:szCs w:val="24"/>
        </w:rPr>
        <w:t xml:space="preserve">ub. </w:t>
      </w:r>
      <w:r w:rsidRPr="003F0DC3" w:rsidR="008A0B61">
        <w:rPr>
          <w:rFonts w:eastAsia="Calibri" w:asciiTheme="minorBidi" w:hAnsiTheme="minorBidi"/>
          <w:sz w:val="24"/>
          <w:szCs w:val="24"/>
        </w:rPr>
        <w:t>L.</w:t>
      </w:r>
      <w:r w:rsidRPr="003F0DC3">
        <w:rPr>
          <w:rFonts w:eastAsia="Calibri" w:asciiTheme="minorBidi" w:hAnsiTheme="minorBidi"/>
          <w:sz w:val="24"/>
          <w:szCs w:val="24"/>
        </w:rPr>
        <w:t xml:space="preserve"> 117-58) created several programs at DOT that allow local governments, non-profit organizations, tribal governments, and other political subdivisions of state or local governments to apply directly for DOT discretionary grant funding.</w:t>
      </w:r>
      <w:r w:rsidRPr="003F0DC3" w:rsidR="000C12F9">
        <w:rPr>
          <w:rFonts w:eastAsia="Calibri" w:asciiTheme="minorBidi" w:hAnsiTheme="minorBidi"/>
          <w:sz w:val="24"/>
          <w:szCs w:val="24"/>
        </w:rPr>
        <w:t xml:space="preserve"> </w:t>
      </w:r>
      <w:r w:rsidRPr="003F0DC3" w:rsidR="001400ED">
        <w:rPr>
          <w:rFonts w:eastAsia="Calibri" w:asciiTheme="minorBidi" w:hAnsiTheme="minorBidi"/>
          <w:sz w:val="24"/>
          <w:szCs w:val="24"/>
        </w:rPr>
        <w:t>This included the creation of RTA and IFAC which provide technical assistance to help communities explore innovative financing and project delivery methods for their projects.</w:t>
      </w:r>
      <w:r w:rsidRPr="003F0DC3" w:rsidR="000A744F">
        <w:rPr>
          <w:rFonts w:eastAsia="Calibri" w:asciiTheme="minorBidi" w:hAnsiTheme="minorBidi"/>
          <w:sz w:val="24"/>
          <w:szCs w:val="24"/>
        </w:rPr>
        <w:t xml:space="preserve"> </w:t>
      </w:r>
      <w:r w:rsidRPr="003F0DC3" w:rsidR="001B32A5">
        <w:rPr>
          <w:rFonts w:eastAsia="Calibri" w:asciiTheme="minorBidi" w:hAnsiTheme="minorBidi"/>
          <w:sz w:val="24"/>
          <w:szCs w:val="24"/>
        </w:rPr>
        <w:t xml:space="preserve">IIJA expanded the </w:t>
      </w:r>
      <w:r w:rsidRPr="003F0DC3" w:rsidR="00066610">
        <w:rPr>
          <w:rFonts w:eastAsia="Calibri" w:asciiTheme="minorBidi" w:hAnsiTheme="minorBidi"/>
          <w:sz w:val="24"/>
          <w:szCs w:val="24"/>
        </w:rPr>
        <w:t>Bureau’s</w:t>
      </w:r>
      <w:r w:rsidRPr="003F0DC3" w:rsidR="001B32A5">
        <w:rPr>
          <w:rFonts w:eastAsia="Calibri" w:asciiTheme="minorBidi" w:hAnsiTheme="minorBidi"/>
          <w:sz w:val="24"/>
          <w:szCs w:val="24"/>
        </w:rPr>
        <w:t xml:space="preserve"> capacity to help more communities advance infrastructure projects that enhance the safety, efficiency, and quality of the country’s transportation system.   </w:t>
      </w:r>
    </w:p>
    <w:p w:rsidR="001B32A5" w:rsidRPr="003F0DC3" w:rsidP="00AB0568" w14:paraId="10214D90" w14:textId="77777777">
      <w:pPr>
        <w:shd w:val="clear" w:color="auto" w:fill="FFFFFF"/>
        <w:spacing w:after="0" w:line="240" w:lineRule="auto"/>
        <w:rPr>
          <w:rFonts w:eastAsia="Calibri" w:asciiTheme="minorBidi" w:hAnsiTheme="minorBidi"/>
          <w:sz w:val="24"/>
          <w:szCs w:val="24"/>
        </w:rPr>
      </w:pPr>
    </w:p>
    <w:p w:rsidR="00B751D6" w:rsidRPr="003F0DC3" w:rsidP="00AB0568" w14:paraId="644BA038" w14:textId="04CCBC35">
      <w:pPr>
        <w:shd w:val="clear" w:color="auto" w:fill="FFFFFF"/>
        <w:spacing w:after="0" w:line="240" w:lineRule="auto"/>
        <w:rPr>
          <w:rFonts w:eastAsia="Calibri" w:asciiTheme="minorBidi" w:hAnsiTheme="minorBidi"/>
          <w:sz w:val="24"/>
          <w:szCs w:val="24"/>
        </w:rPr>
      </w:pPr>
      <w:r w:rsidRPr="003F0DC3">
        <w:rPr>
          <w:rFonts w:eastAsia="Calibri" w:asciiTheme="minorBidi" w:hAnsiTheme="minorBidi"/>
          <w:sz w:val="24"/>
          <w:szCs w:val="24"/>
        </w:rPr>
        <w:t xml:space="preserve">The </w:t>
      </w:r>
      <w:r w:rsidRPr="003F0DC3" w:rsidR="00451B61">
        <w:rPr>
          <w:rFonts w:eastAsia="Calibri" w:asciiTheme="minorBidi" w:hAnsiTheme="minorBidi"/>
          <w:sz w:val="24"/>
          <w:szCs w:val="24"/>
        </w:rPr>
        <w:t>RTA program</w:t>
      </w:r>
      <w:r w:rsidRPr="003F0DC3">
        <w:rPr>
          <w:rFonts w:eastAsia="Calibri" w:asciiTheme="minorBidi" w:hAnsiTheme="minorBidi"/>
          <w:sz w:val="24"/>
          <w:szCs w:val="24"/>
        </w:rPr>
        <w:t xml:space="preserve">, </w:t>
      </w:r>
      <w:r w:rsidRPr="003F0DC3" w:rsidR="00740C80">
        <w:rPr>
          <w:rFonts w:eastAsia="Calibri" w:asciiTheme="minorBidi" w:hAnsiTheme="minorBidi"/>
          <w:sz w:val="24"/>
          <w:szCs w:val="24"/>
        </w:rPr>
        <w:t>S</w:t>
      </w:r>
      <w:r w:rsidRPr="003F0DC3" w:rsidR="00344C24">
        <w:rPr>
          <w:rFonts w:eastAsia="Calibri" w:asciiTheme="minorBidi" w:hAnsiTheme="minorBidi"/>
          <w:sz w:val="24"/>
          <w:szCs w:val="24"/>
        </w:rPr>
        <w:t xml:space="preserve">ection 21205 </w:t>
      </w:r>
      <w:r w:rsidRPr="003F0DC3" w:rsidR="0083274B">
        <w:rPr>
          <w:rFonts w:eastAsia="Calibri" w:asciiTheme="minorBidi" w:hAnsiTheme="minorBidi"/>
          <w:sz w:val="24"/>
          <w:szCs w:val="24"/>
        </w:rPr>
        <w:t xml:space="preserve">of </w:t>
      </w:r>
      <w:r w:rsidRPr="003F0DC3" w:rsidR="00740C80">
        <w:rPr>
          <w:rFonts w:eastAsia="Calibri" w:asciiTheme="minorBidi" w:hAnsiTheme="minorBidi"/>
          <w:sz w:val="24"/>
          <w:szCs w:val="24"/>
        </w:rPr>
        <w:t>P</w:t>
      </w:r>
      <w:r w:rsidRPr="003F0DC3" w:rsidR="008A0B61">
        <w:rPr>
          <w:rFonts w:eastAsia="Calibri" w:asciiTheme="minorBidi" w:hAnsiTheme="minorBidi"/>
          <w:sz w:val="24"/>
          <w:szCs w:val="24"/>
        </w:rPr>
        <w:t xml:space="preserve">ub. </w:t>
      </w:r>
      <w:r w:rsidRPr="003F0DC3" w:rsidR="00740C80">
        <w:rPr>
          <w:rFonts w:eastAsia="Calibri" w:asciiTheme="minorBidi" w:hAnsiTheme="minorBidi"/>
          <w:sz w:val="24"/>
          <w:szCs w:val="24"/>
        </w:rPr>
        <w:t>L</w:t>
      </w:r>
      <w:r w:rsidRPr="003F0DC3" w:rsidR="008A0B61">
        <w:rPr>
          <w:rFonts w:eastAsia="Calibri" w:asciiTheme="minorBidi" w:hAnsiTheme="minorBidi"/>
          <w:sz w:val="24"/>
          <w:szCs w:val="24"/>
        </w:rPr>
        <w:t>.</w:t>
      </w:r>
      <w:r w:rsidRPr="003F0DC3" w:rsidR="00344C24">
        <w:rPr>
          <w:rFonts w:eastAsia="Calibri" w:asciiTheme="minorBidi" w:hAnsiTheme="minorBidi"/>
          <w:sz w:val="24"/>
          <w:szCs w:val="24"/>
        </w:rPr>
        <w:t xml:space="preserve"> 117-58, </w:t>
      </w:r>
      <w:r w:rsidRPr="003F0DC3">
        <w:rPr>
          <w:rFonts w:eastAsia="Calibri" w:asciiTheme="minorBidi" w:hAnsiTheme="minorBidi"/>
          <w:sz w:val="24"/>
          <w:szCs w:val="24"/>
        </w:rPr>
        <w:t xml:space="preserve">was created to advance transportation infrastructure projects in rural and tribal communities </w:t>
      </w:r>
      <w:r w:rsidRPr="003F0DC3" w:rsidR="00527C7E">
        <w:rPr>
          <w:rFonts w:eastAsia="Calibri" w:asciiTheme="minorBidi" w:hAnsiTheme="minorBidi"/>
          <w:sz w:val="24"/>
          <w:szCs w:val="24"/>
        </w:rPr>
        <w:t>that may not have the resources available to evaluate and develop transportation infrastructure projects</w:t>
      </w:r>
      <w:r w:rsidRPr="003F0DC3" w:rsidR="00344C24">
        <w:rPr>
          <w:rFonts w:eastAsia="Calibri" w:asciiTheme="minorBidi" w:hAnsiTheme="minorBidi"/>
          <w:sz w:val="24"/>
          <w:szCs w:val="24"/>
        </w:rPr>
        <w:t xml:space="preserve">. </w:t>
      </w:r>
      <w:r w:rsidRPr="003F0DC3" w:rsidR="00CD55B7">
        <w:rPr>
          <w:rFonts w:eastAsia="Calibri" w:asciiTheme="minorBidi" w:hAnsiTheme="minorBidi"/>
          <w:sz w:val="24"/>
          <w:szCs w:val="24"/>
        </w:rPr>
        <w:t>The grants can support legal, technical, and financial advisors to help advance infrastructure projects</w:t>
      </w:r>
      <w:r w:rsidRPr="003F0DC3" w:rsidR="00A45699">
        <w:rPr>
          <w:rFonts w:eastAsia="Calibri" w:asciiTheme="minorBidi" w:hAnsiTheme="minorBidi"/>
          <w:sz w:val="24"/>
          <w:szCs w:val="24"/>
        </w:rPr>
        <w:t xml:space="preserve"> </w:t>
      </w:r>
      <w:r w:rsidRPr="003F0DC3" w:rsidR="005037B9">
        <w:rPr>
          <w:rFonts w:eastAsia="Calibri" w:asciiTheme="minorBidi" w:hAnsiTheme="minorBidi"/>
          <w:sz w:val="24"/>
          <w:szCs w:val="24"/>
        </w:rPr>
        <w:t>that will qualify for federal funding and financing programs for additional development activities or construction.</w:t>
      </w:r>
      <w:r w:rsidRPr="003F0DC3" w:rsidR="00B42DA9">
        <w:rPr>
          <w:rFonts w:asciiTheme="minorBidi" w:hAnsiTheme="minorBidi"/>
          <w:sz w:val="24"/>
          <w:szCs w:val="24"/>
        </w:rPr>
        <w:t xml:space="preserve"> Additionally, through the Consolidated Appropriations Act, 2026 (H.R. 7148, Pub. L. 119-75)</w:t>
      </w:r>
      <w:r w:rsidRPr="003F0DC3" w:rsidR="00C73B29">
        <w:rPr>
          <w:rFonts w:asciiTheme="minorBidi" w:hAnsiTheme="minorBidi"/>
          <w:sz w:val="24"/>
          <w:szCs w:val="24"/>
        </w:rPr>
        <w:t xml:space="preserve"> </w:t>
      </w:r>
      <w:r w:rsidRPr="003F0DC3" w:rsidR="00B42DA9">
        <w:rPr>
          <w:rFonts w:asciiTheme="minorBidi" w:hAnsiTheme="minorBidi"/>
          <w:sz w:val="24"/>
          <w:szCs w:val="24"/>
        </w:rPr>
        <w:t xml:space="preserve">signed into law on February 3, 2026, the RTA program received $10,000,000 </w:t>
      </w:r>
      <w:r w:rsidRPr="003F0DC3" w:rsidR="00C73B29">
        <w:rPr>
          <w:rFonts w:asciiTheme="minorBidi" w:hAnsiTheme="minorBidi"/>
          <w:sz w:val="24"/>
          <w:szCs w:val="24"/>
        </w:rPr>
        <w:t>for additional grants</w:t>
      </w:r>
      <w:r w:rsidRPr="003F0DC3" w:rsidR="00B42DA9">
        <w:rPr>
          <w:rFonts w:asciiTheme="minorBidi" w:hAnsiTheme="minorBidi"/>
          <w:sz w:val="24"/>
          <w:szCs w:val="24"/>
        </w:rPr>
        <w:t xml:space="preserve"> to remain available until September 30, 2028.</w:t>
      </w:r>
      <w:r w:rsidRPr="003F0DC3" w:rsidR="00B42DA9">
        <w:rPr>
          <w:rFonts w:eastAsia="Calibri" w:asciiTheme="minorBidi" w:hAnsiTheme="minorBidi"/>
          <w:sz w:val="24"/>
          <w:szCs w:val="24"/>
        </w:rPr>
        <w:t xml:space="preserve"> </w:t>
      </w:r>
    </w:p>
    <w:p w:rsidR="00B751D6" w:rsidRPr="003F0DC3" w:rsidP="00AB0568" w14:paraId="60E1CCC1" w14:textId="77777777">
      <w:pPr>
        <w:shd w:val="clear" w:color="auto" w:fill="FFFFFF"/>
        <w:spacing w:after="0" w:line="240" w:lineRule="auto"/>
        <w:rPr>
          <w:rFonts w:eastAsia="Calibri" w:asciiTheme="minorBidi" w:hAnsiTheme="minorBidi"/>
          <w:sz w:val="24"/>
          <w:szCs w:val="24"/>
        </w:rPr>
      </w:pPr>
    </w:p>
    <w:p w:rsidR="00FF5348" w:rsidRPr="003F0DC3" w:rsidP="008E4A58" w14:paraId="10B8A42A" w14:textId="12CB52F1">
      <w:pPr>
        <w:pStyle w:val="Default"/>
        <w:rPr>
          <w:rFonts w:asciiTheme="minorBidi" w:hAnsiTheme="minorBidi" w:cstheme="minorBidi"/>
        </w:rPr>
      </w:pPr>
      <w:r w:rsidRPr="003F0DC3">
        <w:rPr>
          <w:rFonts w:asciiTheme="minorBidi" w:hAnsiTheme="minorBidi" w:cstheme="minorBidi"/>
        </w:rPr>
        <w:t xml:space="preserve">The </w:t>
      </w:r>
      <w:r w:rsidRPr="003F0DC3" w:rsidR="009305D4">
        <w:rPr>
          <w:rFonts w:asciiTheme="minorBidi" w:hAnsiTheme="minorBidi" w:cstheme="minorBidi"/>
        </w:rPr>
        <w:t>IFAC</w:t>
      </w:r>
      <w:r w:rsidRPr="003F0DC3" w:rsidR="0083274B">
        <w:rPr>
          <w:rFonts w:asciiTheme="minorBidi" w:hAnsiTheme="minorBidi" w:cstheme="minorBidi"/>
        </w:rPr>
        <w:t xml:space="preserve"> program</w:t>
      </w:r>
      <w:r w:rsidRPr="003F0DC3" w:rsidR="00880F80">
        <w:rPr>
          <w:rFonts w:asciiTheme="minorBidi" w:hAnsiTheme="minorBidi" w:cstheme="minorBidi"/>
        </w:rPr>
        <w:t>,</w:t>
      </w:r>
      <w:r w:rsidRPr="003F0DC3" w:rsidR="00DC6B64">
        <w:rPr>
          <w:rFonts w:asciiTheme="minorBidi" w:hAnsiTheme="minorBidi" w:cstheme="minorBidi"/>
        </w:rPr>
        <w:t xml:space="preserve"> </w:t>
      </w:r>
      <w:r w:rsidRPr="003F0DC3" w:rsidR="00716398">
        <w:rPr>
          <w:rFonts w:asciiTheme="minorBidi" w:hAnsiTheme="minorBidi" w:cstheme="minorBidi"/>
        </w:rPr>
        <w:t>authorized under 23 U.S.C. § 611 (enacted via Pub. L</w:t>
      </w:r>
      <w:r w:rsidRPr="003F0DC3" w:rsidR="008A0B61">
        <w:rPr>
          <w:rFonts w:asciiTheme="minorBidi" w:hAnsiTheme="minorBidi" w:cstheme="minorBidi"/>
        </w:rPr>
        <w:t>.</w:t>
      </w:r>
      <w:r w:rsidRPr="003F0DC3" w:rsidR="00716398">
        <w:rPr>
          <w:rFonts w:asciiTheme="minorBidi" w:hAnsiTheme="minorBidi" w:cstheme="minorBidi"/>
        </w:rPr>
        <w:t xml:space="preserve"> 117-58)</w:t>
      </w:r>
      <w:r w:rsidRPr="003F0DC3" w:rsidR="00BC3805">
        <w:rPr>
          <w:rFonts w:asciiTheme="minorBidi" w:hAnsiTheme="minorBidi" w:cstheme="minorBidi"/>
        </w:rPr>
        <w:t xml:space="preserve"> </w:t>
      </w:r>
      <w:r w:rsidRPr="003F0DC3" w:rsidR="00245E36">
        <w:rPr>
          <w:rFonts w:asciiTheme="minorBidi" w:hAnsiTheme="minorBidi" w:cstheme="minorBidi"/>
        </w:rPr>
        <w:t xml:space="preserve">provides funding to facilitate and evaluate public-private partnerships in which the private sector partner could assume a greater role in project planning, development, financing, construction, maintenance, and operation, including by assisting eligible entities in entering into </w:t>
      </w:r>
      <w:r w:rsidRPr="003F0DC3" w:rsidR="00AD5011">
        <w:rPr>
          <w:rFonts w:asciiTheme="minorBidi" w:hAnsiTheme="minorBidi" w:cstheme="minorBidi"/>
        </w:rPr>
        <w:t>a</w:t>
      </w:r>
      <w:r w:rsidRPr="003F0DC3" w:rsidR="00245E36">
        <w:rPr>
          <w:rFonts w:asciiTheme="minorBidi" w:hAnsiTheme="minorBidi" w:cstheme="minorBidi"/>
        </w:rPr>
        <w:t xml:space="preserve">sset </w:t>
      </w:r>
      <w:r w:rsidRPr="003F0DC3" w:rsidR="00AD5011">
        <w:rPr>
          <w:rFonts w:asciiTheme="minorBidi" w:hAnsiTheme="minorBidi" w:cstheme="minorBidi"/>
        </w:rPr>
        <w:t>c</w:t>
      </w:r>
      <w:r w:rsidRPr="003F0DC3" w:rsidR="00245E36">
        <w:rPr>
          <w:rFonts w:asciiTheme="minorBidi" w:hAnsiTheme="minorBidi" w:cstheme="minorBidi"/>
        </w:rPr>
        <w:t>oncessions.</w:t>
      </w:r>
      <w:r w:rsidRPr="003F0DC3" w:rsidR="00F91266">
        <w:rPr>
          <w:rFonts w:asciiTheme="minorBidi" w:hAnsiTheme="minorBidi" w:cstheme="minorBidi"/>
        </w:rPr>
        <w:t xml:space="preserve">  </w:t>
      </w:r>
      <w:r w:rsidRPr="003F0DC3" w:rsidR="00BC4D80">
        <w:rPr>
          <w:rFonts w:asciiTheme="minorBidi" w:hAnsiTheme="minorBidi" w:cstheme="minorBidi"/>
        </w:rPr>
        <w:t xml:space="preserve">A significant focus of IFAC is to identify </w:t>
      </w:r>
      <w:r w:rsidRPr="003F0DC3" w:rsidR="00ED21C2">
        <w:rPr>
          <w:rFonts w:asciiTheme="minorBidi" w:hAnsiTheme="minorBidi" w:cstheme="minorBidi"/>
        </w:rPr>
        <w:t>e</w:t>
      </w:r>
      <w:r w:rsidRPr="003F0DC3" w:rsidR="00BC4D80">
        <w:rPr>
          <w:rFonts w:asciiTheme="minorBidi" w:hAnsiTheme="minorBidi" w:cstheme="minorBidi"/>
        </w:rPr>
        <w:t xml:space="preserve">xisting </w:t>
      </w:r>
      <w:r w:rsidRPr="003F0DC3" w:rsidR="00ED21C2">
        <w:rPr>
          <w:rFonts w:asciiTheme="minorBidi" w:hAnsiTheme="minorBidi" w:cstheme="minorBidi"/>
        </w:rPr>
        <w:t>a</w:t>
      </w:r>
      <w:r w:rsidRPr="003F0DC3" w:rsidR="00BC4D80">
        <w:rPr>
          <w:rFonts w:asciiTheme="minorBidi" w:hAnsiTheme="minorBidi" w:cstheme="minorBidi"/>
        </w:rPr>
        <w:t xml:space="preserve">ssets that have the potential to provide additional public benefits through asset concessions. Under the </w:t>
      </w:r>
      <w:r w:rsidRPr="003F0DC3" w:rsidR="00ED21C2">
        <w:rPr>
          <w:rFonts w:asciiTheme="minorBidi" w:hAnsiTheme="minorBidi" w:cstheme="minorBidi"/>
        </w:rPr>
        <w:t>p</w:t>
      </w:r>
      <w:r w:rsidRPr="003F0DC3" w:rsidR="00BC4D80">
        <w:rPr>
          <w:rFonts w:asciiTheme="minorBidi" w:hAnsiTheme="minorBidi" w:cstheme="minorBidi"/>
        </w:rPr>
        <w:t xml:space="preserve">rogram, project sponsors can procure </w:t>
      </w:r>
      <w:r w:rsidRPr="003F0DC3" w:rsidR="00ED21C2">
        <w:rPr>
          <w:rFonts w:asciiTheme="minorBidi" w:hAnsiTheme="minorBidi" w:cstheme="minorBidi"/>
        </w:rPr>
        <w:t>a</w:t>
      </w:r>
      <w:r w:rsidRPr="003F0DC3" w:rsidR="00BC4D80">
        <w:rPr>
          <w:rFonts w:asciiTheme="minorBidi" w:hAnsiTheme="minorBidi" w:cstheme="minorBidi"/>
        </w:rPr>
        <w:t xml:space="preserve">dvisors, hire employees into a public agency, or both, to administer </w:t>
      </w:r>
      <w:r w:rsidRPr="003F0DC3" w:rsidR="00ED21C2">
        <w:rPr>
          <w:rFonts w:asciiTheme="minorBidi" w:hAnsiTheme="minorBidi" w:cstheme="minorBidi"/>
        </w:rPr>
        <w:t>p</w:t>
      </w:r>
      <w:r w:rsidRPr="003F0DC3" w:rsidR="00BC4D80">
        <w:rPr>
          <w:rFonts w:asciiTheme="minorBidi" w:hAnsiTheme="minorBidi" w:cstheme="minorBidi"/>
        </w:rPr>
        <w:t xml:space="preserve">roposed </w:t>
      </w:r>
      <w:r w:rsidRPr="003F0DC3" w:rsidR="00ED21C2">
        <w:rPr>
          <w:rFonts w:asciiTheme="minorBidi" w:hAnsiTheme="minorBidi" w:cstheme="minorBidi"/>
        </w:rPr>
        <w:t>a</w:t>
      </w:r>
      <w:r w:rsidRPr="003F0DC3" w:rsidR="00BC4D80">
        <w:rPr>
          <w:rFonts w:asciiTheme="minorBidi" w:hAnsiTheme="minorBidi" w:cstheme="minorBidi"/>
        </w:rPr>
        <w:t>ctivities.</w:t>
      </w:r>
    </w:p>
    <w:p w:rsidR="00D40E09" w:rsidRPr="003F0DC3" w:rsidP="008E4A58" w14:paraId="34773A51" w14:textId="77777777">
      <w:pPr>
        <w:pStyle w:val="Default"/>
        <w:rPr>
          <w:rFonts w:asciiTheme="minorBidi" w:hAnsiTheme="minorBidi" w:cstheme="minorBidi"/>
        </w:rPr>
      </w:pPr>
    </w:p>
    <w:p w:rsidR="003F342E" w:rsidRPr="003F0DC3" w:rsidP="008E4A58" w14:paraId="78651AEF" w14:textId="3CACA6C4">
      <w:pPr>
        <w:pStyle w:val="Default"/>
        <w:rPr>
          <w:rFonts w:asciiTheme="minorBidi" w:hAnsiTheme="minorBidi" w:cstheme="minorBidi"/>
        </w:rPr>
      </w:pPr>
      <w:r w:rsidRPr="003F0DC3">
        <w:rPr>
          <w:rFonts w:asciiTheme="minorBidi" w:hAnsiTheme="minorBidi"/>
        </w:rPr>
        <w:t xml:space="preserve">The </w:t>
      </w:r>
      <w:r w:rsidRPr="003F0DC3" w:rsidR="004D4EBE">
        <w:rPr>
          <w:rFonts w:asciiTheme="minorBidi" w:hAnsiTheme="minorBidi"/>
        </w:rPr>
        <w:t xml:space="preserve">collection of information for the </w:t>
      </w:r>
      <w:r w:rsidRPr="003F0DC3" w:rsidR="00C16BEC">
        <w:rPr>
          <w:rFonts w:asciiTheme="minorBidi" w:hAnsiTheme="minorBidi"/>
        </w:rPr>
        <w:t xml:space="preserve">RTA and </w:t>
      </w:r>
      <w:r w:rsidRPr="003F0DC3" w:rsidR="004D4EBE">
        <w:rPr>
          <w:rFonts w:asciiTheme="minorBidi" w:hAnsiTheme="minorBidi"/>
        </w:rPr>
        <w:t>IFAC program</w:t>
      </w:r>
      <w:r w:rsidRPr="003F0DC3" w:rsidR="00C16BEC">
        <w:rPr>
          <w:rFonts w:asciiTheme="minorBidi" w:hAnsiTheme="minorBidi"/>
        </w:rPr>
        <w:t>s</w:t>
      </w:r>
      <w:r w:rsidRPr="003F0DC3" w:rsidR="004D4EBE">
        <w:rPr>
          <w:rFonts w:asciiTheme="minorBidi" w:hAnsiTheme="minorBidi"/>
        </w:rPr>
        <w:t xml:space="preserve"> </w:t>
      </w:r>
      <w:r w:rsidRPr="003F0DC3">
        <w:rPr>
          <w:rFonts w:asciiTheme="minorBidi" w:hAnsiTheme="minorBidi"/>
        </w:rPr>
        <w:t xml:space="preserve">is </w:t>
      </w:r>
      <w:r w:rsidRPr="003F0DC3" w:rsidR="00D92BD1">
        <w:rPr>
          <w:rFonts w:asciiTheme="minorBidi" w:hAnsiTheme="minorBidi"/>
        </w:rPr>
        <w:t xml:space="preserve">necessary for project sponsors to </w:t>
      </w:r>
      <w:r w:rsidR="003F0DC3">
        <w:rPr>
          <w:rFonts w:asciiTheme="minorBidi" w:hAnsiTheme="minorBidi"/>
        </w:rPr>
        <w:t xml:space="preserve">apply for and </w:t>
      </w:r>
      <w:r w:rsidRPr="003F0DC3" w:rsidR="00D92BD1">
        <w:rPr>
          <w:rFonts w:asciiTheme="minorBidi" w:hAnsiTheme="minorBidi"/>
        </w:rPr>
        <w:t>receive</w:t>
      </w:r>
      <w:r w:rsidRPr="003F0DC3" w:rsidR="00B42DA9">
        <w:rPr>
          <w:rFonts w:asciiTheme="minorBidi" w:hAnsiTheme="minorBidi"/>
        </w:rPr>
        <w:t xml:space="preserve"> funding to support</w:t>
      </w:r>
      <w:r w:rsidRPr="003F0DC3" w:rsidR="00D92BD1">
        <w:rPr>
          <w:rFonts w:asciiTheme="minorBidi" w:hAnsiTheme="minorBidi"/>
        </w:rPr>
        <w:t xml:space="preserve"> technical assistance and build organizational capacity in evaluating and developing transportation infrastructure projects.</w:t>
      </w:r>
      <w:r w:rsidRPr="003F0DC3" w:rsidR="00B80A01">
        <w:rPr>
          <w:rFonts w:asciiTheme="minorBidi" w:hAnsiTheme="minorBidi"/>
        </w:rPr>
        <w:t xml:space="preserve"> </w:t>
      </w:r>
    </w:p>
    <w:p w:rsidR="008E4A58" w:rsidRPr="003F0DC3" w:rsidP="008E4A58" w14:paraId="3A9E972D" w14:textId="77777777">
      <w:pPr>
        <w:shd w:val="clear" w:color="auto" w:fill="FFFFFF"/>
        <w:spacing w:after="0" w:line="240" w:lineRule="auto"/>
        <w:rPr>
          <w:rFonts w:asciiTheme="minorBidi" w:hAnsiTheme="minorBidi"/>
          <w:sz w:val="24"/>
          <w:szCs w:val="24"/>
        </w:rPr>
      </w:pPr>
    </w:p>
    <w:p w:rsidR="008E4A58" w:rsidRPr="003F0DC3" w:rsidP="008E4A58" w14:paraId="711A59C9" w14:textId="064ED895">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b/>
          <w:sz w:val="24"/>
          <w:szCs w:val="24"/>
        </w:rPr>
        <w:t>2. Indicate how, by whom, and for what purpose the information is to be used. Except for a new collection, indicate the actual use the agency has made of the information received from the current collection.</w:t>
      </w:r>
    </w:p>
    <w:p w:rsidR="008E4A58" w:rsidRPr="003F0DC3" w:rsidP="008E4A58" w14:paraId="1AF355F4" w14:textId="77777777">
      <w:pPr>
        <w:shd w:val="clear" w:color="auto" w:fill="FFFFFF"/>
        <w:spacing w:after="0" w:line="240" w:lineRule="auto"/>
        <w:rPr>
          <w:rFonts w:eastAsia="Times New Roman" w:asciiTheme="minorBidi" w:hAnsiTheme="minorBidi"/>
          <w:sz w:val="24"/>
          <w:szCs w:val="24"/>
        </w:rPr>
      </w:pPr>
    </w:p>
    <w:p w:rsidR="005718C9" w:rsidRPr="003F0DC3" w:rsidP="008E4A58" w14:paraId="1032DA09" w14:textId="6D990AAF">
      <w:pPr>
        <w:spacing w:after="0" w:line="240" w:lineRule="auto"/>
        <w:rPr>
          <w:rFonts w:eastAsia="Times New Roman" w:asciiTheme="minorBidi" w:hAnsiTheme="minorBidi"/>
          <w:sz w:val="24"/>
          <w:szCs w:val="24"/>
        </w:rPr>
      </w:pPr>
      <w:r w:rsidRPr="003F0DC3">
        <w:rPr>
          <w:rFonts w:eastAsia="Calibri" w:asciiTheme="minorBidi" w:hAnsiTheme="minorBidi"/>
          <w:sz w:val="24"/>
          <w:szCs w:val="24"/>
          <w:lang w:bidi="he-IL"/>
        </w:rPr>
        <w:t>For the</w:t>
      </w:r>
      <w:r w:rsidRPr="003F0DC3" w:rsidR="004726D4">
        <w:rPr>
          <w:rFonts w:eastAsia="Calibri" w:asciiTheme="minorBidi" w:hAnsiTheme="minorBidi"/>
          <w:sz w:val="24"/>
          <w:szCs w:val="24"/>
          <w:lang w:bidi="he-IL"/>
        </w:rPr>
        <w:t xml:space="preserve"> </w:t>
      </w:r>
      <w:r w:rsidRPr="003F0DC3" w:rsidR="002A3B85">
        <w:rPr>
          <w:rFonts w:eastAsia="Times New Roman" w:asciiTheme="minorBidi" w:hAnsiTheme="minorBidi"/>
          <w:sz w:val="24"/>
          <w:szCs w:val="24"/>
        </w:rPr>
        <w:t>RTA program</w:t>
      </w:r>
      <w:r w:rsidRPr="003F0DC3">
        <w:rPr>
          <w:rFonts w:eastAsia="Times New Roman" w:asciiTheme="minorBidi" w:hAnsiTheme="minorBidi"/>
          <w:sz w:val="24"/>
          <w:szCs w:val="24"/>
        </w:rPr>
        <w:t>,</w:t>
      </w:r>
      <w:r w:rsidRPr="003F0DC3" w:rsidR="00C15C04">
        <w:rPr>
          <w:rFonts w:eastAsia="Times New Roman" w:asciiTheme="minorBidi" w:hAnsiTheme="minorBidi"/>
          <w:sz w:val="24"/>
          <w:szCs w:val="24"/>
        </w:rPr>
        <w:t xml:space="preserve"> </w:t>
      </w:r>
      <w:r w:rsidRPr="003F0DC3" w:rsidR="005D1B15">
        <w:rPr>
          <w:rFonts w:eastAsia="Times New Roman" w:asciiTheme="minorBidi" w:hAnsiTheme="minorBidi"/>
          <w:sz w:val="24"/>
          <w:szCs w:val="24"/>
        </w:rPr>
        <w:t>applicants</w:t>
      </w:r>
      <w:r w:rsidRPr="003F0DC3">
        <w:rPr>
          <w:rFonts w:eastAsia="Times New Roman" w:asciiTheme="minorBidi" w:hAnsiTheme="minorBidi"/>
          <w:sz w:val="24"/>
          <w:szCs w:val="24"/>
        </w:rPr>
        <w:t xml:space="preserve"> will </w:t>
      </w:r>
      <w:r w:rsidRPr="003F0DC3" w:rsidR="002A34E4">
        <w:rPr>
          <w:rFonts w:eastAsia="Times New Roman" w:asciiTheme="minorBidi" w:hAnsiTheme="minorBidi"/>
          <w:sz w:val="24"/>
          <w:szCs w:val="24"/>
        </w:rPr>
        <w:t>submit</w:t>
      </w:r>
      <w:r w:rsidRPr="003F0DC3" w:rsidR="00E65058">
        <w:rPr>
          <w:rFonts w:eastAsia="Times New Roman" w:asciiTheme="minorBidi" w:hAnsiTheme="minorBidi"/>
          <w:sz w:val="24"/>
          <w:szCs w:val="24"/>
        </w:rPr>
        <w:t xml:space="preserve"> an application </w:t>
      </w:r>
      <w:r w:rsidRPr="003F0DC3">
        <w:rPr>
          <w:rFonts w:eastAsia="Times New Roman" w:asciiTheme="minorBidi" w:hAnsiTheme="minorBidi"/>
          <w:sz w:val="24"/>
          <w:szCs w:val="24"/>
        </w:rPr>
        <w:t>in response to a Notice of Funding Opportunity</w:t>
      </w:r>
      <w:r w:rsidRPr="003F0DC3" w:rsidR="00976A1A">
        <w:rPr>
          <w:rFonts w:eastAsia="Times New Roman" w:asciiTheme="minorBidi" w:hAnsiTheme="minorBidi"/>
          <w:sz w:val="24"/>
          <w:szCs w:val="24"/>
        </w:rPr>
        <w:t xml:space="preserve"> (NOFO)</w:t>
      </w:r>
      <w:r w:rsidRPr="003F0DC3">
        <w:rPr>
          <w:rFonts w:eastAsia="Times New Roman" w:asciiTheme="minorBidi" w:hAnsiTheme="minorBidi"/>
          <w:sz w:val="24"/>
          <w:szCs w:val="24"/>
        </w:rPr>
        <w:t xml:space="preserve">. </w:t>
      </w:r>
      <w:r w:rsidRPr="003F0DC3" w:rsidR="005B2CE9">
        <w:rPr>
          <w:rFonts w:eastAsia="Calibri" w:asciiTheme="minorBidi" w:hAnsiTheme="minorBidi"/>
          <w:sz w:val="24"/>
          <w:szCs w:val="24"/>
          <w:lang w:bidi="he-IL"/>
        </w:rPr>
        <w:t>The statute specifies “(t)he Secretary shall develop and make available to the public an online portal through which the Secretary may receive [grant] applications under subparagraph (A), on a rolling basis.”</w:t>
      </w:r>
      <w:r>
        <w:rPr>
          <w:rStyle w:val="FootnoteReference"/>
          <w:rFonts w:eastAsia="Calibri" w:asciiTheme="minorBidi" w:hAnsiTheme="minorBidi"/>
          <w:sz w:val="24"/>
          <w:szCs w:val="24"/>
          <w:lang w:bidi="he-IL"/>
        </w:rPr>
        <w:footnoteReference w:customMarkFollows="1" w:id="3"/>
        <w:t xml:space="preserve">1</w:t>
      </w:r>
      <w:r w:rsidRPr="003F0DC3" w:rsidR="00846F7D">
        <w:rPr>
          <w:rFonts w:eastAsia="Calibri" w:asciiTheme="minorBidi" w:hAnsiTheme="minorBidi"/>
          <w:sz w:val="24"/>
          <w:szCs w:val="24"/>
          <w:lang w:bidi="he-IL"/>
        </w:rPr>
        <w:t xml:space="preserve"> T</w:t>
      </w:r>
      <w:r w:rsidRPr="003F0DC3">
        <w:rPr>
          <w:rFonts w:eastAsia="Times New Roman" w:asciiTheme="minorBidi" w:hAnsiTheme="minorBidi"/>
          <w:sz w:val="24"/>
          <w:szCs w:val="24"/>
        </w:rPr>
        <w:t xml:space="preserve">he application process is streamlined for this program and is estimated to require </w:t>
      </w:r>
      <w:r w:rsidRPr="003F0DC3" w:rsidR="001E6D54">
        <w:rPr>
          <w:rFonts w:eastAsia="Times New Roman" w:asciiTheme="minorBidi" w:hAnsiTheme="minorBidi"/>
          <w:sz w:val="24"/>
          <w:szCs w:val="24"/>
        </w:rPr>
        <w:t>1</w:t>
      </w:r>
      <w:r w:rsidRPr="003F0DC3" w:rsidR="00E918F4">
        <w:rPr>
          <w:rFonts w:eastAsia="Times New Roman" w:asciiTheme="minorBidi" w:hAnsiTheme="minorBidi"/>
          <w:sz w:val="24"/>
          <w:szCs w:val="24"/>
        </w:rPr>
        <w:t>9</w:t>
      </w:r>
      <w:r w:rsidRPr="003F0DC3" w:rsidR="001E6D54">
        <w:rPr>
          <w:rFonts w:eastAsia="Times New Roman" w:asciiTheme="minorBidi" w:hAnsiTheme="minorBidi"/>
          <w:sz w:val="24"/>
          <w:szCs w:val="24"/>
        </w:rPr>
        <w:t xml:space="preserve"> </w:t>
      </w:r>
      <w:r w:rsidRPr="003F0DC3">
        <w:rPr>
          <w:rFonts w:eastAsia="Times New Roman" w:asciiTheme="minorBidi" w:hAnsiTheme="minorBidi"/>
          <w:sz w:val="24"/>
          <w:szCs w:val="24"/>
        </w:rPr>
        <w:t xml:space="preserve">hours to complete. </w:t>
      </w:r>
      <w:r w:rsidRPr="003F0DC3" w:rsidR="005D1B15">
        <w:rPr>
          <w:rFonts w:eastAsia="Times New Roman" w:asciiTheme="minorBidi" w:hAnsiTheme="minorBidi"/>
          <w:sz w:val="24"/>
          <w:szCs w:val="24"/>
        </w:rPr>
        <w:t xml:space="preserve">Each applicant selected for funding must submit quarterly progress reports and Federal Financial Reports (SF-425) to monitor project progress. </w:t>
      </w:r>
      <w:r w:rsidRPr="003F0DC3" w:rsidR="00881E57">
        <w:rPr>
          <w:rFonts w:eastAsia="Times New Roman" w:asciiTheme="minorBidi" w:hAnsiTheme="minorBidi"/>
          <w:sz w:val="24"/>
          <w:szCs w:val="24"/>
        </w:rPr>
        <w:t xml:space="preserve">Progress reporting is estimated to require 4 hours per year. </w:t>
      </w:r>
      <w:r w:rsidRPr="003F0DC3" w:rsidR="005D1B15">
        <w:rPr>
          <w:rFonts w:eastAsia="Times New Roman" w:asciiTheme="minorBidi" w:hAnsiTheme="minorBidi"/>
          <w:sz w:val="24"/>
          <w:szCs w:val="24"/>
        </w:rPr>
        <w:t xml:space="preserve">In addition to regular reporting, each grant recipient must submit a grant closeout report as set forth in the grant agreement to ensure accountability and financial transparency in the </w:t>
      </w:r>
      <w:r w:rsidRPr="003F0DC3" w:rsidR="007864E9">
        <w:rPr>
          <w:rFonts w:eastAsia="Times New Roman" w:asciiTheme="minorBidi" w:hAnsiTheme="minorBidi"/>
          <w:sz w:val="24"/>
          <w:szCs w:val="24"/>
        </w:rPr>
        <w:t>p</w:t>
      </w:r>
      <w:r w:rsidRPr="003F0DC3" w:rsidR="005D1B15">
        <w:rPr>
          <w:rFonts w:eastAsia="Times New Roman" w:asciiTheme="minorBidi" w:hAnsiTheme="minorBidi"/>
          <w:sz w:val="24"/>
          <w:szCs w:val="24"/>
        </w:rPr>
        <w:t>rogram.</w:t>
      </w:r>
    </w:p>
    <w:p w:rsidR="00C25E53" w:rsidRPr="003F0DC3" w:rsidP="008E4A58" w14:paraId="6AFC6E2A" w14:textId="77777777">
      <w:pPr>
        <w:spacing w:after="0" w:line="240" w:lineRule="auto"/>
        <w:rPr>
          <w:rFonts w:eastAsia="Times New Roman" w:asciiTheme="minorBidi" w:hAnsiTheme="minorBidi"/>
          <w:sz w:val="24"/>
          <w:szCs w:val="24"/>
        </w:rPr>
      </w:pPr>
    </w:p>
    <w:p w:rsidR="00C25E53" w:rsidRPr="003F0DC3" w:rsidP="008E4A58" w14:paraId="781A8E3A" w14:textId="4F11D102">
      <w:pPr>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 xml:space="preserve">As required by statute, the Bureau will publish an online report </w:t>
      </w:r>
      <w:r w:rsidRPr="003F0DC3" w:rsidR="002663F9">
        <w:rPr>
          <w:rFonts w:eastAsia="Times New Roman" w:asciiTheme="minorBidi" w:hAnsiTheme="minorBidi"/>
          <w:sz w:val="24"/>
          <w:szCs w:val="24"/>
        </w:rPr>
        <w:t xml:space="preserve">for the RTA program </w:t>
      </w:r>
      <w:r w:rsidRPr="003F0DC3">
        <w:rPr>
          <w:rFonts w:eastAsia="Times New Roman" w:asciiTheme="minorBidi" w:hAnsiTheme="minorBidi"/>
          <w:sz w:val="24"/>
          <w:szCs w:val="24"/>
        </w:rPr>
        <w:t xml:space="preserve">that includes, for each application received, entity type, location of the potential project, a brief description of the assistance requested, the date on which the application was received, and the date on which the applicant was provided the notice of approval or disapproval. </w:t>
      </w:r>
    </w:p>
    <w:p w:rsidR="18F4C374" w:rsidRPr="003F0DC3" w:rsidP="18F4C374" w14:paraId="14284F82" w14:textId="178ACAF9">
      <w:pPr>
        <w:spacing w:after="0" w:line="240" w:lineRule="auto"/>
        <w:rPr>
          <w:rFonts w:eastAsia="Times New Roman" w:asciiTheme="minorBidi" w:hAnsiTheme="minorBidi"/>
          <w:sz w:val="24"/>
          <w:szCs w:val="24"/>
        </w:rPr>
      </w:pPr>
    </w:p>
    <w:p w:rsidR="18F4C374" w:rsidRPr="003F0DC3" w:rsidP="004D7687" w14:paraId="2C657D8B" w14:textId="7BEC32AD">
      <w:pPr>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 xml:space="preserve">For the IFAC program, </w:t>
      </w:r>
      <w:r w:rsidRPr="003F0DC3" w:rsidR="001B7FBF">
        <w:rPr>
          <w:rFonts w:eastAsia="Times New Roman" w:asciiTheme="minorBidi" w:hAnsiTheme="minorBidi"/>
          <w:sz w:val="24"/>
          <w:szCs w:val="24"/>
        </w:rPr>
        <w:t xml:space="preserve">project sponsors will make an application in response to a NOFO. Preparation of a NOFO response is estimated to require </w:t>
      </w:r>
      <w:r w:rsidRPr="003F0DC3" w:rsidR="7BD173A2">
        <w:rPr>
          <w:rFonts w:eastAsia="Times New Roman" w:asciiTheme="minorBidi" w:hAnsiTheme="minorBidi"/>
          <w:sz w:val="24"/>
          <w:szCs w:val="24"/>
        </w:rPr>
        <w:t>30</w:t>
      </w:r>
      <w:r w:rsidRPr="003F0DC3" w:rsidR="001B7FBF">
        <w:rPr>
          <w:rFonts w:eastAsia="Times New Roman" w:asciiTheme="minorBidi" w:hAnsiTheme="minorBidi"/>
          <w:sz w:val="24"/>
          <w:szCs w:val="24"/>
        </w:rPr>
        <w:t xml:space="preserve"> hours of staff time. </w:t>
      </w:r>
      <w:r w:rsidRPr="003F0DC3" w:rsidR="00117031">
        <w:rPr>
          <w:rFonts w:eastAsia="Times New Roman" w:asciiTheme="minorBidi" w:hAnsiTheme="minorBidi"/>
          <w:sz w:val="24"/>
          <w:szCs w:val="24"/>
        </w:rPr>
        <w:t xml:space="preserve">In addition to the standard forms and the project narrative, applicants are required to provide the information requested for the overall project and for each asset included in the project. Applicants will provide the information for the Key Information Table </w:t>
      </w:r>
      <w:r w:rsidRPr="003F0DC3" w:rsidR="009152BC">
        <w:rPr>
          <w:rFonts w:eastAsia="Times New Roman" w:asciiTheme="minorBidi" w:hAnsiTheme="minorBidi"/>
          <w:sz w:val="24"/>
          <w:szCs w:val="24"/>
        </w:rPr>
        <w:t xml:space="preserve">and the Asset </w:t>
      </w:r>
      <w:r w:rsidRPr="003F0DC3" w:rsidR="002012A1">
        <w:rPr>
          <w:rFonts w:eastAsia="Times New Roman" w:asciiTheme="minorBidi" w:hAnsiTheme="minorBidi"/>
          <w:sz w:val="24"/>
          <w:szCs w:val="24"/>
        </w:rPr>
        <w:t xml:space="preserve">Information Table </w:t>
      </w:r>
      <w:r w:rsidRPr="003F0DC3" w:rsidR="00117031">
        <w:rPr>
          <w:rFonts w:eastAsia="Times New Roman" w:asciiTheme="minorBidi" w:hAnsiTheme="minorBidi"/>
          <w:sz w:val="24"/>
          <w:szCs w:val="24"/>
        </w:rPr>
        <w:t>through an online form</w:t>
      </w:r>
      <w:r w:rsidRPr="003F0DC3" w:rsidR="48D3C4EC">
        <w:rPr>
          <w:rFonts w:eastAsia="Times New Roman" w:asciiTheme="minorBidi" w:hAnsiTheme="minorBidi"/>
          <w:sz w:val="24"/>
          <w:szCs w:val="24"/>
        </w:rPr>
        <w:t>.</w:t>
      </w:r>
      <w:r w:rsidRPr="003F0DC3" w:rsidR="00117031">
        <w:rPr>
          <w:rFonts w:eastAsia="Times New Roman" w:asciiTheme="minorBidi" w:hAnsiTheme="minorBidi"/>
          <w:sz w:val="24"/>
          <w:szCs w:val="24"/>
        </w:rPr>
        <w:t xml:space="preserve"> The </w:t>
      </w:r>
      <w:r w:rsidRPr="003F0DC3" w:rsidR="002012A1">
        <w:rPr>
          <w:rFonts w:eastAsia="Times New Roman" w:asciiTheme="minorBidi" w:hAnsiTheme="minorBidi"/>
          <w:sz w:val="24"/>
          <w:szCs w:val="24"/>
        </w:rPr>
        <w:t xml:space="preserve">Key Information Table </w:t>
      </w:r>
      <w:r w:rsidRPr="003F0DC3" w:rsidR="00117031">
        <w:rPr>
          <w:rFonts w:eastAsia="Times New Roman" w:asciiTheme="minorBidi" w:hAnsiTheme="minorBidi"/>
          <w:sz w:val="24"/>
          <w:szCs w:val="24"/>
        </w:rPr>
        <w:t>contains information on the applicant</w:t>
      </w:r>
      <w:r w:rsidR="00881E57">
        <w:rPr>
          <w:rFonts w:eastAsia="Times New Roman" w:asciiTheme="minorBidi" w:hAnsiTheme="minorBidi"/>
          <w:sz w:val="24"/>
          <w:szCs w:val="24"/>
        </w:rPr>
        <w:t>,</w:t>
      </w:r>
      <w:r w:rsidRPr="003F0DC3" w:rsidR="00117031">
        <w:rPr>
          <w:rFonts w:eastAsia="Times New Roman" w:asciiTheme="minorBidi" w:hAnsiTheme="minorBidi"/>
          <w:sz w:val="24"/>
          <w:szCs w:val="24"/>
        </w:rPr>
        <w:t xml:space="preserve"> including name, </w:t>
      </w:r>
      <w:r w:rsidR="00881E57">
        <w:rPr>
          <w:rFonts w:eastAsia="Times New Roman" w:asciiTheme="minorBidi" w:hAnsiTheme="minorBidi"/>
          <w:sz w:val="24"/>
          <w:szCs w:val="24"/>
        </w:rPr>
        <w:t>location</w:t>
      </w:r>
      <w:r w:rsidRPr="003F0DC3" w:rsidR="00117031">
        <w:rPr>
          <w:rFonts w:eastAsia="Times New Roman" w:asciiTheme="minorBidi" w:hAnsiTheme="minorBidi"/>
          <w:sz w:val="24"/>
          <w:szCs w:val="24"/>
        </w:rPr>
        <w:t>, entity type, description of existing assets, type of grant requested, application description, funding requested, and project duration.</w:t>
      </w:r>
      <w:r w:rsidRPr="003F0DC3" w:rsidR="009D6CF0">
        <w:rPr>
          <w:rFonts w:eastAsia="Times New Roman" w:asciiTheme="minorBidi" w:hAnsiTheme="minorBidi"/>
          <w:sz w:val="24"/>
          <w:szCs w:val="24"/>
        </w:rPr>
        <w:t xml:space="preserve"> </w:t>
      </w:r>
      <w:r w:rsidRPr="003F0DC3" w:rsidR="003A4382">
        <w:rPr>
          <w:rFonts w:eastAsia="Times New Roman" w:asciiTheme="minorBidi" w:hAnsiTheme="minorBidi"/>
          <w:sz w:val="24"/>
          <w:szCs w:val="24"/>
        </w:rPr>
        <w:t xml:space="preserve">The Asset </w:t>
      </w:r>
      <w:r w:rsidRPr="003F0DC3" w:rsidR="006E5BC4">
        <w:rPr>
          <w:rFonts w:eastAsia="Times New Roman" w:asciiTheme="minorBidi" w:hAnsiTheme="minorBidi"/>
          <w:sz w:val="24"/>
          <w:szCs w:val="24"/>
        </w:rPr>
        <w:t>Information Table requires a</w:t>
      </w:r>
      <w:r w:rsidRPr="003F0DC3" w:rsidR="004D7687">
        <w:rPr>
          <w:rFonts w:eastAsia="Times New Roman" w:asciiTheme="minorBidi" w:hAnsiTheme="minorBidi"/>
          <w:sz w:val="24"/>
          <w:szCs w:val="24"/>
        </w:rPr>
        <w:t xml:space="preserve">pplicants </w:t>
      </w:r>
      <w:r w:rsidRPr="003F0DC3" w:rsidR="006E5BC4">
        <w:rPr>
          <w:rFonts w:eastAsia="Times New Roman" w:asciiTheme="minorBidi" w:hAnsiTheme="minorBidi"/>
          <w:sz w:val="24"/>
          <w:szCs w:val="24"/>
        </w:rPr>
        <w:t>to</w:t>
      </w:r>
      <w:r w:rsidRPr="003F0DC3" w:rsidR="004D7687">
        <w:rPr>
          <w:rFonts w:eastAsia="Times New Roman" w:asciiTheme="minorBidi" w:hAnsiTheme="minorBidi"/>
          <w:sz w:val="24"/>
          <w:szCs w:val="24"/>
        </w:rPr>
        <w:t xml:space="preserve"> provide information on the </w:t>
      </w:r>
      <w:r w:rsidRPr="003F0DC3" w:rsidR="006E5BC4">
        <w:rPr>
          <w:rFonts w:eastAsia="Times New Roman" w:asciiTheme="minorBidi" w:hAnsiTheme="minorBidi"/>
          <w:sz w:val="24"/>
          <w:szCs w:val="24"/>
        </w:rPr>
        <w:t>e</w:t>
      </w:r>
      <w:r w:rsidRPr="003F0DC3" w:rsidR="004D7687">
        <w:rPr>
          <w:rFonts w:eastAsia="Times New Roman" w:asciiTheme="minorBidi" w:hAnsiTheme="minorBidi"/>
          <w:sz w:val="24"/>
          <w:szCs w:val="24"/>
        </w:rPr>
        <w:t xml:space="preserve">xisting </w:t>
      </w:r>
      <w:r w:rsidRPr="003F0DC3" w:rsidR="006E5BC4">
        <w:rPr>
          <w:rFonts w:eastAsia="Times New Roman" w:asciiTheme="minorBidi" w:hAnsiTheme="minorBidi"/>
          <w:sz w:val="24"/>
          <w:szCs w:val="24"/>
        </w:rPr>
        <w:t>a</w:t>
      </w:r>
      <w:r w:rsidRPr="003F0DC3" w:rsidR="004D7687">
        <w:rPr>
          <w:rFonts w:eastAsia="Times New Roman" w:asciiTheme="minorBidi" w:hAnsiTheme="minorBidi"/>
          <w:sz w:val="24"/>
          <w:szCs w:val="24"/>
        </w:rPr>
        <w:t xml:space="preserve">sset(s), TIFIA-eligible </w:t>
      </w:r>
      <w:r w:rsidRPr="003F0DC3" w:rsidR="006E5BC4">
        <w:rPr>
          <w:rFonts w:eastAsia="Times New Roman" w:asciiTheme="minorBidi" w:hAnsiTheme="minorBidi"/>
          <w:sz w:val="24"/>
          <w:szCs w:val="24"/>
        </w:rPr>
        <w:t>p</w:t>
      </w:r>
      <w:r w:rsidRPr="003F0DC3" w:rsidR="004D7687">
        <w:rPr>
          <w:rFonts w:eastAsia="Times New Roman" w:asciiTheme="minorBidi" w:hAnsiTheme="minorBidi"/>
          <w:sz w:val="24"/>
          <w:szCs w:val="24"/>
        </w:rPr>
        <w:t xml:space="preserve">roject(s) being considered, the innovative project financing or delivery method being evaluated, and the </w:t>
      </w:r>
      <w:r w:rsidRPr="003F0DC3" w:rsidR="006E5BC4">
        <w:rPr>
          <w:rFonts w:eastAsia="Times New Roman" w:asciiTheme="minorBidi" w:hAnsiTheme="minorBidi"/>
          <w:sz w:val="24"/>
          <w:szCs w:val="24"/>
        </w:rPr>
        <w:t>p</w:t>
      </w:r>
      <w:r w:rsidRPr="003F0DC3" w:rsidR="004D7687">
        <w:rPr>
          <w:rFonts w:eastAsia="Times New Roman" w:asciiTheme="minorBidi" w:hAnsiTheme="minorBidi"/>
          <w:sz w:val="24"/>
          <w:szCs w:val="24"/>
        </w:rPr>
        <w:t xml:space="preserve">roposed </w:t>
      </w:r>
      <w:r w:rsidRPr="003F0DC3" w:rsidR="006E5BC4">
        <w:rPr>
          <w:rFonts w:eastAsia="Times New Roman" w:asciiTheme="minorBidi" w:hAnsiTheme="minorBidi"/>
          <w:sz w:val="24"/>
          <w:szCs w:val="24"/>
        </w:rPr>
        <w:t>a</w:t>
      </w:r>
      <w:r w:rsidRPr="003F0DC3" w:rsidR="004D7687">
        <w:rPr>
          <w:rFonts w:eastAsia="Times New Roman" w:asciiTheme="minorBidi" w:hAnsiTheme="minorBidi"/>
          <w:sz w:val="24"/>
          <w:szCs w:val="24"/>
        </w:rPr>
        <w:t>ctivity.</w:t>
      </w:r>
      <w:r w:rsidRPr="003F0DC3" w:rsidR="006E5BC4">
        <w:rPr>
          <w:rFonts w:eastAsia="Times New Roman" w:asciiTheme="minorBidi" w:hAnsiTheme="minorBidi"/>
          <w:sz w:val="24"/>
          <w:szCs w:val="24"/>
        </w:rPr>
        <w:t xml:space="preserve"> </w:t>
      </w:r>
      <w:r w:rsidRPr="003F0DC3" w:rsidR="001B7FBF">
        <w:rPr>
          <w:rFonts w:eastAsia="Times New Roman" w:asciiTheme="minorBidi" w:hAnsiTheme="minorBidi"/>
          <w:sz w:val="24"/>
          <w:szCs w:val="24"/>
        </w:rPr>
        <w:t>Successful applicants must also prepare progress reports as a condition of funding. Progress reporting is estimated to require 4 hours per year.</w:t>
      </w:r>
      <w:r w:rsidRPr="003F0DC3" w:rsidR="003833AE">
        <w:rPr>
          <w:rFonts w:eastAsia="Times New Roman" w:asciiTheme="minorBidi" w:hAnsiTheme="minorBidi"/>
          <w:sz w:val="24"/>
          <w:szCs w:val="24"/>
        </w:rPr>
        <w:t xml:space="preserve">  </w:t>
      </w:r>
    </w:p>
    <w:p w:rsidR="005E6E8D" w:rsidRPr="003F0DC3" w:rsidP="18F4C374" w14:paraId="6F8091A9" w14:textId="77777777">
      <w:pPr>
        <w:spacing w:after="0" w:line="240" w:lineRule="auto"/>
        <w:rPr>
          <w:rFonts w:eastAsia="Times New Roman" w:asciiTheme="minorBidi" w:hAnsiTheme="minorBidi"/>
          <w:sz w:val="24"/>
          <w:szCs w:val="24"/>
        </w:rPr>
      </w:pPr>
    </w:p>
    <w:p w:rsidR="005E6E8D" w:rsidRPr="003F0DC3" w:rsidP="18F4C374" w14:paraId="2E087D1E" w14:textId="2DD64D74">
      <w:pPr>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 xml:space="preserve">The Bureau may make application information </w:t>
      </w:r>
      <w:r w:rsidRPr="003F0DC3" w:rsidR="007703FF">
        <w:rPr>
          <w:rFonts w:eastAsia="Times New Roman" w:asciiTheme="minorBidi" w:hAnsiTheme="minorBidi"/>
          <w:sz w:val="24"/>
          <w:szCs w:val="24"/>
        </w:rPr>
        <w:t xml:space="preserve">for RTA and IFAC </w:t>
      </w:r>
      <w:r w:rsidRPr="003F0DC3">
        <w:rPr>
          <w:rFonts w:eastAsia="Times New Roman" w:asciiTheme="minorBidi" w:hAnsiTheme="minorBidi"/>
          <w:sz w:val="24"/>
          <w:szCs w:val="24"/>
        </w:rPr>
        <w:t>publicly available or share it within DOT or with other federal agencies</w:t>
      </w:r>
      <w:r w:rsidR="00881E57">
        <w:rPr>
          <w:rFonts w:eastAsia="Times New Roman" w:asciiTheme="minorBidi" w:hAnsiTheme="minorBidi"/>
          <w:sz w:val="24"/>
          <w:szCs w:val="24"/>
        </w:rPr>
        <w:t>,</w:t>
      </w:r>
      <w:r w:rsidRPr="003F0DC3">
        <w:rPr>
          <w:rFonts w:eastAsia="Times New Roman" w:asciiTheme="minorBidi" w:hAnsiTheme="minorBidi"/>
          <w:sz w:val="24"/>
          <w:szCs w:val="24"/>
        </w:rPr>
        <w:t xml:space="preserve"> if DOT determines that sharing is relevant to the respective program's objectives.</w:t>
      </w:r>
    </w:p>
    <w:p w:rsidR="00A7648B" w:rsidP="18F4C374" w14:paraId="4E9DA524" w14:textId="77777777">
      <w:pPr>
        <w:spacing w:after="0" w:line="240" w:lineRule="auto"/>
        <w:rPr>
          <w:rFonts w:eastAsia="Times New Roman" w:asciiTheme="minorBidi" w:hAnsiTheme="minorBidi"/>
          <w:sz w:val="24"/>
          <w:szCs w:val="24"/>
        </w:rPr>
      </w:pPr>
    </w:p>
    <w:p w:rsidR="006E4443" w:rsidRPr="003F0DC3" w:rsidP="18F4C374" w14:paraId="38BE6FAB" w14:textId="77777777">
      <w:pPr>
        <w:spacing w:after="0" w:line="240" w:lineRule="auto"/>
        <w:rPr>
          <w:rFonts w:eastAsia="Times New Roman" w:asciiTheme="minorBidi" w:hAnsiTheme="minorBidi"/>
          <w:sz w:val="24"/>
          <w:szCs w:val="24"/>
        </w:rPr>
      </w:pPr>
    </w:p>
    <w:p w:rsidR="008E4A58" w:rsidRPr="003F0DC3" w:rsidP="008E4A58" w14:paraId="6C895003" w14:textId="3148CA89">
      <w:pPr>
        <w:keepNext/>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b/>
          <w:sz w:val="24"/>
          <w:szCs w:val="24"/>
        </w:rPr>
        <w:t>3. Describe whether, and to what extent, the collection of information involves the use of automated, electronic, mechanical, or other technological collection techniques or other forms of information technology.</w:t>
      </w:r>
    </w:p>
    <w:p w:rsidR="008E4A58" w:rsidRPr="003F0DC3" w:rsidP="008E4A58" w14:paraId="6ACF6B3D" w14:textId="77777777">
      <w:pPr>
        <w:shd w:val="clear" w:color="auto" w:fill="FFFFFF"/>
        <w:spacing w:after="0" w:line="240" w:lineRule="auto"/>
        <w:rPr>
          <w:rFonts w:eastAsia="Times New Roman" w:asciiTheme="minorBidi" w:hAnsiTheme="minorBidi"/>
          <w:sz w:val="24"/>
          <w:szCs w:val="24"/>
        </w:rPr>
      </w:pPr>
    </w:p>
    <w:p w:rsidR="008E4A58" w:rsidRPr="003F0DC3" w:rsidP="008E4A58" w14:paraId="3251EF95" w14:textId="6E0E413A">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DOT will collect this information via an online electronic application</w:t>
      </w:r>
      <w:r w:rsidRPr="003F0DC3" w:rsidR="00E65058">
        <w:rPr>
          <w:rFonts w:eastAsia="Times New Roman" w:asciiTheme="minorBidi" w:hAnsiTheme="minorBidi"/>
          <w:sz w:val="24"/>
          <w:szCs w:val="24"/>
        </w:rPr>
        <w:t xml:space="preserve"> portal</w:t>
      </w:r>
      <w:r w:rsidRPr="003F0DC3">
        <w:rPr>
          <w:rFonts w:eastAsia="Times New Roman" w:asciiTheme="minorBidi" w:hAnsiTheme="minorBidi"/>
          <w:sz w:val="24"/>
          <w:szCs w:val="24"/>
        </w:rPr>
        <w:t xml:space="preserve">. </w:t>
      </w:r>
      <w:r w:rsidR="00F2219A">
        <w:rPr>
          <w:rFonts w:eastAsia="Times New Roman" w:asciiTheme="minorBidi" w:hAnsiTheme="minorBidi"/>
          <w:sz w:val="24"/>
          <w:szCs w:val="24"/>
        </w:rPr>
        <w:t>Successful applicants submit progress reports</w:t>
      </w:r>
      <w:r w:rsidR="00A3762B">
        <w:rPr>
          <w:rFonts w:eastAsia="Times New Roman" w:asciiTheme="minorBidi" w:hAnsiTheme="minorBidi"/>
          <w:sz w:val="24"/>
          <w:szCs w:val="24"/>
        </w:rPr>
        <w:t xml:space="preserve"> through email. The Bureau is exploring further technology enhancements to reduce the reporting burden.</w:t>
      </w:r>
      <w:r w:rsidRPr="003F0DC3">
        <w:rPr>
          <w:rFonts w:eastAsia="Times New Roman" w:asciiTheme="minorBidi" w:hAnsiTheme="minorBidi"/>
          <w:sz w:val="24"/>
          <w:szCs w:val="24"/>
        </w:rPr>
        <w:t xml:space="preserve"> </w:t>
      </w:r>
    </w:p>
    <w:p w:rsidR="008E4A58" w:rsidRPr="003F0DC3" w:rsidP="008E4A58" w14:paraId="0C60FAAD" w14:textId="77777777">
      <w:pPr>
        <w:shd w:val="clear" w:color="auto" w:fill="FFFFFF"/>
        <w:spacing w:after="0" w:line="240" w:lineRule="auto"/>
        <w:rPr>
          <w:rFonts w:eastAsia="Times New Roman" w:asciiTheme="minorBidi" w:hAnsiTheme="minorBidi"/>
          <w:sz w:val="24"/>
          <w:szCs w:val="24"/>
        </w:rPr>
      </w:pPr>
    </w:p>
    <w:p w:rsidR="008E4A58" w:rsidRPr="003F0DC3" w:rsidP="008E4A58" w14:paraId="7F7D86A0" w14:textId="33E93553">
      <w:pPr>
        <w:shd w:val="clear" w:color="auto" w:fill="FFFFFF"/>
        <w:spacing w:after="0" w:line="240" w:lineRule="auto"/>
        <w:rPr>
          <w:rFonts w:eastAsia="Times New Roman" w:asciiTheme="minorBidi" w:hAnsiTheme="minorBidi"/>
          <w:b/>
          <w:sz w:val="24"/>
          <w:szCs w:val="24"/>
        </w:rPr>
      </w:pPr>
      <w:r w:rsidRPr="003F0DC3">
        <w:rPr>
          <w:rFonts w:eastAsia="Times New Roman" w:asciiTheme="minorBidi" w:hAnsiTheme="minorBidi"/>
          <w:b/>
          <w:sz w:val="24"/>
          <w:szCs w:val="24"/>
        </w:rPr>
        <w:t>4. Describe efforts to identify duplication. Show specifically why any similar information already available cannot be used or modified for use for the purposes described in Item 2 above.</w:t>
      </w:r>
    </w:p>
    <w:p w:rsidR="008E4A58" w:rsidRPr="003F0DC3" w:rsidP="008E4A58" w14:paraId="0DA2A8C8" w14:textId="77777777">
      <w:pPr>
        <w:shd w:val="clear" w:color="auto" w:fill="FFFFFF"/>
        <w:spacing w:after="0" w:line="240" w:lineRule="auto"/>
        <w:rPr>
          <w:rFonts w:eastAsia="Times New Roman" w:asciiTheme="minorBidi" w:hAnsiTheme="minorBidi"/>
          <w:sz w:val="24"/>
          <w:szCs w:val="24"/>
        </w:rPr>
      </w:pPr>
    </w:p>
    <w:p w:rsidR="008E4A58" w:rsidRPr="003F0DC3" w:rsidP="008E4A58" w14:paraId="7126160A" w14:textId="75563072">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The specific information requested is unique to the project sponsors identified in the RTA and IFAC NOFOs.</w:t>
      </w:r>
    </w:p>
    <w:p w:rsidR="00A005C0" w:rsidRPr="003F0DC3" w:rsidP="008E4A58" w14:paraId="0CEF35A3" w14:textId="77777777">
      <w:pPr>
        <w:shd w:val="clear" w:color="auto" w:fill="FFFFFF"/>
        <w:spacing w:after="0" w:line="240" w:lineRule="auto"/>
        <w:rPr>
          <w:rFonts w:eastAsia="Times New Roman" w:asciiTheme="minorBidi" w:hAnsiTheme="minorBidi"/>
          <w:b/>
          <w:sz w:val="24"/>
          <w:szCs w:val="24"/>
        </w:rPr>
      </w:pPr>
    </w:p>
    <w:p w:rsidR="008E4A58" w:rsidRPr="003F0DC3" w:rsidP="008E4A58" w14:paraId="5D287059" w14:textId="3846BDE1">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b/>
          <w:sz w:val="24"/>
          <w:szCs w:val="24"/>
        </w:rPr>
        <w:t>5. If the collection of information involves small businesses or other small entities, describe the methods used to minimize burden.</w:t>
      </w:r>
    </w:p>
    <w:p w:rsidR="008E4A58" w:rsidRPr="003F0DC3" w:rsidP="008E4A58" w14:paraId="736AE3C4" w14:textId="77777777">
      <w:pPr>
        <w:shd w:val="clear" w:color="auto" w:fill="FFFFFF"/>
        <w:spacing w:after="0" w:line="240" w:lineRule="auto"/>
        <w:rPr>
          <w:rFonts w:eastAsia="Times New Roman" w:asciiTheme="minorBidi" w:hAnsiTheme="minorBidi"/>
          <w:sz w:val="24"/>
          <w:szCs w:val="24"/>
        </w:rPr>
      </w:pPr>
    </w:p>
    <w:p w:rsidR="008E4A58" w:rsidRPr="003F0DC3" w:rsidP="1327E931" w14:paraId="08FEC5F0" w14:textId="20E98DE8">
      <w:pPr>
        <w:shd w:val="clear" w:color="auto" w:fill="FFFFFF" w:themeFill="background1"/>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 xml:space="preserve">This information collection has been designed to minimize the burden on all respondents. </w:t>
      </w:r>
      <w:r w:rsidRPr="003F0DC3" w:rsidR="006B17BC">
        <w:rPr>
          <w:rFonts w:eastAsia="Times New Roman" w:asciiTheme="minorBidi" w:hAnsiTheme="minorBidi"/>
          <w:sz w:val="24"/>
          <w:szCs w:val="24"/>
        </w:rPr>
        <w:t xml:space="preserve">For the RTA program, </w:t>
      </w:r>
      <w:r w:rsidRPr="003F0DC3">
        <w:rPr>
          <w:rFonts w:eastAsia="Times New Roman" w:asciiTheme="minorBidi" w:hAnsiTheme="minorBidi"/>
          <w:sz w:val="24"/>
          <w:szCs w:val="24"/>
        </w:rPr>
        <w:t xml:space="preserve">DOT will collect this information via an online electronic application. </w:t>
      </w:r>
      <w:r w:rsidRPr="003F0DC3" w:rsidR="009B2D0E">
        <w:rPr>
          <w:rFonts w:eastAsia="Times New Roman" w:asciiTheme="minorBidi" w:hAnsiTheme="minorBidi"/>
          <w:sz w:val="24"/>
          <w:szCs w:val="24"/>
        </w:rPr>
        <w:t xml:space="preserve">There is no required cost share or match for the RTA program.  </w:t>
      </w:r>
    </w:p>
    <w:p w:rsidR="00FD3C46" w:rsidRPr="003F0DC3" w:rsidP="009B2D0E" w14:paraId="0D1B05BE" w14:textId="77777777">
      <w:pPr>
        <w:shd w:val="clear" w:color="auto" w:fill="FFFFFF"/>
        <w:spacing w:after="0" w:line="240" w:lineRule="auto"/>
        <w:rPr>
          <w:rFonts w:eastAsia="Times New Roman" w:asciiTheme="minorBidi" w:hAnsiTheme="minorBidi"/>
          <w:sz w:val="24"/>
          <w:szCs w:val="24"/>
        </w:rPr>
      </w:pPr>
    </w:p>
    <w:p w:rsidR="4871D675" w:rsidRPr="003F0DC3" w:rsidP="1327E931" w14:paraId="33631260" w14:textId="67C814FB">
      <w:pPr>
        <w:shd w:val="clear" w:color="auto" w:fill="FFFFFF" w:themeFill="background1"/>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 xml:space="preserve">For the IFAC program, </w:t>
      </w:r>
      <w:r w:rsidRPr="003F0DC3" w:rsidR="00482904">
        <w:rPr>
          <w:rFonts w:eastAsia="Times New Roman" w:asciiTheme="minorBidi" w:hAnsiTheme="minorBidi"/>
          <w:sz w:val="24"/>
          <w:szCs w:val="24"/>
        </w:rPr>
        <w:t>DOT will collect this information</w:t>
      </w:r>
      <w:r w:rsidRPr="003F0DC3" w:rsidR="00577CCA">
        <w:rPr>
          <w:rFonts w:eastAsia="Times New Roman" w:asciiTheme="minorBidi" w:hAnsiTheme="minorBidi"/>
          <w:sz w:val="24"/>
          <w:szCs w:val="24"/>
        </w:rPr>
        <w:t xml:space="preserve"> via Grants.gov</w:t>
      </w:r>
      <w:r w:rsidRPr="003F0DC3" w:rsidR="00E90C30">
        <w:rPr>
          <w:rFonts w:eastAsia="Times New Roman" w:asciiTheme="minorBidi" w:hAnsiTheme="minorBidi"/>
          <w:sz w:val="24"/>
          <w:szCs w:val="24"/>
        </w:rPr>
        <w:t xml:space="preserve">. </w:t>
      </w:r>
      <w:r w:rsidRPr="003F0DC3" w:rsidR="0078317F">
        <w:rPr>
          <w:rFonts w:eastAsia="Times New Roman" w:asciiTheme="minorBidi" w:hAnsiTheme="minorBidi"/>
          <w:sz w:val="24"/>
          <w:szCs w:val="24"/>
        </w:rPr>
        <w:t>Applicants will provide the information for the Key Information Table</w:t>
      </w:r>
      <w:r w:rsidRPr="003F0DC3" w:rsidR="00063E08">
        <w:rPr>
          <w:rFonts w:eastAsia="Times New Roman" w:asciiTheme="minorBidi" w:hAnsiTheme="minorBidi"/>
          <w:sz w:val="24"/>
          <w:szCs w:val="24"/>
        </w:rPr>
        <w:t xml:space="preserve"> and Asset Information Table</w:t>
      </w:r>
      <w:r w:rsidRPr="003F0DC3" w:rsidR="0078317F">
        <w:rPr>
          <w:rFonts w:eastAsia="Times New Roman" w:asciiTheme="minorBidi" w:hAnsiTheme="minorBidi"/>
          <w:sz w:val="24"/>
          <w:szCs w:val="24"/>
        </w:rPr>
        <w:t xml:space="preserve"> through an online form.</w:t>
      </w:r>
      <w:r w:rsidRPr="003F0DC3" w:rsidR="00670D6E">
        <w:rPr>
          <w:rFonts w:eastAsia="Times New Roman" w:asciiTheme="minorBidi" w:hAnsiTheme="minorBidi"/>
          <w:sz w:val="24"/>
          <w:szCs w:val="24"/>
        </w:rPr>
        <w:t xml:space="preserve"> </w:t>
      </w:r>
      <w:r w:rsidR="000224A0">
        <w:rPr>
          <w:rFonts w:eastAsia="Times New Roman" w:asciiTheme="minorBidi" w:hAnsiTheme="minorBidi"/>
          <w:sz w:val="24"/>
          <w:szCs w:val="24"/>
        </w:rPr>
        <w:t>C</w:t>
      </w:r>
      <w:r w:rsidRPr="003F0DC3">
        <w:rPr>
          <w:rFonts w:eastAsia="Times New Roman" w:asciiTheme="minorBidi" w:hAnsiTheme="minorBidi"/>
          <w:sz w:val="24"/>
          <w:szCs w:val="24"/>
        </w:rPr>
        <w:t xml:space="preserve">ooperative agreements up to $1 million are offered at 100 percent Federal share. </w:t>
      </w:r>
      <w:r w:rsidRPr="003F0DC3" w:rsidR="00FA16E9">
        <w:rPr>
          <w:rFonts w:eastAsia="Times New Roman" w:asciiTheme="minorBidi" w:hAnsiTheme="minorBidi"/>
          <w:sz w:val="24"/>
          <w:szCs w:val="24"/>
        </w:rPr>
        <w:t xml:space="preserve">However, </w:t>
      </w:r>
      <w:r w:rsidR="002456CE">
        <w:rPr>
          <w:rFonts w:eastAsia="Times New Roman" w:asciiTheme="minorBidi" w:hAnsiTheme="minorBidi"/>
          <w:sz w:val="24"/>
          <w:szCs w:val="24"/>
        </w:rPr>
        <w:t>grant recipients</w:t>
      </w:r>
      <w:r w:rsidRPr="003F0DC3" w:rsidR="00261EB5">
        <w:rPr>
          <w:rFonts w:eastAsia="Times New Roman" w:asciiTheme="minorBidi" w:hAnsiTheme="minorBidi"/>
          <w:sz w:val="24"/>
          <w:szCs w:val="24"/>
        </w:rPr>
        <w:t xml:space="preserve"> with </w:t>
      </w:r>
      <w:r w:rsidRPr="003F0DC3" w:rsidR="002B59C7">
        <w:rPr>
          <w:rFonts w:eastAsia="Times New Roman" w:asciiTheme="minorBidi" w:hAnsiTheme="minorBidi"/>
          <w:sz w:val="24"/>
          <w:szCs w:val="24"/>
        </w:rPr>
        <w:t xml:space="preserve">award </w:t>
      </w:r>
      <w:r w:rsidRPr="003F0DC3" w:rsidR="00FA16E9">
        <w:rPr>
          <w:rFonts w:eastAsia="Times New Roman" w:asciiTheme="minorBidi" w:hAnsiTheme="minorBidi"/>
          <w:sz w:val="24"/>
          <w:szCs w:val="24"/>
        </w:rPr>
        <w:t>a</w:t>
      </w:r>
      <w:r w:rsidRPr="003F0DC3">
        <w:rPr>
          <w:rFonts w:eastAsia="Times New Roman" w:asciiTheme="minorBidi" w:hAnsiTheme="minorBidi"/>
          <w:sz w:val="24"/>
          <w:szCs w:val="24"/>
        </w:rPr>
        <w:t>mounts in excess of $1 million are offered at 50 percent Federal share (50 percent required non-Federal match)</w:t>
      </w:r>
      <w:r w:rsidR="002456CE">
        <w:rPr>
          <w:rFonts w:eastAsia="Times New Roman" w:asciiTheme="minorBidi" w:hAnsiTheme="minorBidi"/>
          <w:sz w:val="24"/>
          <w:szCs w:val="24"/>
        </w:rPr>
        <w:t xml:space="preserve"> for the amount over $1 million</w:t>
      </w:r>
      <w:r w:rsidRPr="003F0DC3">
        <w:rPr>
          <w:rFonts w:eastAsia="Times New Roman" w:asciiTheme="minorBidi" w:hAnsiTheme="minorBidi"/>
          <w:sz w:val="24"/>
          <w:szCs w:val="24"/>
        </w:rPr>
        <w:t xml:space="preserve">. For example, a cooperative agreement of $2 million in Federal </w:t>
      </w:r>
      <w:r w:rsidR="002456CE">
        <w:rPr>
          <w:rFonts w:eastAsia="Times New Roman" w:asciiTheme="minorBidi" w:hAnsiTheme="minorBidi"/>
          <w:sz w:val="24"/>
          <w:szCs w:val="24"/>
        </w:rPr>
        <w:t xml:space="preserve">funds requires </w:t>
      </w:r>
      <w:r w:rsidRPr="003F0DC3">
        <w:rPr>
          <w:rFonts w:eastAsia="Times New Roman" w:asciiTheme="minorBidi" w:hAnsiTheme="minorBidi"/>
          <w:sz w:val="24"/>
          <w:szCs w:val="24"/>
        </w:rPr>
        <w:t>$1 million</w:t>
      </w:r>
      <w:r>
        <w:rPr>
          <w:rFonts w:eastAsia="Times New Roman" w:asciiTheme="minorBidi" w:hAnsiTheme="minorBidi"/>
          <w:sz w:val="24"/>
          <w:szCs w:val="24"/>
        </w:rPr>
        <w:t xml:space="preserve"> </w:t>
      </w:r>
      <w:r w:rsidR="001E195E">
        <w:rPr>
          <w:rFonts w:eastAsia="Times New Roman" w:asciiTheme="minorBidi" w:hAnsiTheme="minorBidi"/>
          <w:sz w:val="24"/>
          <w:szCs w:val="24"/>
        </w:rPr>
        <w:t xml:space="preserve">in </w:t>
      </w:r>
      <w:r w:rsidRPr="003F0DC3" w:rsidR="001E195E">
        <w:rPr>
          <w:rFonts w:eastAsia="Times New Roman" w:asciiTheme="minorBidi" w:hAnsiTheme="minorBidi"/>
          <w:sz w:val="24"/>
          <w:szCs w:val="24"/>
        </w:rPr>
        <w:t>non</w:t>
      </w:r>
      <w:r w:rsidRPr="003F0DC3">
        <w:rPr>
          <w:rFonts w:eastAsia="Times New Roman" w:asciiTheme="minorBidi" w:hAnsiTheme="minorBidi"/>
          <w:sz w:val="24"/>
          <w:szCs w:val="24"/>
        </w:rPr>
        <w:t>-Federal funds, supporting a $3 million effort.</w:t>
      </w:r>
    </w:p>
    <w:p w:rsidR="008E4A58" w:rsidRPr="003F0DC3" w:rsidP="009B2D0E" w14:paraId="30FC3C1D" w14:textId="77777777">
      <w:pPr>
        <w:shd w:val="clear" w:color="auto" w:fill="FFFFFF"/>
        <w:spacing w:after="0" w:line="240" w:lineRule="auto"/>
        <w:rPr>
          <w:rFonts w:eastAsia="Times New Roman" w:asciiTheme="minorBidi" w:hAnsiTheme="minorBidi"/>
          <w:sz w:val="24"/>
          <w:szCs w:val="24"/>
        </w:rPr>
      </w:pPr>
    </w:p>
    <w:p w:rsidR="008E4A58" w:rsidRPr="003F0DC3" w:rsidP="003F0DC3" w14:paraId="579AF9A7" w14:textId="77777777">
      <w:pPr>
        <w:autoSpaceDE w:val="0"/>
        <w:autoSpaceDN w:val="0"/>
        <w:adjustRightInd w:val="0"/>
        <w:spacing w:after="0" w:line="240" w:lineRule="auto"/>
        <w:rPr>
          <w:rFonts w:asciiTheme="minorBidi" w:hAnsiTheme="minorBidi"/>
          <w:sz w:val="24"/>
          <w:szCs w:val="24"/>
        </w:rPr>
      </w:pPr>
      <w:r w:rsidRPr="003F0DC3">
        <w:rPr>
          <w:rFonts w:eastAsia="Times New Roman" w:asciiTheme="minorBidi" w:hAnsiTheme="minorBidi"/>
          <w:b/>
          <w:sz w:val="24"/>
          <w:szCs w:val="24"/>
        </w:rPr>
        <w:t>6. Describe the consequence to Federal program or policy activities if the collection is not conducted or is conducted less frequently, as well as any technical or legal obstacles to reducing burden.</w:t>
      </w:r>
    </w:p>
    <w:p w:rsidR="008E51E2" w:rsidRPr="003F0DC3" w:rsidP="003F0DC3" w14:paraId="29CB9255" w14:textId="77777777">
      <w:pPr>
        <w:autoSpaceDE w:val="0"/>
        <w:autoSpaceDN w:val="0"/>
        <w:adjustRightInd w:val="0"/>
        <w:spacing w:after="0" w:line="240" w:lineRule="auto"/>
        <w:rPr>
          <w:rFonts w:asciiTheme="minorBidi" w:hAnsiTheme="minorBidi"/>
          <w:sz w:val="24"/>
          <w:szCs w:val="24"/>
        </w:rPr>
      </w:pPr>
    </w:p>
    <w:p w:rsidR="008E4A58" w:rsidRPr="003F0DC3" w:rsidP="008E4A58" w14:paraId="129F1724" w14:textId="0FE5FCE8">
      <w:pPr>
        <w:shd w:val="clear" w:color="auto" w:fill="FFFFFF"/>
        <w:spacing w:after="0" w:line="240" w:lineRule="auto"/>
        <w:rPr>
          <w:rFonts w:asciiTheme="minorBidi" w:hAnsiTheme="minorBidi"/>
          <w:sz w:val="24"/>
          <w:szCs w:val="24"/>
        </w:rPr>
      </w:pPr>
      <w:r w:rsidRPr="00221A83">
        <w:rPr>
          <w:rFonts w:asciiTheme="minorBidi" w:hAnsiTheme="minorBidi"/>
          <w:sz w:val="24"/>
          <w:szCs w:val="24"/>
        </w:rPr>
        <w:t xml:space="preserve">If the collection is not conducted, </w:t>
      </w:r>
      <w:r w:rsidRPr="003F0DC3" w:rsidR="00554EC9">
        <w:rPr>
          <w:rFonts w:asciiTheme="minorBidi" w:hAnsiTheme="minorBidi"/>
          <w:sz w:val="24"/>
          <w:szCs w:val="24"/>
        </w:rPr>
        <w:t>project sponsors</w:t>
      </w:r>
      <w:r w:rsidRPr="00221A83" w:rsidR="00403F7E">
        <w:rPr>
          <w:rFonts w:asciiTheme="minorBidi" w:hAnsiTheme="minorBidi"/>
          <w:sz w:val="24"/>
          <w:szCs w:val="24"/>
        </w:rPr>
        <w:t xml:space="preserve"> will not be able to submit an application </w:t>
      </w:r>
      <w:r w:rsidRPr="003F0DC3" w:rsidR="00BE2A58">
        <w:rPr>
          <w:rFonts w:asciiTheme="minorBidi" w:hAnsiTheme="minorBidi"/>
          <w:sz w:val="24"/>
          <w:szCs w:val="24"/>
        </w:rPr>
        <w:t xml:space="preserve">to advance projects that will qualify for federal funding and financing programs for additional development activities or construction. </w:t>
      </w:r>
      <w:r w:rsidR="00387A35">
        <w:rPr>
          <w:rFonts w:asciiTheme="minorBidi" w:hAnsiTheme="minorBidi"/>
          <w:sz w:val="24"/>
          <w:szCs w:val="24"/>
        </w:rPr>
        <w:t xml:space="preserve">DOT has reduced the burden by combining multiple years of funding into each NOFO. For example, the recent IFAC </w:t>
      </w:r>
      <w:r w:rsidR="008E51E2">
        <w:rPr>
          <w:rFonts w:asciiTheme="minorBidi" w:hAnsiTheme="minorBidi"/>
          <w:sz w:val="24"/>
          <w:szCs w:val="24"/>
        </w:rPr>
        <w:t>Round 2 NOFO made available funding from FYs 2024, 2025, and 2026.</w:t>
      </w:r>
    </w:p>
    <w:p w:rsidR="00340EEF" w:rsidRPr="009271E2" w:rsidP="008E4A58" w14:paraId="598D58C8" w14:textId="77777777">
      <w:pPr>
        <w:shd w:val="clear" w:color="auto" w:fill="FFFFFF"/>
        <w:spacing w:after="0" w:line="240" w:lineRule="auto"/>
        <w:rPr>
          <w:rFonts w:eastAsia="Times New Roman" w:asciiTheme="minorBidi" w:hAnsiTheme="minorBidi"/>
          <w:sz w:val="24"/>
          <w:szCs w:val="24"/>
        </w:rPr>
      </w:pPr>
    </w:p>
    <w:p w:rsidR="008E4A58" w:rsidRPr="003F0DC3" w:rsidP="008E4A58" w14:paraId="5CA75A91" w14:textId="77777777">
      <w:pPr>
        <w:shd w:val="clear" w:color="auto" w:fill="FFFFFF"/>
        <w:spacing w:after="0" w:line="240" w:lineRule="auto"/>
        <w:rPr>
          <w:rFonts w:eastAsia="Times New Roman" w:asciiTheme="minorBidi" w:hAnsiTheme="minorBidi"/>
          <w:b/>
          <w:sz w:val="24"/>
          <w:szCs w:val="24"/>
        </w:rPr>
      </w:pPr>
      <w:r w:rsidRPr="003F0DC3">
        <w:rPr>
          <w:rFonts w:eastAsia="Times New Roman" w:asciiTheme="minorBidi" w:hAnsiTheme="minorBidi"/>
          <w:b/>
          <w:sz w:val="24"/>
          <w:szCs w:val="24"/>
        </w:rPr>
        <w:t>7. Explain any special circumstances that would cause an information collection to be conducted in a manner inconsistent with OMB guidelines.</w:t>
      </w:r>
    </w:p>
    <w:p w:rsidR="008E4A58" w:rsidRPr="003F0DC3" w:rsidP="008E4A58" w14:paraId="1B4A50B5" w14:textId="77777777">
      <w:pPr>
        <w:shd w:val="clear" w:color="auto" w:fill="FFFFFF"/>
        <w:spacing w:after="0" w:line="240" w:lineRule="auto"/>
        <w:rPr>
          <w:rFonts w:eastAsia="Times New Roman" w:asciiTheme="minorBidi" w:hAnsiTheme="minorBidi"/>
          <w:sz w:val="24"/>
          <w:szCs w:val="24"/>
        </w:rPr>
      </w:pPr>
    </w:p>
    <w:p w:rsidR="008E4A58" w:rsidRPr="003F0DC3" w:rsidP="008E4A58" w14:paraId="14F3B890" w14:textId="2AF3512B">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The collection information is consistent with O</w:t>
      </w:r>
      <w:r w:rsidRPr="003F0DC3" w:rsidR="00E724F9">
        <w:rPr>
          <w:rFonts w:eastAsia="Times New Roman" w:asciiTheme="minorBidi" w:hAnsiTheme="minorBidi"/>
          <w:sz w:val="24"/>
          <w:szCs w:val="24"/>
        </w:rPr>
        <w:t>MB</w:t>
      </w:r>
      <w:r w:rsidRPr="003F0DC3">
        <w:rPr>
          <w:rFonts w:eastAsia="Times New Roman" w:asciiTheme="minorBidi" w:hAnsiTheme="minorBidi"/>
          <w:sz w:val="24"/>
          <w:szCs w:val="24"/>
        </w:rPr>
        <w:t xml:space="preserve"> guidelines. This is not a statistical data collection; it is an online electronic application</w:t>
      </w:r>
      <w:r w:rsidRPr="003F0DC3" w:rsidR="00E724F9">
        <w:rPr>
          <w:rFonts w:eastAsia="Times New Roman" w:asciiTheme="minorBidi" w:hAnsiTheme="minorBidi"/>
          <w:sz w:val="24"/>
          <w:szCs w:val="24"/>
        </w:rPr>
        <w:t xml:space="preserve">. </w:t>
      </w:r>
      <w:r w:rsidRPr="003F0DC3">
        <w:rPr>
          <w:rFonts w:eastAsia="Times New Roman" w:asciiTheme="minorBidi" w:hAnsiTheme="minorBidi"/>
          <w:sz w:val="24"/>
          <w:szCs w:val="24"/>
        </w:rPr>
        <w:t>This information collection does not require respondents to submit proprietary information.</w:t>
      </w:r>
    </w:p>
    <w:p w:rsidR="008E4A58" w:rsidRPr="003F0DC3" w:rsidP="008E4A58" w14:paraId="64FC2003" w14:textId="77777777">
      <w:pPr>
        <w:shd w:val="clear" w:color="auto" w:fill="FFFFFF"/>
        <w:spacing w:after="0" w:line="240" w:lineRule="auto"/>
        <w:rPr>
          <w:rFonts w:eastAsia="Times New Roman" w:asciiTheme="minorBidi" w:hAnsiTheme="minorBidi"/>
          <w:sz w:val="24"/>
          <w:szCs w:val="24"/>
        </w:rPr>
      </w:pPr>
    </w:p>
    <w:p w:rsidR="008E4A58" w:rsidP="008E4A58" w14:paraId="37CAE226" w14:textId="5698D904">
      <w:pPr>
        <w:shd w:val="clear" w:color="auto" w:fill="FFFFFF"/>
        <w:spacing w:after="0" w:line="240" w:lineRule="auto"/>
        <w:rPr>
          <w:rFonts w:eastAsia="Times New Roman" w:asciiTheme="minorBidi" w:hAnsiTheme="minorBidi"/>
          <w:b/>
          <w:sz w:val="24"/>
          <w:szCs w:val="24"/>
        </w:rPr>
      </w:pPr>
      <w:r w:rsidRPr="003F0DC3">
        <w:rPr>
          <w:rFonts w:eastAsia="Times New Roman" w:asciiTheme="minorBidi" w:hAnsiTheme="minorBidi"/>
          <w:b/>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45D59" w:rsidP="008E4A58" w14:paraId="1539FFFA" w14:textId="77777777">
      <w:pPr>
        <w:shd w:val="clear" w:color="auto" w:fill="FFFFFF"/>
        <w:spacing w:after="0" w:line="240" w:lineRule="auto"/>
        <w:rPr>
          <w:rFonts w:eastAsia="Times New Roman" w:asciiTheme="minorBidi" w:hAnsiTheme="minorBidi"/>
          <w:b/>
          <w:sz w:val="24"/>
          <w:szCs w:val="24"/>
        </w:rPr>
      </w:pPr>
    </w:p>
    <w:p w:rsidR="008E4A58" w:rsidP="008E4A58" w14:paraId="65170EB8" w14:textId="0293418A">
      <w:pPr>
        <w:shd w:val="clear" w:color="auto" w:fill="FFFFFF"/>
        <w:spacing w:after="0" w:line="240" w:lineRule="auto"/>
      </w:pPr>
      <w:r>
        <w:t>No public comments were received during the 60-day Federal Register notice period.</w:t>
      </w:r>
    </w:p>
    <w:p w:rsidR="00C45D59" w:rsidRPr="003F0DC3" w:rsidP="008E4A58" w14:paraId="26DAF19F" w14:textId="77777777">
      <w:pPr>
        <w:shd w:val="clear" w:color="auto" w:fill="FFFFFF"/>
        <w:spacing w:after="0" w:line="240" w:lineRule="auto"/>
        <w:rPr>
          <w:rFonts w:eastAsia="Times New Roman" w:asciiTheme="minorBidi" w:hAnsiTheme="minorBidi"/>
          <w:sz w:val="24"/>
          <w:szCs w:val="24"/>
        </w:rPr>
      </w:pPr>
    </w:p>
    <w:p w:rsidR="008E4A58" w:rsidRPr="003F0DC3" w:rsidP="008E4A58" w14:paraId="409C83E2" w14:textId="77777777">
      <w:pPr>
        <w:shd w:val="clear" w:color="auto" w:fill="FFFFFF"/>
        <w:spacing w:after="0" w:line="240" w:lineRule="auto"/>
        <w:rPr>
          <w:rFonts w:eastAsia="Times New Roman" w:asciiTheme="minorBidi" w:hAnsiTheme="minorBidi"/>
          <w:b/>
          <w:sz w:val="24"/>
          <w:szCs w:val="24"/>
        </w:rPr>
      </w:pPr>
      <w:r w:rsidRPr="003F0DC3">
        <w:rPr>
          <w:rFonts w:eastAsia="Times New Roman" w:asciiTheme="minorBidi" w:hAnsiTheme="minorBidi"/>
          <w:b/>
          <w:sz w:val="24"/>
          <w:szCs w:val="24"/>
        </w:rPr>
        <w:t>9. Explain any decisions to provide payments or gifts to respondents, other than remuneration of contractors or grantees.</w:t>
      </w:r>
    </w:p>
    <w:p w:rsidR="008E4A58" w:rsidRPr="003F0DC3" w:rsidP="008E4A58" w14:paraId="4F7C432D" w14:textId="77777777">
      <w:pPr>
        <w:shd w:val="clear" w:color="auto" w:fill="FFFFFF"/>
        <w:spacing w:after="0" w:line="240" w:lineRule="auto"/>
        <w:rPr>
          <w:rFonts w:eastAsia="Times New Roman" w:asciiTheme="minorBidi" w:hAnsiTheme="minorBidi"/>
          <w:sz w:val="24"/>
          <w:szCs w:val="24"/>
        </w:rPr>
      </w:pPr>
    </w:p>
    <w:p w:rsidR="008E4A58" w:rsidRPr="003F0DC3" w:rsidP="008E4A58" w14:paraId="6D29F986" w14:textId="77777777">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The DOT will not provide payments or gifts.</w:t>
      </w:r>
    </w:p>
    <w:p w:rsidR="008E4A58" w:rsidRPr="003F0DC3" w:rsidP="008E4A58" w14:paraId="7E568442" w14:textId="77777777">
      <w:pPr>
        <w:shd w:val="clear" w:color="auto" w:fill="FFFFFF"/>
        <w:spacing w:after="0" w:line="240" w:lineRule="auto"/>
        <w:rPr>
          <w:rFonts w:eastAsia="Times New Roman" w:asciiTheme="minorBidi" w:hAnsiTheme="minorBidi"/>
          <w:sz w:val="24"/>
          <w:szCs w:val="24"/>
        </w:rPr>
      </w:pPr>
    </w:p>
    <w:p w:rsidR="008E4A58" w:rsidRPr="003F0DC3" w:rsidP="008E4A58" w14:paraId="581CDE79" w14:textId="77777777">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b/>
          <w:sz w:val="24"/>
          <w:szCs w:val="24"/>
        </w:rPr>
        <w:t>10. Describe any assurance of confidentiality provided to respondents and the basis for assurance in statute, regulation, or agency policy.</w:t>
      </w:r>
    </w:p>
    <w:p w:rsidR="008E4A58" w:rsidRPr="003F0DC3" w:rsidP="008E4A58" w14:paraId="668FA398" w14:textId="77777777">
      <w:pPr>
        <w:shd w:val="clear" w:color="auto" w:fill="FFFFFF"/>
        <w:spacing w:after="0" w:line="240" w:lineRule="auto"/>
        <w:rPr>
          <w:rFonts w:eastAsia="Times New Roman" w:asciiTheme="minorBidi" w:hAnsiTheme="minorBidi"/>
          <w:sz w:val="24"/>
          <w:szCs w:val="24"/>
        </w:rPr>
      </w:pPr>
    </w:p>
    <w:p w:rsidR="008E4A58" w:rsidRPr="003F0DC3" w:rsidP="008E4A58" w14:paraId="2F83DDAE" w14:textId="1A7351FB">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 xml:space="preserve">The DOT offers no assurance of confidentiality. The information collected is available for public inspection. </w:t>
      </w:r>
    </w:p>
    <w:p w:rsidR="008E4A58" w:rsidRPr="003F0DC3" w:rsidP="008E4A58" w14:paraId="70DC1F6B" w14:textId="77777777">
      <w:pPr>
        <w:shd w:val="clear" w:color="auto" w:fill="FFFFFF"/>
        <w:spacing w:after="0" w:line="240" w:lineRule="auto"/>
        <w:rPr>
          <w:rFonts w:eastAsia="Times New Roman" w:asciiTheme="minorBidi" w:hAnsiTheme="minorBidi"/>
          <w:sz w:val="24"/>
          <w:szCs w:val="24"/>
        </w:rPr>
      </w:pPr>
    </w:p>
    <w:p w:rsidR="008E4A58" w:rsidRPr="003F0DC3" w:rsidP="008E4A58" w14:paraId="47AE4973" w14:textId="77777777">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b/>
          <w:sz w:val="24"/>
          <w:szCs w:val="24"/>
        </w:rPr>
        <w:t>11. Provide additional justification for any questions of a sensitive nature, such as sexual behavior and attitudes, religious beliefs, and other matters that are commonly considered private.</w:t>
      </w:r>
    </w:p>
    <w:p w:rsidR="008E4A58" w:rsidRPr="003F0DC3" w:rsidP="008E4A58" w14:paraId="0444AB1B" w14:textId="77777777">
      <w:pPr>
        <w:shd w:val="clear" w:color="auto" w:fill="FFFFFF"/>
        <w:spacing w:after="0" w:line="240" w:lineRule="auto"/>
        <w:rPr>
          <w:rFonts w:eastAsia="Times New Roman" w:asciiTheme="minorBidi" w:hAnsiTheme="minorBidi"/>
          <w:sz w:val="24"/>
          <w:szCs w:val="24"/>
        </w:rPr>
      </w:pPr>
    </w:p>
    <w:p w:rsidR="008E4A58" w:rsidRPr="003F0DC3" w:rsidP="008E4A58" w14:paraId="5964D49E" w14:textId="77777777">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No sensitive information is requested on the form.</w:t>
      </w:r>
    </w:p>
    <w:p w:rsidR="008E4A58" w:rsidRPr="00221A83" w:rsidP="008E4A58" w14:paraId="321E9D4C" w14:textId="77777777">
      <w:pPr>
        <w:shd w:val="clear" w:color="auto" w:fill="FFFFFF"/>
        <w:spacing w:after="0" w:line="240" w:lineRule="auto"/>
        <w:rPr>
          <w:rFonts w:eastAsia="Times New Roman" w:asciiTheme="minorBidi" w:hAnsiTheme="minorBidi"/>
          <w:sz w:val="24"/>
          <w:szCs w:val="24"/>
        </w:rPr>
      </w:pPr>
    </w:p>
    <w:p w:rsidR="008E4A58" w:rsidRPr="003F0DC3" w:rsidP="43011CB7" w14:paraId="5B8530DE" w14:textId="77777777">
      <w:pPr>
        <w:shd w:val="clear" w:color="auto" w:fill="FFFFFF" w:themeFill="background1"/>
        <w:spacing w:after="0" w:line="240" w:lineRule="auto"/>
        <w:rPr>
          <w:rFonts w:eastAsia="Times New Roman" w:asciiTheme="minorBidi" w:hAnsiTheme="minorBidi"/>
          <w:b/>
          <w:sz w:val="24"/>
          <w:szCs w:val="24"/>
        </w:rPr>
      </w:pPr>
      <w:r w:rsidRPr="003F0DC3">
        <w:rPr>
          <w:rFonts w:eastAsia="Times New Roman" w:asciiTheme="minorBidi" w:hAnsiTheme="minorBidi"/>
          <w:b/>
          <w:sz w:val="24"/>
          <w:szCs w:val="24"/>
        </w:rPr>
        <w:t xml:space="preserve">12. Provide estimates of the hour burden of the collection of information. </w:t>
      </w:r>
      <w:r w:rsidRPr="003F0DC3">
        <w:rPr>
          <w:rFonts w:eastAsia="Calibri" w:asciiTheme="minorBidi" w:hAnsiTheme="minorBidi"/>
          <w:sz w:val="24"/>
          <w:szCs w:val="24"/>
        </w:rPr>
        <w:t xml:space="preserve"> </w:t>
      </w:r>
    </w:p>
    <w:p w:rsidR="00DA3DD3" w:rsidRPr="003F0DC3" w:rsidP="008E4A58" w14:paraId="718AC59E" w14:textId="77777777">
      <w:pPr>
        <w:spacing w:after="0" w:line="240" w:lineRule="auto"/>
        <w:rPr>
          <w:rFonts w:eastAsia="Calibri" w:asciiTheme="minorBidi" w:hAnsiTheme="minorBidi"/>
          <w:sz w:val="24"/>
          <w:szCs w:val="24"/>
        </w:rPr>
      </w:pPr>
    </w:p>
    <w:tbl>
      <w:tblPr>
        <w:tblStyle w:val="GridTable6Colorful"/>
        <w:tblW w:w="5000" w:type="pct"/>
        <w:tblLayout w:type="fixed"/>
        <w:tblCellMar>
          <w:top w:w="43" w:type="dxa"/>
          <w:left w:w="72" w:type="dxa"/>
          <w:bottom w:w="43" w:type="dxa"/>
          <w:right w:w="72" w:type="dxa"/>
        </w:tblCellMar>
        <w:tblLook w:val="04A0"/>
      </w:tblPr>
      <w:tblGrid>
        <w:gridCol w:w="1319"/>
        <w:gridCol w:w="800"/>
        <w:gridCol w:w="3512"/>
        <w:gridCol w:w="800"/>
        <w:gridCol w:w="800"/>
        <w:gridCol w:w="1044"/>
        <w:gridCol w:w="1075"/>
      </w:tblGrid>
      <w:tr w14:paraId="5CA66C31" w14:textId="77777777" w:rsidTr="00DA45E5">
        <w:tblPrEx>
          <w:tblW w:w="5000" w:type="pct"/>
          <w:tblLayout w:type="fixed"/>
          <w:tblCellMar>
            <w:top w:w="43" w:type="dxa"/>
            <w:left w:w="72" w:type="dxa"/>
            <w:bottom w:w="43" w:type="dxa"/>
            <w:right w:w="72" w:type="dxa"/>
          </w:tblCellMar>
          <w:tblLook w:val="04A0"/>
        </w:tblPrEx>
        <w:trPr>
          <w:gridAfter w:val="4"/>
          <w:wAfter w:w="3719" w:type="dxa"/>
          <w:cantSplit/>
        </w:trPr>
        <w:tc>
          <w:tcPr>
            <w:tcW w:w="5631" w:type="dxa"/>
            <w:gridSpan w:val="3"/>
            <w:tcBorders>
              <w:bottom w:val="single" w:sz="4" w:space="0" w:color="auto"/>
            </w:tcBorders>
            <w:noWrap/>
            <w:hideMark/>
          </w:tcPr>
          <w:p w:rsidR="005125D6" w:rsidRPr="00F83337" w:rsidP="005125D6" w14:paraId="1247842D" w14:textId="0995F527">
            <w:pPr>
              <w:spacing w:line="240" w:lineRule="auto"/>
              <w:rPr>
                <w:rFonts w:asciiTheme="minorBidi" w:hAnsiTheme="minorBidi"/>
                <w:b w:val="0"/>
                <w:kern w:val="2"/>
                <w:sz w:val="20"/>
                <w:szCs w:val="20"/>
                <w14:ligatures w14:val="standardContextual"/>
              </w:rPr>
            </w:pPr>
            <w:r w:rsidRPr="00F83337">
              <w:rPr>
                <w:rFonts w:asciiTheme="minorBidi" w:hAnsiTheme="minorBidi"/>
                <w:b w:val="0"/>
                <w:bCs w:val="0"/>
                <w:kern w:val="2"/>
                <w:sz w:val="20"/>
                <w:szCs w:val="20"/>
                <w14:ligatures w14:val="standardContextual"/>
              </w:rPr>
              <w:t xml:space="preserve">Estimate </w:t>
            </w:r>
            <w:r>
              <w:rPr>
                <w:rFonts w:asciiTheme="minorBidi" w:hAnsiTheme="minorBidi"/>
                <w:b w:val="0"/>
                <w:bCs w:val="0"/>
                <w:kern w:val="2"/>
                <w:sz w:val="20"/>
                <w:szCs w:val="20"/>
                <w14:ligatures w14:val="standardContextual"/>
              </w:rPr>
              <w:t>o</w:t>
            </w:r>
            <w:r w:rsidRPr="00F83337">
              <w:rPr>
                <w:rFonts w:asciiTheme="minorBidi" w:hAnsiTheme="minorBidi"/>
                <w:b w:val="0"/>
                <w:bCs w:val="0"/>
                <w:kern w:val="2"/>
                <w:sz w:val="20"/>
                <w:szCs w:val="20"/>
                <w14:ligatures w14:val="standardContextual"/>
              </w:rPr>
              <w:t xml:space="preserve">f Burden Hours </w:t>
            </w:r>
            <w:r>
              <w:rPr>
                <w:rFonts w:asciiTheme="minorBidi" w:hAnsiTheme="minorBidi"/>
                <w:b w:val="0"/>
                <w:bCs w:val="0"/>
                <w:kern w:val="2"/>
                <w:sz w:val="20"/>
                <w:szCs w:val="20"/>
                <w14:ligatures w14:val="standardContextual"/>
              </w:rPr>
              <w:t>a</w:t>
            </w:r>
            <w:r w:rsidRPr="00F83337">
              <w:rPr>
                <w:rFonts w:asciiTheme="minorBidi" w:hAnsiTheme="minorBidi"/>
                <w:b w:val="0"/>
                <w:bCs w:val="0"/>
                <w:kern w:val="2"/>
                <w:sz w:val="20"/>
                <w:szCs w:val="20"/>
                <w14:ligatures w14:val="standardContextual"/>
              </w:rPr>
              <w:t xml:space="preserve">nd Costs </w:t>
            </w:r>
            <w:r>
              <w:rPr>
                <w:rFonts w:asciiTheme="minorBidi" w:hAnsiTheme="minorBidi"/>
                <w:b w:val="0"/>
                <w:bCs w:val="0"/>
                <w:kern w:val="2"/>
                <w:sz w:val="20"/>
                <w:szCs w:val="20"/>
                <w14:ligatures w14:val="standardContextual"/>
              </w:rPr>
              <w:t>f</w:t>
            </w:r>
            <w:r w:rsidRPr="00F83337">
              <w:rPr>
                <w:rFonts w:asciiTheme="minorBidi" w:hAnsiTheme="minorBidi"/>
                <w:b w:val="0"/>
                <w:bCs w:val="0"/>
                <w:kern w:val="2"/>
                <w:sz w:val="20"/>
                <w:szCs w:val="20"/>
                <w14:ligatures w14:val="standardContextual"/>
              </w:rPr>
              <w:t>or Information Collected</w:t>
            </w:r>
          </w:p>
        </w:tc>
      </w:tr>
      <w:tr w14:paraId="0E160D3B" w14:textId="77777777" w:rsidTr="00DA45E5">
        <w:tblPrEx>
          <w:tblW w:w="5000" w:type="pct"/>
          <w:tblLayout w:type="fixed"/>
          <w:tblCellMar>
            <w:top w:w="43" w:type="dxa"/>
            <w:left w:w="72" w:type="dxa"/>
            <w:bottom w:w="43" w:type="dxa"/>
            <w:right w:w="72" w:type="dxa"/>
          </w:tblCellMar>
          <w:tblLook w:val="04A0"/>
        </w:tblPrEx>
        <w:trPr>
          <w:cantSplit/>
        </w:trPr>
        <w:tc>
          <w:tcPr>
            <w:tcW w:w="1319" w:type="dxa"/>
            <w:tcBorders>
              <w:top w:val="single" w:sz="4" w:space="0" w:color="auto"/>
            </w:tcBorders>
            <w:shd w:val="clear" w:color="auto" w:fill="auto"/>
            <w:vAlign w:val="bottom"/>
            <w:hideMark/>
          </w:tcPr>
          <w:p w:rsidR="005125D6" w:rsidRPr="00972B5D" w:rsidP="005125D6" w14:paraId="4F48B992" w14:textId="77777777">
            <w:pPr>
              <w:spacing w:line="240" w:lineRule="auto"/>
              <w:rPr>
                <w:rFonts w:asciiTheme="minorBidi" w:hAnsiTheme="minorBidi"/>
                <w:kern w:val="2"/>
                <w:sz w:val="20"/>
                <w:szCs w:val="20"/>
                <w14:ligatures w14:val="standardContextual"/>
              </w:rPr>
            </w:pPr>
            <w:r w:rsidRPr="00972B5D">
              <w:rPr>
                <w:rFonts w:asciiTheme="minorBidi" w:hAnsiTheme="minorBidi"/>
                <w:kern w:val="2"/>
                <w:sz w:val="20"/>
                <w:szCs w:val="20"/>
                <w14:ligatures w14:val="standardContextual"/>
              </w:rPr>
              <w:t>Program</w:t>
            </w:r>
          </w:p>
        </w:tc>
        <w:tc>
          <w:tcPr>
            <w:tcW w:w="800" w:type="dxa"/>
            <w:tcBorders>
              <w:top w:val="single" w:sz="4" w:space="0" w:color="auto"/>
            </w:tcBorders>
            <w:shd w:val="clear" w:color="auto" w:fill="auto"/>
            <w:noWrap/>
            <w:vAlign w:val="bottom"/>
            <w:hideMark/>
          </w:tcPr>
          <w:p w:rsidR="005125D6" w:rsidRPr="00972B5D" w:rsidP="005125D6" w14:paraId="3403FE7D" w14:textId="77777777">
            <w:pPr>
              <w:spacing w:line="240" w:lineRule="auto"/>
              <w:rPr>
                <w:rFonts w:asciiTheme="minorBidi" w:hAnsiTheme="minorBidi"/>
                <w:b/>
                <w:kern w:val="2"/>
                <w:sz w:val="20"/>
                <w:szCs w:val="20"/>
                <w14:ligatures w14:val="standardContextual"/>
              </w:rPr>
            </w:pPr>
            <w:r w:rsidRPr="00972B5D">
              <w:rPr>
                <w:rFonts w:asciiTheme="minorBidi" w:hAnsiTheme="minorBidi"/>
                <w:b/>
                <w:kern w:val="2"/>
                <w:sz w:val="20"/>
                <w:szCs w:val="20"/>
                <w14:ligatures w14:val="standardContextual"/>
              </w:rPr>
              <w:t>Respondents</w:t>
            </w:r>
          </w:p>
        </w:tc>
        <w:tc>
          <w:tcPr>
            <w:tcW w:w="3512" w:type="dxa"/>
            <w:tcBorders>
              <w:top w:val="single" w:sz="4" w:space="0" w:color="auto"/>
            </w:tcBorders>
            <w:shd w:val="clear" w:color="auto" w:fill="auto"/>
            <w:vAlign w:val="bottom"/>
            <w:hideMark/>
          </w:tcPr>
          <w:p w:rsidR="005125D6" w:rsidRPr="00972B5D" w:rsidP="005125D6" w14:paraId="1846E332" w14:textId="6834811C">
            <w:pPr>
              <w:spacing w:line="240" w:lineRule="auto"/>
              <w:rPr>
                <w:rFonts w:asciiTheme="minorBidi" w:hAnsiTheme="minorBidi"/>
                <w:b/>
                <w:kern w:val="2"/>
                <w:sz w:val="20"/>
                <w:szCs w:val="20"/>
                <w14:ligatures w14:val="standardContextual"/>
              </w:rPr>
            </w:pPr>
            <w:r w:rsidRPr="00972B5D">
              <w:rPr>
                <w:rFonts w:asciiTheme="minorBidi" w:hAnsiTheme="minorBidi"/>
                <w:b/>
                <w:kern w:val="2"/>
                <w:sz w:val="20"/>
                <w:szCs w:val="20"/>
                <w14:ligatures w14:val="standardContextual"/>
              </w:rPr>
              <w:t xml:space="preserve">No. of Hours per </w:t>
            </w:r>
            <w:r w:rsidR="00972B5D">
              <w:rPr>
                <w:rFonts w:asciiTheme="minorBidi" w:hAnsiTheme="minorBidi"/>
                <w:b/>
                <w:bCs/>
                <w:kern w:val="2"/>
                <w:sz w:val="20"/>
                <w:szCs w:val="20"/>
                <w14:ligatures w14:val="standardContextual"/>
              </w:rPr>
              <w:t>R</w:t>
            </w:r>
            <w:r w:rsidRPr="00972B5D">
              <w:rPr>
                <w:rFonts w:asciiTheme="minorBidi" w:hAnsiTheme="minorBidi"/>
                <w:b/>
                <w:bCs/>
                <w:kern w:val="2"/>
                <w:sz w:val="20"/>
                <w:szCs w:val="20"/>
                <w14:ligatures w14:val="standardContextual"/>
              </w:rPr>
              <w:t>esponse</w:t>
            </w:r>
          </w:p>
        </w:tc>
        <w:tc>
          <w:tcPr>
            <w:tcW w:w="800" w:type="dxa"/>
            <w:tcBorders>
              <w:top w:val="single" w:sz="4" w:space="0" w:color="auto"/>
            </w:tcBorders>
            <w:shd w:val="clear" w:color="auto" w:fill="auto"/>
            <w:vAlign w:val="bottom"/>
            <w:hideMark/>
          </w:tcPr>
          <w:p w:rsidR="005125D6" w:rsidRPr="00972B5D" w:rsidP="005125D6" w14:paraId="7286AA36" w14:textId="77777777">
            <w:pPr>
              <w:spacing w:line="240" w:lineRule="auto"/>
              <w:rPr>
                <w:rFonts w:asciiTheme="minorBidi" w:hAnsiTheme="minorBidi"/>
                <w:b/>
                <w:kern w:val="2"/>
                <w:sz w:val="20"/>
                <w:szCs w:val="20"/>
                <w14:ligatures w14:val="standardContextual"/>
              </w:rPr>
            </w:pPr>
            <w:r w:rsidRPr="00972B5D">
              <w:rPr>
                <w:rFonts w:asciiTheme="minorBidi" w:hAnsiTheme="minorBidi"/>
                <w:b/>
                <w:kern w:val="2"/>
                <w:sz w:val="20"/>
                <w:szCs w:val="20"/>
                <w14:ligatures w14:val="standardContextual"/>
              </w:rPr>
              <w:t>Frequency One-time annually</w:t>
            </w:r>
          </w:p>
        </w:tc>
        <w:tc>
          <w:tcPr>
            <w:tcW w:w="800" w:type="dxa"/>
            <w:tcBorders>
              <w:top w:val="single" w:sz="4" w:space="0" w:color="auto"/>
            </w:tcBorders>
            <w:shd w:val="clear" w:color="auto" w:fill="auto"/>
            <w:vAlign w:val="bottom"/>
            <w:hideMark/>
          </w:tcPr>
          <w:p w:rsidR="005125D6" w:rsidRPr="00972B5D" w:rsidP="005125D6" w14:paraId="333CCA89" w14:textId="77777777">
            <w:pPr>
              <w:spacing w:line="240" w:lineRule="auto"/>
              <w:rPr>
                <w:rFonts w:asciiTheme="minorBidi" w:hAnsiTheme="minorBidi"/>
                <w:b/>
                <w:kern w:val="2"/>
                <w:sz w:val="20"/>
                <w:szCs w:val="20"/>
                <w14:ligatures w14:val="standardContextual"/>
              </w:rPr>
            </w:pPr>
            <w:r w:rsidRPr="00972B5D">
              <w:rPr>
                <w:rFonts w:asciiTheme="minorBidi" w:hAnsiTheme="minorBidi"/>
                <w:b/>
                <w:kern w:val="2"/>
                <w:sz w:val="20"/>
                <w:szCs w:val="20"/>
                <w14:ligatures w14:val="standardContextual"/>
              </w:rPr>
              <w:t>Total Annual Burden Hours</w:t>
            </w:r>
          </w:p>
        </w:tc>
        <w:tc>
          <w:tcPr>
            <w:tcW w:w="1044" w:type="dxa"/>
            <w:tcBorders>
              <w:top w:val="single" w:sz="4" w:space="0" w:color="auto"/>
            </w:tcBorders>
            <w:shd w:val="clear" w:color="auto" w:fill="auto"/>
            <w:vAlign w:val="bottom"/>
            <w:hideMark/>
          </w:tcPr>
          <w:p w:rsidR="005125D6" w:rsidRPr="00972B5D" w:rsidP="005125D6" w14:paraId="3E32B96B" w14:textId="77777777">
            <w:pPr>
              <w:spacing w:line="240" w:lineRule="auto"/>
              <w:rPr>
                <w:rFonts w:asciiTheme="minorBidi" w:hAnsiTheme="minorBidi"/>
                <w:b/>
                <w:kern w:val="2"/>
                <w:sz w:val="20"/>
                <w:szCs w:val="20"/>
                <w14:ligatures w14:val="standardContextual"/>
              </w:rPr>
            </w:pPr>
            <w:r w:rsidRPr="00972B5D">
              <w:rPr>
                <w:rFonts w:asciiTheme="minorBidi" w:hAnsiTheme="minorBidi"/>
                <w:b/>
                <w:kern w:val="2"/>
                <w:sz w:val="20"/>
                <w:szCs w:val="20"/>
                <w14:ligatures w14:val="standardContextual"/>
              </w:rPr>
              <w:t>Total Cost</w:t>
            </w:r>
          </w:p>
        </w:tc>
        <w:tc>
          <w:tcPr>
            <w:tcW w:w="1075" w:type="dxa"/>
            <w:tcBorders>
              <w:top w:val="single" w:sz="4" w:space="0" w:color="auto"/>
            </w:tcBorders>
            <w:shd w:val="clear" w:color="auto" w:fill="auto"/>
            <w:vAlign w:val="bottom"/>
            <w:hideMark/>
          </w:tcPr>
          <w:p w:rsidR="005125D6" w:rsidRPr="00972B5D" w:rsidP="005125D6" w14:paraId="3B001AEF" w14:textId="77777777">
            <w:pPr>
              <w:spacing w:line="240" w:lineRule="auto"/>
              <w:rPr>
                <w:rFonts w:asciiTheme="minorBidi" w:hAnsiTheme="minorBidi"/>
                <w:b/>
                <w:kern w:val="2"/>
                <w:sz w:val="20"/>
                <w:szCs w:val="20"/>
                <w14:ligatures w14:val="standardContextual"/>
              </w:rPr>
            </w:pPr>
            <w:r w:rsidRPr="00972B5D">
              <w:rPr>
                <w:rFonts w:asciiTheme="minorBidi" w:hAnsiTheme="minorBidi"/>
                <w:b/>
                <w:kern w:val="2"/>
                <w:sz w:val="20"/>
                <w:szCs w:val="20"/>
                <w14:ligatures w14:val="standardContextual"/>
              </w:rPr>
              <w:t>Wage Rate*</w:t>
            </w:r>
          </w:p>
        </w:tc>
      </w:tr>
      <w:tr w14:paraId="2CE193E5" w14:textId="77777777" w:rsidTr="00DA45E5">
        <w:tblPrEx>
          <w:tblW w:w="5000" w:type="pct"/>
          <w:tblLayout w:type="fixed"/>
          <w:tblCellMar>
            <w:top w:w="43" w:type="dxa"/>
            <w:left w:w="72" w:type="dxa"/>
            <w:bottom w:w="43" w:type="dxa"/>
            <w:right w:w="72" w:type="dxa"/>
          </w:tblCellMar>
          <w:tblLook w:val="04A0"/>
        </w:tblPrEx>
        <w:trPr>
          <w:cantSplit/>
        </w:trPr>
        <w:tc>
          <w:tcPr>
            <w:tcW w:w="1319" w:type="dxa"/>
            <w:shd w:val="clear" w:color="auto" w:fill="F2F2F2" w:themeFill="background1" w:themeFillShade="F2"/>
            <w:noWrap/>
            <w:hideMark/>
          </w:tcPr>
          <w:p w:rsidR="005125D6" w:rsidRPr="00F83337" w:rsidP="005125D6" w14:paraId="7F065211" w14:textId="67483A64">
            <w:pPr>
              <w:spacing w:line="240" w:lineRule="auto"/>
              <w:rPr>
                <w:rFonts w:asciiTheme="minorBidi" w:hAnsiTheme="minorBidi"/>
                <w:b w:val="0"/>
                <w:kern w:val="2"/>
                <w:sz w:val="20"/>
                <w:szCs w:val="20"/>
                <w14:ligatures w14:val="standardContextual"/>
              </w:rPr>
            </w:pPr>
            <w:r>
              <w:rPr>
                <w:rFonts w:asciiTheme="minorBidi" w:hAnsiTheme="minorBidi"/>
                <w:b w:val="0"/>
                <w:bCs w:val="0"/>
                <w:kern w:val="2"/>
                <w:sz w:val="20"/>
                <w:szCs w:val="20"/>
                <w14:ligatures w14:val="standardContextual"/>
              </w:rPr>
              <w:t>IFAC Applications</w:t>
            </w:r>
          </w:p>
        </w:tc>
        <w:tc>
          <w:tcPr>
            <w:tcW w:w="800" w:type="dxa"/>
            <w:shd w:val="clear" w:color="auto" w:fill="F2F2F2" w:themeFill="background1" w:themeFillShade="F2"/>
            <w:noWrap/>
            <w:hideMark/>
          </w:tcPr>
          <w:p w:rsidR="005125D6" w:rsidRPr="00F83337" w:rsidP="004B200D" w14:paraId="30875AE0" w14:textId="77777777">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100</w:t>
            </w:r>
          </w:p>
        </w:tc>
        <w:tc>
          <w:tcPr>
            <w:tcW w:w="3512" w:type="dxa"/>
            <w:shd w:val="clear" w:color="auto" w:fill="F2F2F2" w:themeFill="background1" w:themeFillShade="F2"/>
            <w:noWrap/>
            <w:hideMark/>
          </w:tcPr>
          <w:p w:rsidR="005125D6" w:rsidRPr="00F83337" w:rsidP="004B200D" w14:paraId="53B6113A" w14:textId="77777777">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sz w:val="20"/>
                <w:szCs w:val="20"/>
              </w:rPr>
              <w:t>30</w:t>
            </w:r>
          </w:p>
        </w:tc>
        <w:tc>
          <w:tcPr>
            <w:tcW w:w="800" w:type="dxa"/>
            <w:shd w:val="clear" w:color="auto" w:fill="F2F2F2" w:themeFill="background1" w:themeFillShade="F2"/>
            <w:noWrap/>
            <w:hideMark/>
          </w:tcPr>
          <w:p w:rsidR="005125D6" w:rsidRPr="00F83337" w:rsidP="004B200D" w14:paraId="0ABFAD59" w14:textId="77777777">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1</w:t>
            </w:r>
          </w:p>
        </w:tc>
        <w:tc>
          <w:tcPr>
            <w:tcW w:w="800" w:type="dxa"/>
            <w:shd w:val="clear" w:color="auto" w:fill="F2F2F2" w:themeFill="background1" w:themeFillShade="F2"/>
            <w:noWrap/>
            <w:hideMark/>
          </w:tcPr>
          <w:p w:rsidR="005125D6" w:rsidRPr="00F83337" w:rsidP="004B200D" w14:paraId="7669E98C" w14:textId="78BFAA16">
            <w:pPr>
              <w:tabs>
                <w:tab w:val="decimal" w:pos="830"/>
              </w:tabs>
              <w:spacing w:line="240" w:lineRule="auto"/>
              <w:jc w:val="both"/>
              <w:rPr>
                <w:rFonts w:asciiTheme="minorBidi" w:hAnsiTheme="minorBidi"/>
                <w:kern w:val="2"/>
                <w:sz w:val="20"/>
                <w:szCs w:val="20"/>
                <w14:ligatures w14:val="standardContextual"/>
              </w:rPr>
            </w:pPr>
            <w:r w:rsidRPr="00F83337">
              <w:rPr>
                <w:rFonts w:asciiTheme="minorBidi" w:hAnsiTheme="minorBidi"/>
                <w:sz w:val="20"/>
                <w:szCs w:val="20"/>
              </w:rPr>
              <w:t>3,000</w:t>
            </w:r>
          </w:p>
        </w:tc>
        <w:tc>
          <w:tcPr>
            <w:tcW w:w="1044" w:type="dxa"/>
            <w:shd w:val="clear" w:color="auto" w:fill="F2F2F2" w:themeFill="background1" w:themeFillShade="F2"/>
            <w:noWrap/>
            <w:hideMark/>
          </w:tcPr>
          <w:p w:rsidR="005125D6" w:rsidRPr="00F83337" w:rsidP="00972B5D" w14:paraId="5831A53B" w14:textId="77777777">
            <w:pPr>
              <w:tabs>
                <w:tab w:val="decimal" w:pos="1008"/>
              </w:tabs>
              <w:spacing w:line="240" w:lineRule="auto"/>
              <w:jc w:val="both"/>
              <w:rPr>
                <w:rFonts w:asciiTheme="minorBidi" w:hAnsiTheme="minorBidi"/>
                <w:kern w:val="2"/>
                <w:sz w:val="20"/>
                <w:szCs w:val="20"/>
                <w14:ligatures w14:val="standardContextual"/>
              </w:rPr>
            </w:pPr>
            <w:r w:rsidRPr="00F83337">
              <w:rPr>
                <w:rFonts w:asciiTheme="minorBidi" w:hAnsiTheme="minorBidi"/>
                <w:sz w:val="20"/>
                <w:szCs w:val="20"/>
              </w:rPr>
              <w:t>$384,000</w:t>
            </w:r>
          </w:p>
        </w:tc>
        <w:tc>
          <w:tcPr>
            <w:tcW w:w="1075" w:type="dxa"/>
            <w:shd w:val="clear" w:color="auto" w:fill="F2F2F2" w:themeFill="background1" w:themeFillShade="F2"/>
            <w:noWrap/>
            <w:hideMark/>
          </w:tcPr>
          <w:p w:rsidR="005125D6" w:rsidRPr="00F83337" w:rsidP="00972B5D" w14:paraId="039CAE91" w14:textId="77777777">
            <w:pPr>
              <w:tabs>
                <w:tab w:val="decimal" w:pos="560"/>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$128</w:t>
            </w:r>
          </w:p>
        </w:tc>
      </w:tr>
      <w:tr w14:paraId="34E4F631" w14:textId="77777777" w:rsidTr="00DA45E5">
        <w:tblPrEx>
          <w:tblW w:w="5000" w:type="pct"/>
          <w:tblLayout w:type="fixed"/>
          <w:tblCellMar>
            <w:top w:w="43" w:type="dxa"/>
            <w:left w:w="72" w:type="dxa"/>
            <w:bottom w:w="43" w:type="dxa"/>
            <w:right w:w="72" w:type="dxa"/>
          </w:tblCellMar>
          <w:tblLook w:val="04A0"/>
        </w:tblPrEx>
        <w:trPr>
          <w:cantSplit/>
        </w:trPr>
        <w:tc>
          <w:tcPr>
            <w:tcW w:w="1319" w:type="dxa"/>
            <w:shd w:val="clear" w:color="auto" w:fill="F2F2F2" w:themeFill="background1" w:themeFillShade="F2"/>
            <w:noWrap/>
            <w:hideMark/>
          </w:tcPr>
          <w:p w:rsidR="005125D6" w:rsidRPr="00F83337" w:rsidP="005125D6" w14:paraId="64F379E7" w14:textId="248D5DEB">
            <w:pPr>
              <w:spacing w:line="240" w:lineRule="auto"/>
              <w:rPr>
                <w:rFonts w:asciiTheme="minorBidi" w:hAnsiTheme="minorBidi"/>
                <w:b w:val="0"/>
                <w:kern w:val="2"/>
                <w:sz w:val="20"/>
                <w:szCs w:val="20"/>
                <w14:ligatures w14:val="standardContextual"/>
              </w:rPr>
            </w:pPr>
            <w:r>
              <w:rPr>
                <w:rFonts w:asciiTheme="minorBidi" w:hAnsiTheme="minorBidi"/>
                <w:b w:val="0"/>
                <w:bCs w:val="0"/>
                <w:kern w:val="2"/>
                <w:sz w:val="20"/>
                <w:szCs w:val="20"/>
                <w14:ligatures w14:val="standardContextual"/>
              </w:rPr>
              <w:t xml:space="preserve">IFAC </w:t>
            </w:r>
            <w:r w:rsidRPr="00F83337">
              <w:rPr>
                <w:rFonts w:asciiTheme="minorBidi" w:hAnsiTheme="minorBidi"/>
                <w:b w:val="0"/>
                <w:bCs w:val="0"/>
                <w:kern w:val="2"/>
                <w:sz w:val="20"/>
                <w:szCs w:val="20"/>
                <w14:ligatures w14:val="standardContextual"/>
              </w:rPr>
              <w:t>Reports</w:t>
            </w:r>
          </w:p>
        </w:tc>
        <w:tc>
          <w:tcPr>
            <w:tcW w:w="800" w:type="dxa"/>
            <w:shd w:val="clear" w:color="auto" w:fill="F2F2F2" w:themeFill="background1" w:themeFillShade="F2"/>
            <w:noWrap/>
            <w:hideMark/>
          </w:tcPr>
          <w:p w:rsidR="005125D6" w:rsidRPr="00F83337" w:rsidP="004B200D" w14:paraId="6B987838" w14:textId="77777777">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50</w:t>
            </w:r>
          </w:p>
        </w:tc>
        <w:tc>
          <w:tcPr>
            <w:tcW w:w="3512" w:type="dxa"/>
            <w:shd w:val="clear" w:color="auto" w:fill="F2F2F2" w:themeFill="background1" w:themeFillShade="F2"/>
            <w:noWrap/>
            <w:hideMark/>
          </w:tcPr>
          <w:p w:rsidR="005125D6" w:rsidRPr="00F83337" w:rsidP="004B200D" w14:paraId="5348EC5C" w14:textId="77777777">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4</w:t>
            </w:r>
          </w:p>
        </w:tc>
        <w:tc>
          <w:tcPr>
            <w:tcW w:w="800" w:type="dxa"/>
            <w:shd w:val="clear" w:color="auto" w:fill="F2F2F2" w:themeFill="background1" w:themeFillShade="F2"/>
            <w:noWrap/>
            <w:hideMark/>
          </w:tcPr>
          <w:p w:rsidR="005125D6" w:rsidRPr="00F83337" w:rsidP="004B200D" w14:paraId="2FA0748B" w14:textId="77777777">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1</w:t>
            </w:r>
          </w:p>
        </w:tc>
        <w:tc>
          <w:tcPr>
            <w:tcW w:w="800" w:type="dxa"/>
            <w:shd w:val="clear" w:color="auto" w:fill="F2F2F2" w:themeFill="background1" w:themeFillShade="F2"/>
            <w:noWrap/>
            <w:hideMark/>
          </w:tcPr>
          <w:p w:rsidR="005125D6" w:rsidRPr="00F83337" w:rsidP="004B200D" w14:paraId="39A3BA49" w14:textId="00EA3E78">
            <w:pPr>
              <w:tabs>
                <w:tab w:val="decimal" w:pos="830"/>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200</w:t>
            </w:r>
          </w:p>
        </w:tc>
        <w:tc>
          <w:tcPr>
            <w:tcW w:w="1044" w:type="dxa"/>
            <w:shd w:val="clear" w:color="auto" w:fill="F2F2F2" w:themeFill="background1" w:themeFillShade="F2"/>
            <w:noWrap/>
            <w:hideMark/>
          </w:tcPr>
          <w:p w:rsidR="005125D6" w:rsidRPr="00F83337" w:rsidP="00972B5D" w14:paraId="592E486D" w14:textId="77777777">
            <w:pPr>
              <w:tabs>
                <w:tab w:val="decimal" w:pos="1008"/>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$25,600</w:t>
            </w:r>
          </w:p>
        </w:tc>
        <w:tc>
          <w:tcPr>
            <w:tcW w:w="1075" w:type="dxa"/>
            <w:shd w:val="clear" w:color="auto" w:fill="F2F2F2" w:themeFill="background1" w:themeFillShade="F2"/>
            <w:noWrap/>
            <w:hideMark/>
          </w:tcPr>
          <w:p w:rsidR="005125D6" w:rsidRPr="00F83337" w:rsidP="00972B5D" w14:paraId="5F9D697E" w14:textId="77777777">
            <w:pPr>
              <w:tabs>
                <w:tab w:val="decimal" w:pos="560"/>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$128</w:t>
            </w:r>
          </w:p>
        </w:tc>
      </w:tr>
      <w:tr w14:paraId="2E24D8B8" w14:textId="77777777" w:rsidTr="00DA45E5">
        <w:tblPrEx>
          <w:tblW w:w="5000" w:type="pct"/>
          <w:tblLayout w:type="fixed"/>
          <w:tblCellMar>
            <w:top w:w="43" w:type="dxa"/>
            <w:left w:w="72" w:type="dxa"/>
            <w:bottom w:w="43" w:type="dxa"/>
            <w:right w:w="72" w:type="dxa"/>
          </w:tblCellMar>
          <w:tblLook w:val="04A0"/>
        </w:tblPrEx>
        <w:trPr>
          <w:cantSplit/>
        </w:trPr>
        <w:tc>
          <w:tcPr>
            <w:tcW w:w="1319" w:type="dxa"/>
            <w:noWrap/>
            <w:hideMark/>
          </w:tcPr>
          <w:p w:rsidR="005125D6" w:rsidRPr="00F83337" w:rsidP="005125D6" w14:paraId="4EC59376" w14:textId="349CFCCD">
            <w:pPr>
              <w:spacing w:line="240" w:lineRule="auto"/>
              <w:rPr>
                <w:rFonts w:asciiTheme="minorBidi" w:hAnsiTheme="minorBidi"/>
                <w:b w:val="0"/>
                <w:kern w:val="2"/>
                <w:sz w:val="20"/>
                <w:szCs w:val="20"/>
                <w14:ligatures w14:val="standardContextual"/>
              </w:rPr>
            </w:pPr>
            <w:r>
              <w:rPr>
                <w:rFonts w:asciiTheme="minorBidi" w:hAnsiTheme="minorBidi"/>
                <w:b w:val="0"/>
                <w:bCs w:val="0"/>
                <w:kern w:val="2"/>
                <w:sz w:val="20"/>
                <w:szCs w:val="20"/>
                <w14:ligatures w14:val="standardContextual"/>
              </w:rPr>
              <w:t>RTA Applications</w:t>
            </w:r>
          </w:p>
        </w:tc>
        <w:tc>
          <w:tcPr>
            <w:tcW w:w="800" w:type="dxa"/>
            <w:noWrap/>
            <w:hideMark/>
          </w:tcPr>
          <w:p w:rsidR="005125D6" w:rsidRPr="00F83337" w:rsidP="004B200D" w14:paraId="0CB6F1A8" w14:textId="77777777">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700</w:t>
            </w:r>
          </w:p>
        </w:tc>
        <w:tc>
          <w:tcPr>
            <w:tcW w:w="3512" w:type="dxa"/>
            <w:noWrap/>
            <w:hideMark/>
          </w:tcPr>
          <w:p w:rsidR="005125D6" w:rsidRPr="00F83337" w:rsidP="004B200D" w14:paraId="61618110" w14:textId="77777777">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sz w:val="20"/>
                <w:szCs w:val="20"/>
              </w:rPr>
              <w:t>19</w:t>
            </w:r>
          </w:p>
        </w:tc>
        <w:tc>
          <w:tcPr>
            <w:tcW w:w="800" w:type="dxa"/>
            <w:noWrap/>
            <w:hideMark/>
          </w:tcPr>
          <w:p w:rsidR="005125D6" w:rsidRPr="00F83337" w:rsidP="004B200D" w14:paraId="74A12424" w14:textId="77777777">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1</w:t>
            </w:r>
          </w:p>
        </w:tc>
        <w:tc>
          <w:tcPr>
            <w:tcW w:w="800" w:type="dxa"/>
            <w:noWrap/>
            <w:hideMark/>
          </w:tcPr>
          <w:p w:rsidR="005125D6" w:rsidRPr="00F83337" w:rsidP="004B200D" w14:paraId="64F47768" w14:textId="6C1C4E01">
            <w:pPr>
              <w:tabs>
                <w:tab w:val="decimal" w:pos="830"/>
              </w:tabs>
              <w:spacing w:line="240" w:lineRule="auto"/>
              <w:jc w:val="both"/>
              <w:rPr>
                <w:rFonts w:asciiTheme="minorBidi" w:hAnsiTheme="minorBidi"/>
                <w:kern w:val="2"/>
                <w:sz w:val="20"/>
                <w:szCs w:val="20"/>
                <w14:ligatures w14:val="standardContextual"/>
              </w:rPr>
            </w:pPr>
            <w:r w:rsidRPr="00F83337">
              <w:rPr>
                <w:rFonts w:asciiTheme="minorBidi" w:hAnsiTheme="minorBidi"/>
                <w:sz w:val="20"/>
                <w:szCs w:val="20"/>
              </w:rPr>
              <w:t>13,300</w:t>
            </w:r>
          </w:p>
        </w:tc>
        <w:tc>
          <w:tcPr>
            <w:tcW w:w="1044" w:type="dxa"/>
            <w:noWrap/>
            <w:hideMark/>
          </w:tcPr>
          <w:p w:rsidR="005125D6" w:rsidRPr="00F83337" w:rsidP="00972B5D" w14:paraId="1195B437" w14:textId="77777777">
            <w:pPr>
              <w:tabs>
                <w:tab w:val="decimal" w:pos="1008"/>
              </w:tabs>
              <w:spacing w:line="240" w:lineRule="auto"/>
              <w:jc w:val="both"/>
              <w:rPr>
                <w:rFonts w:asciiTheme="minorBidi" w:hAnsiTheme="minorBidi"/>
                <w:kern w:val="2"/>
                <w:sz w:val="20"/>
                <w:szCs w:val="20"/>
                <w14:ligatures w14:val="standardContextual"/>
              </w:rPr>
            </w:pPr>
            <w:r w:rsidRPr="00F83337">
              <w:rPr>
                <w:rFonts w:asciiTheme="minorBidi" w:hAnsiTheme="minorBidi"/>
                <w:sz w:val="20"/>
                <w:szCs w:val="20"/>
              </w:rPr>
              <w:t>$1,702,400</w:t>
            </w:r>
          </w:p>
        </w:tc>
        <w:tc>
          <w:tcPr>
            <w:tcW w:w="1075" w:type="dxa"/>
            <w:noWrap/>
            <w:hideMark/>
          </w:tcPr>
          <w:p w:rsidR="005125D6" w:rsidRPr="00F83337" w:rsidP="00972B5D" w14:paraId="372F56E1" w14:textId="77777777">
            <w:pPr>
              <w:tabs>
                <w:tab w:val="decimal" w:pos="560"/>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$128</w:t>
            </w:r>
          </w:p>
        </w:tc>
      </w:tr>
      <w:tr w14:paraId="7D82B5BB" w14:textId="77777777" w:rsidTr="00DA45E5">
        <w:tblPrEx>
          <w:tblW w:w="5000" w:type="pct"/>
          <w:tblLayout w:type="fixed"/>
          <w:tblCellMar>
            <w:top w:w="43" w:type="dxa"/>
            <w:left w:w="72" w:type="dxa"/>
            <w:bottom w:w="43" w:type="dxa"/>
            <w:right w:w="72" w:type="dxa"/>
          </w:tblCellMar>
          <w:tblLook w:val="04A0"/>
        </w:tblPrEx>
        <w:trPr>
          <w:cantSplit/>
        </w:trPr>
        <w:tc>
          <w:tcPr>
            <w:tcW w:w="1319" w:type="dxa"/>
            <w:shd w:val="clear" w:color="auto" w:fill="auto"/>
            <w:noWrap/>
            <w:hideMark/>
          </w:tcPr>
          <w:p w:rsidR="005125D6" w:rsidRPr="00F83337" w:rsidP="003F0DC3" w14:paraId="569AE2A9" w14:textId="11C0BEBC">
            <w:pPr>
              <w:spacing w:line="240" w:lineRule="auto"/>
              <w:rPr>
                <w:rFonts w:asciiTheme="minorBidi" w:hAnsiTheme="minorBidi"/>
                <w:b w:val="0"/>
                <w:bCs w:val="0"/>
                <w:kern w:val="2"/>
                <w:sz w:val="20"/>
                <w:szCs w:val="20"/>
                <w14:ligatures w14:val="standardContextual"/>
              </w:rPr>
            </w:pPr>
            <w:r>
              <w:rPr>
                <w:rFonts w:asciiTheme="minorBidi" w:hAnsiTheme="minorBidi"/>
                <w:b w:val="0"/>
                <w:bCs w:val="0"/>
                <w:kern w:val="2"/>
                <w:sz w:val="20"/>
                <w:szCs w:val="20"/>
                <w14:ligatures w14:val="standardContextual"/>
              </w:rPr>
              <w:t>RTA Reports</w:t>
            </w:r>
          </w:p>
        </w:tc>
        <w:tc>
          <w:tcPr>
            <w:tcW w:w="800" w:type="dxa"/>
            <w:tcBorders>
              <w:bottom w:val="single" w:sz="4" w:space="0" w:color="666666" w:themeColor="text1" w:themeTint="99"/>
            </w:tcBorders>
            <w:shd w:val="clear" w:color="auto" w:fill="auto"/>
            <w:noWrap/>
            <w:hideMark/>
          </w:tcPr>
          <w:p w:rsidR="005125D6" w:rsidRPr="00F83337" w:rsidP="004B200D" w14:paraId="0EF642BE" w14:textId="093EE215">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50</w:t>
            </w:r>
          </w:p>
        </w:tc>
        <w:tc>
          <w:tcPr>
            <w:tcW w:w="3512" w:type="dxa"/>
            <w:tcBorders>
              <w:bottom w:val="single" w:sz="4" w:space="0" w:color="666666" w:themeColor="text1" w:themeTint="99"/>
            </w:tcBorders>
            <w:shd w:val="clear" w:color="auto" w:fill="auto"/>
            <w:noWrap/>
            <w:hideMark/>
          </w:tcPr>
          <w:p w:rsidR="005125D6" w:rsidRPr="00F83337" w:rsidP="004B200D" w14:paraId="186B223B" w14:textId="0CF6C70F">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4</w:t>
            </w:r>
          </w:p>
        </w:tc>
        <w:tc>
          <w:tcPr>
            <w:tcW w:w="800" w:type="dxa"/>
            <w:tcBorders>
              <w:bottom w:val="single" w:sz="4" w:space="0" w:color="666666" w:themeColor="text1" w:themeTint="99"/>
            </w:tcBorders>
            <w:shd w:val="clear" w:color="auto" w:fill="auto"/>
            <w:noWrap/>
            <w:hideMark/>
          </w:tcPr>
          <w:p w:rsidR="005125D6" w:rsidRPr="00F83337" w:rsidP="004B200D" w14:paraId="610CF58B" w14:textId="1B3C9928">
            <w:pPr>
              <w:tabs>
                <w:tab w:val="decimal" w:pos="827"/>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1</w:t>
            </w:r>
          </w:p>
        </w:tc>
        <w:tc>
          <w:tcPr>
            <w:tcW w:w="800" w:type="dxa"/>
            <w:shd w:val="clear" w:color="auto" w:fill="auto"/>
            <w:noWrap/>
          </w:tcPr>
          <w:p w:rsidR="005125D6" w:rsidRPr="00F83337" w:rsidP="004B200D" w14:paraId="4934B39B" w14:textId="72EDC1F8">
            <w:pPr>
              <w:tabs>
                <w:tab w:val="decimal" w:pos="830"/>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200</w:t>
            </w:r>
          </w:p>
        </w:tc>
        <w:tc>
          <w:tcPr>
            <w:tcW w:w="1044" w:type="dxa"/>
            <w:shd w:val="clear" w:color="auto" w:fill="auto"/>
            <w:noWrap/>
          </w:tcPr>
          <w:p w:rsidR="005125D6" w:rsidRPr="00F83337" w:rsidP="00972B5D" w14:paraId="05DB208C" w14:textId="3D5A5EEA">
            <w:pPr>
              <w:tabs>
                <w:tab w:val="decimal" w:pos="1008"/>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w:t>
            </w:r>
            <w:r w:rsidRPr="00F83337" w:rsidR="00B236BC">
              <w:rPr>
                <w:rFonts w:asciiTheme="minorBidi" w:hAnsiTheme="minorBidi"/>
                <w:kern w:val="2"/>
                <w:sz w:val="20"/>
                <w:szCs w:val="20"/>
                <w14:ligatures w14:val="standardContextual"/>
              </w:rPr>
              <w:t>25,600</w:t>
            </w:r>
          </w:p>
        </w:tc>
        <w:tc>
          <w:tcPr>
            <w:tcW w:w="1075" w:type="dxa"/>
            <w:shd w:val="clear" w:color="auto" w:fill="auto"/>
            <w:noWrap/>
            <w:hideMark/>
          </w:tcPr>
          <w:p w:rsidR="005125D6" w:rsidRPr="00F83337" w:rsidP="00972B5D" w14:paraId="427C492A" w14:textId="0AEA741B">
            <w:pPr>
              <w:tabs>
                <w:tab w:val="decimal" w:pos="560"/>
              </w:tabs>
              <w:spacing w:line="240" w:lineRule="auto"/>
              <w:jc w:val="both"/>
              <w:rPr>
                <w:rFonts w:asciiTheme="minorBidi" w:hAnsiTheme="minorBidi"/>
                <w:kern w:val="2"/>
                <w:sz w:val="20"/>
                <w:szCs w:val="20"/>
                <w14:ligatures w14:val="standardContextual"/>
              </w:rPr>
            </w:pPr>
            <w:r w:rsidRPr="00F83337">
              <w:rPr>
                <w:rFonts w:asciiTheme="minorBidi" w:hAnsiTheme="minorBidi"/>
                <w:kern w:val="2"/>
                <w:sz w:val="20"/>
                <w:szCs w:val="20"/>
                <w14:ligatures w14:val="standardContextual"/>
              </w:rPr>
              <w:t>$128</w:t>
            </w:r>
          </w:p>
        </w:tc>
      </w:tr>
      <w:tr w14:paraId="1A89369B" w14:textId="77777777" w:rsidTr="00DA45E5">
        <w:tblPrEx>
          <w:tblW w:w="5000" w:type="pct"/>
          <w:tblLayout w:type="fixed"/>
          <w:tblCellMar>
            <w:top w:w="43" w:type="dxa"/>
            <w:left w:w="72" w:type="dxa"/>
            <w:bottom w:w="43" w:type="dxa"/>
            <w:right w:w="72" w:type="dxa"/>
          </w:tblCellMar>
          <w:tblLook w:val="04A0"/>
        </w:tblPrEx>
        <w:trPr>
          <w:cantSplit/>
        </w:trPr>
        <w:tc>
          <w:tcPr>
            <w:tcW w:w="1319" w:type="dxa"/>
            <w:tcBorders>
              <w:bottom w:val="single" w:sz="4" w:space="0" w:color="666666" w:themeColor="text1" w:themeTint="99"/>
            </w:tcBorders>
            <w:shd w:val="clear" w:color="auto" w:fill="F2F2F2" w:themeFill="background1" w:themeFillShade="F2"/>
            <w:noWrap/>
            <w:hideMark/>
          </w:tcPr>
          <w:p w:rsidR="005125D6" w:rsidRPr="00972B5D" w:rsidP="005125D6" w14:paraId="367301F1" w14:textId="774668F9">
            <w:pPr>
              <w:spacing w:line="240" w:lineRule="auto"/>
              <w:rPr>
                <w:rFonts w:asciiTheme="minorBidi" w:hAnsiTheme="minorBidi"/>
                <w:kern w:val="2"/>
                <w:sz w:val="20"/>
                <w:szCs w:val="20"/>
                <w14:ligatures w14:val="standardContextual"/>
              </w:rPr>
            </w:pPr>
            <w:r>
              <w:rPr>
                <w:rFonts w:asciiTheme="minorBidi" w:hAnsiTheme="minorBidi"/>
                <w:kern w:val="2"/>
                <w:sz w:val="20"/>
                <w:szCs w:val="20"/>
                <w14:ligatures w14:val="standardContextual"/>
              </w:rPr>
              <w:t>Total</w:t>
            </w:r>
          </w:p>
        </w:tc>
        <w:tc>
          <w:tcPr>
            <w:tcW w:w="800" w:type="dxa"/>
            <w:tcBorders>
              <w:bottom w:val="single" w:sz="4" w:space="0" w:color="666666" w:themeColor="text1" w:themeTint="99"/>
              <w:right w:val="nil"/>
            </w:tcBorders>
            <w:shd w:val="clear" w:color="auto" w:fill="F2F2F2" w:themeFill="background1" w:themeFillShade="F2"/>
            <w:noWrap/>
            <w:hideMark/>
          </w:tcPr>
          <w:p w:rsidR="005125D6" w:rsidRPr="00972B5D" w:rsidP="00972B5D" w14:paraId="751E5549" w14:textId="77777777">
            <w:pPr>
              <w:tabs>
                <w:tab w:val="decimal" w:pos="1008"/>
              </w:tabs>
              <w:spacing w:line="240" w:lineRule="auto"/>
              <w:jc w:val="both"/>
              <w:rPr>
                <w:rFonts w:asciiTheme="minorBidi" w:hAnsiTheme="minorBidi"/>
                <w:b/>
                <w:kern w:val="2"/>
                <w:sz w:val="20"/>
                <w:szCs w:val="20"/>
                <w14:ligatures w14:val="standardContextual"/>
              </w:rPr>
            </w:pPr>
          </w:p>
        </w:tc>
        <w:tc>
          <w:tcPr>
            <w:tcW w:w="3512" w:type="dxa"/>
            <w:tcBorders>
              <w:left w:val="nil"/>
              <w:bottom w:val="single" w:sz="4" w:space="0" w:color="666666" w:themeColor="text1" w:themeTint="99"/>
              <w:right w:val="nil"/>
            </w:tcBorders>
            <w:shd w:val="clear" w:color="auto" w:fill="F2F2F2" w:themeFill="background1" w:themeFillShade="F2"/>
            <w:noWrap/>
            <w:hideMark/>
          </w:tcPr>
          <w:p w:rsidR="005125D6" w:rsidRPr="00972B5D" w:rsidP="00972B5D" w14:paraId="27BAD073" w14:textId="77777777">
            <w:pPr>
              <w:tabs>
                <w:tab w:val="decimal" w:pos="1008"/>
              </w:tabs>
              <w:spacing w:line="240" w:lineRule="auto"/>
              <w:jc w:val="both"/>
              <w:rPr>
                <w:rFonts w:asciiTheme="minorBidi" w:hAnsiTheme="minorBidi"/>
                <w:b/>
                <w:kern w:val="2"/>
                <w:sz w:val="20"/>
                <w:szCs w:val="20"/>
                <w14:ligatures w14:val="standardContextual"/>
              </w:rPr>
            </w:pPr>
          </w:p>
        </w:tc>
        <w:tc>
          <w:tcPr>
            <w:tcW w:w="800" w:type="dxa"/>
            <w:tcBorders>
              <w:left w:val="nil"/>
              <w:bottom w:val="single" w:sz="4" w:space="0" w:color="666666" w:themeColor="text1" w:themeTint="99"/>
            </w:tcBorders>
            <w:shd w:val="clear" w:color="auto" w:fill="F2F2F2" w:themeFill="background1" w:themeFillShade="F2"/>
            <w:noWrap/>
            <w:hideMark/>
          </w:tcPr>
          <w:p w:rsidR="005125D6" w:rsidRPr="00972B5D" w:rsidP="00972B5D" w14:paraId="44DB9A3A" w14:textId="77777777">
            <w:pPr>
              <w:tabs>
                <w:tab w:val="decimal" w:pos="1008"/>
              </w:tabs>
              <w:spacing w:line="240" w:lineRule="auto"/>
              <w:jc w:val="both"/>
              <w:rPr>
                <w:rFonts w:asciiTheme="minorBidi" w:hAnsiTheme="minorBidi"/>
                <w:b/>
                <w:kern w:val="2"/>
                <w:sz w:val="20"/>
                <w:szCs w:val="20"/>
                <w14:ligatures w14:val="standardContextual"/>
              </w:rPr>
            </w:pPr>
          </w:p>
        </w:tc>
        <w:tc>
          <w:tcPr>
            <w:tcW w:w="800" w:type="dxa"/>
            <w:tcBorders>
              <w:bottom w:val="single" w:sz="4" w:space="0" w:color="666666" w:themeColor="text1" w:themeTint="99"/>
            </w:tcBorders>
            <w:shd w:val="clear" w:color="auto" w:fill="F2F2F2" w:themeFill="background1" w:themeFillShade="F2"/>
            <w:noWrap/>
            <w:hideMark/>
          </w:tcPr>
          <w:p w:rsidR="005125D6" w:rsidRPr="00972B5D" w:rsidP="004B200D" w14:paraId="37B883BB" w14:textId="2475455C">
            <w:pPr>
              <w:tabs>
                <w:tab w:val="decimal" w:pos="830"/>
              </w:tabs>
              <w:spacing w:line="240" w:lineRule="auto"/>
              <w:jc w:val="both"/>
              <w:rPr>
                <w:rFonts w:asciiTheme="minorBidi" w:hAnsiTheme="minorBidi"/>
                <w:b/>
                <w:kern w:val="2"/>
                <w:sz w:val="20"/>
                <w:szCs w:val="20"/>
                <w14:ligatures w14:val="standardContextual"/>
              </w:rPr>
            </w:pPr>
            <w:r w:rsidRPr="00972B5D">
              <w:rPr>
                <w:rFonts w:asciiTheme="minorBidi" w:hAnsiTheme="minorBidi"/>
                <w:b/>
                <w:kern w:val="2"/>
                <w:sz w:val="20"/>
                <w:szCs w:val="20"/>
                <w14:ligatures w14:val="standardContextual"/>
              </w:rPr>
              <w:t>1</w:t>
            </w:r>
            <w:r w:rsidRPr="00972B5D" w:rsidR="001E5034">
              <w:rPr>
                <w:rFonts w:asciiTheme="minorBidi" w:hAnsiTheme="minorBidi"/>
                <w:b/>
                <w:kern w:val="2"/>
                <w:sz w:val="20"/>
                <w:szCs w:val="20"/>
                <w14:ligatures w14:val="standardContextual"/>
              </w:rPr>
              <w:t>6</w:t>
            </w:r>
            <w:r w:rsidRPr="00972B5D">
              <w:rPr>
                <w:rFonts w:asciiTheme="minorBidi" w:hAnsiTheme="minorBidi"/>
                <w:b/>
                <w:kern w:val="2"/>
                <w:sz w:val="20"/>
                <w:szCs w:val="20"/>
                <w14:ligatures w14:val="standardContextual"/>
              </w:rPr>
              <w:t>,</w:t>
            </w:r>
            <w:r w:rsidRPr="00972B5D" w:rsidR="001E5034">
              <w:rPr>
                <w:rFonts w:asciiTheme="minorBidi" w:hAnsiTheme="minorBidi"/>
                <w:b/>
                <w:kern w:val="2"/>
                <w:sz w:val="20"/>
                <w:szCs w:val="20"/>
                <w14:ligatures w14:val="standardContextual"/>
              </w:rPr>
              <w:t>7</w:t>
            </w:r>
            <w:r w:rsidRPr="00972B5D">
              <w:rPr>
                <w:rFonts w:asciiTheme="minorBidi" w:hAnsiTheme="minorBidi"/>
                <w:b/>
                <w:kern w:val="2"/>
                <w:sz w:val="20"/>
                <w:szCs w:val="20"/>
                <w14:ligatures w14:val="standardContextual"/>
              </w:rPr>
              <w:t>00</w:t>
            </w:r>
          </w:p>
        </w:tc>
        <w:tc>
          <w:tcPr>
            <w:tcW w:w="1044" w:type="dxa"/>
            <w:tcBorders>
              <w:bottom w:val="single" w:sz="4" w:space="0" w:color="666666" w:themeColor="text1" w:themeTint="99"/>
            </w:tcBorders>
            <w:shd w:val="clear" w:color="auto" w:fill="F2F2F2" w:themeFill="background1" w:themeFillShade="F2"/>
            <w:noWrap/>
            <w:hideMark/>
          </w:tcPr>
          <w:p w:rsidR="005125D6" w:rsidRPr="00972B5D" w:rsidP="00972B5D" w14:paraId="3CA25C8C" w14:textId="189D7D11">
            <w:pPr>
              <w:tabs>
                <w:tab w:val="decimal" w:pos="1008"/>
              </w:tabs>
              <w:spacing w:line="240" w:lineRule="auto"/>
              <w:jc w:val="both"/>
              <w:rPr>
                <w:rFonts w:asciiTheme="minorBidi" w:hAnsiTheme="minorBidi"/>
                <w:b/>
                <w:kern w:val="2"/>
                <w:sz w:val="20"/>
                <w:szCs w:val="20"/>
                <w14:ligatures w14:val="standardContextual"/>
              </w:rPr>
            </w:pPr>
            <w:r w:rsidRPr="00972B5D">
              <w:rPr>
                <w:rFonts w:asciiTheme="minorBidi" w:hAnsiTheme="minorBidi"/>
                <w:b/>
                <w:kern w:val="2"/>
                <w:sz w:val="20"/>
                <w:szCs w:val="20"/>
                <w14:ligatures w14:val="standardContextual"/>
              </w:rPr>
              <w:t>$</w:t>
            </w:r>
            <w:r w:rsidRPr="00972B5D" w:rsidR="001E5034">
              <w:rPr>
                <w:rFonts w:asciiTheme="minorBidi" w:hAnsiTheme="minorBidi"/>
                <w:b/>
                <w:kern w:val="2"/>
                <w:sz w:val="20"/>
                <w:szCs w:val="20"/>
                <w14:ligatures w14:val="standardContextual"/>
              </w:rPr>
              <w:t>2,137,600</w:t>
            </w:r>
          </w:p>
        </w:tc>
        <w:tc>
          <w:tcPr>
            <w:tcW w:w="1075" w:type="dxa"/>
            <w:tcBorders>
              <w:bottom w:val="single" w:sz="4" w:space="0" w:color="666666" w:themeColor="text1" w:themeTint="99"/>
            </w:tcBorders>
            <w:shd w:val="clear" w:color="auto" w:fill="F2F2F2" w:themeFill="background1" w:themeFillShade="F2"/>
            <w:noWrap/>
            <w:hideMark/>
          </w:tcPr>
          <w:p w:rsidR="005125D6" w:rsidRPr="00972B5D" w:rsidP="00972B5D" w14:paraId="3BC548DE" w14:textId="77777777">
            <w:pPr>
              <w:tabs>
                <w:tab w:val="decimal" w:pos="1008"/>
              </w:tabs>
              <w:spacing w:line="240" w:lineRule="auto"/>
              <w:jc w:val="both"/>
              <w:rPr>
                <w:rFonts w:asciiTheme="minorBidi" w:hAnsiTheme="minorBidi"/>
                <w:b/>
                <w:kern w:val="2"/>
                <w:sz w:val="20"/>
                <w:szCs w:val="20"/>
                <w14:ligatures w14:val="standardContextual"/>
              </w:rPr>
            </w:pPr>
          </w:p>
        </w:tc>
      </w:tr>
      <w:tr w14:paraId="4EB0CB85" w14:textId="77777777" w:rsidTr="00DA45E5">
        <w:tblPrEx>
          <w:tblW w:w="5000" w:type="pct"/>
          <w:tblLayout w:type="fixed"/>
          <w:tblCellMar>
            <w:top w:w="43" w:type="dxa"/>
            <w:left w:w="72" w:type="dxa"/>
            <w:bottom w:w="43" w:type="dxa"/>
            <w:right w:w="72" w:type="dxa"/>
          </w:tblCellMar>
          <w:tblLook w:val="04A0"/>
        </w:tblPrEx>
        <w:trPr>
          <w:gridAfter w:val="2"/>
          <w:wAfter w:w="2119" w:type="dxa"/>
          <w:cantSplit/>
        </w:trPr>
        <w:tc>
          <w:tcPr>
            <w:tcW w:w="7231" w:type="dxa"/>
            <w:gridSpan w:val="5"/>
            <w:shd w:val="clear" w:color="auto" w:fill="auto"/>
            <w:hideMark/>
          </w:tcPr>
          <w:p w:rsidR="005125D6" w:rsidRPr="00F83337" w:rsidP="004B200D" w14:paraId="53C1D90E" w14:textId="6073D46F">
            <w:pPr>
              <w:spacing w:line="240" w:lineRule="auto"/>
              <w:ind w:left="216" w:hanging="216"/>
              <w:rPr>
                <w:rFonts w:asciiTheme="minorBidi" w:hAnsiTheme="minorBidi"/>
                <w:b w:val="0"/>
                <w:kern w:val="2"/>
                <w:sz w:val="20"/>
                <w:szCs w:val="20"/>
                <w14:ligatures w14:val="standardContextual"/>
              </w:rPr>
            </w:pPr>
            <w:r w:rsidRPr="00F83337">
              <w:rPr>
                <w:rFonts w:asciiTheme="minorBidi" w:hAnsiTheme="minorBidi"/>
                <w:b w:val="0"/>
                <w:kern w:val="2"/>
                <w:sz w:val="20"/>
                <w:szCs w:val="20"/>
                <w14:ligatures w14:val="standardContextual"/>
              </w:rPr>
              <w:t>*</w:t>
            </w:r>
            <w:r w:rsidR="004B200D">
              <w:rPr>
                <w:rFonts w:asciiTheme="minorBidi" w:hAnsiTheme="minorBidi"/>
                <w:b w:val="0"/>
                <w:bCs w:val="0"/>
                <w:kern w:val="2"/>
                <w:sz w:val="20"/>
                <w:szCs w:val="20"/>
                <w14:ligatures w14:val="standardContextual"/>
              </w:rPr>
              <w:tab/>
            </w:r>
            <w:r w:rsidRPr="00F83337">
              <w:rPr>
                <w:rFonts w:asciiTheme="minorBidi" w:hAnsiTheme="minorBidi"/>
                <w:b w:val="0"/>
                <w:kern w:val="2"/>
                <w:sz w:val="20"/>
                <w:szCs w:val="20"/>
                <w14:ligatures w14:val="standardContextual"/>
              </w:rPr>
              <w:t>Based on Occupation 11-1021, BLS Occupational Employment Statistics, May 2024. See https://data.bls.gov/oes/#/industry/000000</w:t>
            </w:r>
            <w:r w:rsidR="004B200D">
              <w:rPr>
                <w:rFonts w:asciiTheme="minorBidi" w:hAnsiTheme="minorBidi"/>
                <w:b w:val="0"/>
                <w:bCs w:val="0"/>
                <w:kern w:val="2"/>
                <w:sz w:val="20"/>
                <w:szCs w:val="20"/>
                <w14:ligatures w14:val="standardContextual"/>
              </w:rPr>
              <w:t>.</w:t>
            </w:r>
          </w:p>
        </w:tc>
      </w:tr>
    </w:tbl>
    <w:p w:rsidR="008E4A58" w:rsidRPr="003F0DC3" w:rsidP="008E4A58" w14:paraId="5611A3A8" w14:textId="5A0FC479">
      <w:pPr>
        <w:spacing w:after="0" w:line="240" w:lineRule="auto"/>
        <w:rPr>
          <w:rFonts w:eastAsia="Calibri" w:asciiTheme="minorBidi" w:hAnsiTheme="minorBidi"/>
          <w:sz w:val="24"/>
          <w:szCs w:val="24"/>
        </w:rPr>
      </w:pPr>
    </w:p>
    <w:p w:rsidR="00100620" w:rsidRPr="003F0DC3" w:rsidP="00100620" w14:paraId="6651A957" w14:textId="5DB4FBAC">
      <w:pPr>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 xml:space="preserve">The cost estimate is based on the mean hourly </w:t>
      </w:r>
      <w:r w:rsidR="00221A83">
        <w:rPr>
          <w:rFonts w:eastAsia="Times New Roman" w:asciiTheme="minorBidi" w:hAnsiTheme="minorBidi"/>
          <w:sz w:val="24"/>
          <w:szCs w:val="24"/>
        </w:rPr>
        <w:t xml:space="preserve">wage </w:t>
      </w:r>
      <w:r w:rsidRPr="003F0DC3">
        <w:rPr>
          <w:rFonts w:eastAsia="Times New Roman" w:asciiTheme="minorBidi" w:hAnsiTheme="minorBidi"/>
          <w:sz w:val="24"/>
          <w:szCs w:val="24"/>
        </w:rPr>
        <w:t>rate of a General and Operations Manager</w:t>
      </w:r>
      <w:r w:rsidR="00221A83">
        <w:rPr>
          <w:rFonts w:eastAsia="Times New Roman" w:asciiTheme="minorBidi" w:hAnsiTheme="minorBidi"/>
          <w:sz w:val="24"/>
          <w:szCs w:val="24"/>
        </w:rPr>
        <w:t>.</w:t>
      </w:r>
      <w:r>
        <w:rPr>
          <w:rStyle w:val="FootnoteReference"/>
          <w:rFonts w:eastAsia="Times New Roman" w:asciiTheme="minorBidi" w:hAnsiTheme="minorBidi"/>
          <w:sz w:val="24"/>
          <w:szCs w:val="24"/>
        </w:rPr>
        <w:footnoteReference w:customMarkFollows="1" w:id="4"/>
        <w:t xml:space="preserve">2</w:t>
      </w:r>
      <w:r w:rsidRPr="003F0DC3">
        <w:rPr>
          <w:rFonts w:eastAsia="Times New Roman" w:asciiTheme="minorBidi" w:hAnsiTheme="minorBidi"/>
          <w:sz w:val="24"/>
          <w:szCs w:val="24"/>
        </w:rPr>
        <w:t xml:space="preserve"> The mean hourly pay for a General and Operations Manager is $64 (rounded), multiplied by 2 to account for benefits plus other overhead costs such as rent, utilities and office equipment, for a fully loaded hourly wage of $128. </w:t>
      </w:r>
    </w:p>
    <w:p w:rsidR="00100620" w:rsidRPr="003F0DC3" w:rsidP="00100620" w14:paraId="65DA630B" w14:textId="77777777">
      <w:pPr>
        <w:spacing w:after="0" w:line="240" w:lineRule="auto"/>
        <w:rPr>
          <w:rFonts w:eastAsia="Times New Roman" w:asciiTheme="minorBidi" w:hAnsiTheme="minorBidi"/>
          <w:sz w:val="24"/>
          <w:szCs w:val="24"/>
        </w:rPr>
      </w:pPr>
    </w:p>
    <w:p w:rsidR="008E4A58" w:rsidRPr="00335087" w:rsidP="008E4A58" w14:paraId="1DC051E1" w14:textId="6F216C71">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 xml:space="preserve">$128 x </w:t>
      </w:r>
      <w:r w:rsidRPr="003F0DC3" w:rsidR="00245D71">
        <w:rPr>
          <w:rFonts w:eastAsia="Times New Roman" w:asciiTheme="minorBidi" w:hAnsiTheme="minorBidi"/>
          <w:sz w:val="24"/>
          <w:szCs w:val="24"/>
        </w:rPr>
        <w:t>16,700 hours</w:t>
      </w:r>
      <w:r w:rsidRPr="003F0DC3">
        <w:rPr>
          <w:rFonts w:eastAsia="Times New Roman" w:asciiTheme="minorBidi" w:hAnsiTheme="minorBidi"/>
          <w:sz w:val="24"/>
          <w:szCs w:val="24"/>
        </w:rPr>
        <w:t xml:space="preserve"> = $</w:t>
      </w:r>
      <w:r w:rsidRPr="003F0DC3" w:rsidR="001E076B">
        <w:rPr>
          <w:rFonts w:eastAsia="Times New Roman" w:asciiTheme="minorBidi" w:hAnsiTheme="minorBidi"/>
          <w:sz w:val="24"/>
          <w:szCs w:val="24"/>
        </w:rPr>
        <w:t>2</w:t>
      </w:r>
      <w:r w:rsidRPr="003F0DC3" w:rsidR="00DE56CB">
        <w:rPr>
          <w:rFonts w:eastAsia="Times New Roman" w:asciiTheme="minorBidi" w:hAnsiTheme="minorBidi"/>
          <w:sz w:val="24"/>
          <w:szCs w:val="24"/>
        </w:rPr>
        <w:t>,137,600</w:t>
      </w:r>
    </w:p>
    <w:p w:rsidR="00401D23" w:rsidP="00221A83" w14:paraId="0B07CB07" w14:textId="77777777">
      <w:pPr>
        <w:shd w:val="clear" w:color="auto" w:fill="FFFFFF"/>
        <w:spacing w:after="0" w:line="240" w:lineRule="auto"/>
        <w:rPr>
          <w:rFonts w:eastAsia="Times New Roman" w:asciiTheme="minorBidi" w:hAnsiTheme="minorBidi"/>
          <w:b/>
          <w:sz w:val="24"/>
          <w:szCs w:val="24"/>
        </w:rPr>
      </w:pPr>
    </w:p>
    <w:p w:rsidR="008E4A58" w:rsidRPr="003F0DC3" w:rsidP="00221A83" w14:paraId="7611E52C" w14:textId="1F2935F5">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b/>
          <w:sz w:val="24"/>
          <w:szCs w:val="24"/>
        </w:rPr>
        <w:t>13. Provide an estimate for the total annual cost burden to respondents or record keepers resulting from the collection of information.</w:t>
      </w:r>
    </w:p>
    <w:p w:rsidR="008E4A58" w:rsidRPr="003F0DC3" w:rsidP="00221A83" w14:paraId="2791D148" w14:textId="77777777">
      <w:pPr>
        <w:shd w:val="clear" w:color="auto" w:fill="FFFFFF"/>
        <w:spacing w:after="0" w:line="240" w:lineRule="auto"/>
        <w:rPr>
          <w:rFonts w:eastAsia="Times New Roman" w:asciiTheme="minorBidi" w:hAnsiTheme="minorBidi"/>
          <w:sz w:val="24"/>
          <w:szCs w:val="24"/>
        </w:rPr>
      </w:pPr>
    </w:p>
    <w:p w:rsidR="008E4A58" w:rsidP="003F0DC3" w14:paraId="20167A38" w14:textId="77777777">
      <w:pPr>
        <w:spacing w:after="0" w:line="240" w:lineRule="auto"/>
        <w:rPr>
          <w:rFonts w:asciiTheme="minorBidi" w:hAnsiTheme="minorBidi"/>
          <w:sz w:val="24"/>
          <w:szCs w:val="24"/>
        </w:rPr>
      </w:pPr>
      <w:r w:rsidRPr="003F0DC3">
        <w:rPr>
          <w:rFonts w:asciiTheme="minorBidi" w:hAnsiTheme="minorBidi"/>
          <w:sz w:val="24"/>
          <w:szCs w:val="24"/>
        </w:rPr>
        <w:t>There are no additional costs not already included in #12.</w:t>
      </w:r>
    </w:p>
    <w:p w:rsidR="00335087" w:rsidRPr="003F0DC3" w:rsidP="003F0DC3" w14:paraId="4ED6AAD5" w14:textId="77777777">
      <w:pPr>
        <w:spacing w:after="0" w:line="240" w:lineRule="auto"/>
        <w:rPr>
          <w:rFonts w:eastAsia="Times New Roman" w:asciiTheme="minorBidi" w:hAnsiTheme="minorBidi"/>
          <w:sz w:val="24"/>
          <w:szCs w:val="24"/>
        </w:rPr>
      </w:pPr>
    </w:p>
    <w:p w:rsidR="008E4A58" w:rsidRPr="003F0DC3" w:rsidP="008E4A58" w14:paraId="195B7FA0" w14:textId="4D799E95">
      <w:pPr>
        <w:shd w:val="clear" w:color="auto" w:fill="FFFFFF"/>
        <w:spacing w:after="0" w:line="240" w:lineRule="auto"/>
        <w:rPr>
          <w:rFonts w:eastAsia="Times New Roman" w:asciiTheme="minorBidi" w:hAnsiTheme="minorBidi"/>
          <w:b/>
          <w:sz w:val="24"/>
          <w:szCs w:val="24"/>
        </w:rPr>
      </w:pPr>
      <w:r w:rsidRPr="003F0DC3">
        <w:rPr>
          <w:rFonts w:eastAsia="Times New Roman" w:asciiTheme="minorBidi" w:hAnsiTheme="minorBidi"/>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30A70" w:rsidRPr="003F0DC3" w:rsidP="008E4A58" w14:paraId="08E2C7AD" w14:textId="77777777">
      <w:pPr>
        <w:shd w:val="clear" w:color="auto" w:fill="FFFFFF"/>
        <w:spacing w:after="0" w:line="240" w:lineRule="auto"/>
        <w:rPr>
          <w:rFonts w:eastAsia="Times New Roman" w:asciiTheme="minorBidi" w:hAnsiTheme="minorBidi"/>
          <w:sz w:val="24"/>
          <w:szCs w:val="24"/>
        </w:rPr>
      </w:pPr>
    </w:p>
    <w:p w:rsidR="00CF60D9" w:rsidRPr="003F0DC3" w:rsidP="00CF60D9" w14:paraId="19CAE911" w14:textId="354D0854">
      <w:pPr>
        <w:shd w:val="clear" w:color="auto" w:fill="FFFFFF" w:themeFill="background1"/>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The total estimated annualized cost to the Federal Government is $</w:t>
      </w:r>
      <w:r w:rsidRPr="00EC704E">
        <w:rPr>
          <w:rFonts w:eastAsia="Times New Roman" w:asciiTheme="minorBidi" w:hAnsiTheme="minorBidi"/>
          <w:bCs/>
          <w:sz w:val="24"/>
          <w:szCs w:val="24"/>
        </w:rPr>
        <w:t>102,307,224.</w:t>
      </w:r>
      <w:r w:rsidRPr="003F0DC3">
        <w:rPr>
          <w:rFonts w:eastAsia="Times New Roman" w:asciiTheme="minorBidi" w:hAnsiTheme="minorBidi"/>
          <w:sz w:val="24"/>
          <w:szCs w:val="24"/>
        </w:rPr>
        <w:t xml:space="preserve"> This is based on a one-time collection. DOT anticipates employees at the GS-1</w:t>
      </w:r>
      <w:r>
        <w:rPr>
          <w:rFonts w:eastAsia="Times New Roman" w:asciiTheme="minorBidi" w:hAnsiTheme="minorBidi"/>
          <w:sz w:val="24"/>
          <w:szCs w:val="24"/>
        </w:rPr>
        <w:t>4</w:t>
      </w:r>
      <w:r w:rsidRPr="003F0DC3">
        <w:rPr>
          <w:rFonts w:eastAsia="Times New Roman" w:asciiTheme="minorBidi" w:hAnsiTheme="minorBidi"/>
          <w:sz w:val="24"/>
          <w:szCs w:val="24"/>
        </w:rPr>
        <w:t>-</w:t>
      </w:r>
      <w:r>
        <w:rPr>
          <w:rFonts w:eastAsia="Times New Roman" w:asciiTheme="minorBidi" w:hAnsiTheme="minorBidi"/>
          <w:sz w:val="24"/>
          <w:szCs w:val="24"/>
        </w:rPr>
        <w:t xml:space="preserve">6 </w:t>
      </w:r>
      <w:r w:rsidRPr="003F0DC3">
        <w:rPr>
          <w:rFonts w:eastAsia="Times New Roman" w:asciiTheme="minorBidi" w:hAnsiTheme="minorBidi"/>
          <w:sz w:val="24"/>
          <w:szCs w:val="24"/>
        </w:rPr>
        <w:t>level ($</w:t>
      </w:r>
      <w:r>
        <w:rPr>
          <w:rFonts w:eastAsia="Times New Roman" w:asciiTheme="minorBidi" w:hAnsiTheme="minorBidi"/>
          <w:sz w:val="24"/>
          <w:szCs w:val="24"/>
        </w:rPr>
        <w:t>140.79</w:t>
      </w:r>
      <w:r w:rsidRPr="003F0DC3">
        <w:rPr>
          <w:rFonts w:eastAsia="Times New Roman" w:asciiTheme="minorBidi" w:hAnsiTheme="minorBidi"/>
          <w:sz w:val="24"/>
          <w:szCs w:val="24"/>
        </w:rPr>
        <w:t xml:space="preserve"> per hour including 75</w:t>
      </w:r>
      <w:r>
        <w:rPr>
          <w:rFonts w:eastAsia="Times New Roman" w:asciiTheme="minorBidi" w:hAnsiTheme="minorBidi"/>
          <w:sz w:val="24"/>
          <w:szCs w:val="24"/>
        </w:rPr>
        <w:t xml:space="preserve"> percent</w:t>
      </w:r>
      <w:r w:rsidRPr="003F0DC3">
        <w:rPr>
          <w:rFonts w:eastAsia="Times New Roman" w:asciiTheme="minorBidi" w:hAnsiTheme="minorBidi"/>
          <w:sz w:val="24"/>
          <w:szCs w:val="24"/>
        </w:rPr>
        <w:t xml:space="preserve"> overhead costs)</w:t>
      </w:r>
      <w:r>
        <w:rPr>
          <w:rStyle w:val="FootnoteReference"/>
          <w:rFonts w:eastAsia="Times New Roman" w:asciiTheme="minorBidi" w:hAnsiTheme="minorBidi"/>
          <w:sz w:val="24"/>
          <w:szCs w:val="24"/>
        </w:rPr>
        <w:footnoteReference w:customMarkFollows="1" w:id="5"/>
        <w:t xml:space="preserve">3</w:t>
      </w:r>
      <w:r w:rsidRPr="003F0DC3">
        <w:rPr>
          <w:rFonts w:eastAsia="Times New Roman" w:asciiTheme="minorBidi" w:hAnsiTheme="minorBidi"/>
          <w:sz w:val="24"/>
          <w:szCs w:val="24"/>
        </w:rPr>
        <w:t xml:space="preserve"> will provide project management support. DOT estimates the effort will take the individual approximately </w:t>
      </w:r>
      <w:r>
        <w:rPr>
          <w:rFonts w:eastAsia="Times New Roman" w:asciiTheme="minorBidi" w:hAnsiTheme="minorBidi"/>
          <w:sz w:val="24"/>
          <w:szCs w:val="24"/>
        </w:rPr>
        <w:t>907</w:t>
      </w:r>
      <w:r w:rsidRPr="003F0DC3">
        <w:rPr>
          <w:rFonts w:eastAsia="Times New Roman" w:asciiTheme="minorBidi" w:hAnsiTheme="minorBidi"/>
          <w:sz w:val="24"/>
          <w:szCs w:val="24"/>
        </w:rPr>
        <w:t xml:space="preserve"> hours per collection for the NOFO respondents</w:t>
      </w:r>
      <w:r>
        <w:rPr>
          <w:rFonts w:eastAsia="Times New Roman" w:asciiTheme="minorBidi" w:hAnsiTheme="minorBidi"/>
          <w:sz w:val="24"/>
          <w:szCs w:val="24"/>
        </w:rPr>
        <w:t xml:space="preserve"> and progress reporting.</w:t>
      </w:r>
      <w:r w:rsidRPr="003F0DC3">
        <w:rPr>
          <w:rFonts w:eastAsia="Times New Roman" w:asciiTheme="minorBidi" w:hAnsiTheme="minorBidi"/>
          <w:sz w:val="24"/>
          <w:szCs w:val="24"/>
        </w:rPr>
        <w:t xml:space="preserve"> </w:t>
      </w:r>
      <w:r>
        <w:rPr>
          <w:rFonts w:eastAsia="Times New Roman" w:asciiTheme="minorBidi" w:hAnsiTheme="minorBidi"/>
          <w:sz w:val="24"/>
          <w:szCs w:val="24"/>
        </w:rPr>
        <w:t>Additionally, DOT receives $150,000</w:t>
      </w:r>
      <w:r w:rsidR="00474B24">
        <w:rPr>
          <w:rFonts w:eastAsia="Times New Roman" w:asciiTheme="minorBidi" w:hAnsiTheme="minorBidi"/>
          <w:sz w:val="24"/>
          <w:szCs w:val="24"/>
        </w:rPr>
        <w:t xml:space="preserve"> in contract support</w:t>
      </w:r>
      <w:r>
        <w:rPr>
          <w:rFonts w:eastAsia="Times New Roman" w:asciiTheme="minorBidi" w:hAnsiTheme="minorBidi"/>
          <w:sz w:val="24"/>
          <w:szCs w:val="24"/>
        </w:rPr>
        <w:t xml:space="preserve"> </w:t>
      </w:r>
      <w:r w:rsidR="001E195E">
        <w:rPr>
          <w:rFonts w:eastAsia="Times New Roman" w:asciiTheme="minorBidi" w:hAnsiTheme="minorBidi"/>
          <w:sz w:val="24"/>
          <w:szCs w:val="24"/>
        </w:rPr>
        <w:t>for</w:t>
      </w:r>
      <w:r>
        <w:rPr>
          <w:rFonts w:eastAsia="Times New Roman" w:asciiTheme="minorBidi" w:hAnsiTheme="minorBidi"/>
          <w:sz w:val="24"/>
          <w:szCs w:val="24"/>
        </w:rPr>
        <w:t xml:space="preserve"> </w:t>
      </w:r>
      <w:r w:rsidR="001E195E">
        <w:rPr>
          <w:rFonts w:eastAsia="Times New Roman" w:asciiTheme="minorBidi" w:hAnsiTheme="minorBidi"/>
          <w:sz w:val="24"/>
          <w:szCs w:val="24"/>
        </w:rPr>
        <w:t xml:space="preserve">the </w:t>
      </w:r>
      <w:r>
        <w:rPr>
          <w:rFonts w:eastAsia="Times New Roman" w:asciiTheme="minorBidi" w:hAnsiTheme="minorBidi"/>
          <w:sz w:val="24"/>
          <w:szCs w:val="24"/>
        </w:rPr>
        <w:t xml:space="preserve">RTA and IFAC </w:t>
      </w:r>
      <w:r w:rsidR="001E195E">
        <w:rPr>
          <w:rFonts w:eastAsia="Times New Roman" w:asciiTheme="minorBidi" w:hAnsiTheme="minorBidi"/>
          <w:sz w:val="24"/>
          <w:szCs w:val="24"/>
        </w:rPr>
        <w:t xml:space="preserve">grant </w:t>
      </w:r>
      <w:r>
        <w:rPr>
          <w:rFonts w:eastAsia="Times New Roman" w:asciiTheme="minorBidi" w:hAnsiTheme="minorBidi"/>
          <w:sz w:val="24"/>
          <w:szCs w:val="24"/>
        </w:rPr>
        <w:t xml:space="preserve">programs.  Support includes the review of NOFO respondents and administration for selected awardees.  </w:t>
      </w:r>
    </w:p>
    <w:p w:rsidR="00CF60D9" w:rsidRPr="003F0DC3" w:rsidP="00CF60D9" w14:paraId="185BF404" w14:textId="77777777">
      <w:pPr>
        <w:shd w:val="clear" w:color="auto" w:fill="FFFFFF"/>
        <w:spacing w:after="0" w:line="240" w:lineRule="auto"/>
        <w:rPr>
          <w:rFonts w:eastAsia="Times New Roman" w:asciiTheme="minorBidi" w:hAnsiTheme="minorBidi"/>
          <w:sz w:val="24"/>
          <w:szCs w:val="24"/>
        </w:rPr>
      </w:pPr>
    </w:p>
    <w:p w:rsidR="00CF60D9" w:rsidRPr="003F0DC3" w:rsidP="00CF60D9" w14:paraId="1AACF1D5" w14:textId="778EEABA">
      <w:pPr>
        <w:shd w:val="clear" w:color="auto" w:fill="FFFFFF" w:themeFill="background1"/>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Total Hours for NOFO (800</w:t>
      </w:r>
      <w:r>
        <w:rPr>
          <w:rFonts w:eastAsia="Times New Roman" w:asciiTheme="minorBidi" w:hAnsiTheme="minorBidi"/>
          <w:sz w:val="24"/>
          <w:szCs w:val="24"/>
        </w:rPr>
        <w:t xml:space="preserve"> </w:t>
      </w:r>
      <w:r w:rsidRPr="003F0DC3">
        <w:rPr>
          <w:rFonts w:eastAsia="Times New Roman" w:asciiTheme="minorBidi" w:hAnsiTheme="minorBidi"/>
          <w:sz w:val="24"/>
          <w:szCs w:val="24"/>
        </w:rPr>
        <w:t>x</w:t>
      </w:r>
      <w:r>
        <w:rPr>
          <w:rFonts w:eastAsia="Times New Roman" w:asciiTheme="minorBidi" w:hAnsiTheme="minorBidi"/>
          <w:sz w:val="24"/>
          <w:szCs w:val="24"/>
        </w:rPr>
        <w:t xml:space="preserve"> 907</w:t>
      </w:r>
      <w:r w:rsidRPr="003F0DC3">
        <w:rPr>
          <w:rFonts w:eastAsia="Times New Roman" w:asciiTheme="minorBidi" w:hAnsiTheme="minorBidi"/>
          <w:sz w:val="24"/>
          <w:szCs w:val="24"/>
        </w:rPr>
        <w:t xml:space="preserve">): </w:t>
      </w:r>
      <w:r>
        <w:rPr>
          <w:rFonts w:eastAsia="Times New Roman" w:asciiTheme="minorBidi" w:hAnsiTheme="minorBidi"/>
          <w:sz w:val="24"/>
          <w:szCs w:val="24"/>
        </w:rPr>
        <w:t>725,600</w:t>
      </w:r>
    </w:p>
    <w:p w:rsidR="00CF60D9" w:rsidRPr="003F0DC3" w:rsidP="00CF60D9" w14:paraId="77C62A94" w14:textId="40CFEA3D">
      <w:pPr>
        <w:shd w:val="clear" w:color="auto" w:fill="FFFFFF" w:themeFill="background1"/>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Estimated Cost for Contract Services: $1</w:t>
      </w:r>
      <w:r>
        <w:rPr>
          <w:rFonts w:eastAsia="Times New Roman" w:asciiTheme="minorBidi" w:hAnsiTheme="minorBidi"/>
          <w:sz w:val="24"/>
          <w:szCs w:val="24"/>
        </w:rPr>
        <w:t>50</w:t>
      </w:r>
      <w:r w:rsidRPr="003F0DC3">
        <w:rPr>
          <w:rFonts w:eastAsia="Times New Roman" w:asciiTheme="minorBidi" w:hAnsiTheme="minorBidi"/>
          <w:sz w:val="24"/>
          <w:szCs w:val="24"/>
        </w:rPr>
        <w:t>,000</w:t>
      </w:r>
    </w:p>
    <w:p w:rsidR="008E4A58" w:rsidRPr="003F0DC3" w:rsidP="00CF60D9" w14:paraId="779E0185" w14:textId="33B46414">
      <w:pPr>
        <w:shd w:val="clear" w:color="auto" w:fill="FFFFFF" w:themeFill="background1"/>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Total Cost: $</w:t>
      </w:r>
      <w:r>
        <w:rPr>
          <w:rFonts w:eastAsia="Times New Roman" w:asciiTheme="minorBidi" w:hAnsiTheme="minorBidi"/>
          <w:sz w:val="24"/>
          <w:szCs w:val="24"/>
        </w:rPr>
        <w:t>140.79</w:t>
      </w:r>
      <w:r w:rsidRPr="003F0DC3">
        <w:rPr>
          <w:rFonts w:eastAsia="Times New Roman" w:asciiTheme="minorBidi" w:hAnsiTheme="minorBidi"/>
          <w:sz w:val="24"/>
          <w:szCs w:val="24"/>
        </w:rPr>
        <w:t xml:space="preserve"> x </w:t>
      </w:r>
      <w:r>
        <w:rPr>
          <w:rFonts w:eastAsia="Times New Roman" w:asciiTheme="minorBidi" w:hAnsiTheme="minorBidi"/>
          <w:sz w:val="24"/>
          <w:szCs w:val="24"/>
        </w:rPr>
        <w:t xml:space="preserve">725,600 </w:t>
      </w:r>
      <w:r w:rsidRPr="003F0DC3">
        <w:rPr>
          <w:rFonts w:eastAsia="Times New Roman" w:asciiTheme="minorBidi" w:hAnsiTheme="minorBidi"/>
          <w:sz w:val="24"/>
          <w:szCs w:val="24"/>
        </w:rPr>
        <w:t>= $</w:t>
      </w:r>
      <w:r>
        <w:rPr>
          <w:rFonts w:eastAsia="Times New Roman" w:asciiTheme="minorBidi" w:hAnsiTheme="minorBidi"/>
          <w:sz w:val="24"/>
          <w:szCs w:val="24"/>
        </w:rPr>
        <w:t xml:space="preserve">102,157,224 </w:t>
      </w:r>
      <w:r w:rsidRPr="003F0DC3">
        <w:rPr>
          <w:rFonts w:eastAsia="Times New Roman" w:asciiTheme="minorBidi" w:hAnsiTheme="minorBidi"/>
          <w:sz w:val="24"/>
          <w:szCs w:val="24"/>
        </w:rPr>
        <w:t>+ $1</w:t>
      </w:r>
      <w:r>
        <w:rPr>
          <w:rFonts w:eastAsia="Times New Roman" w:asciiTheme="minorBidi" w:hAnsiTheme="minorBidi"/>
          <w:sz w:val="24"/>
          <w:szCs w:val="24"/>
        </w:rPr>
        <w:t>50</w:t>
      </w:r>
      <w:r w:rsidRPr="003F0DC3">
        <w:rPr>
          <w:rFonts w:eastAsia="Times New Roman" w:asciiTheme="minorBidi" w:hAnsiTheme="minorBidi"/>
          <w:sz w:val="24"/>
          <w:szCs w:val="24"/>
        </w:rPr>
        <w:t xml:space="preserve">,000 = </w:t>
      </w:r>
      <w:r w:rsidRPr="00EC704E">
        <w:rPr>
          <w:rFonts w:eastAsia="Times New Roman" w:asciiTheme="minorBidi" w:hAnsiTheme="minorBidi"/>
          <w:bCs/>
          <w:sz w:val="24"/>
          <w:szCs w:val="24"/>
        </w:rPr>
        <w:t>$102,307,224</w:t>
      </w:r>
    </w:p>
    <w:p w:rsidR="00AA281C" w:rsidRPr="003F0DC3" w:rsidP="2369B949" w14:paraId="20DDC186" w14:textId="77777777">
      <w:pPr>
        <w:shd w:val="clear" w:color="auto" w:fill="FFFFFF" w:themeFill="background1"/>
        <w:spacing w:after="0" w:line="240" w:lineRule="auto"/>
        <w:rPr>
          <w:rFonts w:eastAsia="Times New Roman" w:asciiTheme="minorBidi" w:hAnsiTheme="minorBidi"/>
          <w:sz w:val="24"/>
          <w:szCs w:val="24"/>
        </w:rPr>
      </w:pPr>
    </w:p>
    <w:p w:rsidR="008E4A58" w:rsidRPr="003F0DC3" w:rsidP="008E4A58" w14:paraId="59B3228D" w14:textId="77777777">
      <w:pPr>
        <w:keepNext/>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b/>
          <w:sz w:val="24"/>
          <w:szCs w:val="24"/>
        </w:rPr>
        <w:t>15. Explain the reasons for any program changes or adjustments.</w:t>
      </w:r>
      <w:r w:rsidRPr="003F0DC3">
        <w:rPr>
          <w:rFonts w:eastAsia="Times New Roman" w:asciiTheme="minorBidi" w:hAnsiTheme="minorBidi"/>
          <w:sz w:val="24"/>
          <w:szCs w:val="24"/>
        </w:rPr>
        <w:br/>
      </w:r>
    </w:p>
    <w:p w:rsidR="008E4A58" w:rsidRPr="003F0DC3" w:rsidP="008E4A58" w14:paraId="48416EC4" w14:textId="77777777">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There are no program changes or adjustments.</w:t>
      </w:r>
    </w:p>
    <w:p w:rsidR="008E4A58" w:rsidRPr="003F0DC3" w:rsidP="008E4A58" w14:paraId="11432322" w14:textId="77777777">
      <w:pPr>
        <w:shd w:val="clear" w:color="auto" w:fill="FFFFFF"/>
        <w:spacing w:after="0" w:line="240" w:lineRule="auto"/>
        <w:rPr>
          <w:rFonts w:eastAsia="Times New Roman" w:asciiTheme="minorBidi" w:hAnsiTheme="minorBidi"/>
          <w:sz w:val="24"/>
          <w:szCs w:val="24"/>
        </w:rPr>
      </w:pPr>
    </w:p>
    <w:p w:rsidR="008E4A58" w:rsidRPr="003F0DC3" w:rsidP="008E4A58" w14:paraId="57A77F3B" w14:textId="4E5E9475">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4A58" w:rsidRPr="003F0DC3" w:rsidP="008E4A58" w14:paraId="4FC8D6E5" w14:textId="77777777">
      <w:pPr>
        <w:shd w:val="clear" w:color="auto" w:fill="FFFFFF"/>
        <w:spacing w:after="0" w:line="240" w:lineRule="auto"/>
        <w:rPr>
          <w:rFonts w:eastAsia="Times New Roman" w:asciiTheme="minorBidi" w:hAnsiTheme="minorBidi"/>
          <w:sz w:val="24"/>
          <w:szCs w:val="24"/>
        </w:rPr>
      </w:pPr>
    </w:p>
    <w:p w:rsidR="008E4A58" w:rsidP="003F0DC3" w14:paraId="66E8EE93" w14:textId="77777777">
      <w:pPr>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 xml:space="preserve">The information on the form is not intended to be published for statistical use. </w:t>
      </w:r>
    </w:p>
    <w:p w:rsidR="00335087" w:rsidRPr="003F0DC3" w:rsidP="003F0DC3" w14:paraId="3BB4D492" w14:textId="77777777">
      <w:pPr>
        <w:spacing w:after="0" w:line="240" w:lineRule="auto"/>
        <w:rPr>
          <w:rFonts w:eastAsia="Times New Roman" w:asciiTheme="minorBidi" w:hAnsiTheme="minorBidi"/>
          <w:sz w:val="24"/>
          <w:szCs w:val="24"/>
        </w:rPr>
      </w:pPr>
    </w:p>
    <w:p w:rsidR="008E4A58" w:rsidRPr="003F0DC3" w:rsidP="008E4A58" w14:paraId="11156003" w14:textId="77777777">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b/>
          <w:sz w:val="24"/>
          <w:szCs w:val="24"/>
        </w:rPr>
        <w:t>17. If seeking approval to not display the expiration date for OMB approval of the information collection, explain the reasons why display would be inappropriate.</w:t>
      </w:r>
    </w:p>
    <w:p w:rsidR="008E4A58" w:rsidRPr="003F0DC3" w:rsidP="008E4A58" w14:paraId="7C110810" w14:textId="77777777">
      <w:pPr>
        <w:shd w:val="clear" w:color="auto" w:fill="FFFFFF"/>
        <w:spacing w:after="0" w:line="240" w:lineRule="auto"/>
        <w:rPr>
          <w:rFonts w:eastAsia="Times New Roman" w:asciiTheme="minorBidi" w:hAnsiTheme="minorBidi"/>
          <w:sz w:val="24"/>
          <w:szCs w:val="24"/>
        </w:rPr>
      </w:pPr>
    </w:p>
    <w:p w:rsidR="008E4A58" w:rsidRPr="003F0DC3" w:rsidP="008E4A58" w14:paraId="346F37C3" w14:textId="77777777">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 xml:space="preserve">The DOT is not seeking approval to not display the expiration date. </w:t>
      </w:r>
    </w:p>
    <w:p w:rsidR="008E4A58" w:rsidRPr="003F0DC3" w:rsidP="008E4A58" w14:paraId="29BB07B0" w14:textId="77777777">
      <w:pPr>
        <w:shd w:val="clear" w:color="auto" w:fill="FFFFFF"/>
        <w:spacing w:after="0" w:line="240" w:lineRule="auto"/>
        <w:rPr>
          <w:rFonts w:eastAsia="Times New Roman" w:asciiTheme="minorBidi" w:hAnsiTheme="minorBidi"/>
          <w:sz w:val="24"/>
          <w:szCs w:val="24"/>
        </w:rPr>
      </w:pPr>
    </w:p>
    <w:p w:rsidR="008E4A58" w:rsidRPr="003F0DC3" w:rsidP="008E4A58" w14:paraId="0722A83C" w14:textId="77777777">
      <w:pPr>
        <w:shd w:val="clear" w:color="auto" w:fill="FFFFFF"/>
        <w:spacing w:after="0" w:line="240" w:lineRule="auto"/>
        <w:rPr>
          <w:rFonts w:eastAsia="Times New Roman" w:asciiTheme="minorBidi" w:hAnsiTheme="minorBidi"/>
          <w:sz w:val="24"/>
          <w:szCs w:val="24"/>
        </w:rPr>
      </w:pPr>
      <w:r w:rsidRPr="003F0DC3">
        <w:rPr>
          <w:rFonts w:eastAsia="Times New Roman" w:asciiTheme="minorBidi" w:hAnsiTheme="minorBidi"/>
          <w:b/>
          <w:sz w:val="24"/>
          <w:szCs w:val="24"/>
        </w:rPr>
        <w:t>18. Explain each exception to the topics of the certification statement identified in “Certification for Paperwork Reduction Act Submissions.”</w:t>
      </w:r>
    </w:p>
    <w:p w:rsidR="00FF6F3D" w:rsidP="003F0DC3" w14:paraId="0DCB4C2D" w14:textId="77777777">
      <w:pPr>
        <w:spacing w:after="0" w:line="240" w:lineRule="auto"/>
        <w:rPr>
          <w:rFonts w:eastAsia="Times New Roman" w:asciiTheme="minorBidi" w:hAnsiTheme="minorBidi"/>
          <w:sz w:val="24"/>
          <w:szCs w:val="24"/>
        </w:rPr>
      </w:pPr>
    </w:p>
    <w:p w:rsidR="008E4A58" w:rsidP="003F0DC3" w14:paraId="7D019AA1" w14:textId="42F36089">
      <w:pPr>
        <w:spacing w:after="0" w:line="240" w:lineRule="auto"/>
        <w:rPr>
          <w:rFonts w:eastAsia="Times New Roman" w:asciiTheme="minorBidi" w:hAnsiTheme="minorBidi"/>
          <w:sz w:val="24"/>
          <w:szCs w:val="24"/>
        </w:rPr>
      </w:pPr>
      <w:r w:rsidRPr="003F0DC3">
        <w:rPr>
          <w:rFonts w:eastAsia="Times New Roman" w:asciiTheme="minorBidi" w:hAnsiTheme="minorBidi"/>
          <w:sz w:val="24"/>
          <w:szCs w:val="24"/>
        </w:rPr>
        <w:t>There are no exceptions</w:t>
      </w:r>
      <w:r w:rsidRPr="003F0DC3" w:rsidR="00E3148F">
        <w:rPr>
          <w:rFonts w:eastAsia="Times New Roman" w:asciiTheme="minorBidi" w:hAnsiTheme="minorBidi"/>
          <w:sz w:val="24"/>
          <w:szCs w:val="24"/>
        </w:rPr>
        <w:t>.</w:t>
      </w:r>
    </w:p>
    <w:p w:rsidR="008E4A58" w:rsidP="003F0DC3" w14:paraId="454745A6" w14:textId="77777777">
      <w:pPr>
        <w:spacing w:after="0" w:line="240" w:lineRule="auto"/>
        <w:rPr>
          <w:rFonts w:eastAsia="Times New Roman" w:asciiTheme="minorBidi" w:hAnsiTheme="minorBidi"/>
          <w:sz w:val="24"/>
          <w:szCs w:val="24"/>
        </w:rPr>
      </w:pPr>
    </w:p>
    <w:p w:rsidR="008E4A58" w:rsidRPr="003F0DC3" w:rsidP="003F0DC3" w14:paraId="3B171D5F" w14:textId="77777777">
      <w:pPr>
        <w:spacing w:after="0" w:line="240" w:lineRule="auto"/>
        <w:rPr>
          <w:rFonts w:asciiTheme="minorBidi" w:hAnsiTheme="minorBidi"/>
          <w:sz w:val="24"/>
          <w:szCs w:val="24"/>
        </w:rPr>
      </w:pPr>
    </w:p>
    <w:sectPr w:rsidSect="008E4A58">
      <w:headerReference w:type="default" r:id="rId9"/>
      <w:footerReference w:type="default" r:id="rId10"/>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9737442"/>
      <w:docPartObj>
        <w:docPartGallery w:val="Page Numbers (Bottom of Page)"/>
        <w:docPartUnique/>
      </w:docPartObj>
    </w:sdtPr>
    <w:sdtEndPr>
      <w:rPr>
        <w:noProof/>
      </w:rPr>
    </w:sdtEndPr>
    <w:sdtContent>
      <w:p w:rsidR="006E4443" w14:paraId="02B3CEA6" w14:textId="6A3960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646BD" w14:paraId="74A9D6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1D8A" w:rsidP="008E4A58" w14:paraId="77246177" w14:textId="77777777">
      <w:pPr>
        <w:spacing w:after="0" w:line="240" w:lineRule="auto"/>
      </w:pPr>
      <w:r>
        <w:separator/>
      </w:r>
    </w:p>
  </w:footnote>
  <w:footnote w:type="continuationSeparator" w:id="1">
    <w:p w:rsidR="00ED1D8A" w:rsidP="008E4A58" w14:paraId="4ECE617D" w14:textId="77777777">
      <w:pPr>
        <w:spacing w:after="0" w:line="240" w:lineRule="auto"/>
      </w:pPr>
      <w:r>
        <w:continuationSeparator/>
      </w:r>
    </w:p>
  </w:footnote>
  <w:footnote w:type="continuationNotice" w:id="2">
    <w:p w:rsidR="00ED1D8A" w14:paraId="41B0DA4B" w14:textId="77777777">
      <w:pPr>
        <w:spacing w:after="0" w:line="240" w:lineRule="auto"/>
      </w:pPr>
    </w:p>
  </w:footnote>
  <w:footnote w:id="3">
    <w:p w:rsidR="00544618" w14:paraId="2688EFD5" w14:textId="04084802">
      <w:pPr>
        <w:pStyle w:val="FootnoteText"/>
      </w:pPr>
      <w:r>
        <w:rPr>
          <w:rStyle w:val="FootnoteReference"/>
        </w:rPr>
        <w:t>1</w:t>
      </w:r>
      <w:r w:rsidRPr="001E195E">
        <w:rPr>
          <w:rFonts w:ascii="Times New Roman" w:hAnsi="Times New Roman"/>
        </w:rPr>
        <w:t xml:space="preserve"> Section 21205(d)(2)(B) of Pub. L. 117-58.</w:t>
      </w:r>
    </w:p>
  </w:footnote>
  <w:footnote w:id="4">
    <w:p w:rsidR="003E478A" w:rsidRPr="00221A83" w14:paraId="27AB162A" w14:textId="2A044C6B">
      <w:pPr>
        <w:pStyle w:val="FootnoteText"/>
        <w:rPr>
          <w:rFonts w:ascii="Times New Roman" w:hAnsi="Times New Roman"/>
        </w:rPr>
      </w:pPr>
      <w:r>
        <w:rPr>
          <w:rStyle w:val="FootnoteReference"/>
        </w:rPr>
        <w:t>2</w:t>
      </w:r>
      <w:r w:rsidRPr="00221A83">
        <w:rPr>
          <w:rFonts w:ascii="Times New Roman" w:hAnsi="Times New Roman"/>
        </w:rPr>
        <w:t xml:space="preserve"> </w:t>
      </w:r>
      <w:hyperlink r:id="rId1" w:anchor="/industry/000000" w:history="1">
        <w:r w:rsidRPr="00221A83">
          <w:rPr>
            <w:rStyle w:val="Hyperlink"/>
            <w:rFonts w:ascii="Times New Roman" w:hAnsi="Times New Roman"/>
          </w:rPr>
          <w:t>https://data.bls.gov/oes/#/industry/000000</w:t>
        </w:r>
      </w:hyperlink>
    </w:p>
  </w:footnote>
  <w:footnote w:id="5">
    <w:p w:rsidR="007B61B4" w:rsidP="00CF60D9" w14:paraId="04B1B6C6" w14:textId="34BE2B70">
      <w:pPr>
        <w:pStyle w:val="FootnoteText"/>
      </w:pPr>
      <w:r>
        <w:rPr>
          <w:rStyle w:val="FootnoteReference"/>
        </w:rPr>
        <w:t>3</w:t>
      </w:r>
      <w:r>
        <w:t xml:space="preserve"> </w:t>
      </w:r>
      <w:hyperlink r:id="rId2" w:history="1">
        <w:r w:rsidRPr="00221A83">
          <w:rPr>
            <w:rStyle w:val="Hyperlink"/>
            <w:rFonts w:ascii="Times New Roman" w:hAnsi="Times New Roman"/>
          </w:rPr>
          <w:t>https://www.opm.gov/policy-data-oversight/pay-leave/salaries-wages/salary-tables/pdf/2026/DCB_h.pdf</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46BD" w14:paraId="3461D399" w14:textId="74B323EC">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F67C1D"/>
    <w:multiLevelType w:val="hybridMultilevel"/>
    <w:tmpl w:val="267A7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526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58"/>
    <w:rsid w:val="000011A8"/>
    <w:rsid w:val="000029EF"/>
    <w:rsid w:val="0000585F"/>
    <w:rsid w:val="00012EDE"/>
    <w:rsid w:val="00021B31"/>
    <w:rsid w:val="000224A0"/>
    <w:rsid w:val="000239B6"/>
    <w:rsid w:val="000331C0"/>
    <w:rsid w:val="00037935"/>
    <w:rsid w:val="00040AAE"/>
    <w:rsid w:val="00045AC4"/>
    <w:rsid w:val="00046240"/>
    <w:rsid w:val="00053DEA"/>
    <w:rsid w:val="00055F98"/>
    <w:rsid w:val="00056A4E"/>
    <w:rsid w:val="00060907"/>
    <w:rsid w:val="00063E08"/>
    <w:rsid w:val="000640A8"/>
    <w:rsid w:val="00066610"/>
    <w:rsid w:val="0007196B"/>
    <w:rsid w:val="00075C6C"/>
    <w:rsid w:val="000773D5"/>
    <w:rsid w:val="00084938"/>
    <w:rsid w:val="00086AA2"/>
    <w:rsid w:val="000917AF"/>
    <w:rsid w:val="0009405F"/>
    <w:rsid w:val="00095E4B"/>
    <w:rsid w:val="00097960"/>
    <w:rsid w:val="00097A8E"/>
    <w:rsid w:val="000A0ED2"/>
    <w:rsid w:val="000A0FA4"/>
    <w:rsid w:val="000A3563"/>
    <w:rsid w:val="000A3A52"/>
    <w:rsid w:val="000A744F"/>
    <w:rsid w:val="000B0B82"/>
    <w:rsid w:val="000B17E0"/>
    <w:rsid w:val="000B5030"/>
    <w:rsid w:val="000B56BB"/>
    <w:rsid w:val="000B63F1"/>
    <w:rsid w:val="000C12F9"/>
    <w:rsid w:val="000C2D84"/>
    <w:rsid w:val="000C32B2"/>
    <w:rsid w:val="000C3683"/>
    <w:rsid w:val="000C56FD"/>
    <w:rsid w:val="000C6D47"/>
    <w:rsid w:val="000D06AE"/>
    <w:rsid w:val="000D0AB9"/>
    <w:rsid w:val="000D2CB1"/>
    <w:rsid w:val="000D6A50"/>
    <w:rsid w:val="000D7E21"/>
    <w:rsid w:val="000E150A"/>
    <w:rsid w:val="000E16DF"/>
    <w:rsid w:val="000E2F53"/>
    <w:rsid w:val="000E53C7"/>
    <w:rsid w:val="000E622C"/>
    <w:rsid w:val="000E7522"/>
    <w:rsid w:val="000E7841"/>
    <w:rsid w:val="000F29F8"/>
    <w:rsid w:val="00100620"/>
    <w:rsid w:val="001071C1"/>
    <w:rsid w:val="00117031"/>
    <w:rsid w:val="001209F7"/>
    <w:rsid w:val="00124F40"/>
    <w:rsid w:val="001275A6"/>
    <w:rsid w:val="00127A63"/>
    <w:rsid w:val="0013183F"/>
    <w:rsid w:val="00137E9C"/>
    <w:rsid w:val="001400E8"/>
    <w:rsid w:val="001400ED"/>
    <w:rsid w:val="00140FA5"/>
    <w:rsid w:val="00155E35"/>
    <w:rsid w:val="00157FAB"/>
    <w:rsid w:val="00160EDF"/>
    <w:rsid w:val="001637CD"/>
    <w:rsid w:val="00170525"/>
    <w:rsid w:val="001855DA"/>
    <w:rsid w:val="00187336"/>
    <w:rsid w:val="00193397"/>
    <w:rsid w:val="001A2215"/>
    <w:rsid w:val="001A3952"/>
    <w:rsid w:val="001A399F"/>
    <w:rsid w:val="001B1F1D"/>
    <w:rsid w:val="001B32A5"/>
    <w:rsid w:val="001B397B"/>
    <w:rsid w:val="001B57B7"/>
    <w:rsid w:val="001B684E"/>
    <w:rsid w:val="001B7FBF"/>
    <w:rsid w:val="001C1054"/>
    <w:rsid w:val="001C165C"/>
    <w:rsid w:val="001C66AF"/>
    <w:rsid w:val="001E076B"/>
    <w:rsid w:val="001E0C50"/>
    <w:rsid w:val="001E195E"/>
    <w:rsid w:val="001E26AA"/>
    <w:rsid w:val="001E5034"/>
    <w:rsid w:val="001E68B0"/>
    <w:rsid w:val="001E6C46"/>
    <w:rsid w:val="001E6D54"/>
    <w:rsid w:val="001E7664"/>
    <w:rsid w:val="001F0B69"/>
    <w:rsid w:val="001F7C72"/>
    <w:rsid w:val="002012A1"/>
    <w:rsid w:val="002021A7"/>
    <w:rsid w:val="00202AF9"/>
    <w:rsid w:val="002031F7"/>
    <w:rsid w:val="00203D1B"/>
    <w:rsid w:val="00204A9C"/>
    <w:rsid w:val="002070DB"/>
    <w:rsid w:val="002132EA"/>
    <w:rsid w:val="00215376"/>
    <w:rsid w:val="00221985"/>
    <w:rsid w:val="00221A83"/>
    <w:rsid w:val="00227580"/>
    <w:rsid w:val="0023652A"/>
    <w:rsid w:val="00243026"/>
    <w:rsid w:val="002456CE"/>
    <w:rsid w:val="00245D71"/>
    <w:rsid w:val="00245E36"/>
    <w:rsid w:val="00247858"/>
    <w:rsid w:val="00252379"/>
    <w:rsid w:val="00253671"/>
    <w:rsid w:val="002569E5"/>
    <w:rsid w:val="00261EB5"/>
    <w:rsid w:val="002663F9"/>
    <w:rsid w:val="002702A1"/>
    <w:rsid w:val="00272EFD"/>
    <w:rsid w:val="00275F6A"/>
    <w:rsid w:val="002776C2"/>
    <w:rsid w:val="00284E19"/>
    <w:rsid w:val="0028560E"/>
    <w:rsid w:val="002864DD"/>
    <w:rsid w:val="00294460"/>
    <w:rsid w:val="002963A9"/>
    <w:rsid w:val="002A0DDE"/>
    <w:rsid w:val="002A1A43"/>
    <w:rsid w:val="002A34E4"/>
    <w:rsid w:val="002A3B85"/>
    <w:rsid w:val="002A3E10"/>
    <w:rsid w:val="002A51AA"/>
    <w:rsid w:val="002B59C7"/>
    <w:rsid w:val="002C2AB0"/>
    <w:rsid w:val="002D1A8F"/>
    <w:rsid w:val="002D3A4D"/>
    <w:rsid w:val="002D5145"/>
    <w:rsid w:val="002D74FB"/>
    <w:rsid w:val="002D7C28"/>
    <w:rsid w:val="002E27D8"/>
    <w:rsid w:val="002F1F7F"/>
    <w:rsid w:val="002F3D6C"/>
    <w:rsid w:val="002F3FBC"/>
    <w:rsid w:val="002F5950"/>
    <w:rsid w:val="003000F4"/>
    <w:rsid w:val="00305CFD"/>
    <w:rsid w:val="00317732"/>
    <w:rsid w:val="0032116B"/>
    <w:rsid w:val="00321B60"/>
    <w:rsid w:val="00321F20"/>
    <w:rsid w:val="00323932"/>
    <w:rsid w:val="00335087"/>
    <w:rsid w:val="00340891"/>
    <w:rsid w:val="00340EEF"/>
    <w:rsid w:val="00344C24"/>
    <w:rsid w:val="00355F65"/>
    <w:rsid w:val="00356C31"/>
    <w:rsid w:val="00357E3F"/>
    <w:rsid w:val="00362E24"/>
    <w:rsid w:val="00362EE9"/>
    <w:rsid w:val="0036692E"/>
    <w:rsid w:val="003703E5"/>
    <w:rsid w:val="0037121C"/>
    <w:rsid w:val="00374BCC"/>
    <w:rsid w:val="003833AE"/>
    <w:rsid w:val="00385062"/>
    <w:rsid w:val="00387A35"/>
    <w:rsid w:val="0039007C"/>
    <w:rsid w:val="00394276"/>
    <w:rsid w:val="00394BD1"/>
    <w:rsid w:val="00397DC4"/>
    <w:rsid w:val="003A4382"/>
    <w:rsid w:val="003C34E8"/>
    <w:rsid w:val="003C7EB5"/>
    <w:rsid w:val="003D1B71"/>
    <w:rsid w:val="003D294E"/>
    <w:rsid w:val="003D36DD"/>
    <w:rsid w:val="003D6693"/>
    <w:rsid w:val="003D6D90"/>
    <w:rsid w:val="003E35D7"/>
    <w:rsid w:val="003E478A"/>
    <w:rsid w:val="003F0DC3"/>
    <w:rsid w:val="003F1B57"/>
    <w:rsid w:val="003F342E"/>
    <w:rsid w:val="00401D23"/>
    <w:rsid w:val="00403F7E"/>
    <w:rsid w:val="00407B7C"/>
    <w:rsid w:val="00410D3C"/>
    <w:rsid w:val="0041197C"/>
    <w:rsid w:val="00411D6A"/>
    <w:rsid w:val="00413B39"/>
    <w:rsid w:val="00420E96"/>
    <w:rsid w:val="00430B3C"/>
    <w:rsid w:val="00431E68"/>
    <w:rsid w:val="0043677A"/>
    <w:rsid w:val="00440D0D"/>
    <w:rsid w:val="00442B6E"/>
    <w:rsid w:val="00450EDC"/>
    <w:rsid w:val="00451B61"/>
    <w:rsid w:val="0045622E"/>
    <w:rsid w:val="00456C18"/>
    <w:rsid w:val="0045716E"/>
    <w:rsid w:val="00457811"/>
    <w:rsid w:val="004613FB"/>
    <w:rsid w:val="00465314"/>
    <w:rsid w:val="004656C2"/>
    <w:rsid w:val="00472464"/>
    <w:rsid w:val="004726D4"/>
    <w:rsid w:val="00474B24"/>
    <w:rsid w:val="00475AD8"/>
    <w:rsid w:val="004825C6"/>
    <w:rsid w:val="00482904"/>
    <w:rsid w:val="0048519D"/>
    <w:rsid w:val="00491954"/>
    <w:rsid w:val="00491955"/>
    <w:rsid w:val="00496CA2"/>
    <w:rsid w:val="00496D8C"/>
    <w:rsid w:val="004A08C0"/>
    <w:rsid w:val="004A65C1"/>
    <w:rsid w:val="004A70CD"/>
    <w:rsid w:val="004B11FE"/>
    <w:rsid w:val="004B200D"/>
    <w:rsid w:val="004C27C9"/>
    <w:rsid w:val="004C7883"/>
    <w:rsid w:val="004D068F"/>
    <w:rsid w:val="004D168F"/>
    <w:rsid w:val="004D4EBE"/>
    <w:rsid w:val="004D6090"/>
    <w:rsid w:val="004D66D6"/>
    <w:rsid w:val="004D7687"/>
    <w:rsid w:val="004E0EAC"/>
    <w:rsid w:val="004E1246"/>
    <w:rsid w:val="004E3132"/>
    <w:rsid w:val="004F1A3D"/>
    <w:rsid w:val="004F46C8"/>
    <w:rsid w:val="004F7D3A"/>
    <w:rsid w:val="005037B9"/>
    <w:rsid w:val="00504ED1"/>
    <w:rsid w:val="00507D7B"/>
    <w:rsid w:val="005125D6"/>
    <w:rsid w:val="005151DC"/>
    <w:rsid w:val="00516053"/>
    <w:rsid w:val="00522F5E"/>
    <w:rsid w:val="00525C75"/>
    <w:rsid w:val="00527C7E"/>
    <w:rsid w:val="00537D1C"/>
    <w:rsid w:val="00540046"/>
    <w:rsid w:val="00544618"/>
    <w:rsid w:val="005511B7"/>
    <w:rsid w:val="00552920"/>
    <w:rsid w:val="00552EBE"/>
    <w:rsid w:val="00552ED9"/>
    <w:rsid w:val="005532E9"/>
    <w:rsid w:val="00554EC9"/>
    <w:rsid w:val="00556DCB"/>
    <w:rsid w:val="00563B45"/>
    <w:rsid w:val="00564514"/>
    <w:rsid w:val="0056502D"/>
    <w:rsid w:val="00570983"/>
    <w:rsid w:val="0057141C"/>
    <w:rsid w:val="005718C9"/>
    <w:rsid w:val="0057301D"/>
    <w:rsid w:val="0057336E"/>
    <w:rsid w:val="00576BAA"/>
    <w:rsid w:val="00577CCA"/>
    <w:rsid w:val="00581B12"/>
    <w:rsid w:val="005838B0"/>
    <w:rsid w:val="00584967"/>
    <w:rsid w:val="00587728"/>
    <w:rsid w:val="00597C36"/>
    <w:rsid w:val="005A1F11"/>
    <w:rsid w:val="005A4672"/>
    <w:rsid w:val="005A4BC8"/>
    <w:rsid w:val="005B2CDB"/>
    <w:rsid w:val="005B2CE9"/>
    <w:rsid w:val="005C108F"/>
    <w:rsid w:val="005D0BA6"/>
    <w:rsid w:val="005D1B15"/>
    <w:rsid w:val="005D31C8"/>
    <w:rsid w:val="005D501B"/>
    <w:rsid w:val="005D6AA5"/>
    <w:rsid w:val="005E32A4"/>
    <w:rsid w:val="005E40F4"/>
    <w:rsid w:val="005E4BB0"/>
    <w:rsid w:val="005E6E8D"/>
    <w:rsid w:val="005F1986"/>
    <w:rsid w:val="005F1DD0"/>
    <w:rsid w:val="005F1ED0"/>
    <w:rsid w:val="005F6AE5"/>
    <w:rsid w:val="00606675"/>
    <w:rsid w:val="006121F2"/>
    <w:rsid w:val="0061395D"/>
    <w:rsid w:val="00613C45"/>
    <w:rsid w:val="006175E5"/>
    <w:rsid w:val="00622C78"/>
    <w:rsid w:val="00630A70"/>
    <w:rsid w:val="00633806"/>
    <w:rsid w:val="00635FDD"/>
    <w:rsid w:val="00641784"/>
    <w:rsid w:val="006422B3"/>
    <w:rsid w:val="00642BDF"/>
    <w:rsid w:val="0064341E"/>
    <w:rsid w:val="006446C2"/>
    <w:rsid w:val="006449DE"/>
    <w:rsid w:val="00646CAC"/>
    <w:rsid w:val="00647591"/>
    <w:rsid w:val="006478D5"/>
    <w:rsid w:val="00654C46"/>
    <w:rsid w:val="00656A02"/>
    <w:rsid w:val="00656FB9"/>
    <w:rsid w:val="00661226"/>
    <w:rsid w:val="00662329"/>
    <w:rsid w:val="00663B15"/>
    <w:rsid w:val="00663D55"/>
    <w:rsid w:val="006650FD"/>
    <w:rsid w:val="0066697D"/>
    <w:rsid w:val="00670D6E"/>
    <w:rsid w:val="00672422"/>
    <w:rsid w:val="00674765"/>
    <w:rsid w:val="00676E89"/>
    <w:rsid w:val="006772F1"/>
    <w:rsid w:val="00677701"/>
    <w:rsid w:val="006859F5"/>
    <w:rsid w:val="00685BEF"/>
    <w:rsid w:val="00686593"/>
    <w:rsid w:val="00697F84"/>
    <w:rsid w:val="006A1AA2"/>
    <w:rsid w:val="006A3DD0"/>
    <w:rsid w:val="006A7F2C"/>
    <w:rsid w:val="006B060D"/>
    <w:rsid w:val="006B07FD"/>
    <w:rsid w:val="006B17BC"/>
    <w:rsid w:val="006B4748"/>
    <w:rsid w:val="006C0B6A"/>
    <w:rsid w:val="006C3F64"/>
    <w:rsid w:val="006C5165"/>
    <w:rsid w:val="006D007F"/>
    <w:rsid w:val="006D1BDB"/>
    <w:rsid w:val="006E2A53"/>
    <w:rsid w:val="006E4443"/>
    <w:rsid w:val="006E4D76"/>
    <w:rsid w:val="006E4DEA"/>
    <w:rsid w:val="006E5BC4"/>
    <w:rsid w:val="006F3E68"/>
    <w:rsid w:val="006F785F"/>
    <w:rsid w:val="00700543"/>
    <w:rsid w:val="00703904"/>
    <w:rsid w:val="00703DBA"/>
    <w:rsid w:val="0070493B"/>
    <w:rsid w:val="00707993"/>
    <w:rsid w:val="007112EC"/>
    <w:rsid w:val="00715A3A"/>
    <w:rsid w:val="00716398"/>
    <w:rsid w:val="007202A7"/>
    <w:rsid w:val="00720AEB"/>
    <w:rsid w:val="0072697A"/>
    <w:rsid w:val="0073054A"/>
    <w:rsid w:val="00730D16"/>
    <w:rsid w:val="0073194B"/>
    <w:rsid w:val="00732F6E"/>
    <w:rsid w:val="007364B2"/>
    <w:rsid w:val="00740C80"/>
    <w:rsid w:val="0074127B"/>
    <w:rsid w:val="00744C1D"/>
    <w:rsid w:val="00747AC2"/>
    <w:rsid w:val="00757C78"/>
    <w:rsid w:val="00762734"/>
    <w:rsid w:val="007660FA"/>
    <w:rsid w:val="00767430"/>
    <w:rsid w:val="007703FF"/>
    <w:rsid w:val="00772792"/>
    <w:rsid w:val="007764FF"/>
    <w:rsid w:val="00777920"/>
    <w:rsid w:val="00782460"/>
    <w:rsid w:val="0078317F"/>
    <w:rsid w:val="007864E9"/>
    <w:rsid w:val="00787731"/>
    <w:rsid w:val="007878AC"/>
    <w:rsid w:val="007916DE"/>
    <w:rsid w:val="00791BF9"/>
    <w:rsid w:val="007954AD"/>
    <w:rsid w:val="00796452"/>
    <w:rsid w:val="007A3D0D"/>
    <w:rsid w:val="007A6934"/>
    <w:rsid w:val="007B162C"/>
    <w:rsid w:val="007B37A1"/>
    <w:rsid w:val="007B41A1"/>
    <w:rsid w:val="007B61B4"/>
    <w:rsid w:val="007B7CC2"/>
    <w:rsid w:val="007C0E0E"/>
    <w:rsid w:val="007C2FD0"/>
    <w:rsid w:val="007C372D"/>
    <w:rsid w:val="007D060D"/>
    <w:rsid w:val="007D0740"/>
    <w:rsid w:val="007D28C9"/>
    <w:rsid w:val="007D3827"/>
    <w:rsid w:val="007D4F41"/>
    <w:rsid w:val="007E00C4"/>
    <w:rsid w:val="007E22C5"/>
    <w:rsid w:val="007E4C7A"/>
    <w:rsid w:val="007F3954"/>
    <w:rsid w:val="00800464"/>
    <w:rsid w:val="00804998"/>
    <w:rsid w:val="008054E3"/>
    <w:rsid w:val="00810F0E"/>
    <w:rsid w:val="008114D0"/>
    <w:rsid w:val="00811D6B"/>
    <w:rsid w:val="00811E88"/>
    <w:rsid w:val="00814054"/>
    <w:rsid w:val="00815086"/>
    <w:rsid w:val="00823AF4"/>
    <w:rsid w:val="00824285"/>
    <w:rsid w:val="00824925"/>
    <w:rsid w:val="0082D63F"/>
    <w:rsid w:val="008311E9"/>
    <w:rsid w:val="0083274B"/>
    <w:rsid w:val="008357A3"/>
    <w:rsid w:val="008364CB"/>
    <w:rsid w:val="0084051D"/>
    <w:rsid w:val="0084077E"/>
    <w:rsid w:val="00846AAA"/>
    <w:rsid w:val="00846F7D"/>
    <w:rsid w:val="00850722"/>
    <w:rsid w:val="00860B96"/>
    <w:rsid w:val="008622CD"/>
    <w:rsid w:val="00863DE9"/>
    <w:rsid w:val="0086417D"/>
    <w:rsid w:val="00865531"/>
    <w:rsid w:val="00866452"/>
    <w:rsid w:val="008725A5"/>
    <w:rsid w:val="008735CC"/>
    <w:rsid w:val="008735F8"/>
    <w:rsid w:val="008743A2"/>
    <w:rsid w:val="008744BF"/>
    <w:rsid w:val="008751CA"/>
    <w:rsid w:val="008756B6"/>
    <w:rsid w:val="00876EC5"/>
    <w:rsid w:val="00880F00"/>
    <w:rsid w:val="00880F80"/>
    <w:rsid w:val="008811CA"/>
    <w:rsid w:val="00881E57"/>
    <w:rsid w:val="00886A2E"/>
    <w:rsid w:val="00893A20"/>
    <w:rsid w:val="008A0B61"/>
    <w:rsid w:val="008A4AC2"/>
    <w:rsid w:val="008A5089"/>
    <w:rsid w:val="008A68B6"/>
    <w:rsid w:val="008A69DA"/>
    <w:rsid w:val="008B2AEC"/>
    <w:rsid w:val="008B60CE"/>
    <w:rsid w:val="008C6C7A"/>
    <w:rsid w:val="008D1ECF"/>
    <w:rsid w:val="008D3CD9"/>
    <w:rsid w:val="008D66F7"/>
    <w:rsid w:val="008D77B8"/>
    <w:rsid w:val="008E0320"/>
    <w:rsid w:val="008E093C"/>
    <w:rsid w:val="008E1F5D"/>
    <w:rsid w:val="008E3B35"/>
    <w:rsid w:val="008E4A58"/>
    <w:rsid w:val="008E4F6D"/>
    <w:rsid w:val="008E51E2"/>
    <w:rsid w:val="008E6984"/>
    <w:rsid w:val="008F4420"/>
    <w:rsid w:val="008F516A"/>
    <w:rsid w:val="00900812"/>
    <w:rsid w:val="0090464D"/>
    <w:rsid w:val="00906F7B"/>
    <w:rsid w:val="0091458F"/>
    <w:rsid w:val="009152BC"/>
    <w:rsid w:val="009157A7"/>
    <w:rsid w:val="00924F93"/>
    <w:rsid w:val="009271E2"/>
    <w:rsid w:val="009271F2"/>
    <w:rsid w:val="00927BEC"/>
    <w:rsid w:val="009305D4"/>
    <w:rsid w:val="00931C59"/>
    <w:rsid w:val="00933590"/>
    <w:rsid w:val="00940318"/>
    <w:rsid w:val="00941671"/>
    <w:rsid w:val="009545A2"/>
    <w:rsid w:val="00955C22"/>
    <w:rsid w:val="00955EFE"/>
    <w:rsid w:val="009625DF"/>
    <w:rsid w:val="0096275A"/>
    <w:rsid w:val="00962769"/>
    <w:rsid w:val="00963CE7"/>
    <w:rsid w:val="009641B2"/>
    <w:rsid w:val="009653DD"/>
    <w:rsid w:val="00972B5D"/>
    <w:rsid w:val="00976A1A"/>
    <w:rsid w:val="00976D3C"/>
    <w:rsid w:val="00977C2F"/>
    <w:rsid w:val="00981F76"/>
    <w:rsid w:val="00987F68"/>
    <w:rsid w:val="0099189E"/>
    <w:rsid w:val="009A3746"/>
    <w:rsid w:val="009A463D"/>
    <w:rsid w:val="009A6B44"/>
    <w:rsid w:val="009A6D6D"/>
    <w:rsid w:val="009B17AB"/>
    <w:rsid w:val="009B2D0E"/>
    <w:rsid w:val="009B44AA"/>
    <w:rsid w:val="009C7239"/>
    <w:rsid w:val="009C78A3"/>
    <w:rsid w:val="009D114E"/>
    <w:rsid w:val="009D289C"/>
    <w:rsid w:val="009D439D"/>
    <w:rsid w:val="009D6CF0"/>
    <w:rsid w:val="009D77C9"/>
    <w:rsid w:val="009E2722"/>
    <w:rsid w:val="009E7AF3"/>
    <w:rsid w:val="009F0A6F"/>
    <w:rsid w:val="009F205A"/>
    <w:rsid w:val="009F5F60"/>
    <w:rsid w:val="00A005C0"/>
    <w:rsid w:val="00A048D0"/>
    <w:rsid w:val="00A04AF5"/>
    <w:rsid w:val="00A10645"/>
    <w:rsid w:val="00A11FFC"/>
    <w:rsid w:val="00A175CB"/>
    <w:rsid w:val="00A25A3E"/>
    <w:rsid w:val="00A266B7"/>
    <w:rsid w:val="00A31CE5"/>
    <w:rsid w:val="00A3762B"/>
    <w:rsid w:val="00A37925"/>
    <w:rsid w:val="00A40537"/>
    <w:rsid w:val="00A416AB"/>
    <w:rsid w:val="00A45699"/>
    <w:rsid w:val="00A50195"/>
    <w:rsid w:val="00A54299"/>
    <w:rsid w:val="00A55D78"/>
    <w:rsid w:val="00A60E82"/>
    <w:rsid w:val="00A659DD"/>
    <w:rsid w:val="00A66F8B"/>
    <w:rsid w:val="00A71376"/>
    <w:rsid w:val="00A756ED"/>
    <w:rsid w:val="00A7648B"/>
    <w:rsid w:val="00A82967"/>
    <w:rsid w:val="00A85F8E"/>
    <w:rsid w:val="00A87842"/>
    <w:rsid w:val="00A94ACE"/>
    <w:rsid w:val="00AA281C"/>
    <w:rsid w:val="00AA31AA"/>
    <w:rsid w:val="00AA4868"/>
    <w:rsid w:val="00AB0568"/>
    <w:rsid w:val="00AB536F"/>
    <w:rsid w:val="00AB7DE8"/>
    <w:rsid w:val="00AC197D"/>
    <w:rsid w:val="00AC6078"/>
    <w:rsid w:val="00AC7803"/>
    <w:rsid w:val="00AD0201"/>
    <w:rsid w:val="00AD1944"/>
    <w:rsid w:val="00AD2267"/>
    <w:rsid w:val="00AD2877"/>
    <w:rsid w:val="00AD5011"/>
    <w:rsid w:val="00AD6779"/>
    <w:rsid w:val="00AE02DE"/>
    <w:rsid w:val="00AE09B4"/>
    <w:rsid w:val="00AE3ACD"/>
    <w:rsid w:val="00AE411B"/>
    <w:rsid w:val="00AE6705"/>
    <w:rsid w:val="00AE6DA8"/>
    <w:rsid w:val="00AF4FC2"/>
    <w:rsid w:val="00B02C87"/>
    <w:rsid w:val="00B13F3A"/>
    <w:rsid w:val="00B236BC"/>
    <w:rsid w:val="00B23E6D"/>
    <w:rsid w:val="00B2598D"/>
    <w:rsid w:val="00B27472"/>
    <w:rsid w:val="00B27D3C"/>
    <w:rsid w:val="00B3092F"/>
    <w:rsid w:val="00B32BAB"/>
    <w:rsid w:val="00B349A5"/>
    <w:rsid w:val="00B42DA9"/>
    <w:rsid w:val="00B4569B"/>
    <w:rsid w:val="00B4641E"/>
    <w:rsid w:val="00B5019A"/>
    <w:rsid w:val="00B60AA4"/>
    <w:rsid w:val="00B64D65"/>
    <w:rsid w:val="00B751D6"/>
    <w:rsid w:val="00B779DB"/>
    <w:rsid w:val="00B80A01"/>
    <w:rsid w:val="00B82539"/>
    <w:rsid w:val="00B85A6D"/>
    <w:rsid w:val="00B8747D"/>
    <w:rsid w:val="00B90545"/>
    <w:rsid w:val="00B926F8"/>
    <w:rsid w:val="00BA26E2"/>
    <w:rsid w:val="00BA58D3"/>
    <w:rsid w:val="00BA7F3E"/>
    <w:rsid w:val="00BB0693"/>
    <w:rsid w:val="00BB7FB0"/>
    <w:rsid w:val="00BC0EF2"/>
    <w:rsid w:val="00BC3805"/>
    <w:rsid w:val="00BC4D80"/>
    <w:rsid w:val="00BC5EEE"/>
    <w:rsid w:val="00BC762E"/>
    <w:rsid w:val="00BD2F65"/>
    <w:rsid w:val="00BD54A9"/>
    <w:rsid w:val="00BD7715"/>
    <w:rsid w:val="00BE2A58"/>
    <w:rsid w:val="00BE30E2"/>
    <w:rsid w:val="00BE37CB"/>
    <w:rsid w:val="00BE4B0F"/>
    <w:rsid w:val="00BE5BA0"/>
    <w:rsid w:val="00BE721A"/>
    <w:rsid w:val="00BF3F22"/>
    <w:rsid w:val="00BF7A60"/>
    <w:rsid w:val="00C0159F"/>
    <w:rsid w:val="00C03DB7"/>
    <w:rsid w:val="00C10DC3"/>
    <w:rsid w:val="00C12B4C"/>
    <w:rsid w:val="00C1374D"/>
    <w:rsid w:val="00C14B0A"/>
    <w:rsid w:val="00C14FFB"/>
    <w:rsid w:val="00C15C04"/>
    <w:rsid w:val="00C16BEC"/>
    <w:rsid w:val="00C1711D"/>
    <w:rsid w:val="00C23310"/>
    <w:rsid w:val="00C25E53"/>
    <w:rsid w:val="00C3093E"/>
    <w:rsid w:val="00C33798"/>
    <w:rsid w:val="00C3628D"/>
    <w:rsid w:val="00C418A2"/>
    <w:rsid w:val="00C43D38"/>
    <w:rsid w:val="00C454BB"/>
    <w:rsid w:val="00C45D59"/>
    <w:rsid w:val="00C5645D"/>
    <w:rsid w:val="00C70895"/>
    <w:rsid w:val="00C71BAA"/>
    <w:rsid w:val="00C71D02"/>
    <w:rsid w:val="00C72460"/>
    <w:rsid w:val="00C73B29"/>
    <w:rsid w:val="00C7700C"/>
    <w:rsid w:val="00C86ABE"/>
    <w:rsid w:val="00C91C22"/>
    <w:rsid w:val="00C92D33"/>
    <w:rsid w:val="00C97EBC"/>
    <w:rsid w:val="00CA53B6"/>
    <w:rsid w:val="00CA6E5B"/>
    <w:rsid w:val="00CA761E"/>
    <w:rsid w:val="00CB5ADF"/>
    <w:rsid w:val="00CB5FCD"/>
    <w:rsid w:val="00CB60B0"/>
    <w:rsid w:val="00CC0319"/>
    <w:rsid w:val="00CC17E8"/>
    <w:rsid w:val="00CC1A3C"/>
    <w:rsid w:val="00CC2248"/>
    <w:rsid w:val="00CC2669"/>
    <w:rsid w:val="00CC4306"/>
    <w:rsid w:val="00CC4E8A"/>
    <w:rsid w:val="00CC6372"/>
    <w:rsid w:val="00CC774C"/>
    <w:rsid w:val="00CD55B7"/>
    <w:rsid w:val="00CE010F"/>
    <w:rsid w:val="00CE2964"/>
    <w:rsid w:val="00CE4D0B"/>
    <w:rsid w:val="00CE555A"/>
    <w:rsid w:val="00CE57EF"/>
    <w:rsid w:val="00CF0AAB"/>
    <w:rsid w:val="00CF1405"/>
    <w:rsid w:val="00CF5220"/>
    <w:rsid w:val="00CF5DBC"/>
    <w:rsid w:val="00CF60D9"/>
    <w:rsid w:val="00CF69E1"/>
    <w:rsid w:val="00CF711C"/>
    <w:rsid w:val="00D0619A"/>
    <w:rsid w:val="00D17D8A"/>
    <w:rsid w:val="00D220E0"/>
    <w:rsid w:val="00D256EA"/>
    <w:rsid w:val="00D272C5"/>
    <w:rsid w:val="00D31DB5"/>
    <w:rsid w:val="00D343D9"/>
    <w:rsid w:val="00D40E09"/>
    <w:rsid w:val="00D40E95"/>
    <w:rsid w:val="00D425BE"/>
    <w:rsid w:val="00D44846"/>
    <w:rsid w:val="00D53983"/>
    <w:rsid w:val="00D55C80"/>
    <w:rsid w:val="00D5655D"/>
    <w:rsid w:val="00D60E18"/>
    <w:rsid w:val="00D615BA"/>
    <w:rsid w:val="00D646BD"/>
    <w:rsid w:val="00D6645B"/>
    <w:rsid w:val="00D725B7"/>
    <w:rsid w:val="00D81531"/>
    <w:rsid w:val="00D838AD"/>
    <w:rsid w:val="00D84006"/>
    <w:rsid w:val="00D87939"/>
    <w:rsid w:val="00D87DEE"/>
    <w:rsid w:val="00D9158D"/>
    <w:rsid w:val="00D9160A"/>
    <w:rsid w:val="00D92BD1"/>
    <w:rsid w:val="00D9508F"/>
    <w:rsid w:val="00DA0B3E"/>
    <w:rsid w:val="00DA28CF"/>
    <w:rsid w:val="00DA3DD3"/>
    <w:rsid w:val="00DA45E5"/>
    <w:rsid w:val="00DA7ADB"/>
    <w:rsid w:val="00DB59CA"/>
    <w:rsid w:val="00DB6953"/>
    <w:rsid w:val="00DB7C80"/>
    <w:rsid w:val="00DC1683"/>
    <w:rsid w:val="00DC4DCF"/>
    <w:rsid w:val="00DC550D"/>
    <w:rsid w:val="00DC559D"/>
    <w:rsid w:val="00DC6B64"/>
    <w:rsid w:val="00DD0561"/>
    <w:rsid w:val="00DD10E7"/>
    <w:rsid w:val="00DD1C3C"/>
    <w:rsid w:val="00DE27BD"/>
    <w:rsid w:val="00DE3D40"/>
    <w:rsid w:val="00DE4B8C"/>
    <w:rsid w:val="00DE56CB"/>
    <w:rsid w:val="00DF3492"/>
    <w:rsid w:val="00DF570D"/>
    <w:rsid w:val="00E06062"/>
    <w:rsid w:val="00E10D6D"/>
    <w:rsid w:val="00E2038B"/>
    <w:rsid w:val="00E238AC"/>
    <w:rsid w:val="00E3148F"/>
    <w:rsid w:val="00E346FA"/>
    <w:rsid w:val="00E42033"/>
    <w:rsid w:val="00E421F0"/>
    <w:rsid w:val="00E4411E"/>
    <w:rsid w:val="00E458D8"/>
    <w:rsid w:val="00E45F1F"/>
    <w:rsid w:val="00E64024"/>
    <w:rsid w:val="00E65058"/>
    <w:rsid w:val="00E70AC4"/>
    <w:rsid w:val="00E71878"/>
    <w:rsid w:val="00E7209F"/>
    <w:rsid w:val="00E724F9"/>
    <w:rsid w:val="00E73B52"/>
    <w:rsid w:val="00E74CB7"/>
    <w:rsid w:val="00E811DD"/>
    <w:rsid w:val="00E87A14"/>
    <w:rsid w:val="00E90C30"/>
    <w:rsid w:val="00E918F4"/>
    <w:rsid w:val="00E94AEA"/>
    <w:rsid w:val="00E957D9"/>
    <w:rsid w:val="00E97ACC"/>
    <w:rsid w:val="00EA0D88"/>
    <w:rsid w:val="00EA153E"/>
    <w:rsid w:val="00EA47C8"/>
    <w:rsid w:val="00EA67A2"/>
    <w:rsid w:val="00EB057E"/>
    <w:rsid w:val="00EB13FE"/>
    <w:rsid w:val="00EB5158"/>
    <w:rsid w:val="00EB5EBE"/>
    <w:rsid w:val="00EB7C01"/>
    <w:rsid w:val="00EC704E"/>
    <w:rsid w:val="00ED1D8A"/>
    <w:rsid w:val="00ED21C2"/>
    <w:rsid w:val="00ED375F"/>
    <w:rsid w:val="00ED69B1"/>
    <w:rsid w:val="00EE02E7"/>
    <w:rsid w:val="00EE1ED0"/>
    <w:rsid w:val="00EE47A5"/>
    <w:rsid w:val="00EE5292"/>
    <w:rsid w:val="00EE661D"/>
    <w:rsid w:val="00EF1133"/>
    <w:rsid w:val="00EF23C0"/>
    <w:rsid w:val="00F04499"/>
    <w:rsid w:val="00F04E5C"/>
    <w:rsid w:val="00F12B93"/>
    <w:rsid w:val="00F143B2"/>
    <w:rsid w:val="00F14AD2"/>
    <w:rsid w:val="00F158E7"/>
    <w:rsid w:val="00F15BB5"/>
    <w:rsid w:val="00F172F8"/>
    <w:rsid w:val="00F21D88"/>
    <w:rsid w:val="00F2219A"/>
    <w:rsid w:val="00F246BF"/>
    <w:rsid w:val="00F2483C"/>
    <w:rsid w:val="00F26AF7"/>
    <w:rsid w:val="00F34CE3"/>
    <w:rsid w:val="00F350F6"/>
    <w:rsid w:val="00F36658"/>
    <w:rsid w:val="00F369DE"/>
    <w:rsid w:val="00F422E1"/>
    <w:rsid w:val="00F51285"/>
    <w:rsid w:val="00F51FEE"/>
    <w:rsid w:val="00F5721A"/>
    <w:rsid w:val="00F5770E"/>
    <w:rsid w:val="00F607B5"/>
    <w:rsid w:val="00F65825"/>
    <w:rsid w:val="00F66342"/>
    <w:rsid w:val="00F7513A"/>
    <w:rsid w:val="00F76467"/>
    <w:rsid w:val="00F767EA"/>
    <w:rsid w:val="00F826A8"/>
    <w:rsid w:val="00F83337"/>
    <w:rsid w:val="00F8671F"/>
    <w:rsid w:val="00F8724F"/>
    <w:rsid w:val="00F87954"/>
    <w:rsid w:val="00F87A5B"/>
    <w:rsid w:val="00F90FF5"/>
    <w:rsid w:val="00F91266"/>
    <w:rsid w:val="00F97B57"/>
    <w:rsid w:val="00FA16E9"/>
    <w:rsid w:val="00FA1F91"/>
    <w:rsid w:val="00FA38B5"/>
    <w:rsid w:val="00FA55EC"/>
    <w:rsid w:val="00FB1C8A"/>
    <w:rsid w:val="00FB302E"/>
    <w:rsid w:val="00FB30B4"/>
    <w:rsid w:val="00FB4048"/>
    <w:rsid w:val="00FC2779"/>
    <w:rsid w:val="00FC380D"/>
    <w:rsid w:val="00FC39E2"/>
    <w:rsid w:val="00FC6E1B"/>
    <w:rsid w:val="00FC76AF"/>
    <w:rsid w:val="00FD3C46"/>
    <w:rsid w:val="00FD73EE"/>
    <w:rsid w:val="00FE3ECD"/>
    <w:rsid w:val="00FE66C0"/>
    <w:rsid w:val="00FF2844"/>
    <w:rsid w:val="00FF34BE"/>
    <w:rsid w:val="00FF458A"/>
    <w:rsid w:val="00FF5348"/>
    <w:rsid w:val="00FF6F3D"/>
    <w:rsid w:val="015F5FAA"/>
    <w:rsid w:val="01857174"/>
    <w:rsid w:val="01BE4F5F"/>
    <w:rsid w:val="0269BBDC"/>
    <w:rsid w:val="02C57E85"/>
    <w:rsid w:val="042EEB5E"/>
    <w:rsid w:val="05FD0259"/>
    <w:rsid w:val="082720A5"/>
    <w:rsid w:val="08D1E465"/>
    <w:rsid w:val="09008B73"/>
    <w:rsid w:val="0932B920"/>
    <w:rsid w:val="0B6BAED2"/>
    <w:rsid w:val="0D4CA414"/>
    <w:rsid w:val="0FBA3BC2"/>
    <w:rsid w:val="107797B6"/>
    <w:rsid w:val="1082D621"/>
    <w:rsid w:val="10D9A369"/>
    <w:rsid w:val="1327E931"/>
    <w:rsid w:val="1508446E"/>
    <w:rsid w:val="159043A2"/>
    <w:rsid w:val="17C70CDB"/>
    <w:rsid w:val="18F4C374"/>
    <w:rsid w:val="196F988C"/>
    <w:rsid w:val="1BA35469"/>
    <w:rsid w:val="1C0985F7"/>
    <w:rsid w:val="1CA610AD"/>
    <w:rsid w:val="1D31D203"/>
    <w:rsid w:val="1EE5DA61"/>
    <w:rsid w:val="1EE81FD8"/>
    <w:rsid w:val="1F3B8D66"/>
    <w:rsid w:val="2145AFE8"/>
    <w:rsid w:val="218559BD"/>
    <w:rsid w:val="226F69C7"/>
    <w:rsid w:val="2369B949"/>
    <w:rsid w:val="23BF07FA"/>
    <w:rsid w:val="240E265B"/>
    <w:rsid w:val="2410CDCB"/>
    <w:rsid w:val="25EB6F6F"/>
    <w:rsid w:val="271CB0D1"/>
    <w:rsid w:val="28975E40"/>
    <w:rsid w:val="28BC742A"/>
    <w:rsid w:val="2993A08E"/>
    <w:rsid w:val="2D086A74"/>
    <w:rsid w:val="2DCCD129"/>
    <w:rsid w:val="2F534FC8"/>
    <w:rsid w:val="2F911511"/>
    <w:rsid w:val="31632244"/>
    <w:rsid w:val="3172587E"/>
    <w:rsid w:val="322FDB6D"/>
    <w:rsid w:val="33DEDF98"/>
    <w:rsid w:val="352CB08A"/>
    <w:rsid w:val="359CD28B"/>
    <w:rsid w:val="362F72E1"/>
    <w:rsid w:val="3787FEF4"/>
    <w:rsid w:val="3A297ADF"/>
    <w:rsid w:val="3A2F23F1"/>
    <w:rsid w:val="3A4DF068"/>
    <w:rsid w:val="3F84DF12"/>
    <w:rsid w:val="3FCE3F8C"/>
    <w:rsid w:val="428BA8B8"/>
    <w:rsid w:val="43011CB7"/>
    <w:rsid w:val="464C0C19"/>
    <w:rsid w:val="46B8E671"/>
    <w:rsid w:val="46D1CA54"/>
    <w:rsid w:val="4847DEDB"/>
    <w:rsid w:val="4871D675"/>
    <w:rsid w:val="48D3C4EC"/>
    <w:rsid w:val="48E57FEC"/>
    <w:rsid w:val="4AB106A1"/>
    <w:rsid w:val="4DB1310F"/>
    <w:rsid w:val="4ECB480A"/>
    <w:rsid w:val="4FFFB17D"/>
    <w:rsid w:val="51A3CB62"/>
    <w:rsid w:val="52E7DB83"/>
    <w:rsid w:val="532010B7"/>
    <w:rsid w:val="54393443"/>
    <w:rsid w:val="55F3D8B9"/>
    <w:rsid w:val="56B4E2C0"/>
    <w:rsid w:val="571ECC52"/>
    <w:rsid w:val="57A99E5D"/>
    <w:rsid w:val="59267F22"/>
    <w:rsid w:val="5E73FE15"/>
    <w:rsid w:val="5EB0A83B"/>
    <w:rsid w:val="5EB89B7C"/>
    <w:rsid w:val="5F85BC61"/>
    <w:rsid w:val="5FDD5522"/>
    <w:rsid w:val="5FDDF1CE"/>
    <w:rsid w:val="5FF47A77"/>
    <w:rsid w:val="6092E4A2"/>
    <w:rsid w:val="6126A29D"/>
    <w:rsid w:val="6160F01C"/>
    <w:rsid w:val="6179B147"/>
    <w:rsid w:val="6185DABD"/>
    <w:rsid w:val="62C7B6B0"/>
    <w:rsid w:val="630F4D4F"/>
    <w:rsid w:val="63C6B854"/>
    <w:rsid w:val="63E6DB38"/>
    <w:rsid w:val="640CD622"/>
    <w:rsid w:val="6463788A"/>
    <w:rsid w:val="650A520F"/>
    <w:rsid w:val="66637280"/>
    <w:rsid w:val="684A93C8"/>
    <w:rsid w:val="68AE501E"/>
    <w:rsid w:val="68F487E3"/>
    <w:rsid w:val="691EB327"/>
    <w:rsid w:val="6991916F"/>
    <w:rsid w:val="6AF8DF68"/>
    <w:rsid w:val="6BD1C8BE"/>
    <w:rsid w:val="6DF535BD"/>
    <w:rsid w:val="6E395E4B"/>
    <w:rsid w:val="6F7F4E78"/>
    <w:rsid w:val="6F924FA7"/>
    <w:rsid w:val="6FAFD527"/>
    <w:rsid w:val="73662033"/>
    <w:rsid w:val="75F976DF"/>
    <w:rsid w:val="7759EA41"/>
    <w:rsid w:val="77BE7D25"/>
    <w:rsid w:val="792AA12C"/>
    <w:rsid w:val="7AF4DB2A"/>
    <w:rsid w:val="7BD173A2"/>
    <w:rsid w:val="7C0AEA70"/>
    <w:rsid w:val="7C9C3C20"/>
    <w:rsid w:val="7DDCD163"/>
    <w:rsid w:val="7E96DFF5"/>
    <w:rsid w:val="7F449EC5"/>
    <w:rsid w:val="7F62457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AF06718"/>
  <w15:chartTrackingRefBased/>
  <w15:docId w15:val="{415DF341-2F0D-4BAC-8C98-F0BA496A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A5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E4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A58"/>
    <w:rPr>
      <w:rFonts w:eastAsiaTheme="majorEastAsia" w:cstheme="majorBidi"/>
      <w:color w:val="272727" w:themeColor="text1" w:themeTint="D8"/>
    </w:rPr>
  </w:style>
  <w:style w:type="paragraph" w:styleId="Title">
    <w:name w:val="Title"/>
    <w:basedOn w:val="Normal"/>
    <w:next w:val="Normal"/>
    <w:link w:val="TitleChar"/>
    <w:uiPriority w:val="10"/>
    <w:qFormat/>
    <w:rsid w:val="008E4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A58"/>
    <w:pPr>
      <w:spacing w:before="160"/>
      <w:jc w:val="center"/>
    </w:pPr>
    <w:rPr>
      <w:i/>
      <w:iCs/>
      <w:color w:val="404040" w:themeColor="text1" w:themeTint="BF"/>
    </w:rPr>
  </w:style>
  <w:style w:type="character" w:customStyle="1" w:styleId="QuoteChar">
    <w:name w:val="Quote Char"/>
    <w:basedOn w:val="DefaultParagraphFont"/>
    <w:link w:val="Quote"/>
    <w:uiPriority w:val="29"/>
    <w:rsid w:val="008E4A58"/>
    <w:rPr>
      <w:i/>
      <w:iCs/>
      <w:color w:val="404040" w:themeColor="text1" w:themeTint="BF"/>
    </w:rPr>
  </w:style>
  <w:style w:type="paragraph" w:styleId="ListParagraph">
    <w:name w:val="List Paragraph"/>
    <w:basedOn w:val="Normal"/>
    <w:uiPriority w:val="34"/>
    <w:qFormat/>
    <w:rsid w:val="008E4A58"/>
    <w:pPr>
      <w:ind w:left="720"/>
      <w:contextualSpacing/>
    </w:pPr>
  </w:style>
  <w:style w:type="character" w:styleId="IntenseEmphasis">
    <w:name w:val="Intense Emphasis"/>
    <w:basedOn w:val="DefaultParagraphFont"/>
    <w:uiPriority w:val="21"/>
    <w:qFormat/>
    <w:rsid w:val="008E4A58"/>
    <w:rPr>
      <w:i/>
      <w:iCs/>
      <w:color w:val="0F4761" w:themeColor="accent1" w:themeShade="BF"/>
    </w:rPr>
  </w:style>
  <w:style w:type="paragraph" w:styleId="IntenseQuote">
    <w:name w:val="Intense Quote"/>
    <w:basedOn w:val="Normal"/>
    <w:next w:val="Normal"/>
    <w:link w:val="IntenseQuoteChar"/>
    <w:uiPriority w:val="30"/>
    <w:qFormat/>
    <w:rsid w:val="008E4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A58"/>
    <w:rPr>
      <w:i/>
      <w:iCs/>
      <w:color w:val="0F4761" w:themeColor="accent1" w:themeShade="BF"/>
    </w:rPr>
  </w:style>
  <w:style w:type="character" w:styleId="IntenseReference">
    <w:name w:val="Intense Reference"/>
    <w:basedOn w:val="DefaultParagraphFont"/>
    <w:uiPriority w:val="32"/>
    <w:qFormat/>
    <w:rsid w:val="008E4A58"/>
    <w:rPr>
      <w:b/>
      <w:bCs/>
      <w:smallCaps/>
      <w:color w:val="0F4761" w:themeColor="accent1" w:themeShade="BF"/>
      <w:spacing w:val="5"/>
    </w:rPr>
  </w:style>
  <w:style w:type="character" w:styleId="Hyperlink">
    <w:name w:val="Hyperlink"/>
    <w:basedOn w:val="DefaultParagraphFont"/>
    <w:uiPriority w:val="99"/>
    <w:unhideWhenUsed/>
    <w:rsid w:val="008E4A58"/>
    <w:rPr>
      <w:color w:val="0563C1"/>
      <w:u w:val="single"/>
    </w:rPr>
  </w:style>
  <w:style w:type="paragraph" w:styleId="Header">
    <w:name w:val="header"/>
    <w:basedOn w:val="Normal"/>
    <w:link w:val="HeaderChar"/>
    <w:uiPriority w:val="99"/>
    <w:unhideWhenUsed/>
    <w:rsid w:val="008E4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A58"/>
    <w:rPr>
      <w:kern w:val="0"/>
      <w:sz w:val="22"/>
      <w:szCs w:val="22"/>
      <w14:ligatures w14:val="none"/>
    </w:rPr>
  </w:style>
  <w:style w:type="paragraph" w:styleId="Footer">
    <w:name w:val="footer"/>
    <w:basedOn w:val="Normal"/>
    <w:link w:val="FooterChar"/>
    <w:uiPriority w:val="99"/>
    <w:unhideWhenUsed/>
    <w:rsid w:val="008E4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A58"/>
    <w:rPr>
      <w:kern w:val="0"/>
      <w:sz w:val="22"/>
      <w:szCs w:val="22"/>
      <w14:ligatures w14:val="none"/>
    </w:rPr>
  </w:style>
  <w:style w:type="paragraph" w:styleId="FootnoteText">
    <w:name w:val="footnote text"/>
    <w:basedOn w:val="Normal"/>
    <w:link w:val="FootnoteTextChar"/>
    <w:uiPriority w:val="99"/>
    <w:semiHidden/>
    <w:unhideWhenUsed/>
    <w:rsid w:val="008E4A5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E4A58"/>
    <w:rPr>
      <w:rFonts w:ascii="Calibri" w:eastAsia="Calibri" w:hAnsi="Calibri" w:cs="Times New Roman"/>
      <w:kern w:val="0"/>
      <w:sz w:val="20"/>
      <w:szCs w:val="20"/>
      <w14:ligatures w14:val="none"/>
    </w:rPr>
  </w:style>
  <w:style w:type="character" w:styleId="FootnoteReference">
    <w:name w:val="footnote reference"/>
    <w:uiPriority w:val="99"/>
    <w:semiHidden/>
    <w:unhideWhenUsed/>
    <w:rsid w:val="008E4A58"/>
    <w:rPr>
      <w:vertAlign w:val="superscript"/>
    </w:rPr>
  </w:style>
  <w:style w:type="paragraph" w:customStyle="1" w:styleId="Default">
    <w:name w:val="Default"/>
    <w:rsid w:val="008E4A58"/>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Revision">
    <w:name w:val="Revision"/>
    <w:hidden/>
    <w:uiPriority w:val="99"/>
    <w:semiHidden/>
    <w:rsid w:val="000773D5"/>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BC762E"/>
    <w:rPr>
      <w:sz w:val="16"/>
      <w:szCs w:val="16"/>
    </w:rPr>
  </w:style>
  <w:style w:type="paragraph" w:styleId="CommentText">
    <w:name w:val="annotation text"/>
    <w:basedOn w:val="Normal"/>
    <w:link w:val="CommentTextChar"/>
    <w:uiPriority w:val="99"/>
    <w:unhideWhenUsed/>
    <w:rsid w:val="00BC762E"/>
    <w:pPr>
      <w:spacing w:line="240" w:lineRule="auto"/>
    </w:pPr>
    <w:rPr>
      <w:sz w:val="20"/>
      <w:szCs w:val="20"/>
    </w:rPr>
  </w:style>
  <w:style w:type="character" w:customStyle="1" w:styleId="CommentTextChar">
    <w:name w:val="Comment Text Char"/>
    <w:basedOn w:val="DefaultParagraphFont"/>
    <w:link w:val="CommentText"/>
    <w:uiPriority w:val="99"/>
    <w:rsid w:val="00BC762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762E"/>
    <w:rPr>
      <w:b/>
      <w:bCs/>
    </w:rPr>
  </w:style>
  <w:style w:type="character" w:customStyle="1" w:styleId="CommentSubjectChar">
    <w:name w:val="Comment Subject Char"/>
    <w:basedOn w:val="CommentTextChar"/>
    <w:link w:val="CommentSubject"/>
    <w:uiPriority w:val="99"/>
    <w:semiHidden/>
    <w:rsid w:val="00BC762E"/>
    <w:rPr>
      <w:b/>
      <w:bCs/>
      <w:kern w:val="0"/>
      <w:sz w:val="20"/>
      <w:szCs w:val="20"/>
      <w14:ligatures w14:val="none"/>
    </w:rPr>
  </w:style>
  <w:style w:type="character" w:styleId="FollowedHyperlink">
    <w:name w:val="FollowedHyperlink"/>
    <w:basedOn w:val="DefaultParagraphFont"/>
    <w:uiPriority w:val="99"/>
    <w:semiHidden/>
    <w:unhideWhenUsed/>
    <w:rsid w:val="00F65825"/>
    <w:rPr>
      <w:color w:val="96607D" w:themeColor="followedHyperlink"/>
      <w:u w:val="single"/>
    </w:rPr>
  </w:style>
  <w:style w:type="character" w:styleId="Mention">
    <w:name w:val="Mention"/>
    <w:basedOn w:val="DefaultParagraphFont"/>
    <w:uiPriority w:val="99"/>
    <w:unhideWhenUsed/>
    <w:rsid w:val="002D74FB"/>
    <w:rPr>
      <w:color w:val="2B579A"/>
      <w:shd w:val="clear" w:color="auto" w:fill="E1DFDD"/>
    </w:rPr>
  </w:style>
  <w:style w:type="table" w:styleId="TableGrid">
    <w:name w:val="Table Grid"/>
    <w:basedOn w:val="TableNormal"/>
    <w:uiPriority w:val="39"/>
    <w:rsid w:val="009A6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DA3D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E40F4"/>
    <w:rPr>
      <w:color w:val="605E5C"/>
      <w:shd w:val="clear" w:color="auto" w:fill="E1DFDD"/>
    </w:rPr>
  </w:style>
  <w:style w:type="character" w:styleId="Strong">
    <w:name w:val="Strong"/>
    <w:basedOn w:val="DefaultParagraphFont"/>
    <w:uiPriority w:val="22"/>
    <w:qFormat/>
    <w:rsid w:val="007C0E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pdf/2026/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O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FolderDescription xmlns="85728583-8285-474f-91d1-788890041888" xsi:nil="true"/>
    <TaxCatchAll xmlns="b74ddbe9-3438-47df-83e3-504b10d883ec" xsi:nil="true"/>
    <lcf76f155ced4ddcb4097134ff3c332f xmlns="85728583-8285-474f-91d1-78889004188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BD4201190345429090B90042EA8925" ma:contentTypeVersion="16" ma:contentTypeDescription="Create a new document." ma:contentTypeScope="" ma:versionID="a48abf9f56e88d30963228b576d8694b">
  <xsd:schema xmlns:xsd="http://www.w3.org/2001/XMLSchema" xmlns:xs="http://www.w3.org/2001/XMLSchema" xmlns:p="http://schemas.microsoft.com/office/2006/metadata/properties" xmlns:ns2="85728583-8285-474f-91d1-788890041888" xmlns:ns3="b74ddbe9-3438-47df-83e3-504b10d883ec" targetNamespace="http://schemas.microsoft.com/office/2006/metadata/properties" ma:root="true" ma:fieldsID="7bdcd964828a810bd5a66d987e7a6582" ns2:_="" ns3:_="">
    <xsd:import namespace="85728583-8285-474f-91d1-788890041888"/>
    <xsd:import namespace="b74ddbe9-3438-47df-83e3-504b10d88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olderDescrip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28583-8285-474f-91d1-788890041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FolderDescription" ma:index="21" nillable="true" ma:displayName="Folder Description" ma:format="Dropdown" ma:internalName="FolderDescription">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ddbe9-3438-47df-83e3-504b10d883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1e0ffb-2b61-4843-b768-74c36617c918}" ma:internalName="TaxCatchAll" ma:showField="CatchAllData" ma:web="b74ddbe9-3438-47df-83e3-504b10d88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3EB72-D2AA-48DF-A5FC-D3806EF58D64}">
  <ds:schemaRefs>
    <ds:schemaRef ds:uri="http://schemas.microsoft.com/office/2006/metadata/properties"/>
    <ds:schemaRef ds:uri="http://schemas.microsoft.com/office/infopath/2007/PartnerControls"/>
    <ds:schemaRef ds:uri="85728583-8285-474f-91d1-788890041888"/>
    <ds:schemaRef ds:uri="b74ddbe9-3438-47df-83e3-504b10d883ec"/>
  </ds:schemaRefs>
</ds:datastoreItem>
</file>

<file path=customXml/itemProps2.xml><?xml version="1.0" encoding="utf-8"?>
<ds:datastoreItem xmlns:ds="http://schemas.openxmlformats.org/officeDocument/2006/customXml" ds:itemID="{6DCAC916-730E-48B0-B055-55B4D16C92E8}">
  <ds:schemaRefs>
    <ds:schemaRef ds:uri="http://schemas.openxmlformats.org/officeDocument/2006/bibliography"/>
  </ds:schemaRefs>
</ds:datastoreItem>
</file>

<file path=customXml/itemProps3.xml><?xml version="1.0" encoding="utf-8"?>
<ds:datastoreItem xmlns:ds="http://schemas.openxmlformats.org/officeDocument/2006/customXml" ds:itemID="{97CD5E91-B885-4984-A846-AFB9BE9138CD}">
  <ds:schemaRefs>
    <ds:schemaRef ds:uri="http://schemas.microsoft.com/sharepoint/v3/contenttype/forms"/>
  </ds:schemaRefs>
</ds:datastoreItem>
</file>

<file path=customXml/itemProps4.xml><?xml version="1.0" encoding="utf-8"?>
<ds:datastoreItem xmlns:ds="http://schemas.openxmlformats.org/officeDocument/2006/customXml" ds:itemID="{7A69BBF4-5239-4F5E-8FD1-2AA0954BB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28583-8285-474f-91d1-788890041888"/>
    <ds:schemaRef ds:uri="b74ddbe9-3438-47df-83e3-504b10d88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Tyer, Sharece (OST)</dc:creator>
  <cp:lastModifiedBy>Toone, Kim (OST)</cp:lastModifiedBy>
  <cp:revision>2</cp:revision>
  <dcterms:created xsi:type="dcterms:W3CDTF">2026-05-26T11:11:00Z</dcterms:created>
  <dcterms:modified xsi:type="dcterms:W3CDTF">2026-05-26T11:11:00Z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0x0101003BBD4201190345429090B90042EA8925</vt:lpwstr>
  </property>
  <property fmtid="{D5CDD505-2E9C-101B-9397-08002B2CF9AE}" pid="3" name="docLang">
    <vt:lpwstr>en</vt:lpwstr>
  </property>
  <property fmtid="{D5CDD505-2E9C-101B-9397-08002B2CF9AE}" pid="4" name="MediaServiceImageTags">
    <vt:lpwstr/>
  </property>
</Properties>
</file>