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1219C" w:rsidRPr="005E7CA2" w:rsidP="0091219C" w14:paraId="27253EE1" w14:textId="77777777">
      <w:pPr>
        <w:pStyle w:val="NormalWeb"/>
        <w:contextualSpacing/>
        <w:jc w:val="center"/>
        <w:rPr>
          <w:b/>
          <w:bCs/>
          <w:sz w:val="28"/>
          <w:szCs w:val="28"/>
        </w:rPr>
      </w:pPr>
      <w:r w:rsidRPr="005E7CA2">
        <w:rPr>
          <w:b/>
          <w:bCs/>
          <w:sz w:val="28"/>
          <w:szCs w:val="28"/>
        </w:rPr>
        <w:t xml:space="preserve"> </w:t>
      </w:r>
      <w:r w:rsidRPr="005E7CA2" w:rsidR="00CA02F9">
        <w:rPr>
          <w:b/>
          <w:bCs/>
          <w:sz w:val="28"/>
          <w:szCs w:val="28"/>
        </w:rPr>
        <w:t>Department of Transportation</w:t>
      </w:r>
    </w:p>
    <w:p w:rsidR="0091219C" w:rsidRPr="005E7CA2" w:rsidP="0067631C" w14:paraId="27253EE2" w14:textId="39FFA29C">
      <w:pPr>
        <w:pStyle w:val="NormalWeb"/>
        <w:tabs>
          <w:tab w:val="left" w:pos="4770"/>
        </w:tabs>
        <w:spacing w:before="0" w:beforeAutospacing="0" w:after="0" w:afterAutospacing="0"/>
        <w:contextualSpacing/>
        <w:jc w:val="center"/>
        <w:rPr>
          <w:b/>
          <w:bCs/>
          <w:sz w:val="28"/>
          <w:szCs w:val="28"/>
        </w:rPr>
      </w:pPr>
      <w:r w:rsidRPr="005E7CA2">
        <w:rPr>
          <w:b/>
          <w:bCs/>
          <w:sz w:val="28"/>
          <w:szCs w:val="28"/>
        </w:rPr>
        <w:t>Federal Motor Carrier Safety Administration</w:t>
      </w:r>
    </w:p>
    <w:p w:rsidR="0091219C" w:rsidRPr="005E7CA2" w:rsidP="0067631C" w14:paraId="27253EE3" w14:textId="77777777">
      <w:pPr>
        <w:pStyle w:val="NormalWeb"/>
        <w:spacing w:before="0" w:beforeAutospacing="0" w:after="0" w:afterAutospacing="0"/>
        <w:contextualSpacing/>
        <w:jc w:val="center"/>
        <w:rPr>
          <w:b/>
          <w:bCs/>
          <w:sz w:val="28"/>
          <w:szCs w:val="28"/>
          <w:u w:val="single"/>
        </w:rPr>
      </w:pPr>
    </w:p>
    <w:p w:rsidR="008123C6" w:rsidRPr="005E7CA2" w:rsidP="0067631C" w14:paraId="27253EE4" w14:textId="77777777">
      <w:pPr>
        <w:pStyle w:val="NormalWeb"/>
        <w:spacing w:before="0" w:beforeAutospacing="0" w:after="0" w:afterAutospacing="0"/>
        <w:contextualSpacing/>
        <w:jc w:val="center"/>
        <w:rPr>
          <w:b/>
          <w:bCs/>
          <w:sz w:val="28"/>
          <w:szCs w:val="28"/>
          <w:u w:val="single"/>
        </w:rPr>
      </w:pPr>
      <w:r w:rsidRPr="005E7CA2">
        <w:rPr>
          <w:b/>
          <w:bCs/>
          <w:sz w:val="28"/>
          <w:szCs w:val="28"/>
          <w:u w:val="single"/>
        </w:rPr>
        <w:t>SUPPORTING STATEMENT</w:t>
      </w:r>
    </w:p>
    <w:p w:rsidR="00523F4A" w:rsidRPr="005E7CA2" w:rsidP="10CFE975" w14:paraId="27253EE5" w14:textId="28D3786E">
      <w:pPr>
        <w:contextualSpacing/>
        <w:jc w:val="center"/>
        <w:rPr>
          <w:b/>
          <w:bCs/>
          <w:smallCaps/>
          <w:sz w:val="28"/>
          <w:szCs w:val="28"/>
        </w:rPr>
      </w:pPr>
      <w:r w:rsidRPr="10CFE975">
        <w:rPr>
          <w:b/>
          <w:bCs/>
          <w:smallCaps/>
          <w:sz w:val="28"/>
          <w:szCs w:val="28"/>
        </w:rPr>
        <w:t>“</w:t>
      </w:r>
      <w:r w:rsidRPr="10CFE975" w:rsidR="00942EDF">
        <w:rPr>
          <w:b/>
          <w:bCs/>
          <w:smallCaps/>
          <w:sz w:val="28"/>
          <w:szCs w:val="28"/>
        </w:rPr>
        <w:t>Commercial Driver</w:t>
      </w:r>
      <w:r w:rsidRPr="10CFE975" w:rsidR="007D7BD7">
        <w:rPr>
          <w:b/>
          <w:bCs/>
          <w:smallCaps/>
          <w:sz w:val="28"/>
          <w:szCs w:val="28"/>
        </w:rPr>
        <w:t>'</w:t>
      </w:r>
      <w:r w:rsidRPr="10CFE975" w:rsidR="004A40A1">
        <w:rPr>
          <w:b/>
          <w:bCs/>
          <w:smallCaps/>
          <w:sz w:val="28"/>
          <w:szCs w:val="28"/>
        </w:rPr>
        <w:t>s</w:t>
      </w:r>
      <w:r w:rsidRPr="10CFE975" w:rsidR="00942EDF">
        <w:rPr>
          <w:b/>
          <w:bCs/>
          <w:smallCaps/>
          <w:sz w:val="28"/>
          <w:szCs w:val="28"/>
        </w:rPr>
        <w:t xml:space="preserve"> </w:t>
      </w:r>
      <w:r w:rsidRPr="10CFE975" w:rsidR="000969AA">
        <w:rPr>
          <w:b/>
          <w:bCs/>
          <w:smallCaps/>
          <w:sz w:val="28"/>
          <w:szCs w:val="28"/>
        </w:rPr>
        <w:t>License</w:t>
      </w:r>
    </w:p>
    <w:p w:rsidR="00523F4A" w:rsidRPr="005E7CA2" w:rsidP="10CFE975" w14:paraId="27253EE6" w14:textId="3CC46C15">
      <w:pPr>
        <w:contextualSpacing/>
        <w:jc w:val="center"/>
        <w:rPr>
          <w:b/>
          <w:bCs/>
          <w:smallCaps/>
          <w:sz w:val="28"/>
          <w:szCs w:val="28"/>
        </w:rPr>
      </w:pPr>
      <w:r w:rsidRPr="10CFE975">
        <w:rPr>
          <w:b/>
          <w:bCs/>
          <w:smallCaps/>
          <w:sz w:val="28"/>
          <w:szCs w:val="28"/>
        </w:rPr>
        <w:t xml:space="preserve">Drug and Alcohol </w:t>
      </w:r>
      <w:r w:rsidRPr="10CFE975" w:rsidR="000969AA">
        <w:rPr>
          <w:b/>
          <w:bCs/>
          <w:smallCaps/>
          <w:sz w:val="28"/>
          <w:szCs w:val="28"/>
        </w:rPr>
        <w:t>Clearinghouse</w:t>
      </w:r>
      <w:r w:rsidRPr="10CFE975" w:rsidR="0D9D074A">
        <w:rPr>
          <w:b/>
          <w:bCs/>
          <w:smallCaps/>
          <w:sz w:val="28"/>
          <w:szCs w:val="28"/>
        </w:rPr>
        <w:t>” ICR</w:t>
      </w:r>
    </w:p>
    <w:p w:rsidR="633E243D" w:rsidP="10CFE975" w14:paraId="0FFEEB87" w14:textId="3A9752A9">
      <w:pPr>
        <w:contextualSpacing/>
        <w:jc w:val="center"/>
        <w:rPr>
          <w:b/>
          <w:bCs/>
        </w:rPr>
      </w:pPr>
      <w:r w:rsidRPr="10CFE975">
        <w:rPr>
          <w:b/>
          <w:bCs/>
        </w:rPr>
        <w:t>OMB Control No. 2126-0057</w:t>
      </w:r>
    </w:p>
    <w:p w:rsidR="00D42940" w:rsidRPr="005E7CA2" w:rsidP="00D42940" w14:paraId="3F9EC41E" w14:textId="183A2234">
      <w:pPr>
        <w:rPr>
          <w:b/>
          <w:u w:val="single"/>
        </w:rPr>
      </w:pPr>
      <w:r w:rsidRPr="005E7CA2">
        <w:rPr>
          <w:b/>
          <w:u w:val="single"/>
        </w:rPr>
        <w:t>SUMMARY</w:t>
      </w:r>
    </w:p>
    <w:p w:rsidR="00D42940" w:rsidRPr="005E7CA2" w:rsidP="00D42940" w14:paraId="093EE15D" w14:textId="4C58504D">
      <w:pPr>
        <w:rPr>
          <w:b/>
          <w:u w:val="single"/>
        </w:rPr>
      </w:pPr>
    </w:p>
    <w:p w:rsidR="00D42940" w:rsidRPr="005E7CA2" w:rsidP="00D42940" w14:paraId="730D778E" w14:textId="66C84DE6">
      <w:pPr>
        <w:rPr>
          <w:bCs/>
        </w:rPr>
      </w:pPr>
      <w:r w:rsidRPr="005E7CA2">
        <w:rPr>
          <w:bCs/>
        </w:rPr>
        <w:t>This supporting statement estimates the burden hours and costs associated with Commercial Driver’s License Drug and Alcohol Clearinghouse</w:t>
      </w:r>
      <w:r w:rsidRPr="005E7CA2" w:rsidR="007E483C">
        <w:rPr>
          <w:bCs/>
        </w:rPr>
        <w:t xml:space="preserve"> (Clearinghouse)</w:t>
      </w:r>
      <w:r w:rsidRPr="005E7CA2">
        <w:rPr>
          <w:bCs/>
        </w:rPr>
        <w:t>.</w:t>
      </w:r>
    </w:p>
    <w:p w:rsidR="00641649" w:rsidRPr="001E4B1F" w:rsidP="00641649" w14:paraId="4C5C78A3" w14:textId="77BCF240">
      <w:pPr>
        <w:pStyle w:val="ListParagraph"/>
        <w:numPr>
          <w:ilvl w:val="0"/>
          <w:numId w:val="14"/>
        </w:numPr>
      </w:pPr>
      <w:r w:rsidRPr="001E4B1F">
        <w:t>The</w:t>
      </w:r>
      <w:r w:rsidRPr="001E4B1F" w:rsidR="00FB09FE">
        <w:t xml:space="preserve"> total</w:t>
      </w:r>
      <w:r w:rsidRPr="001E4B1F">
        <w:t xml:space="preserve"> annual burden hours for this information collection </w:t>
      </w:r>
      <w:r w:rsidRPr="001E4B1F" w:rsidR="008020EF">
        <w:t xml:space="preserve">is </w:t>
      </w:r>
      <w:r w:rsidRPr="00F047BB" w:rsidR="00FC06AC">
        <w:t>1,</w:t>
      </w:r>
      <w:r w:rsidRPr="00F047BB" w:rsidR="001E4B1F">
        <w:t>653,032</w:t>
      </w:r>
      <w:r w:rsidRPr="001E4B1F" w:rsidR="008020EF">
        <w:t xml:space="preserve"> hours, a </w:t>
      </w:r>
      <w:r w:rsidRPr="001E4B1F">
        <w:t>decreas</w:t>
      </w:r>
      <w:r w:rsidRPr="001E4B1F" w:rsidR="008020EF">
        <w:t xml:space="preserve">e of </w:t>
      </w:r>
      <w:r w:rsidRPr="00F047BB" w:rsidR="001E4B1F">
        <w:t>108,117</w:t>
      </w:r>
      <w:r w:rsidRPr="001E4B1F" w:rsidR="005C6D67">
        <w:t xml:space="preserve"> </w:t>
      </w:r>
      <w:r w:rsidRPr="001E4B1F">
        <w:t xml:space="preserve">hours from the previously approved </w:t>
      </w:r>
      <w:r w:rsidRPr="00F047BB" w:rsidR="005E3F5E">
        <w:t>1,761,149</w:t>
      </w:r>
      <w:r w:rsidRPr="001E4B1F">
        <w:t xml:space="preserve"> hours</w:t>
      </w:r>
      <w:r w:rsidRPr="001E4B1F" w:rsidR="008020EF">
        <w:t>,</w:t>
      </w:r>
      <w:r w:rsidRPr="001E4B1F">
        <w:t xml:space="preserve"> due to the availability of actual estimates of respondents.  </w:t>
      </w:r>
    </w:p>
    <w:p w:rsidR="008F6B22" w:rsidRPr="005E7CA2" w:rsidP="49D0145D" w14:paraId="17D71462" w14:textId="7AE1C2E8">
      <w:pPr>
        <w:pStyle w:val="Subtitle"/>
        <w:numPr>
          <w:ilvl w:val="0"/>
          <w:numId w:val="14"/>
        </w:numPr>
        <w:outlineLvl w:val="0"/>
        <w:rPr>
          <w:rFonts w:ascii="Times New Roman" w:hAnsi="Times New Roman"/>
          <w:u w:val="none"/>
        </w:rPr>
      </w:pPr>
      <w:r w:rsidRPr="3CEC01DB">
        <w:rPr>
          <w:rFonts w:ascii="Times New Roman" w:hAnsi="Times New Roman"/>
          <w:b w:val="0"/>
          <w:bCs w:val="0"/>
          <w:u w:val="none"/>
        </w:rPr>
        <w:t>There are nine ICs where t</w:t>
      </w:r>
      <w:r w:rsidRPr="3CEC01DB" w:rsidR="00641649">
        <w:rPr>
          <w:rFonts w:ascii="Times New Roman" w:hAnsi="Times New Roman"/>
          <w:b w:val="0"/>
          <w:bCs w:val="0"/>
          <w:u w:val="none"/>
        </w:rPr>
        <w:t xml:space="preserve">he information collected is entered into the Clearinghouse by </w:t>
      </w:r>
      <w:r w:rsidRPr="3CEC01DB">
        <w:rPr>
          <w:rFonts w:ascii="Times New Roman" w:hAnsi="Times New Roman"/>
          <w:b w:val="0"/>
          <w:bCs w:val="0"/>
          <w:u w:val="none"/>
        </w:rPr>
        <w:t xml:space="preserve">the user having to </w:t>
      </w:r>
      <w:r w:rsidRPr="3CEC01DB" w:rsidR="00641649">
        <w:rPr>
          <w:rFonts w:ascii="Times New Roman" w:hAnsi="Times New Roman"/>
          <w:b w:val="0"/>
          <w:bCs w:val="0"/>
          <w:u w:val="none"/>
        </w:rPr>
        <w:t>log</w:t>
      </w:r>
      <w:r w:rsidRPr="3CEC01DB" w:rsidR="005C6D67">
        <w:rPr>
          <w:rFonts w:ascii="Times New Roman" w:hAnsi="Times New Roman"/>
          <w:b w:val="0"/>
          <w:bCs w:val="0"/>
          <w:u w:val="none"/>
        </w:rPr>
        <w:t xml:space="preserve"> </w:t>
      </w:r>
      <w:r w:rsidRPr="3CEC01DB" w:rsidR="00641649">
        <w:rPr>
          <w:rFonts w:ascii="Times New Roman" w:hAnsi="Times New Roman"/>
          <w:b w:val="0"/>
          <w:bCs w:val="0"/>
          <w:u w:val="none"/>
        </w:rPr>
        <w:t>into a secure web site.</w:t>
      </w:r>
    </w:p>
    <w:p w:rsidR="00641649" w:rsidRPr="005E7CA2" w:rsidP="00641649" w14:paraId="35A70770" w14:textId="77777777">
      <w:pPr>
        <w:pStyle w:val="Subtitle"/>
        <w:ind w:left="720"/>
        <w:outlineLvl w:val="0"/>
        <w:rPr>
          <w:rFonts w:ascii="Times New Roman" w:hAnsi="Times New Roman"/>
          <w:u w:val="none"/>
        </w:rPr>
      </w:pPr>
    </w:p>
    <w:p w:rsidR="00083A40" w:rsidRPr="005E7CA2" w:rsidP="00083A40" w14:paraId="07180A69" w14:textId="6443CB31">
      <w:pPr>
        <w:pStyle w:val="Subtitle"/>
        <w:outlineLvl w:val="0"/>
        <w:rPr>
          <w:rFonts w:ascii="Times New Roman" w:hAnsi="Times New Roman"/>
        </w:rPr>
      </w:pPr>
      <w:r w:rsidRPr="005E7CA2">
        <w:rPr>
          <w:rFonts w:ascii="Times New Roman" w:hAnsi="Times New Roman"/>
        </w:rPr>
        <w:t>INTRODUCTION</w:t>
      </w:r>
    </w:p>
    <w:p w:rsidR="006577AC" w:rsidRPr="005E7CA2" w:rsidP="006D7812" w14:paraId="19D185AE" w14:textId="26A670AC">
      <w:pPr>
        <w:rPr>
          <w:bCs/>
          <w:szCs w:val="20"/>
        </w:rPr>
      </w:pPr>
      <w:r w:rsidRPr="005E7CA2">
        <w:rPr>
          <w:bCs/>
          <w:szCs w:val="20"/>
        </w:rPr>
        <w:t xml:space="preserve">This is to request </w:t>
      </w:r>
      <w:r w:rsidRPr="005E7CA2" w:rsidR="008F247E">
        <w:rPr>
          <w:bCs/>
          <w:szCs w:val="20"/>
        </w:rPr>
        <w:t>the Office of Management and Budget’s (</w:t>
      </w:r>
      <w:r w:rsidRPr="005E7CA2">
        <w:rPr>
          <w:bCs/>
          <w:szCs w:val="20"/>
        </w:rPr>
        <w:t>OMB</w:t>
      </w:r>
      <w:r w:rsidRPr="005E7CA2" w:rsidR="008F247E">
        <w:rPr>
          <w:bCs/>
          <w:szCs w:val="20"/>
        </w:rPr>
        <w:t>)</w:t>
      </w:r>
      <w:r w:rsidRPr="005E7CA2">
        <w:rPr>
          <w:bCs/>
          <w:szCs w:val="20"/>
        </w:rPr>
        <w:t xml:space="preserve"> </w:t>
      </w:r>
      <w:r w:rsidRPr="005E7CA2">
        <w:t>renew</w:t>
      </w:r>
      <w:r w:rsidRPr="005E7CA2" w:rsidR="00243F22">
        <w:t>al</w:t>
      </w:r>
      <w:r w:rsidRPr="005E7CA2" w:rsidR="00B400D0">
        <w:t xml:space="preserve"> for 3 </w:t>
      </w:r>
      <w:r w:rsidRPr="005E7CA2">
        <w:t>year</w:t>
      </w:r>
      <w:r w:rsidRPr="005E7CA2" w:rsidR="00B400D0">
        <w:t>s</w:t>
      </w:r>
      <w:r w:rsidRPr="005E7CA2">
        <w:t xml:space="preserve"> </w:t>
      </w:r>
      <w:r w:rsidRPr="005E7CA2" w:rsidR="00243F22">
        <w:t xml:space="preserve">of </w:t>
      </w:r>
      <w:r w:rsidRPr="005E7CA2">
        <w:t xml:space="preserve">the information collection titled, </w:t>
      </w:r>
      <w:r w:rsidRPr="005E7CA2" w:rsidR="007D7BD7">
        <w:t>"</w:t>
      </w:r>
      <w:r w:rsidRPr="005E7CA2" w:rsidR="006D7812">
        <w:t>Commercial Driver</w:t>
      </w:r>
      <w:r w:rsidRPr="005E7CA2" w:rsidR="007D7BD7">
        <w:t>'</w:t>
      </w:r>
      <w:r w:rsidRPr="005E7CA2" w:rsidR="006D7812">
        <w:t>s License Drug and Alcohol Clearinghouse</w:t>
      </w:r>
      <w:r w:rsidRPr="005E7CA2" w:rsidR="00FA073B">
        <w:t>"</w:t>
      </w:r>
      <w:r w:rsidRPr="005E7CA2" w:rsidR="006D7812">
        <w:t xml:space="preserve"> </w:t>
      </w:r>
      <w:r w:rsidRPr="005E7CA2">
        <w:t xml:space="preserve">(OMB Control No. </w:t>
      </w:r>
      <w:r w:rsidRPr="005E7CA2" w:rsidR="004A3584">
        <w:t>2126-0057</w:t>
      </w:r>
      <w:r w:rsidRPr="005E7CA2">
        <w:t xml:space="preserve">), which is currently due to expire on </w:t>
      </w:r>
      <w:r w:rsidRPr="005E7CA2" w:rsidR="00657382">
        <w:t>August 30, 2026</w:t>
      </w:r>
      <w:r w:rsidRPr="005E7CA2">
        <w:t>.</w:t>
      </w:r>
    </w:p>
    <w:p w:rsidR="0067631C" w:rsidRPr="00F047BB" w:rsidP="0067631C" w14:paraId="27253EED" w14:textId="77777777">
      <w:pPr>
        <w:pStyle w:val="NormalWeb"/>
        <w:spacing w:before="0" w:beforeAutospacing="0" w:after="0" w:afterAutospacing="0"/>
        <w:contextualSpacing/>
        <w:jc w:val="both"/>
        <w:rPr>
          <w:b/>
          <w:bCs/>
          <w:szCs w:val="20"/>
        </w:rPr>
      </w:pPr>
    </w:p>
    <w:p w:rsidR="008123C6" w:rsidRPr="005E7CA2" w:rsidP="0067631C" w14:paraId="27253EEE" w14:textId="77777777">
      <w:pPr>
        <w:pStyle w:val="NormalWeb"/>
        <w:spacing w:before="0" w:beforeAutospacing="0" w:after="0" w:afterAutospacing="0"/>
        <w:contextualSpacing/>
        <w:rPr>
          <w:b/>
          <w:bCs/>
          <w:szCs w:val="20"/>
          <w:u w:val="single"/>
        </w:rPr>
      </w:pPr>
      <w:r w:rsidRPr="005E7CA2">
        <w:rPr>
          <w:b/>
          <w:bCs/>
          <w:szCs w:val="20"/>
          <w:u w:val="single"/>
        </w:rPr>
        <w:t>Part A.  Justification</w:t>
      </w:r>
    </w:p>
    <w:p w:rsidR="00CA02F9" w:rsidRPr="00F047BB" w:rsidP="0067631C" w14:paraId="27253EF0" w14:textId="413FAB9C">
      <w:pPr>
        <w:pStyle w:val="NormalWeb"/>
        <w:spacing w:before="0" w:beforeAutospacing="0" w:after="0" w:afterAutospacing="0"/>
        <w:contextualSpacing/>
      </w:pPr>
      <w:r w:rsidRPr="005E7CA2">
        <w:rPr>
          <w:b/>
          <w:bCs/>
          <w:szCs w:val="20"/>
        </w:rPr>
        <w:t>1.</w:t>
      </w:r>
      <w:r w:rsidRPr="00F047BB">
        <w:rPr>
          <w:b/>
          <w:bCs/>
          <w:szCs w:val="20"/>
        </w:rPr>
        <w:t xml:space="preserve"> </w:t>
      </w:r>
      <w:r w:rsidRPr="005E7CA2" w:rsidR="00083A40">
        <w:rPr>
          <w:b/>
          <w:bCs/>
        </w:rPr>
        <w:t>CIRCUMSTANCES THAT MAKE THE COLLECTION OF INFORMATION NECESSARY</w:t>
      </w:r>
    </w:p>
    <w:p w:rsidR="00501642" w:rsidRPr="005E7CA2" w:rsidP="00354EFA" w14:paraId="59C81262" w14:textId="0371B823">
      <w:pPr>
        <w:jc w:val="both"/>
      </w:pPr>
      <w:bookmarkStart w:id="0" w:name="_Hlk5302765"/>
      <w:bookmarkEnd w:id="0"/>
    </w:p>
    <w:p w:rsidR="00501642" w:rsidRPr="005E7CA2" w:rsidP="00AE7FC2" w14:paraId="37567FE5" w14:textId="79086AEE">
      <w:pPr>
        <w:jc w:val="both"/>
      </w:pPr>
      <w:bookmarkStart w:id="1" w:name="_Hlk5302637"/>
      <w:r w:rsidRPr="005E7CA2">
        <w:t xml:space="preserve">Section 32402 of the Moving Ahead for Progress in the 21st Century Act (MAP–21) </w:t>
      </w:r>
      <w:r w:rsidRPr="005E7CA2" w:rsidR="00082AC7">
        <w:t xml:space="preserve">requires </w:t>
      </w:r>
      <w:r w:rsidRPr="005E7CA2">
        <w:t>the Secretary of Transportation</w:t>
      </w:r>
      <w:r w:rsidRPr="005E7CA2" w:rsidR="008F247E">
        <w:t xml:space="preserve"> (Secretary)</w:t>
      </w:r>
      <w:r w:rsidRPr="005E7CA2">
        <w:t xml:space="preserve"> </w:t>
      </w:r>
      <w:r w:rsidRPr="005E7CA2" w:rsidR="00082AC7">
        <w:t xml:space="preserve">to </w:t>
      </w:r>
      <w:r w:rsidRPr="005E7CA2">
        <w:t xml:space="preserve">establish, operate, and maintain a national clearinghouse for records relating to alcohol and controlled substances testing of commercial motor vehicle (CMV) operators to improve compliance with the </w:t>
      </w:r>
      <w:r w:rsidRPr="005E7CA2" w:rsidR="00243F22">
        <w:t>U.S. Department of Transportation (</w:t>
      </w:r>
      <w:r w:rsidRPr="005E7CA2">
        <w:t>DOT</w:t>
      </w:r>
      <w:r w:rsidRPr="005E7CA2" w:rsidR="00243F22">
        <w:t>)</w:t>
      </w:r>
      <w:r w:rsidRPr="005E7CA2">
        <w:t xml:space="preserve"> alcohol and controlled substances testing program and to enhance the safety of our roadways by reducing </w:t>
      </w:r>
      <w:r w:rsidRPr="005E7CA2" w:rsidR="00B400D0">
        <w:t>crashes</w:t>
      </w:r>
      <w:r w:rsidRPr="005E7CA2">
        <w:t xml:space="preserve"> and injuries involving the misuse of alcohol or use of controlled substances by operators of CMVs. </w:t>
      </w:r>
    </w:p>
    <w:bookmarkEnd w:id="1"/>
    <w:p w:rsidR="00062064" w:rsidRPr="005E7CA2" w:rsidP="00354EFA" w14:paraId="27253EF4" w14:textId="77777777">
      <w:pPr>
        <w:jc w:val="both"/>
      </w:pPr>
    </w:p>
    <w:p w:rsidR="00062064" w:rsidRPr="005E7CA2" w:rsidP="00354EFA" w14:paraId="27253EF6" w14:textId="68C02266">
      <w:pPr>
        <w:jc w:val="both"/>
      </w:pPr>
      <w:r>
        <w:t>The final rule</w:t>
      </w:r>
      <w:r w:rsidR="00082AC7">
        <w:t xml:space="preserve"> establishing the Clearinghouse</w:t>
      </w:r>
      <w:r>
        <w:t xml:space="preserve"> was published on December 5, 2016, </w:t>
      </w:r>
      <w:r w:rsidR="00082AC7">
        <w:t xml:space="preserve">(81 FR </w:t>
      </w:r>
      <w:r w:rsidR="000E7F44">
        <w:t>87686)</w:t>
      </w:r>
      <w:r w:rsidR="00082AC7">
        <w:t xml:space="preserve"> </w:t>
      </w:r>
      <w:r w:rsidR="0012678C">
        <w:t>(Attachment A)</w:t>
      </w:r>
      <w:r w:rsidR="00082AC7">
        <w:t>.</w:t>
      </w:r>
      <w:r w:rsidR="0012678C">
        <w:t xml:space="preserve"> </w:t>
      </w:r>
      <w:r w:rsidR="00082AC7">
        <w:t>T</w:t>
      </w:r>
      <w:r>
        <w:t xml:space="preserve">he effective date of the final rule </w:t>
      </w:r>
      <w:r w:rsidR="003B1124">
        <w:t xml:space="preserve">was </w:t>
      </w:r>
      <w:r>
        <w:t xml:space="preserve">January 4, 2017, and the compliance date </w:t>
      </w:r>
      <w:r w:rsidR="007D7BD7">
        <w:t>was</w:t>
      </w:r>
      <w:r>
        <w:t xml:space="preserve"> January 6, 2020</w:t>
      </w:r>
      <w:r w:rsidR="003B1124">
        <w:t xml:space="preserve">. </w:t>
      </w:r>
      <w:r w:rsidR="007E483C">
        <w:t>The Federal Motor Carrier Safety Administration (</w:t>
      </w:r>
      <w:r w:rsidR="003B1124">
        <w:t>FMCSA</w:t>
      </w:r>
      <w:r w:rsidR="007E483C">
        <w:t>)</w:t>
      </w:r>
      <w:r w:rsidR="003B1124">
        <w:t xml:space="preserve"> began collecting data in September 2019</w:t>
      </w:r>
      <w:r w:rsidR="007D7BD7">
        <w:t>.</w:t>
      </w:r>
    </w:p>
    <w:p w:rsidR="00CA02F9" w:rsidRPr="00F047BB" w:rsidP="00977BBD" w14:paraId="27253EF8" w14:textId="58E4C601">
      <w:pPr>
        <w:pStyle w:val="NormalWeb"/>
        <w:keepNext/>
      </w:pPr>
      <w:r w:rsidRPr="005E7CA2">
        <w:rPr>
          <w:b/>
          <w:bCs/>
          <w:szCs w:val="20"/>
        </w:rPr>
        <w:t>2.</w:t>
      </w:r>
      <w:r w:rsidRPr="00F047BB">
        <w:rPr>
          <w:b/>
          <w:bCs/>
          <w:szCs w:val="20"/>
        </w:rPr>
        <w:t xml:space="preserve"> </w:t>
      </w:r>
      <w:r w:rsidRPr="005E7CA2" w:rsidR="00083A40">
        <w:rPr>
          <w:b/>
          <w:bCs/>
        </w:rPr>
        <w:t>HOW, BY WHOM, AND FOR WHAT PURPOSE IS THE INFORMATION USED</w:t>
      </w:r>
    </w:p>
    <w:p w:rsidR="00354EFA" w:rsidRPr="005E7CA2" w:rsidP="00B91B1F" w14:paraId="27253EF9" w14:textId="496321CB">
      <w:pPr>
        <w:pStyle w:val="BodyTextIndent2"/>
        <w:spacing w:line="240" w:lineRule="auto"/>
        <w:ind w:firstLine="0"/>
        <w:jc w:val="both"/>
        <w:rPr>
          <w:rFonts w:ascii="Times New Roman" w:hAnsi="Times New Roman" w:cs="Times New Roman"/>
        </w:rPr>
      </w:pPr>
      <w:bookmarkStart w:id="2" w:name="_Hlk5302662"/>
      <w:r w:rsidRPr="005E7CA2">
        <w:rPr>
          <w:rFonts w:ascii="Times New Roman" w:hAnsi="Times New Roman" w:cs="Times New Roman"/>
        </w:rPr>
        <w:t>The information</w:t>
      </w:r>
      <w:r w:rsidRPr="005E7CA2" w:rsidR="007C1A95">
        <w:rPr>
          <w:rFonts w:ascii="Times New Roman" w:hAnsi="Times New Roman" w:cs="Times New Roman"/>
        </w:rPr>
        <w:t xml:space="preserve"> in the Clearinghouse</w:t>
      </w:r>
      <w:r w:rsidRPr="005E7CA2">
        <w:rPr>
          <w:rFonts w:ascii="Times New Roman" w:hAnsi="Times New Roman" w:cs="Times New Roman"/>
        </w:rPr>
        <w:t xml:space="preserve"> </w:t>
      </w:r>
      <w:r w:rsidRPr="005E7CA2" w:rsidR="00F038FE">
        <w:rPr>
          <w:rFonts w:ascii="Times New Roman" w:hAnsi="Times New Roman" w:cs="Times New Roman"/>
        </w:rPr>
        <w:t>is</w:t>
      </w:r>
      <w:r w:rsidRPr="005E7CA2">
        <w:rPr>
          <w:rFonts w:ascii="Times New Roman" w:hAnsi="Times New Roman" w:cs="Times New Roman"/>
        </w:rPr>
        <w:t xml:space="preserve"> used by employers </w:t>
      </w:r>
      <w:r w:rsidRPr="005E7CA2" w:rsidR="00DE487A">
        <w:rPr>
          <w:rFonts w:ascii="Times New Roman" w:hAnsi="Times New Roman" w:cs="Times New Roman"/>
        </w:rPr>
        <w:t xml:space="preserve">and </w:t>
      </w:r>
      <w:r w:rsidRPr="005E7CA2" w:rsidR="0030676D">
        <w:rPr>
          <w:rFonts w:ascii="Times New Roman" w:hAnsi="Times New Roman" w:cs="Times New Roman"/>
        </w:rPr>
        <w:t>State Driver Licensing Agencies (</w:t>
      </w:r>
      <w:r w:rsidRPr="005E7CA2" w:rsidR="00DE487A">
        <w:rPr>
          <w:rFonts w:ascii="Times New Roman" w:hAnsi="Times New Roman" w:cs="Times New Roman"/>
        </w:rPr>
        <w:t>SDLA</w:t>
      </w:r>
      <w:r w:rsidRPr="005E7CA2" w:rsidR="0030676D">
        <w:rPr>
          <w:rFonts w:ascii="Times New Roman" w:hAnsi="Times New Roman" w:cs="Times New Roman"/>
        </w:rPr>
        <w:t>)</w:t>
      </w:r>
      <w:r w:rsidRPr="005E7CA2" w:rsidR="00DE487A">
        <w:rPr>
          <w:rFonts w:ascii="Times New Roman" w:hAnsi="Times New Roman" w:cs="Times New Roman"/>
        </w:rPr>
        <w:t xml:space="preserve"> </w:t>
      </w:r>
      <w:r w:rsidRPr="005E7CA2">
        <w:rPr>
          <w:rFonts w:ascii="Times New Roman" w:hAnsi="Times New Roman" w:cs="Times New Roman"/>
        </w:rPr>
        <w:t xml:space="preserve">to identify drivers who have </w:t>
      </w:r>
      <w:r w:rsidRPr="005E7CA2" w:rsidR="00426EE9">
        <w:rPr>
          <w:rFonts w:ascii="Times New Roman" w:hAnsi="Times New Roman" w:cs="Times New Roman"/>
        </w:rPr>
        <w:t>violated the Agency</w:t>
      </w:r>
      <w:r w:rsidRPr="005E7CA2" w:rsidR="007D7BD7">
        <w:rPr>
          <w:rFonts w:ascii="Times New Roman" w:hAnsi="Times New Roman" w:cs="Times New Roman"/>
        </w:rPr>
        <w:t>'</w:t>
      </w:r>
      <w:r w:rsidRPr="005E7CA2" w:rsidR="00426EE9">
        <w:rPr>
          <w:rFonts w:ascii="Times New Roman" w:hAnsi="Times New Roman" w:cs="Times New Roman"/>
        </w:rPr>
        <w:t xml:space="preserve">s </w:t>
      </w:r>
      <w:r w:rsidRPr="005E7CA2">
        <w:rPr>
          <w:rFonts w:ascii="Times New Roman" w:hAnsi="Times New Roman" w:cs="Times New Roman"/>
        </w:rPr>
        <w:t xml:space="preserve">drug and alcohol </w:t>
      </w:r>
      <w:r w:rsidRPr="005E7CA2" w:rsidR="00E47BF7">
        <w:rPr>
          <w:rFonts w:ascii="Times New Roman" w:hAnsi="Times New Roman" w:cs="Times New Roman"/>
        </w:rPr>
        <w:t>rules and</w:t>
      </w:r>
      <w:r w:rsidRPr="005E7CA2" w:rsidR="00D25E01">
        <w:rPr>
          <w:rFonts w:ascii="Times New Roman" w:hAnsi="Times New Roman" w:cs="Times New Roman"/>
        </w:rPr>
        <w:t xml:space="preserve"> are </w:t>
      </w:r>
      <w:r w:rsidRPr="005E7CA2" w:rsidR="00920595">
        <w:rPr>
          <w:rFonts w:ascii="Times New Roman" w:hAnsi="Times New Roman" w:cs="Times New Roman"/>
        </w:rPr>
        <w:t>prohibited</w:t>
      </w:r>
      <w:r w:rsidRPr="005E7CA2" w:rsidR="00D25E01">
        <w:rPr>
          <w:rFonts w:ascii="Times New Roman" w:hAnsi="Times New Roman" w:cs="Times New Roman"/>
        </w:rPr>
        <w:t xml:space="preserve"> </w:t>
      </w:r>
      <w:r w:rsidRPr="005E7CA2" w:rsidR="00920595">
        <w:rPr>
          <w:rFonts w:ascii="Times New Roman" w:hAnsi="Times New Roman" w:cs="Times New Roman"/>
        </w:rPr>
        <w:t xml:space="preserve">from </w:t>
      </w:r>
      <w:r w:rsidRPr="005E7CA2" w:rsidR="00D25E01">
        <w:rPr>
          <w:rFonts w:ascii="Times New Roman" w:hAnsi="Times New Roman" w:cs="Times New Roman"/>
        </w:rPr>
        <w:t>operat</w:t>
      </w:r>
      <w:r w:rsidRPr="005E7CA2" w:rsidR="00920595">
        <w:rPr>
          <w:rFonts w:ascii="Times New Roman" w:hAnsi="Times New Roman" w:cs="Times New Roman"/>
        </w:rPr>
        <w:t>ing</w:t>
      </w:r>
      <w:r w:rsidRPr="005E7CA2" w:rsidR="00D25E01">
        <w:rPr>
          <w:rFonts w:ascii="Times New Roman" w:hAnsi="Times New Roman" w:cs="Times New Roman"/>
        </w:rPr>
        <w:t xml:space="preserve"> </w:t>
      </w:r>
      <w:r w:rsidRPr="005E7CA2" w:rsidR="00920595">
        <w:rPr>
          <w:rFonts w:ascii="Times New Roman" w:hAnsi="Times New Roman" w:cs="Times New Roman"/>
        </w:rPr>
        <w:t>CMV</w:t>
      </w:r>
      <w:r w:rsidRPr="005E7CA2" w:rsidR="00200746">
        <w:rPr>
          <w:rFonts w:ascii="Times New Roman" w:hAnsi="Times New Roman" w:cs="Times New Roman"/>
        </w:rPr>
        <w:t>s</w:t>
      </w:r>
      <w:r w:rsidRPr="005E7CA2">
        <w:rPr>
          <w:rFonts w:ascii="Times New Roman" w:hAnsi="Times New Roman" w:cs="Times New Roman"/>
        </w:rPr>
        <w:t xml:space="preserve">. </w:t>
      </w:r>
      <w:r w:rsidRPr="005E7CA2" w:rsidR="0001369F">
        <w:rPr>
          <w:rFonts w:ascii="Times New Roman" w:hAnsi="Times New Roman" w:cs="Times New Roman"/>
        </w:rPr>
        <w:t xml:space="preserve">The information </w:t>
      </w:r>
      <w:r w:rsidRPr="005E7CA2" w:rsidR="00F038FE">
        <w:rPr>
          <w:rFonts w:ascii="Times New Roman" w:hAnsi="Times New Roman" w:cs="Times New Roman"/>
        </w:rPr>
        <w:t xml:space="preserve">is </w:t>
      </w:r>
      <w:r w:rsidRPr="005E7CA2" w:rsidR="0001369F">
        <w:rPr>
          <w:rFonts w:ascii="Times New Roman" w:hAnsi="Times New Roman" w:cs="Times New Roman"/>
        </w:rPr>
        <w:t xml:space="preserve">also used by FMCSA </w:t>
      </w:r>
      <w:r w:rsidRPr="005E7CA2" w:rsidR="00D6174F">
        <w:rPr>
          <w:rFonts w:ascii="Times New Roman" w:hAnsi="Times New Roman" w:cs="Times New Roman"/>
        </w:rPr>
        <w:t xml:space="preserve">and State </w:t>
      </w:r>
      <w:r w:rsidRPr="005E7CA2" w:rsidR="00A35164">
        <w:rPr>
          <w:rFonts w:ascii="Times New Roman" w:hAnsi="Times New Roman" w:cs="Times New Roman"/>
        </w:rPr>
        <w:t xml:space="preserve">Motor Carrier Safety Assistance Program </w:t>
      </w:r>
      <w:r w:rsidRPr="005E7CA2" w:rsidR="005A7E82">
        <w:rPr>
          <w:rFonts w:ascii="Times New Roman" w:hAnsi="Times New Roman" w:cs="Times New Roman"/>
        </w:rPr>
        <w:t xml:space="preserve">partners </w:t>
      </w:r>
      <w:r w:rsidRPr="005E7CA2" w:rsidR="0001369F">
        <w:rPr>
          <w:rFonts w:ascii="Times New Roman" w:hAnsi="Times New Roman" w:cs="Times New Roman"/>
        </w:rPr>
        <w:t>for research and enforcement purposes.</w:t>
      </w:r>
      <w:r w:rsidRPr="005E7CA2" w:rsidR="00173648">
        <w:rPr>
          <w:rFonts w:ascii="Times New Roman" w:hAnsi="Times New Roman" w:cs="Times New Roman"/>
        </w:rPr>
        <w:t xml:space="preserve"> </w:t>
      </w:r>
      <w:r w:rsidRPr="005E7CA2" w:rsidR="0001369F">
        <w:rPr>
          <w:rFonts w:ascii="Times New Roman" w:hAnsi="Times New Roman" w:cs="Times New Roman"/>
        </w:rPr>
        <w:t xml:space="preserve">The </w:t>
      </w:r>
      <w:r w:rsidRPr="005E7CA2" w:rsidR="00243F22">
        <w:rPr>
          <w:rFonts w:ascii="Times New Roman" w:hAnsi="Times New Roman" w:cs="Times New Roman"/>
        </w:rPr>
        <w:t xml:space="preserve">National </w:t>
      </w:r>
      <w:r w:rsidRPr="005E7CA2" w:rsidR="00243F22">
        <w:rPr>
          <w:rFonts w:ascii="Times New Roman" w:hAnsi="Times New Roman" w:cs="Times New Roman"/>
        </w:rPr>
        <w:t xml:space="preserve">Transportation Safety Board </w:t>
      </w:r>
      <w:r w:rsidRPr="005E7CA2" w:rsidR="0001369F">
        <w:rPr>
          <w:rFonts w:ascii="Times New Roman" w:hAnsi="Times New Roman" w:cs="Times New Roman"/>
        </w:rPr>
        <w:t>use</w:t>
      </w:r>
      <w:r w:rsidRPr="005E7CA2" w:rsidR="009221B4">
        <w:rPr>
          <w:rFonts w:ascii="Times New Roman" w:hAnsi="Times New Roman" w:cs="Times New Roman"/>
        </w:rPr>
        <w:t>s</w:t>
      </w:r>
      <w:r w:rsidRPr="005E7CA2" w:rsidR="0001369F">
        <w:rPr>
          <w:rFonts w:ascii="Times New Roman" w:hAnsi="Times New Roman" w:cs="Times New Roman"/>
        </w:rPr>
        <w:t xml:space="preserve"> information about drivers involved in specific crash investigations.</w:t>
      </w:r>
    </w:p>
    <w:p w:rsidR="00354EFA" w:rsidRPr="005E7CA2" w:rsidP="00354EFA" w14:paraId="27253EFA" w14:textId="77777777">
      <w:pPr>
        <w:jc w:val="both"/>
      </w:pPr>
    </w:p>
    <w:p w:rsidR="00354EFA" w:rsidRPr="005E7CA2" w:rsidP="00354EFA" w14:paraId="27253EFB" w14:textId="17790F87">
      <w:pPr>
        <w:jc w:val="both"/>
      </w:pPr>
      <w:r w:rsidRPr="005E7CA2">
        <w:t xml:space="preserve">The purpose of </w:t>
      </w:r>
      <w:r w:rsidRPr="005E7CA2" w:rsidR="00501642">
        <w:t xml:space="preserve">the Clearinghouse </w:t>
      </w:r>
      <w:r w:rsidRPr="005E7CA2">
        <w:t>is to mandate</w:t>
      </w:r>
      <w:r w:rsidRPr="005E7CA2" w:rsidR="00E61704">
        <w:t xml:space="preserve"> querying and</w:t>
      </w:r>
      <w:r w:rsidRPr="005E7CA2">
        <w:t xml:space="preserve"> reporting requirements to diminish the problem of </w:t>
      </w:r>
      <w:r w:rsidRPr="005E7CA2" w:rsidR="00501642">
        <w:t>Commercial Driver</w:t>
      </w:r>
      <w:r w:rsidRPr="005E7CA2" w:rsidR="007D7BD7">
        <w:t>'</w:t>
      </w:r>
      <w:r w:rsidRPr="005E7CA2" w:rsidR="00501642">
        <w:t>s License (CDL) or Commercial Learner</w:t>
      </w:r>
      <w:r w:rsidRPr="005E7CA2" w:rsidR="007D7BD7">
        <w:t>'</w:t>
      </w:r>
      <w:r w:rsidRPr="005E7CA2" w:rsidR="00501642">
        <w:t xml:space="preserve">s Permit (CLP) </w:t>
      </w:r>
      <w:r w:rsidRPr="005E7CA2">
        <w:t xml:space="preserve">holders testing positive for drugs or </w:t>
      </w:r>
      <w:r w:rsidRPr="005E7CA2" w:rsidR="00056582">
        <w:t>alcohol and</w:t>
      </w:r>
      <w:r w:rsidRPr="005E7CA2">
        <w:t xml:space="preserve"> then continuing to operate CMV</w:t>
      </w:r>
      <w:r w:rsidRPr="005E7CA2" w:rsidR="00200746">
        <w:t>s</w:t>
      </w:r>
      <w:r w:rsidRPr="005E7CA2">
        <w:t xml:space="preserve"> without </w:t>
      </w:r>
      <w:r w:rsidRPr="005E7CA2" w:rsidR="00841A8B">
        <w:t xml:space="preserve">completing </w:t>
      </w:r>
      <w:r w:rsidRPr="005E7CA2" w:rsidR="00200746">
        <w:t xml:space="preserve">the </w:t>
      </w:r>
      <w:r w:rsidRPr="005E7CA2">
        <w:t>required return-to-duty</w:t>
      </w:r>
      <w:r w:rsidRPr="005E7CA2" w:rsidR="007D7BD7">
        <w:t xml:space="preserve"> (RTD)</w:t>
      </w:r>
      <w:r w:rsidRPr="005E7CA2">
        <w:t xml:space="preserve"> process. </w:t>
      </w:r>
    </w:p>
    <w:bookmarkEnd w:id="2"/>
    <w:p w:rsidR="00354EFA" w:rsidRPr="005E7CA2" w:rsidP="00354EFA" w14:paraId="27253EFC" w14:textId="77777777">
      <w:pPr>
        <w:jc w:val="both"/>
      </w:pPr>
    </w:p>
    <w:p w:rsidR="00CA02F9" w:rsidRPr="00F047BB" w:rsidP="00977BBD" w14:paraId="27253F02" w14:textId="5CE75E87">
      <w:pPr>
        <w:pStyle w:val="NormalWeb"/>
        <w:keepNext/>
        <w:rPr>
          <w:szCs w:val="20"/>
        </w:rPr>
      </w:pPr>
      <w:r w:rsidRPr="005E7CA2">
        <w:rPr>
          <w:b/>
        </w:rPr>
        <w:t>3.</w:t>
      </w:r>
      <w:r w:rsidRPr="00F047BB">
        <w:rPr>
          <w:b/>
        </w:rPr>
        <w:t xml:space="preserve"> </w:t>
      </w:r>
      <w:r w:rsidRPr="005E7CA2" w:rsidR="00083A40">
        <w:rPr>
          <w:b/>
          <w:bCs/>
        </w:rPr>
        <w:t>EXTENT OF AUTOMATED INFORMATION COLLECTION</w:t>
      </w:r>
    </w:p>
    <w:p w:rsidR="00354EFA" w:rsidRPr="005E7CA2" w:rsidP="00354EFA" w14:paraId="27253F03" w14:textId="1846FE32">
      <w:pPr>
        <w:jc w:val="both"/>
      </w:pPr>
      <w:bookmarkStart w:id="3" w:name="_Hlk125467400"/>
      <w:r>
        <w:t>All</w:t>
      </w:r>
      <w:r w:rsidR="00CA02F9">
        <w:t xml:space="preserve"> information </w:t>
      </w:r>
      <w:r w:rsidR="00F038FE">
        <w:t>is</w:t>
      </w:r>
      <w:r w:rsidR="00CA02F9">
        <w:t xml:space="preserve"> </w:t>
      </w:r>
      <w:r>
        <w:t>entered into the Clearinghouse by logging</w:t>
      </w:r>
      <w:r w:rsidR="00426EE9">
        <w:t xml:space="preserve"> into a secure web</w:t>
      </w:r>
      <w:r w:rsidR="00B96289">
        <w:t xml:space="preserve"> </w:t>
      </w:r>
      <w:r w:rsidR="00144E66">
        <w:t>site</w:t>
      </w:r>
      <w:r w:rsidR="10DBCBDD">
        <w:t xml:space="preserve">. </w:t>
      </w:r>
      <w:bookmarkEnd w:id="3"/>
      <w:r>
        <w:t xml:space="preserve">FMCSA </w:t>
      </w:r>
      <w:r w:rsidR="007D7BD7">
        <w:t>notifies</w:t>
      </w:r>
      <w:r>
        <w:t xml:space="preserve"> each driver </w:t>
      </w:r>
      <w:r w:rsidR="00426EE9">
        <w:t xml:space="preserve">via U.S. Mail </w:t>
      </w:r>
      <w:r>
        <w:t>that information about them has been reported to</w:t>
      </w:r>
      <w:r w:rsidR="00A13018">
        <w:t>, revised or removed from</w:t>
      </w:r>
      <w:r>
        <w:t xml:space="preserve"> the database</w:t>
      </w:r>
      <w:r w:rsidR="00CD5EF9">
        <w:t xml:space="preserve"> unless the driver provides an alternative method of notification</w:t>
      </w:r>
      <w:r w:rsidR="00DE487A">
        <w:t>,</w:t>
      </w:r>
      <w:r w:rsidR="00CD5EF9">
        <w:t xml:space="preserve"> such as email</w:t>
      </w:r>
      <w:r>
        <w:t xml:space="preserve">. </w:t>
      </w:r>
      <w:r w:rsidR="00C6027D">
        <w:t>Thus, of the s</w:t>
      </w:r>
      <w:r w:rsidR="009A4E23">
        <w:t>ix</w:t>
      </w:r>
      <w:r w:rsidR="0061220F">
        <w:t xml:space="preserve"> stated requirements of the rule, all </w:t>
      </w:r>
      <w:r w:rsidR="6FD6643D">
        <w:t xml:space="preserve">must </w:t>
      </w:r>
      <w:r w:rsidR="0061220F">
        <w:t xml:space="preserve">be </w:t>
      </w:r>
      <w:r w:rsidR="00CC678C">
        <w:t>electronic except</w:t>
      </w:r>
      <w:r w:rsidR="0061220F">
        <w:t xml:space="preserve"> for </w:t>
      </w:r>
      <w:r w:rsidR="00471EF9">
        <w:t>number</w:t>
      </w:r>
      <w:r w:rsidR="00CC678C">
        <w:t xml:space="preserve"> six</w:t>
      </w:r>
      <w:r w:rsidR="0061220F">
        <w:t xml:space="preserve"> below:</w:t>
      </w:r>
    </w:p>
    <w:p w:rsidR="0061220F" w:rsidRPr="005E7CA2" w:rsidP="00354EFA" w14:paraId="27253F04" w14:textId="77777777">
      <w:pPr>
        <w:jc w:val="both"/>
      </w:pPr>
    </w:p>
    <w:p w:rsidR="0061220F" w:rsidRPr="005E7CA2" w:rsidP="00DB1A0F" w14:paraId="27253F05" w14:textId="404A8CE1">
      <w:pPr>
        <w:numPr>
          <w:ilvl w:val="0"/>
          <w:numId w:val="1"/>
        </w:numPr>
        <w:jc w:val="both"/>
      </w:pPr>
      <w:r w:rsidRPr="005E7CA2">
        <w:t xml:space="preserve">Medical </w:t>
      </w:r>
      <w:r w:rsidRPr="005E7CA2" w:rsidR="007D7BD7">
        <w:t>r</w:t>
      </w:r>
      <w:r w:rsidRPr="005E7CA2">
        <w:t xml:space="preserve">eview </w:t>
      </w:r>
      <w:r w:rsidRPr="005E7CA2" w:rsidR="007D7BD7">
        <w:t>o</w:t>
      </w:r>
      <w:r w:rsidRPr="005E7CA2">
        <w:t>fficers (MROs) submit verified positive controlled</w:t>
      </w:r>
      <w:r w:rsidRPr="005E7CA2" w:rsidR="00D25E01">
        <w:t xml:space="preserve"> </w:t>
      </w:r>
      <w:r w:rsidRPr="005E7CA2">
        <w:t>substances test</w:t>
      </w:r>
      <w:r w:rsidRPr="005E7CA2" w:rsidR="00D25E01">
        <w:t xml:space="preserve"> </w:t>
      </w:r>
      <w:r w:rsidRPr="005E7CA2">
        <w:t xml:space="preserve">results </w:t>
      </w:r>
      <w:r w:rsidRPr="005E7CA2" w:rsidR="00D25E01">
        <w:t>and medical refusals</w:t>
      </w:r>
      <w:r w:rsidRPr="005E7CA2">
        <w:t xml:space="preserve"> to the Agency. </w:t>
      </w:r>
    </w:p>
    <w:p w:rsidR="0061220F" w:rsidRPr="005E7CA2" w:rsidP="00DB1A0F" w14:paraId="27253F06" w14:textId="60889D34">
      <w:pPr>
        <w:numPr>
          <w:ilvl w:val="0"/>
          <w:numId w:val="1"/>
        </w:numPr>
        <w:jc w:val="both"/>
      </w:pPr>
      <w:r w:rsidRPr="005E7CA2">
        <w:t xml:space="preserve">Substance </w:t>
      </w:r>
      <w:r w:rsidRPr="005E7CA2" w:rsidR="007D7BD7">
        <w:t>a</w:t>
      </w:r>
      <w:r w:rsidRPr="005E7CA2">
        <w:t xml:space="preserve">buse </w:t>
      </w:r>
      <w:r w:rsidRPr="005E7CA2" w:rsidR="007D7BD7">
        <w:t>p</w:t>
      </w:r>
      <w:r w:rsidRPr="005E7CA2">
        <w:t>rofessionals (SAPs) report</w:t>
      </w:r>
      <w:r w:rsidRPr="005E7CA2" w:rsidR="00CD5EF9">
        <w:t xml:space="preserve"> </w:t>
      </w:r>
      <w:r w:rsidRPr="005E7CA2" w:rsidR="00D33D2B">
        <w:t>driver information upon complet</w:t>
      </w:r>
      <w:r w:rsidRPr="005E7CA2" w:rsidR="00B50B69">
        <w:t>ing</w:t>
      </w:r>
      <w:r w:rsidRPr="005E7CA2" w:rsidR="00D33D2B">
        <w:t xml:space="preserve"> an initial assessment and </w:t>
      </w:r>
      <w:r w:rsidRPr="005E7CA2" w:rsidR="00D25E01">
        <w:t xml:space="preserve">the completion date of the </w:t>
      </w:r>
      <w:r w:rsidRPr="005E7CA2" w:rsidR="008F247E">
        <w:t>RTD</w:t>
      </w:r>
      <w:r w:rsidRPr="005E7CA2" w:rsidR="00D25E01">
        <w:t xml:space="preserve"> process</w:t>
      </w:r>
      <w:r w:rsidRPr="005E7CA2">
        <w:t xml:space="preserve">. </w:t>
      </w:r>
    </w:p>
    <w:p w:rsidR="0061220F" w:rsidRPr="005E7CA2" w:rsidP="00DB1A0F" w14:paraId="27253F07" w14:textId="253AD687">
      <w:pPr>
        <w:numPr>
          <w:ilvl w:val="0"/>
          <w:numId w:val="1"/>
        </w:numPr>
        <w:jc w:val="both"/>
      </w:pPr>
      <w:r w:rsidRPr="005E7CA2">
        <w:t>Employers</w:t>
      </w:r>
      <w:r w:rsidRPr="005E7CA2" w:rsidR="00057D8E">
        <w:t xml:space="preserve"> </w:t>
      </w:r>
      <w:r w:rsidRPr="005E7CA2">
        <w:t xml:space="preserve">or designated service agents </w:t>
      </w:r>
      <w:r w:rsidRPr="005E7CA2" w:rsidR="00CD5EF9">
        <w:t xml:space="preserve">(C/TPAs) </w:t>
      </w:r>
      <w:r w:rsidRPr="005E7CA2" w:rsidR="00A13018">
        <w:t xml:space="preserve">report </w:t>
      </w:r>
      <w:r w:rsidRPr="005E7CA2">
        <w:t>verified alcohol test results at or above 0.04 alcohol-concentration for drivers to the Agency.</w:t>
      </w:r>
    </w:p>
    <w:p w:rsidR="0061220F" w:rsidRPr="005E7CA2" w:rsidP="00DB1A0F" w14:paraId="27253F08" w14:textId="23670319">
      <w:pPr>
        <w:numPr>
          <w:ilvl w:val="0"/>
          <w:numId w:val="1"/>
        </w:numPr>
        <w:jc w:val="both"/>
      </w:pPr>
      <w:r w:rsidRPr="005E7CA2">
        <w:t>Employers or C/TPAs acting on the employer</w:t>
      </w:r>
      <w:r w:rsidRPr="005E7CA2" w:rsidR="007D7BD7">
        <w:t>'</w:t>
      </w:r>
      <w:r w:rsidRPr="005E7CA2">
        <w:t>s behalf submit information on refusals to test.</w:t>
      </w:r>
    </w:p>
    <w:p w:rsidR="00A13018" w:rsidRPr="005E7CA2" w:rsidP="00DB1A0F" w14:paraId="27253F09" w14:textId="19272014">
      <w:pPr>
        <w:numPr>
          <w:ilvl w:val="0"/>
          <w:numId w:val="1"/>
        </w:numPr>
        <w:jc w:val="both"/>
      </w:pPr>
      <w:r w:rsidRPr="005E7CA2">
        <w:t xml:space="preserve">Employers report any violation of </w:t>
      </w:r>
      <w:r w:rsidRPr="005E7CA2" w:rsidR="007D7BD7">
        <w:t>P</w:t>
      </w:r>
      <w:r w:rsidRPr="005E7CA2">
        <w:t xml:space="preserve">art 382 </w:t>
      </w:r>
      <w:r w:rsidRPr="005E7CA2" w:rsidR="007D7BD7">
        <w:t>S</w:t>
      </w:r>
      <w:r w:rsidRPr="005E7CA2">
        <w:t>ubpart B, including violations based on actual knowledge of drug or alcohol use</w:t>
      </w:r>
      <w:r w:rsidRPr="005E7CA2" w:rsidR="00A045FA">
        <w:t>, as defined in § 382.107</w:t>
      </w:r>
      <w:r w:rsidRPr="005E7CA2">
        <w:t xml:space="preserve">.  </w:t>
      </w:r>
    </w:p>
    <w:p w:rsidR="00157EEF" w:rsidRPr="005E7CA2" w:rsidP="00DB1A0F" w14:paraId="27253F0A" w14:textId="2D6FA297">
      <w:pPr>
        <w:numPr>
          <w:ilvl w:val="0"/>
          <w:numId w:val="1"/>
        </w:numPr>
        <w:jc w:val="both"/>
      </w:pPr>
      <w:r w:rsidRPr="005E7CA2">
        <w:t>The Clearinghouse provide</w:t>
      </w:r>
      <w:r w:rsidRPr="005E7CA2" w:rsidR="00EA5C41">
        <w:t>s</w:t>
      </w:r>
      <w:r w:rsidRPr="005E7CA2">
        <w:t xml:space="preserve"> notice to the driver each time his or her information is released</w:t>
      </w:r>
      <w:r w:rsidRPr="005E7CA2" w:rsidR="006B5885">
        <w:t xml:space="preserve"> or when new information is recorded on the driver in the Clearinghouse</w:t>
      </w:r>
      <w:r w:rsidRPr="005E7CA2">
        <w:t xml:space="preserve">. In addition, a driver </w:t>
      </w:r>
      <w:r w:rsidRPr="005E7CA2" w:rsidR="002411C1">
        <w:t>is</w:t>
      </w:r>
      <w:r w:rsidRPr="005E7CA2">
        <w:t xml:space="preserve"> given the option to receive electronic notification each time someone conducts a limited </w:t>
      </w:r>
      <w:r w:rsidRPr="005E7CA2" w:rsidR="00D55DBD">
        <w:t xml:space="preserve">or full </w:t>
      </w:r>
      <w:r w:rsidRPr="005E7CA2">
        <w:t xml:space="preserve">query on that driver. The driver </w:t>
      </w:r>
      <w:r w:rsidRPr="005E7CA2" w:rsidR="002411C1">
        <w:t>is</w:t>
      </w:r>
      <w:r w:rsidRPr="005E7CA2">
        <w:t xml:space="preserve"> given the opportunity to opt in and provide electronic contact information when he or she registers with the Clearinghouse; </w:t>
      </w:r>
      <w:r w:rsidRPr="005E7CA2" w:rsidR="00E47BF7">
        <w:t>otherwise,</w:t>
      </w:r>
      <w:r w:rsidRPr="005E7CA2">
        <w:t xml:space="preserve"> the default method of notification will be U.S. </w:t>
      </w:r>
      <w:r w:rsidRPr="005E7CA2" w:rsidR="007D7BD7">
        <w:t>M</w:t>
      </w:r>
      <w:r w:rsidRPr="005E7CA2">
        <w:t>ail.</w:t>
      </w:r>
    </w:p>
    <w:p w:rsidR="00CA02F9" w:rsidRPr="00F047BB" w14:paraId="27253F0B" w14:textId="7207E441">
      <w:pPr>
        <w:pStyle w:val="NormalWeb"/>
        <w:keepNext/>
        <w:rPr>
          <w:szCs w:val="20"/>
        </w:rPr>
      </w:pPr>
      <w:r w:rsidRPr="005E7CA2">
        <w:rPr>
          <w:b/>
          <w:bCs/>
          <w:szCs w:val="20"/>
        </w:rPr>
        <w:t>4.</w:t>
      </w:r>
      <w:r w:rsidRPr="00F047BB">
        <w:rPr>
          <w:b/>
          <w:bCs/>
          <w:szCs w:val="20"/>
        </w:rPr>
        <w:t xml:space="preserve"> </w:t>
      </w:r>
      <w:r w:rsidRPr="005E7CA2" w:rsidR="00083A40">
        <w:rPr>
          <w:b/>
          <w:bCs/>
          <w:szCs w:val="20"/>
        </w:rPr>
        <w:t>EFFORTS TO IDENTIFY DUPLICATION</w:t>
      </w:r>
    </w:p>
    <w:p w:rsidR="00CD5EF9" w:rsidRPr="005E7CA2" w:rsidP="00354EFA" w14:paraId="27253F0C" w14:textId="0D1D824D">
      <w:r w:rsidRPr="005E7CA2">
        <w:t xml:space="preserve">FMCSA is not aware of any other </w:t>
      </w:r>
      <w:r w:rsidRPr="005E7CA2" w:rsidR="00720A31">
        <w:t xml:space="preserve">efforts </w:t>
      </w:r>
      <w:r w:rsidRPr="005E7CA2" w:rsidR="00200746">
        <w:t xml:space="preserve">that </w:t>
      </w:r>
      <w:r w:rsidRPr="005E7CA2" w:rsidR="00987B09">
        <w:rPr>
          <w:iCs/>
        </w:rPr>
        <w:t>conflict</w:t>
      </w:r>
      <w:r w:rsidRPr="005E7CA2">
        <w:t xml:space="preserve"> with</w:t>
      </w:r>
      <w:r w:rsidRPr="005E7CA2" w:rsidR="00082AC7">
        <w:t xml:space="preserve"> or duplicate</w:t>
      </w:r>
      <w:r w:rsidRPr="005E7CA2">
        <w:t xml:space="preserve"> </w:t>
      </w:r>
      <w:r w:rsidRPr="005E7CA2" w:rsidR="00C13B7A">
        <w:t>this</w:t>
      </w:r>
      <w:r w:rsidRPr="005E7CA2">
        <w:t xml:space="preserve"> action. </w:t>
      </w:r>
    </w:p>
    <w:p w:rsidR="004B4C7C" w:rsidRPr="00F047BB" w:rsidP="004B4C7C" w14:paraId="27253F0D" w14:textId="25A9EFDB">
      <w:pPr>
        <w:spacing w:before="100" w:beforeAutospacing="1" w:after="100" w:afterAutospacing="1"/>
        <w:rPr>
          <w:b/>
          <w:bCs/>
          <w:szCs w:val="20"/>
        </w:rPr>
      </w:pPr>
      <w:r w:rsidRPr="005E7CA2">
        <w:rPr>
          <w:b/>
        </w:rPr>
        <w:t>5.</w:t>
      </w:r>
      <w:r w:rsidRPr="00F047BB">
        <w:rPr>
          <w:b/>
        </w:rPr>
        <w:t xml:space="preserve"> </w:t>
      </w:r>
      <w:r w:rsidRPr="005E7CA2" w:rsidR="00083A40">
        <w:rPr>
          <w:b/>
          <w:bCs/>
        </w:rPr>
        <w:t>EFFORTS TO MINIMIZE THE BURDEN ON SMALL BUSINESSES</w:t>
      </w:r>
    </w:p>
    <w:p w:rsidR="00CB4915" w:rsidRPr="005E7CA2" w:rsidP="00CB4915" w14:paraId="27253F0E" w14:textId="301B007F">
      <w:pPr>
        <w:jc w:val="both"/>
      </w:pPr>
      <w:r w:rsidRPr="005E7CA2">
        <w:t xml:space="preserve">The FMCSA drug and alcohol testing regulations apply to more than an estimated 520,000 carriers consisting of about 4 million drivers. An estimated 515,000 of these motor carriers are considered small entities. In addition, </w:t>
      </w:r>
      <w:r w:rsidRPr="005E7CA2" w:rsidR="00A7229F">
        <w:t xml:space="preserve">as of </w:t>
      </w:r>
      <w:r w:rsidRPr="005E7CA2" w:rsidR="00C16465">
        <w:t>January 4, 2023</w:t>
      </w:r>
      <w:r w:rsidRPr="005E7CA2" w:rsidR="00A7229F">
        <w:t xml:space="preserve">, </w:t>
      </w:r>
      <w:r w:rsidRPr="005E7CA2" w:rsidR="00C16465">
        <w:t>2,125</w:t>
      </w:r>
      <w:r w:rsidRPr="005E7CA2">
        <w:t xml:space="preserve"> MROs, </w:t>
      </w:r>
      <w:r w:rsidRPr="005E7CA2" w:rsidR="00C16465">
        <w:t>15</w:t>
      </w:r>
      <w:r w:rsidRPr="005E7CA2" w:rsidR="00CA0B94">
        <w:t>,582</w:t>
      </w:r>
      <w:r w:rsidRPr="005E7CA2" w:rsidR="00A46BD1">
        <w:t xml:space="preserve"> </w:t>
      </w:r>
      <w:r w:rsidRPr="005E7CA2">
        <w:t xml:space="preserve">C/TPAs, and </w:t>
      </w:r>
      <w:r w:rsidRPr="005E7CA2" w:rsidR="00CA0B94">
        <w:t>4,396</w:t>
      </w:r>
      <w:r w:rsidRPr="005E7CA2">
        <w:t xml:space="preserve"> SAPs </w:t>
      </w:r>
      <w:r w:rsidRPr="005E7CA2" w:rsidR="00F30E66">
        <w:t>have registered in the Clearinghouse. These authorized users</w:t>
      </w:r>
      <w:r w:rsidRPr="005E7CA2" w:rsidR="00C97CB6">
        <w:t xml:space="preserve"> </w:t>
      </w:r>
      <w:r w:rsidRPr="005E7CA2">
        <w:t xml:space="preserve">verify and report positive drug and alcohol test results, test refusals, </w:t>
      </w:r>
      <w:r w:rsidRPr="005E7CA2" w:rsidR="006B64FA">
        <w:t xml:space="preserve">or </w:t>
      </w:r>
      <w:r w:rsidRPr="005E7CA2">
        <w:t xml:space="preserve">information about </w:t>
      </w:r>
      <w:r w:rsidRPr="005E7CA2" w:rsidR="006B64FA">
        <w:t xml:space="preserve">the </w:t>
      </w:r>
      <w:r w:rsidRPr="005E7CA2">
        <w:t xml:space="preserve">return to duty processes. MROs, C/TPAs, and SAPs are </w:t>
      </w:r>
      <w:r w:rsidRPr="005E7CA2" w:rsidR="00C97CB6">
        <w:t>generally</w:t>
      </w:r>
      <w:r w:rsidRPr="005E7CA2">
        <w:t xml:space="preserve"> small entities.</w:t>
      </w:r>
    </w:p>
    <w:p w:rsidR="00CB4915" w:rsidRPr="005E7CA2" w:rsidP="00CB4915" w14:paraId="27253F0F" w14:textId="77777777"/>
    <w:p w:rsidR="001E433E" w:rsidRPr="005E7CA2" w:rsidP="00B91B1F" w14:paraId="27253F10" w14:textId="0B6B1743">
      <w:pPr>
        <w:jc w:val="both"/>
      </w:pPr>
      <w:r w:rsidRPr="005E7CA2">
        <w:t xml:space="preserve">The requirement to submit drug and alcohol test information </w:t>
      </w:r>
      <w:r w:rsidRPr="005E7CA2" w:rsidR="006B64FA">
        <w:t>pertaining to</w:t>
      </w:r>
      <w:r w:rsidRPr="005E7CA2">
        <w:t xml:space="preserve"> CDL </w:t>
      </w:r>
      <w:r w:rsidRPr="005E7CA2" w:rsidR="007D7BD7">
        <w:t xml:space="preserve">and CLP </w:t>
      </w:r>
      <w:r w:rsidRPr="005E7CA2">
        <w:t>holders applies to all motor carriers conducting operations regardless of size.</w:t>
      </w:r>
      <w:r w:rsidRPr="005E7CA2">
        <w:rPr>
          <w:color w:val="FF0000"/>
        </w:rPr>
        <w:t xml:space="preserve"> </w:t>
      </w:r>
      <w:r w:rsidRPr="005E7CA2">
        <w:t>The FMCSA is requesting no more information than is absolutely necessary to ensure compliance with</w:t>
      </w:r>
      <w:r w:rsidRPr="005E7CA2" w:rsidR="00C262BA">
        <w:t xml:space="preserve"> the MAP-21 requirements and</w:t>
      </w:r>
      <w:r w:rsidRPr="005E7CA2">
        <w:t xml:space="preserve"> applicable safety regulations.</w:t>
      </w:r>
      <w:r w:rsidRPr="005E7CA2" w:rsidR="00EE6B6D">
        <w:t xml:space="preserve"> </w:t>
      </w:r>
      <w:r w:rsidRPr="005E7CA2" w:rsidR="00282663">
        <w:t xml:space="preserve"> </w:t>
      </w:r>
    </w:p>
    <w:p w:rsidR="00282663" w:rsidRPr="005E7CA2" w:rsidP="00B91B1F" w14:paraId="27253F11" w14:textId="77777777">
      <w:pPr>
        <w:jc w:val="both"/>
      </w:pPr>
    </w:p>
    <w:p w:rsidR="00282663" w:rsidRPr="00F047BB" w:rsidP="00B91B1F" w14:paraId="27253F12" w14:textId="644DA767">
      <w:pPr>
        <w:jc w:val="both"/>
        <w:rPr>
          <w:b/>
          <w:bCs/>
          <w:szCs w:val="20"/>
        </w:rPr>
      </w:pPr>
      <w:r w:rsidRPr="005E7CA2">
        <w:t xml:space="preserve">Under current </w:t>
      </w:r>
      <w:r w:rsidRPr="005E7CA2" w:rsidR="00FB79AD">
        <w:t xml:space="preserve">FMCSA </w:t>
      </w:r>
      <w:r w:rsidRPr="005E7CA2">
        <w:t>regulations, as part of the pre-employment screening,</w:t>
      </w:r>
      <w:r w:rsidRPr="005E7CA2" w:rsidR="00FB79AD">
        <w:t xml:space="preserve"> prospective</w:t>
      </w:r>
      <w:r w:rsidRPr="005E7CA2">
        <w:t xml:space="preserve"> employers are required to contact</w:t>
      </w:r>
      <w:r w:rsidRPr="005E7CA2" w:rsidR="00DF50AA">
        <w:t xml:space="preserve"> </w:t>
      </w:r>
      <w:r w:rsidRPr="005E7CA2" w:rsidR="00CF1ED0">
        <w:t>potential</w:t>
      </w:r>
      <w:r w:rsidRPr="005E7CA2" w:rsidR="00FB79AD">
        <w:t xml:space="preserve"> hire</w:t>
      </w:r>
      <w:r w:rsidRPr="005E7CA2" w:rsidR="007D7BD7">
        <w:t>'</w:t>
      </w:r>
      <w:r w:rsidRPr="005E7CA2" w:rsidR="00FB79AD">
        <w:t>s</w:t>
      </w:r>
      <w:r w:rsidRPr="005E7CA2" w:rsidR="00F6600A">
        <w:t xml:space="preserve"> previous employers </w:t>
      </w:r>
      <w:r w:rsidRPr="005E7CA2" w:rsidR="00DF50AA">
        <w:t xml:space="preserve">dating back </w:t>
      </w:r>
      <w:r w:rsidRPr="005E7CA2" w:rsidR="00F6600A">
        <w:t>three</w:t>
      </w:r>
      <w:r w:rsidRPr="005E7CA2" w:rsidR="00DF50AA">
        <w:t xml:space="preserve"> years.  </w:t>
      </w:r>
      <w:r w:rsidRPr="005E7CA2" w:rsidR="003B148E">
        <w:t xml:space="preserve">Effective </w:t>
      </w:r>
      <w:r w:rsidRPr="005E7CA2" w:rsidR="00DD6B98">
        <w:t xml:space="preserve">January 6, 2023, </w:t>
      </w:r>
      <w:r w:rsidRPr="005E7CA2" w:rsidR="00403CF0">
        <w:t xml:space="preserve">when </w:t>
      </w:r>
      <w:r w:rsidRPr="005E7CA2" w:rsidR="004D36E8">
        <w:t xml:space="preserve">there has been </w:t>
      </w:r>
      <w:r w:rsidRPr="005E7CA2" w:rsidR="00403CF0">
        <w:t>three</w:t>
      </w:r>
      <w:r w:rsidRPr="005E7CA2" w:rsidR="00AB216E">
        <w:t xml:space="preserve"> years</w:t>
      </w:r>
      <w:r w:rsidRPr="005E7CA2" w:rsidR="00DF50AA">
        <w:t xml:space="preserve"> of entities reporting violations to the Clearinghouse, </w:t>
      </w:r>
      <w:r w:rsidRPr="005E7CA2" w:rsidR="00FB79AD">
        <w:t xml:space="preserve">prospective </w:t>
      </w:r>
      <w:r w:rsidRPr="005E7CA2" w:rsidR="00DF50AA">
        <w:t>employers, for a fee, w</w:t>
      </w:r>
      <w:r w:rsidRPr="005E7CA2" w:rsidR="00AB216E">
        <w:t xml:space="preserve">ill be </w:t>
      </w:r>
      <w:r w:rsidRPr="005E7CA2" w:rsidR="00DF50AA">
        <w:t>able to make pre-employment queries to the Clearinghouse in lieu of contacting a driver</w:t>
      </w:r>
      <w:r w:rsidRPr="005E7CA2" w:rsidR="007D7BD7">
        <w:t>'</w:t>
      </w:r>
      <w:r w:rsidRPr="005E7CA2" w:rsidR="00DF50AA">
        <w:t>s previous employers. This will reduce the time required by</w:t>
      </w:r>
      <w:r w:rsidRPr="005E7CA2" w:rsidR="00FB79AD">
        <w:t xml:space="preserve"> prospective</w:t>
      </w:r>
      <w:r w:rsidRPr="005E7CA2" w:rsidR="00DF50AA">
        <w:t xml:space="preserve"> employers to complete the pre-employment screening</w:t>
      </w:r>
      <w:r w:rsidRPr="005E7CA2" w:rsidR="00FB79AD">
        <w:t>.</w:t>
      </w:r>
    </w:p>
    <w:p w:rsidR="00CA02F9" w:rsidRPr="00F047BB" w14:paraId="27253F13" w14:textId="5855622D">
      <w:pPr>
        <w:pStyle w:val="NormalWeb"/>
        <w:keepNext/>
        <w:rPr>
          <w:b/>
          <w:bCs/>
          <w:szCs w:val="20"/>
        </w:rPr>
      </w:pPr>
      <w:r w:rsidRPr="005E7CA2">
        <w:rPr>
          <w:b/>
          <w:bCs/>
          <w:szCs w:val="20"/>
        </w:rPr>
        <w:t>6.</w:t>
      </w:r>
      <w:r w:rsidRPr="00F047BB">
        <w:rPr>
          <w:b/>
          <w:bCs/>
          <w:szCs w:val="20"/>
        </w:rPr>
        <w:t xml:space="preserve"> </w:t>
      </w:r>
      <w:r w:rsidRPr="005E7CA2" w:rsidR="00083A40">
        <w:rPr>
          <w:b/>
          <w:bCs/>
        </w:rPr>
        <w:t>IMPACT OF LESS FREQUENT COLLECTION OF INFORMATION</w:t>
      </w:r>
    </w:p>
    <w:p w:rsidR="00C1670D" w:rsidRPr="005E7CA2" w14:paraId="27253F14" w14:textId="21EA92AB">
      <w:pPr>
        <w:pStyle w:val="NormalWeb"/>
        <w:rPr>
          <w:szCs w:val="20"/>
        </w:rPr>
      </w:pPr>
      <w:r w:rsidRPr="005E7CA2">
        <w:rPr>
          <w:szCs w:val="20"/>
        </w:rPr>
        <w:t>F</w:t>
      </w:r>
      <w:r w:rsidRPr="005E7CA2" w:rsidR="00CA02F9">
        <w:rPr>
          <w:szCs w:val="20"/>
        </w:rPr>
        <w:t xml:space="preserve">requency is based on the number of </w:t>
      </w:r>
      <w:r w:rsidRPr="005E7CA2">
        <w:rPr>
          <w:szCs w:val="20"/>
        </w:rPr>
        <w:t>positive drug and alcohol tests</w:t>
      </w:r>
      <w:r w:rsidRPr="005E7CA2" w:rsidR="00B22D92">
        <w:rPr>
          <w:szCs w:val="20"/>
        </w:rPr>
        <w:t xml:space="preserve"> and refusals</w:t>
      </w:r>
      <w:r w:rsidRPr="005E7CA2">
        <w:rPr>
          <w:szCs w:val="20"/>
        </w:rPr>
        <w:t xml:space="preserve">. </w:t>
      </w:r>
      <w:r w:rsidRPr="005E7CA2" w:rsidR="00E415C3">
        <w:rPr>
          <w:szCs w:val="20"/>
        </w:rPr>
        <w:t>With</w:t>
      </w:r>
      <w:r w:rsidRPr="005E7CA2" w:rsidR="009A60C1">
        <w:rPr>
          <w:szCs w:val="20"/>
        </w:rPr>
        <w:t xml:space="preserve"> fewer positive tests</w:t>
      </w:r>
      <w:r w:rsidRPr="005E7CA2" w:rsidR="00B22D92">
        <w:rPr>
          <w:szCs w:val="20"/>
        </w:rPr>
        <w:t xml:space="preserve"> and refusals</w:t>
      </w:r>
      <w:r w:rsidRPr="005E7CA2" w:rsidR="009A60C1">
        <w:rPr>
          <w:szCs w:val="20"/>
        </w:rPr>
        <w:t>,</w:t>
      </w:r>
      <w:r w:rsidRPr="005E7CA2">
        <w:rPr>
          <w:szCs w:val="20"/>
        </w:rPr>
        <w:t xml:space="preserve"> the</w:t>
      </w:r>
      <w:r w:rsidRPr="005E7CA2" w:rsidR="00E415C3">
        <w:rPr>
          <w:szCs w:val="20"/>
        </w:rPr>
        <w:t xml:space="preserve">re </w:t>
      </w:r>
      <w:r w:rsidRPr="005E7CA2" w:rsidR="00CC1ADB">
        <w:rPr>
          <w:szCs w:val="20"/>
        </w:rPr>
        <w:t xml:space="preserve">will </w:t>
      </w:r>
      <w:r w:rsidRPr="005E7CA2" w:rsidR="00E415C3">
        <w:rPr>
          <w:szCs w:val="20"/>
        </w:rPr>
        <w:t>be</w:t>
      </w:r>
      <w:r w:rsidRPr="005E7CA2">
        <w:rPr>
          <w:szCs w:val="20"/>
        </w:rPr>
        <w:t xml:space="preserve"> less frequent collection of information</w:t>
      </w:r>
      <w:r w:rsidRPr="005E7CA2" w:rsidR="00CA02F9">
        <w:rPr>
          <w:szCs w:val="20"/>
        </w:rPr>
        <w:t xml:space="preserve">. </w:t>
      </w:r>
      <w:r w:rsidRPr="005E7CA2" w:rsidR="00F762CC">
        <w:rPr>
          <w:szCs w:val="20"/>
        </w:rPr>
        <w:t>All information (except driver-notification</w:t>
      </w:r>
      <w:r w:rsidRPr="005E7CA2" w:rsidR="00164054">
        <w:rPr>
          <w:szCs w:val="20"/>
        </w:rPr>
        <w:t>s</w:t>
      </w:r>
      <w:r w:rsidRPr="005E7CA2" w:rsidR="00A97342">
        <w:rPr>
          <w:szCs w:val="20"/>
        </w:rPr>
        <w:t xml:space="preserve"> by FMCSA</w:t>
      </w:r>
      <w:r w:rsidRPr="005E7CA2" w:rsidR="00F762CC">
        <w:rPr>
          <w:szCs w:val="20"/>
        </w:rPr>
        <w:t xml:space="preserve">) will be transmitted electronically. </w:t>
      </w:r>
    </w:p>
    <w:p w:rsidR="00CA02F9" w:rsidRPr="00F047BB" w:rsidP="00977BBD" w14:paraId="27253F15" w14:textId="7FA2BA10">
      <w:pPr>
        <w:pStyle w:val="NormalWeb"/>
        <w:keepNext/>
      </w:pPr>
      <w:r w:rsidRPr="005E7CA2">
        <w:rPr>
          <w:b/>
          <w:bCs/>
          <w:szCs w:val="20"/>
        </w:rPr>
        <w:t>7.</w:t>
      </w:r>
      <w:r w:rsidRPr="00F047BB">
        <w:rPr>
          <w:b/>
          <w:bCs/>
          <w:szCs w:val="20"/>
        </w:rPr>
        <w:t xml:space="preserve"> </w:t>
      </w:r>
      <w:r w:rsidRPr="005E7CA2" w:rsidR="00083A40">
        <w:rPr>
          <w:b/>
          <w:bCs/>
        </w:rPr>
        <w:t xml:space="preserve">SPECIAL CIRCUMSTANCES  </w:t>
      </w:r>
    </w:p>
    <w:p w:rsidR="00E14C53" w:rsidRPr="005E7CA2" w14:paraId="27253F16" w14:textId="67B312CF">
      <w:pPr>
        <w:pStyle w:val="NormalWeb"/>
      </w:pPr>
      <w:r w:rsidRPr="005E7CA2">
        <w:t>Information collected occurs more frequently than on a quarterly basis as the database is updated with each additional positive test</w:t>
      </w:r>
      <w:r w:rsidRPr="005E7CA2" w:rsidR="006B64FA">
        <w:t xml:space="preserve"> (or other violation)</w:t>
      </w:r>
      <w:r w:rsidRPr="005E7CA2">
        <w:t xml:space="preserve"> that occurs. </w:t>
      </w:r>
      <w:r w:rsidRPr="005E7CA2" w:rsidR="00F340D6">
        <w:t>Employers also report the RTD negative test results and the date the driver</w:t>
      </w:r>
      <w:r w:rsidRPr="005E7CA2" w:rsidR="007D7BD7">
        <w:t>'</w:t>
      </w:r>
      <w:r w:rsidRPr="005E7CA2" w:rsidR="00F340D6">
        <w:t xml:space="preserve">s follow-up testing plan has been completed. SAPs report the date of initial assessment and the date that the driver is eligible for the RTD test. </w:t>
      </w:r>
      <w:r w:rsidRPr="005E7CA2" w:rsidR="00164054">
        <w:t>This is to provide employers with the most current information possible to keep unqualified drivers from being re-employed by other motor carriers.</w:t>
      </w:r>
    </w:p>
    <w:p w:rsidR="00CA02F9" w:rsidRPr="00F047BB" w14:paraId="27253F17" w14:textId="6E5BCC26">
      <w:pPr>
        <w:pStyle w:val="NormalWeb"/>
        <w:keepNext/>
        <w:rPr>
          <w:b/>
          <w:bCs/>
          <w:szCs w:val="20"/>
        </w:rPr>
      </w:pPr>
      <w:r w:rsidRPr="004934AD">
        <w:rPr>
          <w:b/>
          <w:bCs/>
          <w:szCs w:val="20"/>
        </w:rPr>
        <w:t xml:space="preserve">8. </w:t>
      </w:r>
      <w:r w:rsidRPr="004934AD" w:rsidR="00083A40">
        <w:rPr>
          <w:b/>
          <w:bCs/>
        </w:rPr>
        <w:t>COMPLIANCE WITH 5 CFR 1320.8</w:t>
      </w:r>
    </w:p>
    <w:p w:rsidR="00421D17" w:rsidP="00421D17" w14:paraId="47D25084" w14:textId="3A0F17FF">
      <w:r>
        <w:t xml:space="preserve">FMCSA published a </w:t>
      </w:r>
      <w:r w:rsidRPr="3CEC01DB">
        <w:rPr>
          <w:i/>
          <w:iCs/>
        </w:rPr>
        <w:t>Federal Register</w:t>
      </w:r>
      <w:r>
        <w:t xml:space="preserve"> notice announcing its intent to submit the request for renewal of this information collection to </w:t>
      </w:r>
      <w:r w:rsidR="008F247E">
        <w:t xml:space="preserve">OMB </w:t>
      </w:r>
      <w:r>
        <w:t xml:space="preserve">on </w:t>
      </w:r>
      <w:r w:rsidR="00D9366B">
        <w:t>April 1, 2026</w:t>
      </w:r>
      <w:r>
        <w:t xml:space="preserve"> </w:t>
      </w:r>
      <w:r w:rsidR="0000128B">
        <w:t>(FMCSA-2026-0727-0001)</w:t>
      </w:r>
      <w:r w:rsidR="15F5E67A">
        <w:t xml:space="preserve"> (Attachment B)</w:t>
      </w:r>
      <w:r>
        <w:t xml:space="preserve">. That notice included a 60-day comment period. </w:t>
      </w:r>
      <w:r w:rsidR="000D244A">
        <w:t xml:space="preserve">A total of 88 comments </w:t>
      </w:r>
      <w:r w:rsidR="00E2425B">
        <w:t xml:space="preserve">were </w:t>
      </w:r>
      <w:r w:rsidR="000D244A">
        <w:t xml:space="preserve">received with 71 by </w:t>
      </w:r>
      <w:r w:rsidR="00E2425B">
        <w:t xml:space="preserve">the </w:t>
      </w:r>
      <w:r w:rsidR="000D244A">
        <w:t xml:space="preserve">June 1, </w:t>
      </w:r>
      <w:r w:rsidR="00E2425B">
        <w:t>2026, deadline</w:t>
      </w:r>
      <w:r w:rsidR="005A754A">
        <w:t>, however none of the comments were in reference to the actual information collection itself, but were</w:t>
      </w:r>
      <w:r>
        <w:t xml:space="preserve"> </w:t>
      </w:r>
      <w:r w:rsidR="005A754A">
        <w:t xml:space="preserve">comments on </w:t>
      </w:r>
      <w:r>
        <w:t xml:space="preserve">suggested changes to the current regulation. Comments provided recommended changes </w:t>
      </w:r>
      <w:r w:rsidRPr="008F7D7D">
        <w:t xml:space="preserve">to the underlying drug and alcohol regulations but </w:t>
      </w:r>
      <w:r>
        <w:t xml:space="preserve">did not directly address </w:t>
      </w:r>
      <w:r w:rsidRPr="008F7D7D">
        <w:t>the published costs or burdens</w:t>
      </w:r>
      <w:r>
        <w:t xml:space="preserve"> hours</w:t>
      </w:r>
      <w:r w:rsidRPr="008F7D7D">
        <w:t xml:space="preserve"> associated with the informati</w:t>
      </w:r>
      <w:r w:rsidRPr="0086115B">
        <w:t xml:space="preserve">on collection. </w:t>
      </w:r>
      <w:r w:rsidRPr="0086115B" w:rsidR="00833790">
        <w:t>For example, it was widely suggested that SAPs have access to complete driver information and violation history. Associated comments included that SAPs should also be required to upload a copy of a driver’s follow-up testing plan to the Clearinghouse. Additionally, concerns about SAP fraud were expressed</w:t>
      </w:r>
      <w:r w:rsidRPr="0086115B" w:rsidR="00C5708B">
        <w:t>, in which r</w:t>
      </w:r>
      <w:r w:rsidRPr="0086115B" w:rsidR="00833790">
        <w:t xml:space="preserve">ecommendations for Clearinghouse SAP credentialing verification were received. </w:t>
      </w:r>
      <w:r w:rsidRPr="0086115B">
        <w:t>In</w:t>
      </w:r>
      <w:r>
        <w:t xml:space="preserve"> this renewal of the approval of information collection, FMCSA sought comments on burden and costs associated with the current rule. Suggested changes to the current rule would be facilitated through a notice of proposed rulemaking per </w:t>
      </w:r>
      <w:r w:rsidRPr="00C54376">
        <w:t>49 CFR 389.31</w:t>
      </w:r>
      <w:r>
        <w:t xml:space="preserve">.   </w:t>
      </w:r>
    </w:p>
    <w:p w:rsidR="003D5959" w:rsidRPr="00B05FF7" w:rsidP="00421D17" w14:paraId="27CAB939" w14:textId="6A67B862">
      <w:pPr>
        <w:pStyle w:val="ListParagraph"/>
        <w:ind w:left="0"/>
        <w:rPr>
          <w:color w:val="FF0000"/>
        </w:rPr>
      </w:pPr>
    </w:p>
    <w:p w:rsidR="002A6A0A" w:rsidRPr="005E7CA2" w:rsidP="001A0803" w14:paraId="3C0E09DB" w14:textId="77777777">
      <w:pPr>
        <w:pStyle w:val="ListParagraph"/>
        <w:ind w:left="0"/>
      </w:pPr>
    </w:p>
    <w:p w:rsidR="001A0803" w:rsidRPr="005E7CA2" w:rsidP="001A0803" w14:paraId="5E77277D" w14:textId="60F28269">
      <w:pPr>
        <w:pStyle w:val="ListParagraph"/>
        <w:ind w:left="0"/>
      </w:pPr>
      <w:r>
        <w:t xml:space="preserve">On </w:t>
      </w:r>
      <w:r w:rsidR="00A50AF1">
        <w:t>August 4, 2026</w:t>
      </w:r>
      <w:r w:rsidR="00CE66D6">
        <w:t xml:space="preserve">, </w:t>
      </w:r>
      <w:r>
        <w:t xml:space="preserve">FMCSA published a 30-day </w:t>
      </w:r>
      <w:r w:rsidRPr="3CEC01DB">
        <w:rPr>
          <w:i/>
          <w:iCs/>
        </w:rPr>
        <w:t>Federal Register</w:t>
      </w:r>
      <w:r>
        <w:t xml:space="preserve"> notice </w:t>
      </w:r>
      <w:r w:rsidR="00A50AF1">
        <w:t xml:space="preserve">(91 FR </w:t>
      </w:r>
      <w:r w:rsidRPr="00A50AF1" w:rsidR="00A50AF1">
        <w:t>49483</w:t>
      </w:r>
      <w:r w:rsidR="00A50AF1">
        <w:t xml:space="preserve">) </w:t>
      </w:r>
      <w:r>
        <w:t>announcing its submission of the information collection to OMB for review and approval. Public comments on the 30-day notice will be sent directly to OMB.</w:t>
      </w:r>
      <w:r w:rsidR="5FDA557D">
        <w:t xml:space="preserve"> (Attachment C)</w:t>
      </w:r>
    </w:p>
    <w:p w:rsidR="00CA02F9" w:rsidRPr="00F047BB" w:rsidP="00977BBD" w14:paraId="27253F1B" w14:textId="21AADA47">
      <w:pPr>
        <w:pStyle w:val="NormalWeb"/>
        <w:keepNext/>
        <w:rPr>
          <w:b/>
          <w:bCs/>
          <w:szCs w:val="20"/>
        </w:rPr>
      </w:pPr>
      <w:r w:rsidRPr="005E7CA2">
        <w:rPr>
          <w:b/>
          <w:bCs/>
          <w:szCs w:val="20"/>
        </w:rPr>
        <w:t>9.</w:t>
      </w:r>
      <w:r w:rsidRPr="00F047BB">
        <w:rPr>
          <w:b/>
          <w:bCs/>
          <w:szCs w:val="20"/>
        </w:rPr>
        <w:t xml:space="preserve"> </w:t>
      </w:r>
      <w:r w:rsidRPr="005E7CA2" w:rsidR="00083A40">
        <w:rPr>
          <w:b/>
          <w:bCs/>
        </w:rPr>
        <w:t>PAYMENTS OR GIFTS TO RESPONDENTS</w:t>
      </w:r>
    </w:p>
    <w:p w:rsidR="008123C6" w:rsidRPr="005E7CA2" w14:paraId="27253F1C" w14:textId="325D8059">
      <w:pPr>
        <w:pStyle w:val="NormalWeb"/>
        <w:rPr>
          <w:szCs w:val="20"/>
        </w:rPr>
      </w:pPr>
      <w:r w:rsidRPr="005E7CA2">
        <w:rPr>
          <w:szCs w:val="20"/>
        </w:rPr>
        <w:t xml:space="preserve">There are no payments or gifts </w:t>
      </w:r>
      <w:r w:rsidRPr="005E7CA2" w:rsidR="00382CA3">
        <w:rPr>
          <w:szCs w:val="20"/>
        </w:rPr>
        <w:t xml:space="preserve">provided </w:t>
      </w:r>
      <w:r w:rsidRPr="005E7CA2">
        <w:rPr>
          <w:szCs w:val="20"/>
        </w:rPr>
        <w:t>to respondents for this information collection.</w:t>
      </w:r>
    </w:p>
    <w:p w:rsidR="008C1856" w:rsidRPr="00F047BB" w:rsidP="00977BBD" w14:paraId="27253F1D" w14:textId="3F5F037C">
      <w:pPr>
        <w:keepNext/>
        <w:rPr>
          <w:b/>
        </w:rPr>
      </w:pPr>
      <w:r w:rsidRPr="005E7CA2">
        <w:rPr>
          <w:b/>
        </w:rPr>
        <w:t>10.</w:t>
      </w:r>
      <w:r w:rsidRPr="00F047BB">
        <w:rPr>
          <w:b/>
        </w:rPr>
        <w:t xml:space="preserve"> </w:t>
      </w:r>
      <w:r w:rsidRPr="005E7CA2" w:rsidR="00083A40">
        <w:rPr>
          <w:b/>
          <w:bCs/>
        </w:rPr>
        <w:t>ASSURANCE OF CONFIDENTIALITY</w:t>
      </w:r>
    </w:p>
    <w:p w:rsidR="008223D8" w:rsidRPr="00F047BB" w:rsidP="00977BBD" w14:paraId="27253F1E" w14:textId="77777777">
      <w:pPr>
        <w:keepNext/>
        <w:rPr>
          <w:b/>
        </w:rPr>
      </w:pPr>
    </w:p>
    <w:p w:rsidR="008223D8" w:rsidRPr="00F047BB" w:rsidP="3CEC01DB" w14:paraId="27253F1F" w14:textId="29A8BFF0">
      <w:pPr>
        <w:keepNext/>
        <w:rPr>
          <w:b/>
          <w:bCs/>
        </w:rPr>
      </w:pPr>
      <w:r>
        <w:t>There is assurance of confidentiality for items included in this information collection. They are addressed in detail in the Privacy Impact Analysis</w:t>
      </w:r>
      <w:r w:rsidR="007D7BD7">
        <w:t xml:space="preserve"> (https://www.transportation.gov/individuals/privacy/drug-and-alcohol-clearinghouse) </w:t>
      </w:r>
      <w:r>
        <w:t xml:space="preserve">prepared for </w:t>
      </w:r>
      <w:r w:rsidR="006B5885">
        <w:t>implementation of the Clearinghouse</w:t>
      </w:r>
      <w:r w:rsidR="0005065D">
        <w:t xml:space="preserve">, Attachment </w:t>
      </w:r>
      <w:r w:rsidR="415857E1">
        <w:t>D</w:t>
      </w:r>
      <w:r w:rsidR="0005065D">
        <w:t>.</w:t>
      </w:r>
    </w:p>
    <w:p w:rsidR="006577AC" w:rsidRPr="00F047BB" w:rsidP="009C3B72" w14:paraId="6A8DB881" w14:textId="4B341F96">
      <w:pPr>
        <w:pStyle w:val="NormalWeb"/>
        <w:keepNext/>
        <w:rPr>
          <w:b/>
          <w:bCs/>
          <w:szCs w:val="20"/>
        </w:rPr>
      </w:pPr>
      <w:r w:rsidRPr="005E7CA2">
        <w:rPr>
          <w:b/>
          <w:bCs/>
          <w:szCs w:val="20"/>
        </w:rPr>
        <w:t>11.</w:t>
      </w:r>
      <w:r w:rsidRPr="00F047BB">
        <w:rPr>
          <w:b/>
          <w:bCs/>
          <w:szCs w:val="20"/>
        </w:rPr>
        <w:t xml:space="preserve"> </w:t>
      </w:r>
      <w:r w:rsidRPr="005E7CA2" w:rsidR="00083A40">
        <w:rPr>
          <w:b/>
          <w:bCs/>
        </w:rPr>
        <w:t>JUSTIFICATION FOR COLLECTION OF SENSITIVE INFORMATION</w:t>
      </w:r>
    </w:p>
    <w:p w:rsidR="008223D8" w:rsidRPr="005E7CA2" w:rsidP="008223D8" w14:paraId="27253F21" w14:textId="205BFA89">
      <w:pPr>
        <w:keepNext/>
      </w:pPr>
      <w:r>
        <w:t>This information collection includes Personally Identifiable Information, which is considered sensitive information. This is addressed in detail in the Privacy Impact Analysis (</w:t>
      </w:r>
      <w:r w:rsidR="00822726">
        <w:t>https://www.transportation.gov/individuals/privacy/drug-and-alcohol-clearinghouse</w:t>
      </w:r>
      <w:r>
        <w:t xml:space="preserve">) prepared for </w:t>
      </w:r>
      <w:r w:rsidR="006B5885">
        <w:t>implementation of the Clearinghouse</w:t>
      </w:r>
      <w:r w:rsidR="3FCD0D79">
        <w:t xml:space="preserve">, Attachment </w:t>
      </w:r>
      <w:r w:rsidR="56616169">
        <w:t>D</w:t>
      </w:r>
      <w:r>
        <w:t>.</w:t>
      </w:r>
    </w:p>
    <w:p w:rsidR="004015FC" w:rsidRPr="00F047BB" w:rsidP="004015FC" w14:paraId="27253F22" w14:textId="5D7E02A8">
      <w:pPr>
        <w:pStyle w:val="NormalWeb"/>
        <w:keepNext/>
        <w:rPr>
          <w:b/>
          <w:bCs/>
          <w:szCs w:val="20"/>
        </w:rPr>
      </w:pPr>
      <w:r w:rsidRPr="005E7CA2">
        <w:rPr>
          <w:b/>
        </w:rPr>
        <w:t>12.</w:t>
      </w:r>
      <w:r w:rsidRPr="00F047BB">
        <w:rPr>
          <w:b/>
        </w:rPr>
        <w:t xml:space="preserve"> </w:t>
      </w:r>
      <w:r w:rsidRPr="005E7CA2" w:rsidR="00083A40">
        <w:rPr>
          <w:b/>
          <w:bCs/>
        </w:rPr>
        <w:t>ESTIMATE OF BURDEN HOURS FOR INFORMATION REQUESTED</w:t>
      </w:r>
    </w:p>
    <w:p w:rsidR="00FE5D78" w:rsidRPr="005E7CA2" w:rsidP="00FE5D78" w14:paraId="27253F23" w14:textId="121C0A5D">
      <w:pPr>
        <w:jc w:val="both"/>
      </w:pPr>
      <w:r w:rsidRPr="00F047BB">
        <w:t>T</w:t>
      </w:r>
      <w:r w:rsidRPr="00F047BB" w:rsidR="00E2136B">
        <w:t>he a</w:t>
      </w:r>
      <w:r w:rsidRPr="00F047BB" w:rsidR="004E350E">
        <w:t xml:space="preserve">nnual burden hours </w:t>
      </w:r>
      <w:r w:rsidRPr="00F047BB" w:rsidR="00547E02">
        <w:t xml:space="preserve">total </w:t>
      </w:r>
      <w:r w:rsidRPr="00F047BB" w:rsidR="007527A9">
        <w:t>1,653,032</w:t>
      </w:r>
      <w:r w:rsidRPr="00F047BB" w:rsidR="00547E02">
        <w:t xml:space="preserve"> and </w:t>
      </w:r>
      <w:r w:rsidRPr="00F047BB" w:rsidR="004E350E">
        <w:t xml:space="preserve">can be separated into </w:t>
      </w:r>
      <w:r w:rsidRPr="00F047BB">
        <w:t>9</w:t>
      </w:r>
      <w:r w:rsidRPr="00F047BB" w:rsidR="004E350E">
        <w:t xml:space="preserve"> parts</w:t>
      </w:r>
      <w:r w:rsidRPr="00F047BB">
        <w:t>. The estimated cost associated with these burden hours is $</w:t>
      </w:r>
      <w:r w:rsidRPr="00F047BB" w:rsidR="007527A9">
        <w:t>53.5</w:t>
      </w:r>
      <w:r w:rsidRPr="00F047BB">
        <w:t xml:space="preserve"> million. The </w:t>
      </w:r>
      <w:r w:rsidRPr="00F047BB" w:rsidR="00955DBE">
        <w:t>hours of the burden</w:t>
      </w:r>
      <w:r w:rsidRPr="00F047BB">
        <w:t xml:space="preserve"> for specific tasks performed by entities that report to or make queries of the Clearinghouse are described below.</w:t>
      </w:r>
      <w:r w:rsidRPr="005E7CA2">
        <w:t xml:space="preserve"> </w:t>
      </w:r>
    </w:p>
    <w:p w:rsidR="00580B6E" w:rsidRPr="005E7CA2" w:rsidP="004E350E" w14:paraId="27253F24" w14:textId="77777777">
      <w:pPr>
        <w:jc w:val="both"/>
      </w:pPr>
    </w:p>
    <w:p w:rsidR="00845100" w:rsidRPr="00F047BB" w:rsidP="00845100" w14:paraId="476BE7B4" w14:textId="77777777">
      <w:pPr>
        <w:ind w:left="360"/>
        <w:jc w:val="both"/>
        <w:rPr>
          <w:b/>
          <w:bCs/>
          <w:color w:val="000000"/>
          <w:sz w:val="18"/>
          <w:szCs w:val="18"/>
          <w:u w:val="single"/>
        </w:rPr>
      </w:pPr>
      <w:r w:rsidRPr="005E7CA2">
        <w:rPr>
          <w:b/>
          <w:bCs/>
          <w:u w:val="single"/>
        </w:rPr>
        <w:t>IC-1: Annual Queries</w:t>
      </w:r>
    </w:p>
    <w:p w:rsidR="004F6265" w:rsidRPr="005E7CA2" w:rsidP="004C036D" w14:paraId="4FC62950" w14:textId="49D811DC">
      <w:pPr>
        <w:tabs>
          <w:tab w:val="left" w:pos="360"/>
        </w:tabs>
        <w:ind w:left="360"/>
      </w:pPr>
      <w:r>
        <w:t>Based on data from the Clearinghouse, FMCSA anticipates that employers will make</w:t>
      </w:r>
      <w:r w:rsidR="00641A76">
        <w:t>, on average,</w:t>
      </w:r>
      <w:r>
        <w:t xml:space="preserve"> approximately </w:t>
      </w:r>
      <w:r w:rsidR="00641A76">
        <w:t>3.5</w:t>
      </w:r>
      <w:r>
        <w:t xml:space="preserve"> million limited queries annually. A limited query informs the employer that test information exists in a driver's record. Drivers are required to provide consent for a limited query, but do not have to provide that consent in the Clearinghouse. Instead, employers will obtain </w:t>
      </w:r>
      <w:r w:rsidR="00F06527">
        <w:t>general</w:t>
      </w:r>
      <w:r>
        <w:t xml:space="preserve"> consent from drivers when they are applying for employment to conduct a limited query (or queries). The Agency estimates that an office clerk will spend ten minutes (1/6th of an hour) to conduct a limited query on a single driver. Given </w:t>
      </w:r>
      <w:r w:rsidR="009921D8">
        <w:t>3,523,245</w:t>
      </w:r>
      <w:r>
        <w:t xml:space="preserve"> limited queries</w:t>
      </w:r>
      <w:r w:rsidR="009921D8">
        <w:t xml:space="preserve"> for 2025</w:t>
      </w:r>
      <w:r>
        <w:t xml:space="preserve">, the total number of hours spent </w:t>
      </w:r>
      <w:r w:rsidR="00C47F50">
        <w:t>completing</w:t>
      </w:r>
      <w:r>
        <w:t xml:space="preserve"> them is estimated at </w:t>
      </w:r>
      <w:r w:rsidR="0091533A">
        <w:t>587,208</w:t>
      </w:r>
      <w:r>
        <w:t xml:space="preserve"> </w:t>
      </w:r>
      <w:r w:rsidR="00B3601E">
        <w:t>(</w:t>
      </w:r>
      <w:r w:rsidR="0091533A">
        <w:t>3,523,245</w:t>
      </w:r>
      <w:r w:rsidR="00B3601E">
        <w:t xml:space="preserve"> queries x 1/6</w:t>
      </w:r>
      <w:r w:rsidRPr="3CEC01DB" w:rsidR="00B3601E">
        <w:rPr>
          <w:vertAlign w:val="superscript"/>
        </w:rPr>
        <w:t xml:space="preserve"> </w:t>
      </w:r>
      <w:r w:rsidR="00B3601E">
        <w:t>hours per query)</w:t>
      </w:r>
      <w:r>
        <w:t xml:space="preserve">. </w:t>
      </w:r>
    </w:p>
    <w:p w:rsidR="004F6265" w:rsidRPr="005E7CA2" w:rsidP="004C036D" w14:paraId="2C01D9FE" w14:textId="77777777">
      <w:pPr>
        <w:tabs>
          <w:tab w:val="left" w:pos="360"/>
        </w:tabs>
        <w:ind w:left="360"/>
      </w:pPr>
    </w:p>
    <w:p w:rsidR="00845100" w:rsidRPr="005E7CA2" w:rsidP="00EF1ABD" w14:paraId="11A4C6D9" w14:textId="431E7DBC">
      <w:pPr>
        <w:tabs>
          <w:tab w:val="left" w:pos="360"/>
        </w:tabs>
        <w:ind w:left="360"/>
      </w:pPr>
      <w:r w:rsidRPr="005E7CA2">
        <w:t>FMCSA</w:t>
      </w:r>
      <w:r w:rsidRPr="005E7CA2">
        <w:rPr>
          <w:bCs/>
        </w:rPr>
        <w:t xml:space="preserve"> assumes </w:t>
      </w:r>
      <w:r w:rsidRPr="005E7CA2" w:rsidR="009167DC">
        <w:t>that this task will be performed by an Office Clerk</w:t>
      </w:r>
      <w:r w:rsidRPr="005E7CA2">
        <w:rPr>
          <w:bCs/>
        </w:rPr>
        <w:t xml:space="preserve">, Standard Occupational Classification (SOC) Code </w:t>
      </w:r>
      <w:r w:rsidRPr="005E7CA2" w:rsidR="00C4073B">
        <w:rPr>
          <w:bCs/>
        </w:rPr>
        <w:t>43-9061</w:t>
      </w:r>
      <w:r w:rsidRPr="005E7CA2">
        <w:rPr>
          <w:bCs/>
        </w:rPr>
        <w:t xml:space="preserve">. The median </w:t>
      </w:r>
      <w:r w:rsidRPr="005E7CA2" w:rsidR="00C4073B">
        <w:rPr>
          <w:bCs/>
        </w:rPr>
        <w:t xml:space="preserve">associated </w:t>
      </w:r>
      <w:r w:rsidRPr="005E7CA2">
        <w:rPr>
          <w:bCs/>
        </w:rPr>
        <w:t>hourly wage $2</w:t>
      </w:r>
      <w:r w:rsidRPr="005E7CA2" w:rsidR="00C4073B">
        <w:rPr>
          <w:bCs/>
        </w:rPr>
        <w:t>0.23</w:t>
      </w:r>
      <w:r w:rsidRPr="005E7CA2">
        <w:rPr>
          <w:bCs/>
        </w:rPr>
        <w:t>.</w:t>
      </w:r>
      <w:r>
        <w:rPr>
          <w:bCs/>
          <w:vertAlign w:val="superscript"/>
        </w:rPr>
        <w:footnoteReference w:id="3"/>
      </w:r>
      <w:r w:rsidRPr="005E7CA2">
        <w:rPr>
          <w:bCs/>
        </w:rPr>
        <w:t xml:space="preserve"> To arrive </w:t>
      </w:r>
      <w:r w:rsidRPr="005E7CA2">
        <w:rPr>
          <w:bCs/>
        </w:rPr>
        <w:t>at a loaded wage, the agency first estimated a load factor of 1.42 by dividing the total compensation costs ($35.22 per hour) by the wages and salaries ($24.75 per hour) for private industry workers of the Transportation and Warehousing industry.</w:t>
      </w:r>
      <w:r>
        <w:rPr>
          <w:rStyle w:val="FootnoteReference"/>
          <w:bCs/>
        </w:rPr>
        <w:footnoteReference w:id="4"/>
      </w:r>
      <w:r w:rsidRPr="005E7CA2">
        <w:rPr>
          <w:bCs/>
        </w:rPr>
        <w:t xml:space="preserve"> Multiplying the median hourly base wage of $2</w:t>
      </w:r>
      <w:r w:rsidRPr="005E7CA2" w:rsidR="004B02DE">
        <w:rPr>
          <w:bCs/>
        </w:rPr>
        <w:t>0.23</w:t>
      </w:r>
      <w:r w:rsidRPr="005E7CA2">
        <w:rPr>
          <w:bCs/>
        </w:rPr>
        <w:t xml:space="preserve"> by this fully loaded wage rate factor results in a fully loaded hourly wage of $</w:t>
      </w:r>
      <w:r w:rsidRPr="005E7CA2" w:rsidR="004B02DE">
        <w:rPr>
          <w:bCs/>
        </w:rPr>
        <w:t>28.79</w:t>
      </w:r>
      <w:r w:rsidRPr="005E7CA2">
        <w:rPr>
          <w:bCs/>
        </w:rPr>
        <w:t>.</w:t>
      </w:r>
      <w:r w:rsidRPr="005E7CA2" w:rsidR="00EF1ABD">
        <w:rPr>
          <w:bCs/>
        </w:rPr>
        <w:t xml:space="preserve"> </w:t>
      </w:r>
      <w:r w:rsidRPr="005E7CA2" w:rsidR="00942EDF">
        <w:t>Therefore</w:t>
      </w:r>
      <w:r w:rsidRPr="005E7CA2" w:rsidR="00BA27E9">
        <w:t>,</w:t>
      </w:r>
      <w:r w:rsidRPr="005E7CA2" w:rsidR="00942EDF">
        <w:t xml:space="preserve"> the total cost of this task is $</w:t>
      </w:r>
      <w:r w:rsidRPr="005E7CA2" w:rsidR="0091533A">
        <w:t>16,904,473</w:t>
      </w:r>
      <w:r w:rsidRPr="005E7CA2" w:rsidR="00B3601E">
        <w:t xml:space="preserve"> (</w:t>
      </w:r>
      <w:r w:rsidRPr="005E7CA2" w:rsidR="0091533A">
        <w:t>587,208</w:t>
      </w:r>
      <w:r w:rsidRPr="005E7CA2" w:rsidR="00942EDF">
        <w:t xml:space="preserve"> hours × $</w:t>
      </w:r>
      <w:r w:rsidRPr="005E7CA2" w:rsidR="00641A76">
        <w:t>28.79</w:t>
      </w:r>
      <w:r w:rsidRPr="005E7CA2" w:rsidR="00B3601E">
        <w:t>)</w:t>
      </w:r>
      <w:r w:rsidRPr="005E7CA2" w:rsidR="00942EDF">
        <w:t>.</w:t>
      </w:r>
    </w:p>
    <w:p w:rsidR="00845100" w:rsidRPr="005E7CA2" w:rsidP="00845100" w14:paraId="796D403B" w14:textId="77777777">
      <w:pPr>
        <w:pStyle w:val="ListParagraph"/>
        <w:jc w:val="both"/>
      </w:pPr>
    </w:p>
    <w:p w:rsidR="00845100" w:rsidRPr="005E7CA2" w:rsidP="00845100" w14:paraId="6F46099F" w14:textId="77777777">
      <w:pPr>
        <w:tabs>
          <w:tab w:val="left" w:pos="2340"/>
        </w:tabs>
        <w:ind w:left="360"/>
        <w:jc w:val="both"/>
        <w:rPr>
          <w:b/>
          <w:bCs/>
          <w:u w:val="single"/>
        </w:rPr>
      </w:pPr>
      <w:r w:rsidRPr="005E7CA2">
        <w:rPr>
          <w:b/>
          <w:bCs/>
          <w:u w:val="single"/>
        </w:rPr>
        <w:t xml:space="preserve">IC-2: Pre-Employment Queries </w:t>
      </w:r>
    </w:p>
    <w:p w:rsidR="00A43574" w:rsidRPr="005E7CA2" w:rsidP="00A43574" w14:paraId="50D00D13" w14:textId="5BF04449">
      <w:pPr>
        <w:tabs>
          <w:tab w:val="left" w:pos="2340"/>
        </w:tabs>
        <w:ind w:left="360"/>
        <w:jc w:val="both"/>
      </w:pPr>
      <w:r>
        <w:t>Employers will make full queries to the Clearinghouse as part of the pre-employment screening process of potential hires and for other reasons, such as when a limited query result is “information found</w:t>
      </w:r>
      <w:r w:rsidR="00082AC7">
        <w:t>,</w:t>
      </w:r>
      <w:r>
        <w:t>”, requiring the employer to then make a full query to determine the nature of the Clearinghouse record. The FMCSA estimates employers will perform approximately 2.</w:t>
      </w:r>
      <w:r w:rsidR="139A17D4">
        <w:t>7</w:t>
      </w:r>
      <w:r>
        <w:t xml:space="preserve"> million pre-employment full queries per year. The Agency estimates that an office clerk will spend ten minutes (1/6th of an hour) to conduct a full query on a single driver. Given </w:t>
      </w:r>
      <w:r w:rsidR="004E0F4B">
        <w:t>2,748,799</w:t>
      </w:r>
      <w:r>
        <w:t xml:space="preserve"> million queries, the total number of hours spent </w:t>
      </w:r>
      <w:r w:rsidR="00C47F50">
        <w:t>completing</w:t>
      </w:r>
      <w:r>
        <w:t xml:space="preserve"> them is </w:t>
      </w:r>
      <w:r w:rsidR="004E0F4B">
        <w:t>458,133</w:t>
      </w:r>
      <w:r>
        <w:t xml:space="preserve"> (</w:t>
      </w:r>
      <w:r w:rsidR="00511C0C">
        <w:t>2,748,799</w:t>
      </w:r>
      <w:r>
        <w:t xml:space="preserve"> queries × 1/6 hours per query. Based on the BLS $</w:t>
      </w:r>
      <w:r w:rsidR="003F408A">
        <w:t>28.79</w:t>
      </w:r>
      <w:r>
        <w:t xml:space="preserve"> per hour loaded wage for an office clerk, the estimated cost of performing this task is $</w:t>
      </w:r>
      <w:r w:rsidR="00511C0C">
        <w:t>13,188,693</w:t>
      </w:r>
      <w:r>
        <w:t xml:space="preserve"> </w:t>
      </w:r>
      <w:r w:rsidR="00B3601E">
        <w:t>(</w:t>
      </w:r>
      <w:r w:rsidR="00511C0C">
        <w:t>458,133</w:t>
      </w:r>
      <w:r>
        <w:t xml:space="preserve"> hours × $</w:t>
      </w:r>
      <w:r w:rsidR="00964223">
        <w:t>28.79</w:t>
      </w:r>
      <w:r w:rsidR="00B3601E">
        <w:t>)</w:t>
      </w:r>
      <w:r>
        <w:t xml:space="preserve">. </w:t>
      </w:r>
    </w:p>
    <w:p w:rsidR="00845100" w:rsidRPr="005E7CA2" w:rsidP="00845100" w14:paraId="377E1960" w14:textId="77777777">
      <w:pPr>
        <w:tabs>
          <w:tab w:val="left" w:pos="2340"/>
        </w:tabs>
        <w:ind w:left="720"/>
        <w:jc w:val="both"/>
      </w:pPr>
    </w:p>
    <w:p w:rsidR="00845100" w:rsidRPr="005E7CA2" w:rsidP="00845100" w14:paraId="7BA053CF" w14:textId="77777777">
      <w:pPr>
        <w:pStyle w:val="ListParagraph"/>
        <w:tabs>
          <w:tab w:val="left" w:pos="2340"/>
        </w:tabs>
        <w:ind w:left="360"/>
        <w:jc w:val="both"/>
        <w:rPr>
          <w:b/>
          <w:bCs/>
          <w:u w:val="single"/>
        </w:rPr>
      </w:pPr>
      <w:r w:rsidRPr="005E7CA2">
        <w:rPr>
          <w:b/>
          <w:bCs/>
          <w:u w:val="single"/>
        </w:rPr>
        <w:t>IC-3: Designate C/TPAs</w:t>
      </w:r>
    </w:p>
    <w:p w:rsidR="00845100" w:rsidRPr="005E7CA2" w:rsidP="00845100" w14:paraId="50BC2788" w14:textId="12B357E4">
      <w:pPr>
        <w:pStyle w:val="ListParagraph"/>
        <w:tabs>
          <w:tab w:val="left" w:pos="2340"/>
        </w:tabs>
        <w:ind w:left="360"/>
        <w:jc w:val="both"/>
      </w:pPr>
      <w:r w:rsidRPr="005E7CA2">
        <w:t xml:space="preserve">Employers may designate C/TPAs to query and/or report to the Clearinghouse on their behalf. The FMCSA estimates that an office clerk will spend ten minutes (1/6th of an hour) to designate a C/TPA. Based on the number of C/TPA’s that have been designated in the Clearinghouse </w:t>
      </w:r>
      <w:r w:rsidRPr="005E7CA2" w:rsidR="00511C0C">
        <w:t>in 2</w:t>
      </w:r>
      <w:r w:rsidRPr="005E7CA2" w:rsidR="00C90FB9">
        <w:t>025</w:t>
      </w:r>
      <w:r w:rsidRPr="005E7CA2">
        <w:t xml:space="preserve">, FMCSA anticipates that </w:t>
      </w:r>
      <w:r w:rsidRPr="005E7CA2" w:rsidR="00511C0C">
        <w:t>3,290</w:t>
      </w:r>
      <w:r w:rsidRPr="005E7CA2">
        <w:t xml:space="preserve"> new C/TPAs will be designated </w:t>
      </w:r>
      <w:r w:rsidRPr="005E7CA2" w:rsidR="00745BBD">
        <w:t>annually</w:t>
      </w:r>
      <w:r w:rsidRPr="005E7CA2">
        <w:t xml:space="preserve">. Given the </w:t>
      </w:r>
      <w:r w:rsidRPr="005E7CA2" w:rsidR="00511C0C">
        <w:t>3,290</w:t>
      </w:r>
      <w:r w:rsidRPr="005E7CA2">
        <w:t xml:space="preserve"> new C/TPA designations annually, the total number of hours spent to fulfill this requirement is </w:t>
      </w:r>
      <w:r w:rsidRPr="005E7CA2" w:rsidR="00511C0C">
        <w:t>548</w:t>
      </w:r>
      <w:r w:rsidRPr="005E7CA2">
        <w:t xml:space="preserve"> (</w:t>
      </w:r>
      <w:r w:rsidRPr="005E7CA2" w:rsidR="00861364">
        <w:t>3,290</w:t>
      </w:r>
      <w:r w:rsidRPr="005E7CA2">
        <w:t xml:space="preserve"> designations × 1/6 hours per designation</w:t>
      </w:r>
      <w:r w:rsidRPr="005E7CA2" w:rsidR="00B3601E">
        <w:t>)</w:t>
      </w:r>
      <w:r w:rsidRPr="005E7CA2">
        <w:t>. Based on the BLS $</w:t>
      </w:r>
      <w:r w:rsidRPr="005E7CA2" w:rsidR="00C254DC">
        <w:t>28.79</w:t>
      </w:r>
      <w:r w:rsidRPr="005E7CA2">
        <w:t xml:space="preserve"> per hour loaded wage for an office clerk, the cost of performing this task is $</w:t>
      </w:r>
      <w:r w:rsidRPr="005E7CA2" w:rsidR="00861364">
        <w:t>15,785</w:t>
      </w:r>
      <w:r w:rsidRPr="005E7CA2">
        <w:t xml:space="preserve"> </w:t>
      </w:r>
      <w:r w:rsidRPr="005E7CA2" w:rsidR="00B3601E">
        <w:t>(</w:t>
      </w:r>
      <w:r w:rsidRPr="005E7CA2" w:rsidR="00861364">
        <w:t>548</w:t>
      </w:r>
      <w:r w:rsidRPr="005E7CA2">
        <w:t xml:space="preserve"> hours × $</w:t>
      </w:r>
      <w:r w:rsidRPr="005E7CA2" w:rsidR="00571A9A">
        <w:t>28.79</w:t>
      </w:r>
      <w:r w:rsidRPr="005E7CA2">
        <w:t>).</w:t>
      </w:r>
    </w:p>
    <w:p w:rsidR="00326D98" w:rsidRPr="005E7CA2" w:rsidP="00845100" w14:paraId="1775358F" w14:textId="77777777">
      <w:pPr>
        <w:pStyle w:val="ListParagraph"/>
        <w:tabs>
          <w:tab w:val="left" w:pos="2340"/>
        </w:tabs>
        <w:ind w:left="360"/>
        <w:jc w:val="both"/>
      </w:pPr>
    </w:p>
    <w:p w:rsidR="000837BE" w:rsidRPr="005E7CA2" w:rsidP="00845100" w14:paraId="66427C31" w14:textId="15F2B2B7">
      <w:pPr>
        <w:pStyle w:val="ListParagraph"/>
        <w:tabs>
          <w:tab w:val="left" w:pos="2340"/>
        </w:tabs>
        <w:ind w:left="360"/>
        <w:jc w:val="both"/>
        <w:rPr>
          <w:b/>
          <w:bCs/>
          <w:u w:val="single"/>
        </w:rPr>
      </w:pPr>
      <w:r w:rsidRPr="005E7CA2">
        <w:rPr>
          <w:b/>
          <w:bCs/>
          <w:u w:val="single"/>
        </w:rPr>
        <w:t xml:space="preserve">IC4: SAPs </w:t>
      </w:r>
      <w:r w:rsidRPr="005E7CA2" w:rsidR="00F353B9">
        <w:rPr>
          <w:b/>
          <w:bCs/>
          <w:u w:val="single"/>
        </w:rPr>
        <w:t>Report Driver I</w:t>
      </w:r>
      <w:r w:rsidRPr="005E7CA2">
        <w:rPr>
          <w:b/>
          <w:bCs/>
          <w:u w:val="single"/>
        </w:rPr>
        <w:t>nformation</w:t>
      </w:r>
    </w:p>
    <w:p w:rsidR="000837BE" w:rsidRPr="005E7CA2" w:rsidP="00BE1A85" w14:paraId="09E0C0C7" w14:textId="0D91B395">
      <w:pPr>
        <w:tabs>
          <w:tab w:val="left" w:pos="2340"/>
        </w:tabs>
        <w:ind w:left="360" w:hanging="90"/>
        <w:jc w:val="both"/>
      </w:pPr>
      <w:r w:rsidRPr="005E7CA2">
        <w:t xml:space="preserve"> SAPs will be required to input information to the Clearinghouse about drivers who initiate and complete the RTD process. FMCSA estimates that </w:t>
      </w:r>
      <w:r w:rsidRPr="005E7CA2" w:rsidR="00700F7A">
        <w:t>202,345</w:t>
      </w:r>
      <w:r w:rsidRPr="005E7CA2">
        <w:t xml:space="preserve"> drivers will be required to have their information input by an SAP. The Agency estimates that SAPs will spend a total of ten minutes (1/6</w:t>
      </w:r>
      <w:r w:rsidRPr="005E7CA2">
        <w:rPr>
          <w:vertAlign w:val="superscript"/>
        </w:rPr>
        <w:t>th</w:t>
      </w:r>
      <w:r w:rsidRPr="005E7CA2">
        <w:t xml:space="preserve"> of an hour) entering driver information.  Therefore, the total number of hours spent to fulfill this requirement is estimated at </w:t>
      </w:r>
      <w:r w:rsidRPr="005E7CA2" w:rsidR="00700F7A">
        <w:t>33,724</w:t>
      </w:r>
      <w:r w:rsidRPr="005E7CA2">
        <w:t xml:space="preserve"> (</w:t>
      </w:r>
      <w:r w:rsidRPr="005E7CA2" w:rsidR="00700F7A">
        <w:t>202,345</w:t>
      </w:r>
      <w:r w:rsidRPr="005E7CA2">
        <w:t xml:space="preserve"> designations x 1/6 hours per designation</w:t>
      </w:r>
      <w:r w:rsidRPr="005E7CA2" w:rsidR="00B3601E">
        <w:t>)</w:t>
      </w:r>
      <w:r w:rsidRPr="005E7CA2">
        <w:t>.  FMCSA assumes that this task will be performed by an Occupational Health and Safety Specialist</w:t>
      </w:r>
      <w:r w:rsidRPr="005E7CA2" w:rsidR="0002689B">
        <w:t xml:space="preserve"> (SOC 19-5011)</w:t>
      </w:r>
      <w:r w:rsidRPr="005E7CA2">
        <w:t>. The BLS estimated hourly wage with fringe benefits and overhead for this occupation is $</w:t>
      </w:r>
      <w:r w:rsidRPr="005E7CA2" w:rsidR="00DF3C3E">
        <w:t xml:space="preserve">44.47 </w:t>
      </w:r>
      <w:r w:rsidRPr="005E7CA2">
        <w:t>per hour.  The estimated cost for SAPs to complete this task is $</w:t>
      </w:r>
      <w:r w:rsidRPr="005E7CA2" w:rsidR="00700F7A">
        <w:t>1,499,703</w:t>
      </w:r>
      <w:r w:rsidRPr="005E7CA2" w:rsidR="00562579">
        <w:t xml:space="preserve"> (</w:t>
      </w:r>
      <w:r w:rsidRPr="005E7CA2" w:rsidR="00700F7A">
        <w:t>202,345</w:t>
      </w:r>
      <w:r w:rsidRPr="005E7CA2">
        <w:t xml:space="preserve"> hours x $</w:t>
      </w:r>
      <w:r w:rsidRPr="005E7CA2" w:rsidR="00DF3C3E">
        <w:t>44.47</w:t>
      </w:r>
      <w:r w:rsidRPr="005E7CA2" w:rsidR="00606C9F">
        <w:t>).</w:t>
      </w:r>
    </w:p>
    <w:p w:rsidR="000837BE" w:rsidRPr="005E7CA2" w:rsidP="00845100" w14:paraId="56BF7462" w14:textId="77777777">
      <w:pPr>
        <w:pStyle w:val="ListParagraph"/>
        <w:tabs>
          <w:tab w:val="left" w:pos="2340"/>
        </w:tabs>
        <w:ind w:left="360"/>
        <w:jc w:val="both"/>
      </w:pPr>
    </w:p>
    <w:p w:rsidR="00845100" w:rsidRPr="00F047BB" w:rsidP="00845100" w14:paraId="4A595198" w14:textId="1B9AF20D">
      <w:pPr>
        <w:tabs>
          <w:tab w:val="left" w:pos="2340"/>
        </w:tabs>
        <w:ind w:left="360"/>
        <w:jc w:val="both"/>
        <w:rPr>
          <w:b/>
          <w:bCs/>
          <w:color w:val="000000"/>
          <w:sz w:val="18"/>
          <w:szCs w:val="18"/>
          <w:u w:val="single"/>
        </w:rPr>
      </w:pPr>
      <w:r w:rsidRPr="005E7CA2">
        <w:rPr>
          <w:b/>
          <w:bCs/>
          <w:u w:val="single"/>
        </w:rPr>
        <w:t>IC-</w:t>
      </w:r>
      <w:r w:rsidRPr="005E7CA2" w:rsidR="00FE3289">
        <w:rPr>
          <w:b/>
          <w:bCs/>
          <w:u w:val="single"/>
        </w:rPr>
        <w:t>5</w:t>
      </w:r>
      <w:r w:rsidRPr="005E7CA2">
        <w:rPr>
          <w:b/>
          <w:bCs/>
          <w:u w:val="single"/>
        </w:rPr>
        <w:t>: Report/Notify Positive Tests/Other Violations</w:t>
      </w:r>
      <w:r w:rsidRPr="00F047BB">
        <w:rPr>
          <w:b/>
          <w:bCs/>
          <w:color w:val="000000"/>
          <w:sz w:val="18"/>
          <w:szCs w:val="18"/>
          <w:u w:val="single"/>
        </w:rPr>
        <w:t xml:space="preserve"> </w:t>
      </w:r>
    </w:p>
    <w:p w:rsidR="00845100" w:rsidRPr="005E7CA2" w:rsidP="00845100" w14:paraId="5F9C0836" w14:textId="71C26A0C">
      <w:pPr>
        <w:pStyle w:val="ListParagraph"/>
        <w:tabs>
          <w:tab w:val="left" w:pos="2340"/>
        </w:tabs>
        <w:ind w:left="360"/>
        <w:jc w:val="both"/>
      </w:pPr>
      <w:r w:rsidRPr="005E7CA2">
        <w:t xml:space="preserve">MROs, C/TPAs, and employers will be required to report information to the Clearinghouse. The number of reports </w:t>
      </w:r>
      <w:r w:rsidRPr="005E7CA2" w:rsidR="003E2E55">
        <w:t>from 2025 indicate that</w:t>
      </w:r>
      <w:r w:rsidRPr="005E7CA2" w:rsidR="00567492">
        <w:t xml:space="preserve"> </w:t>
      </w:r>
      <w:r w:rsidRPr="005E7CA2" w:rsidR="003E2E55">
        <w:t>57,507</w:t>
      </w:r>
      <w:r w:rsidRPr="005E7CA2" w:rsidR="00606C9F">
        <w:t xml:space="preserve"> </w:t>
      </w:r>
      <w:r w:rsidRPr="005E7CA2" w:rsidR="000355B9">
        <w:t xml:space="preserve">drug and alcohol violations </w:t>
      </w:r>
      <w:r w:rsidRPr="005E7CA2" w:rsidR="00206E0F">
        <w:t>were reported</w:t>
      </w:r>
      <w:r w:rsidRPr="005E7CA2" w:rsidR="000355B9">
        <w:t xml:space="preserve"> to the Clearinghouse</w:t>
      </w:r>
      <w:r w:rsidRPr="005E7CA2" w:rsidR="00562579">
        <w:t>.</w:t>
      </w:r>
      <w:r w:rsidRPr="005E7CA2">
        <w:t xml:space="preserve"> </w:t>
      </w:r>
      <w:r w:rsidRPr="005E7CA2" w:rsidR="00606C9F">
        <w:t xml:space="preserve"> </w:t>
      </w:r>
      <w:r w:rsidRPr="005E7CA2">
        <w:t xml:space="preserve">The Agency estimates that an office clerk will spend ten </w:t>
      </w:r>
      <w:r w:rsidRPr="005E7CA2">
        <w:t xml:space="preserve">minutes </w:t>
      </w:r>
      <w:r w:rsidRPr="005E7CA2" w:rsidR="00206E0F">
        <w:t>reporting</w:t>
      </w:r>
      <w:r w:rsidRPr="005E7CA2">
        <w:t xml:space="preserve"> positive test results, </w:t>
      </w:r>
      <w:r w:rsidRPr="005E7CA2" w:rsidR="00D2006F">
        <w:t>reporting</w:t>
      </w:r>
      <w:r w:rsidRPr="005E7CA2">
        <w:t xml:space="preserve"> information on a driver's failure to appear for a </w:t>
      </w:r>
      <w:r w:rsidRPr="005E7CA2" w:rsidR="003C7E45">
        <w:t>test or</w:t>
      </w:r>
      <w:r w:rsidRPr="005E7CA2">
        <w:t xml:space="preserve"> </w:t>
      </w:r>
      <w:r w:rsidRPr="005E7CA2" w:rsidR="00D2006F">
        <w:t>reporting</w:t>
      </w:r>
      <w:r w:rsidRPr="005E7CA2">
        <w:t xml:space="preserve"> information on treatment processes to the Clearinghouse. In sum, </w:t>
      </w:r>
      <w:r w:rsidRPr="005E7CA2" w:rsidR="003E2E55">
        <w:t>9,585</w:t>
      </w:r>
      <w:r w:rsidRPr="005E7CA2" w:rsidR="00562579">
        <w:t xml:space="preserve"> </w:t>
      </w:r>
      <w:r w:rsidRPr="005E7CA2">
        <w:t>hours will be spent on reporting test results to the Clearinghouse (</w:t>
      </w:r>
      <w:r w:rsidRPr="005E7CA2" w:rsidR="003E2E55">
        <w:t>57,507</w:t>
      </w:r>
      <w:r w:rsidRPr="005E7CA2">
        <w:t xml:space="preserve"> reports × 1/6 hours per report</w:t>
      </w:r>
      <w:r w:rsidRPr="005E7CA2" w:rsidR="00B3601E">
        <w:t>)</w:t>
      </w:r>
      <w:r w:rsidRPr="005E7CA2">
        <w:t xml:space="preserve">. </w:t>
      </w:r>
      <w:r w:rsidRPr="005E7CA2" w:rsidR="007F69EE">
        <w:t>Based on the BLS $28.79 per hour loaded wage for an office clerk t</w:t>
      </w:r>
      <w:r w:rsidRPr="005E7CA2">
        <w:t>he cost for this task is $</w:t>
      </w:r>
      <w:r w:rsidRPr="005E7CA2" w:rsidR="003E2E55">
        <w:t>275,918</w:t>
      </w:r>
      <w:r w:rsidRPr="005E7CA2" w:rsidR="009B2611">
        <w:t xml:space="preserve"> </w:t>
      </w:r>
      <w:r w:rsidRPr="005E7CA2" w:rsidR="00EA5FFB">
        <w:t>(</w:t>
      </w:r>
      <w:r w:rsidRPr="005E7CA2" w:rsidR="003E2E55">
        <w:t>9,585</w:t>
      </w:r>
      <w:r w:rsidRPr="005E7CA2">
        <w:t xml:space="preserve"> hours × $</w:t>
      </w:r>
      <w:r w:rsidRPr="005E7CA2" w:rsidR="007F69EE">
        <w:t>28.79</w:t>
      </w:r>
      <w:r w:rsidRPr="005E7CA2" w:rsidR="009B2611">
        <w:t>)</w:t>
      </w:r>
      <w:r w:rsidRPr="005E7CA2">
        <w:t>.</w:t>
      </w:r>
    </w:p>
    <w:p w:rsidR="00845100" w:rsidRPr="005E7CA2" w:rsidP="00845100" w14:paraId="7FF3F134" w14:textId="77777777">
      <w:pPr>
        <w:pStyle w:val="ListParagraph"/>
      </w:pPr>
    </w:p>
    <w:p w:rsidR="00845100" w:rsidRPr="005E7CA2" w:rsidP="00845100" w14:paraId="4C79662E" w14:textId="3DCF6A02">
      <w:pPr>
        <w:pStyle w:val="ListParagraph"/>
        <w:tabs>
          <w:tab w:val="left" w:pos="2340"/>
        </w:tabs>
        <w:ind w:left="360"/>
        <w:jc w:val="both"/>
        <w:rPr>
          <w:b/>
          <w:bCs/>
          <w:u w:val="single"/>
        </w:rPr>
      </w:pPr>
      <w:r w:rsidRPr="005E7CA2">
        <w:rPr>
          <w:b/>
          <w:bCs/>
          <w:u w:val="single"/>
        </w:rPr>
        <w:t>IC-</w:t>
      </w:r>
      <w:r w:rsidRPr="005E7CA2" w:rsidR="00FE3289">
        <w:rPr>
          <w:b/>
          <w:bCs/>
          <w:u w:val="single"/>
        </w:rPr>
        <w:t>6</w:t>
      </w:r>
      <w:r w:rsidRPr="005E7CA2">
        <w:rPr>
          <w:b/>
          <w:bCs/>
          <w:u w:val="single"/>
        </w:rPr>
        <w:t xml:space="preserve">: Register/Familiarize </w:t>
      </w:r>
    </w:p>
    <w:p w:rsidR="00845100" w:rsidRPr="005E7CA2" w:rsidP="00845100" w14:paraId="6851CA26" w14:textId="1142AFC5">
      <w:pPr>
        <w:pStyle w:val="ListParagraph"/>
        <w:tabs>
          <w:tab w:val="left" w:pos="2340"/>
        </w:tabs>
        <w:ind w:left="360"/>
        <w:jc w:val="both"/>
      </w:pPr>
      <w:r>
        <w:t xml:space="preserve">Employers, C/TPAs, MROs, and SAPs will be required to register and become familiar with the new processes and requirements of the Clearinghouse. Based on the number of registrations in the Clearinghouse </w:t>
      </w:r>
      <w:r w:rsidR="008215F7">
        <w:t>in 2025</w:t>
      </w:r>
      <w:r>
        <w:t xml:space="preserve">, the Agency estimates there will be </w:t>
      </w:r>
      <w:r w:rsidR="00C313E6">
        <w:t>79,065</w:t>
      </w:r>
      <w:r>
        <w:t xml:space="preserve"> carriers, </w:t>
      </w:r>
      <w:r w:rsidR="00C313E6">
        <w:t>3,290</w:t>
      </w:r>
      <w:r>
        <w:t xml:space="preserve"> C/TPAs, </w:t>
      </w:r>
      <w:r w:rsidR="00C313E6">
        <w:t>175</w:t>
      </w:r>
      <w:r w:rsidR="00746F04">
        <w:t xml:space="preserve"> </w:t>
      </w:r>
      <w:r>
        <w:t xml:space="preserve">MROs, and </w:t>
      </w:r>
      <w:r w:rsidR="00C313E6">
        <w:t>712</w:t>
      </w:r>
      <w:r>
        <w:t xml:space="preserve"> SAPs that will be required to fulfill these requirements. The FMCSA estimates that it will take an office clerk </w:t>
      </w:r>
      <w:r w:rsidR="751D5CF9">
        <w:t>20</w:t>
      </w:r>
      <w:r>
        <w:t xml:space="preserve"> minutes (1/</w:t>
      </w:r>
      <w:r w:rsidR="0704558B">
        <w:t>3</w:t>
      </w:r>
      <w:r w:rsidR="09E152AB">
        <w:t>rd</w:t>
      </w:r>
      <w:r>
        <w:t xml:space="preserve"> of an hour) to register and receive credentials and another ten minutes to become familiar with the new processes. Given </w:t>
      </w:r>
      <w:r w:rsidR="008215F7">
        <w:t>the total of 83,242</w:t>
      </w:r>
      <w:r>
        <w:t xml:space="preserve"> such instances of registration, reception of credentials, and familiarization, the total number of hours spent to fulfill this requirement is</w:t>
      </w:r>
      <w:r w:rsidR="009B2611">
        <w:t xml:space="preserve"> </w:t>
      </w:r>
      <w:r w:rsidR="008215F7">
        <w:t>27,747</w:t>
      </w:r>
      <w:r w:rsidR="009B2611">
        <w:t xml:space="preserve"> (</w:t>
      </w:r>
      <w:r w:rsidR="008215F7">
        <w:t>83,242</w:t>
      </w:r>
      <w:r>
        <w:t xml:space="preserve"> registration-familiarizations × 1/3 hours per registration-familiarization). The FMCSA assumes a $</w:t>
      </w:r>
      <w:r w:rsidR="006E5E43">
        <w:t xml:space="preserve">28.79 </w:t>
      </w:r>
      <w:r>
        <w:t>per hour wage for an office clerk assigned this task. The cost of these tasks is $</w:t>
      </w:r>
      <w:r w:rsidR="008215F7">
        <w:t>798,788</w:t>
      </w:r>
      <w:r w:rsidR="009B2611">
        <w:t xml:space="preserve"> (</w:t>
      </w:r>
      <w:r w:rsidR="008215F7">
        <w:t>27,747</w:t>
      </w:r>
      <w:r>
        <w:t xml:space="preserve"> hours × $</w:t>
      </w:r>
      <w:r w:rsidR="006E5E43">
        <w:t>28.79</w:t>
      </w:r>
      <w:r w:rsidR="009B2611">
        <w:t>)</w:t>
      </w:r>
      <w:r>
        <w:t xml:space="preserve">. </w:t>
      </w:r>
    </w:p>
    <w:p w:rsidR="00845100" w:rsidRPr="005E7CA2" w:rsidP="00845100" w14:paraId="24C51309" w14:textId="77777777">
      <w:pPr>
        <w:pStyle w:val="ListParagraph"/>
        <w:tabs>
          <w:tab w:val="left" w:pos="2340"/>
        </w:tabs>
        <w:jc w:val="both"/>
      </w:pPr>
    </w:p>
    <w:p w:rsidR="00845100" w:rsidRPr="00A46022" w:rsidP="00845100" w14:paraId="37780415" w14:textId="1F3130CD">
      <w:pPr>
        <w:pStyle w:val="ListParagraph"/>
        <w:tabs>
          <w:tab w:val="left" w:pos="2340"/>
        </w:tabs>
        <w:ind w:left="360"/>
        <w:jc w:val="both"/>
      </w:pPr>
      <w:r w:rsidRPr="00A46022">
        <w:rPr>
          <w:b/>
          <w:bCs/>
          <w:u w:val="single"/>
        </w:rPr>
        <w:t>IC-</w:t>
      </w:r>
      <w:r w:rsidRPr="00A46022" w:rsidR="00FE3289">
        <w:rPr>
          <w:b/>
          <w:bCs/>
          <w:u w:val="single"/>
        </w:rPr>
        <w:t>7</w:t>
      </w:r>
      <w:r w:rsidRPr="00A46022">
        <w:rPr>
          <w:b/>
          <w:bCs/>
          <w:u w:val="single"/>
        </w:rPr>
        <w:t>: Authorization Verification</w:t>
      </w:r>
    </w:p>
    <w:p w:rsidR="00845100" w:rsidRPr="005E7CA2" w:rsidP="00845100" w14:paraId="12415BDE" w14:textId="465DCD51">
      <w:pPr>
        <w:tabs>
          <w:tab w:val="left" w:pos="2340"/>
        </w:tabs>
        <w:ind w:left="360"/>
        <w:jc w:val="both"/>
      </w:pPr>
      <w:r w:rsidRPr="00A46022">
        <w:t xml:space="preserve">Employers, C/TPAs, MROs, and SAPs must verify the names of </w:t>
      </w:r>
      <w:r w:rsidRPr="00A46022" w:rsidR="00206E0F">
        <w:t>people</w:t>
      </w:r>
      <w:r w:rsidRPr="00A46022">
        <w:t xml:space="preserve"> authorized to report and obtain information from the Clearinghouse. Based on the current number of registrations, FMCSA estimates that </w:t>
      </w:r>
      <w:r w:rsidR="009E5A68">
        <w:t>83,242</w:t>
      </w:r>
      <w:r w:rsidRPr="00A46022">
        <w:t xml:space="preserve"> verifications will occur each year (</w:t>
      </w:r>
      <w:r w:rsidR="009E5A68">
        <w:t>79,065</w:t>
      </w:r>
      <w:r w:rsidRPr="00A46022">
        <w:t xml:space="preserve"> carrier registrations + </w:t>
      </w:r>
      <w:r w:rsidR="009E5A68">
        <w:t>3,290</w:t>
      </w:r>
      <w:r w:rsidRPr="00A46022">
        <w:t xml:space="preserve"> C/TPA registrations, + </w:t>
      </w:r>
      <w:r w:rsidR="009E5A68">
        <w:t>175</w:t>
      </w:r>
      <w:r w:rsidRPr="00A46022">
        <w:t xml:space="preserve"> MRO registrations + </w:t>
      </w:r>
      <w:r w:rsidR="009E5A68">
        <w:t>712</w:t>
      </w:r>
      <w:r w:rsidRPr="00A46022">
        <w:t xml:space="preserve"> SAP registrations). Further, FMCSA estimates that it will take an office clerk ten minutes (1/6th of an hour) to verify each person authorized. The total number of hours spent to fulfill this requirement is </w:t>
      </w:r>
      <w:r w:rsidR="0035359A">
        <w:t>13,874</w:t>
      </w:r>
      <w:r w:rsidRPr="00A46022" w:rsidR="009B2611">
        <w:t xml:space="preserve"> (</w:t>
      </w:r>
      <w:r w:rsidR="0035359A">
        <w:t>83,242</w:t>
      </w:r>
      <w:r w:rsidRPr="00A46022">
        <w:t xml:space="preserve"> x 1/6 hours per registration-familiarization</w:t>
      </w:r>
      <w:r w:rsidRPr="00A46022" w:rsidR="009B2611">
        <w:t>)</w:t>
      </w:r>
      <w:r w:rsidRPr="00A46022">
        <w:t>. The cost for these tasks performed by an office clerk at $</w:t>
      </w:r>
      <w:r w:rsidR="00AB3A76">
        <w:t>28.79</w:t>
      </w:r>
      <w:r w:rsidRPr="00A46022">
        <w:t xml:space="preserve"> per hour is $</w:t>
      </w:r>
      <w:r w:rsidR="00AB3A76">
        <w:t>399,394</w:t>
      </w:r>
      <w:r w:rsidRPr="00A46022" w:rsidR="009B2611">
        <w:t xml:space="preserve"> (</w:t>
      </w:r>
      <w:r w:rsidR="00816E9B">
        <w:t>13,874</w:t>
      </w:r>
      <w:r w:rsidRPr="00A46022" w:rsidR="009B2611">
        <w:t xml:space="preserve"> hours x $</w:t>
      </w:r>
      <w:r w:rsidR="00816E9B">
        <w:t>28.79</w:t>
      </w:r>
      <w:r w:rsidRPr="00A46022" w:rsidR="009B2611">
        <w:t>)</w:t>
      </w:r>
      <w:r w:rsidRPr="00A46022">
        <w:t>.</w:t>
      </w:r>
    </w:p>
    <w:p w:rsidR="00845100" w:rsidRPr="005E7CA2" w:rsidP="00845100" w14:paraId="706E1D00" w14:textId="77777777">
      <w:pPr>
        <w:tabs>
          <w:tab w:val="left" w:pos="2340"/>
        </w:tabs>
        <w:ind w:left="720"/>
        <w:jc w:val="both"/>
      </w:pPr>
    </w:p>
    <w:p w:rsidR="00845100" w:rsidRPr="005E7CA2" w:rsidP="00845100" w14:paraId="4B5B8289" w14:textId="0D79E1D4">
      <w:pPr>
        <w:pStyle w:val="ListParagraph"/>
        <w:ind w:left="360"/>
        <w:jc w:val="both"/>
        <w:rPr>
          <w:b/>
          <w:bCs/>
          <w:u w:val="single"/>
        </w:rPr>
      </w:pPr>
      <w:r w:rsidRPr="005E7CA2">
        <w:rPr>
          <w:b/>
          <w:bCs/>
          <w:u w:val="single"/>
        </w:rPr>
        <w:t>IC-</w:t>
      </w:r>
      <w:r w:rsidRPr="005E7CA2" w:rsidR="00FE3289">
        <w:rPr>
          <w:b/>
          <w:bCs/>
          <w:u w:val="single"/>
        </w:rPr>
        <w:t>8</w:t>
      </w:r>
      <w:r w:rsidRPr="005E7CA2">
        <w:rPr>
          <w:b/>
          <w:bCs/>
          <w:u w:val="single"/>
        </w:rPr>
        <w:t xml:space="preserve">: Driver Consent Verification Full Annual Queries </w:t>
      </w:r>
    </w:p>
    <w:p w:rsidR="00845100" w:rsidRPr="005E7CA2" w:rsidP="00845100" w14:paraId="10AB8D3A" w14:textId="1AFFE8A8">
      <w:pPr>
        <w:pStyle w:val="ListParagraph"/>
        <w:ind w:left="360"/>
        <w:jc w:val="both"/>
      </w:pPr>
      <w:r w:rsidRPr="005E7CA2">
        <w:t>I</w:t>
      </w:r>
      <w:r w:rsidRPr="005E7CA2" w:rsidR="00562579">
        <w:t>C-1</w:t>
      </w:r>
      <w:r w:rsidRPr="005E7CA2">
        <w:t xml:space="preserve"> above describes how employers' cost of performing limited annual queries is estimated. Drivers will also incur time-related costs to comply with the requirement of the annual query process for which they are responsible. The FMCSA assumes that all employers will initially make limited queries to comply with the annual query requirement. The FMCSA assumes that employers will obtain </w:t>
      </w:r>
      <w:r w:rsidRPr="005E7CA2" w:rsidR="00206E0F">
        <w:t>general</w:t>
      </w:r>
      <w:r w:rsidRPr="005E7CA2">
        <w:t xml:space="preserve"> consent from drivers when they are hired that will serve as drivers' consent for the employer to make a limited annual query (or queries) from drivers at the time they submit an employment application. </w:t>
      </w:r>
      <w:r w:rsidRPr="005E7CA2" w:rsidR="00272326">
        <w:t xml:space="preserve">The FMCSA estimates employers will perform approximately </w:t>
      </w:r>
      <w:r w:rsidRPr="005E7CA2" w:rsidR="00CF2497">
        <w:t>192,240</w:t>
      </w:r>
      <w:r w:rsidRPr="005E7CA2" w:rsidR="00272326">
        <w:t xml:space="preserve"> driver consent verification full queries. The Agency estimates that an office clerk will spend ten minutes (1/6th of an hour) to conduct a full query on a single driver</w:t>
      </w:r>
      <w:r w:rsidRPr="005E7CA2" w:rsidR="009B2611">
        <w:t xml:space="preserve">. The total number of hours </w:t>
      </w:r>
      <w:r w:rsidRPr="005E7CA2" w:rsidR="00206E0F">
        <w:t>spent</w:t>
      </w:r>
      <w:r w:rsidRPr="005E7CA2" w:rsidR="009B2611">
        <w:t xml:space="preserve"> is </w:t>
      </w:r>
      <w:r w:rsidRPr="005E7CA2" w:rsidR="00CF2497">
        <w:t>32,040</w:t>
      </w:r>
      <w:r w:rsidRPr="005E7CA2" w:rsidR="009B2611">
        <w:t xml:space="preserve"> (</w:t>
      </w:r>
      <w:r w:rsidRPr="005E7CA2" w:rsidR="00CF2497">
        <w:t>192,240</w:t>
      </w:r>
      <w:r w:rsidRPr="005E7CA2" w:rsidR="009B2611">
        <w:t xml:space="preserve"> queries x 1/6 hours per query)</w:t>
      </w:r>
      <w:r w:rsidRPr="005E7CA2" w:rsidR="00272326">
        <w:t>. Based on the BLS $</w:t>
      </w:r>
      <w:r w:rsidRPr="005E7CA2" w:rsidR="005C6C43">
        <w:t xml:space="preserve">28.79 </w:t>
      </w:r>
      <w:r w:rsidRPr="005E7CA2" w:rsidR="00272326">
        <w:t>per hour loaded wage for an office clerk, the estimated cost of performing this task is $</w:t>
      </w:r>
      <w:r w:rsidRPr="005E7CA2" w:rsidR="00CF2497">
        <w:t>922,364</w:t>
      </w:r>
      <w:r w:rsidRPr="005E7CA2" w:rsidR="00272326">
        <w:t xml:space="preserve"> </w:t>
      </w:r>
      <w:r w:rsidRPr="005E7CA2" w:rsidR="009B2611">
        <w:t>(</w:t>
      </w:r>
      <w:r w:rsidRPr="005E7CA2" w:rsidR="00CF2497">
        <w:t>32,040</w:t>
      </w:r>
      <w:r w:rsidRPr="005E7CA2" w:rsidR="00272326">
        <w:t xml:space="preserve"> hours × $</w:t>
      </w:r>
      <w:r w:rsidRPr="005E7CA2" w:rsidR="005C6C43">
        <w:t>28.79</w:t>
      </w:r>
      <w:r w:rsidRPr="005E7CA2" w:rsidR="009B2611">
        <w:t>).</w:t>
      </w:r>
    </w:p>
    <w:p w:rsidR="00845100" w:rsidRPr="005E7CA2" w:rsidP="00845100" w14:paraId="20559A2D" w14:textId="77777777">
      <w:pPr>
        <w:pStyle w:val="ListParagraph"/>
        <w:tabs>
          <w:tab w:val="left" w:pos="2340"/>
        </w:tabs>
        <w:jc w:val="both"/>
      </w:pPr>
    </w:p>
    <w:p w:rsidR="00845100" w:rsidRPr="005E7CA2" w:rsidP="00845100" w14:paraId="0F087B5B" w14:textId="01E8FFD4">
      <w:pPr>
        <w:pStyle w:val="ListParagraph"/>
        <w:tabs>
          <w:tab w:val="left" w:pos="2340"/>
        </w:tabs>
        <w:ind w:left="360"/>
        <w:jc w:val="both"/>
        <w:rPr>
          <w:b/>
          <w:bCs/>
          <w:u w:val="single"/>
        </w:rPr>
      </w:pPr>
      <w:r w:rsidRPr="005E7CA2">
        <w:rPr>
          <w:b/>
          <w:bCs/>
          <w:u w:val="single"/>
        </w:rPr>
        <w:t>IC-</w:t>
      </w:r>
      <w:r w:rsidRPr="005E7CA2" w:rsidR="00FE3289">
        <w:rPr>
          <w:b/>
          <w:bCs/>
          <w:u w:val="single"/>
        </w:rPr>
        <w:t>9</w:t>
      </w:r>
      <w:r w:rsidRPr="005E7CA2">
        <w:rPr>
          <w:b/>
          <w:bCs/>
          <w:u w:val="single"/>
        </w:rPr>
        <w:t xml:space="preserve">: Driver Consent Verifications for Pre-employment Queries </w:t>
      </w:r>
    </w:p>
    <w:p w:rsidR="00B30DA9" w:rsidRPr="005E7CA2" w:rsidP="00B30DA9" w14:paraId="4225DCA3" w14:textId="668D2343">
      <w:pPr>
        <w:tabs>
          <w:tab w:val="left" w:pos="360"/>
        </w:tabs>
        <w:ind w:left="360"/>
      </w:pPr>
      <w:r w:rsidRPr="005E7CA2">
        <w:t xml:space="preserve">A driver must consent, via the Clearinghouse, to an employer's request for a full annual query before the driver's information is made available to the employer. Therefore, drivers' time </w:t>
      </w:r>
      <w:r w:rsidRPr="005E7CA2">
        <w:t xml:space="preserve">required to consent for performing a full annual query is included as a burden for this PRA. As described in Item (b), there are two types of full annual queries (pre-employment and other full queries) that require driver consent made through the Clearinghouse before the driver-specific information is made available to the employer. The FMCSA estimates that it will take a driver ten minutes (1/6th of an hour) to provide driver consent to release information. Given </w:t>
      </w:r>
      <w:r w:rsidRPr="005E7CA2" w:rsidR="00A9762D">
        <w:t>2,748,799</w:t>
      </w:r>
      <w:r w:rsidRPr="005E7CA2" w:rsidR="004909AF">
        <w:t xml:space="preserve"> </w:t>
      </w:r>
      <w:r w:rsidRPr="005E7CA2">
        <w:t xml:space="preserve">pre-employment queries and </w:t>
      </w:r>
      <w:r w:rsidRPr="005E7CA2" w:rsidR="00A9762D">
        <w:t>192,240</w:t>
      </w:r>
      <w:r w:rsidRPr="005E7CA2">
        <w:t xml:space="preserve"> </w:t>
      </w:r>
      <w:r w:rsidRPr="005E7CA2" w:rsidR="004909AF">
        <w:t xml:space="preserve">average </w:t>
      </w:r>
      <w:r w:rsidRPr="005E7CA2">
        <w:t>full queries performed for other reasons that require driver c</w:t>
      </w:r>
      <w:r w:rsidRPr="005E7CA2" w:rsidR="00627881">
        <w:t>onsent in 2025</w:t>
      </w:r>
      <w:r w:rsidRPr="005E7CA2" w:rsidR="004909AF">
        <w:t>, t</w:t>
      </w:r>
      <w:r w:rsidRPr="005E7CA2">
        <w:t xml:space="preserve">he number of hours spent on </w:t>
      </w:r>
      <w:r w:rsidRPr="005E7CA2" w:rsidR="007713B3">
        <w:t>pre-employment queries</w:t>
      </w:r>
      <w:r w:rsidRPr="005E7CA2">
        <w:t xml:space="preserve"> is </w:t>
      </w:r>
      <w:r w:rsidRPr="005E7CA2" w:rsidR="00E51ECA">
        <w:t>490,173</w:t>
      </w:r>
      <w:r w:rsidRPr="005E7CA2">
        <w:t xml:space="preserve"> (</w:t>
      </w:r>
      <w:r w:rsidRPr="005E7CA2" w:rsidR="00E51ECA">
        <w:t xml:space="preserve">2,941,039 </w:t>
      </w:r>
      <w:r w:rsidRPr="005E7CA2">
        <w:t>queries x 1/6 hours per query</w:t>
      </w:r>
      <w:r w:rsidRPr="005E7CA2" w:rsidR="009B2611">
        <w:t>)</w:t>
      </w:r>
      <w:r w:rsidRPr="005E7CA2">
        <w:t>. FMCSA estimates a driver's loaded hourly wage at $</w:t>
      </w:r>
      <w:r w:rsidRPr="005E7CA2" w:rsidR="00AC0F8B">
        <w:t>39.79</w:t>
      </w:r>
      <w:r w:rsidRPr="005E7CA2" w:rsidR="004F6082">
        <w:t>.</w:t>
      </w:r>
      <w:r w:rsidRPr="005E7CA2">
        <w:t xml:space="preserve"> </w:t>
      </w:r>
      <w:r w:rsidRPr="5DF0DB56">
        <w:t>We assume that respondent occupations correspond to Motor Vehicle Operators, Standard Occupational Classification (SOC) Code 53-</w:t>
      </w:r>
      <w:r w:rsidRPr="5DF0DB56" w:rsidR="4637A8E3">
        <w:t>3</w:t>
      </w:r>
      <w:r w:rsidRPr="5DF0DB56">
        <w:t xml:space="preserve">000. The median hourly wage of </w:t>
      </w:r>
      <w:r w:rsidRPr="5DF0DB56" w:rsidR="00EF7456">
        <w:t>Motor Vehicle Operators</w:t>
      </w:r>
      <w:r w:rsidRPr="5DF0DB56">
        <w:t xml:space="preserve"> (SOC Code 53-3000) in the Truck Transportation industry (NAICS Code 484000) is $</w:t>
      </w:r>
      <w:r w:rsidRPr="5DF0DB56" w:rsidR="00AC0F8B">
        <w:t>27.96</w:t>
      </w:r>
      <w:r w:rsidRPr="005E7CA2">
        <w:rPr>
          <w:bCs/>
        </w:rPr>
        <w:t>.</w:t>
      </w:r>
      <w:r>
        <w:rPr>
          <w:vertAlign w:val="superscript"/>
        </w:rPr>
        <w:footnoteReference w:id="5"/>
      </w:r>
    </w:p>
    <w:p w:rsidR="00B30DA9" w:rsidRPr="005E7CA2" w:rsidP="00B30DA9" w14:paraId="702CFB27" w14:textId="77777777">
      <w:pPr>
        <w:tabs>
          <w:tab w:val="left" w:pos="360"/>
        </w:tabs>
        <w:ind w:left="360"/>
        <w:rPr>
          <w:bCs/>
        </w:rPr>
      </w:pPr>
    </w:p>
    <w:p w:rsidR="00B30DA9" w:rsidRPr="005E7CA2" w:rsidP="00B30DA9" w14:paraId="08ABEBBA" w14:textId="137EC1E3">
      <w:pPr>
        <w:pStyle w:val="BodyText"/>
        <w:ind w:left="360"/>
      </w:pPr>
      <w:r w:rsidRPr="005E7CA2">
        <w:t xml:space="preserve">Given that the annual burden is estimated at </w:t>
      </w:r>
      <w:r w:rsidRPr="005E7CA2" w:rsidR="00E51ECA">
        <w:t>490,173</w:t>
      </w:r>
      <w:r w:rsidRPr="005E7CA2">
        <w:t xml:space="preserve"> hours </w:t>
      </w:r>
      <w:r w:rsidRPr="005E7CA2" w:rsidR="004F6082">
        <w:t>this results in a</w:t>
      </w:r>
      <w:r w:rsidRPr="005E7CA2">
        <w:t>n estimated annual cost to respondents of $</w:t>
      </w:r>
      <w:r w:rsidRPr="005E7CA2" w:rsidR="00E51ECA">
        <w:t>19,502,974</w:t>
      </w:r>
      <w:r w:rsidRPr="005E7CA2">
        <w:t xml:space="preserve"> (</w:t>
      </w:r>
      <w:r w:rsidRPr="005E7CA2" w:rsidR="00E51ECA">
        <w:t>490,173</w:t>
      </w:r>
      <w:r w:rsidRPr="005E7CA2">
        <w:t xml:space="preserve"> hours × $</w:t>
      </w:r>
      <w:r w:rsidRPr="005E7CA2" w:rsidR="00DD3EF2">
        <w:t>39.79</w:t>
      </w:r>
      <w:r w:rsidRPr="005E7CA2">
        <w:t xml:space="preserve"> per hour).</w:t>
      </w:r>
      <w:r w:rsidRPr="005E7CA2" w:rsidR="00D774D2">
        <w:t xml:space="preserve"> </w:t>
      </w:r>
    </w:p>
    <w:p w:rsidR="00845100" w:rsidRPr="005E7CA2" w:rsidP="00845100" w14:paraId="30E89636" w14:textId="77777777">
      <w:pPr>
        <w:pStyle w:val="ListParagraph"/>
        <w:tabs>
          <w:tab w:val="left" w:pos="2340"/>
        </w:tabs>
        <w:jc w:val="both"/>
      </w:pPr>
    </w:p>
    <w:p w:rsidR="00845100" w:rsidRPr="005E7CA2" w:rsidP="00845100" w14:paraId="65D76663" w14:textId="3E446BFD">
      <w:pPr>
        <w:pStyle w:val="ListParagraph"/>
        <w:tabs>
          <w:tab w:val="left" w:pos="2340"/>
        </w:tabs>
        <w:ind w:left="360"/>
        <w:jc w:val="both"/>
        <w:rPr>
          <w:b/>
          <w:bCs/>
          <w:u w:val="single"/>
        </w:rPr>
      </w:pPr>
      <w:r w:rsidRPr="005E7CA2">
        <w:rPr>
          <w:b/>
          <w:bCs/>
          <w:u w:val="single"/>
        </w:rPr>
        <w:t xml:space="preserve">New-CDL and CDL-Renewal Queries </w:t>
      </w:r>
    </w:p>
    <w:p w:rsidR="00845100" w:rsidRPr="005E7CA2" w:rsidP="00845100" w14:paraId="137FDCD4" w14:textId="77777777">
      <w:pPr>
        <w:pStyle w:val="ListParagraph"/>
        <w:tabs>
          <w:tab w:val="left" w:pos="2340"/>
        </w:tabs>
        <w:ind w:left="360"/>
        <w:jc w:val="both"/>
      </w:pPr>
      <w:r w:rsidRPr="005E7CA2">
        <w:t>Both the Clearinghouse I and II final rules require SDLAs to access a driver's information in the Clearinghouse prior to issuing, renewing, upgrading, or transferring a CDL to determine whether the driver is qualified to operate a CMV. The FMCSA developed a web service to integrate this function into the Commercial Driver's License Information System (CDLIS) pointer system, which connects the records of CDL-holders in all 50 States and the District of Columbia, as well as a direct connection solution between the SDLAs and the Clearinghouse. The FMCSA is working closely with the American Association of Motor Vehicle Administrators, which administers CDLIS, to provide for the most efficient and least burdensome method of granting SDLAs access to the Clearinghouse. The marginal costs associated with including the additional functionality required to grant access to the Clearinghouse are negligible. Accordingly, FMCSA does not associate any specific cost to this element.</w:t>
      </w:r>
    </w:p>
    <w:p w:rsidR="001C316E" w:rsidRPr="005E7CA2" w:rsidP="00D67C87" w14:paraId="6C025703" w14:textId="30D0ED1A">
      <w:pPr>
        <w:ind w:left="720"/>
        <w:jc w:val="both"/>
      </w:pPr>
    </w:p>
    <w:p w:rsidR="001C316E" w:rsidRPr="005E7CA2" w:rsidP="00D67C87" w14:paraId="5A24BE35" w14:textId="4EA1E732">
      <w:pPr>
        <w:ind w:left="720"/>
        <w:jc w:val="both"/>
      </w:pPr>
    </w:p>
    <w:p w:rsidR="001C316E" w:rsidRPr="005E7CA2" w:rsidP="00D67C87" w14:paraId="7815A2F5" w14:textId="711977F4">
      <w:pPr>
        <w:ind w:left="720"/>
        <w:jc w:val="both"/>
      </w:pPr>
    </w:p>
    <w:p w:rsidR="001C316E" w:rsidRPr="005E7CA2" w:rsidP="00D67C87" w14:paraId="791BBBA8" w14:textId="77777777">
      <w:pPr>
        <w:ind w:left="720"/>
        <w:jc w:val="both"/>
      </w:pPr>
    </w:p>
    <w:p w:rsidR="00660EAA" w:rsidRPr="005E7CA2" w:rsidP="00D67C87" w14:paraId="2066120E" w14:textId="77777777">
      <w:pPr>
        <w:jc w:val="both"/>
      </w:pPr>
    </w:p>
    <w:p w:rsidR="00660EAA" w:rsidRPr="005E7CA2" w14:paraId="5CFBEFAE" w14:textId="77777777">
      <w:r w:rsidRPr="005E7CA2">
        <w:br w:type="page"/>
      </w:r>
    </w:p>
    <w:p w:rsidR="00440A59" w:rsidRPr="005E7CA2" w:rsidP="00D67C87" w14:paraId="27253F3A" w14:textId="06CF6254">
      <w:pPr>
        <w:jc w:val="both"/>
      </w:pPr>
      <w:r w:rsidRPr="005E7CA2">
        <w:t xml:space="preserve">The table below </w:t>
      </w:r>
      <w:r w:rsidRPr="005E7CA2" w:rsidR="00547E02">
        <w:t xml:space="preserve">summarizes the </w:t>
      </w:r>
      <w:r w:rsidRPr="005E7CA2">
        <w:t xml:space="preserve">calculations </w:t>
      </w:r>
      <w:r w:rsidRPr="005E7CA2" w:rsidR="00D3273F">
        <w:t>described above.</w:t>
      </w:r>
    </w:p>
    <w:p w:rsidR="008126D4" w:rsidRPr="005E7CA2" w:rsidP="004015FC" w14:paraId="7D309FE5" w14:textId="5C8B6FAC">
      <w:pPr>
        <w:jc w:val="both"/>
        <w:rPr>
          <w:b/>
          <w:bCs/>
        </w:rPr>
      </w:pPr>
    </w:p>
    <w:p w:rsidR="0050652C" w:rsidRPr="005E7CA2" w:rsidP="004015FC" w14:paraId="27253FAA" w14:textId="464F1603">
      <w:pPr>
        <w:jc w:val="both"/>
      </w:pPr>
    </w:p>
    <w:tbl>
      <w:tblPr>
        <w:tblW w:w="10256" w:type="dxa"/>
        <w:tblLook w:val="04A0"/>
      </w:tblPr>
      <w:tblGrid>
        <w:gridCol w:w="476"/>
        <w:gridCol w:w="1296"/>
        <w:gridCol w:w="1137"/>
        <w:gridCol w:w="1216"/>
        <w:gridCol w:w="1746"/>
        <w:gridCol w:w="846"/>
        <w:gridCol w:w="1656"/>
        <w:gridCol w:w="767"/>
        <w:gridCol w:w="1116"/>
      </w:tblGrid>
      <w:tr w14:paraId="3CE2EE18" w14:textId="77777777" w:rsidTr="00F047BB">
        <w:tblPrEx>
          <w:tblW w:w="10256" w:type="dxa"/>
          <w:tblLook w:val="04A0"/>
        </w:tblPrEx>
        <w:trPr>
          <w:trHeight w:val="322"/>
        </w:trPr>
        <w:tc>
          <w:tcPr>
            <w:tcW w:w="476" w:type="dxa"/>
            <w:tcBorders>
              <w:top w:val="single" w:sz="8" w:space="0" w:color="auto"/>
              <w:left w:val="single" w:sz="8" w:space="0" w:color="auto"/>
              <w:bottom w:val="single" w:sz="8" w:space="0" w:color="auto"/>
              <w:right w:val="single" w:sz="8" w:space="0" w:color="auto"/>
            </w:tcBorders>
            <w:shd w:val="clear" w:color="000000" w:fill="BFBFBF"/>
            <w:vAlign w:val="center"/>
            <w:hideMark/>
          </w:tcPr>
          <w:p w:rsidR="00606C9F" w:rsidRPr="00F047BB" w14:paraId="01472487" w14:textId="77777777">
            <w:pPr>
              <w:jc w:val="center"/>
              <w:rPr>
                <w:b/>
                <w:bCs/>
                <w:color w:val="000000"/>
                <w:sz w:val="20"/>
                <w:szCs w:val="20"/>
              </w:rPr>
            </w:pPr>
            <w:bookmarkStart w:id="5" w:name="RANGE!K11"/>
            <w:r w:rsidRPr="00F047BB">
              <w:rPr>
                <w:b/>
                <w:bCs/>
                <w:color w:val="000000"/>
                <w:sz w:val="20"/>
                <w:szCs w:val="20"/>
              </w:rPr>
              <w:t> </w:t>
            </w:r>
            <w:bookmarkEnd w:id="5"/>
          </w:p>
        </w:tc>
        <w:tc>
          <w:tcPr>
            <w:tcW w:w="9780" w:type="dxa"/>
            <w:gridSpan w:val="8"/>
            <w:tcBorders>
              <w:top w:val="single" w:sz="8" w:space="0" w:color="auto"/>
              <w:left w:val="nil"/>
              <w:bottom w:val="single" w:sz="8" w:space="0" w:color="auto"/>
              <w:right w:val="single" w:sz="8" w:space="0" w:color="000000"/>
            </w:tcBorders>
            <w:shd w:val="clear" w:color="000000" w:fill="BFBFBF"/>
            <w:noWrap/>
            <w:vAlign w:val="center"/>
            <w:hideMark/>
          </w:tcPr>
          <w:p w:rsidR="009F71BE" w:rsidRPr="005E7CA2" w14:paraId="085D41F3" w14:textId="37E6BD5F">
            <w:pPr>
              <w:jc w:val="center"/>
              <w:rPr>
                <w:sz w:val="20"/>
                <w:szCs w:val="20"/>
              </w:rPr>
            </w:pPr>
            <w:r w:rsidRPr="00F047BB">
              <w:fldChar w:fldCharType="begin"/>
            </w:r>
            <w:r w:rsidRPr="005E7CA2">
              <w:instrText xml:space="preserve"> LINK Excel.Sheet.12 "https://usdot-my.sharepoint.com/personal/yohanna_freeman_ctr_ad_dot_gov/Documents/Documents/Information Collection Management/TASK 8/2126-0057/2126-0057 Analysis.xlsx" "Sheet2!R11C2:R11C9" \a \f 4 \h </w:instrText>
            </w:r>
            <w:r w:rsidR="005E7CA2">
              <w:instrText xml:space="preserve"> \* MERGEFORMAT </w:instrText>
            </w:r>
            <w:r w:rsidRPr="00F047BB">
              <w:fldChar w:fldCharType="separate"/>
            </w:r>
          </w:p>
          <w:p w:rsidR="009F71BE" w:rsidRPr="00F047BB" w:rsidP="009F71BE" w14:paraId="55323527" w14:textId="0642F001">
            <w:pPr>
              <w:jc w:val="center"/>
              <w:rPr>
                <w:b/>
                <w:bCs/>
                <w:color w:val="000000"/>
                <w:sz w:val="20"/>
                <w:szCs w:val="20"/>
              </w:rPr>
            </w:pPr>
            <w:r w:rsidRPr="00F047BB">
              <w:rPr>
                <w:b/>
                <w:bCs/>
                <w:color w:val="000000"/>
                <w:sz w:val="20"/>
                <w:szCs w:val="20"/>
              </w:rPr>
              <w:t>Table 1. Total Annual Number of Burden Hours and Associated Cost by Task</w:t>
            </w:r>
          </w:p>
          <w:p w:rsidR="00606C9F" w:rsidRPr="00F047BB" w:rsidP="009F71BE" w14:paraId="2151096A" w14:textId="71773C33">
            <w:pPr>
              <w:jc w:val="center"/>
              <w:rPr>
                <w:color w:val="0563C1"/>
                <w:sz w:val="22"/>
                <w:szCs w:val="22"/>
                <w:u w:val="single"/>
              </w:rPr>
            </w:pPr>
            <w:r w:rsidRPr="00F047BB">
              <w:rPr>
                <w:color w:val="0563C1"/>
                <w:sz w:val="22"/>
                <w:szCs w:val="22"/>
                <w:u w:val="single"/>
              </w:rPr>
              <w:fldChar w:fldCharType="end"/>
            </w:r>
          </w:p>
        </w:tc>
      </w:tr>
      <w:tr w14:paraId="5DCF1ABB" w14:textId="77777777" w:rsidTr="00F047BB">
        <w:tblPrEx>
          <w:tblW w:w="10256" w:type="dxa"/>
          <w:tblLook w:val="04A0"/>
        </w:tblPrEx>
        <w:trPr>
          <w:trHeight w:val="700"/>
        </w:trPr>
        <w:tc>
          <w:tcPr>
            <w:tcW w:w="476" w:type="dxa"/>
            <w:tcBorders>
              <w:top w:val="nil"/>
              <w:left w:val="single" w:sz="8" w:space="0" w:color="auto"/>
              <w:bottom w:val="single" w:sz="8" w:space="0" w:color="auto"/>
              <w:right w:val="single" w:sz="8" w:space="0" w:color="auto"/>
            </w:tcBorders>
            <w:shd w:val="clear" w:color="000000" w:fill="BFBFBF"/>
            <w:vAlign w:val="center"/>
            <w:hideMark/>
          </w:tcPr>
          <w:p w:rsidR="00606C9F" w:rsidRPr="00F047BB" w14:paraId="68D4D1BD" w14:textId="77777777">
            <w:pPr>
              <w:jc w:val="center"/>
              <w:rPr>
                <w:b/>
                <w:bCs/>
                <w:color w:val="000000"/>
                <w:sz w:val="18"/>
                <w:szCs w:val="18"/>
              </w:rPr>
            </w:pPr>
            <w:r w:rsidRPr="00F047BB">
              <w:rPr>
                <w:b/>
                <w:bCs/>
                <w:color w:val="000000"/>
                <w:sz w:val="18"/>
                <w:szCs w:val="18"/>
              </w:rPr>
              <w:t>IC</w:t>
            </w:r>
          </w:p>
        </w:tc>
        <w:tc>
          <w:tcPr>
            <w:tcW w:w="1296" w:type="dxa"/>
            <w:tcBorders>
              <w:top w:val="nil"/>
              <w:left w:val="nil"/>
              <w:bottom w:val="single" w:sz="8" w:space="0" w:color="auto"/>
              <w:right w:val="single" w:sz="8" w:space="0" w:color="auto"/>
            </w:tcBorders>
            <w:shd w:val="clear" w:color="000000" w:fill="BFBFBF"/>
            <w:vAlign w:val="center"/>
            <w:hideMark/>
          </w:tcPr>
          <w:p w:rsidR="00606C9F" w:rsidRPr="00F047BB" w14:paraId="477F3F0A" w14:textId="77777777">
            <w:pPr>
              <w:jc w:val="center"/>
              <w:rPr>
                <w:b/>
                <w:bCs/>
                <w:color w:val="000000"/>
                <w:sz w:val="18"/>
                <w:szCs w:val="18"/>
              </w:rPr>
            </w:pPr>
            <w:r w:rsidRPr="00F047BB">
              <w:rPr>
                <w:b/>
                <w:bCs/>
                <w:color w:val="000000"/>
                <w:sz w:val="18"/>
                <w:szCs w:val="18"/>
              </w:rPr>
              <w:t>Submissions</w:t>
            </w:r>
          </w:p>
        </w:tc>
        <w:tc>
          <w:tcPr>
            <w:tcW w:w="1137" w:type="dxa"/>
            <w:tcBorders>
              <w:top w:val="nil"/>
              <w:left w:val="nil"/>
              <w:bottom w:val="single" w:sz="8" w:space="0" w:color="auto"/>
              <w:right w:val="single" w:sz="8" w:space="0" w:color="auto"/>
            </w:tcBorders>
            <w:shd w:val="clear" w:color="000000" w:fill="BFBFBF"/>
            <w:vAlign w:val="center"/>
            <w:hideMark/>
          </w:tcPr>
          <w:p w:rsidR="00606C9F" w:rsidRPr="00F047BB" w14:paraId="77A23460" w14:textId="77777777">
            <w:pPr>
              <w:jc w:val="center"/>
              <w:rPr>
                <w:b/>
                <w:bCs/>
                <w:color w:val="000000"/>
                <w:sz w:val="18"/>
                <w:szCs w:val="18"/>
              </w:rPr>
            </w:pPr>
            <w:r w:rsidRPr="00F047BB">
              <w:rPr>
                <w:b/>
                <w:bCs/>
                <w:color w:val="000000"/>
                <w:sz w:val="18"/>
                <w:szCs w:val="18"/>
              </w:rPr>
              <w:t>Responsible</w:t>
            </w:r>
          </w:p>
        </w:tc>
        <w:tc>
          <w:tcPr>
            <w:tcW w:w="1216" w:type="dxa"/>
            <w:tcBorders>
              <w:top w:val="nil"/>
              <w:left w:val="nil"/>
              <w:bottom w:val="single" w:sz="8" w:space="0" w:color="auto"/>
              <w:right w:val="single" w:sz="8" w:space="0" w:color="auto"/>
            </w:tcBorders>
            <w:shd w:val="clear" w:color="000000" w:fill="BFBFBF"/>
            <w:vAlign w:val="center"/>
            <w:hideMark/>
          </w:tcPr>
          <w:p w:rsidR="00606C9F" w:rsidRPr="00F047BB" w14:paraId="24C04D99" w14:textId="77777777">
            <w:pPr>
              <w:jc w:val="center"/>
              <w:rPr>
                <w:b/>
                <w:bCs/>
                <w:color w:val="000000"/>
                <w:sz w:val="18"/>
                <w:szCs w:val="18"/>
              </w:rPr>
            </w:pPr>
            <w:r w:rsidRPr="00F047BB">
              <w:rPr>
                <w:b/>
                <w:bCs/>
                <w:color w:val="000000"/>
                <w:sz w:val="18"/>
                <w:szCs w:val="18"/>
              </w:rPr>
              <w:t>Performed by</w:t>
            </w:r>
          </w:p>
        </w:tc>
        <w:tc>
          <w:tcPr>
            <w:tcW w:w="1746" w:type="dxa"/>
            <w:tcBorders>
              <w:top w:val="nil"/>
              <w:left w:val="nil"/>
              <w:bottom w:val="single" w:sz="8" w:space="0" w:color="auto"/>
              <w:right w:val="single" w:sz="8" w:space="0" w:color="auto"/>
            </w:tcBorders>
            <w:shd w:val="clear" w:color="000000" w:fill="BFBFBF"/>
            <w:vAlign w:val="center"/>
            <w:hideMark/>
          </w:tcPr>
          <w:p w:rsidR="00606C9F" w:rsidRPr="00F047BB" w14:paraId="33A81A77" w14:textId="77777777">
            <w:pPr>
              <w:jc w:val="center"/>
              <w:rPr>
                <w:b/>
                <w:bCs/>
                <w:color w:val="000000"/>
                <w:sz w:val="18"/>
                <w:szCs w:val="18"/>
              </w:rPr>
            </w:pPr>
            <w:r w:rsidRPr="00F047BB">
              <w:rPr>
                <w:b/>
                <w:bCs/>
                <w:color w:val="000000"/>
                <w:sz w:val="18"/>
                <w:szCs w:val="18"/>
              </w:rPr>
              <w:t>Instances/ Respon</w:t>
            </w:r>
            <w:r w:rsidRPr="00F047BB" w:rsidR="002F5824">
              <w:rPr>
                <w:b/>
                <w:bCs/>
                <w:color w:val="000000"/>
                <w:sz w:val="18"/>
                <w:szCs w:val="18"/>
              </w:rPr>
              <w:t>dents/</w:t>
            </w:r>
          </w:p>
          <w:p w:rsidR="002F5824" w:rsidRPr="00F047BB" w14:paraId="006DB0D7" w14:textId="48A0F045">
            <w:pPr>
              <w:jc w:val="center"/>
              <w:rPr>
                <w:b/>
                <w:bCs/>
                <w:color w:val="000000"/>
                <w:sz w:val="18"/>
                <w:szCs w:val="18"/>
              </w:rPr>
            </w:pPr>
            <w:r w:rsidRPr="00F047BB">
              <w:rPr>
                <w:b/>
                <w:bCs/>
                <w:color w:val="000000"/>
                <w:sz w:val="18"/>
                <w:szCs w:val="18"/>
              </w:rPr>
              <w:t>Responses</w:t>
            </w:r>
          </w:p>
        </w:tc>
        <w:tc>
          <w:tcPr>
            <w:tcW w:w="846" w:type="dxa"/>
            <w:tcBorders>
              <w:top w:val="nil"/>
              <w:left w:val="nil"/>
              <w:bottom w:val="single" w:sz="8" w:space="0" w:color="auto"/>
              <w:right w:val="single" w:sz="8" w:space="0" w:color="auto"/>
            </w:tcBorders>
            <w:shd w:val="clear" w:color="000000" w:fill="BFBFBF"/>
            <w:vAlign w:val="center"/>
            <w:hideMark/>
          </w:tcPr>
          <w:p w:rsidR="00606C9F" w:rsidRPr="00F047BB" w14:paraId="0B25DBCF" w14:textId="77777777">
            <w:pPr>
              <w:jc w:val="center"/>
              <w:rPr>
                <w:b/>
                <w:bCs/>
                <w:color w:val="000000"/>
                <w:sz w:val="18"/>
                <w:szCs w:val="18"/>
              </w:rPr>
            </w:pPr>
            <w:r w:rsidRPr="00F047BB">
              <w:rPr>
                <w:b/>
                <w:bCs/>
                <w:color w:val="000000"/>
                <w:sz w:val="18"/>
                <w:szCs w:val="18"/>
              </w:rPr>
              <w:t>Minutes</w:t>
            </w:r>
          </w:p>
        </w:tc>
        <w:tc>
          <w:tcPr>
            <w:tcW w:w="1656" w:type="dxa"/>
            <w:tcBorders>
              <w:top w:val="nil"/>
              <w:left w:val="nil"/>
              <w:bottom w:val="single" w:sz="8" w:space="0" w:color="auto"/>
              <w:right w:val="single" w:sz="8" w:space="0" w:color="auto"/>
            </w:tcBorders>
            <w:shd w:val="clear" w:color="000000" w:fill="BFBFBF"/>
            <w:vAlign w:val="center"/>
            <w:hideMark/>
          </w:tcPr>
          <w:p w:rsidR="00606C9F" w:rsidRPr="00F047BB" w14:paraId="466E546A" w14:textId="77777777">
            <w:pPr>
              <w:jc w:val="center"/>
              <w:rPr>
                <w:b/>
                <w:bCs/>
                <w:color w:val="000000"/>
                <w:sz w:val="18"/>
                <w:szCs w:val="18"/>
              </w:rPr>
            </w:pPr>
            <w:r w:rsidRPr="00F047BB">
              <w:rPr>
                <w:b/>
                <w:bCs/>
                <w:color w:val="000000"/>
                <w:sz w:val="18"/>
                <w:szCs w:val="18"/>
              </w:rPr>
              <w:t>Total Hours</w:t>
            </w:r>
          </w:p>
        </w:tc>
        <w:tc>
          <w:tcPr>
            <w:tcW w:w="767" w:type="dxa"/>
            <w:tcBorders>
              <w:top w:val="nil"/>
              <w:left w:val="nil"/>
              <w:bottom w:val="single" w:sz="8" w:space="0" w:color="auto"/>
              <w:right w:val="single" w:sz="8" w:space="0" w:color="auto"/>
            </w:tcBorders>
            <w:shd w:val="clear" w:color="000000" w:fill="BFBFBF"/>
            <w:vAlign w:val="center"/>
            <w:hideMark/>
          </w:tcPr>
          <w:p w:rsidR="00606C9F" w:rsidRPr="00F047BB" w14:paraId="11A93F0A" w14:textId="77777777">
            <w:pPr>
              <w:jc w:val="center"/>
              <w:rPr>
                <w:b/>
                <w:bCs/>
                <w:color w:val="000000"/>
                <w:sz w:val="18"/>
                <w:szCs w:val="18"/>
              </w:rPr>
            </w:pPr>
            <w:r w:rsidRPr="00F047BB">
              <w:rPr>
                <w:b/>
                <w:bCs/>
                <w:color w:val="000000"/>
                <w:sz w:val="18"/>
                <w:szCs w:val="18"/>
              </w:rPr>
              <w:t>Hourly Wage</w:t>
            </w:r>
          </w:p>
        </w:tc>
        <w:tc>
          <w:tcPr>
            <w:tcW w:w="1116" w:type="dxa"/>
            <w:tcBorders>
              <w:top w:val="nil"/>
              <w:left w:val="nil"/>
              <w:bottom w:val="single" w:sz="8" w:space="0" w:color="auto"/>
              <w:right w:val="single" w:sz="8" w:space="0" w:color="auto"/>
            </w:tcBorders>
            <w:shd w:val="clear" w:color="000000" w:fill="BFBFBF"/>
            <w:vAlign w:val="center"/>
            <w:hideMark/>
          </w:tcPr>
          <w:p w:rsidR="00606C9F" w:rsidRPr="00F047BB" w14:paraId="24E41A3B" w14:textId="77777777">
            <w:pPr>
              <w:jc w:val="center"/>
              <w:rPr>
                <w:b/>
                <w:bCs/>
                <w:color w:val="000000"/>
                <w:sz w:val="18"/>
                <w:szCs w:val="18"/>
              </w:rPr>
            </w:pPr>
            <w:r w:rsidRPr="00F047BB">
              <w:rPr>
                <w:b/>
                <w:bCs/>
                <w:color w:val="000000"/>
                <w:sz w:val="18"/>
                <w:szCs w:val="18"/>
              </w:rPr>
              <w:t>Total Cost</w:t>
            </w:r>
          </w:p>
        </w:tc>
      </w:tr>
      <w:tr w14:paraId="41EDDECC" w14:textId="77777777" w:rsidTr="00F047BB">
        <w:tblPrEx>
          <w:tblW w:w="10256" w:type="dxa"/>
          <w:tblLook w:val="04A0"/>
        </w:tblPrEx>
        <w:trPr>
          <w:trHeight w:val="300"/>
        </w:trPr>
        <w:tc>
          <w:tcPr>
            <w:tcW w:w="476" w:type="dxa"/>
            <w:tcBorders>
              <w:top w:val="nil"/>
              <w:left w:val="single" w:sz="8" w:space="0" w:color="auto"/>
              <w:bottom w:val="single" w:sz="8" w:space="0" w:color="auto"/>
              <w:right w:val="single" w:sz="8" w:space="0" w:color="auto"/>
            </w:tcBorders>
            <w:vAlign w:val="center"/>
            <w:hideMark/>
          </w:tcPr>
          <w:p w:rsidR="00C01CCA" w:rsidRPr="00F047BB" w:rsidP="00C01CCA" w14:paraId="6D4154D8" w14:textId="77777777">
            <w:pPr>
              <w:jc w:val="center"/>
              <w:rPr>
                <w:b/>
                <w:bCs/>
                <w:color w:val="000000"/>
                <w:sz w:val="18"/>
                <w:szCs w:val="18"/>
              </w:rPr>
            </w:pPr>
            <w:r w:rsidRPr="00F047BB">
              <w:rPr>
                <w:b/>
                <w:bCs/>
                <w:color w:val="000000"/>
                <w:sz w:val="18"/>
                <w:szCs w:val="18"/>
              </w:rPr>
              <w:t xml:space="preserve"> IC-1</w:t>
            </w:r>
          </w:p>
        </w:tc>
        <w:tc>
          <w:tcPr>
            <w:tcW w:w="1296" w:type="dxa"/>
            <w:tcBorders>
              <w:top w:val="nil"/>
              <w:left w:val="nil"/>
              <w:bottom w:val="single" w:sz="8" w:space="0" w:color="auto"/>
              <w:right w:val="single" w:sz="8" w:space="0" w:color="auto"/>
            </w:tcBorders>
            <w:vAlign w:val="center"/>
            <w:hideMark/>
          </w:tcPr>
          <w:p w:rsidR="00C01CCA" w:rsidRPr="00F047BB" w:rsidP="00C01CCA" w14:paraId="7E60C54C" w14:textId="77777777">
            <w:pPr>
              <w:jc w:val="center"/>
              <w:rPr>
                <w:b/>
                <w:bCs/>
                <w:color w:val="000000"/>
                <w:sz w:val="18"/>
                <w:szCs w:val="18"/>
              </w:rPr>
            </w:pPr>
            <w:bookmarkStart w:id="6" w:name="RANGE!L13"/>
            <w:r w:rsidRPr="00F047BB">
              <w:rPr>
                <w:b/>
                <w:bCs/>
                <w:color w:val="000000"/>
                <w:sz w:val="18"/>
                <w:szCs w:val="18"/>
              </w:rPr>
              <w:t>Annual Queries</w:t>
            </w:r>
            <w:bookmarkEnd w:id="6"/>
          </w:p>
        </w:tc>
        <w:tc>
          <w:tcPr>
            <w:tcW w:w="1137" w:type="dxa"/>
            <w:tcBorders>
              <w:top w:val="nil"/>
              <w:left w:val="nil"/>
              <w:bottom w:val="single" w:sz="8" w:space="0" w:color="auto"/>
              <w:right w:val="single" w:sz="8" w:space="0" w:color="auto"/>
            </w:tcBorders>
            <w:noWrap/>
            <w:vAlign w:val="center"/>
            <w:hideMark/>
          </w:tcPr>
          <w:p w:rsidR="00C01CCA" w:rsidRPr="00F047BB" w:rsidP="00C01CCA" w14:paraId="617DE4ED" w14:textId="77777777">
            <w:pPr>
              <w:jc w:val="center"/>
              <w:rPr>
                <w:color w:val="000000"/>
                <w:sz w:val="18"/>
                <w:szCs w:val="18"/>
              </w:rPr>
            </w:pPr>
            <w:r w:rsidRPr="00F047BB">
              <w:rPr>
                <w:color w:val="000000"/>
                <w:sz w:val="18"/>
                <w:szCs w:val="18"/>
              </w:rPr>
              <w:t>Employer</w:t>
            </w:r>
          </w:p>
        </w:tc>
        <w:tc>
          <w:tcPr>
            <w:tcW w:w="1216" w:type="dxa"/>
            <w:tcBorders>
              <w:top w:val="nil"/>
              <w:left w:val="nil"/>
              <w:bottom w:val="single" w:sz="8" w:space="0" w:color="auto"/>
              <w:right w:val="single" w:sz="8" w:space="0" w:color="auto"/>
            </w:tcBorders>
            <w:noWrap/>
            <w:vAlign w:val="center"/>
            <w:hideMark/>
          </w:tcPr>
          <w:p w:rsidR="00C01CCA" w:rsidRPr="00F047BB" w:rsidP="00C01CCA" w14:paraId="35C43CBA" w14:textId="77777777">
            <w:pPr>
              <w:jc w:val="center"/>
              <w:rPr>
                <w:color w:val="000000"/>
                <w:sz w:val="18"/>
                <w:szCs w:val="18"/>
              </w:rPr>
            </w:pPr>
            <w:r w:rsidRPr="00F047BB">
              <w:rPr>
                <w:color w:val="000000"/>
                <w:sz w:val="18"/>
                <w:szCs w:val="18"/>
              </w:rPr>
              <w:t>Office Clerk</w:t>
            </w:r>
          </w:p>
        </w:tc>
        <w:tc>
          <w:tcPr>
            <w:tcW w:w="1746" w:type="dxa"/>
            <w:tcBorders>
              <w:top w:val="nil"/>
              <w:left w:val="nil"/>
              <w:bottom w:val="single" w:sz="8" w:space="0" w:color="auto"/>
              <w:right w:val="single" w:sz="8" w:space="0" w:color="auto"/>
            </w:tcBorders>
            <w:noWrap/>
            <w:vAlign w:val="center"/>
            <w:hideMark/>
          </w:tcPr>
          <w:p w:rsidR="00C01CCA" w:rsidRPr="00F047BB" w:rsidP="00C01CCA" w14:paraId="445A833D" w14:textId="099E869A">
            <w:pPr>
              <w:jc w:val="center"/>
              <w:rPr>
                <w:color w:val="000000"/>
                <w:sz w:val="18"/>
                <w:szCs w:val="18"/>
              </w:rPr>
            </w:pPr>
            <w:r w:rsidRPr="00F047BB">
              <w:rPr>
                <w:color w:val="000000"/>
                <w:sz w:val="18"/>
                <w:szCs w:val="18"/>
              </w:rPr>
              <w:t>3,523,245</w:t>
            </w:r>
          </w:p>
        </w:tc>
        <w:tc>
          <w:tcPr>
            <w:tcW w:w="846" w:type="dxa"/>
            <w:tcBorders>
              <w:top w:val="nil"/>
              <w:left w:val="nil"/>
              <w:bottom w:val="single" w:sz="8" w:space="0" w:color="auto"/>
              <w:right w:val="single" w:sz="8" w:space="0" w:color="auto"/>
            </w:tcBorders>
            <w:noWrap/>
            <w:vAlign w:val="center"/>
            <w:hideMark/>
          </w:tcPr>
          <w:p w:rsidR="00C01CCA" w:rsidRPr="00F047BB" w:rsidP="00C01CCA" w14:paraId="5F698291" w14:textId="219E8A7A">
            <w:pPr>
              <w:jc w:val="center"/>
              <w:rPr>
                <w:color w:val="000000"/>
                <w:sz w:val="18"/>
                <w:szCs w:val="18"/>
              </w:rPr>
            </w:pPr>
            <w:r w:rsidRPr="00F047BB">
              <w:rPr>
                <w:color w:val="000000"/>
                <w:sz w:val="18"/>
                <w:szCs w:val="18"/>
              </w:rPr>
              <w:t>10</w:t>
            </w:r>
          </w:p>
        </w:tc>
        <w:tc>
          <w:tcPr>
            <w:tcW w:w="1656" w:type="dxa"/>
            <w:tcBorders>
              <w:top w:val="nil"/>
              <w:left w:val="nil"/>
              <w:bottom w:val="single" w:sz="8" w:space="0" w:color="auto"/>
              <w:right w:val="single" w:sz="8" w:space="0" w:color="auto"/>
            </w:tcBorders>
            <w:noWrap/>
            <w:vAlign w:val="center"/>
            <w:hideMark/>
          </w:tcPr>
          <w:p w:rsidR="00C01CCA" w:rsidRPr="00F047BB" w:rsidP="00C01CCA" w14:paraId="6DC2D27C" w14:textId="5A333D90">
            <w:pPr>
              <w:jc w:val="center"/>
              <w:rPr>
                <w:color w:val="000000"/>
                <w:sz w:val="18"/>
                <w:szCs w:val="18"/>
              </w:rPr>
            </w:pPr>
            <w:r w:rsidRPr="00F047BB">
              <w:rPr>
                <w:color w:val="000000"/>
                <w:sz w:val="18"/>
                <w:szCs w:val="18"/>
              </w:rPr>
              <w:t>587,208</w:t>
            </w:r>
          </w:p>
        </w:tc>
        <w:tc>
          <w:tcPr>
            <w:tcW w:w="767" w:type="dxa"/>
            <w:tcBorders>
              <w:top w:val="nil"/>
              <w:left w:val="nil"/>
              <w:bottom w:val="single" w:sz="8" w:space="0" w:color="auto"/>
              <w:right w:val="single" w:sz="8" w:space="0" w:color="auto"/>
            </w:tcBorders>
            <w:vAlign w:val="center"/>
            <w:hideMark/>
          </w:tcPr>
          <w:p w:rsidR="00C01CCA" w:rsidRPr="00F047BB" w:rsidP="00F047BB" w14:paraId="6611C8C5" w14:textId="7ACDB5F2">
            <w:pPr>
              <w:rPr>
                <w:color w:val="000000"/>
                <w:sz w:val="18"/>
                <w:szCs w:val="18"/>
              </w:rPr>
            </w:pPr>
            <w:r w:rsidRPr="00F047BB">
              <w:rPr>
                <w:color w:val="000000"/>
                <w:sz w:val="18"/>
                <w:szCs w:val="18"/>
              </w:rPr>
              <w:t xml:space="preserve"> $          28.79 </w:t>
            </w:r>
          </w:p>
        </w:tc>
        <w:tc>
          <w:tcPr>
            <w:tcW w:w="1116" w:type="dxa"/>
            <w:tcBorders>
              <w:top w:val="nil"/>
              <w:left w:val="nil"/>
              <w:bottom w:val="single" w:sz="8" w:space="0" w:color="auto"/>
              <w:right w:val="single" w:sz="8" w:space="0" w:color="auto"/>
            </w:tcBorders>
            <w:vAlign w:val="center"/>
            <w:hideMark/>
          </w:tcPr>
          <w:p w:rsidR="00C01CCA" w:rsidRPr="00F047BB" w:rsidP="00C01CCA" w14:paraId="535012CB" w14:textId="40C9EFB0">
            <w:pPr>
              <w:jc w:val="center"/>
              <w:rPr>
                <w:color w:val="000000"/>
                <w:sz w:val="18"/>
                <w:szCs w:val="18"/>
              </w:rPr>
            </w:pPr>
            <w:r w:rsidRPr="00F047BB">
              <w:rPr>
                <w:color w:val="000000"/>
                <w:sz w:val="18"/>
                <w:szCs w:val="18"/>
              </w:rPr>
              <w:t xml:space="preserve">$16,904,473 </w:t>
            </w:r>
          </w:p>
        </w:tc>
      </w:tr>
      <w:tr w14:paraId="2F1805A2" w14:textId="77777777" w:rsidTr="00F047BB">
        <w:tblPrEx>
          <w:tblW w:w="10256" w:type="dxa"/>
          <w:tblLook w:val="04A0"/>
        </w:tblPrEx>
        <w:trPr>
          <w:trHeight w:val="470"/>
        </w:trPr>
        <w:tc>
          <w:tcPr>
            <w:tcW w:w="476" w:type="dxa"/>
            <w:tcBorders>
              <w:top w:val="nil"/>
              <w:left w:val="single" w:sz="8" w:space="0" w:color="auto"/>
              <w:bottom w:val="single" w:sz="8" w:space="0" w:color="auto"/>
              <w:right w:val="single" w:sz="8" w:space="0" w:color="auto"/>
            </w:tcBorders>
            <w:vAlign w:val="center"/>
            <w:hideMark/>
          </w:tcPr>
          <w:p w:rsidR="00C01CCA" w:rsidRPr="00F047BB" w:rsidP="00C01CCA" w14:paraId="5D8904E9" w14:textId="77777777">
            <w:pPr>
              <w:jc w:val="center"/>
              <w:rPr>
                <w:b/>
                <w:bCs/>
                <w:color w:val="000000"/>
                <w:sz w:val="18"/>
                <w:szCs w:val="18"/>
              </w:rPr>
            </w:pPr>
            <w:r w:rsidRPr="00F047BB">
              <w:rPr>
                <w:b/>
                <w:bCs/>
                <w:color w:val="000000"/>
                <w:sz w:val="18"/>
                <w:szCs w:val="18"/>
              </w:rPr>
              <w:t xml:space="preserve"> IC-2</w:t>
            </w:r>
          </w:p>
        </w:tc>
        <w:tc>
          <w:tcPr>
            <w:tcW w:w="1296" w:type="dxa"/>
            <w:tcBorders>
              <w:top w:val="nil"/>
              <w:left w:val="nil"/>
              <w:bottom w:val="single" w:sz="8" w:space="0" w:color="auto"/>
              <w:right w:val="single" w:sz="8" w:space="0" w:color="auto"/>
            </w:tcBorders>
            <w:vAlign w:val="center"/>
            <w:hideMark/>
          </w:tcPr>
          <w:p w:rsidR="00C01CCA" w:rsidRPr="00F047BB" w:rsidP="00C01CCA" w14:paraId="6C8E3F73" w14:textId="77777777">
            <w:pPr>
              <w:jc w:val="center"/>
              <w:rPr>
                <w:b/>
                <w:bCs/>
                <w:color w:val="000000"/>
                <w:sz w:val="18"/>
                <w:szCs w:val="18"/>
              </w:rPr>
            </w:pPr>
            <w:bookmarkStart w:id="7" w:name="RANGE!L14"/>
            <w:r w:rsidRPr="00F047BB">
              <w:rPr>
                <w:b/>
                <w:bCs/>
                <w:color w:val="000000"/>
                <w:sz w:val="18"/>
                <w:szCs w:val="18"/>
              </w:rPr>
              <w:t>Pre-Employment Queries</w:t>
            </w:r>
            <w:bookmarkEnd w:id="7"/>
          </w:p>
        </w:tc>
        <w:tc>
          <w:tcPr>
            <w:tcW w:w="1137" w:type="dxa"/>
            <w:tcBorders>
              <w:top w:val="nil"/>
              <w:left w:val="nil"/>
              <w:bottom w:val="single" w:sz="8" w:space="0" w:color="auto"/>
              <w:right w:val="single" w:sz="8" w:space="0" w:color="auto"/>
            </w:tcBorders>
            <w:noWrap/>
            <w:vAlign w:val="center"/>
            <w:hideMark/>
          </w:tcPr>
          <w:p w:rsidR="00C01CCA" w:rsidRPr="00F047BB" w:rsidP="00C01CCA" w14:paraId="282512B1" w14:textId="77777777">
            <w:pPr>
              <w:jc w:val="center"/>
              <w:rPr>
                <w:color w:val="000000"/>
                <w:sz w:val="18"/>
                <w:szCs w:val="18"/>
              </w:rPr>
            </w:pPr>
            <w:r w:rsidRPr="00F047BB">
              <w:rPr>
                <w:color w:val="000000"/>
                <w:sz w:val="18"/>
                <w:szCs w:val="18"/>
              </w:rPr>
              <w:t>Employer</w:t>
            </w:r>
          </w:p>
        </w:tc>
        <w:tc>
          <w:tcPr>
            <w:tcW w:w="1216" w:type="dxa"/>
            <w:tcBorders>
              <w:top w:val="nil"/>
              <w:left w:val="nil"/>
              <w:bottom w:val="single" w:sz="8" w:space="0" w:color="auto"/>
              <w:right w:val="single" w:sz="8" w:space="0" w:color="auto"/>
            </w:tcBorders>
            <w:noWrap/>
            <w:vAlign w:val="center"/>
            <w:hideMark/>
          </w:tcPr>
          <w:p w:rsidR="00C01CCA" w:rsidRPr="00F047BB" w:rsidP="00C01CCA" w14:paraId="314AEA24" w14:textId="77777777">
            <w:pPr>
              <w:jc w:val="center"/>
              <w:rPr>
                <w:color w:val="000000"/>
                <w:sz w:val="18"/>
                <w:szCs w:val="18"/>
              </w:rPr>
            </w:pPr>
            <w:r w:rsidRPr="00F047BB">
              <w:rPr>
                <w:color w:val="000000"/>
                <w:sz w:val="18"/>
                <w:szCs w:val="18"/>
              </w:rPr>
              <w:t>Office Clerk</w:t>
            </w:r>
          </w:p>
        </w:tc>
        <w:tc>
          <w:tcPr>
            <w:tcW w:w="1746" w:type="dxa"/>
            <w:tcBorders>
              <w:top w:val="nil"/>
              <w:left w:val="nil"/>
              <w:bottom w:val="single" w:sz="8" w:space="0" w:color="auto"/>
              <w:right w:val="single" w:sz="8" w:space="0" w:color="auto"/>
            </w:tcBorders>
            <w:noWrap/>
            <w:vAlign w:val="center"/>
            <w:hideMark/>
          </w:tcPr>
          <w:p w:rsidR="00C01CCA" w:rsidRPr="00F047BB" w:rsidP="00C01CCA" w14:paraId="220538C1" w14:textId="557EC77B">
            <w:pPr>
              <w:jc w:val="center"/>
              <w:rPr>
                <w:color w:val="000000"/>
                <w:sz w:val="18"/>
                <w:szCs w:val="18"/>
              </w:rPr>
            </w:pPr>
            <w:r w:rsidRPr="00F047BB">
              <w:rPr>
                <w:color w:val="000000"/>
                <w:sz w:val="18"/>
                <w:szCs w:val="18"/>
              </w:rPr>
              <w:t>2,748,799</w:t>
            </w:r>
          </w:p>
        </w:tc>
        <w:tc>
          <w:tcPr>
            <w:tcW w:w="846" w:type="dxa"/>
            <w:tcBorders>
              <w:top w:val="nil"/>
              <w:left w:val="nil"/>
              <w:bottom w:val="single" w:sz="8" w:space="0" w:color="auto"/>
              <w:right w:val="single" w:sz="8" w:space="0" w:color="auto"/>
            </w:tcBorders>
            <w:noWrap/>
            <w:vAlign w:val="center"/>
            <w:hideMark/>
          </w:tcPr>
          <w:p w:rsidR="00C01CCA" w:rsidRPr="00F047BB" w:rsidP="00C01CCA" w14:paraId="3D5EF724" w14:textId="7BB7946B">
            <w:pPr>
              <w:jc w:val="center"/>
              <w:rPr>
                <w:color w:val="000000"/>
                <w:sz w:val="18"/>
                <w:szCs w:val="18"/>
              </w:rPr>
            </w:pPr>
            <w:r w:rsidRPr="00F047BB">
              <w:rPr>
                <w:color w:val="000000"/>
                <w:sz w:val="18"/>
                <w:szCs w:val="18"/>
              </w:rPr>
              <w:t>10</w:t>
            </w:r>
          </w:p>
        </w:tc>
        <w:tc>
          <w:tcPr>
            <w:tcW w:w="1656" w:type="dxa"/>
            <w:tcBorders>
              <w:top w:val="nil"/>
              <w:left w:val="nil"/>
              <w:bottom w:val="single" w:sz="8" w:space="0" w:color="auto"/>
              <w:right w:val="single" w:sz="8" w:space="0" w:color="auto"/>
            </w:tcBorders>
            <w:noWrap/>
            <w:vAlign w:val="center"/>
            <w:hideMark/>
          </w:tcPr>
          <w:p w:rsidR="00C01CCA" w:rsidRPr="00F047BB" w:rsidP="00C01CCA" w14:paraId="7F3BEE4D" w14:textId="4CC5CBCD">
            <w:pPr>
              <w:jc w:val="center"/>
              <w:rPr>
                <w:color w:val="000000"/>
                <w:sz w:val="18"/>
                <w:szCs w:val="18"/>
              </w:rPr>
            </w:pPr>
            <w:r w:rsidRPr="00F047BB">
              <w:rPr>
                <w:color w:val="000000"/>
                <w:sz w:val="18"/>
                <w:szCs w:val="18"/>
              </w:rPr>
              <w:t>458,133</w:t>
            </w:r>
          </w:p>
        </w:tc>
        <w:tc>
          <w:tcPr>
            <w:tcW w:w="767" w:type="dxa"/>
            <w:tcBorders>
              <w:top w:val="nil"/>
              <w:left w:val="nil"/>
              <w:bottom w:val="single" w:sz="8" w:space="0" w:color="auto"/>
              <w:right w:val="single" w:sz="8" w:space="0" w:color="auto"/>
            </w:tcBorders>
            <w:vAlign w:val="center"/>
            <w:hideMark/>
          </w:tcPr>
          <w:p w:rsidR="00C01CCA" w:rsidRPr="00F047BB" w:rsidP="00C01CCA" w14:paraId="3931F217" w14:textId="5B2845EC">
            <w:pPr>
              <w:jc w:val="center"/>
              <w:rPr>
                <w:color w:val="000000"/>
                <w:sz w:val="18"/>
                <w:szCs w:val="18"/>
              </w:rPr>
            </w:pPr>
            <w:r w:rsidRPr="00F047BB">
              <w:rPr>
                <w:color w:val="000000"/>
                <w:sz w:val="18"/>
                <w:szCs w:val="18"/>
              </w:rPr>
              <w:t xml:space="preserve"> $          28.79 </w:t>
            </w:r>
          </w:p>
        </w:tc>
        <w:tc>
          <w:tcPr>
            <w:tcW w:w="1116" w:type="dxa"/>
            <w:tcBorders>
              <w:top w:val="nil"/>
              <w:left w:val="nil"/>
              <w:bottom w:val="single" w:sz="8" w:space="0" w:color="auto"/>
              <w:right w:val="single" w:sz="8" w:space="0" w:color="auto"/>
            </w:tcBorders>
            <w:vAlign w:val="center"/>
            <w:hideMark/>
          </w:tcPr>
          <w:p w:rsidR="00C01CCA" w:rsidRPr="00F047BB" w:rsidP="00C01CCA" w14:paraId="4C212868" w14:textId="330F4F65">
            <w:pPr>
              <w:jc w:val="center"/>
              <w:rPr>
                <w:color w:val="000000"/>
                <w:sz w:val="18"/>
                <w:szCs w:val="18"/>
              </w:rPr>
            </w:pPr>
            <w:r w:rsidRPr="00F047BB">
              <w:rPr>
                <w:color w:val="000000"/>
                <w:sz w:val="18"/>
                <w:szCs w:val="18"/>
              </w:rPr>
              <w:t xml:space="preserve">$13,188,693 </w:t>
            </w:r>
          </w:p>
        </w:tc>
      </w:tr>
      <w:tr w14:paraId="5261813C" w14:textId="77777777" w:rsidTr="00F047BB">
        <w:tblPrEx>
          <w:tblW w:w="10256" w:type="dxa"/>
          <w:tblLook w:val="04A0"/>
        </w:tblPrEx>
        <w:trPr>
          <w:trHeight w:val="300"/>
        </w:trPr>
        <w:tc>
          <w:tcPr>
            <w:tcW w:w="476" w:type="dxa"/>
            <w:tcBorders>
              <w:top w:val="nil"/>
              <w:left w:val="single" w:sz="8" w:space="0" w:color="auto"/>
              <w:bottom w:val="single" w:sz="8" w:space="0" w:color="auto"/>
              <w:right w:val="single" w:sz="8" w:space="0" w:color="auto"/>
            </w:tcBorders>
            <w:vAlign w:val="center"/>
            <w:hideMark/>
          </w:tcPr>
          <w:p w:rsidR="00C01CCA" w:rsidRPr="00F047BB" w:rsidP="00C01CCA" w14:paraId="479CE840" w14:textId="77777777">
            <w:pPr>
              <w:jc w:val="center"/>
              <w:rPr>
                <w:b/>
                <w:bCs/>
                <w:color w:val="000000"/>
                <w:sz w:val="18"/>
                <w:szCs w:val="18"/>
              </w:rPr>
            </w:pPr>
            <w:r w:rsidRPr="00F047BB">
              <w:rPr>
                <w:b/>
                <w:bCs/>
                <w:color w:val="000000"/>
                <w:sz w:val="18"/>
                <w:szCs w:val="18"/>
              </w:rPr>
              <w:t>IC-3</w:t>
            </w:r>
          </w:p>
        </w:tc>
        <w:tc>
          <w:tcPr>
            <w:tcW w:w="1296" w:type="dxa"/>
            <w:tcBorders>
              <w:top w:val="nil"/>
              <w:left w:val="nil"/>
              <w:bottom w:val="single" w:sz="8" w:space="0" w:color="auto"/>
              <w:right w:val="single" w:sz="8" w:space="0" w:color="auto"/>
            </w:tcBorders>
            <w:vAlign w:val="center"/>
            <w:hideMark/>
          </w:tcPr>
          <w:p w:rsidR="00C01CCA" w:rsidRPr="00F047BB" w:rsidP="00C01CCA" w14:paraId="6986B544" w14:textId="77777777">
            <w:pPr>
              <w:jc w:val="center"/>
              <w:rPr>
                <w:b/>
                <w:bCs/>
                <w:color w:val="000000"/>
                <w:sz w:val="18"/>
                <w:szCs w:val="18"/>
              </w:rPr>
            </w:pPr>
            <w:bookmarkStart w:id="8" w:name="RANGE!L15"/>
            <w:r w:rsidRPr="00F047BB">
              <w:rPr>
                <w:b/>
                <w:bCs/>
                <w:color w:val="000000"/>
                <w:sz w:val="18"/>
                <w:szCs w:val="18"/>
              </w:rPr>
              <w:t>Designate C/TPAs</w:t>
            </w:r>
            <w:bookmarkEnd w:id="8"/>
          </w:p>
        </w:tc>
        <w:tc>
          <w:tcPr>
            <w:tcW w:w="1137" w:type="dxa"/>
            <w:tcBorders>
              <w:top w:val="nil"/>
              <w:left w:val="nil"/>
              <w:bottom w:val="single" w:sz="8" w:space="0" w:color="auto"/>
              <w:right w:val="single" w:sz="8" w:space="0" w:color="auto"/>
            </w:tcBorders>
            <w:noWrap/>
            <w:vAlign w:val="center"/>
            <w:hideMark/>
          </w:tcPr>
          <w:p w:rsidR="00C01CCA" w:rsidRPr="00F047BB" w:rsidP="00C01CCA" w14:paraId="6FE4DF9F" w14:textId="77777777">
            <w:pPr>
              <w:jc w:val="center"/>
              <w:rPr>
                <w:color w:val="000000"/>
                <w:sz w:val="18"/>
                <w:szCs w:val="18"/>
              </w:rPr>
            </w:pPr>
            <w:r w:rsidRPr="00F047BB">
              <w:rPr>
                <w:color w:val="000000"/>
                <w:sz w:val="18"/>
                <w:szCs w:val="18"/>
              </w:rPr>
              <w:t>Employer</w:t>
            </w:r>
          </w:p>
        </w:tc>
        <w:tc>
          <w:tcPr>
            <w:tcW w:w="1216" w:type="dxa"/>
            <w:tcBorders>
              <w:top w:val="nil"/>
              <w:left w:val="nil"/>
              <w:bottom w:val="single" w:sz="8" w:space="0" w:color="auto"/>
              <w:right w:val="single" w:sz="8" w:space="0" w:color="auto"/>
            </w:tcBorders>
            <w:noWrap/>
            <w:vAlign w:val="center"/>
            <w:hideMark/>
          </w:tcPr>
          <w:p w:rsidR="00C01CCA" w:rsidRPr="00F047BB" w:rsidP="00C01CCA" w14:paraId="3A63C282" w14:textId="77777777">
            <w:pPr>
              <w:jc w:val="center"/>
              <w:rPr>
                <w:color w:val="000000"/>
                <w:sz w:val="18"/>
                <w:szCs w:val="18"/>
              </w:rPr>
            </w:pPr>
            <w:r w:rsidRPr="00F047BB">
              <w:rPr>
                <w:color w:val="000000"/>
                <w:sz w:val="18"/>
                <w:szCs w:val="18"/>
              </w:rPr>
              <w:t>Office Clerk</w:t>
            </w:r>
          </w:p>
        </w:tc>
        <w:tc>
          <w:tcPr>
            <w:tcW w:w="1746" w:type="dxa"/>
            <w:tcBorders>
              <w:top w:val="nil"/>
              <w:left w:val="nil"/>
              <w:bottom w:val="single" w:sz="8" w:space="0" w:color="auto"/>
              <w:right w:val="single" w:sz="8" w:space="0" w:color="auto"/>
            </w:tcBorders>
            <w:noWrap/>
            <w:vAlign w:val="center"/>
            <w:hideMark/>
          </w:tcPr>
          <w:p w:rsidR="00C01CCA" w:rsidRPr="00F047BB" w:rsidP="00C01CCA" w14:paraId="2029D6DC" w14:textId="22FAD409">
            <w:pPr>
              <w:jc w:val="center"/>
              <w:rPr>
                <w:color w:val="000000"/>
                <w:sz w:val="18"/>
                <w:szCs w:val="18"/>
              </w:rPr>
            </w:pPr>
            <w:r w:rsidRPr="00F047BB">
              <w:rPr>
                <w:color w:val="000000"/>
                <w:sz w:val="18"/>
                <w:szCs w:val="18"/>
              </w:rPr>
              <w:t>3,290</w:t>
            </w:r>
          </w:p>
        </w:tc>
        <w:tc>
          <w:tcPr>
            <w:tcW w:w="846" w:type="dxa"/>
            <w:tcBorders>
              <w:top w:val="nil"/>
              <w:left w:val="nil"/>
              <w:bottom w:val="single" w:sz="8" w:space="0" w:color="auto"/>
              <w:right w:val="single" w:sz="8" w:space="0" w:color="auto"/>
            </w:tcBorders>
            <w:noWrap/>
            <w:vAlign w:val="center"/>
            <w:hideMark/>
          </w:tcPr>
          <w:p w:rsidR="00C01CCA" w:rsidRPr="00F047BB" w:rsidP="00C01CCA" w14:paraId="00248367" w14:textId="0BA53504">
            <w:pPr>
              <w:jc w:val="center"/>
              <w:rPr>
                <w:color w:val="000000"/>
                <w:sz w:val="18"/>
                <w:szCs w:val="18"/>
              </w:rPr>
            </w:pPr>
            <w:r w:rsidRPr="00F047BB">
              <w:rPr>
                <w:color w:val="000000"/>
                <w:sz w:val="18"/>
                <w:szCs w:val="18"/>
              </w:rPr>
              <w:t>10</w:t>
            </w:r>
          </w:p>
        </w:tc>
        <w:tc>
          <w:tcPr>
            <w:tcW w:w="1656" w:type="dxa"/>
            <w:tcBorders>
              <w:top w:val="nil"/>
              <w:left w:val="nil"/>
              <w:bottom w:val="single" w:sz="8" w:space="0" w:color="auto"/>
              <w:right w:val="single" w:sz="8" w:space="0" w:color="auto"/>
            </w:tcBorders>
            <w:noWrap/>
            <w:vAlign w:val="center"/>
            <w:hideMark/>
          </w:tcPr>
          <w:p w:rsidR="00C01CCA" w:rsidRPr="00F047BB" w:rsidP="00C01CCA" w14:paraId="13D1B2DA" w14:textId="5BEF8277">
            <w:pPr>
              <w:jc w:val="center"/>
              <w:rPr>
                <w:color w:val="000000"/>
                <w:sz w:val="18"/>
                <w:szCs w:val="18"/>
              </w:rPr>
            </w:pPr>
            <w:r w:rsidRPr="00F047BB">
              <w:rPr>
                <w:color w:val="000000"/>
                <w:sz w:val="18"/>
                <w:szCs w:val="18"/>
              </w:rPr>
              <w:t>548</w:t>
            </w:r>
          </w:p>
        </w:tc>
        <w:tc>
          <w:tcPr>
            <w:tcW w:w="767" w:type="dxa"/>
            <w:tcBorders>
              <w:top w:val="nil"/>
              <w:left w:val="nil"/>
              <w:bottom w:val="single" w:sz="8" w:space="0" w:color="auto"/>
              <w:right w:val="single" w:sz="8" w:space="0" w:color="auto"/>
            </w:tcBorders>
            <w:vAlign w:val="center"/>
            <w:hideMark/>
          </w:tcPr>
          <w:p w:rsidR="00C01CCA" w:rsidRPr="00F047BB" w:rsidP="00C01CCA" w14:paraId="6EC72405" w14:textId="0E6CE8EC">
            <w:pPr>
              <w:jc w:val="center"/>
              <w:rPr>
                <w:color w:val="000000"/>
                <w:sz w:val="18"/>
                <w:szCs w:val="18"/>
              </w:rPr>
            </w:pPr>
            <w:r w:rsidRPr="00F047BB">
              <w:rPr>
                <w:color w:val="000000"/>
                <w:sz w:val="18"/>
                <w:szCs w:val="18"/>
              </w:rPr>
              <w:t xml:space="preserve"> $          28.79 </w:t>
            </w:r>
          </w:p>
        </w:tc>
        <w:tc>
          <w:tcPr>
            <w:tcW w:w="1116" w:type="dxa"/>
            <w:tcBorders>
              <w:top w:val="nil"/>
              <w:left w:val="nil"/>
              <w:bottom w:val="single" w:sz="8" w:space="0" w:color="auto"/>
              <w:right w:val="single" w:sz="8" w:space="0" w:color="auto"/>
            </w:tcBorders>
            <w:vAlign w:val="center"/>
            <w:hideMark/>
          </w:tcPr>
          <w:p w:rsidR="00C01CCA" w:rsidRPr="00F047BB" w:rsidP="00C01CCA" w14:paraId="68BDBF51" w14:textId="03306979">
            <w:pPr>
              <w:jc w:val="center"/>
              <w:rPr>
                <w:color w:val="000000"/>
                <w:sz w:val="18"/>
                <w:szCs w:val="18"/>
              </w:rPr>
            </w:pPr>
            <w:r w:rsidRPr="00F047BB">
              <w:rPr>
                <w:color w:val="000000"/>
                <w:sz w:val="18"/>
                <w:szCs w:val="18"/>
              </w:rPr>
              <w:t xml:space="preserve">$15,785 </w:t>
            </w:r>
          </w:p>
        </w:tc>
      </w:tr>
      <w:tr w14:paraId="37FB5555" w14:textId="77777777" w:rsidTr="00F047BB">
        <w:tblPrEx>
          <w:tblW w:w="10256" w:type="dxa"/>
          <w:tblLook w:val="04A0"/>
        </w:tblPrEx>
        <w:trPr>
          <w:trHeight w:val="700"/>
        </w:trPr>
        <w:tc>
          <w:tcPr>
            <w:tcW w:w="476" w:type="dxa"/>
            <w:tcBorders>
              <w:top w:val="nil"/>
              <w:left w:val="single" w:sz="8" w:space="0" w:color="auto"/>
              <w:bottom w:val="single" w:sz="8" w:space="0" w:color="auto"/>
              <w:right w:val="single" w:sz="8" w:space="0" w:color="auto"/>
            </w:tcBorders>
            <w:vAlign w:val="center"/>
            <w:hideMark/>
          </w:tcPr>
          <w:p w:rsidR="00C01CCA" w:rsidRPr="00F047BB" w:rsidP="00C01CCA" w14:paraId="01A7A97A" w14:textId="77777777">
            <w:pPr>
              <w:jc w:val="center"/>
              <w:rPr>
                <w:b/>
                <w:bCs/>
                <w:color w:val="000000"/>
                <w:sz w:val="18"/>
                <w:szCs w:val="18"/>
              </w:rPr>
            </w:pPr>
            <w:r w:rsidRPr="00F047BB">
              <w:rPr>
                <w:b/>
                <w:bCs/>
                <w:color w:val="000000"/>
                <w:sz w:val="18"/>
                <w:szCs w:val="18"/>
              </w:rPr>
              <w:t>IC-4</w:t>
            </w:r>
          </w:p>
        </w:tc>
        <w:tc>
          <w:tcPr>
            <w:tcW w:w="1296" w:type="dxa"/>
            <w:tcBorders>
              <w:top w:val="nil"/>
              <w:left w:val="nil"/>
              <w:bottom w:val="single" w:sz="8" w:space="0" w:color="auto"/>
              <w:right w:val="single" w:sz="8" w:space="0" w:color="auto"/>
            </w:tcBorders>
            <w:vAlign w:val="center"/>
            <w:hideMark/>
          </w:tcPr>
          <w:p w:rsidR="00C01CCA" w:rsidRPr="00F047BB" w:rsidP="00C01CCA" w14:paraId="181D5629" w14:textId="77777777">
            <w:pPr>
              <w:jc w:val="center"/>
              <w:rPr>
                <w:b/>
                <w:bCs/>
                <w:color w:val="000000"/>
                <w:sz w:val="18"/>
                <w:szCs w:val="18"/>
              </w:rPr>
            </w:pPr>
            <w:r w:rsidRPr="00F047BB">
              <w:rPr>
                <w:b/>
                <w:bCs/>
                <w:color w:val="000000"/>
                <w:sz w:val="18"/>
                <w:szCs w:val="18"/>
              </w:rPr>
              <w:t>SAPs Report Driver Information Following Initial Assessment</w:t>
            </w:r>
          </w:p>
        </w:tc>
        <w:tc>
          <w:tcPr>
            <w:tcW w:w="1137" w:type="dxa"/>
            <w:tcBorders>
              <w:top w:val="nil"/>
              <w:left w:val="nil"/>
              <w:bottom w:val="single" w:sz="8" w:space="0" w:color="auto"/>
              <w:right w:val="single" w:sz="8" w:space="0" w:color="auto"/>
            </w:tcBorders>
            <w:noWrap/>
            <w:vAlign w:val="center"/>
            <w:hideMark/>
          </w:tcPr>
          <w:p w:rsidR="00C01CCA" w:rsidRPr="00F047BB" w:rsidP="00C01CCA" w14:paraId="387F1626" w14:textId="77777777">
            <w:pPr>
              <w:jc w:val="center"/>
              <w:rPr>
                <w:color w:val="000000"/>
                <w:sz w:val="18"/>
                <w:szCs w:val="18"/>
              </w:rPr>
            </w:pPr>
            <w:r w:rsidRPr="00F047BB">
              <w:rPr>
                <w:color w:val="000000"/>
                <w:sz w:val="18"/>
                <w:szCs w:val="18"/>
              </w:rPr>
              <w:t>SAPs</w:t>
            </w:r>
          </w:p>
        </w:tc>
        <w:tc>
          <w:tcPr>
            <w:tcW w:w="1216" w:type="dxa"/>
            <w:tcBorders>
              <w:top w:val="nil"/>
              <w:left w:val="nil"/>
              <w:bottom w:val="single" w:sz="8" w:space="0" w:color="auto"/>
              <w:right w:val="single" w:sz="8" w:space="0" w:color="auto"/>
            </w:tcBorders>
            <w:vAlign w:val="center"/>
            <w:hideMark/>
          </w:tcPr>
          <w:p w:rsidR="00C01CCA" w:rsidRPr="00F047BB" w:rsidP="00C01CCA" w14:paraId="7E817812" w14:textId="77777777">
            <w:pPr>
              <w:jc w:val="center"/>
              <w:rPr>
                <w:color w:val="000000"/>
                <w:sz w:val="18"/>
                <w:szCs w:val="18"/>
              </w:rPr>
            </w:pPr>
            <w:r w:rsidRPr="00F047BB">
              <w:rPr>
                <w:color w:val="000000"/>
                <w:sz w:val="18"/>
                <w:szCs w:val="18"/>
              </w:rPr>
              <w:t>Occupational Health Specialist</w:t>
            </w:r>
          </w:p>
        </w:tc>
        <w:tc>
          <w:tcPr>
            <w:tcW w:w="1746" w:type="dxa"/>
            <w:tcBorders>
              <w:top w:val="nil"/>
              <w:left w:val="nil"/>
              <w:bottom w:val="single" w:sz="8" w:space="0" w:color="auto"/>
              <w:right w:val="single" w:sz="8" w:space="0" w:color="auto"/>
            </w:tcBorders>
            <w:noWrap/>
            <w:vAlign w:val="center"/>
            <w:hideMark/>
          </w:tcPr>
          <w:p w:rsidR="00C01CCA" w:rsidRPr="00F047BB" w:rsidP="00C01CCA" w14:paraId="47E83EFA" w14:textId="734B0239">
            <w:pPr>
              <w:jc w:val="center"/>
              <w:rPr>
                <w:color w:val="000000"/>
                <w:sz w:val="18"/>
                <w:szCs w:val="18"/>
              </w:rPr>
            </w:pPr>
            <w:r w:rsidRPr="00F047BB">
              <w:rPr>
                <w:color w:val="000000"/>
                <w:sz w:val="18"/>
                <w:szCs w:val="18"/>
              </w:rPr>
              <w:t>202,345</w:t>
            </w:r>
          </w:p>
        </w:tc>
        <w:tc>
          <w:tcPr>
            <w:tcW w:w="846" w:type="dxa"/>
            <w:tcBorders>
              <w:top w:val="nil"/>
              <w:left w:val="nil"/>
              <w:bottom w:val="single" w:sz="8" w:space="0" w:color="auto"/>
              <w:right w:val="single" w:sz="8" w:space="0" w:color="auto"/>
            </w:tcBorders>
            <w:noWrap/>
            <w:vAlign w:val="center"/>
            <w:hideMark/>
          </w:tcPr>
          <w:p w:rsidR="00C01CCA" w:rsidRPr="00F047BB" w:rsidP="00C01CCA" w14:paraId="33C4E126" w14:textId="1FA1388D">
            <w:pPr>
              <w:jc w:val="center"/>
              <w:rPr>
                <w:color w:val="000000"/>
                <w:sz w:val="18"/>
                <w:szCs w:val="18"/>
              </w:rPr>
            </w:pPr>
            <w:r w:rsidRPr="00F047BB">
              <w:rPr>
                <w:color w:val="000000"/>
                <w:sz w:val="18"/>
                <w:szCs w:val="18"/>
              </w:rPr>
              <w:t>10</w:t>
            </w:r>
          </w:p>
        </w:tc>
        <w:tc>
          <w:tcPr>
            <w:tcW w:w="1656" w:type="dxa"/>
            <w:tcBorders>
              <w:top w:val="nil"/>
              <w:left w:val="nil"/>
              <w:bottom w:val="single" w:sz="8" w:space="0" w:color="auto"/>
              <w:right w:val="single" w:sz="8" w:space="0" w:color="auto"/>
            </w:tcBorders>
            <w:noWrap/>
            <w:vAlign w:val="center"/>
            <w:hideMark/>
          </w:tcPr>
          <w:p w:rsidR="00C01CCA" w:rsidRPr="00F047BB" w:rsidP="00C01CCA" w14:paraId="22FE50F6" w14:textId="07033CBD">
            <w:pPr>
              <w:jc w:val="center"/>
              <w:rPr>
                <w:color w:val="000000"/>
                <w:sz w:val="18"/>
                <w:szCs w:val="18"/>
              </w:rPr>
            </w:pPr>
            <w:r w:rsidRPr="00F047BB">
              <w:rPr>
                <w:color w:val="000000"/>
                <w:sz w:val="18"/>
                <w:szCs w:val="18"/>
              </w:rPr>
              <w:t>33,724</w:t>
            </w:r>
          </w:p>
        </w:tc>
        <w:tc>
          <w:tcPr>
            <w:tcW w:w="767" w:type="dxa"/>
            <w:tcBorders>
              <w:top w:val="nil"/>
              <w:left w:val="nil"/>
              <w:bottom w:val="single" w:sz="8" w:space="0" w:color="auto"/>
              <w:right w:val="single" w:sz="8" w:space="0" w:color="auto"/>
            </w:tcBorders>
            <w:vAlign w:val="center"/>
            <w:hideMark/>
          </w:tcPr>
          <w:p w:rsidR="00C01CCA" w:rsidRPr="00F047BB" w:rsidP="00C01CCA" w14:paraId="1174C543" w14:textId="223DC507">
            <w:pPr>
              <w:jc w:val="center"/>
              <w:rPr>
                <w:color w:val="000000"/>
                <w:sz w:val="18"/>
                <w:szCs w:val="18"/>
              </w:rPr>
            </w:pPr>
            <w:r w:rsidRPr="00F047BB">
              <w:rPr>
                <w:color w:val="000000"/>
                <w:sz w:val="18"/>
                <w:szCs w:val="18"/>
              </w:rPr>
              <w:t xml:space="preserve"> $          44.47 </w:t>
            </w:r>
          </w:p>
        </w:tc>
        <w:tc>
          <w:tcPr>
            <w:tcW w:w="1116" w:type="dxa"/>
            <w:tcBorders>
              <w:top w:val="nil"/>
              <w:left w:val="nil"/>
              <w:bottom w:val="single" w:sz="8" w:space="0" w:color="auto"/>
              <w:right w:val="single" w:sz="8" w:space="0" w:color="auto"/>
            </w:tcBorders>
            <w:vAlign w:val="center"/>
            <w:hideMark/>
          </w:tcPr>
          <w:p w:rsidR="00C01CCA" w:rsidRPr="00F047BB" w:rsidP="00C01CCA" w14:paraId="47C0514A" w14:textId="36BC5105">
            <w:pPr>
              <w:jc w:val="center"/>
              <w:rPr>
                <w:color w:val="000000"/>
                <w:sz w:val="18"/>
                <w:szCs w:val="18"/>
              </w:rPr>
            </w:pPr>
            <w:r w:rsidRPr="00F047BB">
              <w:rPr>
                <w:color w:val="000000"/>
                <w:sz w:val="18"/>
                <w:szCs w:val="18"/>
              </w:rPr>
              <w:t xml:space="preserve">$1,499,703 </w:t>
            </w:r>
          </w:p>
        </w:tc>
      </w:tr>
      <w:tr w14:paraId="385614C4" w14:textId="77777777" w:rsidTr="00F047BB">
        <w:tblPrEx>
          <w:tblW w:w="10256" w:type="dxa"/>
          <w:tblLook w:val="04A0"/>
        </w:tblPrEx>
        <w:trPr>
          <w:trHeight w:val="700"/>
        </w:trPr>
        <w:tc>
          <w:tcPr>
            <w:tcW w:w="476" w:type="dxa"/>
            <w:tcBorders>
              <w:top w:val="nil"/>
              <w:left w:val="single" w:sz="8" w:space="0" w:color="auto"/>
              <w:bottom w:val="single" w:sz="8" w:space="0" w:color="auto"/>
              <w:right w:val="single" w:sz="8" w:space="0" w:color="auto"/>
            </w:tcBorders>
            <w:vAlign w:val="center"/>
            <w:hideMark/>
          </w:tcPr>
          <w:p w:rsidR="00C01CCA" w:rsidRPr="00F047BB" w:rsidP="00C01CCA" w14:paraId="4005625D" w14:textId="77777777">
            <w:pPr>
              <w:jc w:val="center"/>
              <w:rPr>
                <w:b/>
                <w:bCs/>
                <w:color w:val="000000"/>
                <w:sz w:val="18"/>
                <w:szCs w:val="18"/>
              </w:rPr>
            </w:pPr>
            <w:r w:rsidRPr="00F047BB">
              <w:rPr>
                <w:b/>
                <w:bCs/>
                <w:color w:val="000000"/>
                <w:sz w:val="18"/>
                <w:szCs w:val="18"/>
              </w:rPr>
              <w:t>IC-5</w:t>
            </w:r>
          </w:p>
        </w:tc>
        <w:tc>
          <w:tcPr>
            <w:tcW w:w="1296" w:type="dxa"/>
            <w:tcBorders>
              <w:top w:val="nil"/>
              <w:left w:val="nil"/>
              <w:bottom w:val="single" w:sz="8" w:space="0" w:color="auto"/>
              <w:right w:val="single" w:sz="8" w:space="0" w:color="auto"/>
            </w:tcBorders>
            <w:vAlign w:val="center"/>
            <w:hideMark/>
          </w:tcPr>
          <w:p w:rsidR="00C01CCA" w:rsidRPr="00F047BB" w:rsidP="00C01CCA" w14:paraId="299B6460" w14:textId="77777777">
            <w:pPr>
              <w:jc w:val="center"/>
              <w:rPr>
                <w:b/>
                <w:bCs/>
                <w:color w:val="000000"/>
                <w:sz w:val="18"/>
                <w:szCs w:val="18"/>
              </w:rPr>
            </w:pPr>
            <w:bookmarkStart w:id="9" w:name="RANGE!L17"/>
            <w:r w:rsidRPr="00F047BB">
              <w:rPr>
                <w:b/>
                <w:bCs/>
                <w:color w:val="000000"/>
                <w:sz w:val="18"/>
                <w:szCs w:val="18"/>
              </w:rPr>
              <w:t>Report/Notify Positive Tests/Other Violations</w:t>
            </w:r>
            <w:bookmarkEnd w:id="9"/>
          </w:p>
        </w:tc>
        <w:tc>
          <w:tcPr>
            <w:tcW w:w="1137" w:type="dxa"/>
            <w:tcBorders>
              <w:top w:val="nil"/>
              <w:left w:val="nil"/>
              <w:bottom w:val="single" w:sz="8" w:space="0" w:color="auto"/>
              <w:right w:val="single" w:sz="8" w:space="0" w:color="auto"/>
            </w:tcBorders>
            <w:noWrap/>
            <w:vAlign w:val="center"/>
            <w:hideMark/>
          </w:tcPr>
          <w:p w:rsidR="00C01CCA" w:rsidRPr="00F047BB" w:rsidP="00C01CCA" w14:paraId="49668181" w14:textId="77777777">
            <w:pPr>
              <w:jc w:val="center"/>
              <w:rPr>
                <w:color w:val="000000"/>
                <w:sz w:val="18"/>
                <w:szCs w:val="18"/>
              </w:rPr>
            </w:pPr>
            <w:r w:rsidRPr="00F047BB">
              <w:rPr>
                <w:color w:val="000000"/>
                <w:sz w:val="18"/>
                <w:szCs w:val="18"/>
              </w:rPr>
              <w:t>Various</w:t>
            </w:r>
          </w:p>
        </w:tc>
        <w:tc>
          <w:tcPr>
            <w:tcW w:w="1216" w:type="dxa"/>
            <w:tcBorders>
              <w:top w:val="nil"/>
              <w:left w:val="nil"/>
              <w:bottom w:val="single" w:sz="8" w:space="0" w:color="auto"/>
              <w:right w:val="single" w:sz="8" w:space="0" w:color="auto"/>
            </w:tcBorders>
            <w:noWrap/>
            <w:vAlign w:val="center"/>
            <w:hideMark/>
          </w:tcPr>
          <w:p w:rsidR="00C01CCA" w:rsidRPr="00F047BB" w:rsidP="00C01CCA" w14:paraId="7C830867" w14:textId="77777777">
            <w:pPr>
              <w:jc w:val="center"/>
              <w:rPr>
                <w:color w:val="000000"/>
                <w:sz w:val="18"/>
                <w:szCs w:val="18"/>
              </w:rPr>
            </w:pPr>
            <w:r w:rsidRPr="00F047BB">
              <w:rPr>
                <w:color w:val="000000"/>
                <w:sz w:val="18"/>
                <w:szCs w:val="18"/>
              </w:rPr>
              <w:t>Office Clerk</w:t>
            </w:r>
          </w:p>
        </w:tc>
        <w:tc>
          <w:tcPr>
            <w:tcW w:w="1746" w:type="dxa"/>
            <w:tcBorders>
              <w:top w:val="nil"/>
              <w:left w:val="nil"/>
              <w:bottom w:val="single" w:sz="8" w:space="0" w:color="auto"/>
              <w:right w:val="single" w:sz="8" w:space="0" w:color="auto"/>
            </w:tcBorders>
            <w:noWrap/>
            <w:vAlign w:val="center"/>
            <w:hideMark/>
          </w:tcPr>
          <w:p w:rsidR="00C01CCA" w:rsidRPr="00F047BB" w:rsidP="00C01CCA" w14:paraId="49E64FC1" w14:textId="41E88A34">
            <w:pPr>
              <w:jc w:val="center"/>
              <w:rPr>
                <w:color w:val="000000"/>
                <w:sz w:val="18"/>
                <w:szCs w:val="18"/>
              </w:rPr>
            </w:pPr>
            <w:r w:rsidRPr="00F047BB">
              <w:rPr>
                <w:color w:val="000000"/>
                <w:sz w:val="18"/>
                <w:szCs w:val="18"/>
              </w:rPr>
              <w:t>57,507</w:t>
            </w:r>
          </w:p>
        </w:tc>
        <w:tc>
          <w:tcPr>
            <w:tcW w:w="846" w:type="dxa"/>
            <w:tcBorders>
              <w:top w:val="nil"/>
              <w:left w:val="nil"/>
              <w:bottom w:val="single" w:sz="8" w:space="0" w:color="auto"/>
              <w:right w:val="single" w:sz="8" w:space="0" w:color="auto"/>
            </w:tcBorders>
            <w:noWrap/>
            <w:vAlign w:val="center"/>
            <w:hideMark/>
          </w:tcPr>
          <w:p w:rsidR="00C01CCA" w:rsidRPr="00F047BB" w:rsidP="00C01CCA" w14:paraId="238E6E2A" w14:textId="110AD3B2">
            <w:pPr>
              <w:jc w:val="center"/>
              <w:rPr>
                <w:color w:val="000000"/>
                <w:sz w:val="18"/>
                <w:szCs w:val="18"/>
              </w:rPr>
            </w:pPr>
            <w:r w:rsidRPr="00F047BB">
              <w:rPr>
                <w:color w:val="000000"/>
                <w:sz w:val="18"/>
                <w:szCs w:val="18"/>
              </w:rPr>
              <w:t>10</w:t>
            </w:r>
          </w:p>
        </w:tc>
        <w:tc>
          <w:tcPr>
            <w:tcW w:w="1656" w:type="dxa"/>
            <w:tcBorders>
              <w:top w:val="nil"/>
              <w:left w:val="nil"/>
              <w:bottom w:val="single" w:sz="8" w:space="0" w:color="auto"/>
              <w:right w:val="single" w:sz="8" w:space="0" w:color="auto"/>
            </w:tcBorders>
            <w:noWrap/>
            <w:vAlign w:val="center"/>
            <w:hideMark/>
          </w:tcPr>
          <w:p w:rsidR="00C01CCA" w:rsidRPr="00F047BB" w:rsidP="00C01CCA" w14:paraId="2A250CF0" w14:textId="67680F3B">
            <w:pPr>
              <w:jc w:val="center"/>
              <w:rPr>
                <w:color w:val="000000"/>
                <w:sz w:val="18"/>
                <w:szCs w:val="18"/>
              </w:rPr>
            </w:pPr>
            <w:r w:rsidRPr="00F047BB">
              <w:rPr>
                <w:color w:val="000000"/>
                <w:sz w:val="18"/>
                <w:szCs w:val="18"/>
              </w:rPr>
              <w:t>9,585</w:t>
            </w:r>
          </w:p>
        </w:tc>
        <w:tc>
          <w:tcPr>
            <w:tcW w:w="767" w:type="dxa"/>
            <w:tcBorders>
              <w:top w:val="nil"/>
              <w:left w:val="nil"/>
              <w:bottom w:val="single" w:sz="8" w:space="0" w:color="auto"/>
              <w:right w:val="single" w:sz="8" w:space="0" w:color="auto"/>
            </w:tcBorders>
            <w:vAlign w:val="center"/>
            <w:hideMark/>
          </w:tcPr>
          <w:p w:rsidR="00C01CCA" w:rsidRPr="00F047BB" w:rsidP="00C01CCA" w14:paraId="6A6E1832" w14:textId="1E1D33C9">
            <w:pPr>
              <w:jc w:val="center"/>
              <w:rPr>
                <w:color w:val="000000"/>
                <w:sz w:val="18"/>
                <w:szCs w:val="18"/>
              </w:rPr>
            </w:pPr>
            <w:r w:rsidRPr="00F047BB">
              <w:rPr>
                <w:color w:val="000000"/>
                <w:sz w:val="18"/>
                <w:szCs w:val="18"/>
              </w:rPr>
              <w:t xml:space="preserve"> $          28.79 </w:t>
            </w:r>
          </w:p>
        </w:tc>
        <w:tc>
          <w:tcPr>
            <w:tcW w:w="1116" w:type="dxa"/>
            <w:tcBorders>
              <w:top w:val="nil"/>
              <w:left w:val="nil"/>
              <w:bottom w:val="single" w:sz="8" w:space="0" w:color="auto"/>
              <w:right w:val="single" w:sz="8" w:space="0" w:color="auto"/>
            </w:tcBorders>
            <w:vAlign w:val="center"/>
            <w:hideMark/>
          </w:tcPr>
          <w:p w:rsidR="00C01CCA" w:rsidRPr="00F047BB" w:rsidP="00C01CCA" w14:paraId="1CA31B2B" w14:textId="61586854">
            <w:pPr>
              <w:jc w:val="center"/>
              <w:rPr>
                <w:color w:val="000000"/>
                <w:sz w:val="18"/>
                <w:szCs w:val="18"/>
              </w:rPr>
            </w:pPr>
            <w:r w:rsidRPr="00F047BB">
              <w:rPr>
                <w:color w:val="000000"/>
                <w:sz w:val="18"/>
                <w:szCs w:val="18"/>
              </w:rPr>
              <w:t xml:space="preserve">$275,918 </w:t>
            </w:r>
          </w:p>
        </w:tc>
      </w:tr>
      <w:tr w14:paraId="1FE3BAC5" w14:textId="77777777" w:rsidTr="00F047BB">
        <w:tblPrEx>
          <w:tblW w:w="10256" w:type="dxa"/>
          <w:tblLook w:val="04A0"/>
        </w:tblPrEx>
        <w:trPr>
          <w:trHeight w:val="300"/>
        </w:trPr>
        <w:tc>
          <w:tcPr>
            <w:tcW w:w="476" w:type="dxa"/>
            <w:tcBorders>
              <w:top w:val="nil"/>
              <w:left w:val="single" w:sz="8" w:space="0" w:color="auto"/>
              <w:bottom w:val="single" w:sz="8" w:space="0" w:color="auto"/>
              <w:right w:val="single" w:sz="8" w:space="0" w:color="auto"/>
            </w:tcBorders>
            <w:vAlign w:val="center"/>
            <w:hideMark/>
          </w:tcPr>
          <w:p w:rsidR="00C01CCA" w:rsidRPr="00F047BB" w:rsidP="00C01CCA" w14:paraId="59677C5E" w14:textId="77777777">
            <w:pPr>
              <w:jc w:val="center"/>
              <w:rPr>
                <w:b/>
                <w:bCs/>
                <w:color w:val="000000"/>
                <w:sz w:val="18"/>
                <w:szCs w:val="18"/>
              </w:rPr>
            </w:pPr>
            <w:r w:rsidRPr="00F047BB">
              <w:rPr>
                <w:b/>
                <w:bCs/>
                <w:color w:val="000000"/>
                <w:sz w:val="18"/>
                <w:szCs w:val="18"/>
              </w:rPr>
              <w:t>IC-6</w:t>
            </w:r>
          </w:p>
        </w:tc>
        <w:tc>
          <w:tcPr>
            <w:tcW w:w="1296" w:type="dxa"/>
            <w:tcBorders>
              <w:top w:val="nil"/>
              <w:left w:val="nil"/>
              <w:bottom w:val="single" w:sz="8" w:space="0" w:color="auto"/>
              <w:right w:val="single" w:sz="8" w:space="0" w:color="auto"/>
            </w:tcBorders>
            <w:vAlign w:val="center"/>
            <w:hideMark/>
          </w:tcPr>
          <w:p w:rsidR="00C01CCA" w:rsidRPr="00F047BB" w:rsidP="00C01CCA" w14:paraId="721B01D4" w14:textId="77777777">
            <w:pPr>
              <w:jc w:val="center"/>
              <w:rPr>
                <w:b/>
                <w:bCs/>
                <w:color w:val="000000"/>
                <w:sz w:val="18"/>
                <w:szCs w:val="18"/>
              </w:rPr>
            </w:pPr>
            <w:bookmarkStart w:id="10" w:name="RANGE!L18"/>
            <w:r w:rsidRPr="00F047BB">
              <w:rPr>
                <w:b/>
                <w:bCs/>
                <w:color w:val="000000"/>
                <w:sz w:val="18"/>
                <w:szCs w:val="18"/>
              </w:rPr>
              <w:t xml:space="preserve">Register / Familiarize </w:t>
            </w:r>
            <w:bookmarkEnd w:id="10"/>
          </w:p>
        </w:tc>
        <w:tc>
          <w:tcPr>
            <w:tcW w:w="1137" w:type="dxa"/>
            <w:tcBorders>
              <w:top w:val="nil"/>
              <w:left w:val="nil"/>
              <w:bottom w:val="single" w:sz="8" w:space="0" w:color="auto"/>
              <w:right w:val="single" w:sz="8" w:space="0" w:color="auto"/>
            </w:tcBorders>
            <w:noWrap/>
            <w:vAlign w:val="center"/>
            <w:hideMark/>
          </w:tcPr>
          <w:p w:rsidR="00C01CCA" w:rsidRPr="00F047BB" w:rsidP="00C01CCA" w14:paraId="1122207F" w14:textId="77777777">
            <w:pPr>
              <w:jc w:val="center"/>
              <w:rPr>
                <w:color w:val="000000"/>
                <w:sz w:val="18"/>
                <w:szCs w:val="18"/>
              </w:rPr>
            </w:pPr>
            <w:r w:rsidRPr="00F047BB">
              <w:rPr>
                <w:color w:val="000000"/>
                <w:sz w:val="18"/>
                <w:szCs w:val="18"/>
              </w:rPr>
              <w:t>Various</w:t>
            </w:r>
          </w:p>
        </w:tc>
        <w:tc>
          <w:tcPr>
            <w:tcW w:w="1216" w:type="dxa"/>
            <w:tcBorders>
              <w:top w:val="nil"/>
              <w:left w:val="nil"/>
              <w:bottom w:val="single" w:sz="8" w:space="0" w:color="auto"/>
              <w:right w:val="single" w:sz="8" w:space="0" w:color="auto"/>
            </w:tcBorders>
            <w:noWrap/>
            <w:vAlign w:val="center"/>
            <w:hideMark/>
          </w:tcPr>
          <w:p w:rsidR="00C01CCA" w:rsidRPr="00F047BB" w:rsidP="00C01CCA" w14:paraId="654572FD" w14:textId="77777777">
            <w:pPr>
              <w:jc w:val="center"/>
              <w:rPr>
                <w:color w:val="000000"/>
                <w:sz w:val="18"/>
                <w:szCs w:val="18"/>
              </w:rPr>
            </w:pPr>
            <w:r w:rsidRPr="00F047BB">
              <w:rPr>
                <w:color w:val="000000"/>
                <w:sz w:val="18"/>
                <w:szCs w:val="18"/>
              </w:rPr>
              <w:t>Office Clerk</w:t>
            </w:r>
          </w:p>
        </w:tc>
        <w:tc>
          <w:tcPr>
            <w:tcW w:w="1746" w:type="dxa"/>
            <w:tcBorders>
              <w:top w:val="nil"/>
              <w:left w:val="nil"/>
              <w:bottom w:val="single" w:sz="8" w:space="0" w:color="auto"/>
              <w:right w:val="single" w:sz="8" w:space="0" w:color="auto"/>
            </w:tcBorders>
            <w:noWrap/>
            <w:vAlign w:val="center"/>
            <w:hideMark/>
          </w:tcPr>
          <w:p w:rsidR="00C01CCA" w:rsidRPr="00F047BB" w:rsidP="00C01CCA" w14:paraId="34593F5C" w14:textId="287B4CEB">
            <w:pPr>
              <w:jc w:val="center"/>
              <w:rPr>
                <w:color w:val="000000"/>
                <w:sz w:val="18"/>
                <w:szCs w:val="18"/>
              </w:rPr>
            </w:pPr>
            <w:r w:rsidRPr="00F047BB">
              <w:rPr>
                <w:color w:val="000000"/>
                <w:sz w:val="18"/>
                <w:szCs w:val="18"/>
              </w:rPr>
              <w:t>83,242</w:t>
            </w:r>
          </w:p>
        </w:tc>
        <w:tc>
          <w:tcPr>
            <w:tcW w:w="846" w:type="dxa"/>
            <w:tcBorders>
              <w:top w:val="nil"/>
              <w:left w:val="nil"/>
              <w:bottom w:val="single" w:sz="8" w:space="0" w:color="auto"/>
              <w:right w:val="single" w:sz="8" w:space="0" w:color="auto"/>
            </w:tcBorders>
            <w:noWrap/>
            <w:vAlign w:val="center"/>
            <w:hideMark/>
          </w:tcPr>
          <w:p w:rsidR="00C01CCA" w:rsidRPr="00F047BB" w:rsidP="00C01CCA" w14:paraId="5EE07207" w14:textId="1D429563">
            <w:pPr>
              <w:jc w:val="center"/>
              <w:rPr>
                <w:color w:val="000000"/>
                <w:sz w:val="18"/>
                <w:szCs w:val="18"/>
              </w:rPr>
            </w:pPr>
            <w:r w:rsidRPr="00F047BB">
              <w:rPr>
                <w:color w:val="000000"/>
                <w:sz w:val="18"/>
                <w:szCs w:val="18"/>
              </w:rPr>
              <w:t>20</w:t>
            </w:r>
          </w:p>
        </w:tc>
        <w:tc>
          <w:tcPr>
            <w:tcW w:w="1656" w:type="dxa"/>
            <w:tcBorders>
              <w:top w:val="nil"/>
              <w:left w:val="nil"/>
              <w:bottom w:val="single" w:sz="8" w:space="0" w:color="auto"/>
              <w:right w:val="single" w:sz="8" w:space="0" w:color="auto"/>
            </w:tcBorders>
            <w:noWrap/>
            <w:vAlign w:val="center"/>
            <w:hideMark/>
          </w:tcPr>
          <w:p w:rsidR="00C01CCA" w:rsidRPr="00F047BB" w:rsidP="00C01CCA" w14:paraId="63836CEE" w14:textId="1E69AB6B">
            <w:pPr>
              <w:jc w:val="center"/>
              <w:rPr>
                <w:color w:val="000000"/>
                <w:sz w:val="18"/>
                <w:szCs w:val="18"/>
              </w:rPr>
            </w:pPr>
            <w:r w:rsidRPr="00F047BB">
              <w:rPr>
                <w:color w:val="000000"/>
                <w:sz w:val="18"/>
                <w:szCs w:val="18"/>
              </w:rPr>
              <w:t>27,747</w:t>
            </w:r>
          </w:p>
        </w:tc>
        <w:tc>
          <w:tcPr>
            <w:tcW w:w="767" w:type="dxa"/>
            <w:tcBorders>
              <w:top w:val="nil"/>
              <w:left w:val="nil"/>
              <w:bottom w:val="single" w:sz="8" w:space="0" w:color="auto"/>
              <w:right w:val="single" w:sz="8" w:space="0" w:color="auto"/>
            </w:tcBorders>
            <w:vAlign w:val="center"/>
            <w:hideMark/>
          </w:tcPr>
          <w:p w:rsidR="00C01CCA" w:rsidRPr="00F047BB" w:rsidP="00C01CCA" w14:paraId="43F6C000" w14:textId="56E1E10A">
            <w:pPr>
              <w:jc w:val="center"/>
              <w:rPr>
                <w:color w:val="000000"/>
                <w:sz w:val="18"/>
                <w:szCs w:val="18"/>
              </w:rPr>
            </w:pPr>
            <w:r w:rsidRPr="00F047BB">
              <w:rPr>
                <w:color w:val="000000"/>
                <w:sz w:val="18"/>
                <w:szCs w:val="18"/>
              </w:rPr>
              <w:t xml:space="preserve"> $          28.79 </w:t>
            </w:r>
          </w:p>
        </w:tc>
        <w:tc>
          <w:tcPr>
            <w:tcW w:w="1116" w:type="dxa"/>
            <w:tcBorders>
              <w:top w:val="nil"/>
              <w:left w:val="nil"/>
              <w:bottom w:val="single" w:sz="8" w:space="0" w:color="auto"/>
              <w:right w:val="single" w:sz="8" w:space="0" w:color="auto"/>
            </w:tcBorders>
            <w:vAlign w:val="center"/>
            <w:hideMark/>
          </w:tcPr>
          <w:p w:rsidR="00C01CCA" w:rsidRPr="00F047BB" w:rsidP="00C01CCA" w14:paraId="6C309C29" w14:textId="32832D2D">
            <w:pPr>
              <w:jc w:val="center"/>
              <w:rPr>
                <w:color w:val="000000"/>
                <w:sz w:val="18"/>
                <w:szCs w:val="18"/>
              </w:rPr>
            </w:pPr>
            <w:r w:rsidRPr="00F047BB">
              <w:rPr>
                <w:color w:val="000000"/>
                <w:sz w:val="18"/>
                <w:szCs w:val="18"/>
              </w:rPr>
              <w:t xml:space="preserve">$798,788 </w:t>
            </w:r>
          </w:p>
        </w:tc>
      </w:tr>
      <w:tr w14:paraId="26C64380" w14:textId="77777777" w:rsidTr="004C6EB5">
        <w:tblPrEx>
          <w:tblW w:w="10256" w:type="dxa"/>
          <w:tblLook w:val="04A0"/>
        </w:tblPrEx>
        <w:trPr>
          <w:trHeight w:val="470"/>
        </w:trPr>
        <w:tc>
          <w:tcPr>
            <w:tcW w:w="476" w:type="dxa"/>
            <w:tcBorders>
              <w:top w:val="nil"/>
              <w:left w:val="single" w:sz="8" w:space="0" w:color="auto"/>
              <w:bottom w:val="single" w:sz="8" w:space="0" w:color="auto"/>
              <w:right w:val="single" w:sz="8" w:space="0" w:color="auto"/>
            </w:tcBorders>
            <w:vAlign w:val="center"/>
            <w:hideMark/>
          </w:tcPr>
          <w:p w:rsidR="004C6EB5" w:rsidRPr="00F047BB" w:rsidP="004C6EB5" w14:paraId="7E80E45D" w14:textId="77777777">
            <w:pPr>
              <w:jc w:val="center"/>
              <w:rPr>
                <w:b/>
                <w:bCs/>
                <w:color w:val="000000"/>
                <w:sz w:val="18"/>
                <w:szCs w:val="18"/>
              </w:rPr>
            </w:pPr>
            <w:r w:rsidRPr="00F047BB">
              <w:rPr>
                <w:b/>
                <w:bCs/>
                <w:color w:val="000000"/>
                <w:sz w:val="18"/>
                <w:szCs w:val="18"/>
              </w:rPr>
              <w:t>IC-7</w:t>
            </w:r>
          </w:p>
        </w:tc>
        <w:tc>
          <w:tcPr>
            <w:tcW w:w="1296" w:type="dxa"/>
            <w:tcBorders>
              <w:top w:val="nil"/>
              <w:left w:val="nil"/>
              <w:bottom w:val="single" w:sz="8" w:space="0" w:color="auto"/>
              <w:right w:val="single" w:sz="8" w:space="0" w:color="auto"/>
            </w:tcBorders>
            <w:vAlign w:val="center"/>
            <w:hideMark/>
          </w:tcPr>
          <w:p w:rsidR="004C6EB5" w:rsidRPr="00F047BB" w:rsidP="004C6EB5" w14:paraId="31C5CAF5" w14:textId="77777777">
            <w:pPr>
              <w:jc w:val="center"/>
              <w:rPr>
                <w:b/>
                <w:bCs/>
                <w:color w:val="000000"/>
                <w:sz w:val="18"/>
                <w:szCs w:val="18"/>
              </w:rPr>
            </w:pPr>
            <w:bookmarkStart w:id="11" w:name="RANGE!L19"/>
            <w:r w:rsidRPr="00F047BB">
              <w:rPr>
                <w:b/>
                <w:bCs/>
                <w:color w:val="000000"/>
                <w:sz w:val="18"/>
                <w:szCs w:val="18"/>
              </w:rPr>
              <w:t>Authorization Verification</w:t>
            </w:r>
            <w:bookmarkEnd w:id="11"/>
          </w:p>
        </w:tc>
        <w:tc>
          <w:tcPr>
            <w:tcW w:w="1137" w:type="dxa"/>
            <w:tcBorders>
              <w:top w:val="nil"/>
              <w:left w:val="nil"/>
              <w:bottom w:val="single" w:sz="8" w:space="0" w:color="auto"/>
              <w:right w:val="single" w:sz="8" w:space="0" w:color="auto"/>
            </w:tcBorders>
            <w:noWrap/>
            <w:vAlign w:val="center"/>
            <w:hideMark/>
          </w:tcPr>
          <w:p w:rsidR="004C6EB5" w:rsidRPr="00F047BB" w:rsidP="004C6EB5" w14:paraId="0C07E68F" w14:textId="77777777">
            <w:pPr>
              <w:jc w:val="center"/>
              <w:rPr>
                <w:color w:val="000000"/>
                <w:sz w:val="18"/>
                <w:szCs w:val="18"/>
              </w:rPr>
            </w:pPr>
            <w:r w:rsidRPr="00F047BB">
              <w:rPr>
                <w:color w:val="000000"/>
                <w:sz w:val="18"/>
                <w:szCs w:val="18"/>
              </w:rPr>
              <w:t>Various</w:t>
            </w:r>
          </w:p>
        </w:tc>
        <w:tc>
          <w:tcPr>
            <w:tcW w:w="1216" w:type="dxa"/>
            <w:tcBorders>
              <w:top w:val="nil"/>
              <w:left w:val="nil"/>
              <w:bottom w:val="single" w:sz="8" w:space="0" w:color="auto"/>
              <w:right w:val="single" w:sz="8" w:space="0" w:color="auto"/>
            </w:tcBorders>
            <w:noWrap/>
            <w:vAlign w:val="center"/>
            <w:hideMark/>
          </w:tcPr>
          <w:p w:rsidR="004C6EB5" w:rsidRPr="00F047BB" w:rsidP="004C6EB5" w14:paraId="2624AF5A" w14:textId="77777777">
            <w:pPr>
              <w:jc w:val="center"/>
              <w:rPr>
                <w:color w:val="000000"/>
                <w:sz w:val="18"/>
                <w:szCs w:val="18"/>
              </w:rPr>
            </w:pPr>
            <w:r w:rsidRPr="00F047BB">
              <w:rPr>
                <w:color w:val="000000"/>
                <w:sz w:val="18"/>
                <w:szCs w:val="18"/>
              </w:rPr>
              <w:t>Office Clerk</w:t>
            </w:r>
          </w:p>
        </w:tc>
        <w:tc>
          <w:tcPr>
            <w:tcW w:w="1746" w:type="dxa"/>
            <w:tcBorders>
              <w:top w:val="nil"/>
              <w:left w:val="nil"/>
              <w:bottom w:val="single" w:sz="8" w:space="0" w:color="auto"/>
              <w:right w:val="single" w:sz="8" w:space="0" w:color="auto"/>
            </w:tcBorders>
            <w:noWrap/>
            <w:vAlign w:val="center"/>
            <w:hideMark/>
          </w:tcPr>
          <w:p w:rsidR="004C6EB5" w:rsidRPr="00F047BB" w:rsidP="004C6EB5" w14:paraId="6867DA66" w14:textId="3375C7A3">
            <w:pPr>
              <w:jc w:val="center"/>
              <w:rPr>
                <w:color w:val="000000"/>
                <w:sz w:val="18"/>
                <w:szCs w:val="18"/>
                <w:highlight w:val="yellow"/>
              </w:rPr>
            </w:pPr>
            <w:r>
              <w:rPr>
                <w:color w:val="000000"/>
                <w:sz w:val="18"/>
                <w:szCs w:val="18"/>
              </w:rPr>
              <w:t>83,242</w:t>
            </w:r>
          </w:p>
        </w:tc>
        <w:tc>
          <w:tcPr>
            <w:tcW w:w="846" w:type="dxa"/>
            <w:tcBorders>
              <w:top w:val="nil"/>
              <w:left w:val="nil"/>
              <w:bottom w:val="single" w:sz="8" w:space="0" w:color="auto"/>
              <w:right w:val="single" w:sz="8" w:space="0" w:color="auto"/>
            </w:tcBorders>
            <w:noWrap/>
            <w:vAlign w:val="center"/>
            <w:hideMark/>
          </w:tcPr>
          <w:p w:rsidR="004C6EB5" w:rsidRPr="00F047BB" w:rsidP="004C6EB5" w14:paraId="73325890" w14:textId="487892BA">
            <w:pPr>
              <w:jc w:val="center"/>
              <w:rPr>
                <w:color w:val="000000"/>
                <w:sz w:val="18"/>
                <w:szCs w:val="18"/>
                <w:highlight w:val="yellow"/>
              </w:rPr>
            </w:pPr>
            <w:r>
              <w:rPr>
                <w:color w:val="000000"/>
                <w:sz w:val="18"/>
                <w:szCs w:val="18"/>
              </w:rPr>
              <w:t>10</w:t>
            </w:r>
          </w:p>
        </w:tc>
        <w:tc>
          <w:tcPr>
            <w:tcW w:w="1656" w:type="dxa"/>
            <w:tcBorders>
              <w:top w:val="nil"/>
              <w:left w:val="nil"/>
              <w:bottom w:val="single" w:sz="8" w:space="0" w:color="auto"/>
              <w:right w:val="single" w:sz="8" w:space="0" w:color="auto"/>
            </w:tcBorders>
            <w:noWrap/>
            <w:vAlign w:val="center"/>
            <w:hideMark/>
          </w:tcPr>
          <w:p w:rsidR="004C6EB5" w:rsidRPr="00F047BB" w:rsidP="004C6EB5" w14:paraId="6D7C8086" w14:textId="54A1D398">
            <w:pPr>
              <w:jc w:val="center"/>
              <w:rPr>
                <w:color w:val="000000"/>
                <w:sz w:val="18"/>
                <w:szCs w:val="18"/>
                <w:highlight w:val="yellow"/>
              </w:rPr>
            </w:pPr>
            <w:r>
              <w:rPr>
                <w:color w:val="000000"/>
                <w:sz w:val="18"/>
                <w:szCs w:val="18"/>
              </w:rPr>
              <w:t>13,874</w:t>
            </w:r>
          </w:p>
        </w:tc>
        <w:tc>
          <w:tcPr>
            <w:tcW w:w="767" w:type="dxa"/>
            <w:tcBorders>
              <w:top w:val="nil"/>
              <w:left w:val="nil"/>
              <w:bottom w:val="single" w:sz="8" w:space="0" w:color="auto"/>
              <w:right w:val="single" w:sz="8" w:space="0" w:color="auto"/>
            </w:tcBorders>
            <w:vAlign w:val="center"/>
            <w:hideMark/>
          </w:tcPr>
          <w:p w:rsidR="004C6EB5" w:rsidRPr="00F047BB" w:rsidP="004C6EB5" w14:paraId="5C5B8A64" w14:textId="5F3F48E1">
            <w:pPr>
              <w:jc w:val="center"/>
              <w:rPr>
                <w:color w:val="000000"/>
                <w:sz w:val="18"/>
                <w:szCs w:val="18"/>
                <w:highlight w:val="yellow"/>
              </w:rPr>
            </w:pPr>
            <w:r>
              <w:rPr>
                <w:color w:val="000000"/>
                <w:sz w:val="18"/>
                <w:szCs w:val="18"/>
              </w:rPr>
              <w:t xml:space="preserve"> $        28.79 </w:t>
            </w:r>
          </w:p>
        </w:tc>
        <w:tc>
          <w:tcPr>
            <w:tcW w:w="1116" w:type="dxa"/>
            <w:tcBorders>
              <w:top w:val="nil"/>
              <w:left w:val="nil"/>
              <w:bottom w:val="single" w:sz="8" w:space="0" w:color="auto"/>
              <w:right w:val="single" w:sz="8" w:space="0" w:color="auto"/>
            </w:tcBorders>
            <w:vAlign w:val="center"/>
            <w:hideMark/>
          </w:tcPr>
          <w:p w:rsidR="004C6EB5" w:rsidRPr="00F047BB" w:rsidP="004C6EB5" w14:paraId="3ED905F4" w14:textId="19DBD7B3">
            <w:pPr>
              <w:jc w:val="center"/>
              <w:rPr>
                <w:color w:val="000000"/>
                <w:sz w:val="18"/>
                <w:szCs w:val="18"/>
                <w:highlight w:val="yellow"/>
              </w:rPr>
            </w:pPr>
            <w:r>
              <w:rPr>
                <w:color w:val="000000"/>
                <w:sz w:val="18"/>
                <w:szCs w:val="18"/>
              </w:rPr>
              <w:t xml:space="preserve">$399,394 </w:t>
            </w:r>
          </w:p>
        </w:tc>
      </w:tr>
      <w:tr w14:paraId="36909AFB" w14:textId="77777777" w:rsidTr="00F047BB">
        <w:tblPrEx>
          <w:tblW w:w="10256" w:type="dxa"/>
          <w:tblLook w:val="04A0"/>
        </w:tblPrEx>
        <w:trPr>
          <w:trHeight w:val="700"/>
        </w:trPr>
        <w:tc>
          <w:tcPr>
            <w:tcW w:w="476" w:type="dxa"/>
            <w:tcBorders>
              <w:top w:val="nil"/>
              <w:left w:val="single" w:sz="8" w:space="0" w:color="auto"/>
              <w:bottom w:val="single" w:sz="8" w:space="0" w:color="auto"/>
              <w:right w:val="single" w:sz="8" w:space="0" w:color="auto"/>
            </w:tcBorders>
            <w:vAlign w:val="center"/>
            <w:hideMark/>
          </w:tcPr>
          <w:p w:rsidR="004C6EB5" w:rsidRPr="00F047BB" w:rsidP="004C6EB5" w14:paraId="1F184185" w14:textId="77777777">
            <w:pPr>
              <w:jc w:val="center"/>
              <w:rPr>
                <w:b/>
                <w:bCs/>
                <w:color w:val="000000"/>
                <w:sz w:val="18"/>
                <w:szCs w:val="18"/>
              </w:rPr>
            </w:pPr>
            <w:r w:rsidRPr="00F047BB">
              <w:rPr>
                <w:b/>
                <w:bCs/>
                <w:color w:val="000000"/>
                <w:sz w:val="18"/>
                <w:szCs w:val="18"/>
              </w:rPr>
              <w:t>IC-8</w:t>
            </w:r>
          </w:p>
        </w:tc>
        <w:tc>
          <w:tcPr>
            <w:tcW w:w="1296" w:type="dxa"/>
            <w:tcBorders>
              <w:top w:val="nil"/>
              <w:left w:val="nil"/>
              <w:bottom w:val="single" w:sz="8" w:space="0" w:color="auto"/>
              <w:right w:val="single" w:sz="8" w:space="0" w:color="auto"/>
            </w:tcBorders>
            <w:vAlign w:val="center"/>
            <w:hideMark/>
          </w:tcPr>
          <w:p w:rsidR="004C6EB5" w:rsidRPr="00F047BB" w:rsidP="004C6EB5" w14:paraId="009651C1" w14:textId="77777777">
            <w:pPr>
              <w:jc w:val="center"/>
              <w:rPr>
                <w:b/>
                <w:bCs/>
                <w:color w:val="000000"/>
                <w:sz w:val="18"/>
                <w:szCs w:val="18"/>
              </w:rPr>
            </w:pPr>
            <w:bookmarkStart w:id="12" w:name="RANGE!L20"/>
            <w:r w:rsidRPr="00F047BB">
              <w:rPr>
                <w:b/>
                <w:bCs/>
                <w:color w:val="000000"/>
                <w:sz w:val="18"/>
                <w:szCs w:val="18"/>
              </w:rPr>
              <w:t>Driver Consent Verification Full Annual Queries</w:t>
            </w:r>
            <w:bookmarkEnd w:id="12"/>
          </w:p>
        </w:tc>
        <w:tc>
          <w:tcPr>
            <w:tcW w:w="1137" w:type="dxa"/>
            <w:tcBorders>
              <w:top w:val="nil"/>
              <w:left w:val="nil"/>
              <w:bottom w:val="single" w:sz="8" w:space="0" w:color="auto"/>
              <w:right w:val="single" w:sz="8" w:space="0" w:color="auto"/>
            </w:tcBorders>
            <w:noWrap/>
            <w:vAlign w:val="center"/>
            <w:hideMark/>
          </w:tcPr>
          <w:p w:rsidR="004C6EB5" w:rsidRPr="00F047BB" w:rsidP="004C6EB5" w14:paraId="21CB02B3" w14:textId="77777777">
            <w:pPr>
              <w:jc w:val="center"/>
              <w:rPr>
                <w:color w:val="000000"/>
                <w:sz w:val="18"/>
                <w:szCs w:val="18"/>
              </w:rPr>
            </w:pPr>
            <w:r w:rsidRPr="00F047BB">
              <w:rPr>
                <w:color w:val="000000"/>
                <w:sz w:val="18"/>
                <w:szCs w:val="18"/>
              </w:rPr>
              <w:t>Drivers</w:t>
            </w:r>
          </w:p>
        </w:tc>
        <w:tc>
          <w:tcPr>
            <w:tcW w:w="1216" w:type="dxa"/>
            <w:tcBorders>
              <w:top w:val="nil"/>
              <w:left w:val="nil"/>
              <w:bottom w:val="single" w:sz="8" w:space="0" w:color="auto"/>
              <w:right w:val="single" w:sz="8" w:space="0" w:color="auto"/>
            </w:tcBorders>
            <w:noWrap/>
            <w:vAlign w:val="center"/>
            <w:hideMark/>
          </w:tcPr>
          <w:p w:rsidR="004C6EB5" w:rsidRPr="00F047BB" w:rsidP="004C6EB5" w14:paraId="04335F9A" w14:textId="092B0CF1">
            <w:pPr>
              <w:jc w:val="center"/>
              <w:rPr>
                <w:color w:val="000000"/>
                <w:sz w:val="18"/>
                <w:szCs w:val="18"/>
              </w:rPr>
            </w:pPr>
            <w:r w:rsidRPr="00F047BB">
              <w:rPr>
                <w:color w:val="000000"/>
                <w:sz w:val="18"/>
                <w:szCs w:val="18"/>
              </w:rPr>
              <w:t>Office Clerk</w:t>
            </w:r>
          </w:p>
        </w:tc>
        <w:tc>
          <w:tcPr>
            <w:tcW w:w="1746" w:type="dxa"/>
            <w:tcBorders>
              <w:top w:val="nil"/>
              <w:left w:val="nil"/>
              <w:bottom w:val="single" w:sz="8" w:space="0" w:color="auto"/>
              <w:right w:val="single" w:sz="8" w:space="0" w:color="auto"/>
            </w:tcBorders>
            <w:noWrap/>
            <w:vAlign w:val="center"/>
            <w:hideMark/>
          </w:tcPr>
          <w:p w:rsidR="004C6EB5" w:rsidRPr="00F047BB" w:rsidP="004C6EB5" w14:paraId="41E75C5E" w14:textId="539C35A4">
            <w:pPr>
              <w:jc w:val="center"/>
              <w:rPr>
                <w:color w:val="000000"/>
                <w:sz w:val="18"/>
                <w:szCs w:val="18"/>
              </w:rPr>
            </w:pPr>
            <w:r w:rsidRPr="00F047BB">
              <w:rPr>
                <w:color w:val="000000"/>
                <w:sz w:val="18"/>
                <w:szCs w:val="18"/>
              </w:rPr>
              <w:t>192,240</w:t>
            </w:r>
          </w:p>
        </w:tc>
        <w:tc>
          <w:tcPr>
            <w:tcW w:w="846" w:type="dxa"/>
            <w:tcBorders>
              <w:top w:val="nil"/>
              <w:left w:val="nil"/>
              <w:bottom w:val="single" w:sz="8" w:space="0" w:color="auto"/>
              <w:right w:val="single" w:sz="8" w:space="0" w:color="auto"/>
            </w:tcBorders>
            <w:noWrap/>
            <w:vAlign w:val="center"/>
            <w:hideMark/>
          </w:tcPr>
          <w:p w:rsidR="004C6EB5" w:rsidRPr="00F047BB" w:rsidP="004C6EB5" w14:paraId="63CF53EE" w14:textId="2AC2C858">
            <w:pPr>
              <w:jc w:val="center"/>
              <w:rPr>
                <w:color w:val="000000"/>
                <w:sz w:val="18"/>
                <w:szCs w:val="18"/>
              </w:rPr>
            </w:pPr>
            <w:r w:rsidRPr="00F047BB">
              <w:rPr>
                <w:color w:val="000000"/>
                <w:sz w:val="18"/>
                <w:szCs w:val="18"/>
              </w:rPr>
              <w:t>10</w:t>
            </w:r>
          </w:p>
        </w:tc>
        <w:tc>
          <w:tcPr>
            <w:tcW w:w="1656" w:type="dxa"/>
            <w:tcBorders>
              <w:top w:val="nil"/>
              <w:left w:val="nil"/>
              <w:bottom w:val="single" w:sz="8" w:space="0" w:color="auto"/>
              <w:right w:val="single" w:sz="8" w:space="0" w:color="auto"/>
            </w:tcBorders>
            <w:noWrap/>
            <w:vAlign w:val="center"/>
            <w:hideMark/>
          </w:tcPr>
          <w:p w:rsidR="004C6EB5" w:rsidRPr="00F047BB" w:rsidP="004C6EB5" w14:paraId="23D3C873" w14:textId="0D8CA3CD">
            <w:pPr>
              <w:jc w:val="center"/>
              <w:rPr>
                <w:color w:val="000000"/>
                <w:sz w:val="18"/>
                <w:szCs w:val="18"/>
              </w:rPr>
            </w:pPr>
            <w:r w:rsidRPr="00F047BB">
              <w:rPr>
                <w:color w:val="000000"/>
                <w:sz w:val="18"/>
                <w:szCs w:val="18"/>
              </w:rPr>
              <w:t>32,040</w:t>
            </w:r>
          </w:p>
        </w:tc>
        <w:tc>
          <w:tcPr>
            <w:tcW w:w="767" w:type="dxa"/>
            <w:tcBorders>
              <w:top w:val="nil"/>
              <w:left w:val="nil"/>
              <w:bottom w:val="single" w:sz="8" w:space="0" w:color="auto"/>
              <w:right w:val="single" w:sz="8" w:space="0" w:color="auto"/>
            </w:tcBorders>
            <w:vAlign w:val="center"/>
            <w:hideMark/>
          </w:tcPr>
          <w:p w:rsidR="004C6EB5" w:rsidRPr="00F047BB" w:rsidP="004C6EB5" w14:paraId="0EBDA857" w14:textId="67749C0E">
            <w:pPr>
              <w:jc w:val="center"/>
              <w:rPr>
                <w:color w:val="000000"/>
                <w:sz w:val="18"/>
                <w:szCs w:val="18"/>
              </w:rPr>
            </w:pPr>
            <w:r w:rsidRPr="00F047BB">
              <w:rPr>
                <w:color w:val="000000"/>
                <w:sz w:val="18"/>
                <w:szCs w:val="18"/>
              </w:rPr>
              <w:t xml:space="preserve"> $          28.79 </w:t>
            </w:r>
          </w:p>
        </w:tc>
        <w:tc>
          <w:tcPr>
            <w:tcW w:w="1116" w:type="dxa"/>
            <w:tcBorders>
              <w:top w:val="nil"/>
              <w:left w:val="nil"/>
              <w:bottom w:val="single" w:sz="8" w:space="0" w:color="auto"/>
              <w:right w:val="single" w:sz="8" w:space="0" w:color="auto"/>
            </w:tcBorders>
            <w:vAlign w:val="center"/>
            <w:hideMark/>
          </w:tcPr>
          <w:p w:rsidR="004C6EB5" w:rsidRPr="00F047BB" w:rsidP="004C6EB5" w14:paraId="1CEFCCCD" w14:textId="7F93A1D8">
            <w:pPr>
              <w:jc w:val="center"/>
              <w:rPr>
                <w:color w:val="000000"/>
                <w:sz w:val="18"/>
                <w:szCs w:val="18"/>
              </w:rPr>
            </w:pPr>
            <w:r w:rsidRPr="00F047BB">
              <w:rPr>
                <w:color w:val="000000"/>
                <w:sz w:val="18"/>
                <w:szCs w:val="18"/>
              </w:rPr>
              <w:t xml:space="preserve">$922,364 </w:t>
            </w:r>
          </w:p>
        </w:tc>
      </w:tr>
      <w:tr w14:paraId="3AA6D694" w14:textId="77777777" w:rsidTr="00F047BB">
        <w:tblPrEx>
          <w:tblW w:w="10256" w:type="dxa"/>
          <w:tblLook w:val="04A0"/>
        </w:tblPrEx>
        <w:trPr>
          <w:trHeight w:val="790"/>
        </w:trPr>
        <w:tc>
          <w:tcPr>
            <w:tcW w:w="476" w:type="dxa"/>
            <w:tcBorders>
              <w:top w:val="nil"/>
              <w:left w:val="single" w:sz="8" w:space="0" w:color="auto"/>
              <w:bottom w:val="single" w:sz="8" w:space="0" w:color="auto"/>
              <w:right w:val="single" w:sz="8" w:space="0" w:color="auto"/>
            </w:tcBorders>
            <w:vAlign w:val="center"/>
            <w:hideMark/>
          </w:tcPr>
          <w:p w:rsidR="004C6EB5" w:rsidRPr="00F047BB" w:rsidP="004C6EB5" w14:paraId="64966619" w14:textId="77777777">
            <w:pPr>
              <w:jc w:val="center"/>
              <w:rPr>
                <w:b/>
                <w:bCs/>
                <w:color w:val="000000"/>
                <w:sz w:val="18"/>
                <w:szCs w:val="18"/>
              </w:rPr>
            </w:pPr>
            <w:r w:rsidRPr="00F047BB">
              <w:rPr>
                <w:b/>
                <w:bCs/>
                <w:color w:val="000000"/>
                <w:sz w:val="18"/>
                <w:szCs w:val="18"/>
              </w:rPr>
              <w:t>IC-9</w:t>
            </w:r>
          </w:p>
        </w:tc>
        <w:tc>
          <w:tcPr>
            <w:tcW w:w="1296" w:type="dxa"/>
            <w:tcBorders>
              <w:top w:val="nil"/>
              <w:left w:val="nil"/>
              <w:bottom w:val="single" w:sz="8" w:space="0" w:color="auto"/>
              <w:right w:val="single" w:sz="8" w:space="0" w:color="auto"/>
            </w:tcBorders>
            <w:vAlign w:val="center"/>
            <w:hideMark/>
          </w:tcPr>
          <w:p w:rsidR="004C6EB5" w:rsidRPr="00F047BB" w:rsidP="004C6EB5" w14:paraId="78D7C1E4" w14:textId="77777777">
            <w:pPr>
              <w:jc w:val="center"/>
              <w:rPr>
                <w:b/>
                <w:bCs/>
                <w:color w:val="000000"/>
                <w:sz w:val="18"/>
                <w:szCs w:val="18"/>
              </w:rPr>
            </w:pPr>
            <w:bookmarkStart w:id="13" w:name="RANGE!L21"/>
            <w:r w:rsidRPr="00F047BB">
              <w:rPr>
                <w:b/>
                <w:bCs/>
                <w:color w:val="000000"/>
                <w:sz w:val="18"/>
                <w:szCs w:val="18"/>
              </w:rPr>
              <w:t>Driver Consent Verifications for Pre-employment Queries</w:t>
            </w:r>
            <w:bookmarkEnd w:id="13"/>
          </w:p>
        </w:tc>
        <w:tc>
          <w:tcPr>
            <w:tcW w:w="1137" w:type="dxa"/>
            <w:tcBorders>
              <w:top w:val="nil"/>
              <w:left w:val="nil"/>
              <w:bottom w:val="single" w:sz="8" w:space="0" w:color="auto"/>
              <w:right w:val="single" w:sz="8" w:space="0" w:color="auto"/>
            </w:tcBorders>
            <w:noWrap/>
            <w:vAlign w:val="center"/>
            <w:hideMark/>
          </w:tcPr>
          <w:p w:rsidR="004C6EB5" w:rsidRPr="00F047BB" w:rsidP="004C6EB5" w14:paraId="08364EDA" w14:textId="77777777">
            <w:pPr>
              <w:jc w:val="center"/>
              <w:rPr>
                <w:color w:val="000000"/>
                <w:sz w:val="18"/>
                <w:szCs w:val="18"/>
              </w:rPr>
            </w:pPr>
            <w:r w:rsidRPr="00F047BB">
              <w:rPr>
                <w:color w:val="000000"/>
                <w:sz w:val="18"/>
                <w:szCs w:val="18"/>
              </w:rPr>
              <w:t>Drivers</w:t>
            </w:r>
          </w:p>
        </w:tc>
        <w:tc>
          <w:tcPr>
            <w:tcW w:w="1216" w:type="dxa"/>
            <w:tcBorders>
              <w:top w:val="nil"/>
              <w:left w:val="nil"/>
              <w:bottom w:val="single" w:sz="8" w:space="0" w:color="auto"/>
              <w:right w:val="single" w:sz="8" w:space="0" w:color="auto"/>
            </w:tcBorders>
            <w:noWrap/>
            <w:vAlign w:val="center"/>
            <w:hideMark/>
          </w:tcPr>
          <w:p w:rsidR="004C6EB5" w:rsidRPr="00F047BB" w:rsidP="004C6EB5" w14:paraId="267BC0F6" w14:textId="77777777">
            <w:pPr>
              <w:jc w:val="center"/>
              <w:rPr>
                <w:color w:val="000000"/>
                <w:sz w:val="18"/>
                <w:szCs w:val="18"/>
              </w:rPr>
            </w:pPr>
            <w:r w:rsidRPr="00F047BB">
              <w:rPr>
                <w:color w:val="000000"/>
                <w:sz w:val="18"/>
                <w:szCs w:val="18"/>
              </w:rPr>
              <w:t>Drivers</w:t>
            </w:r>
          </w:p>
        </w:tc>
        <w:tc>
          <w:tcPr>
            <w:tcW w:w="1746" w:type="dxa"/>
            <w:tcBorders>
              <w:top w:val="nil"/>
              <w:left w:val="nil"/>
              <w:bottom w:val="single" w:sz="8" w:space="0" w:color="auto"/>
              <w:right w:val="single" w:sz="8" w:space="0" w:color="auto"/>
            </w:tcBorders>
            <w:noWrap/>
            <w:vAlign w:val="center"/>
            <w:hideMark/>
          </w:tcPr>
          <w:p w:rsidR="004C6EB5" w:rsidRPr="00F047BB" w:rsidP="004C6EB5" w14:paraId="74A666F2" w14:textId="6F03DFB8">
            <w:pPr>
              <w:jc w:val="center"/>
              <w:rPr>
                <w:color w:val="000000"/>
                <w:sz w:val="18"/>
                <w:szCs w:val="18"/>
              </w:rPr>
            </w:pPr>
            <w:r w:rsidRPr="00F047BB">
              <w:rPr>
                <w:color w:val="000000"/>
                <w:sz w:val="18"/>
                <w:szCs w:val="18"/>
              </w:rPr>
              <w:t>2,941,039</w:t>
            </w:r>
          </w:p>
        </w:tc>
        <w:tc>
          <w:tcPr>
            <w:tcW w:w="846" w:type="dxa"/>
            <w:tcBorders>
              <w:top w:val="nil"/>
              <w:left w:val="nil"/>
              <w:bottom w:val="single" w:sz="8" w:space="0" w:color="auto"/>
              <w:right w:val="single" w:sz="8" w:space="0" w:color="auto"/>
            </w:tcBorders>
            <w:noWrap/>
            <w:vAlign w:val="center"/>
            <w:hideMark/>
          </w:tcPr>
          <w:p w:rsidR="004C6EB5" w:rsidRPr="00F047BB" w:rsidP="004C6EB5" w14:paraId="2EC839FE" w14:textId="02AA7D19">
            <w:pPr>
              <w:jc w:val="center"/>
              <w:rPr>
                <w:color w:val="000000"/>
                <w:sz w:val="18"/>
                <w:szCs w:val="18"/>
              </w:rPr>
            </w:pPr>
            <w:r w:rsidRPr="00F047BB">
              <w:rPr>
                <w:color w:val="000000"/>
                <w:sz w:val="20"/>
                <w:szCs w:val="20"/>
              </w:rPr>
              <w:t>10</w:t>
            </w:r>
          </w:p>
        </w:tc>
        <w:tc>
          <w:tcPr>
            <w:tcW w:w="1656" w:type="dxa"/>
            <w:tcBorders>
              <w:top w:val="nil"/>
              <w:left w:val="nil"/>
              <w:bottom w:val="single" w:sz="8" w:space="0" w:color="auto"/>
              <w:right w:val="single" w:sz="8" w:space="0" w:color="auto"/>
            </w:tcBorders>
            <w:noWrap/>
            <w:vAlign w:val="center"/>
            <w:hideMark/>
          </w:tcPr>
          <w:p w:rsidR="004C6EB5" w:rsidRPr="00F047BB" w:rsidP="004C6EB5" w14:paraId="5265844A" w14:textId="618DE73F">
            <w:pPr>
              <w:jc w:val="center"/>
              <w:rPr>
                <w:color w:val="000000"/>
                <w:sz w:val="18"/>
                <w:szCs w:val="18"/>
              </w:rPr>
            </w:pPr>
            <w:r w:rsidRPr="00F047BB">
              <w:rPr>
                <w:color w:val="000000"/>
                <w:sz w:val="18"/>
                <w:szCs w:val="18"/>
              </w:rPr>
              <w:t>490,173</w:t>
            </w:r>
          </w:p>
        </w:tc>
        <w:tc>
          <w:tcPr>
            <w:tcW w:w="767" w:type="dxa"/>
            <w:tcBorders>
              <w:top w:val="nil"/>
              <w:left w:val="nil"/>
              <w:bottom w:val="single" w:sz="8" w:space="0" w:color="auto"/>
              <w:right w:val="single" w:sz="8" w:space="0" w:color="auto"/>
            </w:tcBorders>
            <w:vAlign w:val="center"/>
            <w:hideMark/>
          </w:tcPr>
          <w:p w:rsidR="004C6EB5" w:rsidRPr="00F047BB" w:rsidP="004C6EB5" w14:paraId="1B90DB82" w14:textId="1BED3A73">
            <w:pPr>
              <w:jc w:val="center"/>
              <w:rPr>
                <w:color w:val="000000"/>
                <w:sz w:val="18"/>
                <w:szCs w:val="18"/>
              </w:rPr>
            </w:pPr>
            <w:r w:rsidRPr="00F047BB">
              <w:rPr>
                <w:color w:val="000000"/>
                <w:sz w:val="18"/>
                <w:szCs w:val="18"/>
              </w:rPr>
              <w:t xml:space="preserve"> $          39.79 </w:t>
            </w:r>
          </w:p>
        </w:tc>
        <w:tc>
          <w:tcPr>
            <w:tcW w:w="1116" w:type="dxa"/>
            <w:tcBorders>
              <w:top w:val="nil"/>
              <w:left w:val="nil"/>
              <w:bottom w:val="single" w:sz="8" w:space="0" w:color="auto"/>
              <w:right w:val="single" w:sz="8" w:space="0" w:color="auto"/>
            </w:tcBorders>
            <w:vAlign w:val="center"/>
            <w:hideMark/>
          </w:tcPr>
          <w:p w:rsidR="004C6EB5" w:rsidRPr="00F047BB" w:rsidP="004C6EB5" w14:paraId="1F41CECA" w14:textId="76E82118">
            <w:pPr>
              <w:jc w:val="center"/>
              <w:rPr>
                <w:color w:val="000000"/>
                <w:sz w:val="18"/>
                <w:szCs w:val="18"/>
              </w:rPr>
            </w:pPr>
            <w:r w:rsidRPr="00F047BB">
              <w:rPr>
                <w:color w:val="000000"/>
                <w:sz w:val="18"/>
                <w:szCs w:val="18"/>
              </w:rPr>
              <w:t xml:space="preserve">$19,502,974 </w:t>
            </w:r>
          </w:p>
        </w:tc>
      </w:tr>
      <w:tr w14:paraId="2E7E4C98" w14:textId="77777777" w:rsidTr="00F047BB">
        <w:tblPrEx>
          <w:tblW w:w="10256" w:type="dxa"/>
          <w:tblLook w:val="04A0"/>
        </w:tblPrEx>
        <w:trPr>
          <w:trHeight w:val="470"/>
        </w:trPr>
        <w:tc>
          <w:tcPr>
            <w:tcW w:w="476" w:type="dxa"/>
            <w:tcBorders>
              <w:top w:val="nil"/>
              <w:left w:val="single" w:sz="8" w:space="0" w:color="auto"/>
              <w:bottom w:val="single" w:sz="8" w:space="0" w:color="auto"/>
              <w:right w:val="single" w:sz="8" w:space="0" w:color="auto"/>
            </w:tcBorders>
            <w:vAlign w:val="center"/>
            <w:hideMark/>
          </w:tcPr>
          <w:p w:rsidR="004C6EB5" w:rsidRPr="00F047BB" w:rsidP="004C6EB5" w14:paraId="2D82B246" w14:textId="77777777">
            <w:pPr>
              <w:jc w:val="center"/>
              <w:rPr>
                <w:b/>
                <w:bCs/>
                <w:color w:val="000000"/>
                <w:sz w:val="18"/>
                <w:szCs w:val="18"/>
              </w:rPr>
            </w:pPr>
            <w:r w:rsidRPr="00F047BB">
              <w:rPr>
                <w:b/>
                <w:bCs/>
                <w:color w:val="000000"/>
                <w:sz w:val="18"/>
                <w:szCs w:val="18"/>
              </w:rPr>
              <w:t> </w:t>
            </w:r>
          </w:p>
        </w:tc>
        <w:tc>
          <w:tcPr>
            <w:tcW w:w="1296" w:type="dxa"/>
            <w:tcBorders>
              <w:top w:val="nil"/>
              <w:left w:val="nil"/>
              <w:bottom w:val="single" w:sz="8" w:space="0" w:color="auto"/>
              <w:right w:val="single" w:sz="8" w:space="0" w:color="auto"/>
            </w:tcBorders>
            <w:vAlign w:val="center"/>
            <w:hideMark/>
          </w:tcPr>
          <w:p w:rsidR="004C6EB5" w:rsidRPr="00F047BB" w:rsidP="004C6EB5" w14:paraId="09FDFE5A" w14:textId="77777777">
            <w:pPr>
              <w:jc w:val="center"/>
              <w:rPr>
                <w:b/>
                <w:bCs/>
                <w:color w:val="000000"/>
                <w:sz w:val="18"/>
                <w:szCs w:val="18"/>
              </w:rPr>
            </w:pPr>
            <w:r w:rsidRPr="00F047BB">
              <w:rPr>
                <w:b/>
                <w:bCs/>
                <w:color w:val="000000"/>
                <w:sz w:val="18"/>
                <w:szCs w:val="18"/>
              </w:rPr>
              <w:t xml:space="preserve">Total </w:t>
            </w:r>
          </w:p>
        </w:tc>
        <w:tc>
          <w:tcPr>
            <w:tcW w:w="1137" w:type="dxa"/>
            <w:tcBorders>
              <w:top w:val="nil"/>
              <w:left w:val="nil"/>
              <w:bottom w:val="single" w:sz="8" w:space="0" w:color="auto"/>
              <w:right w:val="single" w:sz="8" w:space="0" w:color="auto"/>
            </w:tcBorders>
            <w:shd w:val="clear" w:color="000000" w:fill="000000"/>
            <w:noWrap/>
            <w:vAlign w:val="center"/>
            <w:hideMark/>
          </w:tcPr>
          <w:p w:rsidR="004C6EB5" w:rsidRPr="005E7CA2" w:rsidP="004C6EB5" w14:paraId="70136AC8" w14:textId="424A9552">
            <w:pPr>
              <w:rPr>
                <w:color w:val="000000"/>
                <w:sz w:val="18"/>
                <w:szCs w:val="18"/>
              </w:rPr>
            </w:pPr>
            <w:r>
              <w:rPr>
                <w:color w:val="000000"/>
                <w:sz w:val="20"/>
                <w:szCs w:val="20"/>
              </w:rPr>
              <w:t> </w:t>
            </w:r>
          </w:p>
        </w:tc>
        <w:tc>
          <w:tcPr>
            <w:tcW w:w="1216" w:type="dxa"/>
            <w:tcBorders>
              <w:top w:val="nil"/>
              <w:left w:val="nil"/>
              <w:bottom w:val="single" w:sz="8" w:space="0" w:color="auto"/>
              <w:right w:val="single" w:sz="8" w:space="0" w:color="auto"/>
            </w:tcBorders>
            <w:shd w:val="clear" w:color="000000" w:fill="000000"/>
            <w:noWrap/>
            <w:vAlign w:val="center"/>
            <w:hideMark/>
          </w:tcPr>
          <w:p w:rsidR="004C6EB5" w:rsidRPr="005E7CA2" w:rsidP="004C6EB5" w14:paraId="33F45B51" w14:textId="424F5184">
            <w:pPr>
              <w:rPr>
                <w:color w:val="000000"/>
                <w:sz w:val="18"/>
                <w:szCs w:val="18"/>
              </w:rPr>
            </w:pPr>
            <w:r>
              <w:rPr>
                <w:color w:val="000000"/>
                <w:sz w:val="20"/>
                <w:szCs w:val="20"/>
              </w:rPr>
              <w:t> </w:t>
            </w:r>
          </w:p>
        </w:tc>
        <w:tc>
          <w:tcPr>
            <w:tcW w:w="1746" w:type="dxa"/>
            <w:tcBorders>
              <w:top w:val="nil"/>
              <w:left w:val="nil"/>
              <w:bottom w:val="single" w:sz="8" w:space="0" w:color="auto"/>
              <w:right w:val="single" w:sz="8" w:space="0" w:color="auto"/>
            </w:tcBorders>
            <w:noWrap/>
            <w:vAlign w:val="center"/>
            <w:hideMark/>
          </w:tcPr>
          <w:p w:rsidR="004C6EB5" w:rsidRPr="00F047BB" w:rsidP="004C6EB5" w14:paraId="405FF231" w14:textId="77F70FEA">
            <w:pPr>
              <w:jc w:val="center"/>
              <w:rPr>
                <w:b/>
                <w:bCs/>
                <w:color w:val="000000"/>
                <w:sz w:val="18"/>
                <w:szCs w:val="18"/>
              </w:rPr>
            </w:pPr>
            <w:r>
              <w:rPr>
                <w:b/>
                <w:bCs/>
                <w:color w:val="000000"/>
                <w:sz w:val="18"/>
                <w:szCs w:val="18"/>
              </w:rPr>
              <w:t>9,834,949</w:t>
            </w:r>
          </w:p>
        </w:tc>
        <w:tc>
          <w:tcPr>
            <w:tcW w:w="846" w:type="dxa"/>
            <w:tcBorders>
              <w:top w:val="nil"/>
              <w:left w:val="nil"/>
              <w:bottom w:val="single" w:sz="8" w:space="0" w:color="auto"/>
              <w:right w:val="single" w:sz="8" w:space="0" w:color="auto"/>
            </w:tcBorders>
            <w:shd w:val="clear" w:color="000000" w:fill="000000"/>
            <w:noWrap/>
            <w:vAlign w:val="center"/>
            <w:hideMark/>
          </w:tcPr>
          <w:p w:rsidR="004C6EB5" w:rsidRPr="005E7CA2" w:rsidP="004C6EB5" w14:paraId="3BDB0B62" w14:textId="5C2A717A">
            <w:pPr>
              <w:jc w:val="center"/>
              <w:rPr>
                <w:color w:val="000000"/>
                <w:sz w:val="18"/>
                <w:szCs w:val="18"/>
              </w:rPr>
            </w:pPr>
            <w:r>
              <w:rPr>
                <w:color w:val="000000"/>
                <w:sz w:val="20"/>
                <w:szCs w:val="20"/>
              </w:rPr>
              <w:t> </w:t>
            </w:r>
          </w:p>
        </w:tc>
        <w:tc>
          <w:tcPr>
            <w:tcW w:w="1656" w:type="dxa"/>
            <w:tcBorders>
              <w:top w:val="nil"/>
              <w:left w:val="nil"/>
              <w:bottom w:val="single" w:sz="8" w:space="0" w:color="auto"/>
              <w:right w:val="single" w:sz="8" w:space="0" w:color="auto"/>
            </w:tcBorders>
            <w:noWrap/>
            <w:vAlign w:val="center"/>
            <w:hideMark/>
          </w:tcPr>
          <w:p w:rsidR="004C6EB5" w:rsidRPr="00F047BB" w:rsidP="004C6EB5" w14:paraId="5D507050" w14:textId="63503DB2">
            <w:pPr>
              <w:jc w:val="center"/>
              <w:rPr>
                <w:b/>
                <w:bCs/>
                <w:color w:val="000000"/>
                <w:sz w:val="18"/>
                <w:szCs w:val="18"/>
              </w:rPr>
            </w:pPr>
            <w:r>
              <w:rPr>
                <w:b/>
                <w:bCs/>
                <w:color w:val="000000"/>
                <w:sz w:val="18"/>
                <w:szCs w:val="18"/>
              </w:rPr>
              <w:t>1,653,032</w:t>
            </w:r>
          </w:p>
        </w:tc>
        <w:tc>
          <w:tcPr>
            <w:tcW w:w="767" w:type="dxa"/>
            <w:tcBorders>
              <w:top w:val="nil"/>
              <w:left w:val="nil"/>
              <w:bottom w:val="single" w:sz="8" w:space="0" w:color="auto"/>
              <w:right w:val="single" w:sz="8" w:space="0" w:color="auto"/>
            </w:tcBorders>
            <w:shd w:val="clear" w:color="000000" w:fill="000000"/>
            <w:vAlign w:val="center"/>
            <w:hideMark/>
          </w:tcPr>
          <w:p w:rsidR="004C6EB5" w:rsidRPr="00F047BB" w:rsidP="004C6EB5" w14:paraId="71F1925D" w14:textId="185BB07B">
            <w:pPr>
              <w:jc w:val="center"/>
              <w:rPr>
                <w:b/>
                <w:bCs/>
                <w:color w:val="000000"/>
                <w:sz w:val="18"/>
                <w:szCs w:val="18"/>
              </w:rPr>
            </w:pPr>
            <w:r>
              <w:rPr>
                <w:b/>
                <w:bCs/>
                <w:color w:val="000000"/>
                <w:sz w:val="18"/>
                <w:szCs w:val="18"/>
              </w:rPr>
              <w:t> </w:t>
            </w:r>
          </w:p>
        </w:tc>
        <w:tc>
          <w:tcPr>
            <w:tcW w:w="1116" w:type="dxa"/>
            <w:tcBorders>
              <w:top w:val="nil"/>
              <w:left w:val="nil"/>
              <w:bottom w:val="single" w:sz="8" w:space="0" w:color="auto"/>
              <w:right w:val="single" w:sz="8" w:space="0" w:color="auto"/>
            </w:tcBorders>
            <w:vAlign w:val="center"/>
            <w:hideMark/>
          </w:tcPr>
          <w:p w:rsidR="004C6EB5" w:rsidRPr="00F047BB" w:rsidP="004C6EB5" w14:paraId="5B88E9CD" w14:textId="108E17DB">
            <w:pPr>
              <w:jc w:val="center"/>
              <w:rPr>
                <w:b/>
                <w:bCs/>
                <w:color w:val="000000"/>
                <w:sz w:val="18"/>
                <w:szCs w:val="18"/>
              </w:rPr>
            </w:pPr>
            <w:r>
              <w:rPr>
                <w:b/>
                <w:bCs/>
                <w:color w:val="000000"/>
                <w:sz w:val="18"/>
                <w:szCs w:val="18"/>
              </w:rPr>
              <w:t xml:space="preserve">$53,508,092 </w:t>
            </w:r>
          </w:p>
        </w:tc>
      </w:tr>
    </w:tbl>
    <w:p w:rsidR="00606C9F" w:rsidRPr="005E7CA2" w:rsidP="004015FC" w14:paraId="630C3D37" w14:textId="77777777">
      <w:pPr>
        <w:jc w:val="both"/>
      </w:pPr>
    </w:p>
    <w:p w:rsidR="004015FC" w:rsidRPr="005E7CA2" w:rsidP="004015FC" w14:paraId="27253FAB" w14:textId="3635F6BD">
      <w:pPr>
        <w:rPr>
          <w:b/>
        </w:rPr>
      </w:pPr>
      <w:r w:rsidRPr="005E7CA2">
        <w:rPr>
          <w:b/>
        </w:rPr>
        <w:t xml:space="preserve">Estimated Annual Burden Hours: </w:t>
      </w:r>
      <w:r w:rsidRPr="00F047BB" w:rsidR="00C01CCA">
        <w:rPr>
          <w:b/>
        </w:rPr>
        <w:t>1,</w:t>
      </w:r>
      <w:r w:rsidR="004C6EB5">
        <w:rPr>
          <w:b/>
        </w:rPr>
        <w:t>653,032</w:t>
      </w:r>
    </w:p>
    <w:p w:rsidR="007E65F8" w:rsidRPr="005E7CA2" w:rsidP="003948D6" w14:paraId="27253FAC" w14:textId="4F4783C1">
      <w:pPr>
        <w:rPr>
          <w:b/>
        </w:rPr>
      </w:pPr>
      <w:r w:rsidRPr="005E7CA2">
        <w:rPr>
          <w:b/>
        </w:rPr>
        <w:t xml:space="preserve">Estimated Annual Number Respondents: </w:t>
      </w:r>
      <w:r w:rsidR="00773470">
        <w:rPr>
          <w:b/>
        </w:rPr>
        <w:t>9,834,949</w:t>
      </w:r>
    </w:p>
    <w:p w:rsidR="00606C9F" w:rsidRPr="005E7CA2" w:rsidP="003948D6" w14:paraId="648961FA" w14:textId="76FF9136">
      <w:pPr>
        <w:rPr>
          <w:b/>
        </w:rPr>
      </w:pPr>
      <w:r w:rsidRPr="005E7CA2">
        <w:rPr>
          <w:b/>
        </w:rPr>
        <w:t>Estimated Annual Cost: $</w:t>
      </w:r>
      <w:r w:rsidR="00773470">
        <w:rPr>
          <w:b/>
        </w:rPr>
        <w:t>53,508,092</w:t>
      </w:r>
    </w:p>
    <w:p w:rsidR="003948D6" w:rsidRPr="005E7CA2" w:rsidP="003948D6" w14:paraId="27253FAD" w14:textId="77777777">
      <w:pPr>
        <w:rPr>
          <w:b/>
        </w:rPr>
      </w:pPr>
      <w:r w:rsidRPr="005E7CA2">
        <w:rPr>
          <w:b/>
        </w:rPr>
        <w:t xml:space="preserve"> </w:t>
      </w:r>
    </w:p>
    <w:p w:rsidR="004015FC" w:rsidRPr="00F047BB" w:rsidP="004015FC" w14:paraId="27253FAE" w14:textId="786DBE53">
      <w:pPr>
        <w:pStyle w:val="NormalWeb"/>
        <w:keepNext/>
        <w:rPr>
          <w:b/>
        </w:rPr>
      </w:pPr>
      <w:r w:rsidRPr="005E7CA2">
        <w:rPr>
          <w:b/>
        </w:rPr>
        <w:t>13.</w:t>
      </w:r>
      <w:r w:rsidRPr="00F047BB">
        <w:rPr>
          <w:b/>
        </w:rPr>
        <w:t xml:space="preserve"> </w:t>
      </w:r>
      <w:r w:rsidRPr="005E7CA2" w:rsidR="00083A40">
        <w:rPr>
          <w:b/>
          <w:bCs/>
        </w:rPr>
        <w:t>ESTIMATE OF TOTAL ANNUAL COSTS TO RESPONDENTS</w:t>
      </w:r>
    </w:p>
    <w:p w:rsidR="001648C1" w:rsidRPr="005E7CA2" w:rsidP="00B91B1F" w14:paraId="27253FAF" w14:textId="5DEA2A23">
      <w:pPr>
        <w:jc w:val="both"/>
      </w:pPr>
      <w:r w:rsidRPr="005E7CA2">
        <w:t>Item 12 contains the monetized cost</w:t>
      </w:r>
      <w:r w:rsidRPr="005E7CA2" w:rsidR="00FF4AC7">
        <w:t xml:space="preserve"> of time </w:t>
      </w:r>
      <w:r w:rsidRPr="005E7CA2" w:rsidR="000E13D5">
        <w:t>of respondents</w:t>
      </w:r>
      <w:r w:rsidRPr="005E7CA2" w:rsidR="00FF4AC7">
        <w:t xml:space="preserve"> </w:t>
      </w:r>
      <w:r w:rsidRPr="005E7CA2" w:rsidR="000E13D5">
        <w:t xml:space="preserve">to </w:t>
      </w:r>
      <w:r w:rsidRPr="005E7CA2">
        <w:t>mak</w:t>
      </w:r>
      <w:r w:rsidRPr="005E7CA2" w:rsidR="000E13D5">
        <w:t>e</w:t>
      </w:r>
      <w:r w:rsidRPr="005E7CA2">
        <w:t xml:space="preserve"> queries of, </w:t>
      </w:r>
      <w:r w:rsidRPr="005E7CA2" w:rsidR="00FF4AC7">
        <w:t xml:space="preserve">and </w:t>
      </w:r>
      <w:r w:rsidRPr="005E7CA2">
        <w:t>report</w:t>
      </w:r>
      <w:r w:rsidRPr="005E7CA2" w:rsidR="000E13D5">
        <w:t xml:space="preserve"> information to,</w:t>
      </w:r>
      <w:r w:rsidRPr="005E7CA2">
        <w:t xml:space="preserve"> the Clearinghouse</w:t>
      </w:r>
      <w:r w:rsidRPr="005E7CA2" w:rsidR="00FF4AC7">
        <w:t xml:space="preserve">. </w:t>
      </w:r>
      <w:r w:rsidRPr="005E7CA2">
        <w:t>As shown in the table below, i</w:t>
      </w:r>
      <w:r w:rsidRPr="005E7CA2" w:rsidR="009F7806">
        <w:t>n addition to the costs in Item 12, employers will be</w:t>
      </w:r>
      <w:r w:rsidRPr="005E7CA2" w:rsidR="000E13D5">
        <w:t xml:space="preserve"> charged</w:t>
      </w:r>
      <w:r w:rsidRPr="005E7CA2" w:rsidR="009F7806">
        <w:t xml:space="preserve"> Clearinghouse access fees estimated at </w:t>
      </w:r>
      <w:r w:rsidRPr="005E7CA2" w:rsidR="000E13D5">
        <w:t>$</w:t>
      </w:r>
      <w:r w:rsidRPr="005E7CA2" w:rsidR="00A75AB0">
        <w:t>8.0</w:t>
      </w:r>
      <w:r w:rsidRPr="005E7CA2" w:rsidR="000E13D5">
        <w:t xml:space="preserve"> million. </w:t>
      </w:r>
      <w:r w:rsidRPr="005E7CA2" w:rsidR="005C3512">
        <w:t xml:space="preserve">Currently, </w:t>
      </w:r>
      <w:r w:rsidRPr="005E7CA2" w:rsidR="00C01B82">
        <w:t>em</w:t>
      </w:r>
      <w:r w:rsidRPr="005E7CA2" w:rsidR="005C3512">
        <w:t xml:space="preserve">ployers are charged $1.25 for each query, whether full or limited, made to the Clearinghouse. Employers also have the option to purchase an unlimited query option for $24,500 per year. </w:t>
      </w:r>
    </w:p>
    <w:p w:rsidR="001658FD" w:rsidRPr="005E7CA2" w:rsidP="001658FD" w14:paraId="5F1A7CC3" w14:textId="1AAE1F6E">
      <w:pPr>
        <w:tabs>
          <w:tab w:val="left" w:pos="720"/>
        </w:tabs>
        <w:jc w:val="both"/>
      </w:pPr>
    </w:p>
    <w:tbl>
      <w:tblPr>
        <w:tblStyle w:val="TableGrid"/>
        <w:tblpPr w:leftFromText="4752" w:rightFromText="2592" w:topFromText="288" w:bottomFromText="288" w:vertAnchor="text" w:tblpXSpec="center" w:tblpY="1"/>
        <w:tblOverlap w:val="never"/>
        <w:tblW w:w="0" w:type="auto"/>
        <w:tblLook w:val="04A0"/>
      </w:tblPr>
      <w:tblGrid>
        <w:gridCol w:w="2511"/>
        <w:gridCol w:w="2432"/>
        <w:gridCol w:w="2294"/>
        <w:gridCol w:w="2113"/>
      </w:tblGrid>
      <w:tr w14:paraId="62CCE147" w14:textId="77777777" w:rsidTr="001D1670">
        <w:tblPrEx>
          <w:tblW w:w="0" w:type="auto"/>
          <w:tblLook w:val="04A0"/>
        </w:tblPrEx>
        <w:tc>
          <w:tcPr>
            <w:tcW w:w="9350" w:type="dxa"/>
            <w:gridSpan w:val="4"/>
            <w:tcBorders>
              <w:top w:val="single" w:sz="4" w:space="0" w:color="auto"/>
              <w:left w:val="single" w:sz="4" w:space="0" w:color="auto"/>
              <w:right w:val="single" w:sz="4" w:space="0" w:color="auto"/>
            </w:tcBorders>
            <w:shd w:val="clear" w:color="auto" w:fill="BFBFBF" w:themeFill="background1" w:themeFillShade="BF"/>
          </w:tcPr>
          <w:p w:rsidR="00C01B82" w:rsidRPr="00F047BB" w:rsidP="001D1670" w14:paraId="6A73428C" w14:textId="6DF4FB6A">
            <w:pPr>
              <w:jc w:val="center"/>
              <w:rPr>
                <w:b/>
                <w:sz w:val="20"/>
                <w:szCs w:val="20"/>
              </w:rPr>
            </w:pPr>
            <w:r w:rsidRPr="00F047BB">
              <w:rPr>
                <w:b/>
                <w:sz w:val="20"/>
                <w:szCs w:val="20"/>
              </w:rPr>
              <w:t>Table 2. Employer Clearinghouse Access Fees</w:t>
            </w:r>
          </w:p>
        </w:tc>
      </w:tr>
      <w:tr w14:paraId="507D9584" w14:textId="77777777" w:rsidTr="001D1670">
        <w:tblPrEx>
          <w:tblW w:w="0" w:type="auto"/>
          <w:tblLook w:val="04A0"/>
        </w:tblPrEx>
        <w:tc>
          <w:tcPr>
            <w:tcW w:w="2511" w:type="dxa"/>
            <w:shd w:val="clear" w:color="auto" w:fill="BFBFBF" w:themeFill="background1" w:themeFillShade="BF"/>
            <w:vAlign w:val="center"/>
          </w:tcPr>
          <w:p w:rsidR="00C01B82" w:rsidRPr="00F047BB" w:rsidP="001D1670" w14:paraId="68EB5AA0" w14:textId="77777777">
            <w:pPr>
              <w:jc w:val="center"/>
              <w:rPr>
                <w:b/>
                <w:sz w:val="20"/>
                <w:szCs w:val="20"/>
              </w:rPr>
            </w:pPr>
            <w:r w:rsidRPr="00F047BB">
              <w:rPr>
                <w:b/>
                <w:sz w:val="20"/>
                <w:szCs w:val="20"/>
              </w:rPr>
              <w:t>Query Type</w:t>
            </w:r>
          </w:p>
        </w:tc>
        <w:tc>
          <w:tcPr>
            <w:tcW w:w="2432" w:type="dxa"/>
            <w:shd w:val="clear" w:color="auto" w:fill="BFBFBF" w:themeFill="background1" w:themeFillShade="BF"/>
            <w:vAlign w:val="center"/>
          </w:tcPr>
          <w:p w:rsidR="00C01B82" w:rsidRPr="00F047BB" w:rsidP="001D1670" w14:paraId="2800934E" w14:textId="77777777">
            <w:pPr>
              <w:jc w:val="center"/>
              <w:rPr>
                <w:b/>
                <w:sz w:val="20"/>
                <w:szCs w:val="20"/>
              </w:rPr>
            </w:pPr>
            <w:r w:rsidRPr="00F047BB">
              <w:rPr>
                <w:b/>
                <w:sz w:val="20"/>
                <w:szCs w:val="20"/>
              </w:rPr>
              <w:t>Estimated Number of Queries</w:t>
            </w:r>
          </w:p>
        </w:tc>
        <w:tc>
          <w:tcPr>
            <w:tcW w:w="2294" w:type="dxa"/>
            <w:shd w:val="clear" w:color="auto" w:fill="BFBFBF" w:themeFill="background1" w:themeFillShade="BF"/>
            <w:vAlign w:val="center"/>
          </w:tcPr>
          <w:p w:rsidR="00C01B82" w:rsidRPr="00F047BB" w:rsidP="001D1670" w14:paraId="391FCF62" w14:textId="77777777">
            <w:pPr>
              <w:jc w:val="center"/>
              <w:rPr>
                <w:b/>
                <w:sz w:val="20"/>
                <w:szCs w:val="20"/>
              </w:rPr>
            </w:pPr>
            <w:r w:rsidRPr="00F047BB">
              <w:rPr>
                <w:b/>
                <w:sz w:val="20"/>
                <w:szCs w:val="20"/>
              </w:rPr>
              <w:t>Cost per Query</w:t>
            </w:r>
          </w:p>
        </w:tc>
        <w:tc>
          <w:tcPr>
            <w:tcW w:w="2113" w:type="dxa"/>
            <w:shd w:val="clear" w:color="auto" w:fill="BFBFBF" w:themeFill="background1" w:themeFillShade="BF"/>
            <w:vAlign w:val="center"/>
          </w:tcPr>
          <w:p w:rsidR="00C01B82" w:rsidRPr="00F047BB" w:rsidP="001D1670" w14:paraId="1463B759" w14:textId="77777777">
            <w:pPr>
              <w:jc w:val="center"/>
              <w:rPr>
                <w:b/>
                <w:sz w:val="20"/>
                <w:szCs w:val="20"/>
              </w:rPr>
            </w:pPr>
            <w:r w:rsidRPr="00F047BB">
              <w:rPr>
                <w:b/>
                <w:sz w:val="20"/>
                <w:szCs w:val="20"/>
              </w:rPr>
              <w:t>Cost</w:t>
            </w:r>
          </w:p>
        </w:tc>
      </w:tr>
      <w:tr w14:paraId="73DE34C7" w14:textId="77777777" w:rsidTr="00F047BB">
        <w:tblPrEx>
          <w:tblW w:w="0" w:type="auto"/>
          <w:tblLook w:val="04A0"/>
        </w:tblPrEx>
        <w:tc>
          <w:tcPr>
            <w:tcW w:w="2511" w:type="dxa"/>
          </w:tcPr>
          <w:p w:rsidR="00A75AB0" w:rsidRPr="00F047BB" w:rsidP="00A75AB0" w14:paraId="7CDDCE07" w14:textId="77777777">
            <w:pPr>
              <w:jc w:val="center"/>
              <w:rPr>
                <w:sz w:val="20"/>
                <w:szCs w:val="20"/>
              </w:rPr>
            </w:pPr>
            <w:r w:rsidRPr="00F047BB">
              <w:rPr>
                <w:sz w:val="20"/>
                <w:szCs w:val="20"/>
              </w:rPr>
              <w:t>Pre-employment Query</w:t>
            </w:r>
          </w:p>
        </w:tc>
        <w:tc>
          <w:tcPr>
            <w:tcW w:w="2432" w:type="dxa"/>
            <w:tcBorders>
              <w:top w:val="nil"/>
              <w:left w:val="nil"/>
              <w:bottom w:val="single" w:sz="8" w:space="0" w:color="auto"/>
              <w:right w:val="single" w:sz="8" w:space="0" w:color="auto"/>
            </w:tcBorders>
            <w:vAlign w:val="center"/>
          </w:tcPr>
          <w:p w:rsidR="00A75AB0" w:rsidRPr="00F047BB" w:rsidP="00A75AB0" w14:paraId="6435E404" w14:textId="7B5F67AA">
            <w:pPr>
              <w:jc w:val="center"/>
              <w:rPr>
                <w:sz w:val="20"/>
                <w:szCs w:val="20"/>
              </w:rPr>
            </w:pPr>
            <w:r w:rsidRPr="00F047BB">
              <w:rPr>
                <w:color w:val="000000"/>
                <w:sz w:val="20"/>
                <w:szCs w:val="20"/>
              </w:rPr>
              <w:t>2,748,799</w:t>
            </w:r>
          </w:p>
        </w:tc>
        <w:tc>
          <w:tcPr>
            <w:tcW w:w="2294" w:type="dxa"/>
            <w:tcBorders>
              <w:top w:val="nil"/>
              <w:left w:val="nil"/>
              <w:bottom w:val="single" w:sz="8" w:space="0" w:color="auto"/>
              <w:right w:val="single" w:sz="8" w:space="0" w:color="auto"/>
            </w:tcBorders>
            <w:vAlign w:val="center"/>
          </w:tcPr>
          <w:p w:rsidR="00A75AB0" w:rsidRPr="00F047BB" w:rsidP="00A75AB0" w14:paraId="027968DD" w14:textId="1618D4A1">
            <w:pPr>
              <w:jc w:val="center"/>
              <w:rPr>
                <w:sz w:val="20"/>
                <w:szCs w:val="20"/>
              </w:rPr>
            </w:pPr>
            <w:r w:rsidRPr="00F047BB">
              <w:rPr>
                <w:color w:val="000000"/>
                <w:sz w:val="20"/>
                <w:szCs w:val="20"/>
              </w:rPr>
              <w:t xml:space="preserve">$1.25 </w:t>
            </w:r>
          </w:p>
        </w:tc>
        <w:tc>
          <w:tcPr>
            <w:tcW w:w="2113" w:type="dxa"/>
            <w:tcBorders>
              <w:top w:val="nil"/>
              <w:left w:val="nil"/>
              <w:bottom w:val="single" w:sz="8" w:space="0" w:color="auto"/>
              <w:right w:val="single" w:sz="8" w:space="0" w:color="auto"/>
            </w:tcBorders>
            <w:vAlign w:val="center"/>
          </w:tcPr>
          <w:p w:rsidR="00A75AB0" w:rsidRPr="00F047BB" w:rsidP="00A75AB0" w14:paraId="06B89FFC" w14:textId="51A1DF4E">
            <w:pPr>
              <w:jc w:val="center"/>
              <w:rPr>
                <w:sz w:val="20"/>
                <w:szCs w:val="20"/>
              </w:rPr>
            </w:pPr>
            <w:r w:rsidRPr="00F047BB">
              <w:rPr>
                <w:color w:val="000000"/>
                <w:sz w:val="20"/>
                <w:szCs w:val="20"/>
              </w:rPr>
              <w:t xml:space="preserve">$3,435,999 </w:t>
            </w:r>
          </w:p>
        </w:tc>
      </w:tr>
      <w:tr w14:paraId="22EFA699" w14:textId="77777777" w:rsidTr="00F047BB">
        <w:tblPrEx>
          <w:tblW w:w="0" w:type="auto"/>
          <w:tblLook w:val="04A0"/>
        </w:tblPrEx>
        <w:tc>
          <w:tcPr>
            <w:tcW w:w="2511" w:type="dxa"/>
          </w:tcPr>
          <w:p w:rsidR="00A75AB0" w:rsidRPr="00F047BB" w:rsidP="00A75AB0" w14:paraId="2E9BA9E6" w14:textId="77777777">
            <w:pPr>
              <w:jc w:val="center"/>
              <w:rPr>
                <w:sz w:val="20"/>
                <w:szCs w:val="20"/>
              </w:rPr>
            </w:pPr>
            <w:r w:rsidRPr="00F047BB">
              <w:rPr>
                <w:sz w:val="20"/>
                <w:szCs w:val="20"/>
              </w:rPr>
              <w:t>Annual Query-Limited</w:t>
            </w:r>
          </w:p>
        </w:tc>
        <w:tc>
          <w:tcPr>
            <w:tcW w:w="2432" w:type="dxa"/>
            <w:tcBorders>
              <w:top w:val="nil"/>
              <w:left w:val="nil"/>
              <w:bottom w:val="single" w:sz="8" w:space="0" w:color="auto"/>
              <w:right w:val="single" w:sz="8" w:space="0" w:color="auto"/>
            </w:tcBorders>
            <w:vAlign w:val="center"/>
          </w:tcPr>
          <w:p w:rsidR="00A75AB0" w:rsidRPr="00F047BB" w:rsidP="00A75AB0" w14:paraId="24D1B19A" w14:textId="4A00A3BA">
            <w:pPr>
              <w:jc w:val="center"/>
              <w:rPr>
                <w:sz w:val="20"/>
                <w:szCs w:val="20"/>
              </w:rPr>
            </w:pPr>
            <w:r w:rsidRPr="00F047BB">
              <w:rPr>
                <w:color w:val="000000"/>
                <w:sz w:val="20"/>
                <w:szCs w:val="20"/>
              </w:rPr>
              <w:t>3,523,245</w:t>
            </w:r>
          </w:p>
        </w:tc>
        <w:tc>
          <w:tcPr>
            <w:tcW w:w="2294" w:type="dxa"/>
            <w:tcBorders>
              <w:top w:val="nil"/>
              <w:left w:val="nil"/>
              <w:bottom w:val="single" w:sz="8" w:space="0" w:color="auto"/>
              <w:right w:val="single" w:sz="8" w:space="0" w:color="auto"/>
            </w:tcBorders>
            <w:vAlign w:val="center"/>
          </w:tcPr>
          <w:p w:rsidR="00A75AB0" w:rsidRPr="00F047BB" w:rsidP="00A75AB0" w14:paraId="1B971AA5" w14:textId="15960218">
            <w:pPr>
              <w:jc w:val="center"/>
              <w:rPr>
                <w:sz w:val="20"/>
                <w:szCs w:val="20"/>
              </w:rPr>
            </w:pPr>
            <w:r w:rsidRPr="00F047BB">
              <w:rPr>
                <w:color w:val="000000"/>
                <w:sz w:val="20"/>
                <w:szCs w:val="20"/>
              </w:rPr>
              <w:t xml:space="preserve">$1.25 </w:t>
            </w:r>
          </w:p>
        </w:tc>
        <w:tc>
          <w:tcPr>
            <w:tcW w:w="2113" w:type="dxa"/>
            <w:tcBorders>
              <w:top w:val="nil"/>
              <w:left w:val="nil"/>
              <w:bottom w:val="single" w:sz="8" w:space="0" w:color="auto"/>
              <w:right w:val="single" w:sz="8" w:space="0" w:color="auto"/>
            </w:tcBorders>
            <w:vAlign w:val="center"/>
          </w:tcPr>
          <w:p w:rsidR="00A75AB0" w:rsidRPr="00F047BB" w:rsidP="00A75AB0" w14:paraId="0EE5DA2D" w14:textId="36DB1F4C">
            <w:pPr>
              <w:jc w:val="center"/>
              <w:rPr>
                <w:sz w:val="20"/>
                <w:szCs w:val="20"/>
              </w:rPr>
            </w:pPr>
            <w:r w:rsidRPr="00F047BB">
              <w:rPr>
                <w:color w:val="000000"/>
                <w:sz w:val="20"/>
                <w:szCs w:val="20"/>
              </w:rPr>
              <w:t xml:space="preserve">$4,404,056 </w:t>
            </w:r>
          </w:p>
        </w:tc>
      </w:tr>
      <w:tr w14:paraId="14BA1EC2" w14:textId="77777777" w:rsidTr="00F047BB">
        <w:tblPrEx>
          <w:tblW w:w="0" w:type="auto"/>
          <w:tblLook w:val="04A0"/>
        </w:tblPrEx>
        <w:tc>
          <w:tcPr>
            <w:tcW w:w="2511" w:type="dxa"/>
          </w:tcPr>
          <w:p w:rsidR="00A75AB0" w:rsidRPr="00F047BB" w:rsidP="00A75AB0" w14:paraId="5ED7028A" w14:textId="77777777">
            <w:pPr>
              <w:jc w:val="center"/>
              <w:rPr>
                <w:sz w:val="20"/>
                <w:szCs w:val="20"/>
              </w:rPr>
            </w:pPr>
            <w:r w:rsidRPr="00F047BB">
              <w:rPr>
                <w:sz w:val="20"/>
                <w:szCs w:val="20"/>
              </w:rPr>
              <w:t>Annual Query-Full</w:t>
            </w:r>
          </w:p>
        </w:tc>
        <w:tc>
          <w:tcPr>
            <w:tcW w:w="2432" w:type="dxa"/>
            <w:tcBorders>
              <w:top w:val="nil"/>
              <w:left w:val="nil"/>
              <w:bottom w:val="single" w:sz="8" w:space="0" w:color="auto"/>
              <w:right w:val="single" w:sz="8" w:space="0" w:color="auto"/>
            </w:tcBorders>
            <w:vAlign w:val="center"/>
          </w:tcPr>
          <w:p w:rsidR="00A75AB0" w:rsidRPr="00F047BB" w:rsidP="00A75AB0" w14:paraId="7989427E" w14:textId="0F4C7284">
            <w:pPr>
              <w:jc w:val="center"/>
              <w:rPr>
                <w:sz w:val="20"/>
                <w:szCs w:val="20"/>
              </w:rPr>
            </w:pPr>
            <w:r w:rsidRPr="00F047BB">
              <w:rPr>
                <w:color w:val="000000"/>
                <w:sz w:val="20"/>
                <w:szCs w:val="20"/>
              </w:rPr>
              <w:t>192,240</w:t>
            </w:r>
          </w:p>
        </w:tc>
        <w:tc>
          <w:tcPr>
            <w:tcW w:w="2294" w:type="dxa"/>
            <w:tcBorders>
              <w:top w:val="nil"/>
              <w:left w:val="nil"/>
              <w:bottom w:val="single" w:sz="8" w:space="0" w:color="auto"/>
              <w:right w:val="single" w:sz="8" w:space="0" w:color="auto"/>
            </w:tcBorders>
            <w:vAlign w:val="center"/>
          </w:tcPr>
          <w:p w:rsidR="00A75AB0" w:rsidRPr="00F047BB" w:rsidP="00A75AB0" w14:paraId="21C8DE3A" w14:textId="02D1E582">
            <w:pPr>
              <w:jc w:val="center"/>
              <w:rPr>
                <w:sz w:val="20"/>
                <w:szCs w:val="20"/>
              </w:rPr>
            </w:pPr>
            <w:r w:rsidRPr="00F047BB">
              <w:rPr>
                <w:color w:val="000000"/>
                <w:sz w:val="20"/>
                <w:szCs w:val="20"/>
              </w:rPr>
              <w:t xml:space="preserve">$1.25 </w:t>
            </w:r>
          </w:p>
        </w:tc>
        <w:tc>
          <w:tcPr>
            <w:tcW w:w="2113" w:type="dxa"/>
            <w:tcBorders>
              <w:top w:val="nil"/>
              <w:left w:val="nil"/>
              <w:bottom w:val="single" w:sz="8" w:space="0" w:color="auto"/>
              <w:right w:val="single" w:sz="8" w:space="0" w:color="auto"/>
            </w:tcBorders>
            <w:vAlign w:val="center"/>
          </w:tcPr>
          <w:p w:rsidR="00A75AB0" w:rsidRPr="00F047BB" w:rsidP="00A75AB0" w14:paraId="320213B0" w14:textId="495E5E81">
            <w:pPr>
              <w:jc w:val="center"/>
              <w:rPr>
                <w:sz w:val="20"/>
                <w:szCs w:val="20"/>
              </w:rPr>
            </w:pPr>
            <w:r w:rsidRPr="00F047BB">
              <w:rPr>
                <w:color w:val="000000"/>
                <w:sz w:val="20"/>
                <w:szCs w:val="20"/>
              </w:rPr>
              <w:t xml:space="preserve">$240,300 </w:t>
            </w:r>
          </w:p>
        </w:tc>
      </w:tr>
      <w:tr w14:paraId="693762C2" w14:textId="77777777" w:rsidTr="00F047BB">
        <w:tblPrEx>
          <w:tblW w:w="0" w:type="auto"/>
          <w:tblLook w:val="04A0"/>
        </w:tblPrEx>
        <w:tc>
          <w:tcPr>
            <w:tcW w:w="2511" w:type="dxa"/>
            <w:vAlign w:val="center"/>
          </w:tcPr>
          <w:p w:rsidR="00A75AB0" w:rsidRPr="00F047BB" w:rsidP="00A75AB0" w14:paraId="433AA775" w14:textId="77777777">
            <w:pPr>
              <w:jc w:val="center"/>
              <w:rPr>
                <w:b/>
                <w:sz w:val="20"/>
                <w:szCs w:val="20"/>
              </w:rPr>
            </w:pPr>
            <w:r w:rsidRPr="00F047BB">
              <w:rPr>
                <w:b/>
                <w:sz w:val="20"/>
                <w:szCs w:val="20"/>
              </w:rPr>
              <w:t>Total</w:t>
            </w:r>
          </w:p>
        </w:tc>
        <w:tc>
          <w:tcPr>
            <w:tcW w:w="2432" w:type="dxa"/>
            <w:tcBorders>
              <w:top w:val="nil"/>
              <w:left w:val="nil"/>
              <w:bottom w:val="single" w:sz="8" w:space="0" w:color="auto"/>
              <w:right w:val="single" w:sz="8" w:space="0" w:color="auto"/>
            </w:tcBorders>
            <w:vAlign w:val="center"/>
          </w:tcPr>
          <w:p w:rsidR="00A75AB0" w:rsidRPr="00F047BB" w:rsidP="00A75AB0" w14:paraId="3C370913" w14:textId="445C5022">
            <w:pPr>
              <w:jc w:val="center"/>
              <w:rPr>
                <w:sz w:val="20"/>
                <w:szCs w:val="20"/>
              </w:rPr>
            </w:pPr>
            <w:r w:rsidRPr="00F047BB">
              <w:rPr>
                <w:color w:val="000000"/>
                <w:sz w:val="20"/>
                <w:szCs w:val="20"/>
              </w:rPr>
              <w:t>6,464,284</w:t>
            </w:r>
          </w:p>
        </w:tc>
        <w:tc>
          <w:tcPr>
            <w:tcW w:w="2294" w:type="dxa"/>
            <w:tcBorders>
              <w:top w:val="nil"/>
              <w:left w:val="nil"/>
              <w:bottom w:val="single" w:sz="8" w:space="0" w:color="auto"/>
              <w:right w:val="single" w:sz="8" w:space="0" w:color="auto"/>
            </w:tcBorders>
            <w:vAlign w:val="center"/>
          </w:tcPr>
          <w:p w:rsidR="00A75AB0" w:rsidRPr="00F047BB" w:rsidP="00A75AB0" w14:paraId="2663E204" w14:textId="247B0DF5">
            <w:pPr>
              <w:jc w:val="center"/>
            </w:pPr>
            <w:r w:rsidRPr="00F047BB">
              <w:rPr>
                <w:color w:val="000000"/>
              </w:rPr>
              <w:t> </w:t>
            </w:r>
          </w:p>
        </w:tc>
        <w:tc>
          <w:tcPr>
            <w:tcW w:w="2113" w:type="dxa"/>
            <w:tcBorders>
              <w:top w:val="nil"/>
              <w:left w:val="nil"/>
              <w:bottom w:val="single" w:sz="8" w:space="0" w:color="auto"/>
              <w:right w:val="single" w:sz="8" w:space="0" w:color="auto"/>
            </w:tcBorders>
            <w:vAlign w:val="center"/>
          </w:tcPr>
          <w:p w:rsidR="00A75AB0" w:rsidRPr="00F047BB" w:rsidP="00A75AB0" w14:paraId="60E26B33" w14:textId="1FD32F2C">
            <w:pPr>
              <w:jc w:val="center"/>
              <w:rPr>
                <w:sz w:val="20"/>
                <w:szCs w:val="20"/>
              </w:rPr>
            </w:pPr>
            <w:r w:rsidRPr="00F047BB">
              <w:rPr>
                <w:color w:val="000000"/>
                <w:sz w:val="20"/>
                <w:szCs w:val="20"/>
              </w:rPr>
              <w:t xml:space="preserve">$8,080,355 </w:t>
            </w:r>
          </w:p>
        </w:tc>
      </w:tr>
    </w:tbl>
    <w:p w:rsidR="004015FC" w:rsidRPr="00F047BB" w:rsidP="001658FD" w14:paraId="27253FCD" w14:textId="32DCA7F2">
      <w:pPr>
        <w:tabs>
          <w:tab w:val="left" w:pos="720"/>
        </w:tabs>
        <w:jc w:val="both"/>
        <w:rPr>
          <w:b/>
          <w:bCs/>
          <w:szCs w:val="20"/>
        </w:rPr>
      </w:pPr>
      <w:r w:rsidRPr="007527A9">
        <w:rPr>
          <w:b/>
        </w:rPr>
        <w:t>14</w:t>
      </w:r>
      <w:r w:rsidRPr="007527A9" w:rsidR="00896DE4">
        <w:rPr>
          <w:b/>
        </w:rPr>
        <w:t>.</w:t>
      </w:r>
      <w:r w:rsidRPr="00F047BB" w:rsidR="00896DE4">
        <w:rPr>
          <w:b/>
        </w:rPr>
        <w:t xml:space="preserve"> ESTIMATE</w:t>
      </w:r>
      <w:r w:rsidRPr="007527A9" w:rsidR="00083A40">
        <w:rPr>
          <w:b/>
          <w:bCs/>
        </w:rPr>
        <w:t xml:space="preserve"> OF COST TO THE FEDERAL GOVERNMENT</w:t>
      </w:r>
    </w:p>
    <w:p w:rsidR="006577AC" w:rsidRPr="005E7CA2" w:rsidP="00655035" w14:paraId="3B916E32" w14:textId="77777777">
      <w:pPr>
        <w:jc w:val="both"/>
      </w:pPr>
    </w:p>
    <w:p w:rsidR="00DE1AC7" w:rsidRPr="00F047BB" w14:paraId="27253FCF" w14:textId="7EA31926">
      <w:pPr>
        <w:jc w:val="both"/>
        <w:rPr>
          <w:b/>
          <w:bCs/>
          <w:color w:val="000000"/>
          <w:sz w:val="20"/>
          <w:szCs w:val="20"/>
        </w:rPr>
      </w:pPr>
      <w:r w:rsidRPr="005E7CA2">
        <w:t xml:space="preserve">FMCSA </w:t>
      </w:r>
      <w:r w:rsidRPr="005E7CA2" w:rsidR="00D774D2">
        <w:t>estimates an annual cost to the Federal Government of $</w:t>
      </w:r>
      <w:r w:rsidR="00CD5966">
        <w:t>9.220</w:t>
      </w:r>
      <w:r w:rsidRPr="005E7CA2" w:rsidR="00D774D2">
        <w:t xml:space="preserve"> million, to include Call Center support of $</w:t>
      </w:r>
      <w:r w:rsidR="00172576">
        <w:t>7</w:t>
      </w:r>
      <w:r w:rsidRPr="005E7CA2" w:rsidR="00D774D2">
        <w:t xml:space="preserve"> million, </w:t>
      </w:r>
      <w:r w:rsidRPr="005E7CA2" w:rsidR="003B0E67">
        <w:t>s</w:t>
      </w:r>
      <w:r w:rsidRPr="005E7CA2" w:rsidR="00D774D2">
        <w:t>taff salaries of $</w:t>
      </w:r>
      <w:r w:rsidR="00407DDA">
        <w:t>1.2 million</w:t>
      </w:r>
      <w:r w:rsidRPr="005E7CA2" w:rsidR="00D774D2">
        <w:t xml:space="preserve">, </w:t>
      </w:r>
      <w:r w:rsidRPr="005E7CA2" w:rsidR="003B0E67">
        <w:t>c</w:t>
      </w:r>
      <w:r w:rsidRPr="005E7CA2" w:rsidR="00D774D2">
        <w:t>ontract support</w:t>
      </w:r>
      <w:r w:rsidRPr="005E7CA2" w:rsidR="003B0E67">
        <w:t xml:space="preserve"> </w:t>
      </w:r>
      <w:r w:rsidRPr="005E7CA2" w:rsidR="00D774D2">
        <w:t>of $</w:t>
      </w:r>
      <w:r w:rsidR="00407DDA">
        <w:t>960</w:t>
      </w:r>
      <w:r w:rsidRPr="005E7CA2" w:rsidR="00D774D2">
        <w:t xml:space="preserve">K, </w:t>
      </w:r>
      <w:r w:rsidR="00427CA7">
        <w:t>and</w:t>
      </w:r>
      <w:r w:rsidRPr="005E7CA2" w:rsidR="00D774D2">
        <w:t xml:space="preserve"> staff travel of $</w:t>
      </w:r>
      <w:r w:rsidR="00427CA7">
        <w:t>6</w:t>
      </w:r>
      <w:r w:rsidRPr="005E7CA2" w:rsidR="00D774D2">
        <w:t>0K</w:t>
      </w:r>
      <w:r w:rsidRPr="005E7CA2" w:rsidR="00630942">
        <w:t>.</w:t>
      </w:r>
      <w:r w:rsidRPr="005E7CA2" w:rsidR="00FC3E43">
        <w:t xml:space="preserve">  </w:t>
      </w:r>
    </w:p>
    <w:p w:rsidR="00083A40" w:rsidRPr="005E7CA2" w:rsidP="00083A40" w14:paraId="136AF348" w14:textId="77777777">
      <w:pPr>
        <w:pStyle w:val="NormalWeb"/>
        <w:keepNext/>
      </w:pPr>
      <w:r w:rsidRPr="005E7CA2">
        <w:rPr>
          <w:b/>
        </w:rPr>
        <w:t>15.</w:t>
      </w:r>
      <w:r w:rsidRPr="00F047BB">
        <w:rPr>
          <w:b/>
        </w:rPr>
        <w:t xml:space="preserve"> </w:t>
      </w:r>
      <w:r w:rsidRPr="005E7CA2">
        <w:rPr>
          <w:b/>
          <w:bCs/>
        </w:rPr>
        <w:t>EXPLANATION OF PROGRAM CHANGES OR ADJUSTMENTS</w:t>
      </w:r>
      <w:r w:rsidRPr="005E7CA2">
        <w:t xml:space="preserve"> </w:t>
      </w:r>
    </w:p>
    <w:p w:rsidR="004B4C7C" w:rsidRPr="005E7CA2" w:rsidP="00B05FF7" w14:paraId="27253FD1" w14:textId="71E5C401">
      <w:pPr>
        <w:pStyle w:val="NormalWeb"/>
        <w:keepNext/>
        <w:spacing w:line="259" w:lineRule="auto"/>
      </w:pPr>
      <w:bookmarkStart w:id="14" w:name="_Hlk125472596"/>
      <w:r>
        <w:t xml:space="preserve">Both the number of responses and the annual burden hours decreased during </w:t>
      </w:r>
      <w:r w:rsidR="2F6FD1C9">
        <w:t>the past 3 years</w:t>
      </w:r>
      <w:r>
        <w:t xml:space="preserve">. </w:t>
      </w:r>
      <w:r w:rsidR="00DD3810">
        <w:t>This</w:t>
      </w:r>
      <w:r w:rsidR="005C3512">
        <w:t xml:space="preserve"> burden hour de</w:t>
      </w:r>
      <w:r w:rsidR="00DD3810">
        <w:t xml:space="preserve">crease is due to </w:t>
      </w:r>
      <w:r w:rsidR="006850AA">
        <w:t xml:space="preserve">the availability of </w:t>
      </w:r>
      <w:r w:rsidR="00082AC7">
        <w:t xml:space="preserve">more accurate </w:t>
      </w:r>
      <w:r w:rsidR="006850AA">
        <w:t>estimates of respondents</w:t>
      </w:r>
      <w:r w:rsidR="00082AC7">
        <w:t xml:space="preserve"> drawn from the first few years of the Clearinghouse’s operation, as opposed to the estimates used during the rulemaking establishing the Clearinghouse</w:t>
      </w:r>
      <w:r w:rsidR="00DD3810">
        <w:t xml:space="preserve">. </w:t>
      </w:r>
      <w:r w:rsidR="00D61A57">
        <w:t>From item 12 above, the</w:t>
      </w:r>
      <w:r>
        <w:t xml:space="preserve"> number of responses decreased by </w:t>
      </w:r>
      <w:r w:rsidR="4A16B220">
        <w:t>604,890</w:t>
      </w:r>
      <w:r w:rsidR="004C263E">
        <w:t xml:space="preserve">, </w:t>
      </w:r>
      <w:r>
        <w:t xml:space="preserve">the </w:t>
      </w:r>
      <w:r w:rsidR="006850AA">
        <w:t xml:space="preserve">burden hours </w:t>
      </w:r>
      <w:r w:rsidR="00F43957">
        <w:t>decreased by</w:t>
      </w:r>
      <w:r w:rsidR="006850AA">
        <w:t xml:space="preserve"> </w:t>
      </w:r>
      <w:r w:rsidR="5097BC95">
        <w:t>108,117</w:t>
      </w:r>
      <w:r w:rsidR="004C263E">
        <w:t xml:space="preserve"> and the cost burden decreased by $</w:t>
      </w:r>
      <w:r w:rsidR="001A11BF">
        <w:t>4,</w:t>
      </w:r>
      <w:r w:rsidR="1599325B">
        <w:t>238,669</w:t>
      </w:r>
      <w:r w:rsidR="00D61A57">
        <w:t>.</w:t>
      </w:r>
    </w:p>
    <w:tbl>
      <w:tblPr>
        <w:tblW w:w="6526" w:type="dxa"/>
        <w:tblLook w:val="04A0"/>
      </w:tblPr>
      <w:tblGrid>
        <w:gridCol w:w="2215"/>
        <w:gridCol w:w="1375"/>
        <w:gridCol w:w="1232"/>
        <w:gridCol w:w="1468"/>
        <w:gridCol w:w="236"/>
      </w:tblGrid>
      <w:tr w14:paraId="39B5EFC3" w14:textId="77777777" w:rsidTr="00F047BB">
        <w:tblPrEx>
          <w:tblW w:w="6526" w:type="dxa"/>
          <w:tblLook w:val="04A0"/>
        </w:tblPrEx>
        <w:trPr>
          <w:gridAfter w:val="1"/>
          <w:wAfter w:w="236" w:type="dxa"/>
          <w:trHeight w:val="315"/>
        </w:trPr>
        <w:tc>
          <w:tcPr>
            <w:tcW w:w="6290" w:type="dxa"/>
            <w:gridSpan w:val="4"/>
            <w:tcBorders>
              <w:top w:val="single" w:sz="8" w:space="0" w:color="auto"/>
              <w:left w:val="single" w:sz="8" w:space="0" w:color="auto"/>
              <w:bottom w:val="single" w:sz="8" w:space="0" w:color="auto"/>
              <w:right w:val="single" w:sz="8" w:space="0" w:color="000000"/>
            </w:tcBorders>
            <w:shd w:val="clear" w:color="000000" w:fill="BFBFBF"/>
            <w:vAlign w:val="center"/>
            <w:hideMark/>
          </w:tcPr>
          <w:p w:rsidR="00F42BB6" w:rsidRPr="00F047BB" w14:paraId="279FD4DD" w14:textId="77777777">
            <w:pPr>
              <w:jc w:val="center"/>
              <w:rPr>
                <w:b/>
                <w:bCs/>
                <w:color w:val="000000"/>
                <w:sz w:val="20"/>
                <w:szCs w:val="20"/>
              </w:rPr>
            </w:pPr>
            <w:r w:rsidRPr="00F047BB">
              <w:rPr>
                <w:b/>
                <w:bCs/>
                <w:sz w:val="20"/>
                <w:szCs w:val="20"/>
              </w:rPr>
              <w:t>Table 3. Program Changes or Adjustments</w:t>
            </w:r>
          </w:p>
        </w:tc>
      </w:tr>
      <w:tr w14:paraId="54D256AB" w14:textId="77777777" w:rsidTr="00F047BB">
        <w:tblPrEx>
          <w:tblW w:w="6526" w:type="dxa"/>
          <w:tblLook w:val="04A0"/>
        </w:tblPrEx>
        <w:trPr>
          <w:gridAfter w:val="1"/>
          <w:wAfter w:w="236" w:type="dxa"/>
          <w:trHeight w:val="750"/>
        </w:trPr>
        <w:tc>
          <w:tcPr>
            <w:tcW w:w="2215" w:type="dxa"/>
            <w:tcBorders>
              <w:top w:val="single" w:sz="12" w:space="0" w:color="auto"/>
              <w:left w:val="single" w:sz="8" w:space="0" w:color="auto"/>
              <w:bottom w:val="single" w:sz="12" w:space="0" w:color="auto"/>
              <w:right w:val="single" w:sz="8" w:space="0" w:color="auto"/>
            </w:tcBorders>
            <w:shd w:val="clear" w:color="000000" w:fill="E0E0E0"/>
            <w:vAlign w:val="center"/>
            <w:hideMark/>
          </w:tcPr>
          <w:p w:rsidR="00F42BB6" w:rsidRPr="005E7CA2" w14:paraId="13BBDEA3" w14:textId="77777777">
            <w:pPr>
              <w:jc w:val="center"/>
              <w:rPr>
                <w:b/>
                <w:bCs/>
                <w:color w:val="000000"/>
                <w:sz w:val="18"/>
                <w:szCs w:val="18"/>
              </w:rPr>
            </w:pPr>
            <w:r w:rsidRPr="005E7CA2">
              <w:rPr>
                <w:b/>
                <w:bCs/>
                <w:color w:val="000000"/>
                <w:sz w:val="18"/>
                <w:szCs w:val="18"/>
              </w:rPr>
              <w:t>Information Collection Version</w:t>
            </w:r>
          </w:p>
        </w:tc>
        <w:tc>
          <w:tcPr>
            <w:tcW w:w="1375" w:type="dxa"/>
            <w:tcBorders>
              <w:top w:val="single" w:sz="12" w:space="0" w:color="auto"/>
              <w:left w:val="nil"/>
              <w:bottom w:val="single" w:sz="12" w:space="0" w:color="auto"/>
              <w:right w:val="single" w:sz="8" w:space="0" w:color="auto"/>
            </w:tcBorders>
            <w:shd w:val="clear" w:color="000000" w:fill="E0E0E0"/>
            <w:vAlign w:val="center"/>
            <w:hideMark/>
          </w:tcPr>
          <w:p w:rsidR="00F42BB6" w:rsidRPr="005E7CA2" w14:paraId="2958E20B" w14:textId="77777777">
            <w:pPr>
              <w:jc w:val="center"/>
              <w:rPr>
                <w:b/>
                <w:bCs/>
                <w:color w:val="000000"/>
                <w:sz w:val="18"/>
                <w:szCs w:val="18"/>
              </w:rPr>
            </w:pPr>
            <w:r w:rsidRPr="005E7CA2">
              <w:rPr>
                <w:b/>
                <w:bCs/>
                <w:sz w:val="18"/>
                <w:szCs w:val="18"/>
              </w:rPr>
              <w:t>Annual Number of Responses</w:t>
            </w:r>
          </w:p>
        </w:tc>
        <w:tc>
          <w:tcPr>
            <w:tcW w:w="1232" w:type="dxa"/>
            <w:tcBorders>
              <w:top w:val="single" w:sz="12" w:space="0" w:color="auto"/>
              <w:left w:val="nil"/>
              <w:bottom w:val="single" w:sz="12" w:space="0" w:color="auto"/>
              <w:right w:val="single" w:sz="8" w:space="0" w:color="auto"/>
            </w:tcBorders>
            <w:shd w:val="clear" w:color="000000" w:fill="E0E0E0"/>
            <w:vAlign w:val="center"/>
            <w:hideMark/>
          </w:tcPr>
          <w:p w:rsidR="00F42BB6" w:rsidRPr="005E7CA2" w14:paraId="51E476C5" w14:textId="77777777">
            <w:pPr>
              <w:jc w:val="center"/>
              <w:rPr>
                <w:b/>
                <w:bCs/>
                <w:color w:val="000000"/>
                <w:sz w:val="18"/>
                <w:szCs w:val="18"/>
              </w:rPr>
            </w:pPr>
            <w:r w:rsidRPr="005E7CA2">
              <w:rPr>
                <w:b/>
                <w:bCs/>
                <w:sz w:val="18"/>
                <w:szCs w:val="18"/>
              </w:rPr>
              <w:t>Annual Burden Hours</w:t>
            </w:r>
          </w:p>
        </w:tc>
        <w:tc>
          <w:tcPr>
            <w:tcW w:w="1468" w:type="dxa"/>
            <w:tcBorders>
              <w:top w:val="single" w:sz="12" w:space="0" w:color="auto"/>
              <w:left w:val="nil"/>
              <w:bottom w:val="single" w:sz="12" w:space="0" w:color="auto"/>
              <w:right w:val="single" w:sz="8" w:space="0" w:color="auto"/>
            </w:tcBorders>
            <w:shd w:val="clear" w:color="000000" w:fill="E0E0E0"/>
            <w:vAlign w:val="center"/>
            <w:hideMark/>
          </w:tcPr>
          <w:p w:rsidR="00F42BB6" w:rsidRPr="005E7CA2" w14:paraId="44AD34F0" w14:textId="77777777">
            <w:pPr>
              <w:jc w:val="center"/>
              <w:rPr>
                <w:b/>
                <w:bCs/>
                <w:color w:val="000000"/>
                <w:sz w:val="18"/>
                <w:szCs w:val="18"/>
              </w:rPr>
            </w:pPr>
            <w:r w:rsidRPr="005E7CA2">
              <w:rPr>
                <w:b/>
                <w:bCs/>
                <w:sz w:val="18"/>
                <w:szCs w:val="18"/>
              </w:rPr>
              <w:t>Annual Cost Burden</w:t>
            </w:r>
          </w:p>
        </w:tc>
      </w:tr>
      <w:tr w14:paraId="1581B5F3" w14:textId="77777777" w:rsidTr="00F047BB">
        <w:tblPrEx>
          <w:tblW w:w="6526" w:type="dxa"/>
          <w:tblLook w:val="04A0"/>
        </w:tblPrEx>
        <w:trPr>
          <w:gridAfter w:val="1"/>
          <w:wAfter w:w="236" w:type="dxa"/>
          <w:trHeight w:val="585"/>
        </w:trPr>
        <w:tc>
          <w:tcPr>
            <w:tcW w:w="221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0263B7" w:rsidRPr="005E7CA2" w:rsidP="000263B7" w14:paraId="53B2CDE2" w14:textId="77777777">
            <w:pPr>
              <w:ind w:firstLine="180" w:firstLineChars="100"/>
              <w:rPr>
                <w:color w:val="000000"/>
                <w:sz w:val="18"/>
                <w:szCs w:val="18"/>
              </w:rPr>
            </w:pPr>
            <w:r w:rsidRPr="005E7CA2">
              <w:rPr>
                <w:sz w:val="18"/>
                <w:szCs w:val="18"/>
              </w:rPr>
              <w:t>Currently Approved under OMB Control Number 2126-0057</w:t>
            </w:r>
          </w:p>
        </w:tc>
        <w:tc>
          <w:tcPr>
            <w:tcW w:w="1375" w:type="dxa"/>
            <w:vMerge w:val="restart"/>
            <w:tcBorders>
              <w:top w:val="single" w:sz="12" w:space="0" w:color="auto"/>
              <w:left w:val="single" w:sz="8" w:space="0" w:color="auto"/>
              <w:bottom w:val="single" w:sz="8" w:space="0" w:color="000000"/>
              <w:right w:val="single" w:sz="8" w:space="0" w:color="auto"/>
            </w:tcBorders>
            <w:shd w:val="clear" w:color="000000" w:fill="FFFFFF"/>
            <w:vAlign w:val="center"/>
            <w:hideMark/>
          </w:tcPr>
          <w:p w:rsidR="000263B7" w:rsidRPr="005E7CA2" w:rsidP="000263B7" w14:paraId="0D9147B9" w14:textId="174E4761">
            <w:pPr>
              <w:jc w:val="right"/>
              <w:rPr>
                <w:color w:val="000000"/>
                <w:sz w:val="18"/>
                <w:szCs w:val="18"/>
              </w:rPr>
            </w:pPr>
            <w:r w:rsidRPr="005E7CA2">
              <w:rPr>
                <w:color w:val="000000"/>
                <w:sz w:val="18"/>
                <w:szCs w:val="18"/>
              </w:rPr>
              <w:t>10,439,839</w:t>
            </w:r>
          </w:p>
        </w:tc>
        <w:tc>
          <w:tcPr>
            <w:tcW w:w="1232" w:type="dxa"/>
            <w:vMerge w:val="restart"/>
            <w:tcBorders>
              <w:top w:val="single" w:sz="12" w:space="0" w:color="auto"/>
              <w:left w:val="single" w:sz="8" w:space="0" w:color="auto"/>
              <w:bottom w:val="single" w:sz="8" w:space="0" w:color="000000"/>
              <w:right w:val="single" w:sz="8" w:space="0" w:color="auto"/>
            </w:tcBorders>
            <w:shd w:val="clear" w:color="000000" w:fill="FFFFFF"/>
            <w:vAlign w:val="center"/>
            <w:hideMark/>
          </w:tcPr>
          <w:p w:rsidR="000263B7" w:rsidRPr="005E7CA2" w:rsidP="000263B7" w14:paraId="197937E9" w14:textId="0E93AC21">
            <w:pPr>
              <w:jc w:val="right"/>
              <w:rPr>
                <w:color w:val="000000"/>
                <w:sz w:val="18"/>
                <w:szCs w:val="18"/>
              </w:rPr>
            </w:pPr>
            <w:r w:rsidRPr="005E7CA2">
              <w:rPr>
                <w:color w:val="000000"/>
                <w:sz w:val="18"/>
                <w:szCs w:val="18"/>
              </w:rPr>
              <w:t>1,761,149</w:t>
            </w:r>
          </w:p>
        </w:tc>
        <w:tc>
          <w:tcPr>
            <w:tcW w:w="1468" w:type="dxa"/>
            <w:vMerge w:val="restart"/>
            <w:tcBorders>
              <w:top w:val="single" w:sz="12" w:space="0" w:color="auto"/>
              <w:left w:val="single" w:sz="8" w:space="0" w:color="auto"/>
              <w:bottom w:val="single" w:sz="8" w:space="0" w:color="000000"/>
              <w:right w:val="single" w:sz="8" w:space="0" w:color="auto"/>
            </w:tcBorders>
            <w:shd w:val="clear" w:color="000000" w:fill="FFFFFF"/>
            <w:vAlign w:val="center"/>
            <w:hideMark/>
          </w:tcPr>
          <w:p w:rsidR="000263B7" w:rsidRPr="005E7CA2" w:rsidP="000263B7" w14:paraId="5A62A5DB" w14:textId="5D972582">
            <w:pPr>
              <w:jc w:val="center"/>
              <w:rPr>
                <w:color w:val="000000"/>
                <w:sz w:val="18"/>
                <w:szCs w:val="18"/>
              </w:rPr>
            </w:pPr>
            <w:r w:rsidRPr="005E7CA2">
              <w:rPr>
                <w:color w:val="000000"/>
                <w:sz w:val="18"/>
                <w:szCs w:val="18"/>
              </w:rPr>
              <w:t xml:space="preserve">$57,746,761 </w:t>
            </w:r>
          </w:p>
        </w:tc>
      </w:tr>
      <w:tr w14:paraId="3F1F2E67" w14:textId="77777777" w:rsidTr="00F047BB">
        <w:tblPrEx>
          <w:tblW w:w="6526" w:type="dxa"/>
          <w:tblLook w:val="04A0"/>
        </w:tblPrEx>
        <w:trPr>
          <w:trHeight w:val="315"/>
        </w:trPr>
        <w:tc>
          <w:tcPr>
            <w:tcW w:w="2215" w:type="dxa"/>
            <w:vMerge/>
            <w:tcBorders>
              <w:top w:val="nil"/>
              <w:left w:val="single" w:sz="8" w:space="0" w:color="auto"/>
              <w:bottom w:val="single" w:sz="8" w:space="0" w:color="000000"/>
              <w:right w:val="single" w:sz="8" w:space="0" w:color="auto"/>
            </w:tcBorders>
            <w:vAlign w:val="center"/>
            <w:hideMark/>
          </w:tcPr>
          <w:p w:rsidR="000263B7" w:rsidRPr="005E7CA2" w:rsidP="000263B7" w14:paraId="2C2DFAA1" w14:textId="77777777">
            <w:pPr>
              <w:rPr>
                <w:color w:val="000000"/>
                <w:sz w:val="18"/>
                <w:szCs w:val="18"/>
              </w:rPr>
            </w:pPr>
          </w:p>
        </w:tc>
        <w:tc>
          <w:tcPr>
            <w:tcW w:w="1375" w:type="dxa"/>
            <w:vMerge/>
            <w:tcBorders>
              <w:top w:val="single" w:sz="12" w:space="0" w:color="auto"/>
              <w:left w:val="single" w:sz="8" w:space="0" w:color="auto"/>
              <w:bottom w:val="single" w:sz="8" w:space="0" w:color="000000"/>
              <w:right w:val="single" w:sz="8" w:space="0" w:color="auto"/>
            </w:tcBorders>
            <w:vAlign w:val="center"/>
            <w:hideMark/>
          </w:tcPr>
          <w:p w:rsidR="000263B7" w:rsidRPr="005E7CA2" w:rsidP="000263B7" w14:paraId="7AF4B3AC" w14:textId="77777777">
            <w:pPr>
              <w:rPr>
                <w:color w:val="000000"/>
                <w:sz w:val="18"/>
                <w:szCs w:val="18"/>
              </w:rPr>
            </w:pPr>
          </w:p>
        </w:tc>
        <w:tc>
          <w:tcPr>
            <w:tcW w:w="1232" w:type="dxa"/>
            <w:vMerge/>
            <w:tcBorders>
              <w:top w:val="single" w:sz="12" w:space="0" w:color="auto"/>
              <w:left w:val="single" w:sz="8" w:space="0" w:color="auto"/>
              <w:bottom w:val="single" w:sz="8" w:space="0" w:color="000000"/>
              <w:right w:val="single" w:sz="8" w:space="0" w:color="auto"/>
            </w:tcBorders>
            <w:vAlign w:val="center"/>
            <w:hideMark/>
          </w:tcPr>
          <w:p w:rsidR="000263B7" w:rsidRPr="005E7CA2" w:rsidP="000263B7" w14:paraId="189DCEBD" w14:textId="77777777">
            <w:pPr>
              <w:rPr>
                <w:color w:val="000000"/>
                <w:sz w:val="18"/>
                <w:szCs w:val="18"/>
              </w:rPr>
            </w:pPr>
          </w:p>
        </w:tc>
        <w:tc>
          <w:tcPr>
            <w:tcW w:w="1468" w:type="dxa"/>
            <w:vMerge/>
            <w:tcBorders>
              <w:top w:val="single" w:sz="12" w:space="0" w:color="auto"/>
              <w:left w:val="single" w:sz="8" w:space="0" w:color="auto"/>
              <w:bottom w:val="single" w:sz="8" w:space="0" w:color="000000"/>
              <w:right w:val="single" w:sz="8" w:space="0" w:color="auto"/>
            </w:tcBorders>
            <w:vAlign w:val="center"/>
            <w:hideMark/>
          </w:tcPr>
          <w:p w:rsidR="000263B7" w:rsidRPr="005E7CA2" w:rsidP="000263B7" w14:paraId="7910E8DF" w14:textId="77777777">
            <w:pPr>
              <w:rPr>
                <w:color w:val="000000"/>
                <w:sz w:val="18"/>
                <w:szCs w:val="18"/>
              </w:rPr>
            </w:pPr>
          </w:p>
        </w:tc>
        <w:tc>
          <w:tcPr>
            <w:tcW w:w="236" w:type="dxa"/>
            <w:tcBorders>
              <w:top w:val="nil"/>
              <w:left w:val="nil"/>
              <w:bottom w:val="nil"/>
              <w:right w:val="nil"/>
            </w:tcBorders>
            <w:noWrap/>
            <w:vAlign w:val="bottom"/>
            <w:hideMark/>
          </w:tcPr>
          <w:p w:rsidR="000263B7" w:rsidRPr="005E7CA2" w:rsidP="000263B7" w14:paraId="18C2A667" w14:textId="77777777">
            <w:pPr>
              <w:jc w:val="center"/>
              <w:rPr>
                <w:color w:val="000000"/>
                <w:sz w:val="18"/>
                <w:szCs w:val="18"/>
              </w:rPr>
            </w:pPr>
          </w:p>
        </w:tc>
      </w:tr>
      <w:tr w14:paraId="4B8006CE" w14:textId="77777777" w:rsidTr="00F047BB">
        <w:tblPrEx>
          <w:tblW w:w="6526" w:type="dxa"/>
          <w:tblLook w:val="04A0"/>
        </w:tblPrEx>
        <w:trPr>
          <w:trHeight w:val="315"/>
        </w:trPr>
        <w:tc>
          <w:tcPr>
            <w:tcW w:w="2215" w:type="dxa"/>
            <w:tcBorders>
              <w:top w:val="nil"/>
              <w:left w:val="single" w:sz="8" w:space="0" w:color="auto"/>
              <w:bottom w:val="single" w:sz="12" w:space="0" w:color="auto"/>
              <w:right w:val="single" w:sz="8" w:space="0" w:color="auto"/>
            </w:tcBorders>
            <w:shd w:val="clear" w:color="000000" w:fill="FFFFFF"/>
            <w:vAlign w:val="center"/>
            <w:hideMark/>
          </w:tcPr>
          <w:p w:rsidR="0016127D" w:rsidRPr="005E7CA2" w:rsidP="0016127D" w14:paraId="250322C2" w14:textId="77777777">
            <w:pPr>
              <w:ind w:firstLine="180" w:firstLineChars="100"/>
              <w:rPr>
                <w:color w:val="000000"/>
                <w:sz w:val="18"/>
                <w:szCs w:val="18"/>
              </w:rPr>
            </w:pPr>
            <w:r w:rsidRPr="005E7CA2">
              <w:rPr>
                <w:sz w:val="18"/>
                <w:szCs w:val="18"/>
              </w:rPr>
              <w:t>Revised Estimates</w:t>
            </w:r>
          </w:p>
        </w:tc>
        <w:tc>
          <w:tcPr>
            <w:tcW w:w="1375" w:type="dxa"/>
            <w:tcBorders>
              <w:top w:val="nil"/>
              <w:left w:val="nil"/>
              <w:bottom w:val="single" w:sz="12" w:space="0" w:color="auto"/>
              <w:right w:val="single" w:sz="8" w:space="0" w:color="auto"/>
            </w:tcBorders>
            <w:vAlign w:val="center"/>
            <w:hideMark/>
          </w:tcPr>
          <w:p w:rsidR="0016127D" w:rsidRPr="005E7CA2" w:rsidP="0016127D" w14:paraId="04592128" w14:textId="6FBADA30">
            <w:pPr>
              <w:jc w:val="right"/>
              <w:rPr>
                <w:color w:val="000000"/>
                <w:sz w:val="18"/>
                <w:szCs w:val="18"/>
              </w:rPr>
            </w:pPr>
            <w:r>
              <w:rPr>
                <w:color w:val="000000"/>
                <w:sz w:val="18"/>
                <w:szCs w:val="18"/>
              </w:rPr>
              <w:t>9,834,949</w:t>
            </w:r>
          </w:p>
        </w:tc>
        <w:tc>
          <w:tcPr>
            <w:tcW w:w="1232" w:type="dxa"/>
            <w:tcBorders>
              <w:top w:val="nil"/>
              <w:left w:val="nil"/>
              <w:bottom w:val="single" w:sz="12" w:space="0" w:color="auto"/>
              <w:right w:val="single" w:sz="8" w:space="0" w:color="auto"/>
            </w:tcBorders>
            <w:vAlign w:val="center"/>
            <w:hideMark/>
          </w:tcPr>
          <w:p w:rsidR="0016127D" w:rsidRPr="005E7CA2" w:rsidP="0016127D" w14:paraId="6A59A33E" w14:textId="3EF04FCC">
            <w:pPr>
              <w:jc w:val="right"/>
              <w:rPr>
                <w:color w:val="000000"/>
                <w:sz w:val="18"/>
                <w:szCs w:val="18"/>
              </w:rPr>
            </w:pPr>
            <w:r>
              <w:rPr>
                <w:color w:val="000000"/>
                <w:sz w:val="18"/>
                <w:szCs w:val="18"/>
              </w:rPr>
              <w:t>1,653,032</w:t>
            </w:r>
          </w:p>
        </w:tc>
        <w:tc>
          <w:tcPr>
            <w:tcW w:w="1468" w:type="dxa"/>
            <w:tcBorders>
              <w:top w:val="nil"/>
              <w:left w:val="nil"/>
              <w:bottom w:val="single" w:sz="12" w:space="0" w:color="auto"/>
              <w:right w:val="single" w:sz="8" w:space="0" w:color="auto"/>
            </w:tcBorders>
            <w:vAlign w:val="center"/>
            <w:hideMark/>
          </w:tcPr>
          <w:p w:rsidR="0016127D" w:rsidRPr="005E7CA2" w:rsidP="0016127D" w14:paraId="0BD865B5" w14:textId="316CE6DD">
            <w:pPr>
              <w:jc w:val="right"/>
              <w:rPr>
                <w:color w:val="000000"/>
                <w:sz w:val="18"/>
                <w:szCs w:val="18"/>
              </w:rPr>
            </w:pPr>
            <w:r>
              <w:rPr>
                <w:color w:val="000000"/>
                <w:sz w:val="18"/>
                <w:szCs w:val="18"/>
              </w:rPr>
              <w:t xml:space="preserve">$53,508,092 </w:t>
            </w:r>
          </w:p>
        </w:tc>
        <w:tc>
          <w:tcPr>
            <w:tcW w:w="236" w:type="dxa"/>
            <w:vAlign w:val="center"/>
            <w:hideMark/>
          </w:tcPr>
          <w:p w:rsidR="0016127D" w:rsidRPr="005E7CA2" w:rsidP="0016127D" w14:paraId="07C27E9D" w14:textId="77777777">
            <w:pPr>
              <w:rPr>
                <w:sz w:val="20"/>
                <w:szCs w:val="20"/>
              </w:rPr>
            </w:pPr>
          </w:p>
        </w:tc>
      </w:tr>
      <w:tr w14:paraId="169E71E3" w14:textId="77777777" w:rsidTr="00F047BB">
        <w:tblPrEx>
          <w:tblW w:w="6526" w:type="dxa"/>
          <w:tblLook w:val="04A0"/>
        </w:tblPrEx>
        <w:trPr>
          <w:trHeight w:val="1230"/>
        </w:trPr>
        <w:tc>
          <w:tcPr>
            <w:tcW w:w="2215" w:type="dxa"/>
            <w:tcBorders>
              <w:top w:val="nil"/>
              <w:left w:val="single" w:sz="8" w:space="0" w:color="auto"/>
              <w:bottom w:val="single" w:sz="12" w:space="0" w:color="auto"/>
              <w:right w:val="single" w:sz="8" w:space="0" w:color="auto"/>
            </w:tcBorders>
            <w:shd w:val="clear" w:color="000000" w:fill="FFFFFF"/>
            <w:vAlign w:val="center"/>
            <w:hideMark/>
          </w:tcPr>
          <w:p w:rsidR="0016127D" w:rsidRPr="005E7CA2" w:rsidP="0016127D" w14:paraId="0991E867" w14:textId="77777777">
            <w:pPr>
              <w:rPr>
                <w:b/>
                <w:bCs/>
                <w:color w:val="000000"/>
                <w:sz w:val="18"/>
                <w:szCs w:val="18"/>
              </w:rPr>
            </w:pPr>
            <w:r w:rsidRPr="005E7CA2">
              <w:rPr>
                <w:b/>
                <w:bCs/>
                <w:sz w:val="18"/>
                <w:szCs w:val="18"/>
              </w:rPr>
              <w:t>Total Change in Burden from the Currently Approved Collection of Information</w:t>
            </w:r>
          </w:p>
        </w:tc>
        <w:tc>
          <w:tcPr>
            <w:tcW w:w="1375" w:type="dxa"/>
            <w:tcBorders>
              <w:top w:val="nil"/>
              <w:left w:val="nil"/>
              <w:bottom w:val="single" w:sz="12" w:space="0" w:color="auto"/>
              <w:right w:val="single" w:sz="8" w:space="0" w:color="auto"/>
            </w:tcBorders>
            <w:shd w:val="clear" w:color="000000" w:fill="FFFFFF"/>
            <w:vAlign w:val="center"/>
            <w:hideMark/>
          </w:tcPr>
          <w:p w:rsidR="0016127D" w:rsidRPr="005E7CA2" w:rsidP="0016127D" w14:paraId="3D8D698C" w14:textId="37769718">
            <w:pPr>
              <w:jc w:val="right"/>
              <w:rPr>
                <w:b/>
                <w:bCs/>
                <w:color w:val="000000"/>
                <w:sz w:val="18"/>
                <w:szCs w:val="18"/>
              </w:rPr>
            </w:pPr>
            <w:r>
              <w:rPr>
                <w:b/>
                <w:bCs/>
                <w:color w:val="000000"/>
                <w:sz w:val="18"/>
                <w:szCs w:val="18"/>
              </w:rPr>
              <w:t>-604,890</w:t>
            </w:r>
          </w:p>
        </w:tc>
        <w:tc>
          <w:tcPr>
            <w:tcW w:w="1232" w:type="dxa"/>
            <w:tcBorders>
              <w:top w:val="nil"/>
              <w:left w:val="nil"/>
              <w:bottom w:val="single" w:sz="12" w:space="0" w:color="auto"/>
              <w:right w:val="single" w:sz="8" w:space="0" w:color="auto"/>
            </w:tcBorders>
            <w:shd w:val="clear" w:color="000000" w:fill="FFFFFF"/>
            <w:vAlign w:val="center"/>
            <w:hideMark/>
          </w:tcPr>
          <w:p w:rsidR="0016127D" w:rsidRPr="005E7CA2" w:rsidP="0016127D" w14:paraId="7516E730" w14:textId="215A92BF">
            <w:pPr>
              <w:jc w:val="right"/>
              <w:rPr>
                <w:b/>
                <w:bCs/>
                <w:color w:val="000000"/>
                <w:sz w:val="18"/>
                <w:szCs w:val="18"/>
              </w:rPr>
            </w:pPr>
            <w:r>
              <w:rPr>
                <w:b/>
                <w:bCs/>
                <w:color w:val="000000"/>
                <w:sz w:val="18"/>
                <w:szCs w:val="18"/>
              </w:rPr>
              <w:t>-108,117</w:t>
            </w:r>
          </w:p>
        </w:tc>
        <w:tc>
          <w:tcPr>
            <w:tcW w:w="1468" w:type="dxa"/>
            <w:tcBorders>
              <w:top w:val="nil"/>
              <w:left w:val="nil"/>
              <w:bottom w:val="single" w:sz="12" w:space="0" w:color="auto"/>
              <w:right w:val="single" w:sz="8" w:space="0" w:color="auto"/>
            </w:tcBorders>
            <w:shd w:val="clear" w:color="000000" w:fill="FFFFFF"/>
            <w:vAlign w:val="center"/>
            <w:hideMark/>
          </w:tcPr>
          <w:p w:rsidR="0016127D" w:rsidRPr="005E7CA2" w:rsidP="0016127D" w14:paraId="0AB019A5" w14:textId="235099F5">
            <w:pPr>
              <w:jc w:val="right"/>
              <w:rPr>
                <w:b/>
                <w:bCs/>
                <w:color w:val="000000"/>
                <w:sz w:val="18"/>
                <w:szCs w:val="18"/>
              </w:rPr>
            </w:pPr>
            <w:r>
              <w:rPr>
                <w:b/>
                <w:bCs/>
                <w:color w:val="000000"/>
                <w:sz w:val="18"/>
                <w:szCs w:val="18"/>
              </w:rPr>
              <w:t>$(4,238,669)</w:t>
            </w:r>
          </w:p>
        </w:tc>
        <w:tc>
          <w:tcPr>
            <w:tcW w:w="236" w:type="dxa"/>
            <w:vAlign w:val="center"/>
            <w:hideMark/>
          </w:tcPr>
          <w:p w:rsidR="0016127D" w:rsidRPr="005E7CA2" w:rsidP="0016127D" w14:paraId="20D49680" w14:textId="77777777">
            <w:pPr>
              <w:rPr>
                <w:sz w:val="20"/>
                <w:szCs w:val="20"/>
              </w:rPr>
            </w:pPr>
          </w:p>
        </w:tc>
      </w:tr>
    </w:tbl>
    <w:p w:rsidR="002C64AF" w:rsidRPr="005E7CA2" w:rsidP="00083A40" w14:paraId="1BEFA3DA" w14:textId="77777777">
      <w:pPr>
        <w:pStyle w:val="NormalWeb"/>
        <w:keepNext/>
      </w:pPr>
    </w:p>
    <w:bookmarkEnd w:id="14"/>
    <w:p w:rsidR="00CA02F9" w:rsidRPr="00F047BB" w14:paraId="27253FD2" w14:textId="1BB88A8C">
      <w:pPr>
        <w:pStyle w:val="NormalWeb"/>
        <w:keepNext/>
        <w:rPr>
          <w:b/>
          <w:bCs/>
          <w:szCs w:val="20"/>
        </w:rPr>
      </w:pPr>
      <w:r w:rsidRPr="005E7CA2">
        <w:rPr>
          <w:b/>
          <w:bCs/>
          <w:szCs w:val="20"/>
        </w:rPr>
        <w:t>16.</w:t>
      </w:r>
      <w:r w:rsidRPr="00F047BB">
        <w:rPr>
          <w:b/>
          <w:bCs/>
          <w:szCs w:val="20"/>
        </w:rPr>
        <w:t xml:space="preserve"> </w:t>
      </w:r>
      <w:r w:rsidRPr="005E7CA2" w:rsidR="00083A40">
        <w:rPr>
          <w:b/>
          <w:bCs/>
        </w:rPr>
        <w:t>PUBLICATION OF RESULTS OF DATA COLLECTION</w:t>
      </w:r>
    </w:p>
    <w:p w:rsidR="00CA02F9" w:rsidRPr="005E7CA2" w14:paraId="27253FD3" w14:textId="40528C32">
      <w:pPr>
        <w:pStyle w:val="NormalWeb"/>
        <w:rPr>
          <w:szCs w:val="20"/>
        </w:rPr>
      </w:pPr>
      <w:r w:rsidRPr="005E7CA2">
        <w:rPr>
          <w:szCs w:val="20"/>
        </w:rPr>
        <w:t xml:space="preserve">FMCSA </w:t>
      </w:r>
      <w:r w:rsidRPr="005E7CA2" w:rsidR="00E102F8">
        <w:rPr>
          <w:szCs w:val="20"/>
        </w:rPr>
        <w:t xml:space="preserve">will not </w:t>
      </w:r>
      <w:r w:rsidRPr="005E7CA2">
        <w:rPr>
          <w:szCs w:val="20"/>
        </w:rPr>
        <w:t>publish any</w:t>
      </w:r>
      <w:r w:rsidRPr="005E7CA2" w:rsidR="00FD63B0">
        <w:rPr>
          <w:szCs w:val="20"/>
        </w:rPr>
        <w:t xml:space="preserve"> individual drive</w:t>
      </w:r>
      <w:r w:rsidRPr="005E7CA2" w:rsidR="00E102F8">
        <w:rPr>
          <w:szCs w:val="20"/>
        </w:rPr>
        <w:t>r</w:t>
      </w:r>
      <w:r w:rsidRPr="005E7CA2" w:rsidR="007D7BD7">
        <w:rPr>
          <w:szCs w:val="20"/>
        </w:rPr>
        <w:t>'</w:t>
      </w:r>
      <w:r w:rsidRPr="005E7CA2" w:rsidR="00FD63B0">
        <w:rPr>
          <w:szCs w:val="20"/>
        </w:rPr>
        <w:t>s</w:t>
      </w:r>
      <w:r w:rsidRPr="005E7CA2" w:rsidR="00267344">
        <w:rPr>
          <w:szCs w:val="20"/>
        </w:rPr>
        <w:t xml:space="preserve"> drug and alcohol</w:t>
      </w:r>
      <w:r w:rsidRPr="005E7CA2" w:rsidR="00FD63B0">
        <w:rPr>
          <w:szCs w:val="20"/>
        </w:rPr>
        <w:t xml:space="preserve"> test</w:t>
      </w:r>
      <w:r w:rsidRPr="005E7CA2">
        <w:rPr>
          <w:szCs w:val="20"/>
        </w:rPr>
        <w:t xml:space="preserve"> results</w:t>
      </w:r>
      <w:r w:rsidRPr="005E7CA2" w:rsidR="00FD63B0">
        <w:rPr>
          <w:szCs w:val="20"/>
        </w:rPr>
        <w:t xml:space="preserve"> </w:t>
      </w:r>
      <w:r w:rsidRPr="005E7CA2" w:rsidR="00E102F8">
        <w:rPr>
          <w:szCs w:val="20"/>
        </w:rPr>
        <w:t xml:space="preserve">or any other information containing </w:t>
      </w:r>
      <w:r w:rsidRPr="005E7CA2" w:rsidR="00FD63B0">
        <w:rPr>
          <w:szCs w:val="20"/>
        </w:rPr>
        <w:t>personally identifiable information</w:t>
      </w:r>
      <w:r w:rsidRPr="005E7CA2">
        <w:rPr>
          <w:szCs w:val="20"/>
        </w:rPr>
        <w:t>.</w:t>
      </w:r>
    </w:p>
    <w:p w:rsidR="00083A40" w:rsidRPr="005E7CA2" w:rsidP="00083A40" w14:paraId="170B7611" w14:textId="77777777">
      <w:pPr>
        <w:pStyle w:val="NormalWeb"/>
        <w:keepNext/>
        <w:rPr>
          <w:szCs w:val="20"/>
        </w:rPr>
      </w:pPr>
      <w:r w:rsidRPr="005E7CA2">
        <w:rPr>
          <w:b/>
          <w:bCs/>
          <w:szCs w:val="20"/>
        </w:rPr>
        <w:t>17.</w:t>
      </w:r>
      <w:r w:rsidRPr="00F047BB">
        <w:rPr>
          <w:b/>
          <w:bCs/>
          <w:szCs w:val="20"/>
        </w:rPr>
        <w:t xml:space="preserve"> </w:t>
      </w:r>
      <w:r w:rsidRPr="005E7CA2">
        <w:rPr>
          <w:b/>
          <w:bCs/>
          <w:szCs w:val="20"/>
        </w:rPr>
        <w:t>APPROVAL FOR NOT DISPLAYING THE EXPIRATION DATE OF OMB APPROVAL</w:t>
      </w:r>
      <w:r w:rsidRPr="005E7CA2">
        <w:rPr>
          <w:szCs w:val="20"/>
        </w:rPr>
        <w:t xml:space="preserve"> </w:t>
      </w:r>
    </w:p>
    <w:p w:rsidR="00CA02F9" w:rsidRPr="005E7CA2" w:rsidP="00083A40" w14:paraId="27253FD5" w14:textId="53564B21">
      <w:pPr>
        <w:pStyle w:val="NormalWeb"/>
        <w:keepNext/>
        <w:rPr>
          <w:szCs w:val="20"/>
        </w:rPr>
      </w:pPr>
      <w:r w:rsidRPr="005E7CA2">
        <w:rPr>
          <w:szCs w:val="20"/>
        </w:rPr>
        <w:t>FMCS</w:t>
      </w:r>
      <w:r w:rsidRPr="005E7CA2" w:rsidR="00382CA3">
        <w:rPr>
          <w:szCs w:val="20"/>
        </w:rPr>
        <w:t xml:space="preserve">A is not seeking approval to </w:t>
      </w:r>
      <w:r w:rsidRPr="005E7CA2" w:rsidR="00B81A43">
        <w:rPr>
          <w:szCs w:val="20"/>
        </w:rPr>
        <w:t xml:space="preserve">not </w:t>
      </w:r>
      <w:r w:rsidRPr="005E7CA2">
        <w:rPr>
          <w:szCs w:val="20"/>
        </w:rPr>
        <w:t>display the expiration date of OMB approval of the information collection.</w:t>
      </w:r>
    </w:p>
    <w:p w:rsidR="00CA02F9" w:rsidRPr="00F047BB" w14:paraId="27253FD6" w14:textId="3D1766B8">
      <w:pPr>
        <w:pStyle w:val="NormalWeb"/>
        <w:keepNext/>
        <w:rPr>
          <w:b/>
          <w:bCs/>
          <w:szCs w:val="20"/>
        </w:rPr>
      </w:pPr>
      <w:r w:rsidRPr="005E7CA2">
        <w:rPr>
          <w:b/>
          <w:bCs/>
          <w:szCs w:val="20"/>
        </w:rPr>
        <w:t>18.</w:t>
      </w:r>
      <w:r w:rsidRPr="00F047BB">
        <w:rPr>
          <w:b/>
          <w:bCs/>
          <w:szCs w:val="20"/>
        </w:rPr>
        <w:t xml:space="preserve"> </w:t>
      </w:r>
      <w:r w:rsidRPr="005E7CA2" w:rsidR="00083A40">
        <w:rPr>
          <w:b/>
          <w:bCs/>
        </w:rPr>
        <w:t>EXCEPTIONS TO CERTIFICATION STATEMENT</w:t>
      </w:r>
    </w:p>
    <w:p w:rsidR="00CA02F9" w:rsidRPr="00F047BB" w:rsidP="002042D9" w14:paraId="27253FD7" w14:textId="77777777">
      <w:pPr>
        <w:pStyle w:val="NormalWeb"/>
        <w:rPr>
          <w:szCs w:val="20"/>
        </w:rPr>
      </w:pPr>
      <w:r w:rsidRPr="005E7CA2">
        <w:rPr>
          <w:szCs w:val="20"/>
        </w:rPr>
        <w:t>There are no exceptions to the certification statement</w:t>
      </w:r>
      <w:r w:rsidRPr="00F047BB">
        <w:rPr>
          <w:szCs w:val="20"/>
        </w:rPr>
        <w:t>.</w:t>
      </w:r>
    </w:p>
    <w:p w:rsidR="00083A40" w:rsidRPr="005E7CA2" w:rsidP="00083A40" w14:paraId="4B8C97C7" w14:textId="77777777">
      <w:pPr>
        <w:pStyle w:val="NormalWeb"/>
        <w:spacing w:before="0" w:beforeAutospacing="0" w:after="0" w:afterAutospacing="0"/>
        <w:outlineLvl w:val="0"/>
        <w:rPr>
          <w:b/>
          <w:bCs/>
          <w:szCs w:val="20"/>
          <w:u w:val="single"/>
        </w:rPr>
      </w:pPr>
      <w:r w:rsidRPr="005E7CA2">
        <w:rPr>
          <w:b/>
          <w:bCs/>
          <w:szCs w:val="20"/>
          <w:u w:val="single"/>
        </w:rPr>
        <w:t>Part B.  Collections of Information Employing Statistical Methods</w:t>
      </w:r>
    </w:p>
    <w:p w:rsidR="002B5B36" w:rsidRPr="005E7CA2" w:rsidP="002042D9" w14:paraId="27253FDD" w14:textId="295D8528">
      <w:pPr>
        <w:pStyle w:val="NormalWeb"/>
        <w:rPr>
          <w:bCs/>
          <w:szCs w:val="20"/>
        </w:rPr>
      </w:pPr>
      <w:r w:rsidRPr="005E7CA2">
        <w:rPr>
          <w:bCs/>
          <w:szCs w:val="20"/>
        </w:rPr>
        <w:t>This ICR does not employ statistical methodologies.</w:t>
      </w:r>
    </w:p>
    <w:p w:rsidR="0012678C" w:rsidRPr="005E7CA2" w:rsidP="0012678C" w14:paraId="338ACEEE" w14:textId="77777777">
      <w:pPr>
        <w:pStyle w:val="NormalWeb"/>
        <w:rPr>
          <w:b/>
          <w:bCs/>
          <w:szCs w:val="20"/>
        </w:rPr>
      </w:pPr>
      <w:r w:rsidRPr="005E7CA2">
        <w:rPr>
          <w:b/>
          <w:bCs/>
          <w:szCs w:val="20"/>
        </w:rPr>
        <w:t>Attachments</w:t>
      </w:r>
    </w:p>
    <w:p w:rsidR="0012678C" w:rsidRPr="005E7CA2" w:rsidP="0012678C" w14:paraId="2C9F7AD5" w14:textId="77777777">
      <w:pPr>
        <w:pStyle w:val="NormalWeb"/>
        <w:numPr>
          <w:ilvl w:val="0"/>
          <w:numId w:val="15"/>
        </w:numPr>
        <w:spacing w:before="0" w:beforeAutospacing="0" w:after="0" w:afterAutospacing="0"/>
      </w:pPr>
      <w:r w:rsidRPr="005E7CA2">
        <w:t>Final rule (81 FR 87686), December 5, 2016.</w:t>
      </w:r>
    </w:p>
    <w:p w:rsidR="0005065D" w:rsidRPr="005E7CA2" w:rsidP="3CEC01DB" w14:paraId="47212C11" w14:textId="4785D24A">
      <w:pPr>
        <w:pStyle w:val="NormalWeb"/>
        <w:numPr>
          <w:ilvl w:val="0"/>
          <w:numId w:val="15"/>
        </w:numPr>
        <w:spacing w:before="0" w:beforeAutospacing="0" w:after="0" w:afterAutospacing="0"/>
      </w:pPr>
      <w:r>
        <w:t xml:space="preserve">60-day FR </w:t>
      </w:r>
      <w:r w:rsidR="500F98EC">
        <w:t xml:space="preserve">Notice </w:t>
      </w:r>
      <w:r>
        <w:t>(87 FR 66771), November 4, 2022.</w:t>
      </w:r>
    </w:p>
    <w:p w:rsidR="2309F8D3" w:rsidP="3CEC01DB" w14:paraId="6CB702FA" w14:textId="5B7F4E67">
      <w:pPr>
        <w:pStyle w:val="NormalWeb"/>
        <w:numPr>
          <w:ilvl w:val="0"/>
          <w:numId w:val="15"/>
        </w:numPr>
        <w:spacing w:before="0" w:beforeAutospacing="0" w:after="0" w:afterAutospacing="0"/>
      </w:pPr>
      <w:r>
        <w:t xml:space="preserve">30-day FR </w:t>
      </w:r>
      <w:r w:rsidR="48F99CDF">
        <w:t>Notice (ass citation and date once published)</w:t>
      </w:r>
    </w:p>
    <w:p w:rsidR="0012678C" w:rsidRPr="005E7CA2" w:rsidP="0005065D" w14:paraId="5295F6D3" w14:textId="6309285B">
      <w:pPr>
        <w:pStyle w:val="NormalWeb"/>
        <w:numPr>
          <w:ilvl w:val="0"/>
          <w:numId w:val="15"/>
        </w:numPr>
        <w:spacing w:before="0" w:beforeAutospacing="0" w:after="0" w:afterAutospacing="0"/>
      </w:pPr>
      <w:r w:rsidRPr="005E7CA2">
        <w:rPr>
          <w:bCs/>
          <w:szCs w:val="20"/>
        </w:rPr>
        <w:t>Privacy Impact Assessment for the Clearinghouse Final Rule</w:t>
      </w:r>
      <w:r w:rsidRPr="005E7CA2" w:rsidR="0005065D">
        <w:rPr>
          <w:bCs/>
          <w:szCs w:val="20"/>
        </w:rPr>
        <w:t>, June 20, 2019.</w:t>
      </w:r>
    </w:p>
    <w:p w:rsidR="0012678C" w:rsidRPr="005E7CA2" w:rsidP="002042D9" w14:paraId="03CA17B1" w14:textId="7AFB91B4">
      <w:pPr>
        <w:pStyle w:val="NormalWeb"/>
        <w:rPr>
          <w:bCs/>
          <w:szCs w:val="20"/>
        </w:rPr>
      </w:pPr>
    </w:p>
    <w:sectPr w:rsidSect="002F76AA">
      <w:footerReference w:type="even" r:id="rId9"/>
      <w:footerReference w:type="default" r:id="rId10"/>
      <w:footerReference w:type="first" r:id="rId11"/>
      <w:pgSz w:w="12240" w:h="15840" w:code="1"/>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tter Gothic 12cpi">
    <w:altName w:val="Calibri"/>
    <w:panose1 w:val="00000000000000000000"/>
    <w:charset w:val="00"/>
    <w:family w:val="auto"/>
    <w:notTrueType/>
    <w:pitch w:val="default"/>
    <w:sig w:usb0="00000003" w:usb1="00000000" w:usb2="00000000" w:usb3="00000000" w:csb0="00000001" w:csb1="00000000"/>
  </w:font>
  <w:font w:name="PLAIL I+ Century">
    <w:altName w:val="Cambria"/>
    <w:panose1 w:val="00000000000000000000"/>
    <w:charset w:val="00"/>
    <w:family w:val="roman"/>
    <w:notTrueType/>
    <w:pitch w:val="default"/>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6B6D" w14:paraId="27253FE2"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E6B6D" w14:paraId="27253FE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99807049"/>
      <w:docPartObj>
        <w:docPartGallery w:val="Page Numbers (Bottom of Page)"/>
        <w:docPartUnique/>
      </w:docPartObj>
    </w:sdtPr>
    <w:sdtContent>
      <w:p w:rsidR="00EE6B6D" w14:paraId="27253FE4" w14:textId="719DF853">
        <w:pPr>
          <w:pStyle w:val="Footer"/>
          <w:jc w:val="center"/>
        </w:pPr>
        <w:r>
          <w:fldChar w:fldCharType="begin"/>
        </w:r>
        <w:r>
          <w:instrText xml:space="preserve"> PAGE   \* MERGEFORMAT </w:instrText>
        </w:r>
        <w:r>
          <w:fldChar w:fldCharType="separate"/>
        </w:r>
        <w:r w:rsidR="00362EED">
          <w:rPr>
            <w:noProof/>
          </w:rPr>
          <w:t>4</w:t>
        </w:r>
        <w:r>
          <w:rPr>
            <w:noProof/>
          </w:rPr>
          <w:fldChar w:fldCharType="end"/>
        </w:r>
      </w:p>
    </w:sdtContent>
  </w:sdt>
  <w:p w:rsidR="00EE6B6D" w:rsidP="00DF6135" w14:paraId="27253FE5" w14:textId="77777777">
    <w:pPr>
      <w:pStyle w:val="Footer"/>
      <w:tabs>
        <w:tab w:val="clear" w:pos="4320"/>
        <w:tab w:val="clear" w:pos="8640"/>
        <w:tab w:val="right" w:pos="9360"/>
      </w:tabs>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99807048"/>
      <w:docPartObj>
        <w:docPartGallery w:val="Page Numbers (Bottom of Page)"/>
        <w:docPartUnique/>
      </w:docPartObj>
    </w:sdtPr>
    <w:sdtContent>
      <w:p w:rsidR="00EE6B6D" w14:paraId="27253FE6" w14:textId="6CB30AEE">
        <w:pPr>
          <w:pStyle w:val="Footer"/>
          <w:jc w:val="center"/>
        </w:pPr>
        <w:r>
          <w:fldChar w:fldCharType="begin"/>
        </w:r>
        <w:r>
          <w:instrText xml:space="preserve"> PAGE   \* MERGEFORMAT </w:instrText>
        </w:r>
        <w:r>
          <w:fldChar w:fldCharType="separate"/>
        </w:r>
        <w:r w:rsidR="00362EED">
          <w:rPr>
            <w:noProof/>
          </w:rPr>
          <w:t>1</w:t>
        </w:r>
        <w:r>
          <w:rPr>
            <w:noProof/>
          </w:rPr>
          <w:fldChar w:fldCharType="end"/>
        </w:r>
      </w:p>
    </w:sdtContent>
  </w:sdt>
  <w:p w:rsidR="00EE6B6D" w:rsidP="005F0224" w14:paraId="27253FE7" w14:textId="77777777">
    <w:pPr>
      <w:pStyle w:val="Footer"/>
      <w:tabs>
        <w:tab w:val="clear" w:pos="4320"/>
        <w:tab w:val="clear" w:pos="8640"/>
        <w:tab w:val="right" w:pos="936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77865" w14:paraId="1485E938" w14:textId="77777777">
      <w:r>
        <w:separator/>
      </w:r>
    </w:p>
  </w:footnote>
  <w:footnote w:type="continuationSeparator" w:id="1">
    <w:p w:rsidR="00577865" w14:paraId="6793317D" w14:textId="77777777">
      <w:r>
        <w:continuationSeparator/>
      </w:r>
    </w:p>
  </w:footnote>
  <w:footnote w:type="continuationNotice" w:id="2">
    <w:p w:rsidR="00577865" w14:paraId="366B54E2" w14:textId="77777777"/>
  </w:footnote>
  <w:footnote w:id="3">
    <w:p w:rsidR="004C036D" w:rsidRPr="00A834E9" w:rsidP="004C036D" w14:paraId="7EBA2AB9" w14:textId="790F8752">
      <w:pPr>
        <w:pStyle w:val="FootnoteText"/>
      </w:pPr>
      <w:r w:rsidRPr="00A834E9">
        <w:rPr>
          <w:rStyle w:val="FootnoteReference"/>
        </w:rPr>
        <w:footnoteRef/>
      </w:r>
      <w:r w:rsidRPr="00A834E9">
        <w:t xml:space="preserve"> </w:t>
      </w:r>
      <w:r w:rsidRPr="00C8350F">
        <w:t>U.S. Department of Labor (DOL), Bureau of Labor Statistics (BLS).</w:t>
      </w:r>
      <w:r w:rsidRPr="001139BC">
        <w:t xml:space="preserve"> </w:t>
      </w:r>
      <w:r>
        <w:t>“</w:t>
      </w:r>
      <w:r w:rsidRPr="00A834E9">
        <w:t>Occupational Employment Statistics</w:t>
      </w:r>
      <w:r>
        <w:t xml:space="preserve"> (OES). National. </w:t>
      </w:r>
      <w:r w:rsidRPr="00A834E9">
        <w:t xml:space="preserve">May </w:t>
      </w:r>
      <w:r>
        <w:t>2024</w:t>
      </w:r>
      <w:r w:rsidRPr="008C63BB">
        <w:t xml:space="preserve">. </w:t>
      </w:r>
      <w:r w:rsidRPr="004305FC">
        <w:t>National Industry-Specific Occupational Employment and Wage Estimates. NAICS 484000 (Truck Transportation).</w:t>
      </w:r>
      <w:r w:rsidRPr="008C63BB">
        <w:t>”</w:t>
      </w:r>
      <w:r>
        <w:t xml:space="preserve"> </w:t>
      </w:r>
      <w:r w:rsidRPr="00246BEA">
        <w:t xml:space="preserve">Available at: </w:t>
      </w:r>
      <w:hyperlink r:id="rId1" w:anchor="/industry/484000" w:history="1">
        <w:r w:rsidRPr="00C30718">
          <w:rPr>
            <w:rFonts w:ascii="Letter Gothic 12cpi" w:hAnsi="Letter Gothic 12cpi"/>
            <w:color w:val="0000FF"/>
            <w:u w:val="single"/>
          </w:rPr>
          <w:t>Occupational Employment and Wage Statistics</w:t>
        </w:r>
      </w:hyperlink>
      <w:r>
        <w:rPr>
          <w:rFonts w:ascii="Letter Gothic 12cpi" w:hAnsi="Letter Gothic 12cpi"/>
        </w:rPr>
        <w:t xml:space="preserve"> </w:t>
      </w:r>
      <w:r w:rsidRPr="00246BEA">
        <w:t xml:space="preserve">(accessed </w:t>
      </w:r>
      <w:r w:rsidR="00C4073B">
        <w:t>December</w:t>
      </w:r>
      <w:r>
        <w:t xml:space="preserve"> </w:t>
      </w:r>
      <w:r w:rsidR="004F6265">
        <w:t>20</w:t>
      </w:r>
      <w:r>
        <w:t>, 2025</w:t>
      </w:r>
      <w:r w:rsidRPr="00246BEA">
        <w:t>).</w:t>
      </w:r>
    </w:p>
  </w:footnote>
  <w:footnote w:id="4">
    <w:p w:rsidR="004C036D" w:rsidRPr="00A834E9" w:rsidP="004C036D" w14:paraId="4705F1AB" w14:textId="0A85BBDC">
      <w:pPr>
        <w:pStyle w:val="FootnoteText"/>
      </w:pPr>
      <w:r w:rsidRPr="00A834E9">
        <w:rPr>
          <w:rStyle w:val="FootnoteReference"/>
        </w:rPr>
        <w:footnoteRef/>
      </w:r>
      <w:r>
        <w:rPr>
          <w:vertAlign w:val="superscript"/>
        </w:rPr>
        <w:t xml:space="preserve"> </w:t>
      </w:r>
      <w:bookmarkStart w:id="4" w:name="_Hlk208733238"/>
      <w:r w:rsidRPr="00C8350F">
        <w:t>U.S. Department of Labor (DOL), Bureau of Labor Statistics (BLS).</w:t>
      </w:r>
      <w:r w:rsidRPr="00A834E9">
        <w:t xml:space="preserve"> </w:t>
      </w:r>
      <w:r>
        <w:t>“</w:t>
      </w:r>
      <w:r w:rsidRPr="00A834E9">
        <w:t>Employer Costs for Employee Compensation</w:t>
      </w:r>
      <w:r>
        <w:t>- March 2025</w:t>
      </w:r>
      <w:r w:rsidRPr="00A834E9">
        <w:t>.</w:t>
      </w:r>
      <w:r>
        <w:t xml:space="preserve">” </w:t>
      </w:r>
      <w:r w:rsidRPr="00A834E9">
        <w:t xml:space="preserve">Available at: </w:t>
      </w:r>
      <w:hyperlink r:id="rId2" w:history="1">
        <w:r w:rsidRPr="008E3643">
          <w:rPr>
            <w:rFonts w:ascii="Letter Gothic 12cpi" w:hAnsi="Letter Gothic 12cpi"/>
            <w:color w:val="0000FF"/>
            <w:u w:val="single"/>
          </w:rPr>
          <w:t>Employer Costs for Employee Compensation - March 2025</w:t>
        </w:r>
      </w:hyperlink>
      <w:r>
        <w:rPr>
          <w:rFonts w:ascii="Letter Gothic 12cpi" w:hAnsi="Letter Gothic 12cpi"/>
        </w:rPr>
        <w:t xml:space="preserve"> </w:t>
      </w:r>
      <w:r>
        <w:t>(a</w:t>
      </w:r>
      <w:r w:rsidRPr="00A834E9">
        <w:t xml:space="preserve">ccessed </w:t>
      </w:r>
      <w:r w:rsidR="00EF1ABD">
        <w:t>December</w:t>
      </w:r>
      <w:r>
        <w:t xml:space="preserve"> </w:t>
      </w:r>
      <w:r w:rsidR="00EF1ABD">
        <w:t>20</w:t>
      </w:r>
      <w:r>
        <w:t>, 2025)</w:t>
      </w:r>
      <w:r w:rsidRPr="00A834E9">
        <w:t>.</w:t>
      </w:r>
    </w:p>
    <w:bookmarkEnd w:id="4"/>
  </w:footnote>
  <w:footnote w:id="5">
    <w:p w:rsidR="00B30DA9" w:rsidRPr="000F6A01" w:rsidP="00B30DA9" w14:paraId="0DBF978E" w14:textId="15A49B5D">
      <w:pPr>
        <w:pStyle w:val="FootnoteText"/>
      </w:pPr>
      <w:r w:rsidRPr="00761279">
        <w:rPr>
          <w:rStyle w:val="FootnoteReference"/>
        </w:rPr>
        <w:footnoteRef/>
      </w:r>
      <w:r w:rsidRPr="000F6A01">
        <w:t xml:space="preserve"> U.S. Department of Labor (DOL), Bureau of Labor Statistics (BLS). “Occupational Employment Statistics (OES). National. May 20</w:t>
      </w:r>
      <w:r>
        <w:t>20</w:t>
      </w:r>
      <w:r w:rsidRPr="000F6A01">
        <w:t xml:space="preserve">. National Industry-Specific Occupational Employment and Wage Estimates. NAICS 484000 (Truck Transportation).” Available at: </w:t>
      </w:r>
      <w:hyperlink r:id="rId3" w:history="1">
        <w:r w:rsidR="0076246B">
          <w:rPr>
            <w:rStyle w:val="Hyperlink"/>
          </w:rPr>
          <w:t>May 2021 National Occupational Employment and Wage Estimates (bls.gov)</w:t>
        </w:r>
      </w:hyperlink>
      <w:r>
        <w:t xml:space="preserve"> </w:t>
      </w:r>
      <w:r w:rsidRPr="000F6A01">
        <w:t xml:space="preserve">(accessed </w:t>
      </w:r>
      <w:r w:rsidR="0076246B">
        <w:t>February 11</w:t>
      </w:r>
      <w:r w:rsidRPr="000F6A01">
        <w:t>, 20</w:t>
      </w:r>
      <w:r>
        <w:t>22</w:t>
      </w:r>
      <w:r w:rsidRPr="000F6A01">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BD4157"/>
    <w:multiLevelType w:val="hybridMultilevel"/>
    <w:tmpl w:val="F57E72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9E36E31"/>
    <w:multiLevelType w:val="hybridMultilevel"/>
    <w:tmpl w:val="A0042890"/>
    <w:lvl w:ilvl="0">
      <w:start w:val="1"/>
      <w:numFmt w:val="decimal"/>
      <w:lvlText w:val="%1."/>
      <w:lvlJc w:val="left"/>
      <w:pPr>
        <w:tabs>
          <w:tab w:val="num" w:pos="630"/>
        </w:tabs>
        <w:ind w:left="63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D96606B"/>
    <w:multiLevelType w:val="hybridMultilevel"/>
    <w:tmpl w:val="64F2EED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43726DC"/>
    <w:multiLevelType w:val="hybridMultilevel"/>
    <w:tmpl w:val="EAE6296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1CCC6C6B"/>
    <w:multiLevelType w:val="multilevel"/>
    <w:tmpl w:val="2180AF02"/>
    <w:lvl w:ilvl="0">
      <w:start w:val="1"/>
      <w:numFmt w:val="decimal"/>
      <w:pStyle w:val="double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1CE24F02"/>
    <w:multiLevelType w:val="hybridMultilevel"/>
    <w:tmpl w:val="85A0BEA6"/>
    <w:lvl w:ilvl="0">
      <w:start w:val="1"/>
      <w:numFmt w:val="lowerLetter"/>
      <w:lvlText w:val="%1."/>
      <w:lvlJc w:val="left"/>
      <w:pPr>
        <w:ind w:left="1260" w:hanging="360"/>
      </w:pPr>
    </w:lvl>
    <w:lvl w:ilvl="1" w:tentative="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6">
    <w:nsid w:val="1CFD5469"/>
    <w:multiLevelType w:val="hybridMultilevel"/>
    <w:tmpl w:val="CEE60202"/>
    <w:lvl w:ilvl="0">
      <w:start w:val="1"/>
      <w:numFmt w:val="decimal"/>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b/>
        <w:i w:val="0"/>
      </w:rPr>
    </w:lvl>
    <w:lvl w:ilvl="2">
      <w:start w:val="1"/>
      <w:numFmt w:val="bullet"/>
      <w:lvlText w:val=""/>
      <w:lvlJc w:val="left"/>
      <w:pPr>
        <w:tabs>
          <w:tab w:val="num" w:pos="1980"/>
        </w:tabs>
        <w:ind w:left="1980" w:hanging="360"/>
      </w:pPr>
      <w:rPr>
        <w:rFonts w:ascii="Symbol" w:hAnsi="Symbol" w:hint="default"/>
      </w:rPr>
    </w:lvl>
    <w:lvl w:ilvl="3">
      <w:start w:val="1"/>
      <w:numFmt w:val="decimal"/>
      <w:lvlText w:val="%4."/>
      <w:lvlJc w:val="left"/>
      <w:pPr>
        <w:tabs>
          <w:tab w:val="num" w:pos="2520"/>
        </w:tabs>
        <w:ind w:left="2520" w:hanging="360"/>
      </w:pPr>
      <w:rPr>
        <w:rFonts w:hint="default"/>
        <w:b/>
        <w:i w:val="0"/>
      </w:r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7">
    <w:nsid w:val="1E6E26F3"/>
    <w:multiLevelType w:val="hybridMultilevel"/>
    <w:tmpl w:val="64F2EED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FDB4EB5"/>
    <w:multiLevelType w:val="hybridMultilevel"/>
    <w:tmpl w:val="F8602EB2"/>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2558648F"/>
    <w:multiLevelType w:val="hybridMultilevel"/>
    <w:tmpl w:val="D152B2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8D9470C"/>
    <w:multiLevelType w:val="hybridMultilevel"/>
    <w:tmpl w:val="B19E7EB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2C88149D"/>
    <w:multiLevelType w:val="hybridMultilevel"/>
    <w:tmpl w:val="0BDAE79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24B0B4D"/>
    <w:multiLevelType w:val="hybridMultilevel"/>
    <w:tmpl w:val="5C28EA56"/>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3">
    <w:nsid w:val="43D0389B"/>
    <w:multiLevelType w:val="hybridMultilevel"/>
    <w:tmpl w:val="9FC006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25074B3"/>
    <w:multiLevelType w:val="hybridMultilevel"/>
    <w:tmpl w:val="AC26CC6C"/>
    <w:lvl w:ilvl="0">
      <w:start w:val="1"/>
      <w:numFmt w:val="bullet"/>
      <w:lvlText w:val=""/>
      <w:lvlJc w:val="left"/>
      <w:pPr>
        <w:ind w:left="360" w:hanging="360"/>
      </w:pPr>
      <w:rPr>
        <w:rFonts w:ascii="Symbol" w:hAnsi="Symbol" w:hint="default"/>
        <w:b w:val="0"/>
        <w:sz w:val="24"/>
        <w:szCs w:val="24"/>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776C44F3"/>
    <w:multiLevelType w:val="hybridMultilevel"/>
    <w:tmpl w:val="C67C0C14"/>
    <w:lvl w:ilvl="0">
      <w:start w:val="1"/>
      <w:numFmt w:val="bullet"/>
      <w:lvlText w:val=""/>
      <w:lvlJc w:val="left"/>
      <w:pPr>
        <w:tabs>
          <w:tab w:val="num" w:pos="720"/>
        </w:tabs>
        <w:ind w:left="720" w:hanging="360"/>
      </w:pPr>
      <w:rPr>
        <w:rFonts w:ascii="Wingdings 3" w:hAnsi="Wingdings 3" w:hint="default"/>
      </w:rPr>
    </w:lvl>
    <w:lvl w:ilvl="1">
      <w:start w:val="1"/>
      <w:numFmt w:val="bullet"/>
      <w:lvlText w:val=""/>
      <w:lvlJc w:val="left"/>
      <w:pPr>
        <w:tabs>
          <w:tab w:val="num" w:pos="1440"/>
        </w:tabs>
        <w:ind w:left="1440" w:hanging="360"/>
      </w:pPr>
      <w:rPr>
        <w:rFonts w:ascii="Wingdings 3" w:hAnsi="Wingdings 3" w:hint="default"/>
      </w:rPr>
    </w:lvl>
    <w:lvl w:ilvl="2" w:tentative="1">
      <w:start w:val="1"/>
      <w:numFmt w:val="bullet"/>
      <w:lvlText w:val=""/>
      <w:lvlJc w:val="left"/>
      <w:pPr>
        <w:tabs>
          <w:tab w:val="num" w:pos="2160"/>
        </w:tabs>
        <w:ind w:left="2160" w:hanging="360"/>
      </w:pPr>
      <w:rPr>
        <w:rFonts w:ascii="Wingdings 3" w:hAnsi="Wingdings 3" w:hint="default"/>
      </w:rPr>
    </w:lvl>
    <w:lvl w:ilvl="3" w:tentative="1">
      <w:start w:val="1"/>
      <w:numFmt w:val="bullet"/>
      <w:lvlText w:val=""/>
      <w:lvlJc w:val="left"/>
      <w:pPr>
        <w:tabs>
          <w:tab w:val="num" w:pos="2880"/>
        </w:tabs>
        <w:ind w:left="2880" w:hanging="360"/>
      </w:pPr>
      <w:rPr>
        <w:rFonts w:ascii="Wingdings 3" w:hAnsi="Wingdings 3" w:hint="default"/>
      </w:rPr>
    </w:lvl>
    <w:lvl w:ilvl="4" w:tentative="1">
      <w:start w:val="1"/>
      <w:numFmt w:val="bullet"/>
      <w:lvlText w:val=""/>
      <w:lvlJc w:val="left"/>
      <w:pPr>
        <w:tabs>
          <w:tab w:val="num" w:pos="3600"/>
        </w:tabs>
        <w:ind w:left="3600" w:hanging="360"/>
      </w:pPr>
      <w:rPr>
        <w:rFonts w:ascii="Wingdings 3" w:hAnsi="Wingdings 3" w:hint="default"/>
      </w:rPr>
    </w:lvl>
    <w:lvl w:ilvl="5" w:tentative="1">
      <w:start w:val="1"/>
      <w:numFmt w:val="bullet"/>
      <w:lvlText w:val=""/>
      <w:lvlJc w:val="left"/>
      <w:pPr>
        <w:tabs>
          <w:tab w:val="num" w:pos="4320"/>
        </w:tabs>
        <w:ind w:left="4320" w:hanging="360"/>
      </w:pPr>
      <w:rPr>
        <w:rFonts w:ascii="Wingdings 3" w:hAnsi="Wingdings 3" w:hint="default"/>
      </w:rPr>
    </w:lvl>
    <w:lvl w:ilvl="6" w:tentative="1">
      <w:start w:val="1"/>
      <w:numFmt w:val="bullet"/>
      <w:lvlText w:val=""/>
      <w:lvlJc w:val="left"/>
      <w:pPr>
        <w:tabs>
          <w:tab w:val="num" w:pos="5040"/>
        </w:tabs>
        <w:ind w:left="5040" w:hanging="360"/>
      </w:pPr>
      <w:rPr>
        <w:rFonts w:ascii="Wingdings 3" w:hAnsi="Wingdings 3" w:hint="default"/>
      </w:rPr>
    </w:lvl>
    <w:lvl w:ilvl="7" w:tentative="1">
      <w:start w:val="1"/>
      <w:numFmt w:val="bullet"/>
      <w:lvlText w:val=""/>
      <w:lvlJc w:val="left"/>
      <w:pPr>
        <w:tabs>
          <w:tab w:val="num" w:pos="5760"/>
        </w:tabs>
        <w:ind w:left="5760" w:hanging="360"/>
      </w:pPr>
      <w:rPr>
        <w:rFonts w:ascii="Wingdings 3" w:hAnsi="Wingdings 3" w:hint="default"/>
      </w:rPr>
    </w:lvl>
    <w:lvl w:ilvl="8" w:tentative="1">
      <w:start w:val="1"/>
      <w:numFmt w:val="bullet"/>
      <w:lvlText w:val=""/>
      <w:lvlJc w:val="left"/>
      <w:pPr>
        <w:tabs>
          <w:tab w:val="num" w:pos="6480"/>
        </w:tabs>
        <w:ind w:left="6480" w:hanging="360"/>
      </w:pPr>
      <w:rPr>
        <w:rFonts w:ascii="Wingdings 3" w:hAnsi="Wingdings 3" w:hint="default"/>
      </w:rPr>
    </w:lvl>
  </w:abstractNum>
  <w:abstractNum w:abstractNumId="16">
    <w:nsid w:val="7E060422"/>
    <w:multiLevelType w:val="hybridMultilevel"/>
    <w:tmpl w:val="2678147C"/>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7E8B00AA"/>
    <w:multiLevelType w:val="hybridMultilevel"/>
    <w:tmpl w:val="64F2EED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580600629">
    <w:abstractNumId w:val="1"/>
  </w:num>
  <w:num w:numId="2" w16cid:durableId="869339295">
    <w:abstractNumId w:val="4"/>
  </w:num>
  <w:num w:numId="3" w16cid:durableId="1981305626">
    <w:abstractNumId w:val="11"/>
  </w:num>
  <w:num w:numId="4" w16cid:durableId="1246721705">
    <w:abstractNumId w:val="5"/>
  </w:num>
  <w:num w:numId="5" w16cid:durableId="477696089">
    <w:abstractNumId w:val="10"/>
  </w:num>
  <w:num w:numId="6" w16cid:durableId="805513234">
    <w:abstractNumId w:val="3"/>
  </w:num>
  <w:num w:numId="7" w16cid:durableId="2064399745">
    <w:abstractNumId w:val="6"/>
  </w:num>
  <w:num w:numId="8" w16cid:durableId="72775477">
    <w:abstractNumId w:val="8"/>
  </w:num>
  <w:num w:numId="9" w16cid:durableId="1107315848">
    <w:abstractNumId w:val="16"/>
  </w:num>
  <w:num w:numId="10" w16cid:durableId="177161822">
    <w:abstractNumId w:val="0"/>
  </w:num>
  <w:num w:numId="11" w16cid:durableId="599533809">
    <w:abstractNumId w:val="14"/>
  </w:num>
  <w:num w:numId="12" w16cid:durableId="94372399">
    <w:abstractNumId w:val="13"/>
  </w:num>
  <w:num w:numId="13" w16cid:durableId="702560282">
    <w:abstractNumId w:val="15"/>
  </w:num>
  <w:num w:numId="14" w16cid:durableId="191651597">
    <w:abstractNumId w:val="9"/>
  </w:num>
  <w:num w:numId="15" w16cid:durableId="100876644">
    <w:abstractNumId w:val="7"/>
  </w:num>
  <w:num w:numId="16" w16cid:durableId="673193452">
    <w:abstractNumId w:val="17"/>
  </w:num>
  <w:num w:numId="17" w16cid:durableId="1466847308">
    <w:abstractNumId w:val="2"/>
  </w:num>
  <w:num w:numId="18" w16cid:durableId="975842723">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F4A"/>
    <w:rsid w:val="000005F0"/>
    <w:rsid w:val="00000C37"/>
    <w:rsid w:val="0000114F"/>
    <w:rsid w:val="0000128B"/>
    <w:rsid w:val="00002726"/>
    <w:rsid w:val="000030E5"/>
    <w:rsid w:val="0000466C"/>
    <w:rsid w:val="000061C0"/>
    <w:rsid w:val="0001153C"/>
    <w:rsid w:val="00012EFD"/>
    <w:rsid w:val="0001369F"/>
    <w:rsid w:val="00020D66"/>
    <w:rsid w:val="0002394F"/>
    <w:rsid w:val="0002448E"/>
    <w:rsid w:val="000263B7"/>
    <w:rsid w:val="0002689B"/>
    <w:rsid w:val="0002783B"/>
    <w:rsid w:val="00034CA0"/>
    <w:rsid w:val="000355B9"/>
    <w:rsid w:val="00035FC0"/>
    <w:rsid w:val="000374A0"/>
    <w:rsid w:val="00037A76"/>
    <w:rsid w:val="00041790"/>
    <w:rsid w:val="000446DB"/>
    <w:rsid w:val="0005065D"/>
    <w:rsid w:val="00050E06"/>
    <w:rsid w:val="00052D4B"/>
    <w:rsid w:val="0005511D"/>
    <w:rsid w:val="00055FAF"/>
    <w:rsid w:val="00056552"/>
    <w:rsid w:val="00056582"/>
    <w:rsid w:val="000565EB"/>
    <w:rsid w:val="00056E2C"/>
    <w:rsid w:val="00057D8E"/>
    <w:rsid w:val="00062064"/>
    <w:rsid w:val="00063773"/>
    <w:rsid w:val="00065129"/>
    <w:rsid w:val="00066EA6"/>
    <w:rsid w:val="000670BD"/>
    <w:rsid w:val="00074B96"/>
    <w:rsid w:val="000765F3"/>
    <w:rsid w:val="00080DF7"/>
    <w:rsid w:val="0008167C"/>
    <w:rsid w:val="00082AC7"/>
    <w:rsid w:val="000837BE"/>
    <w:rsid w:val="00083A40"/>
    <w:rsid w:val="0008405E"/>
    <w:rsid w:val="00091D8E"/>
    <w:rsid w:val="000929F3"/>
    <w:rsid w:val="00095090"/>
    <w:rsid w:val="00095598"/>
    <w:rsid w:val="000963DC"/>
    <w:rsid w:val="000969AA"/>
    <w:rsid w:val="00097876"/>
    <w:rsid w:val="000A2B9B"/>
    <w:rsid w:val="000A4286"/>
    <w:rsid w:val="000A53F6"/>
    <w:rsid w:val="000A667E"/>
    <w:rsid w:val="000A733C"/>
    <w:rsid w:val="000B0BCA"/>
    <w:rsid w:val="000B0FF7"/>
    <w:rsid w:val="000B38FF"/>
    <w:rsid w:val="000B442D"/>
    <w:rsid w:val="000B7BE2"/>
    <w:rsid w:val="000C0FD5"/>
    <w:rsid w:val="000C21A3"/>
    <w:rsid w:val="000C41A2"/>
    <w:rsid w:val="000C4D29"/>
    <w:rsid w:val="000C5AB8"/>
    <w:rsid w:val="000C7E7A"/>
    <w:rsid w:val="000D244A"/>
    <w:rsid w:val="000D286F"/>
    <w:rsid w:val="000E000C"/>
    <w:rsid w:val="000E05BC"/>
    <w:rsid w:val="000E13D5"/>
    <w:rsid w:val="000E1A47"/>
    <w:rsid w:val="000E1AA2"/>
    <w:rsid w:val="000E2884"/>
    <w:rsid w:val="000E67CE"/>
    <w:rsid w:val="000E7F44"/>
    <w:rsid w:val="000F153F"/>
    <w:rsid w:val="000F16F2"/>
    <w:rsid w:val="000F3862"/>
    <w:rsid w:val="000F3ACC"/>
    <w:rsid w:val="000F4840"/>
    <w:rsid w:val="000F69C1"/>
    <w:rsid w:val="000F6A01"/>
    <w:rsid w:val="000F6B26"/>
    <w:rsid w:val="000F6D36"/>
    <w:rsid w:val="000F6EB2"/>
    <w:rsid w:val="001019CF"/>
    <w:rsid w:val="001028CE"/>
    <w:rsid w:val="00103EDE"/>
    <w:rsid w:val="00104031"/>
    <w:rsid w:val="001070AF"/>
    <w:rsid w:val="001078A7"/>
    <w:rsid w:val="00111B5A"/>
    <w:rsid w:val="001139BC"/>
    <w:rsid w:val="001149F3"/>
    <w:rsid w:val="00117655"/>
    <w:rsid w:val="00124CD1"/>
    <w:rsid w:val="001254FE"/>
    <w:rsid w:val="00125FC6"/>
    <w:rsid w:val="0012678C"/>
    <w:rsid w:val="0013125E"/>
    <w:rsid w:val="00132D20"/>
    <w:rsid w:val="001347AA"/>
    <w:rsid w:val="0013656F"/>
    <w:rsid w:val="00137A27"/>
    <w:rsid w:val="00144015"/>
    <w:rsid w:val="00144E66"/>
    <w:rsid w:val="001466B3"/>
    <w:rsid w:val="00146EE2"/>
    <w:rsid w:val="00153AD6"/>
    <w:rsid w:val="00157EEF"/>
    <w:rsid w:val="001604A2"/>
    <w:rsid w:val="0016127D"/>
    <w:rsid w:val="00164054"/>
    <w:rsid w:val="001648C1"/>
    <w:rsid w:val="001658FD"/>
    <w:rsid w:val="00166F40"/>
    <w:rsid w:val="00171640"/>
    <w:rsid w:val="00172576"/>
    <w:rsid w:val="001732F2"/>
    <w:rsid w:val="00173648"/>
    <w:rsid w:val="001765C3"/>
    <w:rsid w:val="00176E88"/>
    <w:rsid w:val="00181885"/>
    <w:rsid w:val="00192329"/>
    <w:rsid w:val="00193405"/>
    <w:rsid w:val="00196906"/>
    <w:rsid w:val="001A065E"/>
    <w:rsid w:val="001A0803"/>
    <w:rsid w:val="001A11BF"/>
    <w:rsid w:val="001A122F"/>
    <w:rsid w:val="001A1429"/>
    <w:rsid w:val="001A18A5"/>
    <w:rsid w:val="001A5A79"/>
    <w:rsid w:val="001B01E3"/>
    <w:rsid w:val="001B080D"/>
    <w:rsid w:val="001B0B47"/>
    <w:rsid w:val="001B23A3"/>
    <w:rsid w:val="001B5099"/>
    <w:rsid w:val="001B6E8F"/>
    <w:rsid w:val="001C2B34"/>
    <w:rsid w:val="001C316E"/>
    <w:rsid w:val="001D07C0"/>
    <w:rsid w:val="001D0847"/>
    <w:rsid w:val="001D1670"/>
    <w:rsid w:val="001D19CF"/>
    <w:rsid w:val="001D2821"/>
    <w:rsid w:val="001D30DC"/>
    <w:rsid w:val="001D32DE"/>
    <w:rsid w:val="001D5EFA"/>
    <w:rsid w:val="001E2B7A"/>
    <w:rsid w:val="001E2D20"/>
    <w:rsid w:val="001E433E"/>
    <w:rsid w:val="001E4B1F"/>
    <w:rsid w:val="001E4B8B"/>
    <w:rsid w:val="001E6A57"/>
    <w:rsid w:val="001F2D52"/>
    <w:rsid w:val="001F2E7A"/>
    <w:rsid w:val="00200746"/>
    <w:rsid w:val="0020403C"/>
    <w:rsid w:val="002042D9"/>
    <w:rsid w:val="0020494B"/>
    <w:rsid w:val="00204C0A"/>
    <w:rsid w:val="00206E0F"/>
    <w:rsid w:val="00207B57"/>
    <w:rsid w:val="00207C08"/>
    <w:rsid w:val="00214F63"/>
    <w:rsid w:val="00216452"/>
    <w:rsid w:val="00220985"/>
    <w:rsid w:val="00220CFF"/>
    <w:rsid w:val="00222CF1"/>
    <w:rsid w:val="00222F15"/>
    <w:rsid w:val="00223003"/>
    <w:rsid w:val="0022665A"/>
    <w:rsid w:val="002266C0"/>
    <w:rsid w:val="00227EAE"/>
    <w:rsid w:val="00231674"/>
    <w:rsid w:val="002409E2"/>
    <w:rsid w:val="00240D84"/>
    <w:rsid w:val="002411C1"/>
    <w:rsid w:val="002418AC"/>
    <w:rsid w:val="002437DB"/>
    <w:rsid w:val="00243F22"/>
    <w:rsid w:val="00245663"/>
    <w:rsid w:val="00246BEA"/>
    <w:rsid w:val="002539D3"/>
    <w:rsid w:val="0025473E"/>
    <w:rsid w:val="00254CD9"/>
    <w:rsid w:val="00255059"/>
    <w:rsid w:val="00255E37"/>
    <w:rsid w:val="002658DE"/>
    <w:rsid w:val="002661BB"/>
    <w:rsid w:val="00267344"/>
    <w:rsid w:val="00267FB0"/>
    <w:rsid w:val="00271586"/>
    <w:rsid w:val="00272326"/>
    <w:rsid w:val="002735E9"/>
    <w:rsid w:val="00274EA8"/>
    <w:rsid w:val="00282550"/>
    <w:rsid w:val="00282609"/>
    <w:rsid w:val="00282663"/>
    <w:rsid w:val="002857EA"/>
    <w:rsid w:val="00290D76"/>
    <w:rsid w:val="00295A41"/>
    <w:rsid w:val="00295D8A"/>
    <w:rsid w:val="00296C8B"/>
    <w:rsid w:val="002A0F7F"/>
    <w:rsid w:val="002A10F4"/>
    <w:rsid w:val="002A28C9"/>
    <w:rsid w:val="002A32DB"/>
    <w:rsid w:val="002A428B"/>
    <w:rsid w:val="002A4A22"/>
    <w:rsid w:val="002A6A0A"/>
    <w:rsid w:val="002B0311"/>
    <w:rsid w:val="002B5B36"/>
    <w:rsid w:val="002B6E26"/>
    <w:rsid w:val="002B6F56"/>
    <w:rsid w:val="002C27AF"/>
    <w:rsid w:val="002C2F8D"/>
    <w:rsid w:val="002C402B"/>
    <w:rsid w:val="002C4766"/>
    <w:rsid w:val="002C49F6"/>
    <w:rsid w:val="002C57C3"/>
    <w:rsid w:val="002C58C6"/>
    <w:rsid w:val="002C64AF"/>
    <w:rsid w:val="002C7626"/>
    <w:rsid w:val="002C7866"/>
    <w:rsid w:val="002D24EA"/>
    <w:rsid w:val="002D25F6"/>
    <w:rsid w:val="002D29BB"/>
    <w:rsid w:val="002D4D99"/>
    <w:rsid w:val="002D578A"/>
    <w:rsid w:val="002D7985"/>
    <w:rsid w:val="002E0654"/>
    <w:rsid w:val="002E100A"/>
    <w:rsid w:val="002F5824"/>
    <w:rsid w:val="002F5BCF"/>
    <w:rsid w:val="002F76AA"/>
    <w:rsid w:val="003020AC"/>
    <w:rsid w:val="00305E44"/>
    <w:rsid w:val="0030676D"/>
    <w:rsid w:val="0031074F"/>
    <w:rsid w:val="00310DA7"/>
    <w:rsid w:val="003146A7"/>
    <w:rsid w:val="00316786"/>
    <w:rsid w:val="003212D0"/>
    <w:rsid w:val="00325044"/>
    <w:rsid w:val="0032588D"/>
    <w:rsid w:val="003269D4"/>
    <w:rsid w:val="00326D98"/>
    <w:rsid w:val="00332186"/>
    <w:rsid w:val="003323B4"/>
    <w:rsid w:val="003334C3"/>
    <w:rsid w:val="00334EBE"/>
    <w:rsid w:val="0033532E"/>
    <w:rsid w:val="00340010"/>
    <w:rsid w:val="003412C5"/>
    <w:rsid w:val="00342E95"/>
    <w:rsid w:val="00342F52"/>
    <w:rsid w:val="00343458"/>
    <w:rsid w:val="00344553"/>
    <w:rsid w:val="0034529E"/>
    <w:rsid w:val="003466BF"/>
    <w:rsid w:val="00346AD1"/>
    <w:rsid w:val="003518A8"/>
    <w:rsid w:val="00352820"/>
    <w:rsid w:val="0035359A"/>
    <w:rsid w:val="00354386"/>
    <w:rsid w:val="00354EFA"/>
    <w:rsid w:val="0035673F"/>
    <w:rsid w:val="003574DD"/>
    <w:rsid w:val="00362EED"/>
    <w:rsid w:val="0036305D"/>
    <w:rsid w:val="0036408C"/>
    <w:rsid w:val="003673D8"/>
    <w:rsid w:val="00367C37"/>
    <w:rsid w:val="003704F6"/>
    <w:rsid w:val="00373932"/>
    <w:rsid w:val="00373A70"/>
    <w:rsid w:val="00374A96"/>
    <w:rsid w:val="00376EA1"/>
    <w:rsid w:val="003816FB"/>
    <w:rsid w:val="00382C35"/>
    <w:rsid w:val="00382CA3"/>
    <w:rsid w:val="00385199"/>
    <w:rsid w:val="003875A2"/>
    <w:rsid w:val="0039047C"/>
    <w:rsid w:val="0039205B"/>
    <w:rsid w:val="003948D6"/>
    <w:rsid w:val="00395FCC"/>
    <w:rsid w:val="003A5BA5"/>
    <w:rsid w:val="003B0E67"/>
    <w:rsid w:val="003B1124"/>
    <w:rsid w:val="003B148E"/>
    <w:rsid w:val="003B5136"/>
    <w:rsid w:val="003B695F"/>
    <w:rsid w:val="003B7158"/>
    <w:rsid w:val="003C059B"/>
    <w:rsid w:val="003C1616"/>
    <w:rsid w:val="003C4BA9"/>
    <w:rsid w:val="003C510B"/>
    <w:rsid w:val="003C663B"/>
    <w:rsid w:val="003C7E45"/>
    <w:rsid w:val="003D3EF9"/>
    <w:rsid w:val="003D4C1D"/>
    <w:rsid w:val="003D5942"/>
    <w:rsid w:val="003D5959"/>
    <w:rsid w:val="003D7E41"/>
    <w:rsid w:val="003E1873"/>
    <w:rsid w:val="003E2E55"/>
    <w:rsid w:val="003E628E"/>
    <w:rsid w:val="003E7107"/>
    <w:rsid w:val="003F0880"/>
    <w:rsid w:val="003F143D"/>
    <w:rsid w:val="003F408A"/>
    <w:rsid w:val="003F5388"/>
    <w:rsid w:val="003F56CB"/>
    <w:rsid w:val="003F7E51"/>
    <w:rsid w:val="004015FC"/>
    <w:rsid w:val="00403CF0"/>
    <w:rsid w:val="0040447B"/>
    <w:rsid w:val="00405F80"/>
    <w:rsid w:val="00406FE9"/>
    <w:rsid w:val="00407DDA"/>
    <w:rsid w:val="004133CD"/>
    <w:rsid w:val="00414A97"/>
    <w:rsid w:val="004154B1"/>
    <w:rsid w:val="00415707"/>
    <w:rsid w:val="00415CD7"/>
    <w:rsid w:val="00420093"/>
    <w:rsid w:val="0042043E"/>
    <w:rsid w:val="00420990"/>
    <w:rsid w:val="00420A3F"/>
    <w:rsid w:val="00420F14"/>
    <w:rsid w:val="004218F6"/>
    <w:rsid w:val="00421D17"/>
    <w:rsid w:val="004234E6"/>
    <w:rsid w:val="00424689"/>
    <w:rsid w:val="00426EE9"/>
    <w:rsid w:val="00427834"/>
    <w:rsid w:val="00427ACB"/>
    <w:rsid w:val="00427C5A"/>
    <w:rsid w:val="00427CA7"/>
    <w:rsid w:val="00427DCA"/>
    <w:rsid w:val="004305FC"/>
    <w:rsid w:val="00430F53"/>
    <w:rsid w:val="004324A6"/>
    <w:rsid w:val="00433E95"/>
    <w:rsid w:val="004406B5"/>
    <w:rsid w:val="00440A59"/>
    <w:rsid w:val="0044153B"/>
    <w:rsid w:val="0044564F"/>
    <w:rsid w:val="004502AB"/>
    <w:rsid w:val="00452470"/>
    <w:rsid w:val="0045379B"/>
    <w:rsid w:val="004565AA"/>
    <w:rsid w:val="004617F4"/>
    <w:rsid w:val="00463F88"/>
    <w:rsid w:val="00464CF0"/>
    <w:rsid w:val="00466F83"/>
    <w:rsid w:val="00470EAD"/>
    <w:rsid w:val="00470FB2"/>
    <w:rsid w:val="00471EF9"/>
    <w:rsid w:val="00475B2D"/>
    <w:rsid w:val="00477B66"/>
    <w:rsid w:val="004909AF"/>
    <w:rsid w:val="004931FA"/>
    <w:rsid w:val="004934AD"/>
    <w:rsid w:val="0049394B"/>
    <w:rsid w:val="004973D4"/>
    <w:rsid w:val="004A046B"/>
    <w:rsid w:val="004A3584"/>
    <w:rsid w:val="004A40A1"/>
    <w:rsid w:val="004A4274"/>
    <w:rsid w:val="004A4C6C"/>
    <w:rsid w:val="004B02DE"/>
    <w:rsid w:val="004B18AB"/>
    <w:rsid w:val="004B1B47"/>
    <w:rsid w:val="004B3B3F"/>
    <w:rsid w:val="004B4C7C"/>
    <w:rsid w:val="004C036D"/>
    <w:rsid w:val="004C0867"/>
    <w:rsid w:val="004C263E"/>
    <w:rsid w:val="004C4BD0"/>
    <w:rsid w:val="004C5B6E"/>
    <w:rsid w:val="004C6800"/>
    <w:rsid w:val="004C6846"/>
    <w:rsid w:val="004C6EB5"/>
    <w:rsid w:val="004C7792"/>
    <w:rsid w:val="004D1B42"/>
    <w:rsid w:val="004D2D15"/>
    <w:rsid w:val="004D3157"/>
    <w:rsid w:val="004D36E8"/>
    <w:rsid w:val="004D5497"/>
    <w:rsid w:val="004D5B94"/>
    <w:rsid w:val="004E0F4B"/>
    <w:rsid w:val="004E1213"/>
    <w:rsid w:val="004E1716"/>
    <w:rsid w:val="004E350E"/>
    <w:rsid w:val="004E3965"/>
    <w:rsid w:val="004F0321"/>
    <w:rsid w:val="004F0F5B"/>
    <w:rsid w:val="004F2F47"/>
    <w:rsid w:val="004F3127"/>
    <w:rsid w:val="004F5A77"/>
    <w:rsid w:val="004F6082"/>
    <w:rsid w:val="004F6265"/>
    <w:rsid w:val="004F7DDA"/>
    <w:rsid w:val="00501642"/>
    <w:rsid w:val="00502291"/>
    <w:rsid w:val="0050291D"/>
    <w:rsid w:val="00504E1F"/>
    <w:rsid w:val="0050652C"/>
    <w:rsid w:val="0050794A"/>
    <w:rsid w:val="00511052"/>
    <w:rsid w:val="00511C0C"/>
    <w:rsid w:val="005129AA"/>
    <w:rsid w:val="00516679"/>
    <w:rsid w:val="00516D3A"/>
    <w:rsid w:val="005206D3"/>
    <w:rsid w:val="00523F4A"/>
    <w:rsid w:val="00525C5E"/>
    <w:rsid w:val="0052673A"/>
    <w:rsid w:val="00527DE9"/>
    <w:rsid w:val="00531454"/>
    <w:rsid w:val="00531889"/>
    <w:rsid w:val="005321C8"/>
    <w:rsid w:val="00532ED8"/>
    <w:rsid w:val="00533A59"/>
    <w:rsid w:val="00533FAC"/>
    <w:rsid w:val="0053513F"/>
    <w:rsid w:val="00536B4B"/>
    <w:rsid w:val="00537709"/>
    <w:rsid w:val="00537F50"/>
    <w:rsid w:val="00544666"/>
    <w:rsid w:val="00544C50"/>
    <w:rsid w:val="005476D2"/>
    <w:rsid w:val="00547B72"/>
    <w:rsid w:val="00547E02"/>
    <w:rsid w:val="00550B57"/>
    <w:rsid w:val="00551794"/>
    <w:rsid w:val="00553275"/>
    <w:rsid w:val="00553A17"/>
    <w:rsid w:val="00553F74"/>
    <w:rsid w:val="0055620F"/>
    <w:rsid w:val="00557DFE"/>
    <w:rsid w:val="00560F71"/>
    <w:rsid w:val="005612EB"/>
    <w:rsid w:val="00562579"/>
    <w:rsid w:val="00562E2A"/>
    <w:rsid w:val="00564173"/>
    <w:rsid w:val="0056528A"/>
    <w:rsid w:val="00566961"/>
    <w:rsid w:val="00567492"/>
    <w:rsid w:val="00570687"/>
    <w:rsid w:val="00571A9A"/>
    <w:rsid w:val="00574672"/>
    <w:rsid w:val="005757C6"/>
    <w:rsid w:val="00576CA9"/>
    <w:rsid w:val="00577865"/>
    <w:rsid w:val="005809B0"/>
    <w:rsid w:val="00580B6E"/>
    <w:rsid w:val="0058582E"/>
    <w:rsid w:val="00585CC1"/>
    <w:rsid w:val="00585D33"/>
    <w:rsid w:val="005917B7"/>
    <w:rsid w:val="005923C4"/>
    <w:rsid w:val="005951DF"/>
    <w:rsid w:val="00597C20"/>
    <w:rsid w:val="005A0383"/>
    <w:rsid w:val="005A5D3C"/>
    <w:rsid w:val="005A6ADB"/>
    <w:rsid w:val="005A754A"/>
    <w:rsid w:val="005A7E82"/>
    <w:rsid w:val="005B0A2D"/>
    <w:rsid w:val="005B0F84"/>
    <w:rsid w:val="005B1585"/>
    <w:rsid w:val="005B277C"/>
    <w:rsid w:val="005B2811"/>
    <w:rsid w:val="005B36D4"/>
    <w:rsid w:val="005B43D2"/>
    <w:rsid w:val="005B608E"/>
    <w:rsid w:val="005C1F28"/>
    <w:rsid w:val="005C2439"/>
    <w:rsid w:val="005C310C"/>
    <w:rsid w:val="005C3338"/>
    <w:rsid w:val="005C3512"/>
    <w:rsid w:val="005C46C5"/>
    <w:rsid w:val="005C4D7D"/>
    <w:rsid w:val="005C505B"/>
    <w:rsid w:val="005C5ED3"/>
    <w:rsid w:val="005C6C43"/>
    <w:rsid w:val="005C6D67"/>
    <w:rsid w:val="005D146A"/>
    <w:rsid w:val="005D2296"/>
    <w:rsid w:val="005D46FB"/>
    <w:rsid w:val="005D60B6"/>
    <w:rsid w:val="005D6606"/>
    <w:rsid w:val="005D6A98"/>
    <w:rsid w:val="005E3F5E"/>
    <w:rsid w:val="005E4405"/>
    <w:rsid w:val="005E51B9"/>
    <w:rsid w:val="005E55FA"/>
    <w:rsid w:val="005E67BE"/>
    <w:rsid w:val="005E7536"/>
    <w:rsid w:val="005E7CA2"/>
    <w:rsid w:val="005F0224"/>
    <w:rsid w:val="005F19A9"/>
    <w:rsid w:val="005F21B8"/>
    <w:rsid w:val="005F2AA4"/>
    <w:rsid w:val="005F5E78"/>
    <w:rsid w:val="005F5F07"/>
    <w:rsid w:val="005F68D0"/>
    <w:rsid w:val="005F692F"/>
    <w:rsid w:val="00602149"/>
    <w:rsid w:val="0060526B"/>
    <w:rsid w:val="006063CC"/>
    <w:rsid w:val="00606C9F"/>
    <w:rsid w:val="0061220F"/>
    <w:rsid w:val="006168E6"/>
    <w:rsid w:val="006170FB"/>
    <w:rsid w:val="00617E00"/>
    <w:rsid w:val="006216D5"/>
    <w:rsid w:val="00621AB3"/>
    <w:rsid w:val="0062205F"/>
    <w:rsid w:val="0062557E"/>
    <w:rsid w:val="00627881"/>
    <w:rsid w:val="00627984"/>
    <w:rsid w:val="0063086B"/>
    <w:rsid w:val="00630942"/>
    <w:rsid w:val="00635E4A"/>
    <w:rsid w:val="0064048F"/>
    <w:rsid w:val="00641649"/>
    <w:rsid w:val="00641A76"/>
    <w:rsid w:val="00645000"/>
    <w:rsid w:val="006455E8"/>
    <w:rsid w:val="00646B3A"/>
    <w:rsid w:val="006472E0"/>
    <w:rsid w:val="00651100"/>
    <w:rsid w:val="00651126"/>
    <w:rsid w:val="00652872"/>
    <w:rsid w:val="00652F56"/>
    <w:rsid w:val="00654A87"/>
    <w:rsid w:val="00655035"/>
    <w:rsid w:val="00657382"/>
    <w:rsid w:val="006577AC"/>
    <w:rsid w:val="00660EAA"/>
    <w:rsid w:val="00660ED8"/>
    <w:rsid w:val="00661C50"/>
    <w:rsid w:val="00663337"/>
    <w:rsid w:val="006634B6"/>
    <w:rsid w:val="0066632E"/>
    <w:rsid w:val="006674EA"/>
    <w:rsid w:val="006714B2"/>
    <w:rsid w:val="00673E3A"/>
    <w:rsid w:val="0067631C"/>
    <w:rsid w:val="00677AED"/>
    <w:rsid w:val="006807F2"/>
    <w:rsid w:val="00683484"/>
    <w:rsid w:val="006850AA"/>
    <w:rsid w:val="00690D38"/>
    <w:rsid w:val="00691662"/>
    <w:rsid w:val="00694E91"/>
    <w:rsid w:val="006A0FF8"/>
    <w:rsid w:val="006A1906"/>
    <w:rsid w:val="006A30B4"/>
    <w:rsid w:val="006A33C9"/>
    <w:rsid w:val="006A4319"/>
    <w:rsid w:val="006A5094"/>
    <w:rsid w:val="006A60E8"/>
    <w:rsid w:val="006A707A"/>
    <w:rsid w:val="006A7D4A"/>
    <w:rsid w:val="006B1F1B"/>
    <w:rsid w:val="006B2907"/>
    <w:rsid w:val="006B5885"/>
    <w:rsid w:val="006B64FA"/>
    <w:rsid w:val="006C4696"/>
    <w:rsid w:val="006D2084"/>
    <w:rsid w:val="006D20ED"/>
    <w:rsid w:val="006D2D63"/>
    <w:rsid w:val="006D4611"/>
    <w:rsid w:val="006D7812"/>
    <w:rsid w:val="006E0E87"/>
    <w:rsid w:val="006E2D32"/>
    <w:rsid w:val="006E353B"/>
    <w:rsid w:val="006E5E43"/>
    <w:rsid w:val="006F09FE"/>
    <w:rsid w:val="006F139E"/>
    <w:rsid w:val="006F274B"/>
    <w:rsid w:val="006F4AC2"/>
    <w:rsid w:val="006F656C"/>
    <w:rsid w:val="00700F7A"/>
    <w:rsid w:val="00704F0C"/>
    <w:rsid w:val="00706118"/>
    <w:rsid w:val="007114C4"/>
    <w:rsid w:val="0072039D"/>
    <w:rsid w:val="007207D6"/>
    <w:rsid w:val="00720A31"/>
    <w:rsid w:val="00721566"/>
    <w:rsid w:val="0072320B"/>
    <w:rsid w:val="00723467"/>
    <w:rsid w:val="00723FA9"/>
    <w:rsid w:val="007258E9"/>
    <w:rsid w:val="00725DFD"/>
    <w:rsid w:val="007267D2"/>
    <w:rsid w:val="007269D0"/>
    <w:rsid w:val="007279CE"/>
    <w:rsid w:val="007306DD"/>
    <w:rsid w:val="007319C5"/>
    <w:rsid w:val="00735F4A"/>
    <w:rsid w:val="00737255"/>
    <w:rsid w:val="0074206C"/>
    <w:rsid w:val="00742679"/>
    <w:rsid w:val="00743F13"/>
    <w:rsid w:val="00745BBD"/>
    <w:rsid w:val="00746A20"/>
    <w:rsid w:val="00746F04"/>
    <w:rsid w:val="00751EA7"/>
    <w:rsid w:val="007527A9"/>
    <w:rsid w:val="007534C0"/>
    <w:rsid w:val="00755CF4"/>
    <w:rsid w:val="00757B53"/>
    <w:rsid w:val="007603AC"/>
    <w:rsid w:val="00761245"/>
    <w:rsid w:val="00761279"/>
    <w:rsid w:val="00761D75"/>
    <w:rsid w:val="0076246B"/>
    <w:rsid w:val="00762630"/>
    <w:rsid w:val="0076316B"/>
    <w:rsid w:val="007701DB"/>
    <w:rsid w:val="007713B3"/>
    <w:rsid w:val="00771CF0"/>
    <w:rsid w:val="007730D8"/>
    <w:rsid w:val="00773470"/>
    <w:rsid w:val="00773E74"/>
    <w:rsid w:val="0077565C"/>
    <w:rsid w:val="00777823"/>
    <w:rsid w:val="00780E97"/>
    <w:rsid w:val="00783683"/>
    <w:rsid w:val="00784B5B"/>
    <w:rsid w:val="00785155"/>
    <w:rsid w:val="007866BB"/>
    <w:rsid w:val="00787C8F"/>
    <w:rsid w:val="00791D30"/>
    <w:rsid w:val="007956D1"/>
    <w:rsid w:val="00796DA4"/>
    <w:rsid w:val="007A3563"/>
    <w:rsid w:val="007A3E08"/>
    <w:rsid w:val="007A6D11"/>
    <w:rsid w:val="007B2F83"/>
    <w:rsid w:val="007B3F6C"/>
    <w:rsid w:val="007C10DF"/>
    <w:rsid w:val="007C11BE"/>
    <w:rsid w:val="007C1A95"/>
    <w:rsid w:val="007C34D6"/>
    <w:rsid w:val="007C5609"/>
    <w:rsid w:val="007C65C6"/>
    <w:rsid w:val="007D05D3"/>
    <w:rsid w:val="007D12E3"/>
    <w:rsid w:val="007D157B"/>
    <w:rsid w:val="007D57F0"/>
    <w:rsid w:val="007D6529"/>
    <w:rsid w:val="007D7BD7"/>
    <w:rsid w:val="007D7EDE"/>
    <w:rsid w:val="007E03D5"/>
    <w:rsid w:val="007E0A09"/>
    <w:rsid w:val="007E1466"/>
    <w:rsid w:val="007E483C"/>
    <w:rsid w:val="007E5B1B"/>
    <w:rsid w:val="007E65F8"/>
    <w:rsid w:val="007E7418"/>
    <w:rsid w:val="007F038C"/>
    <w:rsid w:val="007F222F"/>
    <w:rsid w:val="007F534E"/>
    <w:rsid w:val="007F69EE"/>
    <w:rsid w:val="00800133"/>
    <w:rsid w:val="00801C59"/>
    <w:rsid w:val="008020EF"/>
    <w:rsid w:val="008055B5"/>
    <w:rsid w:val="008123C6"/>
    <w:rsid w:val="008126D4"/>
    <w:rsid w:val="00812E6B"/>
    <w:rsid w:val="00815698"/>
    <w:rsid w:val="008166AA"/>
    <w:rsid w:val="00816E9B"/>
    <w:rsid w:val="00817932"/>
    <w:rsid w:val="00821595"/>
    <w:rsid w:val="008215F7"/>
    <w:rsid w:val="00821F93"/>
    <w:rsid w:val="008223D8"/>
    <w:rsid w:val="00822518"/>
    <w:rsid w:val="00822726"/>
    <w:rsid w:val="00822E77"/>
    <w:rsid w:val="00824A14"/>
    <w:rsid w:val="00825B41"/>
    <w:rsid w:val="00826615"/>
    <w:rsid w:val="00827356"/>
    <w:rsid w:val="0083009D"/>
    <w:rsid w:val="008317F3"/>
    <w:rsid w:val="00831BC9"/>
    <w:rsid w:val="00833790"/>
    <w:rsid w:val="00835E10"/>
    <w:rsid w:val="00841264"/>
    <w:rsid w:val="008416AB"/>
    <w:rsid w:val="00841A8B"/>
    <w:rsid w:val="00841F67"/>
    <w:rsid w:val="00842ACA"/>
    <w:rsid w:val="00843BDB"/>
    <w:rsid w:val="0084455D"/>
    <w:rsid w:val="00845100"/>
    <w:rsid w:val="00845A51"/>
    <w:rsid w:val="0085116B"/>
    <w:rsid w:val="00856A14"/>
    <w:rsid w:val="00856D4B"/>
    <w:rsid w:val="0086115B"/>
    <w:rsid w:val="00861364"/>
    <w:rsid w:val="008628BE"/>
    <w:rsid w:val="00862CB5"/>
    <w:rsid w:val="00863D11"/>
    <w:rsid w:val="0086403D"/>
    <w:rsid w:val="00866471"/>
    <w:rsid w:val="0086655A"/>
    <w:rsid w:val="00870B80"/>
    <w:rsid w:val="008711B3"/>
    <w:rsid w:val="00873982"/>
    <w:rsid w:val="0087779E"/>
    <w:rsid w:val="008800AC"/>
    <w:rsid w:val="008807BE"/>
    <w:rsid w:val="008868C4"/>
    <w:rsid w:val="00886C3E"/>
    <w:rsid w:val="00887653"/>
    <w:rsid w:val="00890157"/>
    <w:rsid w:val="00892A33"/>
    <w:rsid w:val="00895CF3"/>
    <w:rsid w:val="00896160"/>
    <w:rsid w:val="00896DE4"/>
    <w:rsid w:val="008A2258"/>
    <w:rsid w:val="008A62A1"/>
    <w:rsid w:val="008A79CF"/>
    <w:rsid w:val="008A7CA1"/>
    <w:rsid w:val="008B03F2"/>
    <w:rsid w:val="008B370C"/>
    <w:rsid w:val="008B5C52"/>
    <w:rsid w:val="008C1770"/>
    <w:rsid w:val="008C1856"/>
    <w:rsid w:val="008C1A04"/>
    <w:rsid w:val="008C26BA"/>
    <w:rsid w:val="008C3607"/>
    <w:rsid w:val="008C3BEA"/>
    <w:rsid w:val="008C63BB"/>
    <w:rsid w:val="008C7AEB"/>
    <w:rsid w:val="008D2500"/>
    <w:rsid w:val="008D4916"/>
    <w:rsid w:val="008D54ED"/>
    <w:rsid w:val="008D686A"/>
    <w:rsid w:val="008E1B2F"/>
    <w:rsid w:val="008E3643"/>
    <w:rsid w:val="008E3694"/>
    <w:rsid w:val="008E43FA"/>
    <w:rsid w:val="008F2434"/>
    <w:rsid w:val="008F247E"/>
    <w:rsid w:val="008F41E4"/>
    <w:rsid w:val="008F5F31"/>
    <w:rsid w:val="008F6B22"/>
    <w:rsid w:val="008F6FE3"/>
    <w:rsid w:val="008F718D"/>
    <w:rsid w:val="008F7D7D"/>
    <w:rsid w:val="00903CBA"/>
    <w:rsid w:val="0091219C"/>
    <w:rsid w:val="0091533A"/>
    <w:rsid w:val="009167DC"/>
    <w:rsid w:val="00920383"/>
    <w:rsid w:val="00920595"/>
    <w:rsid w:val="009213CC"/>
    <w:rsid w:val="009221B4"/>
    <w:rsid w:val="009221F5"/>
    <w:rsid w:val="009234C8"/>
    <w:rsid w:val="00923D31"/>
    <w:rsid w:val="00924D0B"/>
    <w:rsid w:val="00926714"/>
    <w:rsid w:val="009271EA"/>
    <w:rsid w:val="0093337F"/>
    <w:rsid w:val="009340E7"/>
    <w:rsid w:val="00934B6A"/>
    <w:rsid w:val="00934EAC"/>
    <w:rsid w:val="009358ED"/>
    <w:rsid w:val="00936010"/>
    <w:rsid w:val="00937A99"/>
    <w:rsid w:val="00940DEB"/>
    <w:rsid w:val="00942EDF"/>
    <w:rsid w:val="00942FB1"/>
    <w:rsid w:val="00943E32"/>
    <w:rsid w:val="00950181"/>
    <w:rsid w:val="009506E6"/>
    <w:rsid w:val="00953C38"/>
    <w:rsid w:val="00954F14"/>
    <w:rsid w:val="00955DBE"/>
    <w:rsid w:val="009578BD"/>
    <w:rsid w:val="00964223"/>
    <w:rsid w:val="00966433"/>
    <w:rsid w:val="00967DA4"/>
    <w:rsid w:val="009723B7"/>
    <w:rsid w:val="00976A7E"/>
    <w:rsid w:val="00976BBB"/>
    <w:rsid w:val="00976C50"/>
    <w:rsid w:val="00977BBD"/>
    <w:rsid w:val="00980CDA"/>
    <w:rsid w:val="00981892"/>
    <w:rsid w:val="00983E2C"/>
    <w:rsid w:val="00984FCD"/>
    <w:rsid w:val="00985062"/>
    <w:rsid w:val="00986520"/>
    <w:rsid w:val="0098701A"/>
    <w:rsid w:val="00987B09"/>
    <w:rsid w:val="009901D2"/>
    <w:rsid w:val="00991C08"/>
    <w:rsid w:val="00991D3F"/>
    <w:rsid w:val="009921D8"/>
    <w:rsid w:val="00992DDE"/>
    <w:rsid w:val="00997194"/>
    <w:rsid w:val="00997C9C"/>
    <w:rsid w:val="00997E35"/>
    <w:rsid w:val="00997F6E"/>
    <w:rsid w:val="009A4E23"/>
    <w:rsid w:val="009A5EF4"/>
    <w:rsid w:val="009A5FB4"/>
    <w:rsid w:val="009A60C1"/>
    <w:rsid w:val="009B103F"/>
    <w:rsid w:val="009B2611"/>
    <w:rsid w:val="009B333A"/>
    <w:rsid w:val="009B498F"/>
    <w:rsid w:val="009B5B6F"/>
    <w:rsid w:val="009B7BB3"/>
    <w:rsid w:val="009C15D5"/>
    <w:rsid w:val="009C2039"/>
    <w:rsid w:val="009C3B72"/>
    <w:rsid w:val="009C6424"/>
    <w:rsid w:val="009C7136"/>
    <w:rsid w:val="009C7844"/>
    <w:rsid w:val="009D0A14"/>
    <w:rsid w:val="009D2628"/>
    <w:rsid w:val="009D304D"/>
    <w:rsid w:val="009D3F19"/>
    <w:rsid w:val="009E0C14"/>
    <w:rsid w:val="009E43F8"/>
    <w:rsid w:val="009E5A68"/>
    <w:rsid w:val="009E6AA9"/>
    <w:rsid w:val="009F4A3A"/>
    <w:rsid w:val="009F71BE"/>
    <w:rsid w:val="009F71DA"/>
    <w:rsid w:val="009F7806"/>
    <w:rsid w:val="00A00E6B"/>
    <w:rsid w:val="00A045FA"/>
    <w:rsid w:val="00A0483B"/>
    <w:rsid w:val="00A050CA"/>
    <w:rsid w:val="00A05765"/>
    <w:rsid w:val="00A05D51"/>
    <w:rsid w:val="00A115DC"/>
    <w:rsid w:val="00A12E7C"/>
    <w:rsid w:val="00A13018"/>
    <w:rsid w:val="00A13EB7"/>
    <w:rsid w:val="00A157D6"/>
    <w:rsid w:val="00A17228"/>
    <w:rsid w:val="00A24B31"/>
    <w:rsid w:val="00A25F84"/>
    <w:rsid w:val="00A26035"/>
    <w:rsid w:val="00A313AD"/>
    <w:rsid w:val="00A32988"/>
    <w:rsid w:val="00A32AD5"/>
    <w:rsid w:val="00A35164"/>
    <w:rsid w:val="00A37455"/>
    <w:rsid w:val="00A40313"/>
    <w:rsid w:val="00A41374"/>
    <w:rsid w:val="00A43574"/>
    <w:rsid w:val="00A45EB3"/>
    <w:rsid w:val="00A46022"/>
    <w:rsid w:val="00A46BD1"/>
    <w:rsid w:val="00A47E3B"/>
    <w:rsid w:val="00A505D4"/>
    <w:rsid w:val="00A50AF1"/>
    <w:rsid w:val="00A50B1A"/>
    <w:rsid w:val="00A53F21"/>
    <w:rsid w:val="00A55841"/>
    <w:rsid w:val="00A558B6"/>
    <w:rsid w:val="00A578B9"/>
    <w:rsid w:val="00A6498E"/>
    <w:rsid w:val="00A64AF3"/>
    <w:rsid w:val="00A64EFE"/>
    <w:rsid w:val="00A66805"/>
    <w:rsid w:val="00A676C7"/>
    <w:rsid w:val="00A709D7"/>
    <w:rsid w:val="00A7229F"/>
    <w:rsid w:val="00A73116"/>
    <w:rsid w:val="00A75AB0"/>
    <w:rsid w:val="00A766C6"/>
    <w:rsid w:val="00A8244F"/>
    <w:rsid w:val="00A834E9"/>
    <w:rsid w:val="00A8489B"/>
    <w:rsid w:val="00A855E6"/>
    <w:rsid w:val="00A90623"/>
    <w:rsid w:val="00A93402"/>
    <w:rsid w:val="00A94C72"/>
    <w:rsid w:val="00A970B6"/>
    <w:rsid w:val="00A97342"/>
    <w:rsid w:val="00A9762D"/>
    <w:rsid w:val="00AA0D65"/>
    <w:rsid w:val="00AA670E"/>
    <w:rsid w:val="00AB15A6"/>
    <w:rsid w:val="00AB1F99"/>
    <w:rsid w:val="00AB20BF"/>
    <w:rsid w:val="00AB216E"/>
    <w:rsid w:val="00AB383D"/>
    <w:rsid w:val="00AB3A76"/>
    <w:rsid w:val="00AB3C5B"/>
    <w:rsid w:val="00AB5D00"/>
    <w:rsid w:val="00AB7BB5"/>
    <w:rsid w:val="00AC0495"/>
    <w:rsid w:val="00AC0F8B"/>
    <w:rsid w:val="00AC112A"/>
    <w:rsid w:val="00AC3846"/>
    <w:rsid w:val="00AC4535"/>
    <w:rsid w:val="00AC5B26"/>
    <w:rsid w:val="00AC6106"/>
    <w:rsid w:val="00AD0FC7"/>
    <w:rsid w:val="00AD3E7B"/>
    <w:rsid w:val="00AD557E"/>
    <w:rsid w:val="00AD7857"/>
    <w:rsid w:val="00AE0676"/>
    <w:rsid w:val="00AE1333"/>
    <w:rsid w:val="00AE1B52"/>
    <w:rsid w:val="00AE4046"/>
    <w:rsid w:val="00AE6314"/>
    <w:rsid w:val="00AE7FC2"/>
    <w:rsid w:val="00AF1A96"/>
    <w:rsid w:val="00AF49A2"/>
    <w:rsid w:val="00AF5D38"/>
    <w:rsid w:val="00AF5F02"/>
    <w:rsid w:val="00AF712D"/>
    <w:rsid w:val="00AF75DD"/>
    <w:rsid w:val="00B00CCF"/>
    <w:rsid w:val="00B05FF7"/>
    <w:rsid w:val="00B06F63"/>
    <w:rsid w:val="00B11CA8"/>
    <w:rsid w:val="00B14378"/>
    <w:rsid w:val="00B15C3B"/>
    <w:rsid w:val="00B22D92"/>
    <w:rsid w:val="00B22F04"/>
    <w:rsid w:val="00B24F3E"/>
    <w:rsid w:val="00B25A77"/>
    <w:rsid w:val="00B25FFA"/>
    <w:rsid w:val="00B30DA9"/>
    <w:rsid w:val="00B32378"/>
    <w:rsid w:val="00B327FD"/>
    <w:rsid w:val="00B3425E"/>
    <w:rsid w:val="00B34648"/>
    <w:rsid w:val="00B3556D"/>
    <w:rsid w:val="00B3601E"/>
    <w:rsid w:val="00B400D0"/>
    <w:rsid w:val="00B424A1"/>
    <w:rsid w:val="00B4296F"/>
    <w:rsid w:val="00B4583A"/>
    <w:rsid w:val="00B462F0"/>
    <w:rsid w:val="00B46C48"/>
    <w:rsid w:val="00B46E1D"/>
    <w:rsid w:val="00B50B69"/>
    <w:rsid w:val="00B52E0A"/>
    <w:rsid w:val="00B60B0F"/>
    <w:rsid w:val="00B625AD"/>
    <w:rsid w:val="00B63BBA"/>
    <w:rsid w:val="00B6411B"/>
    <w:rsid w:val="00B652F9"/>
    <w:rsid w:val="00B72436"/>
    <w:rsid w:val="00B726C0"/>
    <w:rsid w:val="00B74814"/>
    <w:rsid w:val="00B757CD"/>
    <w:rsid w:val="00B763DD"/>
    <w:rsid w:val="00B76418"/>
    <w:rsid w:val="00B76DF8"/>
    <w:rsid w:val="00B80300"/>
    <w:rsid w:val="00B80684"/>
    <w:rsid w:val="00B809EC"/>
    <w:rsid w:val="00B81A43"/>
    <w:rsid w:val="00B81C4E"/>
    <w:rsid w:val="00B8288D"/>
    <w:rsid w:val="00B834B2"/>
    <w:rsid w:val="00B91B1F"/>
    <w:rsid w:val="00B92B29"/>
    <w:rsid w:val="00B9415B"/>
    <w:rsid w:val="00B953E1"/>
    <w:rsid w:val="00B9581C"/>
    <w:rsid w:val="00B96289"/>
    <w:rsid w:val="00B9708A"/>
    <w:rsid w:val="00BA1C54"/>
    <w:rsid w:val="00BA27E9"/>
    <w:rsid w:val="00BA6CAC"/>
    <w:rsid w:val="00BA7AA0"/>
    <w:rsid w:val="00BB0357"/>
    <w:rsid w:val="00BB053D"/>
    <w:rsid w:val="00BB3E50"/>
    <w:rsid w:val="00BB4D78"/>
    <w:rsid w:val="00BB50A2"/>
    <w:rsid w:val="00BB6161"/>
    <w:rsid w:val="00BB702C"/>
    <w:rsid w:val="00BB75D5"/>
    <w:rsid w:val="00BC0E7B"/>
    <w:rsid w:val="00BC1DB1"/>
    <w:rsid w:val="00BC34A1"/>
    <w:rsid w:val="00BC3BA9"/>
    <w:rsid w:val="00BC6D98"/>
    <w:rsid w:val="00BC7591"/>
    <w:rsid w:val="00BD77F6"/>
    <w:rsid w:val="00BD7BA5"/>
    <w:rsid w:val="00BE06BD"/>
    <w:rsid w:val="00BE1499"/>
    <w:rsid w:val="00BE1A85"/>
    <w:rsid w:val="00BE1CD2"/>
    <w:rsid w:val="00BE2FDA"/>
    <w:rsid w:val="00BE459B"/>
    <w:rsid w:val="00BE7F54"/>
    <w:rsid w:val="00BF6FF1"/>
    <w:rsid w:val="00C000F3"/>
    <w:rsid w:val="00C00EAC"/>
    <w:rsid w:val="00C01B82"/>
    <w:rsid w:val="00C01CCA"/>
    <w:rsid w:val="00C023F3"/>
    <w:rsid w:val="00C02AB6"/>
    <w:rsid w:val="00C03182"/>
    <w:rsid w:val="00C03573"/>
    <w:rsid w:val="00C03DEF"/>
    <w:rsid w:val="00C044A9"/>
    <w:rsid w:val="00C059FD"/>
    <w:rsid w:val="00C061F2"/>
    <w:rsid w:val="00C10233"/>
    <w:rsid w:val="00C13B7A"/>
    <w:rsid w:val="00C1468A"/>
    <w:rsid w:val="00C14920"/>
    <w:rsid w:val="00C150E7"/>
    <w:rsid w:val="00C15E12"/>
    <w:rsid w:val="00C16465"/>
    <w:rsid w:val="00C1670D"/>
    <w:rsid w:val="00C254DC"/>
    <w:rsid w:val="00C262BA"/>
    <w:rsid w:val="00C26A5A"/>
    <w:rsid w:val="00C30718"/>
    <w:rsid w:val="00C313E6"/>
    <w:rsid w:val="00C31417"/>
    <w:rsid w:val="00C320D6"/>
    <w:rsid w:val="00C32298"/>
    <w:rsid w:val="00C37049"/>
    <w:rsid w:val="00C4073B"/>
    <w:rsid w:val="00C416E1"/>
    <w:rsid w:val="00C4463C"/>
    <w:rsid w:val="00C4686B"/>
    <w:rsid w:val="00C47F50"/>
    <w:rsid w:val="00C54376"/>
    <w:rsid w:val="00C54799"/>
    <w:rsid w:val="00C5708B"/>
    <w:rsid w:val="00C6027D"/>
    <w:rsid w:val="00C60A0F"/>
    <w:rsid w:val="00C73AAC"/>
    <w:rsid w:val="00C75931"/>
    <w:rsid w:val="00C7610C"/>
    <w:rsid w:val="00C77228"/>
    <w:rsid w:val="00C80888"/>
    <w:rsid w:val="00C832D6"/>
    <w:rsid w:val="00C8350F"/>
    <w:rsid w:val="00C86E9D"/>
    <w:rsid w:val="00C905E3"/>
    <w:rsid w:val="00C90FB9"/>
    <w:rsid w:val="00C9162C"/>
    <w:rsid w:val="00C92937"/>
    <w:rsid w:val="00C92C0C"/>
    <w:rsid w:val="00C94F51"/>
    <w:rsid w:val="00C953C4"/>
    <w:rsid w:val="00C958D1"/>
    <w:rsid w:val="00C97AF0"/>
    <w:rsid w:val="00C97CB6"/>
    <w:rsid w:val="00CA02F9"/>
    <w:rsid w:val="00CA0B94"/>
    <w:rsid w:val="00CA1F5B"/>
    <w:rsid w:val="00CA2EB5"/>
    <w:rsid w:val="00CA3975"/>
    <w:rsid w:val="00CB2C5D"/>
    <w:rsid w:val="00CB406E"/>
    <w:rsid w:val="00CB4915"/>
    <w:rsid w:val="00CC1ADB"/>
    <w:rsid w:val="00CC260F"/>
    <w:rsid w:val="00CC282F"/>
    <w:rsid w:val="00CC43D6"/>
    <w:rsid w:val="00CC4773"/>
    <w:rsid w:val="00CC678C"/>
    <w:rsid w:val="00CC67C2"/>
    <w:rsid w:val="00CC7A21"/>
    <w:rsid w:val="00CD076B"/>
    <w:rsid w:val="00CD132A"/>
    <w:rsid w:val="00CD17D4"/>
    <w:rsid w:val="00CD5966"/>
    <w:rsid w:val="00CD5EF9"/>
    <w:rsid w:val="00CD7B7F"/>
    <w:rsid w:val="00CD7F0E"/>
    <w:rsid w:val="00CE0633"/>
    <w:rsid w:val="00CE0828"/>
    <w:rsid w:val="00CE298E"/>
    <w:rsid w:val="00CE5987"/>
    <w:rsid w:val="00CE66D6"/>
    <w:rsid w:val="00CE7239"/>
    <w:rsid w:val="00CF1ED0"/>
    <w:rsid w:val="00CF2497"/>
    <w:rsid w:val="00CF253C"/>
    <w:rsid w:val="00CF516B"/>
    <w:rsid w:val="00D00F23"/>
    <w:rsid w:val="00D01323"/>
    <w:rsid w:val="00D059E5"/>
    <w:rsid w:val="00D073C8"/>
    <w:rsid w:val="00D17C0D"/>
    <w:rsid w:val="00D2006F"/>
    <w:rsid w:val="00D2577C"/>
    <w:rsid w:val="00D25850"/>
    <w:rsid w:val="00D25E01"/>
    <w:rsid w:val="00D26022"/>
    <w:rsid w:val="00D26380"/>
    <w:rsid w:val="00D31036"/>
    <w:rsid w:val="00D3273F"/>
    <w:rsid w:val="00D33D2B"/>
    <w:rsid w:val="00D349C0"/>
    <w:rsid w:val="00D42940"/>
    <w:rsid w:val="00D438F1"/>
    <w:rsid w:val="00D50376"/>
    <w:rsid w:val="00D50537"/>
    <w:rsid w:val="00D51E8D"/>
    <w:rsid w:val="00D52A29"/>
    <w:rsid w:val="00D55DBD"/>
    <w:rsid w:val="00D573EF"/>
    <w:rsid w:val="00D6055F"/>
    <w:rsid w:val="00D60748"/>
    <w:rsid w:val="00D6174F"/>
    <w:rsid w:val="00D61A57"/>
    <w:rsid w:val="00D63B56"/>
    <w:rsid w:val="00D67C87"/>
    <w:rsid w:val="00D70638"/>
    <w:rsid w:val="00D706EC"/>
    <w:rsid w:val="00D70A0F"/>
    <w:rsid w:val="00D75D2A"/>
    <w:rsid w:val="00D765B1"/>
    <w:rsid w:val="00D76BA6"/>
    <w:rsid w:val="00D774D2"/>
    <w:rsid w:val="00D80230"/>
    <w:rsid w:val="00D805AD"/>
    <w:rsid w:val="00D81160"/>
    <w:rsid w:val="00D814F7"/>
    <w:rsid w:val="00D86628"/>
    <w:rsid w:val="00D9248E"/>
    <w:rsid w:val="00D92736"/>
    <w:rsid w:val="00D9366B"/>
    <w:rsid w:val="00D9373F"/>
    <w:rsid w:val="00D972F7"/>
    <w:rsid w:val="00DA0F94"/>
    <w:rsid w:val="00DA111B"/>
    <w:rsid w:val="00DA14F5"/>
    <w:rsid w:val="00DA2B10"/>
    <w:rsid w:val="00DA2E76"/>
    <w:rsid w:val="00DA3269"/>
    <w:rsid w:val="00DA33A9"/>
    <w:rsid w:val="00DB1A0F"/>
    <w:rsid w:val="00DB25B2"/>
    <w:rsid w:val="00DB2D6C"/>
    <w:rsid w:val="00DB35EC"/>
    <w:rsid w:val="00DB4822"/>
    <w:rsid w:val="00DB512A"/>
    <w:rsid w:val="00DC1A1F"/>
    <w:rsid w:val="00DC46EC"/>
    <w:rsid w:val="00DC6E87"/>
    <w:rsid w:val="00DD1583"/>
    <w:rsid w:val="00DD16C9"/>
    <w:rsid w:val="00DD3810"/>
    <w:rsid w:val="00DD3EF2"/>
    <w:rsid w:val="00DD5170"/>
    <w:rsid w:val="00DD5B15"/>
    <w:rsid w:val="00DD6B98"/>
    <w:rsid w:val="00DD6F0A"/>
    <w:rsid w:val="00DE13A5"/>
    <w:rsid w:val="00DE157C"/>
    <w:rsid w:val="00DE1AC7"/>
    <w:rsid w:val="00DE3709"/>
    <w:rsid w:val="00DE4120"/>
    <w:rsid w:val="00DE4853"/>
    <w:rsid w:val="00DE487A"/>
    <w:rsid w:val="00DE57AA"/>
    <w:rsid w:val="00DF1582"/>
    <w:rsid w:val="00DF1FC1"/>
    <w:rsid w:val="00DF336E"/>
    <w:rsid w:val="00DF3C3E"/>
    <w:rsid w:val="00DF50AA"/>
    <w:rsid w:val="00DF6135"/>
    <w:rsid w:val="00E01436"/>
    <w:rsid w:val="00E02372"/>
    <w:rsid w:val="00E0493B"/>
    <w:rsid w:val="00E056D1"/>
    <w:rsid w:val="00E0600E"/>
    <w:rsid w:val="00E102F8"/>
    <w:rsid w:val="00E11F61"/>
    <w:rsid w:val="00E13ADD"/>
    <w:rsid w:val="00E148CD"/>
    <w:rsid w:val="00E14C53"/>
    <w:rsid w:val="00E14D7D"/>
    <w:rsid w:val="00E15B45"/>
    <w:rsid w:val="00E15E39"/>
    <w:rsid w:val="00E17164"/>
    <w:rsid w:val="00E21181"/>
    <w:rsid w:val="00E2136B"/>
    <w:rsid w:val="00E21D24"/>
    <w:rsid w:val="00E22A21"/>
    <w:rsid w:val="00E2425B"/>
    <w:rsid w:val="00E25A53"/>
    <w:rsid w:val="00E2764A"/>
    <w:rsid w:val="00E307F1"/>
    <w:rsid w:val="00E32433"/>
    <w:rsid w:val="00E32715"/>
    <w:rsid w:val="00E35BE6"/>
    <w:rsid w:val="00E35CEC"/>
    <w:rsid w:val="00E36603"/>
    <w:rsid w:val="00E36DEF"/>
    <w:rsid w:val="00E406DE"/>
    <w:rsid w:val="00E415C3"/>
    <w:rsid w:val="00E423A9"/>
    <w:rsid w:val="00E437B5"/>
    <w:rsid w:val="00E459DA"/>
    <w:rsid w:val="00E47BF7"/>
    <w:rsid w:val="00E51ECA"/>
    <w:rsid w:val="00E53F07"/>
    <w:rsid w:val="00E544C0"/>
    <w:rsid w:val="00E57F40"/>
    <w:rsid w:val="00E61531"/>
    <w:rsid w:val="00E61704"/>
    <w:rsid w:val="00E6374C"/>
    <w:rsid w:val="00E6418B"/>
    <w:rsid w:val="00E66455"/>
    <w:rsid w:val="00E670F5"/>
    <w:rsid w:val="00E714BB"/>
    <w:rsid w:val="00E71BD0"/>
    <w:rsid w:val="00E71ECC"/>
    <w:rsid w:val="00E72B72"/>
    <w:rsid w:val="00E73B3B"/>
    <w:rsid w:val="00E74282"/>
    <w:rsid w:val="00E7472A"/>
    <w:rsid w:val="00E9075E"/>
    <w:rsid w:val="00E93E61"/>
    <w:rsid w:val="00E94843"/>
    <w:rsid w:val="00E9752C"/>
    <w:rsid w:val="00E979E2"/>
    <w:rsid w:val="00EA1B09"/>
    <w:rsid w:val="00EA2D38"/>
    <w:rsid w:val="00EA4F8D"/>
    <w:rsid w:val="00EA56D0"/>
    <w:rsid w:val="00EA5C41"/>
    <w:rsid w:val="00EA5FFB"/>
    <w:rsid w:val="00EA7139"/>
    <w:rsid w:val="00EB014F"/>
    <w:rsid w:val="00EB2DC4"/>
    <w:rsid w:val="00EB47F3"/>
    <w:rsid w:val="00EB6588"/>
    <w:rsid w:val="00EC0E62"/>
    <w:rsid w:val="00EC1926"/>
    <w:rsid w:val="00EC4167"/>
    <w:rsid w:val="00ED3D9A"/>
    <w:rsid w:val="00ED699A"/>
    <w:rsid w:val="00EE0346"/>
    <w:rsid w:val="00EE433E"/>
    <w:rsid w:val="00EE4988"/>
    <w:rsid w:val="00EE569E"/>
    <w:rsid w:val="00EE5929"/>
    <w:rsid w:val="00EE6B6D"/>
    <w:rsid w:val="00EE6C4C"/>
    <w:rsid w:val="00EE7CFE"/>
    <w:rsid w:val="00EF0F2C"/>
    <w:rsid w:val="00EF1ABD"/>
    <w:rsid w:val="00EF283C"/>
    <w:rsid w:val="00EF4D62"/>
    <w:rsid w:val="00EF5EBA"/>
    <w:rsid w:val="00EF665B"/>
    <w:rsid w:val="00EF7456"/>
    <w:rsid w:val="00F00321"/>
    <w:rsid w:val="00F0099A"/>
    <w:rsid w:val="00F03281"/>
    <w:rsid w:val="00F038FE"/>
    <w:rsid w:val="00F047BB"/>
    <w:rsid w:val="00F0580B"/>
    <w:rsid w:val="00F06527"/>
    <w:rsid w:val="00F10050"/>
    <w:rsid w:val="00F105EA"/>
    <w:rsid w:val="00F1295F"/>
    <w:rsid w:val="00F13DFD"/>
    <w:rsid w:val="00F16F62"/>
    <w:rsid w:val="00F205B1"/>
    <w:rsid w:val="00F2237B"/>
    <w:rsid w:val="00F226CA"/>
    <w:rsid w:val="00F255DA"/>
    <w:rsid w:val="00F30E66"/>
    <w:rsid w:val="00F32E85"/>
    <w:rsid w:val="00F340D6"/>
    <w:rsid w:val="00F34D10"/>
    <w:rsid w:val="00F3538F"/>
    <w:rsid w:val="00F353B9"/>
    <w:rsid w:val="00F358A1"/>
    <w:rsid w:val="00F35D18"/>
    <w:rsid w:val="00F41B3E"/>
    <w:rsid w:val="00F42BB6"/>
    <w:rsid w:val="00F43957"/>
    <w:rsid w:val="00F44AF3"/>
    <w:rsid w:val="00F44F86"/>
    <w:rsid w:val="00F45F70"/>
    <w:rsid w:val="00F51CE5"/>
    <w:rsid w:val="00F528EE"/>
    <w:rsid w:val="00F547F9"/>
    <w:rsid w:val="00F54F9B"/>
    <w:rsid w:val="00F571B3"/>
    <w:rsid w:val="00F64B2C"/>
    <w:rsid w:val="00F6600A"/>
    <w:rsid w:val="00F66317"/>
    <w:rsid w:val="00F70D33"/>
    <w:rsid w:val="00F71969"/>
    <w:rsid w:val="00F71BA8"/>
    <w:rsid w:val="00F71BFD"/>
    <w:rsid w:val="00F762CC"/>
    <w:rsid w:val="00F82447"/>
    <w:rsid w:val="00F8380C"/>
    <w:rsid w:val="00F8476F"/>
    <w:rsid w:val="00F85270"/>
    <w:rsid w:val="00F869EE"/>
    <w:rsid w:val="00F86F7C"/>
    <w:rsid w:val="00F877FF"/>
    <w:rsid w:val="00F911F5"/>
    <w:rsid w:val="00F92A3F"/>
    <w:rsid w:val="00F94F21"/>
    <w:rsid w:val="00F95252"/>
    <w:rsid w:val="00F963C2"/>
    <w:rsid w:val="00F963E2"/>
    <w:rsid w:val="00F96599"/>
    <w:rsid w:val="00F9754E"/>
    <w:rsid w:val="00F97B10"/>
    <w:rsid w:val="00FA073B"/>
    <w:rsid w:val="00FB09FE"/>
    <w:rsid w:val="00FB24CB"/>
    <w:rsid w:val="00FB31F3"/>
    <w:rsid w:val="00FB3C9B"/>
    <w:rsid w:val="00FB3E24"/>
    <w:rsid w:val="00FB66F9"/>
    <w:rsid w:val="00FB79AD"/>
    <w:rsid w:val="00FC06AC"/>
    <w:rsid w:val="00FC2849"/>
    <w:rsid w:val="00FC3E43"/>
    <w:rsid w:val="00FC50BF"/>
    <w:rsid w:val="00FC5894"/>
    <w:rsid w:val="00FD0C67"/>
    <w:rsid w:val="00FD3299"/>
    <w:rsid w:val="00FD63B0"/>
    <w:rsid w:val="00FD64CB"/>
    <w:rsid w:val="00FE2B05"/>
    <w:rsid w:val="00FE3289"/>
    <w:rsid w:val="00FE55DF"/>
    <w:rsid w:val="00FE5D78"/>
    <w:rsid w:val="00FF15E2"/>
    <w:rsid w:val="00FF2404"/>
    <w:rsid w:val="00FF356B"/>
    <w:rsid w:val="00FF4AC7"/>
    <w:rsid w:val="00FF61B1"/>
    <w:rsid w:val="00FF6396"/>
    <w:rsid w:val="0704558B"/>
    <w:rsid w:val="09E152AB"/>
    <w:rsid w:val="0D9D074A"/>
    <w:rsid w:val="10CFE975"/>
    <w:rsid w:val="10DBCBDD"/>
    <w:rsid w:val="139A17D4"/>
    <w:rsid w:val="1599325B"/>
    <w:rsid w:val="15F5E67A"/>
    <w:rsid w:val="1C72DE2D"/>
    <w:rsid w:val="2309F8D3"/>
    <w:rsid w:val="2F6FD1C9"/>
    <w:rsid w:val="3BC43239"/>
    <w:rsid w:val="3CEC01DB"/>
    <w:rsid w:val="3FCD0D79"/>
    <w:rsid w:val="415857E1"/>
    <w:rsid w:val="44F9C828"/>
    <w:rsid w:val="4637A8E3"/>
    <w:rsid w:val="48943248"/>
    <w:rsid w:val="48F99CDF"/>
    <w:rsid w:val="49D0145D"/>
    <w:rsid w:val="4A16B220"/>
    <w:rsid w:val="500F98EC"/>
    <w:rsid w:val="5097BC95"/>
    <w:rsid w:val="5626BE00"/>
    <w:rsid w:val="56616169"/>
    <w:rsid w:val="5DF0DB56"/>
    <w:rsid w:val="5FDA557D"/>
    <w:rsid w:val="633E243D"/>
    <w:rsid w:val="6626BBDB"/>
    <w:rsid w:val="6FD6643D"/>
    <w:rsid w:val="751D5CF9"/>
    <w:rsid w:val="7F9735DC"/>
  </w:rsids>
  <m:mathPr>
    <m:mathFont m:val="Cambria Math"/>
  </m:mathPr>
  <w:themeFontLang w:val="en-US" w:eastAsia="ko-KR" w:bidi="ar-SA"/>
  <w:clrSchemeMapping w:bg1="light1" w:t1="dark1" w:bg2="light2" w:t2="dark2" w:accent1="accent1" w:accent2="accent2" w:accent3="accent3" w:accent4="accent4" w:accent5="accent5" w:accent6="accent6" w:hyperlink="hyperlink" w:followedHyperlink="followedHyperlink"/>
  <w14:docId w14:val="27253EE1"/>
  <w15:docId w15:val="{2EBB31DE-013A-427E-BD38-593222553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F76AA"/>
    <w:rPr>
      <w:sz w:val="24"/>
      <w:szCs w:val="24"/>
    </w:rPr>
  </w:style>
  <w:style w:type="paragraph" w:styleId="Heading1">
    <w:name w:val="heading 1"/>
    <w:basedOn w:val="Normal"/>
    <w:next w:val="Normal"/>
    <w:qFormat/>
    <w:rsid w:val="002F76AA"/>
    <w:pPr>
      <w:keepNext/>
      <w:autoSpaceDE w:val="0"/>
      <w:autoSpaceDN w:val="0"/>
      <w:adjustRightInd w:val="0"/>
      <w:spacing w:line="480" w:lineRule="auto"/>
      <w:outlineLvl w:val="0"/>
    </w:pPr>
    <w:rPr>
      <w:rFonts w:ascii="Arial" w:hAnsi="Arial" w:cs="Arial"/>
      <w:bCs/>
      <w:color w:val="000000"/>
      <w:u w:val="single"/>
    </w:rPr>
  </w:style>
  <w:style w:type="paragraph" w:styleId="Heading2">
    <w:name w:val="heading 2"/>
    <w:basedOn w:val="Normal"/>
    <w:next w:val="Normal"/>
    <w:qFormat/>
    <w:rsid w:val="002F76AA"/>
    <w:pPr>
      <w:keepNext/>
      <w:outlineLvl w:val="1"/>
    </w:pPr>
    <w:rPr>
      <w:rFonts w:ascii="Arial" w:hAnsi="Arial" w:cs="Arial"/>
      <w:b/>
      <w:bCs/>
      <w:color w:val="000000"/>
    </w:rPr>
  </w:style>
  <w:style w:type="paragraph" w:styleId="Heading3">
    <w:name w:val="heading 3"/>
    <w:basedOn w:val="Normal"/>
    <w:next w:val="Normal"/>
    <w:qFormat/>
    <w:rsid w:val="002F76AA"/>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2F76AA"/>
    <w:pPr>
      <w:spacing w:before="100" w:beforeAutospacing="1" w:after="100" w:afterAutospacing="1"/>
    </w:pPr>
  </w:style>
  <w:style w:type="character" w:styleId="Hyperlink">
    <w:name w:val="Hyperlink"/>
    <w:basedOn w:val="DefaultParagraphFont"/>
    <w:uiPriority w:val="99"/>
    <w:rsid w:val="002F76AA"/>
    <w:rPr>
      <w:color w:val="0000FF"/>
      <w:u w:val="single"/>
    </w:rPr>
  </w:style>
  <w:style w:type="paragraph" w:styleId="BodyTextIndent">
    <w:name w:val="Body Text Indent"/>
    <w:basedOn w:val="Normal"/>
    <w:rsid w:val="002F76AA"/>
    <w:pPr>
      <w:ind w:left="360"/>
    </w:pPr>
  </w:style>
  <w:style w:type="paragraph" w:styleId="BodyText2">
    <w:name w:val="Body Text 2"/>
    <w:basedOn w:val="Normal"/>
    <w:rsid w:val="002F76AA"/>
    <w:pPr>
      <w:spacing w:after="120" w:line="480" w:lineRule="auto"/>
    </w:pPr>
  </w:style>
  <w:style w:type="paragraph" w:styleId="FootnoteText">
    <w:name w:val="footnote text"/>
    <w:aliases w:val="MC-PRE,MC-PRE Footnote Text"/>
    <w:basedOn w:val="Normal"/>
    <w:link w:val="FootnoteTextChar"/>
    <w:uiPriority w:val="99"/>
    <w:rsid w:val="002F76AA"/>
    <w:rPr>
      <w:sz w:val="20"/>
      <w:szCs w:val="20"/>
    </w:rPr>
  </w:style>
  <w:style w:type="character" w:styleId="FootnoteReference">
    <w:name w:val="footnote reference"/>
    <w:aliases w:val="MC-PRE Footnote Reference"/>
    <w:basedOn w:val="DefaultParagraphFont"/>
    <w:uiPriority w:val="99"/>
    <w:qFormat/>
    <w:rsid w:val="002F76AA"/>
    <w:rPr>
      <w:vertAlign w:val="superscript"/>
    </w:rPr>
  </w:style>
  <w:style w:type="paragraph" w:styleId="Footer">
    <w:name w:val="footer"/>
    <w:basedOn w:val="Normal"/>
    <w:link w:val="FooterChar"/>
    <w:uiPriority w:val="99"/>
    <w:rsid w:val="002F76AA"/>
    <w:pPr>
      <w:tabs>
        <w:tab w:val="center" w:pos="4320"/>
        <w:tab w:val="right" w:pos="8640"/>
      </w:tabs>
    </w:pPr>
  </w:style>
  <w:style w:type="paragraph" w:customStyle="1" w:styleId="FedRegPreambleParagraphNormal">
    <w:name w:val="FedReg Preamble Paragraph Normal"/>
    <w:rsid w:val="002F76AA"/>
    <w:pPr>
      <w:spacing w:line="480" w:lineRule="auto"/>
      <w:ind w:firstLine="720"/>
    </w:pPr>
    <w:rPr>
      <w:rFonts w:ascii="Arial" w:hAnsi="Arial"/>
      <w:sz w:val="24"/>
    </w:rPr>
  </w:style>
  <w:style w:type="paragraph" w:styleId="BodyTextIndent2">
    <w:name w:val="Body Text Indent 2"/>
    <w:basedOn w:val="Normal"/>
    <w:rsid w:val="002F76AA"/>
    <w:pPr>
      <w:spacing w:line="480" w:lineRule="auto"/>
      <w:ind w:firstLine="720"/>
    </w:pPr>
    <w:rPr>
      <w:rFonts w:ascii="Arial" w:hAnsi="Arial" w:cs="Arial"/>
      <w:color w:val="000000"/>
    </w:rPr>
  </w:style>
  <w:style w:type="paragraph" w:styleId="BodyTextIndent3">
    <w:name w:val="Body Text Indent 3"/>
    <w:basedOn w:val="Normal"/>
    <w:rsid w:val="002F76AA"/>
    <w:pPr>
      <w:ind w:firstLine="720"/>
    </w:pPr>
    <w:rPr>
      <w:rFonts w:ascii="Arial" w:hAnsi="Arial" w:cs="Arial"/>
    </w:rPr>
  </w:style>
  <w:style w:type="paragraph" w:customStyle="1" w:styleId="doublebullet">
    <w:name w:val="double bullet"/>
    <w:basedOn w:val="Normal"/>
    <w:rsid w:val="00A32AD5"/>
    <w:pPr>
      <w:numPr>
        <w:numId w:val="2"/>
      </w:numPr>
    </w:pPr>
  </w:style>
  <w:style w:type="paragraph" w:customStyle="1" w:styleId="head3">
    <w:name w:val="head3"/>
    <w:basedOn w:val="Normal"/>
    <w:rsid w:val="002F76AA"/>
    <w:rPr>
      <w:rFonts w:ascii="Arial" w:hAnsi="Arial" w:cs="Arial"/>
      <w:bCs/>
      <w:i/>
      <w:sz w:val="28"/>
    </w:rPr>
  </w:style>
  <w:style w:type="paragraph" w:customStyle="1" w:styleId="fedregpreambletitlenormal">
    <w:name w:val="fedregpreambletitlenormal"/>
    <w:basedOn w:val="Normal"/>
    <w:rsid w:val="002F76AA"/>
    <w:pPr>
      <w:spacing w:before="100" w:beforeAutospacing="1" w:after="100" w:afterAutospacing="1"/>
    </w:pPr>
  </w:style>
  <w:style w:type="paragraph" w:customStyle="1" w:styleId="OmniPage2">
    <w:name w:val="OmniPage #2"/>
    <w:basedOn w:val="Normal"/>
    <w:rsid w:val="002F76AA"/>
    <w:pPr>
      <w:spacing w:line="300" w:lineRule="exact"/>
    </w:pPr>
    <w:rPr>
      <w:sz w:val="20"/>
      <w:szCs w:val="20"/>
    </w:rPr>
  </w:style>
  <w:style w:type="paragraph" w:customStyle="1" w:styleId="OmniPage4">
    <w:name w:val="OmniPage #4"/>
    <w:basedOn w:val="Normal"/>
    <w:rsid w:val="002F76AA"/>
    <w:pPr>
      <w:spacing w:line="240" w:lineRule="exact"/>
    </w:pPr>
    <w:rPr>
      <w:sz w:val="20"/>
      <w:szCs w:val="20"/>
    </w:rPr>
  </w:style>
  <w:style w:type="character" w:styleId="FollowedHyperlink">
    <w:name w:val="FollowedHyperlink"/>
    <w:basedOn w:val="DefaultParagraphFont"/>
    <w:rsid w:val="002F76AA"/>
    <w:rPr>
      <w:color w:val="800080"/>
      <w:u w:val="single"/>
    </w:rPr>
  </w:style>
  <w:style w:type="character" w:styleId="PageNumber">
    <w:name w:val="page number"/>
    <w:basedOn w:val="DefaultParagraphFont"/>
    <w:rsid w:val="002F76AA"/>
  </w:style>
  <w:style w:type="paragraph" w:styleId="BalloonText">
    <w:name w:val="Balloon Text"/>
    <w:basedOn w:val="Normal"/>
    <w:semiHidden/>
    <w:rsid w:val="002F76AA"/>
    <w:rPr>
      <w:rFonts w:ascii="Tahoma" w:hAnsi="Tahoma" w:cs="Tahoma"/>
      <w:sz w:val="16"/>
      <w:szCs w:val="16"/>
    </w:rPr>
  </w:style>
  <w:style w:type="character" w:styleId="CommentReference">
    <w:name w:val="annotation reference"/>
    <w:basedOn w:val="DefaultParagraphFont"/>
    <w:uiPriority w:val="99"/>
    <w:semiHidden/>
    <w:rsid w:val="002F76AA"/>
    <w:rPr>
      <w:sz w:val="16"/>
      <w:szCs w:val="16"/>
    </w:rPr>
  </w:style>
  <w:style w:type="paragraph" w:styleId="CommentText">
    <w:name w:val="annotation text"/>
    <w:basedOn w:val="Normal"/>
    <w:link w:val="CommentTextChar"/>
    <w:uiPriority w:val="99"/>
    <w:semiHidden/>
    <w:rsid w:val="002F76AA"/>
    <w:rPr>
      <w:sz w:val="20"/>
      <w:szCs w:val="20"/>
    </w:rPr>
  </w:style>
  <w:style w:type="paragraph" w:styleId="CommentSubject">
    <w:name w:val="annotation subject"/>
    <w:basedOn w:val="CommentText"/>
    <w:next w:val="CommentText"/>
    <w:semiHidden/>
    <w:rsid w:val="002F76AA"/>
    <w:rPr>
      <w:b/>
      <w:bCs/>
    </w:rPr>
  </w:style>
  <w:style w:type="paragraph" w:styleId="Header">
    <w:name w:val="header"/>
    <w:aliases w:val="h1"/>
    <w:basedOn w:val="Normal"/>
    <w:rsid w:val="002F76AA"/>
    <w:pPr>
      <w:tabs>
        <w:tab w:val="center" w:pos="4320"/>
        <w:tab w:val="right" w:pos="8640"/>
      </w:tabs>
    </w:pPr>
  </w:style>
  <w:style w:type="paragraph" w:customStyle="1" w:styleId="OmniPage3">
    <w:name w:val="OmniPage #3"/>
    <w:basedOn w:val="Normal"/>
    <w:rsid w:val="002F76AA"/>
    <w:pPr>
      <w:spacing w:line="120" w:lineRule="exact"/>
    </w:pPr>
    <w:rPr>
      <w:sz w:val="20"/>
      <w:szCs w:val="20"/>
    </w:rPr>
  </w:style>
  <w:style w:type="character" w:customStyle="1" w:styleId="FootnoteTextChar">
    <w:name w:val="Footnote Text Char"/>
    <w:aliases w:val="MC-PRE Char,MC-PRE Footnote Text Char"/>
    <w:basedOn w:val="DefaultParagraphFont"/>
    <w:link w:val="FootnoteText"/>
    <w:uiPriority w:val="99"/>
    <w:rsid w:val="00A32AD5"/>
  </w:style>
  <w:style w:type="character" w:customStyle="1" w:styleId="FootnoteTextChar1">
    <w:name w:val="Footnote Text Char1"/>
    <w:basedOn w:val="DefaultParagraphFont"/>
    <w:uiPriority w:val="99"/>
    <w:semiHidden/>
    <w:locked/>
    <w:rsid w:val="00A32AD5"/>
    <w:rPr>
      <w:rFonts w:cs="Times New Roman"/>
      <w:lang w:val="en-US" w:eastAsia="en-US" w:bidi="ar-SA"/>
    </w:rPr>
  </w:style>
  <w:style w:type="paragraph" w:styleId="Revision">
    <w:name w:val="Revision"/>
    <w:hidden/>
    <w:uiPriority w:val="99"/>
    <w:semiHidden/>
    <w:rsid w:val="004015FC"/>
    <w:rPr>
      <w:sz w:val="24"/>
      <w:szCs w:val="24"/>
    </w:rPr>
  </w:style>
  <w:style w:type="character" w:customStyle="1" w:styleId="FooterChar">
    <w:name w:val="Footer Char"/>
    <w:basedOn w:val="DefaultParagraphFont"/>
    <w:link w:val="Footer"/>
    <w:uiPriority w:val="99"/>
    <w:rsid w:val="003D7E41"/>
    <w:rPr>
      <w:sz w:val="24"/>
      <w:szCs w:val="24"/>
    </w:rPr>
  </w:style>
  <w:style w:type="character" w:customStyle="1" w:styleId="CommentTextChar">
    <w:name w:val="Comment Text Char"/>
    <w:basedOn w:val="DefaultParagraphFont"/>
    <w:link w:val="CommentText"/>
    <w:uiPriority w:val="99"/>
    <w:semiHidden/>
    <w:rsid w:val="0050652C"/>
  </w:style>
  <w:style w:type="paragraph" w:styleId="ListParagraph">
    <w:name w:val="List Paragraph"/>
    <w:basedOn w:val="Normal"/>
    <w:uiPriority w:val="34"/>
    <w:qFormat/>
    <w:rsid w:val="00DC46EC"/>
    <w:pPr>
      <w:ind w:left="720"/>
      <w:contextualSpacing/>
    </w:pPr>
  </w:style>
  <w:style w:type="paragraph" w:customStyle="1" w:styleId="SuperRIAFootnote">
    <w:name w:val="Super RIA Footnote"/>
    <w:basedOn w:val="Normal"/>
    <w:link w:val="SuperRIAFootnoteChar"/>
    <w:qFormat/>
    <w:rsid w:val="003F5388"/>
    <w:pPr>
      <w:widowControl w:val="0"/>
      <w:tabs>
        <w:tab w:val="left" w:pos="360"/>
      </w:tabs>
      <w:suppressAutoHyphens/>
      <w:autoSpaceDE w:val="0"/>
      <w:adjustRightInd w:val="0"/>
      <w:spacing w:before="60"/>
      <w:jc w:val="both"/>
      <w:textAlignment w:val="baseline"/>
    </w:pPr>
    <w:rPr>
      <w:sz w:val="20"/>
      <w:szCs w:val="20"/>
      <w:lang w:eastAsia="ar-SA"/>
    </w:rPr>
  </w:style>
  <w:style w:type="character" w:customStyle="1" w:styleId="SuperRIAFootnoteChar">
    <w:name w:val="Super RIA Footnote Char"/>
    <w:link w:val="SuperRIAFootnote"/>
    <w:rsid w:val="003F5388"/>
    <w:rPr>
      <w:lang w:eastAsia="ar-SA"/>
    </w:rPr>
  </w:style>
  <w:style w:type="table" w:styleId="TableGrid">
    <w:name w:val="Table Grid"/>
    <w:basedOn w:val="TableNormal"/>
    <w:rsid w:val="00FC50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semiHidden/>
    <w:unhideWhenUsed/>
    <w:rsid w:val="006577AC"/>
    <w:pPr>
      <w:spacing w:after="120"/>
    </w:pPr>
    <w:rPr>
      <w:sz w:val="16"/>
      <w:szCs w:val="16"/>
    </w:rPr>
  </w:style>
  <w:style w:type="character" w:customStyle="1" w:styleId="BodyText3Char">
    <w:name w:val="Body Text 3 Char"/>
    <w:basedOn w:val="DefaultParagraphFont"/>
    <w:link w:val="BodyText3"/>
    <w:semiHidden/>
    <w:rsid w:val="006577AC"/>
    <w:rPr>
      <w:sz w:val="16"/>
      <w:szCs w:val="16"/>
    </w:rPr>
  </w:style>
  <w:style w:type="character" w:styleId="Strong">
    <w:name w:val="Strong"/>
    <w:qFormat/>
    <w:rsid w:val="006577AC"/>
    <w:rPr>
      <w:b/>
      <w:bCs/>
    </w:rPr>
  </w:style>
  <w:style w:type="paragraph" w:styleId="Title">
    <w:name w:val="Title"/>
    <w:basedOn w:val="Normal"/>
    <w:link w:val="TitleChar"/>
    <w:qFormat/>
    <w:rsid w:val="006577AC"/>
    <w:pPr>
      <w:widowControl w:val="0"/>
      <w:autoSpaceDE w:val="0"/>
      <w:autoSpaceDN w:val="0"/>
      <w:adjustRightInd w:val="0"/>
      <w:jc w:val="center"/>
    </w:pPr>
    <w:rPr>
      <w:rFonts w:ascii="Letter Gothic 12cpi" w:hAnsi="Letter Gothic 12cpi"/>
      <w:b/>
      <w:bCs/>
      <w:u w:val="single"/>
    </w:rPr>
  </w:style>
  <w:style w:type="character" w:customStyle="1" w:styleId="TitleChar">
    <w:name w:val="Title Char"/>
    <w:basedOn w:val="DefaultParagraphFont"/>
    <w:link w:val="Title"/>
    <w:rsid w:val="006577AC"/>
    <w:rPr>
      <w:rFonts w:ascii="Letter Gothic 12cpi" w:hAnsi="Letter Gothic 12cpi"/>
      <w:b/>
      <w:bCs/>
      <w:sz w:val="24"/>
      <w:szCs w:val="24"/>
      <w:u w:val="single"/>
    </w:rPr>
  </w:style>
  <w:style w:type="character" w:styleId="UnresolvedMention">
    <w:name w:val="Unresolved Mention"/>
    <w:basedOn w:val="DefaultParagraphFont"/>
    <w:uiPriority w:val="99"/>
    <w:semiHidden/>
    <w:unhideWhenUsed/>
    <w:rsid w:val="007D7BD7"/>
    <w:rPr>
      <w:color w:val="605E5C"/>
      <w:shd w:val="clear" w:color="auto" w:fill="E1DFDD"/>
    </w:rPr>
  </w:style>
  <w:style w:type="paragraph" w:styleId="Subtitle">
    <w:name w:val="Subtitle"/>
    <w:basedOn w:val="Normal"/>
    <w:link w:val="SubtitleChar"/>
    <w:qFormat/>
    <w:rsid w:val="00083A40"/>
    <w:pPr>
      <w:widowControl w:val="0"/>
      <w:autoSpaceDE w:val="0"/>
      <w:autoSpaceDN w:val="0"/>
      <w:adjustRightInd w:val="0"/>
    </w:pPr>
    <w:rPr>
      <w:rFonts w:ascii="Letter Gothic 12cpi" w:hAnsi="Letter Gothic 12cpi"/>
      <w:b/>
      <w:bCs/>
      <w:u w:val="single"/>
    </w:rPr>
  </w:style>
  <w:style w:type="character" w:customStyle="1" w:styleId="SubtitleChar">
    <w:name w:val="Subtitle Char"/>
    <w:basedOn w:val="DefaultParagraphFont"/>
    <w:link w:val="Subtitle"/>
    <w:rsid w:val="00083A40"/>
    <w:rPr>
      <w:rFonts w:ascii="Letter Gothic 12cpi" w:hAnsi="Letter Gothic 12cpi"/>
      <w:b/>
      <w:bCs/>
      <w:sz w:val="24"/>
      <w:szCs w:val="24"/>
      <w:u w:val="single"/>
    </w:rPr>
  </w:style>
  <w:style w:type="paragraph" w:customStyle="1" w:styleId="Default">
    <w:name w:val="Default"/>
    <w:rsid w:val="005C505B"/>
    <w:pPr>
      <w:autoSpaceDE w:val="0"/>
      <w:autoSpaceDN w:val="0"/>
      <w:adjustRightInd w:val="0"/>
    </w:pPr>
    <w:rPr>
      <w:rFonts w:ascii="PLAIL I+ Century" w:hAnsi="PLAIL I+ Century" w:cs="PLAIL I+ Century"/>
      <w:color w:val="000000"/>
      <w:sz w:val="24"/>
      <w:szCs w:val="24"/>
    </w:rPr>
  </w:style>
  <w:style w:type="paragraph" w:styleId="BodyText">
    <w:name w:val="Body Text"/>
    <w:basedOn w:val="Normal"/>
    <w:link w:val="BodyTextChar"/>
    <w:semiHidden/>
    <w:unhideWhenUsed/>
    <w:rsid w:val="00B30DA9"/>
    <w:pPr>
      <w:spacing w:after="120"/>
    </w:pPr>
  </w:style>
  <w:style w:type="character" w:customStyle="1" w:styleId="BodyTextChar">
    <w:name w:val="Body Text Char"/>
    <w:basedOn w:val="DefaultParagraphFont"/>
    <w:link w:val="BodyText"/>
    <w:semiHidden/>
    <w:rsid w:val="00B30DA9"/>
    <w:rPr>
      <w:sz w:val="24"/>
      <w:szCs w:val="24"/>
    </w:rPr>
  </w:style>
  <w:style w:type="character" w:styleId="Mention">
    <w:name w:val="Mention"/>
    <w:basedOn w:val="DefaultParagraphFont"/>
    <w:uiPriority w:val="99"/>
    <w:unhideWhenUsed/>
    <w:rsid w:val="001254F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_rels/footnotes.xml.rels><?xml version="1.0" encoding="utf-8" standalone="yes"?><Relationships xmlns="http://schemas.openxmlformats.org/package/2006/relationships"><Relationship Id="rId1" Type="http://schemas.openxmlformats.org/officeDocument/2006/relationships/hyperlink" Target="https://data.bls.gov/oes/" TargetMode="External" /><Relationship Id="rId2" Type="http://schemas.openxmlformats.org/officeDocument/2006/relationships/hyperlink" Target="https://www.bls.gov/news.release/pdf/ecec.pdf" TargetMode="External" /><Relationship Id="rId3" Type="http://schemas.openxmlformats.org/officeDocument/2006/relationships/hyperlink" Target="https://www.bls.gov/oes/current/oes_nat.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BE0BE151607E04B96249D431B871246" ma:contentTypeVersion="6" ma:contentTypeDescription="Create a new document." ma:contentTypeScope="" ma:versionID="b24f97c0bab3154e425f23079f60cc16">
  <xsd:schema xmlns:xsd="http://www.w3.org/2001/XMLSchema" xmlns:xs="http://www.w3.org/2001/XMLSchema" xmlns:p="http://schemas.microsoft.com/office/2006/metadata/properties" xmlns:ns2="901120c4-ac13-4311-98cd-f77586ec989e" xmlns:ns3="a7590d3f-064e-4611-8c4c-cf19b4a54d7f" targetNamespace="http://schemas.microsoft.com/office/2006/metadata/properties" ma:root="true" ma:fieldsID="10f5db2cbb472c2d3452bceb91b4ed3d" ns2:_="" ns3:_="">
    <xsd:import namespace="901120c4-ac13-4311-98cd-f77586ec989e"/>
    <xsd:import namespace="a7590d3f-064e-4611-8c4c-cf19b4a54d7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1120c4-ac13-4311-98cd-f77586ec98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590d3f-064e-4611-8c4c-cf19b4a54d7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98DA42-47DA-4B3F-B1E3-829AF38F0516}">
  <ds:schemaRefs>
    <ds:schemaRef ds:uri="http://schemas.openxmlformats.org/officeDocument/2006/bibliography"/>
  </ds:schemaRefs>
</ds:datastoreItem>
</file>

<file path=customXml/itemProps2.xml><?xml version="1.0" encoding="utf-8"?>
<ds:datastoreItem xmlns:ds="http://schemas.openxmlformats.org/officeDocument/2006/customXml" ds:itemID="{AF14D23E-B8D9-4CE7-8746-5D6A6CFCECB9}">
  <ds:schemaRefs>
    <ds:schemaRef ds:uri="http://schemas.microsoft.com/sharepoint/v3/contenttype/forms"/>
  </ds:schemaRefs>
</ds:datastoreItem>
</file>

<file path=customXml/itemProps3.xml><?xml version="1.0" encoding="utf-8"?>
<ds:datastoreItem xmlns:ds="http://schemas.openxmlformats.org/officeDocument/2006/customXml" ds:itemID="{58FABF0F-4256-4E69-A74C-BA46B370305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8C75BF6-BF1B-4AF7-ADEE-5B1A8BD1E3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1120c4-ac13-4311-98cd-f77586ec989e"/>
    <ds:schemaRef ds:uri="a7590d3f-064e-4611-8c4c-cf19b4a54d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3592</Words>
  <Characters>20478</Characters>
  <Application>Microsoft Office Word</Application>
  <DocSecurity>0</DocSecurity>
  <Lines>170</Lines>
  <Paragraphs>48</Paragraphs>
  <ScaleCrop>false</ScaleCrop>
  <Manager>Loretta Bitner</Manager>
  <Company>FMCSA</Company>
  <LinksUpToDate>false</LinksUpToDate>
  <CharactersWithSpaces>24022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Collection Supporting Statement</dc:title>
  <dc:subject>Practices of Household Goods Brokers, 2126-NEW</dc:subject>
  <dc:creator>FMCSA Commercial Enforcement Division (MC-ECC), Washington D.C.</dc:creator>
  <cp:lastModifiedBy>Oliver, Roxane (FMCSA)</cp:lastModifiedBy>
  <cp:revision>2</cp:revision>
  <cp:lastPrinted>2016-05-16T12:39:00Z</cp:lastPrinted>
  <dcterms:created xsi:type="dcterms:W3CDTF">2026-08-04T18:52:00Z</dcterms:created>
  <dcterms:modified xsi:type="dcterms:W3CDTF">2026-08-04T18:52:00Z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0x010100EBE0BE151607E04B96249D431B871246</vt:lpwstr>
  </property>
  <property fmtid="{D5CDD505-2E9C-101B-9397-08002B2CF9AE}" pid="3" name="docLang">
    <vt:lpwstr>en</vt:lpwstr>
  </property>
  <property fmtid="{D5CDD505-2E9C-101B-9397-08002B2CF9AE}" pid="4" name="Order">
    <vt:r8>134000</vt:r8>
  </property>
</Properties>
</file>