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B5B48" w:rsidRPr="004C0597" w:rsidP="00FB5B48" w14:paraId="1DB0A21C" w14:textId="77777777">
      <w:pPr>
        <w:widowControl w:val="0"/>
        <w:tabs>
          <w:tab w:val="center" w:pos="4680"/>
        </w:tabs>
        <w:jc w:val="center"/>
        <w:rPr>
          <w:b/>
          <w:szCs w:val="24"/>
        </w:rPr>
      </w:pPr>
      <w:r w:rsidRPr="004C0597">
        <w:rPr>
          <w:b/>
          <w:szCs w:val="24"/>
        </w:rPr>
        <w:t>FEDERAL RAILROAD ADMINISTRATION</w:t>
      </w:r>
    </w:p>
    <w:p w:rsidR="00FB5B48" w:rsidRPr="004C0597" w:rsidP="00FB5B48" w14:paraId="1C47DAD9" w14:textId="77777777">
      <w:pPr>
        <w:widowControl w:val="0"/>
        <w:tabs>
          <w:tab w:val="center" w:pos="4680"/>
        </w:tabs>
        <w:jc w:val="center"/>
        <w:rPr>
          <w:b/>
          <w:szCs w:val="24"/>
        </w:rPr>
      </w:pPr>
      <w:r>
        <w:rPr>
          <w:b/>
          <w:szCs w:val="24"/>
        </w:rPr>
        <w:t>Grade Crossing Signal System Safety Regulations</w:t>
      </w:r>
    </w:p>
    <w:p w:rsidR="00FB5B48" w:rsidRPr="004C0597" w:rsidP="00FB5B48" w14:paraId="0BA38609" w14:textId="77777777">
      <w:pPr>
        <w:widowControl w:val="0"/>
        <w:tabs>
          <w:tab w:val="center" w:pos="4680"/>
        </w:tabs>
        <w:jc w:val="center"/>
        <w:rPr>
          <w:b/>
          <w:szCs w:val="24"/>
        </w:rPr>
      </w:pPr>
      <w:r w:rsidRPr="004C0597">
        <w:rPr>
          <w:b/>
          <w:szCs w:val="24"/>
        </w:rPr>
        <w:t>(Title 49 Code of Federal Regulations Part 2</w:t>
      </w:r>
      <w:r>
        <w:rPr>
          <w:b/>
          <w:szCs w:val="24"/>
        </w:rPr>
        <w:t>34</w:t>
      </w:r>
      <w:r w:rsidRPr="004C0597">
        <w:rPr>
          <w:b/>
          <w:szCs w:val="24"/>
        </w:rPr>
        <w:t>)</w:t>
      </w:r>
    </w:p>
    <w:p w:rsidR="00FB5B48" w:rsidRPr="004C0597" w:rsidP="00FB5B48" w14:paraId="1B59BA86" w14:textId="47C64FEA">
      <w:pPr>
        <w:widowControl w:val="0"/>
        <w:tabs>
          <w:tab w:val="center" w:pos="4680"/>
        </w:tabs>
        <w:jc w:val="center"/>
        <w:rPr>
          <w:b/>
          <w:szCs w:val="24"/>
        </w:rPr>
      </w:pPr>
      <w:r w:rsidRPr="004C0597">
        <w:rPr>
          <w:b/>
          <w:szCs w:val="24"/>
        </w:rPr>
        <w:t xml:space="preserve">SUPPORTING JUSTIFICATION </w:t>
      </w:r>
    </w:p>
    <w:p w:rsidR="00FB5B48" w:rsidRPr="00E371E8" w:rsidP="00FB5B48" w14:paraId="5C556372" w14:textId="77777777">
      <w:pPr>
        <w:widowControl w:val="0"/>
        <w:tabs>
          <w:tab w:val="center" w:pos="4680"/>
        </w:tabs>
        <w:jc w:val="center"/>
        <w:rPr>
          <w:b/>
          <w:szCs w:val="24"/>
        </w:rPr>
      </w:pPr>
      <w:r w:rsidRPr="004C0597">
        <w:rPr>
          <w:b/>
          <w:szCs w:val="24"/>
        </w:rPr>
        <w:t>OMB Control No. 2130-05</w:t>
      </w:r>
      <w:r>
        <w:rPr>
          <w:b/>
          <w:szCs w:val="24"/>
        </w:rPr>
        <w:t>34</w:t>
      </w:r>
    </w:p>
    <w:p w:rsidR="00FB5B48" w:rsidP="00FB5B48" w14:paraId="52D4F22A" w14:textId="77777777">
      <w:pPr>
        <w:widowControl w:val="0"/>
        <w:ind w:left="720"/>
        <w:rPr>
          <w:szCs w:val="24"/>
          <w:u w:val="single"/>
        </w:rPr>
      </w:pPr>
    </w:p>
    <w:p w:rsidR="00FB5B48" w:rsidRPr="00A5234C" w:rsidP="00FB5B48" w14:paraId="4E5B28B9" w14:textId="77777777">
      <w:pPr>
        <w:widowControl w:val="0"/>
        <w:ind w:left="720"/>
        <w:rPr>
          <w:szCs w:val="24"/>
          <w:u w:val="single"/>
        </w:rPr>
      </w:pPr>
      <w:r w:rsidRPr="009318FD">
        <w:rPr>
          <w:szCs w:val="24"/>
          <w:u w:val="single"/>
        </w:rPr>
        <w:t>Summary of Submission</w:t>
      </w:r>
    </w:p>
    <w:p w:rsidR="00FB5B48" w:rsidRPr="00A5234C" w:rsidP="00FB5B48" w14:paraId="1A361787" w14:textId="77777777">
      <w:pPr>
        <w:widowControl w:val="0"/>
        <w:ind w:left="720"/>
        <w:rPr>
          <w:szCs w:val="24"/>
          <w:u w:val="single"/>
        </w:rPr>
      </w:pPr>
    </w:p>
    <w:p w:rsidR="00FB5B48" w:rsidRPr="00C5381F" w:rsidP="00C5381F" w14:paraId="074E3470" w14:textId="397001FF">
      <w:pPr>
        <w:pStyle w:val="ListParagraph"/>
        <w:numPr>
          <w:ilvl w:val="0"/>
          <w:numId w:val="5"/>
        </w:numPr>
      </w:pPr>
      <w:r w:rsidRPr="00C5381F">
        <w:t>This submission is a request for an extension without change of the last three-year approval granted by the Office of Management and Budget (OMB) on</w:t>
      </w:r>
      <w:r w:rsidRPr="00C5381F" w:rsidR="00A4209A">
        <w:t xml:space="preserve"> </w:t>
      </w:r>
      <w:r w:rsidRPr="00C5381F" w:rsidR="00A53D1D">
        <w:t>July 3, 2023</w:t>
      </w:r>
      <w:r w:rsidRPr="00C5381F">
        <w:t xml:space="preserve">, </w:t>
      </w:r>
      <w:r w:rsidRPr="00C5381F" w:rsidR="00A53D1D">
        <w:t>with an expiration date o</w:t>
      </w:r>
      <w:r w:rsidR="001C4E10">
        <w:t>f</w:t>
      </w:r>
      <w:r w:rsidRPr="00C5381F" w:rsidR="00A53D1D">
        <w:t xml:space="preserve"> July 31, 2026.</w:t>
      </w:r>
      <w:r w:rsidRPr="00C5381F">
        <w:t xml:space="preserve"> </w:t>
      </w:r>
    </w:p>
    <w:p w:rsidR="00A4209A" w:rsidRPr="00C5381F" w:rsidP="00C5381F" w14:paraId="5DEBF8B6" w14:textId="77777777"/>
    <w:p w:rsidR="00FB5B48" w:rsidRPr="00C5381F" w:rsidP="00C5381F" w14:paraId="1B5AAD28" w14:textId="4FF0490B">
      <w:pPr>
        <w:pStyle w:val="ListParagraph"/>
        <w:numPr>
          <w:ilvl w:val="0"/>
          <w:numId w:val="5"/>
        </w:numPr>
      </w:pPr>
      <w:r w:rsidRPr="00C5381F">
        <w:t>The Federal Railroad Administration (</w:t>
      </w:r>
      <w:r w:rsidRPr="00C5381F" w:rsidR="00A53D1D">
        <w:t>hereafter “</w:t>
      </w:r>
      <w:r w:rsidRPr="00C5381F">
        <w:t>FRA</w:t>
      </w:r>
      <w:r w:rsidRPr="00C5381F" w:rsidR="00A53D1D">
        <w:t>” or “the Agency</w:t>
      </w:r>
      <w:r w:rsidRPr="00C5381F">
        <w:t xml:space="preserve">) published </w:t>
      </w:r>
      <w:r w:rsidR="008F622F">
        <w:t>the</w:t>
      </w:r>
      <w:r w:rsidRPr="00C5381F" w:rsidR="00A53D1D">
        <w:t xml:space="preserve"> </w:t>
      </w:r>
      <w:r w:rsidRPr="00C5381F">
        <w:t xml:space="preserve">required 60-day Notice in the </w:t>
      </w:r>
      <w:r w:rsidRPr="00702194">
        <w:rPr>
          <w:i/>
          <w:iCs/>
        </w:rPr>
        <w:t>Federal Register</w:t>
      </w:r>
      <w:r w:rsidRPr="00C5381F">
        <w:t xml:space="preserve"> on </w:t>
      </w:r>
      <w:r w:rsidR="00FE4CDA">
        <w:t>April 23</w:t>
      </w:r>
      <w:r w:rsidRPr="00C5381F" w:rsidR="00A53D1D">
        <w:t xml:space="preserve">, </w:t>
      </w:r>
      <w:r w:rsidRPr="00C5381F" w:rsidR="00A4209A">
        <w:t>2026</w:t>
      </w:r>
      <w:r w:rsidRPr="00C5381F" w:rsidR="00FA294B">
        <w:t xml:space="preserve">. </w:t>
      </w:r>
      <w:r w:rsidRPr="00702194" w:rsidR="00E741F9">
        <w:rPr>
          <w:i/>
          <w:iCs/>
        </w:rPr>
        <w:t>See</w:t>
      </w:r>
      <w:r w:rsidR="00E741F9">
        <w:t xml:space="preserve"> </w:t>
      </w:r>
      <w:r w:rsidRPr="00C5381F" w:rsidR="00A53D1D">
        <w:t>91</w:t>
      </w:r>
      <w:r w:rsidRPr="00C5381F">
        <w:t xml:space="preserve"> FR</w:t>
      </w:r>
      <w:r w:rsidR="00E741F9">
        <w:t xml:space="preserve"> 21866</w:t>
      </w:r>
      <w:r w:rsidRPr="00C5381F">
        <w:t xml:space="preserve">. FRA received </w:t>
      </w:r>
      <w:r w:rsidR="001D6754">
        <w:t>zero</w:t>
      </w:r>
      <w:r w:rsidRPr="00C5381F" w:rsidR="00A4209A">
        <w:t xml:space="preserve"> comments in response to this Notice.</w:t>
      </w:r>
    </w:p>
    <w:p w:rsidR="00A4209A" w:rsidRPr="00C5381F" w:rsidP="00C5381F" w14:paraId="4D08C30C" w14:textId="77777777"/>
    <w:p w:rsidR="00FB5B48" w:rsidRPr="00C5381F" w:rsidP="00C5381F" w14:paraId="00B18684" w14:textId="77777777">
      <w:pPr>
        <w:pStyle w:val="ListParagraph"/>
        <w:numPr>
          <w:ilvl w:val="0"/>
          <w:numId w:val="5"/>
        </w:numPr>
      </w:pPr>
      <w:r w:rsidRPr="00C5381F">
        <w:t>The total number of burden hours requested for this information collection submission is 5,042 hours, which is unchanged from the last submission.</w:t>
      </w:r>
    </w:p>
    <w:p w:rsidR="00FB5B48" w:rsidRPr="00C5381F" w:rsidP="00C5381F" w14:paraId="35822529" w14:textId="77777777"/>
    <w:p w:rsidR="00FB5B48" w:rsidRPr="00C5381F" w:rsidP="00C5381F" w14:paraId="5CD85A01" w14:textId="77777777">
      <w:pPr>
        <w:pStyle w:val="ListParagraph"/>
        <w:numPr>
          <w:ilvl w:val="0"/>
          <w:numId w:val="5"/>
        </w:numPr>
      </w:pPr>
      <w:r w:rsidRPr="00C5381F">
        <w:t>The total number of responses requested for this information collection submission is 60,252, which is unchanged from the last submission.</w:t>
      </w:r>
    </w:p>
    <w:p w:rsidR="00683A14" w:rsidP="00702194" w14:paraId="2FFC245D" w14:textId="77777777">
      <w:pPr>
        <w:pStyle w:val="ListParagraph"/>
      </w:pPr>
    </w:p>
    <w:p w:rsidR="00FB4CDC" w:rsidRPr="00C5381F" w:rsidP="00C5381F" w14:paraId="20E91399" w14:textId="67FED42E">
      <w:pPr>
        <w:pStyle w:val="ListParagraph"/>
        <w:numPr>
          <w:ilvl w:val="0"/>
          <w:numId w:val="5"/>
        </w:numPr>
      </w:pPr>
      <w:r>
        <w:t xml:space="preserve">While there is no change to burden or the method of collection, </w:t>
      </w:r>
      <w:r w:rsidR="00E108A3">
        <w:t xml:space="preserve">FRA has </w:t>
      </w:r>
      <w:r w:rsidR="00092D94">
        <w:t xml:space="preserve">revised estimates </w:t>
      </w:r>
      <w:r w:rsidR="00AC6356">
        <w:t xml:space="preserve">under </w:t>
      </w:r>
      <w:r w:rsidR="00835CED">
        <w:t>Q</w:t>
      </w:r>
      <w:r w:rsidR="004F5439">
        <w:t>uestion 13</w:t>
      </w:r>
      <w:r w:rsidR="00420758">
        <w:t>,</w:t>
      </w:r>
      <w:r w:rsidR="004F5439">
        <w:t xml:space="preserve"> </w:t>
      </w:r>
      <w:r w:rsidR="00835CED">
        <w:t>A</w:t>
      </w:r>
      <w:r w:rsidR="007505FF">
        <w:t xml:space="preserve">nnual </w:t>
      </w:r>
      <w:r w:rsidR="00835CED">
        <w:t>C</w:t>
      </w:r>
      <w:r w:rsidR="007505FF">
        <w:t xml:space="preserve">ost to </w:t>
      </w:r>
      <w:r w:rsidR="00835CED">
        <w:t>R</w:t>
      </w:r>
      <w:r w:rsidR="007505FF">
        <w:t>espondents</w:t>
      </w:r>
      <w:r w:rsidR="00420758">
        <w:t>,</w:t>
      </w:r>
      <w:r w:rsidR="007505FF">
        <w:t xml:space="preserve"> </w:t>
      </w:r>
      <w:r w:rsidR="004F5439">
        <w:t xml:space="preserve">and </w:t>
      </w:r>
      <w:r w:rsidR="00835CED">
        <w:t>Q</w:t>
      </w:r>
      <w:r w:rsidR="007505FF">
        <w:t>uestion 14</w:t>
      </w:r>
      <w:r w:rsidR="00420758">
        <w:t>,</w:t>
      </w:r>
      <w:r w:rsidR="007505FF">
        <w:t xml:space="preserve"> </w:t>
      </w:r>
      <w:r w:rsidR="00835CED">
        <w:t>C</w:t>
      </w:r>
      <w:r w:rsidR="0073533A">
        <w:t xml:space="preserve">ost to the </w:t>
      </w:r>
      <w:r w:rsidR="00835CED">
        <w:t>F</w:t>
      </w:r>
      <w:r w:rsidR="0073533A">
        <w:t xml:space="preserve">ederal </w:t>
      </w:r>
      <w:r w:rsidR="00835CED">
        <w:t>G</w:t>
      </w:r>
      <w:r w:rsidR="0073533A">
        <w:t xml:space="preserve">overnment. These </w:t>
      </w:r>
      <w:r w:rsidR="008D660F">
        <w:t>adjusted estimates</w:t>
      </w:r>
      <w:r w:rsidR="00A91844">
        <w:t xml:space="preserve"> more accurately reflect </w:t>
      </w:r>
      <w:r w:rsidR="000B0225">
        <w:t>the current costs related to th</w:t>
      </w:r>
      <w:r w:rsidR="0000705D">
        <w:t>is</w:t>
      </w:r>
      <w:r w:rsidR="000B0225">
        <w:t xml:space="preserve"> information collection</w:t>
      </w:r>
      <w:r w:rsidR="004F5439">
        <w:t xml:space="preserve">. </w:t>
      </w:r>
      <w:r w:rsidR="008D660F">
        <w:t>Question 15</w:t>
      </w:r>
      <w:r w:rsidR="00420758">
        <w:t>,</w:t>
      </w:r>
      <w:r w:rsidR="008D660F">
        <w:t xml:space="preserve"> </w:t>
      </w:r>
      <w:r w:rsidRPr="00702194" w:rsidR="005C3EAB">
        <w:rPr>
          <w:bCs/>
          <w:szCs w:val="24"/>
        </w:rPr>
        <w:t>Explanation of Program Changes and Adjustments</w:t>
      </w:r>
      <w:r w:rsidR="00420758">
        <w:rPr>
          <w:bCs/>
          <w:szCs w:val="24"/>
          <w:u w:val="single"/>
        </w:rPr>
        <w:t>,</w:t>
      </w:r>
      <w:r w:rsidRPr="005C3EAB" w:rsidR="0000705D">
        <w:rPr>
          <w:bCs/>
        </w:rPr>
        <w:t xml:space="preserve"> </w:t>
      </w:r>
      <w:r w:rsidR="0000705D">
        <w:t xml:space="preserve">provides a detailed explanation of the </w:t>
      </w:r>
      <w:r w:rsidR="00265E4D">
        <w:t>revised estimates</w:t>
      </w:r>
      <w:r w:rsidR="00E108A3">
        <w:t xml:space="preserve">. </w:t>
      </w:r>
    </w:p>
    <w:p w:rsidR="00FB5B48" w:rsidRPr="00C5381F" w:rsidP="00C5381F" w14:paraId="7301C1EF" w14:textId="77777777"/>
    <w:p w:rsidR="00FB5B48" w:rsidRPr="009318FD" w:rsidP="00FB5B48" w14:paraId="6DE42132" w14:textId="6578B171">
      <w:pPr>
        <w:pStyle w:val="ListParagraph"/>
        <w:widowControl w:val="0"/>
        <w:numPr>
          <w:ilvl w:val="0"/>
          <w:numId w:val="3"/>
        </w:numPr>
        <w:rPr>
          <w:szCs w:val="24"/>
        </w:rPr>
      </w:pPr>
      <w:r w:rsidRPr="009318FD">
        <w:rPr>
          <w:b/>
          <w:szCs w:val="24"/>
          <w:u w:val="single"/>
        </w:rPr>
        <w:t>Circumstances that make collection of the information necessary</w:t>
      </w:r>
    </w:p>
    <w:p w:rsidR="00FB5B48" w:rsidRPr="00A5234C" w:rsidP="00FB5B48" w14:paraId="63DA62A3" w14:textId="77777777">
      <w:pPr>
        <w:rPr>
          <w:szCs w:val="24"/>
        </w:rPr>
      </w:pPr>
    </w:p>
    <w:p w:rsidR="00FB5B48" w:rsidRPr="00A5234C" w:rsidP="00FB5B48" w14:paraId="4C070193" w14:textId="0FBCEAB8">
      <w:pPr>
        <w:widowControl w:val="0"/>
        <w:ind w:left="720"/>
        <w:rPr>
          <w:szCs w:val="24"/>
        </w:rPr>
      </w:pPr>
      <w:r w:rsidRPr="00A5234C">
        <w:rPr>
          <w:szCs w:val="24"/>
        </w:rPr>
        <w:t>Section 23 of the Rail Safety Improvement Act of 1988 (P</w:t>
      </w:r>
      <w:r w:rsidR="0057442F">
        <w:rPr>
          <w:szCs w:val="24"/>
        </w:rPr>
        <w:t>ub</w:t>
      </w:r>
      <w:r w:rsidRPr="00A5234C">
        <w:rPr>
          <w:szCs w:val="24"/>
        </w:rPr>
        <w:t>.</w:t>
      </w:r>
      <w:r w:rsidR="0057442F">
        <w:rPr>
          <w:szCs w:val="24"/>
        </w:rPr>
        <w:t xml:space="preserve"> </w:t>
      </w:r>
      <w:r w:rsidRPr="00A5234C">
        <w:rPr>
          <w:szCs w:val="24"/>
        </w:rPr>
        <w:t xml:space="preserve">L. </w:t>
      </w:r>
      <w:r w:rsidR="00420758">
        <w:rPr>
          <w:szCs w:val="24"/>
        </w:rPr>
        <w:t xml:space="preserve">No. </w:t>
      </w:r>
      <w:r w:rsidRPr="00A5234C">
        <w:rPr>
          <w:szCs w:val="24"/>
        </w:rPr>
        <w:t xml:space="preserve">100-342) amended section 202 of the Federal Railroad Safety Act of 1970, by adding a new subsection q as follows: </w:t>
      </w:r>
      <w:r w:rsidR="0087235A">
        <w:rPr>
          <w:szCs w:val="24"/>
        </w:rPr>
        <w:t>“</w:t>
      </w:r>
      <w:r w:rsidRPr="00A5234C">
        <w:rPr>
          <w:szCs w:val="24"/>
        </w:rPr>
        <w:t>The Secretary shall, within one year after the date of the enactment of the Rail Safety Improvement Act of 1988, issue such rules, regulations, orders, and standards as may be necessary to ensure the safe maintenance, inspection, and testing of signal systems and devices at railroad highway grade crossings.</w:t>
      </w:r>
      <w:r w:rsidR="0087235A">
        <w:rPr>
          <w:szCs w:val="24"/>
        </w:rPr>
        <w:t>”</w:t>
      </w:r>
      <w:r w:rsidR="00735C9A">
        <w:rPr>
          <w:szCs w:val="24"/>
        </w:rPr>
        <w:t xml:space="preserve"> </w:t>
      </w:r>
      <w:r w:rsidRPr="005E0153" w:rsidR="005E0153">
        <w:rPr>
          <w:szCs w:val="24"/>
        </w:rPr>
        <w:t>The Secretary delegated rulemaking responsibility to the FRA Administrator</w:t>
      </w:r>
      <w:r w:rsidR="008B49E6">
        <w:rPr>
          <w:szCs w:val="24"/>
        </w:rPr>
        <w:t xml:space="preserve"> per </w:t>
      </w:r>
      <w:r w:rsidRPr="005E0153" w:rsidR="005E0153">
        <w:rPr>
          <w:szCs w:val="24"/>
        </w:rPr>
        <w:t xml:space="preserve">49 CFR </w:t>
      </w:r>
      <w:r w:rsidR="00015C23">
        <w:rPr>
          <w:szCs w:val="24"/>
        </w:rPr>
        <w:t xml:space="preserve">§ </w:t>
      </w:r>
      <w:r w:rsidRPr="005E0153" w:rsidR="005E0153">
        <w:rPr>
          <w:szCs w:val="24"/>
        </w:rPr>
        <w:t xml:space="preserve">1.89(a). </w:t>
      </w:r>
      <w:r w:rsidR="00735C9A">
        <w:rPr>
          <w:szCs w:val="24"/>
        </w:rPr>
        <w:t xml:space="preserve"> </w:t>
      </w:r>
    </w:p>
    <w:p w:rsidR="00FB5B48" w:rsidRPr="00A5234C" w:rsidP="00FB5B48" w14:paraId="43D42FA1" w14:textId="77777777">
      <w:pPr>
        <w:widowControl w:val="0"/>
        <w:rPr>
          <w:szCs w:val="24"/>
        </w:rPr>
      </w:pPr>
    </w:p>
    <w:p w:rsidR="00FB5B48" w:rsidRPr="00A5234C" w:rsidP="00FB5B48" w14:paraId="3E341B6A" w14:textId="3F3DFFE0">
      <w:pPr>
        <w:widowControl w:val="0"/>
        <w:ind w:left="720"/>
        <w:rPr>
          <w:szCs w:val="24"/>
        </w:rPr>
      </w:pPr>
      <w:r w:rsidRPr="00A5234C">
        <w:rPr>
          <w:szCs w:val="24"/>
        </w:rPr>
        <w:t xml:space="preserve">FRA </w:t>
      </w:r>
      <w:r w:rsidR="00015C23">
        <w:rPr>
          <w:szCs w:val="24"/>
        </w:rPr>
        <w:t>has found</w:t>
      </w:r>
      <w:r w:rsidRPr="00A5234C" w:rsidR="00015C23">
        <w:rPr>
          <w:szCs w:val="24"/>
        </w:rPr>
        <w:t xml:space="preserve"> </w:t>
      </w:r>
      <w:r w:rsidRPr="00A5234C">
        <w:rPr>
          <w:szCs w:val="24"/>
        </w:rPr>
        <w:t xml:space="preserve">that the risks to the traveling public and railroad employees from highway-rail grade crossing accidents </w:t>
      </w:r>
      <w:r w:rsidR="00A341AA">
        <w:rPr>
          <w:szCs w:val="24"/>
        </w:rPr>
        <w:t>involving</w:t>
      </w:r>
      <w:r w:rsidR="0087235A">
        <w:rPr>
          <w:szCs w:val="24"/>
        </w:rPr>
        <w:t xml:space="preserve"> </w:t>
      </w:r>
      <w:r w:rsidRPr="00A5234C">
        <w:rPr>
          <w:szCs w:val="24"/>
        </w:rPr>
        <w:t xml:space="preserve">warning system malfunctions can be reduced. Motorists lose faith in warning systems that </w:t>
      </w:r>
      <w:r w:rsidR="00CA1C1C">
        <w:rPr>
          <w:szCs w:val="24"/>
        </w:rPr>
        <w:t>frequently</w:t>
      </w:r>
      <w:r w:rsidRPr="00A5234C">
        <w:rPr>
          <w:szCs w:val="24"/>
        </w:rPr>
        <w:t xml:space="preserve"> warn of an oncoming train when none is present. </w:t>
      </w:r>
      <w:r>
        <w:rPr>
          <w:szCs w:val="24"/>
        </w:rPr>
        <w:t>There is a</w:t>
      </w:r>
      <w:r w:rsidRPr="00A5234C">
        <w:rPr>
          <w:szCs w:val="24"/>
        </w:rPr>
        <w:t xml:space="preserve">n even greater risk </w:t>
      </w:r>
      <w:r>
        <w:rPr>
          <w:szCs w:val="24"/>
        </w:rPr>
        <w:t xml:space="preserve">of </w:t>
      </w:r>
      <w:r w:rsidRPr="00A5234C">
        <w:rPr>
          <w:szCs w:val="24"/>
        </w:rPr>
        <w:t xml:space="preserve">an accident when a warning system fails to activate when a train </w:t>
      </w:r>
      <w:r>
        <w:rPr>
          <w:szCs w:val="24"/>
        </w:rPr>
        <w:t>approaches</w:t>
      </w:r>
      <w:r w:rsidRPr="00A5234C">
        <w:rPr>
          <w:szCs w:val="24"/>
        </w:rPr>
        <w:t xml:space="preserve">. </w:t>
      </w:r>
      <w:r w:rsidR="00736513">
        <w:rPr>
          <w:szCs w:val="24"/>
        </w:rPr>
        <w:t xml:space="preserve">In 49 CFR </w:t>
      </w:r>
      <w:r w:rsidR="00D912DF">
        <w:rPr>
          <w:szCs w:val="24"/>
        </w:rPr>
        <w:t>P</w:t>
      </w:r>
      <w:r w:rsidR="00736513">
        <w:rPr>
          <w:szCs w:val="24"/>
        </w:rPr>
        <w:t xml:space="preserve">art 234, </w:t>
      </w:r>
      <w:r w:rsidRPr="00A5234C">
        <w:rPr>
          <w:szCs w:val="24"/>
        </w:rPr>
        <w:t xml:space="preserve">FRA requires railroads to take specific </w:t>
      </w:r>
      <w:r w:rsidR="00320EB0">
        <w:rPr>
          <w:szCs w:val="24"/>
        </w:rPr>
        <w:t>actions</w:t>
      </w:r>
      <w:r w:rsidRPr="00A5234C">
        <w:rPr>
          <w:szCs w:val="24"/>
        </w:rPr>
        <w:t xml:space="preserve"> </w:t>
      </w:r>
      <w:r w:rsidR="00107517">
        <w:rPr>
          <w:szCs w:val="24"/>
        </w:rPr>
        <w:t>upon receipt of</w:t>
      </w:r>
      <w:r w:rsidR="00EC7D3E">
        <w:rPr>
          <w:szCs w:val="24"/>
        </w:rPr>
        <w:t xml:space="preserve"> </w:t>
      </w:r>
      <w:r w:rsidR="00C50D85">
        <w:rPr>
          <w:szCs w:val="24"/>
        </w:rPr>
        <w:t xml:space="preserve">a credible report </w:t>
      </w:r>
      <w:r w:rsidRPr="00A5234C">
        <w:rPr>
          <w:szCs w:val="24"/>
        </w:rPr>
        <w:t xml:space="preserve">of a false activation or </w:t>
      </w:r>
      <w:r w:rsidRPr="00A5234C">
        <w:rPr>
          <w:szCs w:val="24"/>
        </w:rPr>
        <w:t>activation failure.</w:t>
      </w:r>
    </w:p>
    <w:p w:rsidR="00EB6B5F" w:rsidP="00FB5B48" w14:paraId="4B38EBF8" w14:textId="77777777">
      <w:pPr>
        <w:widowControl w:val="0"/>
        <w:ind w:left="720"/>
        <w:rPr>
          <w:szCs w:val="24"/>
        </w:rPr>
      </w:pPr>
    </w:p>
    <w:p w:rsidR="00FB5B48" w:rsidRPr="00A5234C" w:rsidP="00FB5B48" w14:paraId="2BEBCB46" w14:textId="60E1BDD2">
      <w:pPr>
        <w:widowControl w:val="0"/>
        <w:ind w:left="720"/>
        <w:rPr>
          <w:szCs w:val="24"/>
        </w:rPr>
      </w:pPr>
      <w:r>
        <w:rPr>
          <w:szCs w:val="24"/>
        </w:rPr>
        <w:t>P</w:t>
      </w:r>
      <w:r w:rsidR="007A2BA5">
        <w:rPr>
          <w:szCs w:val="24"/>
        </w:rPr>
        <w:t>art 234</w:t>
      </w:r>
      <w:r w:rsidRPr="00A5234C" w:rsidR="00926C56">
        <w:rPr>
          <w:szCs w:val="24"/>
        </w:rPr>
        <w:t xml:space="preserve"> requires railroads to take the following actions when they </w:t>
      </w:r>
      <w:r w:rsidR="00C50D85">
        <w:rPr>
          <w:szCs w:val="24"/>
        </w:rPr>
        <w:t xml:space="preserve">receive a credible report </w:t>
      </w:r>
      <w:r w:rsidR="00BB7FB4">
        <w:rPr>
          <w:szCs w:val="24"/>
        </w:rPr>
        <w:t xml:space="preserve">of </w:t>
      </w:r>
      <w:r w:rsidRPr="00A5234C" w:rsidR="00926C56">
        <w:rPr>
          <w:szCs w:val="24"/>
        </w:rPr>
        <w:t xml:space="preserve">highway-rail grade crossing warning system </w:t>
      </w:r>
      <w:r w:rsidR="00BB7FB4">
        <w:rPr>
          <w:szCs w:val="24"/>
        </w:rPr>
        <w:t>malfunction</w:t>
      </w:r>
      <w:r w:rsidRPr="00A5234C" w:rsidR="00926C56">
        <w:rPr>
          <w:szCs w:val="24"/>
        </w:rPr>
        <w:t xml:space="preserve">: (1) </w:t>
      </w:r>
      <w:r w:rsidR="00BB7FA6">
        <w:rPr>
          <w:szCs w:val="24"/>
        </w:rPr>
        <w:t>n</w:t>
      </w:r>
      <w:r w:rsidRPr="00A5234C" w:rsidR="00926C56">
        <w:rPr>
          <w:szCs w:val="24"/>
        </w:rPr>
        <w:t xml:space="preserve">otify train crews and law enforcement agencies of the malfunctioning warning system; (2) </w:t>
      </w:r>
      <w:r w:rsidR="00BB7FA6">
        <w:rPr>
          <w:szCs w:val="24"/>
        </w:rPr>
        <w:t>p</w:t>
      </w:r>
      <w:r w:rsidR="00CE2F26">
        <w:rPr>
          <w:szCs w:val="24"/>
        </w:rPr>
        <w:t xml:space="preserve">rovide for </w:t>
      </w:r>
      <w:r w:rsidR="00380627">
        <w:rPr>
          <w:szCs w:val="24"/>
        </w:rPr>
        <w:t>alternative means of actively warning</w:t>
      </w:r>
      <w:r w:rsidRPr="00A5234C" w:rsidR="00926C56">
        <w:rPr>
          <w:szCs w:val="24"/>
        </w:rPr>
        <w:t xml:space="preserve"> highway </w:t>
      </w:r>
      <w:r w:rsidR="00380627">
        <w:rPr>
          <w:szCs w:val="24"/>
        </w:rPr>
        <w:t>users</w:t>
      </w:r>
      <w:r w:rsidRPr="00A5234C" w:rsidR="00926C56">
        <w:rPr>
          <w:szCs w:val="24"/>
        </w:rPr>
        <w:t xml:space="preserve"> </w:t>
      </w:r>
      <w:r w:rsidR="00380627">
        <w:rPr>
          <w:szCs w:val="24"/>
        </w:rPr>
        <w:t>of approaching trains</w:t>
      </w:r>
      <w:r w:rsidRPr="00A5234C" w:rsidR="00926C56">
        <w:rPr>
          <w:szCs w:val="24"/>
        </w:rPr>
        <w:t xml:space="preserve">; and (3) </w:t>
      </w:r>
      <w:r w:rsidR="00BB7FA6">
        <w:rPr>
          <w:szCs w:val="24"/>
        </w:rPr>
        <w:t>r</w:t>
      </w:r>
      <w:r w:rsidRPr="00A5234C" w:rsidR="00926C56">
        <w:rPr>
          <w:szCs w:val="24"/>
        </w:rPr>
        <w:t>epair the system.</w:t>
      </w:r>
    </w:p>
    <w:p w:rsidR="00FB5B48" w:rsidRPr="00A5234C" w:rsidP="00FB5B48" w14:paraId="0FE20470" w14:textId="77777777">
      <w:pPr>
        <w:widowControl w:val="0"/>
        <w:rPr>
          <w:szCs w:val="24"/>
        </w:rPr>
      </w:pPr>
    </w:p>
    <w:p w:rsidR="00FB5B48" w:rsidRPr="00A5234C" w:rsidP="00FB5B48" w14:paraId="6CD10584" w14:textId="77777777">
      <w:pPr>
        <w:widowControl w:val="0"/>
        <w:numPr>
          <w:ilvl w:val="0"/>
          <w:numId w:val="2"/>
        </w:numPr>
        <w:ind w:hanging="720"/>
        <w:rPr>
          <w:szCs w:val="24"/>
        </w:rPr>
      </w:pPr>
      <w:r w:rsidRPr="00A5234C">
        <w:rPr>
          <w:b/>
          <w:szCs w:val="24"/>
          <w:u w:val="single"/>
        </w:rPr>
        <w:t>How, by whom, and for what purpose the information is to be used</w:t>
      </w:r>
    </w:p>
    <w:p w:rsidR="00FB5B48" w:rsidRPr="00A5234C" w:rsidP="00FB5B48" w14:paraId="29CD8813" w14:textId="77777777">
      <w:pPr>
        <w:widowControl w:val="0"/>
        <w:rPr>
          <w:szCs w:val="24"/>
        </w:rPr>
      </w:pPr>
    </w:p>
    <w:p w:rsidR="00FB5B48" w:rsidRPr="00A5234C" w:rsidP="00FB5B48" w14:paraId="4CEA02C4" w14:textId="256A7552">
      <w:pPr>
        <w:widowControl w:val="0"/>
        <w:ind w:left="720"/>
        <w:rPr>
          <w:szCs w:val="24"/>
        </w:rPr>
      </w:pPr>
      <w:r w:rsidRPr="00A5234C">
        <w:rPr>
          <w:szCs w:val="24"/>
        </w:rPr>
        <w:t xml:space="preserve">FRA uses telephone notifications to assemble a database of every </w:t>
      </w:r>
      <w:r w:rsidR="00E516F7">
        <w:rPr>
          <w:szCs w:val="24"/>
        </w:rPr>
        <w:t xml:space="preserve">reported </w:t>
      </w:r>
      <w:r w:rsidR="00CA466B">
        <w:rPr>
          <w:szCs w:val="24"/>
        </w:rPr>
        <w:t>impact between</w:t>
      </w:r>
      <w:r w:rsidRPr="00A5234C">
        <w:rPr>
          <w:szCs w:val="24"/>
        </w:rPr>
        <w:t xml:space="preserve"> on-track railroad equipment and an automobile, bus, truck, motorcycle, bicycle, farm vehicle, or pedestrian at a highway-rail grade crossing </w:t>
      </w:r>
      <w:r w:rsidR="00CA466B">
        <w:rPr>
          <w:szCs w:val="24"/>
        </w:rPr>
        <w:t>involving an</w:t>
      </w:r>
      <w:r w:rsidRPr="00A5234C">
        <w:rPr>
          <w:szCs w:val="24"/>
        </w:rPr>
        <w:t xml:space="preserve"> activation failure. These notifications must be provided to the National Response Center at a toll-free number within 24 hours of such an accident/incident. FRA uses this information to discern different types of grade crossing accident/incident patterns or trends and to develop and implement appropriate safety strategies – both immediate and long-term – to prevent similar accidents/incidents</w:t>
      </w:r>
      <w:r w:rsidR="00114F5B">
        <w:rPr>
          <w:szCs w:val="24"/>
        </w:rPr>
        <w:t xml:space="preserve"> in the future</w:t>
      </w:r>
      <w:r w:rsidRPr="00A5234C">
        <w:rPr>
          <w:szCs w:val="24"/>
        </w:rPr>
        <w:t xml:space="preserve">.      </w:t>
      </w:r>
    </w:p>
    <w:p w:rsidR="00FB5B48" w:rsidRPr="00A5234C" w:rsidP="00FB5B48" w14:paraId="4878E614" w14:textId="77777777">
      <w:pPr>
        <w:widowControl w:val="0"/>
        <w:rPr>
          <w:szCs w:val="24"/>
        </w:rPr>
      </w:pPr>
    </w:p>
    <w:p w:rsidR="00FB5B48" w:rsidRPr="00A5234C" w:rsidP="00FB5B48" w14:paraId="611F750A" w14:textId="0A62EE8B">
      <w:pPr>
        <w:widowControl w:val="0"/>
        <w:ind w:left="720"/>
        <w:rPr>
          <w:szCs w:val="24"/>
        </w:rPr>
      </w:pPr>
      <w:r>
        <w:rPr>
          <w:szCs w:val="24"/>
        </w:rPr>
        <w:t>After receiving</w:t>
      </w:r>
      <w:r w:rsidRPr="00A5234C">
        <w:rPr>
          <w:szCs w:val="24"/>
        </w:rPr>
        <w:t xml:space="preserve"> </w:t>
      </w:r>
      <w:r w:rsidR="00DB4790">
        <w:rPr>
          <w:szCs w:val="24"/>
        </w:rPr>
        <w:t xml:space="preserve">a </w:t>
      </w:r>
      <w:r w:rsidRPr="00A5234C">
        <w:rPr>
          <w:szCs w:val="24"/>
        </w:rPr>
        <w:t xml:space="preserve">credible report of warning system malfunction, </w:t>
      </w:r>
      <w:r w:rsidR="00DB4790">
        <w:rPr>
          <w:szCs w:val="24"/>
        </w:rPr>
        <w:t xml:space="preserve">a railroad is required </w:t>
      </w:r>
      <w:r w:rsidRPr="00A5234C">
        <w:rPr>
          <w:szCs w:val="24"/>
        </w:rPr>
        <w:t xml:space="preserve">to notify </w:t>
      </w:r>
      <w:r w:rsidR="00421EEE">
        <w:rPr>
          <w:szCs w:val="24"/>
        </w:rPr>
        <w:t xml:space="preserve">incoming </w:t>
      </w:r>
      <w:r w:rsidRPr="00A5234C">
        <w:rPr>
          <w:szCs w:val="24"/>
        </w:rPr>
        <w:t xml:space="preserve">train </w:t>
      </w:r>
      <w:r w:rsidR="00421EEE">
        <w:rPr>
          <w:szCs w:val="24"/>
        </w:rPr>
        <w:t>crews</w:t>
      </w:r>
      <w:r w:rsidRPr="00A5234C">
        <w:rPr>
          <w:szCs w:val="24"/>
        </w:rPr>
        <w:t xml:space="preserve"> and </w:t>
      </w:r>
      <w:r w:rsidR="00A86050">
        <w:rPr>
          <w:szCs w:val="24"/>
        </w:rPr>
        <w:t xml:space="preserve">the </w:t>
      </w:r>
      <w:r w:rsidRPr="00A5234C">
        <w:rPr>
          <w:szCs w:val="24"/>
        </w:rPr>
        <w:t>appropriate law enforcement agenc</w:t>
      </w:r>
      <w:r w:rsidR="00A86050">
        <w:rPr>
          <w:szCs w:val="24"/>
        </w:rPr>
        <w:t>y</w:t>
      </w:r>
      <w:r w:rsidRPr="00A5234C">
        <w:rPr>
          <w:szCs w:val="24"/>
        </w:rPr>
        <w:t xml:space="preserve"> </w:t>
      </w:r>
      <w:r w:rsidR="00A86050">
        <w:rPr>
          <w:szCs w:val="24"/>
        </w:rPr>
        <w:t>(or railroad police)</w:t>
      </w:r>
      <w:r w:rsidRPr="00A5234C">
        <w:rPr>
          <w:szCs w:val="24"/>
        </w:rPr>
        <w:t xml:space="preserve"> so that measures can be taken to </w:t>
      </w:r>
      <w:r w:rsidR="007D1AFE">
        <w:rPr>
          <w:szCs w:val="24"/>
        </w:rPr>
        <w:t>warn</w:t>
      </w:r>
      <w:r w:rsidRPr="00A5234C">
        <w:rPr>
          <w:szCs w:val="24"/>
        </w:rPr>
        <w:t xml:space="preserve"> motorists and </w:t>
      </w:r>
      <w:r w:rsidR="007D1AFE">
        <w:rPr>
          <w:szCs w:val="24"/>
        </w:rPr>
        <w:t>other highway users</w:t>
      </w:r>
      <w:r w:rsidRPr="00A5234C">
        <w:rPr>
          <w:szCs w:val="24"/>
        </w:rPr>
        <w:t xml:space="preserve"> at the subject crossing until repairs have been completed. </w:t>
      </w:r>
      <w:r w:rsidRPr="00A5234C">
        <w:rPr>
          <w:szCs w:val="24"/>
        </w:rPr>
        <w:tab/>
      </w:r>
    </w:p>
    <w:p w:rsidR="00FB5B48" w:rsidRPr="00A5234C" w:rsidP="00FB5B48" w14:paraId="0ED9F06E" w14:textId="77777777">
      <w:pPr>
        <w:widowControl w:val="0"/>
        <w:rPr>
          <w:szCs w:val="24"/>
        </w:rPr>
      </w:pPr>
    </w:p>
    <w:p w:rsidR="00374DE5" w:rsidP="00FB5B48" w14:paraId="1DFB9346" w14:textId="0426F18A">
      <w:pPr>
        <w:widowControl w:val="0"/>
        <w:ind w:left="720"/>
        <w:rPr>
          <w:szCs w:val="24"/>
        </w:rPr>
      </w:pPr>
      <w:r w:rsidRPr="00A5234C">
        <w:rPr>
          <w:szCs w:val="24"/>
        </w:rPr>
        <w:t xml:space="preserve">FRA uses grade crossing </w:t>
      </w:r>
      <w:r w:rsidR="009A3F1C">
        <w:rPr>
          <w:szCs w:val="24"/>
        </w:rPr>
        <w:t>warning</w:t>
      </w:r>
      <w:r w:rsidRPr="00A5234C">
        <w:rPr>
          <w:szCs w:val="24"/>
        </w:rPr>
        <w:t xml:space="preserve"> system failure reports</w:t>
      </w:r>
      <w:r w:rsidR="002B1B5E">
        <w:rPr>
          <w:szCs w:val="24"/>
        </w:rPr>
        <w:t>,</w:t>
      </w:r>
      <w:r w:rsidR="004215E8">
        <w:rPr>
          <w:szCs w:val="24"/>
        </w:rPr>
        <w:t xml:space="preserve"> FRA F 6180.83,</w:t>
      </w:r>
      <w:r w:rsidR="002B1B5E">
        <w:rPr>
          <w:szCs w:val="24"/>
        </w:rPr>
        <w:t xml:space="preserve"> in conjunction with its </w:t>
      </w:r>
      <w:r w:rsidR="008E58DA">
        <w:rPr>
          <w:szCs w:val="24"/>
        </w:rPr>
        <w:t>grade crossing inspection program,</w:t>
      </w:r>
      <w:r w:rsidRPr="00A5234C">
        <w:rPr>
          <w:szCs w:val="24"/>
        </w:rPr>
        <w:t xml:space="preserve"> to </w:t>
      </w:r>
      <w:r w:rsidR="00575126">
        <w:rPr>
          <w:szCs w:val="24"/>
        </w:rPr>
        <w:t xml:space="preserve">help railroads </w:t>
      </w:r>
      <w:r w:rsidRPr="00A5234C">
        <w:rPr>
          <w:szCs w:val="24"/>
        </w:rPr>
        <w:t xml:space="preserve">craft better solutions to </w:t>
      </w:r>
      <w:r w:rsidR="00350678">
        <w:rPr>
          <w:szCs w:val="24"/>
        </w:rPr>
        <w:t>address</w:t>
      </w:r>
      <w:r w:rsidR="00AE21CE">
        <w:rPr>
          <w:szCs w:val="24"/>
        </w:rPr>
        <w:t xml:space="preserve"> potential caus</w:t>
      </w:r>
      <w:r w:rsidR="00A62ACE">
        <w:rPr>
          <w:szCs w:val="24"/>
        </w:rPr>
        <w:t>es</w:t>
      </w:r>
      <w:r w:rsidR="00AE21CE">
        <w:rPr>
          <w:szCs w:val="24"/>
        </w:rPr>
        <w:t xml:space="preserve"> and contribut</w:t>
      </w:r>
      <w:r w:rsidR="008100C9">
        <w:rPr>
          <w:szCs w:val="24"/>
        </w:rPr>
        <w:t>ing</w:t>
      </w:r>
      <w:r w:rsidR="00AE21CE">
        <w:rPr>
          <w:szCs w:val="24"/>
        </w:rPr>
        <w:t xml:space="preserve"> facto</w:t>
      </w:r>
      <w:r w:rsidR="00864487">
        <w:rPr>
          <w:szCs w:val="24"/>
        </w:rPr>
        <w:t xml:space="preserve">rs that result in </w:t>
      </w:r>
      <w:r w:rsidR="00350678">
        <w:rPr>
          <w:szCs w:val="24"/>
        </w:rPr>
        <w:t>warning system</w:t>
      </w:r>
      <w:r w:rsidRPr="00A5234C">
        <w:rPr>
          <w:szCs w:val="24"/>
        </w:rPr>
        <w:t xml:space="preserve"> malfunctions. In particular, FRA reviews these reports to obtain information that i</w:t>
      </w:r>
      <w:r w:rsidR="00A1265E">
        <w:rPr>
          <w:szCs w:val="24"/>
        </w:rPr>
        <w:t>s</w:t>
      </w:r>
      <w:r w:rsidRPr="00A5234C">
        <w:rPr>
          <w:szCs w:val="24"/>
        </w:rPr>
        <w:t xml:space="preserve"> use</w:t>
      </w:r>
      <w:r w:rsidR="00A1265E">
        <w:rPr>
          <w:szCs w:val="24"/>
        </w:rPr>
        <w:t>d</w:t>
      </w:r>
      <w:r w:rsidRPr="00A5234C">
        <w:rPr>
          <w:szCs w:val="24"/>
        </w:rPr>
        <w:t xml:space="preserve"> </w:t>
      </w:r>
      <w:r w:rsidR="00A1265E">
        <w:rPr>
          <w:szCs w:val="24"/>
        </w:rPr>
        <w:t>to</w:t>
      </w:r>
      <w:r w:rsidRPr="00A5234C">
        <w:rPr>
          <w:szCs w:val="24"/>
        </w:rPr>
        <w:t xml:space="preserve"> implement more effective safety programs to </w:t>
      </w:r>
      <w:r w:rsidR="00D058D9">
        <w:rPr>
          <w:szCs w:val="24"/>
        </w:rPr>
        <w:t>reduce</w:t>
      </w:r>
      <w:r w:rsidRPr="00A5234C">
        <w:rPr>
          <w:szCs w:val="24"/>
        </w:rPr>
        <w:t xml:space="preserve"> accidents/incidents attributable to these types of failures in the future. With this information, FRA can correlate accident experience and equipment malfunctions with types of circuits and age of equipment. FRA can then pinpoint the causes of crossing </w:t>
      </w:r>
      <w:r w:rsidR="00E44E4B">
        <w:rPr>
          <w:szCs w:val="24"/>
        </w:rPr>
        <w:t>warning</w:t>
      </w:r>
      <w:r w:rsidRPr="00A5234C">
        <w:rPr>
          <w:szCs w:val="24"/>
        </w:rPr>
        <w:t xml:space="preserve"> system failures and investigate them, if necessary, to determine whether </w:t>
      </w:r>
      <w:r w:rsidR="00310774">
        <w:rPr>
          <w:szCs w:val="24"/>
        </w:rPr>
        <w:t>existing</w:t>
      </w:r>
      <w:r w:rsidRPr="00A5234C">
        <w:rPr>
          <w:szCs w:val="24"/>
        </w:rPr>
        <w:t xml:space="preserve"> maintenance, inspection, and testing standards are effective.</w:t>
      </w:r>
      <w:r w:rsidR="00196F20">
        <w:rPr>
          <w:szCs w:val="24"/>
        </w:rPr>
        <w:t xml:space="preserve"> </w:t>
      </w:r>
    </w:p>
    <w:p w:rsidR="00374DE5" w:rsidP="00FB5B48" w14:paraId="5A52E837" w14:textId="77777777">
      <w:pPr>
        <w:widowControl w:val="0"/>
        <w:ind w:left="720"/>
        <w:rPr>
          <w:szCs w:val="24"/>
        </w:rPr>
      </w:pPr>
    </w:p>
    <w:p w:rsidR="00C5381F" w:rsidP="00FB5B48" w14:paraId="618FDC9A" w14:textId="30A3A9A4">
      <w:pPr>
        <w:widowControl w:val="0"/>
        <w:ind w:left="720"/>
        <w:rPr>
          <w:szCs w:val="24"/>
        </w:rPr>
      </w:pPr>
      <w:r>
        <w:rPr>
          <w:szCs w:val="24"/>
        </w:rPr>
        <w:t xml:space="preserve">With this submission, as outlined in the published </w:t>
      </w:r>
      <w:r w:rsidR="00A37EBA">
        <w:rPr>
          <w:szCs w:val="24"/>
        </w:rPr>
        <w:t>60-day notice</w:t>
      </w:r>
      <w:r w:rsidR="00B74246">
        <w:rPr>
          <w:szCs w:val="24"/>
        </w:rPr>
        <w:t>,</w:t>
      </w:r>
      <w:r>
        <w:rPr>
          <w:rStyle w:val="FootnoteReference"/>
          <w:szCs w:val="24"/>
        </w:rPr>
        <w:footnoteReference w:id="3"/>
      </w:r>
      <w:r w:rsidR="00A37EBA">
        <w:rPr>
          <w:szCs w:val="24"/>
        </w:rPr>
        <w:t xml:space="preserve"> </w:t>
      </w:r>
      <w:r w:rsidRPr="00374DE5" w:rsidR="00374DE5">
        <w:rPr>
          <w:szCs w:val="24"/>
        </w:rPr>
        <w:t>FRA is updating the existing Form FRA F 6180.83, “Highway-Rail Grade Crossing Warning System Activation Failure Report.” While the proposed revisions do not reduce the 10-minute average response time, they streamline the form and are intended to obtain additional clarity from responses provided in the “Corrective Action” section</w:t>
      </w:r>
      <w:r w:rsidR="00374DE5">
        <w:rPr>
          <w:szCs w:val="24"/>
        </w:rPr>
        <w:t>.</w:t>
      </w:r>
      <w:r w:rsidR="006316AF">
        <w:rPr>
          <w:szCs w:val="24"/>
        </w:rPr>
        <w:t xml:space="preserve"> </w:t>
      </w:r>
      <w:r w:rsidR="0014087B">
        <w:rPr>
          <w:szCs w:val="24"/>
        </w:rPr>
        <w:t xml:space="preserve">In addition, FRA made </w:t>
      </w:r>
      <w:r w:rsidR="006316AF">
        <w:rPr>
          <w:szCs w:val="24"/>
        </w:rPr>
        <w:t>cosmetic changes to the visual layouts and design of the form</w:t>
      </w:r>
      <w:r w:rsidR="003A618D">
        <w:rPr>
          <w:szCs w:val="24"/>
        </w:rPr>
        <w:t xml:space="preserve"> </w:t>
      </w:r>
      <w:r w:rsidR="00250215">
        <w:rPr>
          <w:szCs w:val="24"/>
        </w:rPr>
        <w:t xml:space="preserve">that </w:t>
      </w:r>
      <w:r w:rsidR="003A618D">
        <w:rPr>
          <w:szCs w:val="24"/>
        </w:rPr>
        <w:t xml:space="preserve">are considered </w:t>
      </w:r>
    </w:p>
    <w:p w:rsidR="00FB5B48" w:rsidRPr="00A5234C" w:rsidP="00FB5B48" w14:paraId="59E95FBC" w14:textId="11AFBA98">
      <w:pPr>
        <w:widowControl w:val="0"/>
        <w:ind w:left="720"/>
        <w:rPr>
          <w:szCs w:val="24"/>
        </w:rPr>
      </w:pPr>
      <w:r w:rsidRPr="00702194">
        <w:rPr>
          <w:i/>
          <w:iCs/>
          <w:szCs w:val="24"/>
        </w:rPr>
        <w:t>d</w:t>
      </w:r>
      <w:r w:rsidRPr="00702194" w:rsidR="00C5381F">
        <w:rPr>
          <w:i/>
          <w:iCs/>
          <w:szCs w:val="24"/>
        </w:rPr>
        <w:t>e m</w:t>
      </w:r>
      <w:r w:rsidRPr="00702194">
        <w:rPr>
          <w:i/>
          <w:iCs/>
          <w:szCs w:val="24"/>
        </w:rPr>
        <w:t>i</w:t>
      </w:r>
      <w:r w:rsidRPr="00702194" w:rsidR="00C5381F">
        <w:rPr>
          <w:i/>
          <w:iCs/>
          <w:szCs w:val="24"/>
        </w:rPr>
        <w:t>n</w:t>
      </w:r>
      <w:r w:rsidRPr="00702194">
        <w:rPr>
          <w:i/>
          <w:iCs/>
          <w:szCs w:val="24"/>
        </w:rPr>
        <w:t>i</w:t>
      </w:r>
      <w:r w:rsidRPr="00702194" w:rsidR="00C5381F">
        <w:rPr>
          <w:i/>
          <w:iCs/>
          <w:szCs w:val="24"/>
        </w:rPr>
        <w:t>m</w:t>
      </w:r>
      <w:r w:rsidRPr="00702194">
        <w:rPr>
          <w:i/>
          <w:iCs/>
          <w:szCs w:val="24"/>
        </w:rPr>
        <w:t>is</w:t>
      </w:r>
      <w:r w:rsidR="00C5381F">
        <w:rPr>
          <w:szCs w:val="24"/>
        </w:rPr>
        <w:t>.</w:t>
      </w:r>
      <w:r w:rsidRPr="00A5234C" w:rsidR="00926C56">
        <w:rPr>
          <w:szCs w:val="24"/>
        </w:rPr>
        <w:t xml:space="preserve"> </w:t>
      </w:r>
    </w:p>
    <w:p w:rsidR="00FB5B48" w:rsidRPr="00A5234C" w:rsidP="00FB5B48" w14:paraId="690A9CD7" w14:textId="77777777">
      <w:pPr>
        <w:widowControl w:val="0"/>
        <w:rPr>
          <w:szCs w:val="24"/>
        </w:rPr>
      </w:pPr>
    </w:p>
    <w:p w:rsidR="00FB5B48" w:rsidRPr="00A5234C" w:rsidP="00FB5B48" w14:paraId="572FD35F" w14:textId="6371C911">
      <w:pPr>
        <w:widowControl w:val="0"/>
        <w:ind w:left="720"/>
        <w:rPr>
          <w:szCs w:val="24"/>
        </w:rPr>
      </w:pPr>
      <w:r w:rsidRPr="00A5234C">
        <w:rPr>
          <w:szCs w:val="24"/>
        </w:rPr>
        <w:t>Finally, FRA uses the required records, which railroads must keep for one year, as a ready resource to analyze possible causes and contributing factors related to grade crossing accident</w:t>
      </w:r>
      <w:r w:rsidR="00483DF1">
        <w:rPr>
          <w:szCs w:val="24"/>
        </w:rPr>
        <w:t>s</w:t>
      </w:r>
      <w:r w:rsidRPr="00A5234C">
        <w:rPr>
          <w:szCs w:val="24"/>
        </w:rPr>
        <w:t>/incidents and to devise effective strategies and programs that will serve FRA, railroad</w:t>
      </w:r>
      <w:r w:rsidR="00E67A7B">
        <w:rPr>
          <w:szCs w:val="24"/>
        </w:rPr>
        <w:t>s</w:t>
      </w:r>
      <w:r w:rsidRPr="00A5234C">
        <w:rPr>
          <w:szCs w:val="24"/>
        </w:rPr>
        <w:t>, law enforcement, and other entities interested in reducing the number and severity of these types of accidents/incidents and in promoting greater rail safety throughout the United States.</w:t>
      </w:r>
    </w:p>
    <w:p w:rsidR="00FB5B48" w:rsidRPr="00A5234C" w:rsidP="00FB5B48" w14:paraId="60CCD999" w14:textId="77777777">
      <w:pPr>
        <w:widowControl w:val="0"/>
        <w:ind w:left="720"/>
        <w:rPr>
          <w:szCs w:val="24"/>
        </w:rPr>
      </w:pPr>
    </w:p>
    <w:p w:rsidR="00FB5B48" w:rsidRPr="00A5234C" w:rsidP="00FB5B48" w14:paraId="2DC4A69D" w14:textId="77777777">
      <w:pPr>
        <w:widowControl w:val="0"/>
        <w:ind w:left="720" w:hanging="720"/>
        <w:rPr>
          <w:b/>
          <w:szCs w:val="24"/>
        </w:rPr>
      </w:pPr>
      <w:r w:rsidRPr="00A5234C">
        <w:rPr>
          <w:b/>
          <w:szCs w:val="24"/>
        </w:rPr>
        <w:t>3.</w:t>
      </w:r>
      <w:r w:rsidRPr="00A5234C">
        <w:rPr>
          <w:b/>
          <w:szCs w:val="24"/>
        </w:rPr>
        <w:tab/>
      </w:r>
      <w:r w:rsidRPr="00A5234C">
        <w:rPr>
          <w:b/>
          <w:szCs w:val="24"/>
          <w:u w:val="single"/>
        </w:rPr>
        <w:t>Extent of automated information collection</w:t>
      </w:r>
    </w:p>
    <w:p w:rsidR="00FB5B48" w:rsidRPr="00A5234C" w:rsidP="00FB5B48" w14:paraId="6C389B51" w14:textId="77777777">
      <w:pPr>
        <w:widowControl w:val="0"/>
        <w:rPr>
          <w:b/>
          <w:szCs w:val="24"/>
        </w:rPr>
      </w:pPr>
    </w:p>
    <w:p w:rsidR="00E143DA" w:rsidP="00FB5B48" w14:paraId="73A7D62F" w14:textId="613D2B01">
      <w:pPr>
        <w:widowControl w:val="0"/>
        <w:ind w:left="720"/>
        <w:rPr>
          <w:szCs w:val="24"/>
        </w:rPr>
      </w:pPr>
      <w:r w:rsidRPr="00A5234C">
        <w:rPr>
          <w:szCs w:val="24"/>
        </w:rPr>
        <w:t xml:space="preserve">FRA highly encourages and strongly endorses the use of advanced information technology, wherever possible, to reduce burden on respondents. </w:t>
      </w:r>
    </w:p>
    <w:p w:rsidR="00E143DA" w:rsidP="00FB5B48" w14:paraId="1A1A4759" w14:textId="77777777">
      <w:pPr>
        <w:widowControl w:val="0"/>
        <w:ind w:left="720"/>
        <w:rPr>
          <w:szCs w:val="24"/>
        </w:rPr>
      </w:pPr>
    </w:p>
    <w:p w:rsidR="007407AC" w:rsidP="00FB5B48" w14:paraId="668F7D1F" w14:textId="3FF5EE28">
      <w:pPr>
        <w:widowControl w:val="0"/>
        <w:ind w:left="720"/>
      </w:pPr>
      <w:r>
        <w:t>To reduce burden on respondents</w:t>
      </w:r>
      <w:r w:rsidR="00A10557">
        <w:t>,</w:t>
      </w:r>
      <w:r>
        <w:t xml:space="preserve"> </w:t>
      </w:r>
      <w:r w:rsidR="00926C56">
        <w:t xml:space="preserve">FRA </w:t>
      </w:r>
      <w:r w:rsidR="00E143DA">
        <w:t xml:space="preserve">F 6180.83 “Highway-Rail Grade Crossing Warning System Activation Failure Report” is available for download at </w:t>
      </w:r>
      <w:hyperlink r:id="rId9" w:history="1">
        <w:r w:rsidRPr="00FE0120" w:rsidR="00FE0120">
          <w:rPr>
            <w:rStyle w:val="Hyperlink"/>
          </w:rPr>
          <w:t>https://railroads.dot.gov/safety-data/forms-guides-publications/forms/618083-hwy-rail-crossing-warning-activation-failure</w:t>
        </w:r>
      </w:hyperlink>
      <w:r w:rsidR="00E143DA">
        <w:t>.</w:t>
      </w:r>
      <w:r w:rsidR="00926C56">
        <w:t xml:space="preserve"> </w:t>
      </w:r>
      <w:r w:rsidR="00E143DA">
        <w:t xml:space="preserve">The form is </w:t>
      </w:r>
      <w:r w:rsidR="00DE665B">
        <w:t xml:space="preserve">a </w:t>
      </w:r>
      <w:r w:rsidR="0098260C">
        <w:t>f</w:t>
      </w:r>
      <w:r w:rsidR="00E143DA">
        <w:t xml:space="preserve">illable </w:t>
      </w:r>
      <w:r w:rsidR="00DA43BC">
        <w:t xml:space="preserve">PDF </w:t>
      </w:r>
      <w:r w:rsidR="00E143DA">
        <w:t xml:space="preserve">and </w:t>
      </w:r>
      <w:r w:rsidR="00DA43BC">
        <w:t xml:space="preserve">can be </w:t>
      </w:r>
      <w:r w:rsidR="00E143DA">
        <w:t>submitted via email to fra</w:t>
      </w:r>
      <w:r w:rsidR="00D31E82">
        <w:t>.</w:t>
      </w:r>
      <w:r w:rsidR="00E143DA">
        <w:t>af</w:t>
      </w:r>
      <w:r w:rsidR="003E6C40">
        <w:t>_</w:t>
      </w:r>
      <w:r w:rsidR="00E143DA">
        <w:t>fp.reporting@dot.gov.</w:t>
      </w:r>
      <w:r w:rsidR="00E11FA5">
        <w:t xml:space="preserve"> </w:t>
      </w:r>
      <w:r w:rsidR="00926C56">
        <w:t xml:space="preserve"> </w:t>
      </w:r>
    </w:p>
    <w:p w:rsidR="00FB5B48" w:rsidRPr="00A5234C" w:rsidP="00FB5B48" w14:paraId="12C7455D" w14:textId="77777777">
      <w:pPr>
        <w:widowControl w:val="0"/>
        <w:rPr>
          <w:szCs w:val="24"/>
        </w:rPr>
      </w:pPr>
    </w:p>
    <w:p w:rsidR="00FB5B48" w:rsidRPr="00A5234C" w:rsidP="00FB5B48" w14:paraId="1D8C7402" w14:textId="77777777">
      <w:pPr>
        <w:widowControl w:val="0"/>
        <w:rPr>
          <w:szCs w:val="24"/>
        </w:rPr>
      </w:pPr>
      <w:r w:rsidRPr="00A5234C">
        <w:rPr>
          <w:b/>
          <w:szCs w:val="24"/>
        </w:rPr>
        <w:t>4.</w:t>
      </w:r>
      <w:r w:rsidRPr="00A5234C">
        <w:rPr>
          <w:b/>
          <w:szCs w:val="24"/>
        </w:rPr>
        <w:tab/>
      </w:r>
      <w:r w:rsidRPr="00A5234C">
        <w:rPr>
          <w:b/>
          <w:szCs w:val="24"/>
          <w:u w:val="single"/>
        </w:rPr>
        <w:t>Efforts to identify duplication</w:t>
      </w:r>
    </w:p>
    <w:p w:rsidR="00FB5B48" w:rsidRPr="00A5234C" w:rsidP="00FB5B48" w14:paraId="304B222E" w14:textId="77777777">
      <w:pPr>
        <w:widowControl w:val="0"/>
        <w:rPr>
          <w:szCs w:val="24"/>
        </w:rPr>
      </w:pPr>
    </w:p>
    <w:p w:rsidR="00FB5B48" w:rsidRPr="00A5234C" w:rsidP="00FB5B48" w14:paraId="4D6B140E" w14:textId="703F6877">
      <w:pPr>
        <w:widowControl w:val="0"/>
        <w:ind w:left="720"/>
        <w:rPr>
          <w:szCs w:val="24"/>
        </w:rPr>
      </w:pPr>
      <w:r w:rsidRPr="00A5234C">
        <w:rPr>
          <w:szCs w:val="24"/>
        </w:rPr>
        <w:t>The information collection requirements are not duplicated anywhere.</w:t>
      </w:r>
      <w:r>
        <w:rPr>
          <w:szCs w:val="24"/>
        </w:rPr>
        <w:t xml:space="preserve"> </w:t>
      </w:r>
      <w:r w:rsidRPr="00A5234C">
        <w:rPr>
          <w:szCs w:val="24"/>
        </w:rPr>
        <w:t xml:space="preserve">Similar data </w:t>
      </w:r>
      <w:r w:rsidR="0016390E">
        <w:rPr>
          <w:szCs w:val="24"/>
        </w:rPr>
        <w:t>is</w:t>
      </w:r>
      <w:r w:rsidRPr="00A5234C">
        <w:rPr>
          <w:szCs w:val="24"/>
        </w:rPr>
        <w:t xml:space="preserve"> not available from any other source.</w:t>
      </w:r>
    </w:p>
    <w:p w:rsidR="00FB5B48" w:rsidRPr="00A5234C" w:rsidP="00FB5B48" w14:paraId="1FED32A8" w14:textId="77777777">
      <w:pPr>
        <w:widowControl w:val="0"/>
        <w:rPr>
          <w:szCs w:val="24"/>
        </w:rPr>
      </w:pPr>
    </w:p>
    <w:p w:rsidR="00FB5B48" w:rsidRPr="00A5234C" w:rsidP="00FB5B48" w14:paraId="69BD1B24" w14:textId="77777777">
      <w:pPr>
        <w:widowControl w:val="0"/>
        <w:rPr>
          <w:szCs w:val="24"/>
        </w:rPr>
      </w:pPr>
      <w:r w:rsidRPr="00A5234C">
        <w:rPr>
          <w:b/>
          <w:szCs w:val="24"/>
        </w:rPr>
        <w:t>5.</w:t>
      </w:r>
      <w:r w:rsidRPr="00A5234C">
        <w:rPr>
          <w:b/>
          <w:szCs w:val="24"/>
        </w:rPr>
        <w:tab/>
      </w:r>
      <w:r w:rsidRPr="00A5234C">
        <w:rPr>
          <w:b/>
          <w:szCs w:val="24"/>
          <w:u w:val="single"/>
        </w:rPr>
        <w:t>Efforts to minimize the burden on small businesses</w:t>
      </w:r>
    </w:p>
    <w:p w:rsidR="00FB5B48" w:rsidRPr="00A5234C" w:rsidP="00FB5B48" w14:paraId="16C71231" w14:textId="77777777">
      <w:pPr>
        <w:widowControl w:val="0"/>
        <w:rPr>
          <w:szCs w:val="24"/>
        </w:rPr>
      </w:pPr>
    </w:p>
    <w:p w:rsidR="00FB5B48" w:rsidP="00FB5B48" w14:paraId="6E119AAB" w14:textId="616B9A9A">
      <w:pPr>
        <w:widowControl w:val="0"/>
        <w:ind w:left="720"/>
        <w:rPr>
          <w:szCs w:val="24"/>
        </w:rPr>
      </w:pPr>
      <w:r>
        <w:rPr>
          <w:szCs w:val="24"/>
        </w:rPr>
        <w:t>The</w:t>
      </w:r>
      <w:r w:rsidRPr="00A5234C">
        <w:rPr>
          <w:szCs w:val="24"/>
        </w:rPr>
        <w:t xml:space="preserve"> burden incurred from this collection of information is fairly minimal. The larger railroads </w:t>
      </w:r>
      <w:r w:rsidR="005A75D9">
        <w:rPr>
          <w:szCs w:val="24"/>
        </w:rPr>
        <w:t>maintain</w:t>
      </w:r>
      <w:r w:rsidRPr="00A5234C">
        <w:rPr>
          <w:szCs w:val="24"/>
        </w:rPr>
        <w:t xml:space="preserve"> the majority of grade</w:t>
      </w:r>
      <w:r w:rsidR="00F76D19">
        <w:rPr>
          <w:szCs w:val="24"/>
        </w:rPr>
        <w:t xml:space="preserve"> </w:t>
      </w:r>
      <w:r w:rsidRPr="00A5234C">
        <w:rPr>
          <w:szCs w:val="24"/>
        </w:rPr>
        <w:t>crossing</w:t>
      </w:r>
      <w:r w:rsidRPr="00A46CD1">
        <w:rPr>
          <w:szCs w:val="24"/>
        </w:rPr>
        <w:t xml:space="preserve"> </w:t>
      </w:r>
      <w:r w:rsidR="00F76D19">
        <w:rPr>
          <w:szCs w:val="24"/>
        </w:rPr>
        <w:t xml:space="preserve">warning </w:t>
      </w:r>
      <w:r w:rsidRPr="00A46CD1">
        <w:rPr>
          <w:szCs w:val="24"/>
        </w:rPr>
        <w:t>systems in this country. Therefore, the greater portion of the burden falls on the</w:t>
      </w:r>
      <w:r w:rsidR="00EE4560">
        <w:rPr>
          <w:szCs w:val="24"/>
        </w:rPr>
        <w:t>se larger railroads</w:t>
      </w:r>
      <w:r w:rsidRPr="00A46CD1">
        <w:rPr>
          <w:szCs w:val="24"/>
        </w:rPr>
        <w:t xml:space="preserve">, while smaller railroads experience a minor portion of an already very small burden.                        </w:t>
      </w:r>
      <w:r>
        <w:rPr>
          <w:szCs w:val="24"/>
        </w:rPr>
        <w:t xml:space="preserve">  </w:t>
      </w:r>
    </w:p>
    <w:p w:rsidR="00FB5B48" w:rsidRPr="00A5234C" w:rsidP="00FB5B48" w14:paraId="34678D28" w14:textId="77777777">
      <w:pPr>
        <w:widowControl w:val="0"/>
        <w:ind w:left="720"/>
        <w:rPr>
          <w:szCs w:val="24"/>
        </w:rPr>
      </w:pPr>
      <w:r w:rsidRPr="00A5234C">
        <w:rPr>
          <w:szCs w:val="24"/>
        </w:rPr>
        <w:t xml:space="preserve">                 </w:t>
      </w:r>
    </w:p>
    <w:p w:rsidR="00FB5B48" w:rsidRPr="00A5234C" w:rsidP="00FB5B48" w14:paraId="039EF4E7" w14:textId="77777777">
      <w:pPr>
        <w:widowControl w:val="0"/>
        <w:ind w:left="720" w:hanging="720"/>
        <w:rPr>
          <w:b/>
          <w:szCs w:val="24"/>
        </w:rPr>
      </w:pPr>
      <w:r w:rsidRPr="00A5234C">
        <w:rPr>
          <w:b/>
          <w:szCs w:val="24"/>
        </w:rPr>
        <w:t>6.</w:t>
      </w:r>
      <w:r w:rsidRPr="00A5234C">
        <w:rPr>
          <w:b/>
          <w:szCs w:val="24"/>
        </w:rPr>
        <w:tab/>
      </w:r>
      <w:r w:rsidRPr="00A5234C">
        <w:rPr>
          <w:b/>
          <w:szCs w:val="24"/>
          <w:u w:val="single"/>
        </w:rPr>
        <w:t>Impact of less frequent collection of information</w:t>
      </w:r>
    </w:p>
    <w:p w:rsidR="00FB5B48" w:rsidRPr="00A5234C" w:rsidP="00FB5B48" w14:paraId="0425EC55" w14:textId="77777777">
      <w:pPr>
        <w:rPr>
          <w:szCs w:val="24"/>
        </w:rPr>
      </w:pPr>
    </w:p>
    <w:p w:rsidR="00FB5B48" w:rsidRPr="00A5234C" w:rsidP="00FB5B48" w14:paraId="3DE82503" w14:textId="22DB7971">
      <w:pPr>
        <w:widowControl w:val="0"/>
        <w:ind w:left="720"/>
        <w:rPr>
          <w:szCs w:val="24"/>
        </w:rPr>
      </w:pPr>
      <w:r w:rsidRPr="00A5234C">
        <w:rPr>
          <w:szCs w:val="24"/>
        </w:rPr>
        <w:t>If this information were not collected or</w:t>
      </w:r>
      <w:r>
        <w:rPr>
          <w:szCs w:val="24"/>
        </w:rPr>
        <w:t xml:space="preserve"> were</w:t>
      </w:r>
      <w:r w:rsidRPr="00A5234C">
        <w:rPr>
          <w:szCs w:val="24"/>
        </w:rPr>
        <w:t xml:space="preserve"> collected less frequently, railroad safety throughout the United States would be jeopardized. Specifically, without the required telephonic notifications, FRA would not </w:t>
      </w:r>
      <w:r w:rsidR="00411F08">
        <w:rPr>
          <w:szCs w:val="24"/>
        </w:rPr>
        <w:t>receive prompt notification of impacts</w:t>
      </w:r>
      <w:r w:rsidRPr="00A5234C">
        <w:rPr>
          <w:szCs w:val="24"/>
        </w:rPr>
        <w:t xml:space="preserve"> between on-track railroad equipment and automobiles, buses, trucks, motorcycles, bicycles, farm vehicles, or pedestrians at highway-rail grade crossings.  </w:t>
      </w:r>
    </w:p>
    <w:p w:rsidR="00FB5B48" w:rsidRPr="00A5234C" w:rsidP="00FB5B48" w14:paraId="0DE0BD68" w14:textId="77777777">
      <w:pPr>
        <w:widowControl w:val="0"/>
        <w:ind w:left="720"/>
        <w:rPr>
          <w:szCs w:val="24"/>
        </w:rPr>
      </w:pPr>
    </w:p>
    <w:p w:rsidR="00FB5B48" w:rsidP="00FB5B48" w14:paraId="01CF060B" w14:textId="6E2DD201">
      <w:pPr>
        <w:widowControl w:val="0"/>
        <w:ind w:left="720"/>
        <w:rPr>
          <w:szCs w:val="24"/>
        </w:rPr>
      </w:pPr>
      <w:r w:rsidRPr="00A5234C">
        <w:rPr>
          <w:szCs w:val="24"/>
        </w:rPr>
        <w:t xml:space="preserve">Without this collection of information, </w:t>
      </w:r>
      <w:r w:rsidR="00B0642A">
        <w:rPr>
          <w:szCs w:val="24"/>
        </w:rPr>
        <w:t xml:space="preserve">it would be more difficult for </w:t>
      </w:r>
      <w:r w:rsidRPr="00A5234C">
        <w:rPr>
          <w:szCs w:val="24"/>
        </w:rPr>
        <w:t>FRA</w:t>
      </w:r>
      <w:r w:rsidR="00E91E2C">
        <w:rPr>
          <w:szCs w:val="24"/>
        </w:rPr>
        <w:t xml:space="preserve"> </w:t>
      </w:r>
      <w:r w:rsidR="00B0642A">
        <w:rPr>
          <w:szCs w:val="24"/>
        </w:rPr>
        <w:t>to</w:t>
      </w:r>
      <w:r w:rsidR="00E91E2C">
        <w:rPr>
          <w:szCs w:val="24"/>
        </w:rPr>
        <w:t xml:space="preserve"> monitor </w:t>
      </w:r>
      <w:r w:rsidR="00B0642A">
        <w:rPr>
          <w:szCs w:val="24"/>
        </w:rPr>
        <w:t>and evaluate the actions taken by</w:t>
      </w:r>
      <w:r w:rsidRPr="00A5234C">
        <w:rPr>
          <w:szCs w:val="24"/>
        </w:rPr>
        <w:t xml:space="preserve"> railroads to </w:t>
      </w:r>
      <w:r w:rsidR="00F73D1E">
        <w:rPr>
          <w:szCs w:val="24"/>
        </w:rPr>
        <w:t>warn</w:t>
      </w:r>
      <w:r w:rsidRPr="00A5234C">
        <w:rPr>
          <w:szCs w:val="24"/>
        </w:rPr>
        <w:t xml:space="preserve"> </w:t>
      </w:r>
      <w:r w:rsidR="00F73D1E">
        <w:rPr>
          <w:szCs w:val="24"/>
        </w:rPr>
        <w:t xml:space="preserve">incoming train crews </w:t>
      </w:r>
      <w:r w:rsidRPr="00A5234C">
        <w:rPr>
          <w:szCs w:val="24"/>
        </w:rPr>
        <w:t xml:space="preserve">and the public at these affected grade crossings.  </w:t>
      </w:r>
    </w:p>
    <w:p w:rsidR="00FB5B48" w:rsidP="00FB5B48" w14:paraId="7E277D81" w14:textId="77777777">
      <w:pPr>
        <w:widowControl w:val="0"/>
        <w:ind w:left="720"/>
        <w:rPr>
          <w:szCs w:val="24"/>
        </w:rPr>
      </w:pPr>
    </w:p>
    <w:p w:rsidR="00374DE5" w:rsidP="003A53E8" w14:paraId="1E40398A" w14:textId="447C1298">
      <w:pPr>
        <w:widowControl w:val="0"/>
        <w:ind w:left="720"/>
        <w:rPr>
          <w:szCs w:val="24"/>
        </w:rPr>
      </w:pPr>
      <w:r w:rsidRPr="00A5234C">
        <w:rPr>
          <w:szCs w:val="24"/>
        </w:rPr>
        <w:t xml:space="preserve">Also, without the required notification to train crews and </w:t>
      </w:r>
      <w:r w:rsidR="0012687D">
        <w:rPr>
          <w:szCs w:val="24"/>
        </w:rPr>
        <w:t>appropriate</w:t>
      </w:r>
      <w:r w:rsidRPr="00A5234C">
        <w:rPr>
          <w:szCs w:val="24"/>
        </w:rPr>
        <w:t xml:space="preserve"> law enforcement</w:t>
      </w:r>
      <w:r w:rsidR="0012687D">
        <w:rPr>
          <w:szCs w:val="24"/>
        </w:rPr>
        <w:t xml:space="preserve"> a</w:t>
      </w:r>
      <w:r w:rsidRPr="00A5234C">
        <w:rPr>
          <w:szCs w:val="24"/>
        </w:rPr>
        <w:t>uthorities</w:t>
      </w:r>
      <w:r w:rsidR="002D0F6E">
        <w:rPr>
          <w:szCs w:val="24"/>
        </w:rPr>
        <w:t>,</w:t>
      </w:r>
      <w:r w:rsidRPr="00A5234C">
        <w:rPr>
          <w:szCs w:val="24"/>
        </w:rPr>
        <w:t xml:space="preserve"> upon receiving a credible report of a warning system malfunction, railroads might not promptly initiate efforts to warn highway users and </w:t>
      </w:r>
      <w:r w:rsidR="002E6BAD">
        <w:rPr>
          <w:szCs w:val="24"/>
        </w:rPr>
        <w:t>incoming train crews</w:t>
      </w:r>
      <w:r w:rsidRPr="00A5234C">
        <w:rPr>
          <w:szCs w:val="24"/>
        </w:rPr>
        <w:t xml:space="preserve"> about </w:t>
      </w:r>
      <w:r w:rsidR="002E6BAD">
        <w:rPr>
          <w:szCs w:val="24"/>
        </w:rPr>
        <w:t>the</w:t>
      </w:r>
      <w:r w:rsidRPr="00A5234C">
        <w:rPr>
          <w:szCs w:val="24"/>
        </w:rPr>
        <w:t xml:space="preserve"> </w:t>
      </w:r>
      <w:r w:rsidR="002E6BAD">
        <w:rPr>
          <w:szCs w:val="24"/>
        </w:rPr>
        <w:t>malfunction</w:t>
      </w:r>
      <w:r w:rsidRPr="00A5234C">
        <w:rPr>
          <w:szCs w:val="24"/>
        </w:rPr>
        <w:t xml:space="preserve">, thereby increasing the risk of a serious accident/incident with corresponding injuries and possible fatalities.  </w:t>
      </w:r>
    </w:p>
    <w:p w:rsidR="00374DE5" w:rsidP="003A53E8" w14:paraId="1F3A0D2B" w14:textId="77777777">
      <w:pPr>
        <w:widowControl w:val="0"/>
        <w:ind w:left="720"/>
        <w:rPr>
          <w:szCs w:val="24"/>
        </w:rPr>
      </w:pPr>
    </w:p>
    <w:p w:rsidR="00FB5B48" w:rsidRPr="00A5234C" w:rsidP="003A53E8" w14:paraId="3794536C" w14:textId="2633F231">
      <w:pPr>
        <w:widowControl w:val="0"/>
        <w:ind w:left="720"/>
        <w:rPr>
          <w:szCs w:val="24"/>
        </w:rPr>
      </w:pPr>
      <w:r w:rsidRPr="00A5234C">
        <w:rPr>
          <w:szCs w:val="24"/>
        </w:rPr>
        <w:t xml:space="preserve">The collection of information enhances safety because it requires railroads to take certain steps. Specifically, railroads must take the following actions: (1) </w:t>
      </w:r>
      <w:r w:rsidR="00344D36">
        <w:rPr>
          <w:szCs w:val="24"/>
        </w:rPr>
        <w:t>p</w:t>
      </w:r>
      <w:r w:rsidRPr="00A5234C">
        <w:rPr>
          <w:szCs w:val="24"/>
        </w:rPr>
        <w:t xml:space="preserve">rior to any train’s arrival at the crossing, notify the train crew of the report of </w:t>
      </w:r>
      <w:r w:rsidR="00B63EE8">
        <w:rPr>
          <w:szCs w:val="24"/>
        </w:rPr>
        <w:t>warning system malfunction</w:t>
      </w:r>
      <w:r w:rsidRPr="00A5234C">
        <w:rPr>
          <w:szCs w:val="24"/>
        </w:rPr>
        <w:t xml:space="preserve"> and notify any other railroads operating over the crossing; (2) </w:t>
      </w:r>
      <w:r w:rsidR="00344D36">
        <w:rPr>
          <w:szCs w:val="24"/>
        </w:rPr>
        <w:t>n</w:t>
      </w:r>
      <w:r w:rsidRPr="00A5234C">
        <w:rPr>
          <w:szCs w:val="24"/>
        </w:rPr>
        <w:t xml:space="preserve">otify the law enforcement agency having jurisdiction over the crossing, or railroad police capable of responding and controlling vehicular traffic; and (3) </w:t>
      </w:r>
      <w:r w:rsidR="00344D36">
        <w:rPr>
          <w:szCs w:val="24"/>
        </w:rPr>
        <w:t>p</w:t>
      </w:r>
      <w:r w:rsidRPr="00A5234C">
        <w:rPr>
          <w:szCs w:val="24"/>
        </w:rPr>
        <w:t>rovide for alternative means of actively warning highway users of approaching trains. As a result, all affected partie</w:t>
      </w:r>
      <w:r>
        <w:rPr>
          <w:szCs w:val="24"/>
        </w:rPr>
        <w:t>s—</w:t>
      </w:r>
      <w:r w:rsidRPr="00A5234C">
        <w:rPr>
          <w:szCs w:val="24"/>
        </w:rPr>
        <w:t>train crew</w:t>
      </w:r>
      <w:r w:rsidR="00184971">
        <w:rPr>
          <w:szCs w:val="24"/>
        </w:rPr>
        <w:t>s</w:t>
      </w:r>
      <w:r w:rsidRPr="00A5234C">
        <w:rPr>
          <w:szCs w:val="24"/>
        </w:rPr>
        <w:t>, law enforcement agencies, and motorist</w:t>
      </w:r>
      <w:r w:rsidR="00184971">
        <w:rPr>
          <w:szCs w:val="24"/>
        </w:rPr>
        <w:t>s</w:t>
      </w:r>
      <w:r w:rsidRPr="00A5234C">
        <w:rPr>
          <w:szCs w:val="24"/>
        </w:rPr>
        <w:t>/pedestrians</w:t>
      </w:r>
      <w:r>
        <w:rPr>
          <w:szCs w:val="24"/>
        </w:rPr>
        <w:t>—</w:t>
      </w:r>
      <w:r w:rsidRPr="00A5234C">
        <w:rPr>
          <w:szCs w:val="24"/>
        </w:rPr>
        <w:t>can be warned and take effective measures to reduce the likelihood of an accident/incident occurring.</w:t>
      </w:r>
    </w:p>
    <w:p w:rsidR="00FB5B48" w:rsidRPr="00A5234C" w:rsidP="00FB5B48" w14:paraId="5051364B" w14:textId="77777777">
      <w:pPr>
        <w:widowControl w:val="0"/>
        <w:rPr>
          <w:szCs w:val="24"/>
        </w:rPr>
      </w:pPr>
    </w:p>
    <w:p w:rsidR="00FB5B48" w:rsidRPr="00A5234C" w:rsidP="00FB5B48" w14:paraId="569CAFD7" w14:textId="55E6C340">
      <w:pPr>
        <w:widowControl w:val="0"/>
        <w:ind w:left="720"/>
        <w:rPr>
          <w:szCs w:val="24"/>
        </w:rPr>
      </w:pPr>
      <w:r w:rsidRPr="00A5234C">
        <w:rPr>
          <w:szCs w:val="24"/>
        </w:rPr>
        <w:t xml:space="preserve">Without the required records, </w:t>
      </w:r>
      <w:r w:rsidR="007F2E8A">
        <w:rPr>
          <w:szCs w:val="24"/>
        </w:rPr>
        <w:t xml:space="preserve">it would be more difficult for </w:t>
      </w:r>
      <w:r w:rsidRPr="00A5234C">
        <w:rPr>
          <w:szCs w:val="24"/>
        </w:rPr>
        <w:t>FRA to compile database</w:t>
      </w:r>
      <w:r w:rsidR="00C10726">
        <w:rPr>
          <w:szCs w:val="24"/>
        </w:rPr>
        <w:t>s</w:t>
      </w:r>
      <w:r w:rsidRPr="00A5234C">
        <w:rPr>
          <w:szCs w:val="24"/>
        </w:rPr>
        <w:t xml:space="preserve"> </w:t>
      </w:r>
      <w:r w:rsidR="00C10726">
        <w:rPr>
          <w:szCs w:val="24"/>
        </w:rPr>
        <w:t xml:space="preserve">with information </w:t>
      </w:r>
      <w:r w:rsidR="00A03A9F">
        <w:rPr>
          <w:szCs w:val="24"/>
        </w:rPr>
        <w:t>about</w:t>
      </w:r>
      <w:r w:rsidRPr="00A5234C">
        <w:rPr>
          <w:szCs w:val="24"/>
        </w:rPr>
        <w:t xml:space="preserve"> grade crossing </w:t>
      </w:r>
      <w:r w:rsidR="00A03A9F">
        <w:rPr>
          <w:szCs w:val="24"/>
        </w:rPr>
        <w:t>warning</w:t>
      </w:r>
      <w:r w:rsidRPr="00A5234C">
        <w:rPr>
          <w:szCs w:val="24"/>
        </w:rPr>
        <w:t xml:space="preserve"> system malfunctions. As a result, FRA’s </w:t>
      </w:r>
      <w:r w:rsidR="00344D36">
        <w:rPr>
          <w:szCs w:val="24"/>
        </w:rPr>
        <w:t xml:space="preserve">railroad </w:t>
      </w:r>
      <w:r w:rsidRPr="00A5234C">
        <w:rPr>
          <w:szCs w:val="24"/>
        </w:rPr>
        <w:t xml:space="preserve">safety program would be significantly impaired. </w:t>
      </w:r>
      <w:r w:rsidR="00F60CB4">
        <w:rPr>
          <w:szCs w:val="24"/>
        </w:rPr>
        <w:t>Specifically</w:t>
      </w:r>
      <w:r w:rsidRPr="00A5234C">
        <w:rPr>
          <w:szCs w:val="24"/>
        </w:rPr>
        <w:t xml:space="preserve">, FRA </w:t>
      </w:r>
      <w:r w:rsidR="00F60CB4">
        <w:rPr>
          <w:szCs w:val="24"/>
        </w:rPr>
        <w:t>might</w:t>
      </w:r>
      <w:r w:rsidRPr="00A5234C">
        <w:rPr>
          <w:szCs w:val="24"/>
        </w:rPr>
        <w:t xml:space="preserve"> not </w:t>
      </w:r>
      <w:r w:rsidR="003E6206">
        <w:rPr>
          <w:szCs w:val="24"/>
        </w:rPr>
        <w:t>receive</w:t>
      </w:r>
      <w:r w:rsidRPr="00A5234C">
        <w:rPr>
          <w:szCs w:val="24"/>
        </w:rPr>
        <w:t xml:space="preserve"> </w:t>
      </w:r>
      <w:r w:rsidR="003E6206">
        <w:rPr>
          <w:szCs w:val="24"/>
        </w:rPr>
        <w:t xml:space="preserve">prompt notification </w:t>
      </w:r>
      <w:r w:rsidR="005567CA">
        <w:rPr>
          <w:szCs w:val="24"/>
        </w:rPr>
        <w:t>of</w:t>
      </w:r>
      <w:r w:rsidRPr="00A5234C">
        <w:rPr>
          <w:szCs w:val="24"/>
        </w:rPr>
        <w:t xml:space="preserve"> the locations, times</w:t>
      </w:r>
      <w:r>
        <w:rPr>
          <w:szCs w:val="24"/>
        </w:rPr>
        <w:t>,</w:t>
      </w:r>
      <w:r w:rsidRPr="00A5234C">
        <w:rPr>
          <w:szCs w:val="24"/>
        </w:rPr>
        <w:t xml:space="preserve"> and dates of </w:t>
      </w:r>
      <w:r w:rsidR="005567CA">
        <w:rPr>
          <w:szCs w:val="24"/>
        </w:rPr>
        <w:t>grade crossing warning</w:t>
      </w:r>
      <w:r w:rsidRPr="00A5234C">
        <w:rPr>
          <w:szCs w:val="24"/>
        </w:rPr>
        <w:t xml:space="preserve"> system malfunctions</w:t>
      </w:r>
      <w:r>
        <w:rPr>
          <w:szCs w:val="24"/>
        </w:rPr>
        <w:t>,</w:t>
      </w:r>
      <w:r w:rsidRPr="00A5234C">
        <w:rPr>
          <w:szCs w:val="24"/>
        </w:rPr>
        <w:t xml:space="preserve"> the time and date of </w:t>
      </w:r>
      <w:r w:rsidR="00E40530">
        <w:rPr>
          <w:szCs w:val="24"/>
        </w:rPr>
        <w:t xml:space="preserve">repair, or </w:t>
      </w:r>
      <w:r w:rsidRPr="00A5234C">
        <w:rPr>
          <w:szCs w:val="24"/>
        </w:rPr>
        <w:t xml:space="preserve">any actions taken by railroads prior to the repair and reactivation of the affected system. </w:t>
      </w:r>
      <w:r>
        <w:rPr>
          <w:szCs w:val="24"/>
        </w:rPr>
        <w:t>W</w:t>
      </w:r>
      <w:r w:rsidRPr="00A5234C">
        <w:rPr>
          <w:szCs w:val="24"/>
        </w:rPr>
        <w:t>ithout these records, FRA might miss critical information that could be used to establish the cause(s) of an accident/incident and to devise effective strategies and programs to prevent similar types of accidents/incidents from occurring in the future.</w:t>
      </w:r>
    </w:p>
    <w:p w:rsidR="00FB5B48" w:rsidRPr="00A5234C" w:rsidP="00FB5B48" w14:paraId="5412A7B7" w14:textId="77777777">
      <w:pPr>
        <w:widowControl w:val="0"/>
        <w:ind w:left="720"/>
        <w:rPr>
          <w:szCs w:val="24"/>
        </w:rPr>
      </w:pPr>
    </w:p>
    <w:p w:rsidR="00FB5B48" w:rsidP="00FB5B48" w14:paraId="6AB904CC" w14:textId="16B88E49">
      <w:pPr>
        <w:widowControl w:val="0"/>
        <w:ind w:left="720"/>
        <w:rPr>
          <w:szCs w:val="24"/>
        </w:rPr>
      </w:pPr>
      <w:r>
        <w:rPr>
          <w:szCs w:val="24"/>
        </w:rPr>
        <w:t>T</w:t>
      </w:r>
      <w:r w:rsidRPr="00A5234C" w:rsidR="00926C56">
        <w:rPr>
          <w:szCs w:val="24"/>
        </w:rPr>
        <w:t xml:space="preserve">he frequency of submission of information is presently as </w:t>
      </w:r>
      <w:r w:rsidR="009D37D7">
        <w:rPr>
          <w:szCs w:val="24"/>
        </w:rPr>
        <w:t xml:space="preserve">infrequent </w:t>
      </w:r>
      <w:r w:rsidRPr="00A5234C" w:rsidR="00926C56">
        <w:rPr>
          <w:szCs w:val="24"/>
        </w:rPr>
        <w:t>as possible. Requesting any of the required information less frequently would impede FRA</w:t>
      </w:r>
      <w:r w:rsidR="002F6F30">
        <w:rPr>
          <w:szCs w:val="24"/>
        </w:rPr>
        <w:t>’</w:t>
      </w:r>
      <w:r w:rsidRPr="00A5234C" w:rsidR="00926C56">
        <w:rPr>
          <w:szCs w:val="24"/>
        </w:rPr>
        <w:t xml:space="preserve">s safety program and put at risk railroad employees and the traveling public.  </w:t>
      </w:r>
    </w:p>
    <w:p w:rsidR="00FB5B48" w:rsidRPr="00A5234C" w:rsidP="00FB5B48" w14:paraId="56FA06D6" w14:textId="77777777">
      <w:pPr>
        <w:widowControl w:val="0"/>
        <w:ind w:left="720"/>
        <w:rPr>
          <w:szCs w:val="24"/>
        </w:rPr>
      </w:pPr>
    </w:p>
    <w:p w:rsidR="00FB5B48" w:rsidRPr="00A5234C" w:rsidP="00FB5B48" w14:paraId="50E51BD4" w14:textId="77777777">
      <w:pPr>
        <w:widowControl w:val="0"/>
        <w:rPr>
          <w:b/>
          <w:szCs w:val="24"/>
        </w:rPr>
      </w:pPr>
      <w:r w:rsidRPr="00A5234C">
        <w:rPr>
          <w:b/>
          <w:szCs w:val="24"/>
        </w:rPr>
        <w:t>7.</w:t>
      </w:r>
      <w:r w:rsidRPr="00A5234C">
        <w:rPr>
          <w:b/>
          <w:szCs w:val="24"/>
        </w:rPr>
        <w:tab/>
      </w:r>
      <w:r w:rsidRPr="00A5234C">
        <w:rPr>
          <w:b/>
          <w:szCs w:val="24"/>
          <w:u w:val="single"/>
        </w:rPr>
        <w:t>Special circumstances</w:t>
      </w:r>
    </w:p>
    <w:p w:rsidR="00FB5B48" w:rsidRPr="00A5234C" w:rsidP="00FB5B48" w14:paraId="006976ED" w14:textId="77777777">
      <w:pPr>
        <w:widowControl w:val="0"/>
        <w:rPr>
          <w:szCs w:val="24"/>
        </w:rPr>
      </w:pPr>
    </w:p>
    <w:p w:rsidR="00A4209A" w:rsidP="00A4209A" w14:paraId="08267547" w14:textId="59FDCA91">
      <w:pPr>
        <w:widowControl w:val="0"/>
        <w:ind w:left="720"/>
        <w:rPr>
          <w:szCs w:val="24"/>
        </w:rPr>
      </w:pPr>
      <w:r>
        <w:rPr>
          <w:szCs w:val="24"/>
        </w:rPr>
        <w:t xml:space="preserve">This collection of information does not require collection to be conducted in a manner inconsistent with the guidelines delineated in 5 CFR </w:t>
      </w:r>
      <w:r w:rsidR="00B945C4">
        <w:rPr>
          <w:szCs w:val="24"/>
        </w:rPr>
        <w:t xml:space="preserve">§ </w:t>
      </w:r>
      <w:r>
        <w:rPr>
          <w:szCs w:val="24"/>
        </w:rPr>
        <w:t>1320.5(d)(2).</w:t>
      </w:r>
    </w:p>
    <w:p w:rsidR="00A00CBD" w:rsidRPr="00A5234C" w:rsidP="00A4209A" w14:paraId="71674E07" w14:textId="77777777">
      <w:pPr>
        <w:widowControl w:val="0"/>
        <w:ind w:left="720"/>
        <w:rPr>
          <w:szCs w:val="24"/>
        </w:rPr>
      </w:pPr>
    </w:p>
    <w:p w:rsidR="00FB5B48" w:rsidRPr="00A5234C" w:rsidP="00FB5B48" w14:paraId="5F0707E9" w14:textId="77777777">
      <w:pPr>
        <w:widowControl w:val="0"/>
        <w:ind w:left="720" w:hanging="720"/>
        <w:rPr>
          <w:b/>
          <w:szCs w:val="24"/>
        </w:rPr>
      </w:pPr>
      <w:r w:rsidRPr="00A5234C">
        <w:rPr>
          <w:b/>
          <w:szCs w:val="24"/>
        </w:rPr>
        <w:t>8.</w:t>
      </w:r>
      <w:r w:rsidRPr="00A5234C">
        <w:rPr>
          <w:b/>
          <w:szCs w:val="24"/>
        </w:rPr>
        <w:tab/>
      </w:r>
      <w:r w:rsidRPr="00854C34">
        <w:rPr>
          <w:b/>
          <w:szCs w:val="24"/>
          <w:u w:val="single"/>
        </w:rPr>
        <w:t>Compliance with 5 CFR §</w:t>
      </w:r>
      <w:r w:rsidRPr="00854C34">
        <w:rPr>
          <w:szCs w:val="24"/>
          <w:u w:val="single"/>
        </w:rPr>
        <w:t xml:space="preserve"> </w:t>
      </w:r>
      <w:r w:rsidRPr="00854C34">
        <w:rPr>
          <w:b/>
          <w:szCs w:val="24"/>
          <w:u w:val="single"/>
        </w:rPr>
        <w:t>1320.</w:t>
      </w:r>
      <w:r w:rsidRPr="00A5234C">
        <w:rPr>
          <w:b/>
          <w:szCs w:val="24"/>
          <w:u w:val="single"/>
        </w:rPr>
        <w:t>8</w:t>
      </w:r>
    </w:p>
    <w:p w:rsidR="00FB5B48" w:rsidRPr="00A5234C" w:rsidP="00FB5B48" w14:paraId="2BC76EBB" w14:textId="77777777">
      <w:pPr>
        <w:widowControl w:val="0"/>
        <w:rPr>
          <w:szCs w:val="24"/>
        </w:rPr>
      </w:pPr>
    </w:p>
    <w:p w:rsidR="00FB5B48" w:rsidP="00FB5B48" w14:paraId="1CEFC3CB" w14:textId="2E10C981">
      <w:pPr>
        <w:ind w:left="720"/>
      </w:pPr>
      <w:r>
        <w:t xml:space="preserve">As required by the Paperwork Reduction Act of 1995 (PRA) and 5 CFR </w:t>
      </w:r>
      <w:r w:rsidR="00E72DE3">
        <w:t xml:space="preserve">part </w:t>
      </w:r>
      <w:r>
        <w:t xml:space="preserve">1320, FRA published a notice in the </w:t>
      </w:r>
      <w:r w:rsidRPr="006E6DA7">
        <w:rPr>
          <w:i/>
          <w:iCs/>
        </w:rPr>
        <w:t>Federal Register</w:t>
      </w:r>
      <w:r>
        <w:t xml:space="preserve"> </w:t>
      </w:r>
      <w:r w:rsidRPr="006D6D79">
        <w:t xml:space="preserve">on </w:t>
      </w:r>
      <w:r w:rsidR="007A633F">
        <w:t>April 23, 2026</w:t>
      </w:r>
      <w:r w:rsidR="00B945C4">
        <w:t>,</w:t>
      </w:r>
      <w:r>
        <w:rPr>
          <w:rStyle w:val="FootnoteReference"/>
        </w:rPr>
        <w:footnoteReference w:id="4"/>
      </w:r>
      <w:r>
        <w:t xml:space="preserve"> soliciting comment from the public, railroads, and other interested parties</w:t>
      </w:r>
      <w:r w:rsidR="009F610E">
        <w:t>.</w:t>
      </w:r>
      <w:r>
        <w:t xml:space="preserve"> </w:t>
      </w:r>
      <w:r w:rsidRPr="00E371E8">
        <w:t xml:space="preserve">FRA received </w:t>
      </w:r>
      <w:r w:rsidR="00CB41DD">
        <w:t xml:space="preserve">no public </w:t>
      </w:r>
      <w:r w:rsidRPr="00E371E8">
        <w:t>comment</w:t>
      </w:r>
      <w:r w:rsidR="00374DE5">
        <w:t>s.</w:t>
      </w:r>
    </w:p>
    <w:p w:rsidR="00AB5B50" w:rsidP="00FB5B48" w14:paraId="2D1CF26E" w14:textId="77777777">
      <w:pPr>
        <w:ind w:left="720"/>
      </w:pPr>
    </w:p>
    <w:p w:rsidR="00C07B0A" w:rsidP="00FB5B48" w14:paraId="19AD4D94" w14:textId="392B8069">
      <w:pPr>
        <w:ind w:left="720"/>
        <w:rPr>
          <w:i/>
          <w:iCs/>
          <w:color w:val="000000"/>
          <w:szCs w:val="24"/>
          <w:u w:val="single"/>
        </w:rPr>
      </w:pPr>
      <w:r w:rsidRPr="002F3B9B">
        <w:rPr>
          <w:i/>
          <w:iCs/>
          <w:color w:val="000000"/>
          <w:szCs w:val="24"/>
          <w:u w:val="single"/>
        </w:rPr>
        <w:t>Consultations with representatives of the affected population:</w:t>
      </w:r>
    </w:p>
    <w:p w:rsidR="004A187F" w:rsidP="00FB5B48" w14:paraId="07A56C9A" w14:textId="77777777">
      <w:pPr>
        <w:ind w:left="720"/>
        <w:rPr>
          <w:i/>
          <w:iCs/>
          <w:color w:val="000000"/>
          <w:szCs w:val="24"/>
          <w:u w:val="single"/>
        </w:rPr>
      </w:pPr>
    </w:p>
    <w:p w:rsidR="0098260C" w:rsidP="00C07B0A" w14:paraId="2C185757" w14:textId="749B9C6D">
      <w:pPr>
        <w:widowControl w:val="0"/>
        <w:ind w:left="720"/>
      </w:pPr>
      <w:r w:rsidRPr="009B262A">
        <w:t>As a part of FRA</w:t>
      </w:r>
      <w:r>
        <w:t>’</w:t>
      </w:r>
      <w:r w:rsidRPr="009B262A">
        <w:t xml:space="preserve">s oversight and enforcement, individuals from the railroad industry are generally in direct contact with FRA’s </w:t>
      </w:r>
      <w:r>
        <w:t>inspectors</w:t>
      </w:r>
      <w:r w:rsidRPr="009B262A">
        <w:t xml:space="preserve"> at the time of site inspection</w:t>
      </w:r>
      <w:r>
        <w:t>s</w:t>
      </w:r>
      <w:r w:rsidRPr="009B262A">
        <w:t xml:space="preserve"> and can provide any comments or concerns to </w:t>
      </w:r>
      <w:r>
        <w:t>them</w:t>
      </w:r>
      <w:r w:rsidR="00746C85">
        <w:t>.</w:t>
      </w:r>
    </w:p>
    <w:p w:rsidR="00746C85" w:rsidP="00C07B0A" w14:paraId="2271F6BE" w14:textId="77777777">
      <w:pPr>
        <w:widowControl w:val="0"/>
        <w:ind w:left="720"/>
      </w:pPr>
    </w:p>
    <w:p w:rsidR="00FB5B48" w:rsidP="00C07B0A" w14:paraId="5159A383" w14:textId="5DAAB2C7">
      <w:pPr>
        <w:widowControl w:val="0"/>
        <w:rPr>
          <w:rFonts w:ascii="Univers" w:hAnsi="Univers"/>
          <w:b/>
        </w:rPr>
      </w:pPr>
      <w:r w:rsidRPr="00AD423C">
        <w:rPr>
          <w:b/>
        </w:rPr>
        <w:t>9.</w:t>
      </w:r>
      <w:r w:rsidRPr="00AD423C">
        <w:rPr>
          <w:b/>
        </w:rPr>
        <w:tab/>
      </w:r>
      <w:r w:rsidRPr="00AD423C">
        <w:rPr>
          <w:b/>
          <w:u w:val="single"/>
        </w:rPr>
        <w:t>Payments or gifts to respondents</w:t>
      </w:r>
    </w:p>
    <w:p w:rsidR="00FB5B48" w:rsidP="00FB5B48" w14:paraId="76E2B32D" w14:textId="77777777">
      <w:pPr>
        <w:widowControl w:val="0"/>
        <w:rPr>
          <w:b/>
        </w:rPr>
      </w:pPr>
    </w:p>
    <w:p w:rsidR="00FB5B48" w:rsidP="00FB5B48" w14:paraId="7200B656" w14:textId="6947C280">
      <w:pPr>
        <w:widowControl w:val="0"/>
        <w:ind w:left="720"/>
        <w:rPr>
          <w:rFonts w:ascii="Courier" w:hAnsi="Courier"/>
          <w:b/>
        </w:rPr>
      </w:pPr>
      <w:r>
        <w:t xml:space="preserve">There are no monetary payments or gifts made to respondents </w:t>
      </w:r>
      <w:r w:rsidR="00A53D1D">
        <w:t>associated</w:t>
      </w:r>
      <w:r>
        <w:t xml:space="preserve"> </w:t>
      </w:r>
      <w:r w:rsidR="0098260C">
        <w:t>w</w:t>
      </w:r>
      <w:r>
        <w:t xml:space="preserve">ith </w:t>
      </w:r>
      <w:r w:rsidR="00A53D1D">
        <w:t xml:space="preserve">the requirements of </w:t>
      </w:r>
      <w:r>
        <w:t>this information collection.</w:t>
      </w:r>
      <w:r>
        <w:rPr>
          <w:b/>
        </w:rPr>
        <w:tab/>
      </w:r>
    </w:p>
    <w:p w:rsidR="00FB5B48" w:rsidP="00FB5B48" w14:paraId="205FFE26" w14:textId="77777777">
      <w:pPr>
        <w:widowControl w:val="0"/>
        <w:rPr>
          <w:b/>
        </w:rPr>
      </w:pPr>
    </w:p>
    <w:p w:rsidR="00FB5B48" w:rsidP="00FB5B48" w14:paraId="1DA5C9DB" w14:textId="78997462">
      <w:r w:rsidRPr="00AD423C">
        <w:rPr>
          <w:b/>
        </w:rPr>
        <w:t>10.</w:t>
      </w:r>
      <w:r w:rsidRPr="00AD423C">
        <w:rPr>
          <w:b/>
        </w:rPr>
        <w:tab/>
      </w:r>
      <w:r w:rsidRPr="00AD423C">
        <w:rPr>
          <w:b/>
          <w:u w:val="single"/>
        </w:rPr>
        <w:t>Assurance of confidentiality</w:t>
      </w:r>
    </w:p>
    <w:p w:rsidR="00FB5B48" w:rsidP="00FB5B48" w14:paraId="7C3D860F" w14:textId="77777777">
      <w:pPr>
        <w:ind w:left="720"/>
      </w:pPr>
    </w:p>
    <w:p w:rsidR="00FB5B48" w:rsidP="00FB5B48" w14:paraId="5F4CF3CB" w14:textId="5804E842">
      <w:pPr>
        <w:widowControl w:val="0"/>
        <w:ind w:left="720"/>
        <w:rPr>
          <w:szCs w:val="24"/>
        </w:rPr>
      </w:pPr>
      <w:r w:rsidRPr="00A5234C">
        <w:rPr>
          <w:szCs w:val="24"/>
        </w:rPr>
        <w:t>Information collected is not of a confidential nature</w:t>
      </w:r>
      <w:r w:rsidR="00A53D1D">
        <w:rPr>
          <w:szCs w:val="24"/>
        </w:rPr>
        <w:t>,</w:t>
      </w:r>
      <w:r w:rsidRPr="00A5234C">
        <w:rPr>
          <w:szCs w:val="24"/>
        </w:rPr>
        <w:t xml:space="preserve"> and FRA pledges no confidentiality.</w:t>
      </w:r>
    </w:p>
    <w:p w:rsidR="00FB5B48" w:rsidP="00FB5B48" w14:paraId="2631A6D0" w14:textId="77777777">
      <w:pPr>
        <w:widowControl w:val="0"/>
        <w:ind w:left="720"/>
      </w:pPr>
    </w:p>
    <w:p w:rsidR="00FB5B48" w:rsidRPr="002604C5" w:rsidP="00FB5B48" w14:paraId="59D93AE6" w14:textId="3212BBD4">
      <w:pPr>
        <w:widowControl w:val="0"/>
        <w:ind w:left="720" w:hanging="720"/>
      </w:pPr>
      <w:r w:rsidRPr="00AD423C">
        <w:rPr>
          <w:b/>
        </w:rPr>
        <w:t>11.</w:t>
      </w:r>
      <w:r w:rsidRPr="00AD423C">
        <w:rPr>
          <w:b/>
        </w:rPr>
        <w:tab/>
      </w:r>
      <w:r w:rsidRPr="00AD423C">
        <w:rPr>
          <w:b/>
          <w:u w:val="single"/>
        </w:rPr>
        <w:t>Justification for any questions of a sensitive nature</w:t>
      </w:r>
    </w:p>
    <w:p w:rsidR="00FB5B48" w:rsidP="00FB5B48" w14:paraId="7DB57260" w14:textId="77777777"/>
    <w:p w:rsidR="00FB5B48" w:rsidRPr="00D863FB" w:rsidP="00FB5B48" w14:paraId="34F1D180" w14:textId="1B11F228">
      <w:pPr>
        <w:widowControl w:val="0"/>
        <w:ind w:left="720"/>
        <w:rPr>
          <w:szCs w:val="24"/>
        </w:rPr>
      </w:pPr>
      <w:r w:rsidRPr="00D863FB">
        <w:rPr>
          <w:szCs w:val="24"/>
        </w:rPr>
        <w:t>Th</w:t>
      </w:r>
      <w:r w:rsidR="00987F9B">
        <w:rPr>
          <w:szCs w:val="24"/>
        </w:rPr>
        <w:t>e</w:t>
      </w:r>
      <w:r w:rsidRPr="00D863FB">
        <w:rPr>
          <w:szCs w:val="24"/>
        </w:rPr>
        <w:t xml:space="preserve"> information collection does not contain any data of a personal or sensitive nature.</w:t>
      </w:r>
    </w:p>
    <w:p w:rsidR="00FB5B48" w:rsidP="00FB5B48" w14:paraId="3BFEE275" w14:textId="77777777">
      <w:pPr>
        <w:widowControl w:val="0"/>
        <w:ind w:left="720"/>
        <w:rPr>
          <w:szCs w:val="24"/>
        </w:rPr>
      </w:pPr>
    </w:p>
    <w:p w:rsidR="00FB5B48" w:rsidRPr="00A5234C" w:rsidP="00FB5B48" w14:paraId="3C427CDE" w14:textId="77777777">
      <w:pPr>
        <w:widowControl w:val="0"/>
        <w:rPr>
          <w:szCs w:val="24"/>
        </w:rPr>
      </w:pPr>
      <w:r w:rsidRPr="00A5234C">
        <w:rPr>
          <w:b/>
          <w:bCs/>
          <w:szCs w:val="24"/>
        </w:rPr>
        <w:t>12.       </w:t>
      </w:r>
      <w:r w:rsidRPr="00A5234C">
        <w:rPr>
          <w:b/>
          <w:bCs/>
          <w:szCs w:val="24"/>
          <w:u w:val="single"/>
        </w:rPr>
        <w:t>Estimate of burden hours for information collected</w:t>
      </w:r>
    </w:p>
    <w:p w:rsidR="00FB5B48" w:rsidP="00FB5B48" w14:paraId="5DBD2CBC" w14:textId="77777777">
      <w:pPr>
        <w:rPr>
          <w:szCs w:val="24"/>
        </w:rPr>
      </w:pPr>
    </w:p>
    <w:p w:rsidR="00FB5B48" w:rsidP="00FB5B48" w14:paraId="3D6A0B34" w14:textId="258D59C1">
      <w:pPr>
        <w:widowControl w:val="0"/>
        <w:ind w:left="720"/>
        <w:rPr>
          <w:szCs w:val="24"/>
        </w:rPr>
      </w:pPr>
      <w:r w:rsidRPr="00C00B9A">
        <w:rPr>
          <w:szCs w:val="24"/>
        </w:rPr>
        <w:t>The estimates for the respondent universe, annual responses, and average time per response are based on the experience and expertise of FRA’s Office of Railroad Safety.</w:t>
      </w:r>
      <w:r>
        <w:rPr>
          <w:szCs w:val="24"/>
        </w:rPr>
        <w:t xml:space="preserve">  </w:t>
      </w:r>
    </w:p>
    <w:p w:rsidR="00FB5B48" w:rsidP="00FB5B48" w14:paraId="3AB910C3" w14:textId="77777777">
      <w:pPr>
        <w:widowControl w:val="0"/>
        <w:ind w:left="720"/>
        <w:rPr>
          <w:szCs w:val="24"/>
        </w:rPr>
      </w:pPr>
    </w:p>
    <w:tbl>
      <w:tblPr>
        <w:tblStyle w:val="1"/>
        <w:tblW w:w="106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00"/>
        <w:gridCol w:w="1260"/>
        <w:gridCol w:w="1260"/>
        <w:gridCol w:w="1080"/>
        <w:gridCol w:w="900"/>
        <w:gridCol w:w="810"/>
        <w:gridCol w:w="1260"/>
        <w:gridCol w:w="2250"/>
      </w:tblGrid>
      <w:tr w14:paraId="723F3659" w14:textId="14308DA8" w:rsidTr="00D264B4">
        <w:tblPrEx>
          <w:tblW w:w="106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78"/>
        </w:trPr>
        <w:tc>
          <w:tcPr>
            <w:tcW w:w="1800" w:type="dxa"/>
          </w:tcPr>
          <w:p w:rsidR="00D264B4" w:rsidRPr="00D264B4" w:rsidP="00D264B4" w14:paraId="304F02BE" w14:textId="77777777">
            <w:pPr>
              <w:jc w:val="center"/>
              <w:rPr>
                <w:color w:val="000000"/>
                <w:sz w:val="20"/>
              </w:rPr>
            </w:pPr>
            <w:r w:rsidRPr="00D264B4">
              <w:rPr>
                <w:color w:val="000000"/>
                <w:sz w:val="20"/>
              </w:rPr>
              <w:t>CFR Section</w:t>
            </w:r>
          </w:p>
          <w:p w:rsidR="00D264B4" w:rsidRPr="00D264B4" w:rsidP="00D264B4" w14:paraId="6228EF30" w14:textId="77777777">
            <w:pPr>
              <w:jc w:val="center"/>
              <w:rPr>
                <w:color w:val="000000"/>
                <w:sz w:val="20"/>
              </w:rPr>
            </w:pPr>
          </w:p>
        </w:tc>
        <w:tc>
          <w:tcPr>
            <w:tcW w:w="1260" w:type="dxa"/>
          </w:tcPr>
          <w:p w:rsidR="00D264B4" w:rsidRPr="00D264B4" w:rsidP="00D264B4" w14:paraId="576CFF2B" w14:textId="77777777">
            <w:pPr>
              <w:jc w:val="center"/>
              <w:rPr>
                <w:color w:val="000000"/>
                <w:sz w:val="20"/>
              </w:rPr>
            </w:pPr>
            <w:r w:rsidRPr="00D264B4">
              <w:rPr>
                <w:color w:val="000000"/>
                <w:sz w:val="20"/>
              </w:rPr>
              <w:t>Respondent universe</w:t>
            </w:r>
          </w:p>
        </w:tc>
        <w:tc>
          <w:tcPr>
            <w:tcW w:w="1260" w:type="dxa"/>
          </w:tcPr>
          <w:p w:rsidR="00D264B4" w:rsidRPr="00D264B4" w:rsidP="00D264B4" w14:paraId="0B8602B2" w14:textId="77777777">
            <w:pPr>
              <w:jc w:val="center"/>
              <w:rPr>
                <w:color w:val="000000"/>
                <w:sz w:val="20"/>
              </w:rPr>
            </w:pPr>
            <w:r w:rsidRPr="00D264B4">
              <w:rPr>
                <w:color w:val="000000"/>
                <w:sz w:val="20"/>
              </w:rPr>
              <w:t xml:space="preserve">Total </w:t>
            </w:r>
          </w:p>
          <w:p w:rsidR="00D264B4" w:rsidRPr="00D264B4" w:rsidP="00D264B4" w14:paraId="2F22139F" w14:textId="77777777">
            <w:pPr>
              <w:jc w:val="center"/>
              <w:rPr>
                <w:color w:val="000000"/>
                <w:sz w:val="20"/>
              </w:rPr>
            </w:pPr>
            <w:r w:rsidRPr="00D264B4">
              <w:rPr>
                <w:color w:val="000000"/>
                <w:sz w:val="20"/>
              </w:rPr>
              <w:t xml:space="preserve">Annual Responses </w:t>
            </w:r>
          </w:p>
          <w:p w:rsidR="00D264B4" w:rsidRPr="00D264B4" w:rsidP="00D264B4" w14:paraId="49579400" w14:textId="77777777">
            <w:pPr>
              <w:jc w:val="center"/>
              <w:rPr>
                <w:color w:val="000000"/>
                <w:sz w:val="20"/>
              </w:rPr>
            </w:pPr>
            <w:r w:rsidRPr="00D264B4">
              <w:rPr>
                <w:color w:val="000000"/>
                <w:sz w:val="16"/>
                <w:szCs w:val="16"/>
              </w:rPr>
              <w:t>(A)</w:t>
            </w:r>
          </w:p>
        </w:tc>
        <w:tc>
          <w:tcPr>
            <w:tcW w:w="1080" w:type="dxa"/>
          </w:tcPr>
          <w:p w:rsidR="00D264B4" w:rsidRPr="00D264B4" w:rsidP="00D264B4" w14:paraId="3FD5AAA7" w14:textId="77777777">
            <w:pPr>
              <w:jc w:val="center"/>
              <w:rPr>
                <w:color w:val="000000"/>
                <w:sz w:val="20"/>
              </w:rPr>
            </w:pPr>
            <w:r w:rsidRPr="00D264B4">
              <w:rPr>
                <w:color w:val="000000"/>
                <w:sz w:val="20"/>
              </w:rPr>
              <w:t xml:space="preserve">Average Time </w:t>
            </w:r>
          </w:p>
          <w:p w:rsidR="00D264B4" w:rsidRPr="00D264B4" w:rsidP="00D264B4" w14:paraId="03009CAB" w14:textId="77777777">
            <w:pPr>
              <w:jc w:val="center"/>
              <w:rPr>
                <w:color w:val="000000"/>
                <w:sz w:val="20"/>
              </w:rPr>
            </w:pPr>
            <w:r w:rsidRPr="00D264B4">
              <w:rPr>
                <w:color w:val="000000"/>
                <w:sz w:val="20"/>
              </w:rPr>
              <w:t xml:space="preserve">per Response </w:t>
            </w:r>
            <w:r w:rsidRPr="00D264B4">
              <w:rPr>
                <w:color w:val="000000"/>
                <w:sz w:val="16"/>
                <w:szCs w:val="16"/>
              </w:rPr>
              <w:t>(B)</w:t>
            </w:r>
          </w:p>
        </w:tc>
        <w:tc>
          <w:tcPr>
            <w:tcW w:w="900" w:type="dxa"/>
          </w:tcPr>
          <w:p w:rsidR="00D264B4" w:rsidRPr="00D264B4" w:rsidP="00D264B4" w14:paraId="4986F0FC" w14:textId="77777777">
            <w:pPr>
              <w:jc w:val="center"/>
              <w:rPr>
                <w:color w:val="000000"/>
                <w:sz w:val="20"/>
              </w:rPr>
            </w:pPr>
            <w:r w:rsidRPr="00D264B4">
              <w:rPr>
                <w:color w:val="000000"/>
                <w:sz w:val="20"/>
              </w:rPr>
              <w:t xml:space="preserve">Total </w:t>
            </w:r>
          </w:p>
          <w:p w:rsidR="00D264B4" w:rsidRPr="00D264B4" w:rsidP="00D264B4" w14:paraId="58D7DB79" w14:textId="77777777">
            <w:pPr>
              <w:jc w:val="center"/>
              <w:rPr>
                <w:color w:val="000000"/>
                <w:sz w:val="20"/>
              </w:rPr>
            </w:pPr>
            <w:r w:rsidRPr="00D264B4">
              <w:rPr>
                <w:color w:val="000000"/>
                <w:sz w:val="20"/>
              </w:rPr>
              <w:t xml:space="preserve">Annual Burden Hours </w:t>
            </w:r>
          </w:p>
          <w:p w:rsidR="00D264B4" w:rsidRPr="00D264B4" w:rsidP="00D264B4" w14:paraId="6C0B9F53" w14:textId="77777777">
            <w:pPr>
              <w:jc w:val="center"/>
              <w:rPr>
                <w:color w:val="000000"/>
                <w:sz w:val="20"/>
              </w:rPr>
            </w:pPr>
            <w:r w:rsidRPr="00D264B4">
              <w:rPr>
                <w:color w:val="000000"/>
                <w:sz w:val="16"/>
                <w:szCs w:val="16"/>
              </w:rPr>
              <w:t xml:space="preserve">(C = A * B) </w:t>
            </w:r>
          </w:p>
        </w:tc>
        <w:tc>
          <w:tcPr>
            <w:tcW w:w="810" w:type="dxa"/>
          </w:tcPr>
          <w:p w:rsidR="00D264B4" w:rsidRPr="00D264B4" w:rsidP="00D264B4" w14:paraId="14EC2259" w14:textId="77777777">
            <w:pPr>
              <w:jc w:val="center"/>
              <w:rPr>
                <w:color w:val="000000"/>
                <w:sz w:val="20"/>
              </w:rPr>
            </w:pPr>
            <w:r w:rsidRPr="00D264B4">
              <w:rPr>
                <w:color w:val="000000"/>
                <w:sz w:val="20"/>
              </w:rPr>
              <w:t>Wage</w:t>
            </w:r>
          </w:p>
          <w:p w:rsidR="00D264B4" w:rsidRPr="00D264B4" w:rsidP="00D264B4" w14:paraId="41EE7916" w14:textId="0DE37262">
            <w:pPr>
              <w:jc w:val="center"/>
              <w:rPr>
                <w:color w:val="000000"/>
                <w:sz w:val="20"/>
              </w:rPr>
            </w:pPr>
            <w:r>
              <w:rPr>
                <w:color w:val="000000"/>
                <w:sz w:val="20"/>
              </w:rPr>
              <w:t>r</w:t>
            </w:r>
            <w:r w:rsidRPr="00D264B4">
              <w:rPr>
                <w:color w:val="000000"/>
                <w:sz w:val="20"/>
              </w:rPr>
              <w:t>ates</w:t>
            </w:r>
            <w:r>
              <w:rPr>
                <w:color w:val="000000"/>
                <w:sz w:val="20"/>
                <w:vertAlign w:val="superscript"/>
              </w:rPr>
              <w:footnoteReference w:id="5"/>
            </w:r>
          </w:p>
        </w:tc>
        <w:tc>
          <w:tcPr>
            <w:tcW w:w="1260" w:type="dxa"/>
          </w:tcPr>
          <w:p w:rsidR="00D264B4" w:rsidRPr="00D264B4" w:rsidP="00D264B4" w14:paraId="74A82924" w14:textId="77777777">
            <w:pPr>
              <w:jc w:val="center"/>
              <w:rPr>
                <w:color w:val="000000"/>
                <w:sz w:val="20"/>
              </w:rPr>
            </w:pPr>
            <w:r w:rsidRPr="00D264B4">
              <w:rPr>
                <w:color w:val="000000"/>
                <w:sz w:val="20"/>
              </w:rPr>
              <w:t xml:space="preserve">Total Cost Equivalent in U.S.D </w:t>
            </w:r>
            <w:r w:rsidRPr="00D264B4">
              <w:rPr>
                <w:color w:val="000000"/>
                <w:sz w:val="20"/>
              </w:rPr>
              <w:br/>
            </w:r>
            <w:r w:rsidRPr="00D264B4">
              <w:rPr>
                <w:color w:val="000000"/>
                <w:sz w:val="16"/>
                <w:szCs w:val="16"/>
              </w:rPr>
              <w:t>(D = C * wage rates)</w:t>
            </w:r>
          </w:p>
        </w:tc>
        <w:tc>
          <w:tcPr>
            <w:tcW w:w="2250" w:type="dxa"/>
          </w:tcPr>
          <w:p w:rsidR="00D264B4" w:rsidRPr="00D264B4" w:rsidP="00D264B4" w14:paraId="25B7219A" w14:textId="4D6206D1">
            <w:pPr>
              <w:jc w:val="center"/>
              <w:rPr>
                <w:color w:val="000000"/>
                <w:sz w:val="20"/>
              </w:rPr>
            </w:pPr>
            <w:r>
              <w:rPr>
                <w:color w:val="000000"/>
                <w:sz w:val="20"/>
              </w:rPr>
              <w:t>PRA Analysis</w:t>
            </w:r>
          </w:p>
        </w:tc>
      </w:tr>
      <w:tr w14:paraId="01EDE070" w14:textId="7D90D3EE" w:rsidTr="000F22A6">
        <w:tblPrEx>
          <w:tblW w:w="10620" w:type="dxa"/>
          <w:tblInd w:w="-275" w:type="dxa"/>
          <w:tblLayout w:type="fixed"/>
          <w:tblLook w:val="0400"/>
        </w:tblPrEx>
        <w:trPr>
          <w:trHeight w:val="305"/>
        </w:trPr>
        <w:tc>
          <w:tcPr>
            <w:tcW w:w="10620" w:type="dxa"/>
            <w:gridSpan w:val="8"/>
          </w:tcPr>
          <w:p w:rsidR="00D264B4" w:rsidRPr="00D264B4" w:rsidP="00D264B4" w14:paraId="381F3A23" w14:textId="44C94695">
            <w:pPr>
              <w:rPr>
                <w:b/>
                <w:bCs/>
                <w:color w:val="000000"/>
                <w:sz w:val="20"/>
              </w:rPr>
            </w:pPr>
            <w:r w:rsidRPr="00D264B4">
              <w:rPr>
                <w:b/>
                <w:bCs/>
                <w:color w:val="000000"/>
                <w:sz w:val="20"/>
              </w:rPr>
              <w:t>234.7 Accidents involving grade crossing signal failure.</w:t>
            </w:r>
          </w:p>
        </w:tc>
      </w:tr>
      <w:tr w14:paraId="48355DFC" w14:textId="2106211D" w:rsidTr="00D264B4">
        <w:tblPrEx>
          <w:tblW w:w="10620" w:type="dxa"/>
          <w:tblInd w:w="-275" w:type="dxa"/>
          <w:tblLayout w:type="fixed"/>
          <w:tblLook w:val="0400"/>
        </w:tblPrEx>
        <w:trPr>
          <w:trHeight w:val="764"/>
        </w:trPr>
        <w:tc>
          <w:tcPr>
            <w:tcW w:w="1800" w:type="dxa"/>
          </w:tcPr>
          <w:p w:rsidR="00D264B4" w:rsidRPr="00D264B4" w:rsidP="00D264B4" w14:paraId="1DC7E2E9" w14:textId="77777777">
            <w:pPr>
              <w:rPr>
                <w:color w:val="000000"/>
                <w:sz w:val="20"/>
              </w:rPr>
            </w:pPr>
            <w:r w:rsidRPr="00D264B4">
              <w:rPr>
                <w:color w:val="000000"/>
                <w:sz w:val="20"/>
              </w:rPr>
              <w:t xml:space="preserve">—(a) Telephone notification to </w:t>
            </w:r>
            <w:r w:rsidRPr="00D264B4">
              <w:rPr>
                <w:sz w:val="20"/>
              </w:rPr>
              <w:t>the</w:t>
            </w:r>
            <w:r w:rsidRPr="00D264B4">
              <w:rPr>
                <w:color w:val="000000"/>
                <w:sz w:val="20"/>
              </w:rPr>
              <w:t xml:space="preserve"> NRC</w:t>
            </w:r>
          </w:p>
        </w:tc>
        <w:tc>
          <w:tcPr>
            <w:tcW w:w="1260" w:type="dxa"/>
          </w:tcPr>
          <w:p w:rsidR="00D264B4" w:rsidRPr="00D264B4" w:rsidP="00D264B4" w14:paraId="1858BD4C" w14:textId="77777777">
            <w:pPr>
              <w:jc w:val="center"/>
              <w:rPr>
                <w:color w:val="000000"/>
                <w:sz w:val="20"/>
              </w:rPr>
            </w:pPr>
            <w:r w:rsidRPr="00D264B4">
              <w:rPr>
                <w:color w:val="000000"/>
                <w:sz w:val="20"/>
              </w:rPr>
              <w:t xml:space="preserve">784 </w:t>
            </w:r>
          </w:p>
          <w:p w:rsidR="00D264B4" w:rsidRPr="00D264B4" w:rsidP="00D264B4" w14:paraId="1F62BD04" w14:textId="77777777">
            <w:pPr>
              <w:jc w:val="center"/>
              <w:rPr>
                <w:color w:val="000000"/>
                <w:sz w:val="20"/>
              </w:rPr>
            </w:pPr>
            <w:r w:rsidRPr="00D264B4">
              <w:rPr>
                <w:color w:val="000000"/>
                <w:sz w:val="20"/>
              </w:rPr>
              <w:t>railroads</w:t>
            </w:r>
          </w:p>
        </w:tc>
        <w:tc>
          <w:tcPr>
            <w:tcW w:w="1260" w:type="dxa"/>
          </w:tcPr>
          <w:p w:rsidR="00D264B4" w:rsidRPr="00D264B4" w:rsidP="00D264B4" w14:paraId="29FA02F8" w14:textId="77777777">
            <w:pPr>
              <w:jc w:val="center"/>
              <w:rPr>
                <w:color w:val="000000"/>
                <w:sz w:val="20"/>
              </w:rPr>
            </w:pPr>
            <w:r w:rsidRPr="00D264B4">
              <w:rPr>
                <w:color w:val="000000"/>
                <w:sz w:val="20"/>
              </w:rPr>
              <w:t xml:space="preserve">2 </w:t>
            </w:r>
          </w:p>
          <w:p w:rsidR="00D264B4" w:rsidRPr="00D264B4" w:rsidP="00D264B4" w14:paraId="7750A6A1" w14:textId="77777777">
            <w:pPr>
              <w:jc w:val="center"/>
              <w:rPr>
                <w:color w:val="000000"/>
                <w:sz w:val="20"/>
              </w:rPr>
            </w:pPr>
            <w:r w:rsidRPr="00D264B4">
              <w:rPr>
                <w:color w:val="000000"/>
                <w:sz w:val="20"/>
              </w:rPr>
              <w:t xml:space="preserve">phone </w:t>
            </w:r>
          </w:p>
          <w:p w:rsidR="00D264B4" w:rsidRPr="00D264B4" w:rsidP="00D264B4" w14:paraId="6C1553B7" w14:textId="77777777">
            <w:pPr>
              <w:jc w:val="center"/>
              <w:rPr>
                <w:color w:val="000000"/>
                <w:sz w:val="20"/>
              </w:rPr>
            </w:pPr>
            <w:r w:rsidRPr="00D264B4">
              <w:rPr>
                <w:color w:val="000000"/>
                <w:sz w:val="20"/>
              </w:rPr>
              <w:t>calls</w:t>
            </w:r>
          </w:p>
        </w:tc>
        <w:tc>
          <w:tcPr>
            <w:tcW w:w="1080" w:type="dxa"/>
          </w:tcPr>
          <w:p w:rsidR="00D264B4" w:rsidP="00D264B4" w14:paraId="28BA0491" w14:textId="77777777">
            <w:pPr>
              <w:jc w:val="center"/>
              <w:rPr>
                <w:color w:val="000000"/>
                <w:sz w:val="20"/>
              </w:rPr>
            </w:pPr>
            <w:r w:rsidRPr="00D264B4">
              <w:rPr>
                <w:color w:val="000000"/>
                <w:sz w:val="20"/>
              </w:rPr>
              <w:t xml:space="preserve">2 </w:t>
            </w:r>
          </w:p>
          <w:p w:rsidR="00D264B4" w:rsidRPr="00D264B4" w:rsidP="00D264B4" w14:paraId="09397C9C" w14:textId="7B4BDF14">
            <w:pPr>
              <w:jc w:val="center"/>
              <w:rPr>
                <w:color w:val="000000"/>
                <w:sz w:val="20"/>
              </w:rPr>
            </w:pPr>
            <w:r w:rsidRPr="00D264B4">
              <w:rPr>
                <w:color w:val="000000"/>
                <w:sz w:val="20"/>
              </w:rPr>
              <w:t>minutes</w:t>
            </w:r>
          </w:p>
        </w:tc>
        <w:tc>
          <w:tcPr>
            <w:tcW w:w="900" w:type="dxa"/>
          </w:tcPr>
          <w:p w:rsidR="00D264B4" w:rsidRPr="00D264B4" w:rsidP="00D264B4" w14:paraId="7D6E1A26" w14:textId="77777777">
            <w:pPr>
              <w:jc w:val="center"/>
              <w:rPr>
                <w:color w:val="000000"/>
                <w:sz w:val="20"/>
              </w:rPr>
            </w:pPr>
            <w:r w:rsidRPr="00D264B4">
              <w:rPr>
                <w:color w:val="000000"/>
                <w:sz w:val="20"/>
              </w:rPr>
              <w:t>0.10</w:t>
            </w:r>
          </w:p>
          <w:p w:rsidR="00D264B4" w:rsidRPr="00D264B4" w:rsidP="00D264B4" w14:paraId="03EE2DD4" w14:textId="77777777">
            <w:pPr>
              <w:jc w:val="center"/>
              <w:rPr>
                <w:color w:val="000000"/>
                <w:sz w:val="20"/>
              </w:rPr>
            </w:pPr>
            <w:r w:rsidRPr="00D264B4">
              <w:rPr>
                <w:color w:val="000000"/>
                <w:sz w:val="20"/>
              </w:rPr>
              <w:t>hour</w:t>
            </w:r>
          </w:p>
        </w:tc>
        <w:tc>
          <w:tcPr>
            <w:tcW w:w="810" w:type="dxa"/>
          </w:tcPr>
          <w:p w:rsidR="00D264B4" w:rsidRPr="00D264B4" w:rsidP="00D264B4" w14:paraId="6360C19B" w14:textId="77777777">
            <w:pPr>
              <w:jc w:val="center"/>
              <w:rPr>
                <w:color w:val="000000"/>
                <w:sz w:val="20"/>
              </w:rPr>
            </w:pPr>
            <w:r w:rsidRPr="00D264B4">
              <w:rPr>
                <w:color w:val="000000"/>
                <w:sz w:val="20"/>
              </w:rPr>
              <w:t>$83.32</w:t>
            </w:r>
          </w:p>
        </w:tc>
        <w:tc>
          <w:tcPr>
            <w:tcW w:w="1260" w:type="dxa"/>
          </w:tcPr>
          <w:p w:rsidR="00D264B4" w:rsidRPr="00D264B4" w:rsidP="00D264B4" w14:paraId="11F03BDE" w14:textId="77777777">
            <w:pPr>
              <w:jc w:val="center"/>
              <w:rPr>
                <w:color w:val="000000"/>
                <w:sz w:val="20"/>
              </w:rPr>
            </w:pPr>
            <w:r w:rsidRPr="00D264B4">
              <w:rPr>
                <w:color w:val="000000"/>
                <w:sz w:val="20"/>
              </w:rPr>
              <w:t>$8.33</w:t>
            </w:r>
          </w:p>
        </w:tc>
        <w:tc>
          <w:tcPr>
            <w:tcW w:w="2250" w:type="dxa"/>
          </w:tcPr>
          <w:p w:rsidR="00D264B4" w:rsidRPr="00D264B4" w:rsidP="00D264B4" w14:paraId="03312B8F" w14:textId="41AC727A">
            <w:pPr>
              <w:rPr>
                <w:color w:val="000000"/>
                <w:sz w:val="20"/>
              </w:rPr>
            </w:pPr>
            <w:r w:rsidRPr="00D264B4">
              <w:rPr>
                <w:color w:val="000000"/>
                <w:sz w:val="20"/>
                <w:lang w:val="en-US"/>
              </w:rPr>
              <w:t>Each railroad shall report to FRA every impact between on-track railroad equipment and an automobile, bus, truck, motorcycle, bicycle, farm vehicle, or pedestrian at a highway-rail grade crossing involving an activation failure. Notification shall be provided to the N</w:t>
            </w:r>
            <w:r w:rsidR="00AE1034">
              <w:rPr>
                <w:color w:val="000000"/>
                <w:sz w:val="20"/>
                <w:lang w:val="en-US"/>
              </w:rPr>
              <w:t>RC</w:t>
            </w:r>
            <w:r w:rsidRPr="00D264B4">
              <w:rPr>
                <w:color w:val="000000"/>
                <w:sz w:val="20"/>
                <w:lang w:val="en-US"/>
              </w:rPr>
              <w:t xml:space="preserve"> </w:t>
            </w:r>
            <w:r w:rsidRPr="00D264B4">
              <w:rPr>
                <w:color w:val="000000"/>
                <w:sz w:val="20"/>
                <w:lang w:val="en-US"/>
              </w:rPr>
              <w:t>within 24 hours of occurrence</w:t>
            </w:r>
            <w:r w:rsidR="00AE1034">
              <w:rPr>
                <w:color w:val="000000"/>
                <w:sz w:val="20"/>
                <w:lang w:val="en-US"/>
              </w:rPr>
              <w:t>.</w:t>
            </w:r>
          </w:p>
        </w:tc>
      </w:tr>
      <w:tr w14:paraId="7836AE56" w14:textId="1060AE25" w:rsidTr="000F22A6">
        <w:tblPrEx>
          <w:tblW w:w="10620" w:type="dxa"/>
          <w:tblInd w:w="-275" w:type="dxa"/>
          <w:tblLayout w:type="fixed"/>
          <w:tblLook w:val="0400"/>
        </w:tblPrEx>
        <w:trPr>
          <w:trHeight w:val="260"/>
        </w:trPr>
        <w:tc>
          <w:tcPr>
            <w:tcW w:w="10620" w:type="dxa"/>
            <w:gridSpan w:val="8"/>
          </w:tcPr>
          <w:p w:rsidR="00D264B4" w:rsidRPr="00D264B4" w:rsidP="00D264B4" w14:paraId="680586D3" w14:textId="630048F4">
            <w:pPr>
              <w:rPr>
                <w:b/>
                <w:bCs/>
                <w:color w:val="000000"/>
                <w:sz w:val="20"/>
              </w:rPr>
            </w:pPr>
            <w:r w:rsidRPr="00D264B4">
              <w:rPr>
                <w:b/>
                <w:bCs/>
                <w:color w:val="000000"/>
                <w:sz w:val="20"/>
              </w:rPr>
              <w:t>234.9 Grade crossing signal system failure reports.</w:t>
            </w:r>
          </w:p>
        </w:tc>
      </w:tr>
      <w:tr w14:paraId="16D3EB93" w14:textId="37124523" w:rsidTr="00D264B4">
        <w:tblPrEx>
          <w:tblW w:w="10620" w:type="dxa"/>
          <w:tblInd w:w="-275" w:type="dxa"/>
          <w:tblLayout w:type="fixed"/>
          <w:tblLook w:val="0400"/>
        </w:tblPrEx>
        <w:trPr>
          <w:trHeight w:val="701"/>
        </w:trPr>
        <w:tc>
          <w:tcPr>
            <w:tcW w:w="1800" w:type="dxa"/>
          </w:tcPr>
          <w:p w:rsidR="00D264B4" w:rsidRPr="00D264B4" w:rsidP="00D264B4" w14:paraId="64CB067C" w14:textId="77777777">
            <w:pPr>
              <w:rPr>
                <w:color w:val="000000"/>
                <w:sz w:val="20"/>
              </w:rPr>
            </w:pPr>
            <w:r w:rsidRPr="00D264B4">
              <w:rPr>
                <w:color w:val="000000"/>
                <w:sz w:val="20"/>
              </w:rPr>
              <w:t>—Report to FRA on Form 6180.83, “Highway-Rail Grade Crossing Warning System Activation Failure Report”</w:t>
            </w:r>
          </w:p>
        </w:tc>
        <w:tc>
          <w:tcPr>
            <w:tcW w:w="1260" w:type="dxa"/>
          </w:tcPr>
          <w:p w:rsidR="00D264B4" w:rsidRPr="00D264B4" w:rsidP="00D264B4" w14:paraId="5BC4BCF4" w14:textId="77777777">
            <w:pPr>
              <w:jc w:val="center"/>
              <w:rPr>
                <w:color w:val="000000"/>
                <w:sz w:val="20"/>
              </w:rPr>
            </w:pPr>
            <w:r w:rsidRPr="00D264B4">
              <w:rPr>
                <w:color w:val="000000"/>
                <w:sz w:val="20"/>
              </w:rPr>
              <w:t>784</w:t>
            </w:r>
          </w:p>
          <w:p w:rsidR="00D264B4" w:rsidRPr="00D264B4" w:rsidP="00D264B4" w14:paraId="2591CACA" w14:textId="77777777">
            <w:pPr>
              <w:jc w:val="center"/>
              <w:rPr>
                <w:color w:val="000000"/>
                <w:sz w:val="20"/>
              </w:rPr>
            </w:pPr>
            <w:r w:rsidRPr="00D264B4">
              <w:rPr>
                <w:color w:val="000000"/>
                <w:sz w:val="20"/>
              </w:rPr>
              <w:t xml:space="preserve"> railroads</w:t>
            </w:r>
          </w:p>
        </w:tc>
        <w:tc>
          <w:tcPr>
            <w:tcW w:w="1260" w:type="dxa"/>
          </w:tcPr>
          <w:p w:rsidR="00D264B4" w:rsidRPr="00D264B4" w:rsidP="00D264B4" w14:paraId="651D5B4E" w14:textId="77777777">
            <w:pPr>
              <w:jc w:val="center"/>
              <w:rPr>
                <w:color w:val="000000"/>
                <w:sz w:val="20"/>
              </w:rPr>
            </w:pPr>
            <w:r w:rsidRPr="00D264B4">
              <w:rPr>
                <w:color w:val="000000"/>
                <w:sz w:val="20"/>
              </w:rPr>
              <w:t xml:space="preserve">250 </w:t>
            </w:r>
          </w:p>
          <w:p w:rsidR="00D264B4" w:rsidRPr="00D264B4" w:rsidP="00D264B4" w14:paraId="3244BAD2" w14:textId="77777777">
            <w:pPr>
              <w:jc w:val="center"/>
              <w:rPr>
                <w:color w:val="000000"/>
                <w:sz w:val="20"/>
              </w:rPr>
            </w:pPr>
            <w:r w:rsidRPr="00D264B4">
              <w:rPr>
                <w:color w:val="000000"/>
                <w:sz w:val="20"/>
              </w:rPr>
              <w:t>reports</w:t>
            </w:r>
          </w:p>
        </w:tc>
        <w:tc>
          <w:tcPr>
            <w:tcW w:w="1080" w:type="dxa"/>
          </w:tcPr>
          <w:p w:rsidR="00D264B4" w:rsidRPr="00D264B4" w:rsidP="00D264B4" w14:paraId="11BFCAF5" w14:textId="77777777">
            <w:pPr>
              <w:jc w:val="center"/>
              <w:rPr>
                <w:color w:val="000000"/>
                <w:sz w:val="20"/>
              </w:rPr>
            </w:pPr>
            <w:r w:rsidRPr="00D264B4">
              <w:rPr>
                <w:color w:val="000000"/>
                <w:sz w:val="20"/>
              </w:rPr>
              <w:t>10 minutes</w:t>
            </w:r>
          </w:p>
        </w:tc>
        <w:tc>
          <w:tcPr>
            <w:tcW w:w="900" w:type="dxa"/>
          </w:tcPr>
          <w:p w:rsidR="00D264B4" w:rsidRPr="00D264B4" w:rsidP="00D264B4" w14:paraId="05D9C31E" w14:textId="77777777">
            <w:pPr>
              <w:jc w:val="center"/>
              <w:rPr>
                <w:color w:val="000000"/>
                <w:sz w:val="20"/>
              </w:rPr>
            </w:pPr>
            <w:r w:rsidRPr="00D264B4">
              <w:rPr>
                <w:color w:val="000000"/>
                <w:sz w:val="20"/>
              </w:rPr>
              <w:t>42</w:t>
            </w:r>
          </w:p>
          <w:p w:rsidR="00D264B4" w:rsidRPr="00D264B4" w:rsidP="00D264B4" w14:paraId="0E1F0C86" w14:textId="77777777">
            <w:pPr>
              <w:jc w:val="center"/>
              <w:rPr>
                <w:color w:val="000000"/>
                <w:sz w:val="20"/>
              </w:rPr>
            </w:pPr>
            <w:r w:rsidRPr="00D264B4">
              <w:rPr>
                <w:color w:val="000000"/>
                <w:sz w:val="20"/>
              </w:rPr>
              <w:t>hours</w:t>
            </w:r>
          </w:p>
          <w:p w:rsidR="00D264B4" w:rsidRPr="00D264B4" w:rsidP="00D264B4" w14:paraId="5830341D" w14:textId="77777777">
            <w:pPr>
              <w:jc w:val="center"/>
              <w:rPr>
                <w:color w:val="000000"/>
                <w:sz w:val="20"/>
              </w:rPr>
            </w:pPr>
          </w:p>
        </w:tc>
        <w:tc>
          <w:tcPr>
            <w:tcW w:w="810" w:type="dxa"/>
          </w:tcPr>
          <w:p w:rsidR="00D264B4" w:rsidRPr="00D264B4" w:rsidP="00D264B4" w14:paraId="4C4C28A8" w14:textId="77777777">
            <w:pPr>
              <w:jc w:val="center"/>
              <w:rPr>
                <w:color w:val="000000"/>
                <w:sz w:val="20"/>
              </w:rPr>
            </w:pPr>
            <w:r w:rsidRPr="00D264B4">
              <w:rPr>
                <w:color w:val="000000"/>
                <w:sz w:val="20"/>
              </w:rPr>
              <w:t>$83.32</w:t>
            </w:r>
          </w:p>
        </w:tc>
        <w:tc>
          <w:tcPr>
            <w:tcW w:w="1260" w:type="dxa"/>
          </w:tcPr>
          <w:p w:rsidR="00D264B4" w:rsidRPr="00D264B4" w:rsidP="00D264B4" w14:paraId="20C092FE" w14:textId="77777777">
            <w:pPr>
              <w:jc w:val="center"/>
              <w:rPr>
                <w:color w:val="000000"/>
                <w:sz w:val="20"/>
              </w:rPr>
            </w:pPr>
            <w:r w:rsidRPr="00D264B4">
              <w:rPr>
                <w:color w:val="000000"/>
                <w:sz w:val="20"/>
              </w:rPr>
              <w:t>$3,499.44</w:t>
            </w:r>
          </w:p>
        </w:tc>
        <w:tc>
          <w:tcPr>
            <w:tcW w:w="2250" w:type="dxa"/>
          </w:tcPr>
          <w:p w:rsidR="00D264B4" w:rsidRPr="00D264B4" w:rsidP="00D264B4" w14:paraId="52F32C8D" w14:textId="093765F5">
            <w:pPr>
              <w:rPr>
                <w:color w:val="000000"/>
                <w:sz w:val="20"/>
                <w:lang w:val="en-US"/>
              </w:rPr>
            </w:pPr>
            <w:r w:rsidRPr="00D264B4">
              <w:rPr>
                <w:color w:val="000000"/>
                <w:sz w:val="20"/>
                <w:lang w:val="en-US"/>
              </w:rPr>
              <w:t>Each railroad shall report to FRA within 15 days for each activation failure of a highway-rail grade crossing warning system. FRA Form No. 6180-83, “Highway-Rail Grade Crossing Warning System Failure Report,” shall be used for this purpose and completed in accordance with instructions printed on the form.</w:t>
            </w:r>
          </w:p>
        </w:tc>
      </w:tr>
      <w:tr w14:paraId="54C0791B" w14:textId="5600F915" w:rsidTr="00D264B4">
        <w:tblPrEx>
          <w:tblW w:w="10620" w:type="dxa"/>
          <w:tblInd w:w="-275" w:type="dxa"/>
          <w:tblLayout w:type="fixed"/>
          <w:tblLook w:val="0400"/>
        </w:tblPrEx>
        <w:trPr>
          <w:trHeight w:val="233"/>
        </w:trPr>
        <w:tc>
          <w:tcPr>
            <w:tcW w:w="10620" w:type="dxa"/>
            <w:gridSpan w:val="8"/>
          </w:tcPr>
          <w:p w:rsidR="00D264B4" w:rsidRPr="00D264B4" w:rsidP="00D264B4" w14:paraId="7E608EFD" w14:textId="17357687">
            <w:pPr>
              <w:rPr>
                <w:b/>
                <w:bCs/>
                <w:color w:val="000000"/>
                <w:sz w:val="20"/>
              </w:rPr>
            </w:pPr>
            <w:r w:rsidRPr="00D264B4">
              <w:rPr>
                <w:b/>
                <w:bCs/>
                <w:color w:val="000000"/>
                <w:sz w:val="20"/>
              </w:rPr>
              <w:t>Subpart C Response to Credible Reports of Warning System Malfunction at Highway-Rail Grade Crossings</w:t>
            </w:r>
          </w:p>
        </w:tc>
      </w:tr>
      <w:tr w14:paraId="78EF26CC" w14:textId="595A837C" w:rsidTr="00D264B4">
        <w:tblPrEx>
          <w:tblW w:w="10620" w:type="dxa"/>
          <w:tblInd w:w="-275" w:type="dxa"/>
          <w:tblLayout w:type="fixed"/>
          <w:tblLook w:val="0400"/>
        </w:tblPrEx>
        <w:trPr>
          <w:trHeight w:val="1205"/>
        </w:trPr>
        <w:tc>
          <w:tcPr>
            <w:tcW w:w="1800" w:type="dxa"/>
          </w:tcPr>
          <w:p w:rsidR="00D264B4" w:rsidRPr="00D264B4" w:rsidP="00D264B4" w14:paraId="76F2F10C" w14:textId="77777777">
            <w:pPr>
              <w:rPr>
                <w:color w:val="000000"/>
                <w:sz w:val="20"/>
              </w:rPr>
            </w:pPr>
            <w:r w:rsidRPr="00D264B4">
              <w:rPr>
                <w:color w:val="000000"/>
                <w:sz w:val="20"/>
              </w:rPr>
              <w:t>—234.105/106/107 Activation failure, partial and false activa</w:t>
            </w:r>
            <w:r w:rsidRPr="00D264B4">
              <w:rPr>
                <w:sz w:val="20"/>
              </w:rPr>
              <w:t>tion</w:t>
            </w:r>
            <w:r w:rsidRPr="00D264B4">
              <w:rPr>
                <w:color w:val="000000"/>
                <w:sz w:val="20"/>
              </w:rPr>
              <w:t xml:space="preserve">. </w:t>
            </w:r>
          </w:p>
          <w:p w:rsidR="00D264B4" w:rsidRPr="00D264B4" w:rsidP="00D264B4" w14:paraId="61165D4E" w14:textId="77777777">
            <w:pPr>
              <w:rPr>
                <w:color w:val="000000"/>
                <w:sz w:val="20"/>
              </w:rPr>
            </w:pPr>
            <w:r w:rsidRPr="00D264B4">
              <w:rPr>
                <w:color w:val="000000"/>
                <w:sz w:val="20"/>
              </w:rPr>
              <w:t>Notifications to required parties</w:t>
            </w:r>
          </w:p>
        </w:tc>
        <w:tc>
          <w:tcPr>
            <w:tcW w:w="1260" w:type="dxa"/>
          </w:tcPr>
          <w:p w:rsidR="00D264B4" w:rsidRPr="00D264B4" w:rsidP="00D264B4" w14:paraId="32067498" w14:textId="77777777">
            <w:pPr>
              <w:jc w:val="center"/>
              <w:rPr>
                <w:color w:val="000000"/>
                <w:sz w:val="20"/>
              </w:rPr>
            </w:pPr>
            <w:r w:rsidRPr="00D264B4">
              <w:rPr>
                <w:color w:val="000000"/>
                <w:sz w:val="20"/>
              </w:rPr>
              <w:t xml:space="preserve">784 </w:t>
            </w:r>
          </w:p>
          <w:p w:rsidR="00D264B4" w:rsidRPr="00D264B4" w:rsidP="00D264B4" w14:paraId="3CB3BD57" w14:textId="77777777">
            <w:pPr>
              <w:jc w:val="center"/>
              <w:rPr>
                <w:color w:val="000000"/>
                <w:sz w:val="20"/>
              </w:rPr>
            </w:pPr>
            <w:r w:rsidRPr="00D264B4">
              <w:rPr>
                <w:color w:val="000000"/>
                <w:sz w:val="20"/>
              </w:rPr>
              <w:t>railroads</w:t>
            </w:r>
          </w:p>
        </w:tc>
        <w:tc>
          <w:tcPr>
            <w:tcW w:w="1260" w:type="dxa"/>
          </w:tcPr>
          <w:p w:rsidR="00D264B4" w:rsidRPr="00D264B4" w:rsidP="00D264B4" w14:paraId="56738F71" w14:textId="77777777">
            <w:pPr>
              <w:jc w:val="center"/>
              <w:rPr>
                <w:color w:val="000000"/>
                <w:sz w:val="20"/>
              </w:rPr>
            </w:pPr>
            <w:r w:rsidRPr="00D264B4">
              <w:rPr>
                <w:color w:val="000000"/>
                <w:sz w:val="20"/>
              </w:rPr>
              <w:t>30,000 notifications</w:t>
            </w:r>
          </w:p>
        </w:tc>
        <w:tc>
          <w:tcPr>
            <w:tcW w:w="1080" w:type="dxa"/>
          </w:tcPr>
          <w:p w:rsidR="00D264B4" w:rsidP="00D264B4" w14:paraId="0C3FF6AB" w14:textId="77777777">
            <w:pPr>
              <w:jc w:val="center"/>
              <w:rPr>
                <w:color w:val="000000"/>
                <w:sz w:val="20"/>
              </w:rPr>
            </w:pPr>
            <w:r w:rsidRPr="00D264B4">
              <w:rPr>
                <w:color w:val="000000"/>
                <w:sz w:val="20"/>
              </w:rPr>
              <w:t xml:space="preserve">5 </w:t>
            </w:r>
          </w:p>
          <w:p w:rsidR="00D264B4" w:rsidRPr="00D264B4" w:rsidP="00D264B4" w14:paraId="2A52BDEA" w14:textId="2D03F7A3">
            <w:pPr>
              <w:jc w:val="center"/>
              <w:rPr>
                <w:color w:val="000000"/>
                <w:sz w:val="20"/>
              </w:rPr>
            </w:pPr>
            <w:r w:rsidRPr="00D264B4">
              <w:rPr>
                <w:color w:val="000000"/>
                <w:sz w:val="20"/>
              </w:rPr>
              <w:t>minutes</w:t>
            </w:r>
          </w:p>
        </w:tc>
        <w:tc>
          <w:tcPr>
            <w:tcW w:w="900" w:type="dxa"/>
          </w:tcPr>
          <w:p w:rsidR="00D264B4" w:rsidRPr="00D264B4" w:rsidP="00D264B4" w14:paraId="434C8802" w14:textId="77777777">
            <w:pPr>
              <w:jc w:val="center"/>
              <w:rPr>
                <w:color w:val="000000"/>
                <w:sz w:val="20"/>
              </w:rPr>
            </w:pPr>
            <w:r w:rsidRPr="00D264B4">
              <w:rPr>
                <w:color w:val="000000"/>
                <w:sz w:val="20"/>
              </w:rPr>
              <w:t>2,500 hours</w:t>
            </w:r>
          </w:p>
        </w:tc>
        <w:tc>
          <w:tcPr>
            <w:tcW w:w="810" w:type="dxa"/>
          </w:tcPr>
          <w:p w:rsidR="00D264B4" w:rsidRPr="00D264B4" w:rsidP="00D264B4" w14:paraId="6A0A91EF" w14:textId="77777777">
            <w:pPr>
              <w:jc w:val="center"/>
              <w:rPr>
                <w:color w:val="000000"/>
                <w:sz w:val="20"/>
              </w:rPr>
            </w:pPr>
            <w:r w:rsidRPr="00D264B4">
              <w:rPr>
                <w:color w:val="000000"/>
                <w:sz w:val="20"/>
              </w:rPr>
              <w:t>$83.32</w:t>
            </w:r>
          </w:p>
        </w:tc>
        <w:tc>
          <w:tcPr>
            <w:tcW w:w="1260" w:type="dxa"/>
          </w:tcPr>
          <w:p w:rsidR="00D264B4" w:rsidRPr="00D264B4" w:rsidP="00D264B4" w14:paraId="328D7C87" w14:textId="77777777">
            <w:pPr>
              <w:jc w:val="center"/>
              <w:rPr>
                <w:color w:val="000000"/>
                <w:sz w:val="20"/>
              </w:rPr>
            </w:pPr>
            <w:r w:rsidRPr="00D264B4">
              <w:rPr>
                <w:color w:val="000000"/>
                <w:sz w:val="20"/>
              </w:rPr>
              <w:t>$208,300.00</w:t>
            </w:r>
          </w:p>
        </w:tc>
        <w:tc>
          <w:tcPr>
            <w:tcW w:w="2250" w:type="dxa"/>
          </w:tcPr>
          <w:p w:rsidR="00D264B4" w:rsidRPr="00D264B4" w:rsidP="00D264B4" w14:paraId="5E8540A3" w14:textId="0FB077A2">
            <w:pPr>
              <w:rPr>
                <w:color w:val="000000"/>
                <w:sz w:val="20"/>
                <w:lang w:val="en-US"/>
              </w:rPr>
            </w:pPr>
            <w:r w:rsidRPr="00D264B4">
              <w:rPr>
                <w:color w:val="000000"/>
                <w:sz w:val="20"/>
                <w:lang w:val="en-US"/>
              </w:rPr>
              <w:t xml:space="preserve">After receiving a credible report of warning system malfunction, a railroad is required to notify incoming train crews and the appropriate law enforcement agency (or railroad police) so that alternative measures can be taken to warn motorists and other highway users at the subject crossing until repairs have been completed. </w:t>
            </w:r>
          </w:p>
          <w:p w:rsidR="00D264B4" w:rsidRPr="00D264B4" w:rsidP="00D264B4" w14:paraId="00730464" w14:textId="77777777">
            <w:pPr>
              <w:rPr>
                <w:color w:val="000000"/>
                <w:sz w:val="20"/>
              </w:rPr>
            </w:pPr>
          </w:p>
        </w:tc>
      </w:tr>
      <w:tr w14:paraId="4F34E5C1" w14:textId="577C29B9" w:rsidTr="000F22A6">
        <w:tblPrEx>
          <w:tblW w:w="10620" w:type="dxa"/>
          <w:tblInd w:w="-275" w:type="dxa"/>
          <w:tblLayout w:type="fixed"/>
          <w:tblLook w:val="0400"/>
        </w:tblPrEx>
        <w:trPr>
          <w:trHeight w:val="260"/>
        </w:trPr>
        <w:tc>
          <w:tcPr>
            <w:tcW w:w="10620" w:type="dxa"/>
            <w:gridSpan w:val="8"/>
          </w:tcPr>
          <w:p w:rsidR="00D264B4" w:rsidRPr="00D264B4" w:rsidP="00D264B4" w14:paraId="51597D4B" w14:textId="566B856C">
            <w:pPr>
              <w:rPr>
                <w:b/>
                <w:bCs/>
                <w:color w:val="000000"/>
                <w:sz w:val="20"/>
              </w:rPr>
            </w:pPr>
            <w:r w:rsidRPr="00D264B4">
              <w:rPr>
                <w:b/>
                <w:bCs/>
                <w:color w:val="000000"/>
                <w:sz w:val="20"/>
              </w:rPr>
              <w:t>234.109 Recordkeeping.</w:t>
            </w:r>
          </w:p>
        </w:tc>
      </w:tr>
      <w:tr w14:paraId="7CCCDEA0" w14:textId="71287871" w:rsidTr="00D264B4">
        <w:tblPrEx>
          <w:tblW w:w="10620" w:type="dxa"/>
          <w:tblInd w:w="-275" w:type="dxa"/>
          <w:tblLayout w:type="fixed"/>
          <w:tblLook w:val="0400"/>
        </w:tblPrEx>
        <w:trPr>
          <w:trHeight w:val="467"/>
        </w:trPr>
        <w:tc>
          <w:tcPr>
            <w:tcW w:w="1800" w:type="dxa"/>
          </w:tcPr>
          <w:p w:rsidR="00D264B4" w:rsidRPr="00D264B4" w:rsidP="00D264B4" w14:paraId="3B5F0FE7" w14:textId="77777777">
            <w:pPr>
              <w:rPr>
                <w:color w:val="000000"/>
                <w:sz w:val="20"/>
              </w:rPr>
            </w:pPr>
            <w:r w:rsidRPr="00D264B4">
              <w:rPr>
                <w:color w:val="000000"/>
                <w:sz w:val="20"/>
              </w:rPr>
              <w:t>—Recordkeeping</w:t>
            </w:r>
          </w:p>
        </w:tc>
        <w:tc>
          <w:tcPr>
            <w:tcW w:w="1260" w:type="dxa"/>
          </w:tcPr>
          <w:p w:rsidR="00D264B4" w:rsidRPr="00D264B4" w:rsidP="00D264B4" w14:paraId="48F1F53F" w14:textId="77777777">
            <w:pPr>
              <w:jc w:val="center"/>
              <w:rPr>
                <w:color w:val="000000"/>
                <w:sz w:val="20"/>
              </w:rPr>
            </w:pPr>
            <w:r w:rsidRPr="00D264B4">
              <w:rPr>
                <w:color w:val="000000"/>
                <w:sz w:val="20"/>
              </w:rPr>
              <w:t xml:space="preserve">784 </w:t>
            </w:r>
          </w:p>
          <w:p w:rsidR="00D264B4" w:rsidRPr="00D264B4" w:rsidP="00D264B4" w14:paraId="055A540C" w14:textId="77777777">
            <w:pPr>
              <w:jc w:val="center"/>
              <w:rPr>
                <w:color w:val="000000"/>
                <w:sz w:val="20"/>
              </w:rPr>
            </w:pPr>
            <w:r w:rsidRPr="00D264B4">
              <w:rPr>
                <w:color w:val="000000"/>
                <w:sz w:val="20"/>
              </w:rPr>
              <w:t>railroads</w:t>
            </w:r>
          </w:p>
        </w:tc>
        <w:tc>
          <w:tcPr>
            <w:tcW w:w="1260" w:type="dxa"/>
          </w:tcPr>
          <w:p w:rsidR="00D264B4" w:rsidRPr="00D264B4" w:rsidP="00D264B4" w14:paraId="755701E2" w14:textId="77777777">
            <w:pPr>
              <w:jc w:val="center"/>
              <w:rPr>
                <w:color w:val="000000"/>
                <w:sz w:val="20"/>
              </w:rPr>
            </w:pPr>
            <w:r w:rsidRPr="00D264B4">
              <w:rPr>
                <w:color w:val="000000"/>
                <w:sz w:val="20"/>
              </w:rPr>
              <w:t>30,000 records</w:t>
            </w:r>
          </w:p>
        </w:tc>
        <w:tc>
          <w:tcPr>
            <w:tcW w:w="1080" w:type="dxa"/>
          </w:tcPr>
          <w:p w:rsidR="00D264B4" w:rsidP="00D264B4" w14:paraId="3D03E041" w14:textId="77777777">
            <w:pPr>
              <w:jc w:val="center"/>
              <w:rPr>
                <w:color w:val="000000"/>
                <w:sz w:val="20"/>
              </w:rPr>
            </w:pPr>
            <w:r w:rsidRPr="00D264B4">
              <w:rPr>
                <w:color w:val="000000"/>
                <w:sz w:val="20"/>
              </w:rPr>
              <w:t xml:space="preserve">5 </w:t>
            </w:r>
          </w:p>
          <w:p w:rsidR="00D264B4" w:rsidRPr="00D264B4" w:rsidP="00D264B4" w14:paraId="25F03DC7" w14:textId="75EA6A7B">
            <w:pPr>
              <w:jc w:val="center"/>
              <w:rPr>
                <w:color w:val="000000"/>
                <w:sz w:val="20"/>
              </w:rPr>
            </w:pPr>
            <w:r w:rsidRPr="00D264B4">
              <w:rPr>
                <w:color w:val="000000"/>
                <w:sz w:val="20"/>
              </w:rPr>
              <w:t>minutes</w:t>
            </w:r>
          </w:p>
        </w:tc>
        <w:tc>
          <w:tcPr>
            <w:tcW w:w="900" w:type="dxa"/>
          </w:tcPr>
          <w:p w:rsidR="00D264B4" w:rsidRPr="00D264B4" w:rsidP="00D264B4" w14:paraId="0C7ECCBE" w14:textId="77777777">
            <w:pPr>
              <w:jc w:val="center"/>
              <w:rPr>
                <w:color w:val="000000"/>
                <w:sz w:val="20"/>
              </w:rPr>
            </w:pPr>
            <w:r w:rsidRPr="00D264B4">
              <w:rPr>
                <w:color w:val="000000"/>
                <w:sz w:val="20"/>
              </w:rPr>
              <w:t>2,500 hours</w:t>
            </w:r>
          </w:p>
        </w:tc>
        <w:tc>
          <w:tcPr>
            <w:tcW w:w="810" w:type="dxa"/>
          </w:tcPr>
          <w:p w:rsidR="00D264B4" w:rsidRPr="00D264B4" w:rsidP="00D264B4" w14:paraId="77815981" w14:textId="77777777">
            <w:pPr>
              <w:jc w:val="center"/>
              <w:rPr>
                <w:color w:val="000000"/>
                <w:sz w:val="20"/>
              </w:rPr>
            </w:pPr>
            <w:r w:rsidRPr="00D264B4">
              <w:rPr>
                <w:color w:val="000000"/>
                <w:sz w:val="20"/>
              </w:rPr>
              <w:t>$83.32</w:t>
            </w:r>
          </w:p>
        </w:tc>
        <w:tc>
          <w:tcPr>
            <w:tcW w:w="1260" w:type="dxa"/>
          </w:tcPr>
          <w:p w:rsidR="00D264B4" w:rsidRPr="00D264B4" w:rsidP="00D264B4" w14:paraId="3853AAD1" w14:textId="77777777">
            <w:pPr>
              <w:jc w:val="center"/>
              <w:rPr>
                <w:color w:val="000000"/>
                <w:sz w:val="20"/>
              </w:rPr>
            </w:pPr>
            <w:r w:rsidRPr="00D264B4">
              <w:rPr>
                <w:color w:val="000000"/>
                <w:sz w:val="20"/>
              </w:rPr>
              <w:t>$208,300.00</w:t>
            </w:r>
          </w:p>
        </w:tc>
        <w:tc>
          <w:tcPr>
            <w:tcW w:w="2250" w:type="dxa"/>
          </w:tcPr>
          <w:p w:rsidR="00D264B4" w:rsidRPr="00D264B4" w:rsidP="00D264B4" w14:paraId="38A16ADB" w14:textId="3868FEDE">
            <w:pPr>
              <w:rPr>
                <w:color w:val="000000"/>
                <w:sz w:val="20"/>
              </w:rPr>
            </w:pPr>
            <w:r w:rsidRPr="00D264B4">
              <w:rPr>
                <w:color w:val="000000"/>
                <w:sz w:val="20"/>
                <w:lang w:val="en-US"/>
              </w:rPr>
              <w:t xml:space="preserve">Each railroad shall keep records pertaining to compliance with this subpart. Records may be kept on forms provided by the railroad or by electronic means. </w:t>
            </w:r>
          </w:p>
        </w:tc>
      </w:tr>
      <w:tr w14:paraId="34FB2C96" w14:textId="238D2B4D" w:rsidTr="00D264B4">
        <w:tblPrEx>
          <w:tblW w:w="10620" w:type="dxa"/>
          <w:tblInd w:w="-275" w:type="dxa"/>
          <w:tblLayout w:type="fixed"/>
          <w:tblLook w:val="0400"/>
        </w:tblPrEx>
        <w:trPr>
          <w:trHeight w:val="530"/>
        </w:trPr>
        <w:tc>
          <w:tcPr>
            <w:tcW w:w="1800" w:type="dxa"/>
          </w:tcPr>
          <w:p w:rsidR="00D264B4" w:rsidRPr="00D264B4" w:rsidP="00D264B4" w14:paraId="5A85A3FF" w14:textId="77777777">
            <w:pPr>
              <w:rPr>
                <w:color w:val="000000"/>
                <w:sz w:val="20"/>
              </w:rPr>
            </w:pPr>
            <w:r w:rsidRPr="00D264B4">
              <w:rPr>
                <w:color w:val="000000"/>
                <w:sz w:val="20"/>
              </w:rPr>
              <w:t>Total</w:t>
            </w:r>
            <w:r>
              <w:rPr>
                <w:color w:val="000000"/>
                <w:sz w:val="20"/>
                <w:vertAlign w:val="superscript"/>
              </w:rPr>
              <w:footnoteReference w:id="6"/>
            </w:r>
          </w:p>
        </w:tc>
        <w:tc>
          <w:tcPr>
            <w:tcW w:w="1260" w:type="dxa"/>
          </w:tcPr>
          <w:p w:rsidR="00D264B4" w:rsidRPr="00D264B4" w:rsidP="00D264B4" w14:paraId="53F161D9" w14:textId="77777777">
            <w:pPr>
              <w:jc w:val="center"/>
              <w:rPr>
                <w:color w:val="000000"/>
                <w:sz w:val="20"/>
              </w:rPr>
            </w:pPr>
            <w:r w:rsidRPr="00D264B4">
              <w:rPr>
                <w:color w:val="000000"/>
                <w:sz w:val="20"/>
              </w:rPr>
              <w:t>784</w:t>
            </w:r>
          </w:p>
          <w:p w:rsidR="00D264B4" w:rsidRPr="00D264B4" w:rsidP="00D264B4" w14:paraId="6E43B778" w14:textId="77777777">
            <w:pPr>
              <w:jc w:val="center"/>
              <w:rPr>
                <w:color w:val="000000"/>
                <w:sz w:val="20"/>
              </w:rPr>
            </w:pPr>
            <w:r w:rsidRPr="00D264B4">
              <w:rPr>
                <w:color w:val="000000"/>
                <w:sz w:val="20"/>
              </w:rPr>
              <w:t xml:space="preserve"> railroads</w:t>
            </w:r>
          </w:p>
        </w:tc>
        <w:tc>
          <w:tcPr>
            <w:tcW w:w="1260" w:type="dxa"/>
          </w:tcPr>
          <w:p w:rsidR="00D264B4" w:rsidRPr="00D264B4" w:rsidP="00D264B4" w14:paraId="36E2572D" w14:textId="77777777">
            <w:pPr>
              <w:jc w:val="center"/>
              <w:rPr>
                <w:color w:val="000000"/>
                <w:sz w:val="20"/>
              </w:rPr>
            </w:pPr>
            <w:r w:rsidRPr="00D264B4">
              <w:rPr>
                <w:color w:val="000000"/>
                <w:sz w:val="20"/>
              </w:rPr>
              <w:t>60,252 responses</w:t>
            </w:r>
          </w:p>
        </w:tc>
        <w:tc>
          <w:tcPr>
            <w:tcW w:w="1080" w:type="dxa"/>
          </w:tcPr>
          <w:p w:rsidR="00D264B4" w:rsidRPr="00D264B4" w:rsidP="00D264B4" w14:paraId="2437386F" w14:textId="77777777">
            <w:pPr>
              <w:jc w:val="center"/>
              <w:rPr>
                <w:color w:val="000000"/>
                <w:sz w:val="20"/>
              </w:rPr>
            </w:pPr>
            <w:r w:rsidRPr="00D264B4">
              <w:rPr>
                <w:color w:val="000000"/>
                <w:sz w:val="20"/>
              </w:rPr>
              <w:t>N/A</w:t>
            </w:r>
          </w:p>
        </w:tc>
        <w:tc>
          <w:tcPr>
            <w:tcW w:w="900" w:type="dxa"/>
          </w:tcPr>
          <w:p w:rsidR="00D264B4" w:rsidRPr="00D264B4" w:rsidP="00D264B4" w14:paraId="757CC10E" w14:textId="77777777">
            <w:pPr>
              <w:jc w:val="center"/>
              <w:rPr>
                <w:color w:val="000000"/>
                <w:sz w:val="20"/>
              </w:rPr>
            </w:pPr>
            <w:r w:rsidRPr="00D264B4">
              <w:rPr>
                <w:color w:val="000000"/>
                <w:sz w:val="20"/>
              </w:rPr>
              <w:t>5,042 hours</w:t>
            </w:r>
          </w:p>
        </w:tc>
        <w:tc>
          <w:tcPr>
            <w:tcW w:w="810" w:type="dxa"/>
          </w:tcPr>
          <w:p w:rsidR="00D264B4" w:rsidRPr="00D264B4" w:rsidP="00D264B4" w14:paraId="4E0721E8" w14:textId="77777777">
            <w:pPr>
              <w:jc w:val="right"/>
              <w:rPr>
                <w:color w:val="000000"/>
                <w:sz w:val="20"/>
              </w:rPr>
            </w:pPr>
          </w:p>
        </w:tc>
        <w:tc>
          <w:tcPr>
            <w:tcW w:w="1260" w:type="dxa"/>
          </w:tcPr>
          <w:p w:rsidR="00D264B4" w:rsidRPr="00D264B4" w:rsidP="00D264B4" w14:paraId="02ACA9CF" w14:textId="77777777">
            <w:pPr>
              <w:jc w:val="center"/>
              <w:rPr>
                <w:color w:val="000000"/>
                <w:sz w:val="20"/>
              </w:rPr>
            </w:pPr>
            <w:r w:rsidRPr="00D264B4">
              <w:rPr>
                <w:color w:val="000000"/>
                <w:sz w:val="20"/>
              </w:rPr>
              <w:t>$420,107.77</w:t>
            </w:r>
          </w:p>
        </w:tc>
        <w:tc>
          <w:tcPr>
            <w:tcW w:w="2250" w:type="dxa"/>
          </w:tcPr>
          <w:p w:rsidR="00D264B4" w:rsidRPr="00D264B4" w:rsidP="00D264B4" w14:paraId="79C2F758" w14:textId="77777777">
            <w:pPr>
              <w:jc w:val="center"/>
              <w:rPr>
                <w:color w:val="000000"/>
                <w:sz w:val="20"/>
              </w:rPr>
            </w:pPr>
          </w:p>
        </w:tc>
      </w:tr>
    </w:tbl>
    <w:p w:rsidR="00D264B4" w:rsidP="00FB5B48" w14:paraId="56FAF3C5" w14:textId="77777777">
      <w:pPr>
        <w:widowControl w:val="0"/>
        <w:ind w:left="720"/>
        <w:rPr>
          <w:szCs w:val="24"/>
        </w:rPr>
      </w:pPr>
    </w:p>
    <w:p w:rsidR="00FB5B48" w:rsidP="00FB5B48" w14:paraId="38524EE9" w14:textId="77777777">
      <w:pPr>
        <w:widowControl w:val="0"/>
        <w:rPr>
          <w:b/>
          <w:szCs w:val="24"/>
        </w:rPr>
      </w:pPr>
    </w:p>
    <w:p w:rsidR="00FB5B48" w:rsidRPr="00A5234C" w:rsidP="00FB5B48" w14:paraId="48AA10F8" w14:textId="77777777">
      <w:pPr>
        <w:widowControl w:val="0"/>
        <w:rPr>
          <w:szCs w:val="24"/>
        </w:rPr>
      </w:pPr>
      <w:r w:rsidRPr="00A5234C">
        <w:rPr>
          <w:b/>
          <w:szCs w:val="24"/>
        </w:rPr>
        <w:t>13.</w:t>
      </w:r>
      <w:r w:rsidRPr="00A5234C">
        <w:rPr>
          <w:b/>
          <w:szCs w:val="24"/>
        </w:rPr>
        <w:tab/>
      </w:r>
      <w:r w:rsidRPr="00A5234C">
        <w:rPr>
          <w:b/>
          <w:szCs w:val="24"/>
          <w:u w:val="single"/>
        </w:rPr>
        <w:t>Estimate of total annual costs to respondents</w:t>
      </w:r>
    </w:p>
    <w:p w:rsidR="00FB5B48" w:rsidRPr="00A5234C" w:rsidP="00FB5B48" w14:paraId="3F59C925" w14:textId="77777777">
      <w:pPr>
        <w:widowControl w:val="0"/>
        <w:rPr>
          <w:b/>
          <w:szCs w:val="24"/>
        </w:rPr>
      </w:pPr>
    </w:p>
    <w:p w:rsidR="002A57B2" w:rsidP="00702194" w14:paraId="19506BA2" w14:textId="2F648A3F">
      <w:pPr>
        <w:pStyle w:val="ListParagraph"/>
        <w:widowControl w:val="0"/>
        <w:rPr>
          <w:bCs/>
          <w:szCs w:val="24"/>
        </w:rPr>
      </w:pPr>
      <w:r>
        <w:rPr>
          <w:szCs w:val="24"/>
        </w:rPr>
        <w:t>Grade crossing s</w:t>
      </w:r>
      <w:r w:rsidR="00C51BF8">
        <w:rPr>
          <w:szCs w:val="24"/>
        </w:rPr>
        <w:t>ignal system failure reports</w:t>
      </w:r>
      <w:r w:rsidR="003C4536">
        <w:rPr>
          <w:szCs w:val="24"/>
        </w:rPr>
        <w:t xml:space="preserve"> are </w:t>
      </w:r>
      <w:r w:rsidR="00C51BF8">
        <w:rPr>
          <w:szCs w:val="24"/>
        </w:rPr>
        <w:t xml:space="preserve">now </w:t>
      </w:r>
      <w:r w:rsidR="003C4536">
        <w:rPr>
          <w:szCs w:val="24"/>
        </w:rPr>
        <w:t xml:space="preserve">sent </w:t>
      </w:r>
      <w:r w:rsidR="00C51BF8">
        <w:rPr>
          <w:szCs w:val="24"/>
        </w:rPr>
        <w:t>electronically via</w:t>
      </w:r>
      <w:r w:rsidR="00A47E4B">
        <w:rPr>
          <w:szCs w:val="24"/>
        </w:rPr>
        <w:t xml:space="preserve"> </w:t>
      </w:r>
      <w:r w:rsidR="003C4536">
        <w:rPr>
          <w:szCs w:val="24"/>
        </w:rPr>
        <w:t>email to fra.af</w:t>
      </w:r>
      <w:r w:rsidR="00601C10">
        <w:rPr>
          <w:szCs w:val="24"/>
        </w:rPr>
        <w:t>_</w:t>
      </w:r>
      <w:r w:rsidR="003C4536">
        <w:rPr>
          <w:szCs w:val="24"/>
        </w:rPr>
        <w:t>fp.reporting@dot.gov</w:t>
      </w:r>
      <w:r w:rsidR="00F64808">
        <w:rPr>
          <w:szCs w:val="24"/>
        </w:rPr>
        <w:t>.</w:t>
      </w:r>
    </w:p>
    <w:p w:rsidR="00011D26" w:rsidP="00D44839" w14:paraId="0BA5B722" w14:textId="77777777">
      <w:pPr>
        <w:widowControl w:val="0"/>
        <w:ind w:left="720"/>
        <w:rPr>
          <w:bCs/>
          <w:szCs w:val="24"/>
        </w:rPr>
      </w:pPr>
    </w:p>
    <w:p w:rsidR="002A57B2" w:rsidRPr="002A57B2" w:rsidP="00702194" w14:paraId="66925E22" w14:textId="0B27A9B2">
      <w:pPr>
        <w:widowControl w:val="0"/>
        <w:ind w:left="720"/>
        <w:rPr>
          <w:bCs/>
          <w:szCs w:val="24"/>
        </w:rPr>
      </w:pPr>
      <w:r>
        <w:rPr>
          <w:bCs/>
          <w:szCs w:val="24"/>
        </w:rPr>
        <w:t xml:space="preserve">There are no additional costs to respondents other </w:t>
      </w:r>
      <w:r w:rsidR="00C5381F">
        <w:rPr>
          <w:bCs/>
          <w:szCs w:val="24"/>
        </w:rPr>
        <w:t>than</w:t>
      </w:r>
      <w:r>
        <w:rPr>
          <w:bCs/>
          <w:szCs w:val="24"/>
        </w:rPr>
        <w:t xml:space="preserve"> those detailed in Question 12 of this supporting justification </w:t>
      </w:r>
    </w:p>
    <w:p w:rsidR="00FB5B48" w:rsidP="00FB5B48" w14:paraId="154ED8FA" w14:textId="77777777">
      <w:pPr>
        <w:widowControl w:val="0"/>
        <w:rPr>
          <w:b/>
          <w:szCs w:val="24"/>
        </w:rPr>
      </w:pPr>
    </w:p>
    <w:p w:rsidR="003A53E8" w:rsidRPr="00A5234C" w:rsidP="003A53E8" w14:paraId="0CE69B68" w14:textId="77777777">
      <w:pPr>
        <w:widowControl w:val="0"/>
        <w:ind w:left="720" w:hanging="720"/>
        <w:rPr>
          <w:b/>
          <w:szCs w:val="24"/>
        </w:rPr>
      </w:pPr>
      <w:r w:rsidRPr="00A5234C">
        <w:rPr>
          <w:b/>
          <w:szCs w:val="24"/>
        </w:rPr>
        <w:t>14.</w:t>
      </w:r>
      <w:r w:rsidRPr="00A5234C">
        <w:rPr>
          <w:b/>
          <w:szCs w:val="24"/>
        </w:rPr>
        <w:tab/>
      </w:r>
      <w:r w:rsidRPr="000359B3">
        <w:rPr>
          <w:b/>
          <w:szCs w:val="24"/>
          <w:u w:val="single"/>
        </w:rPr>
        <w:t>Estimate of Cost to Federal Government</w:t>
      </w:r>
    </w:p>
    <w:p w:rsidR="00747C14" w:rsidP="00702194" w14:paraId="61E00D42" w14:textId="77777777">
      <w:pPr>
        <w:widowControl w:val="0"/>
      </w:pPr>
    </w:p>
    <w:p w:rsidR="00C3007C" w:rsidP="003A53E8" w14:paraId="0A5BC56D" w14:textId="436DC208">
      <w:pPr>
        <w:widowControl w:val="0"/>
        <w:ind w:left="720"/>
      </w:pPr>
      <w:r>
        <w:t>T</w:t>
      </w:r>
      <w:r w:rsidRPr="00D55114" w:rsidR="00D55114">
        <w:t xml:space="preserve">he </w:t>
      </w:r>
      <w:r w:rsidR="00314D66">
        <w:t xml:space="preserve">annual administrative cost to the </w:t>
      </w:r>
      <w:r w:rsidRPr="00D55114" w:rsidR="00D55114">
        <w:t>Federal Government</w:t>
      </w:r>
      <w:r w:rsidR="00314D66">
        <w:t xml:space="preserve"> for time spent</w:t>
      </w:r>
      <w:r w:rsidRPr="00D55114" w:rsidR="00D55114">
        <w:t xml:space="preserve"> </w:t>
      </w:r>
      <w:r w:rsidR="0042355C">
        <w:t>review</w:t>
      </w:r>
      <w:r>
        <w:t>ing</w:t>
      </w:r>
      <w:r w:rsidRPr="004117BB" w:rsidR="004117BB">
        <w:rPr>
          <w:color w:val="000000"/>
          <w:sz w:val="20"/>
        </w:rPr>
        <w:t xml:space="preserve"> </w:t>
      </w:r>
      <w:r w:rsidRPr="004117BB" w:rsidR="004117BB">
        <w:t>Highway-Rail Grade Crossing Warning System Activation Failure Report</w:t>
      </w:r>
      <w:r w:rsidR="004117BB">
        <w:t>s</w:t>
      </w:r>
      <w:r>
        <w:t xml:space="preserve"> is</w:t>
      </w:r>
      <w:r w:rsidR="006B1164">
        <w:t xml:space="preserve"> $34,190.</w:t>
      </w:r>
      <w:r w:rsidR="004117BB">
        <w:t xml:space="preserve"> </w:t>
      </w:r>
    </w:p>
    <w:p w:rsidR="00747C14" w:rsidP="003A53E8" w14:paraId="3CD845EA" w14:textId="77777777">
      <w:pPr>
        <w:widowControl w:val="0"/>
        <w:ind w:left="720"/>
      </w:pPr>
    </w:p>
    <w:tbl>
      <w:tblPr>
        <w:tblW w:w="4096"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3"/>
        <w:gridCol w:w="1105"/>
        <w:gridCol w:w="904"/>
        <w:gridCol w:w="928"/>
        <w:gridCol w:w="833"/>
        <w:gridCol w:w="799"/>
        <w:gridCol w:w="994"/>
        <w:gridCol w:w="1014"/>
      </w:tblGrid>
      <w:tr w14:paraId="029943B3" w14:textId="77777777" w:rsidTr="006E05E2">
        <w:tblPrEx>
          <w:tblW w:w="4096"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2"/>
        </w:trPr>
        <w:tc>
          <w:tcPr>
            <w:tcW w:w="707" w:type="pct"/>
            <w:hideMark/>
          </w:tcPr>
          <w:p w:rsidR="003714F7" w:rsidRPr="003714F7" w:rsidP="003714F7" w14:paraId="50287664" w14:textId="77777777">
            <w:pPr>
              <w:rPr>
                <w:color w:val="000000"/>
                <w:sz w:val="20"/>
              </w:rPr>
            </w:pPr>
            <w:r w:rsidRPr="003714F7">
              <w:rPr>
                <w:color w:val="000000"/>
                <w:sz w:val="20"/>
              </w:rPr>
              <w:t>GS-Grade Level/Step</w:t>
            </w:r>
          </w:p>
        </w:tc>
        <w:tc>
          <w:tcPr>
            <w:tcW w:w="721" w:type="pct"/>
          </w:tcPr>
          <w:p w:rsidR="003714F7" w:rsidRPr="003714F7" w:rsidP="003714F7" w14:paraId="3B52C434" w14:textId="77777777">
            <w:pPr>
              <w:jc w:val="center"/>
              <w:rPr>
                <w:color w:val="000000"/>
                <w:sz w:val="20"/>
              </w:rPr>
            </w:pPr>
            <w:r w:rsidRPr="003714F7">
              <w:rPr>
                <w:color w:val="000000"/>
                <w:sz w:val="20"/>
              </w:rPr>
              <w:t>No of Employees</w:t>
            </w:r>
          </w:p>
        </w:tc>
        <w:tc>
          <w:tcPr>
            <w:tcW w:w="584" w:type="pct"/>
          </w:tcPr>
          <w:p w:rsidR="003714F7" w:rsidP="003714F7" w14:paraId="457A2C51" w14:textId="77777777">
            <w:pPr>
              <w:jc w:val="center"/>
              <w:rPr>
                <w:color w:val="000000"/>
                <w:sz w:val="20"/>
              </w:rPr>
            </w:pPr>
            <w:r w:rsidRPr="003714F7">
              <w:rPr>
                <w:color w:val="000000"/>
                <w:sz w:val="20"/>
              </w:rPr>
              <w:t xml:space="preserve">No. of </w:t>
            </w:r>
          </w:p>
          <w:p w:rsidR="006B1164" w:rsidRPr="003714F7" w:rsidP="003714F7" w14:paraId="713DCB9D" w14:textId="37D938F8">
            <w:pPr>
              <w:jc w:val="center"/>
              <w:rPr>
                <w:color w:val="000000"/>
                <w:sz w:val="20"/>
              </w:rPr>
            </w:pPr>
            <w:r>
              <w:rPr>
                <w:color w:val="000000"/>
                <w:sz w:val="20"/>
              </w:rPr>
              <w:t>Reports</w:t>
            </w:r>
            <w:r>
              <w:rPr>
                <w:rStyle w:val="FootnoteReference"/>
                <w:color w:val="000000"/>
                <w:sz w:val="20"/>
              </w:rPr>
              <w:footnoteReference w:id="7"/>
            </w:r>
          </w:p>
        </w:tc>
        <w:tc>
          <w:tcPr>
            <w:tcW w:w="608" w:type="pct"/>
          </w:tcPr>
          <w:p w:rsidR="003714F7" w:rsidRPr="003714F7" w:rsidP="003714F7" w14:paraId="6AB9463C" w14:textId="77777777">
            <w:pPr>
              <w:jc w:val="center"/>
              <w:rPr>
                <w:color w:val="000000"/>
                <w:sz w:val="20"/>
              </w:rPr>
            </w:pPr>
            <w:r w:rsidRPr="003714F7">
              <w:rPr>
                <w:color w:val="000000"/>
                <w:sz w:val="20"/>
              </w:rPr>
              <w:t>Hours</w:t>
            </w:r>
          </w:p>
          <w:p w:rsidR="003714F7" w:rsidRPr="003714F7" w:rsidP="003714F7" w14:paraId="60C863E8" w14:textId="77777777">
            <w:pPr>
              <w:jc w:val="center"/>
              <w:rPr>
                <w:color w:val="000000"/>
                <w:sz w:val="20"/>
              </w:rPr>
            </w:pPr>
            <w:r w:rsidRPr="003714F7">
              <w:rPr>
                <w:color w:val="000000"/>
                <w:sz w:val="20"/>
              </w:rPr>
              <w:t>Per Plan</w:t>
            </w:r>
          </w:p>
          <w:p w:rsidR="003714F7" w:rsidRPr="003714F7" w:rsidP="003714F7" w14:paraId="02AD9BA5" w14:textId="77777777">
            <w:pPr>
              <w:jc w:val="center"/>
              <w:rPr>
                <w:color w:val="000000"/>
                <w:sz w:val="20"/>
              </w:rPr>
            </w:pPr>
            <w:r w:rsidRPr="003714F7">
              <w:rPr>
                <w:color w:val="000000"/>
                <w:sz w:val="20"/>
              </w:rPr>
              <w:t>Each</w:t>
            </w:r>
          </w:p>
        </w:tc>
        <w:tc>
          <w:tcPr>
            <w:tcW w:w="545" w:type="pct"/>
          </w:tcPr>
          <w:p w:rsidR="003714F7" w:rsidRPr="003714F7" w:rsidP="003714F7" w14:paraId="5938ACAE" w14:textId="77777777">
            <w:pPr>
              <w:jc w:val="center"/>
              <w:rPr>
                <w:color w:val="000000"/>
                <w:sz w:val="20"/>
              </w:rPr>
            </w:pPr>
            <w:r w:rsidRPr="003714F7">
              <w:rPr>
                <w:color w:val="000000"/>
                <w:sz w:val="20"/>
              </w:rPr>
              <w:t>Total</w:t>
            </w:r>
          </w:p>
          <w:p w:rsidR="003714F7" w:rsidRPr="003714F7" w:rsidP="003714F7" w14:paraId="6E4581B4" w14:textId="7166F988">
            <w:pPr>
              <w:jc w:val="center"/>
              <w:rPr>
                <w:color w:val="000000"/>
                <w:sz w:val="20"/>
              </w:rPr>
            </w:pPr>
            <w:r w:rsidRPr="003714F7">
              <w:rPr>
                <w:color w:val="000000"/>
                <w:sz w:val="20"/>
              </w:rPr>
              <w:t xml:space="preserve">Hours </w:t>
            </w:r>
          </w:p>
          <w:p w:rsidR="003714F7" w:rsidRPr="003714F7" w:rsidP="003714F7" w14:paraId="7B8DB5D9" w14:textId="77777777">
            <w:pPr>
              <w:jc w:val="center"/>
              <w:rPr>
                <w:color w:val="000000"/>
                <w:sz w:val="20"/>
              </w:rPr>
            </w:pPr>
          </w:p>
        </w:tc>
        <w:tc>
          <w:tcPr>
            <w:tcW w:w="523" w:type="pct"/>
          </w:tcPr>
          <w:p w:rsidR="003714F7" w:rsidRPr="003714F7" w:rsidP="003714F7" w14:paraId="06862F8F" w14:textId="7CAC9DF4">
            <w:pPr>
              <w:jc w:val="center"/>
              <w:rPr>
                <w:color w:val="000000"/>
                <w:sz w:val="20"/>
              </w:rPr>
            </w:pPr>
            <w:r w:rsidRPr="003714F7">
              <w:rPr>
                <w:color w:val="000000"/>
                <w:sz w:val="20"/>
              </w:rPr>
              <w:t>Wage Rate</w:t>
            </w:r>
            <w:r>
              <w:rPr>
                <w:rStyle w:val="FootnoteReference"/>
                <w:color w:val="000000"/>
                <w:sz w:val="20"/>
              </w:rPr>
              <w:footnoteReference w:id="8"/>
            </w:r>
          </w:p>
        </w:tc>
        <w:tc>
          <w:tcPr>
            <w:tcW w:w="649" w:type="pct"/>
          </w:tcPr>
          <w:p w:rsidR="003714F7" w:rsidRPr="003714F7" w:rsidP="003714F7" w14:paraId="64DB3FD0" w14:textId="77777777">
            <w:pPr>
              <w:jc w:val="center"/>
              <w:rPr>
                <w:color w:val="000000"/>
                <w:sz w:val="20"/>
              </w:rPr>
            </w:pPr>
            <w:r w:rsidRPr="003714F7">
              <w:rPr>
                <w:color w:val="000000"/>
                <w:sz w:val="20"/>
              </w:rPr>
              <w:t>Burdened</w:t>
            </w:r>
          </w:p>
          <w:p w:rsidR="003714F7" w:rsidRPr="003714F7" w:rsidP="003714F7" w14:paraId="4A2BF79D" w14:textId="77777777">
            <w:pPr>
              <w:jc w:val="center"/>
              <w:rPr>
                <w:color w:val="000000"/>
                <w:sz w:val="20"/>
              </w:rPr>
            </w:pPr>
            <w:r w:rsidRPr="003714F7">
              <w:rPr>
                <w:color w:val="000000"/>
                <w:sz w:val="20"/>
              </w:rPr>
              <w:t>Wage Rate</w:t>
            </w:r>
          </w:p>
          <w:p w:rsidR="003714F7" w:rsidRPr="003714F7" w:rsidP="003714F7" w14:paraId="13C70ED7" w14:textId="77777777">
            <w:pPr>
              <w:jc w:val="center"/>
              <w:rPr>
                <w:color w:val="000000"/>
                <w:sz w:val="20"/>
              </w:rPr>
            </w:pPr>
            <w:r w:rsidRPr="003714F7">
              <w:rPr>
                <w:color w:val="000000"/>
                <w:sz w:val="16"/>
                <w:szCs w:val="16"/>
              </w:rPr>
              <w:t>(x 75%)</w:t>
            </w:r>
          </w:p>
        </w:tc>
        <w:tc>
          <w:tcPr>
            <w:tcW w:w="663" w:type="pct"/>
          </w:tcPr>
          <w:p w:rsidR="003714F7" w:rsidRPr="003714F7" w:rsidP="003714F7" w14:paraId="5691088C" w14:textId="77777777">
            <w:pPr>
              <w:jc w:val="center"/>
              <w:rPr>
                <w:color w:val="000000"/>
                <w:sz w:val="20"/>
              </w:rPr>
            </w:pPr>
            <w:r w:rsidRPr="003714F7">
              <w:rPr>
                <w:color w:val="000000"/>
                <w:sz w:val="20"/>
              </w:rPr>
              <w:t>Total</w:t>
            </w:r>
          </w:p>
          <w:p w:rsidR="003714F7" w:rsidRPr="003714F7" w:rsidP="003714F7" w14:paraId="1501D6C7" w14:textId="77777777">
            <w:pPr>
              <w:jc w:val="center"/>
              <w:rPr>
                <w:color w:val="000000"/>
                <w:sz w:val="20"/>
              </w:rPr>
            </w:pPr>
            <w:r w:rsidRPr="003714F7">
              <w:rPr>
                <w:color w:val="000000"/>
                <w:sz w:val="20"/>
              </w:rPr>
              <w:t>Cost</w:t>
            </w:r>
          </w:p>
        </w:tc>
      </w:tr>
      <w:tr w14:paraId="76514D17" w14:textId="77777777" w:rsidTr="006E05E2">
        <w:tblPrEx>
          <w:tblW w:w="4096" w:type="pct"/>
          <w:tblInd w:w="805" w:type="dxa"/>
          <w:tblLook w:val="04A0"/>
        </w:tblPrEx>
        <w:trPr>
          <w:trHeight w:val="312"/>
        </w:trPr>
        <w:tc>
          <w:tcPr>
            <w:tcW w:w="707" w:type="pct"/>
            <w:vAlign w:val="center"/>
            <w:hideMark/>
          </w:tcPr>
          <w:p w:rsidR="003714F7" w:rsidRPr="003714F7" w:rsidP="003714F7" w14:paraId="4CC6CE5E" w14:textId="77777777">
            <w:pPr>
              <w:rPr>
                <w:color w:val="000000"/>
                <w:sz w:val="20"/>
              </w:rPr>
            </w:pPr>
            <w:r w:rsidRPr="003714F7">
              <w:rPr>
                <w:color w:val="000000"/>
                <w:sz w:val="20"/>
              </w:rPr>
              <w:t>GS-14/5</w:t>
            </w:r>
          </w:p>
        </w:tc>
        <w:tc>
          <w:tcPr>
            <w:tcW w:w="721" w:type="pct"/>
          </w:tcPr>
          <w:p w:rsidR="003714F7" w:rsidRPr="003714F7" w:rsidP="003714F7" w14:paraId="01E7C9AA" w14:textId="5034E7EE">
            <w:pPr>
              <w:jc w:val="center"/>
              <w:rPr>
                <w:color w:val="000000"/>
                <w:sz w:val="20"/>
              </w:rPr>
            </w:pPr>
            <w:r>
              <w:rPr>
                <w:color w:val="000000"/>
                <w:sz w:val="20"/>
              </w:rPr>
              <w:t>1</w:t>
            </w:r>
          </w:p>
        </w:tc>
        <w:tc>
          <w:tcPr>
            <w:tcW w:w="584" w:type="pct"/>
          </w:tcPr>
          <w:p w:rsidR="003714F7" w:rsidRPr="003714F7" w:rsidP="003714F7" w14:paraId="34303D40" w14:textId="05C690B1">
            <w:pPr>
              <w:jc w:val="center"/>
              <w:rPr>
                <w:color w:val="000000"/>
                <w:sz w:val="20"/>
              </w:rPr>
            </w:pPr>
            <w:r>
              <w:rPr>
                <w:color w:val="000000"/>
                <w:sz w:val="20"/>
              </w:rPr>
              <w:t>250</w:t>
            </w:r>
          </w:p>
        </w:tc>
        <w:tc>
          <w:tcPr>
            <w:tcW w:w="608" w:type="pct"/>
          </w:tcPr>
          <w:p w:rsidR="003714F7" w:rsidRPr="003714F7" w:rsidP="003714F7" w14:paraId="39AA8676" w14:textId="4F6B37D8">
            <w:pPr>
              <w:jc w:val="center"/>
              <w:rPr>
                <w:color w:val="000000"/>
                <w:sz w:val="20"/>
              </w:rPr>
            </w:pPr>
            <w:r>
              <w:rPr>
                <w:color w:val="000000"/>
                <w:sz w:val="20"/>
              </w:rPr>
              <w:t>1</w:t>
            </w:r>
          </w:p>
        </w:tc>
        <w:tc>
          <w:tcPr>
            <w:tcW w:w="545" w:type="pct"/>
          </w:tcPr>
          <w:p w:rsidR="003714F7" w:rsidRPr="003714F7" w:rsidP="003714F7" w14:paraId="5DF52EEA" w14:textId="6856972B">
            <w:pPr>
              <w:jc w:val="center"/>
              <w:rPr>
                <w:color w:val="000000"/>
                <w:sz w:val="20"/>
              </w:rPr>
            </w:pPr>
            <w:r>
              <w:rPr>
                <w:color w:val="000000"/>
                <w:sz w:val="20"/>
              </w:rPr>
              <w:t>250</w:t>
            </w:r>
          </w:p>
        </w:tc>
        <w:tc>
          <w:tcPr>
            <w:tcW w:w="523" w:type="pct"/>
          </w:tcPr>
          <w:p w:rsidR="003714F7" w:rsidRPr="003714F7" w:rsidP="003714F7" w14:paraId="22159CE1" w14:textId="697F3333">
            <w:pPr>
              <w:jc w:val="center"/>
              <w:rPr>
                <w:color w:val="000000"/>
                <w:sz w:val="20"/>
              </w:rPr>
            </w:pPr>
            <w:r w:rsidRPr="003714F7">
              <w:rPr>
                <w:color w:val="000000"/>
                <w:sz w:val="20"/>
              </w:rPr>
              <w:t>$</w:t>
            </w:r>
            <w:r w:rsidR="008558C9">
              <w:rPr>
                <w:color w:val="000000"/>
                <w:sz w:val="20"/>
              </w:rPr>
              <w:t>78.15</w:t>
            </w:r>
          </w:p>
        </w:tc>
        <w:tc>
          <w:tcPr>
            <w:tcW w:w="649" w:type="pct"/>
          </w:tcPr>
          <w:p w:rsidR="003714F7" w:rsidRPr="003714F7" w:rsidP="003714F7" w14:paraId="32301D5C" w14:textId="67CBD771">
            <w:pPr>
              <w:jc w:val="center"/>
              <w:rPr>
                <w:color w:val="000000"/>
                <w:sz w:val="20"/>
              </w:rPr>
            </w:pPr>
            <w:r w:rsidRPr="003714F7">
              <w:rPr>
                <w:color w:val="000000"/>
                <w:sz w:val="20"/>
              </w:rPr>
              <w:t>$13</w:t>
            </w:r>
            <w:r w:rsidR="006B1164">
              <w:rPr>
                <w:color w:val="000000"/>
                <w:sz w:val="20"/>
              </w:rPr>
              <w:t>6.76</w:t>
            </w:r>
          </w:p>
        </w:tc>
        <w:tc>
          <w:tcPr>
            <w:tcW w:w="663" w:type="pct"/>
          </w:tcPr>
          <w:p w:rsidR="003714F7" w:rsidRPr="003714F7" w:rsidP="003714F7" w14:paraId="7AE3200B" w14:textId="7C79AF38">
            <w:pPr>
              <w:jc w:val="center"/>
              <w:rPr>
                <w:color w:val="000000"/>
                <w:sz w:val="20"/>
              </w:rPr>
            </w:pPr>
            <w:r w:rsidRPr="003714F7">
              <w:rPr>
                <w:color w:val="000000"/>
                <w:sz w:val="20"/>
              </w:rPr>
              <w:t>$</w:t>
            </w:r>
            <w:r w:rsidR="006B1164">
              <w:rPr>
                <w:color w:val="000000"/>
                <w:sz w:val="20"/>
              </w:rPr>
              <w:t>34,190</w:t>
            </w:r>
          </w:p>
        </w:tc>
      </w:tr>
    </w:tbl>
    <w:p w:rsidR="003714F7" w:rsidP="003A53E8" w14:paraId="47B2AA02" w14:textId="77777777">
      <w:pPr>
        <w:widowControl w:val="0"/>
        <w:ind w:left="720"/>
      </w:pPr>
    </w:p>
    <w:p w:rsidR="003A53E8" w:rsidRPr="00D863FB" w:rsidP="003A53E8" w14:paraId="219DFCCD" w14:textId="519CA33E">
      <w:pPr>
        <w:widowControl w:val="0"/>
        <w:ind w:left="720" w:hanging="720"/>
        <w:rPr>
          <w:szCs w:val="24"/>
        </w:rPr>
      </w:pPr>
      <w:r w:rsidRPr="00D863FB">
        <w:rPr>
          <w:b/>
          <w:szCs w:val="24"/>
        </w:rPr>
        <w:t>15.</w:t>
      </w:r>
      <w:r w:rsidRPr="00D863FB">
        <w:rPr>
          <w:b/>
          <w:szCs w:val="24"/>
        </w:rPr>
        <w:tab/>
      </w:r>
      <w:r w:rsidRPr="00D863FB">
        <w:rPr>
          <w:b/>
          <w:szCs w:val="24"/>
          <w:u w:val="single"/>
        </w:rPr>
        <w:t>Explanation of program changes and adjustments</w:t>
      </w:r>
    </w:p>
    <w:p w:rsidR="003A53E8" w:rsidRPr="00D863FB" w:rsidP="003A53E8" w14:paraId="44F7F9F9" w14:textId="77777777">
      <w:pPr>
        <w:widowControl w:val="0"/>
        <w:rPr>
          <w:szCs w:val="24"/>
        </w:rPr>
      </w:pPr>
    </w:p>
    <w:p w:rsidR="00C76361" w:rsidP="00186E91" w14:paraId="1FADB452" w14:textId="5F80F759">
      <w:pPr>
        <w:widowControl w:val="0"/>
        <w:ind w:left="720"/>
        <w:rPr>
          <w:szCs w:val="24"/>
        </w:rPr>
      </w:pPr>
      <w:r w:rsidRPr="00561B7F">
        <w:rPr>
          <w:szCs w:val="24"/>
        </w:rPr>
        <w:t xml:space="preserve">This is an extension without change to a current collection of information. </w:t>
      </w:r>
      <w:r w:rsidR="00D61803">
        <w:rPr>
          <w:szCs w:val="24"/>
        </w:rPr>
        <w:t xml:space="preserve">The previously approved burden of 5,042 hours and 60,252 responses </w:t>
      </w:r>
      <w:r w:rsidR="00702194">
        <w:rPr>
          <w:szCs w:val="24"/>
        </w:rPr>
        <w:t>remain</w:t>
      </w:r>
      <w:r w:rsidR="00D61803">
        <w:rPr>
          <w:szCs w:val="24"/>
        </w:rPr>
        <w:t xml:space="preserve"> the same for this submission.</w:t>
      </w:r>
    </w:p>
    <w:p w:rsidR="00C76361" w:rsidP="00186E91" w14:paraId="258E6F75" w14:textId="77777777">
      <w:pPr>
        <w:widowControl w:val="0"/>
        <w:ind w:left="720"/>
        <w:rPr>
          <w:szCs w:val="24"/>
        </w:rPr>
      </w:pPr>
    </w:p>
    <w:p w:rsidR="005C5EFE" w:rsidP="00186E91" w14:paraId="77C362EB" w14:textId="025B2C90">
      <w:pPr>
        <w:widowControl w:val="0"/>
        <w:ind w:left="720"/>
        <w:rPr>
          <w:szCs w:val="24"/>
        </w:rPr>
      </w:pPr>
      <w:r>
        <w:rPr>
          <w:szCs w:val="24"/>
        </w:rPr>
        <w:t xml:space="preserve">Under </w:t>
      </w:r>
      <w:r w:rsidR="00A471AF">
        <w:rPr>
          <w:szCs w:val="24"/>
        </w:rPr>
        <w:t>Q</w:t>
      </w:r>
      <w:r>
        <w:rPr>
          <w:szCs w:val="24"/>
        </w:rPr>
        <w:t>uestion 13</w:t>
      </w:r>
      <w:r w:rsidR="005E1836">
        <w:rPr>
          <w:szCs w:val="24"/>
        </w:rPr>
        <w:t>,</w:t>
      </w:r>
      <w:r>
        <w:rPr>
          <w:szCs w:val="24"/>
        </w:rPr>
        <w:t xml:space="preserve"> estimated </w:t>
      </w:r>
      <w:r w:rsidR="00E52687">
        <w:rPr>
          <w:szCs w:val="24"/>
        </w:rPr>
        <w:t xml:space="preserve">total </w:t>
      </w:r>
      <w:r>
        <w:rPr>
          <w:szCs w:val="24"/>
        </w:rPr>
        <w:t>annual cost</w:t>
      </w:r>
      <w:r w:rsidR="00E52687">
        <w:rPr>
          <w:szCs w:val="24"/>
        </w:rPr>
        <w:t>s</w:t>
      </w:r>
      <w:r>
        <w:rPr>
          <w:szCs w:val="24"/>
        </w:rPr>
        <w:t xml:space="preserve"> to respondents</w:t>
      </w:r>
      <w:r w:rsidR="00E52687">
        <w:rPr>
          <w:szCs w:val="24"/>
        </w:rPr>
        <w:t xml:space="preserve"> </w:t>
      </w:r>
      <w:r w:rsidR="007E76E1">
        <w:rPr>
          <w:szCs w:val="24"/>
        </w:rPr>
        <w:t xml:space="preserve">reflect no additional costs. </w:t>
      </w:r>
      <w:r w:rsidR="00484920">
        <w:rPr>
          <w:szCs w:val="24"/>
        </w:rPr>
        <w:t>The previously reported cost of $</w:t>
      </w:r>
      <w:r w:rsidR="008E7B93">
        <w:rPr>
          <w:szCs w:val="24"/>
        </w:rPr>
        <w:t xml:space="preserve">22,660 </w:t>
      </w:r>
      <w:r w:rsidR="00085667">
        <w:rPr>
          <w:szCs w:val="24"/>
        </w:rPr>
        <w:t xml:space="preserve">for telephonic notifications and </w:t>
      </w:r>
      <w:r w:rsidR="00D572FD">
        <w:rPr>
          <w:szCs w:val="24"/>
        </w:rPr>
        <w:t xml:space="preserve">postage </w:t>
      </w:r>
      <w:r w:rsidR="006A37C9">
        <w:rPr>
          <w:szCs w:val="24"/>
        </w:rPr>
        <w:t xml:space="preserve">expenses are no longer </w:t>
      </w:r>
      <w:r w:rsidR="006810C2">
        <w:rPr>
          <w:szCs w:val="24"/>
        </w:rPr>
        <w:t xml:space="preserve">pertinent </w:t>
      </w:r>
      <w:r w:rsidR="004E1F24">
        <w:rPr>
          <w:szCs w:val="24"/>
        </w:rPr>
        <w:t>to the program</w:t>
      </w:r>
      <w:r w:rsidR="003D4621">
        <w:rPr>
          <w:szCs w:val="24"/>
        </w:rPr>
        <w:t xml:space="preserve"> because all reports are submitted via email</w:t>
      </w:r>
      <w:r w:rsidR="004E1F24">
        <w:rPr>
          <w:szCs w:val="24"/>
        </w:rPr>
        <w:t xml:space="preserve">. </w:t>
      </w:r>
      <w:r w:rsidR="0072445B">
        <w:rPr>
          <w:szCs w:val="24"/>
        </w:rPr>
        <w:t>Spec</w:t>
      </w:r>
      <w:r w:rsidR="0053577C">
        <w:rPr>
          <w:szCs w:val="24"/>
        </w:rPr>
        <w:t>i</w:t>
      </w:r>
      <w:r w:rsidR="0072445B">
        <w:rPr>
          <w:szCs w:val="24"/>
        </w:rPr>
        <w:t>fically,</w:t>
      </w:r>
      <w:r w:rsidRPr="00593E02" w:rsidR="00593E02">
        <w:t xml:space="preserve"> </w:t>
      </w:r>
      <w:r w:rsidRPr="004117BB" w:rsidR="00593E02">
        <w:t>Activation Failure Report</w:t>
      </w:r>
      <w:r w:rsidR="00593E02">
        <w:t xml:space="preserve">s </w:t>
      </w:r>
      <w:r w:rsidR="00391187">
        <w:rPr>
          <w:szCs w:val="24"/>
        </w:rPr>
        <w:t xml:space="preserve">are sent to </w:t>
      </w:r>
      <w:r w:rsidRPr="00702194" w:rsidR="00601C10">
        <w:t>fra.af_fp.reporting@dot.gov</w:t>
      </w:r>
      <w:r w:rsidR="00BE613D">
        <w:rPr>
          <w:szCs w:val="24"/>
        </w:rPr>
        <w:t>,</w:t>
      </w:r>
      <w:r w:rsidR="0063783D">
        <w:rPr>
          <w:szCs w:val="24"/>
        </w:rPr>
        <w:t xml:space="preserve"> so there </w:t>
      </w:r>
      <w:r w:rsidR="00FC5E2E">
        <w:rPr>
          <w:szCs w:val="24"/>
        </w:rPr>
        <w:t xml:space="preserve">is </w:t>
      </w:r>
      <w:r w:rsidR="0063783D">
        <w:rPr>
          <w:szCs w:val="24"/>
        </w:rPr>
        <w:t xml:space="preserve">no longer a </w:t>
      </w:r>
      <w:r w:rsidR="00AB7F6D">
        <w:rPr>
          <w:szCs w:val="24"/>
        </w:rPr>
        <w:t xml:space="preserve">postage </w:t>
      </w:r>
      <w:r w:rsidR="0063783D">
        <w:rPr>
          <w:szCs w:val="24"/>
        </w:rPr>
        <w:t>cost</w:t>
      </w:r>
      <w:r w:rsidR="00BE613D">
        <w:rPr>
          <w:szCs w:val="24"/>
        </w:rPr>
        <w:t xml:space="preserve"> associated with standard mail</w:t>
      </w:r>
      <w:r w:rsidR="0063783D">
        <w:rPr>
          <w:szCs w:val="24"/>
        </w:rPr>
        <w:t xml:space="preserve">. </w:t>
      </w:r>
      <w:r w:rsidR="008B65A8">
        <w:rPr>
          <w:szCs w:val="24"/>
        </w:rPr>
        <w:t xml:space="preserve">Further, </w:t>
      </w:r>
      <w:r w:rsidR="000576EC">
        <w:rPr>
          <w:szCs w:val="24"/>
        </w:rPr>
        <w:t xml:space="preserve">railroads </w:t>
      </w:r>
      <w:r w:rsidR="00884E48">
        <w:rPr>
          <w:szCs w:val="24"/>
        </w:rPr>
        <w:t xml:space="preserve">communicate the necessary notifications using a phone system already established and paid for </w:t>
      </w:r>
      <w:r w:rsidR="00040F01">
        <w:rPr>
          <w:szCs w:val="24"/>
        </w:rPr>
        <w:t>as part of general operating costs</w:t>
      </w:r>
      <w:r w:rsidR="003E1D86">
        <w:rPr>
          <w:szCs w:val="24"/>
        </w:rPr>
        <w:t>.</w:t>
      </w:r>
      <w:r w:rsidR="00913F27">
        <w:rPr>
          <w:szCs w:val="24"/>
        </w:rPr>
        <w:t xml:space="preserve"> E</w:t>
      </w:r>
      <w:r w:rsidR="00BA3CFE">
        <w:rPr>
          <w:szCs w:val="24"/>
        </w:rPr>
        <w:t>xpense</w:t>
      </w:r>
      <w:r w:rsidR="00EA2FD0">
        <w:rPr>
          <w:szCs w:val="24"/>
        </w:rPr>
        <w:t>s</w:t>
      </w:r>
      <w:r w:rsidR="00F27489">
        <w:rPr>
          <w:szCs w:val="24"/>
        </w:rPr>
        <w:t xml:space="preserve"> related to </w:t>
      </w:r>
      <w:r w:rsidR="00972B88">
        <w:rPr>
          <w:szCs w:val="24"/>
        </w:rPr>
        <w:t xml:space="preserve">required </w:t>
      </w:r>
      <w:r w:rsidR="00F27489">
        <w:rPr>
          <w:szCs w:val="24"/>
        </w:rPr>
        <w:t>toll</w:t>
      </w:r>
      <w:r w:rsidR="00F75A9F">
        <w:rPr>
          <w:szCs w:val="24"/>
        </w:rPr>
        <w:t>-</w:t>
      </w:r>
      <w:r w:rsidR="00F27489">
        <w:rPr>
          <w:szCs w:val="24"/>
        </w:rPr>
        <w:t>free</w:t>
      </w:r>
      <w:r w:rsidR="00913F27">
        <w:rPr>
          <w:szCs w:val="24"/>
        </w:rPr>
        <w:t xml:space="preserve"> lines are </w:t>
      </w:r>
      <w:r w:rsidR="00BA3CFE">
        <w:rPr>
          <w:szCs w:val="24"/>
        </w:rPr>
        <w:t xml:space="preserve">reported under OMB </w:t>
      </w:r>
      <w:r w:rsidR="00C76392">
        <w:rPr>
          <w:szCs w:val="24"/>
        </w:rPr>
        <w:t>C</w:t>
      </w:r>
      <w:r w:rsidR="00BA3CFE">
        <w:rPr>
          <w:szCs w:val="24"/>
        </w:rPr>
        <w:t xml:space="preserve">ontrol </w:t>
      </w:r>
      <w:r w:rsidR="00C76392">
        <w:rPr>
          <w:szCs w:val="24"/>
        </w:rPr>
        <w:t>No.</w:t>
      </w:r>
      <w:r w:rsidR="00BA3CFE">
        <w:rPr>
          <w:szCs w:val="24"/>
        </w:rPr>
        <w:t xml:space="preserve"> 2130-0591</w:t>
      </w:r>
      <w:r w:rsidR="008425BE">
        <w:rPr>
          <w:szCs w:val="24"/>
        </w:rPr>
        <w:t>,</w:t>
      </w:r>
      <w:r w:rsidR="00913F27">
        <w:rPr>
          <w:szCs w:val="24"/>
        </w:rPr>
        <w:t xml:space="preserve"> </w:t>
      </w:r>
      <w:r>
        <w:rPr>
          <w:szCs w:val="24"/>
        </w:rPr>
        <w:t xml:space="preserve">System for Telephonic Notification of Unsafe </w:t>
      </w:r>
      <w:r w:rsidR="00217AF8">
        <w:rPr>
          <w:szCs w:val="24"/>
        </w:rPr>
        <w:t>C</w:t>
      </w:r>
      <w:r>
        <w:rPr>
          <w:szCs w:val="24"/>
        </w:rPr>
        <w:t>onditions at Highway-Rail and Pathway Grade Crossings.</w:t>
      </w:r>
    </w:p>
    <w:p w:rsidR="005C5EFE" w:rsidP="00186E91" w14:paraId="47F3AB7B" w14:textId="77777777">
      <w:pPr>
        <w:widowControl w:val="0"/>
        <w:ind w:left="720"/>
        <w:rPr>
          <w:szCs w:val="24"/>
        </w:rPr>
      </w:pPr>
    </w:p>
    <w:p w:rsidR="0098260C" w:rsidP="00186E91" w14:paraId="7F8787A3" w14:textId="1F4BD51A">
      <w:pPr>
        <w:widowControl w:val="0"/>
        <w:ind w:left="720"/>
        <w:rPr>
          <w:szCs w:val="24"/>
        </w:rPr>
      </w:pPr>
      <w:r>
        <w:rPr>
          <w:szCs w:val="24"/>
        </w:rPr>
        <w:t xml:space="preserve">Under </w:t>
      </w:r>
      <w:r w:rsidR="00C76392">
        <w:rPr>
          <w:szCs w:val="24"/>
        </w:rPr>
        <w:t>Q</w:t>
      </w:r>
      <w:r>
        <w:rPr>
          <w:szCs w:val="24"/>
        </w:rPr>
        <w:t>uestion 14</w:t>
      </w:r>
      <w:r w:rsidR="005E1836">
        <w:rPr>
          <w:szCs w:val="24"/>
        </w:rPr>
        <w:t xml:space="preserve">, </w:t>
      </w:r>
      <w:r w:rsidR="0063109D">
        <w:rPr>
          <w:szCs w:val="24"/>
        </w:rPr>
        <w:t xml:space="preserve">the </w:t>
      </w:r>
      <w:r w:rsidR="005E1836">
        <w:rPr>
          <w:szCs w:val="24"/>
        </w:rPr>
        <w:t xml:space="preserve">cost to the </w:t>
      </w:r>
      <w:r w:rsidR="00C76392">
        <w:rPr>
          <w:szCs w:val="24"/>
        </w:rPr>
        <w:t>F</w:t>
      </w:r>
      <w:r w:rsidR="005E1836">
        <w:rPr>
          <w:szCs w:val="24"/>
        </w:rPr>
        <w:t xml:space="preserve">ederal </w:t>
      </w:r>
      <w:r w:rsidR="00C76392">
        <w:rPr>
          <w:szCs w:val="24"/>
        </w:rPr>
        <w:t>G</w:t>
      </w:r>
      <w:r w:rsidR="005E1836">
        <w:rPr>
          <w:szCs w:val="24"/>
        </w:rPr>
        <w:t>overnment</w:t>
      </w:r>
      <w:r w:rsidR="00FF430C">
        <w:rPr>
          <w:szCs w:val="24"/>
        </w:rPr>
        <w:t xml:space="preserve"> has increased to more accurately reflect </w:t>
      </w:r>
      <w:r w:rsidR="00A82E1A">
        <w:rPr>
          <w:szCs w:val="24"/>
        </w:rPr>
        <w:t>the time spent by FRA staff on report</w:t>
      </w:r>
      <w:r w:rsidR="00C42CFA">
        <w:rPr>
          <w:szCs w:val="24"/>
        </w:rPr>
        <w:t xml:space="preserve"> submitted by the railroads</w:t>
      </w:r>
      <w:r w:rsidR="00A82E1A">
        <w:rPr>
          <w:szCs w:val="24"/>
        </w:rPr>
        <w:t xml:space="preserve">. This increased the </w:t>
      </w:r>
      <w:r w:rsidR="0012507A">
        <w:rPr>
          <w:szCs w:val="24"/>
        </w:rPr>
        <w:t xml:space="preserve">total cost from </w:t>
      </w:r>
      <w:r w:rsidR="001A7548">
        <w:rPr>
          <w:szCs w:val="24"/>
        </w:rPr>
        <w:t>$5,912</w:t>
      </w:r>
      <w:r w:rsidR="004403ED">
        <w:rPr>
          <w:szCs w:val="24"/>
        </w:rPr>
        <w:t xml:space="preserve"> to $34,190.</w:t>
      </w:r>
      <w:r>
        <w:rPr>
          <w:szCs w:val="24"/>
        </w:rPr>
        <w:t xml:space="preserve"> </w:t>
      </w:r>
      <w:r w:rsidR="00BA3CFE">
        <w:rPr>
          <w:szCs w:val="24"/>
        </w:rPr>
        <w:t xml:space="preserve"> </w:t>
      </w:r>
      <w:r w:rsidR="00040F01">
        <w:rPr>
          <w:szCs w:val="24"/>
        </w:rPr>
        <w:t xml:space="preserve"> </w:t>
      </w:r>
      <w:r w:rsidR="00391187">
        <w:rPr>
          <w:szCs w:val="24"/>
        </w:rPr>
        <w:t xml:space="preserve"> </w:t>
      </w:r>
      <w:r w:rsidR="00D61803">
        <w:rPr>
          <w:szCs w:val="24"/>
        </w:rPr>
        <w:t xml:space="preserve"> </w:t>
      </w:r>
    </w:p>
    <w:p w:rsidR="00D61803" w:rsidP="00186E91" w14:paraId="12701961" w14:textId="77777777">
      <w:pPr>
        <w:widowControl w:val="0"/>
        <w:ind w:left="720"/>
        <w:rPr>
          <w:b/>
          <w:szCs w:val="24"/>
        </w:rPr>
      </w:pPr>
    </w:p>
    <w:p w:rsidR="00FB5B48" w:rsidRPr="00D863FB" w:rsidP="00FB5B48" w14:paraId="21061AC0" w14:textId="3B3B1160">
      <w:pPr>
        <w:widowControl w:val="0"/>
        <w:ind w:left="720" w:hanging="720"/>
        <w:rPr>
          <w:b/>
          <w:szCs w:val="24"/>
        </w:rPr>
      </w:pPr>
      <w:r w:rsidRPr="00D863FB">
        <w:rPr>
          <w:b/>
          <w:szCs w:val="24"/>
        </w:rPr>
        <w:t>16.</w:t>
      </w:r>
      <w:r w:rsidRPr="00D863FB">
        <w:rPr>
          <w:b/>
          <w:szCs w:val="24"/>
        </w:rPr>
        <w:tab/>
      </w:r>
      <w:r w:rsidRPr="00D863FB">
        <w:rPr>
          <w:b/>
          <w:szCs w:val="24"/>
          <w:u w:val="single"/>
        </w:rPr>
        <w:t>Publication of results of data collection</w:t>
      </w:r>
      <w:r w:rsidR="00913F27">
        <w:rPr>
          <w:szCs w:val="24"/>
        </w:rPr>
        <w:t xml:space="preserve"> </w:t>
      </w:r>
    </w:p>
    <w:p w:rsidR="00FB5B48" w:rsidRPr="00D863FB" w:rsidP="00FB5B48" w14:paraId="023CEBC1" w14:textId="77777777">
      <w:pPr>
        <w:widowControl w:val="0"/>
        <w:rPr>
          <w:szCs w:val="24"/>
        </w:rPr>
      </w:pPr>
    </w:p>
    <w:p w:rsidR="00FB5B48" w:rsidP="00FB5B48" w14:paraId="762D00D5" w14:textId="77777777">
      <w:pPr>
        <w:widowControl w:val="0"/>
        <w:ind w:firstLine="720"/>
        <w:rPr>
          <w:szCs w:val="24"/>
        </w:rPr>
      </w:pPr>
      <w:bookmarkStart w:id="0" w:name="_Hlk130454439"/>
      <w:r w:rsidRPr="00561B7F">
        <w:rPr>
          <w:szCs w:val="24"/>
        </w:rPr>
        <w:t>FRA plans no tabulation or publication of responses.</w:t>
      </w:r>
    </w:p>
    <w:bookmarkEnd w:id="0"/>
    <w:p w:rsidR="00FB5B48" w:rsidRPr="00D863FB" w:rsidP="00FB5B48" w14:paraId="3785F4A7" w14:textId="77777777">
      <w:pPr>
        <w:widowControl w:val="0"/>
        <w:ind w:firstLine="720"/>
        <w:rPr>
          <w:szCs w:val="24"/>
        </w:rPr>
      </w:pPr>
    </w:p>
    <w:p w:rsidR="00FB5B48" w:rsidRPr="00D863FB" w:rsidP="00FB5B48" w14:paraId="29076C3B" w14:textId="64165BED">
      <w:pPr>
        <w:widowControl w:val="0"/>
        <w:ind w:left="720" w:hanging="720"/>
        <w:rPr>
          <w:b/>
          <w:szCs w:val="24"/>
        </w:rPr>
      </w:pPr>
      <w:bookmarkStart w:id="1" w:name="_Hlk130454416"/>
      <w:r w:rsidRPr="00D863FB">
        <w:rPr>
          <w:b/>
          <w:szCs w:val="24"/>
        </w:rPr>
        <w:t>17.</w:t>
      </w:r>
      <w:r w:rsidRPr="00D863FB">
        <w:rPr>
          <w:b/>
          <w:szCs w:val="24"/>
        </w:rPr>
        <w:tab/>
      </w:r>
      <w:r w:rsidRPr="00D863FB">
        <w:rPr>
          <w:b/>
          <w:szCs w:val="24"/>
          <w:u w:val="single"/>
        </w:rPr>
        <w:t>Approval for not displaying the expiration date for OMB approval</w:t>
      </w:r>
    </w:p>
    <w:p w:rsidR="00FB5B48" w:rsidRPr="00D863FB" w:rsidP="00FB5B48" w14:paraId="1CCFEACD" w14:textId="77777777">
      <w:pPr>
        <w:widowControl w:val="0"/>
        <w:rPr>
          <w:szCs w:val="24"/>
        </w:rPr>
      </w:pPr>
    </w:p>
    <w:p w:rsidR="00FB5B48" w:rsidP="00FB5B48" w14:paraId="6F6F8C5E" w14:textId="7C0A5F3F">
      <w:pPr>
        <w:widowControl w:val="0"/>
        <w:ind w:firstLine="720"/>
        <w:rPr>
          <w:szCs w:val="24"/>
        </w:rPr>
      </w:pPr>
      <w:r w:rsidRPr="00561B7F">
        <w:rPr>
          <w:szCs w:val="24"/>
        </w:rPr>
        <w:t>FRA i</w:t>
      </w:r>
      <w:r w:rsidR="00D61803">
        <w:rPr>
          <w:szCs w:val="24"/>
        </w:rPr>
        <w:t xml:space="preserve">ntends to display the expiration </w:t>
      </w:r>
      <w:r w:rsidR="00C5381F">
        <w:rPr>
          <w:szCs w:val="24"/>
        </w:rPr>
        <w:t>date.</w:t>
      </w:r>
    </w:p>
    <w:p w:rsidR="00FB5B48" w:rsidRPr="00D863FB" w:rsidP="00FB5B48" w14:paraId="2568E072" w14:textId="77777777">
      <w:pPr>
        <w:widowControl w:val="0"/>
        <w:rPr>
          <w:szCs w:val="24"/>
        </w:rPr>
      </w:pPr>
    </w:p>
    <w:p w:rsidR="00FB5B48" w:rsidRPr="00D863FB" w:rsidP="00FB5B48" w14:paraId="43773747" w14:textId="48D17AF3">
      <w:pPr>
        <w:widowControl w:val="0"/>
        <w:ind w:left="720" w:hanging="720"/>
        <w:rPr>
          <w:b/>
          <w:szCs w:val="24"/>
        </w:rPr>
      </w:pPr>
      <w:r w:rsidRPr="00D863FB">
        <w:rPr>
          <w:b/>
          <w:szCs w:val="24"/>
        </w:rPr>
        <w:t>18.</w:t>
      </w:r>
      <w:r w:rsidRPr="00D863FB">
        <w:rPr>
          <w:b/>
          <w:szCs w:val="24"/>
        </w:rPr>
        <w:tab/>
      </w:r>
      <w:r w:rsidRPr="00D863FB">
        <w:rPr>
          <w:b/>
          <w:szCs w:val="24"/>
          <w:u w:val="single"/>
        </w:rPr>
        <w:t>Exception to certification statement</w:t>
      </w:r>
    </w:p>
    <w:p w:rsidR="00FB5B48" w:rsidRPr="00D863FB" w:rsidP="00FB5B48" w14:paraId="4F906BAB" w14:textId="77777777">
      <w:pPr>
        <w:widowControl w:val="0"/>
        <w:rPr>
          <w:b/>
          <w:szCs w:val="24"/>
        </w:rPr>
      </w:pPr>
    </w:p>
    <w:p w:rsidR="00FB5B48" w:rsidRPr="00D863FB" w:rsidP="00FB5B48" w14:paraId="727F66E5" w14:textId="77777777">
      <w:pPr>
        <w:widowControl w:val="0"/>
        <w:ind w:left="720"/>
        <w:rPr>
          <w:szCs w:val="24"/>
        </w:rPr>
      </w:pPr>
      <w:r w:rsidRPr="00D863FB">
        <w:rPr>
          <w:szCs w:val="24"/>
        </w:rPr>
        <w:t>No exceptions are taken at this time.</w:t>
      </w:r>
    </w:p>
    <w:bookmarkEnd w:id="1"/>
    <w:p w:rsidR="00FB5B48" w:rsidRPr="00A5234C" w:rsidP="00FB5B48" w14:paraId="1C9B4EFD" w14:textId="77777777">
      <w:pPr>
        <w:widowControl w:val="0"/>
        <w:rPr>
          <w:szCs w:val="24"/>
        </w:rPr>
      </w:pPr>
    </w:p>
    <w:p w:rsidR="00E078CE" w14:paraId="0C9D21C8" w14:textId="77777777"/>
    <w:sectPr w:rsidSect="0014087B">
      <w:headerReference w:type="even" r:id="rId10"/>
      <w:headerReference w:type="default" r:id="rId11"/>
      <w:footerReference w:type="even" r:id="rId12"/>
      <w:footerReference w:type="default" r:id="rId13"/>
      <w:footerReference w:type="first" r:id="rId14"/>
      <w:pgSz w:w="12240" w:h="15840" w:code="1"/>
      <w:pgMar w:top="1440" w:right="1440" w:bottom="1915" w:left="144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B48" w14:paraId="11E9250A"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p w:rsidR="00FB5B48" w:rsidP="004B1C25" w14:paraId="383EA888" w14:textId="77777777">
    <w:pP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4578010"/>
      <w:docPartObj>
        <w:docPartGallery w:val="Page Numbers (Bottom of Page)"/>
        <w:docPartUnique/>
      </w:docPartObj>
    </w:sdtPr>
    <w:sdtEndPr>
      <w:rPr>
        <w:noProof/>
      </w:rPr>
    </w:sdtEndPr>
    <w:sdtContent>
      <w:p w:rsidR="00FB5B48" w14:paraId="254A7A6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5B48" w:rsidP="004B1C25" w14:paraId="3546CC1C" w14:textId="77777777">
    <w:pPr>
      <w:widowControl w:val="0"/>
      <w:spacing w:line="0" w:lineRule="atLea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0134106"/>
      <w:docPartObj>
        <w:docPartGallery w:val="Page Numbers (Bottom of Page)"/>
        <w:docPartUnique/>
      </w:docPartObj>
    </w:sdtPr>
    <w:sdtEndPr>
      <w:rPr>
        <w:noProof/>
      </w:rPr>
    </w:sdtEndPr>
    <w:sdtContent>
      <w:p w:rsidR="00FB5B48" w14:paraId="4677DE6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5B48" w14:paraId="7F9C18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6D26" w:rsidP="00FB5B48" w14:paraId="0E5F131A" w14:textId="77777777">
      <w:r>
        <w:separator/>
      </w:r>
    </w:p>
  </w:footnote>
  <w:footnote w:type="continuationSeparator" w:id="1">
    <w:p w:rsidR="009A6D26" w:rsidP="00FB5B48" w14:paraId="10C72C21" w14:textId="77777777">
      <w:r>
        <w:continuationSeparator/>
      </w:r>
    </w:p>
  </w:footnote>
  <w:footnote w:type="continuationNotice" w:id="2">
    <w:p w:rsidR="009A6D26" w14:paraId="1C0296F9" w14:textId="77777777"/>
  </w:footnote>
  <w:footnote w:id="3">
    <w:p w:rsidR="00374DE5" w14:paraId="4C7D2301" w14:textId="27668CAD">
      <w:pPr>
        <w:pStyle w:val="FootnoteText"/>
      </w:pPr>
      <w:r>
        <w:rPr>
          <w:rStyle w:val="FootnoteReference"/>
        </w:rPr>
        <w:footnoteRef/>
      </w:r>
      <w:r>
        <w:t xml:space="preserve"> </w:t>
      </w:r>
      <w:r w:rsidR="005628DA">
        <w:t xml:space="preserve">91 FR </w:t>
      </w:r>
      <w:r w:rsidR="00BC7F6E">
        <w:t>2186</w:t>
      </w:r>
      <w:r w:rsidR="00513BFC">
        <w:t>6</w:t>
      </w:r>
      <w:r w:rsidR="00AB5B50">
        <w:t xml:space="preserve"> (</w:t>
      </w:r>
      <w:r w:rsidR="00AC534A">
        <w:t>2026)</w:t>
      </w:r>
      <w:r w:rsidR="003C3E1E">
        <w:t>.</w:t>
      </w:r>
    </w:p>
  </w:footnote>
  <w:footnote w:id="4">
    <w:p w:rsidR="00A53D1D" w14:paraId="4F5D3081" w14:textId="1D2F1292">
      <w:pPr>
        <w:pStyle w:val="FootnoteText"/>
      </w:pPr>
      <w:r>
        <w:rPr>
          <w:rStyle w:val="FootnoteReference"/>
        </w:rPr>
        <w:footnoteRef/>
      </w:r>
      <w:r>
        <w:t xml:space="preserve">91 FR </w:t>
      </w:r>
      <w:r w:rsidR="009C55BA">
        <w:t>21866</w:t>
      </w:r>
      <w:r w:rsidR="00AC534A">
        <w:t xml:space="preserve"> (2026)</w:t>
      </w:r>
      <w:r w:rsidR="00E03AF7">
        <w:t>.</w:t>
      </w:r>
    </w:p>
  </w:footnote>
  <w:footnote w:id="5">
    <w:p w:rsidR="00D264B4" w:rsidP="00D264B4" w14:paraId="22EA4DCA" w14:textId="77777777">
      <w:pPr>
        <w:pBdr>
          <w:top w:val="nil"/>
          <w:left w:val="nil"/>
          <w:bottom w:val="nil"/>
          <w:right w:val="nil"/>
          <w:between w:val="nil"/>
        </w:pBdr>
        <w:spacing w:after="120"/>
        <w:rPr>
          <w:color w:val="000000"/>
          <w:sz w:val="20"/>
        </w:rPr>
      </w:pPr>
      <w:r w:rsidRPr="00763E1A">
        <w:rPr>
          <w:rStyle w:val="FootnoteReference"/>
          <w:sz w:val="20"/>
        </w:rPr>
        <w:footnoteRef/>
      </w:r>
      <w:r w:rsidRPr="00763E1A">
        <w:rPr>
          <w:color w:val="000000"/>
          <w:sz w:val="20"/>
        </w:rPr>
        <w:t xml:space="preserve"> </w:t>
      </w:r>
      <w:r>
        <w:rPr>
          <w:color w:val="000000"/>
          <w:sz w:val="20"/>
        </w:rPr>
        <w:t>The dollar equivalent cost is derived from the 2024 STB Full Year Wage A&amp;B data series using the appropriate employee group hourly wage rate that includes a 75-percent overhead charge. For Transportation (Other than Train &amp; Engine) staff, this cost amounts to $83.32 per hour.</w:t>
      </w:r>
    </w:p>
  </w:footnote>
  <w:footnote w:id="6">
    <w:p w:rsidR="00D264B4" w:rsidP="00D264B4" w14:paraId="11B6F9F4" w14:textId="77777777">
      <w:pPr>
        <w:pBdr>
          <w:top w:val="nil"/>
          <w:left w:val="nil"/>
          <w:bottom w:val="nil"/>
          <w:right w:val="nil"/>
          <w:between w:val="nil"/>
        </w:pBdr>
        <w:rPr>
          <w:color w:val="000000"/>
          <w:sz w:val="20"/>
        </w:rPr>
      </w:pPr>
      <w:r w:rsidRPr="00763E1A">
        <w:rPr>
          <w:rStyle w:val="FootnoteReference"/>
          <w:sz w:val="20"/>
        </w:rPr>
        <w:footnoteRef/>
      </w:r>
      <w:r>
        <w:rPr>
          <w:color w:val="000000"/>
          <w:sz w:val="20"/>
        </w:rPr>
        <w:t xml:space="preserve"> Totals may not add due to rounding.</w:t>
      </w:r>
    </w:p>
  </w:footnote>
  <w:footnote w:id="7">
    <w:p w:rsidR="006B1164" w14:paraId="236B478E" w14:textId="51EE7234">
      <w:pPr>
        <w:pStyle w:val="FootnoteText"/>
      </w:pPr>
      <w:r>
        <w:rPr>
          <w:rStyle w:val="FootnoteReference"/>
        </w:rPr>
        <w:footnoteRef/>
      </w:r>
      <w:r>
        <w:t xml:space="preserve"> This number is</w:t>
      </w:r>
      <w:r w:rsidR="00E80064">
        <w:t xml:space="preserve"> the annual responses reported under </w:t>
      </w:r>
      <w:r w:rsidR="00A471AF">
        <w:t>Q</w:t>
      </w:r>
      <w:r w:rsidR="00E80064">
        <w:t xml:space="preserve">uestion 12 for </w:t>
      </w:r>
      <w:r w:rsidR="00BB3639">
        <w:t>§</w:t>
      </w:r>
      <w:r w:rsidR="00E80064">
        <w:t xml:space="preserve"> </w:t>
      </w:r>
      <w:r w:rsidR="00AF5F82">
        <w:t>234.9</w:t>
      </w:r>
      <w:r w:rsidR="00A471AF">
        <w:t>,</w:t>
      </w:r>
      <w:r w:rsidR="00AF5F82">
        <w:t xml:space="preserve"> Grade Crossing Signal System Failure Reports.</w:t>
      </w:r>
    </w:p>
  </w:footnote>
  <w:footnote w:id="8">
    <w:p w:rsidR="00C3007C" w:rsidRPr="00FD03FD" w14:paraId="053498DF" w14:textId="149EA53F">
      <w:pPr>
        <w:pStyle w:val="FootnoteText"/>
      </w:pPr>
      <w:r>
        <w:rPr>
          <w:rStyle w:val="FootnoteReference"/>
        </w:rPr>
        <w:footnoteRef/>
      </w:r>
      <w:r>
        <w:t xml:space="preserve"> </w:t>
      </w:r>
      <w:r w:rsidRPr="00702194" w:rsidR="00FD03FD">
        <w:rPr>
          <w:rFonts w:eastAsia="MS Mincho"/>
        </w:rPr>
        <w:t xml:space="preserve">The hourly wage rate was calculated using the 2026 GS locality pay table for Washington-Baltimore-Arlington, DC-MD-VA-WV-PA see </w:t>
      </w:r>
      <w:hyperlink r:id="rId1" w:history="1">
        <w:r w:rsidRPr="00702194" w:rsidR="00FD03FD">
          <w:rPr>
            <w:rFonts w:eastAsia="MS Mincho"/>
            <w:color w:val="0000FF"/>
            <w:u w:val="single"/>
          </w:rPr>
          <w:t>https://www.opm.gov/policy-data-oversight/pay-leave/salaries-wages/2026/general-schedule/</w:t>
        </w:r>
      </w:hyperlink>
      <w:r w:rsidRPr="00702194" w:rsidR="00FD03FD">
        <w:rPr>
          <w:rFonts w:eastAsia="MS Minch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B48" w14:paraId="6A169558"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B48" w14:paraId="753A074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9C006E"/>
    <w:multiLevelType w:val="hybridMultilevel"/>
    <w:tmpl w:val="62E2E7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C6B08BD"/>
    <w:multiLevelType w:val="hybridMultilevel"/>
    <w:tmpl w:val="F6F83D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BD7A0C"/>
    <w:multiLevelType w:val="hybridMultilevel"/>
    <w:tmpl w:val="DB06FF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3240243">
    <w:abstractNumId w:val="1"/>
  </w:num>
  <w:num w:numId="2" w16cid:durableId="1637291617">
    <w:abstractNumId w:val="2"/>
  </w:num>
  <w:num w:numId="3" w16cid:durableId="1814129958">
    <w:abstractNumId w:val="3"/>
  </w:num>
  <w:num w:numId="4" w16cid:durableId="1129317611">
    <w:abstractNumId w:val="0"/>
  </w:num>
  <w:num w:numId="5" w16cid:durableId="1183058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48"/>
    <w:rsid w:val="00002833"/>
    <w:rsid w:val="0000705D"/>
    <w:rsid w:val="00011D26"/>
    <w:rsid w:val="00015C23"/>
    <w:rsid w:val="000166D7"/>
    <w:rsid w:val="00021284"/>
    <w:rsid w:val="00025B03"/>
    <w:rsid w:val="00031F46"/>
    <w:rsid w:val="000327D2"/>
    <w:rsid w:val="00034362"/>
    <w:rsid w:val="000359B3"/>
    <w:rsid w:val="00035D25"/>
    <w:rsid w:val="00036303"/>
    <w:rsid w:val="00040A17"/>
    <w:rsid w:val="00040F01"/>
    <w:rsid w:val="00042F7C"/>
    <w:rsid w:val="00051C33"/>
    <w:rsid w:val="00054B3C"/>
    <w:rsid w:val="000576EC"/>
    <w:rsid w:val="00062ED0"/>
    <w:rsid w:val="00063061"/>
    <w:rsid w:val="00063290"/>
    <w:rsid w:val="000642AB"/>
    <w:rsid w:val="0007668E"/>
    <w:rsid w:val="0007798D"/>
    <w:rsid w:val="00085667"/>
    <w:rsid w:val="00092D94"/>
    <w:rsid w:val="00095E18"/>
    <w:rsid w:val="000B0225"/>
    <w:rsid w:val="000B02B3"/>
    <w:rsid w:val="000B0A34"/>
    <w:rsid w:val="000B0B0F"/>
    <w:rsid w:val="000C3CD1"/>
    <w:rsid w:val="000D09AF"/>
    <w:rsid w:val="000D1B58"/>
    <w:rsid w:val="000D7E9D"/>
    <w:rsid w:val="000E3171"/>
    <w:rsid w:val="000F22A6"/>
    <w:rsid w:val="000F2EBF"/>
    <w:rsid w:val="000F523B"/>
    <w:rsid w:val="00105BE1"/>
    <w:rsid w:val="00107517"/>
    <w:rsid w:val="00114F5B"/>
    <w:rsid w:val="0012507A"/>
    <w:rsid w:val="001255F3"/>
    <w:rsid w:val="0012687D"/>
    <w:rsid w:val="00126B4C"/>
    <w:rsid w:val="0014011C"/>
    <w:rsid w:val="0014087B"/>
    <w:rsid w:val="00142A08"/>
    <w:rsid w:val="00160DDA"/>
    <w:rsid w:val="0016390E"/>
    <w:rsid w:val="001735C7"/>
    <w:rsid w:val="00182DDD"/>
    <w:rsid w:val="00184971"/>
    <w:rsid w:val="00186E91"/>
    <w:rsid w:val="0019543D"/>
    <w:rsid w:val="00196F20"/>
    <w:rsid w:val="00197F00"/>
    <w:rsid w:val="001A7548"/>
    <w:rsid w:val="001B2F94"/>
    <w:rsid w:val="001C0D68"/>
    <w:rsid w:val="001C353E"/>
    <w:rsid w:val="001C4E10"/>
    <w:rsid w:val="001D1463"/>
    <w:rsid w:val="001D149D"/>
    <w:rsid w:val="001D6754"/>
    <w:rsid w:val="001E54F6"/>
    <w:rsid w:val="001F5E5B"/>
    <w:rsid w:val="00213DBB"/>
    <w:rsid w:val="002162DE"/>
    <w:rsid w:val="00217AF8"/>
    <w:rsid w:val="00226FCE"/>
    <w:rsid w:val="00227985"/>
    <w:rsid w:val="002343AF"/>
    <w:rsid w:val="002356A6"/>
    <w:rsid w:val="00250215"/>
    <w:rsid w:val="0025128E"/>
    <w:rsid w:val="002604C5"/>
    <w:rsid w:val="00265E4D"/>
    <w:rsid w:val="00274B12"/>
    <w:rsid w:val="00283553"/>
    <w:rsid w:val="002850B1"/>
    <w:rsid w:val="00291155"/>
    <w:rsid w:val="00292260"/>
    <w:rsid w:val="002954B2"/>
    <w:rsid w:val="002A57B2"/>
    <w:rsid w:val="002A6B75"/>
    <w:rsid w:val="002B1B5E"/>
    <w:rsid w:val="002B34AE"/>
    <w:rsid w:val="002C1E65"/>
    <w:rsid w:val="002C3B07"/>
    <w:rsid w:val="002D0F6E"/>
    <w:rsid w:val="002D3963"/>
    <w:rsid w:val="002D7F8C"/>
    <w:rsid w:val="002E0C9F"/>
    <w:rsid w:val="002E0F45"/>
    <w:rsid w:val="002E422B"/>
    <w:rsid w:val="002E5814"/>
    <w:rsid w:val="002E6BAD"/>
    <w:rsid w:val="002F1627"/>
    <w:rsid w:val="002F3B9B"/>
    <w:rsid w:val="002F6F30"/>
    <w:rsid w:val="00310774"/>
    <w:rsid w:val="00314875"/>
    <w:rsid w:val="00314D66"/>
    <w:rsid w:val="00315511"/>
    <w:rsid w:val="0032027E"/>
    <w:rsid w:val="00320EB0"/>
    <w:rsid w:val="00322352"/>
    <w:rsid w:val="003235E8"/>
    <w:rsid w:val="00327983"/>
    <w:rsid w:val="0033353F"/>
    <w:rsid w:val="00341B28"/>
    <w:rsid w:val="00343789"/>
    <w:rsid w:val="00344D36"/>
    <w:rsid w:val="00345D6C"/>
    <w:rsid w:val="00350678"/>
    <w:rsid w:val="00362BF7"/>
    <w:rsid w:val="0037093C"/>
    <w:rsid w:val="003714F7"/>
    <w:rsid w:val="003729CE"/>
    <w:rsid w:val="00374DE5"/>
    <w:rsid w:val="00375CAE"/>
    <w:rsid w:val="00380627"/>
    <w:rsid w:val="003813E2"/>
    <w:rsid w:val="003864E4"/>
    <w:rsid w:val="00387A9C"/>
    <w:rsid w:val="0039115A"/>
    <w:rsid w:val="00391187"/>
    <w:rsid w:val="003A41F4"/>
    <w:rsid w:val="003A53E8"/>
    <w:rsid w:val="003A618D"/>
    <w:rsid w:val="003A6ED2"/>
    <w:rsid w:val="003C1FC4"/>
    <w:rsid w:val="003C3E1E"/>
    <w:rsid w:val="003C4536"/>
    <w:rsid w:val="003C7EFE"/>
    <w:rsid w:val="003D0044"/>
    <w:rsid w:val="003D1751"/>
    <w:rsid w:val="003D2588"/>
    <w:rsid w:val="003D4621"/>
    <w:rsid w:val="003E1D86"/>
    <w:rsid w:val="003E5130"/>
    <w:rsid w:val="003E55EB"/>
    <w:rsid w:val="003E6206"/>
    <w:rsid w:val="003E6C40"/>
    <w:rsid w:val="003F12FA"/>
    <w:rsid w:val="003F1384"/>
    <w:rsid w:val="003F3776"/>
    <w:rsid w:val="00400A09"/>
    <w:rsid w:val="00401A2B"/>
    <w:rsid w:val="0040614F"/>
    <w:rsid w:val="004117BB"/>
    <w:rsid w:val="00411F08"/>
    <w:rsid w:val="0041269F"/>
    <w:rsid w:val="0042037B"/>
    <w:rsid w:val="00420758"/>
    <w:rsid w:val="004215E8"/>
    <w:rsid w:val="00421EEE"/>
    <w:rsid w:val="0042355C"/>
    <w:rsid w:val="00426D74"/>
    <w:rsid w:val="004346E8"/>
    <w:rsid w:val="00440128"/>
    <w:rsid w:val="004403ED"/>
    <w:rsid w:val="00445915"/>
    <w:rsid w:val="00450593"/>
    <w:rsid w:val="004520BC"/>
    <w:rsid w:val="0046227C"/>
    <w:rsid w:val="00467233"/>
    <w:rsid w:val="00472F81"/>
    <w:rsid w:val="0047304D"/>
    <w:rsid w:val="00475706"/>
    <w:rsid w:val="00483DF1"/>
    <w:rsid w:val="00484920"/>
    <w:rsid w:val="004860F5"/>
    <w:rsid w:val="00487AF3"/>
    <w:rsid w:val="004A187F"/>
    <w:rsid w:val="004B1C25"/>
    <w:rsid w:val="004B5EA6"/>
    <w:rsid w:val="004C0597"/>
    <w:rsid w:val="004C450C"/>
    <w:rsid w:val="004D6038"/>
    <w:rsid w:val="004E1F24"/>
    <w:rsid w:val="004E40FF"/>
    <w:rsid w:val="004F5439"/>
    <w:rsid w:val="00502F64"/>
    <w:rsid w:val="0050505A"/>
    <w:rsid w:val="00507C51"/>
    <w:rsid w:val="00510FA5"/>
    <w:rsid w:val="00513BD1"/>
    <w:rsid w:val="00513BFC"/>
    <w:rsid w:val="00523E4A"/>
    <w:rsid w:val="00534234"/>
    <w:rsid w:val="00534567"/>
    <w:rsid w:val="0053577C"/>
    <w:rsid w:val="00536B88"/>
    <w:rsid w:val="00541799"/>
    <w:rsid w:val="00552198"/>
    <w:rsid w:val="005567CA"/>
    <w:rsid w:val="00561B7F"/>
    <w:rsid w:val="005628DA"/>
    <w:rsid w:val="00573349"/>
    <w:rsid w:val="0057442F"/>
    <w:rsid w:val="00575126"/>
    <w:rsid w:val="005835F5"/>
    <w:rsid w:val="00593E02"/>
    <w:rsid w:val="005A75D9"/>
    <w:rsid w:val="005B7520"/>
    <w:rsid w:val="005B7D2B"/>
    <w:rsid w:val="005C1E6F"/>
    <w:rsid w:val="005C36EE"/>
    <w:rsid w:val="005C3EAB"/>
    <w:rsid w:val="005C5EFE"/>
    <w:rsid w:val="005C6A67"/>
    <w:rsid w:val="005D00F6"/>
    <w:rsid w:val="005E0153"/>
    <w:rsid w:val="005E1836"/>
    <w:rsid w:val="005E1C9A"/>
    <w:rsid w:val="005E7EE3"/>
    <w:rsid w:val="005F2D3F"/>
    <w:rsid w:val="005F3DA6"/>
    <w:rsid w:val="005F7C1E"/>
    <w:rsid w:val="00601C10"/>
    <w:rsid w:val="006020F9"/>
    <w:rsid w:val="0060240F"/>
    <w:rsid w:val="00603E49"/>
    <w:rsid w:val="006045F1"/>
    <w:rsid w:val="00610093"/>
    <w:rsid w:val="00611017"/>
    <w:rsid w:val="00617B4D"/>
    <w:rsid w:val="00622389"/>
    <w:rsid w:val="0063109D"/>
    <w:rsid w:val="006316AF"/>
    <w:rsid w:val="00635346"/>
    <w:rsid w:val="00637138"/>
    <w:rsid w:val="0063783D"/>
    <w:rsid w:val="00641B29"/>
    <w:rsid w:val="006429B7"/>
    <w:rsid w:val="0066075C"/>
    <w:rsid w:val="00666D6D"/>
    <w:rsid w:val="0067737B"/>
    <w:rsid w:val="006810C2"/>
    <w:rsid w:val="00683A14"/>
    <w:rsid w:val="00687DD4"/>
    <w:rsid w:val="00692708"/>
    <w:rsid w:val="006929A5"/>
    <w:rsid w:val="006A1E7F"/>
    <w:rsid w:val="006A37C9"/>
    <w:rsid w:val="006A3F3D"/>
    <w:rsid w:val="006B1164"/>
    <w:rsid w:val="006B2BFA"/>
    <w:rsid w:val="006B3615"/>
    <w:rsid w:val="006B69BE"/>
    <w:rsid w:val="006C3E81"/>
    <w:rsid w:val="006D6D79"/>
    <w:rsid w:val="006E05E2"/>
    <w:rsid w:val="006E6DA7"/>
    <w:rsid w:val="006F06A4"/>
    <w:rsid w:val="00702194"/>
    <w:rsid w:val="00702E29"/>
    <w:rsid w:val="0070338B"/>
    <w:rsid w:val="007072AE"/>
    <w:rsid w:val="00713205"/>
    <w:rsid w:val="00713DD7"/>
    <w:rsid w:val="0071502F"/>
    <w:rsid w:val="0072245B"/>
    <w:rsid w:val="0072445B"/>
    <w:rsid w:val="0073020A"/>
    <w:rsid w:val="00732D86"/>
    <w:rsid w:val="007349C5"/>
    <w:rsid w:val="0073533A"/>
    <w:rsid w:val="00735C9A"/>
    <w:rsid w:val="00736160"/>
    <w:rsid w:val="00736513"/>
    <w:rsid w:val="007407AC"/>
    <w:rsid w:val="00746C85"/>
    <w:rsid w:val="00747C14"/>
    <w:rsid w:val="007505FF"/>
    <w:rsid w:val="007565BE"/>
    <w:rsid w:val="00757A6A"/>
    <w:rsid w:val="00763E1A"/>
    <w:rsid w:val="0077467E"/>
    <w:rsid w:val="007834C4"/>
    <w:rsid w:val="00785FC7"/>
    <w:rsid w:val="007868CF"/>
    <w:rsid w:val="00790242"/>
    <w:rsid w:val="007919DF"/>
    <w:rsid w:val="00797193"/>
    <w:rsid w:val="007A2BA5"/>
    <w:rsid w:val="007A633F"/>
    <w:rsid w:val="007B59E8"/>
    <w:rsid w:val="007C12E1"/>
    <w:rsid w:val="007C20DC"/>
    <w:rsid w:val="007C2940"/>
    <w:rsid w:val="007D1AFE"/>
    <w:rsid w:val="007E4E04"/>
    <w:rsid w:val="007E62DC"/>
    <w:rsid w:val="007E76E1"/>
    <w:rsid w:val="007F2E8A"/>
    <w:rsid w:val="007F639A"/>
    <w:rsid w:val="0080149B"/>
    <w:rsid w:val="00801737"/>
    <w:rsid w:val="008100C9"/>
    <w:rsid w:val="00811130"/>
    <w:rsid w:val="00811AC8"/>
    <w:rsid w:val="00822CFA"/>
    <w:rsid w:val="00823A77"/>
    <w:rsid w:val="00825F12"/>
    <w:rsid w:val="0083482B"/>
    <w:rsid w:val="00835CED"/>
    <w:rsid w:val="00836A0C"/>
    <w:rsid w:val="008425BE"/>
    <w:rsid w:val="00844D0C"/>
    <w:rsid w:val="00847B71"/>
    <w:rsid w:val="0085199F"/>
    <w:rsid w:val="00854C34"/>
    <w:rsid w:val="008558C9"/>
    <w:rsid w:val="00856594"/>
    <w:rsid w:val="00864487"/>
    <w:rsid w:val="00867E31"/>
    <w:rsid w:val="0087072B"/>
    <w:rsid w:val="008715BE"/>
    <w:rsid w:val="0087235A"/>
    <w:rsid w:val="00876EF8"/>
    <w:rsid w:val="00884E48"/>
    <w:rsid w:val="008A5B6D"/>
    <w:rsid w:val="008B4153"/>
    <w:rsid w:val="008B49E6"/>
    <w:rsid w:val="008B65A8"/>
    <w:rsid w:val="008C0466"/>
    <w:rsid w:val="008C0CDB"/>
    <w:rsid w:val="008C5D56"/>
    <w:rsid w:val="008D660F"/>
    <w:rsid w:val="008E58DA"/>
    <w:rsid w:val="008E6FF2"/>
    <w:rsid w:val="008E7B93"/>
    <w:rsid w:val="008F1A88"/>
    <w:rsid w:val="008F4A62"/>
    <w:rsid w:val="008F622F"/>
    <w:rsid w:val="00903943"/>
    <w:rsid w:val="00903EB8"/>
    <w:rsid w:val="009060F7"/>
    <w:rsid w:val="00910B20"/>
    <w:rsid w:val="00913F27"/>
    <w:rsid w:val="009156C5"/>
    <w:rsid w:val="009173F9"/>
    <w:rsid w:val="0092691B"/>
    <w:rsid w:val="00926C56"/>
    <w:rsid w:val="009318FD"/>
    <w:rsid w:val="00932B44"/>
    <w:rsid w:val="009353B3"/>
    <w:rsid w:val="009373B6"/>
    <w:rsid w:val="00937922"/>
    <w:rsid w:val="00937B8B"/>
    <w:rsid w:val="00955B5E"/>
    <w:rsid w:val="009562F3"/>
    <w:rsid w:val="00963E9F"/>
    <w:rsid w:val="00967903"/>
    <w:rsid w:val="009712D0"/>
    <w:rsid w:val="00971CD1"/>
    <w:rsid w:val="00972B88"/>
    <w:rsid w:val="00980582"/>
    <w:rsid w:val="0098260C"/>
    <w:rsid w:val="009834AD"/>
    <w:rsid w:val="00987F9B"/>
    <w:rsid w:val="009950F2"/>
    <w:rsid w:val="009A3F1C"/>
    <w:rsid w:val="009A5177"/>
    <w:rsid w:val="009A5A97"/>
    <w:rsid w:val="009A5E8B"/>
    <w:rsid w:val="009A6D26"/>
    <w:rsid w:val="009B262A"/>
    <w:rsid w:val="009B6659"/>
    <w:rsid w:val="009C55BA"/>
    <w:rsid w:val="009C5A05"/>
    <w:rsid w:val="009C684F"/>
    <w:rsid w:val="009D37D7"/>
    <w:rsid w:val="009E6D96"/>
    <w:rsid w:val="009E7784"/>
    <w:rsid w:val="009F051C"/>
    <w:rsid w:val="009F3ABF"/>
    <w:rsid w:val="009F610E"/>
    <w:rsid w:val="00A00CBD"/>
    <w:rsid w:val="00A03A9F"/>
    <w:rsid w:val="00A10557"/>
    <w:rsid w:val="00A11CB9"/>
    <w:rsid w:val="00A1265E"/>
    <w:rsid w:val="00A15F20"/>
    <w:rsid w:val="00A22ED2"/>
    <w:rsid w:val="00A23C82"/>
    <w:rsid w:val="00A27AED"/>
    <w:rsid w:val="00A341AA"/>
    <w:rsid w:val="00A37EBA"/>
    <w:rsid w:val="00A4209A"/>
    <w:rsid w:val="00A43552"/>
    <w:rsid w:val="00A4507A"/>
    <w:rsid w:val="00A46CD1"/>
    <w:rsid w:val="00A471AF"/>
    <w:rsid w:val="00A47E4B"/>
    <w:rsid w:val="00A5234C"/>
    <w:rsid w:val="00A53D1D"/>
    <w:rsid w:val="00A54576"/>
    <w:rsid w:val="00A62ACE"/>
    <w:rsid w:val="00A64941"/>
    <w:rsid w:val="00A65DE2"/>
    <w:rsid w:val="00A747BE"/>
    <w:rsid w:val="00A80861"/>
    <w:rsid w:val="00A82E1A"/>
    <w:rsid w:val="00A86050"/>
    <w:rsid w:val="00A913FE"/>
    <w:rsid w:val="00A91844"/>
    <w:rsid w:val="00A9366E"/>
    <w:rsid w:val="00A9389F"/>
    <w:rsid w:val="00A94EE1"/>
    <w:rsid w:val="00AA1360"/>
    <w:rsid w:val="00AA4CA2"/>
    <w:rsid w:val="00AB3FFB"/>
    <w:rsid w:val="00AB5B50"/>
    <w:rsid w:val="00AB7F6D"/>
    <w:rsid w:val="00AC534A"/>
    <w:rsid w:val="00AC6265"/>
    <w:rsid w:val="00AC6356"/>
    <w:rsid w:val="00AC76E1"/>
    <w:rsid w:val="00AD255C"/>
    <w:rsid w:val="00AD423C"/>
    <w:rsid w:val="00AD7FB7"/>
    <w:rsid w:val="00AE1034"/>
    <w:rsid w:val="00AE21CE"/>
    <w:rsid w:val="00AE488B"/>
    <w:rsid w:val="00AF13FE"/>
    <w:rsid w:val="00AF54DF"/>
    <w:rsid w:val="00AF5F82"/>
    <w:rsid w:val="00B0642A"/>
    <w:rsid w:val="00B10FEC"/>
    <w:rsid w:val="00B168D0"/>
    <w:rsid w:val="00B21E72"/>
    <w:rsid w:val="00B2333C"/>
    <w:rsid w:val="00B25C90"/>
    <w:rsid w:val="00B261F0"/>
    <w:rsid w:val="00B32F27"/>
    <w:rsid w:val="00B4043C"/>
    <w:rsid w:val="00B47251"/>
    <w:rsid w:val="00B54C96"/>
    <w:rsid w:val="00B63EE8"/>
    <w:rsid w:val="00B66FDA"/>
    <w:rsid w:val="00B74246"/>
    <w:rsid w:val="00B837AA"/>
    <w:rsid w:val="00B849EA"/>
    <w:rsid w:val="00B84D92"/>
    <w:rsid w:val="00B945C4"/>
    <w:rsid w:val="00BA3CFE"/>
    <w:rsid w:val="00BB3639"/>
    <w:rsid w:val="00BB43D1"/>
    <w:rsid w:val="00BB4B26"/>
    <w:rsid w:val="00BB57B7"/>
    <w:rsid w:val="00BB7FA6"/>
    <w:rsid w:val="00BB7FB4"/>
    <w:rsid w:val="00BC0D40"/>
    <w:rsid w:val="00BC7F6E"/>
    <w:rsid w:val="00BD576B"/>
    <w:rsid w:val="00BD66BB"/>
    <w:rsid w:val="00BE06FE"/>
    <w:rsid w:val="00BE0CD4"/>
    <w:rsid w:val="00BE14C1"/>
    <w:rsid w:val="00BE4706"/>
    <w:rsid w:val="00BE613D"/>
    <w:rsid w:val="00BF0403"/>
    <w:rsid w:val="00BF18FC"/>
    <w:rsid w:val="00BF45D0"/>
    <w:rsid w:val="00C00B9A"/>
    <w:rsid w:val="00C057F5"/>
    <w:rsid w:val="00C06B4E"/>
    <w:rsid w:val="00C07B0A"/>
    <w:rsid w:val="00C10726"/>
    <w:rsid w:val="00C15B10"/>
    <w:rsid w:val="00C16F50"/>
    <w:rsid w:val="00C3007C"/>
    <w:rsid w:val="00C318DF"/>
    <w:rsid w:val="00C374DB"/>
    <w:rsid w:val="00C424B4"/>
    <w:rsid w:val="00C42CFA"/>
    <w:rsid w:val="00C42F98"/>
    <w:rsid w:val="00C43CFB"/>
    <w:rsid w:val="00C46110"/>
    <w:rsid w:val="00C50D85"/>
    <w:rsid w:val="00C51BF8"/>
    <w:rsid w:val="00C5381F"/>
    <w:rsid w:val="00C62AC4"/>
    <w:rsid w:val="00C63836"/>
    <w:rsid w:val="00C67620"/>
    <w:rsid w:val="00C74B4F"/>
    <w:rsid w:val="00C76361"/>
    <w:rsid w:val="00C76392"/>
    <w:rsid w:val="00C76437"/>
    <w:rsid w:val="00C92ED8"/>
    <w:rsid w:val="00C951A0"/>
    <w:rsid w:val="00CA0ADC"/>
    <w:rsid w:val="00CA1C1C"/>
    <w:rsid w:val="00CA466B"/>
    <w:rsid w:val="00CA7F52"/>
    <w:rsid w:val="00CB342D"/>
    <w:rsid w:val="00CB41DD"/>
    <w:rsid w:val="00CB6198"/>
    <w:rsid w:val="00CB62F4"/>
    <w:rsid w:val="00CC09B4"/>
    <w:rsid w:val="00CD72DF"/>
    <w:rsid w:val="00CE1B3D"/>
    <w:rsid w:val="00CE2F26"/>
    <w:rsid w:val="00CE7510"/>
    <w:rsid w:val="00CF242E"/>
    <w:rsid w:val="00D0162C"/>
    <w:rsid w:val="00D030BC"/>
    <w:rsid w:val="00D0429A"/>
    <w:rsid w:val="00D058D9"/>
    <w:rsid w:val="00D1309F"/>
    <w:rsid w:val="00D156F8"/>
    <w:rsid w:val="00D264B4"/>
    <w:rsid w:val="00D31E82"/>
    <w:rsid w:val="00D36383"/>
    <w:rsid w:val="00D42E4B"/>
    <w:rsid w:val="00D44839"/>
    <w:rsid w:val="00D51936"/>
    <w:rsid w:val="00D5381E"/>
    <w:rsid w:val="00D55114"/>
    <w:rsid w:val="00D557A9"/>
    <w:rsid w:val="00D55C8B"/>
    <w:rsid w:val="00D572FD"/>
    <w:rsid w:val="00D61803"/>
    <w:rsid w:val="00D733F3"/>
    <w:rsid w:val="00D754D2"/>
    <w:rsid w:val="00D863FB"/>
    <w:rsid w:val="00D912DF"/>
    <w:rsid w:val="00DA43BC"/>
    <w:rsid w:val="00DA4998"/>
    <w:rsid w:val="00DB111F"/>
    <w:rsid w:val="00DB4790"/>
    <w:rsid w:val="00DC35B3"/>
    <w:rsid w:val="00DC4FD5"/>
    <w:rsid w:val="00DE0026"/>
    <w:rsid w:val="00DE05A6"/>
    <w:rsid w:val="00DE665B"/>
    <w:rsid w:val="00DF5A1B"/>
    <w:rsid w:val="00DF75CA"/>
    <w:rsid w:val="00E026AF"/>
    <w:rsid w:val="00E036B4"/>
    <w:rsid w:val="00E03AF7"/>
    <w:rsid w:val="00E06D56"/>
    <w:rsid w:val="00E078CE"/>
    <w:rsid w:val="00E101C8"/>
    <w:rsid w:val="00E108A3"/>
    <w:rsid w:val="00E11FA5"/>
    <w:rsid w:val="00E143DA"/>
    <w:rsid w:val="00E23524"/>
    <w:rsid w:val="00E318BF"/>
    <w:rsid w:val="00E362D8"/>
    <w:rsid w:val="00E371E8"/>
    <w:rsid w:val="00E40530"/>
    <w:rsid w:val="00E44E4B"/>
    <w:rsid w:val="00E50725"/>
    <w:rsid w:val="00E516F7"/>
    <w:rsid w:val="00E52687"/>
    <w:rsid w:val="00E61546"/>
    <w:rsid w:val="00E675F9"/>
    <w:rsid w:val="00E67A7B"/>
    <w:rsid w:val="00E716C3"/>
    <w:rsid w:val="00E7259B"/>
    <w:rsid w:val="00E72DE3"/>
    <w:rsid w:val="00E741F9"/>
    <w:rsid w:val="00E74BA0"/>
    <w:rsid w:val="00E80064"/>
    <w:rsid w:val="00E9114D"/>
    <w:rsid w:val="00E91E2C"/>
    <w:rsid w:val="00E92886"/>
    <w:rsid w:val="00E95754"/>
    <w:rsid w:val="00E971D1"/>
    <w:rsid w:val="00EA2FD0"/>
    <w:rsid w:val="00EB3BF7"/>
    <w:rsid w:val="00EB6B5F"/>
    <w:rsid w:val="00EC7D3E"/>
    <w:rsid w:val="00ED54FF"/>
    <w:rsid w:val="00EE4560"/>
    <w:rsid w:val="00EF342E"/>
    <w:rsid w:val="00EF4E00"/>
    <w:rsid w:val="00EF79C3"/>
    <w:rsid w:val="00F00C90"/>
    <w:rsid w:val="00F03B02"/>
    <w:rsid w:val="00F10B31"/>
    <w:rsid w:val="00F14D13"/>
    <w:rsid w:val="00F247B3"/>
    <w:rsid w:val="00F27489"/>
    <w:rsid w:val="00F4500B"/>
    <w:rsid w:val="00F46039"/>
    <w:rsid w:val="00F5670C"/>
    <w:rsid w:val="00F60CB4"/>
    <w:rsid w:val="00F64808"/>
    <w:rsid w:val="00F67391"/>
    <w:rsid w:val="00F73D1E"/>
    <w:rsid w:val="00F75A9F"/>
    <w:rsid w:val="00F760CC"/>
    <w:rsid w:val="00F76D19"/>
    <w:rsid w:val="00F77486"/>
    <w:rsid w:val="00F8385F"/>
    <w:rsid w:val="00F904EF"/>
    <w:rsid w:val="00F916FD"/>
    <w:rsid w:val="00F96654"/>
    <w:rsid w:val="00F97CAD"/>
    <w:rsid w:val="00FA069F"/>
    <w:rsid w:val="00FA0C07"/>
    <w:rsid w:val="00FA1B79"/>
    <w:rsid w:val="00FA294B"/>
    <w:rsid w:val="00FB4CDC"/>
    <w:rsid w:val="00FB5B48"/>
    <w:rsid w:val="00FC45A9"/>
    <w:rsid w:val="00FC5E2E"/>
    <w:rsid w:val="00FC69C0"/>
    <w:rsid w:val="00FD03FD"/>
    <w:rsid w:val="00FE0120"/>
    <w:rsid w:val="00FE4CDA"/>
    <w:rsid w:val="00FE6078"/>
    <w:rsid w:val="00FF430C"/>
    <w:rsid w:val="00FF4539"/>
    <w:rsid w:val="00FF5587"/>
    <w:rsid w:val="00FF787A"/>
    <w:rsid w:val="3337EBD8"/>
    <w:rsid w:val="4076B167"/>
    <w:rsid w:val="4CE46E1B"/>
    <w:rsid w:val="57560E3B"/>
    <w:rsid w:val="578FA1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125549"/>
  <w15:chartTrackingRefBased/>
  <w15:docId w15:val="{5289B709-813B-4590-AA86-21F8968D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B4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5B48"/>
    <w:pPr>
      <w:tabs>
        <w:tab w:val="center" w:pos="4320"/>
        <w:tab w:val="right" w:pos="8640"/>
      </w:tabs>
    </w:pPr>
  </w:style>
  <w:style w:type="character" w:customStyle="1" w:styleId="FooterChar">
    <w:name w:val="Footer Char"/>
    <w:basedOn w:val="DefaultParagraphFont"/>
    <w:link w:val="Footer"/>
    <w:uiPriority w:val="99"/>
    <w:rsid w:val="00FB5B48"/>
    <w:rPr>
      <w:rFonts w:ascii="Times New Roman" w:eastAsia="Times New Roman" w:hAnsi="Times New Roman" w:cs="Times New Roman"/>
      <w:sz w:val="24"/>
      <w:szCs w:val="20"/>
    </w:rPr>
  </w:style>
  <w:style w:type="paragraph" w:styleId="ListParagraph">
    <w:name w:val="List Paragraph"/>
    <w:basedOn w:val="Normal"/>
    <w:uiPriority w:val="99"/>
    <w:qFormat/>
    <w:rsid w:val="00FB5B48"/>
    <w:pPr>
      <w:ind w:left="720"/>
    </w:pPr>
  </w:style>
  <w:style w:type="paragraph" w:styleId="FootnoteText">
    <w:name w:val="footnote text"/>
    <w:basedOn w:val="Normal"/>
    <w:link w:val="FootnoteTextChar"/>
    <w:uiPriority w:val="99"/>
    <w:unhideWhenUsed/>
    <w:qFormat/>
    <w:rsid w:val="00FB5B48"/>
    <w:rPr>
      <w:sz w:val="20"/>
    </w:rPr>
  </w:style>
  <w:style w:type="character" w:customStyle="1" w:styleId="FootnoteTextChar">
    <w:name w:val="Footnote Text Char"/>
    <w:basedOn w:val="DefaultParagraphFont"/>
    <w:link w:val="FootnoteText"/>
    <w:uiPriority w:val="99"/>
    <w:rsid w:val="00FB5B48"/>
    <w:rPr>
      <w:rFonts w:ascii="Times New Roman" w:eastAsia="Times New Roman" w:hAnsi="Times New Roman" w:cs="Times New Roman"/>
      <w:sz w:val="20"/>
      <w:szCs w:val="20"/>
    </w:rPr>
  </w:style>
  <w:style w:type="character" w:styleId="FootnoteReference">
    <w:name w:val="footnote reference"/>
    <w:uiPriority w:val="99"/>
    <w:unhideWhenUsed/>
    <w:qFormat/>
    <w:rsid w:val="00FB5B48"/>
    <w:rPr>
      <w:vertAlign w:val="superscript"/>
    </w:rPr>
  </w:style>
  <w:style w:type="paragraph" w:styleId="Header">
    <w:name w:val="header"/>
    <w:basedOn w:val="Normal"/>
    <w:link w:val="HeaderChar"/>
    <w:uiPriority w:val="99"/>
    <w:unhideWhenUsed/>
    <w:rsid w:val="00FB5B48"/>
    <w:pPr>
      <w:tabs>
        <w:tab w:val="center" w:pos="4680"/>
        <w:tab w:val="right" w:pos="9360"/>
      </w:tabs>
    </w:pPr>
  </w:style>
  <w:style w:type="character" w:customStyle="1" w:styleId="HeaderChar">
    <w:name w:val="Header Char"/>
    <w:basedOn w:val="DefaultParagraphFont"/>
    <w:link w:val="Header"/>
    <w:uiPriority w:val="99"/>
    <w:rsid w:val="00FB5B4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5F12"/>
    <w:rPr>
      <w:sz w:val="16"/>
      <w:szCs w:val="16"/>
    </w:rPr>
  </w:style>
  <w:style w:type="paragraph" w:styleId="CommentText">
    <w:name w:val="annotation text"/>
    <w:basedOn w:val="Normal"/>
    <w:link w:val="CommentTextChar"/>
    <w:uiPriority w:val="99"/>
    <w:unhideWhenUsed/>
    <w:rsid w:val="00825F12"/>
    <w:rPr>
      <w:sz w:val="20"/>
    </w:rPr>
  </w:style>
  <w:style w:type="character" w:customStyle="1" w:styleId="CommentTextChar">
    <w:name w:val="Comment Text Char"/>
    <w:basedOn w:val="DefaultParagraphFont"/>
    <w:link w:val="CommentText"/>
    <w:uiPriority w:val="99"/>
    <w:rsid w:val="00825F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F12"/>
    <w:rPr>
      <w:b/>
      <w:bCs/>
    </w:rPr>
  </w:style>
  <w:style w:type="character" w:customStyle="1" w:styleId="CommentSubjectChar">
    <w:name w:val="Comment Subject Char"/>
    <w:basedOn w:val="CommentTextChar"/>
    <w:link w:val="CommentSubject"/>
    <w:uiPriority w:val="99"/>
    <w:semiHidden/>
    <w:rsid w:val="00825F1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55EB"/>
    <w:rPr>
      <w:color w:val="0563C1" w:themeColor="hyperlink"/>
      <w:u w:val="single"/>
    </w:rPr>
  </w:style>
  <w:style w:type="character" w:styleId="UnresolvedMention">
    <w:name w:val="Unresolved Mention"/>
    <w:basedOn w:val="DefaultParagraphFont"/>
    <w:uiPriority w:val="99"/>
    <w:semiHidden/>
    <w:unhideWhenUsed/>
    <w:rsid w:val="003E55EB"/>
    <w:rPr>
      <w:color w:val="605E5C"/>
      <w:shd w:val="clear" w:color="auto" w:fill="E1DFDD"/>
    </w:rPr>
  </w:style>
  <w:style w:type="character" w:styleId="FollowedHyperlink">
    <w:name w:val="FollowedHyperlink"/>
    <w:basedOn w:val="DefaultParagraphFont"/>
    <w:uiPriority w:val="99"/>
    <w:semiHidden/>
    <w:unhideWhenUsed/>
    <w:rsid w:val="003E55EB"/>
    <w:rPr>
      <w:color w:val="954F72" w:themeColor="followedHyperlink"/>
      <w:u w:val="single"/>
    </w:rPr>
  </w:style>
  <w:style w:type="paragraph" w:styleId="Revision">
    <w:name w:val="Revision"/>
    <w:hidden/>
    <w:uiPriority w:val="99"/>
    <w:semiHidden/>
    <w:rsid w:val="00A53D1D"/>
    <w:pPr>
      <w:spacing w:after="0" w:line="240" w:lineRule="auto"/>
    </w:pPr>
    <w:rPr>
      <w:rFonts w:ascii="Times New Roman" w:eastAsia="Times New Roman" w:hAnsi="Times New Roman" w:cs="Times New Roman"/>
      <w:sz w:val="24"/>
      <w:szCs w:val="20"/>
    </w:rPr>
  </w:style>
  <w:style w:type="table" w:customStyle="1" w:styleId="1">
    <w:name w:val="1"/>
    <w:basedOn w:val="TableNormal"/>
    <w:rsid w:val="00D264B4"/>
    <w:rPr>
      <w:rFonts w:ascii="Calibri" w:eastAsia="Calibri" w:hAnsi="Calibri" w:cs="Calibri"/>
      <w:lang w:val="en"/>
    </w:rPr>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7F63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railroads.dot.gov/safety-data/forms-guides-publications/forms/618083-hwy-rail-crossing-warning-activation-failur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2026/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8e104d801ec2045d0b0431ca0363a01">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2e256177ae48e4235e07a2b39861501b"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957F5-FA05-4127-93D6-D666152E3AD7}">
  <ds:schemaRefs>
    <ds:schemaRef ds:uri="http://purl.org/dc/elements/1.1/"/>
    <ds:schemaRef ds:uri="http://schemas.microsoft.com/office/2006/metadata/properties"/>
    <ds:schemaRef ds:uri="b270c13a-4492-4e1e-b47b-1c9c4fe9105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c2917e-047f-4ef5-af2e-e094bcfe6189"/>
    <ds:schemaRef ds:uri="http://www.w3.org/XML/1998/namespace"/>
    <ds:schemaRef ds:uri="http://purl.org/dc/dcmitype/"/>
  </ds:schemaRefs>
</ds:datastoreItem>
</file>

<file path=customXml/itemProps2.xml><?xml version="1.0" encoding="utf-8"?>
<ds:datastoreItem xmlns:ds="http://schemas.openxmlformats.org/officeDocument/2006/customXml" ds:itemID="{2937DE95-6EDD-4E1D-875C-F53F7C6EDA2B}">
  <ds:schemaRefs>
    <ds:schemaRef ds:uri="http://schemas.microsoft.com/sharepoint/v3/contenttype/forms"/>
  </ds:schemaRefs>
</ds:datastoreItem>
</file>

<file path=customXml/itemProps3.xml><?xml version="1.0" encoding="utf-8"?>
<ds:datastoreItem xmlns:ds="http://schemas.openxmlformats.org/officeDocument/2006/customXml" ds:itemID="{08D4A202-6C6A-4F6C-AAD2-81F8D0B906A1}">
  <ds:schemaRefs>
    <ds:schemaRef ds:uri="http://schemas.openxmlformats.org/officeDocument/2006/bibliography"/>
  </ds:schemaRefs>
</ds:datastoreItem>
</file>

<file path=customXml/itemProps4.xml><?xml version="1.0" encoding="utf-8"?>
<ds:datastoreItem xmlns:ds="http://schemas.openxmlformats.org/officeDocument/2006/customXml" ds:itemID="{C6254FFB-8149-4B04-B8E9-0CBCDC088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2332</Words>
  <Characters>13294</Characters>
  <Application>Microsoft Office Word</Application>
  <DocSecurity>0</DocSecurity>
  <Lines>110</Lines>
  <Paragraphs>31</Paragraphs>
  <ScaleCrop>false</ScaleCrop>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Hodan (FRA)</dc:creator>
  <cp:lastModifiedBy>Swafford, Joanne (FRA)</cp:lastModifiedBy>
  <cp:revision>2</cp:revision>
  <dcterms:created xsi:type="dcterms:W3CDTF">2026-07-08T11:58:00Z</dcterms:created>
  <dcterms:modified xsi:type="dcterms:W3CDTF">2026-07-08T11:58:00Z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y fmtid="{D5CDD505-2E9C-101B-9397-08002B2CF9AE}" pid="3" name="docLang">
    <vt:lpwstr>en</vt:lpwstr>
  </property>
</Properties>
</file>