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69EF" w:rsidRPr="00F56B7E" w:rsidP="007969EF" w14:paraId="0B784A61" w14:textId="77777777">
      <w:pPr>
        <w:widowControl w:val="0"/>
        <w:tabs>
          <w:tab w:val="center" w:pos="4680"/>
        </w:tabs>
        <w:jc w:val="center"/>
        <w:rPr>
          <w:b/>
          <w:szCs w:val="24"/>
        </w:rPr>
      </w:pPr>
      <w:r>
        <w:rPr>
          <w:rFonts w:ascii="Courier" w:hAnsi="Courier"/>
          <w:b/>
          <w:lang w:val="en-CA"/>
        </w:rPr>
        <w:fldChar w:fldCharType="begin"/>
      </w:r>
      <w:r>
        <w:instrText xml:space="preserve"> SEQ CHAPTER \h \r 1</w:instrText>
      </w:r>
      <w:r>
        <w:fldChar w:fldCharType="separate"/>
      </w:r>
      <w:r>
        <w:fldChar w:fldCharType="end"/>
      </w:r>
      <w:r w:rsidRPr="009374A8">
        <w:rPr>
          <w:szCs w:val="24"/>
        </w:rPr>
        <w:fldChar w:fldCharType="begin"/>
      </w:r>
      <w:r w:rsidRPr="009374A8">
        <w:rPr>
          <w:szCs w:val="24"/>
        </w:rPr>
        <w:instrText xml:space="preserve"> SEQ CHAPTER \h \r 1</w:instrText>
      </w:r>
      <w:r w:rsidRPr="009374A8">
        <w:rPr>
          <w:szCs w:val="24"/>
        </w:rPr>
        <w:fldChar w:fldCharType="separate"/>
      </w:r>
      <w:r w:rsidRPr="009374A8">
        <w:rPr>
          <w:szCs w:val="24"/>
        </w:rPr>
        <w:fldChar w:fldCharType="end"/>
      </w:r>
      <w:r w:rsidRPr="00F56B7E">
        <w:rPr>
          <w:b/>
          <w:szCs w:val="24"/>
        </w:rPr>
        <w:t>FEDERAL RAILROAD ADMINISTRATION</w:t>
      </w:r>
    </w:p>
    <w:p w:rsidR="007969EF" w:rsidP="007969EF" w14:paraId="20CA296E" w14:textId="77777777">
      <w:pPr>
        <w:widowControl w:val="0"/>
        <w:tabs>
          <w:tab w:val="center" w:pos="4680"/>
        </w:tabs>
        <w:jc w:val="center"/>
        <w:rPr>
          <w:b/>
          <w:szCs w:val="24"/>
        </w:rPr>
      </w:pPr>
      <w:r>
        <w:rPr>
          <w:b/>
          <w:lang w:val="en-CA"/>
        </w:rPr>
        <w:t>Railroad Police Officers</w:t>
      </w:r>
    </w:p>
    <w:p w:rsidR="007969EF" w:rsidRPr="00F56B7E" w:rsidP="007969EF" w14:paraId="06A431AA" w14:textId="77777777">
      <w:pPr>
        <w:widowControl w:val="0"/>
        <w:tabs>
          <w:tab w:val="center" w:pos="4680"/>
        </w:tabs>
        <w:jc w:val="center"/>
        <w:rPr>
          <w:b/>
          <w:szCs w:val="24"/>
        </w:rPr>
      </w:pPr>
      <w:r w:rsidRPr="00F56B7E">
        <w:rPr>
          <w:b/>
          <w:szCs w:val="24"/>
        </w:rPr>
        <w:t>(Title 49 Code of Federal Regulations</w:t>
      </w:r>
      <w:r>
        <w:rPr>
          <w:b/>
          <w:szCs w:val="24"/>
        </w:rPr>
        <w:t xml:space="preserve"> (CFR)</w:t>
      </w:r>
      <w:r w:rsidRPr="00F56B7E">
        <w:rPr>
          <w:b/>
          <w:szCs w:val="24"/>
        </w:rPr>
        <w:t xml:space="preserve"> Part </w:t>
      </w:r>
      <w:r>
        <w:rPr>
          <w:b/>
          <w:szCs w:val="24"/>
        </w:rPr>
        <w:t>207</w:t>
      </w:r>
      <w:r w:rsidRPr="00F56B7E">
        <w:rPr>
          <w:b/>
          <w:szCs w:val="24"/>
        </w:rPr>
        <w:t>)</w:t>
      </w:r>
    </w:p>
    <w:p w:rsidR="007969EF" w:rsidRPr="00F56B7E" w:rsidP="007969EF" w14:paraId="6411EBEC" w14:textId="77F1CA9E">
      <w:pPr>
        <w:widowControl w:val="0"/>
        <w:tabs>
          <w:tab w:val="center" w:pos="4680"/>
        </w:tabs>
        <w:jc w:val="center"/>
        <w:rPr>
          <w:szCs w:val="24"/>
        </w:rPr>
      </w:pPr>
      <w:r w:rsidRPr="00F56B7E">
        <w:rPr>
          <w:b/>
          <w:szCs w:val="24"/>
        </w:rPr>
        <w:t>SUPPORTING JUSTIFICATION</w:t>
      </w:r>
    </w:p>
    <w:p w:rsidR="007969EF" w:rsidRPr="004D4ECE" w:rsidP="007969EF" w14:paraId="1E949A2C" w14:textId="77777777">
      <w:pPr>
        <w:widowControl w:val="0"/>
        <w:tabs>
          <w:tab w:val="center" w:pos="4680"/>
        </w:tabs>
        <w:jc w:val="center"/>
        <w:rPr>
          <w:b/>
          <w:szCs w:val="24"/>
        </w:rPr>
      </w:pPr>
      <w:r w:rsidRPr="00F56B7E">
        <w:rPr>
          <w:b/>
          <w:szCs w:val="24"/>
        </w:rPr>
        <w:t>OMB Control No. 2130-05</w:t>
      </w:r>
      <w:r>
        <w:rPr>
          <w:b/>
          <w:szCs w:val="24"/>
        </w:rPr>
        <w:t>37</w:t>
      </w:r>
    </w:p>
    <w:p w:rsidR="007969EF" w:rsidP="007969EF" w14:paraId="45EB50DE" w14:textId="77777777">
      <w:pPr>
        <w:widowControl w:val="0"/>
        <w:tabs>
          <w:tab w:val="center" w:pos="4680"/>
        </w:tabs>
        <w:rPr>
          <w:b/>
        </w:rPr>
      </w:pPr>
    </w:p>
    <w:p w:rsidR="007969EF" w:rsidP="007969EF" w14:paraId="6F8A280B" w14:textId="77777777">
      <w:pPr>
        <w:widowControl w:val="0"/>
        <w:ind w:left="720"/>
        <w:rPr>
          <w:u w:val="single"/>
        </w:rPr>
      </w:pPr>
      <w:r w:rsidRPr="00095D9C">
        <w:rPr>
          <w:u w:val="single"/>
        </w:rPr>
        <w:t>Summary</w:t>
      </w:r>
      <w:r>
        <w:rPr>
          <w:u w:val="single"/>
        </w:rPr>
        <w:t xml:space="preserve"> of Submission</w:t>
      </w:r>
    </w:p>
    <w:p w:rsidR="007969EF" w:rsidP="007969EF" w14:paraId="222F0E35" w14:textId="77777777">
      <w:pPr>
        <w:widowControl w:val="0"/>
        <w:ind w:left="720"/>
        <w:rPr>
          <w:u w:val="single"/>
        </w:rPr>
      </w:pPr>
    </w:p>
    <w:p w:rsidR="007969EF" w:rsidRPr="009A2B12" w:rsidP="009A2B12" w14:paraId="0240C36D" w14:textId="252CFB97">
      <w:pPr>
        <w:pStyle w:val="ListParagraph"/>
        <w:numPr>
          <w:ilvl w:val="0"/>
          <w:numId w:val="4"/>
        </w:numPr>
      </w:pPr>
      <w:r w:rsidRPr="009A2B12">
        <w:t xml:space="preserve">This submission is a request for an extension without change (with changes in estimates) of the last three-year approval granted by the Office of Management and Budget (OMB) on </w:t>
      </w:r>
      <w:r w:rsidRPr="009A2B12" w:rsidR="00AA41E5">
        <w:t>July 3, 2023</w:t>
      </w:r>
      <w:r w:rsidRPr="009A2B12">
        <w:t xml:space="preserve">, </w:t>
      </w:r>
      <w:r w:rsidRPr="009A2B12" w:rsidR="001E5D4D">
        <w:t>with an expiration date o</w:t>
      </w:r>
      <w:r w:rsidR="0003643F">
        <w:t>f</w:t>
      </w:r>
      <w:r w:rsidRPr="009A2B12" w:rsidR="001E5D4D">
        <w:t xml:space="preserve"> </w:t>
      </w:r>
      <w:r w:rsidRPr="009A2B12" w:rsidR="00AA41E5">
        <w:t>July 31, 2026</w:t>
      </w:r>
      <w:r w:rsidRPr="009A2B12">
        <w:t xml:space="preserve">. </w:t>
      </w:r>
    </w:p>
    <w:p w:rsidR="007969EF" w:rsidRPr="009A2B12" w:rsidP="009A2B12" w14:paraId="0995DA9B" w14:textId="77777777"/>
    <w:p w:rsidR="007969EF" w:rsidRPr="009A2B12" w:rsidP="009A2B12" w14:paraId="54F03404" w14:textId="51701E60">
      <w:pPr>
        <w:pStyle w:val="ListParagraph"/>
        <w:numPr>
          <w:ilvl w:val="0"/>
          <w:numId w:val="4"/>
        </w:numPr>
      </w:pPr>
      <w:r w:rsidRPr="009A2B12">
        <w:t>The Federal Railroad Administration (</w:t>
      </w:r>
      <w:r w:rsidRPr="009A2B12" w:rsidR="001E5D4D">
        <w:t>hereafter “</w:t>
      </w:r>
      <w:r w:rsidRPr="009A2B12">
        <w:t>FRA</w:t>
      </w:r>
      <w:r w:rsidRPr="009A2B12" w:rsidR="001E5D4D">
        <w:t>” or “the Agency”</w:t>
      </w:r>
      <w:r w:rsidRPr="009A2B12">
        <w:t xml:space="preserve">) published </w:t>
      </w:r>
      <w:r w:rsidRPr="009A2B12" w:rsidR="001E5D4D">
        <w:t xml:space="preserve">a </w:t>
      </w:r>
      <w:r w:rsidRPr="009A2B12">
        <w:t>required 60-day</w:t>
      </w:r>
      <w:r w:rsidRPr="009A2B12" w:rsidR="001E5D4D">
        <w:t xml:space="preserve"> Notice in the</w:t>
      </w:r>
      <w:r w:rsidRPr="009A2B12">
        <w:t xml:space="preserve"> </w:t>
      </w:r>
      <w:r w:rsidRPr="009A2B12">
        <w:rPr>
          <w:i/>
          <w:iCs/>
        </w:rPr>
        <w:t>Federal Register</w:t>
      </w:r>
      <w:r w:rsidRPr="009A2B12">
        <w:t xml:space="preserve"> on</w:t>
      </w:r>
      <w:r w:rsidR="0085360E">
        <w:t xml:space="preserve"> April 23</w:t>
      </w:r>
      <w:r w:rsidRPr="009A2B12" w:rsidR="001E5D4D">
        <w:t xml:space="preserve">, </w:t>
      </w:r>
      <w:r w:rsidRPr="009A2B12" w:rsidR="00CC5EC1">
        <w:t>2026</w:t>
      </w:r>
      <w:r w:rsidRPr="009A2B12">
        <w:t>.</w:t>
      </w:r>
      <w:r w:rsidRPr="009A2B12" w:rsidR="0060201C">
        <w:t xml:space="preserve"> </w:t>
      </w:r>
      <w:r w:rsidRPr="009A2B12" w:rsidR="009A2B12">
        <w:rPr>
          <w:i/>
          <w:iCs/>
        </w:rPr>
        <w:t>See</w:t>
      </w:r>
      <w:r w:rsidR="009A2B12">
        <w:t xml:space="preserve"> </w:t>
      </w:r>
      <w:r w:rsidRPr="009A2B12" w:rsidR="00CC5EC1">
        <w:t>91</w:t>
      </w:r>
      <w:r w:rsidRPr="009A2B12" w:rsidR="001E5D4D">
        <w:t xml:space="preserve"> FR</w:t>
      </w:r>
      <w:r w:rsidR="0085360E">
        <w:t xml:space="preserve"> 21864</w:t>
      </w:r>
      <w:r w:rsidRPr="009A2B12">
        <w:t xml:space="preserve">. FRA received </w:t>
      </w:r>
      <w:r w:rsidR="00F827AC">
        <w:t>zero</w:t>
      </w:r>
      <w:r w:rsidRPr="009A2B12">
        <w:t xml:space="preserve"> comments in response to this Notice. </w:t>
      </w:r>
    </w:p>
    <w:p w:rsidR="007969EF" w:rsidRPr="009A2B12" w:rsidP="009A2B12" w14:paraId="1E0867C5" w14:textId="77777777"/>
    <w:p w:rsidR="007969EF" w:rsidP="009A2B12" w14:paraId="7AD3AF96" w14:textId="6C4DFC50">
      <w:pPr>
        <w:pStyle w:val="ListParagraph"/>
        <w:numPr>
          <w:ilvl w:val="0"/>
          <w:numId w:val="4"/>
        </w:numPr>
      </w:pPr>
      <w:r w:rsidRPr="009A2B12">
        <w:t xml:space="preserve">Overall, adjustments </w:t>
      </w:r>
      <w:r w:rsidR="009A2B12">
        <w:t>decreased</w:t>
      </w:r>
      <w:r w:rsidRPr="009A2B12">
        <w:t xml:space="preserve"> the burden by </w:t>
      </w:r>
      <w:r w:rsidR="009A2B12">
        <w:t>three (3)</w:t>
      </w:r>
      <w:r w:rsidRPr="009A2B12">
        <w:t xml:space="preserve"> hours and responses by </w:t>
      </w:r>
      <w:r w:rsidR="009A2B12">
        <w:t>88</w:t>
      </w:r>
      <w:r w:rsidRPr="009A2B12">
        <w:t xml:space="preserve">. </w:t>
      </w:r>
    </w:p>
    <w:p w:rsidR="009A2B12" w:rsidP="009A2B12" w14:paraId="654843F4" w14:textId="77777777">
      <w:pPr>
        <w:pStyle w:val="ListParagraph"/>
      </w:pPr>
    </w:p>
    <w:p w:rsidR="007969EF" w:rsidRPr="00837D66" w:rsidP="643BBC21" w14:paraId="260418B6" w14:textId="77777777">
      <w:pPr>
        <w:widowControl w:val="0"/>
        <w:numPr>
          <w:ilvl w:val="0"/>
          <w:numId w:val="2"/>
        </w:numPr>
        <w:ind w:left="720"/>
        <w:rPr>
          <w:b/>
          <w:bCs/>
        </w:rPr>
      </w:pPr>
      <w:r w:rsidRPr="643BBC21">
        <w:rPr>
          <w:b/>
          <w:bCs/>
          <w:u w:val="single"/>
        </w:rPr>
        <w:t>Circumstances that make collection of the information necessary</w:t>
      </w:r>
      <w:r w:rsidRPr="643BBC21">
        <w:rPr>
          <w:b/>
          <w:bCs/>
        </w:rPr>
        <w:t>.</w:t>
      </w:r>
      <w:r>
        <w:t xml:space="preserve">             </w:t>
      </w:r>
    </w:p>
    <w:p w:rsidR="007969EF" w:rsidP="007969EF" w14:paraId="220971AB" w14:textId="77777777">
      <w:pPr>
        <w:ind w:left="720"/>
        <w:rPr>
          <w:rFonts w:eastAsia="Arial Unicode MS"/>
        </w:rPr>
      </w:pPr>
    </w:p>
    <w:p w:rsidR="00175A06" w:rsidRPr="00175A06" w:rsidP="00175A06" w14:paraId="395A4E76" w14:textId="64FACC84">
      <w:pPr>
        <w:ind w:left="720"/>
        <w:rPr>
          <w:rFonts w:eastAsia="Arial Unicode MS"/>
        </w:rPr>
      </w:pPr>
      <w:r>
        <w:rPr>
          <w:rFonts w:eastAsia="Arial Unicode MS"/>
        </w:rPr>
        <w:t xml:space="preserve">Title </w:t>
      </w:r>
      <w:r w:rsidR="002822DA">
        <w:rPr>
          <w:rFonts w:eastAsia="Arial Unicode MS"/>
        </w:rPr>
        <w:t>49 U.S.C. 28101 authorize</w:t>
      </w:r>
      <w:r>
        <w:rPr>
          <w:rFonts w:eastAsia="Arial Unicode MS"/>
        </w:rPr>
        <w:t>s</w:t>
      </w:r>
      <w:r w:rsidR="002822DA">
        <w:rPr>
          <w:rFonts w:eastAsia="Arial Unicode MS"/>
        </w:rPr>
        <w:t xml:space="preserve"> railroad employees commissioned or certified as police officers by any </w:t>
      </w:r>
      <w:r w:rsidR="002C2D87">
        <w:rPr>
          <w:rFonts w:eastAsia="Arial Unicode MS"/>
        </w:rPr>
        <w:t>S</w:t>
      </w:r>
      <w:r w:rsidR="002822DA">
        <w:rPr>
          <w:rFonts w:eastAsia="Arial Unicode MS"/>
        </w:rPr>
        <w:t>tate to enforce, consistent with</w:t>
      </w:r>
      <w:r w:rsidR="0015333E">
        <w:rPr>
          <w:rFonts w:eastAsia="Arial Unicode MS"/>
        </w:rPr>
        <w:t xml:space="preserve"> the U.S.</w:t>
      </w:r>
      <w:r w:rsidR="002822DA">
        <w:rPr>
          <w:rFonts w:eastAsia="Arial Unicode MS"/>
        </w:rPr>
        <w:t xml:space="preserve"> Department of Transportation’s regulations, the laws of any </w:t>
      </w:r>
      <w:r w:rsidR="00264EA0">
        <w:rPr>
          <w:rFonts w:eastAsia="Arial Unicode MS"/>
        </w:rPr>
        <w:t>S</w:t>
      </w:r>
      <w:r w:rsidR="002822DA">
        <w:rPr>
          <w:rFonts w:eastAsia="Arial Unicode MS"/>
        </w:rPr>
        <w:t xml:space="preserve">tate where the railroad police officer’s employer owns property to protect railroad property, personnel, passengers, and cargo. </w:t>
      </w:r>
      <w:r w:rsidRPr="00175A06">
        <w:rPr>
          <w:rFonts w:eastAsia="Arial Unicode MS"/>
        </w:rPr>
        <w:t xml:space="preserve">FRA’s regulations at 49 CFR </w:t>
      </w:r>
      <w:r w:rsidR="00772D1A">
        <w:rPr>
          <w:rFonts w:eastAsia="Arial Unicode MS"/>
        </w:rPr>
        <w:t>P</w:t>
      </w:r>
      <w:r w:rsidRPr="00175A06">
        <w:rPr>
          <w:rFonts w:eastAsia="Arial Unicode MS"/>
        </w:rPr>
        <w:t xml:space="preserve">art 207 implement Section 28101.  </w:t>
      </w:r>
    </w:p>
    <w:p w:rsidR="00175A06" w:rsidP="007969EF" w14:paraId="3B4CA6F2" w14:textId="5880E36D">
      <w:pPr>
        <w:ind w:left="720"/>
        <w:rPr>
          <w:rFonts w:eastAsia="Arial Unicode MS"/>
        </w:rPr>
      </w:pPr>
      <w:r>
        <w:rPr>
          <w:rFonts w:eastAsia="Arial Unicode MS"/>
        </w:rPr>
        <w:t xml:space="preserve"> </w:t>
      </w:r>
    </w:p>
    <w:p w:rsidR="00FE7BB1" w:rsidP="00190AC9" w14:paraId="41B19F18" w14:textId="77777777">
      <w:pPr>
        <w:ind w:left="720"/>
        <w:rPr>
          <w:rFonts w:eastAsia="Arial Unicode MS"/>
        </w:rPr>
      </w:pPr>
      <w:r>
        <w:rPr>
          <w:rFonts w:eastAsia="Arial Unicode MS"/>
        </w:rPr>
        <w:t>In 2015, the Fixing America’s Surface Transportation (FAST) Act</w:t>
      </w:r>
      <w:r>
        <w:rPr>
          <w:rStyle w:val="FootnoteReference"/>
          <w:rFonts w:eastAsia="Arial Unicode MS"/>
        </w:rPr>
        <w:footnoteReference w:id="3"/>
      </w:r>
      <w:r>
        <w:rPr>
          <w:rFonts w:eastAsia="Arial Unicode MS"/>
        </w:rPr>
        <w:t xml:space="preserve"> </w:t>
      </w:r>
      <w:r w:rsidR="00190AC9">
        <w:rPr>
          <w:rFonts w:eastAsia="Arial Unicode MS"/>
        </w:rPr>
        <w:t xml:space="preserve">Section 11412 revised Section 28101 to </w:t>
      </w:r>
      <w:r w:rsidR="00190AC9">
        <w:rPr>
          <w:szCs w:val="24"/>
        </w:rPr>
        <w:t>allow: (1) railroads to hire contractors as railroad police officers; (2) railroad police officers to transfer from one State to another without immediately needing to be commissioned or certified in the new State; and (3) a State to recognize an officer’s training at another S</w:t>
      </w:r>
      <w:r w:rsidR="002268CA">
        <w:rPr>
          <w:szCs w:val="24"/>
        </w:rPr>
        <w:t>t</w:t>
      </w:r>
      <w:r w:rsidR="00190AC9">
        <w:rPr>
          <w:szCs w:val="24"/>
        </w:rPr>
        <w:t>ate’s recognized police academy or a Federal law enforcement training center meets the State’s basic police officer certification or commissioning requirements.</w:t>
      </w:r>
      <w:r>
        <w:rPr>
          <w:rStyle w:val="FootnoteReference"/>
          <w:szCs w:val="24"/>
        </w:rPr>
        <w:footnoteReference w:id="4"/>
      </w:r>
      <w:r w:rsidRPr="002A31B0" w:rsidR="002A31B0">
        <w:rPr>
          <w:rFonts w:eastAsia="Arial Unicode MS"/>
        </w:rPr>
        <w:t xml:space="preserve"> </w:t>
      </w:r>
    </w:p>
    <w:p w:rsidR="00FE7BB1" w:rsidP="00190AC9" w14:paraId="3DF361B8" w14:textId="77777777">
      <w:pPr>
        <w:ind w:left="720"/>
        <w:rPr>
          <w:rFonts w:eastAsia="Arial Unicode MS"/>
        </w:rPr>
      </w:pPr>
    </w:p>
    <w:p w:rsidR="00A84A5F" w:rsidP="00660288" w14:paraId="11AC83C0" w14:textId="05BB5BC9">
      <w:pPr>
        <w:ind w:left="720"/>
        <w:rPr>
          <w:rFonts w:eastAsia="Arial Unicode MS"/>
        </w:rPr>
      </w:pPr>
      <w:r>
        <w:rPr>
          <w:rFonts w:eastAsia="Arial Unicode MS"/>
        </w:rPr>
        <w:t xml:space="preserve">The </w:t>
      </w:r>
      <w:r w:rsidR="005A3B34">
        <w:rPr>
          <w:rFonts w:eastAsia="Arial Unicode MS"/>
        </w:rPr>
        <w:t xml:space="preserve">Secretary delegated rulemaking </w:t>
      </w:r>
      <w:r w:rsidR="0080740B">
        <w:rPr>
          <w:rFonts w:eastAsia="Arial Unicode MS"/>
        </w:rPr>
        <w:t xml:space="preserve">responsibility to the FRA Administrator per </w:t>
      </w:r>
      <w:r w:rsidRPr="0027359C">
        <w:rPr>
          <w:rFonts w:eastAsia="Arial Unicode MS"/>
        </w:rPr>
        <w:t>49</w:t>
      </w:r>
      <w:r>
        <w:rPr>
          <w:rFonts w:eastAsia="Arial Unicode MS"/>
        </w:rPr>
        <w:t xml:space="preserve"> CFR </w:t>
      </w:r>
      <w:r w:rsidR="00A876B8">
        <w:rPr>
          <w:rFonts w:eastAsia="Arial Unicode MS"/>
        </w:rPr>
        <w:t xml:space="preserve">§ </w:t>
      </w:r>
      <w:r>
        <w:rPr>
          <w:rFonts w:eastAsia="Arial Unicode MS"/>
        </w:rPr>
        <w:t>1.89.</w:t>
      </w:r>
      <w:r w:rsidR="00FE7BB1">
        <w:rPr>
          <w:rFonts w:eastAsia="Arial Unicode MS"/>
        </w:rPr>
        <w:t xml:space="preserve"> </w:t>
      </w:r>
      <w:r w:rsidR="009D3201">
        <w:rPr>
          <w:rFonts w:eastAsia="Arial Unicode MS"/>
        </w:rPr>
        <w:t>In 2016, FRA published the Railroad Police Officers final rule.</w:t>
      </w:r>
      <w:r>
        <w:rPr>
          <w:rStyle w:val="FootnoteReference"/>
          <w:rFonts w:eastAsia="Arial Unicode MS"/>
        </w:rPr>
        <w:footnoteReference w:id="5"/>
      </w:r>
      <w:r w:rsidR="009D3201">
        <w:rPr>
          <w:rFonts w:eastAsia="Arial Unicode MS"/>
        </w:rPr>
        <w:t xml:space="preserve"> The rule amended FRA’s regulations on railroad police officers to implement certain provisions of </w:t>
      </w:r>
      <w:r w:rsidR="009D3201">
        <w:rPr>
          <w:rFonts w:eastAsia="Arial Unicode MS"/>
        </w:rPr>
        <w:t xml:space="preserve">the FAST Act. </w:t>
      </w:r>
      <w:r w:rsidR="00B71D16">
        <w:rPr>
          <w:rFonts w:eastAsia="Arial Unicode MS"/>
        </w:rPr>
        <w:t>Specifically, t</w:t>
      </w:r>
      <w:r w:rsidR="002822DA">
        <w:rPr>
          <w:rFonts w:eastAsia="Arial Unicode MS"/>
        </w:rPr>
        <w:t>he</w:t>
      </w:r>
      <w:r w:rsidR="00EB6DE8">
        <w:rPr>
          <w:rFonts w:eastAsia="Arial Unicode MS"/>
        </w:rPr>
        <w:t xml:space="preserve"> Railroad Police Officers final</w:t>
      </w:r>
      <w:r w:rsidR="002822DA">
        <w:rPr>
          <w:rFonts w:eastAsia="Arial Unicode MS"/>
        </w:rPr>
        <w:t xml:space="preserve"> rule incorporated the new Section 11412 statutory language into existing Part 207 and updated Part 207 to ensure consistent application of the regulation.  </w:t>
      </w:r>
    </w:p>
    <w:p w:rsidR="00A84A5F" w:rsidP="007969EF" w14:paraId="0015553E" w14:textId="77777777">
      <w:pPr>
        <w:widowControl w:val="0"/>
        <w:ind w:left="720"/>
        <w:rPr>
          <w:rFonts w:eastAsia="Arial Unicode MS"/>
        </w:rPr>
      </w:pPr>
    </w:p>
    <w:p w:rsidR="007969EF" w:rsidRPr="00513BD1" w:rsidP="007969EF" w14:paraId="1E603BA6" w14:textId="77777777">
      <w:pPr>
        <w:widowControl w:val="0"/>
        <w:numPr>
          <w:ilvl w:val="0"/>
          <w:numId w:val="3"/>
        </w:numPr>
        <w:ind w:hanging="720"/>
      </w:pPr>
      <w:r w:rsidRPr="643BBC21">
        <w:rPr>
          <w:b/>
          <w:bCs/>
          <w:u w:val="single"/>
        </w:rPr>
        <w:t>How, by whom, and for what purpose the information is to be used</w:t>
      </w:r>
      <w:r w:rsidRPr="643BBC21">
        <w:rPr>
          <w:b/>
          <w:bCs/>
        </w:rPr>
        <w:t>.</w:t>
      </w:r>
    </w:p>
    <w:p w:rsidR="007969EF" w:rsidP="007969EF" w14:paraId="6CDD2386" w14:textId="77777777">
      <w:pPr>
        <w:widowControl w:val="0"/>
        <w:ind w:left="720"/>
      </w:pPr>
    </w:p>
    <w:p w:rsidR="00670F04" w:rsidP="007969EF" w14:paraId="782C951B" w14:textId="0EB2F953">
      <w:pPr>
        <w:pStyle w:val="psection-2"/>
        <w:shd w:val="clear" w:color="auto" w:fill="FFFFFF"/>
        <w:spacing w:before="0" w:beforeAutospacing="0" w:after="150" w:afterAutospacing="0"/>
        <w:ind w:left="720"/>
        <w:rPr>
          <w:lang w:val="en-CA"/>
        </w:rPr>
      </w:pPr>
      <w:r>
        <w:rPr>
          <w:lang w:val="en-CA"/>
        </w:rPr>
        <w:t xml:space="preserve">The information collected under </w:t>
      </w:r>
      <w:r w:rsidRPr="00513BD1">
        <w:rPr>
          <w:lang w:val="en-CA"/>
        </w:rPr>
        <w:t xml:space="preserve">49 CFR </w:t>
      </w:r>
      <w:r w:rsidR="008A74C2">
        <w:rPr>
          <w:lang w:val="en-CA"/>
        </w:rPr>
        <w:t>P</w:t>
      </w:r>
      <w:r w:rsidRPr="00513BD1">
        <w:rPr>
          <w:lang w:val="en-CA"/>
        </w:rPr>
        <w:t xml:space="preserve">art 207 requires railroads to notify States of all designated police officers who perform duties in their respective jurisdictions who were commissioned as police officers by another State or States. </w:t>
      </w:r>
      <w:r>
        <w:rPr>
          <w:lang w:val="en-CA"/>
        </w:rPr>
        <w:t xml:space="preserve">Specifically, the information collected under </w:t>
      </w:r>
      <w:r w:rsidR="001B3D26">
        <w:rPr>
          <w:lang w:val="en-CA"/>
        </w:rPr>
        <w:t xml:space="preserve">§ </w:t>
      </w:r>
      <w:r>
        <w:rPr>
          <w:lang w:val="en-CA"/>
        </w:rPr>
        <w:t>207.6 will be used by States to facilitate the transfer of railroad police officers from one State</w:t>
      </w:r>
      <w:r w:rsidR="003209DF">
        <w:rPr>
          <w:lang w:val="en-CA"/>
        </w:rPr>
        <w:t>,</w:t>
      </w:r>
      <w:r w:rsidR="00544854">
        <w:rPr>
          <w:lang w:val="en-CA"/>
        </w:rPr>
        <w:t xml:space="preserve"> </w:t>
      </w:r>
      <w:r>
        <w:rPr>
          <w:lang w:val="en-CA"/>
        </w:rPr>
        <w:t>where they are certified or commissioned and have primary employment or residence under the laws of that State</w:t>
      </w:r>
      <w:r w:rsidR="003209DF">
        <w:rPr>
          <w:lang w:val="en-CA"/>
        </w:rPr>
        <w:t>,</w:t>
      </w:r>
      <w:r>
        <w:rPr>
          <w:lang w:val="en-CA"/>
        </w:rPr>
        <w:t xml:space="preserve"> to another State to be certified or commissioned as a police officer under the laws of the State of new primary employment or residence. </w:t>
      </w:r>
    </w:p>
    <w:p w:rsidR="00670F04" w:rsidP="00670F04" w14:paraId="6B25AE88" w14:textId="24B3090E">
      <w:pPr>
        <w:widowControl w:val="0"/>
        <w:ind w:left="720"/>
        <w:rPr>
          <w:lang w:val="en-CA"/>
        </w:rPr>
      </w:pPr>
      <w:r>
        <w:rPr>
          <w:lang w:val="en-CA"/>
        </w:rPr>
        <w:t xml:space="preserve">The purpose of the notice provisions in </w:t>
      </w:r>
      <w:r w:rsidR="001B3D26">
        <w:rPr>
          <w:lang w:val="en-CA"/>
        </w:rPr>
        <w:t xml:space="preserve">§ </w:t>
      </w:r>
      <w:r>
        <w:rPr>
          <w:lang w:val="en-CA"/>
        </w:rPr>
        <w:t>207.4 is to provide a mechanism whereby States can determine which railroad police officers have authority to act in their States by virtue of the designation procedures authorized by the Crime Control Act of 1990, as opposed to individuals commissioned by the States themselves.</w:t>
      </w:r>
      <w:r w:rsidR="00581D37">
        <w:rPr>
          <w:lang w:val="en-CA"/>
        </w:rPr>
        <w:t xml:space="preserve"> </w:t>
      </w:r>
      <w:r>
        <w:rPr>
          <w:lang w:val="en-CA"/>
        </w:rPr>
        <w:t>The required notice will fully identify railroad police officers by name, badge number, identification number, rank code, or other identifying information, date of commission, State or States where the officers are commissioned, the date(s) of training, and the names of the designating railroad officials. Also, the required notice must include color photographs of badges, identification cards, and other identifying materials the railroad uses to identify its railroad police officers. These records will provide positive proof of the authority of such railroad police officers to operate in such States in the event this authority is ever questioned. The railroad companies are also required to maintain this information on file at a central location in the event the designation is questioned by State officials.</w:t>
      </w:r>
    </w:p>
    <w:p w:rsidR="00670F04" w:rsidP="00670F04" w14:paraId="1FA5869A" w14:textId="77777777">
      <w:pPr>
        <w:widowControl w:val="0"/>
        <w:ind w:left="720"/>
        <w:rPr>
          <w:lang w:val="en-CA"/>
        </w:rPr>
      </w:pPr>
    </w:p>
    <w:p w:rsidR="007969EF" w:rsidP="007969EF" w14:paraId="33D42633" w14:textId="42B49436">
      <w:pPr>
        <w:pStyle w:val="psection-2"/>
        <w:shd w:val="clear" w:color="auto" w:fill="FFFFFF"/>
        <w:spacing w:before="0" w:beforeAutospacing="0" w:after="150" w:afterAutospacing="0"/>
        <w:ind w:left="720"/>
      </w:pPr>
      <w:r>
        <w:rPr>
          <w:lang w:val="en-CA"/>
        </w:rPr>
        <w:t xml:space="preserve">Under </w:t>
      </w:r>
      <w:r w:rsidR="00A21A9D">
        <w:rPr>
          <w:lang w:val="en-CA"/>
        </w:rPr>
        <w:t xml:space="preserve">§ </w:t>
      </w:r>
      <w:r>
        <w:rPr>
          <w:lang w:val="en-CA"/>
        </w:rPr>
        <w:t>207.5</w:t>
      </w:r>
      <w:r w:rsidR="002701DB">
        <w:rPr>
          <w:lang w:val="en-CA"/>
        </w:rPr>
        <w:t>,</w:t>
      </w:r>
      <w:r>
        <w:rPr>
          <w:lang w:val="en-CA"/>
        </w:rPr>
        <w:t xml:space="preserve"> </w:t>
      </w:r>
      <w:r w:rsidRPr="00660288">
        <w:rPr>
          <w:i/>
          <w:iCs/>
          <w:lang w:val="en-CA"/>
        </w:rPr>
        <w:t>Transfers</w:t>
      </w:r>
      <w:r>
        <w:rPr>
          <w:lang w:val="en-CA"/>
        </w:rPr>
        <w:t xml:space="preserve">, </w:t>
      </w:r>
      <w:r w:rsidR="00AB5A8B">
        <w:rPr>
          <w:lang w:val="en-CA"/>
        </w:rPr>
        <w:t xml:space="preserve">if a </w:t>
      </w:r>
      <w:bookmarkStart w:id="0" w:name="_Hlk221784710"/>
      <w:r w:rsidR="002822DA">
        <w:rPr>
          <w:lang w:val="en-CA"/>
        </w:rPr>
        <w:t xml:space="preserve">railroad police officer certified or commissioned as a police officer under the laws of a State </w:t>
      </w:r>
      <w:r w:rsidR="00AB5A8B">
        <w:rPr>
          <w:lang w:val="en-CA"/>
        </w:rPr>
        <w:t>or jurisdiction transfers primary employment or residence</w:t>
      </w:r>
      <w:r w:rsidR="0079532F">
        <w:rPr>
          <w:lang w:val="en-CA"/>
        </w:rPr>
        <w:t xml:space="preserve"> the railroad police officer must apply to be certified or commissioned as a police officer in the </w:t>
      </w:r>
      <w:r w:rsidR="002268CA">
        <w:rPr>
          <w:lang w:val="en-CA"/>
        </w:rPr>
        <w:t>St</w:t>
      </w:r>
      <w:r w:rsidR="0079532F">
        <w:rPr>
          <w:lang w:val="en-CA"/>
        </w:rPr>
        <w:t>ate of the new primary residence.</w:t>
      </w:r>
      <w:bookmarkEnd w:id="0"/>
      <w:r w:rsidR="003101AB">
        <w:rPr>
          <w:lang w:val="en-CA"/>
        </w:rPr>
        <w:t xml:space="preserve"> The transfer of certification must be done not later than one (1) year after the date of transfer.</w:t>
      </w:r>
      <w:r w:rsidR="002822DA">
        <w:rPr>
          <w:lang w:val="en-CA"/>
        </w:rPr>
        <w:t xml:space="preserve"> Th</w:t>
      </w:r>
      <w:r w:rsidR="003101AB">
        <w:rPr>
          <w:lang w:val="en-CA"/>
        </w:rPr>
        <w:t>is allows</w:t>
      </w:r>
      <w:r w:rsidR="002822DA">
        <w:rPr>
          <w:lang w:val="en-CA"/>
        </w:rPr>
        <w:t xml:space="preserve"> the railroad police officer immediate authori</w:t>
      </w:r>
      <w:r w:rsidR="003101AB">
        <w:rPr>
          <w:lang w:val="en-CA"/>
        </w:rPr>
        <w:t>ty</w:t>
      </w:r>
      <w:r w:rsidR="002822DA">
        <w:rPr>
          <w:lang w:val="en-CA"/>
        </w:rPr>
        <w:t xml:space="preserve"> to enforce the laws of the new State where the railroad owns property. The railroad police officer may enforce only the relevant laws in the new State for the protection of the following: </w:t>
      </w:r>
      <w:r w:rsidRPr="00EE34FD" w:rsidR="002822DA">
        <w:rPr>
          <w:rStyle w:val="enumxml"/>
          <w:bCs/>
        </w:rPr>
        <w:t>(1)</w:t>
      </w:r>
      <w:r w:rsidRPr="00B03048" w:rsidR="002822DA">
        <w:rPr>
          <w:rStyle w:val="apple-converted-space"/>
          <w:rFonts w:eastAsia="SimSun"/>
        </w:rPr>
        <w:t> </w:t>
      </w:r>
      <w:r w:rsidR="000B7BB8">
        <w:t>t</w:t>
      </w:r>
      <w:r w:rsidRPr="00B03048" w:rsidR="002822DA">
        <w:t>he railroad</w:t>
      </w:r>
      <w:r w:rsidR="002822DA">
        <w:t>’</w:t>
      </w:r>
      <w:r w:rsidRPr="00B03048" w:rsidR="002822DA">
        <w:t>s employees, passengers, or patrons;</w:t>
      </w:r>
      <w:r w:rsidR="002822DA">
        <w:t xml:space="preserve"> </w:t>
      </w:r>
      <w:r w:rsidRPr="00EE34FD" w:rsidR="002822DA">
        <w:rPr>
          <w:rStyle w:val="enumxml"/>
          <w:bCs/>
        </w:rPr>
        <w:t>(2)</w:t>
      </w:r>
      <w:r w:rsidRPr="00B03048" w:rsidR="002822DA">
        <w:rPr>
          <w:rStyle w:val="apple-converted-space"/>
          <w:rFonts w:eastAsia="SimSun"/>
        </w:rPr>
        <w:t> </w:t>
      </w:r>
      <w:r w:rsidR="000B7BB8">
        <w:t>t</w:t>
      </w:r>
      <w:r w:rsidRPr="00B03048" w:rsidR="002822DA">
        <w:t>he</w:t>
      </w:r>
      <w:r w:rsidR="002822DA">
        <w:t xml:space="preserve"> railroad’s property or property </w:t>
      </w:r>
      <w:r w:rsidRPr="00B03048" w:rsidR="002822DA">
        <w:t>entrusted to the railroad for transportation purposes;</w:t>
      </w:r>
      <w:r w:rsidR="002822DA">
        <w:t xml:space="preserve"> </w:t>
      </w:r>
      <w:r w:rsidRPr="00EE34FD" w:rsidR="002822DA">
        <w:rPr>
          <w:rStyle w:val="enumxml"/>
          <w:bCs/>
        </w:rPr>
        <w:t>(3)</w:t>
      </w:r>
      <w:r w:rsidRPr="00B03048" w:rsidR="002822DA">
        <w:rPr>
          <w:rStyle w:val="apple-converted-space"/>
          <w:rFonts w:eastAsia="SimSun"/>
        </w:rPr>
        <w:t> </w:t>
      </w:r>
      <w:r w:rsidR="000B7BB8">
        <w:t>t</w:t>
      </w:r>
      <w:r w:rsidRPr="00B03048" w:rsidR="002822DA">
        <w:t>he intrastate, interstate, or foreign movement of cargo in the railroad</w:t>
      </w:r>
      <w:r w:rsidR="002822DA">
        <w:t>’</w:t>
      </w:r>
      <w:r w:rsidRPr="00B03048" w:rsidR="002822DA">
        <w:t>s possession or in possession of another railroad or non-rail carrier while on the railroad</w:t>
      </w:r>
      <w:r w:rsidRPr="00B03048" w:rsidR="002822DA">
        <w:rPr>
          <w:rStyle w:val="apple-converted-space"/>
          <w:rFonts w:eastAsia="SimSun"/>
        </w:rPr>
        <w:t> </w:t>
      </w:r>
      <w:hyperlink r:id="rId9" w:history="1">
        <w:r w:rsidRPr="001E5E8C" w:rsidR="002822DA">
          <w:rPr>
            <w:rStyle w:val="Hyperlink"/>
            <w:color w:val="auto"/>
            <w:u w:val="none"/>
          </w:rPr>
          <w:t>property</w:t>
        </w:r>
      </w:hyperlink>
      <w:r w:rsidRPr="009063FA" w:rsidR="002822DA">
        <w:t xml:space="preserve">; </w:t>
      </w:r>
      <w:r w:rsidRPr="00B03048" w:rsidR="002822DA">
        <w:t>and</w:t>
      </w:r>
      <w:r w:rsidR="002822DA">
        <w:t xml:space="preserve"> </w:t>
      </w:r>
      <w:r w:rsidRPr="00EE34FD" w:rsidR="002822DA">
        <w:rPr>
          <w:rStyle w:val="enumxml"/>
          <w:bCs/>
        </w:rPr>
        <w:t>(4)</w:t>
      </w:r>
      <w:r w:rsidRPr="00B03048" w:rsidR="002822DA">
        <w:rPr>
          <w:rStyle w:val="apple-converted-space"/>
          <w:rFonts w:eastAsia="SimSun"/>
        </w:rPr>
        <w:t> </w:t>
      </w:r>
      <w:r w:rsidR="000B7BB8">
        <w:t>t</w:t>
      </w:r>
      <w:r w:rsidRPr="00B03048" w:rsidR="002822DA">
        <w:t>he railroad movement of personnel, equipment, and materials vital to the national defense.</w:t>
      </w:r>
    </w:p>
    <w:p w:rsidR="007969EF" w:rsidP="007969EF" w14:paraId="55F1B896" w14:textId="133123BD">
      <w:pPr>
        <w:widowControl w:val="0"/>
        <w:ind w:left="720"/>
        <w:rPr>
          <w:lang w:val="en-CA"/>
        </w:rPr>
      </w:pPr>
      <w:r>
        <w:rPr>
          <w:lang w:val="en-CA"/>
        </w:rPr>
        <w:t xml:space="preserve">The records that must be maintained are used by </w:t>
      </w:r>
      <w:r w:rsidR="002822DA">
        <w:rPr>
          <w:lang w:val="en-CA"/>
        </w:rPr>
        <w:t xml:space="preserve">FRA </w:t>
      </w:r>
      <w:r>
        <w:rPr>
          <w:lang w:val="en-CA"/>
        </w:rPr>
        <w:t xml:space="preserve">to ensure compliance with the </w:t>
      </w:r>
      <w:r>
        <w:rPr>
          <w:lang w:val="en-CA"/>
        </w:rPr>
        <w:t xml:space="preserve">program. The reporting requirements are used by </w:t>
      </w:r>
      <w:r w:rsidR="00F47ADB">
        <w:rPr>
          <w:lang w:val="en-CA"/>
        </w:rPr>
        <w:t>S</w:t>
      </w:r>
      <w:r w:rsidR="002822DA">
        <w:rPr>
          <w:lang w:val="en-CA"/>
        </w:rPr>
        <w:t>tate authorities as a method of implementing the Crime Control Act of 1990.</w:t>
      </w:r>
    </w:p>
    <w:p w:rsidR="007969EF" w:rsidP="007969EF" w14:paraId="35433D44" w14:textId="77777777">
      <w:pPr>
        <w:widowControl w:val="0"/>
        <w:rPr>
          <w:b/>
        </w:rPr>
      </w:pPr>
    </w:p>
    <w:p w:rsidR="007969EF" w:rsidRPr="00A15830" w:rsidP="007969EF" w14:paraId="6F922D52" w14:textId="77777777">
      <w:pPr>
        <w:widowControl w:val="0"/>
        <w:numPr>
          <w:ilvl w:val="0"/>
          <w:numId w:val="3"/>
        </w:numPr>
        <w:ind w:hanging="720"/>
      </w:pPr>
      <w:r w:rsidRPr="00AF31CC">
        <w:rPr>
          <w:b/>
          <w:u w:val="single"/>
        </w:rPr>
        <w:t>Extent of automated information collection</w:t>
      </w:r>
      <w:r w:rsidRPr="00AF31CC">
        <w:rPr>
          <w:b/>
        </w:rPr>
        <w:t>.</w:t>
      </w:r>
    </w:p>
    <w:p w:rsidR="00A15830" w:rsidP="00A15830" w14:paraId="49074D8C" w14:textId="77777777">
      <w:pPr>
        <w:widowControl w:val="0"/>
        <w:ind w:left="720"/>
      </w:pPr>
    </w:p>
    <w:p w:rsidR="007969EF" w:rsidP="007969EF" w14:paraId="4A8D4F29" w14:textId="6F67E8F6">
      <w:pPr>
        <w:widowControl w:val="0"/>
        <w:ind w:left="720"/>
        <w:rPr>
          <w:lang w:val="en-CA"/>
        </w:rPr>
      </w:pPr>
      <w:r>
        <w:rPr>
          <w:lang w:val="en-CA"/>
        </w:rPr>
        <w:t>T</w:t>
      </w:r>
      <w:r w:rsidR="002822DA">
        <w:rPr>
          <w:lang w:val="en-CA"/>
        </w:rPr>
        <w:t xml:space="preserve">hough the regulation </w:t>
      </w:r>
      <w:r w:rsidR="007F2679">
        <w:rPr>
          <w:lang w:val="en-CA"/>
        </w:rPr>
        <w:t xml:space="preserve">requires </w:t>
      </w:r>
      <w:r w:rsidR="002822DA">
        <w:rPr>
          <w:lang w:val="en-CA"/>
        </w:rPr>
        <w:t xml:space="preserve">notification by </w:t>
      </w:r>
      <w:r w:rsidR="007F2679">
        <w:rPr>
          <w:lang w:val="en-CA"/>
        </w:rPr>
        <w:t>certified mail</w:t>
      </w:r>
      <w:r w:rsidR="002822DA">
        <w:rPr>
          <w:lang w:val="en-CA"/>
        </w:rPr>
        <w:t>, FRA strongly supports and highly encourages the use of advanced information technology, wherever possible, to reduce</w:t>
      </w:r>
      <w:r w:rsidR="00776D7A">
        <w:rPr>
          <w:lang w:val="en-CA"/>
        </w:rPr>
        <w:t xml:space="preserve"> the paperwork</w:t>
      </w:r>
      <w:r w:rsidR="002822DA">
        <w:rPr>
          <w:lang w:val="en-CA"/>
        </w:rPr>
        <w:t xml:space="preserve"> burden. If railroads are so equipped, FRA </w:t>
      </w:r>
      <w:r w:rsidR="007F2679">
        <w:rPr>
          <w:lang w:val="en-CA"/>
        </w:rPr>
        <w:t>recommends</w:t>
      </w:r>
      <w:r w:rsidR="002822DA">
        <w:rPr>
          <w:lang w:val="en-CA"/>
        </w:rPr>
        <w:t xml:space="preserve"> sending the information required in </w:t>
      </w:r>
      <w:r w:rsidR="00496A52">
        <w:rPr>
          <w:lang w:val="en-CA"/>
        </w:rPr>
        <w:t xml:space="preserve">§ </w:t>
      </w:r>
      <w:r w:rsidR="002822DA">
        <w:rPr>
          <w:lang w:val="en-CA"/>
        </w:rPr>
        <w:t xml:space="preserve">207.4 electronically. FRA </w:t>
      </w:r>
      <w:r w:rsidR="007F2679">
        <w:rPr>
          <w:lang w:val="en-CA"/>
        </w:rPr>
        <w:t>supports</w:t>
      </w:r>
      <w:r w:rsidR="002822DA">
        <w:rPr>
          <w:lang w:val="en-CA"/>
        </w:rPr>
        <w:t xml:space="preserve"> the goal set forth both in the Paperwork Reduction Act</w:t>
      </w:r>
      <w:r w:rsidR="006607B5">
        <w:rPr>
          <w:lang w:val="en-CA"/>
        </w:rPr>
        <w:t xml:space="preserve"> (PRA)</w:t>
      </w:r>
      <w:r w:rsidR="002822DA">
        <w:rPr>
          <w:lang w:val="en-CA"/>
        </w:rPr>
        <w:t xml:space="preserve"> and the Government Paperwork Elimination Act to reduce </w:t>
      </w:r>
      <w:r w:rsidR="006607B5">
        <w:rPr>
          <w:lang w:val="en-CA"/>
        </w:rPr>
        <w:t xml:space="preserve">paperwork </w:t>
      </w:r>
      <w:r w:rsidR="002822DA">
        <w:rPr>
          <w:lang w:val="en-CA"/>
        </w:rPr>
        <w:t>burden</w:t>
      </w:r>
      <w:r w:rsidR="006607B5">
        <w:rPr>
          <w:lang w:val="en-CA"/>
        </w:rPr>
        <w:t>s</w:t>
      </w:r>
      <w:r w:rsidR="002822DA">
        <w:rPr>
          <w:lang w:val="en-CA"/>
        </w:rPr>
        <w:t xml:space="preserve"> on respondents</w:t>
      </w:r>
      <w:r w:rsidR="006607B5">
        <w:rPr>
          <w:lang w:val="en-CA"/>
        </w:rPr>
        <w:t>.</w:t>
      </w:r>
    </w:p>
    <w:p w:rsidR="007969EF" w:rsidP="007969EF" w14:paraId="2A22B45C" w14:textId="77777777">
      <w:pPr>
        <w:widowControl w:val="0"/>
        <w:rPr>
          <w:lang w:val="en-CA"/>
        </w:rPr>
      </w:pPr>
    </w:p>
    <w:p w:rsidR="007969EF" w:rsidP="007969EF" w14:paraId="106DE672" w14:textId="292D6C53">
      <w:pPr>
        <w:widowControl w:val="0"/>
        <w:ind w:left="720"/>
        <w:rPr>
          <w:lang w:val="en-CA"/>
        </w:rPr>
      </w:pPr>
      <w:r>
        <w:rPr>
          <w:lang w:val="en-CA"/>
        </w:rPr>
        <w:t>T</w:t>
      </w:r>
      <w:r w:rsidR="002822DA">
        <w:rPr>
          <w:lang w:val="en-CA"/>
        </w:rPr>
        <w:t>he</w:t>
      </w:r>
      <w:r w:rsidR="00594699">
        <w:rPr>
          <w:lang w:val="en-CA"/>
        </w:rPr>
        <w:t xml:space="preserve"> paperwork burdens associated with the</w:t>
      </w:r>
      <w:r w:rsidR="002822DA">
        <w:rPr>
          <w:lang w:val="en-CA"/>
        </w:rPr>
        <w:t xml:space="preserve"> information collection requirements </w:t>
      </w:r>
      <w:r w:rsidR="00594699">
        <w:rPr>
          <w:lang w:val="en-CA"/>
        </w:rPr>
        <w:t>within</w:t>
      </w:r>
      <w:r w:rsidR="002822DA">
        <w:rPr>
          <w:lang w:val="en-CA"/>
        </w:rPr>
        <w:t xml:space="preserve"> </w:t>
      </w:r>
      <w:r w:rsidR="00594699">
        <w:rPr>
          <w:lang w:val="en-CA"/>
        </w:rPr>
        <w:t xml:space="preserve">49 CFR </w:t>
      </w:r>
      <w:r>
        <w:rPr>
          <w:lang w:val="en-CA"/>
        </w:rPr>
        <w:t>P</w:t>
      </w:r>
      <w:r w:rsidR="00594699">
        <w:rPr>
          <w:lang w:val="en-CA"/>
        </w:rPr>
        <w:t>art 207</w:t>
      </w:r>
      <w:r w:rsidR="002822DA">
        <w:rPr>
          <w:lang w:val="en-CA"/>
        </w:rPr>
        <w:t xml:space="preserve"> are minimal. </w:t>
      </w:r>
      <w:r w:rsidR="00594699">
        <w:rPr>
          <w:lang w:val="en-CA"/>
        </w:rPr>
        <w:t>Accordingly,</w:t>
      </w:r>
      <w:r w:rsidR="002822DA">
        <w:rPr>
          <w:lang w:val="en-CA"/>
        </w:rPr>
        <w:t xml:space="preserve"> electronic filing </w:t>
      </w:r>
      <w:r w:rsidR="00594699">
        <w:rPr>
          <w:lang w:val="en-CA"/>
        </w:rPr>
        <w:t>does</w:t>
      </w:r>
      <w:r w:rsidR="002822DA">
        <w:rPr>
          <w:lang w:val="en-CA"/>
        </w:rPr>
        <w:t xml:space="preserve"> not substantially decrease the burden. </w:t>
      </w:r>
    </w:p>
    <w:p w:rsidR="007969EF" w:rsidP="007969EF" w14:paraId="632E5FA8" w14:textId="77777777">
      <w:pPr>
        <w:widowControl w:val="0"/>
        <w:ind w:left="720"/>
        <w:rPr>
          <w:lang w:val="en-CA"/>
        </w:rPr>
      </w:pPr>
    </w:p>
    <w:p w:rsidR="007969EF" w:rsidP="007969EF" w14:paraId="05188B5F"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7969EF" w:rsidP="007969EF" w14:paraId="19A77F1A" w14:textId="77777777">
      <w:pPr>
        <w:widowControl w:val="0"/>
        <w:rPr>
          <w:b/>
        </w:rPr>
      </w:pPr>
    </w:p>
    <w:p w:rsidR="007969EF" w:rsidP="007969EF" w14:paraId="49C3B5C7" w14:textId="46524B2D">
      <w:pPr>
        <w:widowControl w:val="0"/>
        <w:ind w:left="720"/>
        <w:rPr>
          <w:b/>
        </w:rPr>
      </w:pPr>
      <w:r>
        <w:t>The information collection requirements to our knowledge are not duplicated anywhere.</w:t>
      </w:r>
    </w:p>
    <w:p w:rsidR="007969EF" w:rsidP="007969EF" w14:paraId="74216902" w14:textId="1E936E27">
      <w:pPr>
        <w:widowControl w:val="0"/>
        <w:ind w:left="720"/>
        <w:rPr>
          <w:b/>
        </w:rPr>
      </w:pPr>
      <w:r>
        <w:t xml:space="preserve">Similar data </w:t>
      </w:r>
      <w:r w:rsidR="00C703FF">
        <w:t>is</w:t>
      </w:r>
      <w:r>
        <w:t xml:space="preserve"> not available from any other source.</w:t>
      </w:r>
    </w:p>
    <w:p w:rsidR="007969EF" w:rsidP="007969EF" w14:paraId="40C66A23" w14:textId="77777777">
      <w:pPr>
        <w:widowControl w:val="0"/>
        <w:rPr>
          <w:b/>
        </w:rPr>
      </w:pPr>
    </w:p>
    <w:p w:rsidR="007969EF" w:rsidP="007969EF" w14:paraId="16E296A9" w14:textId="77777777">
      <w:pPr>
        <w:widowControl w:val="0"/>
      </w:pPr>
      <w:r w:rsidRPr="00AD423C">
        <w:rPr>
          <w:b/>
        </w:rPr>
        <w:t>5.</w:t>
      </w:r>
      <w:r w:rsidRPr="00AD423C">
        <w:rPr>
          <w:b/>
        </w:rPr>
        <w:tab/>
      </w:r>
      <w:r w:rsidRPr="00AD423C">
        <w:rPr>
          <w:b/>
          <w:u w:val="single"/>
        </w:rPr>
        <w:t>Efforts to minimize the burden on small businesses</w:t>
      </w:r>
      <w:r w:rsidRPr="00AD423C">
        <w:rPr>
          <w:b/>
        </w:rPr>
        <w:t>.</w:t>
      </w:r>
    </w:p>
    <w:p w:rsidR="007969EF" w:rsidP="007969EF" w14:paraId="0DBA91FC" w14:textId="77777777">
      <w:pPr>
        <w:shd w:val="clear" w:color="auto" w:fill="FFFFFF"/>
        <w:ind w:left="720"/>
      </w:pPr>
    </w:p>
    <w:p w:rsidR="007969EF" w:rsidP="007969EF" w14:paraId="79167814" w14:textId="500179EB">
      <w:pPr>
        <w:shd w:val="clear" w:color="auto" w:fill="FFFFFF"/>
        <w:ind w:left="720"/>
      </w:pPr>
      <w:r>
        <w:t xml:space="preserve">The paperwork and reporting requirements of this information collection do not significantly impact </w:t>
      </w:r>
      <w:r w:rsidR="002822DA">
        <w:t xml:space="preserve">small entities, </w:t>
      </w:r>
      <w:r>
        <w:t xml:space="preserve">as </w:t>
      </w:r>
      <w:r w:rsidR="002822DA">
        <w:t xml:space="preserve">most Class III railroads (small entities) do not employ railroad police officers.  </w:t>
      </w:r>
    </w:p>
    <w:p w:rsidR="007969EF" w:rsidRPr="00357C74" w:rsidP="007969EF" w14:paraId="6E098D0D" w14:textId="77777777">
      <w:pPr>
        <w:ind w:left="720"/>
      </w:pPr>
    </w:p>
    <w:p w:rsidR="007969EF" w:rsidRPr="00AD423C" w:rsidP="007969EF" w14:paraId="7F751A3D"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7969EF" w:rsidP="007969EF" w14:paraId="4A7C935D" w14:textId="77777777">
      <w:pPr>
        <w:widowControl w:val="0"/>
        <w:ind w:left="720"/>
        <w:rPr>
          <w:lang w:val="en-CA"/>
        </w:rPr>
      </w:pPr>
    </w:p>
    <w:p w:rsidR="007969EF" w:rsidP="007969EF" w14:paraId="282E44B5" w14:textId="0EA667B2">
      <w:pPr>
        <w:widowControl w:val="0"/>
        <w:ind w:left="720"/>
        <w:rPr>
          <w:lang w:val="en-CA"/>
        </w:rPr>
      </w:pPr>
      <w:r>
        <w:rPr>
          <w:lang w:val="en-CA"/>
        </w:rPr>
        <w:t xml:space="preserve">If this information were not collected, the safety of railroad employees, passengers, property, and cargo might be considerably jeopardized in States where there was no valid method of determining who is and who is not a genuinely commissioned railroad police officer from another State. Consequently, crime in States other than the original commissioning State might rise significantly with more theft, more vandalism, and more assaults from persons impersonating a railroad police officer. Thus, the crime prevention program envisaged by Congress would be impeded or would not be implemented properly without these requirements. </w:t>
      </w:r>
    </w:p>
    <w:p w:rsidR="007969EF" w:rsidP="007969EF" w14:paraId="120E9924" w14:textId="77777777">
      <w:pPr>
        <w:widowControl w:val="0"/>
        <w:ind w:left="720"/>
        <w:rPr>
          <w:lang w:val="en-CA"/>
        </w:rPr>
      </w:pPr>
    </w:p>
    <w:p w:rsidR="007969EF" w:rsidP="007969EF" w14:paraId="5515B532" w14:textId="4EA16998">
      <w:pPr>
        <w:widowControl w:val="0"/>
        <w:ind w:left="720"/>
        <w:rPr>
          <w:lang w:val="en-CA"/>
        </w:rPr>
      </w:pPr>
      <w:r>
        <w:rPr>
          <w:lang w:val="en-CA"/>
        </w:rPr>
        <w:t xml:space="preserve">Failure to collect the information would inhibit interstate communication and cooperation between railroad police officers and State law enforcement authorities. Without this interstate cooperation, the property, personnel, passengers, and cargo of the railroads could not be adequately protected to the same extent while travelling across State lines.  Railroads might then experience significant financial losses, as well as injuries to </w:t>
      </w:r>
      <w:r>
        <w:rPr>
          <w:lang w:val="en-CA"/>
        </w:rPr>
        <w:t xml:space="preserve">personnel and passengers. In the case of the transportation of hazardous or nuclear material, theft of these materials could have disastrous consequences to the health and welfare of the </w:t>
      </w:r>
      <w:r w:rsidR="00581D37">
        <w:rPr>
          <w:lang w:val="en-CA"/>
        </w:rPr>
        <w:t>public</w:t>
      </w:r>
      <w:r>
        <w:rPr>
          <w:lang w:val="en-CA"/>
        </w:rPr>
        <w:t>, as well as to the overall security of th</w:t>
      </w:r>
      <w:r w:rsidR="0046548E">
        <w:rPr>
          <w:lang w:val="en-CA"/>
        </w:rPr>
        <w:t>e United States</w:t>
      </w:r>
      <w:r>
        <w:rPr>
          <w:lang w:val="en-CA"/>
        </w:rPr>
        <w:t>.</w:t>
      </w:r>
    </w:p>
    <w:p w:rsidR="007969EF" w:rsidP="007969EF" w14:paraId="3CD52511" w14:textId="77777777">
      <w:pPr>
        <w:widowControl w:val="0"/>
        <w:ind w:left="720"/>
        <w:rPr>
          <w:lang w:val="en-CA"/>
        </w:rPr>
      </w:pPr>
    </w:p>
    <w:p w:rsidR="007969EF" w:rsidP="007969EF" w14:paraId="57FBD836" w14:textId="00FE69EA">
      <w:pPr>
        <w:widowControl w:val="0"/>
        <w:ind w:left="720"/>
        <w:rPr>
          <w:lang w:val="en-CA"/>
        </w:rPr>
      </w:pPr>
      <w:r>
        <w:rPr>
          <w:lang w:val="en-CA"/>
        </w:rPr>
        <w:t xml:space="preserve">Further, without the requirement added in </w:t>
      </w:r>
      <w:r w:rsidR="00AF091F">
        <w:rPr>
          <w:lang w:val="en-CA"/>
        </w:rPr>
        <w:t xml:space="preserve">§ </w:t>
      </w:r>
      <w:r>
        <w:rPr>
          <w:lang w:val="en-CA"/>
        </w:rPr>
        <w:t>207.6, railroads would not have the flexibility to transfer their police officers from one State where they own property to another State where these employees are more urgently needed or have asked to be transferred.</w:t>
      </w:r>
      <w:r w:rsidR="00581D37">
        <w:rPr>
          <w:lang w:val="en-CA"/>
        </w:rPr>
        <w:t xml:space="preserve"> </w:t>
      </w:r>
      <w:r>
        <w:rPr>
          <w:lang w:val="en-CA"/>
        </w:rPr>
        <w:t>The flexibility provided by</w:t>
      </w:r>
      <w:r w:rsidR="009B6B8F">
        <w:rPr>
          <w:lang w:val="en-CA"/>
        </w:rPr>
        <w:t xml:space="preserve"> this</w:t>
      </w:r>
      <w:r>
        <w:rPr>
          <w:lang w:val="en-CA"/>
        </w:rPr>
        <w:t xml:space="preserve"> provision aids both the States in controlling and reducing crime, and the railroads in employing their limited personnel to the greatest possible benefit.</w:t>
      </w:r>
    </w:p>
    <w:p w:rsidR="007969EF" w:rsidP="007969EF" w14:paraId="73A2840E" w14:textId="77777777">
      <w:pPr>
        <w:widowControl w:val="0"/>
        <w:ind w:left="720"/>
        <w:rPr>
          <w:lang w:val="en-CA"/>
        </w:rPr>
      </w:pPr>
    </w:p>
    <w:p w:rsidR="007969EF" w:rsidP="007969EF" w14:paraId="3CB0F144" w14:textId="77777777">
      <w:pPr>
        <w:widowControl w:val="0"/>
        <w:rPr>
          <w:b/>
        </w:rPr>
      </w:pPr>
      <w:r w:rsidRPr="006E6DA7">
        <w:rPr>
          <w:bCs/>
        </w:rPr>
        <w:t>7.</w:t>
      </w:r>
      <w:r w:rsidRPr="00AD423C">
        <w:rPr>
          <w:b/>
        </w:rPr>
        <w:tab/>
      </w:r>
      <w:r w:rsidRPr="00AD423C">
        <w:rPr>
          <w:b/>
          <w:u w:val="single"/>
        </w:rPr>
        <w:t>Special circumstances</w:t>
      </w:r>
      <w:r w:rsidRPr="00AD423C">
        <w:rPr>
          <w:b/>
        </w:rPr>
        <w:t>.</w:t>
      </w:r>
    </w:p>
    <w:p w:rsidR="007969EF" w:rsidP="007969EF" w14:paraId="6B2491FF" w14:textId="77777777">
      <w:pPr>
        <w:widowControl w:val="0"/>
        <w:rPr>
          <w:b/>
        </w:rPr>
      </w:pPr>
    </w:p>
    <w:p w:rsidR="007969EF" w:rsidP="007969EF" w14:paraId="7501CABC" w14:textId="6EAAFB1B">
      <w:pPr>
        <w:widowControl w:val="0"/>
        <w:ind w:left="720"/>
        <w:rPr>
          <w:lang w:val="en-CA"/>
        </w:rPr>
      </w:pPr>
      <w:r>
        <w:rPr>
          <w:lang w:val="en-CA"/>
        </w:rPr>
        <w:t xml:space="preserve">Records of </w:t>
      </w:r>
      <w:r w:rsidR="003D74F3">
        <w:rPr>
          <w:lang w:val="en-CA"/>
        </w:rPr>
        <w:t xml:space="preserve">commission </w:t>
      </w:r>
      <w:r>
        <w:rPr>
          <w:lang w:val="en-CA"/>
        </w:rPr>
        <w:t xml:space="preserve">notices are to be retained indefinitely, or </w:t>
      </w:r>
      <w:r w:rsidR="00B67687">
        <w:rPr>
          <w:lang w:val="en-CA"/>
        </w:rPr>
        <w:t xml:space="preserve">for </w:t>
      </w:r>
      <w:r>
        <w:rPr>
          <w:lang w:val="en-CA"/>
        </w:rPr>
        <w:t xml:space="preserve">as long as the police officer remains employed. A specific timeframe cannot be addressed by virtue of the regulation itself, which is intended to provide continuing evidence of railroad police authority.  </w:t>
      </w:r>
    </w:p>
    <w:p w:rsidR="007969EF" w:rsidP="007969EF" w14:paraId="60CB8C1A" w14:textId="77777777">
      <w:pPr>
        <w:widowControl w:val="0"/>
        <w:rPr>
          <w:lang w:val="en-CA"/>
        </w:rPr>
      </w:pPr>
    </w:p>
    <w:p w:rsidR="006A6190" w:rsidP="006A6190" w14:paraId="34416FF7" w14:textId="77777777">
      <w:pPr>
        <w:widowControl w:val="0"/>
        <w:ind w:left="720"/>
      </w:pPr>
      <w:r>
        <w:t xml:space="preserve">With this one exception, all other information collection requirements </w:t>
      </w:r>
      <w:r>
        <w:t xml:space="preserve">comply </w:t>
      </w:r>
      <w:r>
        <w:t xml:space="preserve">with </w:t>
      </w:r>
      <w:r w:rsidRPr="006A6190">
        <w:t xml:space="preserve">5 CFR 1320.5(d)(2). </w:t>
      </w:r>
    </w:p>
    <w:p w:rsidR="006A6190" w:rsidRPr="006A6190" w:rsidP="006A6190" w14:paraId="774DE9FD" w14:textId="77777777">
      <w:pPr>
        <w:widowControl w:val="0"/>
        <w:ind w:left="720"/>
      </w:pPr>
    </w:p>
    <w:p w:rsidR="007969EF" w:rsidRPr="00AD423C" w:rsidP="007969EF" w14:paraId="39B767A7" w14:textId="4D4D0B77">
      <w:pPr>
        <w:widowControl w:val="0"/>
        <w:ind w:left="720" w:hanging="720"/>
        <w:rPr>
          <w:b/>
        </w:rPr>
      </w:pPr>
      <w:r w:rsidRPr="00AD423C">
        <w:rPr>
          <w:b/>
        </w:rPr>
        <w:t>8.</w:t>
      </w:r>
      <w:r w:rsidRPr="00AD423C">
        <w:rPr>
          <w:b/>
        </w:rPr>
        <w:tab/>
      </w:r>
      <w:r w:rsidRPr="00AD423C">
        <w:rPr>
          <w:b/>
          <w:u w:val="single"/>
        </w:rPr>
        <w:t xml:space="preserve">Compliance with 5 CFR </w:t>
      </w:r>
      <w:r w:rsidR="00931359">
        <w:rPr>
          <w:b/>
          <w:u w:val="single"/>
        </w:rPr>
        <w:t xml:space="preserve">§ </w:t>
      </w:r>
      <w:r w:rsidRPr="00AD423C">
        <w:rPr>
          <w:b/>
          <w:u w:val="single"/>
        </w:rPr>
        <w:t>1320.8</w:t>
      </w:r>
      <w:r w:rsidRPr="00AD423C">
        <w:rPr>
          <w:b/>
        </w:rPr>
        <w:t>.</w:t>
      </w:r>
    </w:p>
    <w:p w:rsidR="007969EF" w:rsidP="007969EF" w14:paraId="4C104955" w14:textId="77777777">
      <w:pPr>
        <w:widowControl w:val="0"/>
      </w:pPr>
    </w:p>
    <w:p w:rsidR="007969EF" w:rsidP="007969EF" w14:paraId="27DA2FA7" w14:textId="5B378CF9">
      <w:pPr>
        <w:ind w:left="720"/>
      </w:pPr>
      <w:r>
        <w:t xml:space="preserve">As required by the PRA and 5 CFR </w:t>
      </w:r>
      <w:r w:rsidR="00931359">
        <w:t xml:space="preserve">§ </w:t>
      </w:r>
      <w:r>
        <w:t xml:space="preserve">1320, FRA published a notice in the </w:t>
      </w:r>
      <w:r w:rsidRPr="006E6DA7">
        <w:rPr>
          <w:i/>
          <w:iCs/>
        </w:rPr>
        <w:t>Federal Register</w:t>
      </w:r>
      <w:r>
        <w:t xml:space="preserve"> </w:t>
      </w:r>
      <w:r w:rsidRPr="006D6D79">
        <w:t>on</w:t>
      </w:r>
      <w:r w:rsidR="0085360E">
        <w:t xml:space="preserve"> April 23, 2026</w:t>
      </w:r>
      <w:r w:rsidR="00931359">
        <w:t>,</w:t>
      </w:r>
      <w:r>
        <w:rPr>
          <w:rStyle w:val="FootnoteReference"/>
        </w:rPr>
        <w:footnoteReference w:id="6"/>
      </w:r>
      <w:r>
        <w:t xml:space="preserve"> soliciting comment from the public, railroads, and other interested parties</w:t>
      </w:r>
      <w:r w:rsidR="00CC5EC1">
        <w:t>.</w:t>
      </w:r>
      <w:r>
        <w:t xml:space="preserve"> FRA received </w:t>
      </w:r>
      <w:r w:rsidRPr="00F827AC" w:rsidR="00F827AC">
        <w:t>no public</w:t>
      </w:r>
      <w:r>
        <w:t xml:space="preserve"> comments. </w:t>
      </w:r>
    </w:p>
    <w:p w:rsidR="007969EF" w:rsidP="007969EF" w14:paraId="7862D11D" w14:textId="77777777">
      <w:pPr>
        <w:ind w:left="720"/>
      </w:pPr>
    </w:p>
    <w:p w:rsidR="007969EF" w:rsidRPr="002F3B9B" w:rsidP="007969EF" w14:paraId="01FD2F43" w14:textId="77777777">
      <w:pPr>
        <w:ind w:left="720"/>
        <w:rPr>
          <w:i/>
          <w:iCs/>
          <w:color w:val="000000"/>
          <w:szCs w:val="24"/>
          <w:u w:val="single"/>
        </w:rPr>
      </w:pPr>
      <w:r w:rsidRPr="002F3B9B">
        <w:rPr>
          <w:i/>
          <w:iCs/>
          <w:color w:val="000000"/>
          <w:szCs w:val="24"/>
          <w:u w:val="single"/>
        </w:rPr>
        <w:t>Consultations with representatives of the affected population:</w:t>
      </w:r>
    </w:p>
    <w:p w:rsidR="007969EF" w:rsidP="007969EF" w14:paraId="690ADC34" w14:textId="77777777">
      <w:pPr>
        <w:widowControl w:val="0"/>
        <w:ind w:left="720"/>
      </w:pPr>
    </w:p>
    <w:p w:rsidR="007969EF" w:rsidRPr="00337EB4" w:rsidP="007969EF" w14:paraId="60AE9FF1" w14:textId="77777777">
      <w:pPr>
        <w:ind w:left="720"/>
      </w:pPr>
      <w:r w:rsidRPr="009B262A">
        <w:t>As a part of FRA</w:t>
      </w:r>
      <w:r>
        <w:t>’</w:t>
      </w:r>
      <w:r w:rsidRPr="009B262A">
        <w:t xml:space="preserve">s oversight and enforcement, individuals from the railroad industry are generally in direct contact with FRA’s </w:t>
      </w:r>
      <w:r>
        <w:t>inspectors</w:t>
      </w:r>
      <w:r w:rsidRPr="009B262A">
        <w:t xml:space="preserve"> at the time of site inspection</w:t>
      </w:r>
      <w:r>
        <w:t>s</w:t>
      </w:r>
      <w:r w:rsidRPr="009B262A">
        <w:t xml:space="preserve"> and can provide any comments or concerns to </w:t>
      </w:r>
      <w:r>
        <w:t>them.</w:t>
      </w:r>
    </w:p>
    <w:p w:rsidR="009A2B12" w:rsidP="007969EF" w14:paraId="488167E6" w14:textId="77777777">
      <w:pPr>
        <w:widowControl w:val="0"/>
        <w:ind w:left="720" w:hanging="720"/>
        <w:rPr>
          <w:b/>
        </w:rPr>
      </w:pPr>
    </w:p>
    <w:p w:rsidR="007969EF" w:rsidP="007969EF" w14:paraId="378BAECD" w14:textId="4BE26D21">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AF7000" w:rsidP="007969EF" w14:paraId="30BCA45B" w14:textId="77777777">
      <w:pPr>
        <w:widowControl w:val="0"/>
        <w:ind w:left="720" w:hanging="720"/>
        <w:rPr>
          <w:rFonts w:ascii="Univers" w:hAnsi="Univers"/>
          <w:b/>
        </w:rPr>
      </w:pPr>
    </w:p>
    <w:p w:rsidR="007969EF" w:rsidP="007969EF" w14:paraId="7E02AA85" w14:textId="0C1B42BB">
      <w:pPr>
        <w:widowControl w:val="0"/>
        <w:ind w:left="720"/>
        <w:rPr>
          <w:rFonts w:ascii="Courier" w:hAnsi="Courier"/>
          <w:b/>
        </w:rPr>
      </w:pPr>
      <w:r>
        <w:t xml:space="preserve">There are no monetary payments </w:t>
      </w:r>
      <w:r w:rsidR="00581D37">
        <w:t>provided,</w:t>
      </w:r>
      <w:r>
        <w:t xml:space="preserve"> or gifts made to respondents in connection with this information collection.</w:t>
      </w:r>
      <w:r>
        <w:rPr>
          <w:b/>
        </w:rPr>
        <w:tab/>
      </w:r>
    </w:p>
    <w:p w:rsidR="007969EF" w:rsidP="007969EF" w14:paraId="47549A6A" w14:textId="77777777">
      <w:pPr>
        <w:widowControl w:val="0"/>
        <w:rPr>
          <w:b/>
        </w:rPr>
      </w:pPr>
    </w:p>
    <w:p w:rsidR="00581D37" w:rsidP="007969EF" w14:paraId="79A32BD4" w14:textId="77777777">
      <w:pPr>
        <w:rPr>
          <w:b/>
        </w:rPr>
      </w:pPr>
    </w:p>
    <w:p w:rsidR="00581D37" w:rsidP="007969EF" w14:paraId="36E72D3A" w14:textId="77777777">
      <w:pPr>
        <w:rPr>
          <w:b/>
        </w:rPr>
      </w:pPr>
    </w:p>
    <w:p w:rsidR="00581D37" w:rsidP="007969EF" w14:paraId="615E47FB" w14:textId="77777777">
      <w:pPr>
        <w:rPr>
          <w:b/>
        </w:rPr>
        <w:sectPr w:rsidSect="00581D37">
          <w:headerReference w:type="even" r:id="rId10"/>
          <w:headerReference w:type="default" r:id="rId11"/>
          <w:footerReference w:type="even" r:id="rId12"/>
          <w:footerReference w:type="default" r:id="rId13"/>
          <w:pgSz w:w="12240" w:h="15840"/>
          <w:pgMar w:top="1440" w:right="1440" w:bottom="1915" w:left="1440" w:header="1440" w:footer="1440" w:gutter="0"/>
          <w:cols w:space="720"/>
          <w:docGrid w:linePitch="326"/>
        </w:sectPr>
      </w:pPr>
    </w:p>
    <w:p w:rsidR="007969EF" w:rsidP="007969EF" w14:paraId="13B4B624" w14:textId="1181AD6F">
      <w:r w:rsidRPr="00AD423C">
        <w:rPr>
          <w:b/>
        </w:rPr>
        <w:t>10.</w:t>
      </w:r>
      <w:r w:rsidRPr="00AD423C">
        <w:rPr>
          <w:b/>
        </w:rPr>
        <w:tab/>
      </w:r>
      <w:r w:rsidRPr="00AD423C">
        <w:rPr>
          <w:b/>
          <w:u w:val="single"/>
        </w:rPr>
        <w:t>Assurance of confidentiality</w:t>
      </w:r>
      <w:r w:rsidRPr="00AD423C">
        <w:rPr>
          <w:b/>
        </w:rPr>
        <w:t>.</w:t>
      </w:r>
    </w:p>
    <w:p w:rsidR="007969EF" w:rsidP="007969EF" w14:paraId="16BC508F" w14:textId="77777777">
      <w:pPr>
        <w:ind w:left="720"/>
      </w:pPr>
    </w:p>
    <w:p w:rsidR="007969EF" w:rsidP="007969EF" w14:paraId="516B2A62" w14:textId="62D78A6A">
      <w:pPr>
        <w:widowControl w:val="0"/>
        <w:ind w:left="720"/>
        <w:rPr>
          <w:szCs w:val="24"/>
        </w:rPr>
      </w:pPr>
      <w:r>
        <w:rPr>
          <w:szCs w:val="24"/>
        </w:rPr>
        <w:t>The i</w:t>
      </w:r>
      <w:r w:rsidRPr="00A5234C">
        <w:rPr>
          <w:szCs w:val="24"/>
        </w:rPr>
        <w:t>nformation collected is not of a confidential nature and FRA pledges no confidentiality.</w:t>
      </w:r>
    </w:p>
    <w:p w:rsidR="007969EF" w:rsidP="007969EF" w14:paraId="1745C06E" w14:textId="77777777">
      <w:pPr>
        <w:widowControl w:val="0"/>
        <w:ind w:left="720"/>
      </w:pPr>
    </w:p>
    <w:p w:rsidR="007969EF" w:rsidRPr="002604C5" w:rsidP="007969EF" w14:paraId="69F3F2BB"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7969EF" w:rsidP="007969EF" w14:paraId="4EB3E7AB" w14:textId="77777777"/>
    <w:p w:rsidR="007969EF" w:rsidRPr="00D863FB" w:rsidP="007969EF" w14:paraId="66CB6F00" w14:textId="01E5F069">
      <w:pPr>
        <w:widowControl w:val="0"/>
        <w:ind w:left="720"/>
        <w:rPr>
          <w:szCs w:val="24"/>
        </w:rPr>
      </w:pPr>
      <w:r w:rsidRPr="00D863FB">
        <w:rPr>
          <w:szCs w:val="24"/>
        </w:rPr>
        <w:t>Th</w:t>
      </w:r>
      <w:r w:rsidR="00D567B4">
        <w:rPr>
          <w:szCs w:val="24"/>
        </w:rPr>
        <w:t>e</w:t>
      </w:r>
      <w:r w:rsidRPr="00D863FB">
        <w:rPr>
          <w:szCs w:val="24"/>
        </w:rPr>
        <w:t xml:space="preserve"> information collection does not contain any data of a personal or sensitive nature.</w:t>
      </w:r>
    </w:p>
    <w:p w:rsidR="007969EF" w:rsidP="007969EF" w14:paraId="3BF9B738" w14:textId="77777777">
      <w:pPr>
        <w:widowControl w:val="0"/>
        <w:ind w:left="720"/>
        <w:rPr>
          <w:lang w:val="en-CA"/>
        </w:rPr>
      </w:pPr>
    </w:p>
    <w:p w:rsidR="001E5E8C" w:rsidP="001E5E8C" w14:paraId="566F6E0F" w14:textId="77777777">
      <w:pPr>
        <w:keepNext/>
        <w:widowControl w:val="0"/>
        <w:rPr>
          <w:b/>
          <w:bCs/>
        </w:rPr>
      </w:pPr>
      <w:r w:rsidRPr="006B65BD">
        <w:rPr>
          <w:b/>
          <w:bCs/>
        </w:rPr>
        <w:t>12.      </w:t>
      </w:r>
      <w:r w:rsidRPr="006B65BD">
        <w:rPr>
          <w:b/>
          <w:bCs/>
          <w:u w:val="single"/>
        </w:rPr>
        <w:t>Estimate of burden hours for information collected</w:t>
      </w:r>
      <w:r w:rsidRPr="006B65BD">
        <w:rPr>
          <w:b/>
          <w:bCs/>
        </w:rPr>
        <w:t>.</w:t>
      </w:r>
    </w:p>
    <w:p w:rsidR="001E5E8C" w:rsidP="001E5E8C" w14:paraId="0BDE1EBA" w14:textId="77777777">
      <w:pPr>
        <w:keepNext/>
        <w:widowControl w:val="0"/>
        <w:rPr>
          <w:b/>
          <w:bCs/>
        </w:rPr>
      </w:pPr>
    </w:p>
    <w:p w:rsidR="001E5E8C" w:rsidP="001E5E8C" w14:paraId="634D80E9" w14:textId="77777777">
      <w:pPr>
        <w:widowControl w:val="0"/>
        <w:ind w:left="720"/>
        <w:rPr>
          <w:szCs w:val="24"/>
        </w:rPr>
      </w:pPr>
      <w:r w:rsidRPr="00C00B9A">
        <w:rPr>
          <w:szCs w:val="24"/>
        </w:rPr>
        <w:t>The estimates for the respondent universe, annual responses, and average time per response are based on the experience and expertise of FRA’s Office of Railroad Safety.</w:t>
      </w:r>
    </w:p>
    <w:p w:rsidR="00C02AE5" w:rsidP="007969EF" w14:paraId="2BFB0940" w14:textId="77777777">
      <w:pPr>
        <w:widowControl w:val="0"/>
        <w:ind w:left="720"/>
        <w:rPr>
          <w:lang w:val="en-CA"/>
        </w:rPr>
      </w:pPr>
    </w:p>
    <w:tbl>
      <w:tblPr>
        <w:tblW w:w="1281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3"/>
        <w:gridCol w:w="1260"/>
        <w:gridCol w:w="1080"/>
        <w:gridCol w:w="1080"/>
        <w:gridCol w:w="810"/>
        <w:gridCol w:w="810"/>
        <w:gridCol w:w="1260"/>
        <w:gridCol w:w="3780"/>
      </w:tblGrid>
      <w:tr w14:paraId="75D5106F" w14:textId="4D6E3F9D" w:rsidTr="00900101">
        <w:tblPrEx>
          <w:tblW w:w="1281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92"/>
        </w:trPr>
        <w:tc>
          <w:tcPr>
            <w:tcW w:w="2733" w:type="dxa"/>
          </w:tcPr>
          <w:p w:rsidR="00C02AE5" w:rsidRPr="00C02AE5" w:rsidP="00C02AE5" w14:paraId="0997DFD8" w14:textId="77777777">
            <w:pPr>
              <w:spacing w:line="256" w:lineRule="auto"/>
              <w:jc w:val="center"/>
              <w:rPr>
                <w:color w:val="000000"/>
                <w:sz w:val="20"/>
                <w:lang w:val="en"/>
              </w:rPr>
            </w:pPr>
            <w:r w:rsidRPr="00C02AE5">
              <w:rPr>
                <w:sz w:val="20"/>
                <w:lang w:val="en"/>
              </w:rPr>
              <w:t>CFR Section</w:t>
            </w:r>
          </w:p>
        </w:tc>
        <w:tc>
          <w:tcPr>
            <w:tcW w:w="1260" w:type="dxa"/>
          </w:tcPr>
          <w:p w:rsidR="00C02AE5" w:rsidRPr="00C02AE5" w:rsidP="00C02AE5" w14:paraId="22730E47" w14:textId="77777777">
            <w:pPr>
              <w:spacing w:line="256" w:lineRule="auto"/>
              <w:jc w:val="center"/>
              <w:rPr>
                <w:color w:val="000000"/>
                <w:sz w:val="20"/>
                <w:lang w:val="en"/>
              </w:rPr>
            </w:pPr>
            <w:r w:rsidRPr="00C02AE5">
              <w:rPr>
                <w:sz w:val="20"/>
                <w:lang w:val="en"/>
              </w:rPr>
              <w:t>Respondent Universe</w:t>
            </w:r>
          </w:p>
        </w:tc>
        <w:tc>
          <w:tcPr>
            <w:tcW w:w="1080" w:type="dxa"/>
          </w:tcPr>
          <w:p w:rsidR="00C02AE5" w:rsidRPr="00C02AE5" w:rsidP="00C02AE5" w14:paraId="32F78519" w14:textId="77777777">
            <w:pPr>
              <w:spacing w:line="254" w:lineRule="auto"/>
              <w:jc w:val="center"/>
              <w:rPr>
                <w:sz w:val="20"/>
                <w:lang w:val="en"/>
              </w:rPr>
            </w:pPr>
            <w:r w:rsidRPr="00C02AE5">
              <w:rPr>
                <w:sz w:val="20"/>
                <w:lang w:val="en"/>
              </w:rPr>
              <w:t>Total Annual Responses</w:t>
            </w:r>
          </w:p>
          <w:p w:rsidR="00C02AE5" w:rsidRPr="00C02AE5" w:rsidP="00C02AE5" w14:paraId="5CB9D89C" w14:textId="77777777">
            <w:pPr>
              <w:spacing w:line="256" w:lineRule="auto"/>
              <w:jc w:val="center"/>
              <w:rPr>
                <w:color w:val="000000"/>
                <w:sz w:val="20"/>
                <w:lang w:val="en"/>
              </w:rPr>
            </w:pPr>
            <w:r w:rsidRPr="00C02AE5">
              <w:rPr>
                <w:sz w:val="20"/>
                <w:lang w:val="en"/>
              </w:rPr>
              <w:t>(A)</w:t>
            </w:r>
          </w:p>
        </w:tc>
        <w:tc>
          <w:tcPr>
            <w:tcW w:w="1080" w:type="dxa"/>
          </w:tcPr>
          <w:p w:rsidR="00C02AE5" w:rsidRPr="00C02AE5" w:rsidP="00C02AE5" w14:paraId="60B7D247" w14:textId="77777777">
            <w:pPr>
              <w:spacing w:line="254" w:lineRule="auto"/>
              <w:jc w:val="center"/>
              <w:rPr>
                <w:sz w:val="20"/>
                <w:lang w:val="en"/>
              </w:rPr>
            </w:pPr>
            <w:r w:rsidRPr="00C02AE5">
              <w:rPr>
                <w:sz w:val="20"/>
                <w:lang w:val="en"/>
              </w:rPr>
              <w:t>Average Time per Response</w:t>
            </w:r>
          </w:p>
          <w:p w:rsidR="00C02AE5" w:rsidRPr="00C02AE5" w:rsidP="00C02AE5" w14:paraId="070AE66E" w14:textId="77777777">
            <w:pPr>
              <w:spacing w:line="256" w:lineRule="auto"/>
              <w:jc w:val="center"/>
              <w:rPr>
                <w:color w:val="000000"/>
                <w:sz w:val="20"/>
                <w:lang w:val="en"/>
              </w:rPr>
            </w:pPr>
            <w:r w:rsidRPr="00C02AE5">
              <w:rPr>
                <w:sz w:val="20"/>
                <w:lang w:val="en"/>
              </w:rPr>
              <w:t>(B)</w:t>
            </w:r>
          </w:p>
        </w:tc>
        <w:tc>
          <w:tcPr>
            <w:tcW w:w="810" w:type="dxa"/>
          </w:tcPr>
          <w:p w:rsidR="00C02AE5" w:rsidRPr="00C02AE5" w:rsidP="00C02AE5" w14:paraId="4836CE5F" w14:textId="77777777">
            <w:pPr>
              <w:spacing w:line="254" w:lineRule="auto"/>
              <w:jc w:val="center"/>
              <w:rPr>
                <w:sz w:val="20"/>
                <w:lang w:val="en"/>
              </w:rPr>
            </w:pPr>
            <w:r w:rsidRPr="00C02AE5">
              <w:rPr>
                <w:sz w:val="20"/>
                <w:lang w:val="en"/>
              </w:rPr>
              <w:t>Total Annual Burden Hours</w:t>
            </w:r>
          </w:p>
          <w:p w:rsidR="00C02AE5" w:rsidRPr="00C02AE5" w:rsidP="00C02AE5" w14:paraId="7997E621" w14:textId="77777777">
            <w:pPr>
              <w:spacing w:line="256" w:lineRule="auto"/>
              <w:jc w:val="center"/>
              <w:rPr>
                <w:color w:val="000000"/>
                <w:sz w:val="20"/>
                <w:lang w:val="en"/>
              </w:rPr>
            </w:pPr>
            <w:r w:rsidRPr="00C02AE5">
              <w:rPr>
                <w:sz w:val="20"/>
                <w:lang w:val="en"/>
              </w:rPr>
              <w:t>(C) = A * B</w:t>
            </w:r>
          </w:p>
        </w:tc>
        <w:tc>
          <w:tcPr>
            <w:tcW w:w="810" w:type="dxa"/>
          </w:tcPr>
          <w:p w:rsidR="00C02AE5" w:rsidRPr="00C02AE5" w:rsidP="00C02AE5" w14:paraId="5364751A" w14:textId="77777777">
            <w:pPr>
              <w:spacing w:line="256" w:lineRule="auto"/>
              <w:jc w:val="center"/>
              <w:rPr>
                <w:color w:val="000000"/>
                <w:sz w:val="20"/>
                <w:lang w:val="en"/>
              </w:rPr>
            </w:pPr>
            <w:r w:rsidRPr="00C02AE5">
              <w:rPr>
                <w:color w:val="000000"/>
                <w:sz w:val="20"/>
                <w:lang w:val="en"/>
              </w:rPr>
              <w:t xml:space="preserve">Wage </w:t>
            </w:r>
          </w:p>
          <w:p w:rsidR="00C02AE5" w:rsidRPr="00C02AE5" w:rsidP="00C02AE5" w14:paraId="4FED3CB0" w14:textId="77777777">
            <w:pPr>
              <w:spacing w:line="256" w:lineRule="auto"/>
              <w:jc w:val="center"/>
              <w:rPr>
                <w:color w:val="000000"/>
                <w:sz w:val="20"/>
                <w:lang w:val="en"/>
              </w:rPr>
            </w:pPr>
            <w:r w:rsidRPr="00C02AE5">
              <w:rPr>
                <w:color w:val="000000"/>
                <w:sz w:val="20"/>
                <w:lang w:val="en"/>
              </w:rPr>
              <w:t>Rate</w:t>
            </w:r>
            <w:r>
              <w:rPr>
                <w:color w:val="000000"/>
                <w:sz w:val="20"/>
                <w:vertAlign w:val="superscript"/>
                <w:lang w:val="en"/>
              </w:rPr>
              <w:footnoteReference w:id="7"/>
            </w:r>
          </w:p>
        </w:tc>
        <w:tc>
          <w:tcPr>
            <w:tcW w:w="1260" w:type="dxa"/>
          </w:tcPr>
          <w:p w:rsidR="00C02AE5" w:rsidRPr="00C02AE5" w:rsidP="00C02AE5" w14:paraId="5B3E0866" w14:textId="77777777">
            <w:pPr>
              <w:spacing w:line="256" w:lineRule="auto"/>
              <w:jc w:val="center"/>
              <w:rPr>
                <w:sz w:val="20"/>
                <w:lang w:val="en"/>
              </w:rPr>
            </w:pPr>
            <w:r w:rsidRPr="00C02AE5">
              <w:rPr>
                <w:sz w:val="20"/>
                <w:lang w:val="en"/>
              </w:rPr>
              <w:t>Total Annual Dollar Cost Equivalent (D) = C * wage rates</w:t>
            </w:r>
          </w:p>
        </w:tc>
        <w:tc>
          <w:tcPr>
            <w:tcW w:w="3780" w:type="dxa"/>
          </w:tcPr>
          <w:p w:rsidR="00C02AE5" w:rsidRPr="00C02AE5" w:rsidP="00C02AE5" w14:paraId="198B4813" w14:textId="3104EE8C">
            <w:pPr>
              <w:spacing w:line="256" w:lineRule="auto"/>
              <w:jc w:val="center"/>
              <w:rPr>
                <w:sz w:val="20"/>
                <w:lang w:val="en"/>
              </w:rPr>
            </w:pPr>
            <w:r>
              <w:rPr>
                <w:sz w:val="20"/>
                <w:lang w:val="en"/>
              </w:rPr>
              <w:t>PRA Analysis</w:t>
            </w:r>
          </w:p>
        </w:tc>
      </w:tr>
      <w:tr w14:paraId="1D5AC796" w14:textId="0F58B2CF">
        <w:tblPrEx>
          <w:tblW w:w="12813" w:type="dxa"/>
          <w:tblInd w:w="-38" w:type="dxa"/>
          <w:tblLayout w:type="fixed"/>
          <w:tblLook w:val="0400"/>
        </w:tblPrEx>
        <w:trPr>
          <w:trHeight w:val="233"/>
        </w:trPr>
        <w:tc>
          <w:tcPr>
            <w:tcW w:w="12813" w:type="dxa"/>
            <w:gridSpan w:val="8"/>
          </w:tcPr>
          <w:p w:rsidR="00900101" w:rsidRPr="00C02AE5" w:rsidP="00C02AE5" w14:paraId="58D061A0" w14:textId="047572EE">
            <w:pPr>
              <w:spacing w:line="256" w:lineRule="auto"/>
              <w:rPr>
                <w:b/>
                <w:bCs/>
                <w:color w:val="000000"/>
                <w:sz w:val="20"/>
                <w:lang w:val="en"/>
              </w:rPr>
            </w:pPr>
            <w:r w:rsidRPr="00C02AE5">
              <w:rPr>
                <w:b/>
                <w:bCs/>
                <w:color w:val="000000"/>
                <w:sz w:val="20"/>
                <w:lang w:val="en"/>
              </w:rPr>
              <w:t>207.4 Notice to State officials</w:t>
            </w:r>
          </w:p>
        </w:tc>
      </w:tr>
      <w:tr w14:paraId="04E2CC16" w14:textId="4D3E1A54" w:rsidTr="00900101">
        <w:tblPrEx>
          <w:tblW w:w="12813" w:type="dxa"/>
          <w:tblInd w:w="-38" w:type="dxa"/>
          <w:tblLayout w:type="fixed"/>
          <w:tblLook w:val="0400"/>
        </w:tblPrEx>
        <w:trPr>
          <w:trHeight w:val="1728"/>
        </w:trPr>
        <w:tc>
          <w:tcPr>
            <w:tcW w:w="2733" w:type="dxa"/>
          </w:tcPr>
          <w:p w:rsidR="00C02AE5" w:rsidRPr="00C02AE5" w:rsidP="00C02AE5" w14:paraId="3EA78914" w14:textId="77777777">
            <w:pPr>
              <w:spacing w:line="256" w:lineRule="auto"/>
              <w:rPr>
                <w:color w:val="000000"/>
                <w:sz w:val="20"/>
                <w:lang w:val="en"/>
              </w:rPr>
            </w:pPr>
            <w:r w:rsidRPr="00C02AE5">
              <w:rPr>
                <w:color w:val="000000"/>
                <w:sz w:val="20"/>
                <w:lang w:val="en"/>
              </w:rPr>
              <w:t xml:space="preserve">—(a) Written notice of railroad (RR) police officer’s commission to each </w:t>
            </w:r>
            <w:r w:rsidRPr="00C02AE5">
              <w:rPr>
                <w:sz w:val="20"/>
                <w:lang w:val="en"/>
              </w:rPr>
              <w:t>S</w:t>
            </w:r>
            <w:r w:rsidRPr="00C02AE5">
              <w:rPr>
                <w:color w:val="000000"/>
                <w:sz w:val="20"/>
                <w:lang w:val="en"/>
              </w:rPr>
              <w:t xml:space="preserve">tate in which the RR police officer shall protect the </w:t>
            </w:r>
            <w:r w:rsidRPr="00C02AE5">
              <w:rPr>
                <w:sz w:val="20"/>
                <w:lang w:val="en"/>
              </w:rPr>
              <w:t xml:space="preserve">RR’s </w:t>
            </w:r>
            <w:r w:rsidRPr="00C02AE5">
              <w:rPr>
                <w:color w:val="000000"/>
                <w:sz w:val="20"/>
                <w:lang w:val="en"/>
              </w:rPr>
              <w:t>property, personnel, passengers, and cargo</w:t>
            </w:r>
          </w:p>
        </w:tc>
        <w:tc>
          <w:tcPr>
            <w:tcW w:w="1260" w:type="dxa"/>
          </w:tcPr>
          <w:p w:rsidR="00C02AE5" w:rsidRPr="00C02AE5" w:rsidP="00C02AE5" w14:paraId="3C4297F6" w14:textId="77777777">
            <w:pPr>
              <w:spacing w:line="256" w:lineRule="auto"/>
              <w:jc w:val="center"/>
              <w:rPr>
                <w:color w:val="000000"/>
                <w:sz w:val="20"/>
                <w:lang w:val="en"/>
              </w:rPr>
            </w:pPr>
            <w:r w:rsidRPr="00C02AE5">
              <w:rPr>
                <w:color w:val="000000"/>
                <w:sz w:val="20"/>
                <w:lang w:val="en"/>
              </w:rPr>
              <w:t xml:space="preserve">768 </w:t>
            </w:r>
          </w:p>
          <w:p w:rsidR="00C02AE5" w:rsidRPr="00C02AE5" w:rsidP="00C02AE5" w14:paraId="61CC8E15" w14:textId="77777777">
            <w:pPr>
              <w:spacing w:line="256" w:lineRule="auto"/>
              <w:jc w:val="center"/>
              <w:rPr>
                <w:color w:val="000000"/>
                <w:sz w:val="20"/>
                <w:lang w:val="en"/>
              </w:rPr>
            </w:pPr>
            <w:r w:rsidRPr="00C02AE5">
              <w:rPr>
                <w:color w:val="000000"/>
                <w:sz w:val="20"/>
                <w:lang w:val="en"/>
              </w:rPr>
              <w:t>railroads</w:t>
            </w:r>
          </w:p>
        </w:tc>
        <w:tc>
          <w:tcPr>
            <w:tcW w:w="1080" w:type="dxa"/>
          </w:tcPr>
          <w:p w:rsidR="00C02AE5" w:rsidRPr="00C02AE5" w:rsidP="00C02AE5" w14:paraId="7F73B409" w14:textId="77777777">
            <w:pPr>
              <w:spacing w:line="256" w:lineRule="auto"/>
              <w:jc w:val="center"/>
              <w:rPr>
                <w:color w:val="000000"/>
                <w:sz w:val="20"/>
                <w:lang w:val="en"/>
              </w:rPr>
            </w:pPr>
            <w:r w:rsidRPr="00C02AE5">
              <w:rPr>
                <w:color w:val="000000"/>
                <w:sz w:val="20"/>
                <w:lang w:val="en"/>
              </w:rPr>
              <w:t>52</w:t>
            </w:r>
          </w:p>
          <w:p w:rsidR="00C02AE5" w:rsidRPr="00C02AE5" w:rsidP="00C02AE5" w14:paraId="14CEB981" w14:textId="77777777">
            <w:pPr>
              <w:spacing w:line="256" w:lineRule="auto"/>
              <w:jc w:val="center"/>
              <w:rPr>
                <w:color w:val="000000"/>
                <w:sz w:val="20"/>
                <w:lang w:val="en"/>
              </w:rPr>
            </w:pPr>
            <w:r w:rsidRPr="00C02AE5">
              <w:rPr>
                <w:color w:val="000000"/>
                <w:sz w:val="20"/>
                <w:lang w:val="en"/>
              </w:rPr>
              <w:t xml:space="preserve"> written notices</w:t>
            </w:r>
          </w:p>
        </w:tc>
        <w:tc>
          <w:tcPr>
            <w:tcW w:w="1080" w:type="dxa"/>
          </w:tcPr>
          <w:p w:rsidR="00C02AE5" w:rsidRPr="00C02AE5" w:rsidP="00C02AE5" w14:paraId="59AF43A2" w14:textId="77777777">
            <w:pPr>
              <w:spacing w:line="256" w:lineRule="auto"/>
              <w:jc w:val="center"/>
              <w:rPr>
                <w:color w:val="000000"/>
                <w:sz w:val="20"/>
                <w:lang w:val="en"/>
              </w:rPr>
            </w:pPr>
            <w:r w:rsidRPr="00C02AE5">
              <w:rPr>
                <w:color w:val="000000"/>
                <w:sz w:val="20"/>
                <w:lang w:val="en"/>
              </w:rPr>
              <w:t xml:space="preserve">15 </w:t>
            </w:r>
          </w:p>
          <w:p w:rsidR="00C02AE5" w:rsidRPr="00C02AE5" w:rsidP="00C02AE5" w14:paraId="33C2796A" w14:textId="77777777">
            <w:pPr>
              <w:spacing w:line="256" w:lineRule="auto"/>
              <w:jc w:val="center"/>
              <w:rPr>
                <w:color w:val="000000"/>
                <w:sz w:val="20"/>
                <w:lang w:val="en"/>
              </w:rPr>
            </w:pPr>
            <w:r w:rsidRPr="00C02AE5">
              <w:rPr>
                <w:color w:val="000000"/>
                <w:sz w:val="20"/>
                <w:lang w:val="en"/>
              </w:rPr>
              <w:t>minutes</w:t>
            </w:r>
          </w:p>
        </w:tc>
        <w:tc>
          <w:tcPr>
            <w:tcW w:w="810" w:type="dxa"/>
          </w:tcPr>
          <w:p w:rsidR="00C02AE5" w:rsidRPr="00C02AE5" w:rsidP="00C02AE5" w14:paraId="46B8AFFF" w14:textId="77777777">
            <w:pPr>
              <w:spacing w:line="256" w:lineRule="auto"/>
              <w:jc w:val="center"/>
              <w:rPr>
                <w:color w:val="000000"/>
                <w:sz w:val="20"/>
                <w:lang w:val="en"/>
              </w:rPr>
            </w:pPr>
            <w:r w:rsidRPr="00C02AE5">
              <w:rPr>
                <w:color w:val="000000"/>
                <w:sz w:val="20"/>
                <w:lang w:val="en"/>
              </w:rPr>
              <w:t>13</w:t>
            </w:r>
          </w:p>
          <w:p w:rsidR="00C02AE5" w:rsidRPr="00C02AE5" w:rsidP="00C02AE5" w14:paraId="3644B755" w14:textId="77777777">
            <w:pPr>
              <w:spacing w:line="256" w:lineRule="auto"/>
              <w:jc w:val="center"/>
              <w:rPr>
                <w:color w:val="000000"/>
                <w:sz w:val="20"/>
                <w:lang w:val="en"/>
              </w:rPr>
            </w:pPr>
            <w:r w:rsidRPr="00C02AE5">
              <w:rPr>
                <w:color w:val="000000"/>
                <w:sz w:val="20"/>
                <w:lang w:val="en"/>
              </w:rPr>
              <w:t>hours</w:t>
            </w:r>
          </w:p>
          <w:p w:rsidR="00C02AE5" w:rsidRPr="00C02AE5" w:rsidP="00C02AE5" w14:paraId="053A0EBA" w14:textId="77777777">
            <w:pPr>
              <w:spacing w:line="256" w:lineRule="auto"/>
              <w:jc w:val="center"/>
              <w:rPr>
                <w:color w:val="000000"/>
                <w:sz w:val="20"/>
                <w:lang w:val="en"/>
              </w:rPr>
            </w:pPr>
          </w:p>
        </w:tc>
        <w:tc>
          <w:tcPr>
            <w:tcW w:w="810" w:type="dxa"/>
          </w:tcPr>
          <w:p w:rsidR="00C02AE5" w:rsidRPr="00C02AE5" w:rsidP="00C02AE5" w14:paraId="1F5396B1" w14:textId="77777777">
            <w:pPr>
              <w:spacing w:line="256" w:lineRule="auto"/>
              <w:jc w:val="center"/>
              <w:rPr>
                <w:color w:val="000000"/>
                <w:sz w:val="20"/>
                <w:lang w:val="en"/>
              </w:rPr>
            </w:pPr>
            <w:r w:rsidRPr="00C02AE5">
              <w:rPr>
                <w:color w:val="000000"/>
                <w:sz w:val="20"/>
                <w:lang w:val="en"/>
              </w:rPr>
              <w:t>$90.19</w:t>
            </w:r>
          </w:p>
        </w:tc>
        <w:tc>
          <w:tcPr>
            <w:tcW w:w="1260" w:type="dxa"/>
          </w:tcPr>
          <w:p w:rsidR="00C02AE5" w:rsidRPr="00C02AE5" w:rsidP="00C02AE5" w14:paraId="64C8C2B7" w14:textId="77777777">
            <w:pPr>
              <w:spacing w:line="256" w:lineRule="auto"/>
              <w:jc w:val="center"/>
              <w:rPr>
                <w:sz w:val="20"/>
                <w:lang w:val="en"/>
              </w:rPr>
            </w:pPr>
            <w:r w:rsidRPr="00C02AE5">
              <w:rPr>
                <w:sz w:val="20"/>
                <w:lang w:val="en"/>
              </w:rPr>
              <w:t>$1,172.47</w:t>
            </w:r>
          </w:p>
        </w:tc>
        <w:tc>
          <w:tcPr>
            <w:tcW w:w="3780" w:type="dxa"/>
          </w:tcPr>
          <w:p w:rsidR="00C02AE5" w:rsidRPr="00C02AE5" w:rsidP="00581D37" w14:paraId="6284F53C" w14:textId="69F9F250">
            <w:pPr>
              <w:spacing w:line="256" w:lineRule="auto"/>
              <w:rPr>
                <w:sz w:val="20"/>
                <w:lang w:val="en"/>
              </w:rPr>
            </w:pPr>
            <w:r w:rsidRPr="00581D37">
              <w:rPr>
                <w:sz w:val="20"/>
              </w:rPr>
              <w:t>After the designated railroad police officer is commissioned by a State or States, the railroad shall send, by certified mail, written notice to appropriate officials of every other State in which the railroad police officer shall protect the railroad</w:t>
            </w:r>
            <w:r w:rsidR="00E751A5">
              <w:rPr>
                <w:sz w:val="20"/>
              </w:rPr>
              <w:t>’</w:t>
            </w:r>
            <w:r w:rsidRPr="00581D37">
              <w:rPr>
                <w:sz w:val="20"/>
              </w:rPr>
              <w:t>s property, personnel, passengers, and cargo.</w:t>
            </w:r>
          </w:p>
        </w:tc>
      </w:tr>
      <w:tr w14:paraId="119CE3B9" w14:textId="21C0EE24" w:rsidTr="00900101">
        <w:tblPrEx>
          <w:tblW w:w="12813" w:type="dxa"/>
          <w:tblInd w:w="-38" w:type="dxa"/>
          <w:tblLayout w:type="fixed"/>
          <w:tblLook w:val="0400"/>
        </w:tblPrEx>
        <w:trPr>
          <w:trHeight w:val="576"/>
        </w:trPr>
        <w:tc>
          <w:tcPr>
            <w:tcW w:w="2733" w:type="dxa"/>
          </w:tcPr>
          <w:p w:rsidR="00C02AE5" w:rsidRPr="00C02AE5" w:rsidP="00C02AE5" w14:paraId="0BBC2729" w14:textId="77777777">
            <w:pPr>
              <w:spacing w:line="256" w:lineRule="auto"/>
              <w:rPr>
                <w:color w:val="000000"/>
                <w:sz w:val="20"/>
                <w:lang w:val="en"/>
              </w:rPr>
            </w:pPr>
            <w:r w:rsidRPr="00C02AE5">
              <w:rPr>
                <w:color w:val="000000"/>
                <w:sz w:val="20"/>
                <w:lang w:val="en"/>
              </w:rPr>
              <w:t xml:space="preserve">—(b) </w:t>
            </w:r>
            <w:r w:rsidRPr="00C02AE5">
              <w:rPr>
                <w:sz w:val="20"/>
                <w:lang w:val="en"/>
              </w:rPr>
              <w:t xml:space="preserve">RR </w:t>
            </w:r>
            <w:r w:rsidRPr="00C02AE5">
              <w:rPr>
                <w:color w:val="000000"/>
                <w:sz w:val="20"/>
                <w:lang w:val="en"/>
              </w:rPr>
              <w:t>copy of written notices to State officials</w:t>
            </w:r>
          </w:p>
        </w:tc>
        <w:tc>
          <w:tcPr>
            <w:tcW w:w="1260" w:type="dxa"/>
          </w:tcPr>
          <w:p w:rsidR="00C02AE5" w:rsidRPr="00C02AE5" w:rsidP="00C02AE5" w14:paraId="4C370817" w14:textId="77777777">
            <w:pPr>
              <w:spacing w:line="256" w:lineRule="auto"/>
              <w:jc w:val="center"/>
              <w:rPr>
                <w:color w:val="000000"/>
                <w:sz w:val="20"/>
                <w:lang w:val="en"/>
              </w:rPr>
            </w:pPr>
            <w:r w:rsidRPr="00C02AE5">
              <w:rPr>
                <w:color w:val="000000"/>
                <w:sz w:val="20"/>
                <w:lang w:val="en"/>
              </w:rPr>
              <w:t xml:space="preserve">768 </w:t>
            </w:r>
          </w:p>
          <w:p w:rsidR="00C02AE5" w:rsidRPr="00C02AE5" w:rsidP="00C02AE5" w14:paraId="763E3D08" w14:textId="77777777">
            <w:pPr>
              <w:spacing w:line="256" w:lineRule="auto"/>
              <w:jc w:val="center"/>
              <w:rPr>
                <w:color w:val="000000"/>
                <w:sz w:val="20"/>
                <w:lang w:val="en"/>
              </w:rPr>
            </w:pPr>
            <w:r w:rsidRPr="00C02AE5">
              <w:rPr>
                <w:color w:val="000000"/>
                <w:sz w:val="20"/>
                <w:lang w:val="en"/>
              </w:rPr>
              <w:t>railroads</w:t>
            </w:r>
          </w:p>
        </w:tc>
        <w:tc>
          <w:tcPr>
            <w:tcW w:w="1080" w:type="dxa"/>
          </w:tcPr>
          <w:p w:rsidR="00C02AE5" w:rsidRPr="00C02AE5" w:rsidP="00C02AE5" w14:paraId="4CB86493" w14:textId="77777777">
            <w:pPr>
              <w:spacing w:line="256" w:lineRule="auto"/>
              <w:jc w:val="center"/>
              <w:rPr>
                <w:color w:val="000000"/>
                <w:sz w:val="20"/>
                <w:lang w:val="en"/>
              </w:rPr>
            </w:pPr>
            <w:r w:rsidRPr="00C02AE5">
              <w:rPr>
                <w:color w:val="000000"/>
                <w:sz w:val="20"/>
                <w:lang w:val="en"/>
              </w:rPr>
              <w:t>52</w:t>
            </w:r>
          </w:p>
          <w:p w:rsidR="00C02AE5" w:rsidRPr="00C02AE5" w:rsidP="00C02AE5" w14:paraId="58F7413B" w14:textId="77777777">
            <w:pPr>
              <w:spacing w:line="256" w:lineRule="auto"/>
              <w:jc w:val="center"/>
              <w:rPr>
                <w:color w:val="000000"/>
                <w:sz w:val="20"/>
                <w:lang w:val="en"/>
              </w:rPr>
            </w:pPr>
            <w:r w:rsidRPr="00C02AE5">
              <w:rPr>
                <w:color w:val="000000"/>
                <w:sz w:val="20"/>
                <w:lang w:val="en"/>
              </w:rPr>
              <w:t>records</w:t>
            </w:r>
          </w:p>
        </w:tc>
        <w:tc>
          <w:tcPr>
            <w:tcW w:w="1080" w:type="dxa"/>
          </w:tcPr>
          <w:p w:rsidR="00C02AE5" w:rsidRPr="00C02AE5" w:rsidP="00C02AE5" w14:paraId="208E4881" w14:textId="77777777">
            <w:pPr>
              <w:spacing w:line="256" w:lineRule="auto"/>
              <w:jc w:val="center"/>
              <w:rPr>
                <w:color w:val="000000"/>
                <w:sz w:val="20"/>
                <w:lang w:val="en"/>
              </w:rPr>
            </w:pPr>
            <w:r w:rsidRPr="00C02AE5">
              <w:rPr>
                <w:color w:val="000000"/>
                <w:sz w:val="20"/>
                <w:lang w:val="en"/>
              </w:rPr>
              <w:t xml:space="preserve">2 </w:t>
            </w:r>
          </w:p>
          <w:p w:rsidR="00C02AE5" w:rsidRPr="00C02AE5" w:rsidP="00C02AE5" w14:paraId="0D804F10" w14:textId="77777777">
            <w:pPr>
              <w:spacing w:line="256" w:lineRule="auto"/>
              <w:jc w:val="center"/>
              <w:rPr>
                <w:color w:val="000000"/>
                <w:sz w:val="20"/>
                <w:lang w:val="en"/>
              </w:rPr>
            </w:pPr>
            <w:r w:rsidRPr="00C02AE5">
              <w:rPr>
                <w:color w:val="000000"/>
                <w:sz w:val="20"/>
                <w:lang w:val="en"/>
              </w:rPr>
              <w:t>minutes</w:t>
            </w:r>
          </w:p>
        </w:tc>
        <w:tc>
          <w:tcPr>
            <w:tcW w:w="810" w:type="dxa"/>
          </w:tcPr>
          <w:p w:rsidR="00C02AE5" w:rsidRPr="00C02AE5" w:rsidP="00C02AE5" w14:paraId="0E65D642" w14:textId="77777777">
            <w:pPr>
              <w:spacing w:line="256" w:lineRule="auto"/>
              <w:jc w:val="center"/>
              <w:rPr>
                <w:color w:val="000000"/>
                <w:sz w:val="20"/>
                <w:lang w:val="en"/>
              </w:rPr>
            </w:pPr>
            <w:r w:rsidRPr="00C02AE5">
              <w:rPr>
                <w:color w:val="000000"/>
                <w:sz w:val="20"/>
                <w:lang w:val="en"/>
              </w:rPr>
              <w:t>1.73</w:t>
            </w:r>
          </w:p>
          <w:p w:rsidR="00C02AE5" w:rsidRPr="00C02AE5" w:rsidP="00900101" w14:paraId="735F986E" w14:textId="003BA09D">
            <w:pPr>
              <w:spacing w:line="256" w:lineRule="auto"/>
              <w:jc w:val="center"/>
              <w:rPr>
                <w:color w:val="000000"/>
                <w:sz w:val="20"/>
                <w:lang w:val="en"/>
              </w:rPr>
            </w:pPr>
            <w:r w:rsidRPr="00C02AE5">
              <w:rPr>
                <w:color w:val="000000"/>
                <w:sz w:val="20"/>
                <w:lang w:val="en"/>
              </w:rPr>
              <w:t>hours</w:t>
            </w:r>
          </w:p>
        </w:tc>
        <w:tc>
          <w:tcPr>
            <w:tcW w:w="810" w:type="dxa"/>
          </w:tcPr>
          <w:p w:rsidR="00C02AE5" w:rsidRPr="00C02AE5" w:rsidP="00C02AE5" w14:paraId="3567B42A" w14:textId="77777777">
            <w:pPr>
              <w:spacing w:line="256" w:lineRule="auto"/>
              <w:jc w:val="center"/>
              <w:rPr>
                <w:color w:val="000000"/>
                <w:sz w:val="20"/>
                <w:lang w:val="en"/>
              </w:rPr>
            </w:pPr>
            <w:r w:rsidRPr="00C02AE5">
              <w:rPr>
                <w:color w:val="000000"/>
                <w:sz w:val="20"/>
                <w:lang w:val="en"/>
              </w:rPr>
              <w:t>$90.19</w:t>
            </w:r>
          </w:p>
        </w:tc>
        <w:tc>
          <w:tcPr>
            <w:tcW w:w="1260" w:type="dxa"/>
          </w:tcPr>
          <w:p w:rsidR="00C02AE5" w:rsidRPr="00C02AE5" w:rsidP="00C02AE5" w14:paraId="66778101" w14:textId="77777777">
            <w:pPr>
              <w:spacing w:line="256" w:lineRule="auto"/>
              <w:jc w:val="center"/>
              <w:rPr>
                <w:sz w:val="20"/>
                <w:lang w:val="en"/>
              </w:rPr>
            </w:pPr>
            <w:r w:rsidRPr="00C02AE5">
              <w:rPr>
                <w:sz w:val="20"/>
                <w:lang w:val="en"/>
              </w:rPr>
              <w:t>$156.03</w:t>
            </w:r>
          </w:p>
        </w:tc>
        <w:tc>
          <w:tcPr>
            <w:tcW w:w="3780" w:type="dxa"/>
          </w:tcPr>
          <w:p w:rsidR="00C02AE5" w:rsidRPr="00900101" w:rsidP="00900101" w14:paraId="017CB1C6" w14:textId="71E57741">
            <w:pPr>
              <w:spacing w:line="256" w:lineRule="auto"/>
              <w:rPr>
                <w:sz w:val="20"/>
              </w:rPr>
            </w:pPr>
            <w:r w:rsidRPr="00900101">
              <w:rPr>
                <w:sz w:val="20"/>
              </w:rPr>
              <w:t xml:space="preserve">Each railroad </w:t>
            </w:r>
            <w:r w:rsidRPr="00900101">
              <w:rPr>
                <w:sz w:val="20"/>
              </w:rPr>
              <w:t>shall</w:t>
            </w:r>
            <w:r w:rsidRPr="00900101">
              <w:rPr>
                <w:sz w:val="20"/>
              </w:rPr>
              <w:t xml:space="preserve"> keep copies of all such notices at a central location.</w:t>
            </w:r>
          </w:p>
        </w:tc>
      </w:tr>
      <w:tr w14:paraId="01079B32" w14:textId="27BCB27A" w:rsidTr="00900101">
        <w:tblPrEx>
          <w:tblW w:w="12813" w:type="dxa"/>
          <w:tblInd w:w="-38" w:type="dxa"/>
          <w:tblLayout w:type="fixed"/>
          <w:tblLook w:val="0400"/>
        </w:tblPrEx>
        <w:trPr>
          <w:trHeight w:val="215"/>
        </w:trPr>
        <w:tc>
          <w:tcPr>
            <w:tcW w:w="9033" w:type="dxa"/>
            <w:gridSpan w:val="7"/>
          </w:tcPr>
          <w:p w:rsidR="00C02AE5" w:rsidRPr="00C02AE5" w:rsidP="00C02AE5" w14:paraId="4AD8FA50" w14:textId="77777777">
            <w:pPr>
              <w:spacing w:line="256" w:lineRule="auto"/>
              <w:rPr>
                <w:sz w:val="20"/>
                <w:lang w:val="en"/>
              </w:rPr>
            </w:pPr>
            <w:r w:rsidRPr="00C02AE5">
              <w:rPr>
                <w:b/>
                <w:bCs/>
                <w:color w:val="000000"/>
                <w:sz w:val="20"/>
                <w:lang w:val="en"/>
              </w:rPr>
              <w:t>207.6 Transfers</w:t>
            </w:r>
          </w:p>
        </w:tc>
        <w:tc>
          <w:tcPr>
            <w:tcW w:w="3780" w:type="dxa"/>
          </w:tcPr>
          <w:p w:rsidR="00C02AE5" w:rsidRPr="00C02AE5" w:rsidP="00C02AE5" w14:paraId="0D17B8FB" w14:textId="77777777">
            <w:pPr>
              <w:spacing w:line="256" w:lineRule="auto"/>
              <w:rPr>
                <w:b/>
                <w:bCs/>
                <w:color w:val="000000"/>
                <w:sz w:val="20"/>
                <w:lang w:val="en"/>
              </w:rPr>
            </w:pPr>
          </w:p>
        </w:tc>
      </w:tr>
      <w:tr w14:paraId="5EF94707" w14:textId="62203F2C" w:rsidTr="00900101">
        <w:tblPrEx>
          <w:tblW w:w="12813" w:type="dxa"/>
          <w:tblInd w:w="-38" w:type="dxa"/>
          <w:tblLayout w:type="fixed"/>
          <w:tblLook w:val="0400"/>
        </w:tblPrEx>
        <w:trPr>
          <w:trHeight w:val="435"/>
        </w:trPr>
        <w:tc>
          <w:tcPr>
            <w:tcW w:w="2733" w:type="dxa"/>
          </w:tcPr>
          <w:p w:rsidR="00C02AE5" w:rsidRPr="00C02AE5" w:rsidP="00C02AE5" w14:paraId="1BD96F42" w14:textId="77777777">
            <w:pPr>
              <w:spacing w:line="256" w:lineRule="auto"/>
              <w:rPr>
                <w:color w:val="000000"/>
                <w:sz w:val="20"/>
                <w:lang w:val="en"/>
              </w:rPr>
            </w:pPr>
            <w:r w:rsidRPr="00C02AE5">
              <w:rPr>
                <w:color w:val="000000"/>
                <w:sz w:val="20"/>
                <w:lang w:val="en"/>
              </w:rPr>
              <w:t xml:space="preserve">—Application by RR police officers for new </w:t>
            </w:r>
            <w:r w:rsidRPr="00C02AE5">
              <w:rPr>
                <w:sz w:val="20"/>
                <w:lang w:val="en"/>
              </w:rPr>
              <w:t>S</w:t>
            </w:r>
            <w:r w:rsidRPr="00C02AE5">
              <w:rPr>
                <w:color w:val="000000"/>
                <w:sz w:val="20"/>
                <w:lang w:val="en"/>
              </w:rPr>
              <w:t xml:space="preserve">tate certification/commission when transferring primary employment or residence from one State to another </w:t>
            </w:r>
          </w:p>
        </w:tc>
        <w:tc>
          <w:tcPr>
            <w:tcW w:w="1260" w:type="dxa"/>
          </w:tcPr>
          <w:p w:rsidR="00C02AE5" w:rsidRPr="00C02AE5" w:rsidP="00C02AE5" w14:paraId="7F8E0340" w14:textId="77777777">
            <w:pPr>
              <w:spacing w:line="256" w:lineRule="auto"/>
              <w:jc w:val="center"/>
              <w:rPr>
                <w:color w:val="000000"/>
                <w:sz w:val="20"/>
                <w:lang w:val="en"/>
              </w:rPr>
            </w:pPr>
            <w:r w:rsidRPr="00C02AE5">
              <w:rPr>
                <w:color w:val="000000"/>
                <w:sz w:val="20"/>
                <w:lang w:val="en"/>
              </w:rPr>
              <w:t>768</w:t>
            </w:r>
          </w:p>
          <w:p w:rsidR="00C02AE5" w:rsidRPr="00C02AE5" w:rsidP="00C02AE5" w14:paraId="061FB683" w14:textId="77777777">
            <w:pPr>
              <w:spacing w:line="256" w:lineRule="auto"/>
              <w:jc w:val="center"/>
              <w:rPr>
                <w:color w:val="000000"/>
                <w:sz w:val="20"/>
                <w:lang w:val="en"/>
              </w:rPr>
            </w:pPr>
            <w:r w:rsidRPr="00C02AE5">
              <w:rPr>
                <w:color w:val="000000"/>
                <w:sz w:val="20"/>
                <w:lang w:val="en"/>
              </w:rPr>
              <w:t xml:space="preserve"> railroads</w:t>
            </w:r>
          </w:p>
        </w:tc>
        <w:tc>
          <w:tcPr>
            <w:tcW w:w="1080" w:type="dxa"/>
          </w:tcPr>
          <w:p w:rsidR="00C02AE5" w:rsidRPr="00C02AE5" w:rsidP="00C02AE5" w14:paraId="09A96C07" w14:textId="77777777">
            <w:pPr>
              <w:spacing w:line="256" w:lineRule="auto"/>
              <w:jc w:val="center"/>
              <w:rPr>
                <w:color w:val="000000"/>
                <w:sz w:val="20"/>
                <w:lang w:val="en"/>
              </w:rPr>
            </w:pPr>
            <w:r w:rsidRPr="00C02AE5">
              <w:rPr>
                <w:color w:val="000000"/>
                <w:sz w:val="20"/>
                <w:lang w:val="en"/>
              </w:rPr>
              <w:t>8</w:t>
            </w:r>
          </w:p>
          <w:p w:rsidR="00C02AE5" w:rsidRPr="00C02AE5" w:rsidP="00C02AE5" w14:paraId="43A1F101" w14:textId="77777777">
            <w:pPr>
              <w:spacing w:line="256" w:lineRule="auto"/>
              <w:jc w:val="center"/>
              <w:rPr>
                <w:color w:val="000000"/>
                <w:sz w:val="20"/>
                <w:lang w:val="en"/>
              </w:rPr>
            </w:pPr>
            <w:r w:rsidRPr="00C02AE5">
              <w:rPr>
                <w:color w:val="000000"/>
                <w:sz w:val="20"/>
                <w:lang w:val="en"/>
              </w:rPr>
              <w:t>records</w:t>
            </w:r>
          </w:p>
        </w:tc>
        <w:tc>
          <w:tcPr>
            <w:tcW w:w="1080" w:type="dxa"/>
          </w:tcPr>
          <w:p w:rsidR="00C02AE5" w:rsidRPr="00C02AE5" w:rsidP="00C02AE5" w14:paraId="36A79080" w14:textId="77777777">
            <w:pPr>
              <w:spacing w:line="256" w:lineRule="auto"/>
              <w:jc w:val="center"/>
              <w:rPr>
                <w:color w:val="000000"/>
                <w:sz w:val="20"/>
                <w:lang w:val="en"/>
              </w:rPr>
            </w:pPr>
            <w:r w:rsidRPr="00C02AE5">
              <w:rPr>
                <w:color w:val="000000"/>
                <w:sz w:val="20"/>
                <w:lang w:val="en"/>
              </w:rPr>
              <w:t xml:space="preserve">2 </w:t>
            </w:r>
          </w:p>
          <w:p w:rsidR="00C02AE5" w:rsidRPr="00C02AE5" w:rsidP="00C02AE5" w14:paraId="555F4FDF" w14:textId="77777777">
            <w:pPr>
              <w:spacing w:line="256" w:lineRule="auto"/>
              <w:jc w:val="center"/>
              <w:rPr>
                <w:color w:val="000000"/>
                <w:sz w:val="20"/>
                <w:lang w:val="en"/>
              </w:rPr>
            </w:pPr>
            <w:r w:rsidRPr="00C02AE5">
              <w:rPr>
                <w:color w:val="000000"/>
                <w:sz w:val="20"/>
                <w:lang w:val="en"/>
              </w:rPr>
              <w:t>minutes</w:t>
            </w:r>
          </w:p>
        </w:tc>
        <w:tc>
          <w:tcPr>
            <w:tcW w:w="810" w:type="dxa"/>
          </w:tcPr>
          <w:p w:rsidR="00C02AE5" w:rsidRPr="00C02AE5" w:rsidP="00C02AE5" w14:paraId="448801E4" w14:textId="77777777">
            <w:pPr>
              <w:spacing w:line="256" w:lineRule="auto"/>
              <w:jc w:val="center"/>
              <w:rPr>
                <w:color w:val="000000"/>
                <w:sz w:val="20"/>
                <w:lang w:val="en"/>
              </w:rPr>
            </w:pPr>
            <w:r w:rsidRPr="00C02AE5">
              <w:rPr>
                <w:color w:val="000000"/>
                <w:sz w:val="20"/>
                <w:lang w:val="en"/>
              </w:rPr>
              <w:t>0.27</w:t>
            </w:r>
          </w:p>
          <w:p w:rsidR="00C02AE5" w:rsidRPr="00C02AE5" w:rsidP="00C02AE5" w14:paraId="30BD668A" w14:textId="77777777">
            <w:pPr>
              <w:spacing w:line="256" w:lineRule="auto"/>
              <w:jc w:val="center"/>
              <w:rPr>
                <w:color w:val="000000"/>
                <w:sz w:val="20"/>
                <w:lang w:val="en"/>
              </w:rPr>
            </w:pPr>
            <w:r w:rsidRPr="00C02AE5">
              <w:rPr>
                <w:color w:val="000000"/>
                <w:sz w:val="20"/>
                <w:lang w:val="en"/>
              </w:rPr>
              <w:t>hours</w:t>
            </w:r>
          </w:p>
          <w:p w:rsidR="00C02AE5" w:rsidRPr="00C02AE5" w:rsidP="00C02AE5" w14:paraId="6D138662" w14:textId="77777777">
            <w:pPr>
              <w:spacing w:line="256" w:lineRule="auto"/>
              <w:jc w:val="center"/>
              <w:rPr>
                <w:color w:val="000000"/>
                <w:sz w:val="20"/>
                <w:lang w:val="en"/>
              </w:rPr>
            </w:pPr>
          </w:p>
        </w:tc>
        <w:tc>
          <w:tcPr>
            <w:tcW w:w="810" w:type="dxa"/>
          </w:tcPr>
          <w:p w:rsidR="00C02AE5" w:rsidRPr="00C02AE5" w:rsidP="00C02AE5" w14:paraId="21175E08" w14:textId="77777777">
            <w:pPr>
              <w:spacing w:line="256" w:lineRule="auto"/>
              <w:jc w:val="center"/>
              <w:rPr>
                <w:sz w:val="20"/>
                <w:lang w:val="en"/>
              </w:rPr>
            </w:pPr>
            <w:r w:rsidRPr="00C02AE5">
              <w:rPr>
                <w:color w:val="000000"/>
                <w:sz w:val="20"/>
                <w:lang w:val="en"/>
              </w:rPr>
              <w:t>$90.19</w:t>
            </w:r>
          </w:p>
        </w:tc>
        <w:tc>
          <w:tcPr>
            <w:tcW w:w="1260" w:type="dxa"/>
          </w:tcPr>
          <w:p w:rsidR="00C02AE5" w:rsidRPr="00C02AE5" w:rsidP="00C02AE5" w14:paraId="187F1946" w14:textId="77777777">
            <w:pPr>
              <w:spacing w:line="256" w:lineRule="auto"/>
              <w:jc w:val="center"/>
              <w:rPr>
                <w:sz w:val="20"/>
                <w:lang w:val="en"/>
              </w:rPr>
            </w:pPr>
            <w:r w:rsidRPr="00C02AE5">
              <w:rPr>
                <w:sz w:val="20"/>
                <w:lang w:val="en"/>
              </w:rPr>
              <w:t>$24.35</w:t>
            </w:r>
          </w:p>
        </w:tc>
        <w:tc>
          <w:tcPr>
            <w:tcW w:w="3780" w:type="dxa"/>
          </w:tcPr>
          <w:p w:rsidR="00C02AE5" w:rsidRPr="00C02AE5" w:rsidP="00900101" w14:paraId="0A247635" w14:textId="7741EFDC">
            <w:pPr>
              <w:spacing w:line="256" w:lineRule="auto"/>
              <w:rPr>
                <w:sz w:val="20"/>
                <w:lang w:val="en"/>
              </w:rPr>
            </w:pPr>
            <w:r w:rsidRPr="00900101">
              <w:rPr>
                <w:sz w:val="20"/>
              </w:rPr>
              <w:t>If a railroad police officer certified or commissioned as a police officer under the laws of a State or jurisdiction transfers</w:t>
            </w:r>
            <w:r>
              <w:rPr>
                <w:sz w:val="20"/>
              </w:rPr>
              <w:t xml:space="preserve"> </w:t>
            </w:r>
            <w:r w:rsidRPr="00900101">
              <w:rPr>
                <w:sz w:val="20"/>
              </w:rPr>
              <w:t>primary employment or residence from the certifying or commissioning State to another State or jurisdiction, then the railroad police officer must apply to be certified or commissioned as a police officer under the laws of the State of new primary employment or residence not later than one (1) year after the date of transfer.</w:t>
            </w:r>
          </w:p>
        </w:tc>
      </w:tr>
      <w:tr w14:paraId="64EF9BEB" w14:textId="33D78ABF" w:rsidTr="00900101">
        <w:tblPrEx>
          <w:tblW w:w="12813" w:type="dxa"/>
          <w:tblInd w:w="-38" w:type="dxa"/>
          <w:tblLayout w:type="fixed"/>
          <w:tblLook w:val="0400"/>
        </w:tblPrEx>
        <w:trPr>
          <w:trHeight w:val="543"/>
        </w:trPr>
        <w:tc>
          <w:tcPr>
            <w:tcW w:w="2733" w:type="dxa"/>
          </w:tcPr>
          <w:p w:rsidR="00C02AE5" w:rsidRPr="00C02AE5" w:rsidP="00C02AE5" w14:paraId="1C26C504" w14:textId="77777777">
            <w:pPr>
              <w:rPr>
                <w:sz w:val="20"/>
                <w:lang w:val="en"/>
              </w:rPr>
            </w:pPr>
            <w:r w:rsidRPr="00C02AE5">
              <w:rPr>
                <w:color w:val="000000"/>
                <w:sz w:val="20"/>
                <w:lang w:val="en"/>
              </w:rPr>
              <w:t>Total</w:t>
            </w:r>
            <w:r>
              <w:rPr>
                <w:color w:val="000000"/>
                <w:sz w:val="20"/>
                <w:vertAlign w:val="superscript"/>
                <w:lang w:val="en"/>
              </w:rPr>
              <w:footnoteReference w:id="8"/>
            </w:r>
          </w:p>
          <w:p w:rsidR="00C02AE5" w:rsidRPr="00C02AE5" w:rsidP="00C02AE5" w14:paraId="1660EC65" w14:textId="77777777">
            <w:pPr>
              <w:rPr>
                <w:color w:val="000000"/>
                <w:sz w:val="20"/>
                <w:lang w:val="en"/>
              </w:rPr>
            </w:pPr>
          </w:p>
        </w:tc>
        <w:tc>
          <w:tcPr>
            <w:tcW w:w="1260" w:type="dxa"/>
          </w:tcPr>
          <w:p w:rsidR="00C02AE5" w:rsidRPr="00C02AE5" w:rsidP="00C02AE5" w14:paraId="1F598C2D" w14:textId="77777777">
            <w:pPr>
              <w:jc w:val="center"/>
              <w:rPr>
                <w:color w:val="000000"/>
                <w:sz w:val="20"/>
                <w:lang w:val="en"/>
              </w:rPr>
            </w:pPr>
            <w:r w:rsidRPr="00C02AE5">
              <w:rPr>
                <w:color w:val="000000"/>
                <w:sz w:val="20"/>
                <w:lang w:val="en"/>
              </w:rPr>
              <w:t>768</w:t>
            </w:r>
          </w:p>
          <w:p w:rsidR="00C02AE5" w:rsidRPr="00C02AE5" w:rsidP="00C02AE5" w14:paraId="496357A4" w14:textId="77777777">
            <w:pPr>
              <w:jc w:val="center"/>
              <w:rPr>
                <w:color w:val="000000"/>
                <w:sz w:val="20"/>
                <w:lang w:val="en"/>
              </w:rPr>
            </w:pPr>
            <w:r w:rsidRPr="00C02AE5">
              <w:rPr>
                <w:color w:val="000000"/>
                <w:sz w:val="20"/>
                <w:lang w:val="en"/>
              </w:rPr>
              <w:t>railroads</w:t>
            </w:r>
          </w:p>
        </w:tc>
        <w:tc>
          <w:tcPr>
            <w:tcW w:w="1080" w:type="dxa"/>
          </w:tcPr>
          <w:p w:rsidR="00C02AE5" w:rsidRPr="00C02AE5" w:rsidP="00C02AE5" w14:paraId="0325F863" w14:textId="77777777">
            <w:pPr>
              <w:jc w:val="center"/>
              <w:rPr>
                <w:color w:val="000000"/>
                <w:sz w:val="20"/>
                <w:lang w:val="en"/>
              </w:rPr>
            </w:pPr>
            <w:r w:rsidRPr="00C02AE5">
              <w:rPr>
                <w:color w:val="000000"/>
                <w:sz w:val="20"/>
                <w:lang w:val="en"/>
              </w:rPr>
              <w:t>112</w:t>
            </w:r>
          </w:p>
          <w:p w:rsidR="00C02AE5" w:rsidRPr="00C02AE5" w:rsidP="00C02AE5" w14:paraId="62B69E38" w14:textId="77777777">
            <w:pPr>
              <w:jc w:val="center"/>
              <w:rPr>
                <w:color w:val="000000"/>
                <w:sz w:val="20"/>
                <w:lang w:val="en"/>
              </w:rPr>
            </w:pPr>
            <w:r w:rsidRPr="00C02AE5">
              <w:rPr>
                <w:color w:val="000000"/>
                <w:sz w:val="20"/>
                <w:lang w:val="en"/>
              </w:rPr>
              <w:t>responses</w:t>
            </w:r>
          </w:p>
        </w:tc>
        <w:tc>
          <w:tcPr>
            <w:tcW w:w="1080" w:type="dxa"/>
          </w:tcPr>
          <w:p w:rsidR="00C02AE5" w:rsidRPr="00C02AE5" w:rsidP="00C02AE5" w14:paraId="12E0A34A" w14:textId="77777777">
            <w:pPr>
              <w:jc w:val="right"/>
              <w:rPr>
                <w:color w:val="000000"/>
                <w:sz w:val="20"/>
                <w:lang w:val="en"/>
              </w:rPr>
            </w:pPr>
          </w:p>
        </w:tc>
        <w:tc>
          <w:tcPr>
            <w:tcW w:w="810" w:type="dxa"/>
          </w:tcPr>
          <w:p w:rsidR="00C02AE5" w:rsidRPr="00C02AE5" w:rsidP="00C02AE5" w14:paraId="4EE5094D" w14:textId="77777777">
            <w:pPr>
              <w:jc w:val="center"/>
              <w:rPr>
                <w:color w:val="000000"/>
                <w:sz w:val="20"/>
                <w:lang w:val="en"/>
              </w:rPr>
            </w:pPr>
            <w:r w:rsidRPr="00C02AE5">
              <w:rPr>
                <w:color w:val="000000"/>
                <w:sz w:val="20"/>
                <w:lang w:val="en"/>
              </w:rPr>
              <w:t>15</w:t>
            </w:r>
          </w:p>
          <w:p w:rsidR="00C02AE5" w:rsidRPr="00C02AE5" w:rsidP="00C02AE5" w14:paraId="43A2AA63" w14:textId="77777777">
            <w:pPr>
              <w:jc w:val="center"/>
              <w:rPr>
                <w:color w:val="000000"/>
                <w:sz w:val="20"/>
                <w:lang w:val="en"/>
              </w:rPr>
            </w:pPr>
            <w:r w:rsidRPr="00C02AE5">
              <w:rPr>
                <w:color w:val="000000"/>
                <w:sz w:val="20"/>
                <w:lang w:val="en"/>
              </w:rPr>
              <w:t>hours</w:t>
            </w:r>
          </w:p>
        </w:tc>
        <w:tc>
          <w:tcPr>
            <w:tcW w:w="810" w:type="dxa"/>
          </w:tcPr>
          <w:p w:rsidR="00C02AE5" w:rsidRPr="00C02AE5" w:rsidP="00C02AE5" w14:paraId="526F6285" w14:textId="77777777">
            <w:pPr>
              <w:jc w:val="right"/>
              <w:rPr>
                <w:color w:val="000000"/>
                <w:sz w:val="20"/>
                <w:lang w:val="en"/>
              </w:rPr>
            </w:pPr>
          </w:p>
        </w:tc>
        <w:tc>
          <w:tcPr>
            <w:tcW w:w="1260" w:type="dxa"/>
          </w:tcPr>
          <w:p w:rsidR="00C02AE5" w:rsidRPr="00C02AE5" w:rsidP="00C02AE5" w14:paraId="162357E5" w14:textId="77777777">
            <w:pPr>
              <w:jc w:val="center"/>
              <w:rPr>
                <w:sz w:val="20"/>
                <w:lang w:val="en"/>
              </w:rPr>
            </w:pPr>
            <w:r w:rsidRPr="00C02AE5">
              <w:rPr>
                <w:sz w:val="20"/>
                <w:lang w:val="en"/>
              </w:rPr>
              <w:t>$1,352.85</w:t>
            </w:r>
          </w:p>
        </w:tc>
        <w:tc>
          <w:tcPr>
            <w:tcW w:w="3780" w:type="dxa"/>
          </w:tcPr>
          <w:p w:rsidR="00C02AE5" w:rsidRPr="00C02AE5" w:rsidP="00C02AE5" w14:paraId="6EF2A3C4" w14:textId="77777777">
            <w:pPr>
              <w:jc w:val="center"/>
              <w:rPr>
                <w:sz w:val="20"/>
                <w:lang w:val="en"/>
              </w:rPr>
            </w:pPr>
          </w:p>
        </w:tc>
      </w:tr>
    </w:tbl>
    <w:p w:rsidR="00C02AE5" w:rsidP="00900101" w14:paraId="545878CD" w14:textId="77777777">
      <w:pPr>
        <w:widowControl w:val="0"/>
        <w:rPr>
          <w:lang w:val="en-CA"/>
        </w:rPr>
      </w:pPr>
    </w:p>
    <w:p w:rsidR="007969EF" w:rsidP="007969EF" w14:paraId="3F4E4246" w14:textId="77777777">
      <w:pPr>
        <w:widowControl w:val="0"/>
      </w:pPr>
      <w:r w:rsidRPr="00AD423C">
        <w:rPr>
          <w:b/>
        </w:rPr>
        <w:t>13.</w:t>
      </w:r>
      <w:r w:rsidRPr="00AD423C">
        <w:rPr>
          <w:b/>
        </w:rPr>
        <w:tab/>
      </w:r>
      <w:r w:rsidRPr="00B26C07">
        <w:rPr>
          <w:b/>
          <w:u w:val="single"/>
        </w:rPr>
        <w:t>Estimate of total annual costs to respondents</w:t>
      </w:r>
      <w:r w:rsidRPr="00B26C07">
        <w:t>.</w:t>
      </w:r>
    </w:p>
    <w:p w:rsidR="007969EF" w:rsidP="007969EF" w14:paraId="38515FA8" w14:textId="77777777">
      <w:pPr>
        <w:widowControl w:val="0"/>
      </w:pPr>
    </w:p>
    <w:p w:rsidR="007969EF" w:rsidP="007969EF" w14:paraId="24CF7CE9" w14:textId="4B21A2DA">
      <w:pPr>
        <w:widowControl w:val="0"/>
        <w:ind w:left="720"/>
        <w:rPr>
          <w:lang w:val="en-CA"/>
        </w:rPr>
      </w:pPr>
      <w:r>
        <w:rPr>
          <w:u w:val="single"/>
          <w:lang w:val="en-CA"/>
        </w:rPr>
        <w:t>Cost to respondents</w:t>
      </w:r>
      <w:r>
        <w:rPr>
          <w:lang w:val="en-CA"/>
        </w:rPr>
        <w:t xml:space="preserve">: </w:t>
      </w:r>
    </w:p>
    <w:p w:rsidR="007969EF" w:rsidP="007969EF" w14:paraId="46F7B80F" w14:textId="77777777">
      <w:pPr>
        <w:widowControl w:val="0"/>
        <w:rPr>
          <w:lang w:val="en-CA"/>
        </w:rPr>
      </w:pPr>
    </w:p>
    <w:p w:rsidR="00900101" w14:paraId="55CA898D" w14:textId="79C42064">
      <w:pPr>
        <w:widowControl w:val="0"/>
        <w:ind w:left="720"/>
        <w:rPr>
          <w:lang w:val="en-CA"/>
        </w:rPr>
      </w:pPr>
      <w:r>
        <w:rPr>
          <w:lang w:val="en-CA"/>
        </w:rPr>
        <w:t>Postage:</w:t>
      </w:r>
      <w:r>
        <w:rPr>
          <w:lang w:val="en-CA"/>
        </w:rPr>
        <w:t xml:space="preserve"> 23</w:t>
      </w:r>
      <w:r>
        <w:rPr>
          <w:rStyle w:val="FootnoteReference"/>
          <w:lang w:val="en-CA"/>
        </w:rPr>
        <w:footnoteReference w:id="9"/>
      </w:r>
      <w:r>
        <w:rPr>
          <w:lang w:val="en-CA"/>
        </w:rPr>
        <w:t xml:space="preserve"> </w:t>
      </w:r>
      <w:r w:rsidR="00756B37">
        <w:rPr>
          <w:lang w:val="en-CA"/>
        </w:rPr>
        <w:t>S</w:t>
      </w:r>
      <w:r>
        <w:rPr>
          <w:lang w:val="en-CA"/>
        </w:rPr>
        <w:t>tates x $</w:t>
      </w:r>
      <w:r w:rsidR="00281AEF">
        <w:rPr>
          <w:lang w:val="en-CA"/>
        </w:rPr>
        <w:t>1.65</w:t>
      </w:r>
      <w:r>
        <w:rPr>
          <w:rStyle w:val="FootnoteReference"/>
          <w:lang w:val="en-CA"/>
        </w:rPr>
        <w:footnoteReference w:id="10"/>
      </w:r>
      <w:r w:rsidR="00281AEF">
        <w:rPr>
          <w:lang w:val="en-CA"/>
        </w:rPr>
        <w:t xml:space="preserve"> x certified mail $5.30</w:t>
      </w:r>
      <w:r w:rsidR="00C32CED">
        <w:rPr>
          <w:lang w:val="en-CA"/>
        </w:rPr>
        <w:t xml:space="preserve"> = $201</w:t>
      </w:r>
    </w:p>
    <w:p w:rsidR="00900101" w:rsidP="00900101" w14:paraId="105D4232" w14:textId="77777777">
      <w:pPr>
        <w:widowControl w:val="0"/>
        <w:ind w:left="720"/>
        <w:rPr>
          <w:lang w:val="en-CA"/>
        </w:rPr>
      </w:pPr>
    </w:p>
    <w:p w:rsidR="009734FF" w:rsidP="00900101" w14:paraId="3105F6E4" w14:textId="30D5ECA7">
      <w:pPr>
        <w:widowControl w:val="0"/>
        <w:ind w:left="720"/>
        <w:rPr>
          <w:lang w:val="en-CA"/>
        </w:rPr>
      </w:pPr>
      <w:r>
        <w:rPr>
          <w:lang w:val="en-CA"/>
        </w:rPr>
        <w:t>For verification of the individual</w:t>
      </w:r>
      <w:r w:rsidR="00900101">
        <w:rPr>
          <w:lang w:val="en-CA"/>
        </w:rPr>
        <w:t>,</w:t>
      </w:r>
      <w:r>
        <w:rPr>
          <w:lang w:val="en-CA"/>
        </w:rPr>
        <w:t xml:space="preserve"> railroads include with the documentation to the </w:t>
      </w:r>
      <w:r w:rsidR="002268CA">
        <w:rPr>
          <w:lang w:val="en-CA"/>
        </w:rPr>
        <w:t>S</w:t>
      </w:r>
      <w:r>
        <w:rPr>
          <w:lang w:val="en-CA"/>
        </w:rPr>
        <w:t xml:space="preserve">tates a </w:t>
      </w:r>
      <w:r w:rsidR="00DD51D7">
        <w:rPr>
          <w:lang w:val="en-CA"/>
        </w:rPr>
        <w:t xml:space="preserve">color photograph </w:t>
      </w:r>
      <w:r>
        <w:rPr>
          <w:lang w:val="en-CA"/>
        </w:rPr>
        <w:t>copy of the police officer</w:t>
      </w:r>
      <w:r w:rsidR="007E3CBF">
        <w:rPr>
          <w:lang w:val="en-CA"/>
        </w:rPr>
        <w:t>’</w:t>
      </w:r>
      <w:r>
        <w:rPr>
          <w:lang w:val="en-CA"/>
        </w:rPr>
        <w:t xml:space="preserve">s ID Badge. </w:t>
      </w:r>
      <w:r w:rsidR="001F6CE4">
        <w:rPr>
          <w:lang w:val="en-CA"/>
        </w:rPr>
        <w:t>Because i</w:t>
      </w:r>
      <w:r>
        <w:rPr>
          <w:lang w:val="en-CA"/>
        </w:rPr>
        <w:t>ssuance of ID cards</w:t>
      </w:r>
      <w:r w:rsidR="001B0982">
        <w:rPr>
          <w:lang w:val="en-CA"/>
        </w:rPr>
        <w:t xml:space="preserve"> and maintaining photo</w:t>
      </w:r>
      <w:r w:rsidR="001F07DB">
        <w:rPr>
          <w:lang w:val="en-CA"/>
        </w:rPr>
        <w:t>graph</w:t>
      </w:r>
      <w:r w:rsidR="001B0982">
        <w:rPr>
          <w:lang w:val="en-CA"/>
        </w:rPr>
        <w:t xml:space="preserve"> copies thereof</w:t>
      </w:r>
      <w:r>
        <w:rPr>
          <w:lang w:val="en-CA"/>
        </w:rPr>
        <w:t xml:space="preserve"> is standard procedure when onboarding new employees</w:t>
      </w:r>
      <w:r w:rsidR="001F6CE4">
        <w:rPr>
          <w:lang w:val="en-CA"/>
        </w:rPr>
        <w:t>,</w:t>
      </w:r>
      <w:r>
        <w:rPr>
          <w:lang w:val="en-CA"/>
        </w:rPr>
        <w:t xml:space="preserve"> there is no additional cost for photos.</w:t>
      </w:r>
    </w:p>
    <w:p w:rsidR="007969EF" w:rsidP="007969EF" w14:paraId="46EB0BEC" w14:textId="77777777">
      <w:pPr>
        <w:widowControl w:val="0"/>
        <w:rPr>
          <w:lang w:val="en-CA"/>
        </w:rPr>
      </w:pPr>
    </w:p>
    <w:p w:rsidR="00660288" w:rsidP="00C32CED" w14:paraId="59BFD695" w14:textId="77777777">
      <w:pPr>
        <w:widowControl w:val="0"/>
        <w:ind w:left="720"/>
        <w:rPr>
          <w:bCs/>
          <w:lang w:val="en-CA"/>
        </w:rPr>
        <w:sectPr w:rsidSect="00581D37">
          <w:pgSz w:w="15840" w:h="12240" w:orient="landscape"/>
          <w:pgMar w:top="1440" w:right="1440" w:bottom="1440" w:left="1915" w:header="1440" w:footer="1440" w:gutter="0"/>
          <w:cols w:space="720"/>
          <w:docGrid w:linePitch="326"/>
        </w:sectPr>
      </w:pPr>
      <w:r>
        <w:rPr>
          <w:bCs/>
          <w:lang w:val="en-CA"/>
        </w:rPr>
        <w:t>As noted under Question 3</w:t>
      </w:r>
      <w:r w:rsidR="00110B5B">
        <w:rPr>
          <w:bCs/>
          <w:lang w:val="en-CA"/>
        </w:rPr>
        <w:t>,</w:t>
      </w:r>
      <w:r>
        <w:rPr>
          <w:bCs/>
          <w:lang w:val="en-CA"/>
        </w:rPr>
        <w:t xml:space="preserve"> </w:t>
      </w:r>
      <w:r w:rsidR="00110B5B">
        <w:rPr>
          <w:bCs/>
          <w:lang w:val="en-CA"/>
        </w:rPr>
        <w:t>“</w:t>
      </w:r>
      <w:r>
        <w:rPr>
          <w:bCs/>
          <w:lang w:val="en-CA"/>
        </w:rPr>
        <w:t>Extent of Automated Information Collection”</w:t>
      </w:r>
      <w:r w:rsidR="00110B5B">
        <w:rPr>
          <w:bCs/>
          <w:lang w:val="en-CA"/>
        </w:rPr>
        <w:t>,</w:t>
      </w:r>
      <w:r>
        <w:rPr>
          <w:bCs/>
          <w:lang w:val="en-CA"/>
        </w:rPr>
        <w:t xml:space="preserve"> FRA encourages railroads to send the </w:t>
      </w:r>
    </w:p>
    <w:p w:rsidR="00D858C0" w:rsidRPr="00511683" w:rsidP="00C32CED" w14:paraId="30C487EE" w14:textId="41C16592">
      <w:pPr>
        <w:widowControl w:val="0"/>
        <w:ind w:left="720"/>
        <w:rPr>
          <w:bCs/>
          <w:lang w:val="en-CA"/>
        </w:rPr>
      </w:pPr>
      <w:r>
        <w:rPr>
          <w:bCs/>
          <w:lang w:val="en-CA"/>
        </w:rPr>
        <w:t>information required under §</w:t>
      </w:r>
      <w:r w:rsidR="00110B5B">
        <w:rPr>
          <w:bCs/>
          <w:lang w:val="en-CA"/>
        </w:rPr>
        <w:t xml:space="preserve"> </w:t>
      </w:r>
      <w:r>
        <w:rPr>
          <w:bCs/>
          <w:lang w:val="en-CA"/>
        </w:rPr>
        <w:t>207.4 electronically if they are equipped to do so. FRA estimates that few railroads still use certified mail</w:t>
      </w:r>
      <w:r w:rsidR="00B073CE">
        <w:rPr>
          <w:bCs/>
          <w:lang w:val="en-CA"/>
        </w:rPr>
        <w:t>;</w:t>
      </w:r>
      <w:r>
        <w:rPr>
          <w:bCs/>
          <w:lang w:val="en-CA"/>
        </w:rPr>
        <w:t xml:space="preserve"> therefore</w:t>
      </w:r>
      <w:r w:rsidR="00B073CE">
        <w:rPr>
          <w:bCs/>
          <w:lang w:val="en-CA"/>
        </w:rPr>
        <w:t>,</w:t>
      </w:r>
      <w:r>
        <w:rPr>
          <w:bCs/>
          <w:lang w:val="en-CA"/>
        </w:rPr>
        <w:t xml:space="preserve"> the cost estimated is more informational to reflect what the cost to the railroad would be should they use certified mail to send notifications to the </w:t>
      </w:r>
      <w:r w:rsidR="002268CA">
        <w:rPr>
          <w:bCs/>
          <w:lang w:val="en-CA"/>
        </w:rPr>
        <w:t>St</w:t>
      </w:r>
      <w:r>
        <w:rPr>
          <w:bCs/>
          <w:lang w:val="en-CA"/>
        </w:rPr>
        <w:t xml:space="preserve">ates. </w:t>
      </w:r>
    </w:p>
    <w:p w:rsidR="007969EF" w:rsidP="007969EF" w14:paraId="0BF1D44E" w14:textId="77777777">
      <w:pPr>
        <w:widowControl w:val="0"/>
        <w:ind w:left="2160" w:hanging="2160"/>
        <w:rPr>
          <w:b/>
        </w:rPr>
      </w:pPr>
      <w:r>
        <w:rPr>
          <w:lang w:val="en-CA"/>
        </w:rPr>
        <w:t xml:space="preserve">                        </w:t>
      </w:r>
      <w:r>
        <w:rPr>
          <w:b/>
        </w:rPr>
        <w:t xml:space="preserve">  </w:t>
      </w:r>
      <w:r>
        <w:rPr>
          <w:b/>
        </w:rPr>
        <w:tab/>
      </w:r>
    </w:p>
    <w:p w:rsidR="007969EF" w:rsidRPr="00AD423C" w:rsidP="007969EF" w14:paraId="576A7200" w14:textId="77777777">
      <w:pPr>
        <w:widowControl w:val="0"/>
        <w:ind w:left="720" w:hanging="720"/>
        <w:rPr>
          <w:b/>
        </w:rPr>
      </w:pPr>
      <w:r w:rsidRPr="00AD423C">
        <w:rPr>
          <w:b/>
        </w:rPr>
        <w:t>14.</w:t>
      </w:r>
      <w:r w:rsidRPr="00AD423C">
        <w:rPr>
          <w:b/>
        </w:rPr>
        <w:tab/>
      </w:r>
      <w:r w:rsidRPr="00AD423C">
        <w:rPr>
          <w:b/>
          <w:u w:val="single"/>
        </w:rPr>
        <w:t xml:space="preserve">Estimate of </w:t>
      </w:r>
      <w:r>
        <w:rPr>
          <w:b/>
          <w:u w:val="single"/>
        </w:rPr>
        <w:t>c</w:t>
      </w:r>
      <w:r w:rsidRPr="00AD423C">
        <w:rPr>
          <w:b/>
          <w:u w:val="single"/>
        </w:rPr>
        <w:t>ost to Federal Government</w:t>
      </w:r>
      <w:r w:rsidRPr="00AD423C">
        <w:t>.</w:t>
      </w:r>
    </w:p>
    <w:p w:rsidR="007969EF" w:rsidP="007969EF" w14:paraId="29A456A6" w14:textId="77777777">
      <w:pPr>
        <w:widowControl w:val="0"/>
        <w:rPr>
          <w:b/>
        </w:rPr>
      </w:pPr>
    </w:p>
    <w:p w:rsidR="00F84990" w:rsidP="007969EF" w14:paraId="17DA8AF8" w14:textId="04733F47">
      <w:pPr>
        <w:widowControl w:val="0"/>
        <w:ind w:left="720"/>
        <w:rPr>
          <w:lang w:val="en-CA"/>
        </w:rPr>
      </w:pPr>
      <w:r>
        <w:rPr>
          <w:lang w:val="en-CA"/>
        </w:rPr>
        <w:t xml:space="preserve">There is no cost to the Federal </w:t>
      </w:r>
      <w:r w:rsidR="00004E2D">
        <w:rPr>
          <w:lang w:val="en-CA"/>
        </w:rPr>
        <w:t>g</w:t>
      </w:r>
      <w:r>
        <w:rPr>
          <w:lang w:val="en-CA"/>
        </w:rPr>
        <w:t xml:space="preserve">overnment since </w:t>
      </w:r>
      <w:r w:rsidR="003A2B75">
        <w:rPr>
          <w:lang w:val="en-CA"/>
        </w:rPr>
        <w:t>FRA’s regulation</w:t>
      </w:r>
      <w:r>
        <w:rPr>
          <w:lang w:val="en-CA"/>
        </w:rPr>
        <w:t xml:space="preserve"> imposes notice and recordkeeping requirements solely upon railroads and </w:t>
      </w:r>
      <w:r w:rsidR="00A70770">
        <w:rPr>
          <w:lang w:val="en-CA"/>
        </w:rPr>
        <w:t>S</w:t>
      </w:r>
      <w:r>
        <w:rPr>
          <w:lang w:val="en-CA"/>
        </w:rPr>
        <w:t xml:space="preserve">tates.  </w:t>
      </w:r>
    </w:p>
    <w:p w:rsidR="007969EF" w:rsidP="007969EF" w14:paraId="209CE052" w14:textId="7FA06D8B">
      <w:pPr>
        <w:widowControl w:val="0"/>
        <w:ind w:left="720"/>
        <w:rPr>
          <w:b/>
        </w:rPr>
      </w:pPr>
    </w:p>
    <w:p w:rsidR="007969EF" w:rsidP="007969EF" w14:paraId="3D565E3D" w14:textId="77777777">
      <w:pPr>
        <w:widowControl w:val="0"/>
        <w:ind w:left="720" w:hanging="720"/>
      </w:pPr>
      <w:r w:rsidRPr="009C0D96">
        <w:rPr>
          <w:b/>
        </w:rPr>
        <w:t>15.</w:t>
      </w:r>
      <w:r w:rsidRPr="009C0D96">
        <w:rPr>
          <w:b/>
        </w:rPr>
        <w:tab/>
      </w:r>
      <w:r w:rsidRPr="009C0D96">
        <w:rPr>
          <w:b/>
          <w:u w:val="single"/>
        </w:rPr>
        <w:t>Explanation of program changes and adjustments</w:t>
      </w:r>
      <w:r w:rsidRPr="009C0D96">
        <w:t>.</w:t>
      </w:r>
    </w:p>
    <w:p w:rsidR="007969EF" w:rsidP="007969EF" w14:paraId="356A29B2" w14:textId="77777777">
      <w:pPr>
        <w:widowControl w:val="0"/>
        <w:ind w:left="720" w:hanging="720"/>
      </w:pPr>
    </w:p>
    <w:p w:rsidR="00FD2974" w:rsidP="007969EF" w14:paraId="6DA4E7AB" w14:textId="77777777">
      <w:pPr>
        <w:autoSpaceDE w:val="0"/>
        <w:autoSpaceDN w:val="0"/>
        <w:adjustRightInd w:val="0"/>
        <w:ind w:left="720"/>
      </w:pPr>
      <w:r w:rsidRPr="003379EA">
        <w:t xml:space="preserve">This is an extension without change (with changes in estimates) to a current information collection request (ICR).  The current OMB inventory for this </w:t>
      </w:r>
      <w:r>
        <w:t>ICR</w:t>
      </w:r>
      <w:r w:rsidRPr="003379EA">
        <w:t xml:space="preserve"> shows a total burden of </w:t>
      </w:r>
      <w:r w:rsidR="009B6B8F">
        <w:t>18</w:t>
      </w:r>
      <w:r w:rsidRPr="003379EA">
        <w:t xml:space="preserve"> hours and </w:t>
      </w:r>
      <w:r w:rsidR="009B6B8F">
        <w:t>200</w:t>
      </w:r>
      <w:r w:rsidRPr="003379EA">
        <w:t xml:space="preserve"> responses, while the requesting inventory estimates a total burden of </w:t>
      </w:r>
      <w:r w:rsidR="00C32CED">
        <w:t xml:space="preserve">15 </w:t>
      </w:r>
      <w:r w:rsidRPr="003379EA">
        <w:t>hours and</w:t>
      </w:r>
      <w:r w:rsidR="00C32CED">
        <w:t xml:space="preserve"> 112</w:t>
      </w:r>
      <w:r w:rsidRPr="003379EA">
        <w:t xml:space="preserve"> responses. </w:t>
      </w:r>
    </w:p>
    <w:p w:rsidR="00FD2974" w:rsidP="007969EF" w14:paraId="623BFD04" w14:textId="77777777">
      <w:pPr>
        <w:autoSpaceDE w:val="0"/>
        <w:autoSpaceDN w:val="0"/>
        <w:adjustRightInd w:val="0"/>
        <w:ind w:left="720"/>
      </w:pPr>
    </w:p>
    <w:p w:rsidR="00FD2974" w:rsidP="00FD2974" w14:paraId="6D9AAD99" w14:textId="7293A7DA">
      <w:pPr>
        <w:autoSpaceDE w:val="0"/>
        <w:autoSpaceDN w:val="0"/>
        <w:adjustRightInd w:val="0"/>
        <w:ind w:left="720"/>
      </w:pPr>
      <w:r>
        <w:t>FRA</w:t>
      </w:r>
      <w:r w:rsidR="007E3CBF">
        <w:t xml:space="preserve"> </w:t>
      </w:r>
      <w:r>
        <w:t>adjust</w:t>
      </w:r>
      <w:r w:rsidR="00F24372">
        <w:t xml:space="preserve">ed </w:t>
      </w:r>
      <w:r>
        <w:t xml:space="preserve">the estimated number of responses </w:t>
      </w:r>
      <w:r w:rsidR="00317731">
        <w:t xml:space="preserve">under § 207.4 </w:t>
      </w:r>
      <w:r>
        <w:t xml:space="preserve">from 50 to 52. </w:t>
      </w:r>
      <w:r w:rsidR="007E3CBF">
        <w:t xml:space="preserve">The </w:t>
      </w:r>
      <w:r w:rsidRPr="00FD2974">
        <w:t xml:space="preserve">revised estimate of 52 responses was calculated by applying a 10% employment turnover to the 525 annual commissions reported by the Association of American Railroads (AAR). In addition, after further clarification from OMB, </w:t>
      </w:r>
      <w:r w:rsidR="00317731">
        <w:t>§</w:t>
      </w:r>
      <w:r w:rsidRPr="00FD2974" w:rsidR="00317731">
        <w:t xml:space="preserve"> </w:t>
      </w:r>
      <w:r w:rsidRPr="00FD2974">
        <w:t>207.4(c) verification by States for receipt of written notices was determined to be excluded from coverage under the PRA.</w:t>
      </w:r>
    </w:p>
    <w:p w:rsidR="00FD2974" w:rsidP="00FD2974" w14:paraId="35B1EE78" w14:textId="77777777">
      <w:pPr>
        <w:autoSpaceDE w:val="0"/>
        <w:autoSpaceDN w:val="0"/>
        <w:adjustRightInd w:val="0"/>
        <w:ind w:left="720"/>
      </w:pPr>
    </w:p>
    <w:p w:rsidR="007969EF" w:rsidP="00FD2974" w14:paraId="3BA64091" w14:textId="351F6D3E">
      <w:pPr>
        <w:autoSpaceDE w:val="0"/>
        <w:autoSpaceDN w:val="0"/>
        <w:adjustRightInd w:val="0"/>
        <w:ind w:left="720"/>
      </w:pPr>
      <w:r>
        <w:t xml:space="preserve">In addition, </w:t>
      </w:r>
      <w:r w:rsidR="00864D62">
        <w:t>for §</w:t>
      </w:r>
      <w:r w:rsidRPr="00FD2974" w:rsidR="00864D62">
        <w:t xml:space="preserve"> </w:t>
      </w:r>
      <w:r w:rsidRPr="00FD2974">
        <w:t>207.6</w:t>
      </w:r>
      <w:r w:rsidR="0059575A">
        <w:t>,</w:t>
      </w:r>
      <w:r>
        <w:t xml:space="preserve"> </w:t>
      </w:r>
      <w:r w:rsidRPr="00660288">
        <w:rPr>
          <w:i/>
          <w:iCs/>
        </w:rPr>
        <w:t>Transfers</w:t>
      </w:r>
      <w:r>
        <w:t xml:space="preserve">, </w:t>
      </w:r>
      <w:r w:rsidRPr="00FD2974">
        <w:t>FRA revised th</w:t>
      </w:r>
      <w:r w:rsidR="00864D62">
        <w:t>e</w:t>
      </w:r>
      <w:r w:rsidRPr="00FD2974">
        <w:t xml:space="preserve"> estimate from 50 transfers annually to 8 transfers annually to reflect more accurately the expected number of transfers over the next three-year information collection period. </w:t>
      </w:r>
    </w:p>
    <w:p w:rsidR="007969EF" w:rsidP="007969EF" w14:paraId="191EBA0D" w14:textId="77777777">
      <w:pPr>
        <w:autoSpaceDE w:val="0"/>
        <w:autoSpaceDN w:val="0"/>
        <w:adjustRightInd w:val="0"/>
        <w:ind w:left="720"/>
      </w:pPr>
    </w:p>
    <w:p w:rsidR="007969EF" w:rsidP="007969EF" w14:paraId="4AD44011" w14:textId="77777777">
      <w:pPr>
        <w:widowControl w:val="0"/>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7969EF" w:rsidP="007969EF" w14:paraId="4BAAA09F" w14:textId="77777777">
      <w:pPr>
        <w:widowControl w:val="0"/>
        <w:ind w:left="720" w:hanging="720"/>
        <w:rPr>
          <w:b/>
        </w:rPr>
      </w:pPr>
    </w:p>
    <w:p w:rsidR="00FD2974" w:rsidP="007969EF" w14:paraId="50C58310" w14:textId="03491972">
      <w:pPr>
        <w:widowControl w:val="0"/>
        <w:ind w:left="720"/>
        <w:rPr>
          <w:szCs w:val="24"/>
        </w:rPr>
      </w:pPr>
      <w:r w:rsidRPr="00165B4B">
        <w:rPr>
          <w:szCs w:val="24"/>
        </w:rPr>
        <w:t xml:space="preserve">There are no plans for publication of this submission. The information will be used exclusively for purposes of determining proper police authority. </w:t>
      </w:r>
    </w:p>
    <w:p w:rsidR="00FD2974" w:rsidP="007969EF" w14:paraId="2D2AD276" w14:textId="77777777">
      <w:pPr>
        <w:widowControl w:val="0"/>
        <w:ind w:left="720"/>
        <w:rPr>
          <w:szCs w:val="24"/>
        </w:rPr>
      </w:pPr>
    </w:p>
    <w:p w:rsidR="007969EF" w:rsidRPr="00AD423C" w:rsidP="007969EF" w14:paraId="3A0B0B28" w14:textId="78B19E4C">
      <w:pPr>
        <w:widowControl w:val="0"/>
        <w:ind w:left="720" w:hanging="720"/>
        <w:rPr>
          <w:b/>
        </w:rPr>
      </w:pPr>
      <w:r w:rsidRPr="00165B4B">
        <w:rPr>
          <w:szCs w:val="24"/>
        </w:rPr>
        <w:t xml:space="preserve"> </w:t>
      </w:r>
      <w:r w:rsidRPr="00AD423C">
        <w:rPr>
          <w:b/>
        </w:rPr>
        <w:t>17.</w:t>
      </w:r>
      <w:r w:rsidRPr="00AD423C">
        <w:rPr>
          <w:b/>
        </w:rPr>
        <w:tab/>
      </w:r>
      <w:r w:rsidRPr="00AD423C">
        <w:rPr>
          <w:b/>
          <w:u w:val="single"/>
        </w:rPr>
        <w:t xml:space="preserve">Approval </w:t>
      </w:r>
      <w:r w:rsidRPr="00AD423C">
        <w:rPr>
          <w:b/>
          <w:u w:val="single"/>
        </w:rPr>
        <w:t>for</w:t>
      </w:r>
      <w:r w:rsidRPr="00AD423C">
        <w:rPr>
          <w:b/>
          <w:u w:val="single"/>
        </w:rPr>
        <w:t xml:space="preserve"> not displaying the expiration date for OMB approval</w:t>
      </w:r>
      <w:r w:rsidRPr="00AD423C">
        <w:rPr>
          <w:b/>
        </w:rPr>
        <w:t>.</w:t>
      </w:r>
    </w:p>
    <w:p w:rsidR="007969EF" w:rsidP="007969EF" w14:paraId="54B7C144" w14:textId="77777777">
      <w:pPr>
        <w:widowControl w:val="0"/>
        <w:rPr>
          <w:b/>
        </w:rPr>
      </w:pPr>
    </w:p>
    <w:p w:rsidR="007969EF" w:rsidP="007969EF" w14:paraId="287E2F56" w14:textId="141DE5D1">
      <w:pPr>
        <w:widowControl w:val="0"/>
        <w:ind w:firstLine="720"/>
        <w:rPr>
          <w:szCs w:val="24"/>
        </w:rPr>
      </w:pPr>
      <w:r w:rsidRPr="00561B7F">
        <w:rPr>
          <w:szCs w:val="24"/>
        </w:rPr>
        <w:t xml:space="preserve">FRA </w:t>
      </w:r>
      <w:r w:rsidR="001E32FA">
        <w:rPr>
          <w:szCs w:val="24"/>
        </w:rPr>
        <w:t xml:space="preserve">intends to </w:t>
      </w:r>
      <w:r w:rsidRPr="00561B7F">
        <w:rPr>
          <w:szCs w:val="24"/>
        </w:rPr>
        <w:t>display the expiration date.</w:t>
      </w:r>
    </w:p>
    <w:p w:rsidR="007969EF" w:rsidP="007969EF" w14:paraId="0BEAC3B9" w14:textId="77777777">
      <w:pPr>
        <w:widowControl w:val="0"/>
        <w:rPr>
          <w:b/>
        </w:rPr>
      </w:pPr>
    </w:p>
    <w:p w:rsidR="007969EF" w:rsidRPr="00AD423C" w:rsidP="007969EF" w14:paraId="48633CA4" w14:textId="77777777">
      <w:pPr>
        <w:keepNext/>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7969EF" w:rsidP="007969EF" w14:paraId="221A2E68" w14:textId="77777777">
      <w:pPr>
        <w:keepNext/>
      </w:pPr>
    </w:p>
    <w:p w:rsidR="007969EF" w:rsidP="007969EF" w14:paraId="6173028D" w14:textId="77777777">
      <w:pPr>
        <w:keepNext/>
        <w:widowControl w:val="0"/>
        <w:ind w:left="720"/>
      </w:pPr>
      <w:bookmarkStart w:id="1" w:name="QuickMark_1"/>
      <w:bookmarkEnd w:id="1"/>
      <w:r>
        <w:t>No exceptions are taken at this time.</w:t>
      </w:r>
    </w:p>
    <w:p w:rsidR="007969EF" w:rsidP="007969EF" w14:paraId="1435D2F6" w14:textId="77777777">
      <w:pPr>
        <w:widowControl w:val="0"/>
        <w:ind w:firstLine="720"/>
      </w:pPr>
    </w:p>
    <w:p w:rsidR="008A77EE" w14:paraId="0AB53B44" w14:textId="77777777"/>
    <w:sectPr w:rsidSect="00660288">
      <w:pgSz w:w="12240" w:h="15840"/>
      <w:pgMar w:top="1440" w:right="1440" w:bottom="1915"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9EF" w:rsidRPr="00B95AFF" w14:paraId="61EA99BE" w14:textId="77777777">
    <w:pPr>
      <w:framePr w:w="9360" w:h="233" w:hRule="exact" w:wrap="notBeside" w:vAnchor="page" w:hAnchor="text" w:y="14400"/>
      <w:widowControl w:val="0"/>
      <w:spacing w:line="0" w:lineRule="atLeast"/>
      <w:jc w:val="right"/>
      <w:rPr>
        <w:vanish/>
        <w:szCs w:val="24"/>
      </w:rPr>
    </w:pPr>
    <w:r w:rsidRPr="00186DC3">
      <w:rPr>
        <w:szCs w:val="24"/>
      </w:rPr>
      <w:fldChar w:fldCharType="begin"/>
    </w:r>
    <w:r w:rsidRPr="00186DC3">
      <w:rPr>
        <w:szCs w:val="24"/>
      </w:rPr>
      <w:instrText>PAGE</w:instrText>
    </w:r>
    <w:r w:rsidRPr="00186DC3">
      <w:rPr>
        <w:szCs w:val="24"/>
      </w:rPr>
      <w:fldChar w:fldCharType="separate"/>
    </w:r>
    <w:r w:rsidRPr="00186DC3">
      <w:rPr>
        <w:szCs w:val="24"/>
      </w:rPr>
      <w:t>XXX</w:t>
    </w:r>
    <w:r w:rsidRPr="00186DC3">
      <w:rPr>
        <w:szCs w:val="24"/>
      </w:rPr>
      <w:fldChar w:fldCharType="end"/>
    </w:r>
  </w:p>
  <w:p w:rsidR="007969EF" w14:paraId="0018F547"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150056"/>
      <w:docPartObj>
        <w:docPartGallery w:val="Page Numbers (Bottom of Page)"/>
        <w:docPartUnique/>
      </w:docPartObj>
    </w:sdtPr>
    <w:sdtEndPr>
      <w:rPr>
        <w:noProof/>
      </w:rPr>
    </w:sdtEndPr>
    <w:sdtContent>
      <w:p w:rsidR="007969EF" w14:paraId="36AFCCD3"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7969EF" w:rsidP="00125533" w14:paraId="11518CDA"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FC7" w:rsidP="007969EF" w14:paraId="1C9322C5" w14:textId="77777777">
      <w:r>
        <w:separator/>
      </w:r>
    </w:p>
  </w:footnote>
  <w:footnote w:type="continuationSeparator" w:id="1">
    <w:p w:rsidR="005B2FC7" w:rsidP="007969EF" w14:paraId="2CDC6EC3" w14:textId="77777777">
      <w:r>
        <w:continuationSeparator/>
      </w:r>
    </w:p>
  </w:footnote>
  <w:footnote w:type="continuationNotice" w:id="2">
    <w:p w:rsidR="005B2FC7" w14:paraId="3F193BC1" w14:textId="77777777"/>
  </w:footnote>
  <w:footnote w:id="3">
    <w:p w:rsidR="00175A06" w:rsidRPr="0088399A" w14:paraId="3D066114" w14:textId="654756EC">
      <w:pPr>
        <w:pStyle w:val="FootnoteText"/>
        <w:rPr>
          <w:sz w:val="20"/>
          <w:szCs w:val="20"/>
        </w:rPr>
      </w:pPr>
      <w:r w:rsidRPr="0088399A">
        <w:rPr>
          <w:rStyle w:val="FootnoteReference"/>
          <w:sz w:val="20"/>
          <w:szCs w:val="20"/>
        </w:rPr>
        <w:footnoteRef/>
      </w:r>
      <w:r w:rsidRPr="0088399A">
        <w:rPr>
          <w:sz w:val="20"/>
          <w:szCs w:val="20"/>
        </w:rPr>
        <w:t xml:space="preserve"> Pub. L. 114-94 (Dec. 4, 2025)</w:t>
      </w:r>
    </w:p>
  </w:footnote>
  <w:footnote w:id="4">
    <w:p w:rsidR="00190AC9" w:rsidRPr="0088399A" w:rsidP="00190AC9" w14:paraId="0F8F154C" w14:textId="5B6C9730">
      <w:pPr>
        <w:pStyle w:val="FootnoteText"/>
        <w:rPr>
          <w:sz w:val="20"/>
          <w:szCs w:val="20"/>
        </w:rPr>
      </w:pPr>
      <w:r w:rsidRPr="0088399A">
        <w:rPr>
          <w:rStyle w:val="FootnoteReference"/>
          <w:sz w:val="20"/>
          <w:szCs w:val="20"/>
        </w:rPr>
        <w:footnoteRef/>
      </w:r>
      <w:r w:rsidRPr="0088399A">
        <w:rPr>
          <w:sz w:val="20"/>
          <w:szCs w:val="20"/>
        </w:rPr>
        <w:t xml:space="preserve"> Section 11412 of </w:t>
      </w:r>
      <w:r w:rsidRPr="0088399A">
        <w:rPr>
          <w:rFonts w:eastAsia="Arial Unicode MS"/>
          <w:sz w:val="20"/>
          <w:szCs w:val="20"/>
        </w:rPr>
        <w:t>the FAST Act also contained provisions modifying 49 U.S.C. 24305(e) (authorizing Amtrak to employ railroad police officers) and 18 U.S.C. 922(z)(2)(B) (excepting railroad police officers from certain restrictions related to handguns). These provisions are self-executing and require no revision to Part 207 or any other FRA regulation.</w:t>
      </w:r>
    </w:p>
  </w:footnote>
  <w:footnote w:id="5">
    <w:p w:rsidR="009D3201" w:rsidRPr="0088399A" w:rsidP="009D3201" w14:paraId="7D57B6CA" w14:textId="5F5F472E">
      <w:pPr>
        <w:pStyle w:val="FootnoteText"/>
        <w:rPr>
          <w:sz w:val="20"/>
          <w:szCs w:val="20"/>
        </w:rPr>
      </w:pPr>
      <w:r w:rsidRPr="0088399A">
        <w:rPr>
          <w:rStyle w:val="FootnoteReference"/>
          <w:sz w:val="20"/>
          <w:szCs w:val="20"/>
        </w:rPr>
        <w:footnoteRef/>
      </w:r>
      <w:r w:rsidRPr="0088399A">
        <w:rPr>
          <w:sz w:val="20"/>
          <w:szCs w:val="20"/>
        </w:rPr>
        <w:t xml:space="preserve"> </w:t>
      </w:r>
      <w:r w:rsidRPr="0088399A">
        <w:rPr>
          <w:rFonts w:eastAsia="Arial Unicode MS"/>
          <w:sz w:val="20"/>
          <w:szCs w:val="20"/>
        </w:rPr>
        <w:t>81 FR 88127, Dec</w:t>
      </w:r>
      <w:r w:rsidR="00012122">
        <w:rPr>
          <w:rFonts w:eastAsia="Arial Unicode MS"/>
          <w:sz w:val="20"/>
          <w:szCs w:val="20"/>
        </w:rPr>
        <w:t>.</w:t>
      </w:r>
      <w:r w:rsidRPr="0088399A">
        <w:rPr>
          <w:rFonts w:eastAsia="Arial Unicode MS"/>
          <w:sz w:val="20"/>
          <w:szCs w:val="20"/>
        </w:rPr>
        <w:t xml:space="preserve"> 7, 2016.</w:t>
      </w:r>
    </w:p>
  </w:footnote>
  <w:footnote w:id="6">
    <w:p w:rsidR="001E5D4D" w:rsidRPr="0085360E" w14:paraId="2A2E5ED7" w14:textId="6FD6E256">
      <w:pPr>
        <w:pStyle w:val="FootnoteText"/>
        <w:rPr>
          <w:sz w:val="20"/>
          <w:szCs w:val="20"/>
        </w:rPr>
      </w:pPr>
      <w:r w:rsidRPr="0085360E">
        <w:rPr>
          <w:rStyle w:val="FootnoteReference"/>
          <w:sz w:val="20"/>
          <w:szCs w:val="20"/>
        </w:rPr>
        <w:footnoteRef/>
      </w:r>
      <w:r w:rsidRPr="0085360E" w:rsidR="0085360E">
        <w:rPr>
          <w:sz w:val="20"/>
          <w:szCs w:val="20"/>
        </w:rPr>
        <w:t xml:space="preserve"> </w:t>
      </w:r>
      <w:r w:rsidRPr="0085360E" w:rsidR="00CC5EC1">
        <w:rPr>
          <w:sz w:val="20"/>
          <w:szCs w:val="20"/>
        </w:rPr>
        <w:t xml:space="preserve">91 </w:t>
      </w:r>
      <w:r w:rsidRPr="0085360E">
        <w:rPr>
          <w:sz w:val="20"/>
          <w:szCs w:val="20"/>
        </w:rPr>
        <w:t>FR</w:t>
      </w:r>
      <w:r w:rsidRPr="0085360E" w:rsidR="0085360E">
        <w:rPr>
          <w:sz w:val="20"/>
          <w:szCs w:val="20"/>
        </w:rPr>
        <w:t xml:space="preserve"> 21864</w:t>
      </w:r>
      <w:r w:rsidR="008C5862">
        <w:rPr>
          <w:sz w:val="20"/>
          <w:szCs w:val="20"/>
        </w:rPr>
        <w:t xml:space="preserve"> (2026).</w:t>
      </w:r>
    </w:p>
  </w:footnote>
  <w:footnote w:id="7">
    <w:p w:rsidR="00C02AE5" w:rsidP="00C02AE5" w14:paraId="573D7B42" w14:textId="77777777">
      <w:pPr>
        <w:pBdr>
          <w:top w:val="nil"/>
          <w:left w:val="nil"/>
          <w:bottom w:val="nil"/>
          <w:right w:val="nil"/>
          <w:between w:val="nil"/>
        </w:pBdr>
        <w:rPr>
          <w:color w:val="000000"/>
          <w:sz w:val="20"/>
        </w:rPr>
      </w:pPr>
      <w:r w:rsidRPr="00667513">
        <w:rPr>
          <w:rStyle w:val="FootnoteReference"/>
        </w:rPr>
        <w:footnoteRef/>
      </w:r>
      <w:r>
        <w:rPr>
          <w:color w:val="000000"/>
          <w:sz w:val="20"/>
        </w:rPr>
        <w:t xml:space="preserve"> The dollar equivalent cost is derived from the 2024 Surface Transportation Board Full Year Wage A&amp;B data series using employee group 200 (Professional Administrative Staff) hourly wage rate of $51.54. The total burden wage rate (straight time plus 75%) used in the table is $90.19 ($51.54 x 1.75 = $90.19).</w:t>
      </w:r>
    </w:p>
  </w:footnote>
  <w:footnote w:id="8">
    <w:p w:rsidR="00C02AE5" w:rsidRPr="00E751A5" w:rsidP="00C02AE5" w14:paraId="6CAE7A9A" w14:textId="77777777">
      <w:pPr>
        <w:pBdr>
          <w:top w:val="nil"/>
          <w:left w:val="nil"/>
          <w:bottom w:val="nil"/>
          <w:right w:val="nil"/>
          <w:between w:val="nil"/>
        </w:pBdr>
        <w:rPr>
          <w:color w:val="000000"/>
          <w:sz w:val="20"/>
        </w:rPr>
      </w:pPr>
      <w:r w:rsidRPr="00E751A5">
        <w:rPr>
          <w:rStyle w:val="FootnoteReference"/>
          <w:sz w:val="20"/>
        </w:rPr>
        <w:footnoteRef/>
      </w:r>
      <w:r w:rsidRPr="00E751A5">
        <w:rPr>
          <w:color w:val="000000"/>
          <w:sz w:val="20"/>
        </w:rPr>
        <w:t xml:space="preserve"> Totals may not add up due to rounding.</w:t>
      </w:r>
    </w:p>
  </w:footnote>
  <w:footnote w:id="9">
    <w:p w:rsidR="00900101" w:rsidRPr="00660288" w14:paraId="42B0552E" w14:textId="653A8B32">
      <w:pPr>
        <w:pStyle w:val="FootnoteText"/>
        <w:rPr>
          <w:sz w:val="20"/>
          <w:szCs w:val="20"/>
        </w:rPr>
      </w:pPr>
      <w:r w:rsidRPr="00660288">
        <w:rPr>
          <w:rStyle w:val="FootnoteReference"/>
          <w:sz w:val="20"/>
          <w:szCs w:val="20"/>
        </w:rPr>
        <w:footnoteRef/>
      </w:r>
      <w:r w:rsidRPr="00660288">
        <w:rPr>
          <w:sz w:val="20"/>
          <w:szCs w:val="20"/>
        </w:rPr>
        <w:t xml:space="preserve"> </w:t>
      </w:r>
      <w:r w:rsidRPr="00E751A5">
        <w:rPr>
          <w:sz w:val="20"/>
          <w:szCs w:val="20"/>
        </w:rPr>
        <w:t xml:space="preserve">This number is based on the average number of </w:t>
      </w:r>
      <w:r w:rsidRPr="00E751A5" w:rsidR="00E751A5">
        <w:rPr>
          <w:sz w:val="20"/>
          <w:szCs w:val="20"/>
        </w:rPr>
        <w:t xml:space="preserve">States </w:t>
      </w:r>
      <w:r w:rsidRPr="00E751A5">
        <w:rPr>
          <w:sz w:val="20"/>
          <w:szCs w:val="20"/>
        </w:rPr>
        <w:t xml:space="preserve">that each Class I railroad </w:t>
      </w:r>
      <w:r w:rsidRPr="00E751A5" w:rsidR="00C32CED">
        <w:rPr>
          <w:sz w:val="20"/>
          <w:szCs w:val="20"/>
        </w:rPr>
        <w:t>operates through.</w:t>
      </w:r>
      <w:r w:rsidRPr="00660288" w:rsidR="00C32CED">
        <w:rPr>
          <w:sz w:val="20"/>
          <w:szCs w:val="20"/>
        </w:rPr>
        <w:t xml:space="preserve"> </w:t>
      </w:r>
    </w:p>
  </w:footnote>
  <w:footnote w:id="10">
    <w:p w:rsidR="007969EF" w:rsidRPr="00D504F7" w:rsidP="007969EF" w14:paraId="1A56E1BE" w14:textId="77777777">
      <w:pPr>
        <w:pStyle w:val="FootnoteText"/>
        <w:rPr>
          <w:sz w:val="20"/>
          <w:szCs w:val="20"/>
        </w:rPr>
      </w:pPr>
      <w:r w:rsidRPr="00E751A5">
        <w:rPr>
          <w:rStyle w:val="FootnoteReference"/>
          <w:sz w:val="20"/>
          <w:szCs w:val="20"/>
        </w:rPr>
        <w:footnoteRef/>
      </w:r>
      <w:r w:rsidRPr="00E751A5">
        <w:rPr>
          <w:sz w:val="20"/>
          <w:szCs w:val="20"/>
        </w:rPr>
        <w:t xml:space="preserve"> The cost</w:t>
      </w:r>
      <w:r w:rsidRPr="00D504F7">
        <w:rPr>
          <w:sz w:val="20"/>
          <w:szCs w:val="20"/>
        </w:rPr>
        <w:t xml:space="preserve"> is based on a large, first class 4-ounce envelope.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9EF" w14:paraId="49CAC453"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9EF" w14:paraId="116B5E9B"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EA61A6"/>
    <w:multiLevelType w:val="hybridMultilevel"/>
    <w:tmpl w:val="E528CB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1E2D39"/>
    <w:multiLevelType w:val="hybridMultilevel"/>
    <w:tmpl w:val="46D60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3036846">
    <w:abstractNumId w:val="0"/>
  </w:num>
  <w:num w:numId="2" w16cid:durableId="817956755">
    <w:abstractNumId w:val="3"/>
  </w:num>
  <w:num w:numId="3" w16cid:durableId="622618266">
    <w:abstractNumId w:val="2"/>
  </w:num>
  <w:num w:numId="4" w16cid:durableId="61409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EF"/>
    <w:rsid w:val="00004E2D"/>
    <w:rsid w:val="00012122"/>
    <w:rsid w:val="00021787"/>
    <w:rsid w:val="0003643F"/>
    <w:rsid w:val="00037E33"/>
    <w:rsid w:val="00042292"/>
    <w:rsid w:val="000744EB"/>
    <w:rsid w:val="00090287"/>
    <w:rsid w:val="00092B8F"/>
    <w:rsid w:val="00095D9C"/>
    <w:rsid w:val="000963EB"/>
    <w:rsid w:val="000B2DBD"/>
    <w:rsid w:val="000B7BB8"/>
    <w:rsid w:val="000C5A58"/>
    <w:rsid w:val="000D4474"/>
    <w:rsid w:val="000D52C3"/>
    <w:rsid w:val="00104A4D"/>
    <w:rsid w:val="00110B5B"/>
    <w:rsid w:val="00114DBB"/>
    <w:rsid w:val="00125533"/>
    <w:rsid w:val="0015333E"/>
    <w:rsid w:val="00165B4B"/>
    <w:rsid w:val="00175A06"/>
    <w:rsid w:val="001779B0"/>
    <w:rsid w:val="00186DC3"/>
    <w:rsid w:val="00190AC9"/>
    <w:rsid w:val="001A4733"/>
    <w:rsid w:val="001B0982"/>
    <w:rsid w:val="001B2CE8"/>
    <w:rsid w:val="001B3D26"/>
    <w:rsid w:val="001C69C6"/>
    <w:rsid w:val="001D0A20"/>
    <w:rsid w:val="001E32FA"/>
    <w:rsid w:val="001E5D4D"/>
    <w:rsid w:val="001E5E8C"/>
    <w:rsid w:val="001F07DB"/>
    <w:rsid w:val="001F1AB7"/>
    <w:rsid w:val="001F6CE4"/>
    <w:rsid w:val="00211F30"/>
    <w:rsid w:val="00225F60"/>
    <w:rsid w:val="002268CA"/>
    <w:rsid w:val="00227F36"/>
    <w:rsid w:val="0023234A"/>
    <w:rsid w:val="0024251A"/>
    <w:rsid w:val="00253457"/>
    <w:rsid w:val="0025547B"/>
    <w:rsid w:val="002604C5"/>
    <w:rsid w:val="00264EA0"/>
    <w:rsid w:val="002701DB"/>
    <w:rsid w:val="0027359C"/>
    <w:rsid w:val="00281AEF"/>
    <w:rsid w:val="002822DA"/>
    <w:rsid w:val="0029278C"/>
    <w:rsid w:val="002A31B0"/>
    <w:rsid w:val="002A5598"/>
    <w:rsid w:val="002C2D87"/>
    <w:rsid w:val="002C3CDB"/>
    <w:rsid w:val="002F14B3"/>
    <w:rsid w:val="002F3A91"/>
    <w:rsid w:val="002F3B9B"/>
    <w:rsid w:val="003101AB"/>
    <w:rsid w:val="00317731"/>
    <w:rsid w:val="003209DF"/>
    <w:rsid w:val="003279B5"/>
    <w:rsid w:val="0033592F"/>
    <w:rsid w:val="003379EA"/>
    <w:rsid w:val="00337EB4"/>
    <w:rsid w:val="0035348D"/>
    <w:rsid w:val="0035514E"/>
    <w:rsid w:val="00357C74"/>
    <w:rsid w:val="00370D58"/>
    <w:rsid w:val="0038056B"/>
    <w:rsid w:val="003A1EB9"/>
    <w:rsid w:val="003A2B75"/>
    <w:rsid w:val="003D74F3"/>
    <w:rsid w:val="003E07EC"/>
    <w:rsid w:val="00405D09"/>
    <w:rsid w:val="00416816"/>
    <w:rsid w:val="00441064"/>
    <w:rsid w:val="00452ED8"/>
    <w:rsid w:val="0046548E"/>
    <w:rsid w:val="00466673"/>
    <w:rsid w:val="0047304D"/>
    <w:rsid w:val="00476A54"/>
    <w:rsid w:val="00484865"/>
    <w:rsid w:val="00496A52"/>
    <w:rsid w:val="004C450C"/>
    <w:rsid w:val="004D4ECE"/>
    <w:rsid w:val="00511683"/>
    <w:rsid w:val="00513BD1"/>
    <w:rsid w:val="0054091C"/>
    <w:rsid w:val="0054202F"/>
    <w:rsid w:val="00544854"/>
    <w:rsid w:val="00561B7F"/>
    <w:rsid w:val="00567641"/>
    <w:rsid w:val="00577094"/>
    <w:rsid w:val="00581D37"/>
    <w:rsid w:val="00592BA4"/>
    <w:rsid w:val="00594699"/>
    <w:rsid w:val="0059575A"/>
    <w:rsid w:val="005A3B34"/>
    <w:rsid w:val="005B2FC7"/>
    <w:rsid w:val="005C06C4"/>
    <w:rsid w:val="005C380A"/>
    <w:rsid w:val="005C5072"/>
    <w:rsid w:val="005D00F6"/>
    <w:rsid w:val="005D36F4"/>
    <w:rsid w:val="0060201C"/>
    <w:rsid w:val="0060653A"/>
    <w:rsid w:val="00645D93"/>
    <w:rsid w:val="00660288"/>
    <w:rsid w:val="006607B5"/>
    <w:rsid w:val="00670F04"/>
    <w:rsid w:val="006760E2"/>
    <w:rsid w:val="006A6190"/>
    <w:rsid w:val="006B65BD"/>
    <w:rsid w:val="006D6D79"/>
    <w:rsid w:val="006E6DA7"/>
    <w:rsid w:val="00732DD8"/>
    <w:rsid w:val="00756B37"/>
    <w:rsid w:val="00772D1A"/>
    <w:rsid w:val="00776D7A"/>
    <w:rsid w:val="0079532F"/>
    <w:rsid w:val="007969EF"/>
    <w:rsid w:val="007B3DA4"/>
    <w:rsid w:val="007B49F3"/>
    <w:rsid w:val="007C10A1"/>
    <w:rsid w:val="007E3CBF"/>
    <w:rsid w:val="007F2679"/>
    <w:rsid w:val="007F4D75"/>
    <w:rsid w:val="007F7DB7"/>
    <w:rsid w:val="0080149B"/>
    <w:rsid w:val="008049D6"/>
    <w:rsid w:val="0080652F"/>
    <w:rsid w:val="0080740B"/>
    <w:rsid w:val="00807C0B"/>
    <w:rsid w:val="0081340A"/>
    <w:rsid w:val="0082049C"/>
    <w:rsid w:val="00837D66"/>
    <w:rsid w:val="0085199F"/>
    <w:rsid w:val="0085360E"/>
    <w:rsid w:val="00864D62"/>
    <w:rsid w:val="008739BF"/>
    <w:rsid w:val="0087715C"/>
    <w:rsid w:val="0088399A"/>
    <w:rsid w:val="00887B37"/>
    <w:rsid w:val="008A5B6D"/>
    <w:rsid w:val="008A74C2"/>
    <w:rsid w:val="008A77EE"/>
    <w:rsid w:val="008C5862"/>
    <w:rsid w:val="008D50F6"/>
    <w:rsid w:val="00900101"/>
    <w:rsid w:val="009063FA"/>
    <w:rsid w:val="009159CE"/>
    <w:rsid w:val="00930D55"/>
    <w:rsid w:val="00931359"/>
    <w:rsid w:val="009374A8"/>
    <w:rsid w:val="009466F9"/>
    <w:rsid w:val="009734FF"/>
    <w:rsid w:val="009A0F1A"/>
    <w:rsid w:val="009A2B12"/>
    <w:rsid w:val="009B262A"/>
    <w:rsid w:val="009B6B8F"/>
    <w:rsid w:val="009C0D96"/>
    <w:rsid w:val="009D0234"/>
    <w:rsid w:val="009D3201"/>
    <w:rsid w:val="00A05DA5"/>
    <w:rsid w:val="00A15830"/>
    <w:rsid w:val="00A16418"/>
    <w:rsid w:val="00A21A9D"/>
    <w:rsid w:val="00A3270B"/>
    <w:rsid w:val="00A4343F"/>
    <w:rsid w:val="00A43552"/>
    <w:rsid w:val="00A5234C"/>
    <w:rsid w:val="00A54CC6"/>
    <w:rsid w:val="00A70770"/>
    <w:rsid w:val="00A84A5F"/>
    <w:rsid w:val="00A876B8"/>
    <w:rsid w:val="00A94B8E"/>
    <w:rsid w:val="00AA0167"/>
    <w:rsid w:val="00AA1360"/>
    <w:rsid w:val="00AA41E5"/>
    <w:rsid w:val="00AA5C0C"/>
    <w:rsid w:val="00AB5A8B"/>
    <w:rsid w:val="00AD0073"/>
    <w:rsid w:val="00AD423C"/>
    <w:rsid w:val="00AD72AC"/>
    <w:rsid w:val="00AF091F"/>
    <w:rsid w:val="00AF2DA6"/>
    <w:rsid w:val="00AF31CC"/>
    <w:rsid w:val="00AF7000"/>
    <w:rsid w:val="00B03048"/>
    <w:rsid w:val="00B073CE"/>
    <w:rsid w:val="00B26C07"/>
    <w:rsid w:val="00B67687"/>
    <w:rsid w:val="00B71D16"/>
    <w:rsid w:val="00B879D3"/>
    <w:rsid w:val="00B9188E"/>
    <w:rsid w:val="00B95AFF"/>
    <w:rsid w:val="00BB5E57"/>
    <w:rsid w:val="00BC7C5C"/>
    <w:rsid w:val="00BD608F"/>
    <w:rsid w:val="00BD66BB"/>
    <w:rsid w:val="00BE3A08"/>
    <w:rsid w:val="00BF3F23"/>
    <w:rsid w:val="00C00B9A"/>
    <w:rsid w:val="00C02AE5"/>
    <w:rsid w:val="00C0454F"/>
    <w:rsid w:val="00C05FE8"/>
    <w:rsid w:val="00C27E03"/>
    <w:rsid w:val="00C32CED"/>
    <w:rsid w:val="00C374DB"/>
    <w:rsid w:val="00C67074"/>
    <w:rsid w:val="00C703FF"/>
    <w:rsid w:val="00C71E04"/>
    <w:rsid w:val="00C86373"/>
    <w:rsid w:val="00C95ECB"/>
    <w:rsid w:val="00CC5EC1"/>
    <w:rsid w:val="00D014F1"/>
    <w:rsid w:val="00D21030"/>
    <w:rsid w:val="00D339C8"/>
    <w:rsid w:val="00D429A0"/>
    <w:rsid w:val="00D50289"/>
    <w:rsid w:val="00D504F7"/>
    <w:rsid w:val="00D53BFE"/>
    <w:rsid w:val="00D567B4"/>
    <w:rsid w:val="00D61E59"/>
    <w:rsid w:val="00D83138"/>
    <w:rsid w:val="00D858C0"/>
    <w:rsid w:val="00D863FB"/>
    <w:rsid w:val="00DB0EB0"/>
    <w:rsid w:val="00DB3267"/>
    <w:rsid w:val="00DD51D7"/>
    <w:rsid w:val="00DE2F16"/>
    <w:rsid w:val="00E107F6"/>
    <w:rsid w:val="00E23A6E"/>
    <w:rsid w:val="00E27A6A"/>
    <w:rsid w:val="00E33512"/>
    <w:rsid w:val="00E417CB"/>
    <w:rsid w:val="00E44CD9"/>
    <w:rsid w:val="00E67025"/>
    <w:rsid w:val="00E751A5"/>
    <w:rsid w:val="00EB0065"/>
    <w:rsid w:val="00EB1B82"/>
    <w:rsid w:val="00EB6DE8"/>
    <w:rsid w:val="00EE34FD"/>
    <w:rsid w:val="00EE379D"/>
    <w:rsid w:val="00EF5D9C"/>
    <w:rsid w:val="00F23FF6"/>
    <w:rsid w:val="00F24372"/>
    <w:rsid w:val="00F3054B"/>
    <w:rsid w:val="00F41AC2"/>
    <w:rsid w:val="00F47ADB"/>
    <w:rsid w:val="00F540BA"/>
    <w:rsid w:val="00F54B18"/>
    <w:rsid w:val="00F56B7E"/>
    <w:rsid w:val="00F624FA"/>
    <w:rsid w:val="00F664C6"/>
    <w:rsid w:val="00F827AC"/>
    <w:rsid w:val="00F84990"/>
    <w:rsid w:val="00FC2800"/>
    <w:rsid w:val="00FC77B0"/>
    <w:rsid w:val="00FD2974"/>
    <w:rsid w:val="00FD34CC"/>
    <w:rsid w:val="00FD4199"/>
    <w:rsid w:val="00FD791F"/>
    <w:rsid w:val="00FE7BB1"/>
    <w:rsid w:val="00FF3ECE"/>
    <w:rsid w:val="1991D4CD"/>
    <w:rsid w:val="47C2BCB3"/>
    <w:rsid w:val="643BB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5B91E"/>
  <w15:chartTrackingRefBased/>
  <w15:docId w15:val="{5DF60600-E80D-4D62-80F9-34B86C1C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E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69EF"/>
    <w:pPr>
      <w:ind w:left="720"/>
    </w:pPr>
  </w:style>
  <w:style w:type="paragraph" w:styleId="FootnoteText">
    <w:name w:val="footnote text"/>
    <w:basedOn w:val="Normal"/>
    <w:link w:val="FootnoteTextChar"/>
    <w:uiPriority w:val="99"/>
    <w:qFormat/>
    <w:rsid w:val="007969EF"/>
    <w:pPr>
      <w:autoSpaceDE w:val="0"/>
      <w:autoSpaceDN w:val="0"/>
      <w:adjustRightInd w:val="0"/>
    </w:pPr>
    <w:rPr>
      <w:rFonts w:eastAsia="SimSun"/>
      <w:szCs w:val="24"/>
      <w:lang w:eastAsia="zh-CN"/>
    </w:rPr>
  </w:style>
  <w:style w:type="character" w:customStyle="1" w:styleId="FootnoteTextChar">
    <w:name w:val="Footnote Text Char"/>
    <w:basedOn w:val="DefaultParagraphFont"/>
    <w:link w:val="FootnoteText"/>
    <w:uiPriority w:val="99"/>
    <w:rsid w:val="007969EF"/>
    <w:rPr>
      <w:rFonts w:ascii="Times New Roman" w:eastAsia="SimSun" w:hAnsi="Times New Roman" w:cs="Times New Roman"/>
      <w:sz w:val="24"/>
      <w:szCs w:val="24"/>
      <w:lang w:eastAsia="zh-CN"/>
    </w:rPr>
  </w:style>
  <w:style w:type="character" w:styleId="FootnoteReference">
    <w:name w:val="footnote reference"/>
    <w:uiPriority w:val="99"/>
    <w:qFormat/>
    <w:rsid w:val="007969EF"/>
    <w:rPr>
      <w:vertAlign w:val="superscript"/>
    </w:rPr>
  </w:style>
  <w:style w:type="paragraph" w:customStyle="1" w:styleId="psection-2">
    <w:name w:val="psection-2"/>
    <w:basedOn w:val="Normal"/>
    <w:rsid w:val="007969EF"/>
    <w:pPr>
      <w:spacing w:before="100" w:beforeAutospacing="1" w:after="100" w:afterAutospacing="1"/>
    </w:pPr>
    <w:rPr>
      <w:szCs w:val="24"/>
    </w:rPr>
  </w:style>
  <w:style w:type="character" w:customStyle="1" w:styleId="enumxml">
    <w:name w:val="enumxml"/>
    <w:rsid w:val="007969EF"/>
  </w:style>
  <w:style w:type="character" w:customStyle="1" w:styleId="apple-converted-space">
    <w:name w:val="apple-converted-space"/>
    <w:rsid w:val="007969EF"/>
  </w:style>
  <w:style w:type="character" w:styleId="Hyperlink">
    <w:name w:val="Hyperlink"/>
    <w:uiPriority w:val="99"/>
    <w:semiHidden/>
    <w:unhideWhenUsed/>
    <w:rsid w:val="007969EF"/>
    <w:rPr>
      <w:color w:val="0000FF"/>
      <w:u w:val="single"/>
    </w:rPr>
  </w:style>
  <w:style w:type="paragraph" w:styleId="Footer">
    <w:name w:val="footer"/>
    <w:basedOn w:val="Normal"/>
    <w:link w:val="FooterChar"/>
    <w:uiPriority w:val="99"/>
    <w:unhideWhenUsed/>
    <w:rsid w:val="007969EF"/>
    <w:pPr>
      <w:tabs>
        <w:tab w:val="center" w:pos="4680"/>
        <w:tab w:val="right" w:pos="9360"/>
      </w:tabs>
    </w:pPr>
  </w:style>
  <w:style w:type="character" w:customStyle="1" w:styleId="FooterChar">
    <w:name w:val="Footer Char"/>
    <w:basedOn w:val="DefaultParagraphFont"/>
    <w:link w:val="Footer"/>
    <w:uiPriority w:val="99"/>
    <w:rsid w:val="007969EF"/>
    <w:rPr>
      <w:rFonts w:ascii="Times New Roman" w:eastAsia="Times New Roman" w:hAnsi="Times New Roman" w:cs="Times New Roman"/>
      <w:sz w:val="24"/>
      <w:szCs w:val="20"/>
    </w:rPr>
  </w:style>
  <w:style w:type="paragraph" w:styleId="NoSpacing">
    <w:name w:val="No Spacing"/>
    <w:uiPriority w:val="1"/>
    <w:qFormat/>
    <w:rsid w:val="007969EF"/>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3E07EC"/>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04E2D"/>
    <w:rPr>
      <w:sz w:val="16"/>
      <w:szCs w:val="16"/>
    </w:rPr>
  </w:style>
  <w:style w:type="paragraph" w:styleId="CommentText">
    <w:name w:val="annotation text"/>
    <w:basedOn w:val="Normal"/>
    <w:link w:val="CommentTextChar"/>
    <w:uiPriority w:val="99"/>
    <w:unhideWhenUsed/>
    <w:rsid w:val="00004E2D"/>
    <w:rPr>
      <w:sz w:val="20"/>
    </w:rPr>
  </w:style>
  <w:style w:type="character" w:customStyle="1" w:styleId="CommentTextChar">
    <w:name w:val="Comment Text Char"/>
    <w:basedOn w:val="DefaultParagraphFont"/>
    <w:link w:val="CommentText"/>
    <w:uiPriority w:val="99"/>
    <w:rsid w:val="00004E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E2D"/>
    <w:rPr>
      <w:b/>
      <w:bCs/>
    </w:rPr>
  </w:style>
  <w:style w:type="character" w:customStyle="1" w:styleId="CommentSubjectChar">
    <w:name w:val="Comment Subject Char"/>
    <w:basedOn w:val="CommentTextChar"/>
    <w:link w:val="CommentSubject"/>
    <w:uiPriority w:val="99"/>
    <w:semiHidden/>
    <w:rsid w:val="00004E2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4FA"/>
    <w:pPr>
      <w:tabs>
        <w:tab w:val="center" w:pos="4680"/>
        <w:tab w:val="right" w:pos="9360"/>
      </w:tabs>
    </w:pPr>
  </w:style>
  <w:style w:type="character" w:customStyle="1" w:styleId="HeaderChar">
    <w:name w:val="Header Char"/>
    <w:basedOn w:val="DefaultParagraphFont"/>
    <w:link w:val="Header"/>
    <w:uiPriority w:val="99"/>
    <w:rsid w:val="00F624FA"/>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FF3ECE"/>
    <w:rPr>
      <w:color w:val="605E5C"/>
      <w:shd w:val="clear" w:color="auto" w:fill="E1DFDD"/>
    </w:rPr>
  </w:style>
  <w:style w:type="character" w:styleId="Mention">
    <w:name w:val="Mention"/>
    <w:basedOn w:val="DefaultParagraphFont"/>
    <w:uiPriority w:val="99"/>
    <w:unhideWhenUsed/>
    <w:rsid w:val="00FF3E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20499d2b4e33db9a2b1990c92aa6ca0b&amp;term_occur=4&amp;term_src=Title:49:Subtitle:B:Chapter:II:Part:207:20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F7F9-3CC1-4079-BACE-647100210F69}">
  <ds:schemaRefs>
    <ds:schemaRef ds:uri="http://purl.org/dc/elements/1.1/"/>
    <ds:schemaRef ds:uri="http://schemas.microsoft.com/office/2006/metadata/properties"/>
    <ds:schemaRef ds:uri="b270c13a-4492-4e1e-b47b-1c9c4fe910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c2917e-047f-4ef5-af2e-e094bcfe6189"/>
    <ds:schemaRef ds:uri="http://www.w3.org/XML/1998/namespace"/>
    <ds:schemaRef ds:uri="http://purl.org/dc/dcmitype/"/>
  </ds:schemaRefs>
</ds:datastoreItem>
</file>

<file path=customXml/itemProps2.xml><?xml version="1.0" encoding="utf-8"?>
<ds:datastoreItem xmlns:ds="http://schemas.openxmlformats.org/officeDocument/2006/customXml" ds:itemID="{683B6F6D-E251-4F7F-B2E7-E1748423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F0300-EEFF-4FEA-97FF-C7DBDC8332AE}">
  <ds:schemaRefs>
    <ds:schemaRef ds:uri="http://schemas.microsoft.com/sharepoint/v3/contenttype/forms"/>
  </ds:schemaRefs>
</ds:datastoreItem>
</file>

<file path=customXml/itemProps4.xml><?xml version="1.0" encoding="utf-8"?>
<ds:datastoreItem xmlns:ds="http://schemas.openxmlformats.org/officeDocument/2006/customXml" ds:itemID="{185CDB47-1E5E-4891-B8E4-1A78E081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Swafford, Joanne (FRA)</cp:lastModifiedBy>
  <cp:revision>2</cp:revision>
  <dcterms:created xsi:type="dcterms:W3CDTF">2026-07-08T11:59:00Z</dcterms:created>
  <dcterms:modified xsi:type="dcterms:W3CDTF">2026-07-08T11:59:00Z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ies>
</file>