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61A7" w:rsidRPr="000C36EE" w:rsidP="000C36EE" w14:paraId="71E82D6B" w14:textId="77777777">
      <w:pPr>
        <w:spacing w:after="0" w:line="240" w:lineRule="auto"/>
        <w:jc w:val="center"/>
        <w:rPr>
          <w:rFonts w:ascii="Times New Roman" w:hAnsi="Times New Roman" w:cs="Times New Roman"/>
          <w:b/>
          <w:bCs/>
          <w:sz w:val="28"/>
          <w:szCs w:val="28"/>
        </w:rPr>
      </w:pPr>
      <w:r w:rsidRPr="000C36EE">
        <w:rPr>
          <w:rFonts w:ascii="Times New Roman" w:hAnsi="Times New Roman" w:cs="Times New Roman"/>
          <w:b/>
          <w:bCs/>
          <w:sz w:val="28"/>
          <w:szCs w:val="28"/>
        </w:rPr>
        <w:fldChar w:fldCharType="begin"/>
      </w:r>
      <w:r w:rsidRPr="000C36EE">
        <w:rPr>
          <w:rFonts w:ascii="Times New Roman" w:hAnsi="Times New Roman" w:cs="Times New Roman"/>
          <w:b/>
          <w:bCs/>
          <w:sz w:val="28"/>
          <w:szCs w:val="28"/>
        </w:rPr>
        <w:instrText xml:space="preserve"> SEQ CHAPTER \h \r 1</w:instrText>
      </w:r>
      <w:r w:rsidRPr="000C36EE">
        <w:rPr>
          <w:rFonts w:ascii="Times New Roman" w:hAnsi="Times New Roman" w:cs="Times New Roman"/>
          <w:b/>
          <w:bCs/>
          <w:sz w:val="28"/>
          <w:szCs w:val="28"/>
        </w:rPr>
        <w:fldChar w:fldCharType="separate"/>
      </w:r>
      <w:r w:rsidRPr="000C36EE">
        <w:rPr>
          <w:rFonts w:ascii="Times New Roman" w:hAnsi="Times New Roman" w:cs="Times New Roman"/>
          <w:b/>
          <w:bCs/>
          <w:sz w:val="28"/>
          <w:szCs w:val="28"/>
        </w:rPr>
        <w:fldChar w:fldCharType="end"/>
      </w:r>
      <w:r w:rsidRPr="000C36EE">
        <w:rPr>
          <w:rFonts w:ascii="Times New Roman" w:hAnsi="Times New Roman" w:cs="Times New Roman"/>
          <w:b/>
          <w:bCs/>
          <w:sz w:val="28"/>
          <w:szCs w:val="28"/>
        </w:rPr>
        <w:fldChar w:fldCharType="begin"/>
      </w:r>
      <w:r w:rsidRPr="000C36EE">
        <w:rPr>
          <w:rFonts w:ascii="Times New Roman" w:hAnsi="Times New Roman" w:cs="Times New Roman"/>
          <w:b/>
          <w:bCs/>
          <w:sz w:val="28"/>
          <w:szCs w:val="28"/>
        </w:rPr>
        <w:instrText xml:space="preserve"> SEQ CHAPTER \h \r 1</w:instrText>
      </w:r>
      <w:r w:rsidRPr="000C36EE">
        <w:rPr>
          <w:rFonts w:ascii="Times New Roman" w:hAnsi="Times New Roman" w:cs="Times New Roman"/>
          <w:b/>
          <w:bCs/>
          <w:sz w:val="28"/>
          <w:szCs w:val="28"/>
        </w:rPr>
        <w:fldChar w:fldCharType="separate"/>
      </w:r>
      <w:r w:rsidRPr="000C36EE">
        <w:rPr>
          <w:rFonts w:ascii="Times New Roman" w:hAnsi="Times New Roman" w:cs="Times New Roman"/>
          <w:b/>
          <w:bCs/>
          <w:sz w:val="28"/>
          <w:szCs w:val="28"/>
        </w:rPr>
        <w:fldChar w:fldCharType="end"/>
      </w:r>
      <w:r w:rsidRPr="000C36EE">
        <w:rPr>
          <w:rFonts w:ascii="Times New Roman" w:hAnsi="Times New Roman" w:cs="Times New Roman"/>
          <w:b/>
          <w:bCs/>
          <w:sz w:val="28"/>
          <w:szCs w:val="28"/>
        </w:rPr>
        <w:t>FEDERAL RAILROAD ADMINISTRATION</w:t>
      </w:r>
    </w:p>
    <w:p w:rsidR="00445BC6" w:rsidRPr="000C36EE" w:rsidP="000C36EE" w14:paraId="3372DE73" w14:textId="4E56B3EB">
      <w:pPr>
        <w:spacing w:after="0" w:line="240" w:lineRule="auto"/>
        <w:jc w:val="center"/>
        <w:rPr>
          <w:rFonts w:ascii="Times New Roman" w:hAnsi="Times New Roman" w:cs="Times New Roman"/>
          <w:b/>
          <w:bCs/>
          <w:sz w:val="28"/>
          <w:szCs w:val="28"/>
        </w:rPr>
      </w:pPr>
      <w:r w:rsidRPr="000C36EE">
        <w:rPr>
          <w:rFonts w:ascii="Times New Roman" w:hAnsi="Times New Roman" w:cs="Times New Roman"/>
          <w:b/>
          <w:bCs/>
          <w:sz w:val="28"/>
          <w:szCs w:val="28"/>
        </w:rPr>
        <w:t>Generic Clearance fo</w:t>
      </w:r>
      <w:r w:rsidRPr="000C36EE" w:rsidR="00ED40BD">
        <w:rPr>
          <w:rFonts w:ascii="Times New Roman" w:hAnsi="Times New Roman" w:cs="Times New Roman"/>
          <w:b/>
          <w:bCs/>
          <w:sz w:val="28"/>
          <w:szCs w:val="28"/>
        </w:rPr>
        <w:t>r the Collection of Qualitative</w:t>
      </w:r>
    </w:p>
    <w:p w:rsidR="00982095" w:rsidRPr="000C36EE" w:rsidP="000C36EE" w14:paraId="58CCA67C" w14:textId="1C02E580">
      <w:pPr>
        <w:spacing w:after="0" w:line="240" w:lineRule="auto"/>
        <w:jc w:val="center"/>
        <w:rPr>
          <w:rFonts w:ascii="Times New Roman" w:hAnsi="Times New Roman" w:cs="Times New Roman"/>
          <w:b/>
          <w:bCs/>
          <w:sz w:val="28"/>
          <w:szCs w:val="28"/>
        </w:rPr>
      </w:pPr>
      <w:r w:rsidRPr="000C36EE">
        <w:rPr>
          <w:rFonts w:ascii="Times New Roman" w:hAnsi="Times New Roman" w:cs="Times New Roman"/>
          <w:b/>
          <w:bCs/>
          <w:sz w:val="28"/>
          <w:szCs w:val="28"/>
        </w:rPr>
        <w:t xml:space="preserve">Feedback on Agency </w:t>
      </w:r>
      <w:r w:rsidRPr="000C36EE" w:rsidR="000A410F">
        <w:rPr>
          <w:rFonts w:ascii="Times New Roman" w:hAnsi="Times New Roman" w:cs="Times New Roman"/>
          <w:b/>
          <w:bCs/>
          <w:sz w:val="28"/>
          <w:szCs w:val="28"/>
        </w:rPr>
        <w:t>Service Delivery</w:t>
      </w:r>
    </w:p>
    <w:p w:rsidR="00CA1E67" w:rsidRPr="000C36EE" w:rsidP="00245E28" w14:paraId="2CDA3A20" w14:textId="38C424BF">
      <w:pPr>
        <w:spacing w:after="0" w:line="240" w:lineRule="auto"/>
        <w:jc w:val="center"/>
        <w:rPr>
          <w:rFonts w:ascii="Times New Roman" w:hAnsi="Times New Roman" w:cs="Times New Roman"/>
          <w:b/>
          <w:bCs/>
          <w:sz w:val="28"/>
          <w:szCs w:val="28"/>
        </w:rPr>
      </w:pPr>
      <w:r w:rsidRPr="000C36EE">
        <w:rPr>
          <w:rFonts w:ascii="Times New Roman" w:hAnsi="Times New Roman" w:cs="Times New Roman"/>
          <w:b/>
          <w:bCs/>
          <w:sz w:val="28"/>
          <w:szCs w:val="28"/>
        </w:rPr>
        <w:t>SUPPORTING JUSTIFICATION</w:t>
      </w:r>
      <w:r w:rsidRPr="000C36EE" w:rsidR="00E5091B">
        <w:rPr>
          <w:rFonts w:ascii="Times New Roman" w:hAnsi="Times New Roman" w:cs="Times New Roman"/>
          <w:b/>
          <w:bCs/>
          <w:sz w:val="28"/>
          <w:szCs w:val="28"/>
        </w:rPr>
        <w:t>—</w:t>
      </w:r>
      <w:r w:rsidRPr="000C36EE">
        <w:rPr>
          <w:rFonts w:ascii="Times New Roman" w:hAnsi="Times New Roman" w:cs="Times New Roman"/>
          <w:b/>
          <w:bCs/>
          <w:sz w:val="28"/>
          <w:szCs w:val="28"/>
        </w:rPr>
        <w:t>Part</w:t>
      </w:r>
      <w:r w:rsidRPr="000C36EE" w:rsidR="00E5091B">
        <w:rPr>
          <w:rFonts w:ascii="Times New Roman" w:hAnsi="Times New Roman" w:cs="Times New Roman"/>
          <w:b/>
          <w:bCs/>
          <w:sz w:val="28"/>
          <w:szCs w:val="28"/>
        </w:rPr>
        <w:t xml:space="preserve"> </w:t>
      </w:r>
      <w:r w:rsidRPr="000C36EE">
        <w:rPr>
          <w:rFonts w:ascii="Times New Roman" w:hAnsi="Times New Roman" w:cs="Times New Roman"/>
          <w:b/>
          <w:bCs/>
          <w:sz w:val="28"/>
          <w:szCs w:val="28"/>
        </w:rPr>
        <w:t>A</w:t>
      </w:r>
    </w:p>
    <w:p w:rsidR="00CA1E67" w:rsidRPr="000C36EE" w:rsidP="000C36EE" w14:paraId="13C784C7" w14:textId="1746E1E5">
      <w:pPr>
        <w:spacing w:line="240" w:lineRule="auto"/>
        <w:jc w:val="center"/>
        <w:rPr>
          <w:rFonts w:ascii="Times New Roman" w:hAnsi="Times New Roman" w:cs="Times New Roman"/>
          <w:b/>
          <w:bCs/>
          <w:sz w:val="28"/>
          <w:szCs w:val="28"/>
        </w:rPr>
      </w:pPr>
      <w:r w:rsidRPr="000C36EE">
        <w:rPr>
          <w:rFonts w:ascii="Times New Roman" w:hAnsi="Times New Roman" w:cs="Times New Roman"/>
          <w:b/>
          <w:bCs/>
          <w:sz w:val="28"/>
          <w:szCs w:val="28"/>
        </w:rPr>
        <w:t>OMB Control No. 2130-0593</w:t>
      </w:r>
    </w:p>
    <w:p w:rsidR="00982095" w14:paraId="4C68DCC3" w14:textId="77777777">
      <w:pPr>
        <w:spacing w:after="0" w:line="240" w:lineRule="auto"/>
        <w:rPr>
          <w:rFonts w:ascii="Times New Roman" w:hAnsi="Times New Roman" w:cs="Times New Roman"/>
          <w:sz w:val="24"/>
          <w:szCs w:val="24"/>
        </w:rPr>
      </w:pPr>
    </w:p>
    <w:p w:rsidR="008075EF" w:rsidRPr="008075EF" w:rsidP="00CA1E67" w14:paraId="1998EAC1" w14:textId="77777777">
      <w:pPr>
        <w:widowControl w:val="0"/>
        <w:spacing w:after="0" w:line="240" w:lineRule="auto"/>
        <w:ind w:left="720" w:hanging="450"/>
        <w:rPr>
          <w:rFonts w:ascii="Times New Roman" w:eastAsia="Times New Roman" w:hAnsi="Times New Roman" w:cs="Times New Roman"/>
          <w:sz w:val="24"/>
          <w:szCs w:val="20"/>
          <w:u w:val="single"/>
        </w:rPr>
      </w:pPr>
      <w:r w:rsidRPr="008075EF">
        <w:rPr>
          <w:rFonts w:ascii="Times New Roman" w:eastAsia="Times New Roman" w:hAnsi="Times New Roman" w:cs="Times New Roman"/>
          <w:sz w:val="24"/>
          <w:szCs w:val="20"/>
          <w:u w:val="single"/>
        </w:rPr>
        <w:t>Summary of Submission</w:t>
      </w:r>
    </w:p>
    <w:p w:rsidR="008075EF" w:rsidRPr="008075EF" w:rsidP="00CA1E67" w14:paraId="1A72A4D0" w14:textId="77777777">
      <w:pPr>
        <w:widowControl w:val="0"/>
        <w:spacing w:after="0" w:line="240" w:lineRule="auto"/>
        <w:ind w:left="720"/>
        <w:rPr>
          <w:rFonts w:ascii="Times New Roman" w:eastAsia="Times New Roman" w:hAnsi="Times New Roman" w:cs="Times New Roman"/>
          <w:sz w:val="24"/>
          <w:szCs w:val="20"/>
          <w:u w:val="single"/>
        </w:rPr>
      </w:pPr>
    </w:p>
    <w:p w:rsidR="008075EF" w:rsidRPr="008075EF" w:rsidP="00CA1E67" w14:paraId="3B2989F8" w14:textId="6AD18C49">
      <w:pPr>
        <w:widowControl w:val="0"/>
        <w:numPr>
          <w:ilvl w:val="1"/>
          <w:numId w:val="18"/>
        </w:numPr>
        <w:spacing w:after="0" w:line="240" w:lineRule="auto"/>
        <w:ind w:left="720"/>
        <w:rPr>
          <w:rFonts w:ascii="Times New Roman" w:eastAsia="Times New Roman" w:hAnsi="Times New Roman" w:cs="Times New Roman"/>
          <w:sz w:val="24"/>
          <w:szCs w:val="24"/>
        </w:rPr>
      </w:pPr>
      <w:r w:rsidRPr="008075EF">
        <w:rPr>
          <w:rFonts w:ascii="Times New Roman" w:eastAsia="Times New Roman" w:hAnsi="Times New Roman" w:cs="Times New Roman"/>
          <w:sz w:val="24"/>
          <w:szCs w:val="24"/>
        </w:rPr>
        <w:t xml:space="preserve">This submission is a request for an extension without change of the last three-year approval granted by the Office of Management and Budget (OMB) on </w:t>
      </w:r>
      <w:r w:rsidR="00A85693">
        <w:rPr>
          <w:rFonts w:ascii="Times New Roman" w:eastAsia="Times New Roman" w:hAnsi="Times New Roman" w:cs="Times New Roman"/>
          <w:sz w:val="24"/>
          <w:szCs w:val="24"/>
        </w:rPr>
        <w:t>J</w:t>
      </w:r>
      <w:r w:rsidR="0012240E">
        <w:rPr>
          <w:rFonts w:ascii="Times New Roman" w:eastAsia="Times New Roman" w:hAnsi="Times New Roman" w:cs="Times New Roman"/>
          <w:sz w:val="24"/>
          <w:szCs w:val="24"/>
        </w:rPr>
        <w:t xml:space="preserve">uly 3, </w:t>
      </w:r>
      <w:r w:rsidR="00A85693">
        <w:rPr>
          <w:rFonts w:ascii="Times New Roman" w:eastAsia="Times New Roman" w:hAnsi="Times New Roman" w:cs="Times New Roman"/>
          <w:sz w:val="24"/>
          <w:szCs w:val="24"/>
        </w:rPr>
        <w:t>2023</w:t>
      </w:r>
      <w:r w:rsidRPr="008075EF" w:rsidR="00A85693">
        <w:rPr>
          <w:rFonts w:ascii="Times New Roman" w:eastAsia="Times New Roman" w:hAnsi="Times New Roman" w:cs="Times New Roman"/>
          <w:sz w:val="24"/>
          <w:szCs w:val="24"/>
        </w:rPr>
        <w:t xml:space="preserve">, </w:t>
      </w:r>
      <w:r w:rsidR="00A85693">
        <w:rPr>
          <w:rFonts w:ascii="Times New Roman" w:eastAsia="Times New Roman" w:hAnsi="Times New Roman" w:cs="Times New Roman"/>
          <w:sz w:val="24"/>
          <w:szCs w:val="24"/>
        </w:rPr>
        <w:t>with</w:t>
      </w:r>
      <w:r w:rsidR="0012240E">
        <w:rPr>
          <w:rFonts w:ascii="Times New Roman" w:eastAsia="Times New Roman" w:hAnsi="Times New Roman" w:cs="Times New Roman"/>
          <w:sz w:val="24"/>
          <w:szCs w:val="24"/>
        </w:rPr>
        <w:t xml:space="preserve"> an expiration date o</w:t>
      </w:r>
      <w:r w:rsidR="003F7204">
        <w:rPr>
          <w:rFonts w:ascii="Times New Roman" w:eastAsia="Times New Roman" w:hAnsi="Times New Roman" w:cs="Times New Roman"/>
          <w:sz w:val="24"/>
          <w:szCs w:val="24"/>
        </w:rPr>
        <w:t>f</w:t>
      </w:r>
      <w:r w:rsidRPr="008075EF">
        <w:rPr>
          <w:rFonts w:ascii="Times New Roman" w:eastAsia="Times New Roman" w:hAnsi="Times New Roman" w:cs="Times New Roman"/>
          <w:sz w:val="24"/>
          <w:szCs w:val="24"/>
        </w:rPr>
        <w:t xml:space="preserve"> </w:t>
      </w:r>
      <w:r w:rsidR="005741D7">
        <w:rPr>
          <w:rFonts w:ascii="Times New Roman" w:eastAsia="Times New Roman" w:hAnsi="Times New Roman" w:cs="Times New Roman"/>
          <w:sz w:val="24"/>
          <w:szCs w:val="24"/>
        </w:rPr>
        <w:t xml:space="preserve">July </w:t>
      </w:r>
      <w:r w:rsidR="0012240E">
        <w:rPr>
          <w:rFonts w:ascii="Times New Roman" w:eastAsia="Times New Roman" w:hAnsi="Times New Roman" w:cs="Times New Roman"/>
          <w:sz w:val="24"/>
          <w:szCs w:val="24"/>
        </w:rPr>
        <w:t>31</w:t>
      </w:r>
      <w:r w:rsidR="005741D7">
        <w:rPr>
          <w:rFonts w:ascii="Times New Roman" w:eastAsia="Times New Roman" w:hAnsi="Times New Roman" w:cs="Times New Roman"/>
          <w:sz w:val="24"/>
          <w:szCs w:val="24"/>
        </w:rPr>
        <w:t xml:space="preserve">, </w:t>
      </w:r>
      <w:r w:rsidR="0012240E">
        <w:rPr>
          <w:rFonts w:ascii="Times New Roman" w:eastAsia="Times New Roman" w:hAnsi="Times New Roman" w:cs="Times New Roman"/>
          <w:sz w:val="24"/>
          <w:szCs w:val="24"/>
        </w:rPr>
        <w:t>2026</w:t>
      </w:r>
      <w:r w:rsidRPr="008075EF">
        <w:rPr>
          <w:rFonts w:ascii="Times New Roman" w:eastAsia="Times New Roman" w:hAnsi="Times New Roman" w:cs="Times New Roman"/>
          <w:sz w:val="24"/>
          <w:szCs w:val="24"/>
        </w:rPr>
        <w:t xml:space="preserve">. </w:t>
      </w:r>
    </w:p>
    <w:p w:rsidR="008075EF" w:rsidRPr="008075EF" w:rsidP="00CA1E67" w14:paraId="439EB0BB" w14:textId="77777777">
      <w:pPr>
        <w:widowControl w:val="0"/>
        <w:spacing w:after="0" w:line="240" w:lineRule="auto"/>
        <w:ind w:left="720"/>
        <w:rPr>
          <w:rFonts w:ascii="Times New Roman" w:eastAsia="Times New Roman" w:hAnsi="Times New Roman" w:cs="Times New Roman"/>
          <w:sz w:val="24"/>
          <w:szCs w:val="24"/>
        </w:rPr>
      </w:pPr>
    </w:p>
    <w:p w:rsidR="00697391" w:rsidP="00CA1E67" w14:paraId="2212F899" w14:textId="74CA86A3">
      <w:pPr>
        <w:widowControl w:val="0"/>
        <w:numPr>
          <w:ilvl w:val="1"/>
          <w:numId w:val="18"/>
        </w:numPr>
        <w:spacing w:after="0" w:line="240" w:lineRule="auto"/>
        <w:ind w:left="720"/>
        <w:rPr>
          <w:rFonts w:ascii="Times New Roman" w:eastAsia="Times New Roman" w:hAnsi="Times New Roman" w:cs="Times New Roman"/>
          <w:sz w:val="24"/>
          <w:szCs w:val="24"/>
        </w:rPr>
      </w:pPr>
      <w:r w:rsidRPr="008075EF">
        <w:rPr>
          <w:rFonts w:ascii="Times New Roman" w:eastAsia="Times New Roman" w:hAnsi="Times New Roman" w:cs="Times New Roman"/>
          <w:sz w:val="24"/>
          <w:szCs w:val="24"/>
        </w:rPr>
        <w:t>The Federal Railroad Administration (</w:t>
      </w:r>
      <w:r w:rsidR="009E4256">
        <w:rPr>
          <w:rFonts w:ascii="Times New Roman" w:eastAsia="Times New Roman" w:hAnsi="Times New Roman" w:cs="Times New Roman"/>
          <w:sz w:val="24"/>
          <w:szCs w:val="24"/>
        </w:rPr>
        <w:t>hereafter “</w:t>
      </w:r>
      <w:r w:rsidRPr="008075EF">
        <w:rPr>
          <w:rFonts w:ascii="Times New Roman" w:eastAsia="Times New Roman" w:hAnsi="Times New Roman" w:cs="Times New Roman"/>
          <w:sz w:val="24"/>
          <w:szCs w:val="24"/>
        </w:rPr>
        <w:t>FRA</w:t>
      </w:r>
      <w:r w:rsidR="009E4256">
        <w:rPr>
          <w:rFonts w:ascii="Times New Roman" w:eastAsia="Times New Roman" w:hAnsi="Times New Roman" w:cs="Times New Roman"/>
          <w:sz w:val="24"/>
          <w:szCs w:val="24"/>
        </w:rPr>
        <w:t>” or “the Agency”</w:t>
      </w:r>
      <w:r w:rsidRPr="008075EF">
        <w:rPr>
          <w:rFonts w:ascii="Times New Roman" w:eastAsia="Times New Roman" w:hAnsi="Times New Roman" w:cs="Times New Roman"/>
          <w:sz w:val="24"/>
          <w:szCs w:val="24"/>
        </w:rPr>
        <w:t xml:space="preserve">) published </w:t>
      </w:r>
      <w:r w:rsidR="00C11786">
        <w:rPr>
          <w:rFonts w:ascii="Times New Roman" w:eastAsia="Times New Roman" w:hAnsi="Times New Roman" w:cs="Times New Roman"/>
          <w:sz w:val="24"/>
          <w:szCs w:val="24"/>
        </w:rPr>
        <w:t>the</w:t>
      </w:r>
      <w:r w:rsidR="0012240E">
        <w:rPr>
          <w:rFonts w:ascii="Times New Roman" w:eastAsia="Times New Roman" w:hAnsi="Times New Roman" w:cs="Times New Roman"/>
          <w:sz w:val="24"/>
          <w:szCs w:val="24"/>
        </w:rPr>
        <w:t xml:space="preserve"> </w:t>
      </w:r>
      <w:r w:rsidRPr="008075EF">
        <w:rPr>
          <w:rFonts w:ascii="Times New Roman" w:eastAsia="Times New Roman" w:hAnsi="Times New Roman" w:cs="Times New Roman"/>
          <w:sz w:val="24"/>
          <w:szCs w:val="24"/>
        </w:rPr>
        <w:t>required 60-day</w:t>
      </w:r>
      <w:r w:rsidR="0012240E">
        <w:rPr>
          <w:rFonts w:ascii="Times New Roman" w:eastAsia="Times New Roman" w:hAnsi="Times New Roman" w:cs="Times New Roman"/>
          <w:sz w:val="24"/>
          <w:szCs w:val="24"/>
        </w:rPr>
        <w:t xml:space="preserve"> Notice in the </w:t>
      </w:r>
      <w:r w:rsidRPr="008075EF">
        <w:rPr>
          <w:rFonts w:ascii="Times New Roman" w:eastAsia="Times New Roman" w:hAnsi="Times New Roman" w:cs="Times New Roman"/>
          <w:bCs/>
          <w:sz w:val="24"/>
          <w:szCs w:val="24"/>
          <w:u w:val="single"/>
        </w:rPr>
        <w:t>Federal Register</w:t>
      </w:r>
      <w:r w:rsidRPr="008075EF">
        <w:rPr>
          <w:rFonts w:ascii="Times New Roman" w:eastAsia="Times New Roman" w:hAnsi="Times New Roman" w:cs="Times New Roman"/>
          <w:bCs/>
          <w:sz w:val="24"/>
          <w:szCs w:val="24"/>
        </w:rPr>
        <w:t xml:space="preserve"> on</w:t>
      </w:r>
      <w:r w:rsidR="003F7204">
        <w:rPr>
          <w:rFonts w:ascii="Times New Roman" w:eastAsia="Times New Roman" w:hAnsi="Times New Roman" w:cs="Times New Roman"/>
          <w:bCs/>
          <w:sz w:val="24"/>
          <w:szCs w:val="24"/>
        </w:rPr>
        <w:t xml:space="preserve"> April 23, 2026.</w:t>
      </w:r>
      <w:r w:rsidRPr="008075EF">
        <w:rPr>
          <w:rFonts w:ascii="Times New Roman" w:eastAsia="Times New Roman" w:hAnsi="Times New Roman" w:cs="Times New Roman"/>
          <w:bCs/>
          <w:sz w:val="24"/>
          <w:szCs w:val="24"/>
        </w:rPr>
        <w:t xml:space="preserve"> </w:t>
      </w:r>
      <w:r w:rsidRPr="00A85693">
        <w:rPr>
          <w:rFonts w:ascii="Times New Roman" w:eastAsia="Times New Roman" w:hAnsi="Times New Roman" w:cs="Times New Roman"/>
          <w:bCs/>
          <w:i/>
          <w:iCs/>
          <w:sz w:val="24"/>
          <w:szCs w:val="24"/>
        </w:rPr>
        <w:t>See</w:t>
      </w:r>
      <w:r w:rsidR="003F7204">
        <w:rPr>
          <w:rFonts w:ascii="Times New Roman" w:eastAsia="Times New Roman" w:hAnsi="Times New Roman" w:cs="Times New Roman"/>
          <w:bCs/>
          <w:sz w:val="24"/>
          <w:szCs w:val="24"/>
        </w:rPr>
        <w:t xml:space="preserve"> 91</w:t>
      </w:r>
      <w:r w:rsidR="0012240E">
        <w:rPr>
          <w:rFonts w:ascii="Times New Roman" w:eastAsia="Times New Roman" w:hAnsi="Times New Roman" w:cs="Times New Roman"/>
          <w:bCs/>
          <w:sz w:val="24"/>
          <w:szCs w:val="24"/>
        </w:rPr>
        <w:t xml:space="preserve"> FR </w:t>
      </w:r>
      <w:r w:rsidR="003F7204">
        <w:rPr>
          <w:rFonts w:ascii="Times New Roman" w:eastAsia="Times New Roman" w:hAnsi="Times New Roman" w:cs="Times New Roman"/>
          <w:bCs/>
          <w:sz w:val="24"/>
          <w:szCs w:val="24"/>
        </w:rPr>
        <w:t>21861</w:t>
      </w:r>
      <w:r w:rsidRPr="008075EF">
        <w:rPr>
          <w:rFonts w:ascii="Times New Roman" w:eastAsia="Times New Roman" w:hAnsi="Times New Roman" w:cs="Times New Roman"/>
          <w:bCs/>
          <w:sz w:val="24"/>
          <w:szCs w:val="24"/>
        </w:rPr>
        <w:t xml:space="preserve">. FRA received </w:t>
      </w:r>
      <w:r w:rsidR="009E25EF">
        <w:rPr>
          <w:rFonts w:ascii="Times New Roman" w:eastAsia="Times New Roman" w:hAnsi="Times New Roman" w:cs="Times New Roman"/>
          <w:bCs/>
          <w:sz w:val="24"/>
          <w:szCs w:val="24"/>
        </w:rPr>
        <w:t>zero</w:t>
      </w:r>
      <w:r w:rsidR="007B73B0">
        <w:rPr>
          <w:rFonts w:ascii="Times New Roman" w:eastAsia="Times New Roman" w:hAnsi="Times New Roman" w:cs="Times New Roman"/>
          <w:bCs/>
          <w:sz w:val="24"/>
          <w:szCs w:val="24"/>
        </w:rPr>
        <w:t xml:space="preserve"> </w:t>
      </w:r>
      <w:r w:rsidRPr="008075EF">
        <w:rPr>
          <w:rFonts w:ascii="Times New Roman" w:eastAsia="Times New Roman" w:hAnsi="Times New Roman" w:cs="Times New Roman"/>
          <w:bCs/>
          <w:sz w:val="24"/>
          <w:szCs w:val="24"/>
        </w:rPr>
        <w:t>c</w:t>
      </w:r>
      <w:r w:rsidRPr="008075EF">
        <w:rPr>
          <w:rFonts w:ascii="Times New Roman" w:eastAsia="Times New Roman" w:hAnsi="Times New Roman" w:cs="Times New Roman"/>
          <w:sz w:val="24"/>
          <w:szCs w:val="24"/>
        </w:rPr>
        <w:t>omments in response to this Notice.</w:t>
      </w:r>
    </w:p>
    <w:p w:rsidR="00A85693" w:rsidP="00A85693" w14:paraId="0E32A0E2" w14:textId="77777777">
      <w:pPr>
        <w:widowControl w:val="0"/>
        <w:spacing w:after="0" w:line="240" w:lineRule="auto"/>
        <w:rPr>
          <w:rFonts w:ascii="Times New Roman" w:eastAsia="Times New Roman" w:hAnsi="Times New Roman" w:cs="Times New Roman"/>
          <w:sz w:val="24"/>
          <w:szCs w:val="24"/>
        </w:rPr>
      </w:pPr>
    </w:p>
    <w:p w:rsidR="008075EF" w:rsidP="00CA1E67" w14:paraId="39EED445" w14:textId="0A900DB7">
      <w:pPr>
        <w:widowControl w:val="0"/>
        <w:numPr>
          <w:ilvl w:val="1"/>
          <w:numId w:val="18"/>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number of burden hours </w:t>
      </w:r>
      <w:r w:rsidR="00A85693">
        <w:rPr>
          <w:rFonts w:ascii="Times New Roman" w:eastAsia="Times New Roman" w:hAnsi="Times New Roman" w:cs="Times New Roman"/>
          <w:sz w:val="24"/>
          <w:szCs w:val="24"/>
        </w:rPr>
        <w:t xml:space="preserve">requested for this information collection request (ICR) submission is </w:t>
      </w:r>
      <w:r w:rsidR="00C0003C">
        <w:rPr>
          <w:rFonts w:ascii="Times New Roman" w:eastAsia="Times New Roman" w:hAnsi="Times New Roman" w:cs="Times New Roman"/>
          <w:sz w:val="24"/>
          <w:szCs w:val="24"/>
        </w:rPr>
        <w:t>475</w:t>
      </w:r>
      <w:r w:rsidR="00A85693">
        <w:rPr>
          <w:rFonts w:ascii="Times New Roman" w:eastAsia="Times New Roman" w:hAnsi="Times New Roman" w:cs="Times New Roman"/>
          <w:sz w:val="24"/>
          <w:szCs w:val="24"/>
        </w:rPr>
        <w:t xml:space="preserve"> hours annually</w:t>
      </w:r>
      <w:r w:rsidR="00C0003C">
        <w:rPr>
          <w:rFonts w:ascii="Times New Roman" w:eastAsia="Times New Roman" w:hAnsi="Times New Roman" w:cs="Times New Roman"/>
          <w:sz w:val="24"/>
          <w:szCs w:val="24"/>
        </w:rPr>
        <w:t xml:space="preserve"> (1,425 hours for three years)</w:t>
      </w:r>
      <w:r w:rsidR="00A85693">
        <w:rPr>
          <w:rFonts w:ascii="Times New Roman" w:eastAsia="Times New Roman" w:hAnsi="Times New Roman" w:cs="Times New Roman"/>
          <w:sz w:val="24"/>
          <w:szCs w:val="24"/>
        </w:rPr>
        <w:t>, which is unchanged from the previous submission.</w:t>
      </w:r>
    </w:p>
    <w:p w:rsidR="00A85693" w:rsidP="00A85693" w14:paraId="344C9750" w14:textId="77777777">
      <w:pPr>
        <w:widowControl w:val="0"/>
        <w:spacing w:after="0" w:line="240" w:lineRule="auto"/>
        <w:rPr>
          <w:rFonts w:ascii="Times New Roman" w:eastAsia="Times New Roman" w:hAnsi="Times New Roman" w:cs="Times New Roman"/>
          <w:sz w:val="24"/>
          <w:szCs w:val="24"/>
        </w:rPr>
      </w:pPr>
    </w:p>
    <w:p w:rsidR="00A85693" w:rsidRPr="00A85693" w:rsidP="00A85693" w14:paraId="6B1043D2" w14:textId="25F92404">
      <w:pPr>
        <w:widowControl w:val="0"/>
        <w:numPr>
          <w:ilvl w:val="1"/>
          <w:numId w:val="18"/>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number of responses for this ICR submission is </w:t>
      </w:r>
      <w:r w:rsidR="00C0003C">
        <w:rPr>
          <w:rFonts w:ascii="Times New Roman" w:eastAsia="Times New Roman" w:hAnsi="Times New Roman" w:cs="Times New Roman"/>
          <w:sz w:val="24"/>
          <w:szCs w:val="24"/>
        </w:rPr>
        <w:t>5,750</w:t>
      </w:r>
      <w:r>
        <w:rPr>
          <w:rFonts w:ascii="Times New Roman" w:eastAsia="Times New Roman" w:hAnsi="Times New Roman" w:cs="Times New Roman"/>
          <w:sz w:val="24"/>
          <w:szCs w:val="24"/>
        </w:rPr>
        <w:t xml:space="preserve"> responses annually, </w:t>
      </w:r>
      <w:r w:rsidR="00C0003C">
        <w:rPr>
          <w:rFonts w:ascii="Times New Roman" w:eastAsia="Times New Roman" w:hAnsi="Times New Roman" w:cs="Times New Roman"/>
          <w:sz w:val="24"/>
          <w:szCs w:val="24"/>
        </w:rPr>
        <w:t xml:space="preserve">(17,250 responses for three years) </w:t>
      </w:r>
      <w:r>
        <w:rPr>
          <w:rFonts w:ascii="Times New Roman" w:eastAsia="Times New Roman" w:hAnsi="Times New Roman" w:cs="Times New Roman"/>
          <w:sz w:val="24"/>
          <w:szCs w:val="24"/>
        </w:rPr>
        <w:t>which is unchanged from the previous submission.</w:t>
      </w:r>
    </w:p>
    <w:p w:rsidR="003A16BD" w:rsidP="00CA1E67" w14:paraId="4D94DAF2" w14:textId="3A45FA9D">
      <w:pPr>
        <w:widowControl w:val="0"/>
        <w:spacing w:after="0" w:line="240" w:lineRule="auto"/>
        <w:ind w:left="720"/>
        <w:rPr>
          <w:rFonts w:ascii="Times New Roman" w:eastAsia="Times New Roman" w:hAnsi="Times New Roman" w:cs="Times New Roman"/>
          <w:sz w:val="24"/>
          <w:szCs w:val="24"/>
        </w:rPr>
      </w:pPr>
    </w:p>
    <w:p w:rsidR="00982095" w:rsidRPr="003A16BD" w:rsidP="009E2C97" w14:paraId="556FC813" w14:textId="271D31C4">
      <w:pPr>
        <w:pStyle w:val="ListParagraph"/>
        <w:numPr>
          <w:ilvl w:val="0"/>
          <w:numId w:val="2"/>
        </w:numPr>
        <w:spacing w:after="0" w:line="240" w:lineRule="auto"/>
        <w:ind w:left="720" w:hanging="720"/>
        <w:rPr>
          <w:rFonts w:ascii="Times New Roman" w:hAnsi="Times New Roman" w:cs="Times New Roman"/>
          <w:b/>
          <w:sz w:val="24"/>
          <w:szCs w:val="24"/>
          <w:u w:val="single"/>
        </w:rPr>
      </w:pPr>
      <w:r w:rsidRPr="003A16BD">
        <w:rPr>
          <w:rFonts w:ascii="Times New Roman" w:hAnsi="Times New Roman" w:cs="Times New Roman"/>
          <w:b/>
          <w:sz w:val="24"/>
          <w:szCs w:val="24"/>
          <w:u w:val="single"/>
        </w:rPr>
        <w:t xml:space="preserve">Circumstances </w:t>
      </w:r>
      <w:r w:rsidRPr="003A16BD" w:rsidR="003A16BD">
        <w:rPr>
          <w:rFonts w:ascii="Times New Roman" w:hAnsi="Times New Roman" w:cs="Times New Roman"/>
          <w:b/>
          <w:sz w:val="24"/>
          <w:szCs w:val="24"/>
          <w:u w:val="single"/>
        </w:rPr>
        <w:t>th</w:t>
      </w:r>
      <w:r w:rsidR="008C1DC2">
        <w:rPr>
          <w:rFonts w:ascii="Times New Roman" w:hAnsi="Times New Roman" w:cs="Times New Roman"/>
          <w:b/>
          <w:sz w:val="24"/>
          <w:szCs w:val="24"/>
          <w:u w:val="single"/>
        </w:rPr>
        <w:t>at</w:t>
      </w:r>
      <w:r w:rsidRPr="003A16BD" w:rsidR="003A16BD">
        <w:rPr>
          <w:rFonts w:ascii="Times New Roman" w:hAnsi="Times New Roman" w:cs="Times New Roman"/>
          <w:b/>
          <w:sz w:val="24"/>
          <w:szCs w:val="24"/>
          <w:u w:val="single"/>
        </w:rPr>
        <w:t xml:space="preserve"> make c</w:t>
      </w:r>
      <w:r w:rsidRPr="003A16BD">
        <w:rPr>
          <w:rFonts w:ascii="Times New Roman" w:hAnsi="Times New Roman" w:cs="Times New Roman"/>
          <w:b/>
          <w:sz w:val="24"/>
          <w:szCs w:val="24"/>
          <w:u w:val="single"/>
        </w:rPr>
        <w:t xml:space="preserve">ollection of </w:t>
      </w:r>
      <w:r w:rsidRPr="003A16BD" w:rsidR="003A16BD">
        <w:rPr>
          <w:rFonts w:ascii="Times New Roman" w:hAnsi="Times New Roman" w:cs="Times New Roman"/>
          <w:b/>
          <w:sz w:val="24"/>
          <w:szCs w:val="24"/>
          <w:u w:val="single"/>
        </w:rPr>
        <w:t>the i</w:t>
      </w:r>
      <w:r w:rsidRPr="003A16BD">
        <w:rPr>
          <w:rFonts w:ascii="Times New Roman" w:hAnsi="Times New Roman" w:cs="Times New Roman"/>
          <w:b/>
          <w:sz w:val="24"/>
          <w:szCs w:val="24"/>
          <w:u w:val="single"/>
        </w:rPr>
        <w:t xml:space="preserve">nformation </w:t>
      </w:r>
      <w:r w:rsidR="008C1DC2">
        <w:rPr>
          <w:rFonts w:ascii="Times New Roman" w:hAnsi="Times New Roman" w:cs="Times New Roman"/>
          <w:b/>
          <w:sz w:val="24"/>
          <w:szCs w:val="24"/>
          <w:u w:val="single"/>
        </w:rPr>
        <w:t>n</w:t>
      </w:r>
      <w:r w:rsidRPr="003A16BD">
        <w:rPr>
          <w:rFonts w:ascii="Times New Roman" w:hAnsi="Times New Roman" w:cs="Times New Roman"/>
          <w:b/>
          <w:sz w:val="24"/>
          <w:szCs w:val="24"/>
          <w:u w:val="single"/>
        </w:rPr>
        <w:t>ecessary</w:t>
      </w:r>
      <w:r w:rsidR="003A16BD">
        <w:rPr>
          <w:rFonts w:ascii="Times New Roman" w:hAnsi="Times New Roman" w:cs="Times New Roman"/>
          <w:b/>
          <w:sz w:val="24"/>
          <w:szCs w:val="24"/>
        </w:rPr>
        <w:t>.</w:t>
      </w:r>
    </w:p>
    <w:p w:rsidR="00982095" w:rsidRPr="009C197C" w:rsidP="009E2C97" w14:paraId="3C5B5A24" w14:textId="77777777">
      <w:pPr>
        <w:pStyle w:val="ListParagraph"/>
        <w:spacing w:after="0" w:line="240" w:lineRule="auto"/>
        <w:ind w:hanging="720"/>
        <w:rPr>
          <w:rFonts w:ascii="Times New Roman" w:hAnsi="Times New Roman" w:cs="Times New Roman"/>
          <w:b/>
          <w:sz w:val="24"/>
          <w:szCs w:val="24"/>
        </w:rPr>
      </w:pPr>
    </w:p>
    <w:p w:rsidR="00982095" w:rsidRPr="009C197C" w:rsidP="009E2C97" w14:paraId="179DFDBC" w14:textId="3DA8B144">
      <w:pPr>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In order </w:t>
      </w:r>
      <w:r w:rsidRPr="009C197C" w:rsidR="000C0A7E">
        <w:rPr>
          <w:rFonts w:ascii="Times New Roman" w:hAnsi="Times New Roman" w:cs="Times New Roman"/>
          <w:sz w:val="24"/>
          <w:szCs w:val="24"/>
        </w:rPr>
        <w:t xml:space="preserve">to ensure that </w:t>
      </w:r>
      <w:r w:rsidR="002E3E40">
        <w:rPr>
          <w:rFonts w:ascii="Times New Roman" w:hAnsi="Times New Roman" w:cs="Times New Roman"/>
          <w:sz w:val="24"/>
          <w:szCs w:val="24"/>
        </w:rPr>
        <w:t>its</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programs are effective and meet customers’ needs</w:t>
      </w:r>
      <w:r w:rsidRPr="009C197C">
        <w:rPr>
          <w:rFonts w:ascii="Times New Roman" w:hAnsi="Times New Roman" w:cs="Times New Roman"/>
          <w:sz w:val="24"/>
          <w:szCs w:val="24"/>
        </w:rPr>
        <w:t xml:space="preserve">, </w:t>
      </w:r>
      <w:r w:rsidRPr="009C197C" w:rsidR="008B5C91">
        <w:rPr>
          <w:rFonts w:ascii="Times New Roman" w:hAnsi="Times New Roman" w:cs="Times New Roman"/>
          <w:sz w:val="24"/>
          <w:szCs w:val="24"/>
        </w:rPr>
        <w:t>F</w:t>
      </w:r>
      <w:r w:rsidR="008B5C91">
        <w:rPr>
          <w:rFonts w:ascii="Times New Roman" w:hAnsi="Times New Roman" w:cs="Times New Roman"/>
          <w:sz w:val="24"/>
          <w:szCs w:val="24"/>
        </w:rPr>
        <w:t>RA</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seeks to obtain</w:t>
      </w:r>
      <w:r w:rsidR="00BE1645">
        <w:rPr>
          <w:rFonts w:ascii="Times New Roman" w:hAnsi="Times New Roman" w:cs="Times New Roman"/>
          <w:sz w:val="24"/>
          <w:szCs w:val="24"/>
        </w:rPr>
        <w:t xml:space="preserve"> from</w:t>
      </w:r>
      <w:r w:rsidRPr="009C197C" w:rsidR="000C0A7E">
        <w:rPr>
          <w:rFonts w:ascii="Times New Roman" w:hAnsi="Times New Roman" w:cs="Times New Roman"/>
          <w:sz w:val="24"/>
          <w:szCs w:val="24"/>
        </w:rPr>
        <w:t xml:space="preserve"> OMB </w:t>
      </w:r>
      <w:r w:rsidR="0083303A">
        <w:rPr>
          <w:rFonts w:ascii="Times New Roman" w:hAnsi="Times New Roman" w:cs="Times New Roman"/>
          <w:sz w:val="24"/>
          <w:szCs w:val="24"/>
        </w:rPr>
        <w:t xml:space="preserve">an extension of </w:t>
      </w:r>
      <w:r w:rsidRPr="009C197C" w:rsidR="000C0A7E">
        <w:rPr>
          <w:rFonts w:ascii="Times New Roman" w:hAnsi="Times New Roman" w:cs="Times New Roman"/>
          <w:sz w:val="24"/>
          <w:szCs w:val="24"/>
        </w:rPr>
        <w:t xml:space="preserve">a generic 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w:t>
      </w:r>
      <w:r w:rsidR="002E3E40">
        <w:rPr>
          <w:rFonts w:ascii="Times New Roman" w:hAnsi="Times New Roman" w:cs="Times New Roman"/>
          <w:sz w:val="24"/>
          <w:szCs w:val="24"/>
        </w:rPr>
        <w:t>FRA’s</w:t>
      </w:r>
      <w:r w:rsidRPr="009C197C" w:rsidR="000A410F">
        <w:rPr>
          <w:rFonts w:ascii="Times New Roman" w:hAnsi="Times New Roman" w:cs="Times New Roman"/>
          <w:sz w:val="24"/>
          <w:szCs w:val="24"/>
        </w:rPr>
        <w:t xml:space="preserve"> service delivery</w:t>
      </w:r>
      <w:r w:rsidR="00EC0F2F">
        <w:rPr>
          <w:rFonts w:ascii="Times New Roman" w:hAnsi="Times New Roman" w:cs="Times New Roman"/>
          <w:sz w:val="24"/>
          <w:szCs w:val="24"/>
        </w:rPr>
        <w:t xml:space="preserve">, as defined as </w:t>
      </w:r>
      <w:r w:rsidRPr="009C197C" w:rsidR="000A410F">
        <w:rPr>
          <w:rFonts w:ascii="Times New Roman" w:hAnsi="Times New Roman" w:cs="Times New Roman"/>
          <w:sz w:val="24"/>
          <w:szCs w:val="24"/>
        </w:rPr>
        <w:t xml:space="preserve">useful insights on perceptions and </w:t>
      </w:r>
      <w:r w:rsidRPr="009C197C" w:rsidR="00314A78">
        <w:rPr>
          <w:rFonts w:ascii="Times New Roman" w:hAnsi="Times New Roman" w:cs="Times New Roman"/>
          <w:sz w:val="24"/>
          <w:szCs w:val="24"/>
        </w:rPr>
        <w:t>opinions but</w:t>
      </w:r>
      <w:r w:rsidRPr="009C197C" w:rsidR="000A410F">
        <w:rPr>
          <w:rFonts w:ascii="Times New Roman" w:hAnsi="Times New Roman" w:cs="Times New Roman"/>
          <w:sz w:val="24"/>
          <w:szCs w:val="24"/>
        </w:rPr>
        <w:t xml:space="preserve">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00982095" w:rsidRPr="009C197C" w:rsidP="009E2C97" w14:paraId="231BC2EE" w14:textId="77777777">
      <w:pPr>
        <w:spacing w:after="0" w:line="240" w:lineRule="auto"/>
        <w:ind w:left="720" w:hanging="720"/>
        <w:rPr>
          <w:rFonts w:ascii="Times New Roman" w:hAnsi="Times New Roman" w:cs="Times New Roman"/>
          <w:b/>
          <w:sz w:val="24"/>
          <w:szCs w:val="24"/>
        </w:rPr>
      </w:pPr>
    </w:p>
    <w:p w:rsidR="00982095" w:rsidP="009E2C97" w14:paraId="7B11EFB0" w14:textId="71E6B637">
      <w:pPr>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to garner customer and stakeholder feedback in an efficient, timely manner, in accordance with</w:t>
      </w:r>
      <w:r w:rsidR="005A2664">
        <w:rPr>
          <w:rFonts w:ascii="Times New Roman" w:hAnsi="Times New Roman" w:cs="Times New Roman"/>
          <w:sz w:val="24"/>
          <w:szCs w:val="24"/>
        </w:rPr>
        <w:t xml:space="preserve"> its</w:t>
      </w:r>
      <w:r w:rsidRPr="009C197C" w:rsidR="000A410F">
        <w:rPr>
          <w:rFonts w:ascii="Times New Roman" w:hAnsi="Times New Roman" w:cs="Times New Roman"/>
          <w:sz w:val="24"/>
          <w:szCs w:val="24"/>
        </w:rPr>
        <w:t xml:space="preserve">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customers and stakeholders</w:t>
      </w:r>
      <w:r w:rsidRPr="009C197C">
        <w:rPr>
          <w:rFonts w:ascii="Times New Roman" w:hAnsi="Times New Roman" w:cs="Times New Roman"/>
          <w:sz w:val="24"/>
          <w:szCs w:val="24"/>
        </w:rPr>
        <w:t xml:space="preserve"> will help ensure that users have </w:t>
      </w:r>
      <w:r w:rsidR="00A85693">
        <w:rPr>
          <w:rFonts w:ascii="Times New Roman" w:hAnsi="Times New Roman" w:cs="Times New Roman"/>
          <w:sz w:val="24"/>
          <w:szCs w:val="24"/>
        </w:rPr>
        <w:t xml:space="preserve">an </w:t>
      </w:r>
      <w:r w:rsidRPr="009C197C" w:rsidR="00A85693">
        <w:rPr>
          <w:rFonts w:ascii="Times New Roman" w:hAnsi="Times New Roman" w:cs="Times New Roman"/>
          <w:sz w:val="24"/>
          <w:szCs w:val="24"/>
        </w:rPr>
        <w:t>effective</w:t>
      </w:r>
      <w:r w:rsidRPr="009C197C">
        <w:rPr>
          <w:rFonts w:ascii="Times New Roman" w:hAnsi="Times New Roman" w:cs="Times New Roman"/>
          <w:sz w:val="24"/>
          <w:szCs w:val="24"/>
        </w:rPr>
        <w:t xml:space="preser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w:t>
      </w:r>
      <w:r w:rsidR="00A85693">
        <w:rPr>
          <w:rFonts w:ascii="Times New Roman" w:hAnsi="Times New Roman" w:cs="Times New Roman"/>
          <w:sz w:val="24"/>
          <w:szCs w:val="24"/>
        </w:rPr>
        <w:t xml:space="preserve"> </w:t>
      </w:r>
      <w:r w:rsidRPr="009C197C">
        <w:rPr>
          <w:rFonts w:ascii="Times New Roman" w:hAnsi="Times New Roman" w:cs="Times New Roman"/>
          <w:sz w:val="24"/>
          <w:szCs w:val="24"/>
        </w:rPr>
        <w:t xml:space="preserve">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xml:space="preserve">, </w:t>
      </w:r>
      <w:r w:rsidRPr="009C197C" w:rsidR="007B73B0">
        <w:rPr>
          <w:rFonts w:ascii="Times New Roman" w:hAnsi="Times New Roman" w:cs="Times New Roman"/>
          <w:sz w:val="24"/>
          <w:szCs w:val="24"/>
        </w:rPr>
        <w:t>experiences,</w:t>
      </w:r>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w:t>
      </w:r>
      <w:r w:rsidRPr="009C197C" w:rsidR="007B73B0">
        <w:rPr>
          <w:rFonts w:ascii="Times New Roman" w:hAnsi="Times New Roman" w:cs="Times New Roman"/>
          <w:sz w:val="24"/>
          <w:szCs w:val="24"/>
        </w:rPr>
        <w:t>collaborative,</w:t>
      </w:r>
      <w:r w:rsidRPr="009C197C" w:rsidR="00FB1178">
        <w:rPr>
          <w:rFonts w:ascii="Times New Roman" w:hAnsi="Times New Roman" w:cs="Times New Roman"/>
          <w:sz w:val="24"/>
          <w:szCs w:val="24"/>
        </w:rPr>
        <w:t xml:space="preser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A85693" w:rsidP="009E2C97" w14:paraId="4DBD7A14" w14:textId="77777777">
      <w:pPr>
        <w:spacing w:after="0" w:line="240" w:lineRule="auto"/>
        <w:ind w:left="720"/>
        <w:rPr>
          <w:rFonts w:ascii="Times New Roman" w:hAnsi="Times New Roman" w:cs="Times New Roman"/>
          <w:sz w:val="24"/>
          <w:szCs w:val="24"/>
        </w:rPr>
      </w:pPr>
    </w:p>
    <w:p w:rsidR="00A85693" w:rsidP="009E2C97" w14:paraId="482739EA" w14:textId="77777777">
      <w:pPr>
        <w:spacing w:after="0" w:line="240" w:lineRule="auto"/>
        <w:ind w:left="720"/>
        <w:rPr>
          <w:rFonts w:ascii="Times New Roman" w:hAnsi="Times New Roman" w:cs="Times New Roman"/>
          <w:sz w:val="24"/>
          <w:szCs w:val="24"/>
        </w:rPr>
      </w:pPr>
    </w:p>
    <w:p w:rsidR="005061A7" w:rsidP="009E2C97" w14:paraId="063E7CF7" w14:textId="13F00FB7">
      <w:pPr>
        <w:spacing w:after="0" w:line="240" w:lineRule="auto"/>
        <w:ind w:left="720"/>
        <w:rPr>
          <w:rFonts w:ascii="Times New Roman" w:hAnsi="Times New Roman" w:cs="Times New Roman"/>
          <w:sz w:val="24"/>
          <w:szCs w:val="24"/>
        </w:rPr>
      </w:pPr>
    </w:p>
    <w:p w:rsidR="00982095" w:rsidRPr="009C197C" w:rsidP="009E2C97" w14:paraId="7C8467B9" w14:textId="550D679F">
      <w:pPr>
        <w:pStyle w:val="ListParagraph"/>
        <w:numPr>
          <w:ilvl w:val="0"/>
          <w:numId w:val="2"/>
        </w:numPr>
        <w:spacing w:after="0" w:line="240" w:lineRule="auto"/>
        <w:ind w:left="720" w:hanging="720"/>
        <w:rPr>
          <w:rFonts w:ascii="Times New Roman" w:hAnsi="Times New Roman" w:cs="Times New Roman"/>
          <w:b/>
          <w:sz w:val="24"/>
          <w:szCs w:val="24"/>
        </w:rPr>
      </w:pPr>
      <w:r w:rsidRPr="003A16BD">
        <w:rPr>
          <w:rFonts w:ascii="Times New Roman" w:hAnsi="Times New Roman" w:cs="Times New Roman"/>
          <w:b/>
          <w:sz w:val="24"/>
          <w:szCs w:val="24"/>
          <w:u w:val="single"/>
        </w:rPr>
        <w:t>How, by whom, and for what purpose the information is to be used</w:t>
      </w:r>
      <w:r>
        <w:rPr>
          <w:rFonts w:ascii="Times New Roman" w:hAnsi="Times New Roman" w:cs="Times New Roman"/>
          <w:b/>
          <w:sz w:val="24"/>
          <w:szCs w:val="24"/>
        </w:rPr>
        <w:t>.</w:t>
      </w:r>
    </w:p>
    <w:p w:rsidR="00982095" w:rsidRPr="009C197C" w:rsidP="009E2C97" w14:paraId="7E8C2382" w14:textId="77777777">
      <w:pPr>
        <w:spacing w:after="0" w:line="240" w:lineRule="auto"/>
        <w:ind w:left="720" w:hanging="720"/>
        <w:rPr>
          <w:rFonts w:ascii="Times New Roman" w:hAnsi="Times New Roman" w:cs="Times New Roman"/>
          <w:sz w:val="24"/>
          <w:szCs w:val="24"/>
          <w:highlight w:val="yellow"/>
        </w:rPr>
      </w:pPr>
    </w:p>
    <w:p w:rsidR="00982095" w:rsidRPr="009C197C" w:rsidP="009E2C97" w14:paraId="613B2371" w14:textId="7BABE332">
      <w:pPr>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002A7FC7">
        <w:rPr>
          <w:rFonts w:ascii="Times New Roman" w:hAnsi="Times New Roman" w:cs="Times New Roman"/>
          <w:sz w:val="24"/>
          <w:szCs w:val="24"/>
        </w:rPr>
        <w:t xml:space="preserve">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w:t>
      </w:r>
      <w:r w:rsidRPr="009C197C" w:rsidR="002A7FC7">
        <w:rPr>
          <w:rFonts w:ascii="Times New Roman" w:hAnsi="Times New Roman" w:cs="Times New Roman"/>
          <w:sz w:val="24"/>
          <w:szCs w:val="24"/>
        </w:rPr>
        <w:t>such as</w:t>
      </w:r>
      <w:r w:rsidRPr="009C197C">
        <w:rPr>
          <w:rFonts w:ascii="Times New Roman" w:hAnsi="Times New Roman" w:cs="Times New Roman"/>
          <w:sz w:val="24"/>
          <w:szCs w:val="24"/>
        </w:rPr>
        <w:t xml:space="preserve"> timeliness, 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P="009E2C97" w14:paraId="34CB9193" w14:textId="77777777">
      <w:pPr>
        <w:spacing w:after="0" w:line="240" w:lineRule="auto"/>
        <w:ind w:left="720" w:hanging="720"/>
        <w:rPr>
          <w:rFonts w:ascii="Times New Roman" w:hAnsi="Times New Roman" w:cs="Times New Roman"/>
          <w:sz w:val="24"/>
          <w:szCs w:val="24"/>
        </w:rPr>
      </w:pPr>
    </w:p>
    <w:p w:rsidR="00EB2D61" w:rsidRPr="009C197C" w:rsidP="009E1FF1" w14:paraId="009C80FC" w14:textId="25B0F629">
      <w:pPr>
        <w:spacing w:after="0" w:line="240" w:lineRule="auto"/>
        <w:ind w:left="720" w:hanging="90"/>
        <w:rPr>
          <w:rFonts w:ascii="Times New Roman" w:hAnsi="Times New Roman" w:cs="Times New Roman"/>
          <w:sz w:val="24"/>
          <w:szCs w:val="24"/>
        </w:rPr>
      </w:pPr>
      <w:r w:rsidRPr="00880EA8">
        <w:rPr>
          <w:rFonts w:ascii="Times New Roman" w:hAnsi="Times New Roman" w:cs="Times New Roman"/>
          <w:sz w:val="24"/>
          <w:szCs w:val="24"/>
        </w:rPr>
        <w:tab/>
        <w:t>FRA will only submit a collection for approval under this generic clearance under the following conditions:</w:t>
      </w:r>
      <w:r>
        <w:rPr>
          <w:rFonts w:ascii="Times New Roman" w:hAnsi="Times New Roman" w:cs="Times New Roman"/>
          <w:sz w:val="24"/>
          <w:szCs w:val="24"/>
        </w:rPr>
        <w:t xml:space="preserve"> </w:t>
      </w:r>
    </w:p>
    <w:p w:rsidR="00AA3F96" w:rsidRPr="009C197C" w:rsidP="00F8313C" w14:paraId="0F0CE917" w14:textId="77777777">
      <w:pPr>
        <w:spacing w:after="0" w:line="240" w:lineRule="auto"/>
        <w:ind w:left="360"/>
        <w:rPr>
          <w:rFonts w:ascii="Times New Roman" w:hAnsi="Times New Roman" w:cs="Times New Roman"/>
          <w:sz w:val="24"/>
          <w:szCs w:val="24"/>
        </w:rPr>
      </w:pPr>
    </w:p>
    <w:p w:rsidR="00377B51" w:rsidRPr="009C197C" w:rsidP="009E2C97" w14:paraId="7D56CAE7" w14:textId="49C106D7">
      <w:pPr>
        <w:pStyle w:val="ListParagraph"/>
        <w:numPr>
          <w:ilvl w:val="0"/>
          <w:numId w:val="1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w:t>
      </w:r>
      <w:r w:rsidRPr="009C197C" w:rsidR="00EB2D61">
        <w:rPr>
          <w:rFonts w:ascii="Times New Roman" w:hAnsi="Times New Roman" w:cs="Times New Roman"/>
          <w:sz w:val="24"/>
          <w:szCs w:val="24"/>
        </w:rPr>
        <w:t xml:space="preserve">nformation gathered </w:t>
      </w:r>
      <w:r w:rsidR="002A7FC7">
        <w:rPr>
          <w:rFonts w:ascii="Times New Roman" w:hAnsi="Times New Roman" w:cs="Times New Roman"/>
          <w:sz w:val="24"/>
          <w:szCs w:val="24"/>
        </w:rPr>
        <w:t xml:space="preserve">is </w:t>
      </w:r>
      <w:r w:rsidR="00090293">
        <w:rPr>
          <w:rFonts w:ascii="Times New Roman" w:hAnsi="Times New Roman" w:cs="Times New Roman"/>
          <w:sz w:val="24"/>
          <w:szCs w:val="24"/>
        </w:rPr>
        <w:t>only</w:t>
      </w:r>
      <w:r w:rsidR="002A7FC7">
        <w:rPr>
          <w:rFonts w:ascii="Times New Roman" w:hAnsi="Times New Roman" w:cs="Times New Roman"/>
          <w:sz w:val="24"/>
          <w:szCs w:val="24"/>
        </w:rPr>
        <w:t xml:space="preserve"> </w:t>
      </w:r>
      <w:r w:rsidRPr="009C197C" w:rsidR="00EB2D61">
        <w:rPr>
          <w:rFonts w:ascii="Times New Roman" w:hAnsi="Times New Roman" w:cs="Times New Roman"/>
          <w:sz w:val="24"/>
          <w:szCs w:val="24"/>
        </w:rPr>
        <w:t>used</w:t>
      </w:r>
      <w:r w:rsidRPr="009C197C">
        <w:rPr>
          <w:rFonts w:ascii="Times New Roman" w:hAnsi="Times New Roman" w:cs="Times New Roman"/>
          <w:sz w:val="24"/>
          <w:szCs w:val="24"/>
        </w:rPr>
        <w:t xml:space="preserve"> </w:t>
      </w:r>
      <w:r w:rsidRPr="009C197C" w:rsidR="00572831">
        <w:rPr>
          <w:rFonts w:ascii="Times New Roman" w:hAnsi="Times New Roman" w:cs="Times New Roman"/>
          <w:sz w:val="24"/>
          <w:szCs w:val="24"/>
        </w:rPr>
        <w:t xml:space="preserve">internally </w:t>
      </w:r>
      <w:r w:rsidRPr="009C197C">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Pr>
          <w:rFonts w:ascii="Times New Roman" w:hAnsi="Times New Roman" w:cs="Times New Roman"/>
          <w:sz w:val="24"/>
          <w:szCs w:val="24"/>
        </w:rPr>
        <w:t>not intended for release outside of the agency</w:t>
      </w:r>
      <w:r w:rsidR="003F7204">
        <w:rPr>
          <w:rFonts w:ascii="Times New Roman" w:hAnsi="Times New Roman" w:cs="Times New Roman"/>
          <w:sz w:val="24"/>
          <w:szCs w:val="24"/>
        </w:rPr>
        <w:t>.</w:t>
      </w:r>
    </w:p>
    <w:p w:rsidR="00D64405" w:rsidRPr="009C197C" w:rsidP="009E2C97" w14:paraId="05B30A6D" w14:textId="120036D6">
      <w:pPr>
        <w:pStyle w:val="ListParagraph"/>
        <w:numPr>
          <w:ilvl w:val="0"/>
          <w:numId w:val="1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w:t>
      </w:r>
      <w:r w:rsidRPr="009C197C" w:rsidR="00572831">
        <w:rPr>
          <w:rFonts w:ascii="Times New Roman" w:hAnsi="Times New Roman" w:cs="Times New Roman"/>
          <w:sz w:val="24"/>
          <w:szCs w:val="24"/>
        </w:rPr>
        <w:t xml:space="preserve">nformation gathered </w:t>
      </w:r>
      <w:r w:rsidR="002A7FC7">
        <w:rPr>
          <w:rFonts w:ascii="Times New Roman" w:hAnsi="Times New Roman" w:cs="Times New Roman"/>
          <w:sz w:val="24"/>
          <w:szCs w:val="24"/>
        </w:rPr>
        <w:t>is not</w:t>
      </w:r>
      <w:r w:rsidRPr="009C197C" w:rsidR="00572831">
        <w:rPr>
          <w:rFonts w:ascii="Times New Roman" w:hAnsi="Times New Roman" w:cs="Times New Roman"/>
          <w:sz w:val="24"/>
          <w:szCs w:val="24"/>
        </w:rPr>
        <w:t xml:space="preserve"> used for the purpose of substantially informing influential policy decisions</w:t>
      </w:r>
      <w:r w:rsidR="003F7204">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1628A1" w:rsidRPr="009C197C" w:rsidP="009E2C97" w14:paraId="40A3B544" w14:textId="149C6731">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w:t>
      </w:r>
      <w:r w:rsidRPr="009C197C" w:rsidR="00D30F06">
        <w:rPr>
          <w:rFonts w:ascii="Times New Roman" w:hAnsi="Times New Roman" w:cs="Times New Roman"/>
          <w:sz w:val="24"/>
          <w:szCs w:val="24"/>
        </w:rPr>
        <w:t xml:space="preserve">nformation gathered </w:t>
      </w:r>
      <w:r w:rsidRPr="009C197C" w:rsidR="000C0A7E">
        <w:rPr>
          <w:rFonts w:ascii="Times New Roman" w:hAnsi="Times New Roman" w:cs="Times New Roman"/>
          <w:sz w:val="24"/>
          <w:szCs w:val="24"/>
        </w:rPr>
        <w:t xml:space="preserve">will yield qualitative information; </w:t>
      </w:r>
      <w:r w:rsidRPr="0064699B">
        <w:rPr>
          <w:rFonts w:ascii="Times New Roman" w:hAnsi="Times New Roman" w:cs="Times New Roman"/>
          <w:sz w:val="24"/>
          <w:szCs w:val="24"/>
        </w:rPr>
        <w:t xml:space="preserve">FRA will not design the collection or expect it to yield statistically reliable results or use it as though the results are </w:t>
      </w:r>
      <w:r w:rsidRPr="0064699B" w:rsidR="003F7204">
        <w:rPr>
          <w:rFonts w:ascii="Times New Roman" w:hAnsi="Times New Roman" w:cs="Times New Roman"/>
          <w:sz w:val="24"/>
          <w:szCs w:val="24"/>
        </w:rPr>
        <w:t>generalized</w:t>
      </w:r>
      <w:r w:rsidRPr="0064699B">
        <w:rPr>
          <w:rFonts w:ascii="Times New Roman" w:hAnsi="Times New Roman" w:cs="Times New Roman"/>
          <w:sz w:val="24"/>
          <w:szCs w:val="24"/>
        </w:rPr>
        <w:t xml:space="preserve"> to the study population</w:t>
      </w:r>
      <w:r w:rsidR="003F7204">
        <w:rPr>
          <w:rFonts w:ascii="Times New Roman" w:hAnsi="Times New Roman" w:cs="Times New Roman"/>
          <w:sz w:val="24"/>
          <w:szCs w:val="24"/>
        </w:rPr>
        <w:t>.</w:t>
      </w:r>
      <w:r w:rsidRPr="009C197C" w:rsidR="000C0A7E">
        <w:rPr>
          <w:rFonts w:ascii="Times New Roman" w:hAnsi="Times New Roman" w:cs="Times New Roman"/>
          <w:sz w:val="24"/>
          <w:szCs w:val="24"/>
        </w:rPr>
        <w:t xml:space="preserve"> </w:t>
      </w:r>
    </w:p>
    <w:p w:rsidR="00982095" w:rsidRPr="009C197C" w:rsidP="009E2C97" w14:paraId="636DB7FC" w14:textId="3ABB16A0">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Participation in the </w:t>
      </w:r>
      <w:r w:rsidRPr="009C197C" w:rsidR="000C0A7E">
        <w:rPr>
          <w:rFonts w:ascii="Times New Roman" w:hAnsi="Times New Roman" w:cs="Times New Roman"/>
          <w:sz w:val="24"/>
          <w:szCs w:val="24"/>
        </w:rPr>
        <w:t xml:space="preserve">collection </w:t>
      </w:r>
      <w:r>
        <w:rPr>
          <w:rFonts w:ascii="Times New Roman" w:hAnsi="Times New Roman" w:cs="Times New Roman"/>
          <w:sz w:val="24"/>
          <w:szCs w:val="24"/>
        </w:rPr>
        <w:t>is</w:t>
      </w:r>
      <w:r w:rsidRPr="009C197C" w:rsidR="000C0A7E">
        <w:rPr>
          <w:rFonts w:ascii="Times New Roman" w:hAnsi="Times New Roman" w:cs="Times New Roman"/>
          <w:sz w:val="24"/>
          <w:szCs w:val="24"/>
        </w:rPr>
        <w:t xml:space="preserve"> voluntary</w:t>
      </w:r>
      <w:r w:rsidR="003F7204">
        <w:rPr>
          <w:rFonts w:ascii="Times New Roman" w:hAnsi="Times New Roman" w:cs="Times New Roman"/>
          <w:sz w:val="24"/>
          <w:szCs w:val="24"/>
        </w:rPr>
        <w:t>.</w:t>
      </w:r>
    </w:p>
    <w:p w:rsidR="00982095" w:rsidRPr="009C197C" w:rsidP="009E2C97" w14:paraId="033826ED" w14:textId="71F744E4">
      <w:pPr>
        <w:pStyle w:val="ListParagraph"/>
        <w:numPr>
          <w:ilvl w:val="0"/>
          <w:numId w:val="9"/>
        </w:numPr>
        <w:spacing w:after="0" w:line="240" w:lineRule="auto"/>
        <w:ind w:left="1080"/>
        <w:rPr>
          <w:rFonts w:ascii="Times New Roman" w:hAnsi="Times New Roman" w:cs="Times New Roman"/>
          <w:sz w:val="24"/>
          <w:szCs w:val="24"/>
        </w:rPr>
      </w:pPr>
      <w:r w:rsidRPr="009C197C">
        <w:rPr>
          <w:rFonts w:ascii="Times New Roman" w:hAnsi="Times New Roman" w:cs="Times New Roman"/>
          <w:sz w:val="24"/>
          <w:szCs w:val="24"/>
        </w:rPr>
        <w:t xml:space="preserve">The collections are </w:t>
      </w:r>
      <w:r w:rsidRPr="009C197C" w:rsidR="003F7204">
        <w:rPr>
          <w:rFonts w:ascii="Times New Roman" w:hAnsi="Times New Roman" w:cs="Times New Roman"/>
          <w:sz w:val="24"/>
          <w:szCs w:val="24"/>
        </w:rPr>
        <w:t>low burden</w:t>
      </w:r>
      <w:r w:rsidRPr="009C197C">
        <w:rPr>
          <w:rFonts w:ascii="Times New Roman" w:hAnsi="Times New Roman" w:cs="Times New Roman"/>
          <w:sz w:val="24"/>
          <w:szCs w:val="24"/>
        </w:rPr>
        <w:t xml:space="preserve"> for respondents (based on considerations of total burden hours, total number of respondents, or </w:t>
      </w:r>
      <w:r w:rsidRPr="009C197C" w:rsidR="003F7204">
        <w:rPr>
          <w:rFonts w:ascii="Times New Roman" w:hAnsi="Times New Roman" w:cs="Times New Roman"/>
          <w:sz w:val="24"/>
          <w:szCs w:val="24"/>
        </w:rPr>
        <w:t>burden hours</w:t>
      </w:r>
      <w:r w:rsidRPr="009C197C">
        <w:rPr>
          <w:rFonts w:ascii="Times New Roman" w:hAnsi="Times New Roman" w:cs="Times New Roman"/>
          <w:sz w:val="24"/>
          <w:szCs w:val="24"/>
        </w:rPr>
        <w:t xml:space="preserve"> per respondent) and are low-cost for both the respondents and the Federal Government</w:t>
      </w:r>
      <w:r w:rsidR="003F7204">
        <w:rPr>
          <w:rFonts w:ascii="Times New Roman" w:hAnsi="Times New Roman" w:cs="Times New Roman"/>
          <w:sz w:val="24"/>
          <w:szCs w:val="24"/>
        </w:rPr>
        <w:t>.</w:t>
      </w:r>
    </w:p>
    <w:p w:rsidR="00982095" w:rsidRPr="009C197C" w:rsidP="009E2C97" w14:paraId="1C3A068D" w14:textId="12D68163">
      <w:pPr>
        <w:pStyle w:val="ListParagraph"/>
        <w:numPr>
          <w:ilvl w:val="0"/>
          <w:numId w:val="9"/>
        </w:numPr>
        <w:spacing w:after="0" w:line="240" w:lineRule="auto"/>
        <w:ind w:left="1080"/>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w:t>
      </w:r>
      <w:r w:rsidRPr="009C197C" w:rsidR="00DB1020">
        <w:rPr>
          <w:rFonts w:ascii="Times New Roman" w:hAnsi="Times New Roman" w:cs="Times New Roman"/>
          <w:sz w:val="24"/>
          <w:szCs w:val="24"/>
        </w:rPr>
        <w:t>of concern</w:t>
      </w:r>
      <w:r w:rsidRPr="009C197C">
        <w:rPr>
          <w:rFonts w:ascii="Times New Roman" w:hAnsi="Times New Roman" w:cs="Times New Roman"/>
          <w:sz w:val="24"/>
          <w:szCs w:val="24"/>
        </w:rPr>
        <w:t xml:space="preserve"> to other Federal agencies</w:t>
      </w:r>
      <w:r w:rsidR="003F7204">
        <w:rPr>
          <w:rFonts w:ascii="Times New Roman" w:hAnsi="Times New Roman" w:cs="Times New Roman"/>
          <w:sz w:val="24"/>
          <w:szCs w:val="24"/>
        </w:rPr>
        <w:t>.</w:t>
      </w:r>
      <w:r w:rsidRPr="009C197C">
        <w:rPr>
          <w:rFonts w:ascii="Times New Roman" w:hAnsi="Times New Roman" w:cs="Times New Roman"/>
          <w:sz w:val="24"/>
          <w:szCs w:val="24"/>
        </w:rPr>
        <w:t xml:space="preserve"> </w:t>
      </w:r>
    </w:p>
    <w:p w:rsidR="00982095" w:rsidRPr="009C197C" w:rsidP="009E2C97" w14:paraId="791A0864" w14:textId="74294A50">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collection </w:t>
      </w:r>
      <w:r w:rsidRPr="009C197C" w:rsidR="00053937">
        <w:rPr>
          <w:rFonts w:ascii="Times New Roman" w:hAnsi="Times New Roman" w:cs="Times New Roman"/>
          <w:sz w:val="24"/>
          <w:szCs w:val="24"/>
        </w:rPr>
        <w:t xml:space="preserve">is </w:t>
      </w:r>
      <w:r w:rsidRPr="009C197C" w:rsidR="00BF2E89">
        <w:rPr>
          <w:rFonts w:ascii="Times New Roman" w:hAnsi="Times New Roman" w:cs="Times New Roman"/>
          <w:sz w:val="24"/>
          <w:szCs w:val="24"/>
        </w:rPr>
        <w:t xml:space="preserve">targeted </w:t>
      </w:r>
      <w:r w:rsidR="003F7204">
        <w:rPr>
          <w:rFonts w:ascii="Times New Roman" w:hAnsi="Times New Roman" w:cs="Times New Roman"/>
          <w:sz w:val="24"/>
          <w:szCs w:val="24"/>
        </w:rPr>
        <w:t>at</w:t>
      </w:r>
      <w:r w:rsidRPr="009C197C" w:rsidR="00053937">
        <w:rPr>
          <w:rFonts w:ascii="Times New Roman" w:hAnsi="Times New Roman" w:cs="Times New Roman"/>
          <w:sz w:val="24"/>
          <w:szCs w:val="24"/>
        </w:rPr>
        <w:t xml:space="preserve">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w:t>
      </w:r>
      <w:r w:rsidR="00410E55">
        <w:rPr>
          <w:rFonts w:ascii="Times New Roman" w:hAnsi="Times New Roman" w:cs="Times New Roman"/>
          <w:sz w:val="24"/>
          <w:szCs w:val="24"/>
        </w:rPr>
        <w:t xml:space="preserve"> </w:t>
      </w:r>
      <w:r w:rsidRPr="009C197C" w:rsidR="00BF2E89">
        <w:rPr>
          <w:rFonts w:ascii="Times New Roman" w:hAnsi="Times New Roman" w:cs="Times New Roman"/>
          <w:sz w:val="24"/>
          <w:szCs w:val="24"/>
        </w:rPr>
        <w:t>program in the near future</w:t>
      </w:r>
      <w:r w:rsidR="003F7204">
        <w:rPr>
          <w:rFonts w:ascii="Times New Roman" w:hAnsi="Times New Roman" w:cs="Times New Roman"/>
          <w:sz w:val="24"/>
          <w:szCs w:val="24"/>
        </w:rPr>
        <w:t>.</w:t>
      </w:r>
    </w:p>
    <w:p w:rsidR="00982095" w:rsidRPr="009C197C" w:rsidP="009E2C97" w14:paraId="76C0EBDF" w14:textId="77777777">
      <w:pPr>
        <w:pStyle w:val="ListParagraph"/>
        <w:numPr>
          <w:ilvl w:val="0"/>
          <w:numId w:val="9"/>
        </w:numPr>
        <w:spacing w:after="0" w:line="240" w:lineRule="auto"/>
        <w:ind w:left="1080"/>
        <w:rPr>
          <w:rFonts w:ascii="Times New Roman" w:hAnsi="Times New Roman" w:cs="Times New Roman"/>
          <w:sz w:val="24"/>
          <w:szCs w:val="24"/>
        </w:rPr>
      </w:pPr>
      <w:r w:rsidRPr="009C197C">
        <w:rPr>
          <w:rFonts w:ascii="Times New Roman" w:hAnsi="Times New Roman" w:cs="Times New Roman"/>
          <w:sz w:val="24"/>
          <w:szCs w:val="24"/>
        </w:rPr>
        <w:t xml:space="preserve">With the exception of information needed to provide </w:t>
      </w:r>
      <w:r w:rsidRPr="009C197C" w:rsidR="00DB1020">
        <w:rPr>
          <w:rFonts w:ascii="Times New Roman" w:hAnsi="Times New Roman" w:cs="Times New Roman"/>
          <w:sz w:val="24"/>
          <w:szCs w:val="24"/>
        </w:rPr>
        <w:t>remuneration</w:t>
      </w:r>
      <w:r w:rsidRPr="009C197C">
        <w:rPr>
          <w:rFonts w:ascii="Times New Roman" w:hAnsi="Times New Roman" w:cs="Times New Roman"/>
          <w:sz w:val="24"/>
          <w:szCs w:val="24"/>
        </w:rPr>
        <w:t xml:space="preserve"> for participants of focus groups and cognitive laboratory studies, p</w:t>
      </w:r>
      <w:r w:rsidRPr="009C197C" w:rsidR="000C0A7E">
        <w:rPr>
          <w:rFonts w:ascii="Times New Roman" w:hAnsi="Times New Roman" w:cs="Times New Roman"/>
          <w:sz w:val="24"/>
          <w:szCs w:val="24"/>
        </w:rPr>
        <w:t xml:space="preserve">ersonally identifiable information (PII)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00982095" w:rsidRPr="009C197C" w:rsidP="00CA1E67" w14:paraId="6225BA7A" w14:textId="77777777">
      <w:pPr>
        <w:pStyle w:val="ListParagraph"/>
        <w:spacing w:after="0" w:line="240" w:lineRule="auto"/>
        <w:ind w:left="1080"/>
        <w:rPr>
          <w:rFonts w:ascii="Times New Roman" w:hAnsi="Times New Roman" w:cs="Times New Roman"/>
          <w:sz w:val="24"/>
          <w:szCs w:val="24"/>
        </w:rPr>
      </w:pPr>
    </w:p>
    <w:p w:rsidR="00982095" w:rsidRPr="009C197C" w:rsidP="009E2C97" w14:paraId="5C6FCCE2" w14:textId="6796D413">
      <w:pPr>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w:t>
      </w:r>
      <w:r w:rsidR="00E55934">
        <w:rPr>
          <w:rFonts w:ascii="Times New Roman" w:hAnsi="Times New Roman" w:cs="Times New Roman"/>
          <w:sz w:val="24"/>
          <w:szCs w:val="24"/>
        </w:rPr>
        <w:t>ICR</w:t>
      </w:r>
      <w:r w:rsidRPr="009C197C">
        <w:rPr>
          <w:rFonts w:ascii="Times New Roman" w:hAnsi="Times New Roman" w:cs="Times New Roman"/>
          <w:sz w:val="24"/>
          <w:szCs w:val="24"/>
        </w:rPr>
        <w:t xml:space="preserve"> to OMB for approval through the normal </w:t>
      </w:r>
      <w:r w:rsidRPr="17D2FF6F" w:rsidR="3EB05C62">
        <w:rPr>
          <w:rFonts w:ascii="Times New Roman" w:eastAsia="Times New Roman" w:hAnsi="Times New Roman" w:cs="Times New Roman"/>
          <w:sz w:val="24"/>
          <w:szCs w:val="24"/>
        </w:rPr>
        <w:t>Paperwork Reduction Act of 1995 (PRA)</w:t>
      </w:r>
      <w:r w:rsidRPr="17D2FF6F" w:rsidR="3EB05C62">
        <w:rPr>
          <w:rFonts w:ascii="Times New Roman" w:hAnsi="Times New Roman" w:cs="Times New Roman"/>
          <w:sz w:val="24"/>
          <w:szCs w:val="24"/>
        </w:rPr>
        <w:t xml:space="preserve"> </w:t>
      </w:r>
      <w:r w:rsidRPr="009C197C">
        <w:rPr>
          <w:rFonts w:ascii="Times New Roman" w:hAnsi="Times New Roman" w:cs="Times New Roman"/>
          <w:sz w:val="24"/>
          <w:szCs w:val="24"/>
        </w:rPr>
        <w:t xml:space="preserve">process.  </w:t>
      </w:r>
    </w:p>
    <w:p w:rsidR="00982095" w:rsidRPr="009C197C" w14:paraId="4813EFE3" w14:textId="77777777">
      <w:pPr>
        <w:spacing w:after="0" w:line="240" w:lineRule="auto"/>
        <w:rPr>
          <w:rFonts w:ascii="Times New Roman" w:hAnsi="Times New Roman" w:cs="Times New Roman"/>
          <w:sz w:val="24"/>
          <w:szCs w:val="24"/>
        </w:rPr>
      </w:pPr>
    </w:p>
    <w:p w:rsidR="00982095" w:rsidRPr="009C197C" w:rsidP="009E2C97" w14:paraId="3FE6C5FC" w14:textId="1BDEDA54">
      <w:pPr>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P="009E2C97" w14:paraId="13462B51" w14:textId="77777777">
      <w:pPr>
        <w:spacing w:after="0" w:line="240" w:lineRule="auto"/>
        <w:ind w:left="720"/>
        <w:rPr>
          <w:rFonts w:ascii="Times New Roman" w:hAnsi="Times New Roman" w:cs="Times New Roman"/>
          <w:sz w:val="24"/>
          <w:szCs w:val="24"/>
        </w:rPr>
      </w:pPr>
    </w:p>
    <w:p w:rsidR="00982095" w:rsidRPr="009C197C" w:rsidP="009E2C97" w14:paraId="05F882F1" w14:textId="1E4934FC">
      <w:pPr>
        <w:ind w:left="720"/>
        <w:rPr>
          <w:rFonts w:ascii="Times New Roman" w:hAnsi="Times New Roman" w:cs="Times New Roman"/>
          <w:sz w:val="24"/>
          <w:szCs w:val="24"/>
        </w:rPr>
      </w:pPr>
      <w:r w:rsidRPr="009C197C">
        <w:rPr>
          <w:rFonts w:ascii="Times New Roman" w:hAnsi="Times New Roman" w:cs="Times New Roman"/>
          <w:sz w:val="24"/>
          <w:szCs w:val="24"/>
        </w:rPr>
        <w:t xml:space="preserve">The types of collections that this generic clearance </w:t>
      </w:r>
      <w:r w:rsidRPr="009C197C" w:rsidR="008B5C91">
        <w:rPr>
          <w:rFonts w:ascii="Times New Roman" w:hAnsi="Times New Roman" w:cs="Times New Roman"/>
          <w:sz w:val="24"/>
          <w:szCs w:val="24"/>
        </w:rPr>
        <w:t>covers</w:t>
      </w:r>
      <w:r w:rsidRPr="009C197C">
        <w:rPr>
          <w:rFonts w:ascii="Times New Roman" w:hAnsi="Times New Roman" w:cs="Times New Roman"/>
          <w:sz w:val="24"/>
          <w:szCs w:val="24"/>
        </w:rPr>
        <w:t>, but are not limited to:</w:t>
      </w:r>
    </w:p>
    <w:p w:rsidR="00982095" w:rsidRPr="009C197C" w:rsidP="009E2C97" w14:paraId="29C41A17" w14:textId="77777777">
      <w:pPr>
        <w:pStyle w:val="ListParagraph"/>
        <w:numPr>
          <w:ilvl w:val="0"/>
          <w:numId w:val="15"/>
        </w:numPr>
        <w:ind w:left="1170"/>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P="009E2C97" w14:paraId="6329A338" w14:textId="77777777">
      <w:pPr>
        <w:pStyle w:val="ListParagraph"/>
        <w:numPr>
          <w:ilvl w:val="0"/>
          <w:numId w:val="15"/>
        </w:numPr>
        <w:ind w:left="1170"/>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P="009E2C97" w14:paraId="4F678465" w14:textId="2052DB02">
      <w:pPr>
        <w:pStyle w:val="ListParagraph"/>
        <w:numPr>
          <w:ilvl w:val="0"/>
          <w:numId w:val="15"/>
        </w:numPr>
        <w:spacing w:after="0" w:line="240" w:lineRule="auto"/>
        <w:ind w:left="1170"/>
        <w:rPr>
          <w:rFonts w:ascii="Times New Roman" w:hAnsi="Times New Roman" w:cs="Times New Roman"/>
          <w:sz w:val="24"/>
          <w:szCs w:val="24"/>
        </w:rPr>
      </w:pPr>
      <w:r w:rsidRPr="009C197C">
        <w:rPr>
          <w:rFonts w:ascii="Times New Roman" w:hAnsi="Times New Roman" w:cs="Times New Roman"/>
          <w:sz w:val="24"/>
          <w:szCs w:val="24"/>
        </w:rPr>
        <w:t xml:space="preserve">Focus </w:t>
      </w:r>
      <w:r w:rsidR="00205745">
        <w:rPr>
          <w:rFonts w:ascii="Times New Roman" w:hAnsi="Times New Roman" w:cs="Times New Roman"/>
          <w:sz w:val="24"/>
          <w:szCs w:val="24"/>
        </w:rPr>
        <w:t>g</w:t>
      </w:r>
      <w:r w:rsidRPr="009C197C">
        <w:rPr>
          <w:rFonts w:ascii="Times New Roman" w:hAnsi="Times New Roman" w:cs="Times New Roman"/>
          <w:sz w:val="24"/>
          <w:szCs w:val="24"/>
        </w:rPr>
        <w:t xml:space="preserve">roups </w:t>
      </w:r>
      <w:r w:rsidRPr="009C197C" w:rsidR="005E5A3B">
        <w:rPr>
          <w:rFonts w:ascii="Times New Roman" w:hAnsi="Times New Roman" w:cs="Times New Roman"/>
          <w:sz w:val="24"/>
          <w:szCs w:val="24"/>
        </w:rPr>
        <w:t>of customers, potential customers, delivery partners</w:t>
      </w:r>
      <w:r w:rsidRPr="009C197C" w:rsidR="006B2FF7">
        <w:rPr>
          <w:rFonts w:ascii="Times New Roman" w:hAnsi="Times New Roman" w:cs="Times New Roman"/>
          <w:sz w:val="24"/>
          <w:szCs w:val="24"/>
        </w:rPr>
        <w:t>, or other stakeholders</w:t>
      </w:r>
    </w:p>
    <w:p w:rsidR="00982095" w:rsidRPr="009C197C" w:rsidP="009E2C97" w14:paraId="514EE37E" w14:textId="5BAEFE73">
      <w:pPr>
        <w:pStyle w:val="ListParagraph"/>
        <w:numPr>
          <w:ilvl w:val="0"/>
          <w:numId w:val="15"/>
        </w:numPr>
        <w:spacing w:after="0" w:line="240" w:lineRule="auto"/>
        <w:ind w:left="1170"/>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such as those used to refine questions or assess usability of a website</w:t>
      </w:r>
    </w:p>
    <w:p w:rsidR="00982095" w:rsidRPr="009C197C" w:rsidP="009E2C97" w14:paraId="5A7A3994" w14:textId="77777777">
      <w:pPr>
        <w:pStyle w:val="ListParagraph"/>
        <w:numPr>
          <w:ilvl w:val="0"/>
          <w:numId w:val="15"/>
        </w:numPr>
        <w:ind w:left="1170"/>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00982095" w:rsidP="009E2C97" w14:paraId="1DFFD6AF" w14:textId="1B3BB562">
      <w:pPr>
        <w:pStyle w:val="ListParagraph"/>
        <w:numPr>
          <w:ilvl w:val="0"/>
          <w:numId w:val="15"/>
        </w:numPr>
        <w:ind w:left="1170"/>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CE33E4" w:rsidRPr="009C197C" w:rsidP="00CE33E4" w14:paraId="5CAA292C" w14:textId="77777777">
      <w:pPr>
        <w:pStyle w:val="ListParagraph"/>
        <w:ind w:left="1170"/>
        <w:rPr>
          <w:rFonts w:ascii="Times New Roman" w:hAnsi="Times New Roman" w:cs="Times New Roman"/>
          <w:sz w:val="24"/>
          <w:szCs w:val="24"/>
        </w:rPr>
      </w:pPr>
    </w:p>
    <w:p w:rsidR="00982095" w:rsidRPr="009C197C" w:rsidP="009E2C97" w14:paraId="6B030943" w14:textId="74EE811D">
      <w:pPr>
        <w:pStyle w:val="ListParagraph"/>
        <w:numPr>
          <w:ilvl w:val="0"/>
          <w:numId w:val="2"/>
        </w:numPr>
        <w:spacing w:after="0" w:line="240" w:lineRule="auto"/>
        <w:ind w:left="720" w:hanging="720"/>
        <w:rPr>
          <w:rFonts w:ascii="Times New Roman" w:hAnsi="Times New Roman" w:cs="Times New Roman"/>
          <w:b/>
          <w:sz w:val="24"/>
          <w:szCs w:val="24"/>
        </w:rPr>
      </w:pPr>
      <w:r w:rsidRPr="00422575">
        <w:rPr>
          <w:rFonts w:ascii="Times New Roman" w:hAnsi="Times New Roman" w:cs="Times New Roman"/>
          <w:b/>
          <w:sz w:val="24"/>
          <w:szCs w:val="24"/>
          <w:u w:val="single"/>
        </w:rPr>
        <w:t>Extent of automated information collection</w:t>
      </w:r>
      <w:r>
        <w:rPr>
          <w:rFonts w:ascii="Times New Roman" w:hAnsi="Times New Roman" w:cs="Times New Roman"/>
          <w:b/>
          <w:sz w:val="24"/>
          <w:szCs w:val="24"/>
        </w:rPr>
        <w:t>.</w:t>
      </w:r>
    </w:p>
    <w:p w:rsidR="00982095" w:rsidRPr="009C197C" w:rsidP="009E2C97" w14:paraId="6E874A85" w14:textId="77777777">
      <w:pPr>
        <w:spacing w:after="0" w:line="240" w:lineRule="auto"/>
        <w:ind w:left="720" w:hanging="720"/>
        <w:rPr>
          <w:rFonts w:ascii="Times New Roman" w:hAnsi="Times New Roman" w:cs="Times New Roman"/>
          <w:sz w:val="24"/>
          <w:szCs w:val="24"/>
          <w:highlight w:val="yellow"/>
        </w:rPr>
      </w:pPr>
    </w:p>
    <w:p w:rsidR="00982095" w:rsidRPr="009C197C" w:rsidP="009E2C97" w14:paraId="5742C1D5" w14:textId="61C4AF1B">
      <w:pPr>
        <w:spacing w:after="0" w:line="240" w:lineRule="auto"/>
        <w:ind w:left="720"/>
        <w:rPr>
          <w:rFonts w:ascii="Times New Roman" w:hAnsi="Times New Roman" w:cs="Times New Roman"/>
          <w:sz w:val="24"/>
          <w:szCs w:val="24"/>
        </w:rPr>
      </w:pPr>
      <w:bookmarkStart w:id="0" w:name="_Hlk134802213"/>
      <w:r w:rsidRPr="009C197C">
        <w:rPr>
          <w:rFonts w:ascii="Times New Roman" w:hAnsi="Times New Roman" w:cs="Times New Roman"/>
          <w:sz w:val="24"/>
          <w:szCs w:val="24"/>
        </w:rPr>
        <w:t xml:space="preserve">If appropriate, agencies will collect information electronically and/or use online collaboration tools to reduce </w:t>
      </w:r>
      <w:r w:rsidR="00F0605B">
        <w:rPr>
          <w:rFonts w:ascii="Times New Roman" w:hAnsi="Times New Roman" w:cs="Times New Roman"/>
          <w:sz w:val="24"/>
          <w:szCs w:val="24"/>
        </w:rPr>
        <w:t xml:space="preserve">paperwork </w:t>
      </w:r>
      <w:r w:rsidRPr="009C197C">
        <w:rPr>
          <w:rFonts w:ascii="Times New Roman" w:hAnsi="Times New Roman" w:cs="Times New Roman"/>
          <w:sz w:val="24"/>
          <w:szCs w:val="24"/>
        </w:rPr>
        <w:t>burden</w:t>
      </w:r>
      <w:r w:rsidR="00F0605B">
        <w:rPr>
          <w:rFonts w:ascii="Times New Roman" w:hAnsi="Times New Roman" w:cs="Times New Roman"/>
          <w:sz w:val="24"/>
          <w:szCs w:val="24"/>
        </w:rPr>
        <w:t>s</w:t>
      </w:r>
      <w:r w:rsidRPr="009C197C">
        <w:rPr>
          <w:rFonts w:ascii="Times New Roman" w:hAnsi="Times New Roman" w:cs="Times New Roman"/>
          <w:sz w:val="24"/>
          <w:szCs w:val="24"/>
        </w:rPr>
        <w:t>.</w:t>
      </w:r>
    </w:p>
    <w:bookmarkEnd w:id="0"/>
    <w:p w:rsidR="00982095" w:rsidRPr="009C197C" w:rsidP="009E2C97" w14:paraId="3712E969" w14:textId="77777777">
      <w:pPr>
        <w:spacing w:after="0" w:line="240" w:lineRule="auto"/>
        <w:ind w:left="720" w:hanging="720"/>
        <w:rPr>
          <w:rFonts w:ascii="Times New Roman" w:hAnsi="Times New Roman" w:cs="Times New Roman"/>
          <w:sz w:val="24"/>
          <w:szCs w:val="24"/>
        </w:rPr>
      </w:pPr>
    </w:p>
    <w:p w:rsidR="00982095" w:rsidRPr="009C197C" w:rsidP="009E2C97" w14:paraId="6B914399" w14:textId="09CBF597">
      <w:pPr>
        <w:pStyle w:val="ListParagraph"/>
        <w:numPr>
          <w:ilvl w:val="0"/>
          <w:numId w:val="2"/>
        </w:numPr>
        <w:spacing w:after="0" w:line="240" w:lineRule="auto"/>
        <w:ind w:left="720" w:hanging="720"/>
        <w:rPr>
          <w:rFonts w:ascii="Times New Roman" w:hAnsi="Times New Roman" w:cs="Times New Roman"/>
          <w:b/>
          <w:sz w:val="24"/>
          <w:szCs w:val="24"/>
        </w:rPr>
      </w:pPr>
      <w:r w:rsidRPr="009C197C">
        <w:rPr>
          <w:rFonts w:ascii="Times New Roman" w:hAnsi="Times New Roman" w:cs="Times New Roman"/>
          <w:b/>
          <w:sz w:val="24"/>
          <w:szCs w:val="24"/>
        </w:rPr>
        <w:t xml:space="preserve"> </w:t>
      </w:r>
      <w:r w:rsidRPr="00422575" w:rsidR="00422575">
        <w:rPr>
          <w:rFonts w:ascii="Times New Roman" w:hAnsi="Times New Roman" w:cs="Times New Roman"/>
          <w:b/>
          <w:sz w:val="24"/>
          <w:szCs w:val="24"/>
          <w:u w:val="single"/>
        </w:rPr>
        <w:t>Efforts to identify duplication</w:t>
      </w:r>
      <w:r w:rsidR="00422575">
        <w:rPr>
          <w:rFonts w:ascii="Times New Roman" w:hAnsi="Times New Roman" w:cs="Times New Roman"/>
          <w:b/>
          <w:sz w:val="24"/>
          <w:szCs w:val="24"/>
        </w:rPr>
        <w:t>.</w:t>
      </w:r>
    </w:p>
    <w:p w:rsidR="00982095" w:rsidRPr="009C197C" w:rsidP="009E2C97" w14:paraId="3EDB3859" w14:textId="77777777">
      <w:pPr>
        <w:spacing w:after="0" w:line="240" w:lineRule="auto"/>
        <w:ind w:left="720" w:hanging="720"/>
        <w:rPr>
          <w:rFonts w:ascii="Times New Roman" w:hAnsi="Times New Roman" w:cs="Times New Roman"/>
          <w:sz w:val="24"/>
          <w:szCs w:val="24"/>
        </w:rPr>
      </w:pPr>
    </w:p>
    <w:p w:rsidR="00C3314D" w:rsidRPr="00C3314D" w:rsidP="009E2C97" w14:paraId="267F61AB" w14:textId="4F6A8E46">
      <w:pPr>
        <w:widowControl w:val="0"/>
        <w:spacing w:after="0" w:line="240" w:lineRule="auto"/>
        <w:ind w:left="720"/>
        <w:rPr>
          <w:rFonts w:ascii="Times New Roman" w:eastAsia="Times New Roman" w:hAnsi="Times New Roman" w:cs="Times New Roman"/>
          <w:b/>
          <w:sz w:val="24"/>
          <w:szCs w:val="20"/>
        </w:rPr>
      </w:pPr>
      <w:r w:rsidRPr="00C3314D">
        <w:rPr>
          <w:rFonts w:ascii="Times New Roman" w:eastAsia="Times New Roman" w:hAnsi="Times New Roman" w:cs="Times New Roman"/>
          <w:sz w:val="24"/>
          <w:szCs w:val="20"/>
        </w:rPr>
        <w:t>The information collection requirements are not duplicated anywhere</w:t>
      </w:r>
      <w:r w:rsidR="00F0605B">
        <w:rPr>
          <w:rFonts w:ascii="Times New Roman" w:eastAsia="Times New Roman" w:hAnsi="Times New Roman" w:cs="Times New Roman"/>
          <w:sz w:val="24"/>
          <w:szCs w:val="20"/>
        </w:rPr>
        <w:t xml:space="preserve"> else</w:t>
      </w:r>
      <w:r w:rsidRPr="00C3314D">
        <w:rPr>
          <w:rFonts w:ascii="Times New Roman" w:eastAsia="Times New Roman" w:hAnsi="Times New Roman" w:cs="Times New Roman"/>
          <w:sz w:val="24"/>
          <w:szCs w:val="20"/>
        </w:rPr>
        <w:t>.</w:t>
      </w:r>
      <w:r w:rsidR="00F0605B">
        <w:rPr>
          <w:rFonts w:ascii="Times New Roman" w:eastAsia="Times New Roman" w:hAnsi="Times New Roman" w:cs="Times New Roman"/>
          <w:sz w:val="24"/>
          <w:szCs w:val="20"/>
        </w:rPr>
        <w:t xml:space="preserve"> </w:t>
      </w:r>
      <w:r w:rsidRPr="00C3314D">
        <w:rPr>
          <w:rFonts w:ascii="Times New Roman" w:eastAsia="Times New Roman" w:hAnsi="Times New Roman" w:cs="Times New Roman"/>
          <w:sz w:val="24"/>
          <w:szCs w:val="20"/>
        </w:rPr>
        <w:t xml:space="preserve">Similar data </w:t>
      </w:r>
      <w:r w:rsidRPr="00C3314D" w:rsidR="008B5C91">
        <w:rPr>
          <w:rFonts w:ascii="Times New Roman" w:eastAsia="Times New Roman" w:hAnsi="Times New Roman" w:cs="Times New Roman"/>
          <w:sz w:val="24"/>
          <w:szCs w:val="20"/>
        </w:rPr>
        <w:t>is</w:t>
      </w:r>
      <w:r w:rsidRPr="00C3314D">
        <w:rPr>
          <w:rFonts w:ascii="Times New Roman" w:eastAsia="Times New Roman" w:hAnsi="Times New Roman" w:cs="Times New Roman"/>
          <w:sz w:val="24"/>
          <w:szCs w:val="20"/>
        </w:rPr>
        <w:t xml:space="preserve"> not available from any other source.</w:t>
      </w:r>
    </w:p>
    <w:p w:rsidR="00982095" w:rsidRPr="009C197C" w:rsidP="009E2C97" w14:paraId="4F1729B6" w14:textId="77777777">
      <w:pPr>
        <w:spacing w:after="0" w:line="240" w:lineRule="auto"/>
        <w:ind w:left="720" w:hanging="720"/>
        <w:rPr>
          <w:rFonts w:ascii="Times New Roman" w:hAnsi="Times New Roman" w:cs="Times New Roman"/>
          <w:sz w:val="24"/>
          <w:szCs w:val="24"/>
        </w:rPr>
      </w:pPr>
    </w:p>
    <w:p w:rsidR="00982095" w:rsidRPr="009C197C" w:rsidP="009E2C97" w14:paraId="46A803C2" w14:textId="62063F47">
      <w:pPr>
        <w:pStyle w:val="ListParagraph"/>
        <w:numPr>
          <w:ilvl w:val="0"/>
          <w:numId w:val="2"/>
        </w:numPr>
        <w:spacing w:after="0" w:line="240" w:lineRule="auto"/>
        <w:ind w:left="720" w:hanging="720"/>
        <w:rPr>
          <w:rFonts w:ascii="Times New Roman" w:hAnsi="Times New Roman" w:cs="Times New Roman"/>
          <w:b/>
          <w:sz w:val="24"/>
          <w:szCs w:val="24"/>
        </w:rPr>
      </w:pPr>
      <w:r w:rsidRPr="009C197C">
        <w:rPr>
          <w:rFonts w:ascii="Times New Roman" w:hAnsi="Times New Roman" w:cs="Times New Roman"/>
          <w:b/>
          <w:sz w:val="24"/>
          <w:szCs w:val="24"/>
        </w:rPr>
        <w:t xml:space="preserve"> </w:t>
      </w:r>
      <w:r w:rsidRPr="00C3314D" w:rsidR="00C3314D">
        <w:rPr>
          <w:rFonts w:ascii="Times New Roman" w:hAnsi="Times New Roman" w:cs="Times New Roman"/>
          <w:b/>
          <w:sz w:val="24"/>
          <w:szCs w:val="24"/>
          <w:u w:val="single"/>
        </w:rPr>
        <w:t>Efforts to minimize the burden on small businesses</w:t>
      </w:r>
      <w:r w:rsidR="00C3314D">
        <w:rPr>
          <w:rFonts w:ascii="Times New Roman" w:hAnsi="Times New Roman" w:cs="Times New Roman"/>
          <w:b/>
          <w:sz w:val="24"/>
          <w:szCs w:val="24"/>
        </w:rPr>
        <w:t>.</w:t>
      </w:r>
    </w:p>
    <w:p w:rsidR="00982095" w:rsidRPr="009C197C" w:rsidP="009E2C97" w14:paraId="36A4FEBF" w14:textId="77777777">
      <w:pPr>
        <w:pStyle w:val="ListParagraph"/>
        <w:spacing w:after="0" w:line="240" w:lineRule="auto"/>
        <w:ind w:hanging="720"/>
        <w:rPr>
          <w:rFonts w:ascii="Times New Roman" w:hAnsi="Times New Roman" w:cs="Times New Roman"/>
          <w:b/>
          <w:sz w:val="24"/>
          <w:szCs w:val="24"/>
        </w:rPr>
      </w:pPr>
    </w:p>
    <w:p w:rsidR="00982095" w:rsidRPr="009C197C" w:rsidP="009E2C97" w14:paraId="72CDB3FC" w14:textId="6BA4B32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participation of s</w:t>
      </w:r>
      <w:r w:rsidRPr="009C197C" w:rsidR="000C0A7E">
        <w:rPr>
          <w:rFonts w:ascii="Times New Roman" w:hAnsi="Times New Roman" w:cs="Times New Roman"/>
          <w:sz w:val="24"/>
          <w:szCs w:val="24"/>
        </w:rPr>
        <w:t>mall business</w:t>
      </w:r>
      <w:r w:rsidR="00994A17">
        <w:rPr>
          <w:rFonts w:ascii="Times New Roman" w:hAnsi="Times New Roman" w:cs="Times New Roman"/>
          <w:sz w:val="24"/>
          <w:szCs w:val="24"/>
        </w:rPr>
        <w:t>es</w:t>
      </w:r>
      <w:r w:rsidRPr="009C197C" w:rsidR="000C0A7E">
        <w:rPr>
          <w:rFonts w:ascii="Times New Roman" w:hAnsi="Times New Roman" w:cs="Times New Roman"/>
          <w:sz w:val="24"/>
          <w:szCs w:val="24"/>
        </w:rPr>
        <w:t xml:space="preserve"> or other small entities may be</w:t>
      </w:r>
      <w:r>
        <w:rPr>
          <w:rFonts w:ascii="Times New Roman" w:hAnsi="Times New Roman" w:cs="Times New Roman"/>
          <w:sz w:val="24"/>
          <w:szCs w:val="24"/>
        </w:rPr>
        <w:t xml:space="preserve"> requested, </w:t>
      </w:r>
      <w:r w:rsidRPr="009C197C" w:rsidR="000C0A7E">
        <w:rPr>
          <w:rFonts w:ascii="Times New Roman" w:hAnsi="Times New Roman" w:cs="Times New Roman"/>
          <w:sz w:val="24"/>
          <w:szCs w:val="24"/>
        </w:rPr>
        <w:t>but</w:t>
      </w:r>
      <w:r w:rsidRPr="009C197C" w:rsidR="002A35E6">
        <w:rPr>
          <w:rFonts w:ascii="Times New Roman" w:hAnsi="Times New Roman" w:cs="Times New Roman"/>
          <w:sz w:val="24"/>
          <w:szCs w:val="24"/>
        </w:rPr>
        <w:t xml:space="preserve"> </w:t>
      </w:r>
      <w:r w:rsidR="00E40C0A">
        <w:rPr>
          <w:rFonts w:ascii="Times New Roman" w:hAnsi="Times New Roman" w:cs="Times New Roman"/>
          <w:sz w:val="24"/>
          <w:szCs w:val="24"/>
        </w:rPr>
        <w:t>FRA</w:t>
      </w:r>
      <w:r w:rsidRPr="009C197C" w:rsidR="002A35E6">
        <w:rPr>
          <w:rFonts w:ascii="Times New Roman" w:hAnsi="Times New Roman" w:cs="Times New Roman"/>
          <w:sz w:val="24"/>
          <w:szCs w:val="24"/>
        </w:rPr>
        <w:t xml:space="preserve"> </w:t>
      </w:r>
      <w:r w:rsidRPr="009C197C" w:rsidR="000C0A7E">
        <w:rPr>
          <w:rFonts w:ascii="Times New Roman" w:hAnsi="Times New Roman" w:cs="Times New Roman"/>
          <w:sz w:val="24"/>
          <w:szCs w:val="24"/>
        </w:rPr>
        <w:t>will minimize the</w:t>
      </w:r>
      <w:r>
        <w:rPr>
          <w:rFonts w:ascii="Times New Roman" w:hAnsi="Times New Roman" w:cs="Times New Roman"/>
          <w:sz w:val="24"/>
          <w:szCs w:val="24"/>
        </w:rPr>
        <w:t>ir</w:t>
      </w:r>
      <w:r w:rsidRPr="009C197C" w:rsidR="000C0A7E">
        <w:rPr>
          <w:rFonts w:ascii="Times New Roman" w:hAnsi="Times New Roman" w:cs="Times New Roman"/>
          <w:sz w:val="24"/>
          <w:szCs w:val="24"/>
        </w:rPr>
        <w:t xml:space="preserve"> burden by sampling, asking for readily available information, </w:t>
      </w:r>
      <w:r>
        <w:rPr>
          <w:rFonts w:ascii="Times New Roman" w:hAnsi="Times New Roman" w:cs="Times New Roman"/>
          <w:sz w:val="24"/>
          <w:szCs w:val="24"/>
        </w:rPr>
        <w:t>or/</w:t>
      </w:r>
      <w:r w:rsidRPr="009C197C" w:rsidR="000C0A7E">
        <w:rPr>
          <w:rFonts w:ascii="Times New Roman" w:hAnsi="Times New Roman" w:cs="Times New Roman"/>
          <w:sz w:val="24"/>
          <w:szCs w:val="24"/>
        </w:rPr>
        <w:t>and using short, easy-to-complete information collection instruments</w:t>
      </w:r>
      <w:r>
        <w:rPr>
          <w:rFonts w:ascii="Times New Roman" w:hAnsi="Times New Roman" w:cs="Times New Roman"/>
          <w:sz w:val="24"/>
          <w:szCs w:val="24"/>
        </w:rPr>
        <w:t>, whenever possible</w:t>
      </w:r>
      <w:r w:rsidRPr="009C197C" w:rsidR="000C0A7E">
        <w:rPr>
          <w:rFonts w:ascii="Times New Roman" w:hAnsi="Times New Roman" w:cs="Times New Roman"/>
          <w:sz w:val="24"/>
          <w:szCs w:val="24"/>
        </w:rPr>
        <w:t xml:space="preserve">.  </w:t>
      </w:r>
    </w:p>
    <w:p w:rsidR="00982095" w:rsidRPr="009C197C" w:rsidP="009E2C97" w14:paraId="587EB924" w14:textId="77777777">
      <w:pPr>
        <w:spacing w:after="0" w:line="240" w:lineRule="auto"/>
        <w:ind w:left="720" w:hanging="720"/>
        <w:rPr>
          <w:rFonts w:ascii="Times New Roman" w:hAnsi="Times New Roman" w:cs="Times New Roman"/>
          <w:sz w:val="24"/>
          <w:szCs w:val="24"/>
        </w:rPr>
      </w:pPr>
    </w:p>
    <w:p w:rsidR="00C3314D" w:rsidRPr="00C3314D" w:rsidP="009E2C97" w14:paraId="58B0929A" w14:textId="01C2ED60">
      <w:pPr>
        <w:pStyle w:val="ListParagraph"/>
        <w:widowControl w:val="0"/>
        <w:numPr>
          <w:ilvl w:val="0"/>
          <w:numId w:val="2"/>
        </w:numPr>
        <w:spacing w:after="0" w:line="240" w:lineRule="auto"/>
        <w:ind w:left="720" w:hanging="720"/>
        <w:rPr>
          <w:rFonts w:ascii="Times New Roman" w:eastAsia="Times New Roman" w:hAnsi="Times New Roman" w:cs="Times New Roman"/>
          <w:b/>
          <w:sz w:val="24"/>
          <w:szCs w:val="20"/>
        </w:rPr>
      </w:pPr>
      <w:r w:rsidRPr="00C3314D">
        <w:rPr>
          <w:rFonts w:ascii="Times New Roman" w:eastAsia="Times New Roman" w:hAnsi="Times New Roman" w:cs="Times New Roman"/>
          <w:b/>
          <w:sz w:val="24"/>
          <w:szCs w:val="20"/>
          <w:u w:val="single"/>
        </w:rPr>
        <w:t>Impact of less frequent collection of information</w:t>
      </w:r>
      <w:r w:rsidRPr="00C3314D">
        <w:rPr>
          <w:rFonts w:ascii="Times New Roman" w:eastAsia="Times New Roman" w:hAnsi="Times New Roman" w:cs="Times New Roman"/>
          <w:b/>
          <w:sz w:val="24"/>
          <w:szCs w:val="20"/>
        </w:rPr>
        <w:t>.</w:t>
      </w:r>
    </w:p>
    <w:p w:rsidR="00982095" w:rsidRPr="009C197C" w:rsidP="009E2C97" w14:paraId="37AE4952" w14:textId="77777777">
      <w:pPr>
        <w:pStyle w:val="ListParagraph"/>
        <w:spacing w:after="0" w:line="240" w:lineRule="auto"/>
        <w:ind w:hanging="720"/>
        <w:rPr>
          <w:rFonts w:ascii="Times New Roman" w:hAnsi="Times New Roman" w:cs="Times New Roman"/>
          <w:b/>
          <w:sz w:val="24"/>
          <w:szCs w:val="24"/>
        </w:rPr>
      </w:pPr>
    </w:p>
    <w:p w:rsidR="00982095" w:rsidP="009E2C97" w14:paraId="343F91B3" w14:textId="26D4CAE9">
      <w:pPr>
        <w:spacing w:after="0" w:line="240" w:lineRule="auto"/>
        <w:ind w:left="720"/>
        <w:rPr>
          <w:rFonts w:ascii="Times New Roman" w:hAnsi="Times New Roman" w:cs="Times New Roman"/>
          <w:sz w:val="24"/>
          <w:szCs w:val="24"/>
        </w:rPr>
      </w:pPr>
      <w:bookmarkStart w:id="1" w:name="_Hlk134801676"/>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w:t>
      </w:r>
      <w:r w:rsidR="009024A8">
        <w:rPr>
          <w:rFonts w:ascii="Times New Roman" w:hAnsi="Times New Roman" w:cs="Times New Roman"/>
          <w:sz w:val="24"/>
          <w:szCs w:val="24"/>
        </w:rPr>
        <w:t>FRA</w:t>
      </w:r>
      <w:r w:rsidRPr="009C197C" w:rsidR="002A35E6">
        <w:rPr>
          <w:rFonts w:ascii="Times New Roman" w:hAnsi="Times New Roman" w:cs="Times New Roman"/>
          <w:sz w:val="24"/>
          <w:szCs w:val="24"/>
        </w:rPr>
        <w:t xml:space="preserve"> </w:t>
      </w:r>
      <w:r w:rsidRPr="009C197C">
        <w:rPr>
          <w:rFonts w:ascii="Times New Roman" w:hAnsi="Times New Roman" w:cs="Times New Roman"/>
          <w:sz w:val="24"/>
          <w:szCs w:val="24"/>
        </w:rPr>
        <w:t>will not have timely information to adjust its services to meet customer needs.</w:t>
      </w:r>
    </w:p>
    <w:bookmarkEnd w:id="1"/>
    <w:p w:rsidR="009E2C97" w:rsidRPr="009C197C" w:rsidP="009E2C97" w14:paraId="199129BA" w14:textId="77777777">
      <w:pPr>
        <w:spacing w:after="0" w:line="240" w:lineRule="auto"/>
        <w:ind w:left="720"/>
        <w:rPr>
          <w:rFonts w:ascii="Times New Roman" w:hAnsi="Times New Roman" w:cs="Times New Roman"/>
          <w:sz w:val="24"/>
          <w:szCs w:val="24"/>
        </w:rPr>
      </w:pPr>
    </w:p>
    <w:p w:rsidR="00982095" w:rsidRPr="00F8313C" w:rsidP="009E2C97" w14:paraId="00433DBF" w14:textId="25A8AA1A">
      <w:pPr>
        <w:pStyle w:val="ListParagraph"/>
        <w:numPr>
          <w:ilvl w:val="0"/>
          <w:numId w:val="2"/>
        </w:numPr>
        <w:spacing w:after="0" w:line="240" w:lineRule="auto"/>
        <w:ind w:left="720" w:hanging="720"/>
        <w:rPr>
          <w:rFonts w:ascii="Times New Roman" w:hAnsi="Times New Roman" w:cs="Times New Roman"/>
          <w:b/>
          <w:sz w:val="24"/>
          <w:szCs w:val="24"/>
          <w:u w:val="single"/>
        </w:rPr>
      </w:pPr>
      <w:r w:rsidRPr="00F8313C">
        <w:rPr>
          <w:rFonts w:ascii="Times New Roman" w:hAnsi="Times New Roman" w:cs="Times New Roman"/>
          <w:b/>
          <w:sz w:val="24"/>
          <w:szCs w:val="24"/>
          <w:u w:val="single"/>
        </w:rPr>
        <w:t xml:space="preserve">Special </w:t>
      </w:r>
      <w:r w:rsidR="00E42F81">
        <w:rPr>
          <w:rFonts w:ascii="Times New Roman" w:hAnsi="Times New Roman" w:cs="Times New Roman"/>
          <w:b/>
          <w:sz w:val="24"/>
          <w:szCs w:val="24"/>
          <w:u w:val="single"/>
        </w:rPr>
        <w:t>c</w:t>
      </w:r>
      <w:r w:rsidRPr="00F8313C">
        <w:rPr>
          <w:rFonts w:ascii="Times New Roman" w:hAnsi="Times New Roman" w:cs="Times New Roman"/>
          <w:b/>
          <w:sz w:val="24"/>
          <w:szCs w:val="24"/>
          <w:u w:val="single"/>
        </w:rPr>
        <w:t>ircumstances</w:t>
      </w:r>
      <w:r w:rsidR="00E42F81">
        <w:rPr>
          <w:rFonts w:ascii="Times New Roman" w:hAnsi="Times New Roman" w:cs="Times New Roman"/>
          <w:b/>
          <w:sz w:val="24"/>
          <w:szCs w:val="24"/>
          <w:u w:val="single"/>
        </w:rPr>
        <w:t>.</w:t>
      </w:r>
    </w:p>
    <w:p w:rsidR="00982095" w:rsidRPr="009C197C" w:rsidP="009E2C97" w14:paraId="2EA470B3" w14:textId="77777777">
      <w:pPr>
        <w:pStyle w:val="ListParagraph"/>
        <w:spacing w:after="0" w:line="240" w:lineRule="auto"/>
        <w:ind w:hanging="720"/>
        <w:rPr>
          <w:rFonts w:ascii="Times New Roman" w:hAnsi="Times New Roman" w:cs="Times New Roman"/>
          <w:b/>
          <w:sz w:val="24"/>
          <w:szCs w:val="24"/>
        </w:rPr>
      </w:pPr>
    </w:p>
    <w:p w:rsidR="003C7516" w:rsidP="009E2C97" w14:paraId="47340BE7" w14:textId="77777777">
      <w:pPr>
        <w:spacing w:after="0" w:line="240" w:lineRule="auto"/>
        <w:ind w:left="720"/>
        <w:rPr>
          <w:rFonts w:ascii="Times New Roman" w:eastAsia="Times New Roman" w:hAnsi="Times New Roman" w:cs="Times New Roman"/>
          <w:sz w:val="24"/>
          <w:szCs w:val="24"/>
        </w:rPr>
      </w:pPr>
      <w:bookmarkStart w:id="2" w:name="_Hlk134801733"/>
      <w:r>
        <w:rPr>
          <w:rFonts w:ascii="Times New Roman" w:eastAsia="Times New Roman" w:hAnsi="Times New Roman" w:cs="Times New Roman"/>
          <w:sz w:val="24"/>
          <w:szCs w:val="24"/>
        </w:rPr>
        <w:t>There are no special circumstances</w:t>
      </w:r>
      <w:r w:rsidR="006F76CA">
        <w:rPr>
          <w:rFonts w:ascii="Times New Roman" w:eastAsia="Times New Roman" w:hAnsi="Times New Roman" w:cs="Times New Roman"/>
          <w:sz w:val="24"/>
          <w:szCs w:val="24"/>
        </w:rPr>
        <w:t>. All requirements of this information collection comply with 5 CFR 1320.5(d)(2).</w:t>
      </w:r>
    </w:p>
    <w:p w:rsidR="003C7516" w:rsidP="009E2C97" w14:paraId="0F5B8A2B" w14:textId="77777777">
      <w:pPr>
        <w:spacing w:after="0" w:line="240" w:lineRule="auto"/>
        <w:ind w:left="720"/>
        <w:rPr>
          <w:rFonts w:ascii="Times New Roman" w:eastAsia="Times New Roman" w:hAnsi="Times New Roman" w:cs="Times New Roman"/>
          <w:sz w:val="24"/>
          <w:szCs w:val="24"/>
        </w:rPr>
      </w:pPr>
    </w:p>
    <w:p w:rsidR="003C7516" w:rsidP="009E2C97" w14:paraId="65FEB0D1" w14:textId="77777777">
      <w:pPr>
        <w:spacing w:after="0" w:line="240" w:lineRule="auto"/>
        <w:ind w:left="720"/>
        <w:rPr>
          <w:rFonts w:ascii="Times New Roman" w:eastAsia="Times New Roman" w:hAnsi="Times New Roman" w:cs="Times New Roman"/>
          <w:sz w:val="24"/>
          <w:szCs w:val="24"/>
        </w:rPr>
      </w:pPr>
    </w:p>
    <w:p w:rsidR="003C7516" w:rsidP="009E2C97" w14:paraId="775D2A67" w14:textId="77777777">
      <w:pPr>
        <w:spacing w:after="0" w:line="240" w:lineRule="auto"/>
        <w:ind w:left="720"/>
        <w:rPr>
          <w:rFonts w:ascii="Times New Roman" w:eastAsia="Times New Roman" w:hAnsi="Times New Roman" w:cs="Times New Roman"/>
          <w:sz w:val="24"/>
          <w:szCs w:val="24"/>
        </w:rPr>
      </w:pPr>
    </w:p>
    <w:p w:rsidR="00982095" w:rsidRPr="00F8313C" w:rsidP="009E2C97" w14:paraId="70536311" w14:textId="76D22833">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 xml:space="preserve"> </w:t>
      </w:r>
    </w:p>
    <w:bookmarkEnd w:id="2"/>
    <w:p w:rsidR="00C3314D" w:rsidRPr="009C197C" w14:paraId="5C63274F" w14:textId="77777777">
      <w:pPr>
        <w:spacing w:after="0" w:line="240" w:lineRule="auto"/>
        <w:rPr>
          <w:rFonts w:ascii="Times New Roman" w:hAnsi="Times New Roman" w:cs="Times New Roman"/>
          <w:sz w:val="24"/>
          <w:szCs w:val="24"/>
        </w:rPr>
      </w:pPr>
    </w:p>
    <w:p w:rsidR="00982095" w:rsidRPr="00F8313C" w:rsidP="009E2C97" w14:paraId="4A0C87E0" w14:textId="0A5EE2A0">
      <w:pPr>
        <w:pStyle w:val="ListParagraph"/>
        <w:numPr>
          <w:ilvl w:val="0"/>
          <w:numId w:val="2"/>
        </w:numPr>
        <w:spacing w:after="0" w:line="240" w:lineRule="auto"/>
        <w:ind w:left="720" w:hanging="720"/>
        <w:rPr>
          <w:rFonts w:ascii="Times New Roman" w:hAnsi="Times New Roman" w:cs="Times New Roman"/>
          <w:b/>
          <w:sz w:val="24"/>
          <w:szCs w:val="24"/>
        </w:rPr>
      </w:pPr>
      <w:r w:rsidRPr="00F8313C">
        <w:rPr>
          <w:rFonts w:ascii="Times New Roman" w:hAnsi="Times New Roman" w:cs="Times New Roman"/>
          <w:b/>
          <w:sz w:val="24"/>
          <w:szCs w:val="24"/>
          <w:u w:val="single"/>
        </w:rPr>
        <w:t xml:space="preserve">Compliance with 5 CFR </w:t>
      </w:r>
      <w:r w:rsidRPr="00F8313C">
        <w:rPr>
          <w:rFonts w:ascii="Times New Roman" w:eastAsia="Times New Roman" w:hAnsi="Times New Roman" w:cs="Times New Roman"/>
          <w:b/>
          <w:sz w:val="24"/>
          <w:szCs w:val="24"/>
          <w:u w:val="single"/>
        </w:rPr>
        <w:t>§</w:t>
      </w:r>
      <w:r w:rsidRPr="00F8313C">
        <w:rPr>
          <w:rFonts w:ascii="Times New Roman" w:eastAsia="Times New Roman" w:hAnsi="Times New Roman" w:cs="Times New Roman"/>
          <w:sz w:val="24"/>
          <w:szCs w:val="24"/>
          <w:u w:val="single"/>
        </w:rPr>
        <w:t xml:space="preserve"> </w:t>
      </w:r>
      <w:r w:rsidRPr="00F8313C">
        <w:rPr>
          <w:rFonts w:ascii="Times New Roman" w:eastAsia="Times New Roman" w:hAnsi="Times New Roman" w:cs="Times New Roman"/>
          <w:b/>
          <w:sz w:val="24"/>
          <w:szCs w:val="24"/>
          <w:u w:val="single"/>
        </w:rPr>
        <w:t>1320.8</w:t>
      </w:r>
      <w:r w:rsidR="00E42F81">
        <w:rPr>
          <w:rFonts w:ascii="Times New Roman" w:eastAsia="Times New Roman" w:hAnsi="Times New Roman" w:cs="Times New Roman"/>
          <w:b/>
          <w:sz w:val="24"/>
          <w:szCs w:val="24"/>
          <w:u w:val="single"/>
        </w:rPr>
        <w:t>.</w:t>
      </w:r>
    </w:p>
    <w:p w:rsidR="00982095" w:rsidRPr="009C197C" w:rsidP="009E2C97" w14:paraId="5DC56A39" w14:textId="77777777">
      <w:pPr>
        <w:pStyle w:val="ListParagraph"/>
        <w:spacing w:after="0" w:line="240" w:lineRule="auto"/>
        <w:ind w:hanging="720"/>
        <w:rPr>
          <w:rFonts w:ascii="Times New Roman" w:hAnsi="Times New Roman" w:cs="Times New Roman"/>
          <w:b/>
          <w:sz w:val="24"/>
          <w:szCs w:val="24"/>
        </w:rPr>
      </w:pPr>
    </w:p>
    <w:p w:rsidR="00422575" w:rsidRPr="00422575" w:rsidP="009E2C97" w14:paraId="5AF95ED1" w14:textId="45BBAB64">
      <w:pPr>
        <w:spacing w:after="0" w:line="240" w:lineRule="auto"/>
        <w:ind w:left="720"/>
        <w:rPr>
          <w:rFonts w:ascii="Times New Roman" w:eastAsia="Times New Roman" w:hAnsi="Times New Roman" w:cs="Times New Roman"/>
          <w:sz w:val="24"/>
          <w:szCs w:val="20"/>
        </w:rPr>
      </w:pPr>
      <w:bookmarkStart w:id="3" w:name="_Hlk134801754"/>
      <w:r w:rsidRPr="00422575">
        <w:rPr>
          <w:rFonts w:ascii="Times New Roman" w:eastAsia="Times New Roman" w:hAnsi="Times New Roman" w:cs="Times New Roman"/>
          <w:sz w:val="24"/>
          <w:szCs w:val="20"/>
        </w:rPr>
        <w:t xml:space="preserve">As required by </w:t>
      </w:r>
      <w:r w:rsidR="00076477">
        <w:rPr>
          <w:rFonts w:ascii="Times New Roman" w:eastAsia="Times New Roman" w:hAnsi="Times New Roman" w:cs="Times New Roman"/>
          <w:sz w:val="24"/>
          <w:szCs w:val="20"/>
        </w:rPr>
        <w:t xml:space="preserve">the </w:t>
      </w:r>
      <w:r w:rsidRPr="00422575">
        <w:rPr>
          <w:rFonts w:ascii="Times New Roman" w:eastAsia="Times New Roman" w:hAnsi="Times New Roman" w:cs="Times New Roman"/>
          <w:sz w:val="24"/>
          <w:szCs w:val="20"/>
        </w:rPr>
        <w:t>PRA and</w:t>
      </w:r>
      <w:r w:rsidR="005C1980">
        <w:rPr>
          <w:rFonts w:ascii="Times New Roman" w:eastAsia="Times New Roman" w:hAnsi="Times New Roman" w:cs="Times New Roman"/>
          <w:sz w:val="24"/>
          <w:szCs w:val="20"/>
        </w:rPr>
        <w:t xml:space="preserve"> its implementing regulations in</w:t>
      </w:r>
      <w:r w:rsidRPr="00422575">
        <w:rPr>
          <w:rFonts w:ascii="Times New Roman" w:eastAsia="Times New Roman" w:hAnsi="Times New Roman" w:cs="Times New Roman"/>
          <w:sz w:val="24"/>
          <w:szCs w:val="20"/>
        </w:rPr>
        <w:t xml:space="preserve"> 5 CFR </w:t>
      </w:r>
      <w:r w:rsidR="005C1980">
        <w:rPr>
          <w:rFonts w:ascii="Times New Roman" w:eastAsia="Times New Roman" w:hAnsi="Times New Roman" w:cs="Times New Roman"/>
          <w:sz w:val="24"/>
          <w:szCs w:val="20"/>
        </w:rPr>
        <w:t xml:space="preserve">part </w:t>
      </w:r>
      <w:r w:rsidRPr="00422575">
        <w:rPr>
          <w:rFonts w:ascii="Times New Roman" w:eastAsia="Times New Roman" w:hAnsi="Times New Roman" w:cs="Times New Roman"/>
          <w:sz w:val="24"/>
          <w:szCs w:val="20"/>
        </w:rPr>
        <w:t xml:space="preserve">1320, FRA published a notice in the </w:t>
      </w:r>
      <w:r w:rsidRPr="00422575">
        <w:rPr>
          <w:rFonts w:ascii="Times New Roman" w:eastAsia="Times New Roman" w:hAnsi="Times New Roman" w:cs="Times New Roman"/>
          <w:i/>
          <w:iCs/>
          <w:sz w:val="24"/>
          <w:szCs w:val="20"/>
        </w:rPr>
        <w:t>Federal Register</w:t>
      </w:r>
      <w:r w:rsidRPr="00422575">
        <w:rPr>
          <w:rFonts w:ascii="Times New Roman" w:eastAsia="Times New Roman" w:hAnsi="Times New Roman" w:cs="Times New Roman"/>
          <w:sz w:val="24"/>
          <w:szCs w:val="20"/>
        </w:rPr>
        <w:t xml:space="preserve"> on</w:t>
      </w:r>
      <w:r w:rsidR="006F76CA">
        <w:rPr>
          <w:rFonts w:ascii="Times New Roman" w:eastAsia="Times New Roman" w:hAnsi="Times New Roman" w:cs="Times New Roman"/>
          <w:sz w:val="24"/>
          <w:szCs w:val="20"/>
        </w:rPr>
        <w:t xml:space="preserve"> April</w:t>
      </w:r>
      <w:r w:rsidR="00B90F71">
        <w:rPr>
          <w:rFonts w:ascii="Times New Roman" w:eastAsia="Times New Roman" w:hAnsi="Times New Roman" w:cs="Times New Roman"/>
          <w:sz w:val="24"/>
          <w:szCs w:val="20"/>
        </w:rPr>
        <w:t xml:space="preserve"> 23</w:t>
      </w:r>
      <w:r w:rsidR="006F76CA">
        <w:rPr>
          <w:rFonts w:ascii="Times New Roman" w:eastAsia="Times New Roman" w:hAnsi="Times New Roman" w:cs="Times New Roman"/>
          <w:sz w:val="24"/>
          <w:szCs w:val="20"/>
        </w:rPr>
        <w:t>, 2026</w:t>
      </w:r>
      <w:r w:rsidR="00B90F71">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4"/>
      </w:r>
      <w:r w:rsidRPr="00422575">
        <w:rPr>
          <w:rFonts w:ascii="Times New Roman" w:eastAsia="Times New Roman" w:hAnsi="Times New Roman" w:cs="Times New Roman"/>
          <w:sz w:val="24"/>
          <w:szCs w:val="20"/>
        </w:rPr>
        <w:t xml:space="preserve"> soliciting comment from the public, railroads, and other interested parties on these information collection requirements. FRA received </w:t>
      </w:r>
      <w:r w:rsidRPr="009E25EF" w:rsidR="009E25EF">
        <w:rPr>
          <w:rFonts w:ascii="Times New Roman" w:eastAsia="Times New Roman" w:hAnsi="Times New Roman" w:cs="Times New Roman"/>
          <w:sz w:val="24"/>
          <w:szCs w:val="20"/>
        </w:rPr>
        <w:t>no</w:t>
      </w:r>
      <w:r w:rsidRPr="00422575">
        <w:rPr>
          <w:rFonts w:ascii="Times New Roman" w:eastAsia="Times New Roman" w:hAnsi="Times New Roman" w:cs="Times New Roman"/>
          <w:sz w:val="24"/>
          <w:szCs w:val="20"/>
        </w:rPr>
        <w:t xml:space="preserve"> comments from the public. </w:t>
      </w:r>
    </w:p>
    <w:p w:rsidR="00422575" w:rsidRPr="00422575" w:rsidP="009E2C97" w14:paraId="2BB74DDF" w14:textId="77777777">
      <w:pPr>
        <w:spacing w:after="0" w:line="240" w:lineRule="auto"/>
        <w:ind w:left="720" w:hanging="720"/>
        <w:rPr>
          <w:rFonts w:ascii="Times New Roman" w:eastAsia="Times New Roman" w:hAnsi="Times New Roman" w:cs="Times New Roman"/>
          <w:sz w:val="24"/>
          <w:szCs w:val="20"/>
        </w:rPr>
      </w:pPr>
    </w:p>
    <w:p w:rsidR="00422575" w:rsidRPr="00422575" w:rsidP="009E2C97" w14:paraId="3233249A" w14:textId="77777777">
      <w:pPr>
        <w:spacing w:after="0" w:line="240" w:lineRule="auto"/>
        <w:ind w:left="720"/>
        <w:rPr>
          <w:rFonts w:ascii="Times New Roman" w:eastAsia="Times New Roman" w:hAnsi="Times New Roman" w:cs="Times New Roman"/>
          <w:i/>
          <w:iCs/>
          <w:color w:val="000000"/>
          <w:sz w:val="24"/>
          <w:szCs w:val="24"/>
          <w:u w:val="single"/>
        </w:rPr>
      </w:pPr>
      <w:r w:rsidRPr="00422575">
        <w:rPr>
          <w:rFonts w:ascii="Times New Roman" w:eastAsia="Times New Roman" w:hAnsi="Times New Roman" w:cs="Times New Roman"/>
          <w:i/>
          <w:iCs/>
          <w:color w:val="000000"/>
          <w:sz w:val="24"/>
          <w:szCs w:val="24"/>
          <w:u w:val="single"/>
        </w:rPr>
        <w:t>Consultations with representatives of the affected population:</w:t>
      </w:r>
    </w:p>
    <w:p w:rsidR="00422575" w:rsidRPr="00422575" w:rsidP="009E2C97" w14:paraId="6F0FF173" w14:textId="77777777">
      <w:pPr>
        <w:widowControl w:val="0"/>
        <w:spacing w:after="0" w:line="240" w:lineRule="auto"/>
        <w:ind w:left="720" w:hanging="720"/>
        <w:rPr>
          <w:rFonts w:ascii="Times New Roman" w:eastAsia="Times New Roman" w:hAnsi="Times New Roman" w:cs="Times New Roman"/>
          <w:sz w:val="24"/>
          <w:szCs w:val="20"/>
        </w:rPr>
      </w:pPr>
    </w:p>
    <w:p w:rsidR="00422575" w:rsidRPr="00422575" w:rsidP="009E2C97" w14:paraId="51AEA9E2" w14:textId="77777777">
      <w:pPr>
        <w:spacing w:after="0" w:line="240" w:lineRule="auto"/>
        <w:ind w:left="720"/>
        <w:rPr>
          <w:rFonts w:ascii="Times New Roman" w:eastAsia="Times New Roman" w:hAnsi="Times New Roman" w:cs="Times New Roman"/>
          <w:sz w:val="24"/>
          <w:szCs w:val="20"/>
        </w:rPr>
      </w:pPr>
      <w:r w:rsidRPr="00422575">
        <w:rPr>
          <w:rFonts w:ascii="Times New Roman" w:eastAsia="Times New Roman" w:hAnsi="Times New Roman" w:cs="Times New Roman"/>
          <w:sz w:val="24"/>
          <w:szCs w:val="20"/>
        </w:rPr>
        <w:t>As a part of FRA’s oversight and enforcement, individuals from the railroad industry are generally in direct contact with FRA’s inspectors at the time of site inspections and can provide any comments or concerns to them.</w:t>
      </w:r>
    </w:p>
    <w:bookmarkEnd w:id="3"/>
    <w:p w:rsidR="009C197C" w:rsidRPr="009C197C" w14:paraId="06F6376F" w14:textId="77777777">
      <w:pPr>
        <w:spacing w:after="0" w:line="240" w:lineRule="auto"/>
        <w:rPr>
          <w:rFonts w:ascii="Times New Roman" w:hAnsi="Times New Roman" w:cs="Times New Roman"/>
          <w:sz w:val="24"/>
          <w:szCs w:val="24"/>
        </w:rPr>
      </w:pPr>
    </w:p>
    <w:p w:rsidR="00982095" w:rsidRPr="009C197C" w:rsidP="009E2C97" w14:paraId="2EB962C9" w14:textId="7A803FBA">
      <w:pPr>
        <w:pStyle w:val="ListParagraph"/>
        <w:numPr>
          <w:ilvl w:val="0"/>
          <w:numId w:val="2"/>
        </w:numPr>
        <w:spacing w:after="0" w:line="240" w:lineRule="auto"/>
        <w:ind w:left="720" w:hanging="720"/>
        <w:rPr>
          <w:rFonts w:ascii="Times New Roman" w:hAnsi="Times New Roman" w:cs="Times New Roman"/>
          <w:b/>
          <w:sz w:val="24"/>
          <w:szCs w:val="24"/>
        </w:rPr>
      </w:pPr>
      <w:r w:rsidRPr="00F8313C">
        <w:rPr>
          <w:rFonts w:ascii="Times New Roman" w:hAnsi="Times New Roman" w:cs="Times New Roman"/>
          <w:b/>
          <w:sz w:val="24"/>
          <w:szCs w:val="24"/>
          <w:u w:val="single"/>
        </w:rPr>
        <w:t>Payment</w:t>
      </w:r>
      <w:r w:rsidRPr="00F8313C" w:rsidR="00F8313C">
        <w:rPr>
          <w:rFonts w:ascii="Times New Roman" w:hAnsi="Times New Roman" w:cs="Times New Roman"/>
          <w:b/>
          <w:sz w:val="24"/>
          <w:szCs w:val="24"/>
          <w:u w:val="single"/>
        </w:rPr>
        <w:t>s or gifts to respondents</w:t>
      </w:r>
      <w:r w:rsidR="00F8313C">
        <w:rPr>
          <w:rFonts w:ascii="Times New Roman" w:hAnsi="Times New Roman" w:cs="Times New Roman"/>
          <w:b/>
          <w:sz w:val="24"/>
          <w:szCs w:val="24"/>
        </w:rPr>
        <w:t>.</w:t>
      </w:r>
    </w:p>
    <w:p w:rsidR="001E7A97" w:rsidRPr="009C197C" w:rsidP="009E2C97" w14:paraId="190F7B1C" w14:textId="77777777">
      <w:pPr>
        <w:spacing w:after="0" w:line="240" w:lineRule="auto"/>
        <w:ind w:left="720" w:hanging="720"/>
        <w:rPr>
          <w:rFonts w:ascii="Times New Roman" w:hAnsi="Times New Roman" w:cs="Times New Roman"/>
          <w:sz w:val="24"/>
          <w:szCs w:val="24"/>
        </w:rPr>
      </w:pPr>
    </w:p>
    <w:p w:rsidR="00982095" w:rsidRPr="009C197C" w:rsidP="009E2C97" w14:paraId="01F29C98" w14:textId="61995AA0">
      <w:pPr>
        <w:spacing w:after="0" w:line="240" w:lineRule="auto"/>
        <w:ind w:left="720"/>
        <w:rPr>
          <w:rFonts w:ascii="Times New Roman" w:hAnsi="Times New Roman" w:cs="Times New Roman"/>
          <w:sz w:val="24"/>
          <w:szCs w:val="24"/>
        </w:rPr>
      </w:pPr>
      <w:r w:rsidRPr="00F8313C">
        <w:rPr>
          <w:rFonts w:ascii="Times New Roman" w:eastAsia="Times New Roman" w:hAnsi="Times New Roman" w:cs="Times New Roman"/>
          <w:sz w:val="24"/>
          <w:szCs w:val="24"/>
        </w:rPr>
        <w:t xml:space="preserve">There are no monetary payments </w:t>
      </w:r>
      <w:r w:rsidRPr="00F8313C" w:rsidR="008B5C91">
        <w:rPr>
          <w:rFonts w:ascii="Times New Roman" w:eastAsia="Times New Roman" w:hAnsi="Times New Roman" w:cs="Times New Roman"/>
          <w:sz w:val="24"/>
          <w:szCs w:val="24"/>
        </w:rPr>
        <w:t>provided,</w:t>
      </w:r>
      <w:r w:rsidRPr="00F8313C">
        <w:rPr>
          <w:rFonts w:ascii="Times New Roman" w:eastAsia="Times New Roman" w:hAnsi="Times New Roman" w:cs="Times New Roman"/>
          <w:sz w:val="24"/>
          <w:szCs w:val="24"/>
        </w:rPr>
        <w:t xml:space="preserve"> or gifts made to respondents in connection with this information collection</w:t>
      </w:r>
      <w:r w:rsidRPr="00F8313C" w:rsidR="000C0A7E">
        <w:rPr>
          <w:rFonts w:ascii="Times New Roman" w:hAnsi="Times New Roman" w:cs="Times New Roman"/>
          <w:sz w:val="24"/>
          <w:szCs w:val="24"/>
        </w:rPr>
        <w:t>. Focus groups and cognitive</w:t>
      </w:r>
      <w:r w:rsidRPr="009C197C" w:rsidR="000C0A7E">
        <w:rPr>
          <w:rFonts w:ascii="Times New Roman" w:hAnsi="Times New Roman" w:cs="Times New Roman"/>
          <w:sz w:val="24"/>
          <w:szCs w:val="24"/>
        </w:rPr>
        <w:t xml:space="preserve"> laboratory studies are the exceptions.</w:t>
      </w:r>
    </w:p>
    <w:p w:rsidR="00982095" w:rsidRPr="009C197C" w:rsidP="009E2C97" w14:paraId="536E2844" w14:textId="77777777">
      <w:pPr>
        <w:spacing w:after="0" w:line="240" w:lineRule="auto"/>
        <w:ind w:left="720" w:hanging="720"/>
        <w:rPr>
          <w:rFonts w:ascii="Times New Roman" w:hAnsi="Times New Roman" w:cs="Times New Roman"/>
          <w:sz w:val="24"/>
          <w:szCs w:val="24"/>
        </w:rPr>
      </w:pPr>
    </w:p>
    <w:p w:rsidR="00982095" w:rsidRPr="009C197C" w:rsidP="009E2C97" w14:paraId="440BA99F" w14:textId="2172E1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sidRPr="009C197C" w:rsidR="000C0A7E">
        <w:rPr>
          <w:rFonts w:ascii="Times New Roman" w:hAnsi="Times New Roman" w:cs="Times New Roman"/>
          <w:sz w:val="24"/>
          <w:szCs w:val="24"/>
        </w:rPr>
        <w:t>n the case of in-person cognitive laboratory and usability studies,</w:t>
      </w:r>
      <w:r w:rsidRPr="009C197C" w:rsidR="00DE07E7">
        <w:rPr>
          <w:rFonts w:ascii="Times New Roman" w:hAnsi="Times New Roman" w:cs="Times New Roman"/>
          <w:sz w:val="24"/>
          <w:szCs w:val="24"/>
        </w:rPr>
        <w:t xml:space="preserve"> the Agency </w:t>
      </w:r>
      <w:r w:rsidRPr="009C197C" w:rsidR="000C0A7E">
        <w:rPr>
          <w:rFonts w:ascii="Times New Roman" w:hAnsi="Times New Roman" w:cs="Times New Roman"/>
          <w:sz w:val="24"/>
          <w:szCs w:val="24"/>
        </w:rPr>
        <w:t xml:space="preserve">may </w:t>
      </w:r>
      <w:r w:rsidR="00ED40BD">
        <w:rPr>
          <w:rFonts w:ascii="Times New Roman" w:hAnsi="Times New Roman" w:cs="Times New Roman"/>
          <w:sz w:val="24"/>
          <w:szCs w:val="24"/>
        </w:rPr>
        <w:t xml:space="preserve">provide stipends of up to $40. </w:t>
      </w:r>
      <w:r w:rsidRPr="009C197C" w:rsidR="000C0A7E">
        <w:rPr>
          <w:rFonts w:ascii="Times New Roman" w:hAnsi="Times New Roman" w:cs="Times New Roman"/>
          <w:sz w:val="24"/>
          <w:szCs w:val="24"/>
        </w:rPr>
        <w:t>In the case of in-person focus groups,</w:t>
      </w:r>
      <w:r w:rsidRPr="009C197C" w:rsidR="00DE07E7">
        <w:rPr>
          <w:rFonts w:ascii="Times New Roman" w:hAnsi="Times New Roman" w:cs="Times New Roman"/>
          <w:sz w:val="24"/>
          <w:szCs w:val="24"/>
        </w:rPr>
        <w:t xml:space="preserve"> the Agency </w:t>
      </w:r>
      <w:r w:rsidRPr="009C197C" w:rsidR="000C0A7E">
        <w:rPr>
          <w:rFonts w:ascii="Times New Roman" w:hAnsi="Times New Roman" w:cs="Times New Roman"/>
          <w:sz w:val="24"/>
          <w:szCs w:val="24"/>
        </w:rPr>
        <w:t xml:space="preserve">may provide stipends of up to $75. </w:t>
      </w:r>
      <w:r w:rsidRPr="009C197C" w:rsidR="00DB1020">
        <w:rPr>
          <w:rFonts w:ascii="Times New Roman" w:hAnsi="Times New Roman" w:cs="Times New Roman"/>
          <w:sz w:val="24"/>
          <w:szCs w:val="24"/>
        </w:rPr>
        <w:t>If respondents</w:t>
      </w:r>
      <w:r w:rsidRPr="009C197C" w:rsidR="000C0A7E">
        <w:rPr>
          <w:rFonts w:ascii="Times New Roman" w:hAnsi="Times New Roman" w:cs="Times New Roman"/>
          <w:sz w:val="24"/>
          <w:szCs w:val="24"/>
        </w:rPr>
        <w:t xml:space="preserve"> participate in these kinds of studies remotely, via phone, or Internet, any proposed stipend needs to be justified to OMB and must be considerably less than that provided to respondents in in-person studies, who </w:t>
      </w:r>
      <w:r w:rsidRPr="009C197C" w:rsidR="00E42F81">
        <w:rPr>
          <w:rFonts w:ascii="Times New Roman" w:hAnsi="Times New Roman" w:cs="Times New Roman"/>
          <w:sz w:val="24"/>
          <w:szCs w:val="24"/>
        </w:rPr>
        <w:t>must</w:t>
      </w:r>
      <w:r w:rsidRPr="009C197C" w:rsidR="000C0A7E">
        <w:rPr>
          <w:rFonts w:ascii="Times New Roman" w:hAnsi="Times New Roman" w:cs="Times New Roman"/>
          <w:sz w:val="24"/>
          <w:szCs w:val="24"/>
        </w:rPr>
        <w:t xml:space="preserve"> travel to the agency or other facility to participate. If such information collections include hard-to-reach groups and the agency plans to offer non-standard stipends, </w:t>
      </w:r>
      <w:r w:rsidRPr="009C197C" w:rsidR="00DE07E7">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will provide OMB with additional justifications in the request for clearance of these specific activities.</w:t>
      </w:r>
    </w:p>
    <w:p w:rsidR="00982095" w:rsidRPr="009C197C" w:rsidP="00582C10" w14:paraId="0E771F58" w14:textId="77777777">
      <w:pPr>
        <w:spacing w:after="0" w:line="240" w:lineRule="auto"/>
        <w:ind w:left="540" w:hanging="270"/>
        <w:rPr>
          <w:rFonts w:ascii="Times New Roman" w:hAnsi="Times New Roman" w:cs="Times New Roman"/>
          <w:sz w:val="24"/>
          <w:szCs w:val="24"/>
        </w:rPr>
      </w:pPr>
    </w:p>
    <w:p w:rsidR="00982095" w:rsidRPr="00582C10" w:rsidP="009E2C97" w14:paraId="0AFA19A3" w14:textId="159E3987">
      <w:pPr>
        <w:pStyle w:val="ListParagraph"/>
        <w:numPr>
          <w:ilvl w:val="0"/>
          <w:numId w:val="2"/>
        </w:numPr>
        <w:spacing w:after="0" w:line="240" w:lineRule="auto"/>
        <w:ind w:left="720" w:hanging="720"/>
        <w:rPr>
          <w:rFonts w:ascii="Times New Roman" w:hAnsi="Times New Roman" w:cs="Times New Roman"/>
          <w:b/>
          <w:sz w:val="24"/>
          <w:szCs w:val="24"/>
          <w:u w:val="single"/>
        </w:rPr>
      </w:pPr>
      <w:r w:rsidRPr="00582C10">
        <w:rPr>
          <w:rFonts w:ascii="Times New Roman" w:hAnsi="Times New Roman" w:cs="Times New Roman"/>
          <w:b/>
          <w:sz w:val="24"/>
          <w:szCs w:val="24"/>
          <w:u w:val="single"/>
        </w:rPr>
        <w:t xml:space="preserve">Assurance of </w:t>
      </w:r>
      <w:r w:rsidR="00E42F81">
        <w:rPr>
          <w:rFonts w:ascii="Times New Roman" w:hAnsi="Times New Roman" w:cs="Times New Roman"/>
          <w:b/>
          <w:sz w:val="24"/>
          <w:szCs w:val="24"/>
          <w:u w:val="single"/>
        </w:rPr>
        <w:t>c</w:t>
      </w:r>
      <w:r w:rsidRPr="00582C10" w:rsidR="000C0A7E">
        <w:rPr>
          <w:rFonts w:ascii="Times New Roman" w:hAnsi="Times New Roman" w:cs="Times New Roman"/>
          <w:b/>
          <w:sz w:val="24"/>
          <w:szCs w:val="24"/>
          <w:u w:val="single"/>
        </w:rPr>
        <w:t>onfidentiality</w:t>
      </w:r>
      <w:r w:rsidR="00E42F81">
        <w:rPr>
          <w:rFonts w:ascii="Times New Roman" w:hAnsi="Times New Roman" w:cs="Times New Roman"/>
          <w:b/>
          <w:sz w:val="24"/>
          <w:szCs w:val="24"/>
          <w:u w:val="single"/>
        </w:rPr>
        <w:t>.</w:t>
      </w:r>
    </w:p>
    <w:p w:rsidR="00582C10" w:rsidP="009E2C97" w14:paraId="5D879AE0" w14:textId="77777777">
      <w:pPr>
        <w:spacing w:after="0" w:line="240" w:lineRule="auto"/>
        <w:ind w:left="720" w:hanging="720"/>
        <w:rPr>
          <w:rFonts w:ascii="Times New Roman" w:hAnsi="Times New Roman" w:cs="Times New Roman"/>
          <w:sz w:val="24"/>
          <w:szCs w:val="24"/>
        </w:rPr>
      </w:pPr>
    </w:p>
    <w:p w:rsidR="00982095" w:rsidRPr="009C197C" w:rsidP="009E2C97" w14:paraId="37B62B34" w14:textId="35A78585">
      <w:pPr>
        <w:spacing w:after="0" w:line="240" w:lineRule="auto"/>
        <w:ind w:left="720"/>
        <w:rPr>
          <w:rFonts w:ascii="Times New Roman" w:hAnsi="Times New Roman" w:cs="Times New Roman"/>
          <w:sz w:val="24"/>
          <w:szCs w:val="24"/>
        </w:rPr>
      </w:pPr>
      <w:bookmarkStart w:id="4" w:name="_Hlk134802348"/>
      <w:r>
        <w:rPr>
          <w:rFonts w:ascii="Times New Roman" w:hAnsi="Times New Roman" w:cs="Times New Roman"/>
          <w:sz w:val="24"/>
          <w:szCs w:val="24"/>
        </w:rPr>
        <w:t>The i</w:t>
      </w:r>
      <w:r w:rsidR="00582C10">
        <w:rPr>
          <w:rFonts w:ascii="Times New Roman" w:hAnsi="Times New Roman" w:cs="Times New Roman"/>
          <w:sz w:val="24"/>
          <w:szCs w:val="24"/>
        </w:rPr>
        <w:t>nformation c</w:t>
      </w:r>
      <w:r w:rsidRPr="00C352FB" w:rsidR="00C352FB">
        <w:rPr>
          <w:rFonts w:ascii="Times New Roman" w:hAnsi="Times New Roman" w:cs="Times New Roman"/>
          <w:sz w:val="24"/>
          <w:szCs w:val="24"/>
        </w:rPr>
        <w:t>ollected is not of a confidential nature</w:t>
      </w:r>
      <w:r w:rsidR="001363AC">
        <w:rPr>
          <w:rFonts w:ascii="Times New Roman" w:hAnsi="Times New Roman" w:cs="Times New Roman"/>
          <w:sz w:val="24"/>
          <w:szCs w:val="24"/>
        </w:rPr>
        <w:t>,</w:t>
      </w:r>
      <w:r w:rsidRPr="00C352FB" w:rsidR="00C352FB">
        <w:rPr>
          <w:rFonts w:ascii="Times New Roman" w:hAnsi="Times New Roman" w:cs="Times New Roman"/>
          <w:sz w:val="24"/>
          <w:szCs w:val="24"/>
        </w:rPr>
        <w:t xml:space="preserve"> and FRA pledges no confidentiality</w:t>
      </w:r>
      <w:bookmarkEnd w:id="4"/>
      <w:r w:rsidRPr="00C352FB" w:rsidR="00C352FB">
        <w:rPr>
          <w:rFonts w:ascii="Times New Roman" w:hAnsi="Times New Roman" w:cs="Times New Roman"/>
          <w:sz w:val="24"/>
          <w:szCs w:val="24"/>
        </w:rPr>
        <w:t>.</w:t>
      </w:r>
    </w:p>
    <w:p w:rsidR="00982095" w:rsidRPr="009C197C" w:rsidP="00582C10" w14:paraId="4F157927" w14:textId="77777777">
      <w:pPr>
        <w:spacing w:after="0" w:line="240" w:lineRule="auto"/>
        <w:ind w:left="270" w:hanging="270"/>
        <w:rPr>
          <w:rFonts w:ascii="Times New Roman" w:hAnsi="Times New Roman" w:cs="Times New Roman"/>
          <w:sz w:val="24"/>
          <w:szCs w:val="24"/>
        </w:rPr>
      </w:pPr>
    </w:p>
    <w:p w:rsidR="00982095" w:rsidRPr="009C197C" w:rsidP="009E2C97" w14:paraId="05D5B3AC" w14:textId="560CD139">
      <w:pPr>
        <w:pStyle w:val="ListParagraph"/>
        <w:numPr>
          <w:ilvl w:val="0"/>
          <w:numId w:val="2"/>
        </w:num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u w:val="single"/>
        </w:rPr>
        <w:t>Justification for any questions of a sensitive nature</w:t>
      </w:r>
      <w:r>
        <w:rPr>
          <w:rFonts w:ascii="Times New Roman" w:hAnsi="Times New Roman" w:cs="Times New Roman"/>
          <w:b/>
          <w:sz w:val="24"/>
          <w:szCs w:val="24"/>
        </w:rPr>
        <w:t>.</w:t>
      </w:r>
    </w:p>
    <w:p w:rsidR="00982095" w:rsidRPr="009C197C" w:rsidP="00F8313C" w14:paraId="725A938A" w14:textId="77777777">
      <w:pPr>
        <w:pStyle w:val="ListParagraph"/>
        <w:spacing w:after="0" w:line="240" w:lineRule="auto"/>
        <w:ind w:left="540"/>
        <w:rPr>
          <w:rFonts w:ascii="Times New Roman" w:hAnsi="Times New Roman" w:cs="Times New Roman"/>
          <w:b/>
          <w:sz w:val="24"/>
          <w:szCs w:val="24"/>
        </w:rPr>
      </w:pPr>
    </w:p>
    <w:p w:rsidR="00C352FB" w:rsidRPr="00C352FB" w:rsidP="009E2C97" w14:paraId="1A50548F" w14:textId="77777777">
      <w:pPr>
        <w:widowControl w:val="0"/>
        <w:spacing w:after="0" w:line="240" w:lineRule="auto"/>
        <w:ind w:left="540" w:firstLine="180"/>
        <w:rPr>
          <w:rFonts w:ascii="Times New Roman" w:eastAsia="Times New Roman" w:hAnsi="Times New Roman" w:cs="Times New Roman"/>
          <w:sz w:val="24"/>
          <w:szCs w:val="24"/>
        </w:rPr>
      </w:pPr>
      <w:bookmarkStart w:id="5" w:name="_Hlk134801915"/>
      <w:r w:rsidRPr="00C352FB">
        <w:rPr>
          <w:rFonts w:ascii="Times New Roman" w:eastAsia="Times New Roman" w:hAnsi="Times New Roman" w:cs="Times New Roman"/>
          <w:sz w:val="24"/>
          <w:szCs w:val="24"/>
        </w:rPr>
        <w:t>The information collection does not contain any data of a personal or sensitive nature.</w:t>
      </w:r>
    </w:p>
    <w:bookmarkEnd w:id="5"/>
    <w:p w:rsidR="00982095" w:rsidRPr="009C197C" w:rsidP="00F8313C" w14:paraId="17DB0EF8" w14:textId="47C81786">
      <w:pPr>
        <w:spacing w:after="0" w:line="240" w:lineRule="auto"/>
        <w:ind w:left="540"/>
        <w:rPr>
          <w:rFonts w:ascii="Times New Roman" w:hAnsi="Times New Roman" w:cs="Times New Roman"/>
          <w:sz w:val="24"/>
          <w:szCs w:val="24"/>
        </w:rPr>
      </w:pPr>
    </w:p>
    <w:p w:rsidR="00982095" w:rsidRPr="009C197C" w:rsidP="009E2C97" w14:paraId="4B67626F" w14:textId="359142B7">
      <w:pPr>
        <w:pStyle w:val="ListParagraph"/>
        <w:numPr>
          <w:ilvl w:val="0"/>
          <w:numId w:val="2"/>
        </w:num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u w:val="single"/>
        </w:rPr>
        <w:t>Estimate of burden hours for information collected</w:t>
      </w:r>
      <w:r w:rsidR="00E42F81">
        <w:rPr>
          <w:rFonts w:ascii="Times New Roman" w:hAnsi="Times New Roman" w:cs="Times New Roman"/>
          <w:b/>
          <w:sz w:val="24"/>
          <w:szCs w:val="24"/>
          <w:u w:val="single"/>
        </w:rPr>
        <w:t>.</w:t>
      </w:r>
    </w:p>
    <w:p w:rsidR="00982095" w:rsidRPr="009C197C" w14:paraId="583808D3" w14:textId="77777777">
      <w:pPr>
        <w:spacing w:after="0" w:line="240" w:lineRule="auto"/>
        <w:rPr>
          <w:rFonts w:ascii="Times New Roman" w:hAnsi="Times New Roman" w:cs="Times New Roman"/>
          <w:sz w:val="24"/>
          <w:szCs w:val="24"/>
        </w:rPr>
      </w:pPr>
    </w:p>
    <w:p w:rsidR="004D3C70" w:rsidP="009E2C97" w14:paraId="667A6DA9" w14:textId="5C1B0C53">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requested (</w:t>
      </w:r>
      <w:r w:rsidR="00C217BE">
        <w:rPr>
          <w:rFonts w:ascii="Times New Roman" w:hAnsi="Times New Roman" w:cs="Times New Roman"/>
          <w:sz w:val="24"/>
          <w:szCs w:val="24"/>
        </w:rPr>
        <w:t xml:space="preserve">475 </w:t>
      </w:r>
      <w:r w:rsidR="0096729B">
        <w:rPr>
          <w:rFonts w:ascii="Times New Roman" w:hAnsi="Times New Roman" w:cs="Times New Roman"/>
          <w:sz w:val="24"/>
          <w:szCs w:val="24"/>
        </w:rPr>
        <w:t>hours</w:t>
      </w:r>
      <w:r w:rsidR="00AD2553">
        <w:rPr>
          <w:rFonts w:ascii="Times New Roman" w:hAnsi="Times New Roman" w:cs="Times New Roman"/>
          <w:sz w:val="24"/>
          <w:szCs w:val="24"/>
        </w:rPr>
        <w:t xml:space="preserve"> and 5,750 responses</w:t>
      </w:r>
      <w:r w:rsidRPr="009C197C">
        <w:rPr>
          <w:rFonts w:ascii="Times New Roman" w:hAnsi="Times New Roman" w:cs="Times New Roman"/>
          <w:sz w:val="24"/>
          <w:szCs w:val="24"/>
        </w:rPr>
        <w:t xml:space="preserve">) </w:t>
      </w:r>
      <w:r w:rsidRPr="009C197C" w:rsidR="001F52BD">
        <w:rPr>
          <w:rFonts w:ascii="Times New Roman" w:hAnsi="Times New Roman" w:cs="Times New Roman"/>
          <w:sz w:val="24"/>
          <w:szCs w:val="24"/>
        </w:rPr>
        <w:t>is</w:t>
      </w:r>
      <w:r w:rsidRPr="009C197C">
        <w:rPr>
          <w:rFonts w:ascii="Times New Roman" w:hAnsi="Times New Roman" w:cs="Times New Roman"/>
          <w:sz w:val="24"/>
          <w:szCs w:val="24"/>
        </w:rPr>
        <w:t xml:space="preserve"> based on the number of collections we expect </w:t>
      </w:r>
      <w:r w:rsidR="00AD2553">
        <w:rPr>
          <w:rFonts w:ascii="Times New Roman" w:hAnsi="Times New Roman" w:cs="Times New Roman"/>
          <w:sz w:val="24"/>
          <w:szCs w:val="24"/>
        </w:rPr>
        <w:t>t</w:t>
      </w:r>
      <w:r w:rsidRPr="009C197C">
        <w:rPr>
          <w:rFonts w:ascii="Times New Roman" w:hAnsi="Times New Roman" w:cs="Times New Roman"/>
          <w:sz w:val="24"/>
          <w:szCs w:val="24"/>
        </w:rPr>
        <w:t xml:space="preserve">o conduct over the requested period for this </w:t>
      </w:r>
      <w:r w:rsidRPr="009C197C" w:rsidR="00114C1F">
        <w:rPr>
          <w:rFonts w:ascii="Times New Roman" w:hAnsi="Times New Roman" w:cs="Times New Roman"/>
          <w:sz w:val="24"/>
          <w:szCs w:val="24"/>
        </w:rPr>
        <w:t>clearance</w:t>
      </w:r>
      <w:bookmarkStart w:id="6" w:name="_Hlk133228366"/>
      <w:r w:rsidRPr="009C197C" w:rsidR="00114C1F">
        <w:rPr>
          <w:rFonts w:ascii="Times New Roman" w:hAnsi="Times New Roman" w:cs="Times New Roman"/>
          <w:sz w:val="24"/>
          <w:szCs w:val="24"/>
        </w:rPr>
        <w:t>.</w:t>
      </w:r>
      <w:r w:rsidRPr="009C197C">
        <w:rPr>
          <w:rFonts w:ascii="Times New Roman" w:hAnsi="Times New Roman" w:cs="Times New Roman"/>
          <w:sz w:val="24"/>
          <w:szCs w:val="24"/>
        </w:rPr>
        <w:t xml:space="preserve"> </w:t>
      </w:r>
      <w:r w:rsidR="001F52BD">
        <w:rPr>
          <w:rFonts w:ascii="Times New Roman" w:hAnsi="Times New Roman" w:cs="Times New Roman"/>
          <w:sz w:val="24"/>
          <w:szCs w:val="24"/>
        </w:rPr>
        <w:t xml:space="preserve">Table 1 provides the breakout for the three categories of information collections and the estimated burden hours for one year. </w:t>
      </w:r>
      <w:r w:rsidR="00191BDE">
        <w:rPr>
          <w:rFonts w:ascii="Times New Roman" w:hAnsi="Times New Roman" w:cs="Times New Roman"/>
          <w:sz w:val="24"/>
          <w:szCs w:val="24"/>
        </w:rPr>
        <w:t xml:space="preserve">On a three-year basis this amounts to 1,425 hours and 17,250 responses. </w:t>
      </w:r>
    </w:p>
    <w:p w:rsidR="004D3C70" w:rsidP="009E2C97" w14:paraId="770026B2" w14:textId="77777777">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sz w:val="24"/>
          <w:szCs w:val="24"/>
        </w:rPr>
      </w:pPr>
    </w:p>
    <w:p w:rsidR="00D80BC6" w:rsidP="009E2C97" w14:paraId="28BA028C" w14:textId="2C86B6CA">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respondent universe </w:t>
      </w:r>
      <w:r w:rsidR="00D50007">
        <w:rPr>
          <w:rFonts w:ascii="Times New Roman" w:hAnsi="Times New Roman" w:cs="Times New Roman"/>
          <w:sz w:val="24"/>
          <w:szCs w:val="24"/>
        </w:rPr>
        <w:t>(</w:t>
      </w:r>
      <w:r>
        <w:rPr>
          <w:rFonts w:ascii="Times New Roman" w:hAnsi="Times New Roman" w:cs="Times New Roman"/>
          <w:sz w:val="24"/>
          <w:szCs w:val="24"/>
        </w:rPr>
        <w:t>used for prior year surveys submitted under this ICR</w:t>
      </w:r>
      <w:r w:rsidR="00D50007">
        <w:rPr>
          <w:rFonts w:ascii="Times New Roman" w:hAnsi="Times New Roman" w:cs="Times New Roman"/>
          <w:sz w:val="24"/>
          <w:szCs w:val="24"/>
        </w:rPr>
        <w:t>) is</w:t>
      </w:r>
      <w:r>
        <w:rPr>
          <w:rFonts w:ascii="Times New Roman" w:hAnsi="Times New Roman" w:cs="Times New Roman"/>
          <w:sz w:val="24"/>
          <w:szCs w:val="24"/>
        </w:rPr>
        <w:t xml:space="preserve"> </w:t>
      </w:r>
      <w:r w:rsidR="005E7C2B">
        <w:rPr>
          <w:rFonts w:ascii="Times New Roman" w:hAnsi="Times New Roman" w:cs="Times New Roman"/>
          <w:sz w:val="24"/>
          <w:szCs w:val="24"/>
        </w:rPr>
        <w:t>“</w:t>
      </w:r>
      <w:r>
        <w:rPr>
          <w:rFonts w:ascii="Times New Roman" w:hAnsi="Times New Roman" w:cs="Times New Roman"/>
          <w:sz w:val="24"/>
          <w:szCs w:val="24"/>
        </w:rPr>
        <w:t>railroad industry</w:t>
      </w:r>
      <w:r w:rsidR="005E7C2B">
        <w:rPr>
          <w:rFonts w:ascii="Times New Roman" w:hAnsi="Times New Roman" w:cs="Times New Roman"/>
          <w:sz w:val="24"/>
          <w:szCs w:val="24"/>
        </w:rPr>
        <w:t>”</w:t>
      </w:r>
      <w:r>
        <w:rPr>
          <w:rFonts w:ascii="Times New Roman" w:hAnsi="Times New Roman" w:cs="Times New Roman"/>
          <w:sz w:val="24"/>
          <w:szCs w:val="24"/>
        </w:rPr>
        <w:t xml:space="preserve"> and </w:t>
      </w:r>
      <w:r w:rsidR="005E7C2B">
        <w:rPr>
          <w:rFonts w:ascii="Times New Roman" w:hAnsi="Times New Roman" w:cs="Times New Roman"/>
          <w:sz w:val="24"/>
          <w:szCs w:val="24"/>
        </w:rPr>
        <w:t>“</w:t>
      </w:r>
      <w:r>
        <w:rPr>
          <w:rFonts w:ascii="Times New Roman" w:hAnsi="Times New Roman" w:cs="Times New Roman"/>
          <w:sz w:val="24"/>
          <w:szCs w:val="24"/>
        </w:rPr>
        <w:t>general public</w:t>
      </w:r>
      <w:r w:rsidR="005E7C2B">
        <w:rPr>
          <w:rFonts w:ascii="Times New Roman" w:hAnsi="Times New Roman" w:cs="Times New Roman"/>
          <w:sz w:val="24"/>
          <w:szCs w:val="24"/>
        </w:rPr>
        <w:t>”</w:t>
      </w:r>
      <w:r>
        <w:rPr>
          <w:rFonts w:ascii="Times New Roman" w:hAnsi="Times New Roman" w:cs="Times New Roman"/>
          <w:sz w:val="24"/>
          <w:szCs w:val="24"/>
        </w:rPr>
        <w:t>. Based on this</w:t>
      </w:r>
      <w:r w:rsidR="005E7C2B">
        <w:rPr>
          <w:rFonts w:ascii="Times New Roman" w:hAnsi="Times New Roman" w:cs="Times New Roman"/>
          <w:sz w:val="24"/>
          <w:szCs w:val="24"/>
        </w:rPr>
        <w:t>,</w:t>
      </w:r>
      <w:r>
        <w:rPr>
          <w:rFonts w:ascii="Times New Roman" w:hAnsi="Times New Roman" w:cs="Times New Roman"/>
          <w:sz w:val="24"/>
          <w:szCs w:val="24"/>
        </w:rPr>
        <w:t xml:space="preserve"> </w:t>
      </w:r>
      <w:r w:rsidR="00DB2ED7">
        <w:rPr>
          <w:rFonts w:ascii="Times New Roman" w:hAnsi="Times New Roman" w:cs="Times New Roman"/>
          <w:sz w:val="24"/>
          <w:szCs w:val="24"/>
        </w:rPr>
        <w:t xml:space="preserve">for this submission </w:t>
      </w:r>
      <w:r>
        <w:rPr>
          <w:rFonts w:ascii="Times New Roman" w:hAnsi="Times New Roman" w:cs="Times New Roman"/>
          <w:sz w:val="24"/>
          <w:szCs w:val="24"/>
        </w:rPr>
        <w:t>the wage rate used for “</w:t>
      </w:r>
      <w:r w:rsidRPr="004D3C70">
        <w:rPr>
          <w:rFonts w:ascii="Times New Roman" w:hAnsi="Times New Roman" w:cs="Times New Roman"/>
          <w:sz w:val="24"/>
          <w:szCs w:val="24"/>
        </w:rPr>
        <w:t>Surveys, comment cards, interviews, focus groups, and web-based technologies for Customer Service Satisfaction and Delivery</w:t>
      </w:r>
      <w:r>
        <w:rPr>
          <w:rFonts w:ascii="Times New Roman" w:hAnsi="Times New Roman" w:cs="Times New Roman"/>
          <w:sz w:val="24"/>
          <w:szCs w:val="24"/>
        </w:rPr>
        <w:t>” is</w:t>
      </w:r>
      <w:r w:rsidR="005E7C2B">
        <w:rPr>
          <w:rFonts w:ascii="Times New Roman" w:hAnsi="Times New Roman" w:cs="Times New Roman"/>
          <w:sz w:val="24"/>
          <w:szCs w:val="24"/>
        </w:rPr>
        <w:t xml:space="preserve"> the average hourly wage for civilian workers</w:t>
      </w:r>
      <w:r>
        <w:rPr>
          <w:rStyle w:val="FootnoteReference"/>
          <w:rFonts w:ascii="Times New Roman" w:hAnsi="Times New Roman" w:cs="Times New Roman"/>
          <w:sz w:val="24"/>
          <w:szCs w:val="24"/>
        </w:rPr>
        <w:footnoteReference w:id="5"/>
      </w:r>
      <w:r w:rsidR="005E7C2B">
        <w:rPr>
          <w:rFonts w:ascii="Times New Roman" w:hAnsi="Times New Roman" w:cs="Times New Roman"/>
          <w:sz w:val="24"/>
          <w:szCs w:val="24"/>
        </w:rPr>
        <w:t xml:space="preserve"> reported by the Bureau of Labor Statistics (BLS). For surveys related to stakeholder engagement and stakeholder capacity building and training resources</w:t>
      </w:r>
      <w:r w:rsidR="00DB2ED7">
        <w:rPr>
          <w:rFonts w:ascii="Times New Roman" w:hAnsi="Times New Roman" w:cs="Times New Roman"/>
          <w:sz w:val="24"/>
          <w:szCs w:val="24"/>
        </w:rPr>
        <w:t>,</w:t>
      </w:r>
      <w:r w:rsidR="005E7C2B">
        <w:rPr>
          <w:rFonts w:ascii="Times New Roman" w:hAnsi="Times New Roman" w:cs="Times New Roman"/>
          <w:sz w:val="24"/>
          <w:szCs w:val="24"/>
        </w:rPr>
        <w:t xml:space="preserve"> an industry specific hourly wage rate for the rail transportation industry</w:t>
      </w:r>
      <w:r>
        <w:rPr>
          <w:rStyle w:val="FootnoteReference"/>
          <w:rFonts w:ascii="Times New Roman" w:hAnsi="Times New Roman" w:cs="Times New Roman"/>
          <w:sz w:val="24"/>
          <w:szCs w:val="24"/>
        </w:rPr>
        <w:footnoteReference w:id="6"/>
      </w:r>
      <w:r w:rsidR="005E7C2B">
        <w:rPr>
          <w:rFonts w:ascii="Times New Roman" w:hAnsi="Times New Roman" w:cs="Times New Roman"/>
          <w:sz w:val="24"/>
          <w:szCs w:val="24"/>
        </w:rPr>
        <w:t xml:space="preserve"> (All Occupations) has been used.  </w:t>
      </w:r>
    </w:p>
    <w:p w:rsidR="00D80BC6" w:rsidP="009E2C97" w14:paraId="392D3995" w14:textId="77777777">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sz w:val="24"/>
          <w:szCs w:val="24"/>
        </w:rPr>
      </w:pPr>
    </w:p>
    <w:p w:rsidR="00D80BC6" w:rsidRPr="003F7204" w:rsidP="009E2C97" w14:paraId="6FC9D88A" w14:textId="4DE07604">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b/>
          <w:bCs/>
          <w:sz w:val="24"/>
          <w:szCs w:val="24"/>
        </w:rPr>
      </w:pPr>
      <w:r w:rsidRPr="003F7204">
        <w:rPr>
          <w:rFonts w:ascii="Times New Roman" w:hAnsi="Times New Roman" w:cs="Times New Roman"/>
          <w:b/>
          <w:bCs/>
          <w:sz w:val="24"/>
          <w:szCs w:val="24"/>
        </w:rPr>
        <w:t>Table 1. Annual Respondent Total Burden Hour Estimate for One Year</w:t>
      </w:r>
    </w:p>
    <w:bookmarkEnd w:id="6"/>
    <w:p w:rsidR="00336234" w:rsidP="009E2C97" w14:paraId="3A121922" w14:textId="77777777">
      <w:pPr>
        <w:tabs>
          <w:tab w:val="left" w:pos="-1080"/>
          <w:tab w:val="left" w:pos="-720"/>
          <w:tab w:val="left" w:pos="450"/>
          <w:tab w:val="left" w:pos="720"/>
          <w:tab w:val="left" w:pos="810"/>
          <w:tab w:val="left" w:pos="2160"/>
        </w:tabs>
        <w:spacing w:after="0" w:line="240" w:lineRule="auto"/>
        <w:ind w:left="720"/>
        <w:rPr>
          <w:rFonts w:ascii="Times New Roman" w:hAnsi="Times New Roman" w:cs="Times New Roman"/>
          <w:sz w:val="24"/>
          <w:szCs w:val="24"/>
        </w:rPr>
      </w:pPr>
    </w:p>
    <w:tbl>
      <w:tblPr>
        <w:tblW w:w="100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4"/>
        <w:gridCol w:w="1495"/>
        <w:gridCol w:w="1077"/>
        <w:gridCol w:w="1183"/>
        <w:gridCol w:w="983"/>
        <w:gridCol w:w="985"/>
        <w:gridCol w:w="802"/>
        <w:gridCol w:w="1116"/>
      </w:tblGrid>
      <w:tr w14:paraId="2B7944C2" w14:textId="77777777" w:rsidTr="006F76CA">
        <w:tblPrEx>
          <w:tblW w:w="100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5"/>
        </w:trPr>
        <w:tc>
          <w:tcPr>
            <w:tcW w:w="2434" w:type="dxa"/>
            <w:hideMark/>
          </w:tcPr>
          <w:p w:rsidR="001F52BD" w:rsidRPr="003F7204" w:rsidP="00967B4F" w14:paraId="45B1C7DE"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Information Collection</w:t>
            </w:r>
            <w:r w:rsidRPr="003F7204">
              <w:rPr>
                <w:rFonts w:ascii="Times New Roman" w:eastAsia="Times New Roman" w:hAnsi="Times New Roman" w:cs="Times New Roman"/>
                <w:color w:val="000000"/>
                <w:sz w:val="20"/>
                <w:szCs w:val="20"/>
              </w:rPr>
              <w:br/>
              <w:t xml:space="preserve"> Description</w:t>
            </w:r>
          </w:p>
        </w:tc>
        <w:tc>
          <w:tcPr>
            <w:tcW w:w="1495" w:type="dxa"/>
            <w:hideMark/>
          </w:tcPr>
          <w:p w:rsidR="001F52BD" w:rsidRPr="003F7204" w:rsidP="00967B4F" w14:paraId="504D76E6"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Office</w:t>
            </w:r>
          </w:p>
        </w:tc>
        <w:tc>
          <w:tcPr>
            <w:tcW w:w="1077" w:type="dxa"/>
            <w:hideMark/>
          </w:tcPr>
          <w:p w:rsidR="001F52BD" w:rsidRPr="003F7204" w:rsidP="00967B4F" w14:paraId="46D73AEF"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Responses</w:t>
            </w:r>
            <w:r w:rsidRPr="003F7204">
              <w:rPr>
                <w:rFonts w:ascii="Times New Roman" w:eastAsia="Times New Roman" w:hAnsi="Times New Roman" w:cs="Times New Roman"/>
                <w:color w:val="000000"/>
                <w:sz w:val="20"/>
                <w:szCs w:val="20"/>
              </w:rPr>
              <w:br/>
              <w:t>(A)</w:t>
            </w:r>
          </w:p>
        </w:tc>
        <w:tc>
          <w:tcPr>
            <w:tcW w:w="1183" w:type="dxa"/>
            <w:hideMark/>
          </w:tcPr>
          <w:p w:rsidR="001F52BD" w:rsidRPr="003F7204" w:rsidP="00967B4F" w14:paraId="49FCB372"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Frequency</w:t>
            </w:r>
          </w:p>
        </w:tc>
        <w:tc>
          <w:tcPr>
            <w:tcW w:w="983" w:type="dxa"/>
            <w:hideMark/>
          </w:tcPr>
          <w:p w:rsidR="001F52BD" w:rsidRPr="003F7204" w:rsidP="00967B4F" w14:paraId="7E7D0755"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Average</w:t>
            </w:r>
            <w:r w:rsidRPr="003F7204">
              <w:rPr>
                <w:rFonts w:ascii="Times New Roman" w:eastAsia="Times New Roman" w:hAnsi="Times New Roman" w:cs="Times New Roman"/>
                <w:color w:val="000000"/>
                <w:sz w:val="20"/>
                <w:szCs w:val="20"/>
              </w:rPr>
              <w:br/>
              <w:t xml:space="preserve">Time per </w:t>
            </w:r>
            <w:r w:rsidRPr="003F7204">
              <w:rPr>
                <w:rFonts w:ascii="Times New Roman" w:eastAsia="Times New Roman" w:hAnsi="Times New Roman" w:cs="Times New Roman"/>
                <w:color w:val="000000"/>
                <w:sz w:val="20"/>
                <w:szCs w:val="20"/>
              </w:rPr>
              <w:br/>
              <w:t>Response</w:t>
            </w:r>
          </w:p>
        </w:tc>
        <w:tc>
          <w:tcPr>
            <w:tcW w:w="985" w:type="dxa"/>
            <w:hideMark/>
          </w:tcPr>
          <w:p w:rsidR="001F52BD" w:rsidRPr="003F7204" w:rsidP="00967B4F" w14:paraId="1D8F4FCD" w14:textId="335AFAFF">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Total </w:t>
            </w:r>
            <w:r w:rsidR="00DB2ED7">
              <w:rPr>
                <w:rFonts w:ascii="Times New Roman" w:eastAsia="Times New Roman" w:hAnsi="Times New Roman" w:cs="Times New Roman"/>
                <w:color w:val="000000"/>
                <w:sz w:val="20"/>
                <w:szCs w:val="20"/>
              </w:rPr>
              <w:t>A</w:t>
            </w:r>
            <w:r w:rsidRPr="003F7204">
              <w:rPr>
                <w:rFonts w:ascii="Times New Roman" w:eastAsia="Times New Roman" w:hAnsi="Times New Roman" w:cs="Times New Roman"/>
                <w:color w:val="000000"/>
                <w:sz w:val="20"/>
                <w:szCs w:val="20"/>
              </w:rPr>
              <w:t>nnual</w:t>
            </w:r>
            <w:r w:rsidRPr="003F7204">
              <w:rPr>
                <w:rFonts w:ascii="Times New Roman" w:eastAsia="Times New Roman" w:hAnsi="Times New Roman" w:cs="Times New Roman"/>
                <w:color w:val="000000"/>
                <w:sz w:val="20"/>
                <w:szCs w:val="20"/>
              </w:rPr>
              <w:br/>
            </w:r>
            <w:r w:rsidR="00DB2ED7">
              <w:rPr>
                <w:rFonts w:ascii="Times New Roman" w:eastAsia="Times New Roman" w:hAnsi="Times New Roman" w:cs="Times New Roman"/>
                <w:color w:val="000000"/>
                <w:sz w:val="20"/>
                <w:szCs w:val="20"/>
              </w:rPr>
              <w:t>B</w:t>
            </w:r>
            <w:r w:rsidRPr="003F7204">
              <w:rPr>
                <w:rFonts w:ascii="Times New Roman" w:eastAsia="Times New Roman" w:hAnsi="Times New Roman" w:cs="Times New Roman"/>
                <w:color w:val="000000"/>
                <w:sz w:val="20"/>
                <w:szCs w:val="20"/>
              </w:rPr>
              <w:t xml:space="preserve">urden </w:t>
            </w:r>
            <w:r w:rsidR="00DB2ED7">
              <w:rPr>
                <w:rFonts w:ascii="Times New Roman" w:eastAsia="Times New Roman" w:hAnsi="Times New Roman" w:cs="Times New Roman"/>
                <w:color w:val="000000"/>
                <w:sz w:val="20"/>
                <w:szCs w:val="20"/>
              </w:rPr>
              <w:t>H</w:t>
            </w:r>
            <w:r w:rsidRPr="003F7204">
              <w:rPr>
                <w:rFonts w:ascii="Times New Roman" w:eastAsia="Times New Roman" w:hAnsi="Times New Roman" w:cs="Times New Roman"/>
                <w:color w:val="000000"/>
                <w:sz w:val="20"/>
                <w:szCs w:val="20"/>
              </w:rPr>
              <w:t>ours</w:t>
            </w:r>
            <w:r w:rsidRPr="003F7204">
              <w:rPr>
                <w:rFonts w:ascii="Times New Roman" w:eastAsia="Times New Roman" w:hAnsi="Times New Roman" w:cs="Times New Roman"/>
                <w:color w:val="000000"/>
                <w:sz w:val="20"/>
                <w:szCs w:val="20"/>
              </w:rPr>
              <w:br/>
              <w:t>(C=A*B)</w:t>
            </w:r>
          </w:p>
        </w:tc>
        <w:tc>
          <w:tcPr>
            <w:tcW w:w="802" w:type="dxa"/>
          </w:tcPr>
          <w:p w:rsidR="00DB2ED7" w:rsidP="00967B4F" w14:paraId="0C2C9B98"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Wage</w:t>
            </w:r>
          </w:p>
          <w:p w:rsidR="001F52BD" w:rsidRPr="001F52BD" w:rsidP="00967B4F" w14:paraId="7FAF43D4" w14:textId="301EE51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Rate</w:t>
            </w:r>
          </w:p>
        </w:tc>
        <w:tc>
          <w:tcPr>
            <w:tcW w:w="1116" w:type="dxa"/>
          </w:tcPr>
          <w:p w:rsidR="006F76CA" w:rsidP="00967B4F" w14:paraId="714C09F7"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Total </w:t>
            </w:r>
          </w:p>
          <w:p w:rsidR="001F52BD" w:rsidRPr="001F52BD" w:rsidP="00967B4F" w14:paraId="566E7F36" w14:textId="16EF318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Cost</w:t>
            </w:r>
          </w:p>
        </w:tc>
      </w:tr>
      <w:tr w14:paraId="1F27F885" w14:textId="681317C0" w:rsidTr="00BC54DC">
        <w:tblPrEx>
          <w:tblW w:w="10075" w:type="dxa"/>
          <w:tblInd w:w="-365" w:type="dxa"/>
          <w:tblLook w:val="04A0"/>
        </w:tblPrEx>
        <w:trPr>
          <w:trHeight w:val="485"/>
        </w:trPr>
        <w:tc>
          <w:tcPr>
            <w:tcW w:w="2434" w:type="dxa"/>
            <w:vMerge w:val="restart"/>
            <w:hideMark/>
          </w:tcPr>
          <w:p w:rsidR="001F52BD" w:rsidRPr="003F7204" w:rsidP="00967B4F" w14:paraId="629100D7" w14:textId="77777777">
            <w:pPr>
              <w:spacing w:after="0" w:line="240" w:lineRule="auto"/>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Surveys, comment cards, interviews, focus groups, and web-based technologies for Customer Service Satisfaction and Delivery.</w:t>
            </w:r>
          </w:p>
        </w:tc>
        <w:tc>
          <w:tcPr>
            <w:tcW w:w="1495" w:type="dxa"/>
            <w:hideMark/>
          </w:tcPr>
          <w:p w:rsidR="001F52BD" w:rsidRPr="003F7204" w:rsidP="00967B4F" w14:paraId="6FDA24AD"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Administrator</w:t>
            </w:r>
          </w:p>
        </w:tc>
        <w:tc>
          <w:tcPr>
            <w:tcW w:w="1077" w:type="dxa"/>
            <w:hideMark/>
          </w:tcPr>
          <w:p w:rsidR="001F52BD" w:rsidRPr="003F7204" w:rsidP="00967B4F" w14:paraId="1EBDE242"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w:t>
            </w:r>
          </w:p>
        </w:tc>
        <w:tc>
          <w:tcPr>
            <w:tcW w:w="1183" w:type="dxa"/>
            <w:hideMark/>
          </w:tcPr>
          <w:p w:rsidR="001F52BD" w:rsidRPr="003F7204" w:rsidP="00967B4F" w14:paraId="759DB68B"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3E70F805"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10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0EE7A5AC"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59</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41504606" w14:textId="228C00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$48.78</w:t>
            </w:r>
          </w:p>
        </w:tc>
        <w:tc>
          <w:tcPr>
            <w:tcW w:w="1116" w:type="dxa"/>
          </w:tcPr>
          <w:p w:rsidR="001F52BD" w:rsidRPr="001F52BD" w:rsidP="00967B4F" w14:paraId="3F83187C" w14:textId="1F79D00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$2,878.02</w:t>
            </w:r>
          </w:p>
        </w:tc>
      </w:tr>
      <w:tr w14:paraId="46C51B38" w14:textId="234F30EE" w:rsidTr="00BC54DC">
        <w:tblPrEx>
          <w:tblW w:w="10075" w:type="dxa"/>
          <w:tblInd w:w="-365" w:type="dxa"/>
          <w:tblLook w:val="04A0"/>
        </w:tblPrEx>
        <w:trPr>
          <w:trHeight w:val="512"/>
        </w:trPr>
        <w:tc>
          <w:tcPr>
            <w:tcW w:w="2434" w:type="dxa"/>
            <w:vMerge/>
            <w:vAlign w:val="center"/>
            <w:hideMark/>
          </w:tcPr>
          <w:p w:rsidR="001F52BD" w:rsidRPr="003F7204" w:rsidP="00967B4F" w14:paraId="003DE347" w14:textId="77777777">
            <w:pPr>
              <w:spacing w:after="0" w:line="240" w:lineRule="auto"/>
              <w:rPr>
                <w:rFonts w:ascii="Times New Roman" w:eastAsia="Times New Roman" w:hAnsi="Times New Roman" w:cs="Times New Roman"/>
                <w:color w:val="000000"/>
                <w:sz w:val="20"/>
                <w:szCs w:val="20"/>
              </w:rPr>
            </w:pPr>
          </w:p>
        </w:tc>
        <w:tc>
          <w:tcPr>
            <w:tcW w:w="1495" w:type="dxa"/>
            <w:hideMark/>
          </w:tcPr>
          <w:p w:rsidR="001F52BD" w:rsidRPr="003F7204" w:rsidP="00967B4F" w14:paraId="6144D37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Railroad Safety</w:t>
            </w:r>
          </w:p>
        </w:tc>
        <w:tc>
          <w:tcPr>
            <w:tcW w:w="1077" w:type="dxa"/>
            <w:hideMark/>
          </w:tcPr>
          <w:p w:rsidR="001F52BD" w:rsidRPr="003F7204" w:rsidP="00967B4F" w14:paraId="287055D1"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w:t>
            </w:r>
          </w:p>
        </w:tc>
        <w:tc>
          <w:tcPr>
            <w:tcW w:w="1183" w:type="dxa"/>
            <w:hideMark/>
          </w:tcPr>
          <w:p w:rsidR="001F52BD" w:rsidRPr="003F7204" w:rsidP="00967B4F" w14:paraId="78990AE3"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2243B01C"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10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19C7EF93"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59</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4115E969" w14:textId="694F3D2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$48.78</w:t>
            </w:r>
          </w:p>
        </w:tc>
        <w:tc>
          <w:tcPr>
            <w:tcW w:w="1116" w:type="dxa"/>
          </w:tcPr>
          <w:p w:rsidR="001F52BD" w:rsidRPr="001F52BD" w:rsidP="00967B4F" w14:paraId="3014D2CF" w14:textId="5039D05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$2,878.02</w:t>
            </w:r>
          </w:p>
        </w:tc>
      </w:tr>
      <w:tr w14:paraId="31B967E3" w14:textId="29E81974" w:rsidTr="00BC54DC">
        <w:tblPrEx>
          <w:tblW w:w="10075" w:type="dxa"/>
          <w:tblInd w:w="-365" w:type="dxa"/>
          <w:tblLook w:val="04A0"/>
        </w:tblPrEx>
        <w:trPr>
          <w:trHeight w:val="476"/>
        </w:trPr>
        <w:tc>
          <w:tcPr>
            <w:tcW w:w="2434" w:type="dxa"/>
            <w:vMerge/>
            <w:vAlign w:val="center"/>
            <w:hideMark/>
          </w:tcPr>
          <w:p w:rsidR="001F52BD" w:rsidRPr="003F7204" w:rsidP="00967B4F" w14:paraId="4C7BF861" w14:textId="77777777">
            <w:pPr>
              <w:spacing w:after="0" w:line="240" w:lineRule="auto"/>
              <w:rPr>
                <w:rFonts w:ascii="Times New Roman" w:eastAsia="Times New Roman" w:hAnsi="Times New Roman" w:cs="Times New Roman"/>
                <w:color w:val="000000"/>
                <w:sz w:val="20"/>
                <w:szCs w:val="20"/>
              </w:rPr>
            </w:pPr>
          </w:p>
        </w:tc>
        <w:tc>
          <w:tcPr>
            <w:tcW w:w="1495" w:type="dxa"/>
            <w:hideMark/>
          </w:tcPr>
          <w:p w:rsidR="001F52BD" w:rsidRPr="003F7204" w:rsidP="00967B4F" w14:paraId="4AF47E0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Research, Data, and Innovation</w:t>
            </w:r>
          </w:p>
        </w:tc>
        <w:tc>
          <w:tcPr>
            <w:tcW w:w="1077" w:type="dxa"/>
            <w:hideMark/>
          </w:tcPr>
          <w:p w:rsidR="001F52BD" w:rsidRPr="003F7204" w:rsidP="00967B4F" w14:paraId="20929AE5"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w:t>
            </w:r>
          </w:p>
        </w:tc>
        <w:tc>
          <w:tcPr>
            <w:tcW w:w="1183" w:type="dxa"/>
            <w:hideMark/>
          </w:tcPr>
          <w:p w:rsidR="001F52BD" w:rsidRPr="003F7204" w:rsidP="00967B4F" w14:paraId="334D155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2F377AE6"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10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7E72A56A"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59</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5250172E" w14:textId="3808E06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$48.78</w:t>
            </w:r>
          </w:p>
        </w:tc>
        <w:tc>
          <w:tcPr>
            <w:tcW w:w="1116" w:type="dxa"/>
          </w:tcPr>
          <w:p w:rsidR="001F52BD" w:rsidRPr="001F52BD" w:rsidP="00967B4F" w14:paraId="48255134" w14:textId="568DF75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$2,878.02</w:t>
            </w:r>
          </w:p>
        </w:tc>
      </w:tr>
      <w:tr w14:paraId="23534E8C" w14:textId="5AA91E77" w:rsidTr="00BC54DC">
        <w:tblPrEx>
          <w:tblW w:w="10075" w:type="dxa"/>
          <w:tblInd w:w="-365" w:type="dxa"/>
          <w:tblLook w:val="04A0"/>
        </w:tblPrEx>
        <w:trPr>
          <w:trHeight w:val="431"/>
        </w:trPr>
        <w:tc>
          <w:tcPr>
            <w:tcW w:w="2434" w:type="dxa"/>
            <w:vMerge/>
            <w:vAlign w:val="center"/>
            <w:hideMark/>
          </w:tcPr>
          <w:p w:rsidR="001F52BD" w:rsidRPr="003F7204" w:rsidP="00967B4F" w14:paraId="4340934C" w14:textId="77777777">
            <w:pPr>
              <w:spacing w:after="0" w:line="240" w:lineRule="auto"/>
              <w:rPr>
                <w:rFonts w:ascii="Times New Roman" w:eastAsia="Times New Roman" w:hAnsi="Times New Roman" w:cs="Times New Roman"/>
                <w:color w:val="000000"/>
                <w:sz w:val="20"/>
                <w:szCs w:val="20"/>
              </w:rPr>
            </w:pPr>
          </w:p>
        </w:tc>
        <w:tc>
          <w:tcPr>
            <w:tcW w:w="1495" w:type="dxa"/>
            <w:hideMark/>
          </w:tcPr>
          <w:p w:rsidR="001F52BD" w:rsidRPr="003F7204" w:rsidP="00967B4F" w14:paraId="1F5FA9EC"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Railroad Development</w:t>
            </w:r>
          </w:p>
        </w:tc>
        <w:tc>
          <w:tcPr>
            <w:tcW w:w="1077" w:type="dxa"/>
            <w:hideMark/>
          </w:tcPr>
          <w:p w:rsidR="001F52BD" w:rsidRPr="003F7204" w:rsidP="00967B4F" w14:paraId="34067802"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w:t>
            </w:r>
          </w:p>
        </w:tc>
        <w:tc>
          <w:tcPr>
            <w:tcW w:w="1183" w:type="dxa"/>
            <w:hideMark/>
          </w:tcPr>
          <w:p w:rsidR="001F52BD" w:rsidRPr="003F7204" w:rsidP="00967B4F" w14:paraId="7736C42F"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0B1128A7"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10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2C513F99"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59</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4E362721" w14:textId="1709B7A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$48.78</w:t>
            </w:r>
          </w:p>
        </w:tc>
        <w:tc>
          <w:tcPr>
            <w:tcW w:w="1116" w:type="dxa"/>
          </w:tcPr>
          <w:p w:rsidR="001F52BD" w:rsidRPr="001F52BD" w:rsidP="00967B4F" w14:paraId="2502AE9F" w14:textId="7A582AD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$2,878.02</w:t>
            </w:r>
          </w:p>
        </w:tc>
      </w:tr>
      <w:tr w14:paraId="0E51EF85" w14:textId="72F1D91C" w:rsidTr="00BC54DC">
        <w:tblPrEx>
          <w:tblW w:w="10075" w:type="dxa"/>
          <w:tblInd w:w="-365" w:type="dxa"/>
          <w:tblLook w:val="04A0"/>
        </w:tblPrEx>
        <w:trPr>
          <w:trHeight w:val="476"/>
        </w:trPr>
        <w:tc>
          <w:tcPr>
            <w:tcW w:w="2434" w:type="dxa"/>
            <w:vMerge/>
            <w:vAlign w:val="center"/>
            <w:hideMark/>
          </w:tcPr>
          <w:p w:rsidR="001F52BD" w:rsidRPr="003F7204" w:rsidP="00967B4F" w14:paraId="0CB7BCA5" w14:textId="77777777">
            <w:pPr>
              <w:spacing w:after="0" w:line="240" w:lineRule="auto"/>
              <w:rPr>
                <w:rFonts w:ascii="Times New Roman" w:eastAsia="Times New Roman" w:hAnsi="Times New Roman" w:cs="Times New Roman"/>
                <w:color w:val="000000"/>
                <w:sz w:val="20"/>
                <w:szCs w:val="20"/>
              </w:rPr>
            </w:pPr>
          </w:p>
        </w:tc>
        <w:tc>
          <w:tcPr>
            <w:tcW w:w="1495" w:type="dxa"/>
            <w:hideMark/>
          </w:tcPr>
          <w:p w:rsidR="001F52BD" w:rsidRPr="003F7204" w:rsidP="00967B4F" w14:paraId="7FCCC76D"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Chief Financial Officer</w:t>
            </w:r>
          </w:p>
        </w:tc>
        <w:tc>
          <w:tcPr>
            <w:tcW w:w="1077" w:type="dxa"/>
            <w:hideMark/>
          </w:tcPr>
          <w:p w:rsidR="001F52BD" w:rsidRPr="003F7204" w:rsidP="00967B4F" w14:paraId="6E0B975B"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w:t>
            </w:r>
          </w:p>
        </w:tc>
        <w:tc>
          <w:tcPr>
            <w:tcW w:w="1183" w:type="dxa"/>
            <w:hideMark/>
          </w:tcPr>
          <w:p w:rsidR="001F52BD" w:rsidRPr="003F7204" w:rsidP="00967B4F" w14:paraId="4DBA7A84"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05FAE88F"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10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05B857D2"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59</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115151FA" w14:textId="45AEAC8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$48.78</w:t>
            </w:r>
          </w:p>
        </w:tc>
        <w:tc>
          <w:tcPr>
            <w:tcW w:w="1116" w:type="dxa"/>
          </w:tcPr>
          <w:p w:rsidR="001F52BD" w:rsidRPr="001F52BD" w:rsidP="00967B4F" w14:paraId="4322EEB9" w14:textId="7E2863A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$2,878.02</w:t>
            </w:r>
          </w:p>
        </w:tc>
      </w:tr>
      <w:tr w14:paraId="042C302D" w14:textId="2E2D0A3F" w:rsidTr="006F76CA">
        <w:tblPrEx>
          <w:tblW w:w="10075" w:type="dxa"/>
          <w:tblInd w:w="-365" w:type="dxa"/>
          <w:tblLook w:val="04A0"/>
        </w:tblPrEx>
        <w:trPr>
          <w:trHeight w:val="1260"/>
        </w:trPr>
        <w:tc>
          <w:tcPr>
            <w:tcW w:w="2434" w:type="dxa"/>
            <w:hideMark/>
          </w:tcPr>
          <w:p w:rsidR="001F52BD" w:rsidRPr="003F7204" w:rsidP="00967B4F" w14:paraId="08249827" w14:textId="77777777">
            <w:pPr>
              <w:spacing w:after="0" w:line="240" w:lineRule="auto"/>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Web-based technologies for Customer Service Satisfaction and Delivery related to the improvement of webinar-based stakeholder engagement.</w:t>
            </w:r>
          </w:p>
        </w:tc>
        <w:tc>
          <w:tcPr>
            <w:tcW w:w="1495" w:type="dxa"/>
            <w:hideMark/>
          </w:tcPr>
          <w:p w:rsidR="001F52BD" w:rsidRPr="003F7204" w:rsidP="00967B4F" w14:paraId="7EEDD313"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Railroad Development</w:t>
            </w:r>
          </w:p>
        </w:tc>
        <w:tc>
          <w:tcPr>
            <w:tcW w:w="1077" w:type="dxa"/>
            <w:hideMark/>
          </w:tcPr>
          <w:p w:rsidR="001F52BD" w:rsidRPr="003F7204" w:rsidP="00967B4F" w14:paraId="04C787FA"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3,500</w:t>
            </w:r>
          </w:p>
        </w:tc>
        <w:tc>
          <w:tcPr>
            <w:tcW w:w="1183" w:type="dxa"/>
            <w:hideMark/>
          </w:tcPr>
          <w:p w:rsidR="001F52BD" w:rsidRPr="003F7204" w:rsidP="00967B4F" w14:paraId="75B82FE6"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36127F98"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 </w:t>
            </w:r>
            <w:r w:rsidRPr="003F7204">
              <w:rPr>
                <w:rFonts w:ascii="Times New Roman" w:eastAsia="Times New Roman" w:hAnsi="Times New Roman" w:cs="Times New Roman"/>
                <w:color w:val="000000"/>
                <w:sz w:val="20"/>
                <w:szCs w:val="20"/>
              </w:rPr>
              <w:br/>
              <w:t>minute</w:t>
            </w:r>
          </w:p>
        </w:tc>
        <w:tc>
          <w:tcPr>
            <w:tcW w:w="985" w:type="dxa"/>
            <w:hideMark/>
          </w:tcPr>
          <w:p w:rsidR="001F52BD" w:rsidRPr="003F7204" w:rsidP="00967B4F" w14:paraId="7EB5B99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58</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7DA941FF" w14:textId="78EA298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$68.81</w:t>
            </w:r>
          </w:p>
        </w:tc>
        <w:tc>
          <w:tcPr>
            <w:tcW w:w="1116" w:type="dxa"/>
          </w:tcPr>
          <w:p w:rsidR="001F52BD" w:rsidRPr="001F52BD" w:rsidP="00967B4F" w14:paraId="10EEE0F7" w14:textId="365DB1D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$3,990.89</w:t>
            </w:r>
          </w:p>
        </w:tc>
      </w:tr>
      <w:tr w14:paraId="5897A9E5" w14:textId="3739218C" w:rsidTr="00BC54DC">
        <w:tblPrEx>
          <w:tblW w:w="10075" w:type="dxa"/>
          <w:tblInd w:w="-365" w:type="dxa"/>
          <w:tblLook w:val="04A0"/>
        </w:tblPrEx>
        <w:trPr>
          <w:trHeight w:val="530"/>
        </w:trPr>
        <w:tc>
          <w:tcPr>
            <w:tcW w:w="2434" w:type="dxa"/>
            <w:hideMark/>
          </w:tcPr>
          <w:p w:rsidR="001F52BD" w:rsidRPr="003F7204" w:rsidP="00967B4F" w14:paraId="47F9A71C" w14:textId="77777777">
            <w:pPr>
              <w:spacing w:after="0" w:line="240" w:lineRule="auto"/>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Surveys, comment cards, interviews, focus groups, and web-based technologies for Customer Service Satisfaction and Delivery related to the improvement of stakeholder capacity </w:t>
            </w:r>
            <w:r w:rsidRPr="003F7204">
              <w:rPr>
                <w:rFonts w:ascii="Times New Roman" w:eastAsia="Times New Roman" w:hAnsi="Times New Roman" w:cs="Times New Roman"/>
                <w:color w:val="000000"/>
                <w:sz w:val="20"/>
                <w:szCs w:val="20"/>
              </w:rPr>
              <w:t>building and training resources.</w:t>
            </w:r>
          </w:p>
        </w:tc>
        <w:tc>
          <w:tcPr>
            <w:tcW w:w="1495" w:type="dxa"/>
            <w:hideMark/>
          </w:tcPr>
          <w:p w:rsidR="001F52BD" w:rsidRPr="003F7204" w:rsidP="00967B4F" w14:paraId="4F8CAB3F"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Railroad Development</w:t>
            </w:r>
          </w:p>
        </w:tc>
        <w:tc>
          <w:tcPr>
            <w:tcW w:w="1077" w:type="dxa"/>
            <w:hideMark/>
          </w:tcPr>
          <w:p w:rsidR="001F52BD" w:rsidRPr="003F7204" w:rsidP="00967B4F" w14:paraId="6292741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500</w:t>
            </w:r>
          </w:p>
        </w:tc>
        <w:tc>
          <w:tcPr>
            <w:tcW w:w="1183" w:type="dxa"/>
            <w:hideMark/>
          </w:tcPr>
          <w:p w:rsidR="001F52BD" w:rsidRPr="003F7204" w:rsidP="00967B4F" w14:paraId="277B8466"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Annual,</w:t>
            </w:r>
            <w:r w:rsidRPr="003F7204">
              <w:rPr>
                <w:rFonts w:ascii="Times New Roman" w:eastAsia="Times New Roman" w:hAnsi="Times New Roman" w:cs="Times New Roman"/>
                <w:color w:val="000000"/>
                <w:sz w:val="20"/>
                <w:szCs w:val="20"/>
              </w:rPr>
              <w:br/>
              <w:t>Periodically</w:t>
            </w:r>
          </w:p>
        </w:tc>
        <w:tc>
          <w:tcPr>
            <w:tcW w:w="983" w:type="dxa"/>
            <w:hideMark/>
          </w:tcPr>
          <w:p w:rsidR="001F52BD" w:rsidRPr="003F7204" w:rsidP="00967B4F" w14:paraId="4892F6D3"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15 </w:t>
            </w:r>
            <w:r w:rsidRPr="003F7204">
              <w:rPr>
                <w:rFonts w:ascii="Times New Roman" w:eastAsia="Times New Roman" w:hAnsi="Times New Roman" w:cs="Times New Roman"/>
                <w:color w:val="000000"/>
                <w:sz w:val="20"/>
                <w:szCs w:val="20"/>
              </w:rPr>
              <w:br/>
              <w:t>minutes</w:t>
            </w:r>
          </w:p>
        </w:tc>
        <w:tc>
          <w:tcPr>
            <w:tcW w:w="985" w:type="dxa"/>
            <w:hideMark/>
          </w:tcPr>
          <w:p w:rsidR="001F52BD" w:rsidRPr="003F7204" w:rsidP="00967B4F" w14:paraId="4913D837"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xml:space="preserve">125 </w:t>
            </w:r>
            <w:r w:rsidRPr="003F7204">
              <w:rPr>
                <w:rFonts w:ascii="Times New Roman" w:eastAsia="Times New Roman" w:hAnsi="Times New Roman" w:cs="Times New Roman"/>
                <w:color w:val="000000"/>
                <w:sz w:val="20"/>
                <w:szCs w:val="20"/>
              </w:rPr>
              <w:br/>
              <w:t>hours</w:t>
            </w:r>
          </w:p>
        </w:tc>
        <w:tc>
          <w:tcPr>
            <w:tcW w:w="802" w:type="dxa"/>
          </w:tcPr>
          <w:p w:rsidR="001F52BD" w:rsidRPr="001F52BD" w:rsidP="00967B4F" w14:paraId="32FD8441" w14:textId="555C49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$68.81</w:t>
            </w:r>
          </w:p>
        </w:tc>
        <w:tc>
          <w:tcPr>
            <w:tcW w:w="1116" w:type="dxa"/>
          </w:tcPr>
          <w:p w:rsidR="001F52BD" w:rsidRPr="001F52BD" w:rsidP="00967B4F" w14:paraId="25C8CC15" w14:textId="156C80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$8,601.25</w:t>
            </w:r>
          </w:p>
        </w:tc>
      </w:tr>
      <w:tr w14:paraId="108C9416" w14:textId="2349FB67" w:rsidTr="006F76CA">
        <w:tblPrEx>
          <w:tblW w:w="10075" w:type="dxa"/>
          <w:tblInd w:w="-365" w:type="dxa"/>
          <w:tblLook w:val="04A0"/>
        </w:tblPrEx>
        <w:trPr>
          <w:trHeight w:val="432"/>
        </w:trPr>
        <w:tc>
          <w:tcPr>
            <w:tcW w:w="2434" w:type="dxa"/>
            <w:hideMark/>
          </w:tcPr>
          <w:p w:rsidR="001F52BD" w:rsidRPr="003F7204" w:rsidP="00967B4F" w14:paraId="42187F4A" w14:textId="77777777">
            <w:pPr>
              <w:spacing w:after="0" w:line="240" w:lineRule="auto"/>
              <w:rPr>
                <w:rFonts w:ascii="Times New Roman" w:eastAsia="Times New Roman" w:hAnsi="Times New Roman" w:cs="Times New Roman"/>
                <w:sz w:val="20"/>
                <w:szCs w:val="20"/>
              </w:rPr>
            </w:pPr>
            <w:bookmarkStart w:id="7" w:name="RANGE!B10"/>
            <w:r w:rsidRPr="003F7204">
              <w:rPr>
                <w:rFonts w:ascii="Times New Roman" w:eastAsia="Times New Roman" w:hAnsi="Times New Roman" w:cs="Times New Roman"/>
                <w:sz w:val="20"/>
                <w:szCs w:val="20"/>
              </w:rPr>
              <w:t>Totals</w:t>
            </w:r>
            <w:bookmarkEnd w:id="7"/>
          </w:p>
        </w:tc>
        <w:tc>
          <w:tcPr>
            <w:tcW w:w="1495" w:type="dxa"/>
            <w:hideMark/>
          </w:tcPr>
          <w:p w:rsidR="001F52BD" w:rsidRPr="003F7204" w:rsidP="00967B4F" w14:paraId="40D810BA" w14:textId="77777777">
            <w:pPr>
              <w:spacing w:after="0" w:line="240" w:lineRule="auto"/>
              <w:rPr>
                <w:rFonts w:ascii="Times New Roman" w:eastAsia="Times New Roman" w:hAnsi="Times New Roman" w:cs="Times New Roman"/>
                <w:sz w:val="20"/>
                <w:szCs w:val="20"/>
              </w:rPr>
            </w:pPr>
            <w:r w:rsidRPr="003F7204">
              <w:rPr>
                <w:rFonts w:ascii="Times New Roman" w:eastAsia="Times New Roman" w:hAnsi="Times New Roman" w:cs="Times New Roman"/>
                <w:sz w:val="20"/>
                <w:szCs w:val="20"/>
              </w:rPr>
              <w:t> </w:t>
            </w:r>
          </w:p>
        </w:tc>
        <w:tc>
          <w:tcPr>
            <w:tcW w:w="1077" w:type="dxa"/>
            <w:hideMark/>
          </w:tcPr>
          <w:p w:rsidR="001F52BD" w:rsidRPr="003F7204" w:rsidP="00967B4F" w14:paraId="3C06770D"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5,750</w:t>
            </w:r>
            <w:r w:rsidRPr="003F7204">
              <w:rPr>
                <w:rFonts w:ascii="Times New Roman" w:eastAsia="Times New Roman" w:hAnsi="Times New Roman" w:cs="Times New Roman"/>
                <w:color w:val="000000"/>
                <w:sz w:val="20"/>
                <w:szCs w:val="20"/>
              </w:rPr>
              <w:br/>
              <w:t>responses</w:t>
            </w:r>
          </w:p>
        </w:tc>
        <w:tc>
          <w:tcPr>
            <w:tcW w:w="1183" w:type="dxa"/>
            <w:hideMark/>
          </w:tcPr>
          <w:p w:rsidR="001F52BD" w:rsidRPr="003F7204" w:rsidP="00967B4F" w14:paraId="5F121280"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w:t>
            </w:r>
          </w:p>
        </w:tc>
        <w:tc>
          <w:tcPr>
            <w:tcW w:w="983" w:type="dxa"/>
            <w:hideMark/>
          </w:tcPr>
          <w:p w:rsidR="001F52BD" w:rsidRPr="003F7204" w:rsidP="00967B4F" w14:paraId="535C9E1A" w14:textId="77777777">
            <w:pPr>
              <w:spacing w:after="0" w:line="240" w:lineRule="auto"/>
              <w:jc w:val="right"/>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 </w:t>
            </w:r>
          </w:p>
        </w:tc>
        <w:tc>
          <w:tcPr>
            <w:tcW w:w="985" w:type="dxa"/>
            <w:hideMark/>
          </w:tcPr>
          <w:p w:rsidR="001F52BD" w:rsidRPr="003F7204" w:rsidP="00967B4F" w14:paraId="232A30FA" w14:textId="77777777">
            <w:pPr>
              <w:spacing w:after="0" w:line="240" w:lineRule="auto"/>
              <w:jc w:val="center"/>
              <w:rPr>
                <w:rFonts w:ascii="Times New Roman" w:eastAsia="Times New Roman" w:hAnsi="Times New Roman" w:cs="Times New Roman"/>
                <w:color w:val="000000"/>
                <w:sz w:val="20"/>
                <w:szCs w:val="20"/>
              </w:rPr>
            </w:pPr>
            <w:r w:rsidRPr="003F7204">
              <w:rPr>
                <w:rFonts w:ascii="Times New Roman" w:eastAsia="Times New Roman" w:hAnsi="Times New Roman" w:cs="Times New Roman"/>
                <w:color w:val="000000"/>
                <w:sz w:val="20"/>
                <w:szCs w:val="20"/>
              </w:rPr>
              <w:t>475</w:t>
            </w:r>
            <w:r w:rsidRPr="003F7204">
              <w:rPr>
                <w:rFonts w:ascii="Times New Roman" w:eastAsia="Times New Roman" w:hAnsi="Times New Roman" w:cs="Times New Roman"/>
                <w:color w:val="000000"/>
                <w:sz w:val="20"/>
                <w:szCs w:val="20"/>
              </w:rPr>
              <w:br/>
              <w:t xml:space="preserve"> hours</w:t>
            </w:r>
          </w:p>
        </w:tc>
        <w:tc>
          <w:tcPr>
            <w:tcW w:w="802" w:type="dxa"/>
          </w:tcPr>
          <w:p w:rsidR="001F52BD" w:rsidRPr="001F52BD" w:rsidP="00967B4F" w14:paraId="781EC246" w14:textId="77777777">
            <w:pPr>
              <w:spacing w:after="0" w:line="240" w:lineRule="auto"/>
              <w:jc w:val="center"/>
              <w:rPr>
                <w:rFonts w:ascii="Times New Roman" w:eastAsia="Times New Roman" w:hAnsi="Times New Roman" w:cs="Times New Roman"/>
                <w:color w:val="000000"/>
                <w:sz w:val="20"/>
                <w:szCs w:val="20"/>
              </w:rPr>
            </w:pPr>
          </w:p>
        </w:tc>
        <w:tc>
          <w:tcPr>
            <w:tcW w:w="1116" w:type="dxa"/>
          </w:tcPr>
          <w:p w:rsidR="001F52BD" w:rsidRPr="001F52BD" w:rsidP="00967B4F" w14:paraId="683E539D" w14:textId="6CC62B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$26,982.24</w:t>
            </w:r>
          </w:p>
        </w:tc>
      </w:tr>
    </w:tbl>
    <w:p w:rsidR="001F52BD" w:rsidP="0096729B" w14:paraId="03DBAA2F" w14:textId="6A238844">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CA1E67" w:rsidP="00C24547" w14:paraId="3D2F33F2" w14:textId="66B0072E">
      <w:pPr>
        <w:pStyle w:val="ListParagraph"/>
        <w:numPr>
          <w:ilvl w:val="0"/>
          <w:numId w:val="2"/>
        </w:numPr>
        <w:spacing w:after="0" w:line="240" w:lineRule="auto"/>
        <w:ind w:left="720" w:hanging="720"/>
        <w:rPr>
          <w:rFonts w:ascii="Times New Roman" w:hAnsi="Times New Roman" w:cs="Times New Roman"/>
          <w:b/>
          <w:sz w:val="24"/>
          <w:szCs w:val="24"/>
          <w:u w:val="single"/>
        </w:rPr>
      </w:pPr>
      <w:r w:rsidRPr="00CA1E67">
        <w:rPr>
          <w:rFonts w:ascii="Times New Roman" w:hAnsi="Times New Roman" w:cs="Times New Roman"/>
          <w:b/>
          <w:sz w:val="24"/>
          <w:szCs w:val="24"/>
          <w:u w:val="single"/>
        </w:rPr>
        <w:t>Estimate of total annual costs r</w:t>
      </w:r>
      <w:r w:rsidRPr="00CA1E67" w:rsidR="000C0A7E">
        <w:rPr>
          <w:rFonts w:ascii="Times New Roman" w:hAnsi="Times New Roman" w:cs="Times New Roman"/>
          <w:b/>
          <w:sz w:val="24"/>
          <w:szCs w:val="24"/>
          <w:u w:val="single"/>
        </w:rPr>
        <w:t>espondents</w:t>
      </w:r>
      <w:r w:rsidR="004B0094">
        <w:rPr>
          <w:rFonts w:ascii="Times New Roman" w:hAnsi="Times New Roman" w:cs="Times New Roman"/>
          <w:b/>
          <w:sz w:val="24"/>
          <w:szCs w:val="24"/>
          <w:u w:val="single"/>
        </w:rPr>
        <w:t>.</w:t>
      </w:r>
    </w:p>
    <w:p w:rsidR="00982095" w:rsidRPr="009C197C" w:rsidP="00C24547" w14:paraId="56E8A281" w14:textId="77777777">
      <w:pPr>
        <w:pStyle w:val="ListParagraph"/>
        <w:spacing w:after="0" w:line="240" w:lineRule="auto"/>
        <w:ind w:hanging="720"/>
        <w:rPr>
          <w:rFonts w:ascii="Times New Roman" w:hAnsi="Times New Roman" w:cs="Times New Roman"/>
          <w:b/>
          <w:sz w:val="24"/>
          <w:szCs w:val="24"/>
        </w:rPr>
      </w:pPr>
    </w:p>
    <w:p w:rsidR="00982095" w:rsidRPr="009C197C" w:rsidP="00C24547" w14:paraId="35AF15AA" w14:textId="77777777">
      <w:pPr>
        <w:spacing w:after="0" w:line="240" w:lineRule="auto"/>
        <w:ind w:left="720"/>
        <w:rPr>
          <w:rFonts w:ascii="Times New Roman" w:hAnsi="Times New Roman" w:cs="Times New Roman"/>
          <w:sz w:val="24"/>
          <w:szCs w:val="24"/>
        </w:rPr>
      </w:pPr>
      <w:bookmarkStart w:id="8" w:name="_Hlk134802068"/>
      <w:r>
        <w:rPr>
          <w:rFonts w:ascii="Times New Roman" w:hAnsi="Times New Roman" w:cs="Times New Roman"/>
          <w:sz w:val="24"/>
          <w:szCs w:val="24"/>
        </w:rPr>
        <w:t>No costs are anticipated.</w:t>
      </w:r>
    </w:p>
    <w:bookmarkEnd w:id="8"/>
    <w:p w:rsidR="00117F21" w14:paraId="18DEFCB1" w14:textId="0EDC6312">
      <w:pPr>
        <w:spacing w:after="0" w:line="240" w:lineRule="auto"/>
        <w:rPr>
          <w:rFonts w:ascii="Times New Roman" w:hAnsi="Times New Roman" w:cs="Times New Roman"/>
          <w:sz w:val="24"/>
          <w:szCs w:val="24"/>
        </w:rPr>
      </w:pPr>
    </w:p>
    <w:p w:rsidR="00982095" w:rsidRPr="009C197C" w:rsidP="2E5D63BA" w14:paraId="3D90D54A" w14:textId="7AE57DCD">
      <w:pPr>
        <w:pStyle w:val="ListParagraph"/>
        <w:numPr>
          <w:ilvl w:val="0"/>
          <w:numId w:val="2"/>
        </w:numPr>
        <w:spacing w:after="0" w:line="240" w:lineRule="auto"/>
        <w:ind w:left="720" w:hanging="720"/>
        <w:rPr>
          <w:rFonts w:ascii="Times New Roman" w:hAnsi="Times New Roman" w:cs="Times New Roman"/>
          <w:b/>
          <w:bCs/>
          <w:sz w:val="24"/>
          <w:szCs w:val="24"/>
        </w:rPr>
      </w:pPr>
      <w:r w:rsidRPr="2E5D63BA">
        <w:rPr>
          <w:rFonts w:ascii="Times New Roman" w:hAnsi="Times New Roman" w:cs="Times New Roman"/>
          <w:b/>
          <w:bCs/>
          <w:sz w:val="24"/>
          <w:szCs w:val="24"/>
          <w:u w:val="single"/>
        </w:rPr>
        <w:t xml:space="preserve">Estimate of </w:t>
      </w:r>
      <w:r w:rsidR="005C1C4E">
        <w:rPr>
          <w:rFonts w:ascii="Times New Roman" w:hAnsi="Times New Roman" w:cs="Times New Roman"/>
          <w:b/>
          <w:bCs/>
          <w:sz w:val="24"/>
          <w:szCs w:val="24"/>
          <w:u w:val="single"/>
        </w:rPr>
        <w:t>c</w:t>
      </w:r>
      <w:r w:rsidRPr="2E5D63BA">
        <w:rPr>
          <w:rFonts w:ascii="Times New Roman" w:hAnsi="Times New Roman" w:cs="Times New Roman"/>
          <w:b/>
          <w:bCs/>
          <w:sz w:val="24"/>
          <w:szCs w:val="24"/>
          <w:u w:val="single"/>
        </w:rPr>
        <w:t>ost to Federal Government</w:t>
      </w:r>
      <w:r w:rsidR="005C1C4E">
        <w:rPr>
          <w:rFonts w:ascii="Times New Roman" w:hAnsi="Times New Roman" w:cs="Times New Roman"/>
          <w:b/>
          <w:bCs/>
          <w:sz w:val="24"/>
          <w:szCs w:val="24"/>
          <w:u w:val="single"/>
        </w:rPr>
        <w:t>.</w:t>
      </w:r>
    </w:p>
    <w:p w:rsidR="00982095" w:rsidRPr="009C197C" w14:paraId="78533A31" w14:textId="77777777">
      <w:pPr>
        <w:pStyle w:val="ListParagraph"/>
        <w:spacing w:after="0" w:line="240" w:lineRule="auto"/>
        <w:ind w:left="0"/>
        <w:rPr>
          <w:rFonts w:ascii="Times New Roman" w:hAnsi="Times New Roman" w:cs="Times New Roman"/>
          <w:b/>
          <w:sz w:val="24"/>
          <w:szCs w:val="24"/>
        </w:rPr>
      </w:pPr>
    </w:p>
    <w:p w:rsidR="00D037B9" w:rsidP="00B51C87" w14:paraId="46CE3693" w14:textId="511822A6">
      <w:pPr>
        <w:spacing w:line="285" w:lineRule="atLeast"/>
        <w:ind w:left="720"/>
        <w:rPr>
          <w:rFonts w:ascii="Times New Roman" w:hAnsi="Times New Roman" w:cs="Times New Roman"/>
          <w:color w:val="000000"/>
          <w:sz w:val="24"/>
          <w:szCs w:val="24"/>
        </w:rPr>
      </w:pPr>
      <w:r w:rsidRPr="00CE42A1">
        <w:rPr>
          <w:rFonts w:ascii="Times New Roman" w:hAnsi="Times New Roman" w:cs="Times New Roman"/>
          <w:color w:val="000000"/>
          <w:sz w:val="24"/>
          <w:szCs w:val="24"/>
        </w:rPr>
        <w:t>Costs are dependent upon the type of collection administered, the size of the sample, the number of questions asked, the type and complexity of the questions asked,</w:t>
      </w:r>
      <w:r>
        <w:rPr>
          <w:rFonts w:ascii="Times New Roman" w:hAnsi="Times New Roman" w:cs="Times New Roman"/>
          <w:color w:val="000000"/>
          <w:sz w:val="24"/>
          <w:szCs w:val="24"/>
        </w:rPr>
        <w:t xml:space="preserve"> </w:t>
      </w:r>
      <w:r w:rsidRPr="00CE42A1">
        <w:rPr>
          <w:rFonts w:ascii="Times New Roman" w:hAnsi="Times New Roman" w:cs="Times New Roman"/>
          <w:color w:val="000000"/>
          <w:sz w:val="24"/>
          <w:szCs w:val="24"/>
        </w:rPr>
        <w:t>and the frequency of the collection</w:t>
      </w:r>
      <w:r>
        <w:rPr>
          <w:rFonts w:ascii="Times New Roman" w:hAnsi="Times New Roman" w:cs="Times New Roman"/>
          <w:color w:val="000000"/>
          <w:sz w:val="24"/>
          <w:szCs w:val="24"/>
        </w:rPr>
        <w:t>. The cost for a private firm to conduct a survey is between $50,000 and $75,00</w:t>
      </w:r>
      <w:r w:rsidR="003777FC">
        <w:rPr>
          <w:rFonts w:ascii="Times New Roman" w:hAnsi="Times New Roman" w:cs="Times New Roman"/>
          <w:color w:val="000000"/>
          <w:sz w:val="24"/>
          <w:szCs w:val="24"/>
        </w:rPr>
        <w:t>0</w:t>
      </w:r>
      <w:r w:rsidR="004E3A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however, in most cases FRA </w:t>
      </w:r>
      <w:r w:rsidR="00111086">
        <w:rPr>
          <w:rFonts w:ascii="Times New Roman" w:hAnsi="Times New Roman" w:cs="Times New Roman"/>
          <w:color w:val="000000"/>
          <w:sz w:val="24"/>
          <w:szCs w:val="24"/>
        </w:rPr>
        <w:t>will conduct</w:t>
      </w:r>
      <w:r>
        <w:rPr>
          <w:rFonts w:ascii="Times New Roman" w:hAnsi="Times New Roman" w:cs="Times New Roman"/>
          <w:color w:val="000000"/>
          <w:sz w:val="24"/>
          <w:szCs w:val="24"/>
        </w:rPr>
        <w:t xml:space="preserve"> the surveys</w:t>
      </w:r>
      <w:r w:rsidR="00111086">
        <w:rPr>
          <w:rFonts w:ascii="Times New Roman" w:hAnsi="Times New Roman" w:cs="Times New Roman"/>
          <w:color w:val="000000"/>
          <w:sz w:val="24"/>
          <w:szCs w:val="24"/>
        </w:rPr>
        <w:t xml:space="preserve">. FRA estimates staff members will spend a total of </w:t>
      </w:r>
      <w:r w:rsidR="003777FC">
        <w:rPr>
          <w:rFonts w:ascii="Times New Roman" w:hAnsi="Times New Roman" w:cs="Times New Roman"/>
          <w:color w:val="000000"/>
          <w:sz w:val="24"/>
          <w:szCs w:val="24"/>
        </w:rPr>
        <w:t>3</w:t>
      </w:r>
      <w:r w:rsidR="00111086">
        <w:rPr>
          <w:rFonts w:ascii="Times New Roman" w:hAnsi="Times New Roman" w:cs="Times New Roman"/>
          <w:color w:val="000000"/>
          <w:sz w:val="24"/>
          <w:szCs w:val="24"/>
        </w:rPr>
        <w:t xml:space="preserve">00 hours </w:t>
      </w:r>
      <w:r w:rsidR="00B52892">
        <w:rPr>
          <w:rFonts w:ascii="Times New Roman" w:hAnsi="Times New Roman" w:cs="Times New Roman"/>
          <w:color w:val="000000"/>
          <w:sz w:val="24"/>
          <w:szCs w:val="24"/>
        </w:rPr>
        <w:t>annually</w:t>
      </w:r>
      <w:r>
        <w:rPr>
          <w:rFonts w:ascii="Times New Roman" w:hAnsi="Times New Roman" w:cs="Times New Roman"/>
          <w:color w:val="000000"/>
          <w:sz w:val="24"/>
          <w:szCs w:val="24"/>
        </w:rPr>
        <w:t xml:space="preserve"> </w:t>
      </w:r>
      <w:r w:rsidR="00111086">
        <w:rPr>
          <w:rFonts w:ascii="Times New Roman" w:hAnsi="Times New Roman" w:cs="Times New Roman"/>
          <w:color w:val="000000"/>
          <w:sz w:val="24"/>
          <w:szCs w:val="24"/>
        </w:rPr>
        <w:t>developing, recording, assimilating, analyzing</w:t>
      </w:r>
      <w:r w:rsidR="00842DE0">
        <w:rPr>
          <w:rFonts w:ascii="Times New Roman" w:hAnsi="Times New Roman" w:cs="Times New Roman"/>
          <w:color w:val="000000"/>
          <w:sz w:val="24"/>
          <w:szCs w:val="24"/>
        </w:rPr>
        <w:t>,</w:t>
      </w:r>
      <w:r w:rsidR="00111086">
        <w:rPr>
          <w:rFonts w:ascii="Times New Roman" w:hAnsi="Times New Roman" w:cs="Times New Roman"/>
          <w:color w:val="000000"/>
          <w:sz w:val="24"/>
          <w:szCs w:val="24"/>
        </w:rPr>
        <w:t xml:space="preserve"> and reporting information submitted with each survey.</w:t>
      </w:r>
    </w:p>
    <w:p w:rsidR="00B51C87" w:rsidP="00B51C87" w14:paraId="4D40AE6A" w14:textId="52D9841E">
      <w:pPr>
        <w:spacing w:line="285" w:lineRule="atLeast"/>
        <w:ind w:left="720"/>
        <w:rPr>
          <w:rFonts w:ascii="Times New Roman" w:hAnsi="Times New Roman" w:cs="Times New Roman"/>
          <w:color w:val="000000"/>
          <w:sz w:val="24"/>
          <w:szCs w:val="24"/>
        </w:rPr>
      </w:pPr>
      <w:r>
        <w:rPr>
          <w:rFonts w:ascii="Times New Roman" w:hAnsi="Times New Roman" w:cs="Times New Roman"/>
          <w:color w:val="000000"/>
          <w:sz w:val="24"/>
          <w:szCs w:val="24"/>
        </w:rPr>
        <w:t>FRA anticipates the processing of this information collection to be conducted by a General Schedule (GS) 12</w:t>
      </w:r>
      <w:r w:rsidR="004C585D">
        <w:rPr>
          <w:rFonts w:ascii="Times New Roman" w:hAnsi="Times New Roman" w:cs="Times New Roman"/>
          <w:color w:val="000000"/>
          <w:sz w:val="24"/>
          <w:szCs w:val="24"/>
        </w:rPr>
        <w:t>,</w:t>
      </w:r>
      <w:r>
        <w:rPr>
          <w:rFonts w:ascii="Times New Roman" w:hAnsi="Times New Roman" w:cs="Times New Roman"/>
          <w:color w:val="000000"/>
          <w:sz w:val="24"/>
          <w:szCs w:val="24"/>
        </w:rPr>
        <w:t xml:space="preserve"> step 5 (step 5 has been used as a midway point) and GS-14</w:t>
      </w:r>
      <w:r w:rsidR="004C585D">
        <w:rPr>
          <w:rFonts w:ascii="Times New Roman" w:hAnsi="Times New Roman" w:cs="Times New Roman"/>
          <w:color w:val="000000"/>
          <w:sz w:val="24"/>
          <w:szCs w:val="24"/>
        </w:rPr>
        <w:t>,</w:t>
      </w:r>
      <w:r>
        <w:rPr>
          <w:rFonts w:ascii="Times New Roman" w:hAnsi="Times New Roman" w:cs="Times New Roman"/>
          <w:color w:val="000000"/>
          <w:sz w:val="24"/>
          <w:szCs w:val="24"/>
        </w:rPr>
        <w:t xml:space="preserve"> step 5 at FRA’s Washington D.C. headquarters.</w:t>
      </w:r>
      <w:r w:rsidR="00B52892">
        <w:rPr>
          <w:rFonts w:ascii="Times New Roman" w:hAnsi="Times New Roman" w:cs="Times New Roman"/>
          <w:color w:val="000000"/>
          <w:sz w:val="24"/>
          <w:szCs w:val="24"/>
        </w:rPr>
        <w:t xml:space="preserve"> The anticipated cost to the Federal Government is approximately $31,173</w:t>
      </w:r>
      <w:r w:rsidR="003777FC">
        <w:rPr>
          <w:rFonts w:ascii="Times New Roman" w:hAnsi="Times New Roman" w:cs="Times New Roman"/>
          <w:color w:val="000000"/>
          <w:sz w:val="24"/>
          <w:szCs w:val="24"/>
        </w:rPr>
        <w:t xml:space="preserve"> as shown in the table below. </w:t>
      </w:r>
    </w:p>
    <w:tbl>
      <w:tblPr>
        <w:tblStyle w:val="TableGrid"/>
        <w:tblW w:w="0" w:type="auto"/>
        <w:tblInd w:w="715" w:type="dxa"/>
        <w:tblLook w:val="04A0"/>
      </w:tblPr>
      <w:tblGrid>
        <w:gridCol w:w="1530"/>
        <w:gridCol w:w="2230"/>
        <w:gridCol w:w="1100"/>
        <w:gridCol w:w="1710"/>
      </w:tblGrid>
      <w:tr w14:paraId="1487F64B" w14:textId="77777777" w:rsidTr="00D037B9">
        <w:tblPrEx>
          <w:tblW w:w="0" w:type="auto"/>
          <w:tblInd w:w="715" w:type="dxa"/>
          <w:tblLook w:val="04A0"/>
        </w:tblPrEx>
        <w:tc>
          <w:tcPr>
            <w:tcW w:w="1530" w:type="dxa"/>
            <w:tcBorders>
              <w:top w:val="single" w:sz="4" w:space="0" w:color="auto"/>
              <w:left w:val="single" w:sz="4" w:space="0" w:color="auto"/>
              <w:bottom w:val="single" w:sz="4" w:space="0" w:color="auto"/>
              <w:right w:val="single" w:sz="4" w:space="0" w:color="auto"/>
            </w:tcBorders>
            <w:hideMark/>
          </w:tcPr>
          <w:p w:rsidR="00D037B9" w:rsidRPr="003777FC" w:rsidP="00D037B9" w14:paraId="19E2A7B3" w14:textId="77777777">
            <w:r w:rsidRPr="003777FC">
              <w:t>Staff</w:t>
            </w:r>
          </w:p>
        </w:tc>
        <w:tc>
          <w:tcPr>
            <w:tcW w:w="2230" w:type="dxa"/>
            <w:tcBorders>
              <w:top w:val="single" w:sz="4" w:space="0" w:color="auto"/>
              <w:left w:val="single" w:sz="4" w:space="0" w:color="auto"/>
              <w:bottom w:val="single" w:sz="4" w:space="0" w:color="auto"/>
              <w:right w:val="single" w:sz="4" w:space="0" w:color="auto"/>
            </w:tcBorders>
            <w:hideMark/>
          </w:tcPr>
          <w:p w:rsidR="00D037B9" w:rsidRPr="003777FC" w:rsidP="00D037B9" w14:paraId="27483B8C" w14:textId="516896AE">
            <w:r w:rsidRPr="003777FC">
              <w:t>Wage</w:t>
            </w:r>
            <w:r>
              <w:rPr>
                <w:rStyle w:val="FootnoteReference"/>
              </w:rPr>
              <w:footnoteReference w:id="7"/>
            </w:r>
            <w:r w:rsidRPr="003777FC">
              <w:t xml:space="preserve"> </w:t>
            </w:r>
            <w:r w:rsidR="009A221D">
              <w:t xml:space="preserve"> x</w:t>
            </w:r>
            <w:r w:rsidRPr="003777FC">
              <w:t xml:space="preserve"> </w:t>
            </w:r>
            <w:r w:rsidRPr="003777FC" w:rsidR="00B52892">
              <w:t xml:space="preserve">1.75 </w:t>
            </w:r>
            <w:r w:rsidRPr="003777FC">
              <w:t>Overhead</w:t>
            </w:r>
          </w:p>
        </w:tc>
        <w:tc>
          <w:tcPr>
            <w:tcW w:w="1100" w:type="dxa"/>
            <w:tcBorders>
              <w:top w:val="single" w:sz="4" w:space="0" w:color="auto"/>
              <w:left w:val="single" w:sz="4" w:space="0" w:color="auto"/>
              <w:bottom w:val="single" w:sz="4" w:space="0" w:color="auto"/>
              <w:right w:val="single" w:sz="4" w:space="0" w:color="auto"/>
            </w:tcBorders>
            <w:hideMark/>
          </w:tcPr>
          <w:p w:rsidR="00D037B9" w:rsidRPr="003777FC" w:rsidP="00D037B9" w14:paraId="19212235" w14:textId="77777777">
            <w:r w:rsidRPr="003777FC">
              <w:t>Time (h)</w:t>
            </w:r>
          </w:p>
        </w:tc>
        <w:tc>
          <w:tcPr>
            <w:tcW w:w="1710" w:type="dxa"/>
            <w:tcBorders>
              <w:top w:val="single" w:sz="4" w:space="0" w:color="auto"/>
              <w:left w:val="single" w:sz="4" w:space="0" w:color="auto"/>
              <w:bottom w:val="single" w:sz="4" w:space="0" w:color="auto"/>
              <w:right w:val="single" w:sz="4" w:space="0" w:color="auto"/>
            </w:tcBorders>
            <w:hideMark/>
          </w:tcPr>
          <w:p w:rsidR="00D037B9" w:rsidRPr="003777FC" w:rsidP="00D037B9" w14:paraId="272A1582" w14:textId="77777777">
            <w:r w:rsidRPr="003777FC">
              <w:t>Total Cost</w:t>
            </w:r>
          </w:p>
        </w:tc>
      </w:tr>
      <w:tr w14:paraId="21B00777" w14:textId="77777777" w:rsidTr="003777FC">
        <w:tblPrEx>
          <w:tblW w:w="0" w:type="auto"/>
          <w:tblInd w:w="715" w:type="dxa"/>
          <w:tblLook w:val="04A0"/>
        </w:tblPrEx>
        <w:tc>
          <w:tcPr>
            <w:tcW w:w="1530" w:type="dxa"/>
            <w:tcBorders>
              <w:top w:val="single" w:sz="4" w:space="0" w:color="auto"/>
              <w:left w:val="single" w:sz="4" w:space="0" w:color="auto"/>
              <w:bottom w:val="single" w:sz="4" w:space="0" w:color="auto"/>
              <w:right w:val="single" w:sz="4" w:space="0" w:color="auto"/>
            </w:tcBorders>
            <w:hideMark/>
          </w:tcPr>
          <w:p w:rsidR="00D037B9" w:rsidRPr="003777FC" w:rsidP="00D037B9" w14:paraId="3F005B76" w14:textId="43323BAF">
            <w:r w:rsidRPr="003777FC">
              <w:t>GS-12 (Step 5)</w:t>
            </w:r>
          </w:p>
        </w:tc>
        <w:tc>
          <w:tcPr>
            <w:tcW w:w="2230" w:type="dxa"/>
            <w:tcBorders>
              <w:top w:val="single" w:sz="4" w:space="0" w:color="auto"/>
              <w:left w:val="single" w:sz="4" w:space="0" w:color="auto"/>
              <w:bottom w:val="single" w:sz="4" w:space="0" w:color="auto"/>
              <w:right w:val="single" w:sz="4" w:space="0" w:color="auto"/>
            </w:tcBorders>
          </w:tcPr>
          <w:p w:rsidR="00D037B9" w:rsidRPr="003777FC" w:rsidP="003777FC" w14:paraId="0BC18AE6" w14:textId="1A9FB3E6">
            <w:pPr>
              <w:jc w:val="center"/>
            </w:pPr>
            <w:r w:rsidRPr="003777FC">
              <w:t>$97.34</w:t>
            </w:r>
          </w:p>
        </w:tc>
        <w:tc>
          <w:tcPr>
            <w:tcW w:w="1100" w:type="dxa"/>
            <w:tcBorders>
              <w:top w:val="single" w:sz="4" w:space="0" w:color="auto"/>
              <w:left w:val="single" w:sz="4" w:space="0" w:color="auto"/>
              <w:bottom w:val="single" w:sz="4" w:space="0" w:color="auto"/>
              <w:right w:val="single" w:sz="4" w:space="0" w:color="auto"/>
            </w:tcBorders>
            <w:hideMark/>
          </w:tcPr>
          <w:p w:rsidR="00D037B9" w:rsidRPr="003777FC" w:rsidP="003777FC" w14:paraId="1AFA428B" w14:textId="1C5FF6E4">
            <w:pPr>
              <w:jc w:val="center"/>
            </w:pPr>
            <w:r>
              <w:t>125</w:t>
            </w:r>
          </w:p>
        </w:tc>
        <w:tc>
          <w:tcPr>
            <w:tcW w:w="1710" w:type="dxa"/>
            <w:tcBorders>
              <w:top w:val="single" w:sz="4" w:space="0" w:color="auto"/>
              <w:left w:val="single" w:sz="4" w:space="0" w:color="auto"/>
              <w:bottom w:val="single" w:sz="4" w:space="0" w:color="auto"/>
              <w:right w:val="single" w:sz="4" w:space="0" w:color="auto"/>
            </w:tcBorders>
          </w:tcPr>
          <w:p w:rsidR="00D037B9" w:rsidRPr="003777FC" w:rsidP="003777FC" w14:paraId="0DD78FB0" w14:textId="3EDADD2F">
            <w:pPr>
              <w:jc w:val="center"/>
            </w:pPr>
            <w:r w:rsidRPr="003777FC">
              <w:t>$</w:t>
            </w:r>
            <w:r w:rsidR="00692198">
              <w:t>12,167.50</w:t>
            </w:r>
          </w:p>
        </w:tc>
      </w:tr>
      <w:tr w14:paraId="77751642" w14:textId="77777777" w:rsidTr="003777FC">
        <w:tblPrEx>
          <w:tblW w:w="0" w:type="auto"/>
          <w:tblInd w:w="715" w:type="dxa"/>
          <w:tblLook w:val="04A0"/>
        </w:tblPrEx>
        <w:tc>
          <w:tcPr>
            <w:tcW w:w="1530" w:type="dxa"/>
            <w:tcBorders>
              <w:top w:val="single" w:sz="4" w:space="0" w:color="auto"/>
              <w:left w:val="single" w:sz="4" w:space="0" w:color="auto"/>
              <w:bottom w:val="single" w:sz="4" w:space="0" w:color="auto"/>
              <w:right w:val="single" w:sz="4" w:space="0" w:color="auto"/>
            </w:tcBorders>
          </w:tcPr>
          <w:p w:rsidR="00692198" w:rsidRPr="003777FC" w:rsidP="00D037B9" w14:paraId="1B42EAA8" w14:textId="23A06E2C">
            <w:r>
              <w:t>GS-13 (Step 5)</w:t>
            </w:r>
          </w:p>
        </w:tc>
        <w:tc>
          <w:tcPr>
            <w:tcW w:w="2230" w:type="dxa"/>
            <w:tcBorders>
              <w:top w:val="single" w:sz="4" w:space="0" w:color="auto"/>
              <w:left w:val="single" w:sz="4" w:space="0" w:color="auto"/>
              <w:bottom w:val="single" w:sz="4" w:space="0" w:color="auto"/>
              <w:right w:val="single" w:sz="4" w:space="0" w:color="auto"/>
            </w:tcBorders>
          </w:tcPr>
          <w:p w:rsidR="00692198" w:rsidRPr="003777FC" w:rsidP="003777FC" w14:paraId="7130F96F" w14:textId="72C5850F">
            <w:pPr>
              <w:jc w:val="center"/>
            </w:pPr>
            <w:r>
              <w:t>$115.73</w:t>
            </w:r>
          </w:p>
        </w:tc>
        <w:tc>
          <w:tcPr>
            <w:tcW w:w="1100" w:type="dxa"/>
            <w:tcBorders>
              <w:top w:val="single" w:sz="4" w:space="0" w:color="auto"/>
              <w:left w:val="single" w:sz="4" w:space="0" w:color="auto"/>
              <w:bottom w:val="single" w:sz="4" w:space="0" w:color="auto"/>
              <w:right w:val="single" w:sz="4" w:space="0" w:color="auto"/>
            </w:tcBorders>
          </w:tcPr>
          <w:p w:rsidR="00692198" w:rsidRPr="003777FC" w:rsidP="003777FC" w14:paraId="7EDDFF52" w14:textId="709B2FDB">
            <w:pPr>
              <w:jc w:val="center"/>
            </w:pPr>
            <w:r>
              <w:t>125</w:t>
            </w:r>
          </w:p>
        </w:tc>
        <w:tc>
          <w:tcPr>
            <w:tcW w:w="1710" w:type="dxa"/>
            <w:tcBorders>
              <w:top w:val="single" w:sz="4" w:space="0" w:color="auto"/>
              <w:left w:val="single" w:sz="4" w:space="0" w:color="auto"/>
              <w:bottom w:val="single" w:sz="4" w:space="0" w:color="auto"/>
              <w:right w:val="single" w:sz="4" w:space="0" w:color="auto"/>
            </w:tcBorders>
          </w:tcPr>
          <w:p w:rsidR="00692198" w:rsidRPr="003777FC" w:rsidP="003777FC" w14:paraId="2598F17D" w14:textId="6C20CB20">
            <w:pPr>
              <w:jc w:val="center"/>
            </w:pPr>
            <w:r>
              <w:t>$14,466.25</w:t>
            </w:r>
          </w:p>
        </w:tc>
      </w:tr>
      <w:tr w14:paraId="7BF1CFDD" w14:textId="77777777" w:rsidTr="003777FC">
        <w:tblPrEx>
          <w:tblW w:w="0" w:type="auto"/>
          <w:tblInd w:w="715" w:type="dxa"/>
          <w:tblLook w:val="04A0"/>
        </w:tblPrEx>
        <w:tc>
          <w:tcPr>
            <w:tcW w:w="1530" w:type="dxa"/>
            <w:tcBorders>
              <w:top w:val="single" w:sz="4" w:space="0" w:color="auto"/>
              <w:left w:val="single" w:sz="4" w:space="0" w:color="auto"/>
              <w:bottom w:val="single" w:sz="4" w:space="0" w:color="auto"/>
              <w:right w:val="single" w:sz="4" w:space="0" w:color="auto"/>
            </w:tcBorders>
            <w:hideMark/>
          </w:tcPr>
          <w:p w:rsidR="00D037B9" w:rsidRPr="003777FC" w:rsidP="00D037B9" w14:paraId="791B205E" w14:textId="0A8F5E2D">
            <w:r w:rsidRPr="003777FC">
              <w:t>GS-14 (Step 5)</w:t>
            </w:r>
          </w:p>
        </w:tc>
        <w:tc>
          <w:tcPr>
            <w:tcW w:w="2230" w:type="dxa"/>
            <w:tcBorders>
              <w:top w:val="single" w:sz="4" w:space="0" w:color="auto"/>
              <w:left w:val="single" w:sz="4" w:space="0" w:color="auto"/>
              <w:bottom w:val="single" w:sz="4" w:space="0" w:color="auto"/>
              <w:right w:val="single" w:sz="4" w:space="0" w:color="auto"/>
            </w:tcBorders>
          </w:tcPr>
          <w:p w:rsidR="00D037B9" w:rsidRPr="003777FC" w:rsidP="003777FC" w14:paraId="20B5A292" w14:textId="061C5705">
            <w:pPr>
              <w:jc w:val="center"/>
            </w:pPr>
            <w:r w:rsidRPr="003777FC">
              <w:t>$136.76</w:t>
            </w:r>
          </w:p>
        </w:tc>
        <w:tc>
          <w:tcPr>
            <w:tcW w:w="1100" w:type="dxa"/>
            <w:tcBorders>
              <w:top w:val="single" w:sz="4" w:space="0" w:color="auto"/>
              <w:left w:val="single" w:sz="4" w:space="0" w:color="auto"/>
              <w:bottom w:val="single" w:sz="4" w:space="0" w:color="auto"/>
              <w:right w:val="single" w:sz="4" w:space="0" w:color="auto"/>
            </w:tcBorders>
            <w:hideMark/>
          </w:tcPr>
          <w:p w:rsidR="00D037B9" w:rsidRPr="003777FC" w:rsidP="003777FC" w14:paraId="732A8E95" w14:textId="077C9AD1">
            <w:pPr>
              <w:jc w:val="center"/>
            </w:pPr>
            <w:r w:rsidRPr="003777FC">
              <w:t>50</w:t>
            </w:r>
          </w:p>
        </w:tc>
        <w:tc>
          <w:tcPr>
            <w:tcW w:w="1710" w:type="dxa"/>
            <w:tcBorders>
              <w:top w:val="single" w:sz="4" w:space="0" w:color="auto"/>
              <w:left w:val="single" w:sz="4" w:space="0" w:color="auto"/>
              <w:bottom w:val="single" w:sz="4" w:space="0" w:color="auto"/>
              <w:right w:val="single" w:sz="4" w:space="0" w:color="auto"/>
            </w:tcBorders>
          </w:tcPr>
          <w:p w:rsidR="00D037B9" w:rsidRPr="003777FC" w:rsidP="003777FC" w14:paraId="42ACD846" w14:textId="797605FC">
            <w:pPr>
              <w:jc w:val="center"/>
            </w:pPr>
            <w:r w:rsidRPr="003777FC">
              <w:t>$6,838</w:t>
            </w:r>
            <w:r w:rsidR="00037753">
              <w:t>.00</w:t>
            </w:r>
          </w:p>
        </w:tc>
      </w:tr>
      <w:tr w14:paraId="08DC60C9" w14:textId="77777777" w:rsidTr="003777FC">
        <w:tblPrEx>
          <w:tblW w:w="0" w:type="auto"/>
          <w:tblInd w:w="715" w:type="dxa"/>
          <w:tblLook w:val="04A0"/>
        </w:tblPrEx>
        <w:tc>
          <w:tcPr>
            <w:tcW w:w="1530" w:type="dxa"/>
            <w:tcBorders>
              <w:top w:val="single" w:sz="4" w:space="0" w:color="auto"/>
              <w:left w:val="single" w:sz="4" w:space="0" w:color="auto"/>
              <w:bottom w:val="single" w:sz="4" w:space="0" w:color="auto"/>
              <w:right w:val="single" w:sz="4" w:space="0" w:color="auto"/>
            </w:tcBorders>
            <w:hideMark/>
          </w:tcPr>
          <w:p w:rsidR="00D037B9" w:rsidRPr="003777FC" w:rsidP="00D037B9" w14:paraId="4F9905F5" w14:textId="420E2ECD">
            <w:r w:rsidRPr="003777FC">
              <w:t>Total</w:t>
            </w:r>
          </w:p>
        </w:tc>
        <w:tc>
          <w:tcPr>
            <w:tcW w:w="2230" w:type="dxa"/>
            <w:tcBorders>
              <w:top w:val="single" w:sz="4" w:space="0" w:color="auto"/>
              <w:left w:val="single" w:sz="4" w:space="0" w:color="auto"/>
              <w:bottom w:val="single" w:sz="4" w:space="0" w:color="auto"/>
              <w:right w:val="single" w:sz="4" w:space="0" w:color="auto"/>
            </w:tcBorders>
            <w:hideMark/>
          </w:tcPr>
          <w:p w:rsidR="00D037B9" w:rsidRPr="003777FC" w:rsidP="003777FC" w14:paraId="3C866644" w14:textId="77777777">
            <w:pPr>
              <w:jc w:val="center"/>
            </w:pPr>
            <w:r w:rsidRPr="003777FC">
              <w:t>--</w:t>
            </w:r>
          </w:p>
        </w:tc>
        <w:tc>
          <w:tcPr>
            <w:tcW w:w="1100" w:type="dxa"/>
            <w:tcBorders>
              <w:top w:val="single" w:sz="4" w:space="0" w:color="auto"/>
              <w:left w:val="single" w:sz="4" w:space="0" w:color="auto"/>
              <w:bottom w:val="single" w:sz="4" w:space="0" w:color="auto"/>
              <w:right w:val="single" w:sz="4" w:space="0" w:color="auto"/>
            </w:tcBorders>
            <w:hideMark/>
          </w:tcPr>
          <w:p w:rsidR="00D037B9" w:rsidRPr="003777FC" w:rsidP="003777FC" w14:paraId="0B0E0584" w14:textId="4D275BDC">
            <w:pPr>
              <w:jc w:val="center"/>
            </w:pPr>
            <w:r w:rsidRPr="003777FC">
              <w:t>300</w:t>
            </w:r>
          </w:p>
        </w:tc>
        <w:tc>
          <w:tcPr>
            <w:tcW w:w="1710" w:type="dxa"/>
            <w:tcBorders>
              <w:top w:val="single" w:sz="4" w:space="0" w:color="auto"/>
              <w:left w:val="single" w:sz="4" w:space="0" w:color="auto"/>
              <w:bottom w:val="single" w:sz="4" w:space="0" w:color="auto"/>
              <w:right w:val="single" w:sz="4" w:space="0" w:color="auto"/>
            </w:tcBorders>
          </w:tcPr>
          <w:p w:rsidR="00D037B9" w:rsidRPr="003777FC" w:rsidP="003777FC" w14:paraId="33F63F05" w14:textId="575D96E8">
            <w:pPr>
              <w:jc w:val="center"/>
            </w:pPr>
            <w:r w:rsidRPr="003777FC">
              <w:t>$3</w:t>
            </w:r>
            <w:r w:rsidR="00037753">
              <w:t>3</w:t>
            </w:r>
            <w:r w:rsidRPr="003777FC">
              <w:t>,</w:t>
            </w:r>
            <w:r w:rsidR="00037753">
              <w:t>471.75</w:t>
            </w:r>
          </w:p>
        </w:tc>
      </w:tr>
    </w:tbl>
    <w:p w:rsidR="00327E04" w:rsidP="003777FC" w14:paraId="2521A4FF" w14:textId="35BFAF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77A28" w:rsidP="004020C3" w14:paraId="55E42DB7" w14:textId="5A04111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546AE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otal cost to the public previously reported under this section </w:t>
      </w:r>
      <w:r w:rsidR="0011234F">
        <w:rPr>
          <w:rFonts w:ascii="Times New Roman" w:eastAsia="Times New Roman" w:hAnsi="Times New Roman" w:cs="Times New Roman"/>
          <w:sz w:val="24"/>
          <w:szCs w:val="24"/>
        </w:rPr>
        <w:t xml:space="preserve">is now being reflected in </w:t>
      </w:r>
      <w:r>
        <w:rPr>
          <w:rFonts w:ascii="Times New Roman" w:eastAsia="Times New Roman" w:hAnsi="Times New Roman" w:cs="Times New Roman"/>
          <w:sz w:val="24"/>
          <w:szCs w:val="24"/>
        </w:rPr>
        <w:t>the burden table for question 12.</w:t>
      </w:r>
      <w:r w:rsidR="007A1E63">
        <w:rPr>
          <w:rFonts w:ascii="Times New Roman" w:eastAsia="Times New Roman" w:hAnsi="Times New Roman" w:cs="Times New Roman"/>
          <w:sz w:val="24"/>
          <w:szCs w:val="24"/>
        </w:rPr>
        <w:t xml:space="preserve"> </w:t>
      </w:r>
    </w:p>
    <w:p w:rsidR="003777FC" w:rsidRPr="003777FC" w:rsidP="003777FC" w14:paraId="1BC6D3FF" w14:textId="77777777">
      <w:pPr>
        <w:spacing w:after="0" w:line="240" w:lineRule="auto"/>
        <w:rPr>
          <w:rFonts w:ascii="Times New Roman" w:eastAsia="Times New Roman" w:hAnsi="Times New Roman" w:cs="Times New Roman"/>
          <w:sz w:val="24"/>
          <w:szCs w:val="24"/>
        </w:rPr>
      </w:pPr>
    </w:p>
    <w:p w:rsidR="00982095" w:rsidRPr="00C24547" w:rsidP="00546AE2" w14:paraId="55A32251" w14:textId="18EECAF1">
      <w:pPr>
        <w:pStyle w:val="ListParagraph"/>
        <w:numPr>
          <w:ilvl w:val="0"/>
          <w:numId w:val="2"/>
        </w:numPr>
        <w:spacing w:after="0" w:line="240" w:lineRule="auto"/>
        <w:ind w:left="720" w:hanging="720"/>
        <w:rPr>
          <w:rFonts w:ascii="Times New Roman" w:hAnsi="Times New Roman" w:cs="Times New Roman"/>
          <w:b/>
          <w:sz w:val="24"/>
          <w:szCs w:val="24"/>
          <w:u w:val="single"/>
        </w:rPr>
      </w:pPr>
      <w:r w:rsidRPr="00C24547">
        <w:rPr>
          <w:rFonts w:ascii="Times New Roman" w:hAnsi="Times New Roman" w:cs="Times New Roman"/>
          <w:b/>
          <w:sz w:val="24"/>
          <w:szCs w:val="24"/>
          <w:u w:val="single"/>
        </w:rPr>
        <w:t>Explanation of program changes and adjustments</w:t>
      </w:r>
      <w:r>
        <w:rPr>
          <w:rFonts w:ascii="Times New Roman" w:hAnsi="Times New Roman" w:cs="Times New Roman"/>
          <w:b/>
          <w:sz w:val="24"/>
          <w:szCs w:val="24"/>
          <w:u w:val="single"/>
        </w:rPr>
        <w:t>.</w:t>
      </w:r>
    </w:p>
    <w:p w:rsidR="00982095" w:rsidRPr="009C197C" w14:paraId="6E6860A1" w14:textId="77777777">
      <w:pPr>
        <w:pStyle w:val="ListParagraph"/>
        <w:spacing w:after="0" w:line="240" w:lineRule="auto"/>
        <w:ind w:left="0"/>
        <w:rPr>
          <w:rFonts w:ascii="Times New Roman" w:hAnsi="Times New Roman" w:cs="Times New Roman"/>
          <w:b/>
          <w:sz w:val="24"/>
          <w:szCs w:val="24"/>
        </w:rPr>
      </w:pPr>
    </w:p>
    <w:p w:rsidR="00BC54DC" w:rsidP="00DB2ED7" w14:paraId="5096974E" w14:textId="2BDD218F">
      <w:pPr>
        <w:pStyle w:val="ListParagraph"/>
        <w:spacing w:line="240" w:lineRule="auto"/>
        <w:rPr>
          <w:rFonts w:ascii="Times New Roman" w:eastAsia="Times New Roman" w:hAnsi="Times New Roman" w:cs="Times New Roman"/>
          <w:sz w:val="24"/>
          <w:szCs w:val="20"/>
        </w:rPr>
      </w:pPr>
      <w:r w:rsidRPr="00B808BF">
        <w:rPr>
          <w:rFonts w:ascii="Times New Roman" w:eastAsia="Times New Roman" w:hAnsi="Times New Roman" w:cs="Times New Roman"/>
          <w:sz w:val="24"/>
          <w:szCs w:val="20"/>
        </w:rPr>
        <w:t xml:space="preserve">This is an extension without </w:t>
      </w:r>
      <w:r w:rsidRPr="00B808BF" w:rsidR="00AF750C">
        <w:rPr>
          <w:rFonts w:ascii="Times New Roman" w:eastAsia="Times New Roman" w:hAnsi="Times New Roman" w:cs="Times New Roman"/>
          <w:sz w:val="24"/>
          <w:szCs w:val="20"/>
        </w:rPr>
        <w:t xml:space="preserve">change to a current ICR. </w:t>
      </w:r>
      <w:r w:rsidR="00DB2ED7">
        <w:rPr>
          <w:rFonts w:ascii="Times New Roman" w:eastAsia="Times New Roman" w:hAnsi="Times New Roman" w:cs="Times New Roman"/>
          <w:sz w:val="24"/>
          <w:szCs w:val="20"/>
        </w:rPr>
        <w:t>FRA made no adjustments to the previously approved burden hours.</w:t>
      </w:r>
      <w:r w:rsidR="0011234F">
        <w:rPr>
          <w:rFonts w:ascii="Times New Roman" w:eastAsia="Times New Roman" w:hAnsi="Times New Roman" w:cs="Times New Roman"/>
          <w:sz w:val="24"/>
          <w:szCs w:val="20"/>
        </w:rPr>
        <w:t xml:space="preserve"> </w:t>
      </w:r>
      <w:r w:rsidR="00DB2ED7">
        <w:rPr>
          <w:rFonts w:ascii="Times New Roman" w:eastAsia="Times New Roman" w:hAnsi="Times New Roman" w:cs="Times New Roman"/>
          <w:sz w:val="24"/>
          <w:szCs w:val="20"/>
        </w:rPr>
        <w:t xml:space="preserve">The requested estimated burden hours remain at </w:t>
      </w:r>
      <w:r w:rsidR="00967B4F">
        <w:rPr>
          <w:rFonts w:ascii="Times New Roman" w:eastAsia="Times New Roman" w:hAnsi="Times New Roman" w:cs="Times New Roman"/>
          <w:sz w:val="24"/>
          <w:szCs w:val="20"/>
        </w:rPr>
        <w:t>1,475</w:t>
      </w:r>
      <w:r w:rsidRPr="00B808BF" w:rsidR="00B808BF">
        <w:rPr>
          <w:rFonts w:ascii="Times New Roman" w:eastAsia="Times New Roman" w:hAnsi="Times New Roman" w:cs="Times New Roman"/>
          <w:sz w:val="24"/>
          <w:szCs w:val="20"/>
        </w:rPr>
        <w:t xml:space="preserve"> hours and </w:t>
      </w:r>
      <w:r w:rsidR="00967B4F">
        <w:rPr>
          <w:rFonts w:ascii="Times New Roman" w:eastAsia="Times New Roman" w:hAnsi="Times New Roman" w:cs="Times New Roman"/>
          <w:sz w:val="24"/>
          <w:szCs w:val="20"/>
        </w:rPr>
        <w:t>17,250</w:t>
      </w:r>
      <w:r w:rsidRPr="00B808BF" w:rsidR="00B808BF">
        <w:rPr>
          <w:rFonts w:ascii="Times New Roman" w:eastAsia="Times New Roman" w:hAnsi="Times New Roman" w:cs="Times New Roman"/>
          <w:sz w:val="24"/>
          <w:szCs w:val="20"/>
        </w:rPr>
        <w:t xml:space="preserve"> responses for a three-year </w:t>
      </w:r>
      <w:r w:rsidR="00DB2ED7">
        <w:rPr>
          <w:rFonts w:ascii="Times New Roman" w:eastAsia="Times New Roman" w:hAnsi="Times New Roman" w:cs="Times New Roman"/>
          <w:sz w:val="24"/>
          <w:szCs w:val="20"/>
        </w:rPr>
        <w:t>period.</w:t>
      </w:r>
      <w:r w:rsidRPr="00B808BF" w:rsidR="007F1519">
        <w:rPr>
          <w:rFonts w:ascii="Times New Roman" w:eastAsia="Times New Roman" w:hAnsi="Times New Roman" w:cs="Times New Roman"/>
          <w:sz w:val="24"/>
          <w:szCs w:val="20"/>
        </w:rPr>
        <w:t xml:space="preserve"> </w:t>
      </w:r>
    </w:p>
    <w:p w:rsidR="00C352FB" w:rsidRPr="00B808BF" w:rsidP="00DB2ED7" w14:paraId="3EEB8BF6" w14:textId="7D7019B1">
      <w:pPr>
        <w:pStyle w:val="ListParagraph"/>
        <w:spacing w:line="240" w:lineRule="auto"/>
        <w:rPr>
          <w:rFonts w:ascii="Times New Roman" w:eastAsia="Times New Roman" w:hAnsi="Times New Roman" w:cs="Times New Roman"/>
          <w:sz w:val="24"/>
          <w:szCs w:val="20"/>
        </w:rPr>
      </w:pPr>
      <w:r w:rsidRPr="00B808BF">
        <w:rPr>
          <w:rFonts w:ascii="Times New Roman" w:eastAsia="Times New Roman" w:hAnsi="Times New Roman" w:cs="Times New Roman"/>
          <w:sz w:val="24"/>
          <w:szCs w:val="20"/>
        </w:rPr>
        <w:t xml:space="preserve"> </w:t>
      </w:r>
    </w:p>
    <w:p w:rsidR="00982095" w:rsidRPr="00C24547" w:rsidP="00C24547" w14:paraId="3BB61925" w14:textId="0BCB9FBF">
      <w:pPr>
        <w:pStyle w:val="ListParagraph"/>
        <w:numPr>
          <w:ilvl w:val="0"/>
          <w:numId w:val="2"/>
        </w:numPr>
        <w:spacing w:after="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Publication of results of data collection</w:t>
      </w:r>
      <w:r>
        <w:rPr>
          <w:rFonts w:ascii="Times New Roman" w:hAnsi="Times New Roman" w:cs="Times New Roman"/>
          <w:b/>
          <w:sz w:val="24"/>
          <w:szCs w:val="24"/>
        </w:rPr>
        <w:t>.</w:t>
      </w:r>
    </w:p>
    <w:p w:rsidR="00982095" w14:paraId="53EF7C3A" w14:textId="0E2868D5">
      <w:pPr>
        <w:spacing w:after="0" w:line="240" w:lineRule="auto"/>
        <w:rPr>
          <w:rFonts w:ascii="Times New Roman" w:hAnsi="Times New Roman" w:cs="Times New Roman"/>
          <w:sz w:val="24"/>
          <w:szCs w:val="24"/>
        </w:rPr>
      </w:pPr>
    </w:p>
    <w:p w:rsidR="00CA1E67" w:rsidRPr="00CA1E67" w:rsidP="003777FC" w14:paraId="7D6EA5EB" w14:textId="217D423A">
      <w:pPr>
        <w:widowControl w:val="0"/>
        <w:spacing w:after="0" w:line="240" w:lineRule="auto"/>
        <w:ind w:left="720"/>
        <w:rPr>
          <w:rFonts w:ascii="Times New Roman" w:eastAsia="Times New Roman" w:hAnsi="Times New Roman" w:cs="Times New Roman"/>
          <w:sz w:val="24"/>
          <w:szCs w:val="24"/>
        </w:rPr>
      </w:pPr>
      <w:bookmarkStart w:id="9" w:name="_Hlk130454439"/>
      <w:bookmarkStart w:id="10" w:name="_Hlk134802122"/>
      <w:r>
        <w:rPr>
          <w:rFonts w:ascii="Times New Roman" w:eastAsia="Times New Roman" w:hAnsi="Times New Roman" w:cs="Times New Roman"/>
          <w:sz w:val="24"/>
          <w:szCs w:val="24"/>
        </w:rPr>
        <w:t>Findings will be used for general service improvement but are not for publication or other public release.</w:t>
      </w:r>
      <w:bookmarkEnd w:id="9"/>
    </w:p>
    <w:bookmarkEnd w:id="10"/>
    <w:p w:rsidR="00B7068F" w:rsidP="003E339C" w14:paraId="1BAC35BF" w14:textId="77777777">
      <w:pPr>
        <w:spacing w:after="0" w:line="240" w:lineRule="auto"/>
        <w:rPr>
          <w:rFonts w:ascii="Times New Roman" w:hAnsi="Times New Roman" w:cs="Times New Roman"/>
          <w:sz w:val="24"/>
          <w:szCs w:val="24"/>
        </w:rPr>
      </w:pPr>
    </w:p>
    <w:p w:rsidR="00982095" w:rsidRPr="00C24547" w:rsidP="00C24547" w14:paraId="2F2FD53B" w14:textId="22249D29">
      <w:pPr>
        <w:pStyle w:val="ListParagraph"/>
        <w:numPr>
          <w:ilvl w:val="0"/>
          <w:numId w:val="2"/>
        </w:numPr>
        <w:spacing w:after="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Approval for not displaying the expiration date for OMB approval</w:t>
      </w:r>
      <w:r>
        <w:rPr>
          <w:rFonts w:ascii="Times New Roman" w:hAnsi="Times New Roman" w:cs="Times New Roman"/>
          <w:b/>
          <w:sz w:val="24"/>
          <w:szCs w:val="24"/>
        </w:rPr>
        <w:t>.</w:t>
      </w:r>
    </w:p>
    <w:p w:rsidR="00982095" w:rsidRPr="009C197C" w:rsidP="00C24547" w14:paraId="5913FD4B" w14:textId="77777777">
      <w:pPr>
        <w:pStyle w:val="ListParagraph"/>
        <w:spacing w:after="0" w:line="240" w:lineRule="auto"/>
        <w:ind w:hanging="720"/>
        <w:rPr>
          <w:rFonts w:ascii="Times New Roman" w:hAnsi="Times New Roman" w:cs="Times New Roman"/>
          <w:b/>
          <w:sz w:val="24"/>
          <w:szCs w:val="24"/>
        </w:rPr>
      </w:pPr>
    </w:p>
    <w:p w:rsidR="00982095" w:rsidRPr="009C197C" w:rsidP="00C24547" w14:paraId="6EE8FD4F" w14:textId="2EBED171">
      <w:pPr>
        <w:spacing w:after="0" w:line="240" w:lineRule="auto"/>
        <w:ind w:left="720"/>
        <w:rPr>
          <w:rFonts w:ascii="Times New Roman" w:hAnsi="Times New Roman" w:cs="Times New Roman"/>
          <w:sz w:val="24"/>
          <w:szCs w:val="24"/>
        </w:rPr>
      </w:pPr>
      <w:bookmarkStart w:id="11" w:name="_Hlk134802134"/>
      <w:r>
        <w:rPr>
          <w:rFonts w:ascii="Times New Roman" w:hAnsi="Times New Roman" w:cs="Times New Roman"/>
          <w:sz w:val="24"/>
          <w:szCs w:val="24"/>
        </w:rPr>
        <w:t xml:space="preserve">FRA is not seeking approval to not display the expiration date. </w:t>
      </w:r>
    </w:p>
    <w:bookmarkEnd w:id="11"/>
    <w:p w:rsidR="00982095" w:rsidRPr="009C197C" w:rsidP="00C24547" w14:paraId="7E128E44" w14:textId="273873D2">
      <w:pPr>
        <w:pStyle w:val="ListParagraph"/>
        <w:numPr>
          <w:ilvl w:val="0"/>
          <w:numId w:val="2"/>
        </w:numPr>
        <w:spacing w:after="0" w:line="240" w:lineRule="auto"/>
        <w:ind w:left="720" w:hanging="720"/>
        <w:rPr>
          <w:rFonts w:ascii="Times New Roman" w:hAnsi="Times New Roman" w:cs="Times New Roman"/>
          <w:b/>
          <w:sz w:val="24"/>
          <w:szCs w:val="24"/>
        </w:rPr>
      </w:pPr>
      <w:r w:rsidRPr="00CE42A1">
        <w:rPr>
          <w:rFonts w:ascii="Times New Roman" w:hAnsi="Times New Roman" w:cs="Times New Roman"/>
          <w:b/>
          <w:sz w:val="24"/>
          <w:szCs w:val="24"/>
          <w:u w:val="single"/>
        </w:rPr>
        <w:t xml:space="preserve">Exceptions to </w:t>
      </w:r>
      <w:r w:rsidR="00430D2F">
        <w:rPr>
          <w:rFonts w:ascii="Times New Roman" w:hAnsi="Times New Roman" w:cs="Times New Roman"/>
          <w:b/>
          <w:sz w:val="24"/>
          <w:szCs w:val="24"/>
          <w:u w:val="single"/>
        </w:rPr>
        <w:t>c</w:t>
      </w:r>
      <w:r w:rsidRPr="00CE42A1">
        <w:rPr>
          <w:rFonts w:ascii="Times New Roman" w:hAnsi="Times New Roman" w:cs="Times New Roman"/>
          <w:b/>
          <w:sz w:val="24"/>
          <w:szCs w:val="24"/>
          <w:u w:val="single"/>
        </w:rPr>
        <w:t xml:space="preserve">ertification for PRA </w:t>
      </w:r>
      <w:r w:rsidR="00430D2F">
        <w:rPr>
          <w:rFonts w:ascii="Times New Roman" w:hAnsi="Times New Roman" w:cs="Times New Roman"/>
          <w:b/>
          <w:sz w:val="24"/>
          <w:szCs w:val="24"/>
          <w:u w:val="single"/>
        </w:rPr>
        <w:t>s</w:t>
      </w:r>
      <w:r w:rsidRPr="00CE42A1">
        <w:rPr>
          <w:rFonts w:ascii="Times New Roman" w:hAnsi="Times New Roman" w:cs="Times New Roman"/>
          <w:b/>
          <w:sz w:val="24"/>
          <w:szCs w:val="24"/>
          <w:u w:val="single"/>
        </w:rPr>
        <w:t>ubmissions</w:t>
      </w:r>
      <w:r w:rsidR="00B169B4">
        <w:rPr>
          <w:rFonts w:ascii="Times New Roman" w:hAnsi="Times New Roman" w:cs="Times New Roman"/>
          <w:b/>
          <w:sz w:val="24"/>
          <w:szCs w:val="24"/>
        </w:rPr>
        <w:t>.</w:t>
      </w:r>
    </w:p>
    <w:p w:rsidR="00982095" w:rsidP="00C24547" w14:paraId="28E8B47A" w14:textId="26153333">
      <w:pPr>
        <w:pStyle w:val="ListParagraph"/>
        <w:spacing w:after="0" w:line="240" w:lineRule="auto"/>
        <w:rPr>
          <w:rFonts w:ascii="Times New Roman" w:hAnsi="Times New Roman" w:cs="Times New Roman"/>
          <w:b/>
          <w:sz w:val="24"/>
          <w:szCs w:val="24"/>
        </w:rPr>
      </w:pPr>
    </w:p>
    <w:p w:rsidR="00C24547" w:rsidRPr="00C24547" w:rsidP="00C24547" w14:paraId="1659F58F" w14:textId="28EB22C5">
      <w:pPr>
        <w:pStyle w:val="ListParagraph"/>
        <w:spacing w:after="0" w:line="240" w:lineRule="auto"/>
        <w:rPr>
          <w:rFonts w:ascii="Times New Roman" w:hAnsi="Times New Roman" w:cs="Times New Roman"/>
          <w:bCs/>
          <w:sz w:val="24"/>
          <w:szCs w:val="24"/>
        </w:rPr>
      </w:pPr>
      <w:bookmarkStart w:id="12" w:name="_Hlk134802145"/>
      <w:r>
        <w:rPr>
          <w:rFonts w:ascii="Times New Roman" w:hAnsi="Times New Roman" w:cs="Times New Roman"/>
          <w:bCs/>
          <w:sz w:val="24"/>
          <w:szCs w:val="24"/>
        </w:rPr>
        <w:t>No exceptions are taken at this time.</w:t>
      </w:r>
      <w:bookmarkEnd w:id="12"/>
    </w:p>
    <w:sectPr w:rsidSect="003F7204">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1691632"/>
      <w:docPartObj>
        <w:docPartGallery w:val="Page Numbers (Bottom of Page)"/>
        <w:docPartUnique/>
      </w:docPartObj>
    </w:sdtPr>
    <w:sdtEndPr>
      <w:rPr>
        <w:rFonts w:ascii="Times New Roman" w:hAnsi="Times New Roman" w:cs="Times New Roman"/>
        <w:noProof/>
      </w:rPr>
    </w:sdtEndPr>
    <w:sdtContent>
      <w:p w:rsidR="00E5091B" w:rsidRPr="00CE42A1" w14:paraId="05FA59B3" w14:textId="41E43532">
        <w:pPr>
          <w:pStyle w:val="Footer"/>
          <w:jc w:val="center"/>
          <w:rPr>
            <w:rFonts w:ascii="Times New Roman" w:hAnsi="Times New Roman" w:cs="Times New Roman"/>
          </w:rPr>
        </w:pPr>
        <w:r w:rsidRPr="00CE42A1">
          <w:rPr>
            <w:rFonts w:ascii="Times New Roman" w:hAnsi="Times New Roman" w:cs="Times New Roman"/>
          </w:rPr>
          <w:fldChar w:fldCharType="begin"/>
        </w:r>
        <w:r w:rsidRPr="00CE42A1">
          <w:rPr>
            <w:rFonts w:ascii="Times New Roman" w:hAnsi="Times New Roman" w:cs="Times New Roman"/>
          </w:rPr>
          <w:instrText xml:space="preserve"> PAGE   \* MERGEFORMAT </w:instrText>
        </w:r>
        <w:r w:rsidRPr="00CE42A1">
          <w:rPr>
            <w:rFonts w:ascii="Times New Roman" w:hAnsi="Times New Roman" w:cs="Times New Roman"/>
          </w:rPr>
          <w:fldChar w:fldCharType="separate"/>
        </w:r>
        <w:r w:rsidRPr="00CE42A1">
          <w:rPr>
            <w:rFonts w:ascii="Times New Roman" w:hAnsi="Times New Roman" w:cs="Times New Roman"/>
            <w:noProof/>
          </w:rPr>
          <w:t>2</w:t>
        </w:r>
        <w:r w:rsidRPr="00CE42A1">
          <w:rPr>
            <w:rFonts w:ascii="Times New Roman" w:hAnsi="Times New Roman" w:cs="Times New Roman"/>
            <w:noProof/>
          </w:rPr>
          <w:fldChar w:fldCharType="end"/>
        </w:r>
      </w:p>
    </w:sdtContent>
  </w:sdt>
  <w:p w:rsidR="00E5091B" w14:paraId="112CCA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DC5" w14:paraId="2CAA0520" w14:textId="77777777">
      <w:pPr>
        <w:spacing w:after="0" w:line="240" w:lineRule="auto"/>
      </w:pPr>
      <w:r>
        <w:separator/>
      </w:r>
    </w:p>
  </w:footnote>
  <w:footnote w:type="continuationSeparator" w:id="1">
    <w:p w:rsidR="00A42DC5" w14:paraId="5EAAE221" w14:textId="77777777">
      <w:pPr>
        <w:spacing w:after="0" w:line="240" w:lineRule="auto"/>
      </w:pPr>
      <w:r>
        <w:continuationSeparator/>
      </w:r>
    </w:p>
  </w:footnote>
  <w:footnote w:type="continuationNotice" w:id="2">
    <w:p w:rsidR="00A42DC5" w14:paraId="3151B61A" w14:textId="77777777">
      <w:pPr>
        <w:spacing w:after="0" w:line="240" w:lineRule="auto"/>
      </w:pPr>
    </w:p>
  </w:footnote>
  <w:footnote w:id="3">
    <w:p w:rsidR="008C1659" w:rsidRPr="007F2841" w:rsidP="00572831" w14:paraId="0FEA73BA" w14:textId="77777777">
      <w:pPr>
        <w:pStyle w:val="FootnoteText"/>
        <w:rPr>
          <w:rFonts w:ascii="Times New Roman" w:hAnsi="Times New Roman" w:cs="Times New Roman"/>
        </w:rPr>
      </w:pPr>
      <w:r w:rsidRPr="007F2841">
        <w:rPr>
          <w:rStyle w:val="FootnoteReference"/>
          <w:rFonts w:ascii="Times New Roman" w:hAnsi="Times New Roman" w:cs="Times New Roman"/>
        </w:rPr>
        <w:footnoteRef/>
      </w:r>
      <w:r w:rsidRPr="007F2841">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rsidR="001363AC" w:rsidRPr="006F76CA" w14:paraId="62FF3F7D" w14:textId="1BA6BC05">
      <w:pPr>
        <w:pStyle w:val="FootnoteText"/>
        <w:rPr>
          <w:rFonts w:ascii="Times New Roman" w:hAnsi="Times New Roman" w:cs="Times New Roman"/>
        </w:rPr>
      </w:pPr>
      <w:r w:rsidRPr="006F76CA">
        <w:rPr>
          <w:rStyle w:val="FootnoteReference"/>
          <w:rFonts w:ascii="Times New Roman" w:hAnsi="Times New Roman" w:cs="Times New Roman"/>
        </w:rPr>
        <w:footnoteRef/>
      </w:r>
      <w:r w:rsidRPr="006F76CA">
        <w:rPr>
          <w:rFonts w:ascii="Times New Roman" w:hAnsi="Times New Roman" w:cs="Times New Roman"/>
        </w:rPr>
        <w:t xml:space="preserve"> </w:t>
      </w:r>
      <w:r w:rsidRPr="006F76CA" w:rsidR="006F76CA">
        <w:rPr>
          <w:rFonts w:ascii="Times New Roman" w:hAnsi="Times New Roman" w:cs="Times New Roman"/>
        </w:rPr>
        <w:t>91 FR 21861</w:t>
      </w:r>
      <w:r w:rsidR="00E42F81">
        <w:rPr>
          <w:rFonts w:ascii="Times New Roman" w:hAnsi="Times New Roman" w:cs="Times New Roman"/>
        </w:rPr>
        <w:t>.</w:t>
      </w:r>
    </w:p>
  </w:footnote>
  <w:footnote w:id="5">
    <w:p w:rsidR="005E7C2B" w:rsidRPr="003F7204" w14:paraId="3633153A" w14:textId="1F7E4D9F">
      <w:pPr>
        <w:pStyle w:val="FootnoteText"/>
        <w:rPr>
          <w:rFonts w:ascii="Times New Roman" w:hAnsi="Times New Roman" w:cs="Times New Roman"/>
        </w:rPr>
      </w:pPr>
      <w:r w:rsidRPr="003F7204">
        <w:rPr>
          <w:rStyle w:val="FootnoteReference"/>
          <w:rFonts w:ascii="Times New Roman" w:hAnsi="Times New Roman" w:cs="Times New Roman"/>
        </w:rPr>
        <w:footnoteRef/>
      </w:r>
      <w:r w:rsidRPr="003F7204">
        <w:rPr>
          <w:rFonts w:ascii="Times New Roman" w:hAnsi="Times New Roman" w:cs="Times New Roman"/>
        </w:rPr>
        <w:t xml:space="preserve"> The wage rate for respondents was calculated using BLS “Employer Costs For Employee Compensation December 2025” hourly wage rate. Civilian workers averaged $48.78 per hour, with wages and salaries of $33.45 and benefit costs of $15.33 (approximately 31.4 percent). See </w:t>
      </w:r>
      <w:hyperlink r:id="rId1" w:anchor="current" w:history="1">
        <w:r w:rsidRPr="00B90E7F" w:rsidR="00430D2F">
          <w:rPr>
            <w:rStyle w:val="Hyperlink"/>
            <w:rFonts w:ascii="Times New Roman" w:hAnsi="Times New Roman" w:cs="Times New Roman"/>
          </w:rPr>
          <w:t>https://www.bls.gov/bls/news-release/ecec.htm#current</w:t>
        </w:r>
      </w:hyperlink>
      <w:r w:rsidR="00430D2F">
        <w:rPr>
          <w:rFonts w:ascii="Times New Roman" w:hAnsi="Times New Roman" w:cs="Times New Roman"/>
        </w:rPr>
        <w:t>.</w:t>
      </w:r>
    </w:p>
  </w:footnote>
  <w:footnote w:id="6">
    <w:p w:rsidR="005E7C2B" w:rsidRPr="003F7204" w14:paraId="3D05C824" w14:textId="24151686">
      <w:pPr>
        <w:pStyle w:val="FootnoteText"/>
        <w:rPr>
          <w:rFonts w:ascii="Times New Roman" w:hAnsi="Times New Roman" w:cs="Times New Roman"/>
        </w:rPr>
      </w:pPr>
      <w:r w:rsidRPr="003F7204">
        <w:rPr>
          <w:rStyle w:val="FootnoteReference"/>
          <w:rFonts w:ascii="Times New Roman" w:hAnsi="Times New Roman" w:cs="Times New Roman"/>
        </w:rPr>
        <w:footnoteRef/>
      </w:r>
      <w:r w:rsidRPr="003F7204">
        <w:rPr>
          <w:rFonts w:ascii="Times New Roman" w:hAnsi="Times New Roman" w:cs="Times New Roman"/>
        </w:rPr>
        <w:t xml:space="preserve"> The wage rate for respondents was calculated using BLS “Occupational</w:t>
      </w:r>
      <w:r w:rsidRPr="003F7204" w:rsidR="000E7D33">
        <w:rPr>
          <w:rFonts w:ascii="Times New Roman" w:hAnsi="Times New Roman" w:cs="Times New Roman"/>
        </w:rPr>
        <w:t xml:space="preserve"> Employment and Wage Statistics” for rail transportation, May 2024. For “All Occupations (00-0000) the mean hourly wage is $68.81 </w:t>
      </w:r>
      <w:r w:rsidRPr="003F7204" w:rsidR="00DB2ED7">
        <w:rPr>
          <w:rFonts w:ascii="Times New Roman" w:hAnsi="Times New Roman" w:cs="Times New Roman"/>
        </w:rPr>
        <w:t>(Hourly</w:t>
      </w:r>
      <w:r w:rsidRPr="003F7204" w:rsidR="000E7D33">
        <w:rPr>
          <w:rFonts w:ascii="Times New Roman" w:hAnsi="Times New Roman" w:cs="Times New Roman"/>
        </w:rPr>
        <w:t xml:space="preserve"> wage $39.32 x 1.75 overhead). See </w:t>
      </w:r>
      <w:hyperlink r:id="rId2" w:anchor="/industry/482000" w:history="1">
        <w:r w:rsidRPr="00B90E7F" w:rsidR="00430D2F">
          <w:rPr>
            <w:rStyle w:val="Hyperlink"/>
            <w:rFonts w:ascii="Times New Roman" w:hAnsi="Times New Roman" w:cs="Times New Roman"/>
          </w:rPr>
          <w:t>https://data.bls.gov/oes/#/industry/482000</w:t>
        </w:r>
      </w:hyperlink>
      <w:r w:rsidR="006F76CA">
        <w:rPr>
          <w:rFonts w:ascii="Times New Roman" w:hAnsi="Times New Roman" w:cs="Times New Roman"/>
        </w:rPr>
        <w:t>.</w:t>
      </w:r>
      <w:r w:rsidRPr="003F7204" w:rsidR="000E7D33">
        <w:rPr>
          <w:rFonts w:ascii="Times New Roman" w:hAnsi="Times New Roman" w:cs="Times New Roman"/>
        </w:rPr>
        <w:t xml:space="preserve">  </w:t>
      </w:r>
    </w:p>
  </w:footnote>
  <w:footnote w:id="7">
    <w:p w:rsidR="00D037B9" w:rsidRPr="0093592D" w14:paraId="093CA4BA" w14:textId="4973CE42">
      <w:pPr>
        <w:pStyle w:val="FootnoteText"/>
        <w:rPr>
          <w:rFonts w:ascii="Times New Roman" w:hAnsi="Times New Roman" w:cs="Times New Roman"/>
        </w:rPr>
      </w:pPr>
      <w:r>
        <w:rPr>
          <w:rStyle w:val="FootnoteReference"/>
        </w:rPr>
        <w:footnoteRef/>
      </w:r>
      <w:r>
        <w:t xml:space="preserve"> </w:t>
      </w:r>
      <w:r w:rsidR="0093592D">
        <w:rPr>
          <w:rFonts w:ascii="Times New Roman" w:hAnsi="Times New Roman" w:cs="Times New Roman"/>
        </w:rPr>
        <w:t xml:space="preserve">The hourly wage rate was calculated using the 2026 GS locality pay table for </w:t>
      </w:r>
      <w:r w:rsidRPr="0093592D" w:rsidR="0093592D">
        <w:rPr>
          <w:rFonts w:ascii="Times New Roman" w:hAnsi="Times New Roman" w:cs="Times New Roman"/>
        </w:rPr>
        <w:t>Washington-Baltimore-Arlington, DC-MD-VA-WV-PA</w:t>
      </w:r>
      <w:r w:rsidR="0093592D">
        <w:rPr>
          <w:rFonts w:ascii="Times New Roman" w:hAnsi="Times New Roman" w:cs="Times New Roman"/>
        </w:rPr>
        <w:t xml:space="preserve"> see </w:t>
      </w:r>
      <w:hyperlink r:id="rId3" w:history="1">
        <w:r w:rsidRPr="00205A07" w:rsidR="004020C3">
          <w:rPr>
            <w:rStyle w:val="Hyperlink"/>
            <w:rFonts w:ascii="Times New Roman" w:hAnsi="Times New Roman" w:cs="Times New Roman"/>
          </w:rPr>
          <w:t>https://www.opm.gov/policy-data-oversight/pay-leave/salaries-wages/2026/general-schedule/</w:t>
        </w:r>
      </w:hyperlink>
      <w:r w:rsidR="004020C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2A5B01"/>
    <w:multiLevelType w:val="hybridMultilevel"/>
    <w:tmpl w:val="E49859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EA61A6"/>
    <w:multiLevelType w:val="hybridMultilevel"/>
    <w:tmpl w:val="E528CB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081E2B"/>
    <w:multiLevelType w:val="hybridMultilevel"/>
    <w:tmpl w:val="3C527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E053B0"/>
    <w:multiLevelType w:val="hybridMultilevel"/>
    <w:tmpl w:val="92CAC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412705"/>
    <w:multiLevelType w:val="hybridMultilevel"/>
    <w:tmpl w:val="D37E0026"/>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70631374">
    <w:abstractNumId w:val="11"/>
  </w:num>
  <w:num w:numId="2" w16cid:durableId="1773360592">
    <w:abstractNumId w:val="17"/>
  </w:num>
  <w:num w:numId="3" w16cid:durableId="399408615">
    <w:abstractNumId w:val="0"/>
  </w:num>
  <w:num w:numId="4" w16cid:durableId="758870963">
    <w:abstractNumId w:val="2"/>
  </w:num>
  <w:num w:numId="5" w16cid:durableId="2004240474">
    <w:abstractNumId w:val="15"/>
  </w:num>
  <w:num w:numId="6" w16cid:durableId="1394157141">
    <w:abstractNumId w:val="10"/>
  </w:num>
  <w:num w:numId="7" w16cid:durableId="1474324681">
    <w:abstractNumId w:val="14"/>
  </w:num>
  <w:num w:numId="8" w16cid:durableId="1138493392">
    <w:abstractNumId w:val="8"/>
  </w:num>
  <w:num w:numId="9" w16cid:durableId="1416435904">
    <w:abstractNumId w:val="13"/>
  </w:num>
  <w:num w:numId="10" w16cid:durableId="1221670051">
    <w:abstractNumId w:val="4"/>
  </w:num>
  <w:num w:numId="11" w16cid:durableId="2071226694">
    <w:abstractNumId w:val="18"/>
  </w:num>
  <w:num w:numId="12" w16cid:durableId="1508716233">
    <w:abstractNumId w:val="5"/>
  </w:num>
  <w:num w:numId="13" w16cid:durableId="2036691923">
    <w:abstractNumId w:val="1"/>
  </w:num>
  <w:num w:numId="14" w16cid:durableId="722481298">
    <w:abstractNumId w:val="19"/>
  </w:num>
  <w:num w:numId="15" w16cid:durableId="2103983997">
    <w:abstractNumId w:val="3"/>
  </w:num>
  <w:num w:numId="16" w16cid:durableId="1165635008">
    <w:abstractNumId w:val="7"/>
  </w:num>
  <w:num w:numId="17" w16cid:durableId="1865630864">
    <w:abstractNumId w:val="16"/>
  </w:num>
  <w:num w:numId="18" w16cid:durableId="1651979005">
    <w:abstractNumId w:val="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365996">
    <w:abstractNumId w:val="12"/>
  </w:num>
  <w:num w:numId="20" w16cid:durableId="1291015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2155"/>
    <w:rsid w:val="00022D3F"/>
    <w:rsid w:val="00035861"/>
    <w:rsid w:val="00037753"/>
    <w:rsid w:val="00043B2E"/>
    <w:rsid w:val="00045BAA"/>
    <w:rsid w:val="00051A49"/>
    <w:rsid w:val="00053937"/>
    <w:rsid w:val="00066515"/>
    <w:rsid w:val="00076477"/>
    <w:rsid w:val="00090293"/>
    <w:rsid w:val="000A410F"/>
    <w:rsid w:val="000A47AB"/>
    <w:rsid w:val="000B1583"/>
    <w:rsid w:val="000B4026"/>
    <w:rsid w:val="000B7C8D"/>
    <w:rsid w:val="000C0A7E"/>
    <w:rsid w:val="000C36EE"/>
    <w:rsid w:val="000C72A6"/>
    <w:rsid w:val="000D05A6"/>
    <w:rsid w:val="000E7D33"/>
    <w:rsid w:val="00101649"/>
    <w:rsid w:val="00105E2F"/>
    <w:rsid w:val="00111086"/>
    <w:rsid w:val="0011234F"/>
    <w:rsid w:val="00114C1F"/>
    <w:rsid w:val="00117CD8"/>
    <w:rsid w:val="00117F21"/>
    <w:rsid w:val="00120A60"/>
    <w:rsid w:val="0012240E"/>
    <w:rsid w:val="001363AC"/>
    <w:rsid w:val="001374F1"/>
    <w:rsid w:val="00153E20"/>
    <w:rsid w:val="00160D63"/>
    <w:rsid w:val="001628A1"/>
    <w:rsid w:val="001628DC"/>
    <w:rsid w:val="00172EEC"/>
    <w:rsid w:val="001840BF"/>
    <w:rsid w:val="00191BDE"/>
    <w:rsid w:val="001A1E1C"/>
    <w:rsid w:val="001B43EE"/>
    <w:rsid w:val="001B5644"/>
    <w:rsid w:val="001E123F"/>
    <w:rsid w:val="001E44AB"/>
    <w:rsid w:val="001E7A97"/>
    <w:rsid w:val="001F0A38"/>
    <w:rsid w:val="001F1E0A"/>
    <w:rsid w:val="001F52BD"/>
    <w:rsid w:val="001F7BC9"/>
    <w:rsid w:val="00205745"/>
    <w:rsid w:val="00205A07"/>
    <w:rsid w:val="00233754"/>
    <w:rsid w:val="002430FB"/>
    <w:rsid w:val="00245E28"/>
    <w:rsid w:val="00256D0E"/>
    <w:rsid w:val="0026370C"/>
    <w:rsid w:val="002816C2"/>
    <w:rsid w:val="00284DA9"/>
    <w:rsid w:val="0029408A"/>
    <w:rsid w:val="002A35E6"/>
    <w:rsid w:val="002A5023"/>
    <w:rsid w:val="002A7FC7"/>
    <w:rsid w:val="002B0B32"/>
    <w:rsid w:val="002E3E40"/>
    <w:rsid w:val="00305ED1"/>
    <w:rsid w:val="003062FB"/>
    <w:rsid w:val="00314A78"/>
    <w:rsid w:val="00324AF8"/>
    <w:rsid w:val="00327E04"/>
    <w:rsid w:val="00333DE4"/>
    <w:rsid w:val="00335915"/>
    <w:rsid w:val="00336169"/>
    <w:rsid w:val="00336234"/>
    <w:rsid w:val="00375E4D"/>
    <w:rsid w:val="003777FC"/>
    <w:rsid w:val="00377B51"/>
    <w:rsid w:val="00393730"/>
    <w:rsid w:val="003A16BD"/>
    <w:rsid w:val="003A2F20"/>
    <w:rsid w:val="003A7A16"/>
    <w:rsid w:val="003B0BB8"/>
    <w:rsid w:val="003B3B07"/>
    <w:rsid w:val="003C7516"/>
    <w:rsid w:val="003E339C"/>
    <w:rsid w:val="003F5F2D"/>
    <w:rsid w:val="003F7204"/>
    <w:rsid w:val="004020C3"/>
    <w:rsid w:val="00404071"/>
    <w:rsid w:val="00407195"/>
    <w:rsid w:val="00410E55"/>
    <w:rsid w:val="00422575"/>
    <w:rsid w:val="00430D2F"/>
    <w:rsid w:val="0044553C"/>
    <w:rsid w:val="00445BC6"/>
    <w:rsid w:val="004607DE"/>
    <w:rsid w:val="00460EB1"/>
    <w:rsid w:val="0047304D"/>
    <w:rsid w:val="00474C83"/>
    <w:rsid w:val="004970C8"/>
    <w:rsid w:val="004A1CF9"/>
    <w:rsid w:val="004A4FF6"/>
    <w:rsid w:val="004B0094"/>
    <w:rsid w:val="004C585D"/>
    <w:rsid w:val="004C660C"/>
    <w:rsid w:val="004D3C70"/>
    <w:rsid w:val="004D4C55"/>
    <w:rsid w:val="004D64C4"/>
    <w:rsid w:val="004E3AFC"/>
    <w:rsid w:val="004F2295"/>
    <w:rsid w:val="005061A7"/>
    <w:rsid w:val="00513A34"/>
    <w:rsid w:val="00527A60"/>
    <w:rsid w:val="00534637"/>
    <w:rsid w:val="005362FC"/>
    <w:rsid w:val="0054414A"/>
    <w:rsid w:val="00545C57"/>
    <w:rsid w:val="00546AE2"/>
    <w:rsid w:val="0055696E"/>
    <w:rsid w:val="00562B18"/>
    <w:rsid w:val="00563BD3"/>
    <w:rsid w:val="00571BDB"/>
    <w:rsid w:val="00572831"/>
    <w:rsid w:val="005741D7"/>
    <w:rsid w:val="00582C10"/>
    <w:rsid w:val="00586E9E"/>
    <w:rsid w:val="005A10E3"/>
    <w:rsid w:val="005A2664"/>
    <w:rsid w:val="005A4B61"/>
    <w:rsid w:val="005C1980"/>
    <w:rsid w:val="005C1C4E"/>
    <w:rsid w:val="005C24B0"/>
    <w:rsid w:val="005C3136"/>
    <w:rsid w:val="005C50F0"/>
    <w:rsid w:val="005C5F32"/>
    <w:rsid w:val="005D2A73"/>
    <w:rsid w:val="005D5963"/>
    <w:rsid w:val="005D7754"/>
    <w:rsid w:val="005E4BE8"/>
    <w:rsid w:val="005E5A3B"/>
    <w:rsid w:val="005E7C2B"/>
    <w:rsid w:val="00607287"/>
    <w:rsid w:val="0064699B"/>
    <w:rsid w:val="0065260C"/>
    <w:rsid w:val="006656C5"/>
    <w:rsid w:val="00671DFC"/>
    <w:rsid w:val="0067270D"/>
    <w:rsid w:val="006760E2"/>
    <w:rsid w:val="006761C3"/>
    <w:rsid w:val="00677B03"/>
    <w:rsid w:val="00692198"/>
    <w:rsid w:val="00697391"/>
    <w:rsid w:val="006B2FF7"/>
    <w:rsid w:val="006C068A"/>
    <w:rsid w:val="006C54F7"/>
    <w:rsid w:val="006E4B8B"/>
    <w:rsid w:val="006F76CA"/>
    <w:rsid w:val="007001C7"/>
    <w:rsid w:val="00701CF7"/>
    <w:rsid w:val="00703FA8"/>
    <w:rsid w:val="00713E12"/>
    <w:rsid w:val="007240C5"/>
    <w:rsid w:val="00731D48"/>
    <w:rsid w:val="0074733F"/>
    <w:rsid w:val="007539E9"/>
    <w:rsid w:val="00765A63"/>
    <w:rsid w:val="00783842"/>
    <w:rsid w:val="007903D0"/>
    <w:rsid w:val="00794339"/>
    <w:rsid w:val="007A1E63"/>
    <w:rsid w:val="007A1FAE"/>
    <w:rsid w:val="007A268D"/>
    <w:rsid w:val="007A45B8"/>
    <w:rsid w:val="007B73B0"/>
    <w:rsid w:val="007C1902"/>
    <w:rsid w:val="007C488F"/>
    <w:rsid w:val="007E102D"/>
    <w:rsid w:val="007F0C2D"/>
    <w:rsid w:val="007F1519"/>
    <w:rsid w:val="007F1813"/>
    <w:rsid w:val="007F23EE"/>
    <w:rsid w:val="007F2841"/>
    <w:rsid w:val="007F7C12"/>
    <w:rsid w:val="0080149B"/>
    <w:rsid w:val="00807544"/>
    <w:rsid w:val="008075EF"/>
    <w:rsid w:val="0081420B"/>
    <w:rsid w:val="00822666"/>
    <w:rsid w:val="00825202"/>
    <w:rsid w:val="0083303A"/>
    <w:rsid w:val="008342C9"/>
    <w:rsid w:val="00842DE0"/>
    <w:rsid w:val="008459E1"/>
    <w:rsid w:val="0085199F"/>
    <w:rsid w:val="0085338B"/>
    <w:rsid w:val="00856AEC"/>
    <w:rsid w:val="00876F52"/>
    <w:rsid w:val="00880EA8"/>
    <w:rsid w:val="00894356"/>
    <w:rsid w:val="008A53CF"/>
    <w:rsid w:val="008A6FC5"/>
    <w:rsid w:val="008A7DCB"/>
    <w:rsid w:val="008B5C91"/>
    <w:rsid w:val="008B6697"/>
    <w:rsid w:val="008B7846"/>
    <w:rsid w:val="008C1659"/>
    <w:rsid w:val="008C1DC2"/>
    <w:rsid w:val="008D03DD"/>
    <w:rsid w:val="008F21DF"/>
    <w:rsid w:val="009024A8"/>
    <w:rsid w:val="00914716"/>
    <w:rsid w:val="00915BDA"/>
    <w:rsid w:val="00931215"/>
    <w:rsid w:val="0093592D"/>
    <w:rsid w:val="00953D07"/>
    <w:rsid w:val="0096729B"/>
    <w:rsid w:val="00967B4F"/>
    <w:rsid w:val="00982095"/>
    <w:rsid w:val="0098318D"/>
    <w:rsid w:val="0098477E"/>
    <w:rsid w:val="00985F7C"/>
    <w:rsid w:val="00994A17"/>
    <w:rsid w:val="009A221D"/>
    <w:rsid w:val="009C197C"/>
    <w:rsid w:val="009C202A"/>
    <w:rsid w:val="009C3F03"/>
    <w:rsid w:val="009C6BF1"/>
    <w:rsid w:val="009C78DD"/>
    <w:rsid w:val="009D7CD3"/>
    <w:rsid w:val="009E1FF1"/>
    <w:rsid w:val="009E25EF"/>
    <w:rsid w:val="009E2C97"/>
    <w:rsid w:val="009E4256"/>
    <w:rsid w:val="009E75C8"/>
    <w:rsid w:val="00A12AC9"/>
    <w:rsid w:val="00A42DC5"/>
    <w:rsid w:val="00A43552"/>
    <w:rsid w:val="00A508B9"/>
    <w:rsid w:val="00A52F7E"/>
    <w:rsid w:val="00A666FD"/>
    <w:rsid w:val="00A85693"/>
    <w:rsid w:val="00A96195"/>
    <w:rsid w:val="00A96367"/>
    <w:rsid w:val="00AA1360"/>
    <w:rsid w:val="00AA3F96"/>
    <w:rsid w:val="00AB3E51"/>
    <w:rsid w:val="00AB5405"/>
    <w:rsid w:val="00AC207F"/>
    <w:rsid w:val="00AC2497"/>
    <w:rsid w:val="00AC5E2B"/>
    <w:rsid w:val="00AC6552"/>
    <w:rsid w:val="00AD2553"/>
    <w:rsid w:val="00AE2D94"/>
    <w:rsid w:val="00AF55E9"/>
    <w:rsid w:val="00AF750C"/>
    <w:rsid w:val="00B1342F"/>
    <w:rsid w:val="00B14195"/>
    <w:rsid w:val="00B169B4"/>
    <w:rsid w:val="00B2384F"/>
    <w:rsid w:val="00B3233B"/>
    <w:rsid w:val="00B50AD7"/>
    <w:rsid w:val="00B517CC"/>
    <w:rsid w:val="00B51C87"/>
    <w:rsid w:val="00B52892"/>
    <w:rsid w:val="00B7068F"/>
    <w:rsid w:val="00B71A92"/>
    <w:rsid w:val="00B806ED"/>
    <w:rsid w:val="00B808BF"/>
    <w:rsid w:val="00B90E7F"/>
    <w:rsid w:val="00B90F71"/>
    <w:rsid w:val="00B94529"/>
    <w:rsid w:val="00BA1806"/>
    <w:rsid w:val="00BB2490"/>
    <w:rsid w:val="00BC54DC"/>
    <w:rsid w:val="00BC63CD"/>
    <w:rsid w:val="00BD13BB"/>
    <w:rsid w:val="00BD56EC"/>
    <w:rsid w:val="00BE0599"/>
    <w:rsid w:val="00BE1645"/>
    <w:rsid w:val="00BF2E89"/>
    <w:rsid w:val="00BF558C"/>
    <w:rsid w:val="00BF7558"/>
    <w:rsid w:val="00BF7BE7"/>
    <w:rsid w:val="00C0003C"/>
    <w:rsid w:val="00C01804"/>
    <w:rsid w:val="00C11786"/>
    <w:rsid w:val="00C200D1"/>
    <w:rsid w:val="00C217BE"/>
    <w:rsid w:val="00C24547"/>
    <w:rsid w:val="00C30381"/>
    <w:rsid w:val="00C3314D"/>
    <w:rsid w:val="00C33C82"/>
    <w:rsid w:val="00C352FB"/>
    <w:rsid w:val="00C36608"/>
    <w:rsid w:val="00C61970"/>
    <w:rsid w:val="00C62FA2"/>
    <w:rsid w:val="00C67620"/>
    <w:rsid w:val="00C705CA"/>
    <w:rsid w:val="00C77A28"/>
    <w:rsid w:val="00C95B17"/>
    <w:rsid w:val="00CA1E67"/>
    <w:rsid w:val="00CC2E56"/>
    <w:rsid w:val="00CC2FDD"/>
    <w:rsid w:val="00CE33E4"/>
    <w:rsid w:val="00CE42A1"/>
    <w:rsid w:val="00CE6734"/>
    <w:rsid w:val="00D037B9"/>
    <w:rsid w:val="00D0429A"/>
    <w:rsid w:val="00D248CC"/>
    <w:rsid w:val="00D30F06"/>
    <w:rsid w:val="00D328FE"/>
    <w:rsid w:val="00D4424D"/>
    <w:rsid w:val="00D50007"/>
    <w:rsid w:val="00D57E6E"/>
    <w:rsid w:val="00D64405"/>
    <w:rsid w:val="00D64AAF"/>
    <w:rsid w:val="00D80BC6"/>
    <w:rsid w:val="00D84256"/>
    <w:rsid w:val="00D93FE0"/>
    <w:rsid w:val="00D958CD"/>
    <w:rsid w:val="00DA3AFF"/>
    <w:rsid w:val="00DA5F29"/>
    <w:rsid w:val="00DA6699"/>
    <w:rsid w:val="00DB1020"/>
    <w:rsid w:val="00DB2ED7"/>
    <w:rsid w:val="00DE07E7"/>
    <w:rsid w:val="00DF557A"/>
    <w:rsid w:val="00E00E3F"/>
    <w:rsid w:val="00E40C0A"/>
    <w:rsid w:val="00E42F81"/>
    <w:rsid w:val="00E449B1"/>
    <w:rsid w:val="00E5091B"/>
    <w:rsid w:val="00E55934"/>
    <w:rsid w:val="00E73143"/>
    <w:rsid w:val="00E76BE6"/>
    <w:rsid w:val="00EA7203"/>
    <w:rsid w:val="00EB2D61"/>
    <w:rsid w:val="00EC0F2F"/>
    <w:rsid w:val="00EC7092"/>
    <w:rsid w:val="00ED2490"/>
    <w:rsid w:val="00ED2720"/>
    <w:rsid w:val="00ED40BD"/>
    <w:rsid w:val="00EF05BB"/>
    <w:rsid w:val="00EF3063"/>
    <w:rsid w:val="00EF6EB2"/>
    <w:rsid w:val="00F045FD"/>
    <w:rsid w:val="00F0605B"/>
    <w:rsid w:val="00F15BAA"/>
    <w:rsid w:val="00F31E34"/>
    <w:rsid w:val="00F61DDB"/>
    <w:rsid w:val="00F629D6"/>
    <w:rsid w:val="00F81EEB"/>
    <w:rsid w:val="00F8313C"/>
    <w:rsid w:val="00FA1D10"/>
    <w:rsid w:val="00FA4F23"/>
    <w:rsid w:val="00FB1178"/>
    <w:rsid w:val="00FC1055"/>
    <w:rsid w:val="00FF17E4"/>
    <w:rsid w:val="00FF339C"/>
    <w:rsid w:val="00FF7CEF"/>
    <w:rsid w:val="17D2FF6F"/>
    <w:rsid w:val="2E5D63BA"/>
    <w:rsid w:val="3EB05C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B7955B"/>
  <w15:docId w15:val="{56C46DF6-D1EA-4596-B969-D1AF5EB4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qFormat/>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 w:type="character" w:styleId="UnresolvedMention">
    <w:name w:val="Unresolved Mention"/>
    <w:basedOn w:val="DefaultParagraphFont"/>
    <w:uiPriority w:val="99"/>
    <w:semiHidden/>
    <w:unhideWhenUsed/>
    <w:rsid w:val="00C01804"/>
    <w:rPr>
      <w:color w:val="605E5C"/>
      <w:shd w:val="clear" w:color="auto" w:fill="E1DFDD"/>
    </w:rPr>
  </w:style>
  <w:style w:type="paragraph" w:styleId="NoSpacing">
    <w:name w:val="No Spacing"/>
    <w:uiPriority w:val="1"/>
    <w:qFormat/>
    <w:rsid w:val="00CE33E4"/>
    <w:pPr>
      <w:spacing w:after="0" w:line="240" w:lineRule="auto"/>
    </w:pPr>
  </w:style>
  <w:style w:type="table" w:styleId="TableGrid">
    <w:name w:val="Table Grid"/>
    <w:basedOn w:val="TableNormal"/>
    <w:rsid w:val="00D037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5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bls/news-release/ecec.htm" TargetMode="External" /><Relationship Id="rId2" Type="http://schemas.openxmlformats.org/officeDocument/2006/relationships/hyperlink" Target="https://data.bls.gov/oes/" TargetMode="External" /><Relationship Id="rId3" Type="http://schemas.openxmlformats.org/officeDocument/2006/relationships/hyperlink" Target="https://www.opm.gov/policy-data-oversight/pay-leave/salaries-wages/2026/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Anderson, Mark (FRA)</DisplayName>
        <AccountId>37</AccountId>
        <AccountType/>
      </UserInfo>
      <UserInfo>
        <DisplayName>Arbuckle, Ryan (FRA)</DisplayName>
        <AccountId>34</AccountId>
        <AccountType/>
      </UserInfo>
      <UserInfo>
        <DisplayName>Mussington, Arlette (FRA)</DisplayName>
        <AccountId>271</AccountId>
        <AccountType/>
      </UserInfo>
      <UserInfo>
        <DisplayName>Swafford, Joanne (FRA)</DisplayName>
        <AccountId>284</AccountId>
        <AccountType/>
      </UserInfo>
      <UserInfo>
        <DisplayName>Munz, Pauline (FRA)</DisplayName>
        <AccountId>65</AccountId>
        <AccountType/>
      </UserInfo>
      <UserInfo>
        <DisplayName>Wells, Hodan (FRA)</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724F1-1581-4E4E-A3CB-DF28F88A15F5}">
  <ds:schemaRefs>
    <ds:schemaRef ds:uri="http://purl.org/dc/elements/1.1/"/>
    <ds:schemaRef ds:uri="http://schemas.microsoft.com/office/2006/metadata/properties"/>
    <ds:schemaRef ds:uri="b270c13a-4492-4e1e-b47b-1c9c4fe910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c2917e-047f-4ef5-af2e-e094bcfe6189"/>
    <ds:schemaRef ds:uri="http://www.w3.org/XML/1998/namespace"/>
    <ds:schemaRef ds:uri="http://purl.org/dc/dcmitype/"/>
  </ds:schemaRefs>
</ds:datastoreItem>
</file>

<file path=customXml/itemProps2.xml><?xml version="1.0" encoding="utf-8"?>
<ds:datastoreItem xmlns:ds="http://schemas.openxmlformats.org/officeDocument/2006/customXml" ds:itemID="{6F4CD0E8-F68D-4394-9400-B71FF6F451F4}">
  <ds:schemaRefs>
    <ds:schemaRef ds:uri="http://schemas.openxmlformats.org/officeDocument/2006/bibliography"/>
  </ds:schemaRefs>
</ds:datastoreItem>
</file>

<file path=customXml/itemProps3.xml><?xml version="1.0" encoding="utf-8"?>
<ds:datastoreItem xmlns:ds="http://schemas.openxmlformats.org/officeDocument/2006/customXml" ds:itemID="{BDFE2EC8-729C-4A62-8FAF-FC524041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7F894-F0D6-4D92-855D-A2CFA826D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Swafford, Joanne (FRA)</cp:lastModifiedBy>
  <cp:revision>3</cp:revision>
  <cp:lastPrinted>2011-02-17T23:04:00Z</cp:lastPrinted>
  <dcterms:created xsi:type="dcterms:W3CDTF">2026-07-08T12:01:00Z</dcterms:created>
  <dcterms:modified xsi:type="dcterms:W3CDTF">2026-07-08T12:15:00Z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