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658EC" w:rsidP="00AE4978" w14:paraId="49F3FE8A" w14:textId="7DFC8DA9">
      <w:pPr>
        <w:pStyle w:val="Level1"/>
      </w:pPr>
    </w:p>
    <w:p w:rsidR="001658EC" w:rsidP="001658EC" w14:paraId="1846EC04" w14:textId="77777777">
      <w:pPr>
        <w:jc w:val="center"/>
        <w:rPr>
          <w:rFonts w:cs="Times New Roman"/>
          <w:sz w:val="40"/>
          <w:szCs w:val="24"/>
        </w:rPr>
      </w:pPr>
    </w:p>
    <w:p w:rsidR="001658EC" w:rsidP="001658EC" w14:paraId="6B7CDE7F" w14:textId="77777777">
      <w:pPr>
        <w:jc w:val="center"/>
        <w:rPr>
          <w:rFonts w:cs="Times New Roman"/>
          <w:sz w:val="40"/>
          <w:szCs w:val="24"/>
        </w:rPr>
      </w:pPr>
    </w:p>
    <w:p w:rsidR="001658EC" w:rsidRPr="005777F1" w:rsidP="001658EC" w14:paraId="6C506332" w14:textId="74DB2D6B">
      <w:pPr>
        <w:jc w:val="center"/>
        <w:rPr>
          <w:rFonts w:cs="Times New Roman"/>
          <w:sz w:val="40"/>
          <w:szCs w:val="24"/>
        </w:rPr>
      </w:pPr>
      <w:r w:rsidRPr="005777F1">
        <w:rPr>
          <w:rFonts w:cs="Times New Roman"/>
          <w:sz w:val="40"/>
          <w:szCs w:val="24"/>
        </w:rPr>
        <w:t>Mariner Survey</w:t>
      </w:r>
    </w:p>
    <w:p w:rsidR="001658EC" w:rsidRPr="005777F1" w:rsidP="001658EC" w14:paraId="3D6CC935" w14:textId="49D028B4">
      <w:pPr>
        <w:jc w:val="center"/>
        <w:rPr>
          <w:rFonts w:cs="Times New Roman"/>
          <w:szCs w:val="24"/>
        </w:rPr>
      </w:pPr>
    </w:p>
    <w:p w:rsidR="001658EC" w:rsidRPr="005777F1" w:rsidP="001658EC" w14:paraId="51B66A37" w14:textId="77777777">
      <w:pPr>
        <w:jc w:val="center"/>
        <w:rPr>
          <w:rFonts w:cs="Times New Roman"/>
          <w:szCs w:val="24"/>
        </w:rPr>
      </w:pPr>
    </w:p>
    <w:p w:rsidR="001658EC" w:rsidRPr="005777F1" w:rsidP="001658EC" w14:paraId="0B5805D5" w14:textId="77777777">
      <w:pPr>
        <w:jc w:val="center"/>
        <w:rPr>
          <w:rFonts w:cs="Times New Roman"/>
          <w:szCs w:val="24"/>
        </w:rPr>
      </w:pPr>
    </w:p>
    <w:p w:rsidR="001658EC" w:rsidRPr="005777F1" w:rsidP="001658EC" w14:paraId="503B45AA" w14:textId="19F910F2">
      <w:pPr>
        <w:jc w:val="center"/>
        <w:rPr>
          <w:rFonts w:cs="Times New Roman"/>
          <w:sz w:val="28"/>
          <w:szCs w:val="24"/>
        </w:rPr>
      </w:pPr>
      <w:r w:rsidRPr="005777F1">
        <w:rPr>
          <w:rFonts w:cs="Times New Roman"/>
          <w:sz w:val="28"/>
          <w:szCs w:val="24"/>
        </w:rPr>
        <w:t xml:space="preserve">Supporting Statement Part </w:t>
      </w:r>
      <w:r w:rsidR="00F67AE9">
        <w:rPr>
          <w:rFonts w:cs="Times New Roman"/>
          <w:sz w:val="28"/>
          <w:szCs w:val="24"/>
        </w:rPr>
        <w:t>B</w:t>
      </w:r>
    </w:p>
    <w:p w:rsidR="001658EC" w:rsidRPr="005777F1" w:rsidP="001658EC" w14:paraId="63DEF31F" w14:textId="77777777">
      <w:pPr>
        <w:jc w:val="center"/>
        <w:rPr>
          <w:rFonts w:cs="Times New Roman"/>
          <w:szCs w:val="24"/>
        </w:rPr>
      </w:pPr>
    </w:p>
    <w:p w:rsidR="001658EC" w:rsidRPr="005777F1" w:rsidP="001658EC" w14:paraId="5ECA0ACA" w14:textId="3729422A">
      <w:pPr>
        <w:jc w:val="center"/>
        <w:rPr>
          <w:rFonts w:cs="Times New Roman"/>
          <w:szCs w:val="24"/>
        </w:rPr>
      </w:pPr>
    </w:p>
    <w:p w:rsidR="001658EC" w:rsidRPr="005777F1" w:rsidP="001658EC" w14:paraId="44DC12F5" w14:textId="77777777">
      <w:pPr>
        <w:jc w:val="center"/>
        <w:rPr>
          <w:rFonts w:cs="Times New Roman"/>
          <w:szCs w:val="24"/>
        </w:rPr>
      </w:pPr>
    </w:p>
    <w:p w:rsidR="001658EC" w:rsidRPr="005777F1" w:rsidP="001658EC" w14:paraId="6F7C956C" w14:textId="77777777">
      <w:pPr>
        <w:jc w:val="center"/>
        <w:rPr>
          <w:rFonts w:cs="Times New Roman"/>
          <w:szCs w:val="24"/>
        </w:rPr>
      </w:pPr>
    </w:p>
    <w:p w:rsidR="001658EC" w:rsidRPr="005777F1" w:rsidP="001658EC" w14:paraId="4B51E16B" w14:textId="6D43F1DD">
      <w:pPr>
        <w:jc w:val="center"/>
        <w:rPr>
          <w:rFonts w:cs="Times New Roman"/>
          <w:szCs w:val="24"/>
        </w:rPr>
      </w:pPr>
      <w:r w:rsidRPr="005777F1">
        <w:rPr>
          <w:rFonts w:cs="Times New Roman"/>
          <w:szCs w:val="24"/>
        </w:rPr>
        <w:t>Maritime Administration (MARAD)</w:t>
      </w:r>
    </w:p>
    <w:p w:rsidR="001658EC" w:rsidRPr="005777F1" w:rsidP="001658EC" w14:paraId="1B507B18" w14:textId="125AF19C">
      <w:pPr>
        <w:jc w:val="center"/>
        <w:rPr>
          <w:rFonts w:cs="Times New Roman"/>
          <w:szCs w:val="24"/>
        </w:rPr>
      </w:pPr>
      <w:r w:rsidRPr="005777F1">
        <w:rPr>
          <w:rFonts w:cs="Times New Roman"/>
          <w:szCs w:val="24"/>
        </w:rPr>
        <w:t>U.S. Department of Transportation</w:t>
      </w:r>
    </w:p>
    <w:p w:rsidR="001658EC" w:rsidRPr="005777F1" w:rsidP="001658EC" w14:paraId="2A560B83" w14:textId="30C1863A">
      <w:pPr>
        <w:jc w:val="center"/>
        <w:rPr>
          <w:rFonts w:cs="Times New Roman"/>
          <w:szCs w:val="24"/>
        </w:rPr>
      </w:pPr>
      <w:r w:rsidRPr="005777F1">
        <w:rPr>
          <w:rFonts w:cs="Times New Roman"/>
          <w:szCs w:val="24"/>
        </w:rPr>
        <w:t>Washington, D.C.</w:t>
      </w:r>
    </w:p>
    <w:p w:rsidR="001658EC" w:rsidRPr="005777F1" w:rsidP="001658EC" w14:paraId="3E9AB980" w14:textId="77777777">
      <w:pPr>
        <w:jc w:val="center"/>
        <w:rPr>
          <w:rFonts w:cs="Times New Roman"/>
          <w:szCs w:val="24"/>
        </w:rPr>
      </w:pPr>
    </w:p>
    <w:p w:rsidR="001658EC" w:rsidRPr="005777F1" w:rsidP="001658EC" w14:paraId="1CF4E733" w14:textId="77777777">
      <w:pPr>
        <w:jc w:val="center"/>
        <w:rPr>
          <w:rFonts w:cs="Times New Roman"/>
          <w:szCs w:val="24"/>
        </w:rPr>
      </w:pPr>
    </w:p>
    <w:p w:rsidR="001658EC" w:rsidRPr="005777F1" w:rsidP="001658EC" w14:paraId="5A49CF8D" w14:textId="77777777">
      <w:pPr>
        <w:jc w:val="center"/>
        <w:rPr>
          <w:rFonts w:cs="Times New Roman"/>
          <w:szCs w:val="24"/>
        </w:rPr>
      </w:pPr>
    </w:p>
    <w:p w:rsidR="001658EC" w:rsidRPr="005777F1" w:rsidP="001658EC" w14:paraId="56DCD18D" w14:textId="77777777">
      <w:pPr>
        <w:jc w:val="center"/>
        <w:rPr>
          <w:rFonts w:cs="Times New Roman"/>
          <w:szCs w:val="24"/>
        </w:rPr>
      </w:pPr>
    </w:p>
    <w:p w:rsidR="001658EC" w:rsidRPr="005777F1" w:rsidP="001658EC" w14:paraId="291A4DB6" w14:textId="77777777">
      <w:pPr>
        <w:jc w:val="center"/>
        <w:rPr>
          <w:rFonts w:cs="Times New Roman"/>
          <w:szCs w:val="24"/>
        </w:rPr>
      </w:pPr>
    </w:p>
    <w:p w:rsidR="001658EC" w:rsidRPr="005777F1" w:rsidP="001658EC" w14:paraId="0FBECD9D" w14:textId="77777777">
      <w:pPr>
        <w:jc w:val="center"/>
        <w:rPr>
          <w:rFonts w:cs="Times New Roman"/>
          <w:szCs w:val="24"/>
        </w:rPr>
      </w:pPr>
    </w:p>
    <w:p w:rsidR="001658EC" w:rsidRPr="005777F1" w:rsidP="001658EC" w14:paraId="03868BDB" w14:textId="77777777">
      <w:pPr>
        <w:jc w:val="center"/>
        <w:rPr>
          <w:rFonts w:cs="Times New Roman"/>
          <w:szCs w:val="24"/>
        </w:rPr>
      </w:pPr>
    </w:p>
    <w:p w:rsidR="001658EC" w:rsidRPr="005777F1" w:rsidP="001658EC" w14:paraId="471A769C" w14:textId="77777777">
      <w:pPr>
        <w:rPr>
          <w:rFonts w:cs="Times New Roman"/>
          <w:szCs w:val="24"/>
        </w:rPr>
      </w:pPr>
    </w:p>
    <w:p w:rsidR="00264D5A" w:rsidRPr="005777F1" w:rsidP="001658EC" w14:paraId="22D414EC" w14:textId="36E507BA">
      <w:pPr>
        <w:jc w:val="center"/>
        <w:rPr>
          <w:rFonts w:cs="Times New Roman"/>
          <w:szCs w:val="24"/>
        </w:rPr>
      </w:pPr>
      <w:r w:rsidRPr="00042B65">
        <w:rPr>
          <w:rFonts w:cs="Times New Roman"/>
          <w:color w:val="000000" w:themeColor="text1"/>
          <w:szCs w:val="24"/>
        </w:rPr>
        <w:t>Ju</w:t>
      </w:r>
      <w:r w:rsidR="00CB1A0B">
        <w:rPr>
          <w:rFonts w:cs="Times New Roman"/>
          <w:color w:val="000000" w:themeColor="text1"/>
          <w:szCs w:val="24"/>
        </w:rPr>
        <w:t>ly</w:t>
      </w:r>
      <w:r w:rsidRPr="00042B65" w:rsidR="00465D66">
        <w:rPr>
          <w:rFonts w:cs="Times New Roman"/>
          <w:color w:val="000000" w:themeColor="text1"/>
          <w:szCs w:val="24"/>
        </w:rPr>
        <w:t xml:space="preserve"> </w:t>
      </w:r>
      <w:r w:rsidR="00465D66">
        <w:rPr>
          <w:rFonts w:cs="Times New Roman"/>
          <w:szCs w:val="24"/>
        </w:rPr>
        <w:t>202</w:t>
      </w:r>
      <w:r w:rsidR="00706836">
        <w:rPr>
          <w:rFonts w:cs="Times New Roman"/>
          <w:szCs w:val="24"/>
        </w:rPr>
        <w:t>6</w:t>
      </w:r>
    </w:p>
    <w:p w:rsidR="001658EC" w:rsidRPr="005777F1" w:rsidP="001658EC" w14:paraId="27378779" w14:textId="090F1638">
      <w:pPr>
        <w:jc w:val="center"/>
        <w:rPr>
          <w:rFonts w:cs="Times New Roman"/>
          <w:szCs w:val="24"/>
        </w:rPr>
      </w:pPr>
      <w:r w:rsidRPr="005777F1">
        <w:rPr>
          <w:rFonts w:cs="Times New Roman"/>
          <w:szCs w:val="24"/>
        </w:rPr>
        <w:br w:type="page"/>
      </w:r>
    </w:p>
    <w:sdt>
      <w:sdtPr>
        <w:rPr>
          <w:rFonts w:asciiTheme="minorHAnsi" w:eastAsiaTheme="minorHAnsi" w:hAnsiTheme="minorHAnsi" w:cstheme="minorBidi"/>
          <w:color w:val="auto"/>
          <w:sz w:val="22"/>
          <w:szCs w:val="22"/>
        </w:rPr>
        <w:id w:val="-1512836733"/>
        <w:docPartObj>
          <w:docPartGallery w:val="Table of Contents"/>
          <w:docPartUnique/>
        </w:docPartObj>
      </w:sdtPr>
      <w:sdtEndPr>
        <w:rPr>
          <w:rFonts w:ascii="Times New Roman" w:hAnsi="Times New Roman"/>
          <w:b/>
          <w:bCs/>
          <w:noProof/>
          <w:sz w:val="24"/>
        </w:rPr>
      </w:sdtEndPr>
      <w:sdtContent>
        <w:p w:rsidR="00536C64" w:rsidP="00476DC1" w14:paraId="6A6BA467" w14:textId="77777777">
          <w:pPr>
            <w:pStyle w:val="TOCHeading"/>
            <w:rPr>
              <w:noProof/>
            </w:rPr>
          </w:pPr>
          <w:r w:rsidRPr="005777F1">
            <w:t>Table of Contents</w:t>
          </w:r>
          <w:r w:rsidRPr="005777F1">
            <w:rPr>
              <w:b/>
              <w:bCs/>
              <w:caps/>
            </w:rPr>
            <w:fldChar w:fldCharType="begin"/>
          </w:r>
          <w:r w:rsidRPr="005777F1">
            <w:instrText xml:space="preserve"> TOC \o "1-3" \h \z \u </w:instrText>
          </w:r>
          <w:r w:rsidRPr="005777F1">
            <w:rPr>
              <w:b/>
              <w:bCs/>
              <w:caps/>
            </w:rPr>
            <w:fldChar w:fldCharType="separate"/>
          </w:r>
        </w:p>
        <w:p w:rsidR="00536C64" w14:paraId="3E8EF3D0" w14:textId="70EB340C">
          <w:pPr>
            <w:pStyle w:val="TOC1"/>
            <w:tabs>
              <w:tab w:val="right" w:leader="dot" w:pos="9350"/>
            </w:tabs>
            <w:rPr>
              <w:rFonts w:asciiTheme="minorHAnsi" w:eastAsiaTheme="minorEastAsia" w:hAnsiTheme="minorHAnsi" w:cstheme="minorBidi"/>
              <w:b w:val="0"/>
              <w:bCs w:val="0"/>
              <w:caps w:val="0"/>
              <w:noProof/>
              <w:kern w:val="2"/>
              <w:szCs w:val="24"/>
              <w14:ligatures w14:val="standardContextual"/>
            </w:rPr>
          </w:pPr>
          <w:hyperlink w:anchor="_Toc236138080" w:history="1">
            <w:r w:rsidRPr="00A33756">
              <w:rPr>
                <w:rStyle w:val="Hyperlink"/>
                <w:noProof/>
              </w:rPr>
              <w:t>SUPPORTING STATEMENT part B</w:t>
            </w:r>
            <w:r>
              <w:rPr>
                <w:noProof/>
                <w:webHidden/>
              </w:rPr>
              <w:tab/>
            </w:r>
            <w:r>
              <w:rPr>
                <w:noProof/>
                <w:webHidden/>
              </w:rPr>
              <w:fldChar w:fldCharType="begin"/>
            </w:r>
            <w:r>
              <w:rPr>
                <w:noProof/>
                <w:webHidden/>
              </w:rPr>
              <w:instrText xml:space="preserve"> PAGEREF _Toc236138080 \h </w:instrText>
            </w:r>
            <w:r>
              <w:rPr>
                <w:noProof/>
                <w:webHidden/>
              </w:rPr>
              <w:fldChar w:fldCharType="separate"/>
            </w:r>
            <w:r>
              <w:rPr>
                <w:noProof/>
                <w:webHidden/>
              </w:rPr>
              <w:t>2</w:t>
            </w:r>
            <w:r>
              <w:rPr>
                <w:noProof/>
                <w:webHidden/>
              </w:rPr>
              <w:fldChar w:fldCharType="end"/>
            </w:r>
          </w:hyperlink>
        </w:p>
        <w:p w:rsidR="00536C64" w14:paraId="0D2C37BA" w14:textId="383CBFB4">
          <w:pPr>
            <w:pStyle w:val="TOC3"/>
            <w:rPr>
              <w:rFonts w:asciiTheme="minorHAnsi" w:eastAsiaTheme="minorEastAsia" w:hAnsiTheme="minorHAnsi"/>
              <w:noProof/>
              <w:kern w:val="2"/>
              <w:szCs w:val="24"/>
              <w14:ligatures w14:val="standardContextual"/>
            </w:rPr>
          </w:pPr>
          <w:hyperlink w:anchor="_Toc236138081" w:history="1">
            <w:r w:rsidRPr="00A33756">
              <w:rPr>
                <w:rStyle w:val="Hyperlink"/>
                <w:noProof/>
              </w:rPr>
              <w:t>1.</w:t>
            </w:r>
            <w:r>
              <w:rPr>
                <w:rFonts w:asciiTheme="minorHAnsi" w:eastAsiaTheme="minorEastAsia" w:hAnsiTheme="minorHAnsi"/>
                <w:noProof/>
                <w:kern w:val="2"/>
                <w:szCs w:val="24"/>
                <w14:ligatures w14:val="standardContextual"/>
              </w:rPr>
              <w:tab/>
            </w:r>
            <w:r w:rsidRPr="00A33756">
              <w:rPr>
                <w:rStyle w:val="Hyperlink"/>
                <w:noProof/>
              </w:rPr>
              <w:t>Potential Respondent Universe</w:t>
            </w:r>
            <w:r>
              <w:rPr>
                <w:noProof/>
                <w:webHidden/>
              </w:rPr>
              <w:tab/>
            </w:r>
            <w:r>
              <w:rPr>
                <w:noProof/>
                <w:webHidden/>
              </w:rPr>
              <w:fldChar w:fldCharType="begin"/>
            </w:r>
            <w:r>
              <w:rPr>
                <w:noProof/>
                <w:webHidden/>
              </w:rPr>
              <w:instrText xml:space="preserve"> PAGEREF _Toc236138081 \h </w:instrText>
            </w:r>
            <w:r>
              <w:rPr>
                <w:noProof/>
                <w:webHidden/>
              </w:rPr>
              <w:fldChar w:fldCharType="separate"/>
            </w:r>
            <w:r>
              <w:rPr>
                <w:noProof/>
                <w:webHidden/>
              </w:rPr>
              <w:t>2</w:t>
            </w:r>
            <w:r>
              <w:rPr>
                <w:noProof/>
                <w:webHidden/>
              </w:rPr>
              <w:fldChar w:fldCharType="end"/>
            </w:r>
          </w:hyperlink>
        </w:p>
        <w:p w:rsidR="00536C64" w14:paraId="746280C8" w14:textId="6232B703">
          <w:pPr>
            <w:pStyle w:val="TOC3"/>
            <w:rPr>
              <w:rFonts w:asciiTheme="minorHAnsi" w:eastAsiaTheme="minorEastAsia" w:hAnsiTheme="minorHAnsi"/>
              <w:noProof/>
              <w:kern w:val="2"/>
              <w:szCs w:val="24"/>
              <w14:ligatures w14:val="standardContextual"/>
            </w:rPr>
          </w:pPr>
          <w:hyperlink w:anchor="_Toc236138082" w:history="1">
            <w:r w:rsidRPr="00A33756">
              <w:rPr>
                <w:rStyle w:val="Hyperlink"/>
                <w:noProof/>
              </w:rPr>
              <w:t>2.</w:t>
            </w:r>
            <w:r>
              <w:rPr>
                <w:rFonts w:asciiTheme="minorHAnsi" w:eastAsiaTheme="minorEastAsia" w:hAnsiTheme="minorHAnsi"/>
                <w:noProof/>
                <w:kern w:val="2"/>
                <w:szCs w:val="24"/>
                <w14:ligatures w14:val="standardContextual"/>
              </w:rPr>
              <w:tab/>
            </w:r>
            <w:r w:rsidRPr="00A33756">
              <w:rPr>
                <w:rStyle w:val="Hyperlink"/>
                <w:noProof/>
              </w:rPr>
              <w:t>Statistical Methodology</w:t>
            </w:r>
            <w:r>
              <w:rPr>
                <w:noProof/>
                <w:webHidden/>
              </w:rPr>
              <w:tab/>
            </w:r>
            <w:r>
              <w:rPr>
                <w:noProof/>
                <w:webHidden/>
              </w:rPr>
              <w:fldChar w:fldCharType="begin"/>
            </w:r>
            <w:r>
              <w:rPr>
                <w:noProof/>
                <w:webHidden/>
              </w:rPr>
              <w:instrText xml:space="preserve"> PAGEREF _Toc236138082 \h </w:instrText>
            </w:r>
            <w:r>
              <w:rPr>
                <w:noProof/>
                <w:webHidden/>
              </w:rPr>
              <w:fldChar w:fldCharType="separate"/>
            </w:r>
            <w:r>
              <w:rPr>
                <w:noProof/>
                <w:webHidden/>
              </w:rPr>
              <w:t>4</w:t>
            </w:r>
            <w:r>
              <w:rPr>
                <w:noProof/>
                <w:webHidden/>
              </w:rPr>
              <w:fldChar w:fldCharType="end"/>
            </w:r>
          </w:hyperlink>
        </w:p>
        <w:p w:rsidR="00536C64" w14:paraId="01F36AED" w14:textId="7D61D9CF">
          <w:pPr>
            <w:pStyle w:val="TOC3"/>
            <w:rPr>
              <w:rFonts w:asciiTheme="minorHAnsi" w:eastAsiaTheme="minorEastAsia" w:hAnsiTheme="minorHAnsi"/>
              <w:noProof/>
              <w:kern w:val="2"/>
              <w:szCs w:val="24"/>
              <w14:ligatures w14:val="standardContextual"/>
            </w:rPr>
          </w:pPr>
          <w:hyperlink w:anchor="_Toc236138083" w:history="1">
            <w:r w:rsidRPr="00A33756">
              <w:rPr>
                <w:rStyle w:val="Hyperlink"/>
                <w:noProof/>
              </w:rPr>
              <w:t>3.</w:t>
            </w:r>
            <w:r>
              <w:rPr>
                <w:rFonts w:asciiTheme="minorHAnsi" w:eastAsiaTheme="minorEastAsia" w:hAnsiTheme="minorHAnsi"/>
                <w:noProof/>
                <w:kern w:val="2"/>
                <w:szCs w:val="24"/>
                <w14:ligatures w14:val="standardContextual"/>
              </w:rPr>
              <w:tab/>
            </w:r>
            <w:r w:rsidRPr="00A33756">
              <w:rPr>
                <w:rStyle w:val="Hyperlink"/>
                <w:noProof/>
              </w:rPr>
              <w:t>Methods to Maximize Response Rates</w:t>
            </w:r>
            <w:r>
              <w:rPr>
                <w:noProof/>
                <w:webHidden/>
              </w:rPr>
              <w:tab/>
            </w:r>
            <w:r>
              <w:rPr>
                <w:noProof/>
                <w:webHidden/>
              </w:rPr>
              <w:fldChar w:fldCharType="begin"/>
            </w:r>
            <w:r>
              <w:rPr>
                <w:noProof/>
                <w:webHidden/>
              </w:rPr>
              <w:instrText xml:space="preserve"> PAGEREF _Toc236138083 \h </w:instrText>
            </w:r>
            <w:r>
              <w:rPr>
                <w:noProof/>
                <w:webHidden/>
              </w:rPr>
              <w:fldChar w:fldCharType="separate"/>
            </w:r>
            <w:r>
              <w:rPr>
                <w:noProof/>
                <w:webHidden/>
              </w:rPr>
              <w:t>7</w:t>
            </w:r>
            <w:r>
              <w:rPr>
                <w:noProof/>
                <w:webHidden/>
              </w:rPr>
              <w:fldChar w:fldCharType="end"/>
            </w:r>
          </w:hyperlink>
        </w:p>
        <w:p w:rsidR="00536C64" w14:paraId="7259B9B8" w14:textId="18705823">
          <w:pPr>
            <w:pStyle w:val="TOC3"/>
            <w:rPr>
              <w:rFonts w:asciiTheme="minorHAnsi" w:eastAsiaTheme="minorEastAsia" w:hAnsiTheme="minorHAnsi"/>
              <w:noProof/>
              <w:kern w:val="2"/>
              <w:szCs w:val="24"/>
              <w14:ligatures w14:val="standardContextual"/>
            </w:rPr>
          </w:pPr>
          <w:hyperlink w:anchor="_Toc236138084" w:history="1">
            <w:r w:rsidRPr="00A33756">
              <w:rPr>
                <w:rStyle w:val="Hyperlink"/>
                <w:noProof/>
              </w:rPr>
              <w:t>4.</w:t>
            </w:r>
            <w:r>
              <w:rPr>
                <w:rFonts w:asciiTheme="minorHAnsi" w:eastAsiaTheme="minorEastAsia" w:hAnsiTheme="minorHAnsi"/>
                <w:noProof/>
                <w:kern w:val="2"/>
                <w:szCs w:val="24"/>
                <w14:ligatures w14:val="standardContextual"/>
              </w:rPr>
              <w:tab/>
            </w:r>
            <w:r w:rsidRPr="00A33756">
              <w:rPr>
                <w:rStyle w:val="Hyperlink"/>
                <w:noProof/>
              </w:rPr>
              <w:t>Describe Tests of Procedures or Methods</w:t>
            </w:r>
            <w:r>
              <w:rPr>
                <w:noProof/>
                <w:webHidden/>
              </w:rPr>
              <w:tab/>
            </w:r>
            <w:r>
              <w:rPr>
                <w:noProof/>
                <w:webHidden/>
              </w:rPr>
              <w:fldChar w:fldCharType="begin"/>
            </w:r>
            <w:r>
              <w:rPr>
                <w:noProof/>
                <w:webHidden/>
              </w:rPr>
              <w:instrText xml:space="preserve"> PAGEREF _Toc236138084 \h </w:instrText>
            </w:r>
            <w:r>
              <w:rPr>
                <w:noProof/>
                <w:webHidden/>
              </w:rPr>
              <w:fldChar w:fldCharType="separate"/>
            </w:r>
            <w:r>
              <w:rPr>
                <w:noProof/>
                <w:webHidden/>
              </w:rPr>
              <w:t>11</w:t>
            </w:r>
            <w:r>
              <w:rPr>
                <w:noProof/>
                <w:webHidden/>
              </w:rPr>
              <w:fldChar w:fldCharType="end"/>
            </w:r>
          </w:hyperlink>
        </w:p>
        <w:p w:rsidR="00536C64" w14:paraId="7736CDD1" w14:textId="64B7BFB4">
          <w:pPr>
            <w:pStyle w:val="TOC3"/>
            <w:rPr>
              <w:rFonts w:asciiTheme="minorHAnsi" w:eastAsiaTheme="minorEastAsia" w:hAnsiTheme="minorHAnsi"/>
              <w:noProof/>
              <w:kern w:val="2"/>
              <w:szCs w:val="24"/>
              <w14:ligatures w14:val="standardContextual"/>
            </w:rPr>
          </w:pPr>
          <w:hyperlink w:anchor="_Toc236138085" w:history="1">
            <w:r w:rsidRPr="00A33756">
              <w:rPr>
                <w:rStyle w:val="Hyperlink"/>
                <w:noProof/>
              </w:rPr>
              <w:t>5.</w:t>
            </w:r>
            <w:r>
              <w:rPr>
                <w:rFonts w:asciiTheme="minorHAnsi" w:eastAsiaTheme="minorEastAsia" w:hAnsiTheme="minorHAnsi"/>
                <w:noProof/>
                <w:kern w:val="2"/>
                <w:szCs w:val="24"/>
                <w14:ligatures w14:val="standardContextual"/>
              </w:rPr>
              <w:tab/>
            </w:r>
            <w:r w:rsidRPr="00A33756">
              <w:rPr>
                <w:rStyle w:val="Hyperlink"/>
                <w:noProof/>
              </w:rPr>
              <w:t>Consultation Information</w:t>
            </w:r>
            <w:r>
              <w:rPr>
                <w:noProof/>
                <w:webHidden/>
              </w:rPr>
              <w:tab/>
            </w:r>
            <w:r>
              <w:rPr>
                <w:noProof/>
                <w:webHidden/>
              </w:rPr>
              <w:fldChar w:fldCharType="begin"/>
            </w:r>
            <w:r>
              <w:rPr>
                <w:noProof/>
                <w:webHidden/>
              </w:rPr>
              <w:instrText xml:space="preserve"> PAGEREF _Toc236138085 \h </w:instrText>
            </w:r>
            <w:r>
              <w:rPr>
                <w:noProof/>
                <w:webHidden/>
              </w:rPr>
              <w:fldChar w:fldCharType="separate"/>
            </w:r>
            <w:r>
              <w:rPr>
                <w:noProof/>
                <w:webHidden/>
              </w:rPr>
              <w:t>16</w:t>
            </w:r>
            <w:r>
              <w:rPr>
                <w:noProof/>
                <w:webHidden/>
              </w:rPr>
              <w:fldChar w:fldCharType="end"/>
            </w:r>
          </w:hyperlink>
        </w:p>
        <w:p w:rsidR="00E4011D" w:rsidRPr="005777F1" w14:paraId="68BEFAE1" w14:textId="40B14B20">
          <w:r w:rsidRPr="005777F1">
            <w:rPr>
              <w:rFonts w:eastAsia="Calibri" w:cs="Times New Roman"/>
              <w:szCs w:val="20"/>
            </w:rPr>
            <w:fldChar w:fldCharType="end"/>
          </w:r>
        </w:p>
      </w:sdtContent>
    </w:sdt>
    <w:p w:rsidR="00D46A03" w:rsidRPr="005777F1" w:rsidP="00D46A03" w14:paraId="5A65ED90" w14:textId="77777777">
      <w:pPr>
        <w:pStyle w:val="Level1"/>
        <w:ind w:left="360"/>
        <w:rPr>
          <w:rFonts w:ascii="Times New Roman" w:hAnsi="Times New Roman"/>
          <w:b w:val="0"/>
          <w:szCs w:val="24"/>
        </w:rPr>
      </w:pPr>
    </w:p>
    <w:p w:rsidR="008C2095" w:rsidRPr="005777F1" w14:paraId="37B44839" w14:textId="0A6766E4">
      <w:pPr>
        <w:rPr>
          <w:rFonts w:cs="Times New Roman"/>
          <w:szCs w:val="24"/>
        </w:rPr>
      </w:pPr>
    </w:p>
    <w:p w:rsidR="00227053" w14:paraId="6A719D6E" w14:textId="77777777">
      <w:pPr>
        <w:rPr>
          <w:rFonts w:eastAsiaTheme="majorEastAsia" w:cstheme="majorBidi"/>
          <w:b/>
          <w:caps/>
          <w:sz w:val="28"/>
          <w:szCs w:val="28"/>
        </w:rPr>
      </w:pPr>
      <w:bookmarkStart w:id="0" w:name="_Hlk527645309"/>
      <w:r>
        <w:rPr>
          <w:sz w:val="28"/>
          <w:szCs w:val="28"/>
        </w:rPr>
        <w:br w:type="page"/>
      </w:r>
    </w:p>
    <w:p w:rsidR="002F2BF4" w:rsidRPr="002F2BF4" w:rsidP="002F2BF4" w14:paraId="606DD137" w14:textId="5B4F4D92">
      <w:pPr>
        <w:pStyle w:val="Heading1"/>
        <w:jc w:val="center"/>
        <w:rPr>
          <w:sz w:val="28"/>
          <w:szCs w:val="28"/>
        </w:rPr>
      </w:pPr>
      <w:bookmarkStart w:id="1" w:name="_Toc232591264"/>
      <w:bookmarkStart w:id="2" w:name="_Toc232610687"/>
      <w:bookmarkStart w:id="3" w:name="_Toc232591267"/>
      <w:bookmarkStart w:id="4" w:name="_Toc232610690"/>
      <w:bookmarkStart w:id="5" w:name="_Toc232591275"/>
      <w:bookmarkStart w:id="6" w:name="_Toc232610698"/>
      <w:bookmarkStart w:id="7" w:name="_Toc232591278"/>
      <w:bookmarkStart w:id="8" w:name="_Toc232610701"/>
      <w:bookmarkStart w:id="9" w:name="_Toc236138080"/>
      <w:bookmarkEnd w:id="0"/>
      <w:bookmarkEnd w:id="1"/>
      <w:bookmarkEnd w:id="2"/>
      <w:bookmarkEnd w:id="3"/>
      <w:bookmarkEnd w:id="4"/>
      <w:bookmarkEnd w:id="5"/>
      <w:bookmarkEnd w:id="6"/>
      <w:bookmarkEnd w:id="7"/>
      <w:bookmarkEnd w:id="8"/>
      <w:r w:rsidRPr="002F2BF4">
        <w:rPr>
          <w:sz w:val="28"/>
          <w:szCs w:val="28"/>
        </w:rPr>
        <w:t xml:space="preserve">SUPPORTING STATEMENT </w:t>
      </w:r>
      <w:r w:rsidR="009A6D4B">
        <w:rPr>
          <w:sz w:val="28"/>
          <w:szCs w:val="28"/>
        </w:rPr>
        <w:t xml:space="preserve">part </w:t>
      </w:r>
      <w:r w:rsidRPr="002F2BF4">
        <w:rPr>
          <w:sz w:val="28"/>
          <w:szCs w:val="28"/>
        </w:rPr>
        <w:t>B</w:t>
      </w:r>
      <w:bookmarkEnd w:id="9"/>
    </w:p>
    <w:p w:rsidR="009A6D4B" w:rsidP="00EE5E78" w14:paraId="7572B8B3" w14:textId="694EE3A5">
      <w:pPr>
        <w:pStyle w:val="Heading3"/>
        <w:numPr>
          <w:ilvl w:val="0"/>
          <w:numId w:val="29"/>
        </w:numPr>
      </w:pPr>
      <w:bookmarkStart w:id="10" w:name="_Toc36473984"/>
      <w:bookmarkStart w:id="11" w:name="_Toc236138081"/>
      <w:r>
        <w:t xml:space="preserve">Potential </w:t>
      </w:r>
      <w:r w:rsidRPr="009A6D4B">
        <w:t>Respondent Universe</w:t>
      </w:r>
      <w:bookmarkEnd w:id="10"/>
      <w:bookmarkEnd w:id="11"/>
      <w:r w:rsidRPr="009A6D4B">
        <w:t xml:space="preserve"> </w:t>
      </w:r>
    </w:p>
    <w:p w:rsidR="00D73818" w:rsidP="00EE5E78" w14:paraId="24C4368E" w14:textId="73173BFC">
      <w:pPr>
        <w:ind w:left="720"/>
        <w:rPr>
          <w:szCs w:val="24"/>
        </w:rPr>
      </w:pPr>
      <w:r w:rsidRPr="009C08D7">
        <w:rPr>
          <w:szCs w:val="24"/>
        </w:rPr>
        <w:t xml:space="preserve">The respondent universe consists of two broad categories of U.S. mariners: first, all officer (licensed) and rating (unlicensed) mariners with unlimited credentials and qualifications to sail on oceangoing sealift vessels who have a </w:t>
      </w:r>
      <w:r w:rsidR="0029068A">
        <w:rPr>
          <w:szCs w:val="24"/>
        </w:rPr>
        <w:t>valid</w:t>
      </w:r>
      <w:r w:rsidRPr="009C08D7" w:rsidR="0029068A">
        <w:rPr>
          <w:szCs w:val="24"/>
        </w:rPr>
        <w:t xml:space="preserve"> </w:t>
      </w:r>
      <w:r w:rsidRPr="009C08D7">
        <w:rPr>
          <w:szCs w:val="24"/>
        </w:rPr>
        <w:t xml:space="preserve">Merchant Mariner Credential (MMC), and second, all officer (licensed) mariners with unlimited credentials and qualifications to sail on oceangoing sealift vessels who have an MMC </w:t>
      </w:r>
      <w:r w:rsidR="0029068A">
        <w:rPr>
          <w:szCs w:val="24"/>
        </w:rPr>
        <w:t xml:space="preserve">placed </w:t>
      </w:r>
      <w:r w:rsidRPr="009C08D7">
        <w:rPr>
          <w:szCs w:val="24"/>
        </w:rPr>
        <w:t>in</w:t>
      </w:r>
      <w:r w:rsidR="0029068A">
        <w:rPr>
          <w:szCs w:val="24"/>
        </w:rPr>
        <w:t xml:space="preserve"> </w:t>
      </w:r>
      <w:r w:rsidRPr="009C08D7">
        <w:rPr>
          <w:szCs w:val="24"/>
        </w:rPr>
        <w:t>continuity.</w:t>
      </w:r>
      <w:r>
        <w:rPr>
          <w:szCs w:val="24"/>
          <w:vertAlign w:val="superscript"/>
        </w:rPr>
        <w:footnoteReference w:id="2"/>
      </w:r>
      <w:r w:rsidRPr="009C08D7">
        <w:rPr>
          <w:szCs w:val="24"/>
        </w:rPr>
        <w:t xml:space="preserve"> The sampling frame containing the respondent universe is the U</w:t>
      </w:r>
      <w:r w:rsidR="00FD6C2D">
        <w:rPr>
          <w:szCs w:val="24"/>
        </w:rPr>
        <w:t>.</w:t>
      </w:r>
      <w:r w:rsidRPr="009C08D7">
        <w:rPr>
          <w:szCs w:val="24"/>
        </w:rPr>
        <w:t>S</w:t>
      </w:r>
      <w:r w:rsidR="00FD6C2D">
        <w:rPr>
          <w:szCs w:val="24"/>
        </w:rPr>
        <w:t>.</w:t>
      </w:r>
      <w:r w:rsidRPr="009C08D7">
        <w:rPr>
          <w:szCs w:val="24"/>
        </w:rPr>
        <w:t xml:space="preserve"> Coast Guard (USCG)’s Merchant Mariner Licensing and Documentation (MMLD) system, </w:t>
      </w:r>
      <w:r w:rsidR="00CF13C6">
        <w:rPr>
          <w:szCs w:val="24"/>
        </w:rPr>
        <w:t>the official</w:t>
      </w:r>
      <w:r w:rsidRPr="009C08D7">
        <w:rPr>
          <w:szCs w:val="24"/>
        </w:rPr>
        <w:t xml:space="preserve"> listing of mariner</w:t>
      </w:r>
      <w:r w:rsidR="00CF13C6">
        <w:rPr>
          <w:szCs w:val="24"/>
        </w:rPr>
        <w:t>s</w:t>
      </w:r>
      <w:r w:rsidRPr="009C08D7">
        <w:rPr>
          <w:szCs w:val="24"/>
        </w:rPr>
        <w:t xml:space="preserve"> </w:t>
      </w:r>
      <w:r w:rsidR="00CF13C6">
        <w:rPr>
          <w:szCs w:val="24"/>
        </w:rPr>
        <w:t>who have</w:t>
      </w:r>
      <w:r w:rsidRPr="009C08D7">
        <w:rPr>
          <w:szCs w:val="24"/>
        </w:rPr>
        <w:t xml:space="preserve"> been issued an MMC. </w:t>
      </w:r>
    </w:p>
    <w:p w:rsidR="00C84200" w:rsidP="00D73818" w14:paraId="4546CAAE" w14:textId="66CC3AC4">
      <w:pPr>
        <w:ind w:left="720"/>
        <w:rPr>
          <w:color w:val="000000" w:themeColor="text1"/>
          <w:szCs w:val="24"/>
        </w:rPr>
      </w:pPr>
      <w:r w:rsidRPr="009C08D7">
        <w:rPr>
          <w:szCs w:val="24"/>
        </w:rPr>
        <w:t>The MMLD extract used to generate the sample sizes in Table</w:t>
      </w:r>
      <w:r w:rsidR="00244356">
        <w:rPr>
          <w:szCs w:val="24"/>
        </w:rPr>
        <w:t xml:space="preserve"> for Item</w:t>
      </w:r>
      <w:r w:rsidRPr="009C08D7">
        <w:rPr>
          <w:szCs w:val="24"/>
        </w:rPr>
        <w:t xml:space="preserve"> </w:t>
      </w:r>
      <w:r w:rsidR="00244356">
        <w:rPr>
          <w:szCs w:val="24"/>
        </w:rPr>
        <w:t xml:space="preserve">1 </w:t>
      </w:r>
      <w:r w:rsidRPr="009C08D7">
        <w:rPr>
          <w:szCs w:val="24"/>
        </w:rPr>
        <w:t xml:space="preserve">was provided to MARAD by the </w:t>
      </w:r>
      <w:r w:rsidR="00F64C2E">
        <w:rPr>
          <w:szCs w:val="24"/>
        </w:rPr>
        <w:t>USCG</w:t>
      </w:r>
      <w:r w:rsidRPr="009C08D7" w:rsidR="00F64C2E">
        <w:rPr>
          <w:szCs w:val="24"/>
        </w:rPr>
        <w:t xml:space="preserve"> </w:t>
      </w:r>
      <w:r w:rsidRPr="009C08D7">
        <w:rPr>
          <w:szCs w:val="24"/>
        </w:rPr>
        <w:t xml:space="preserve">in 2019. MARAD </w:t>
      </w:r>
      <w:r w:rsidR="00D73818">
        <w:rPr>
          <w:szCs w:val="24"/>
        </w:rPr>
        <w:t>also received</w:t>
      </w:r>
      <w:r w:rsidRPr="009C08D7">
        <w:rPr>
          <w:szCs w:val="24"/>
        </w:rPr>
        <w:t xml:space="preserve"> an updated extract in 202</w:t>
      </w:r>
      <w:r w:rsidR="0029068A">
        <w:rPr>
          <w:szCs w:val="24"/>
        </w:rPr>
        <w:t>5</w:t>
      </w:r>
      <w:r w:rsidR="00244356">
        <w:rPr>
          <w:szCs w:val="24"/>
        </w:rPr>
        <w:t>,</w:t>
      </w:r>
      <w:r w:rsidRPr="009C08D7">
        <w:rPr>
          <w:szCs w:val="24"/>
        </w:rPr>
        <w:t xml:space="preserve"> which was used to </w:t>
      </w:r>
      <w:r w:rsidR="00D73818">
        <w:rPr>
          <w:szCs w:val="24"/>
        </w:rPr>
        <w:t>select</w:t>
      </w:r>
      <w:r w:rsidRPr="009C08D7" w:rsidR="00D73818">
        <w:rPr>
          <w:szCs w:val="24"/>
        </w:rPr>
        <w:t xml:space="preserve"> </w:t>
      </w:r>
      <w:r w:rsidRPr="009C08D7">
        <w:rPr>
          <w:szCs w:val="24"/>
        </w:rPr>
        <w:t xml:space="preserve">the sample for the </w:t>
      </w:r>
      <w:r w:rsidRPr="00EE5E78">
        <w:rPr>
          <w:szCs w:val="24"/>
        </w:rPr>
        <w:t>Mariner Survey Pretest</w:t>
      </w:r>
      <w:r w:rsidRPr="009C08D7">
        <w:rPr>
          <w:szCs w:val="24"/>
        </w:rPr>
        <w:t xml:space="preserve">. However, </w:t>
      </w:r>
      <w:r w:rsidRPr="00D73818" w:rsidR="00D73818">
        <w:rPr>
          <w:szCs w:val="24"/>
        </w:rPr>
        <w:t xml:space="preserve">review of the 2025 extract indicated that it contained substantially fewer mariners </w:t>
      </w:r>
      <w:r w:rsidR="00A44CF3">
        <w:rPr>
          <w:szCs w:val="24"/>
        </w:rPr>
        <w:t xml:space="preserve">with valid MMCs </w:t>
      </w:r>
      <w:r w:rsidRPr="00D73818" w:rsidR="00D73818">
        <w:rPr>
          <w:szCs w:val="24"/>
        </w:rPr>
        <w:t>and notable shifts in the relative sizes of several mariner subgroups</w:t>
      </w:r>
      <w:r w:rsidR="00A44CF3">
        <w:rPr>
          <w:szCs w:val="24"/>
        </w:rPr>
        <w:t xml:space="preserve"> compared with the 2019 extract</w:t>
      </w:r>
      <w:r w:rsidRPr="00D73818" w:rsidR="00D73818">
        <w:rPr>
          <w:szCs w:val="24"/>
        </w:rPr>
        <w:t>.</w:t>
      </w:r>
      <w:r w:rsidR="00D73818">
        <w:rPr>
          <w:color w:val="000000" w:themeColor="text1"/>
          <w:szCs w:val="24"/>
        </w:rPr>
        <w:t xml:space="preserve"> Specifically, </w:t>
      </w:r>
      <w:r w:rsidRPr="00C03F8A" w:rsidR="0029068A">
        <w:rPr>
          <w:color w:val="000000" w:themeColor="text1"/>
          <w:szCs w:val="24"/>
        </w:rPr>
        <w:t xml:space="preserve">the 2025 extract contained </w:t>
      </w:r>
      <w:r>
        <w:rPr>
          <w:color w:val="000000" w:themeColor="text1"/>
          <w:szCs w:val="24"/>
        </w:rPr>
        <w:t>50,978</w:t>
      </w:r>
      <w:r w:rsidRPr="00C03F8A" w:rsidR="0029068A">
        <w:rPr>
          <w:color w:val="000000" w:themeColor="text1"/>
          <w:szCs w:val="24"/>
        </w:rPr>
        <w:t xml:space="preserve"> mariners with a </w:t>
      </w:r>
      <w:r w:rsidR="0029068A">
        <w:rPr>
          <w:color w:val="000000" w:themeColor="text1"/>
          <w:szCs w:val="24"/>
        </w:rPr>
        <w:t>valid</w:t>
      </w:r>
      <w:r w:rsidRPr="00C03F8A" w:rsidR="0029068A">
        <w:rPr>
          <w:color w:val="000000" w:themeColor="text1"/>
          <w:szCs w:val="24"/>
        </w:rPr>
        <w:t xml:space="preserve"> MMC</w:t>
      </w:r>
      <w:r>
        <w:rPr>
          <w:color w:val="000000" w:themeColor="text1"/>
          <w:szCs w:val="24"/>
        </w:rPr>
        <w:t xml:space="preserve"> compared with</w:t>
      </w:r>
      <w:r w:rsidRPr="00C03F8A" w:rsidR="0029068A">
        <w:rPr>
          <w:color w:val="000000" w:themeColor="text1"/>
          <w:szCs w:val="24"/>
        </w:rPr>
        <w:t xml:space="preserve"> 105,079</w:t>
      </w:r>
      <w:r>
        <w:rPr>
          <w:color w:val="000000" w:themeColor="text1"/>
          <w:szCs w:val="24"/>
        </w:rPr>
        <w:t xml:space="preserve"> in the 2019 extract.</w:t>
      </w:r>
      <w:r w:rsidRPr="00C03F8A" w:rsidR="0029068A">
        <w:rPr>
          <w:color w:val="000000" w:themeColor="text1"/>
          <w:szCs w:val="24"/>
        </w:rPr>
        <w:t xml:space="preserve"> Compared with the 2019 extract, the 2025 extract </w:t>
      </w:r>
      <w:r>
        <w:rPr>
          <w:color w:val="000000" w:themeColor="text1"/>
          <w:szCs w:val="24"/>
        </w:rPr>
        <w:t xml:space="preserve">also </w:t>
      </w:r>
      <w:r w:rsidRPr="00C03F8A" w:rsidR="0029068A">
        <w:rPr>
          <w:color w:val="000000" w:themeColor="text1"/>
          <w:szCs w:val="24"/>
        </w:rPr>
        <w:t xml:space="preserve">contained proportionately fewer Deck Officers and Able Seafarer Unlimited mariners and proportionately more Engineering Officers and </w:t>
      </w:r>
      <w:r w:rsidR="0029068A">
        <w:rPr>
          <w:color w:val="000000" w:themeColor="text1"/>
          <w:szCs w:val="24"/>
        </w:rPr>
        <w:t>Seafarer</w:t>
      </w:r>
      <w:r w:rsidRPr="00C03F8A" w:rsidR="0029068A">
        <w:rPr>
          <w:color w:val="000000" w:themeColor="text1"/>
          <w:szCs w:val="24"/>
        </w:rPr>
        <w:t>/Wiper</w:t>
      </w:r>
      <w:r w:rsidRPr="00C03F8A" w:rsidR="0029068A">
        <w:rPr>
          <w:color w:val="000000" w:themeColor="text1"/>
          <w:szCs w:val="24"/>
        </w:rPr>
        <w:t>/Steward’s Department</w:t>
      </w:r>
      <w:r w:rsidR="0029068A">
        <w:rPr>
          <w:color w:val="000000" w:themeColor="text1"/>
          <w:szCs w:val="24"/>
        </w:rPr>
        <w:t xml:space="preserve"> (FH)</w:t>
      </w:r>
      <w:r w:rsidRPr="00C03F8A" w:rsidR="0029068A">
        <w:rPr>
          <w:color w:val="000000" w:themeColor="text1"/>
          <w:szCs w:val="24"/>
        </w:rPr>
        <w:t xml:space="preserve"> mariners.</w:t>
      </w:r>
      <w:r w:rsidR="0029068A">
        <w:rPr>
          <w:color w:val="000000" w:themeColor="text1"/>
          <w:szCs w:val="24"/>
        </w:rPr>
        <w:t xml:space="preserve"> T</w:t>
      </w:r>
      <w:r w:rsidRPr="00C03F8A" w:rsidR="0029068A">
        <w:rPr>
          <w:color w:val="000000" w:themeColor="text1"/>
          <w:szCs w:val="24"/>
        </w:rPr>
        <w:t xml:space="preserve">hese differences </w:t>
      </w:r>
      <w:r>
        <w:rPr>
          <w:color w:val="000000" w:themeColor="text1"/>
          <w:szCs w:val="24"/>
        </w:rPr>
        <w:t>indic</w:t>
      </w:r>
      <w:r w:rsidR="00A44CF3">
        <w:rPr>
          <w:color w:val="000000" w:themeColor="text1"/>
          <w:szCs w:val="24"/>
        </w:rPr>
        <w:t>ated</w:t>
      </w:r>
      <w:r w:rsidRPr="00C03F8A">
        <w:rPr>
          <w:color w:val="000000" w:themeColor="text1"/>
          <w:szCs w:val="24"/>
        </w:rPr>
        <w:t xml:space="preserve"> </w:t>
      </w:r>
      <w:r w:rsidRPr="00C03F8A" w:rsidR="0029068A">
        <w:rPr>
          <w:color w:val="000000" w:themeColor="text1"/>
          <w:szCs w:val="24"/>
        </w:rPr>
        <w:t xml:space="preserve">that the 2025 extract </w:t>
      </w:r>
      <w:r>
        <w:rPr>
          <w:color w:val="000000" w:themeColor="text1"/>
          <w:szCs w:val="24"/>
        </w:rPr>
        <w:t xml:space="preserve">was not sufficiently complete to support reliable estimation of </w:t>
      </w:r>
      <w:r w:rsidR="0029068A">
        <w:rPr>
          <w:color w:val="000000" w:themeColor="text1"/>
          <w:szCs w:val="24"/>
        </w:rPr>
        <w:t>sample sizes</w:t>
      </w:r>
      <w:r w:rsidR="00CF13C6">
        <w:rPr>
          <w:color w:val="000000" w:themeColor="text1"/>
          <w:szCs w:val="24"/>
        </w:rPr>
        <w:t xml:space="preserve"> for the full survey effort</w:t>
      </w:r>
      <w:r w:rsidR="0029068A">
        <w:rPr>
          <w:color w:val="000000" w:themeColor="text1"/>
          <w:szCs w:val="24"/>
        </w:rPr>
        <w:t>. Accordingly,</w:t>
      </w:r>
      <w:r w:rsidRPr="00C03F8A" w:rsidR="0029068A">
        <w:rPr>
          <w:color w:val="000000" w:themeColor="text1"/>
          <w:szCs w:val="24"/>
        </w:rPr>
        <w:t xml:space="preserve"> the 2019 MMLD extract</w:t>
      </w:r>
      <w:r>
        <w:rPr>
          <w:color w:val="000000" w:themeColor="text1"/>
          <w:szCs w:val="24"/>
        </w:rPr>
        <w:t>, which</w:t>
      </w:r>
      <w:r w:rsidRPr="00C03F8A" w:rsidR="0029068A">
        <w:rPr>
          <w:color w:val="000000" w:themeColor="text1"/>
          <w:szCs w:val="24"/>
        </w:rPr>
        <w:t xml:space="preserve"> </w:t>
      </w:r>
      <w:r>
        <w:rPr>
          <w:color w:val="000000" w:themeColor="text1"/>
          <w:szCs w:val="24"/>
        </w:rPr>
        <w:t>provides</w:t>
      </w:r>
      <w:r w:rsidRPr="00C03F8A">
        <w:rPr>
          <w:color w:val="000000" w:themeColor="text1"/>
          <w:szCs w:val="24"/>
        </w:rPr>
        <w:t xml:space="preserve"> </w:t>
      </w:r>
      <w:r w:rsidRPr="00C03F8A" w:rsidR="0029068A">
        <w:rPr>
          <w:color w:val="000000" w:themeColor="text1"/>
          <w:szCs w:val="24"/>
        </w:rPr>
        <w:t xml:space="preserve">the most complete </w:t>
      </w:r>
      <w:r w:rsidR="00A44CF3">
        <w:rPr>
          <w:color w:val="000000" w:themeColor="text1"/>
          <w:szCs w:val="24"/>
        </w:rPr>
        <w:t xml:space="preserve">and reliable </w:t>
      </w:r>
      <w:r>
        <w:rPr>
          <w:color w:val="000000" w:themeColor="text1"/>
          <w:szCs w:val="24"/>
        </w:rPr>
        <w:t>basis</w:t>
      </w:r>
      <w:r w:rsidRPr="00C03F8A">
        <w:rPr>
          <w:color w:val="000000" w:themeColor="text1"/>
          <w:szCs w:val="24"/>
        </w:rPr>
        <w:t xml:space="preserve"> </w:t>
      </w:r>
      <w:r w:rsidRPr="00C03F8A" w:rsidR="0029068A">
        <w:rPr>
          <w:color w:val="000000" w:themeColor="text1"/>
          <w:szCs w:val="24"/>
        </w:rPr>
        <w:t>currently available for estimating sample sizes</w:t>
      </w:r>
      <w:r>
        <w:rPr>
          <w:color w:val="000000" w:themeColor="text1"/>
          <w:szCs w:val="24"/>
        </w:rPr>
        <w:t>, was used for this purpose</w:t>
      </w:r>
      <w:r w:rsidRPr="00C03F8A" w:rsidR="0029068A">
        <w:rPr>
          <w:color w:val="000000" w:themeColor="text1"/>
          <w:szCs w:val="24"/>
        </w:rPr>
        <w:t xml:space="preserve">. </w:t>
      </w:r>
    </w:p>
    <w:p w:rsidR="0029068A" w:rsidRPr="007940A2" w:rsidP="00D73818" w14:paraId="7FA946F3" w14:textId="119BC6E9">
      <w:pPr>
        <w:ind w:left="720"/>
        <w:rPr>
          <w:color w:val="000000" w:themeColor="text1"/>
          <w:szCs w:val="24"/>
        </w:rPr>
      </w:pPr>
      <w:r w:rsidRPr="007940A2">
        <w:rPr>
          <w:color w:val="000000" w:themeColor="text1"/>
          <w:szCs w:val="24"/>
        </w:rPr>
        <w:t xml:space="preserve">The USCG will provide </w:t>
      </w:r>
      <w:r w:rsidR="00C84200">
        <w:rPr>
          <w:color w:val="000000" w:themeColor="text1"/>
          <w:szCs w:val="24"/>
        </w:rPr>
        <w:t xml:space="preserve">MARAD with </w:t>
      </w:r>
      <w:r w:rsidRPr="007940A2">
        <w:rPr>
          <w:color w:val="000000" w:themeColor="text1"/>
          <w:szCs w:val="24"/>
        </w:rPr>
        <w:t xml:space="preserve">an updated and complete extract prior to </w:t>
      </w:r>
      <w:r w:rsidR="00C84200">
        <w:rPr>
          <w:color w:val="000000" w:themeColor="text1"/>
          <w:szCs w:val="24"/>
        </w:rPr>
        <w:t>implementation of</w:t>
      </w:r>
      <w:r w:rsidRPr="007940A2" w:rsidR="00C84200">
        <w:rPr>
          <w:color w:val="000000" w:themeColor="text1"/>
          <w:szCs w:val="24"/>
        </w:rPr>
        <w:t xml:space="preserve"> </w:t>
      </w:r>
      <w:r w:rsidRPr="007940A2">
        <w:rPr>
          <w:color w:val="000000" w:themeColor="text1"/>
          <w:szCs w:val="24"/>
        </w:rPr>
        <w:t xml:space="preserve">the </w:t>
      </w:r>
      <w:r w:rsidR="00C84200">
        <w:rPr>
          <w:color w:val="000000" w:themeColor="text1"/>
          <w:szCs w:val="24"/>
        </w:rPr>
        <w:t>2027</w:t>
      </w:r>
      <w:r w:rsidRPr="007940A2">
        <w:rPr>
          <w:color w:val="000000" w:themeColor="text1"/>
          <w:szCs w:val="24"/>
        </w:rPr>
        <w:t xml:space="preserve"> </w:t>
      </w:r>
      <w:r w:rsidRPr="00EE5E78">
        <w:rPr>
          <w:color w:val="000000" w:themeColor="text1"/>
          <w:szCs w:val="24"/>
        </w:rPr>
        <w:t>Mariner Survey</w:t>
      </w:r>
      <w:r w:rsidR="00C84200">
        <w:rPr>
          <w:color w:val="000000" w:themeColor="text1"/>
          <w:szCs w:val="24"/>
        </w:rPr>
        <w:t>,</w:t>
      </w:r>
      <w:r w:rsidRPr="007940A2">
        <w:rPr>
          <w:color w:val="000000" w:themeColor="text1"/>
          <w:szCs w:val="24"/>
        </w:rPr>
        <w:t xml:space="preserve"> </w:t>
      </w:r>
      <w:r w:rsidR="00C84200">
        <w:rPr>
          <w:color w:val="000000" w:themeColor="text1"/>
          <w:szCs w:val="24"/>
        </w:rPr>
        <w:t>and the survey sample will be selected from that updated extract</w:t>
      </w:r>
      <w:r w:rsidRPr="007940A2">
        <w:rPr>
          <w:color w:val="000000" w:themeColor="text1"/>
          <w:szCs w:val="24"/>
        </w:rPr>
        <w:t xml:space="preserve">. The sampling frame </w:t>
      </w:r>
      <w:r w:rsidR="00A44CF3">
        <w:rPr>
          <w:color w:val="000000" w:themeColor="text1"/>
          <w:szCs w:val="24"/>
        </w:rPr>
        <w:t>represented by</w:t>
      </w:r>
      <w:r w:rsidRPr="007940A2">
        <w:rPr>
          <w:color w:val="000000" w:themeColor="text1"/>
          <w:szCs w:val="24"/>
        </w:rPr>
        <w:t xml:space="preserve"> the </w:t>
      </w:r>
      <w:r>
        <w:rPr>
          <w:color w:val="000000" w:themeColor="text1"/>
          <w:szCs w:val="24"/>
        </w:rPr>
        <w:t xml:space="preserve">2019 </w:t>
      </w:r>
      <w:r w:rsidRPr="007940A2">
        <w:rPr>
          <w:color w:val="000000" w:themeColor="text1"/>
          <w:szCs w:val="24"/>
        </w:rPr>
        <w:t xml:space="preserve">MMLD extract includes </w:t>
      </w:r>
      <w:r>
        <w:rPr>
          <w:color w:val="000000" w:themeColor="text1"/>
          <w:szCs w:val="24"/>
        </w:rPr>
        <w:t>107,916</w:t>
      </w:r>
      <w:r w:rsidRPr="007940A2">
        <w:rPr>
          <w:color w:val="000000" w:themeColor="text1"/>
          <w:szCs w:val="24"/>
        </w:rPr>
        <w:t xml:space="preserve"> mariners</w:t>
      </w:r>
      <w:r w:rsidR="00A44CF3">
        <w:rPr>
          <w:color w:val="000000" w:themeColor="text1"/>
          <w:szCs w:val="24"/>
        </w:rPr>
        <w:t>:</w:t>
      </w:r>
      <w:r w:rsidRPr="007940A2">
        <w:rPr>
          <w:color w:val="000000" w:themeColor="text1"/>
          <w:szCs w:val="24"/>
        </w:rPr>
        <w:t xml:space="preserve"> </w:t>
      </w:r>
      <w:r>
        <w:rPr>
          <w:color w:val="000000" w:themeColor="text1"/>
          <w:szCs w:val="24"/>
        </w:rPr>
        <w:t>105,079</w:t>
      </w:r>
      <w:r w:rsidRPr="007940A2">
        <w:rPr>
          <w:color w:val="000000" w:themeColor="text1"/>
          <w:szCs w:val="24"/>
        </w:rPr>
        <w:t xml:space="preserve"> mariners with a </w:t>
      </w:r>
      <w:r>
        <w:rPr>
          <w:color w:val="000000" w:themeColor="text1"/>
          <w:szCs w:val="24"/>
        </w:rPr>
        <w:t>valid</w:t>
      </w:r>
      <w:r w:rsidRPr="007940A2">
        <w:rPr>
          <w:color w:val="000000" w:themeColor="text1"/>
          <w:szCs w:val="24"/>
        </w:rPr>
        <w:t xml:space="preserve"> MMC and </w:t>
      </w:r>
      <w:r w:rsidRPr="00871DE0">
        <w:rPr>
          <w:color w:val="000000" w:themeColor="text1"/>
          <w:szCs w:val="24"/>
        </w:rPr>
        <w:t>2,837</w:t>
      </w:r>
      <w:r w:rsidRPr="007940A2">
        <w:rPr>
          <w:color w:val="000000" w:themeColor="text1"/>
          <w:szCs w:val="24"/>
        </w:rPr>
        <w:t xml:space="preserve"> mariners with an MMC </w:t>
      </w:r>
      <w:r>
        <w:rPr>
          <w:color w:val="000000" w:themeColor="text1"/>
          <w:szCs w:val="24"/>
        </w:rPr>
        <w:t xml:space="preserve">placed </w:t>
      </w:r>
      <w:r w:rsidRPr="007940A2">
        <w:rPr>
          <w:color w:val="000000" w:themeColor="text1"/>
          <w:szCs w:val="24"/>
        </w:rPr>
        <w:t>in continuity.</w:t>
      </w:r>
    </w:p>
    <w:p w:rsidR="00B43612" w:rsidRPr="00B43612" w:rsidP="00EE5E78" w14:paraId="74407E36" w14:textId="4AD6D453">
      <w:pPr>
        <w:ind w:left="720"/>
      </w:pPr>
      <w:r w:rsidRPr="00B43612">
        <w:t xml:space="preserve">The MMLD extract provided to the survey contractor, Strategic Research Group (SRG), contains a complete listing of mariners using the USCG issued Mariner Reference Number which is a unique identifier that </w:t>
      </w:r>
      <w:r w:rsidR="00573CB4">
        <w:t>supports</w:t>
      </w:r>
      <w:r w:rsidRPr="00B43612" w:rsidR="00573CB4">
        <w:t xml:space="preserve"> </w:t>
      </w:r>
      <w:r w:rsidRPr="00B43612">
        <w:t xml:space="preserve">data integrity and </w:t>
      </w:r>
      <w:r w:rsidR="00573CB4">
        <w:t>reduces the likelihood of duplicate records</w:t>
      </w:r>
      <w:r w:rsidRPr="00B43612">
        <w:t>. This frame contains only fields deemed necessary for the survey effort, including mariner names and contact information</w:t>
      </w:r>
      <w:r w:rsidR="0086273C">
        <w:t xml:space="preserve">. </w:t>
      </w:r>
      <w:r w:rsidRPr="00B43612">
        <w:t xml:space="preserve">To further strengthen the </w:t>
      </w:r>
      <w:r w:rsidRPr="00B43612">
        <w:t xml:space="preserve">accuracy of the frame, SRG will thoroughly screen the fields for strange characters, incorrect formatting, and obvious errors. A third-party service will conduct a National Change of Address (NCOA) check and append or verify telephone numbers and email addresses </w:t>
      </w:r>
      <w:r w:rsidR="0086273C">
        <w:t>whenever</w:t>
      </w:r>
      <w:r w:rsidRPr="00B43612">
        <w:t xml:space="preserve"> possible. </w:t>
      </w:r>
    </w:p>
    <w:p w:rsidR="00B43612" w:rsidRPr="00B43612" w:rsidP="00EE5E78" w14:paraId="6936E59C" w14:textId="01DE9304">
      <w:pPr>
        <w:ind w:left="720"/>
      </w:pPr>
      <w:r w:rsidRPr="00B43612">
        <w:t xml:space="preserve">Mariners will be sampled using a </w:t>
      </w:r>
      <w:r w:rsidR="00675661">
        <w:t>stratified random sampling approach</w:t>
      </w:r>
      <w:r w:rsidRPr="00B43612">
        <w:t>. Mariners are stratified by their highest officer endorsement (for licensed mariners) or rating endorsement (for unlicensed mariners</w:t>
      </w:r>
      <w:r w:rsidRPr="007940A2">
        <w:t xml:space="preserve">). There are eight licensed mariner subpopulations and </w:t>
      </w:r>
      <w:r w:rsidR="00EE1973">
        <w:t>five</w:t>
      </w:r>
      <w:r w:rsidRPr="007940A2" w:rsidR="00EE1973">
        <w:t xml:space="preserve"> </w:t>
      </w:r>
      <w:r w:rsidRPr="007940A2">
        <w:t>unlicensed mariner subpopulations.</w:t>
      </w:r>
      <w:r w:rsidRPr="00B43612">
        <w:t xml:space="preserve"> </w:t>
      </w:r>
      <w:r w:rsidR="00CC2A7A">
        <w:t>Future</w:t>
      </w:r>
      <w:r w:rsidRPr="00D41B74" w:rsidR="00D41B74">
        <w:t xml:space="preserve"> administrations of the survey </w:t>
      </w:r>
      <w:r w:rsidR="00CC2A7A">
        <w:t>may</w:t>
      </w:r>
      <w:r w:rsidRPr="00D41B74" w:rsidR="00D41B74">
        <w:t xml:space="preserve"> incorporate a rotating panel design in which a portion of respondents from prior survey waves may be recontacted in future administrations while new respondents are also sampled from the current mariner population. </w:t>
      </w:r>
      <w:r w:rsidR="00CC2A7A">
        <w:t>Such an</w:t>
      </w:r>
      <w:r w:rsidRPr="00D41B74" w:rsidR="00D41B74">
        <w:t xml:space="preserve"> approach </w:t>
      </w:r>
      <w:r w:rsidR="00CC2A7A">
        <w:t>could</w:t>
      </w:r>
      <w:r w:rsidRPr="00D41B74" w:rsidR="00D41B74">
        <w:t xml:space="preserve"> support analyses of changes over time while limiting respondent burden and maintaining representation of the broader mariner workforce.</w:t>
      </w:r>
      <w:r w:rsidR="002B43A6">
        <w:t xml:space="preserve"> Specific sampling procedures for future survey administrations will be developed and documented prior to implementation.</w:t>
      </w:r>
      <w:r w:rsidRPr="00D41B74" w:rsidR="00D41B74">
        <w:t xml:space="preserve"> </w:t>
      </w:r>
    </w:p>
    <w:p w:rsidR="00B152FE" w:rsidP="00EE5E78" w14:paraId="621B5CCD" w14:textId="120486BC">
      <w:pPr>
        <w:ind w:left="720"/>
      </w:pPr>
      <w:r w:rsidRPr="00B43612">
        <w:t xml:space="preserve">Table </w:t>
      </w:r>
      <w:r w:rsidR="00987C83">
        <w:t xml:space="preserve">for item </w:t>
      </w:r>
      <w:r w:rsidRPr="00B43612">
        <w:t xml:space="preserve">1 provides the </w:t>
      </w:r>
      <w:r w:rsidR="00210190">
        <w:t xml:space="preserve">mariner </w:t>
      </w:r>
      <w:r w:rsidRPr="00B43612">
        <w:t>population</w:t>
      </w:r>
      <w:r w:rsidR="00210190">
        <w:t xml:space="preserve"> estimates derived from the 2019 MMLD extract</w:t>
      </w:r>
      <w:r w:rsidRPr="00B43612">
        <w:t xml:space="preserve"> by subgroup for mariners with a </w:t>
      </w:r>
      <w:r w:rsidR="0076365B">
        <w:t>valid</w:t>
      </w:r>
      <w:r w:rsidRPr="00B43612">
        <w:t xml:space="preserve"> MMC and mariners with an MMC </w:t>
      </w:r>
      <w:r w:rsidR="0076365B">
        <w:t xml:space="preserve">placed </w:t>
      </w:r>
      <w:r w:rsidRPr="00B43612">
        <w:t xml:space="preserve">in continuity. The table also provides the corresponding sample sizes for the data collection effort. </w:t>
      </w:r>
    </w:p>
    <w:p w:rsidR="00872931" w:rsidRPr="00622D9A" w:rsidP="00EE5E78" w14:paraId="02673D51" w14:textId="51DE10D2">
      <w:pPr>
        <w:ind w:left="720"/>
      </w:pPr>
      <w:r w:rsidRPr="00622D9A">
        <w:t xml:space="preserve">For licensed mariners with a </w:t>
      </w:r>
      <w:r w:rsidR="0076365B">
        <w:t>valid</w:t>
      </w:r>
      <w:r w:rsidRPr="00622D9A">
        <w:t xml:space="preserve"> MMC, the proposed sample sizes are expected to yield results within each subpopulation with </w:t>
      </w:r>
      <w:r w:rsidRPr="00622D9A" w:rsidR="00871DE0">
        <w:t>a</w:t>
      </w:r>
      <w:r w:rsidR="00871DE0">
        <w:t xml:space="preserve"> </w:t>
      </w:r>
      <w:r w:rsidRPr="00622D9A" w:rsidR="00871DE0">
        <w:t>±</w:t>
      </w:r>
      <w:r w:rsidRPr="00622D9A">
        <w:t xml:space="preserve">5% margin of error at the 95% confidence level, assuming a </w:t>
      </w:r>
      <w:r w:rsidR="00CF13C6">
        <w:t xml:space="preserve">minimum </w:t>
      </w:r>
      <w:r w:rsidRPr="00622D9A">
        <w:t xml:space="preserve">response rate of 35%. </w:t>
      </w:r>
      <w:r w:rsidR="001733EB">
        <w:t>A</w:t>
      </w:r>
      <w:r w:rsidRPr="00622D9A">
        <w:t xml:space="preserve"> 35% response rate is </w:t>
      </w:r>
      <w:r w:rsidR="001733EB">
        <w:t xml:space="preserve">considered </w:t>
      </w:r>
      <w:r w:rsidRPr="00622D9A">
        <w:t>achievable based on the response</w:t>
      </w:r>
      <w:r w:rsidR="007843AD">
        <w:t xml:space="preserve"> rate improvement</w:t>
      </w:r>
      <w:r w:rsidRPr="00622D9A">
        <w:t xml:space="preserve"> strategies described in Section B.3. During the </w:t>
      </w:r>
      <w:r w:rsidR="003917E6">
        <w:t>p</w:t>
      </w:r>
      <w:r w:rsidRPr="00622D9A">
        <w:t xml:space="preserve">ilot </w:t>
      </w:r>
      <w:r w:rsidR="003917E6">
        <w:t>t</w:t>
      </w:r>
      <w:r w:rsidRPr="00622D9A">
        <w:t xml:space="preserve">est, a response rate of at least 35% was achieved for four of the eight licensed mariner </w:t>
      </w:r>
      <w:r>
        <w:t>sub</w:t>
      </w:r>
      <w:r w:rsidRPr="00622D9A">
        <w:t xml:space="preserve">groups. </w:t>
      </w:r>
      <w:r w:rsidRPr="00451B3C" w:rsidR="00451B3C">
        <w:t>MARAD anticipates that response rates for the full survey may improve across the licensed mariner subgroups as a result of additional outreach and survey promotion efforts, including expanded multimode contact strategies and revised follow-up procedures informed by pilot test results.</w:t>
      </w:r>
    </w:p>
    <w:p w:rsidR="00872931" w:rsidRPr="00622D9A" w:rsidP="00EE5E78" w14:paraId="4DA80CCA" w14:textId="64A9BF1A">
      <w:pPr>
        <w:ind w:left="720"/>
      </w:pPr>
      <w:r w:rsidRPr="00622D9A">
        <w:t xml:space="preserve">Based on lower-than-expected response rates among all five subgroups of unlicensed mariners holding a </w:t>
      </w:r>
      <w:r w:rsidR="0076365B">
        <w:t>valid</w:t>
      </w:r>
      <w:r w:rsidRPr="00622D9A">
        <w:t xml:space="preserve"> MMC</w:t>
      </w:r>
      <w:r>
        <w:t xml:space="preserve"> found during the </w:t>
      </w:r>
      <w:r w:rsidR="00F47F10">
        <w:t>p</w:t>
      </w:r>
      <w:r>
        <w:t xml:space="preserve">ilot </w:t>
      </w:r>
      <w:r w:rsidR="00F47F10">
        <w:t>t</w:t>
      </w:r>
      <w:r>
        <w:t>est</w:t>
      </w:r>
      <w:r w:rsidRPr="00622D9A">
        <w:t xml:space="preserve">, a more reasonable projection for these </w:t>
      </w:r>
      <w:r>
        <w:t>sub</w:t>
      </w:r>
      <w:r w:rsidRPr="00622D9A">
        <w:t>groups is a minimum 25% response rate, with the goal of achieving estimates within a ±5% margin of error at the 95% confidence level.</w:t>
      </w:r>
    </w:p>
    <w:p w:rsidR="00451B3C" w:rsidP="00EE5E78" w14:paraId="028DD359" w14:textId="77777777">
      <w:pPr>
        <w:ind w:left="720"/>
      </w:pPr>
      <w:r w:rsidRPr="00451B3C">
        <w:t xml:space="preserve">Because of the relatively small population sizes of the licensed mariner subgroups with an MMC placed in continuity, the survey will include all eligible mariners within these subgroups rather than selecting a sample. </w:t>
      </w:r>
    </w:p>
    <w:p w:rsidR="00B43612" w:rsidRPr="00B43612" w:rsidP="00EE5E78" w14:paraId="59F8A541" w14:textId="028FBFF9">
      <w:pPr>
        <w:ind w:left="720"/>
        <w:rPr>
          <w:b/>
          <w:bCs/>
        </w:rPr>
      </w:pPr>
      <w:r w:rsidRPr="00B43612">
        <w:rPr>
          <w:b/>
          <w:bCs/>
        </w:rPr>
        <w:t xml:space="preserve">Table </w:t>
      </w:r>
      <w:r w:rsidR="006E4D69">
        <w:rPr>
          <w:b/>
          <w:bCs/>
        </w:rPr>
        <w:t xml:space="preserve">for Item </w:t>
      </w:r>
      <w:r w:rsidRPr="00B43612">
        <w:rPr>
          <w:b/>
          <w:bCs/>
        </w:rPr>
        <w:t>1</w:t>
      </w:r>
      <w:r w:rsidR="00DD158E">
        <w:rPr>
          <w:b/>
          <w:bCs/>
        </w:rPr>
        <w:t>:</w:t>
      </w:r>
      <w:r w:rsidRPr="00B43612">
        <w:rPr>
          <w:b/>
          <w:bCs/>
        </w:rPr>
        <w:t xml:space="preserve"> Mariner Population and Sample Sizes for Mariners with a </w:t>
      </w:r>
      <w:r w:rsidR="0076365B">
        <w:rPr>
          <w:b/>
          <w:bCs/>
        </w:rPr>
        <w:t>Valid</w:t>
      </w:r>
      <w:r w:rsidRPr="00B43612">
        <w:rPr>
          <w:b/>
          <w:bCs/>
        </w:rPr>
        <w:t xml:space="preserve"> MMC and Mariners with an MMC </w:t>
      </w:r>
      <w:r w:rsidR="0076365B">
        <w:rPr>
          <w:b/>
          <w:bCs/>
        </w:rPr>
        <w:t xml:space="preserve">Placed </w:t>
      </w:r>
      <w:r w:rsidRPr="00B43612">
        <w:rPr>
          <w:b/>
          <w:bCs/>
        </w:rPr>
        <w:t>in Continuity</w:t>
      </w:r>
    </w:p>
    <w:tbl>
      <w:tblPr>
        <w:tblW w:w="9810" w:type="dxa"/>
        <w:tblInd w:w="108" w:type="dxa"/>
        <w:tblLayout w:type="fixed"/>
        <w:tblLook w:val="04A0"/>
      </w:tblPr>
      <w:tblGrid>
        <w:gridCol w:w="2880"/>
        <w:gridCol w:w="1230"/>
        <w:gridCol w:w="1110"/>
        <w:gridCol w:w="1170"/>
        <w:gridCol w:w="1080"/>
        <w:gridCol w:w="1200"/>
        <w:gridCol w:w="1140"/>
      </w:tblGrid>
      <w:tr w14:paraId="3442C7F5" w14:textId="77777777">
        <w:tblPrEx>
          <w:tblW w:w="9810" w:type="dxa"/>
          <w:tblInd w:w="108" w:type="dxa"/>
          <w:tblLayout w:type="fixed"/>
          <w:tblLook w:val="04A0"/>
        </w:tblPrEx>
        <w:trPr>
          <w:trHeight w:val="600"/>
          <w:tblHeader/>
        </w:trPr>
        <w:tc>
          <w:tcPr>
            <w:tcW w:w="2880" w:type="dxa"/>
            <w:vMerge w:val="restart"/>
            <w:tcBorders>
              <w:top w:val="single" w:sz="4" w:space="0" w:color="auto"/>
              <w:left w:val="single" w:sz="4" w:space="0" w:color="auto"/>
              <w:bottom w:val="single" w:sz="4" w:space="0" w:color="auto"/>
              <w:right w:val="single" w:sz="4" w:space="0" w:color="auto"/>
            </w:tcBorders>
            <w:vAlign w:val="bottom"/>
            <w:hideMark/>
          </w:tcPr>
          <w:p w:rsidR="00321F00" w:rsidRPr="00321F00" w:rsidP="00321F00" w14:paraId="6A4CA33D" w14:textId="77777777">
            <w:pPr>
              <w:spacing w:after="0" w:line="240" w:lineRule="auto"/>
              <w:rPr>
                <w:rFonts w:eastAsia="Times New Roman" w:cs="Times New Roman"/>
                <w:b/>
                <w:sz w:val="22"/>
              </w:rPr>
            </w:pPr>
            <w:r w:rsidRPr="00321F00">
              <w:rPr>
                <w:rFonts w:eastAsia="Times New Roman" w:cs="Times New Roman"/>
                <w:b/>
                <w:sz w:val="22"/>
              </w:rPr>
              <w:t>Mariner Subpopulations</w:t>
            </w:r>
          </w:p>
        </w:tc>
        <w:tc>
          <w:tcPr>
            <w:tcW w:w="2340" w:type="dxa"/>
            <w:gridSpan w:val="2"/>
            <w:tcBorders>
              <w:top w:val="single" w:sz="4" w:space="0" w:color="auto"/>
              <w:left w:val="nil"/>
              <w:bottom w:val="single" w:sz="4" w:space="0" w:color="auto"/>
              <w:right w:val="single" w:sz="4" w:space="0" w:color="auto"/>
            </w:tcBorders>
            <w:vAlign w:val="center"/>
            <w:hideMark/>
          </w:tcPr>
          <w:p w:rsidR="00321F00" w:rsidRPr="00321F00" w:rsidP="00321F00" w14:paraId="191F59B7" w14:textId="13E1AA50">
            <w:pPr>
              <w:spacing w:after="0" w:line="240" w:lineRule="auto"/>
              <w:jc w:val="center"/>
              <w:rPr>
                <w:rFonts w:eastAsia="Times New Roman" w:cs="Times New Roman"/>
                <w:b/>
                <w:sz w:val="22"/>
              </w:rPr>
            </w:pPr>
            <w:r w:rsidRPr="00321F00">
              <w:rPr>
                <w:rFonts w:eastAsia="Times New Roman" w:cs="Times New Roman"/>
                <w:b/>
                <w:sz w:val="22"/>
              </w:rPr>
              <w:t xml:space="preserve">Mariners with </w:t>
            </w:r>
            <w:r w:rsidR="0076365B">
              <w:rPr>
                <w:rFonts w:eastAsia="Times New Roman" w:cs="Times New Roman"/>
                <w:b/>
                <w:sz w:val="22"/>
              </w:rPr>
              <w:t>Valid</w:t>
            </w:r>
            <w:r w:rsidRPr="00321F00">
              <w:rPr>
                <w:rFonts w:eastAsia="Times New Roman" w:cs="Times New Roman"/>
                <w:b/>
                <w:sz w:val="22"/>
              </w:rPr>
              <w:t xml:space="preserve"> MMC </w:t>
            </w:r>
          </w:p>
        </w:tc>
        <w:tc>
          <w:tcPr>
            <w:tcW w:w="2250" w:type="dxa"/>
            <w:gridSpan w:val="2"/>
            <w:tcBorders>
              <w:top w:val="single" w:sz="4" w:space="0" w:color="auto"/>
              <w:left w:val="nil"/>
              <w:bottom w:val="single" w:sz="4" w:space="0" w:color="auto"/>
              <w:right w:val="single" w:sz="4" w:space="0" w:color="auto"/>
            </w:tcBorders>
            <w:vAlign w:val="center"/>
            <w:hideMark/>
          </w:tcPr>
          <w:p w:rsidR="00321F00" w:rsidRPr="00321F00" w:rsidP="00321F00" w14:paraId="62C1934D" w14:textId="141D8A51">
            <w:pPr>
              <w:spacing w:after="0" w:line="240" w:lineRule="auto"/>
              <w:jc w:val="center"/>
              <w:rPr>
                <w:rFonts w:eastAsia="Times New Roman" w:cs="Times New Roman"/>
                <w:b/>
                <w:sz w:val="22"/>
              </w:rPr>
            </w:pPr>
            <w:r w:rsidRPr="00321F00">
              <w:rPr>
                <w:rFonts w:eastAsia="Times New Roman" w:cs="Times New Roman"/>
                <w:b/>
                <w:sz w:val="22"/>
              </w:rPr>
              <w:t xml:space="preserve">Mariners with MMC </w:t>
            </w:r>
            <w:r w:rsidR="0076365B">
              <w:rPr>
                <w:rFonts w:eastAsia="Times New Roman" w:cs="Times New Roman"/>
                <w:b/>
                <w:sz w:val="22"/>
              </w:rPr>
              <w:t xml:space="preserve">placed </w:t>
            </w:r>
            <w:r w:rsidRPr="00321F00">
              <w:rPr>
                <w:rFonts w:eastAsia="Times New Roman" w:cs="Times New Roman"/>
                <w:b/>
                <w:sz w:val="22"/>
              </w:rPr>
              <w:t>in Continuity</w:t>
            </w:r>
          </w:p>
        </w:tc>
        <w:tc>
          <w:tcPr>
            <w:tcW w:w="2340" w:type="dxa"/>
            <w:gridSpan w:val="2"/>
            <w:tcBorders>
              <w:top w:val="single" w:sz="4" w:space="0" w:color="auto"/>
              <w:left w:val="nil"/>
              <w:bottom w:val="single" w:sz="4" w:space="0" w:color="auto"/>
              <w:right w:val="single" w:sz="4" w:space="0" w:color="auto"/>
            </w:tcBorders>
            <w:vAlign w:val="center"/>
            <w:hideMark/>
          </w:tcPr>
          <w:p w:rsidR="00321F00" w:rsidRPr="00321F00" w:rsidP="00321F00" w14:paraId="373CD84D" w14:textId="77777777">
            <w:pPr>
              <w:spacing w:after="0" w:line="240" w:lineRule="auto"/>
              <w:jc w:val="center"/>
              <w:rPr>
                <w:rFonts w:eastAsia="Times New Roman" w:cs="Times New Roman"/>
                <w:b/>
                <w:sz w:val="22"/>
              </w:rPr>
            </w:pPr>
            <w:r w:rsidRPr="00321F00">
              <w:rPr>
                <w:rFonts w:eastAsia="Times New Roman" w:cs="Times New Roman"/>
                <w:b/>
                <w:sz w:val="22"/>
              </w:rPr>
              <w:t>Total Mariners</w:t>
            </w:r>
          </w:p>
        </w:tc>
      </w:tr>
      <w:tr w14:paraId="5115EC7C" w14:textId="77777777">
        <w:tblPrEx>
          <w:tblW w:w="9810" w:type="dxa"/>
          <w:tblInd w:w="108" w:type="dxa"/>
          <w:tblLayout w:type="fixed"/>
          <w:tblLook w:val="04A0"/>
        </w:tblPrEx>
        <w:trPr>
          <w:trHeight w:val="300"/>
        </w:trPr>
        <w:tc>
          <w:tcPr>
            <w:tcW w:w="2880" w:type="dxa"/>
            <w:vMerge/>
            <w:tcBorders>
              <w:top w:val="single" w:sz="4" w:space="0" w:color="auto"/>
              <w:left w:val="single" w:sz="4" w:space="0" w:color="auto"/>
              <w:bottom w:val="single" w:sz="4" w:space="0" w:color="auto"/>
              <w:right w:val="single" w:sz="4" w:space="0" w:color="auto"/>
            </w:tcBorders>
            <w:vAlign w:val="center"/>
            <w:hideMark/>
          </w:tcPr>
          <w:p w:rsidR="00321F00" w:rsidRPr="00321F00" w:rsidP="00321F00" w14:paraId="00FDCE83" w14:textId="77777777">
            <w:pPr>
              <w:spacing w:after="0" w:line="256" w:lineRule="auto"/>
              <w:rPr>
                <w:rFonts w:eastAsia="Times New Roman" w:cs="Times New Roman"/>
                <w:b/>
                <w:sz w:val="22"/>
              </w:rPr>
            </w:pPr>
          </w:p>
        </w:tc>
        <w:tc>
          <w:tcPr>
            <w:tcW w:w="1230" w:type="dxa"/>
            <w:tcBorders>
              <w:top w:val="nil"/>
              <w:left w:val="nil"/>
              <w:bottom w:val="single" w:sz="4" w:space="0" w:color="auto"/>
              <w:right w:val="single" w:sz="4" w:space="0" w:color="auto"/>
            </w:tcBorders>
            <w:noWrap/>
            <w:vAlign w:val="bottom"/>
            <w:hideMark/>
          </w:tcPr>
          <w:p w:rsidR="00321F00" w:rsidRPr="007940A2" w:rsidP="00321F00" w14:paraId="23E8162A"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Population Size</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19A700EF"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 xml:space="preserve">Sample </w:t>
            </w:r>
          </w:p>
          <w:p w:rsidR="00321F00" w:rsidRPr="007940A2" w:rsidP="00321F00" w14:paraId="36DB8E3B"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Size</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1FEC2E83"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Population Size</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42C114E2"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 xml:space="preserve">Sample </w:t>
            </w:r>
          </w:p>
          <w:p w:rsidR="00321F00" w:rsidRPr="007940A2" w:rsidP="00321F00" w14:paraId="044AEBE9"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Size*</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4948F9E6"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Population Size</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0FA7C57F"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 xml:space="preserve">Sample </w:t>
            </w:r>
          </w:p>
          <w:p w:rsidR="00321F00" w:rsidRPr="007940A2" w:rsidP="00321F00" w14:paraId="325063EB"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Size</w:t>
            </w:r>
          </w:p>
        </w:tc>
      </w:tr>
      <w:tr w14:paraId="32555D31"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511E4124" w14:textId="77777777">
            <w:pPr>
              <w:spacing w:after="0" w:line="240" w:lineRule="auto"/>
              <w:rPr>
                <w:rFonts w:eastAsia="Times New Roman" w:cs="Times New Roman"/>
                <w:color w:val="000000"/>
                <w:sz w:val="22"/>
              </w:rPr>
            </w:pPr>
            <w:r w:rsidRPr="007940A2">
              <w:rPr>
                <w:rFonts w:eastAsia="Times New Roman" w:cs="Times New Roman"/>
                <w:color w:val="000000"/>
                <w:sz w:val="22"/>
              </w:rPr>
              <w:t>Licensed Mariners</w:t>
            </w:r>
          </w:p>
        </w:tc>
        <w:tc>
          <w:tcPr>
            <w:tcW w:w="1230" w:type="dxa"/>
            <w:tcBorders>
              <w:top w:val="nil"/>
              <w:left w:val="nil"/>
              <w:bottom w:val="single" w:sz="4" w:space="0" w:color="auto"/>
              <w:right w:val="single" w:sz="4" w:space="0" w:color="auto"/>
            </w:tcBorders>
            <w:noWrap/>
            <w:vAlign w:val="bottom"/>
          </w:tcPr>
          <w:p w:rsidR="00321F00" w:rsidRPr="007940A2" w:rsidP="00321F00" w14:paraId="10B5D1BB" w14:textId="77777777">
            <w:pPr>
              <w:spacing w:after="0" w:line="240" w:lineRule="auto"/>
              <w:jc w:val="center"/>
              <w:rPr>
                <w:rFonts w:eastAsia="Times New Roman" w:cs="Times New Roman"/>
                <w:color w:val="000000"/>
                <w:sz w:val="22"/>
              </w:rPr>
            </w:pPr>
          </w:p>
        </w:tc>
        <w:tc>
          <w:tcPr>
            <w:tcW w:w="1110" w:type="dxa"/>
            <w:tcBorders>
              <w:top w:val="single" w:sz="4" w:space="0" w:color="auto"/>
              <w:left w:val="nil"/>
              <w:bottom w:val="single" w:sz="4" w:space="0" w:color="auto"/>
              <w:right w:val="single" w:sz="4" w:space="0" w:color="auto"/>
            </w:tcBorders>
            <w:noWrap/>
            <w:vAlign w:val="bottom"/>
          </w:tcPr>
          <w:p w:rsidR="00321F00" w:rsidRPr="007940A2" w:rsidP="00321F00" w14:paraId="2A3BA9A2"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321F00" w:rsidRPr="007940A2" w:rsidP="00321F00" w14:paraId="4DE77641" w14:textId="77777777">
            <w:pPr>
              <w:spacing w:after="0" w:line="240" w:lineRule="auto"/>
              <w:jc w:val="center"/>
              <w:rPr>
                <w:rFonts w:eastAsia="Times New Roman" w:cs="Times New Roman"/>
                <w:color w:val="000000"/>
                <w:sz w:val="22"/>
              </w:rPr>
            </w:pPr>
          </w:p>
        </w:tc>
        <w:tc>
          <w:tcPr>
            <w:tcW w:w="1080" w:type="dxa"/>
            <w:tcBorders>
              <w:top w:val="single" w:sz="4" w:space="0" w:color="auto"/>
              <w:left w:val="nil"/>
              <w:bottom w:val="single" w:sz="4" w:space="0" w:color="auto"/>
              <w:right w:val="single" w:sz="4" w:space="0" w:color="auto"/>
            </w:tcBorders>
            <w:vAlign w:val="bottom"/>
          </w:tcPr>
          <w:p w:rsidR="00321F00" w:rsidRPr="007940A2" w:rsidP="00321F00" w14:paraId="43B0839D" w14:textId="77777777">
            <w:pPr>
              <w:spacing w:after="0" w:line="240" w:lineRule="auto"/>
              <w:jc w:val="center"/>
              <w:rPr>
                <w:rFonts w:eastAsia="Times New Roman" w:cs="Times New Roman"/>
                <w:color w:val="000000"/>
                <w:sz w:val="22"/>
              </w:rPr>
            </w:pPr>
          </w:p>
        </w:tc>
        <w:tc>
          <w:tcPr>
            <w:tcW w:w="1200" w:type="dxa"/>
            <w:tcBorders>
              <w:top w:val="single" w:sz="4" w:space="0" w:color="auto"/>
              <w:left w:val="nil"/>
              <w:bottom w:val="single" w:sz="4" w:space="0" w:color="auto"/>
              <w:right w:val="single" w:sz="4" w:space="0" w:color="auto"/>
            </w:tcBorders>
          </w:tcPr>
          <w:p w:rsidR="00321F00" w:rsidRPr="007940A2" w:rsidP="00321F00" w14:paraId="65B5FC5E" w14:textId="77777777">
            <w:pPr>
              <w:spacing w:after="0" w:line="240" w:lineRule="auto"/>
              <w:jc w:val="center"/>
              <w:rPr>
                <w:rFonts w:eastAsia="Times New Roman" w:cs="Times New Roman"/>
                <w:color w:val="000000"/>
                <w:sz w:val="22"/>
              </w:rPr>
            </w:pPr>
          </w:p>
        </w:tc>
        <w:tc>
          <w:tcPr>
            <w:tcW w:w="1140" w:type="dxa"/>
            <w:tcBorders>
              <w:top w:val="single" w:sz="4" w:space="0" w:color="auto"/>
              <w:left w:val="nil"/>
              <w:bottom w:val="single" w:sz="4" w:space="0" w:color="auto"/>
              <w:right w:val="single" w:sz="4" w:space="0" w:color="auto"/>
            </w:tcBorders>
          </w:tcPr>
          <w:p w:rsidR="00321F00" w:rsidRPr="007940A2" w:rsidP="00321F00" w14:paraId="119F964A" w14:textId="77777777">
            <w:pPr>
              <w:spacing w:after="0" w:line="240" w:lineRule="auto"/>
              <w:jc w:val="center"/>
              <w:rPr>
                <w:rFonts w:eastAsia="Times New Roman" w:cs="Times New Roman"/>
                <w:color w:val="000000"/>
                <w:sz w:val="22"/>
              </w:rPr>
            </w:pPr>
          </w:p>
        </w:tc>
      </w:tr>
      <w:tr w14:paraId="4EE4C25B"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0FE4DF25" w14:textId="77777777">
            <w:pPr>
              <w:spacing w:after="0" w:line="240" w:lineRule="auto"/>
              <w:ind w:left="360"/>
              <w:rPr>
                <w:rFonts w:eastAsia="Times New Roman" w:cs="Times New Roman"/>
                <w:color w:val="000000"/>
                <w:sz w:val="22"/>
              </w:rPr>
            </w:pPr>
            <w:r w:rsidRPr="007940A2">
              <w:rPr>
                <w:rFonts w:eastAsia="Times New Roman" w:cs="Times New Roman"/>
                <w:color w:val="000000"/>
                <w:sz w:val="22"/>
              </w:rPr>
              <w:t>Deck Officers</w:t>
            </w:r>
          </w:p>
        </w:tc>
        <w:tc>
          <w:tcPr>
            <w:tcW w:w="1230" w:type="dxa"/>
            <w:tcBorders>
              <w:top w:val="nil"/>
              <w:left w:val="nil"/>
              <w:bottom w:val="single" w:sz="4" w:space="0" w:color="auto"/>
              <w:right w:val="single" w:sz="4" w:space="0" w:color="auto"/>
            </w:tcBorders>
            <w:noWrap/>
            <w:vAlign w:val="bottom"/>
          </w:tcPr>
          <w:p w:rsidR="00321F00" w:rsidRPr="007940A2" w:rsidP="00321F00" w14:paraId="5A5146B6" w14:textId="77777777">
            <w:pPr>
              <w:spacing w:after="0" w:line="240" w:lineRule="auto"/>
              <w:jc w:val="center"/>
              <w:rPr>
                <w:rFonts w:eastAsia="Times New Roman" w:cs="Times New Roman"/>
                <w:color w:val="000000"/>
                <w:sz w:val="22"/>
              </w:rPr>
            </w:pPr>
          </w:p>
        </w:tc>
        <w:tc>
          <w:tcPr>
            <w:tcW w:w="1110" w:type="dxa"/>
            <w:tcBorders>
              <w:top w:val="single" w:sz="4" w:space="0" w:color="auto"/>
              <w:left w:val="nil"/>
              <w:bottom w:val="single" w:sz="4" w:space="0" w:color="auto"/>
              <w:right w:val="single" w:sz="4" w:space="0" w:color="auto"/>
            </w:tcBorders>
            <w:noWrap/>
            <w:vAlign w:val="bottom"/>
          </w:tcPr>
          <w:p w:rsidR="00321F00" w:rsidRPr="007940A2" w:rsidP="00321F00" w14:paraId="7B129DC3"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321F00" w:rsidRPr="007940A2" w:rsidP="00321F00" w14:paraId="143B4664" w14:textId="77777777">
            <w:pPr>
              <w:spacing w:after="0" w:line="240" w:lineRule="auto"/>
              <w:jc w:val="center"/>
              <w:rPr>
                <w:rFonts w:eastAsia="Times New Roman" w:cs="Times New Roman"/>
                <w:color w:val="000000"/>
                <w:sz w:val="22"/>
              </w:rPr>
            </w:pPr>
          </w:p>
        </w:tc>
        <w:tc>
          <w:tcPr>
            <w:tcW w:w="1080" w:type="dxa"/>
            <w:tcBorders>
              <w:top w:val="single" w:sz="4" w:space="0" w:color="auto"/>
              <w:left w:val="nil"/>
              <w:bottom w:val="single" w:sz="4" w:space="0" w:color="auto"/>
              <w:right w:val="single" w:sz="4" w:space="0" w:color="auto"/>
            </w:tcBorders>
            <w:vAlign w:val="bottom"/>
          </w:tcPr>
          <w:p w:rsidR="00321F00" w:rsidRPr="007940A2" w:rsidP="00321F00" w14:paraId="41082A3E" w14:textId="77777777">
            <w:pPr>
              <w:spacing w:after="0" w:line="240" w:lineRule="auto"/>
              <w:jc w:val="center"/>
              <w:rPr>
                <w:rFonts w:eastAsia="Times New Roman" w:cs="Times New Roman"/>
                <w:color w:val="000000"/>
                <w:sz w:val="22"/>
              </w:rPr>
            </w:pPr>
          </w:p>
        </w:tc>
        <w:tc>
          <w:tcPr>
            <w:tcW w:w="1200" w:type="dxa"/>
            <w:tcBorders>
              <w:top w:val="single" w:sz="4" w:space="0" w:color="auto"/>
              <w:left w:val="nil"/>
              <w:bottom w:val="single" w:sz="4" w:space="0" w:color="auto"/>
              <w:right w:val="single" w:sz="4" w:space="0" w:color="auto"/>
            </w:tcBorders>
          </w:tcPr>
          <w:p w:rsidR="00321F00" w:rsidRPr="007940A2" w:rsidP="00321F00" w14:paraId="71496409" w14:textId="77777777">
            <w:pPr>
              <w:spacing w:after="0" w:line="240" w:lineRule="auto"/>
              <w:jc w:val="center"/>
              <w:rPr>
                <w:rFonts w:eastAsia="Times New Roman" w:cs="Times New Roman"/>
                <w:color w:val="000000"/>
                <w:sz w:val="22"/>
              </w:rPr>
            </w:pPr>
          </w:p>
        </w:tc>
        <w:tc>
          <w:tcPr>
            <w:tcW w:w="1140" w:type="dxa"/>
            <w:tcBorders>
              <w:top w:val="single" w:sz="4" w:space="0" w:color="auto"/>
              <w:left w:val="nil"/>
              <w:bottom w:val="single" w:sz="4" w:space="0" w:color="auto"/>
              <w:right w:val="single" w:sz="4" w:space="0" w:color="auto"/>
            </w:tcBorders>
          </w:tcPr>
          <w:p w:rsidR="00321F00" w:rsidRPr="007940A2" w:rsidP="00321F00" w14:paraId="278FB378" w14:textId="77777777">
            <w:pPr>
              <w:spacing w:after="0" w:line="240" w:lineRule="auto"/>
              <w:jc w:val="center"/>
              <w:rPr>
                <w:rFonts w:eastAsia="Times New Roman" w:cs="Times New Roman"/>
                <w:color w:val="000000"/>
                <w:sz w:val="22"/>
              </w:rPr>
            </w:pPr>
          </w:p>
        </w:tc>
      </w:tr>
      <w:tr w14:paraId="1B45AC97"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39010D01" w14:textId="77777777">
            <w:pPr>
              <w:spacing w:after="0" w:line="240" w:lineRule="auto"/>
              <w:ind w:left="720"/>
              <w:rPr>
                <w:rFonts w:eastAsia="Times New Roman" w:cs="Times New Roman"/>
                <w:color w:val="000000"/>
                <w:sz w:val="22"/>
              </w:rPr>
            </w:pPr>
            <w:r w:rsidRPr="007940A2">
              <w:rPr>
                <w:rFonts w:eastAsia="Times New Roman" w:cs="Times New Roman"/>
                <w:color w:val="000000"/>
                <w:sz w:val="22"/>
              </w:rPr>
              <w:t>Master</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785CA113"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3,236</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149C3B35"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983</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489829E9" w14:textId="77777777">
            <w:pPr>
              <w:spacing w:after="0" w:line="240" w:lineRule="auto"/>
              <w:jc w:val="center"/>
              <w:rPr>
                <w:rFonts w:eastAsia="Calibri" w:cs="Times New Roman"/>
                <w:sz w:val="22"/>
              </w:rPr>
            </w:pPr>
            <w:r w:rsidRPr="007940A2">
              <w:rPr>
                <w:rFonts w:eastAsia="Calibri" w:cs="Times New Roman"/>
                <w:sz w:val="22"/>
              </w:rPr>
              <w:t>495</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108C9854" w14:textId="4697B1DF">
            <w:pPr>
              <w:spacing w:after="0" w:line="240" w:lineRule="auto"/>
              <w:jc w:val="center"/>
              <w:rPr>
                <w:rFonts w:eastAsia="Calibri" w:cs="Times New Roman"/>
                <w:sz w:val="22"/>
              </w:rPr>
            </w:pPr>
            <w:r>
              <w:rPr>
                <w:rFonts w:eastAsia="Calibri" w:cs="Times New Roman"/>
                <w:sz w:val="22"/>
              </w:rPr>
              <w:t>495</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7CBC8955" w14:textId="77777777">
            <w:pPr>
              <w:spacing w:after="0" w:line="240" w:lineRule="auto"/>
              <w:jc w:val="center"/>
              <w:rPr>
                <w:rFonts w:eastAsia="Calibri" w:cs="Times New Roman"/>
                <w:sz w:val="22"/>
              </w:rPr>
            </w:pPr>
            <w:r w:rsidRPr="007940A2">
              <w:rPr>
                <w:rFonts w:eastAsia="Calibri" w:cs="Times New Roman"/>
                <w:color w:val="000000"/>
                <w:sz w:val="22"/>
              </w:rPr>
              <w:t>3,731</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67ED7245" w14:textId="448F8CD5">
            <w:pPr>
              <w:spacing w:after="0" w:line="240" w:lineRule="auto"/>
              <w:jc w:val="center"/>
              <w:rPr>
                <w:rFonts w:eastAsia="Calibri" w:cs="Times New Roman"/>
                <w:sz w:val="22"/>
              </w:rPr>
            </w:pPr>
            <w:r>
              <w:rPr>
                <w:rFonts w:eastAsia="Calibri" w:cs="Times New Roman"/>
                <w:color w:val="000000"/>
                <w:sz w:val="22"/>
              </w:rPr>
              <w:t>1,478</w:t>
            </w:r>
          </w:p>
        </w:tc>
      </w:tr>
      <w:tr w14:paraId="37D0C89E"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5AFAE96E" w14:textId="77777777">
            <w:pPr>
              <w:spacing w:after="0" w:line="240" w:lineRule="auto"/>
              <w:ind w:left="720"/>
              <w:rPr>
                <w:rFonts w:eastAsia="Times New Roman" w:cs="Times New Roman"/>
                <w:color w:val="000000"/>
                <w:sz w:val="22"/>
              </w:rPr>
            </w:pPr>
            <w:r w:rsidRPr="007940A2">
              <w:rPr>
                <w:rFonts w:eastAsia="Times New Roman" w:cs="Times New Roman"/>
                <w:color w:val="000000"/>
                <w:sz w:val="22"/>
              </w:rPr>
              <w:t>Chief Mate</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66DA1339"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766</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572071FC"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735</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12C1A931" w14:textId="77777777">
            <w:pPr>
              <w:spacing w:after="0" w:line="240" w:lineRule="auto"/>
              <w:jc w:val="center"/>
              <w:rPr>
                <w:rFonts w:eastAsia="Calibri" w:cs="Times New Roman"/>
                <w:sz w:val="22"/>
              </w:rPr>
            </w:pPr>
            <w:r w:rsidRPr="007940A2">
              <w:rPr>
                <w:rFonts w:eastAsia="Calibri" w:cs="Times New Roman"/>
                <w:sz w:val="22"/>
              </w:rPr>
              <w:t>121</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2A846BB5" w14:textId="77777777">
            <w:pPr>
              <w:spacing w:after="0" w:line="240" w:lineRule="auto"/>
              <w:jc w:val="center"/>
              <w:rPr>
                <w:rFonts w:eastAsia="Calibri" w:cs="Times New Roman"/>
                <w:sz w:val="22"/>
              </w:rPr>
            </w:pPr>
            <w:r w:rsidRPr="007940A2">
              <w:rPr>
                <w:rFonts w:eastAsia="Calibri" w:cs="Times New Roman"/>
                <w:sz w:val="22"/>
              </w:rPr>
              <w:t>121</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3524CD5B" w14:textId="77777777">
            <w:pPr>
              <w:spacing w:after="0" w:line="240" w:lineRule="auto"/>
              <w:jc w:val="center"/>
              <w:rPr>
                <w:rFonts w:eastAsia="Calibri" w:cs="Times New Roman"/>
                <w:sz w:val="22"/>
              </w:rPr>
            </w:pPr>
            <w:r w:rsidRPr="007940A2">
              <w:rPr>
                <w:rFonts w:eastAsia="Calibri" w:cs="Times New Roman"/>
                <w:color w:val="000000"/>
                <w:sz w:val="22"/>
              </w:rPr>
              <w:t>887</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5FE6E44A" w14:textId="77777777">
            <w:pPr>
              <w:spacing w:after="0" w:line="240" w:lineRule="auto"/>
              <w:jc w:val="center"/>
              <w:rPr>
                <w:rFonts w:eastAsia="Calibri" w:cs="Times New Roman"/>
                <w:sz w:val="22"/>
              </w:rPr>
            </w:pPr>
            <w:r w:rsidRPr="007940A2">
              <w:rPr>
                <w:rFonts w:eastAsia="Calibri" w:cs="Times New Roman"/>
                <w:color w:val="000000"/>
                <w:sz w:val="22"/>
              </w:rPr>
              <w:t>856</w:t>
            </w:r>
          </w:p>
        </w:tc>
      </w:tr>
      <w:tr w14:paraId="2AF33EB2"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5FAD3827" w14:textId="77777777">
            <w:pPr>
              <w:spacing w:after="0" w:line="240" w:lineRule="auto"/>
              <w:ind w:left="720"/>
              <w:rPr>
                <w:rFonts w:eastAsia="Times New Roman" w:cs="Times New Roman"/>
                <w:color w:val="000000"/>
                <w:sz w:val="22"/>
              </w:rPr>
            </w:pPr>
            <w:r w:rsidRPr="007940A2">
              <w:rPr>
                <w:rFonts w:eastAsia="Times New Roman" w:cs="Times New Roman"/>
                <w:color w:val="000000"/>
                <w:sz w:val="22"/>
              </w:rPr>
              <w:t>Second Mate</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13501972"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2,495</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02ECE5C3"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955</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553717EB" w14:textId="77777777">
            <w:pPr>
              <w:spacing w:after="0" w:line="240" w:lineRule="auto"/>
              <w:jc w:val="center"/>
              <w:rPr>
                <w:rFonts w:eastAsia="Calibri" w:cs="Times New Roman"/>
                <w:sz w:val="22"/>
              </w:rPr>
            </w:pPr>
            <w:r w:rsidRPr="007940A2">
              <w:rPr>
                <w:rFonts w:eastAsia="Calibri" w:cs="Times New Roman"/>
                <w:sz w:val="22"/>
              </w:rPr>
              <w:t>278</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3D9D8769" w14:textId="77777777">
            <w:pPr>
              <w:spacing w:after="0" w:line="240" w:lineRule="auto"/>
              <w:jc w:val="center"/>
              <w:rPr>
                <w:rFonts w:eastAsia="Calibri" w:cs="Times New Roman"/>
                <w:sz w:val="22"/>
              </w:rPr>
            </w:pPr>
            <w:r w:rsidRPr="007940A2">
              <w:rPr>
                <w:rFonts w:eastAsia="Calibri" w:cs="Times New Roman"/>
                <w:sz w:val="22"/>
              </w:rPr>
              <w:t>278</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5F60AD58" w14:textId="77777777">
            <w:pPr>
              <w:spacing w:after="0" w:line="240" w:lineRule="auto"/>
              <w:jc w:val="center"/>
              <w:rPr>
                <w:rFonts w:eastAsia="Calibri" w:cs="Times New Roman"/>
                <w:sz w:val="22"/>
              </w:rPr>
            </w:pPr>
            <w:r w:rsidRPr="007940A2">
              <w:rPr>
                <w:rFonts w:eastAsia="Calibri" w:cs="Times New Roman"/>
                <w:color w:val="000000"/>
                <w:sz w:val="22"/>
              </w:rPr>
              <w:t>2,773</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1AE6FFE2" w14:textId="77777777">
            <w:pPr>
              <w:spacing w:after="0" w:line="240" w:lineRule="auto"/>
              <w:jc w:val="center"/>
              <w:rPr>
                <w:rFonts w:eastAsia="Calibri" w:cs="Times New Roman"/>
                <w:sz w:val="22"/>
              </w:rPr>
            </w:pPr>
            <w:r w:rsidRPr="007940A2">
              <w:rPr>
                <w:rFonts w:eastAsia="Calibri" w:cs="Times New Roman"/>
                <w:color w:val="000000"/>
                <w:sz w:val="22"/>
              </w:rPr>
              <w:t>1,233</w:t>
            </w:r>
          </w:p>
        </w:tc>
      </w:tr>
      <w:tr w14:paraId="31CCE436"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50B8F1FA" w14:textId="77777777">
            <w:pPr>
              <w:spacing w:after="0" w:line="240" w:lineRule="auto"/>
              <w:ind w:left="720"/>
              <w:rPr>
                <w:rFonts w:eastAsia="Times New Roman" w:cs="Times New Roman"/>
                <w:color w:val="000000"/>
                <w:sz w:val="22"/>
              </w:rPr>
            </w:pPr>
            <w:r w:rsidRPr="007940A2">
              <w:rPr>
                <w:rFonts w:eastAsia="Times New Roman" w:cs="Times New Roman"/>
                <w:color w:val="000000"/>
                <w:sz w:val="22"/>
              </w:rPr>
              <w:t>Third Mate</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6227F051"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2,674</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313B2DDE"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963</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465B5A57" w14:textId="77777777">
            <w:pPr>
              <w:spacing w:after="0" w:line="240" w:lineRule="auto"/>
              <w:jc w:val="center"/>
              <w:rPr>
                <w:rFonts w:eastAsia="Calibri" w:cs="Times New Roman"/>
                <w:sz w:val="22"/>
              </w:rPr>
            </w:pPr>
            <w:r w:rsidRPr="007940A2">
              <w:rPr>
                <w:rFonts w:eastAsia="Calibri" w:cs="Times New Roman"/>
                <w:sz w:val="22"/>
              </w:rPr>
              <w:t>690</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39A59A64" w14:textId="521A9288">
            <w:pPr>
              <w:spacing w:after="0" w:line="240" w:lineRule="auto"/>
              <w:jc w:val="center"/>
              <w:rPr>
                <w:rFonts w:eastAsia="Calibri" w:cs="Times New Roman"/>
                <w:sz w:val="22"/>
              </w:rPr>
            </w:pPr>
            <w:r>
              <w:rPr>
                <w:rFonts w:eastAsia="Calibri" w:cs="Times New Roman"/>
                <w:sz w:val="22"/>
              </w:rPr>
              <w:t>690</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2120BF8D" w14:textId="77777777">
            <w:pPr>
              <w:spacing w:after="0" w:line="240" w:lineRule="auto"/>
              <w:jc w:val="center"/>
              <w:rPr>
                <w:rFonts w:eastAsia="Calibri" w:cs="Times New Roman"/>
                <w:sz w:val="22"/>
              </w:rPr>
            </w:pPr>
            <w:r w:rsidRPr="007940A2">
              <w:rPr>
                <w:rFonts w:eastAsia="Calibri" w:cs="Times New Roman"/>
                <w:color w:val="000000"/>
                <w:sz w:val="22"/>
              </w:rPr>
              <w:t>3,364</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00615A2B" w14:textId="60744C5D">
            <w:pPr>
              <w:spacing w:after="0" w:line="240" w:lineRule="auto"/>
              <w:jc w:val="center"/>
              <w:rPr>
                <w:rFonts w:eastAsia="Calibri" w:cs="Times New Roman"/>
                <w:sz w:val="22"/>
              </w:rPr>
            </w:pPr>
            <w:r>
              <w:rPr>
                <w:rFonts w:eastAsia="Calibri" w:cs="Times New Roman"/>
                <w:color w:val="000000"/>
                <w:sz w:val="22"/>
              </w:rPr>
              <w:t>1,653</w:t>
            </w:r>
          </w:p>
        </w:tc>
      </w:tr>
      <w:tr w14:paraId="5B1D576C"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1C5BB520" w14:textId="77777777">
            <w:pPr>
              <w:spacing w:after="0" w:line="240" w:lineRule="auto"/>
              <w:ind w:left="360"/>
              <w:rPr>
                <w:rFonts w:eastAsia="Times New Roman" w:cs="Times New Roman"/>
                <w:color w:val="000000"/>
                <w:sz w:val="22"/>
              </w:rPr>
            </w:pPr>
            <w:r w:rsidRPr="007940A2">
              <w:rPr>
                <w:rFonts w:eastAsia="Times New Roman" w:cs="Times New Roman"/>
                <w:color w:val="000000"/>
                <w:sz w:val="22"/>
              </w:rPr>
              <w:t>Engineer Officers</w:t>
            </w:r>
          </w:p>
        </w:tc>
        <w:tc>
          <w:tcPr>
            <w:tcW w:w="1230" w:type="dxa"/>
            <w:tcBorders>
              <w:top w:val="nil"/>
              <w:left w:val="nil"/>
              <w:bottom w:val="single" w:sz="4" w:space="0" w:color="auto"/>
              <w:right w:val="single" w:sz="4" w:space="0" w:color="auto"/>
            </w:tcBorders>
            <w:noWrap/>
            <w:vAlign w:val="bottom"/>
          </w:tcPr>
          <w:p w:rsidR="00321F00" w:rsidRPr="007940A2" w:rsidP="00321F00" w14:paraId="054055C2" w14:textId="77777777">
            <w:pPr>
              <w:spacing w:after="0" w:line="240" w:lineRule="auto"/>
              <w:jc w:val="center"/>
              <w:rPr>
                <w:rFonts w:eastAsia="Times New Roman" w:cs="Times New Roman"/>
                <w:color w:val="000000"/>
                <w:sz w:val="22"/>
              </w:rPr>
            </w:pPr>
          </w:p>
        </w:tc>
        <w:tc>
          <w:tcPr>
            <w:tcW w:w="1110" w:type="dxa"/>
            <w:tcBorders>
              <w:top w:val="single" w:sz="4" w:space="0" w:color="auto"/>
              <w:left w:val="nil"/>
              <w:bottom w:val="single" w:sz="4" w:space="0" w:color="auto"/>
              <w:right w:val="single" w:sz="4" w:space="0" w:color="auto"/>
            </w:tcBorders>
            <w:noWrap/>
            <w:vAlign w:val="bottom"/>
          </w:tcPr>
          <w:p w:rsidR="00321F00" w:rsidRPr="007940A2" w:rsidP="00321F00" w14:paraId="1026B1BF"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321F00" w:rsidRPr="007940A2" w:rsidP="00321F00" w14:paraId="377D9DB1" w14:textId="77777777">
            <w:pPr>
              <w:spacing w:after="0" w:line="240" w:lineRule="auto"/>
              <w:jc w:val="center"/>
              <w:rPr>
                <w:rFonts w:eastAsia="Times New Roman" w:cs="Times New Roman"/>
                <w:color w:val="000000"/>
                <w:sz w:val="22"/>
              </w:rPr>
            </w:pPr>
          </w:p>
        </w:tc>
        <w:tc>
          <w:tcPr>
            <w:tcW w:w="1080" w:type="dxa"/>
            <w:tcBorders>
              <w:top w:val="single" w:sz="4" w:space="0" w:color="auto"/>
              <w:left w:val="nil"/>
              <w:bottom w:val="single" w:sz="4" w:space="0" w:color="auto"/>
              <w:right w:val="single" w:sz="4" w:space="0" w:color="auto"/>
            </w:tcBorders>
            <w:vAlign w:val="bottom"/>
          </w:tcPr>
          <w:p w:rsidR="00321F00" w:rsidRPr="007940A2" w:rsidP="00321F00" w14:paraId="691756B5" w14:textId="77777777">
            <w:pPr>
              <w:spacing w:after="0" w:line="240" w:lineRule="auto"/>
              <w:jc w:val="center"/>
              <w:rPr>
                <w:rFonts w:eastAsia="Times New Roman" w:cs="Times New Roman"/>
                <w:color w:val="000000"/>
                <w:sz w:val="22"/>
              </w:rPr>
            </w:pPr>
          </w:p>
        </w:tc>
        <w:tc>
          <w:tcPr>
            <w:tcW w:w="1200" w:type="dxa"/>
            <w:tcBorders>
              <w:top w:val="single" w:sz="4" w:space="0" w:color="auto"/>
              <w:left w:val="nil"/>
              <w:bottom w:val="single" w:sz="4" w:space="0" w:color="auto"/>
              <w:right w:val="single" w:sz="4" w:space="0" w:color="auto"/>
            </w:tcBorders>
            <w:vAlign w:val="bottom"/>
          </w:tcPr>
          <w:p w:rsidR="00321F00" w:rsidRPr="007940A2" w:rsidP="00321F00" w14:paraId="3F663B91" w14:textId="77777777">
            <w:pPr>
              <w:spacing w:after="0" w:line="240" w:lineRule="auto"/>
              <w:jc w:val="center"/>
              <w:rPr>
                <w:rFonts w:eastAsia="Times New Roman" w:cs="Times New Roman"/>
                <w:color w:val="000000"/>
                <w:sz w:val="22"/>
              </w:rPr>
            </w:pPr>
          </w:p>
        </w:tc>
        <w:tc>
          <w:tcPr>
            <w:tcW w:w="1140" w:type="dxa"/>
            <w:tcBorders>
              <w:top w:val="single" w:sz="4" w:space="0" w:color="auto"/>
              <w:left w:val="nil"/>
              <w:bottom w:val="single" w:sz="4" w:space="0" w:color="auto"/>
              <w:right w:val="single" w:sz="4" w:space="0" w:color="auto"/>
            </w:tcBorders>
            <w:vAlign w:val="bottom"/>
          </w:tcPr>
          <w:p w:rsidR="00321F00" w:rsidRPr="007940A2" w:rsidP="00321F00" w14:paraId="5007ED09" w14:textId="77777777">
            <w:pPr>
              <w:spacing w:after="0" w:line="240" w:lineRule="auto"/>
              <w:jc w:val="center"/>
              <w:rPr>
                <w:rFonts w:eastAsia="Times New Roman" w:cs="Times New Roman"/>
                <w:color w:val="000000"/>
                <w:sz w:val="22"/>
              </w:rPr>
            </w:pPr>
          </w:p>
        </w:tc>
      </w:tr>
      <w:tr w14:paraId="32CF6DEA"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0FAFAC52" w14:textId="77777777">
            <w:pPr>
              <w:spacing w:after="0" w:line="240" w:lineRule="auto"/>
              <w:ind w:left="720"/>
              <w:rPr>
                <w:rFonts w:eastAsia="Times New Roman" w:cs="Times New Roman"/>
                <w:color w:val="000000"/>
                <w:sz w:val="22"/>
              </w:rPr>
            </w:pPr>
            <w:r w:rsidRPr="007940A2">
              <w:rPr>
                <w:rFonts w:eastAsia="Times New Roman" w:cs="Times New Roman"/>
                <w:color w:val="000000"/>
                <w:sz w:val="22"/>
              </w:rPr>
              <w:t>Chief Engineer</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61727059"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2,225</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7E4CE6C3"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938</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673DBE46" w14:textId="77777777">
            <w:pPr>
              <w:spacing w:after="0" w:line="240" w:lineRule="auto"/>
              <w:jc w:val="center"/>
              <w:rPr>
                <w:rFonts w:eastAsia="Calibri" w:cs="Times New Roman"/>
                <w:color w:val="000000"/>
                <w:sz w:val="22"/>
              </w:rPr>
            </w:pPr>
            <w:r w:rsidRPr="007940A2">
              <w:rPr>
                <w:rFonts w:eastAsia="Calibri" w:cs="Times New Roman"/>
                <w:color w:val="000000"/>
                <w:sz w:val="22"/>
              </w:rPr>
              <w:t>317</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46B971F3" w14:textId="77777777">
            <w:pPr>
              <w:spacing w:after="0" w:line="240" w:lineRule="auto"/>
              <w:jc w:val="center"/>
              <w:rPr>
                <w:rFonts w:eastAsia="Calibri" w:cs="Times New Roman"/>
                <w:color w:val="000000"/>
                <w:sz w:val="22"/>
              </w:rPr>
            </w:pPr>
            <w:r w:rsidRPr="007940A2">
              <w:rPr>
                <w:rFonts w:eastAsia="Calibri" w:cs="Times New Roman"/>
                <w:sz w:val="22"/>
              </w:rPr>
              <w:t>317</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53554E0B" w14:textId="77777777">
            <w:pPr>
              <w:spacing w:after="0" w:line="240" w:lineRule="auto"/>
              <w:jc w:val="center"/>
              <w:rPr>
                <w:rFonts w:eastAsia="Calibri" w:cs="Times New Roman"/>
                <w:sz w:val="22"/>
              </w:rPr>
            </w:pPr>
            <w:r w:rsidRPr="007940A2">
              <w:rPr>
                <w:rFonts w:eastAsia="Calibri" w:cs="Times New Roman"/>
                <w:color w:val="000000"/>
                <w:sz w:val="22"/>
              </w:rPr>
              <w:t>2,542</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0A9FE2E0" w14:textId="77777777">
            <w:pPr>
              <w:spacing w:after="0" w:line="240" w:lineRule="auto"/>
              <w:jc w:val="center"/>
              <w:rPr>
                <w:rFonts w:eastAsia="Calibri" w:cs="Times New Roman"/>
                <w:sz w:val="22"/>
              </w:rPr>
            </w:pPr>
            <w:r w:rsidRPr="007940A2">
              <w:rPr>
                <w:rFonts w:eastAsia="Calibri" w:cs="Times New Roman"/>
                <w:color w:val="000000"/>
                <w:sz w:val="22"/>
              </w:rPr>
              <w:t>1,255</w:t>
            </w:r>
          </w:p>
        </w:tc>
      </w:tr>
      <w:tr w14:paraId="61D8A042"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5AB868DF" w14:textId="77777777">
            <w:pPr>
              <w:spacing w:after="0" w:line="240" w:lineRule="auto"/>
              <w:ind w:left="720"/>
              <w:rPr>
                <w:rFonts w:eastAsia="Times New Roman" w:cs="Times New Roman"/>
                <w:color w:val="000000"/>
                <w:sz w:val="22"/>
              </w:rPr>
            </w:pPr>
            <w:r w:rsidRPr="007940A2">
              <w:rPr>
                <w:rFonts w:eastAsia="Times New Roman" w:cs="Times New Roman"/>
                <w:color w:val="000000"/>
                <w:sz w:val="22"/>
              </w:rPr>
              <w:t>First Assistant Engineer</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6F9C1C0F"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910</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52ED5E9D"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775</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77538DEA" w14:textId="77777777">
            <w:pPr>
              <w:spacing w:after="0" w:line="240" w:lineRule="auto"/>
              <w:jc w:val="center"/>
              <w:rPr>
                <w:rFonts w:eastAsia="Calibri" w:cs="Times New Roman"/>
                <w:color w:val="000000"/>
                <w:sz w:val="22"/>
              </w:rPr>
            </w:pPr>
            <w:r w:rsidRPr="007940A2">
              <w:rPr>
                <w:rFonts w:eastAsia="Calibri" w:cs="Times New Roman"/>
                <w:color w:val="000000"/>
                <w:sz w:val="22"/>
              </w:rPr>
              <w:t>117</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5B7844E4" w14:textId="77777777">
            <w:pPr>
              <w:spacing w:after="0" w:line="240" w:lineRule="auto"/>
              <w:jc w:val="center"/>
              <w:rPr>
                <w:rFonts w:eastAsia="Calibri" w:cs="Times New Roman"/>
                <w:color w:val="000000"/>
                <w:sz w:val="22"/>
              </w:rPr>
            </w:pPr>
            <w:r w:rsidRPr="007940A2">
              <w:rPr>
                <w:rFonts w:eastAsia="Calibri" w:cs="Times New Roman"/>
                <w:sz w:val="22"/>
              </w:rPr>
              <w:t>117</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2FF7B479" w14:textId="77777777">
            <w:pPr>
              <w:spacing w:after="0" w:line="240" w:lineRule="auto"/>
              <w:jc w:val="center"/>
              <w:rPr>
                <w:rFonts w:eastAsia="Calibri" w:cs="Times New Roman"/>
                <w:sz w:val="22"/>
              </w:rPr>
            </w:pPr>
            <w:r w:rsidRPr="007940A2">
              <w:rPr>
                <w:rFonts w:eastAsia="Calibri" w:cs="Times New Roman"/>
                <w:color w:val="000000"/>
                <w:sz w:val="22"/>
              </w:rPr>
              <w:t>1,027</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4CD35109" w14:textId="77777777">
            <w:pPr>
              <w:spacing w:after="0" w:line="240" w:lineRule="auto"/>
              <w:jc w:val="center"/>
              <w:rPr>
                <w:rFonts w:eastAsia="Calibri" w:cs="Times New Roman"/>
                <w:sz w:val="22"/>
              </w:rPr>
            </w:pPr>
            <w:r w:rsidRPr="007940A2">
              <w:rPr>
                <w:rFonts w:eastAsia="Calibri" w:cs="Times New Roman"/>
                <w:color w:val="000000"/>
                <w:sz w:val="22"/>
              </w:rPr>
              <w:t>892</w:t>
            </w:r>
          </w:p>
        </w:tc>
      </w:tr>
      <w:tr w14:paraId="0A16905F"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4E88E396" w14:textId="77777777">
            <w:pPr>
              <w:spacing w:after="0" w:line="240" w:lineRule="auto"/>
              <w:ind w:left="720"/>
              <w:rPr>
                <w:rFonts w:eastAsia="Times New Roman" w:cs="Times New Roman"/>
                <w:color w:val="000000"/>
                <w:sz w:val="22"/>
              </w:rPr>
            </w:pPr>
            <w:r w:rsidRPr="007940A2">
              <w:rPr>
                <w:rFonts w:eastAsia="Times New Roman" w:cs="Times New Roman"/>
                <w:color w:val="000000"/>
                <w:sz w:val="22"/>
              </w:rPr>
              <w:t>Second Assistant Engineer</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748FC2A3"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1,951</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4A2ADC8D"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920</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695BF871" w14:textId="77777777">
            <w:pPr>
              <w:spacing w:after="0" w:line="240" w:lineRule="auto"/>
              <w:jc w:val="center"/>
              <w:rPr>
                <w:rFonts w:eastAsia="Calibri" w:cs="Times New Roman"/>
                <w:color w:val="000000"/>
                <w:sz w:val="22"/>
              </w:rPr>
            </w:pPr>
            <w:r w:rsidRPr="007940A2">
              <w:rPr>
                <w:rFonts w:eastAsia="Calibri" w:cs="Times New Roman"/>
                <w:color w:val="000000"/>
                <w:sz w:val="22"/>
              </w:rPr>
              <w:t>195</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0857047C" w14:textId="77777777">
            <w:pPr>
              <w:spacing w:after="0" w:line="240" w:lineRule="auto"/>
              <w:jc w:val="center"/>
              <w:rPr>
                <w:rFonts w:eastAsia="Calibri" w:cs="Times New Roman"/>
                <w:color w:val="000000"/>
                <w:sz w:val="22"/>
              </w:rPr>
            </w:pPr>
            <w:r w:rsidRPr="007940A2">
              <w:rPr>
                <w:rFonts w:eastAsia="Calibri" w:cs="Times New Roman"/>
                <w:sz w:val="22"/>
              </w:rPr>
              <w:t>195</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0D53BF13" w14:textId="77777777">
            <w:pPr>
              <w:spacing w:after="0" w:line="240" w:lineRule="auto"/>
              <w:jc w:val="center"/>
              <w:rPr>
                <w:rFonts w:eastAsia="Calibri" w:cs="Times New Roman"/>
                <w:sz w:val="22"/>
              </w:rPr>
            </w:pPr>
            <w:r w:rsidRPr="007940A2">
              <w:rPr>
                <w:rFonts w:eastAsia="Calibri" w:cs="Times New Roman"/>
                <w:color w:val="000000"/>
                <w:sz w:val="22"/>
              </w:rPr>
              <w:t>2,146</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60D5EDF4" w14:textId="77777777">
            <w:pPr>
              <w:spacing w:after="0" w:line="240" w:lineRule="auto"/>
              <w:jc w:val="center"/>
              <w:rPr>
                <w:rFonts w:eastAsia="Calibri" w:cs="Times New Roman"/>
                <w:sz w:val="22"/>
              </w:rPr>
            </w:pPr>
            <w:r w:rsidRPr="007940A2">
              <w:rPr>
                <w:rFonts w:eastAsia="Calibri" w:cs="Times New Roman"/>
                <w:color w:val="000000"/>
                <w:sz w:val="22"/>
              </w:rPr>
              <w:t>1,115</w:t>
            </w:r>
          </w:p>
        </w:tc>
      </w:tr>
      <w:tr w14:paraId="41A2B207"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1EAD411D" w14:textId="77777777">
            <w:pPr>
              <w:spacing w:after="0" w:line="240" w:lineRule="auto"/>
              <w:ind w:left="720"/>
              <w:rPr>
                <w:rFonts w:eastAsia="Times New Roman" w:cs="Times New Roman"/>
                <w:color w:val="000000"/>
                <w:sz w:val="22"/>
              </w:rPr>
            </w:pPr>
            <w:r w:rsidRPr="007940A2">
              <w:rPr>
                <w:rFonts w:eastAsia="Times New Roman" w:cs="Times New Roman"/>
                <w:color w:val="000000"/>
                <w:sz w:val="22"/>
              </w:rPr>
              <w:t>Third Assistant Engineer</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77A7BCA4"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1,792</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78FCC7E0"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906</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148CD696" w14:textId="77777777">
            <w:pPr>
              <w:spacing w:after="0" w:line="240" w:lineRule="auto"/>
              <w:jc w:val="center"/>
              <w:rPr>
                <w:rFonts w:eastAsia="Calibri" w:cs="Times New Roman"/>
                <w:color w:val="000000"/>
                <w:sz w:val="22"/>
              </w:rPr>
            </w:pPr>
            <w:r w:rsidRPr="007940A2">
              <w:rPr>
                <w:rFonts w:eastAsia="Calibri" w:cs="Times New Roman"/>
                <w:color w:val="000000"/>
                <w:sz w:val="22"/>
              </w:rPr>
              <w:t>624</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7A10F5DB" w14:textId="68A26745">
            <w:pPr>
              <w:spacing w:after="0" w:line="240" w:lineRule="auto"/>
              <w:jc w:val="center"/>
              <w:rPr>
                <w:rFonts w:eastAsia="Calibri" w:cs="Times New Roman"/>
                <w:color w:val="000000"/>
                <w:sz w:val="22"/>
              </w:rPr>
            </w:pPr>
            <w:r>
              <w:rPr>
                <w:rFonts w:eastAsia="Calibri" w:cs="Times New Roman"/>
                <w:sz w:val="22"/>
              </w:rPr>
              <w:t>624</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77B4C9B1" w14:textId="77777777">
            <w:pPr>
              <w:spacing w:after="0" w:line="240" w:lineRule="auto"/>
              <w:jc w:val="center"/>
              <w:rPr>
                <w:rFonts w:eastAsia="Calibri" w:cs="Times New Roman"/>
                <w:sz w:val="22"/>
              </w:rPr>
            </w:pPr>
            <w:r w:rsidRPr="007940A2">
              <w:rPr>
                <w:rFonts w:eastAsia="Calibri" w:cs="Times New Roman"/>
                <w:color w:val="000000"/>
                <w:sz w:val="22"/>
              </w:rPr>
              <w:t>2,416</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6DAA844F" w14:textId="3960B9F4">
            <w:pPr>
              <w:spacing w:after="0" w:line="240" w:lineRule="auto"/>
              <w:jc w:val="center"/>
              <w:rPr>
                <w:rFonts w:eastAsia="Calibri" w:cs="Times New Roman"/>
                <w:sz w:val="22"/>
              </w:rPr>
            </w:pPr>
            <w:r>
              <w:rPr>
                <w:rFonts w:eastAsia="Calibri" w:cs="Times New Roman"/>
                <w:color w:val="000000"/>
                <w:sz w:val="22"/>
              </w:rPr>
              <w:t>1,530</w:t>
            </w:r>
          </w:p>
        </w:tc>
      </w:tr>
      <w:tr w14:paraId="4D24C744"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19947C9B" w14:textId="77777777">
            <w:pPr>
              <w:spacing w:after="0" w:line="240" w:lineRule="auto"/>
              <w:rPr>
                <w:rFonts w:eastAsia="Times New Roman" w:cs="Times New Roman"/>
                <w:color w:val="000000"/>
                <w:sz w:val="22"/>
              </w:rPr>
            </w:pPr>
            <w:r w:rsidRPr="007940A2">
              <w:rPr>
                <w:rFonts w:eastAsia="Times New Roman" w:cs="Times New Roman"/>
                <w:color w:val="000000"/>
                <w:sz w:val="22"/>
              </w:rPr>
              <w:t>Unlicensed Mariners</w:t>
            </w:r>
          </w:p>
        </w:tc>
        <w:tc>
          <w:tcPr>
            <w:tcW w:w="1230" w:type="dxa"/>
            <w:tcBorders>
              <w:top w:val="nil"/>
              <w:left w:val="nil"/>
              <w:bottom w:val="single" w:sz="4" w:space="0" w:color="auto"/>
              <w:right w:val="single" w:sz="4" w:space="0" w:color="auto"/>
            </w:tcBorders>
            <w:noWrap/>
            <w:vAlign w:val="bottom"/>
          </w:tcPr>
          <w:p w:rsidR="00321F00" w:rsidRPr="007940A2" w:rsidP="00321F00" w14:paraId="707CF36A" w14:textId="77777777">
            <w:pPr>
              <w:spacing w:after="0" w:line="240" w:lineRule="auto"/>
              <w:jc w:val="center"/>
              <w:rPr>
                <w:rFonts w:eastAsia="Times New Roman" w:cs="Times New Roman"/>
                <w:color w:val="000000"/>
                <w:sz w:val="22"/>
              </w:rPr>
            </w:pPr>
          </w:p>
        </w:tc>
        <w:tc>
          <w:tcPr>
            <w:tcW w:w="1110" w:type="dxa"/>
            <w:tcBorders>
              <w:top w:val="single" w:sz="4" w:space="0" w:color="auto"/>
              <w:left w:val="nil"/>
              <w:bottom w:val="single" w:sz="4" w:space="0" w:color="auto"/>
              <w:right w:val="single" w:sz="4" w:space="0" w:color="auto"/>
            </w:tcBorders>
            <w:noWrap/>
            <w:vAlign w:val="bottom"/>
          </w:tcPr>
          <w:p w:rsidR="00321F00" w:rsidRPr="007940A2" w:rsidP="00321F00" w14:paraId="049310B0"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321F00" w:rsidRPr="007940A2" w:rsidP="00321F00" w14:paraId="18F3E810" w14:textId="77777777">
            <w:pPr>
              <w:spacing w:after="0" w:line="240" w:lineRule="auto"/>
              <w:jc w:val="center"/>
              <w:rPr>
                <w:rFonts w:eastAsia="Times New Roman" w:cs="Times New Roman"/>
                <w:color w:val="000000"/>
                <w:sz w:val="22"/>
              </w:rPr>
            </w:pPr>
          </w:p>
        </w:tc>
        <w:tc>
          <w:tcPr>
            <w:tcW w:w="1080" w:type="dxa"/>
            <w:tcBorders>
              <w:top w:val="single" w:sz="4" w:space="0" w:color="auto"/>
              <w:left w:val="nil"/>
              <w:bottom w:val="single" w:sz="4" w:space="0" w:color="auto"/>
              <w:right w:val="single" w:sz="4" w:space="0" w:color="auto"/>
            </w:tcBorders>
          </w:tcPr>
          <w:p w:rsidR="00321F00" w:rsidRPr="007940A2" w:rsidP="00321F00" w14:paraId="601A6329" w14:textId="77777777">
            <w:pPr>
              <w:spacing w:after="0" w:line="240" w:lineRule="auto"/>
              <w:jc w:val="center"/>
              <w:rPr>
                <w:rFonts w:eastAsia="Times New Roman" w:cs="Times New Roman"/>
                <w:color w:val="000000"/>
                <w:sz w:val="22"/>
              </w:rPr>
            </w:pPr>
          </w:p>
        </w:tc>
        <w:tc>
          <w:tcPr>
            <w:tcW w:w="1200" w:type="dxa"/>
            <w:tcBorders>
              <w:top w:val="single" w:sz="4" w:space="0" w:color="auto"/>
              <w:left w:val="nil"/>
              <w:bottom w:val="single" w:sz="4" w:space="0" w:color="auto"/>
              <w:right w:val="single" w:sz="4" w:space="0" w:color="auto"/>
            </w:tcBorders>
            <w:vAlign w:val="bottom"/>
          </w:tcPr>
          <w:p w:rsidR="00321F00" w:rsidRPr="007940A2" w:rsidP="00321F00" w14:paraId="6F5B0252" w14:textId="77777777">
            <w:pPr>
              <w:spacing w:after="0" w:line="240" w:lineRule="auto"/>
              <w:jc w:val="center"/>
              <w:rPr>
                <w:rFonts w:eastAsia="Times New Roman" w:cs="Times New Roman"/>
                <w:color w:val="000000"/>
                <w:sz w:val="22"/>
              </w:rPr>
            </w:pPr>
          </w:p>
        </w:tc>
        <w:tc>
          <w:tcPr>
            <w:tcW w:w="1140" w:type="dxa"/>
            <w:tcBorders>
              <w:top w:val="single" w:sz="4" w:space="0" w:color="auto"/>
              <w:left w:val="nil"/>
              <w:bottom w:val="single" w:sz="4" w:space="0" w:color="auto"/>
              <w:right w:val="single" w:sz="4" w:space="0" w:color="auto"/>
            </w:tcBorders>
            <w:vAlign w:val="bottom"/>
          </w:tcPr>
          <w:p w:rsidR="00321F00" w:rsidRPr="007940A2" w:rsidP="00321F00" w14:paraId="1174E93F" w14:textId="77777777">
            <w:pPr>
              <w:spacing w:after="0" w:line="240" w:lineRule="auto"/>
              <w:jc w:val="center"/>
              <w:rPr>
                <w:rFonts w:eastAsia="Times New Roman" w:cs="Times New Roman"/>
                <w:color w:val="000000"/>
                <w:sz w:val="22"/>
              </w:rPr>
            </w:pPr>
          </w:p>
        </w:tc>
      </w:tr>
      <w:tr w14:paraId="163FBD94"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16FD4A15" w14:textId="4ECA9118">
            <w:pPr>
              <w:spacing w:after="0" w:line="240" w:lineRule="auto"/>
              <w:ind w:left="360"/>
              <w:rPr>
                <w:rFonts w:eastAsia="Times New Roman" w:cs="Times New Roman"/>
                <w:color w:val="000000"/>
                <w:sz w:val="22"/>
              </w:rPr>
            </w:pPr>
            <w:r w:rsidRPr="007940A2">
              <w:rPr>
                <w:rFonts w:eastAsia="Times New Roman" w:cs="Times New Roman"/>
                <w:color w:val="000000"/>
                <w:sz w:val="22"/>
              </w:rPr>
              <w:t>Able Sea</w:t>
            </w:r>
            <w:r w:rsidR="00E5167C">
              <w:rPr>
                <w:rFonts w:eastAsia="Times New Roman" w:cs="Times New Roman"/>
                <w:color w:val="000000"/>
                <w:sz w:val="22"/>
              </w:rPr>
              <w:t>farer</w:t>
            </w:r>
            <w:r w:rsidRPr="007940A2">
              <w:rPr>
                <w:rFonts w:eastAsia="Times New Roman" w:cs="Times New Roman"/>
                <w:color w:val="000000"/>
                <w:sz w:val="22"/>
              </w:rPr>
              <w:t xml:space="preserve"> Unlimited</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0E0FBAF5"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11,928</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0C840CBE" w14:textId="4C2D1C30">
            <w:pPr>
              <w:spacing w:after="0" w:line="240" w:lineRule="auto"/>
              <w:jc w:val="center"/>
              <w:rPr>
                <w:rFonts w:eastAsia="Times New Roman" w:cs="Times New Roman"/>
                <w:color w:val="000000"/>
                <w:sz w:val="22"/>
              </w:rPr>
            </w:pPr>
            <w:r>
              <w:rPr>
                <w:rFonts w:eastAsia="Calibri" w:cs="Times New Roman"/>
                <w:color w:val="000000"/>
                <w:sz w:val="22"/>
              </w:rPr>
              <w:t>1,492</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40E9904B"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5B515AB8"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5B123E00"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11,928</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65E17B30" w14:textId="799F2870">
            <w:pPr>
              <w:spacing w:after="0" w:line="240" w:lineRule="auto"/>
              <w:jc w:val="center"/>
              <w:rPr>
                <w:rFonts w:eastAsia="Times New Roman" w:cs="Times New Roman"/>
                <w:color w:val="000000"/>
                <w:sz w:val="22"/>
              </w:rPr>
            </w:pPr>
            <w:r>
              <w:rPr>
                <w:rFonts w:eastAsia="Calibri" w:cs="Times New Roman"/>
                <w:color w:val="000000"/>
                <w:sz w:val="22"/>
              </w:rPr>
              <w:t>1,492</w:t>
            </w:r>
          </w:p>
        </w:tc>
      </w:tr>
      <w:tr w14:paraId="2C083C40"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tcPr>
          <w:p w:rsidR="00E5167C" w:rsidRPr="007940A2" w:rsidP="00E5167C" w14:paraId="44F58BA2" w14:textId="183E109C">
            <w:pPr>
              <w:spacing w:after="0" w:line="240" w:lineRule="auto"/>
              <w:ind w:left="360"/>
              <w:rPr>
                <w:rFonts w:eastAsia="Times New Roman" w:cs="Times New Roman"/>
                <w:color w:val="000000"/>
                <w:sz w:val="22"/>
              </w:rPr>
            </w:pPr>
            <w:r>
              <w:rPr>
                <w:rFonts w:eastAsia="Times New Roman" w:cs="Times New Roman"/>
                <w:color w:val="000000"/>
                <w:sz w:val="22"/>
              </w:rPr>
              <w:t>Able Seafarer Limited</w:t>
            </w:r>
          </w:p>
        </w:tc>
        <w:tc>
          <w:tcPr>
            <w:tcW w:w="1230" w:type="dxa"/>
            <w:tcBorders>
              <w:top w:val="nil"/>
              <w:left w:val="nil"/>
              <w:bottom w:val="single" w:sz="4" w:space="0" w:color="auto"/>
              <w:right w:val="single" w:sz="4" w:space="0" w:color="auto"/>
            </w:tcBorders>
            <w:noWrap/>
            <w:vAlign w:val="bottom"/>
          </w:tcPr>
          <w:p w:rsidR="00E5167C" w:rsidRPr="007940A2" w:rsidP="00E5167C" w14:paraId="1AFAB01A" w14:textId="379BAE72">
            <w:pPr>
              <w:spacing w:after="0" w:line="240" w:lineRule="auto"/>
              <w:jc w:val="center"/>
              <w:rPr>
                <w:rFonts w:eastAsia="Times New Roman" w:cs="Times New Roman"/>
                <w:color w:val="000000"/>
                <w:sz w:val="22"/>
              </w:rPr>
            </w:pPr>
            <w:r>
              <w:rPr>
                <w:rFonts w:eastAsia="Times New Roman" w:cs="Times New Roman"/>
                <w:color w:val="000000"/>
                <w:sz w:val="22"/>
              </w:rPr>
              <w:t>2,198</w:t>
            </w:r>
          </w:p>
        </w:tc>
        <w:tc>
          <w:tcPr>
            <w:tcW w:w="1110" w:type="dxa"/>
            <w:tcBorders>
              <w:top w:val="single" w:sz="4" w:space="0" w:color="auto"/>
              <w:left w:val="nil"/>
              <w:bottom w:val="single" w:sz="4" w:space="0" w:color="auto"/>
              <w:right w:val="single" w:sz="4" w:space="0" w:color="auto"/>
            </w:tcBorders>
            <w:noWrap/>
            <w:vAlign w:val="bottom"/>
          </w:tcPr>
          <w:p w:rsidR="00E5167C" w:rsidRPr="007940A2" w:rsidP="00E5167C" w14:paraId="1E429EA7" w14:textId="69E62904">
            <w:pPr>
              <w:spacing w:after="0" w:line="240" w:lineRule="auto"/>
              <w:jc w:val="center"/>
              <w:rPr>
                <w:rFonts w:eastAsia="Calibri" w:cs="Times New Roman"/>
                <w:color w:val="000000"/>
                <w:sz w:val="22"/>
              </w:rPr>
            </w:pPr>
            <w:r>
              <w:rPr>
                <w:rFonts w:eastAsia="Calibri" w:cs="Times New Roman"/>
                <w:color w:val="000000"/>
                <w:sz w:val="22"/>
              </w:rPr>
              <w:t>1,312</w:t>
            </w:r>
          </w:p>
        </w:tc>
        <w:tc>
          <w:tcPr>
            <w:tcW w:w="1170" w:type="dxa"/>
            <w:tcBorders>
              <w:top w:val="single" w:sz="4" w:space="0" w:color="auto"/>
              <w:left w:val="nil"/>
              <w:bottom w:val="single" w:sz="4" w:space="0" w:color="auto"/>
              <w:right w:val="single" w:sz="4" w:space="0" w:color="auto"/>
            </w:tcBorders>
            <w:vAlign w:val="bottom"/>
          </w:tcPr>
          <w:p w:rsidR="00E5167C" w:rsidRPr="007940A2" w:rsidP="00E5167C" w14:paraId="7CCD31E6" w14:textId="6E43834B">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080" w:type="dxa"/>
            <w:tcBorders>
              <w:top w:val="single" w:sz="4" w:space="0" w:color="auto"/>
              <w:left w:val="nil"/>
              <w:bottom w:val="single" w:sz="4" w:space="0" w:color="auto"/>
              <w:right w:val="single" w:sz="4" w:space="0" w:color="auto"/>
            </w:tcBorders>
            <w:vAlign w:val="bottom"/>
          </w:tcPr>
          <w:p w:rsidR="00E5167C" w:rsidRPr="007940A2" w:rsidP="00E5167C" w14:paraId="67003E76" w14:textId="2F10B5E1">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200" w:type="dxa"/>
            <w:tcBorders>
              <w:top w:val="single" w:sz="4" w:space="0" w:color="auto"/>
              <w:left w:val="nil"/>
              <w:bottom w:val="single" w:sz="4" w:space="0" w:color="auto"/>
              <w:right w:val="single" w:sz="4" w:space="0" w:color="auto"/>
            </w:tcBorders>
            <w:vAlign w:val="bottom"/>
          </w:tcPr>
          <w:p w:rsidR="00E5167C" w:rsidRPr="007940A2" w:rsidP="00E5167C" w14:paraId="0F692317" w14:textId="76AF568B">
            <w:pPr>
              <w:spacing w:after="0" w:line="240" w:lineRule="auto"/>
              <w:jc w:val="center"/>
              <w:rPr>
                <w:rFonts w:eastAsia="Calibri" w:cs="Times New Roman"/>
                <w:color w:val="000000"/>
                <w:sz w:val="22"/>
              </w:rPr>
            </w:pPr>
            <w:r>
              <w:rPr>
                <w:rFonts w:eastAsia="Calibri" w:cs="Times New Roman"/>
                <w:color w:val="000000"/>
                <w:sz w:val="22"/>
              </w:rPr>
              <w:t>2,198</w:t>
            </w:r>
          </w:p>
        </w:tc>
        <w:tc>
          <w:tcPr>
            <w:tcW w:w="1140" w:type="dxa"/>
            <w:tcBorders>
              <w:top w:val="single" w:sz="4" w:space="0" w:color="auto"/>
              <w:left w:val="nil"/>
              <w:bottom w:val="single" w:sz="4" w:space="0" w:color="auto"/>
              <w:right w:val="single" w:sz="4" w:space="0" w:color="auto"/>
            </w:tcBorders>
            <w:vAlign w:val="bottom"/>
          </w:tcPr>
          <w:p w:rsidR="00E5167C" w:rsidRPr="007940A2" w:rsidP="00E5167C" w14:paraId="4F73E440" w14:textId="589E6880">
            <w:pPr>
              <w:spacing w:after="0" w:line="240" w:lineRule="auto"/>
              <w:jc w:val="center"/>
              <w:rPr>
                <w:rFonts w:eastAsia="Calibri" w:cs="Times New Roman"/>
                <w:color w:val="000000"/>
                <w:sz w:val="22"/>
              </w:rPr>
            </w:pPr>
            <w:r>
              <w:rPr>
                <w:rFonts w:eastAsia="Calibri" w:cs="Times New Roman"/>
                <w:color w:val="000000"/>
                <w:sz w:val="22"/>
              </w:rPr>
              <w:t>1,312</w:t>
            </w:r>
          </w:p>
        </w:tc>
      </w:tr>
      <w:tr w14:paraId="403DA262" w14:textId="77777777">
        <w:tblPrEx>
          <w:tblW w:w="9810" w:type="dxa"/>
          <w:tblInd w:w="108" w:type="dxa"/>
          <w:tblLayout w:type="fixed"/>
          <w:tblLook w:val="04A0"/>
        </w:tblPrEx>
        <w:trPr>
          <w:trHeight w:val="300"/>
        </w:trPr>
        <w:tc>
          <w:tcPr>
            <w:tcW w:w="2880" w:type="dxa"/>
            <w:tcBorders>
              <w:top w:val="nil"/>
              <w:left w:val="single" w:sz="4" w:space="0" w:color="auto"/>
              <w:bottom w:val="single" w:sz="4" w:space="0" w:color="auto"/>
              <w:right w:val="single" w:sz="4" w:space="0" w:color="auto"/>
            </w:tcBorders>
            <w:noWrap/>
            <w:vAlign w:val="bottom"/>
            <w:hideMark/>
          </w:tcPr>
          <w:p w:rsidR="00321F00" w:rsidRPr="007940A2" w:rsidP="00321F00" w14:paraId="265881C7" w14:textId="69DF4A12">
            <w:pPr>
              <w:spacing w:after="0" w:line="240" w:lineRule="auto"/>
              <w:ind w:left="360"/>
              <w:rPr>
                <w:rFonts w:eastAsia="Times New Roman" w:cs="Times New Roman"/>
                <w:color w:val="000000"/>
                <w:sz w:val="22"/>
              </w:rPr>
            </w:pPr>
            <w:r w:rsidRPr="007940A2">
              <w:rPr>
                <w:rFonts w:eastAsia="Times New Roman" w:cs="Times New Roman"/>
                <w:color w:val="000000"/>
                <w:sz w:val="22"/>
              </w:rPr>
              <w:t>Able Sea</w:t>
            </w:r>
            <w:r w:rsidR="00E5167C">
              <w:rPr>
                <w:rFonts w:eastAsia="Times New Roman" w:cs="Times New Roman"/>
                <w:color w:val="000000"/>
                <w:sz w:val="22"/>
              </w:rPr>
              <w:t>farer</w:t>
            </w:r>
            <w:r w:rsidRPr="007940A2">
              <w:rPr>
                <w:rFonts w:eastAsia="Times New Roman" w:cs="Times New Roman"/>
                <w:color w:val="000000"/>
                <w:sz w:val="22"/>
              </w:rPr>
              <w:t xml:space="preserve"> Special</w:t>
            </w:r>
          </w:p>
        </w:tc>
        <w:tc>
          <w:tcPr>
            <w:tcW w:w="1230" w:type="dxa"/>
            <w:tcBorders>
              <w:top w:val="nil"/>
              <w:left w:val="nil"/>
              <w:bottom w:val="single" w:sz="4" w:space="0" w:color="auto"/>
              <w:right w:val="single" w:sz="4" w:space="0" w:color="auto"/>
            </w:tcBorders>
            <w:noWrap/>
            <w:vAlign w:val="bottom"/>
            <w:hideMark/>
          </w:tcPr>
          <w:p w:rsidR="00321F00" w:rsidRPr="007940A2" w:rsidP="00321F00" w14:paraId="2C776CD0"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5,651</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7C961FE8" w14:textId="36297845">
            <w:pPr>
              <w:spacing w:after="0" w:line="240" w:lineRule="auto"/>
              <w:jc w:val="center"/>
              <w:rPr>
                <w:rFonts w:eastAsia="Times New Roman" w:cs="Times New Roman"/>
                <w:color w:val="000000"/>
                <w:sz w:val="22"/>
              </w:rPr>
            </w:pPr>
            <w:r>
              <w:rPr>
                <w:rFonts w:eastAsia="Calibri" w:cs="Times New Roman"/>
                <w:color w:val="000000"/>
                <w:sz w:val="22"/>
              </w:rPr>
              <w:t>1,440</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2652F7E6"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57FD0CB1"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21DCCFD9"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5,651</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2F1E80BD" w14:textId="6FF7BFD6">
            <w:pPr>
              <w:spacing w:after="0" w:line="240" w:lineRule="auto"/>
              <w:jc w:val="center"/>
              <w:rPr>
                <w:rFonts w:eastAsia="Times New Roman" w:cs="Times New Roman"/>
                <w:color w:val="000000"/>
                <w:sz w:val="22"/>
              </w:rPr>
            </w:pPr>
            <w:r>
              <w:rPr>
                <w:rFonts w:eastAsia="Calibri" w:cs="Times New Roman"/>
                <w:color w:val="000000"/>
                <w:sz w:val="22"/>
              </w:rPr>
              <w:t>1,440</w:t>
            </w:r>
          </w:p>
        </w:tc>
      </w:tr>
      <w:tr w14:paraId="7DE31237" w14:textId="77777777">
        <w:tblPrEx>
          <w:tblW w:w="9810" w:type="dxa"/>
          <w:tblInd w:w="108" w:type="dxa"/>
          <w:tblLayout w:type="fixed"/>
          <w:tblLook w:val="04A0"/>
        </w:tblPrEx>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321F00" w:rsidRPr="007940A2" w:rsidP="00321F00" w14:paraId="178B6DA2" w14:textId="26BCCD2B">
            <w:pPr>
              <w:spacing w:after="0" w:line="240" w:lineRule="auto"/>
              <w:ind w:left="360"/>
              <w:rPr>
                <w:rFonts w:eastAsia="Times New Roman" w:cs="Times New Roman"/>
                <w:color w:val="000000"/>
                <w:sz w:val="22"/>
              </w:rPr>
            </w:pPr>
            <w:r w:rsidRPr="007940A2">
              <w:rPr>
                <w:rFonts w:eastAsia="Times New Roman" w:cs="Times New Roman"/>
                <w:color w:val="000000"/>
                <w:sz w:val="22"/>
              </w:rPr>
              <w:t>QMED</w:t>
            </w:r>
          </w:p>
        </w:tc>
        <w:tc>
          <w:tcPr>
            <w:tcW w:w="1230" w:type="dxa"/>
            <w:tcBorders>
              <w:top w:val="single" w:sz="4" w:space="0" w:color="auto"/>
              <w:left w:val="nil"/>
              <w:bottom w:val="single" w:sz="4" w:space="0" w:color="auto"/>
              <w:right w:val="single" w:sz="4" w:space="0" w:color="auto"/>
            </w:tcBorders>
            <w:noWrap/>
            <w:vAlign w:val="bottom"/>
            <w:hideMark/>
          </w:tcPr>
          <w:p w:rsidR="00321F00" w:rsidRPr="007940A2" w:rsidP="00321F00" w14:paraId="5AF9A622"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4,262</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36674EBA" w14:textId="0E876D9B">
            <w:pPr>
              <w:spacing w:after="0" w:line="240" w:lineRule="auto"/>
              <w:jc w:val="center"/>
              <w:rPr>
                <w:rFonts w:eastAsia="Times New Roman" w:cs="Times New Roman"/>
                <w:color w:val="000000"/>
                <w:sz w:val="22"/>
              </w:rPr>
            </w:pPr>
            <w:r>
              <w:rPr>
                <w:rFonts w:eastAsia="Calibri" w:cs="Times New Roman"/>
                <w:color w:val="000000"/>
                <w:sz w:val="22"/>
              </w:rPr>
              <w:t>1,412</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34441062"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32355F23"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448F8BE5"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4,262</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51F6A349" w14:textId="7C848655">
            <w:pPr>
              <w:spacing w:after="0" w:line="240" w:lineRule="auto"/>
              <w:jc w:val="center"/>
              <w:rPr>
                <w:rFonts w:eastAsia="Times New Roman" w:cs="Times New Roman"/>
                <w:color w:val="000000"/>
                <w:sz w:val="22"/>
              </w:rPr>
            </w:pPr>
            <w:r>
              <w:rPr>
                <w:rFonts w:eastAsia="Calibri" w:cs="Times New Roman"/>
                <w:color w:val="000000"/>
                <w:sz w:val="22"/>
              </w:rPr>
              <w:t>1,412</w:t>
            </w:r>
          </w:p>
        </w:tc>
      </w:tr>
      <w:tr w14:paraId="1225F146" w14:textId="77777777">
        <w:tblPrEx>
          <w:tblW w:w="9810" w:type="dxa"/>
          <w:tblInd w:w="108" w:type="dxa"/>
          <w:tblLayout w:type="fixed"/>
          <w:tblLook w:val="04A0"/>
        </w:tblPrEx>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321F00" w:rsidRPr="007940A2" w:rsidP="00321F00" w14:paraId="0B3EBB00" w14:textId="58B54A58">
            <w:pPr>
              <w:spacing w:after="0" w:line="240" w:lineRule="auto"/>
              <w:ind w:left="360"/>
              <w:rPr>
                <w:rFonts w:eastAsia="Times New Roman" w:cs="Times New Roman"/>
                <w:color w:val="000000"/>
                <w:sz w:val="22"/>
              </w:rPr>
            </w:pPr>
            <w:r w:rsidRPr="007940A2">
              <w:rPr>
                <w:rFonts w:eastAsia="Times New Roman" w:cs="Times New Roman"/>
                <w:color w:val="000000"/>
                <w:sz w:val="22"/>
              </w:rPr>
              <w:t>Sea</w:t>
            </w:r>
            <w:r w:rsidR="00E5167C">
              <w:rPr>
                <w:rFonts w:eastAsia="Times New Roman" w:cs="Times New Roman"/>
                <w:color w:val="000000"/>
                <w:sz w:val="22"/>
              </w:rPr>
              <w:t>farer</w:t>
            </w:r>
            <w:r w:rsidRPr="007940A2">
              <w:rPr>
                <w:rFonts w:eastAsia="Times New Roman" w:cs="Times New Roman"/>
                <w:color w:val="000000"/>
                <w:sz w:val="22"/>
              </w:rPr>
              <w:t>/ Wiper/Steward</w:t>
            </w:r>
            <w:r w:rsidR="00E5167C">
              <w:rPr>
                <w:rFonts w:eastAsia="Times New Roman" w:cs="Times New Roman"/>
                <w:color w:val="000000"/>
                <w:sz w:val="22"/>
              </w:rPr>
              <w:t>’s Department (FH)</w:t>
            </w:r>
          </w:p>
        </w:tc>
        <w:tc>
          <w:tcPr>
            <w:tcW w:w="1230" w:type="dxa"/>
            <w:tcBorders>
              <w:top w:val="single" w:sz="4" w:space="0" w:color="auto"/>
              <w:left w:val="nil"/>
              <w:bottom w:val="single" w:sz="4" w:space="0" w:color="auto"/>
              <w:right w:val="single" w:sz="4" w:space="0" w:color="auto"/>
            </w:tcBorders>
            <w:noWrap/>
            <w:vAlign w:val="bottom"/>
            <w:hideMark/>
          </w:tcPr>
          <w:p w:rsidR="00321F00" w:rsidRPr="007940A2" w:rsidP="00321F00" w14:paraId="00989B96"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64,991</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79957FE3" w14:textId="3DF20450">
            <w:pPr>
              <w:spacing w:after="0" w:line="240" w:lineRule="auto"/>
              <w:jc w:val="center"/>
              <w:rPr>
                <w:rFonts w:eastAsia="Times New Roman" w:cs="Times New Roman"/>
                <w:color w:val="000000"/>
                <w:sz w:val="22"/>
              </w:rPr>
            </w:pPr>
            <w:r>
              <w:rPr>
                <w:rFonts w:eastAsia="Calibri" w:cs="Times New Roman"/>
                <w:color w:val="000000"/>
                <w:sz w:val="22"/>
              </w:rPr>
              <w:t>1,528</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775822B8"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0B38F0F2" w14:textId="77777777">
            <w:pPr>
              <w:spacing w:after="0" w:line="240" w:lineRule="auto"/>
              <w:jc w:val="center"/>
              <w:rPr>
                <w:rFonts w:eastAsia="Times New Roman" w:cs="Times New Roman"/>
                <w:color w:val="000000"/>
                <w:sz w:val="22"/>
              </w:rPr>
            </w:pPr>
            <w:r w:rsidRPr="007940A2">
              <w:rPr>
                <w:rFonts w:eastAsia="Times New Roman" w:cs="Times New Roman"/>
                <w:color w:val="000000"/>
                <w:sz w:val="22"/>
              </w:rPr>
              <w:t>n/a</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22803062" w14:textId="77777777">
            <w:pPr>
              <w:spacing w:after="0" w:line="240" w:lineRule="auto"/>
              <w:jc w:val="center"/>
              <w:rPr>
                <w:rFonts w:eastAsia="Times New Roman" w:cs="Times New Roman"/>
                <w:color w:val="000000"/>
                <w:sz w:val="22"/>
              </w:rPr>
            </w:pPr>
            <w:r w:rsidRPr="007940A2">
              <w:rPr>
                <w:rFonts w:eastAsia="Calibri" w:cs="Times New Roman"/>
                <w:color w:val="000000"/>
                <w:sz w:val="22"/>
              </w:rPr>
              <w:t>64,991</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2ACCE97C" w14:textId="089C4297">
            <w:pPr>
              <w:spacing w:after="0" w:line="240" w:lineRule="auto"/>
              <w:jc w:val="center"/>
              <w:rPr>
                <w:rFonts w:eastAsia="Times New Roman" w:cs="Times New Roman"/>
                <w:color w:val="000000"/>
                <w:sz w:val="22"/>
              </w:rPr>
            </w:pPr>
            <w:r>
              <w:rPr>
                <w:rFonts w:eastAsia="Calibri" w:cs="Times New Roman"/>
                <w:color w:val="000000"/>
                <w:sz w:val="22"/>
              </w:rPr>
              <w:t>1,528</w:t>
            </w:r>
          </w:p>
        </w:tc>
      </w:tr>
      <w:tr w14:paraId="78BD3E9F" w14:textId="77777777">
        <w:tblPrEx>
          <w:tblW w:w="9810" w:type="dxa"/>
          <w:tblInd w:w="108" w:type="dxa"/>
          <w:tblLayout w:type="fixed"/>
          <w:tblLook w:val="04A0"/>
        </w:tblPrEx>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321F00" w:rsidRPr="007940A2" w:rsidP="00321F00" w14:paraId="54A5B8E2" w14:textId="77777777">
            <w:pPr>
              <w:spacing w:after="0" w:line="240" w:lineRule="auto"/>
              <w:rPr>
                <w:rFonts w:eastAsia="Times New Roman" w:cs="Times New Roman"/>
                <w:b/>
                <w:bCs/>
                <w:color w:val="000000"/>
                <w:sz w:val="22"/>
              </w:rPr>
            </w:pPr>
            <w:r w:rsidRPr="007940A2">
              <w:rPr>
                <w:rFonts w:eastAsia="Times New Roman" w:cs="Times New Roman"/>
                <w:b/>
                <w:bCs/>
                <w:color w:val="000000"/>
                <w:sz w:val="22"/>
              </w:rPr>
              <w:t>Total</w:t>
            </w:r>
          </w:p>
        </w:tc>
        <w:tc>
          <w:tcPr>
            <w:tcW w:w="1230" w:type="dxa"/>
            <w:tcBorders>
              <w:top w:val="single" w:sz="4" w:space="0" w:color="auto"/>
              <w:left w:val="nil"/>
              <w:bottom w:val="single" w:sz="4" w:space="0" w:color="auto"/>
              <w:right w:val="single" w:sz="4" w:space="0" w:color="auto"/>
            </w:tcBorders>
            <w:noWrap/>
            <w:vAlign w:val="bottom"/>
            <w:hideMark/>
          </w:tcPr>
          <w:p w:rsidR="00321F00" w:rsidRPr="007940A2" w:rsidP="00321F00" w14:paraId="74B2A79D" w14:textId="6DB33FF1">
            <w:pPr>
              <w:spacing w:after="0" w:line="240" w:lineRule="auto"/>
              <w:jc w:val="center"/>
              <w:rPr>
                <w:rFonts w:eastAsia="Times New Roman" w:cs="Times New Roman"/>
                <w:b/>
                <w:bCs/>
                <w:color w:val="000000"/>
                <w:sz w:val="22"/>
              </w:rPr>
            </w:pPr>
            <w:r>
              <w:rPr>
                <w:rFonts w:eastAsia="Times New Roman" w:cs="Times New Roman"/>
                <w:b/>
                <w:bCs/>
                <w:color w:val="000000"/>
                <w:sz w:val="22"/>
              </w:rPr>
              <w:t>105,079</w:t>
            </w:r>
          </w:p>
        </w:tc>
        <w:tc>
          <w:tcPr>
            <w:tcW w:w="1110" w:type="dxa"/>
            <w:tcBorders>
              <w:top w:val="single" w:sz="4" w:space="0" w:color="auto"/>
              <w:left w:val="nil"/>
              <w:bottom w:val="single" w:sz="4" w:space="0" w:color="auto"/>
              <w:right w:val="single" w:sz="4" w:space="0" w:color="auto"/>
            </w:tcBorders>
            <w:noWrap/>
            <w:vAlign w:val="bottom"/>
            <w:hideMark/>
          </w:tcPr>
          <w:p w:rsidR="00321F00" w:rsidRPr="007940A2" w:rsidP="00321F00" w14:paraId="04D5395C" w14:textId="10A8FD62">
            <w:pPr>
              <w:spacing w:after="0" w:line="240" w:lineRule="auto"/>
              <w:jc w:val="center"/>
              <w:rPr>
                <w:rFonts w:eastAsia="Times New Roman" w:cs="Times New Roman"/>
                <w:b/>
                <w:bCs/>
                <w:color w:val="000000"/>
                <w:sz w:val="22"/>
              </w:rPr>
            </w:pPr>
            <w:r>
              <w:rPr>
                <w:rFonts w:eastAsia="Times New Roman" w:cs="Times New Roman"/>
                <w:b/>
                <w:bCs/>
                <w:color w:val="000000"/>
                <w:sz w:val="22"/>
              </w:rPr>
              <w:t>14,359</w:t>
            </w:r>
          </w:p>
        </w:tc>
        <w:tc>
          <w:tcPr>
            <w:tcW w:w="1170" w:type="dxa"/>
            <w:tcBorders>
              <w:top w:val="single" w:sz="4" w:space="0" w:color="auto"/>
              <w:left w:val="nil"/>
              <w:bottom w:val="single" w:sz="4" w:space="0" w:color="auto"/>
              <w:right w:val="single" w:sz="4" w:space="0" w:color="auto"/>
            </w:tcBorders>
            <w:vAlign w:val="bottom"/>
            <w:hideMark/>
          </w:tcPr>
          <w:p w:rsidR="00321F00" w:rsidRPr="007940A2" w:rsidP="00321F00" w14:paraId="030633B3" w14:textId="77777777">
            <w:pPr>
              <w:spacing w:after="0" w:line="240" w:lineRule="auto"/>
              <w:jc w:val="center"/>
              <w:rPr>
                <w:rFonts w:eastAsia="Times New Roman" w:cs="Times New Roman"/>
                <w:b/>
                <w:bCs/>
                <w:color w:val="000000"/>
                <w:sz w:val="22"/>
              </w:rPr>
            </w:pPr>
            <w:r w:rsidRPr="007940A2">
              <w:rPr>
                <w:rFonts w:eastAsia="Times New Roman" w:cs="Times New Roman"/>
                <w:b/>
                <w:bCs/>
                <w:color w:val="000000"/>
                <w:sz w:val="22"/>
              </w:rPr>
              <w:t>2,837</w:t>
            </w:r>
          </w:p>
        </w:tc>
        <w:tc>
          <w:tcPr>
            <w:tcW w:w="1080" w:type="dxa"/>
            <w:tcBorders>
              <w:top w:val="single" w:sz="4" w:space="0" w:color="auto"/>
              <w:left w:val="nil"/>
              <w:bottom w:val="single" w:sz="4" w:space="0" w:color="auto"/>
              <w:right w:val="single" w:sz="4" w:space="0" w:color="auto"/>
            </w:tcBorders>
            <w:vAlign w:val="bottom"/>
            <w:hideMark/>
          </w:tcPr>
          <w:p w:rsidR="00321F00" w:rsidRPr="007940A2" w:rsidP="00321F00" w14:paraId="1FFA1320" w14:textId="3E0D63C1">
            <w:pPr>
              <w:spacing w:after="0" w:line="240" w:lineRule="auto"/>
              <w:jc w:val="center"/>
              <w:rPr>
                <w:rFonts w:eastAsia="Times New Roman" w:cs="Times New Roman"/>
                <w:b/>
                <w:bCs/>
                <w:color w:val="000000"/>
                <w:sz w:val="22"/>
              </w:rPr>
            </w:pPr>
            <w:r>
              <w:rPr>
                <w:rFonts w:eastAsia="Times New Roman" w:cs="Times New Roman"/>
                <w:b/>
                <w:bCs/>
                <w:color w:val="000000"/>
                <w:sz w:val="22"/>
              </w:rPr>
              <w:t>2,837</w:t>
            </w:r>
          </w:p>
        </w:tc>
        <w:tc>
          <w:tcPr>
            <w:tcW w:w="1200" w:type="dxa"/>
            <w:tcBorders>
              <w:top w:val="single" w:sz="4" w:space="0" w:color="auto"/>
              <w:left w:val="nil"/>
              <w:bottom w:val="single" w:sz="4" w:space="0" w:color="auto"/>
              <w:right w:val="single" w:sz="4" w:space="0" w:color="auto"/>
            </w:tcBorders>
            <w:vAlign w:val="bottom"/>
            <w:hideMark/>
          </w:tcPr>
          <w:p w:rsidR="00321F00" w:rsidRPr="007940A2" w:rsidP="00321F00" w14:paraId="57BC75D6" w14:textId="22B8C413">
            <w:pPr>
              <w:spacing w:after="0" w:line="240" w:lineRule="auto"/>
              <w:jc w:val="center"/>
              <w:rPr>
                <w:rFonts w:eastAsia="Times New Roman" w:cs="Times New Roman"/>
                <w:b/>
                <w:bCs/>
                <w:color w:val="000000"/>
                <w:sz w:val="22"/>
              </w:rPr>
            </w:pPr>
            <w:r>
              <w:rPr>
                <w:rFonts w:eastAsia="Calibri" w:cs="Times New Roman"/>
                <w:b/>
                <w:bCs/>
                <w:color w:val="000000"/>
                <w:sz w:val="22"/>
              </w:rPr>
              <w:t>107,916</w:t>
            </w:r>
          </w:p>
        </w:tc>
        <w:tc>
          <w:tcPr>
            <w:tcW w:w="1140" w:type="dxa"/>
            <w:tcBorders>
              <w:top w:val="single" w:sz="4" w:space="0" w:color="auto"/>
              <w:left w:val="nil"/>
              <w:bottom w:val="single" w:sz="4" w:space="0" w:color="auto"/>
              <w:right w:val="single" w:sz="4" w:space="0" w:color="auto"/>
            </w:tcBorders>
            <w:vAlign w:val="bottom"/>
            <w:hideMark/>
          </w:tcPr>
          <w:p w:rsidR="00321F00" w:rsidRPr="007940A2" w:rsidP="00321F00" w14:paraId="740180F5" w14:textId="2546C207">
            <w:pPr>
              <w:spacing w:after="0" w:line="240" w:lineRule="auto"/>
              <w:jc w:val="center"/>
              <w:rPr>
                <w:rFonts w:eastAsia="Times New Roman" w:cs="Times New Roman"/>
                <w:b/>
                <w:bCs/>
                <w:color w:val="000000"/>
                <w:sz w:val="22"/>
              </w:rPr>
            </w:pPr>
            <w:r>
              <w:rPr>
                <w:rFonts w:eastAsia="Calibri" w:cs="Times New Roman"/>
                <w:b/>
                <w:bCs/>
                <w:color w:val="000000"/>
                <w:sz w:val="22"/>
              </w:rPr>
              <w:t>17,196</w:t>
            </w:r>
          </w:p>
        </w:tc>
      </w:tr>
    </w:tbl>
    <w:p w:rsidR="00321F00" w:rsidRPr="00321F00" w:rsidP="00321F00" w14:paraId="5F638C38" w14:textId="4C87E4DB">
      <w:pPr>
        <w:ind w:left="180"/>
        <w:rPr>
          <w:sz w:val="20"/>
          <w:szCs w:val="20"/>
        </w:rPr>
      </w:pPr>
      <w:r w:rsidRPr="007940A2">
        <w:rPr>
          <w:sz w:val="20"/>
          <w:szCs w:val="20"/>
        </w:rPr>
        <w:t xml:space="preserve">* </w:t>
      </w:r>
      <w:r w:rsidRPr="00451B3C" w:rsidR="00451B3C">
        <w:rPr>
          <w:sz w:val="20"/>
          <w:szCs w:val="20"/>
        </w:rPr>
        <w:t xml:space="preserve">Given the subpopulation sizes, all mariners in the eight subgroups of </w:t>
      </w:r>
      <w:r w:rsidR="00451B3C">
        <w:rPr>
          <w:sz w:val="20"/>
          <w:szCs w:val="20"/>
        </w:rPr>
        <w:t>mariners with an MMC placed in continuity</w:t>
      </w:r>
      <w:r w:rsidRPr="00451B3C" w:rsidR="00451B3C">
        <w:rPr>
          <w:sz w:val="20"/>
          <w:szCs w:val="20"/>
        </w:rPr>
        <w:t xml:space="preserve"> will be invited to complete the survey.</w:t>
      </w:r>
    </w:p>
    <w:p w:rsidR="007940A2" w:rsidP="00EE5E78" w14:paraId="5BF573D1" w14:textId="5FC46E33">
      <w:pPr>
        <w:ind w:left="720"/>
        <w:rPr>
          <w:b/>
          <w:bCs/>
        </w:rPr>
      </w:pPr>
      <w:r w:rsidRPr="007C1F29">
        <w:t xml:space="preserve">A survey of mariners was conducted in 2002. </w:t>
      </w:r>
      <w:bookmarkStart w:id="12" w:name="_Hlk24529395"/>
      <w:r w:rsidRPr="007C1F29">
        <w:t xml:space="preserve">MARAD partnered with the Bureau of Transportation Statistics to conduct the </w:t>
      </w:r>
      <w:r w:rsidRPr="007C1F29">
        <w:rPr>
          <w:i/>
        </w:rPr>
        <w:t>2002 Mariner Survey</w:t>
      </w:r>
      <w:r w:rsidRPr="007C1F29">
        <w:t>.</w:t>
      </w:r>
      <w:bookmarkEnd w:id="12"/>
      <w:r w:rsidRPr="007C1F29">
        <w:t xml:space="preserve"> Using a mail-out survey with a telephone follow-up for non</w:t>
      </w:r>
      <w:r w:rsidR="00296E9D">
        <w:t>-</w:t>
      </w:r>
      <w:r w:rsidRPr="007C1F29">
        <w:t>responders, a 43% response rate was achieved.</w:t>
      </w:r>
      <w:r w:rsidR="00E5167C">
        <w:t xml:space="preserve"> </w:t>
      </w:r>
      <w:r w:rsidR="007C1F29">
        <w:t xml:space="preserve">The </w:t>
      </w:r>
      <w:r w:rsidR="00F47F10">
        <w:t>p</w:t>
      </w:r>
      <w:r w:rsidR="007C1F29">
        <w:t xml:space="preserve">ilot </w:t>
      </w:r>
      <w:r w:rsidR="00F47F10">
        <w:t>t</w:t>
      </w:r>
      <w:r w:rsidR="007C1F29">
        <w:t xml:space="preserve">est </w:t>
      </w:r>
      <w:r w:rsidR="00C032DC">
        <w:t xml:space="preserve">conducted in 2026 </w:t>
      </w:r>
      <w:r w:rsidR="007C1F29">
        <w:t>achieved an overall response rate of 36%.</w:t>
      </w:r>
      <w:bookmarkStart w:id="13" w:name="_Toc36473985"/>
    </w:p>
    <w:p w:rsidR="00C125F8" w:rsidP="00EE5E78" w14:paraId="410473DF" w14:textId="0DC483F5">
      <w:pPr>
        <w:pStyle w:val="Heading3"/>
        <w:numPr>
          <w:ilvl w:val="0"/>
          <w:numId w:val="29"/>
        </w:numPr>
      </w:pPr>
      <w:r w:rsidRPr="00C125F8">
        <w:t xml:space="preserve"> </w:t>
      </w:r>
      <w:bookmarkStart w:id="14" w:name="_Toc236138082"/>
      <w:r w:rsidRPr="00C125F8">
        <w:t>Statistical Methodology</w:t>
      </w:r>
      <w:bookmarkEnd w:id="13"/>
      <w:bookmarkEnd w:id="14"/>
      <w:r w:rsidRPr="00C125F8">
        <w:t xml:space="preserve"> </w:t>
      </w:r>
    </w:p>
    <w:p w:rsidR="00321F00" w:rsidRPr="007940A2" w:rsidP="00EE5E78" w14:paraId="6313AC30" w14:textId="6A9742D9">
      <w:pPr>
        <w:spacing w:line="256" w:lineRule="auto"/>
        <w:ind w:left="720"/>
        <w:rPr>
          <w:rFonts w:eastAsia="Calibri" w:cs="Times New Roman"/>
        </w:rPr>
      </w:pPr>
      <w:bookmarkStart w:id="15" w:name="_Toc36473988"/>
      <w:r w:rsidRPr="007940A2">
        <w:rPr>
          <w:rFonts w:eastAsia="Calibri" w:cs="Times New Roman"/>
        </w:rPr>
        <w:t xml:space="preserve">The sampling methodology used to conduct the </w:t>
      </w:r>
      <w:r w:rsidRPr="00EE5E78">
        <w:rPr>
          <w:rFonts w:eastAsia="Calibri" w:cs="Times New Roman"/>
        </w:rPr>
        <w:t>Mariner Survey</w:t>
      </w:r>
      <w:r w:rsidRPr="007940A2">
        <w:rPr>
          <w:rFonts w:eastAsia="Calibri" w:cs="Times New Roman"/>
        </w:rPr>
        <w:t xml:space="preserve"> will be a proportionate stratified sampling design. The mariner population is stratified into </w:t>
      </w:r>
      <w:r w:rsidR="0098658D">
        <w:rPr>
          <w:rFonts w:eastAsia="Calibri" w:cs="Times New Roman"/>
        </w:rPr>
        <w:t>21</w:t>
      </w:r>
      <w:r w:rsidRPr="007940A2" w:rsidR="0098658D">
        <w:rPr>
          <w:rFonts w:eastAsia="Calibri" w:cs="Times New Roman"/>
        </w:rPr>
        <w:t xml:space="preserve"> </w:t>
      </w:r>
      <w:r w:rsidRPr="007940A2">
        <w:rPr>
          <w:rFonts w:eastAsia="Calibri" w:cs="Times New Roman"/>
        </w:rPr>
        <w:t xml:space="preserve">subpopulations </w:t>
      </w:r>
      <w:r w:rsidR="0098658D">
        <w:rPr>
          <w:rFonts w:eastAsia="Calibri" w:cs="Times New Roman"/>
        </w:rPr>
        <w:t>including 13 groups of mariners with a valid MMC (eight licensed and five unlicensed groups) and eight groups of mariners with an MMC placed in continuity.</w:t>
      </w:r>
    </w:p>
    <w:p w:rsidR="0098658D" w:rsidP="00EE5E78" w14:paraId="5E2AC079" w14:textId="55018E37">
      <w:pPr>
        <w:spacing w:line="256" w:lineRule="auto"/>
        <w:ind w:left="720"/>
        <w:rPr>
          <w:rFonts w:eastAsia="Calibri" w:cs="Times New Roman"/>
        </w:rPr>
      </w:pPr>
      <w:r w:rsidRPr="007940A2">
        <w:rPr>
          <w:rFonts w:eastAsia="Calibri" w:cs="Times New Roman"/>
        </w:rPr>
        <w:t xml:space="preserve">For the </w:t>
      </w:r>
      <w:r>
        <w:rPr>
          <w:rFonts w:eastAsia="Calibri" w:cs="Times New Roman"/>
        </w:rPr>
        <w:t>eight</w:t>
      </w:r>
      <w:r w:rsidRPr="007940A2">
        <w:rPr>
          <w:rFonts w:eastAsia="Calibri" w:cs="Times New Roman"/>
        </w:rPr>
        <w:t xml:space="preserve"> </w:t>
      </w:r>
      <w:r w:rsidRPr="007940A2">
        <w:rPr>
          <w:rFonts w:eastAsia="Calibri" w:cs="Times New Roman"/>
        </w:rPr>
        <w:t xml:space="preserve">subpopulations of </w:t>
      </w:r>
      <w:r>
        <w:rPr>
          <w:rFonts w:eastAsia="Calibri" w:cs="Times New Roman"/>
        </w:rPr>
        <w:t xml:space="preserve">licensed </w:t>
      </w:r>
      <w:r w:rsidRPr="007940A2">
        <w:rPr>
          <w:rFonts w:eastAsia="Calibri" w:cs="Times New Roman"/>
        </w:rPr>
        <w:t xml:space="preserve">mariners with a </w:t>
      </w:r>
      <w:r>
        <w:rPr>
          <w:rFonts w:eastAsia="Calibri" w:cs="Times New Roman"/>
        </w:rPr>
        <w:t>valid</w:t>
      </w:r>
      <w:r w:rsidRPr="007940A2">
        <w:rPr>
          <w:rFonts w:eastAsia="Calibri" w:cs="Times New Roman"/>
        </w:rPr>
        <w:t xml:space="preserve"> </w:t>
      </w:r>
      <w:r w:rsidRPr="007940A2">
        <w:rPr>
          <w:rFonts w:eastAsia="Calibri" w:cs="Times New Roman"/>
        </w:rPr>
        <w:t xml:space="preserve">MMC, the sampling approach </w:t>
      </w:r>
      <w:r>
        <w:rPr>
          <w:rFonts w:eastAsia="Calibri" w:cs="Times New Roman"/>
        </w:rPr>
        <w:t>is designed to produce estimates with</w:t>
      </w:r>
      <w:r w:rsidRPr="007940A2">
        <w:rPr>
          <w:rFonts w:eastAsia="Calibri" w:cs="Times New Roman"/>
        </w:rPr>
        <w:t xml:space="preserve"> a </w:t>
      </w:r>
      <w:r>
        <w:rPr>
          <w:rFonts w:eastAsia="Calibri" w:cs="Times New Roman"/>
        </w:rPr>
        <w:t>±</w:t>
      </w:r>
      <w:r w:rsidRPr="007940A2">
        <w:rPr>
          <w:rFonts w:eastAsia="Calibri" w:cs="Times New Roman"/>
        </w:rPr>
        <w:t xml:space="preserve">5% margin of error </w:t>
      </w:r>
      <w:r>
        <w:rPr>
          <w:rFonts w:eastAsia="Calibri" w:cs="Times New Roman"/>
        </w:rPr>
        <w:t>at the</w:t>
      </w:r>
      <w:r w:rsidRPr="007940A2">
        <w:rPr>
          <w:rFonts w:eastAsia="Calibri" w:cs="Times New Roman"/>
        </w:rPr>
        <w:t xml:space="preserve"> 95% confidence </w:t>
      </w:r>
      <w:r>
        <w:rPr>
          <w:rFonts w:eastAsia="Calibri" w:cs="Times New Roman"/>
        </w:rPr>
        <w:t>level</w:t>
      </w:r>
      <w:r w:rsidRPr="007940A2">
        <w:rPr>
          <w:rFonts w:eastAsia="Calibri" w:cs="Times New Roman"/>
        </w:rPr>
        <w:t xml:space="preserve">, </w:t>
      </w:r>
      <w:r>
        <w:rPr>
          <w:rFonts w:eastAsia="Calibri" w:cs="Times New Roman"/>
        </w:rPr>
        <w:t>assuming</w:t>
      </w:r>
      <w:r w:rsidRPr="007940A2">
        <w:rPr>
          <w:rFonts w:eastAsia="Calibri" w:cs="Times New Roman"/>
        </w:rPr>
        <w:t xml:space="preserve"> </w:t>
      </w:r>
      <w:r w:rsidR="00675661">
        <w:rPr>
          <w:rFonts w:eastAsia="Calibri" w:cs="Times New Roman"/>
        </w:rPr>
        <w:t xml:space="preserve">simple random </w:t>
      </w:r>
      <w:r w:rsidR="00D41B74">
        <w:rPr>
          <w:rFonts w:eastAsia="Calibri" w:cs="Times New Roman"/>
        </w:rPr>
        <w:t xml:space="preserve">sampling within strata and </w:t>
      </w:r>
      <w:r w:rsidR="00ED0502">
        <w:rPr>
          <w:rFonts w:eastAsia="Calibri" w:cs="Times New Roman"/>
        </w:rPr>
        <w:t>a</w:t>
      </w:r>
      <w:r w:rsidRPr="007940A2">
        <w:rPr>
          <w:rFonts w:eastAsia="Calibri" w:cs="Times New Roman"/>
        </w:rPr>
        <w:t xml:space="preserve"> minimum </w:t>
      </w:r>
      <w:r w:rsidR="00451B3C">
        <w:rPr>
          <w:rFonts w:eastAsia="Calibri" w:cs="Times New Roman"/>
        </w:rPr>
        <w:t>response rate of 35%</w:t>
      </w:r>
      <w:r w:rsidRPr="007940A2">
        <w:rPr>
          <w:rFonts w:eastAsia="Calibri" w:cs="Times New Roman"/>
        </w:rPr>
        <w:t xml:space="preserve">. </w:t>
      </w:r>
    </w:p>
    <w:p w:rsidR="007923E2" w:rsidP="00EE5E78" w14:paraId="204E15F8" w14:textId="1D909F11">
      <w:pPr>
        <w:spacing w:line="256" w:lineRule="auto"/>
        <w:ind w:left="720"/>
        <w:rPr>
          <w:rFonts w:eastAsia="Calibri" w:cs="Times New Roman"/>
        </w:rPr>
      </w:pPr>
      <w:r w:rsidRPr="0098658D">
        <w:rPr>
          <w:rFonts w:eastAsia="Calibri" w:cs="Times New Roman"/>
        </w:rPr>
        <w:t xml:space="preserve">For the five groups of unlicensed mariners with a valid MMC, the sampling approach is designed to produce estimates with a ±5% margin of error at the 95% confidence level, assuming </w:t>
      </w:r>
      <w:r w:rsidR="00ED0502">
        <w:rPr>
          <w:rFonts w:eastAsia="Calibri" w:cs="Times New Roman"/>
        </w:rPr>
        <w:t>simple random sampling within strata and</w:t>
      </w:r>
      <w:r w:rsidRPr="0098658D" w:rsidR="00ED0502">
        <w:rPr>
          <w:rFonts w:eastAsia="Calibri" w:cs="Times New Roman"/>
        </w:rPr>
        <w:t xml:space="preserve"> </w:t>
      </w:r>
      <w:r w:rsidRPr="0098658D">
        <w:rPr>
          <w:rFonts w:eastAsia="Calibri" w:cs="Times New Roman"/>
        </w:rPr>
        <w:t xml:space="preserve">a minimum </w:t>
      </w:r>
      <w:r w:rsidR="00F64C2E">
        <w:rPr>
          <w:rFonts w:eastAsia="Calibri" w:cs="Times New Roman"/>
        </w:rPr>
        <w:t xml:space="preserve">response rate of </w:t>
      </w:r>
      <w:r w:rsidRPr="0098658D">
        <w:rPr>
          <w:rFonts w:eastAsia="Calibri" w:cs="Times New Roman"/>
        </w:rPr>
        <w:t>25%.</w:t>
      </w:r>
    </w:p>
    <w:p w:rsidR="00D41B74" w:rsidRPr="007940A2" w:rsidP="00EE5E78" w14:paraId="51E9D86E" w14:textId="0D34091B">
      <w:pPr>
        <w:spacing w:line="256" w:lineRule="auto"/>
        <w:ind w:left="720"/>
        <w:rPr>
          <w:rFonts w:eastAsia="Calibri" w:cs="Times New Roman"/>
        </w:rPr>
      </w:pPr>
      <w:r w:rsidRPr="00D41B74">
        <w:rPr>
          <w:rFonts w:eastAsia="Calibri" w:cs="Times New Roman"/>
        </w:rPr>
        <w:t>These projected margin</w:t>
      </w:r>
      <w:r w:rsidR="00F220F1">
        <w:rPr>
          <w:rFonts w:eastAsia="Calibri" w:cs="Times New Roman"/>
        </w:rPr>
        <w:t xml:space="preserve">s </w:t>
      </w:r>
      <w:r w:rsidRPr="00D41B74">
        <w:rPr>
          <w:rFonts w:eastAsia="Calibri" w:cs="Times New Roman"/>
        </w:rPr>
        <w:t>of error assume simple random sampling within strata and the target response rates.</w:t>
      </w:r>
    </w:p>
    <w:p w:rsidR="00321F00" w:rsidRPr="007940A2" w:rsidP="00EE5E78" w14:paraId="143DC91E" w14:textId="497080E1">
      <w:pPr>
        <w:spacing w:line="256" w:lineRule="auto"/>
        <w:ind w:left="720"/>
        <w:rPr>
          <w:rFonts w:eastAsia="Calibri" w:cs="Times New Roman"/>
        </w:rPr>
      </w:pPr>
      <w:r w:rsidRPr="007940A2">
        <w:rPr>
          <w:rFonts w:eastAsia="Calibri" w:cs="Times New Roman"/>
        </w:rPr>
        <w:t xml:space="preserve">The formula below </w:t>
      </w:r>
      <w:r w:rsidR="00F220F1">
        <w:rPr>
          <w:rFonts w:eastAsia="Calibri" w:cs="Times New Roman"/>
        </w:rPr>
        <w:t>was</w:t>
      </w:r>
      <w:r w:rsidRPr="007940A2" w:rsidR="00F220F1">
        <w:rPr>
          <w:rFonts w:eastAsia="Calibri" w:cs="Times New Roman"/>
        </w:rPr>
        <w:t xml:space="preserve"> </w:t>
      </w:r>
      <w:r w:rsidRPr="007940A2">
        <w:rPr>
          <w:rFonts w:eastAsia="Calibri" w:cs="Times New Roman"/>
        </w:rPr>
        <w:t xml:space="preserve">used to calculate the number of </w:t>
      </w:r>
      <w:r w:rsidR="0009461A">
        <w:rPr>
          <w:rFonts w:eastAsia="Calibri" w:cs="Times New Roman"/>
        </w:rPr>
        <w:t>completed surveys</w:t>
      </w:r>
      <w:r w:rsidRPr="007940A2" w:rsidR="0009461A">
        <w:rPr>
          <w:rFonts w:eastAsia="Calibri" w:cs="Times New Roman"/>
        </w:rPr>
        <w:t xml:space="preserve"> </w:t>
      </w:r>
      <w:r w:rsidRPr="007940A2">
        <w:rPr>
          <w:rFonts w:eastAsia="Calibri" w:cs="Times New Roman"/>
        </w:rPr>
        <w:t xml:space="preserve">needed to obtain </w:t>
      </w:r>
      <w:r w:rsidR="0009461A">
        <w:rPr>
          <w:rFonts w:eastAsia="Calibri" w:cs="Times New Roman"/>
        </w:rPr>
        <w:t>estimates with</w:t>
      </w:r>
      <w:r w:rsidR="00F220F1">
        <w:rPr>
          <w:rFonts w:eastAsia="Calibri" w:cs="Times New Roman"/>
        </w:rPr>
        <w:t xml:space="preserve"> the target </w:t>
      </w:r>
      <w:r w:rsidRPr="007940A2">
        <w:rPr>
          <w:rFonts w:eastAsia="Calibri" w:cs="Times New Roman"/>
        </w:rPr>
        <w:t xml:space="preserve">margin of error </w:t>
      </w:r>
      <w:r w:rsidR="0009461A">
        <w:rPr>
          <w:rFonts w:eastAsia="Calibri" w:cs="Times New Roman"/>
        </w:rPr>
        <w:t>and confidence level.</w:t>
      </w:r>
    </w:p>
    <w:p w:rsidR="00321F00" w:rsidRPr="007940A2" w:rsidP="00321F00" w14:paraId="215937D3" w14:textId="77777777">
      <w:pPr>
        <w:spacing w:line="256" w:lineRule="auto"/>
        <w:rPr>
          <w:rFonts w:eastAsia="Calibri" w:cs="Times New Roman"/>
        </w:rPr>
      </w:pPr>
    </w:p>
    <w:p w:rsidR="00321F00" w:rsidRPr="007940A2" w:rsidP="00321F00" w14:paraId="76BF6EC5" w14:textId="77777777">
      <w:pPr>
        <w:spacing w:line="256" w:lineRule="auto"/>
        <w:rPr>
          <w:rFonts w:eastAsia="Times New Roman" w:cs="Times New Roman"/>
        </w:rPr>
      </w:pPr>
      <m:oMathPara>
        <m:oMath>
          <m:r>
            <w:rPr>
              <w:rFonts w:ascii="Cambria Math" w:eastAsia="Calibri" w:hAnsi="Cambria Math" w:cs="Times New Roman"/>
            </w:rPr>
            <m:t>Completes Needed=</m:t>
          </m:r>
          <m:f>
            <m:fPr>
              <m:ctrlPr>
                <w:rPr>
                  <w:rFonts w:ascii="Cambria Math" w:eastAsia="Calibri" w:hAnsi="Cambria Math" w:cs="Times New Roman"/>
                  <w:i/>
                </w:rPr>
              </m:ctrlPr>
            </m:fPr>
            <m:num>
              <m:r>
                <w:rPr>
                  <w:rFonts w:ascii="Cambria Math" w:eastAsia="Calibri" w:hAnsi="Cambria Math" w:cs="Times New Roman"/>
                </w:rPr>
                <m:t>N* p(1-p)/</m:t>
              </m:r>
              <m:sSup>
                <m:sSupPr>
                  <m:ctrlPr>
                    <w:rPr>
                      <w:rFonts w:ascii="Cambria Math" w:eastAsia="Calibri" w:hAnsi="Cambria Math" w:cs="Times New Roman"/>
                      <w:i/>
                    </w:rPr>
                  </m:ctrlPr>
                </m:sSupPr>
                <m:e>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m:t>
                      </m:r>
                    </m:num>
                    <m:den>
                      <m:r>
                        <w:rPr>
                          <w:rFonts w:ascii="Cambria Math" w:eastAsia="Calibri" w:hAnsi="Cambria Math" w:cs="Times New Roman"/>
                        </w:rPr>
                        <m:t>Z</m:t>
                      </m:r>
                    </m:den>
                  </m:f>
                  <m:r>
                    <w:rPr>
                      <w:rFonts w:ascii="Cambria Math" w:eastAsia="Calibri" w:hAnsi="Cambria Math" w:cs="Times New Roman"/>
                    </w:rPr>
                    <m:t>)</m:t>
                  </m:r>
                </m:e>
                <m:sup>
                  <m:r>
                    <w:rPr>
                      <w:rFonts w:ascii="Cambria Math" w:eastAsia="Calibri" w:hAnsi="Cambria Math" w:cs="Times New Roman"/>
                    </w:rPr>
                    <m:t>2</m:t>
                  </m:r>
                </m:sup>
              </m:sSup>
            </m:num>
            <m:den>
              <m:r>
                <w:rPr>
                  <w:rFonts w:ascii="Cambria Math" w:eastAsia="Calibri" w:hAnsi="Cambria Math" w:cs="Times New Roman"/>
                </w:rPr>
                <m:t>N-1+p(1-p)/</m:t>
              </m:r>
              <m:sSup>
                <m:sSupPr>
                  <m:ctrlPr>
                    <w:rPr>
                      <w:rFonts w:ascii="Cambria Math" w:eastAsia="Calibri" w:hAnsi="Cambria Math" w:cs="Times New Roman"/>
                      <w:i/>
                    </w:rPr>
                  </m:ctrlPr>
                </m:sSupPr>
                <m:e>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m:t>
                      </m:r>
                    </m:num>
                    <m:den>
                      <m:r>
                        <w:rPr>
                          <w:rFonts w:ascii="Cambria Math" w:eastAsia="Calibri" w:hAnsi="Cambria Math" w:cs="Times New Roman"/>
                        </w:rPr>
                        <m:t>Z</m:t>
                      </m:r>
                    </m:den>
                  </m:f>
                  <m:r>
                    <w:rPr>
                      <w:rFonts w:ascii="Cambria Math" w:eastAsia="Calibri" w:hAnsi="Cambria Math" w:cs="Times New Roman"/>
                    </w:rPr>
                    <m:t>)</m:t>
                  </m:r>
                </m:e>
                <m:sup>
                  <m:r>
                    <w:rPr>
                      <w:rFonts w:ascii="Cambria Math" w:eastAsia="Calibri" w:hAnsi="Cambria Math" w:cs="Times New Roman"/>
                    </w:rPr>
                    <m:t>2</m:t>
                  </m:r>
                </m:sup>
              </m:sSup>
            </m:den>
          </m:f>
        </m:oMath>
      </m:oMathPara>
    </w:p>
    <w:p w:rsidR="00321F00" w:rsidP="00EE5E78" w14:paraId="29096298" w14:textId="4FA92113">
      <w:pPr>
        <w:spacing w:line="256" w:lineRule="auto"/>
        <w:ind w:left="720"/>
        <w:rPr>
          <w:rFonts w:eastAsia="Times New Roman" w:cs="Times New Roman"/>
        </w:rPr>
      </w:pPr>
      <w:r>
        <w:rPr>
          <w:rFonts w:eastAsia="Times New Roman" w:cs="Times New Roman"/>
        </w:rPr>
        <w:t>Where:</w:t>
      </w:r>
    </w:p>
    <w:p w:rsidR="0009461A" w:rsidRPr="007940A2" w:rsidP="00EE5E78" w14:paraId="5B8F686E" w14:textId="0730F5E0">
      <w:pPr>
        <w:spacing w:after="0" w:line="240" w:lineRule="auto"/>
        <w:ind w:left="720"/>
        <w:rPr>
          <w:rFonts w:eastAsia="Times New Roman" w:cs="Times New Roman"/>
        </w:rPr>
      </w:pPr>
      <w:r w:rsidRPr="007940A2">
        <w:rPr>
          <w:rFonts w:eastAsia="Times New Roman" w:cs="Times New Roman"/>
        </w:rPr>
        <w:t xml:space="preserve">N = </w:t>
      </w:r>
      <w:r w:rsidR="00ED0502">
        <w:rPr>
          <w:rFonts w:eastAsia="Times New Roman" w:cs="Times New Roman"/>
        </w:rPr>
        <w:t>p</w:t>
      </w:r>
      <w:r w:rsidRPr="007940A2">
        <w:rPr>
          <w:rFonts w:eastAsia="Times New Roman" w:cs="Times New Roman"/>
        </w:rPr>
        <w:t xml:space="preserve">opulation </w:t>
      </w:r>
      <w:r w:rsidR="00ED0502">
        <w:rPr>
          <w:rFonts w:eastAsia="Times New Roman" w:cs="Times New Roman"/>
        </w:rPr>
        <w:t>s</w:t>
      </w:r>
      <w:r w:rsidRPr="007940A2">
        <w:rPr>
          <w:rFonts w:eastAsia="Times New Roman" w:cs="Times New Roman"/>
        </w:rPr>
        <w:t>ize</w:t>
      </w:r>
    </w:p>
    <w:p w:rsidR="0009461A" w:rsidRPr="007940A2" w:rsidP="00EE5E78" w14:paraId="27A623CC" w14:textId="23BC75F8">
      <w:pPr>
        <w:spacing w:after="0" w:line="240" w:lineRule="auto"/>
        <w:ind w:left="720"/>
        <w:rPr>
          <w:rFonts w:eastAsia="Times New Roman" w:cs="Times New Roman"/>
        </w:rPr>
      </w:pPr>
      <w:r w:rsidRPr="007940A2">
        <w:rPr>
          <w:rFonts w:eastAsia="Times New Roman" w:cs="Times New Roman"/>
        </w:rPr>
        <w:t>Z = Z-</w:t>
      </w:r>
      <w:r w:rsidR="00ED0502">
        <w:rPr>
          <w:rFonts w:eastAsia="Times New Roman" w:cs="Times New Roman"/>
        </w:rPr>
        <w:t>s</w:t>
      </w:r>
      <w:r w:rsidRPr="007940A2">
        <w:rPr>
          <w:rFonts w:eastAsia="Times New Roman" w:cs="Times New Roman"/>
        </w:rPr>
        <w:t>core</w:t>
      </w:r>
      <w:r w:rsidR="00573CB4">
        <w:rPr>
          <w:rFonts w:eastAsia="Times New Roman" w:cs="Times New Roman"/>
        </w:rPr>
        <w:t xml:space="preserve"> corresponding to the selected confidence level</w:t>
      </w:r>
      <w:r w:rsidRPr="007940A2">
        <w:rPr>
          <w:rFonts w:eastAsia="Times New Roman" w:cs="Times New Roman"/>
        </w:rPr>
        <w:t xml:space="preserve"> (1.96 for 95% </w:t>
      </w:r>
      <w:r>
        <w:rPr>
          <w:rFonts w:eastAsia="Times New Roman" w:cs="Times New Roman"/>
        </w:rPr>
        <w:t xml:space="preserve">confidence </w:t>
      </w:r>
      <w:r w:rsidRPr="007940A2">
        <w:rPr>
          <w:rFonts w:eastAsia="Times New Roman" w:cs="Times New Roman"/>
        </w:rPr>
        <w:t>level used for this survey)</w:t>
      </w:r>
    </w:p>
    <w:p w:rsidR="0009461A" w:rsidRPr="007940A2" w:rsidP="00EE5E78" w14:paraId="2BB808CD" w14:textId="74C93CC1">
      <w:pPr>
        <w:spacing w:after="0" w:line="240" w:lineRule="auto"/>
        <w:ind w:left="720"/>
        <w:rPr>
          <w:rFonts w:eastAsia="Times New Roman" w:cs="Times New Roman"/>
        </w:rPr>
      </w:pPr>
      <w:r w:rsidRPr="007940A2">
        <w:rPr>
          <w:rFonts w:eastAsia="Times New Roman" w:cs="Times New Roman"/>
        </w:rPr>
        <w:t xml:space="preserve">m = </w:t>
      </w:r>
      <w:r w:rsidR="00ED0502">
        <w:rPr>
          <w:rFonts w:eastAsia="Times New Roman" w:cs="Times New Roman"/>
        </w:rPr>
        <w:t>m</w:t>
      </w:r>
      <w:r w:rsidRPr="007940A2">
        <w:rPr>
          <w:rFonts w:eastAsia="Times New Roman" w:cs="Times New Roman"/>
        </w:rPr>
        <w:t xml:space="preserve">argin of </w:t>
      </w:r>
      <w:r w:rsidR="00ED0502">
        <w:rPr>
          <w:rFonts w:eastAsia="Times New Roman" w:cs="Times New Roman"/>
        </w:rPr>
        <w:t>e</w:t>
      </w:r>
      <w:r w:rsidRPr="007940A2">
        <w:rPr>
          <w:rFonts w:eastAsia="Times New Roman" w:cs="Times New Roman"/>
        </w:rPr>
        <w:t>rror (</w:t>
      </w:r>
      <w:r>
        <w:rPr>
          <w:rFonts w:eastAsia="Times New Roman" w:cs="Times New Roman"/>
        </w:rPr>
        <w:t>0</w:t>
      </w:r>
      <w:r w:rsidRPr="007940A2">
        <w:rPr>
          <w:rFonts w:eastAsia="Times New Roman" w:cs="Times New Roman"/>
        </w:rPr>
        <w:t xml:space="preserve">.05 for the </w:t>
      </w:r>
      <w:r>
        <w:rPr>
          <w:rFonts w:eastAsia="Times New Roman" w:cs="Times New Roman"/>
        </w:rPr>
        <w:t>±</w:t>
      </w:r>
      <w:r w:rsidRPr="007940A2">
        <w:rPr>
          <w:rFonts w:eastAsia="Times New Roman" w:cs="Times New Roman"/>
        </w:rPr>
        <w:t xml:space="preserve">5% </w:t>
      </w:r>
      <w:r w:rsidRPr="007940A2">
        <w:rPr>
          <w:rFonts w:eastAsia="Calibri" w:cs="Times New Roman"/>
        </w:rPr>
        <w:t>margin of error</w:t>
      </w:r>
      <w:r>
        <w:rPr>
          <w:rFonts w:eastAsia="Calibri" w:cs="Times New Roman"/>
        </w:rPr>
        <w:t xml:space="preserve"> used for this survey</w:t>
      </w:r>
      <w:r w:rsidRPr="007940A2">
        <w:rPr>
          <w:rFonts w:eastAsia="Times New Roman" w:cs="Times New Roman"/>
        </w:rPr>
        <w:t>)</w:t>
      </w:r>
    </w:p>
    <w:p w:rsidR="0009461A" w:rsidP="00EE5E78" w14:paraId="4E366315" w14:textId="67AD06B9">
      <w:pPr>
        <w:spacing w:after="0" w:line="240" w:lineRule="auto"/>
        <w:ind w:left="720"/>
        <w:rPr>
          <w:rFonts w:eastAsia="Times New Roman" w:cs="Times New Roman"/>
        </w:rPr>
      </w:pPr>
      <w:r w:rsidRPr="007940A2">
        <w:rPr>
          <w:rFonts w:eastAsia="Times New Roman" w:cs="Times New Roman"/>
        </w:rPr>
        <w:t xml:space="preserve">p = </w:t>
      </w:r>
      <w:r w:rsidR="00ED0502">
        <w:rPr>
          <w:rFonts w:eastAsia="Times New Roman" w:cs="Times New Roman"/>
        </w:rPr>
        <w:t>p</w:t>
      </w:r>
      <w:r w:rsidRPr="007940A2">
        <w:rPr>
          <w:rFonts w:eastAsia="Times New Roman" w:cs="Times New Roman"/>
        </w:rPr>
        <w:t xml:space="preserve">roportion of population </w:t>
      </w:r>
      <w:r>
        <w:rPr>
          <w:rFonts w:eastAsia="Times New Roman" w:cs="Times New Roman"/>
        </w:rPr>
        <w:t>selecting a response option</w:t>
      </w:r>
      <w:r w:rsidRPr="007940A2">
        <w:rPr>
          <w:rFonts w:eastAsia="Times New Roman" w:cs="Times New Roman"/>
        </w:rPr>
        <w:t xml:space="preserve">. A </w:t>
      </w:r>
      <w:r>
        <w:rPr>
          <w:rFonts w:eastAsia="Times New Roman" w:cs="Times New Roman"/>
        </w:rPr>
        <w:t xml:space="preserve">conservative </w:t>
      </w:r>
      <w:r w:rsidRPr="007940A2">
        <w:rPr>
          <w:rFonts w:eastAsia="Times New Roman" w:cs="Times New Roman"/>
        </w:rPr>
        <w:t xml:space="preserve">value of 0.5 is used when calculating </w:t>
      </w:r>
      <w:r w:rsidR="00372B02">
        <w:rPr>
          <w:rFonts w:eastAsia="Times New Roman" w:cs="Times New Roman"/>
        </w:rPr>
        <w:t xml:space="preserve">the number of </w:t>
      </w:r>
      <w:r>
        <w:rPr>
          <w:rFonts w:eastAsia="Times New Roman" w:cs="Times New Roman"/>
        </w:rPr>
        <w:t>completes</w:t>
      </w:r>
      <w:r w:rsidR="00372B02">
        <w:rPr>
          <w:rFonts w:eastAsia="Times New Roman" w:cs="Times New Roman"/>
        </w:rPr>
        <w:t xml:space="preserve"> needed</w:t>
      </w:r>
      <w:r w:rsidRPr="007940A2">
        <w:rPr>
          <w:rFonts w:eastAsia="Times New Roman" w:cs="Times New Roman"/>
        </w:rPr>
        <w:t>.</w:t>
      </w:r>
    </w:p>
    <w:p w:rsidR="0009461A" w:rsidP="00EE5E78" w14:paraId="77E2FE68" w14:textId="77777777">
      <w:pPr>
        <w:spacing w:after="0" w:line="240" w:lineRule="auto"/>
        <w:ind w:left="720"/>
        <w:rPr>
          <w:rFonts w:eastAsia="Times New Roman" w:cs="Times New Roman"/>
        </w:rPr>
      </w:pPr>
    </w:p>
    <w:p w:rsidR="0009461A" w:rsidRPr="007940A2" w:rsidP="00EE5E78" w14:paraId="1FE04A9D" w14:textId="7BBC87EB">
      <w:pPr>
        <w:spacing w:after="0" w:line="240" w:lineRule="auto"/>
        <w:ind w:left="720"/>
        <w:rPr>
          <w:rFonts w:eastAsia="Times New Roman" w:cs="Times New Roman"/>
        </w:rPr>
      </w:pPr>
      <w:r>
        <w:rPr>
          <w:rFonts w:eastAsia="Times New Roman" w:cs="Times New Roman"/>
        </w:rPr>
        <w:t>The number of sampled mariners required for each subgroup was then calculated by adjusting the number of completes needed based on the expected minimum response rate for that subgroup</w:t>
      </w:r>
      <w:r w:rsidR="00ED0502">
        <w:rPr>
          <w:rFonts w:eastAsia="Times New Roman" w:cs="Times New Roman"/>
        </w:rPr>
        <w:t xml:space="preserve"> using the following formula</w:t>
      </w:r>
      <w:r w:rsidRPr="00372B02" w:rsidR="00372B02">
        <w:rPr>
          <w:rFonts w:eastAsia="Times New Roman" w:cs="Times New Roman"/>
        </w:rPr>
        <w:t>.</w:t>
      </w:r>
    </w:p>
    <w:p w:rsidR="0009461A" w:rsidRPr="007940A2" w:rsidP="00EE5E78" w14:paraId="68E8C38B" w14:textId="77777777">
      <w:pPr>
        <w:spacing w:line="256" w:lineRule="auto"/>
        <w:ind w:left="720"/>
        <w:rPr>
          <w:rFonts w:eastAsia="Times New Roman" w:cs="Times New Roman"/>
        </w:rPr>
      </w:pPr>
    </w:p>
    <w:p w:rsidR="00321F00" w:rsidRPr="007940A2" w:rsidP="00321F00" w14:paraId="033A1029" w14:textId="77777777">
      <w:pPr>
        <w:spacing w:line="256" w:lineRule="auto"/>
        <w:rPr>
          <w:rFonts w:eastAsia="Times New Roman" w:cs="Times New Roman"/>
        </w:rPr>
      </w:pPr>
      <m:oMathPara>
        <m:oMath>
          <m:r>
            <w:rPr>
              <w:rFonts w:ascii="Cambria Math" w:eastAsia="Calibri" w:hAnsi="Cambria Math" w:cs="Times New Roman"/>
            </w:rPr>
            <m:t>Completes Needed=</m:t>
          </m:r>
          <m:f>
            <m:fPr>
              <m:ctrlPr>
                <w:rPr>
                  <w:rFonts w:ascii="Cambria Math" w:eastAsia="Calibri" w:hAnsi="Cambria Math" w:cs="Times New Roman"/>
                  <w:i/>
                </w:rPr>
              </m:ctrlPr>
            </m:fPr>
            <m:num>
              <m:r>
                <w:rPr>
                  <w:rFonts w:ascii="Cambria Math" w:eastAsia="Calibri" w:hAnsi="Cambria Math" w:cs="Times New Roman"/>
                </w:rPr>
                <m:t>N* .5(1-.5)/</m:t>
              </m:r>
              <m:sSup>
                <m:sSupPr>
                  <m:ctrlPr>
                    <w:rPr>
                      <w:rFonts w:ascii="Cambria Math" w:eastAsia="Calibri" w:hAnsi="Cambria Math" w:cs="Times New Roman"/>
                      <w:i/>
                    </w:rPr>
                  </m:ctrlPr>
                </m:sSupPr>
                <m:e>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.05</m:t>
                      </m:r>
                    </m:num>
                    <m:den>
                      <m:r>
                        <w:rPr>
                          <w:rFonts w:ascii="Cambria Math" w:eastAsia="Calibri" w:hAnsi="Cambria Math" w:cs="Times New Roman"/>
                        </w:rPr>
                        <m:t>1.96</m:t>
                      </m:r>
                    </m:den>
                  </m:f>
                  <m:r>
                    <w:rPr>
                      <w:rFonts w:ascii="Cambria Math" w:eastAsia="Calibri" w:hAnsi="Cambria Math" w:cs="Times New Roman"/>
                    </w:rPr>
                    <m:t>)</m:t>
                  </m:r>
                </m:e>
                <m:sup>
                  <m:r>
                    <w:rPr>
                      <w:rFonts w:ascii="Cambria Math" w:eastAsia="Calibri" w:hAnsi="Cambria Math" w:cs="Times New Roman"/>
                    </w:rPr>
                    <m:t>2</m:t>
                  </m:r>
                </m:sup>
              </m:sSup>
            </m:num>
            <m:den>
              <m:r>
                <w:rPr>
                  <w:rFonts w:ascii="Cambria Math" w:eastAsia="Calibri" w:hAnsi="Cambria Math" w:cs="Times New Roman"/>
                </w:rPr>
                <m:t>N-1+.5(1-.5)/</m:t>
              </m:r>
              <m:sSup>
                <m:sSupPr>
                  <m:ctrlPr>
                    <w:rPr>
                      <w:rFonts w:ascii="Cambria Math" w:eastAsia="Calibri" w:hAnsi="Cambria Math" w:cs="Times New Roman"/>
                      <w:i/>
                    </w:rPr>
                  </m:ctrlPr>
                </m:sSupPr>
                <m:e>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.05</m:t>
                      </m:r>
                    </m:num>
                    <m:den>
                      <m:r>
                        <w:rPr>
                          <w:rFonts w:ascii="Cambria Math" w:eastAsia="Calibri" w:hAnsi="Cambria Math" w:cs="Times New Roman"/>
                        </w:rPr>
                        <m:t>1.96</m:t>
                      </m:r>
                    </m:den>
                  </m:f>
                  <m:r>
                    <w:rPr>
                      <w:rFonts w:ascii="Cambria Math" w:eastAsia="Calibri" w:hAnsi="Cambria Math" w:cs="Times New Roman"/>
                    </w:rPr>
                    <m:t>)</m:t>
                  </m:r>
                </m:e>
                <m:sup>
                  <m:r>
                    <w:rPr>
                      <w:rFonts w:ascii="Cambria Math" w:eastAsia="Calibri" w:hAnsi="Cambria Math" w:cs="Times New Roman"/>
                    </w:rPr>
                    <m:t>2</m:t>
                  </m:r>
                </m:sup>
              </m:sSup>
            </m:den>
          </m:f>
        </m:oMath>
      </m:oMathPara>
    </w:p>
    <w:p w:rsidR="00321F00" w:rsidRPr="007940A2" w:rsidP="00321F00" w14:paraId="153041C1" w14:textId="77777777">
      <w:pPr>
        <w:spacing w:after="0" w:line="240" w:lineRule="auto"/>
        <w:rPr>
          <w:rFonts w:eastAsia="Times New Roman" w:cs="Times New Roman"/>
        </w:rPr>
      </w:pPr>
    </w:p>
    <w:p w:rsidR="00415C36" w:rsidP="00321F00" w14:paraId="461D637E" w14:textId="7C391DA8">
      <w:pPr>
        <w:spacing w:line="256" w:lineRule="auto"/>
        <w:rPr>
          <w:rFonts w:eastAsia="Times New Roman" w:cs="Times New Roman"/>
        </w:rPr>
      </w:pPr>
      <m:oMathPara>
        <m:oMath>
          <m:r>
            <w:rPr>
              <w:rFonts w:ascii="Cambria Math" w:eastAsia="Calibri" w:hAnsi="Cambria Math" w:cs="Times New Roman"/>
            </w:rPr>
            <m:t>Sample Size Needed=</m:t>
          </m:r>
          <m:f>
            <m:fPr>
              <m:ctrlPr>
                <w:rPr>
                  <w:rFonts w:ascii="Cambria Math" w:eastAsia="Calibri" w:hAnsi="Cambria Math" w:cs="Times New Roman"/>
                  <w:iCs/>
                </w:rPr>
              </m:ctrlPr>
            </m:fPr>
            <m:num>
              <m:r>
                <m:rPr>
                  <m:sty m:val="p"/>
                </m:rPr>
                <w:rPr>
                  <w:rFonts w:ascii="Cambria Math" w:eastAsia="Calibri" w:hAnsi="Cambria Math" w:cs="Times New Roman"/>
                </w:rPr>
                <m:t>Completes Needed</m:t>
              </m:r>
            </m:num>
            <m:den>
              <m:r>
                <m:rPr>
                  <m:sty m:val="p"/>
                </m:rPr>
                <w:rPr>
                  <w:rFonts w:ascii="Cambria Math" w:eastAsia="Calibri" w:hAnsi="Cambria Math" w:cs="Times New Roman"/>
                </w:rPr>
                <m:t>Expected Response Rate</m:t>
              </m:r>
            </m:den>
          </m:f>
        </m:oMath>
      </m:oMathPara>
    </w:p>
    <w:p w:rsidR="00415C36" w:rsidP="00EE5E78" w14:paraId="77DBB4A1" w14:textId="1CE1020B">
      <w:pPr>
        <w:spacing w:line="256" w:lineRule="auto"/>
        <w:ind w:left="720"/>
        <w:rPr>
          <w:rFonts w:eastAsia="Times New Roman" w:cs="Times New Roman"/>
        </w:rPr>
      </w:pPr>
      <w:r>
        <w:rPr>
          <w:rFonts w:eastAsia="Times New Roman" w:cs="Times New Roman"/>
        </w:rPr>
        <w:t>Where:</w:t>
      </w:r>
    </w:p>
    <w:p w:rsidR="00573CB4" w:rsidP="00EE5E78" w14:paraId="16B139AE" w14:textId="714D2CA7">
      <w:pPr>
        <w:spacing w:line="257" w:lineRule="auto"/>
        <w:ind w:left="720"/>
        <w:contextualSpacing/>
        <w:rPr>
          <w:rFonts w:eastAsia="Times New Roman" w:cs="Times New Roman"/>
        </w:rPr>
      </w:pPr>
      <w:r>
        <w:rPr>
          <w:rFonts w:eastAsia="Times New Roman" w:cs="Times New Roman"/>
        </w:rPr>
        <w:t>Sample Size Needed = Number of mariners sampled within the subgroup</w:t>
      </w:r>
    </w:p>
    <w:p w:rsidR="00573CB4" w:rsidP="00EE5E78" w14:paraId="23D7EEDB" w14:textId="49D1E405">
      <w:pPr>
        <w:spacing w:line="257" w:lineRule="auto"/>
        <w:ind w:left="720"/>
        <w:contextualSpacing/>
        <w:rPr>
          <w:rFonts w:eastAsia="Times New Roman" w:cs="Times New Roman"/>
        </w:rPr>
      </w:pPr>
      <w:r>
        <w:rPr>
          <w:rFonts w:eastAsia="Times New Roman" w:cs="Times New Roman"/>
        </w:rPr>
        <w:t xml:space="preserve">Completes Needed = Number of </w:t>
      </w:r>
      <w:r>
        <w:rPr>
          <w:rFonts w:eastAsia="Times New Roman" w:cs="Times New Roman"/>
        </w:rPr>
        <w:t>completed surveys</w:t>
      </w:r>
      <w:r>
        <w:rPr>
          <w:rFonts w:eastAsia="Times New Roman" w:cs="Times New Roman"/>
        </w:rPr>
        <w:t xml:space="preserve"> required within the subgroup</w:t>
      </w:r>
    </w:p>
    <w:p w:rsidR="00573CB4" w:rsidP="00EE5E78" w14:paraId="0A72D163" w14:textId="113665DB">
      <w:pPr>
        <w:spacing w:line="257" w:lineRule="auto"/>
        <w:ind w:left="720"/>
        <w:contextualSpacing/>
        <w:rPr>
          <w:rFonts w:eastAsia="Times New Roman" w:cs="Times New Roman"/>
        </w:rPr>
      </w:pPr>
      <w:r>
        <w:rPr>
          <w:rFonts w:eastAsia="Times New Roman" w:cs="Times New Roman"/>
        </w:rPr>
        <w:t>Expected Response Rate = Assumed minimum subgroup response rate</w:t>
      </w:r>
    </w:p>
    <w:p w:rsidR="00573CB4" w:rsidP="00EE5E78" w14:paraId="2A3A404A" w14:textId="77777777">
      <w:pPr>
        <w:spacing w:line="257" w:lineRule="auto"/>
        <w:ind w:left="720"/>
        <w:contextualSpacing/>
        <w:rPr>
          <w:rFonts w:eastAsia="Times New Roman" w:cs="Times New Roman"/>
        </w:rPr>
      </w:pPr>
    </w:p>
    <w:p w:rsidR="00321F00" w:rsidRPr="007940A2" w:rsidP="00EE5E78" w14:paraId="77575430" w14:textId="07DE57D1">
      <w:pPr>
        <w:spacing w:line="256" w:lineRule="auto"/>
        <w:ind w:left="720"/>
        <w:rPr>
          <w:rFonts w:eastAsia="Times New Roman" w:cs="Times New Roman"/>
        </w:rPr>
      </w:pPr>
      <w:r w:rsidRPr="00372B02">
        <w:rPr>
          <w:rFonts w:eastAsia="Times New Roman" w:cs="Times New Roman"/>
        </w:rPr>
        <w:t>Expected minimum response rates of 35% were used for licensed mariner subgroups with a valid MMC, 30% for mariners with an MMC placed in continuity, and 25% for unlicensed mariner subgroups with a valid MMC.</w:t>
      </w:r>
    </w:p>
    <w:p w:rsidR="00321F00" w:rsidRPr="007940A2" w:rsidP="00EE5E78" w14:paraId="36EEA55A" w14:textId="65DFDF40">
      <w:pPr>
        <w:spacing w:line="256" w:lineRule="auto"/>
        <w:ind w:left="720"/>
        <w:rPr>
          <w:rFonts w:eastAsia="Calibri" w:cs="Times New Roman"/>
        </w:rPr>
      </w:pPr>
      <w:r w:rsidRPr="00D41B74">
        <w:rPr>
          <w:rFonts w:eastAsia="Calibri" w:cs="Times New Roman"/>
        </w:rPr>
        <w:t xml:space="preserve">For subpopulations in which the calculated sample size exceeds the population size, all eligible mariners within the subpopulation will be invited to participate in the survey. In these cases, sampling </w:t>
      </w:r>
      <w:r w:rsidRPr="00D41B74">
        <w:rPr>
          <w:rFonts w:eastAsia="Calibri" w:cs="Times New Roman"/>
        </w:rPr>
        <w:t>error</w:t>
      </w:r>
      <w:r w:rsidRPr="00D41B74">
        <w:rPr>
          <w:rFonts w:eastAsia="Calibri" w:cs="Times New Roman"/>
        </w:rPr>
        <w:t xml:space="preserve"> associated with selecti</w:t>
      </w:r>
      <w:r w:rsidR="00F220F1">
        <w:rPr>
          <w:rFonts w:eastAsia="Calibri" w:cs="Times New Roman"/>
        </w:rPr>
        <w:t>ng a sample</w:t>
      </w:r>
      <w:r w:rsidRPr="00D41B74">
        <w:rPr>
          <w:rFonts w:eastAsia="Calibri" w:cs="Times New Roman"/>
        </w:rPr>
        <w:t xml:space="preserve"> is eliminated; however, other potential sources of survey error, including nonresponse and measurement error, may still exist.</w:t>
      </w:r>
      <w:r w:rsidRPr="00D41B74">
        <w:rPr>
          <w:rFonts w:eastAsia="Calibri" w:cs="Times New Roman"/>
        </w:rPr>
        <w:t xml:space="preserve"> </w:t>
      </w:r>
    </w:p>
    <w:p w:rsidR="00F324B8" w:rsidP="00EE5E78" w14:paraId="2D5DDB60" w14:textId="77A9D8A8">
      <w:pPr>
        <w:spacing w:line="256" w:lineRule="auto"/>
        <w:ind w:left="720"/>
        <w:rPr>
          <w:rFonts w:eastAsia="Calibri" w:cs="Times New Roman"/>
          <w:b/>
          <w:bCs/>
        </w:rPr>
      </w:pPr>
      <w:r>
        <w:rPr>
          <w:rFonts w:eastAsia="Calibri" w:cs="Times New Roman"/>
        </w:rPr>
        <w:t xml:space="preserve">Table </w:t>
      </w:r>
      <w:r w:rsidR="004A08F8">
        <w:rPr>
          <w:rFonts w:eastAsia="Calibri" w:cs="Times New Roman"/>
        </w:rPr>
        <w:t xml:space="preserve">for Item </w:t>
      </w:r>
      <w:r>
        <w:rPr>
          <w:rFonts w:eastAsia="Calibri" w:cs="Times New Roman"/>
        </w:rPr>
        <w:t>2</w:t>
      </w:r>
      <w:r w:rsidR="004A08F8">
        <w:rPr>
          <w:rFonts w:eastAsia="Calibri" w:cs="Times New Roman"/>
        </w:rPr>
        <w:t xml:space="preserve"> </w:t>
      </w:r>
      <w:r w:rsidR="004A08F8">
        <w:rPr>
          <w:rFonts w:eastAsia="Calibri" w:cs="Times New Roman"/>
        </w:rPr>
        <w:t>below,</w:t>
      </w:r>
      <w:r w:rsidRPr="007940A2" w:rsidR="00321F00">
        <w:rPr>
          <w:rFonts w:eastAsia="Calibri" w:cs="Times New Roman"/>
        </w:rPr>
        <w:t xml:space="preserve"> </w:t>
      </w:r>
      <w:r w:rsidR="002325D6">
        <w:rPr>
          <w:rFonts w:eastAsia="Calibri" w:cs="Times New Roman"/>
        </w:rPr>
        <w:t>presents</w:t>
      </w:r>
      <w:r w:rsidRPr="007940A2" w:rsidR="002325D6">
        <w:rPr>
          <w:rFonts w:eastAsia="Calibri" w:cs="Times New Roman"/>
        </w:rPr>
        <w:t xml:space="preserve"> </w:t>
      </w:r>
      <w:r w:rsidRPr="007940A2" w:rsidR="00321F00">
        <w:rPr>
          <w:rFonts w:eastAsia="Calibri" w:cs="Times New Roman"/>
        </w:rPr>
        <w:t xml:space="preserve">the sample sizes and </w:t>
      </w:r>
      <w:r w:rsidR="002325D6">
        <w:rPr>
          <w:rFonts w:eastAsia="Calibri" w:cs="Times New Roman"/>
        </w:rPr>
        <w:t xml:space="preserve">corresponding </w:t>
      </w:r>
      <w:r w:rsidRPr="007940A2" w:rsidR="00321F00">
        <w:rPr>
          <w:rFonts w:eastAsia="Calibri" w:cs="Times New Roman"/>
        </w:rPr>
        <w:t>number of complete</w:t>
      </w:r>
      <w:r w:rsidR="002325D6">
        <w:rPr>
          <w:rFonts w:eastAsia="Calibri" w:cs="Times New Roman"/>
        </w:rPr>
        <w:t>d surveys</w:t>
      </w:r>
      <w:r w:rsidRPr="007940A2" w:rsidR="00321F00">
        <w:rPr>
          <w:rFonts w:eastAsia="Calibri" w:cs="Times New Roman"/>
        </w:rPr>
        <w:t xml:space="preserve"> </w:t>
      </w:r>
      <w:r w:rsidR="002325D6">
        <w:rPr>
          <w:rFonts w:eastAsia="Calibri" w:cs="Times New Roman"/>
        </w:rPr>
        <w:t>required to achieve the target response rates, margins of error, and confidence levels for each mariner subgroup.</w:t>
      </w:r>
      <w:r w:rsidRPr="007940A2" w:rsidR="00321F00">
        <w:rPr>
          <w:rFonts w:eastAsia="Calibri" w:cs="Times New Roman"/>
        </w:rPr>
        <w:t xml:space="preserve"> </w:t>
      </w:r>
      <w:r w:rsidRPr="002325D6" w:rsidR="002325D6">
        <w:rPr>
          <w:rFonts w:eastAsia="Calibri" w:cs="Times New Roman"/>
        </w:rPr>
        <w:t xml:space="preserve">For the eight subpopulations of mariners with an MMC placed in continuity (which includes only licensed mariner subgroups), all eligible mariners in these groups will be invited to participate. Accordingly, the “Completes Needed” figures shown in Table B.2.1 for these subgroups reflect the number of completed surveys associated with the target 30% response rate rather than the number needed to achieve a specific margin of error. Because of the relatively small population sizes for these subgroups, the margins of error </w:t>
      </w:r>
      <w:r w:rsidR="007843AD">
        <w:rPr>
          <w:rFonts w:eastAsia="Calibri" w:cs="Times New Roman"/>
        </w:rPr>
        <w:t xml:space="preserve">associated with the resulting estimates </w:t>
      </w:r>
      <w:r w:rsidRPr="002325D6" w:rsidR="002325D6">
        <w:rPr>
          <w:rFonts w:eastAsia="Calibri" w:cs="Times New Roman"/>
        </w:rPr>
        <w:t>will generally exceed ±5% at the 95% confidence level.</w:t>
      </w:r>
    </w:p>
    <w:p w:rsidR="00C125F8" w:rsidRPr="00EE5E78" w:rsidP="00EE5E78" w14:paraId="393F5445" w14:textId="19D8B15C">
      <w:pPr>
        <w:spacing w:line="256" w:lineRule="auto"/>
        <w:ind w:left="720"/>
        <w:rPr>
          <w:rFonts w:eastAsia="Calibri" w:cs="Times New Roman"/>
          <w:b/>
          <w:bCs/>
        </w:rPr>
      </w:pPr>
      <w:r w:rsidRPr="00C125F8">
        <w:rPr>
          <w:rFonts w:eastAsia="Calibri" w:cs="Times New Roman"/>
          <w:b/>
          <w:bCs/>
        </w:rPr>
        <w:t xml:space="preserve">Table </w:t>
      </w:r>
      <w:r w:rsidR="004A08F8">
        <w:rPr>
          <w:rFonts w:eastAsia="Calibri" w:cs="Times New Roman"/>
          <w:b/>
          <w:bCs/>
        </w:rPr>
        <w:t xml:space="preserve">for Item </w:t>
      </w:r>
      <w:r w:rsidRPr="00C125F8">
        <w:rPr>
          <w:rFonts w:eastAsia="Calibri" w:cs="Times New Roman"/>
          <w:b/>
          <w:bCs/>
        </w:rPr>
        <w:t>2</w:t>
      </w:r>
      <w:r w:rsidR="004A08F8">
        <w:rPr>
          <w:rFonts w:eastAsia="Calibri" w:cs="Times New Roman"/>
          <w:b/>
          <w:bCs/>
        </w:rPr>
        <w:t>:</w:t>
      </w:r>
      <w:r w:rsidRPr="00C125F8">
        <w:rPr>
          <w:rFonts w:eastAsia="Calibri" w:cs="Times New Roman"/>
          <w:b/>
          <w:bCs/>
        </w:rPr>
        <w:t xml:space="preserve"> Sample Sizes and Completes Needed for Each Mariner </w:t>
      </w:r>
      <w:r w:rsidR="00A77888">
        <w:rPr>
          <w:rFonts w:eastAsia="Calibri" w:cs="Times New Roman"/>
          <w:b/>
          <w:bCs/>
        </w:rPr>
        <w:t xml:space="preserve">                             </w:t>
      </w:r>
      <w:r w:rsidRPr="00C125F8">
        <w:rPr>
          <w:rFonts w:eastAsia="Calibri" w:cs="Times New Roman"/>
          <w:b/>
          <w:bCs/>
        </w:rPr>
        <w:t>Subpopulation</w:t>
      </w:r>
    </w:p>
    <w:tbl>
      <w:tblPr>
        <w:tblW w:w="9787" w:type="dxa"/>
        <w:tblInd w:w="108" w:type="dxa"/>
        <w:tblLayout w:type="fixed"/>
        <w:tblLook w:val="04A0"/>
      </w:tblPr>
      <w:tblGrid>
        <w:gridCol w:w="2947"/>
        <w:gridCol w:w="1080"/>
        <w:gridCol w:w="1260"/>
        <w:gridCol w:w="1170"/>
        <w:gridCol w:w="1170"/>
        <w:gridCol w:w="990"/>
        <w:gridCol w:w="1170"/>
      </w:tblGrid>
      <w:tr w14:paraId="2F5B4A84" w14:textId="77777777" w:rsidTr="00042B65">
        <w:tblPrEx>
          <w:tblW w:w="9787" w:type="dxa"/>
          <w:tblInd w:w="108" w:type="dxa"/>
          <w:tblLayout w:type="fixed"/>
          <w:tblLook w:val="04A0"/>
        </w:tblPrEx>
        <w:trPr>
          <w:trHeight w:val="600"/>
          <w:tblHeader/>
        </w:trPr>
        <w:tc>
          <w:tcPr>
            <w:tcW w:w="2947" w:type="dxa"/>
            <w:vMerge w:val="restart"/>
            <w:tcBorders>
              <w:top w:val="single" w:sz="4" w:space="0" w:color="auto"/>
              <w:left w:val="single" w:sz="4" w:space="0" w:color="auto"/>
              <w:bottom w:val="single" w:sz="4" w:space="0" w:color="auto"/>
              <w:right w:val="single" w:sz="4" w:space="0" w:color="auto"/>
            </w:tcBorders>
            <w:vAlign w:val="bottom"/>
            <w:hideMark/>
          </w:tcPr>
          <w:p w:rsidR="008E7EE1" w:rsidRPr="008E7EE1" w:rsidP="008E7EE1" w14:paraId="2F1F5A59" w14:textId="77777777">
            <w:pPr>
              <w:spacing w:after="0" w:line="240" w:lineRule="auto"/>
              <w:rPr>
                <w:rFonts w:eastAsia="Times New Roman" w:cs="Times New Roman"/>
                <w:b/>
                <w:sz w:val="22"/>
              </w:rPr>
            </w:pPr>
            <w:r w:rsidRPr="008E7EE1">
              <w:rPr>
                <w:rFonts w:eastAsia="Times New Roman" w:cs="Times New Roman"/>
                <w:b/>
                <w:sz w:val="22"/>
              </w:rPr>
              <w:t>Mariner Subpopulations</w:t>
            </w:r>
          </w:p>
        </w:tc>
        <w:tc>
          <w:tcPr>
            <w:tcW w:w="2340" w:type="dxa"/>
            <w:gridSpan w:val="2"/>
            <w:tcBorders>
              <w:top w:val="single" w:sz="4" w:space="0" w:color="auto"/>
              <w:left w:val="nil"/>
              <w:bottom w:val="single" w:sz="4" w:space="0" w:color="auto"/>
              <w:right w:val="single" w:sz="4" w:space="0" w:color="auto"/>
            </w:tcBorders>
            <w:vAlign w:val="center"/>
            <w:hideMark/>
          </w:tcPr>
          <w:p w:rsidR="008E7EE1" w:rsidRPr="008E7EE1" w:rsidP="008E7EE1" w14:paraId="60D9E3AB" w14:textId="77777777">
            <w:pPr>
              <w:spacing w:after="0" w:line="240" w:lineRule="auto"/>
              <w:jc w:val="center"/>
              <w:rPr>
                <w:rFonts w:eastAsia="Times New Roman" w:cs="Times New Roman"/>
                <w:b/>
                <w:sz w:val="22"/>
              </w:rPr>
            </w:pPr>
            <w:r w:rsidRPr="008E7EE1">
              <w:rPr>
                <w:rFonts w:eastAsia="Times New Roman" w:cs="Times New Roman"/>
                <w:b/>
                <w:sz w:val="22"/>
              </w:rPr>
              <w:t>Mariners with Valid MMC</w:t>
            </w:r>
          </w:p>
        </w:tc>
        <w:tc>
          <w:tcPr>
            <w:tcW w:w="2340" w:type="dxa"/>
            <w:gridSpan w:val="2"/>
            <w:tcBorders>
              <w:top w:val="single" w:sz="4" w:space="0" w:color="auto"/>
              <w:left w:val="nil"/>
              <w:bottom w:val="single" w:sz="4" w:space="0" w:color="auto"/>
              <w:right w:val="single" w:sz="4" w:space="0" w:color="auto"/>
            </w:tcBorders>
            <w:vAlign w:val="center"/>
            <w:hideMark/>
          </w:tcPr>
          <w:p w:rsidR="008E7EE1" w:rsidRPr="008E7EE1" w:rsidP="008E7EE1" w14:paraId="22000112" w14:textId="77777777">
            <w:pPr>
              <w:spacing w:after="0" w:line="240" w:lineRule="auto"/>
              <w:jc w:val="center"/>
              <w:rPr>
                <w:rFonts w:eastAsia="Times New Roman" w:cs="Times New Roman"/>
                <w:b/>
                <w:sz w:val="22"/>
              </w:rPr>
            </w:pPr>
            <w:r w:rsidRPr="008E7EE1">
              <w:rPr>
                <w:rFonts w:eastAsia="Times New Roman" w:cs="Times New Roman"/>
                <w:b/>
                <w:sz w:val="22"/>
              </w:rPr>
              <w:t>Mariners with MMC Placed in Continuity</w:t>
            </w:r>
          </w:p>
        </w:tc>
        <w:tc>
          <w:tcPr>
            <w:tcW w:w="2160" w:type="dxa"/>
            <w:gridSpan w:val="2"/>
            <w:tcBorders>
              <w:top w:val="single" w:sz="4" w:space="0" w:color="auto"/>
              <w:left w:val="nil"/>
              <w:bottom w:val="single" w:sz="4" w:space="0" w:color="auto"/>
              <w:right w:val="single" w:sz="4" w:space="0" w:color="auto"/>
            </w:tcBorders>
            <w:vAlign w:val="center"/>
          </w:tcPr>
          <w:p w:rsidR="008E7EE1" w:rsidRPr="008E7EE1" w:rsidP="008E7EE1" w14:paraId="7535E33B" w14:textId="77777777">
            <w:pPr>
              <w:spacing w:after="0" w:line="240" w:lineRule="auto"/>
              <w:jc w:val="center"/>
              <w:rPr>
                <w:rFonts w:eastAsia="Times New Roman" w:cs="Times New Roman"/>
                <w:b/>
                <w:sz w:val="22"/>
              </w:rPr>
            </w:pPr>
            <w:r w:rsidRPr="008E7EE1">
              <w:rPr>
                <w:rFonts w:eastAsia="Times New Roman" w:cs="Times New Roman"/>
                <w:b/>
                <w:sz w:val="22"/>
              </w:rPr>
              <w:t>Total Mariners</w:t>
            </w:r>
          </w:p>
        </w:tc>
      </w:tr>
      <w:tr w14:paraId="766C941D" w14:textId="77777777" w:rsidTr="00042B65">
        <w:tblPrEx>
          <w:tblW w:w="9787" w:type="dxa"/>
          <w:tblInd w:w="108" w:type="dxa"/>
          <w:tblLayout w:type="fixed"/>
          <w:tblLook w:val="04A0"/>
        </w:tblPrEx>
        <w:trPr>
          <w:trHeight w:val="300"/>
        </w:trPr>
        <w:tc>
          <w:tcPr>
            <w:tcW w:w="2947" w:type="dxa"/>
            <w:vMerge/>
            <w:tcBorders>
              <w:top w:val="single" w:sz="4" w:space="0" w:color="auto"/>
              <w:left w:val="single" w:sz="4" w:space="0" w:color="auto"/>
              <w:bottom w:val="single" w:sz="4" w:space="0" w:color="auto"/>
              <w:right w:val="single" w:sz="4" w:space="0" w:color="auto"/>
            </w:tcBorders>
            <w:vAlign w:val="center"/>
            <w:hideMark/>
          </w:tcPr>
          <w:p w:rsidR="008E7EE1" w:rsidRPr="008E7EE1" w:rsidP="008E7EE1" w14:paraId="5C467C00" w14:textId="77777777">
            <w:pPr>
              <w:spacing w:after="0" w:line="256" w:lineRule="auto"/>
              <w:rPr>
                <w:rFonts w:eastAsia="Times New Roman" w:cs="Times New Roman"/>
                <w:b/>
                <w:sz w:val="22"/>
              </w:rPr>
            </w:pPr>
          </w:p>
        </w:tc>
        <w:tc>
          <w:tcPr>
            <w:tcW w:w="1080" w:type="dxa"/>
            <w:tcBorders>
              <w:top w:val="nil"/>
              <w:left w:val="nil"/>
              <w:bottom w:val="single" w:sz="4" w:space="0" w:color="auto"/>
              <w:right w:val="single" w:sz="4" w:space="0" w:color="auto"/>
            </w:tcBorders>
            <w:noWrap/>
            <w:vAlign w:val="center"/>
            <w:hideMark/>
          </w:tcPr>
          <w:p w:rsidR="008E7EE1" w:rsidRPr="008E7EE1" w:rsidP="008E7EE1" w14:paraId="170FE1DF"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Sample Size</w:t>
            </w:r>
          </w:p>
        </w:tc>
        <w:tc>
          <w:tcPr>
            <w:tcW w:w="1260" w:type="dxa"/>
            <w:tcBorders>
              <w:top w:val="single" w:sz="4" w:space="0" w:color="auto"/>
              <w:left w:val="nil"/>
              <w:bottom w:val="single" w:sz="4" w:space="0" w:color="auto"/>
              <w:right w:val="single" w:sz="4" w:space="0" w:color="auto"/>
            </w:tcBorders>
            <w:noWrap/>
            <w:vAlign w:val="center"/>
            <w:hideMark/>
          </w:tcPr>
          <w:p w:rsidR="008E7EE1" w:rsidRPr="008E7EE1" w:rsidP="008E7EE1" w14:paraId="5758E1A1"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Completes Needed</w:t>
            </w:r>
          </w:p>
        </w:tc>
        <w:tc>
          <w:tcPr>
            <w:tcW w:w="1170" w:type="dxa"/>
            <w:tcBorders>
              <w:top w:val="single" w:sz="4" w:space="0" w:color="auto"/>
              <w:left w:val="nil"/>
              <w:bottom w:val="single" w:sz="4" w:space="0" w:color="auto"/>
              <w:right w:val="single" w:sz="4" w:space="0" w:color="auto"/>
            </w:tcBorders>
            <w:vAlign w:val="center"/>
            <w:hideMark/>
          </w:tcPr>
          <w:p w:rsidR="008E7EE1" w:rsidRPr="008E7EE1" w:rsidP="008E7EE1" w14:paraId="07D4D17B"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Sample Size</w:t>
            </w:r>
          </w:p>
          <w:p w:rsidR="008E7EE1" w:rsidRPr="008E7EE1" w:rsidP="008E7EE1" w14:paraId="0A75160E"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center"/>
            <w:hideMark/>
          </w:tcPr>
          <w:p w:rsidR="008E7EE1" w:rsidRPr="008E7EE1" w:rsidP="008E7EE1" w14:paraId="48DBDDAB"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Completes Needed</w:t>
            </w:r>
          </w:p>
        </w:tc>
        <w:tc>
          <w:tcPr>
            <w:tcW w:w="990" w:type="dxa"/>
            <w:tcBorders>
              <w:top w:val="single" w:sz="4" w:space="0" w:color="auto"/>
              <w:left w:val="nil"/>
              <w:bottom w:val="single" w:sz="4" w:space="0" w:color="auto"/>
              <w:right w:val="single" w:sz="4" w:space="0" w:color="auto"/>
            </w:tcBorders>
            <w:vAlign w:val="center"/>
          </w:tcPr>
          <w:p w:rsidR="008E7EE1" w:rsidRPr="008E7EE1" w:rsidP="008E7EE1" w14:paraId="35D3C702"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Sample Size</w:t>
            </w:r>
          </w:p>
        </w:tc>
        <w:tc>
          <w:tcPr>
            <w:tcW w:w="1170" w:type="dxa"/>
            <w:tcBorders>
              <w:top w:val="single" w:sz="4" w:space="0" w:color="auto"/>
              <w:left w:val="nil"/>
              <w:bottom w:val="single" w:sz="4" w:space="0" w:color="auto"/>
              <w:right w:val="single" w:sz="4" w:space="0" w:color="auto"/>
            </w:tcBorders>
            <w:vAlign w:val="center"/>
          </w:tcPr>
          <w:p w:rsidR="008E7EE1" w:rsidRPr="008E7EE1" w:rsidP="008E7EE1" w14:paraId="1886620F"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Completes Needed</w:t>
            </w:r>
          </w:p>
        </w:tc>
      </w:tr>
      <w:tr w14:paraId="4CE85A94"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3E7B255B" w14:textId="77777777">
            <w:pPr>
              <w:spacing w:after="0" w:line="240" w:lineRule="auto"/>
              <w:rPr>
                <w:rFonts w:eastAsia="Times New Roman" w:cs="Times New Roman"/>
                <w:color w:val="000000"/>
                <w:sz w:val="22"/>
              </w:rPr>
            </w:pPr>
            <w:r w:rsidRPr="008E7EE1">
              <w:rPr>
                <w:rFonts w:eastAsia="Times New Roman" w:cs="Times New Roman"/>
                <w:color w:val="000000"/>
                <w:sz w:val="22"/>
              </w:rPr>
              <w:t>Licensed Mariners</w:t>
            </w:r>
          </w:p>
        </w:tc>
        <w:tc>
          <w:tcPr>
            <w:tcW w:w="1080" w:type="dxa"/>
            <w:tcBorders>
              <w:top w:val="nil"/>
              <w:left w:val="nil"/>
              <w:bottom w:val="single" w:sz="4" w:space="0" w:color="auto"/>
              <w:right w:val="single" w:sz="4" w:space="0" w:color="auto"/>
            </w:tcBorders>
            <w:noWrap/>
            <w:vAlign w:val="bottom"/>
          </w:tcPr>
          <w:p w:rsidR="008E7EE1" w:rsidRPr="008E7EE1" w:rsidP="008E7EE1" w14:paraId="1554E19D" w14:textId="77777777">
            <w:pPr>
              <w:spacing w:after="0" w:line="240" w:lineRule="auto"/>
              <w:jc w:val="center"/>
              <w:rPr>
                <w:rFonts w:eastAsia="Times New Roman" w:cs="Times New Roman"/>
                <w:color w:val="000000"/>
                <w:sz w:val="22"/>
              </w:rPr>
            </w:pP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745FF76F"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20A44E65"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5A602FEA" w14:textId="77777777">
            <w:pPr>
              <w:spacing w:after="0" w:line="240" w:lineRule="auto"/>
              <w:jc w:val="center"/>
              <w:rPr>
                <w:rFonts w:eastAsia="Times New Roman" w:cs="Times New Roman"/>
                <w:color w:val="000000"/>
                <w:sz w:val="22"/>
              </w:rPr>
            </w:pP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371AF8D4"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20C8A82C" w14:textId="77777777">
            <w:pPr>
              <w:spacing w:after="0" w:line="240" w:lineRule="auto"/>
              <w:jc w:val="center"/>
              <w:rPr>
                <w:rFonts w:eastAsia="Times New Roman" w:cs="Times New Roman"/>
                <w:color w:val="000000"/>
                <w:sz w:val="22"/>
              </w:rPr>
            </w:pPr>
          </w:p>
        </w:tc>
      </w:tr>
      <w:tr w14:paraId="2B12186F"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08E7BB42" w14:textId="77777777">
            <w:pPr>
              <w:spacing w:after="0" w:line="240" w:lineRule="auto"/>
              <w:ind w:left="360"/>
              <w:rPr>
                <w:rFonts w:eastAsia="Times New Roman" w:cs="Times New Roman"/>
                <w:color w:val="000000"/>
                <w:sz w:val="22"/>
              </w:rPr>
            </w:pPr>
            <w:r w:rsidRPr="008E7EE1">
              <w:rPr>
                <w:rFonts w:eastAsia="Times New Roman" w:cs="Times New Roman"/>
                <w:color w:val="000000"/>
                <w:sz w:val="22"/>
              </w:rPr>
              <w:t>Deck Officers</w:t>
            </w:r>
          </w:p>
        </w:tc>
        <w:tc>
          <w:tcPr>
            <w:tcW w:w="1080" w:type="dxa"/>
            <w:tcBorders>
              <w:top w:val="nil"/>
              <w:left w:val="nil"/>
              <w:bottom w:val="single" w:sz="4" w:space="0" w:color="auto"/>
              <w:right w:val="single" w:sz="4" w:space="0" w:color="auto"/>
            </w:tcBorders>
            <w:noWrap/>
            <w:vAlign w:val="bottom"/>
          </w:tcPr>
          <w:p w:rsidR="008E7EE1" w:rsidRPr="008E7EE1" w:rsidP="008E7EE1" w14:paraId="3D077E23" w14:textId="77777777">
            <w:pPr>
              <w:spacing w:after="0" w:line="240" w:lineRule="auto"/>
              <w:jc w:val="center"/>
              <w:rPr>
                <w:rFonts w:eastAsia="Times New Roman" w:cs="Times New Roman"/>
                <w:color w:val="000000"/>
                <w:sz w:val="22"/>
              </w:rPr>
            </w:pP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637ED02A"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1304D817"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3BE2B55C" w14:textId="77777777">
            <w:pPr>
              <w:spacing w:after="0" w:line="240" w:lineRule="auto"/>
              <w:jc w:val="center"/>
              <w:rPr>
                <w:rFonts w:eastAsia="Times New Roman" w:cs="Times New Roman"/>
                <w:color w:val="000000"/>
                <w:sz w:val="22"/>
              </w:rPr>
            </w:pP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03545D72"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56919BC7" w14:textId="77777777">
            <w:pPr>
              <w:spacing w:after="0" w:line="240" w:lineRule="auto"/>
              <w:jc w:val="center"/>
              <w:rPr>
                <w:rFonts w:eastAsia="Times New Roman" w:cs="Times New Roman"/>
                <w:color w:val="000000"/>
                <w:sz w:val="22"/>
              </w:rPr>
            </w:pPr>
          </w:p>
        </w:tc>
      </w:tr>
      <w:tr w14:paraId="1F26020F"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70401D75" w14:textId="77777777">
            <w:pPr>
              <w:spacing w:after="0" w:line="240" w:lineRule="auto"/>
              <w:ind w:left="720"/>
              <w:rPr>
                <w:rFonts w:eastAsia="Times New Roman" w:cs="Times New Roman"/>
                <w:color w:val="000000"/>
                <w:sz w:val="22"/>
              </w:rPr>
            </w:pPr>
            <w:r w:rsidRPr="008E7EE1">
              <w:rPr>
                <w:rFonts w:eastAsia="Times New Roman" w:cs="Times New Roman"/>
                <w:color w:val="000000"/>
                <w:sz w:val="22"/>
              </w:rPr>
              <w:t>Master</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66B7081D"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983</w:t>
            </w:r>
          </w:p>
        </w:tc>
        <w:tc>
          <w:tcPr>
            <w:tcW w:w="1260" w:type="dxa"/>
            <w:tcBorders>
              <w:top w:val="single" w:sz="4" w:space="0" w:color="auto"/>
              <w:left w:val="nil"/>
              <w:bottom w:val="single" w:sz="4" w:space="0" w:color="auto"/>
              <w:right w:val="single" w:sz="4" w:space="0" w:color="auto"/>
            </w:tcBorders>
            <w:noWrap/>
            <w:vAlign w:val="bottom"/>
            <w:hideMark/>
          </w:tcPr>
          <w:p w:rsidR="008E7EE1" w:rsidRPr="008E7EE1" w:rsidP="008E7EE1" w14:paraId="16BF2F0F"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344</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3F7D02DA" w14:textId="77777777">
            <w:pPr>
              <w:spacing w:after="0" w:line="240" w:lineRule="auto"/>
              <w:jc w:val="center"/>
              <w:rPr>
                <w:rFonts w:eastAsia="Calibri" w:cs="Times New Roman"/>
                <w:sz w:val="22"/>
                <w:highlight w:val="yellow"/>
              </w:rPr>
            </w:pPr>
            <w:r w:rsidRPr="008E7EE1">
              <w:rPr>
                <w:rFonts w:eastAsia="Calibri" w:cs="Times New Roman"/>
                <w:sz w:val="22"/>
              </w:rPr>
              <w:t>495</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39E34C13" w14:textId="23A74586">
            <w:pPr>
              <w:spacing w:after="0" w:line="240" w:lineRule="auto"/>
              <w:jc w:val="center"/>
              <w:rPr>
                <w:rFonts w:eastAsia="Calibri" w:cs="Times New Roman"/>
                <w:sz w:val="22"/>
              </w:rPr>
            </w:pPr>
            <w:r>
              <w:rPr>
                <w:rFonts w:eastAsia="Calibri" w:cs="Times New Roman"/>
                <w:sz w:val="22"/>
              </w:rPr>
              <w:t>149</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5FEA3770" w14:textId="77777777">
            <w:pPr>
              <w:spacing w:after="0" w:line="240" w:lineRule="auto"/>
              <w:jc w:val="center"/>
              <w:rPr>
                <w:rFonts w:eastAsia="Calibri" w:cs="Times New Roman"/>
                <w:sz w:val="22"/>
              </w:rPr>
            </w:pPr>
            <w:r w:rsidRPr="008E7EE1">
              <w:rPr>
                <w:rFonts w:eastAsia="Aptos" w:cs="Times New Roman"/>
                <w:kern w:val="2"/>
                <w:sz w:val="22"/>
                <w14:ligatures w14:val="standardContextual"/>
              </w:rPr>
              <w:t>1478</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375DA8EB" w14:textId="108EF8E5">
            <w:pPr>
              <w:spacing w:after="0" w:line="240" w:lineRule="auto"/>
              <w:jc w:val="center"/>
              <w:rPr>
                <w:rFonts w:eastAsia="Calibri" w:cs="Times New Roman"/>
                <w:sz w:val="22"/>
              </w:rPr>
            </w:pPr>
            <w:r>
              <w:rPr>
                <w:rFonts w:eastAsia="Aptos" w:cs="Times New Roman"/>
                <w:color w:val="000000"/>
                <w:kern w:val="2"/>
                <w:sz w:val="22"/>
                <w14:ligatures w14:val="standardContextual"/>
              </w:rPr>
              <w:t>493</w:t>
            </w:r>
          </w:p>
        </w:tc>
      </w:tr>
      <w:tr w14:paraId="0FEACFDC"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1029C641" w14:textId="77777777">
            <w:pPr>
              <w:spacing w:after="0" w:line="240" w:lineRule="auto"/>
              <w:ind w:left="720"/>
              <w:rPr>
                <w:rFonts w:eastAsia="Times New Roman" w:cs="Times New Roman"/>
                <w:color w:val="000000"/>
                <w:sz w:val="22"/>
              </w:rPr>
            </w:pPr>
            <w:r w:rsidRPr="008E7EE1">
              <w:rPr>
                <w:rFonts w:eastAsia="Times New Roman" w:cs="Times New Roman"/>
                <w:color w:val="000000"/>
                <w:sz w:val="22"/>
              </w:rPr>
              <w:t>Chief Mate</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2DA7660F"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735</w:t>
            </w:r>
          </w:p>
        </w:tc>
        <w:tc>
          <w:tcPr>
            <w:tcW w:w="1260" w:type="dxa"/>
            <w:tcBorders>
              <w:top w:val="single" w:sz="4" w:space="0" w:color="auto"/>
              <w:left w:val="nil"/>
              <w:bottom w:val="single" w:sz="4" w:space="0" w:color="auto"/>
              <w:right w:val="single" w:sz="4" w:space="0" w:color="auto"/>
            </w:tcBorders>
            <w:noWrap/>
            <w:vAlign w:val="bottom"/>
            <w:hideMark/>
          </w:tcPr>
          <w:p w:rsidR="008E7EE1" w:rsidRPr="008E7EE1" w:rsidP="008E7EE1" w14:paraId="0A031B01"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257</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342FA8C4" w14:textId="77777777">
            <w:pPr>
              <w:spacing w:after="0" w:line="240" w:lineRule="auto"/>
              <w:jc w:val="center"/>
              <w:rPr>
                <w:rFonts w:eastAsia="Calibri" w:cs="Times New Roman"/>
                <w:sz w:val="22"/>
                <w:highlight w:val="yellow"/>
              </w:rPr>
            </w:pPr>
            <w:r w:rsidRPr="008E7EE1">
              <w:rPr>
                <w:rFonts w:eastAsia="Calibri" w:cs="Times New Roman"/>
                <w:sz w:val="22"/>
              </w:rPr>
              <w:t>121</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236A31E9" w14:textId="60B0364C">
            <w:pPr>
              <w:spacing w:after="0" w:line="240" w:lineRule="auto"/>
              <w:jc w:val="center"/>
              <w:rPr>
                <w:rFonts w:eastAsia="Calibri" w:cs="Times New Roman"/>
                <w:sz w:val="22"/>
              </w:rPr>
            </w:pPr>
            <w:r>
              <w:rPr>
                <w:rFonts w:eastAsia="Calibri" w:cs="Times New Roman"/>
                <w:sz w:val="22"/>
              </w:rPr>
              <w:t>37</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3C096ECB" w14:textId="77777777">
            <w:pPr>
              <w:spacing w:after="0" w:line="240" w:lineRule="auto"/>
              <w:jc w:val="center"/>
              <w:rPr>
                <w:rFonts w:eastAsia="Calibri" w:cs="Times New Roman"/>
                <w:sz w:val="22"/>
              </w:rPr>
            </w:pPr>
            <w:r w:rsidRPr="008E7EE1">
              <w:rPr>
                <w:rFonts w:eastAsia="Aptos" w:cs="Times New Roman"/>
                <w:kern w:val="2"/>
                <w:sz w:val="22"/>
                <w14:ligatures w14:val="standardContextual"/>
              </w:rPr>
              <w:t>856</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50EC2F99" w14:textId="3A154DE0">
            <w:pPr>
              <w:spacing w:after="0" w:line="240" w:lineRule="auto"/>
              <w:jc w:val="center"/>
              <w:rPr>
                <w:rFonts w:eastAsia="Calibri" w:cs="Times New Roman"/>
                <w:sz w:val="22"/>
              </w:rPr>
            </w:pPr>
            <w:r>
              <w:rPr>
                <w:rFonts w:eastAsia="Aptos" w:cs="Times New Roman"/>
                <w:color w:val="000000"/>
                <w:kern w:val="2"/>
                <w:sz w:val="22"/>
                <w14:ligatures w14:val="standardContextual"/>
              </w:rPr>
              <w:t>294</w:t>
            </w:r>
          </w:p>
        </w:tc>
      </w:tr>
      <w:tr w14:paraId="316AB0DB"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3E34E524" w14:textId="77777777">
            <w:pPr>
              <w:spacing w:after="0" w:line="240" w:lineRule="auto"/>
              <w:ind w:left="720"/>
              <w:rPr>
                <w:rFonts w:eastAsia="Times New Roman" w:cs="Times New Roman"/>
                <w:color w:val="000000"/>
                <w:sz w:val="22"/>
              </w:rPr>
            </w:pPr>
            <w:r w:rsidRPr="008E7EE1">
              <w:rPr>
                <w:rFonts w:eastAsia="Times New Roman" w:cs="Times New Roman"/>
                <w:color w:val="000000"/>
                <w:sz w:val="22"/>
              </w:rPr>
              <w:t>Second Mate</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0E477517"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955</w:t>
            </w:r>
          </w:p>
        </w:tc>
        <w:tc>
          <w:tcPr>
            <w:tcW w:w="1260" w:type="dxa"/>
            <w:tcBorders>
              <w:top w:val="single" w:sz="4" w:space="0" w:color="auto"/>
              <w:left w:val="nil"/>
              <w:bottom w:val="single" w:sz="4" w:space="0" w:color="auto"/>
              <w:right w:val="single" w:sz="4" w:space="0" w:color="auto"/>
            </w:tcBorders>
            <w:noWrap/>
            <w:vAlign w:val="bottom"/>
            <w:hideMark/>
          </w:tcPr>
          <w:p w:rsidR="008E7EE1" w:rsidRPr="008E7EE1" w:rsidP="008E7EE1" w14:paraId="6663B31E"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334</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19DB75D8" w14:textId="77777777">
            <w:pPr>
              <w:spacing w:after="0" w:line="240" w:lineRule="auto"/>
              <w:jc w:val="center"/>
              <w:rPr>
                <w:rFonts w:eastAsia="Calibri" w:cs="Times New Roman"/>
                <w:sz w:val="22"/>
                <w:highlight w:val="yellow"/>
              </w:rPr>
            </w:pPr>
            <w:r w:rsidRPr="008E7EE1">
              <w:rPr>
                <w:rFonts w:eastAsia="Calibri" w:cs="Times New Roman"/>
                <w:sz w:val="22"/>
              </w:rPr>
              <w:t>278</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1344A12F" w14:textId="03D172DA">
            <w:pPr>
              <w:spacing w:after="0" w:line="240" w:lineRule="auto"/>
              <w:jc w:val="center"/>
              <w:rPr>
                <w:rFonts w:eastAsia="Calibri" w:cs="Times New Roman"/>
                <w:sz w:val="22"/>
              </w:rPr>
            </w:pPr>
            <w:r>
              <w:rPr>
                <w:rFonts w:eastAsia="Calibri" w:cs="Times New Roman"/>
                <w:sz w:val="22"/>
              </w:rPr>
              <w:t>84</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4AE84703" w14:textId="77777777">
            <w:pPr>
              <w:spacing w:after="0" w:line="240" w:lineRule="auto"/>
              <w:jc w:val="center"/>
              <w:rPr>
                <w:rFonts w:eastAsia="Calibri" w:cs="Times New Roman"/>
                <w:sz w:val="22"/>
              </w:rPr>
            </w:pPr>
            <w:r w:rsidRPr="008E7EE1">
              <w:rPr>
                <w:rFonts w:eastAsia="Aptos" w:cs="Times New Roman"/>
                <w:kern w:val="2"/>
                <w:sz w:val="22"/>
                <w14:ligatures w14:val="standardContextual"/>
              </w:rPr>
              <w:t>1233</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4BF92E1B" w14:textId="6F843C52">
            <w:pPr>
              <w:spacing w:after="0" w:line="240" w:lineRule="auto"/>
              <w:jc w:val="center"/>
              <w:rPr>
                <w:rFonts w:eastAsia="Calibri" w:cs="Times New Roman"/>
                <w:sz w:val="22"/>
              </w:rPr>
            </w:pPr>
            <w:r>
              <w:rPr>
                <w:rFonts w:eastAsia="Aptos" w:cs="Times New Roman"/>
                <w:color w:val="000000"/>
                <w:kern w:val="2"/>
                <w:sz w:val="22"/>
                <w14:ligatures w14:val="standardContextual"/>
              </w:rPr>
              <w:t>418</w:t>
            </w:r>
          </w:p>
        </w:tc>
      </w:tr>
      <w:tr w14:paraId="1AD2C09C"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650F7C60" w14:textId="77777777">
            <w:pPr>
              <w:spacing w:after="0" w:line="240" w:lineRule="auto"/>
              <w:ind w:left="720"/>
              <w:rPr>
                <w:rFonts w:eastAsia="Times New Roman" w:cs="Times New Roman"/>
                <w:color w:val="000000"/>
                <w:sz w:val="22"/>
              </w:rPr>
            </w:pPr>
            <w:r w:rsidRPr="008E7EE1">
              <w:rPr>
                <w:rFonts w:eastAsia="Times New Roman" w:cs="Times New Roman"/>
                <w:color w:val="000000"/>
                <w:sz w:val="22"/>
              </w:rPr>
              <w:t>Third Mate</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1E235F45"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963</w:t>
            </w:r>
          </w:p>
        </w:tc>
        <w:tc>
          <w:tcPr>
            <w:tcW w:w="1260" w:type="dxa"/>
            <w:tcBorders>
              <w:top w:val="single" w:sz="4" w:space="0" w:color="auto"/>
              <w:left w:val="nil"/>
              <w:bottom w:val="single" w:sz="4" w:space="0" w:color="auto"/>
              <w:right w:val="single" w:sz="4" w:space="0" w:color="auto"/>
            </w:tcBorders>
            <w:noWrap/>
            <w:vAlign w:val="bottom"/>
            <w:hideMark/>
          </w:tcPr>
          <w:p w:rsidR="008E7EE1" w:rsidRPr="008E7EE1" w:rsidP="008E7EE1" w14:paraId="4E0A9F3A"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337</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088B40A7" w14:textId="77777777">
            <w:pPr>
              <w:spacing w:after="0" w:line="240" w:lineRule="auto"/>
              <w:jc w:val="center"/>
              <w:rPr>
                <w:rFonts w:eastAsia="Calibri" w:cs="Times New Roman"/>
                <w:sz w:val="22"/>
                <w:highlight w:val="yellow"/>
              </w:rPr>
            </w:pPr>
            <w:r w:rsidRPr="008E7EE1">
              <w:rPr>
                <w:rFonts w:eastAsia="Calibri" w:cs="Times New Roman"/>
                <w:sz w:val="22"/>
              </w:rPr>
              <w:t>690</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613BEC35" w14:textId="19C307FF">
            <w:pPr>
              <w:spacing w:after="0" w:line="240" w:lineRule="auto"/>
              <w:jc w:val="center"/>
              <w:rPr>
                <w:rFonts w:eastAsia="Calibri" w:cs="Times New Roman"/>
                <w:sz w:val="22"/>
              </w:rPr>
            </w:pPr>
            <w:r>
              <w:rPr>
                <w:rFonts w:eastAsia="Calibri" w:cs="Times New Roman"/>
                <w:sz w:val="22"/>
              </w:rPr>
              <w:t>207</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52E1872B" w14:textId="77777777">
            <w:pPr>
              <w:spacing w:after="0" w:line="240" w:lineRule="auto"/>
              <w:jc w:val="center"/>
              <w:rPr>
                <w:rFonts w:eastAsia="Calibri" w:cs="Times New Roman"/>
                <w:sz w:val="22"/>
              </w:rPr>
            </w:pPr>
            <w:r w:rsidRPr="008E7EE1">
              <w:rPr>
                <w:rFonts w:eastAsia="Aptos" w:cs="Times New Roman"/>
                <w:kern w:val="2"/>
                <w:sz w:val="22"/>
                <w14:ligatures w14:val="standardContextual"/>
              </w:rPr>
              <w:t>1653</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310B5543" w14:textId="7EB78A6B">
            <w:pPr>
              <w:spacing w:after="0" w:line="240" w:lineRule="auto"/>
              <w:jc w:val="center"/>
              <w:rPr>
                <w:rFonts w:eastAsia="Calibri" w:cs="Times New Roman"/>
                <w:sz w:val="22"/>
              </w:rPr>
            </w:pPr>
            <w:r>
              <w:rPr>
                <w:rFonts w:eastAsia="Aptos" w:cs="Times New Roman"/>
                <w:color w:val="000000"/>
                <w:kern w:val="2"/>
                <w:sz w:val="22"/>
                <w14:ligatures w14:val="standardContextual"/>
              </w:rPr>
              <w:t>544</w:t>
            </w:r>
          </w:p>
        </w:tc>
      </w:tr>
      <w:tr w14:paraId="73D2D4AF"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2233EF46" w14:textId="77777777">
            <w:pPr>
              <w:spacing w:after="0" w:line="240" w:lineRule="auto"/>
              <w:ind w:left="360"/>
              <w:rPr>
                <w:rFonts w:eastAsia="Times New Roman" w:cs="Times New Roman"/>
                <w:color w:val="000000"/>
                <w:sz w:val="22"/>
              </w:rPr>
            </w:pPr>
            <w:r w:rsidRPr="008E7EE1">
              <w:rPr>
                <w:rFonts w:eastAsia="Times New Roman" w:cs="Times New Roman"/>
                <w:color w:val="000000"/>
                <w:sz w:val="22"/>
              </w:rPr>
              <w:t>Engineer Officers</w:t>
            </w:r>
          </w:p>
        </w:tc>
        <w:tc>
          <w:tcPr>
            <w:tcW w:w="1080" w:type="dxa"/>
            <w:tcBorders>
              <w:top w:val="nil"/>
              <w:left w:val="nil"/>
              <w:bottom w:val="single" w:sz="4" w:space="0" w:color="auto"/>
              <w:right w:val="single" w:sz="4" w:space="0" w:color="auto"/>
            </w:tcBorders>
            <w:noWrap/>
            <w:vAlign w:val="bottom"/>
          </w:tcPr>
          <w:p w:rsidR="008E7EE1" w:rsidRPr="008E7EE1" w:rsidP="008E7EE1" w14:paraId="3D6F18A9" w14:textId="77777777">
            <w:pPr>
              <w:spacing w:after="0" w:line="240" w:lineRule="auto"/>
              <w:jc w:val="center"/>
              <w:rPr>
                <w:rFonts w:eastAsia="Times New Roman" w:cs="Times New Roman"/>
                <w:color w:val="000000"/>
                <w:sz w:val="22"/>
              </w:rPr>
            </w:pP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6A11E921"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4C2979BE" w14:textId="77777777">
            <w:pPr>
              <w:spacing w:after="0" w:line="240" w:lineRule="auto"/>
              <w:jc w:val="center"/>
              <w:rPr>
                <w:rFonts w:eastAsia="Times New Roman" w:cs="Times New Roman"/>
                <w:color w:val="000000"/>
                <w:sz w:val="22"/>
                <w:highlight w:val="yellow"/>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6E30574C" w14:textId="77777777">
            <w:pPr>
              <w:spacing w:after="0" w:line="240" w:lineRule="auto"/>
              <w:jc w:val="center"/>
              <w:rPr>
                <w:rFonts w:eastAsia="Times New Roman" w:cs="Times New Roman"/>
                <w:color w:val="000000"/>
                <w:sz w:val="22"/>
              </w:rPr>
            </w:pP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4F91E051" w14:textId="77777777">
            <w:pPr>
              <w:spacing w:after="0" w:line="240" w:lineRule="auto"/>
              <w:jc w:val="center"/>
              <w:rPr>
                <w:rFonts w:eastAsia="Times New Roman" w:cs="Times New Roman"/>
                <w:color w:val="000000"/>
                <w:sz w:val="22"/>
              </w:rPr>
            </w:pP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2A5757DF" w14:textId="77777777">
            <w:pPr>
              <w:spacing w:after="0" w:line="240" w:lineRule="auto"/>
              <w:jc w:val="center"/>
              <w:rPr>
                <w:rFonts w:eastAsia="Times New Roman" w:cs="Times New Roman"/>
                <w:color w:val="000000"/>
                <w:sz w:val="22"/>
              </w:rPr>
            </w:pPr>
          </w:p>
        </w:tc>
      </w:tr>
      <w:tr w14:paraId="6F032999"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7A363322" w14:textId="77777777">
            <w:pPr>
              <w:spacing w:after="0" w:line="240" w:lineRule="auto"/>
              <w:ind w:left="720"/>
              <w:rPr>
                <w:rFonts w:eastAsia="Times New Roman" w:cs="Times New Roman"/>
                <w:color w:val="000000"/>
                <w:sz w:val="22"/>
              </w:rPr>
            </w:pPr>
            <w:r w:rsidRPr="008E7EE1">
              <w:rPr>
                <w:rFonts w:eastAsia="Times New Roman" w:cs="Times New Roman"/>
                <w:color w:val="000000"/>
                <w:sz w:val="22"/>
              </w:rPr>
              <w:t>Chief Engineer</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0C549F68"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938</w:t>
            </w:r>
          </w:p>
        </w:tc>
        <w:tc>
          <w:tcPr>
            <w:tcW w:w="1260" w:type="dxa"/>
            <w:tcBorders>
              <w:top w:val="single" w:sz="4" w:space="0" w:color="auto"/>
              <w:left w:val="nil"/>
              <w:bottom w:val="single" w:sz="4" w:space="0" w:color="auto"/>
              <w:right w:val="single" w:sz="4" w:space="0" w:color="auto"/>
            </w:tcBorders>
            <w:noWrap/>
            <w:vAlign w:val="bottom"/>
            <w:hideMark/>
          </w:tcPr>
          <w:p w:rsidR="008E7EE1" w:rsidRPr="008E7EE1" w:rsidP="008E7EE1" w14:paraId="25741C98"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328</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7279B574" w14:textId="77777777">
            <w:pPr>
              <w:spacing w:after="0" w:line="240" w:lineRule="auto"/>
              <w:jc w:val="center"/>
              <w:rPr>
                <w:rFonts w:eastAsia="Calibri" w:cs="Times New Roman"/>
                <w:color w:val="000000"/>
                <w:sz w:val="22"/>
                <w:highlight w:val="yellow"/>
              </w:rPr>
            </w:pPr>
            <w:r w:rsidRPr="008E7EE1">
              <w:rPr>
                <w:rFonts w:eastAsia="Calibri" w:cs="Times New Roman"/>
                <w:color w:val="000000"/>
                <w:sz w:val="22"/>
              </w:rPr>
              <w:t>317</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423312DC" w14:textId="2E426AD4">
            <w:pPr>
              <w:spacing w:after="0" w:line="240" w:lineRule="auto"/>
              <w:jc w:val="center"/>
              <w:rPr>
                <w:rFonts w:eastAsia="Calibri" w:cs="Times New Roman"/>
                <w:color w:val="000000"/>
                <w:sz w:val="22"/>
              </w:rPr>
            </w:pPr>
            <w:r>
              <w:rPr>
                <w:rFonts w:eastAsia="Calibri" w:cs="Times New Roman"/>
                <w:color w:val="000000"/>
                <w:sz w:val="22"/>
              </w:rPr>
              <w:t>96</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3C67552B" w14:textId="77777777">
            <w:pPr>
              <w:spacing w:after="0" w:line="240" w:lineRule="auto"/>
              <w:jc w:val="center"/>
              <w:rPr>
                <w:rFonts w:eastAsia="Calibri" w:cs="Times New Roman"/>
                <w:color w:val="000000"/>
                <w:sz w:val="22"/>
              </w:rPr>
            </w:pPr>
            <w:r w:rsidRPr="008E7EE1">
              <w:rPr>
                <w:rFonts w:eastAsia="Aptos" w:cs="Times New Roman"/>
                <w:kern w:val="2"/>
                <w:sz w:val="22"/>
                <w14:ligatures w14:val="standardContextual"/>
              </w:rPr>
              <w:t>1255</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633B24E4" w14:textId="5DA807C0">
            <w:pPr>
              <w:spacing w:after="0" w:line="240" w:lineRule="auto"/>
              <w:jc w:val="center"/>
              <w:rPr>
                <w:rFonts w:eastAsia="Calibri" w:cs="Times New Roman"/>
                <w:color w:val="000000"/>
                <w:sz w:val="22"/>
              </w:rPr>
            </w:pPr>
            <w:r>
              <w:rPr>
                <w:rFonts w:eastAsia="Aptos" w:cs="Times New Roman"/>
                <w:color w:val="000000"/>
                <w:kern w:val="2"/>
                <w:sz w:val="22"/>
                <w14:ligatures w14:val="standardContextual"/>
              </w:rPr>
              <w:t>424</w:t>
            </w:r>
          </w:p>
        </w:tc>
      </w:tr>
      <w:tr w14:paraId="26438548"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675FCC90" w14:textId="77777777">
            <w:pPr>
              <w:spacing w:after="0" w:line="240" w:lineRule="auto"/>
              <w:ind w:left="720"/>
              <w:rPr>
                <w:rFonts w:eastAsia="Times New Roman" w:cs="Times New Roman"/>
                <w:color w:val="000000"/>
                <w:sz w:val="22"/>
              </w:rPr>
            </w:pPr>
            <w:r w:rsidRPr="008E7EE1">
              <w:rPr>
                <w:rFonts w:eastAsia="Times New Roman" w:cs="Times New Roman"/>
                <w:color w:val="000000"/>
                <w:sz w:val="22"/>
              </w:rPr>
              <w:t>First Assistant Engineer</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6137A56C"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775</w:t>
            </w:r>
          </w:p>
        </w:tc>
        <w:tc>
          <w:tcPr>
            <w:tcW w:w="1260" w:type="dxa"/>
            <w:tcBorders>
              <w:top w:val="single" w:sz="4" w:space="0" w:color="auto"/>
              <w:left w:val="nil"/>
              <w:bottom w:val="single" w:sz="4" w:space="0" w:color="auto"/>
              <w:right w:val="single" w:sz="4" w:space="0" w:color="auto"/>
            </w:tcBorders>
            <w:noWrap/>
            <w:vAlign w:val="bottom"/>
            <w:hideMark/>
          </w:tcPr>
          <w:p w:rsidR="008E7EE1" w:rsidRPr="008E7EE1" w:rsidP="008E7EE1" w14:paraId="2ED21CC4"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271</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4DA660B2" w14:textId="77777777">
            <w:pPr>
              <w:spacing w:after="0" w:line="240" w:lineRule="auto"/>
              <w:jc w:val="center"/>
              <w:rPr>
                <w:rFonts w:eastAsia="Calibri" w:cs="Times New Roman"/>
                <w:color w:val="000000"/>
                <w:sz w:val="22"/>
                <w:highlight w:val="yellow"/>
              </w:rPr>
            </w:pPr>
            <w:r w:rsidRPr="008E7EE1">
              <w:rPr>
                <w:rFonts w:eastAsia="Calibri" w:cs="Times New Roman"/>
                <w:color w:val="000000"/>
                <w:sz w:val="22"/>
              </w:rPr>
              <w:t>117</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02D8702C" w14:textId="4739A35F">
            <w:pPr>
              <w:spacing w:after="0" w:line="240" w:lineRule="auto"/>
              <w:jc w:val="center"/>
              <w:rPr>
                <w:rFonts w:eastAsia="Calibri" w:cs="Times New Roman"/>
                <w:color w:val="000000"/>
                <w:sz w:val="22"/>
              </w:rPr>
            </w:pPr>
            <w:r>
              <w:rPr>
                <w:rFonts w:eastAsia="Calibri" w:cs="Times New Roman"/>
                <w:color w:val="000000"/>
                <w:sz w:val="22"/>
              </w:rPr>
              <w:t>36</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445403DA" w14:textId="77777777">
            <w:pPr>
              <w:spacing w:after="0" w:line="240" w:lineRule="auto"/>
              <w:jc w:val="center"/>
              <w:rPr>
                <w:rFonts w:eastAsia="Calibri" w:cs="Times New Roman"/>
                <w:color w:val="000000"/>
                <w:sz w:val="22"/>
              </w:rPr>
            </w:pPr>
            <w:r w:rsidRPr="008E7EE1">
              <w:rPr>
                <w:rFonts w:eastAsia="Aptos" w:cs="Times New Roman"/>
                <w:kern w:val="2"/>
                <w:sz w:val="22"/>
                <w14:ligatures w14:val="standardContextual"/>
              </w:rPr>
              <w:t>892</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6624A10E" w14:textId="5CDC756D">
            <w:pPr>
              <w:spacing w:after="0" w:line="240" w:lineRule="auto"/>
              <w:jc w:val="center"/>
              <w:rPr>
                <w:rFonts w:eastAsia="Calibri" w:cs="Times New Roman"/>
                <w:color w:val="000000"/>
                <w:sz w:val="22"/>
              </w:rPr>
            </w:pPr>
            <w:r>
              <w:rPr>
                <w:rFonts w:eastAsia="Aptos" w:cs="Times New Roman"/>
                <w:color w:val="000000"/>
                <w:kern w:val="2"/>
                <w:sz w:val="22"/>
                <w14:ligatures w14:val="standardContextual"/>
              </w:rPr>
              <w:t>307</w:t>
            </w:r>
          </w:p>
        </w:tc>
      </w:tr>
      <w:tr w14:paraId="20B4F4DC"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075CE3EA" w14:textId="77777777">
            <w:pPr>
              <w:spacing w:after="0" w:line="240" w:lineRule="auto"/>
              <w:ind w:left="720"/>
              <w:rPr>
                <w:rFonts w:eastAsia="Times New Roman" w:cs="Times New Roman"/>
                <w:color w:val="000000"/>
                <w:sz w:val="22"/>
              </w:rPr>
            </w:pPr>
            <w:r w:rsidRPr="008E7EE1">
              <w:rPr>
                <w:rFonts w:eastAsia="Times New Roman" w:cs="Times New Roman"/>
                <w:color w:val="000000"/>
                <w:sz w:val="22"/>
              </w:rPr>
              <w:t>Second Assistant Engineer</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11A049CC"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920</w:t>
            </w:r>
          </w:p>
        </w:tc>
        <w:tc>
          <w:tcPr>
            <w:tcW w:w="1260" w:type="dxa"/>
            <w:tcBorders>
              <w:top w:val="single" w:sz="4" w:space="0" w:color="auto"/>
              <w:left w:val="nil"/>
              <w:bottom w:val="single" w:sz="4" w:space="0" w:color="auto"/>
              <w:right w:val="single" w:sz="4" w:space="0" w:color="auto"/>
            </w:tcBorders>
            <w:noWrap/>
            <w:vAlign w:val="bottom"/>
            <w:hideMark/>
          </w:tcPr>
          <w:p w:rsidR="008E7EE1" w:rsidRPr="008E7EE1" w:rsidP="008E7EE1" w14:paraId="4D3BDD04"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322</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0C9ACE5A" w14:textId="77777777">
            <w:pPr>
              <w:spacing w:after="0" w:line="240" w:lineRule="auto"/>
              <w:jc w:val="center"/>
              <w:rPr>
                <w:rFonts w:eastAsia="Calibri" w:cs="Times New Roman"/>
                <w:color w:val="000000"/>
                <w:sz w:val="22"/>
                <w:highlight w:val="yellow"/>
              </w:rPr>
            </w:pPr>
            <w:r w:rsidRPr="008E7EE1">
              <w:rPr>
                <w:rFonts w:eastAsia="Calibri" w:cs="Times New Roman"/>
                <w:color w:val="000000"/>
                <w:sz w:val="22"/>
              </w:rPr>
              <w:t>195</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29EB1BC1" w14:textId="57CDB57B">
            <w:pPr>
              <w:spacing w:after="0" w:line="240" w:lineRule="auto"/>
              <w:jc w:val="center"/>
              <w:rPr>
                <w:rFonts w:eastAsia="Calibri" w:cs="Times New Roman"/>
                <w:color w:val="000000"/>
                <w:sz w:val="22"/>
              </w:rPr>
            </w:pPr>
            <w:r>
              <w:rPr>
                <w:rFonts w:eastAsia="Calibri" w:cs="Times New Roman"/>
                <w:color w:val="000000"/>
                <w:sz w:val="22"/>
              </w:rPr>
              <w:t>59</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3B947269" w14:textId="77777777">
            <w:pPr>
              <w:spacing w:after="0" w:line="240" w:lineRule="auto"/>
              <w:jc w:val="center"/>
              <w:rPr>
                <w:rFonts w:eastAsia="Calibri" w:cs="Times New Roman"/>
                <w:color w:val="000000"/>
                <w:sz w:val="22"/>
              </w:rPr>
            </w:pPr>
            <w:r w:rsidRPr="008E7EE1">
              <w:rPr>
                <w:rFonts w:eastAsia="Aptos" w:cs="Times New Roman"/>
                <w:kern w:val="2"/>
                <w:sz w:val="22"/>
                <w14:ligatures w14:val="standardContextual"/>
              </w:rPr>
              <w:t>1115</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48F601EE" w14:textId="3C98C518">
            <w:pPr>
              <w:spacing w:after="0" w:line="240" w:lineRule="auto"/>
              <w:jc w:val="center"/>
              <w:rPr>
                <w:rFonts w:eastAsia="Calibri" w:cs="Times New Roman"/>
                <w:color w:val="000000"/>
                <w:sz w:val="22"/>
              </w:rPr>
            </w:pPr>
            <w:r>
              <w:rPr>
                <w:rFonts w:eastAsia="Aptos" w:cs="Times New Roman"/>
                <w:color w:val="000000"/>
                <w:kern w:val="2"/>
                <w:sz w:val="22"/>
                <w14:ligatures w14:val="standardContextual"/>
              </w:rPr>
              <w:t>381</w:t>
            </w:r>
          </w:p>
        </w:tc>
      </w:tr>
      <w:tr w14:paraId="1B6676D4"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592256E4" w14:textId="77777777">
            <w:pPr>
              <w:spacing w:after="0" w:line="240" w:lineRule="auto"/>
              <w:ind w:left="720"/>
              <w:rPr>
                <w:rFonts w:eastAsia="Times New Roman" w:cs="Times New Roman"/>
                <w:color w:val="000000"/>
                <w:sz w:val="22"/>
              </w:rPr>
            </w:pPr>
            <w:r w:rsidRPr="008E7EE1">
              <w:rPr>
                <w:rFonts w:eastAsia="Times New Roman" w:cs="Times New Roman"/>
                <w:color w:val="000000"/>
                <w:sz w:val="22"/>
              </w:rPr>
              <w:t>Third Assistant Engineer</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156C40CC"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906</w:t>
            </w:r>
          </w:p>
        </w:tc>
        <w:tc>
          <w:tcPr>
            <w:tcW w:w="1260" w:type="dxa"/>
            <w:tcBorders>
              <w:top w:val="single" w:sz="4" w:space="0" w:color="auto"/>
              <w:left w:val="nil"/>
              <w:bottom w:val="single" w:sz="4" w:space="0" w:color="auto"/>
              <w:right w:val="single" w:sz="4" w:space="0" w:color="auto"/>
            </w:tcBorders>
            <w:noWrap/>
            <w:vAlign w:val="bottom"/>
            <w:hideMark/>
          </w:tcPr>
          <w:p w:rsidR="008E7EE1" w:rsidRPr="008E7EE1" w:rsidP="008E7EE1" w14:paraId="74FE8F06"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317</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64C1CCDE" w14:textId="77777777">
            <w:pPr>
              <w:spacing w:after="0" w:line="240" w:lineRule="auto"/>
              <w:jc w:val="center"/>
              <w:rPr>
                <w:rFonts w:eastAsia="Calibri" w:cs="Times New Roman"/>
                <w:color w:val="000000"/>
                <w:sz w:val="22"/>
                <w:highlight w:val="yellow"/>
              </w:rPr>
            </w:pPr>
            <w:r w:rsidRPr="008E7EE1">
              <w:rPr>
                <w:rFonts w:eastAsia="Calibri" w:cs="Times New Roman"/>
                <w:color w:val="000000"/>
                <w:sz w:val="22"/>
              </w:rPr>
              <w:t>624</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79DD4BDE" w14:textId="68BEDAD0">
            <w:pPr>
              <w:spacing w:after="0" w:line="240" w:lineRule="auto"/>
              <w:jc w:val="center"/>
              <w:rPr>
                <w:rFonts w:eastAsia="Calibri" w:cs="Times New Roman"/>
                <w:color w:val="000000"/>
                <w:sz w:val="22"/>
              </w:rPr>
            </w:pPr>
            <w:r>
              <w:rPr>
                <w:rFonts w:eastAsia="Calibri" w:cs="Times New Roman"/>
                <w:color w:val="000000"/>
                <w:sz w:val="22"/>
              </w:rPr>
              <w:t>188</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39B48114" w14:textId="77777777">
            <w:pPr>
              <w:spacing w:after="0" w:line="240" w:lineRule="auto"/>
              <w:jc w:val="center"/>
              <w:rPr>
                <w:rFonts w:eastAsia="Calibri" w:cs="Times New Roman"/>
                <w:color w:val="000000"/>
                <w:sz w:val="22"/>
              </w:rPr>
            </w:pPr>
            <w:r w:rsidRPr="008E7EE1">
              <w:rPr>
                <w:rFonts w:eastAsia="Aptos" w:cs="Times New Roman"/>
                <w:kern w:val="2"/>
                <w:sz w:val="22"/>
                <w14:ligatures w14:val="standardContextual"/>
              </w:rPr>
              <w:t>1530</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5CC8B8CD" w14:textId="34F1B11E">
            <w:pPr>
              <w:spacing w:after="0" w:line="240" w:lineRule="auto"/>
              <w:jc w:val="center"/>
              <w:rPr>
                <w:rFonts w:eastAsia="Calibri" w:cs="Times New Roman"/>
                <w:color w:val="000000"/>
                <w:sz w:val="22"/>
              </w:rPr>
            </w:pPr>
            <w:r>
              <w:rPr>
                <w:rFonts w:eastAsia="Aptos" w:cs="Times New Roman"/>
                <w:color w:val="000000"/>
                <w:kern w:val="2"/>
                <w:sz w:val="22"/>
                <w14:ligatures w14:val="standardContextual"/>
              </w:rPr>
              <w:t>505</w:t>
            </w:r>
          </w:p>
        </w:tc>
      </w:tr>
      <w:tr w14:paraId="0BD772DE"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44E95B23" w14:textId="77777777">
            <w:pPr>
              <w:spacing w:after="0" w:line="240" w:lineRule="auto"/>
              <w:rPr>
                <w:rFonts w:eastAsia="Times New Roman" w:cs="Times New Roman"/>
                <w:color w:val="000000"/>
                <w:sz w:val="22"/>
              </w:rPr>
            </w:pPr>
            <w:r w:rsidRPr="008E7EE1">
              <w:rPr>
                <w:rFonts w:eastAsia="Times New Roman" w:cs="Times New Roman"/>
                <w:color w:val="000000"/>
                <w:sz w:val="22"/>
              </w:rPr>
              <w:t>Unlicensed Mariners</w:t>
            </w:r>
          </w:p>
        </w:tc>
        <w:tc>
          <w:tcPr>
            <w:tcW w:w="1080" w:type="dxa"/>
            <w:tcBorders>
              <w:top w:val="nil"/>
              <w:left w:val="nil"/>
              <w:bottom w:val="single" w:sz="4" w:space="0" w:color="auto"/>
              <w:right w:val="single" w:sz="4" w:space="0" w:color="auto"/>
            </w:tcBorders>
            <w:noWrap/>
            <w:vAlign w:val="bottom"/>
          </w:tcPr>
          <w:p w:rsidR="008E7EE1" w:rsidRPr="008E7EE1" w:rsidP="008E7EE1" w14:paraId="475A296D" w14:textId="77777777">
            <w:pPr>
              <w:spacing w:after="0" w:line="240" w:lineRule="auto"/>
              <w:jc w:val="center"/>
              <w:rPr>
                <w:rFonts w:eastAsia="Times New Roman" w:cs="Times New Roman"/>
                <w:color w:val="000000"/>
                <w:sz w:val="22"/>
                <w:highlight w:val="yellow"/>
              </w:rPr>
            </w:pP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68F42106" w14:textId="77777777">
            <w:pPr>
              <w:spacing w:after="0" w:line="240" w:lineRule="auto"/>
              <w:jc w:val="center"/>
              <w:rPr>
                <w:rFonts w:eastAsia="Times New Roman" w:cs="Times New Roman"/>
                <w:color w:val="000000"/>
                <w:sz w:val="22"/>
                <w:highlight w:val="yellow"/>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78A3C8A1" w14:textId="77777777">
            <w:pPr>
              <w:spacing w:after="0" w:line="240" w:lineRule="auto"/>
              <w:jc w:val="center"/>
              <w:rPr>
                <w:rFonts w:eastAsia="Times New Roman" w:cs="Times New Roman"/>
                <w:color w:val="000000"/>
                <w:sz w:val="22"/>
                <w:highlight w:val="yellow"/>
              </w:rPr>
            </w:pP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3E54C671" w14:textId="77777777">
            <w:pPr>
              <w:spacing w:after="0" w:line="240" w:lineRule="auto"/>
              <w:jc w:val="center"/>
              <w:rPr>
                <w:rFonts w:eastAsia="Times New Roman" w:cs="Times New Roman"/>
                <w:color w:val="000000"/>
                <w:sz w:val="22"/>
                <w:highlight w:val="yellow"/>
              </w:rPr>
            </w:pP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554DC3ED" w14:textId="77777777">
            <w:pPr>
              <w:spacing w:after="0" w:line="240" w:lineRule="auto"/>
              <w:jc w:val="center"/>
              <w:rPr>
                <w:rFonts w:eastAsia="Times New Roman" w:cs="Times New Roman"/>
                <w:color w:val="000000"/>
                <w:sz w:val="22"/>
                <w:highlight w:val="yellow"/>
              </w:rPr>
            </w:pPr>
          </w:p>
        </w:tc>
        <w:tc>
          <w:tcPr>
            <w:tcW w:w="1170" w:type="dxa"/>
            <w:tcBorders>
              <w:top w:val="single" w:sz="4" w:space="0" w:color="auto"/>
              <w:left w:val="nil"/>
              <w:bottom w:val="single" w:sz="4" w:space="0" w:color="auto"/>
              <w:right w:val="single" w:sz="4" w:space="0" w:color="auto"/>
            </w:tcBorders>
            <w:vAlign w:val="bottom"/>
          </w:tcPr>
          <w:p w:rsidR="008E7EE1" w:rsidRPr="00042B65" w:rsidP="008E7EE1" w14:paraId="23624400" w14:textId="77777777">
            <w:pPr>
              <w:spacing w:after="0" w:line="240" w:lineRule="auto"/>
              <w:jc w:val="center"/>
              <w:rPr>
                <w:rFonts w:eastAsia="Times New Roman" w:cs="Times New Roman"/>
                <w:color w:val="000000"/>
                <w:sz w:val="22"/>
              </w:rPr>
            </w:pPr>
          </w:p>
        </w:tc>
      </w:tr>
      <w:tr w14:paraId="581C05A2"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635E7155" w14:textId="77777777">
            <w:pPr>
              <w:spacing w:after="0" w:line="240" w:lineRule="auto"/>
              <w:ind w:left="360"/>
              <w:rPr>
                <w:rFonts w:eastAsia="Times New Roman" w:cs="Times New Roman"/>
                <w:color w:val="000000"/>
                <w:sz w:val="22"/>
              </w:rPr>
            </w:pPr>
            <w:r w:rsidRPr="008E7EE1">
              <w:rPr>
                <w:rFonts w:eastAsia="Times New Roman" w:cs="Times New Roman"/>
                <w:color w:val="000000"/>
                <w:sz w:val="22"/>
              </w:rPr>
              <w:t>Able Seafarer Unlimited</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392EBD0B" w14:textId="77777777">
            <w:pPr>
              <w:spacing w:after="0" w:line="240" w:lineRule="auto"/>
              <w:jc w:val="center"/>
              <w:rPr>
                <w:rFonts w:eastAsia="Times New Roman" w:cs="Times New Roman"/>
                <w:color w:val="000000"/>
                <w:sz w:val="22"/>
                <w:highlight w:val="yellow"/>
              </w:rPr>
            </w:pPr>
            <w:r w:rsidRPr="008E7EE1">
              <w:rPr>
                <w:rFonts w:eastAsia="Times New Roman" w:cs="Times New Roman"/>
                <w:color w:val="000000"/>
                <w:sz w:val="22"/>
              </w:rPr>
              <w:t>1,492</w:t>
            </w: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51172FCD"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373</w:t>
            </w:r>
          </w:p>
        </w:tc>
        <w:tc>
          <w:tcPr>
            <w:tcW w:w="1170" w:type="dxa"/>
            <w:tcBorders>
              <w:top w:val="single" w:sz="4" w:space="0" w:color="auto"/>
              <w:left w:val="nil"/>
              <w:bottom w:val="single" w:sz="4" w:space="0" w:color="auto"/>
              <w:right w:val="single" w:sz="4" w:space="0" w:color="auto"/>
            </w:tcBorders>
            <w:vAlign w:val="bottom"/>
            <w:hideMark/>
          </w:tcPr>
          <w:p w:rsidR="008E7EE1" w:rsidRPr="008E7EE1" w:rsidP="008E7EE1" w14:paraId="0191BF64"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1170" w:type="dxa"/>
            <w:tcBorders>
              <w:top w:val="single" w:sz="4" w:space="0" w:color="auto"/>
              <w:left w:val="nil"/>
              <w:bottom w:val="single" w:sz="4" w:space="0" w:color="auto"/>
              <w:right w:val="single" w:sz="4" w:space="0" w:color="auto"/>
            </w:tcBorders>
            <w:vAlign w:val="bottom"/>
            <w:hideMark/>
          </w:tcPr>
          <w:p w:rsidR="008E7EE1" w:rsidRPr="008E7EE1" w:rsidP="008E7EE1" w14:paraId="4F6812BA"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66A35AA3"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1,492</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23D90831" w14:textId="77777777">
            <w:pPr>
              <w:spacing w:after="0" w:line="240" w:lineRule="auto"/>
              <w:jc w:val="center"/>
              <w:rPr>
                <w:rFonts w:eastAsia="Times New Roman" w:cs="Times New Roman"/>
                <w:color w:val="000000"/>
                <w:sz w:val="22"/>
              </w:rPr>
            </w:pPr>
            <w:r w:rsidRPr="00990F78">
              <w:rPr>
                <w:rFonts w:eastAsia="Times New Roman" w:cs="Times New Roman"/>
                <w:color w:val="000000"/>
                <w:sz w:val="22"/>
              </w:rPr>
              <w:t>373</w:t>
            </w:r>
          </w:p>
        </w:tc>
      </w:tr>
      <w:tr w14:paraId="6A79988B"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tcPr>
          <w:p w:rsidR="008E7EE1" w:rsidRPr="008E7EE1" w:rsidP="008E7EE1" w14:paraId="4610FCC8" w14:textId="77777777">
            <w:pPr>
              <w:spacing w:after="0" w:line="240" w:lineRule="auto"/>
              <w:ind w:left="360"/>
              <w:rPr>
                <w:rFonts w:eastAsia="Times New Roman" w:cs="Times New Roman"/>
                <w:color w:val="000000"/>
                <w:sz w:val="22"/>
              </w:rPr>
            </w:pPr>
            <w:r w:rsidRPr="008E7EE1">
              <w:rPr>
                <w:rFonts w:eastAsia="Times New Roman" w:cs="Times New Roman"/>
                <w:color w:val="000000"/>
                <w:sz w:val="22"/>
              </w:rPr>
              <w:t>Able Seafarer Limited</w:t>
            </w:r>
          </w:p>
        </w:tc>
        <w:tc>
          <w:tcPr>
            <w:tcW w:w="1080" w:type="dxa"/>
            <w:tcBorders>
              <w:top w:val="nil"/>
              <w:left w:val="nil"/>
              <w:bottom w:val="single" w:sz="4" w:space="0" w:color="auto"/>
              <w:right w:val="single" w:sz="4" w:space="0" w:color="auto"/>
            </w:tcBorders>
            <w:noWrap/>
            <w:vAlign w:val="bottom"/>
          </w:tcPr>
          <w:p w:rsidR="008E7EE1" w:rsidRPr="008E7EE1" w:rsidP="008E7EE1" w14:paraId="14BE51D6" w14:textId="77777777">
            <w:pPr>
              <w:spacing w:after="0" w:line="240" w:lineRule="auto"/>
              <w:jc w:val="center"/>
              <w:rPr>
                <w:rFonts w:eastAsia="Calibri" w:cs="Times New Roman"/>
                <w:color w:val="000000"/>
                <w:sz w:val="22"/>
                <w:highlight w:val="yellow"/>
              </w:rPr>
            </w:pPr>
            <w:r w:rsidRPr="008E7EE1">
              <w:rPr>
                <w:rFonts w:eastAsia="Calibri" w:cs="Times New Roman"/>
                <w:color w:val="000000"/>
                <w:sz w:val="22"/>
              </w:rPr>
              <w:t>1,312</w:t>
            </w: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645635AA" w14:textId="77777777">
            <w:pPr>
              <w:spacing w:after="0" w:line="240" w:lineRule="auto"/>
              <w:jc w:val="center"/>
              <w:rPr>
                <w:rFonts w:eastAsia="Calibri" w:cs="Times New Roman"/>
                <w:color w:val="000000"/>
                <w:sz w:val="22"/>
              </w:rPr>
            </w:pPr>
            <w:r w:rsidRPr="008E7EE1">
              <w:rPr>
                <w:rFonts w:eastAsia="Calibri" w:cs="Times New Roman"/>
                <w:color w:val="000000"/>
                <w:sz w:val="22"/>
              </w:rPr>
              <w:t>328</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5A559A11" w14:textId="2090F032">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210459D1" w14:textId="47C2CB86">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3EF66006" w14:textId="77777777">
            <w:pPr>
              <w:spacing w:after="0" w:line="240" w:lineRule="auto"/>
              <w:jc w:val="center"/>
              <w:rPr>
                <w:rFonts w:eastAsia="Times New Roman" w:cs="Times New Roman"/>
                <w:color w:val="000000"/>
                <w:sz w:val="22"/>
              </w:rPr>
            </w:pPr>
            <w:r w:rsidRPr="008E7EE1">
              <w:rPr>
                <w:rFonts w:eastAsia="Calibri" w:cs="Times New Roman"/>
                <w:color w:val="000000"/>
                <w:sz w:val="22"/>
              </w:rPr>
              <w:t>1,312</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0CCE8965" w14:textId="77777777">
            <w:pPr>
              <w:spacing w:after="0" w:line="240" w:lineRule="auto"/>
              <w:jc w:val="center"/>
              <w:rPr>
                <w:rFonts w:eastAsia="Times New Roman" w:cs="Times New Roman"/>
                <w:color w:val="000000"/>
                <w:sz w:val="22"/>
              </w:rPr>
            </w:pPr>
            <w:r w:rsidRPr="00990F78">
              <w:rPr>
                <w:rFonts w:eastAsia="Calibri" w:cs="Times New Roman"/>
                <w:color w:val="000000"/>
                <w:sz w:val="22"/>
              </w:rPr>
              <w:t>328</w:t>
            </w:r>
          </w:p>
        </w:tc>
      </w:tr>
      <w:tr w14:paraId="51B1379E" w14:textId="77777777" w:rsidTr="00042B65">
        <w:tblPrEx>
          <w:tblW w:w="9787" w:type="dxa"/>
          <w:tblInd w:w="108" w:type="dxa"/>
          <w:tblLayout w:type="fixed"/>
          <w:tblLook w:val="04A0"/>
        </w:tblPrEx>
        <w:trPr>
          <w:trHeight w:val="300"/>
        </w:trPr>
        <w:tc>
          <w:tcPr>
            <w:tcW w:w="2947" w:type="dxa"/>
            <w:tcBorders>
              <w:top w:val="nil"/>
              <w:left w:val="single" w:sz="4" w:space="0" w:color="auto"/>
              <w:bottom w:val="single" w:sz="4" w:space="0" w:color="auto"/>
              <w:right w:val="single" w:sz="4" w:space="0" w:color="auto"/>
            </w:tcBorders>
            <w:noWrap/>
            <w:vAlign w:val="bottom"/>
            <w:hideMark/>
          </w:tcPr>
          <w:p w:rsidR="008E7EE1" w:rsidRPr="008E7EE1" w:rsidP="008E7EE1" w14:paraId="55DDF6D1" w14:textId="246F46EA">
            <w:pPr>
              <w:spacing w:after="0" w:line="240" w:lineRule="auto"/>
              <w:ind w:left="360"/>
              <w:rPr>
                <w:rFonts w:eastAsia="Times New Roman" w:cs="Times New Roman"/>
                <w:color w:val="000000"/>
                <w:sz w:val="22"/>
              </w:rPr>
            </w:pPr>
            <w:r w:rsidRPr="008E7EE1">
              <w:rPr>
                <w:rFonts w:eastAsia="Times New Roman" w:cs="Times New Roman"/>
                <w:color w:val="000000"/>
                <w:sz w:val="22"/>
              </w:rPr>
              <w:t xml:space="preserve">Able </w:t>
            </w:r>
            <w:r w:rsidRPr="008E7EE1" w:rsidR="00D41B74">
              <w:rPr>
                <w:rFonts w:eastAsia="Times New Roman" w:cs="Times New Roman"/>
                <w:color w:val="000000"/>
                <w:sz w:val="22"/>
              </w:rPr>
              <w:t xml:space="preserve">Seafarer </w:t>
            </w:r>
            <w:r w:rsidRPr="008E7EE1">
              <w:rPr>
                <w:rFonts w:eastAsia="Times New Roman" w:cs="Times New Roman"/>
                <w:color w:val="000000"/>
                <w:sz w:val="22"/>
              </w:rPr>
              <w:t>Special</w:t>
            </w:r>
          </w:p>
        </w:tc>
        <w:tc>
          <w:tcPr>
            <w:tcW w:w="1080" w:type="dxa"/>
            <w:tcBorders>
              <w:top w:val="nil"/>
              <w:left w:val="nil"/>
              <w:bottom w:val="single" w:sz="4" w:space="0" w:color="auto"/>
              <w:right w:val="single" w:sz="4" w:space="0" w:color="auto"/>
            </w:tcBorders>
            <w:noWrap/>
            <w:vAlign w:val="bottom"/>
            <w:hideMark/>
          </w:tcPr>
          <w:p w:rsidR="008E7EE1" w:rsidRPr="008E7EE1" w:rsidP="008E7EE1" w14:paraId="3F52A676" w14:textId="77777777">
            <w:pPr>
              <w:spacing w:after="0" w:line="240" w:lineRule="auto"/>
              <w:jc w:val="center"/>
              <w:rPr>
                <w:rFonts w:eastAsia="Times New Roman" w:cs="Times New Roman"/>
                <w:color w:val="000000"/>
                <w:sz w:val="22"/>
                <w:highlight w:val="yellow"/>
              </w:rPr>
            </w:pPr>
            <w:r w:rsidRPr="008E7EE1">
              <w:rPr>
                <w:rFonts w:eastAsia="Times New Roman" w:cs="Times New Roman"/>
                <w:color w:val="000000"/>
                <w:sz w:val="22"/>
              </w:rPr>
              <w:t>1,440</w:t>
            </w: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60C8E457"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360</w:t>
            </w:r>
          </w:p>
        </w:tc>
        <w:tc>
          <w:tcPr>
            <w:tcW w:w="1170" w:type="dxa"/>
            <w:tcBorders>
              <w:top w:val="single" w:sz="4" w:space="0" w:color="auto"/>
              <w:left w:val="nil"/>
              <w:bottom w:val="single" w:sz="4" w:space="0" w:color="auto"/>
              <w:right w:val="single" w:sz="4" w:space="0" w:color="auto"/>
            </w:tcBorders>
            <w:vAlign w:val="bottom"/>
            <w:hideMark/>
          </w:tcPr>
          <w:p w:rsidR="008E7EE1" w:rsidRPr="008E7EE1" w:rsidP="008E7EE1" w14:paraId="15ECD7E4"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1170" w:type="dxa"/>
            <w:tcBorders>
              <w:top w:val="single" w:sz="4" w:space="0" w:color="auto"/>
              <w:left w:val="nil"/>
              <w:bottom w:val="single" w:sz="4" w:space="0" w:color="auto"/>
              <w:right w:val="single" w:sz="4" w:space="0" w:color="auto"/>
            </w:tcBorders>
            <w:vAlign w:val="bottom"/>
            <w:hideMark/>
          </w:tcPr>
          <w:p w:rsidR="008E7EE1" w:rsidRPr="008E7EE1" w:rsidP="008E7EE1" w14:paraId="3A230A17"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6D46DA09"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1,440</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522788A0" w14:textId="77777777">
            <w:pPr>
              <w:spacing w:after="0" w:line="240" w:lineRule="auto"/>
              <w:jc w:val="center"/>
              <w:rPr>
                <w:rFonts w:eastAsia="Times New Roman" w:cs="Times New Roman"/>
                <w:color w:val="000000"/>
                <w:sz w:val="22"/>
              </w:rPr>
            </w:pPr>
            <w:r w:rsidRPr="00990F78">
              <w:rPr>
                <w:rFonts w:eastAsia="Times New Roman" w:cs="Times New Roman"/>
                <w:color w:val="000000"/>
                <w:sz w:val="22"/>
              </w:rPr>
              <w:t>360</w:t>
            </w:r>
          </w:p>
        </w:tc>
      </w:tr>
      <w:tr w14:paraId="15ECD27E" w14:textId="77777777" w:rsidTr="00042B65">
        <w:tblPrEx>
          <w:tblW w:w="9787" w:type="dxa"/>
          <w:tblInd w:w="108" w:type="dxa"/>
          <w:tblLayout w:type="fixed"/>
          <w:tblLook w:val="04A0"/>
        </w:tblPrEx>
        <w:trPr>
          <w:trHeight w:val="300"/>
        </w:trPr>
        <w:tc>
          <w:tcPr>
            <w:tcW w:w="2947" w:type="dxa"/>
            <w:tcBorders>
              <w:top w:val="single" w:sz="4" w:space="0" w:color="auto"/>
              <w:left w:val="single" w:sz="4" w:space="0" w:color="auto"/>
              <w:bottom w:val="single" w:sz="4" w:space="0" w:color="auto"/>
              <w:right w:val="single" w:sz="4" w:space="0" w:color="auto"/>
            </w:tcBorders>
            <w:noWrap/>
            <w:vAlign w:val="bottom"/>
            <w:hideMark/>
          </w:tcPr>
          <w:p w:rsidR="008E7EE1" w:rsidRPr="008E7EE1" w:rsidP="008E7EE1" w14:paraId="16AF8BE8" w14:textId="77777777">
            <w:pPr>
              <w:spacing w:after="0" w:line="240" w:lineRule="auto"/>
              <w:ind w:left="360"/>
              <w:rPr>
                <w:rFonts w:eastAsia="Times New Roman" w:cs="Times New Roman"/>
                <w:color w:val="000000"/>
                <w:sz w:val="22"/>
              </w:rPr>
            </w:pPr>
            <w:r w:rsidRPr="008E7EE1">
              <w:rPr>
                <w:rFonts w:eastAsia="Times New Roman" w:cs="Times New Roman"/>
                <w:color w:val="000000"/>
                <w:sz w:val="22"/>
              </w:rPr>
              <w:t>QMED</w:t>
            </w:r>
          </w:p>
        </w:tc>
        <w:tc>
          <w:tcPr>
            <w:tcW w:w="1080" w:type="dxa"/>
            <w:tcBorders>
              <w:top w:val="single" w:sz="4" w:space="0" w:color="auto"/>
              <w:left w:val="nil"/>
              <w:bottom w:val="single" w:sz="4" w:space="0" w:color="auto"/>
              <w:right w:val="single" w:sz="4" w:space="0" w:color="auto"/>
            </w:tcBorders>
            <w:noWrap/>
            <w:vAlign w:val="bottom"/>
            <w:hideMark/>
          </w:tcPr>
          <w:p w:rsidR="008E7EE1" w:rsidRPr="008E7EE1" w:rsidP="008E7EE1" w14:paraId="6796FF26" w14:textId="77777777">
            <w:pPr>
              <w:spacing w:after="0" w:line="240" w:lineRule="auto"/>
              <w:jc w:val="center"/>
              <w:rPr>
                <w:rFonts w:eastAsia="Times New Roman" w:cs="Times New Roman"/>
                <w:color w:val="000000"/>
                <w:sz w:val="22"/>
                <w:highlight w:val="yellow"/>
              </w:rPr>
            </w:pPr>
            <w:r w:rsidRPr="008E7EE1">
              <w:rPr>
                <w:rFonts w:eastAsia="Times New Roman" w:cs="Times New Roman"/>
                <w:color w:val="000000"/>
                <w:sz w:val="22"/>
              </w:rPr>
              <w:t>1,412</w:t>
            </w: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26C733AA"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353</w:t>
            </w:r>
          </w:p>
        </w:tc>
        <w:tc>
          <w:tcPr>
            <w:tcW w:w="1170" w:type="dxa"/>
            <w:tcBorders>
              <w:top w:val="single" w:sz="4" w:space="0" w:color="auto"/>
              <w:left w:val="nil"/>
              <w:bottom w:val="single" w:sz="4" w:space="0" w:color="auto"/>
              <w:right w:val="single" w:sz="4" w:space="0" w:color="auto"/>
            </w:tcBorders>
            <w:vAlign w:val="bottom"/>
            <w:hideMark/>
          </w:tcPr>
          <w:p w:rsidR="008E7EE1" w:rsidRPr="008E7EE1" w:rsidP="008E7EE1" w14:paraId="4315D8F3"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1170" w:type="dxa"/>
            <w:tcBorders>
              <w:top w:val="single" w:sz="4" w:space="0" w:color="auto"/>
              <w:left w:val="nil"/>
              <w:bottom w:val="single" w:sz="4" w:space="0" w:color="auto"/>
              <w:right w:val="single" w:sz="4" w:space="0" w:color="auto"/>
            </w:tcBorders>
            <w:vAlign w:val="bottom"/>
            <w:hideMark/>
          </w:tcPr>
          <w:p w:rsidR="008E7EE1" w:rsidRPr="008E7EE1" w:rsidP="008E7EE1" w14:paraId="3830B41A"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3F7A0A69"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1,412</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47EE2421" w14:textId="77777777">
            <w:pPr>
              <w:spacing w:after="0" w:line="240" w:lineRule="auto"/>
              <w:jc w:val="center"/>
              <w:rPr>
                <w:rFonts w:eastAsia="Times New Roman" w:cs="Times New Roman"/>
                <w:color w:val="000000"/>
                <w:sz w:val="22"/>
              </w:rPr>
            </w:pPr>
            <w:r w:rsidRPr="00990F78">
              <w:rPr>
                <w:rFonts w:eastAsia="Times New Roman" w:cs="Times New Roman"/>
                <w:color w:val="000000"/>
                <w:sz w:val="22"/>
              </w:rPr>
              <w:t>353</w:t>
            </w:r>
          </w:p>
        </w:tc>
      </w:tr>
      <w:tr w14:paraId="128D5AD6" w14:textId="77777777" w:rsidTr="00042B65">
        <w:tblPrEx>
          <w:tblW w:w="9787" w:type="dxa"/>
          <w:tblInd w:w="108" w:type="dxa"/>
          <w:tblLayout w:type="fixed"/>
          <w:tblLook w:val="04A0"/>
        </w:tblPrEx>
        <w:trPr>
          <w:trHeight w:val="300"/>
        </w:trPr>
        <w:tc>
          <w:tcPr>
            <w:tcW w:w="2947" w:type="dxa"/>
            <w:tcBorders>
              <w:top w:val="single" w:sz="4" w:space="0" w:color="auto"/>
              <w:left w:val="single" w:sz="4" w:space="0" w:color="auto"/>
              <w:bottom w:val="single" w:sz="4" w:space="0" w:color="auto"/>
              <w:right w:val="single" w:sz="4" w:space="0" w:color="auto"/>
            </w:tcBorders>
            <w:noWrap/>
            <w:vAlign w:val="bottom"/>
            <w:hideMark/>
          </w:tcPr>
          <w:p w:rsidR="008E7EE1" w:rsidRPr="008E7EE1" w:rsidP="008E7EE1" w14:paraId="3953F0B5" w14:textId="77777777">
            <w:pPr>
              <w:spacing w:after="0" w:line="240" w:lineRule="auto"/>
              <w:ind w:left="360"/>
              <w:rPr>
                <w:rFonts w:eastAsia="Times New Roman" w:cs="Times New Roman"/>
                <w:color w:val="000000"/>
                <w:sz w:val="22"/>
              </w:rPr>
            </w:pPr>
            <w:r w:rsidRPr="008E7EE1">
              <w:rPr>
                <w:rFonts w:eastAsia="Times New Roman" w:cs="Times New Roman"/>
                <w:color w:val="000000"/>
                <w:sz w:val="22"/>
              </w:rPr>
              <w:t>Seafarer/Wiper/Steward’s Department (FH)</w:t>
            </w:r>
          </w:p>
        </w:tc>
        <w:tc>
          <w:tcPr>
            <w:tcW w:w="1080" w:type="dxa"/>
            <w:tcBorders>
              <w:top w:val="single" w:sz="4" w:space="0" w:color="auto"/>
              <w:left w:val="nil"/>
              <w:bottom w:val="single" w:sz="4" w:space="0" w:color="auto"/>
              <w:right w:val="single" w:sz="4" w:space="0" w:color="auto"/>
            </w:tcBorders>
            <w:noWrap/>
            <w:vAlign w:val="bottom"/>
            <w:hideMark/>
          </w:tcPr>
          <w:p w:rsidR="008E7EE1" w:rsidRPr="008E7EE1" w:rsidP="008E7EE1" w14:paraId="64462DC9" w14:textId="77777777">
            <w:pPr>
              <w:spacing w:after="0" w:line="240" w:lineRule="auto"/>
              <w:jc w:val="center"/>
              <w:rPr>
                <w:rFonts w:eastAsia="Times New Roman" w:cs="Times New Roman"/>
                <w:color w:val="000000"/>
                <w:sz w:val="22"/>
                <w:highlight w:val="yellow"/>
              </w:rPr>
            </w:pPr>
            <w:r w:rsidRPr="008E7EE1">
              <w:rPr>
                <w:rFonts w:eastAsia="Times New Roman" w:cs="Times New Roman"/>
                <w:color w:val="000000"/>
                <w:sz w:val="22"/>
              </w:rPr>
              <w:t>1,528</w:t>
            </w: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735776A5"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382</w:t>
            </w:r>
          </w:p>
        </w:tc>
        <w:tc>
          <w:tcPr>
            <w:tcW w:w="1170" w:type="dxa"/>
            <w:tcBorders>
              <w:top w:val="single" w:sz="4" w:space="0" w:color="auto"/>
              <w:left w:val="nil"/>
              <w:bottom w:val="single" w:sz="4" w:space="0" w:color="auto"/>
              <w:right w:val="single" w:sz="4" w:space="0" w:color="auto"/>
            </w:tcBorders>
            <w:vAlign w:val="bottom"/>
            <w:hideMark/>
          </w:tcPr>
          <w:p w:rsidR="008E7EE1" w:rsidRPr="008E7EE1" w:rsidP="008E7EE1" w14:paraId="7D6F9717"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1170" w:type="dxa"/>
            <w:tcBorders>
              <w:top w:val="single" w:sz="4" w:space="0" w:color="auto"/>
              <w:left w:val="nil"/>
              <w:bottom w:val="single" w:sz="4" w:space="0" w:color="auto"/>
              <w:right w:val="single" w:sz="4" w:space="0" w:color="auto"/>
            </w:tcBorders>
            <w:vAlign w:val="bottom"/>
            <w:hideMark/>
          </w:tcPr>
          <w:p w:rsidR="008E7EE1" w:rsidRPr="008E7EE1" w:rsidP="008E7EE1" w14:paraId="3D045700"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n/a</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6A8A6866" w14:textId="77777777">
            <w:pPr>
              <w:spacing w:after="0" w:line="240" w:lineRule="auto"/>
              <w:jc w:val="center"/>
              <w:rPr>
                <w:rFonts w:eastAsia="Times New Roman" w:cs="Times New Roman"/>
                <w:color w:val="000000"/>
                <w:sz w:val="22"/>
              </w:rPr>
            </w:pPr>
            <w:r w:rsidRPr="008E7EE1">
              <w:rPr>
                <w:rFonts w:eastAsia="Times New Roman" w:cs="Times New Roman"/>
                <w:color w:val="000000"/>
                <w:sz w:val="22"/>
              </w:rPr>
              <w:t>1,528</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5AD4033E" w14:textId="77777777">
            <w:pPr>
              <w:spacing w:after="0" w:line="240" w:lineRule="auto"/>
              <w:jc w:val="center"/>
              <w:rPr>
                <w:rFonts w:eastAsia="Times New Roman" w:cs="Times New Roman"/>
                <w:color w:val="000000"/>
                <w:sz w:val="22"/>
              </w:rPr>
            </w:pPr>
            <w:r w:rsidRPr="00990F78">
              <w:rPr>
                <w:rFonts w:eastAsia="Times New Roman" w:cs="Times New Roman"/>
                <w:color w:val="000000"/>
                <w:sz w:val="22"/>
              </w:rPr>
              <w:t>382</w:t>
            </w:r>
          </w:p>
        </w:tc>
      </w:tr>
      <w:tr w14:paraId="21B474E0" w14:textId="77777777" w:rsidTr="00042B65">
        <w:tblPrEx>
          <w:tblW w:w="9787" w:type="dxa"/>
          <w:tblInd w:w="108" w:type="dxa"/>
          <w:tblLayout w:type="fixed"/>
          <w:tblLook w:val="04A0"/>
        </w:tblPrEx>
        <w:trPr>
          <w:trHeight w:val="300"/>
        </w:trPr>
        <w:tc>
          <w:tcPr>
            <w:tcW w:w="2947" w:type="dxa"/>
            <w:tcBorders>
              <w:top w:val="single" w:sz="4" w:space="0" w:color="auto"/>
              <w:left w:val="single" w:sz="4" w:space="0" w:color="auto"/>
              <w:bottom w:val="single" w:sz="4" w:space="0" w:color="auto"/>
              <w:right w:val="single" w:sz="4" w:space="0" w:color="auto"/>
            </w:tcBorders>
            <w:noWrap/>
            <w:vAlign w:val="bottom"/>
          </w:tcPr>
          <w:p w:rsidR="008E7EE1" w:rsidRPr="008E7EE1" w:rsidP="008E7EE1" w14:paraId="53E27A24" w14:textId="77777777">
            <w:pPr>
              <w:spacing w:after="0" w:line="240" w:lineRule="auto"/>
              <w:rPr>
                <w:rFonts w:eastAsia="Times New Roman" w:cs="Times New Roman"/>
                <w:b/>
                <w:bCs/>
                <w:color w:val="000000"/>
                <w:sz w:val="22"/>
              </w:rPr>
            </w:pPr>
            <w:r w:rsidRPr="008E7EE1">
              <w:rPr>
                <w:rFonts w:eastAsia="Times New Roman" w:cs="Times New Roman"/>
                <w:b/>
                <w:bCs/>
                <w:color w:val="000000"/>
                <w:sz w:val="22"/>
              </w:rPr>
              <w:t>Total</w:t>
            </w:r>
          </w:p>
        </w:tc>
        <w:tc>
          <w:tcPr>
            <w:tcW w:w="1080" w:type="dxa"/>
            <w:tcBorders>
              <w:top w:val="single" w:sz="4" w:space="0" w:color="auto"/>
              <w:left w:val="nil"/>
              <w:bottom w:val="single" w:sz="4" w:space="0" w:color="auto"/>
              <w:right w:val="single" w:sz="4" w:space="0" w:color="auto"/>
            </w:tcBorders>
            <w:noWrap/>
            <w:vAlign w:val="bottom"/>
          </w:tcPr>
          <w:p w:rsidR="008E7EE1" w:rsidRPr="008E7EE1" w:rsidP="008E7EE1" w14:paraId="32748BF9" w14:textId="77777777">
            <w:pPr>
              <w:spacing w:after="0" w:line="240" w:lineRule="auto"/>
              <w:jc w:val="center"/>
              <w:rPr>
                <w:rFonts w:eastAsia="Times New Roman" w:cs="Times New Roman"/>
                <w:b/>
                <w:bCs/>
                <w:color w:val="000000"/>
                <w:sz w:val="22"/>
              </w:rPr>
            </w:pPr>
            <w:r w:rsidRPr="008E7EE1">
              <w:rPr>
                <w:rFonts w:eastAsia="Times New Roman" w:cs="Times New Roman"/>
                <w:b/>
                <w:bCs/>
                <w:color w:val="000000"/>
                <w:sz w:val="22"/>
              </w:rPr>
              <w:t>14,359</w:t>
            </w:r>
          </w:p>
        </w:tc>
        <w:tc>
          <w:tcPr>
            <w:tcW w:w="1260" w:type="dxa"/>
            <w:tcBorders>
              <w:top w:val="single" w:sz="4" w:space="0" w:color="auto"/>
              <w:left w:val="nil"/>
              <w:bottom w:val="single" w:sz="4" w:space="0" w:color="auto"/>
              <w:right w:val="single" w:sz="4" w:space="0" w:color="auto"/>
            </w:tcBorders>
            <w:noWrap/>
            <w:vAlign w:val="bottom"/>
          </w:tcPr>
          <w:p w:rsidR="008E7EE1" w:rsidRPr="008E7EE1" w:rsidP="008E7EE1" w14:paraId="3C2AA194" w14:textId="77777777">
            <w:pPr>
              <w:spacing w:after="0" w:line="240" w:lineRule="auto"/>
              <w:jc w:val="center"/>
              <w:rPr>
                <w:rFonts w:eastAsia="Times New Roman" w:cs="Times New Roman"/>
                <w:b/>
                <w:bCs/>
                <w:color w:val="000000"/>
                <w:sz w:val="22"/>
              </w:rPr>
            </w:pPr>
            <w:r w:rsidRPr="008E7EE1">
              <w:rPr>
                <w:rFonts w:eastAsia="Times New Roman" w:cs="Times New Roman"/>
                <w:b/>
                <w:bCs/>
                <w:color w:val="000000"/>
                <w:sz w:val="22"/>
              </w:rPr>
              <w:t>4,306</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4A85879A" w14:textId="77777777">
            <w:pPr>
              <w:spacing w:after="0" w:line="240" w:lineRule="auto"/>
              <w:jc w:val="center"/>
              <w:rPr>
                <w:rFonts w:eastAsia="Times New Roman" w:cs="Times New Roman"/>
                <w:b/>
                <w:bCs/>
                <w:color w:val="000000"/>
                <w:sz w:val="22"/>
              </w:rPr>
            </w:pPr>
            <w:r w:rsidRPr="008E7EE1">
              <w:rPr>
                <w:rFonts w:eastAsia="Times New Roman" w:cs="Times New Roman"/>
                <w:b/>
                <w:bCs/>
                <w:color w:val="000000"/>
                <w:sz w:val="22"/>
              </w:rPr>
              <w:t>2,837</w:t>
            </w:r>
          </w:p>
        </w:tc>
        <w:tc>
          <w:tcPr>
            <w:tcW w:w="1170" w:type="dxa"/>
            <w:tcBorders>
              <w:top w:val="single" w:sz="4" w:space="0" w:color="auto"/>
              <w:left w:val="nil"/>
              <w:bottom w:val="single" w:sz="4" w:space="0" w:color="auto"/>
              <w:right w:val="single" w:sz="4" w:space="0" w:color="auto"/>
            </w:tcBorders>
            <w:vAlign w:val="bottom"/>
          </w:tcPr>
          <w:p w:rsidR="008E7EE1" w:rsidRPr="008E7EE1" w:rsidP="008E7EE1" w14:paraId="7FAFFACE" w14:textId="6FE705DA">
            <w:pPr>
              <w:spacing w:after="0" w:line="240" w:lineRule="auto"/>
              <w:jc w:val="center"/>
              <w:rPr>
                <w:rFonts w:eastAsia="Times New Roman" w:cs="Times New Roman"/>
                <w:b/>
                <w:bCs/>
                <w:color w:val="000000"/>
                <w:sz w:val="22"/>
              </w:rPr>
            </w:pPr>
            <w:r>
              <w:rPr>
                <w:rFonts w:eastAsia="Times New Roman" w:cs="Times New Roman"/>
                <w:b/>
                <w:bCs/>
                <w:color w:val="000000"/>
                <w:sz w:val="22"/>
              </w:rPr>
              <w:t>856</w:t>
            </w:r>
          </w:p>
        </w:tc>
        <w:tc>
          <w:tcPr>
            <w:tcW w:w="990" w:type="dxa"/>
            <w:tcBorders>
              <w:top w:val="single" w:sz="4" w:space="0" w:color="auto"/>
              <w:left w:val="nil"/>
              <w:bottom w:val="single" w:sz="4" w:space="0" w:color="auto"/>
              <w:right w:val="single" w:sz="4" w:space="0" w:color="auto"/>
            </w:tcBorders>
            <w:vAlign w:val="bottom"/>
          </w:tcPr>
          <w:p w:rsidR="008E7EE1" w:rsidRPr="008E7EE1" w:rsidP="008E7EE1" w14:paraId="1D35A534" w14:textId="77777777">
            <w:pPr>
              <w:spacing w:after="0" w:line="240" w:lineRule="auto"/>
              <w:jc w:val="center"/>
              <w:rPr>
                <w:rFonts w:eastAsia="Times New Roman" w:cs="Times New Roman"/>
                <w:b/>
                <w:bCs/>
                <w:color w:val="000000"/>
                <w:sz w:val="22"/>
              </w:rPr>
            </w:pPr>
            <w:r w:rsidRPr="008E7EE1">
              <w:rPr>
                <w:rFonts w:eastAsia="Times New Roman" w:cs="Times New Roman"/>
                <w:b/>
                <w:bCs/>
                <w:color w:val="000000"/>
                <w:sz w:val="22"/>
              </w:rPr>
              <w:t>17,196</w:t>
            </w:r>
          </w:p>
        </w:tc>
        <w:tc>
          <w:tcPr>
            <w:tcW w:w="1170" w:type="dxa"/>
            <w:tcBorders>
              <w:top w:val="single" w:sz="4" w:space="0" w:color="auto"/>
              <w:left w:val="nil"/>
              <w:bottom w:val="single" w:sz="4" w:space="0" w:color="auto"/>
              <w:right w:val="single" w:sz="4" w:space="0" w:color="auto"/>
            </w:tcBorders>
            <w:vAlign w:val="bottom"/>
          </w:tcPr>
          <w:p w:rsidR="008E7EE1" w:rsidRPr="00990F78" w:rsidP="008E7EE1" w14:paraId="2E0F72D1" w14:textId="3307E10D">
            <w:pPr>
              <w:spacing w:after="0" w:line="240" w:lineRule="auto"/>
              <w:jc w:val="center"/>
              <w:rPr>
                <w:rFonts w:eastAsia="Times New Roman" w:cs="Times New Roman"/>
                <w:b/>
                <w:bCs/>
                <w:color w:val="000000"/>
                <w:sz w:val="22"/>
              </w:rPr>
            </w:pPr>
            <w:r w:rsidRPr="00990F78">
              <w:rPr>
                <w:rFonts w:eastAsia="Times New Roman" w:cs="Times New Roman"/>
                <w:b/>
                <w:bCs/>
                <w:color w:val="000000"/>
                <w:sz w:val="22"/>
              </w:rPr>
              <w:t>5,</w:t>
            </w:r>
            <w:r w:rsidR="00990F78">
              <w:rPr>
                <w:rFonts w:eastAsia="Times New Roman" w:cs="Times New Roman"/>
                <w:b/>
                <w:bCs/>
                <w:color w:val="000000"/>
                <w:sz w:val="22"/>
              </w:rPr>
              <w:t>162</w:t>
            </w:r>
          </w:p>
        </w:tc>
      </w:tr>
    </w:tbl>
    <w:p w:rsidR="008E7EE1" w:rsidP="00EE5E78" w14:paraId="6FD83E8C" w14:textId="2B5FA144">
      <w:pPr>
        <w:spacing w:before="360" w:line="256" w:lineRule="auto"/>
        <w:ind w:left="720"/>
        <w:rPr>
          <w:rFonts w:eastAsia="Calibri" w:cs="Times New Roman"/>
        </w:rPr>
      </w:pPr>
      <w:r w:rsidRPr="00D41B74">
        <w:rPr>
          <w:rFonts w:eastAsia="Calibri" w:cs="Times New Roman"/>
        </w:rPr>
        <w:t xml:space="preserve">Because the </w:t>
      </w:r>
      <w:r w:rsidRPr="00EE5E78">
        <w:rPr>
          <w:rFonts w:eastAsia="Calibri" w:cs="Times New Roman"/>
        </w:rPr>
        <w:t>Mariner Survey</w:t>
      </w:r>
      <w:r w:rsidRPr="00D41B74">
        <w:rPr>
          <w:rFonts w:eastAsia="Calibri" w:cs="Times New Roman"/>
        </w:rPr>
        <w:t xml:space="preserve"> uses a stratified sampling design and response rates may vary across mariner subgroups, weighting procedures may be used to improve the representativeness of survey estimates. </w:t>
      </w:r>
      <w:r w:rsidRPr="00D41B74">
        <w:rPr>
          <w:rFonts w:eastAsia="Calibri" w:cs="Times New Roman"/>
        </w:rPr>
        <w:t>Initial design</w:t>
      </w:r>
      <w:r w:rsidRPr="00D41B74">
        <w:rPr>
          <w:rFonts w:eastAsia="Calibri" w:cs="Times New Roman"/>
        </w:rPr>
        <w:t xml:space="preserve"> weights will reflect the probability of selection within each sampling stratum. Additional nonresponse adjustment weighting may be considered using available sampling-frame variables, including mariner subgroup, MMC status, and other demographic or credential-related characteristics available in the MMLD extract. These adjustments are intended to reduce the potential effects of differential nonresponse and align respondent distributions more closely with the sampled population. </w:t>
      </w:r>
      <w:r w:rsidRPr="001733EB" w:rsidR="001733EB">
        <w:rPr>
          <w:rFonts w:eastAsia="Calibri" w:cs="Times New Roman"/>
        </w:rPr>
        <w:t>The potential impact of weighting adjustments on survey estimates will be evaluated during analysis, and appropriate variance estimation procedures accounting for weighting and stratification will be used.</w:t>
      </w:r>
    </w:p>
    <w:p w:rsidR="00C125F8" w:rsidP="00EE5E78" w14:paraId="78BCBB92" w14:textId="2918C627">
      <w:pPr>
        <w:spacing w:line="257" w:lineRule="auto"/>
        <w:ind w:left="720"/>
      </w:pPr>
      <w:r w:rsidRPr="00C125F8">
        <w:rPr>
          <w:rFonts w:eastAsia="Calibri" w:cs="Times New Roman"/>
        </w:rPr>
        <w:t xml:space="preserve">The </w:t>
      </w:r>
      <w:r w:rsidRPr="00EE5E78">
        <w:rPr>
          <w:rFonts w:eastAsia="Calibri" w:cs="Times New Roman"/>
        </w:rPr>
        <w:t>Mariner Survey</w:t>
      </w:r>
      <w:r w:rsidRPr="00C125F8">
        <w:rPr>
          <w:rFonts w:eastAsia="Calibri" w:cs="Times New Roman"/>
        </w:rPr>
        <w:t xml:space="preserve"> will be conducted biennially. This frequency </w:t>
      </w:r>
      <w:r w:rsidR="00E067ED">
        <w:rPr>
          <w:rFonts w:eastAsia="Calibri" w:cs="Times New Roman"/>
        </w:rPr>
        <w:t>is intended to</w:t>
      </w:r>
      <w:r w:rsidRPr="00C125F8" w:rsidR="00E067ED">
        <w:rPr>
          <w:rFonts w:eastAsia="Calibri" w:cs="Times New Roman"/>
        </w:rPr>
        <w:t xml:space="preserve"> </w:t>
      </w:r>
      <w:r w:rsidRPr="00C125F8">
        <w:rPr>
          <w:rFonts w:eastAsia="Calibri" w:cs="Times New Roman"/>
        </w:rPr>
        <w:t>minimize respondent burden while</w:t>
      </w:r>
      <w:r w:rsidR="00E067ED">
        <w:rPr>
          <w:rFonts w:eastAsia="Calibri" w:cs="Times New Roman"/>
        </w:rPr>
        <w:t xml:space="preserve"> still allowing</w:t>
      </w:r>
      <w:r w:rsidRPr="00C125F8">
        <w:rPr>
          <w:rFonts w:eastAsia="Calibri" w:cs="Times New Roman"/>
        </w:rPr>
        <w:t xml:space="preserve"> </w:t>
      </w:r>
      <w:r w:rsidR="00E067ED">
        <w:rPr>
          <w:rFonts w:eastAsia="Calibri" w:cs="Times New Roman"/>
        </w:rPr>
        <w:t xml:space="preserve">MARAD to monitor </w:t>
      </w:r>
      <w:r w:rsidRPr="00C125F8">
        <w:rPr>
          <w:rFonts w:eastAsia="Calibri" w:cs="Times New Roman"/>
        </w:rPr>
        <w:t>changes in the mariner workforce’s availability and willingness to serve in a national emergency. The 202</w:t>
      </w:r>
      <w:r w:rsidR="00765F97">
        <w:rPr>
          <w:rFonts w:eastAsia="Calibri" w:cs="Times New Roman"/>
        </w:rPr>
        <w:t>7</w:t>
      </w:r>
      <w:r w:rsidRPr="00C125F8">
        <w:rPr>
          <w:rFonts w:eastAsia="Calibri" w:cs="Times New Roman"/>
        </w:rPr>
        <w:t xml:space="preserve"> survey will </w:t>
      </w:r>
      <w:r w:rsidR="00E067ED">
        <w:rPr>
          <w:rFonts w:eastAsia="Calibri" w:cs="Times New Roman"/>
        </w:rPr>
        <w:t xml:space="preserve">initiate a </w:t>
      </w:r>
      <w:r w:rsidR="00285703">
        <w:rPr>
          <w:rFonts w:eastAsia="Calibri" w:cs="Times New Roman"/>
        </w:rPr>
        <w:t>recurring</w:t>
      </w:r>
      <w:r w:rsidR="00E067ED">
        <w:rPr>
          <w:rFonts w:eastAsia="Calibri" w:cs="Times New Roman"/>
        </w:rPr>
        <w:t xml:space="preserve"> data collection effort</w:t>
      </w:r>
      <w:r w:rsidRPr="00C125F8">
        <w:rPr>
          <w:rFonts w:eastAsia="Calibri" w:cs="Times New Roman"/>
        </w:rPr>
        <w:t xml:space="preserve"> that will </w:t>
      </w:r>
      <w:r w:rsidR="00E067ED">
        <w:rPr>
          <w:rFonts w:eastAsia="Calibri" w:cs="Times New Roman"/>
        </w:rPr>
        <w:t>support</w:t>
      </w:r>
      <w:r w:rsidRPr="00C125F8">
        <w:rPr>
          <w:rFonts w:eastAsia="Calibri" w:cs="Times New Roman"/>
        </w:rPr>
        <w:t xml:space="preserve"> analys</w:t>
      </w:r>
      <w:r w:rsidR="00E067ED">
        <w:rPr>
          <w:rFonts w:eastAsia="Calibri" w:cs="Times New Roman"/>
        </w:rPr>
        <w:t>e</w:t>
      </w:r>
      <w:r w:rsidRPr="00C125F8">
        <w:rPr>
          <w:rFonts w:eastAsia="Calibri" w:cs="Times New Roman"/>
        </w:rPr>
        <w:t>s of change</w:t>
      </w:r>
      <w:r w:rsidR="00E067ED">
        <w:rPr>
          <w:rFonts w:eastAsia="Calibri" w:cs="Times New Roman"/>
        </w:rPr>
        <w:t>s</w:t>
      </w:r>
      <w:r w:rsidRPr="00C125F8">
        <w:rPr>
          <w:rFonts w:eastAsia="Calibri" w:cs="Times New Roman"/>
        </w:rPr>
        <w:t xml:space="preserve"> over time and </w:t>
      </w:r>
      <w:r w:rsidR="00E067ED">
        <w:rPr>
          <w:rFonts w:eastAsia="Calibri" w:cs="Times New Roman"/>
        </w:rPr>
        <w:t>provide</w:t>
      </w:r>
      <w:r w:rsidRPr="00C125F8">
        <w:rPr>
          <w:rFonts w:eastAsia="Calibri" w:cs="Times New Roman"/>
        </w:rPr>
        <w:t xml:space="preserve"> </w:t>
      </w:r>
      <w:r w:rsidR="00285703">
        <w:rPr>
          <w:rFonts w:eastAsia="Calibri" w:cs="Times New Roman"/>
        </w:rPr>
        <w:t>information to support future policy analysis and planning</w:t>
      </w:r>
      <w:r w:rsidRPr="00C125F8">
        <w:rPr>
          <w:rFonts w:eastAsia="Calibri" w:cs="Times New Roman"/>
        </w:rPr>
        <w:t xml:space="preserve">. </w:t>
      </w:r>
    </w:p>
    <w:p w:rsidR="00C125F8" w:rsidRPr="0009382C" w:rsidP="00EE5E78" w14:paraId="56AE5922" w14:textId="1B229D2D">
      <w:pPr>
        <w:pStyle w:val="Heading3"/>
        <w:numPr>
          <w:ilvl w:val="0"/>
          <w:numId w:val="29"/>
        </w:numPr>
        <w:tabs>
          <w:tab w:val="center" w:pos="630"/>
        </w:tabs>
      </w:pPr>
      <w:bookmarkStart w:id="16" w:name="_Toc236138083"/>
      <w:r w:rsidRPr="0009382C">
        <w:t>Methods to Maximize Response Rates</w:t>
      </w:r>
      <w:bookmarkEnd w:id="16"/>
      <w:r w:rsidRPr="0009382C">
        <w:t xml:space="preserve"> </w:t>
      </w:r>
    </w:p>
    <w:p w:rsidR="0059362B" w:rsidRPr="00C125F8" w:rsidP="00EE5E78" w14:paraId="4C0A1C25" w14:textId="05CF9187">
      <w:pPr>
        <w:pStyle w:val="ListParagraph"/>
        <w:numPr>
          <w:ilvl w:val="3"/>
          <w:numId w:val="29"/>
        </w:numPr>
        <w:ind w:left="1080"/>
      </w:pPr>
      <w:r>
        <w:rPr>
          <w:rFonts w:eastAsia="Calibri" w:cs="Times New Roman"/>
          <w:b/>
          <w:bCs/>
        </w:rPr>
        <w:t>Maximize Response Rates</w:t>
      </w:r>
    </w:p>
    <w:p w:rsidR="00C125F8" w:rsidP="00EE5E78" w14:paraId="49546681" w14:textId="358E8603">
      <w:pPr>
        <w:spacing w:line="256" w:lineRule="auto"/>
        <w:ind w:left="1080"/>
        <w:rPr>
          <w:rFonts w:eastAsia="Calibri" w:cs="Times New Roman"/>
          <w:szCs w:val="24"/>
        </w:rPr>
      </w:pPr>
      <w:r>
        <w:rPr>
          <w:rFonts w:eastAsia="Calibri" w:cs="Times New Roman"/>
          <w:szCs w:val="24"/>
        </w:rPr>
        <w:t>Multiple</w:t>
      </w:r>
      <w:r w:rsidRPr="00C125F8">
        <w:rPr>
          <w:rFonts w:eastAsia="Calibri" w:cs="Times New Roman"/>
          <w:szCs w:val="24"/>
        </w:rPr>
        <w:t xml:space="preserve"> </w:t>
      </w:r>
      <w:r w:rsidRPr="00C125F8">
        <w:rPr>
          <w:rFonts w:eastAsia="Calibri" w:cs="Times New Roman"/>
          <w:szCs w:val="24"/>
        </w:rPr>
        <w:t xml:space="preserve">strategies will be used to maximize response rates for the </w:t>
      </w:r>
      <w:r w:rsidRPr="00EE5E78">
        <w:rPr>
          <w:rFonts w:eastAsia="Calibri" w:cs="Times New Roman"/>
          <w:szCs w:val="24"/>
        </w:rPr>
        <w:t>Mariner Survey</w:t>
      </w:r>
      <w:r w:rsidRPr="00C125F8">
        <w:rPr>
          <w:rFonts w:eastAsia="Calibri" w:cs="Times New Roman"/>
          <w:szCs w:val="24"/>
        </w:rPr>
        <w:t xml:space="preserve">. These strategies include </w:t>
      </w:r>
      <w:r>
        <w:rPr>
          <w:rFonts w:eastAsia="Calibri" w:cs="Times New Roman"/>
          <w:szCs w:val="24"/>
        </w:rPr>
        <w:t>minimizing respondent burden</w:t>
      </w:r>
      <w:r w:rsidRPr="00C125F8">
        <w:rPr>
          <w:rFonts w:eastAsia="Calibri" w:cs="Times New Roman"/>
          <w:szCs w:val="24"/>
        </w:rPr>
        <w:t xml:space="preserve">, offering </w:t>
      </w:r>
      <w:r>
        <w:rPr>
          <w:rFonts w:eastAsia="Calibri" w:cs="Times New Roman"/>
          <w:szCs w:val="24"/>
        </w:rPr>
        <w:t xml:space="preserve">both online </w:t>
      </w:r>
      <w:r w:rsidRPr="00C125F8">
        <w:rPr>
          <w:rFonts w:eastAsia="Calibri" w:cs="Times New Roman"/>
          <w:szCs w:val="24"/>
        </w:rPr>
        <w:t>and mail version</w:t>
      </w:r>
      <w:r>
        <w:rPr>
          <w:rFonts w:eastAsia="Calibri" w:cs="Times New Roman"/>
          <w:szCs w:val="24"/>
        </w:rPr>
        <w:t>s</w:t>
      </w:r>
      <w:r w:rsidRPr="00C125F8">
        <w:rPr>
          <w:rFonts w:eastAsia="Calibri" w:cs="Times New Roman"/>
          <w:szCs w:val="24"/>
        </w:rPr>
        <w:t xml:space="preserve"> of the survey, using multiple methods </w:t>
      </w:r>
      <w:r>
        <w:rPr>
          <w:rFonts w:eastAsia="Calibri" w:cs="Times New Roman"/>
          <w:szCs w:val="24"/>
        </w:rPr>
        <w:t>of outreach and follow-up</w:t>
      </w:r>
      <w:r w:rsidRPr="00C125F8">
        <w:rPr>
          <w:rFonts w:eastAsia="Calibri" w:cs="Times New Roman"/>
          <w:szCs w:val="24"/>
        </w:rPr>
        <w:t xml:space="preserve">, </w:t>
      </w:r>
      <w:r w:rsidR="00333AE6">
        <w:rPr>
          <w:rFonts w:eastAsia="Calibri" w:cs="Times New Roman"/>
          <w:szCs w:val="24"/>
        </w:rPr>
        <w:t>using a sufficiently long</w:t>
      </w:r>
      <w:r w:rsidRPr="00C125F8">
        <w:rPr>
          <w:rFonts w:eastAsia="Calibri" w:cs="Times New Roman"/>
          <w:szCs w:val="24"/>
        </w:rPr>
        <w:t xml:space="preserve"> </w:t>
      </w:r>
      <w:r w:rsidR="00333AE6">
        <w:rPr>
          <w:rFonts w:eastAsia="Calibri" w:cs="Times New Roman"/>
          <w:szCs w:val="24"/>
        </w:rPr>
        <w:t>field</w:t>
      </w:r>
      <w:r w:rsidRPr="00C125F8">
        <w:rPr>
          <w:rFonts w:eastAsia="Calibri" w:cs="Times New Roman"/>
          <w:szCs w:val="24"/>
        </w:rPr>
        <w:t xml:space="preserve"> period</w:t>
      </w:r>
      <w:r w:rsidR="00333AE6">
        <w:rPr>
          <w:rFonts w:eastAsia="Calibri" w:cs="Times New Roman"/>
          <w:szCs w:val="24"/>
        </w:rPr>
        <w:t xml:space="preserve"> to allow for repeated follow-up contacts with nonrespondents</w:t>
      </w:r>
      <w:r w:rsidRPr="00C125F8">
        <w:rPr>
          <w:rFonts w:eastAsia="Calibri" w:cs="Times New Roman"/>
          <w:szCs w:val="24"/>
        </w:rPr>
        <w:t>, and soliciting the support of key stakeholder groups</w:t>
      </w:r>
      <w:r>
        <w:rPr>
          <w:rFonts w:eastAsia="Calibri" w:cs="Times New Roman"/>
          <w:szCs w:val="24"/>
        </w:rPr>
        <w:t xml:space="preserve"> within the maritime community</w:t>
      </w:r>
      <w:r w:rsidRPr="00C125F8">
        <w:rPr>
          <w:rFonts w:eastAsia="Calibri" w:cs="Times New Roman"/>
          <w:szCs w:val="24"/>
        </w:rPr>
        <w:t xml:space="preserve">. Details </w:t>
      </w:r>
      <w:r>
        <w:rPr>
          <w:rFonts w:eastAsia="Calibri" w:cs="Times New Roman"/>
          <w:szCs w:val="24"/>
        </w:rPr>
        <w:t>regarding</w:t>
      </w:r>
      <w:r w:rsidRPr="00C125F8">
        <w:rPr>
          <w:rFonts w:eastAsia="Calibri" w:cs="Times New Roman"/>
          <w:szCs w:val="24"/>
        </w:rPr>
        <w:t xml:space="preserve"> </w:t>
      </w:r>
      <w:r w:rsidRPr="00C125F8">
        <w:rPr>
          <w:rFonts w:eastAsia="Calibri" w:cs="Times New Roman"/>
          <w:szCs w:val="24"/>
        </w:rPr>
        <w:t xml:space="preserve">these </w:t>
      </w:r>
      <w:r>
        <w:rPr>
          <w:rFonts w:eastAsia="Calibri" w:cs="Times New Roman"/>
          <w:szCs w:val="24"/>
        </w:rPr>
        <w:t>procedures</w:t>
      </w:r>
      <w:r w:rsidRPr="00C125F8">
        <w:rPr>
          <w:rFonts w:eastAsia="Calibri" w:cs="Times New Roman"/>
          <w:szCs w:val="24"/>
        </w:rPr>
        <w:t xml:space="preserve"> </w:t>
      </w:r>
      <w:r w:rsidRPr="00C125F8">
        <w:rPr>
          <w:rFonts w:eastAsia="Calibri" w:cs="Times New Roman"/>
          <w:szCs w:val="24"/>
        </w:rPr>
        <w:t>are provided below.</w:t>
      </w:r>
    </w:p>
    <w:p w:rsidR="00B9679E" w:rsidRPr="00C125F8" w:rsidP="00EE5E78" w14:paraId="546C4BAB" w14:textId="4E04FC5D">
      <w:pPr>
        <w:spacing w:line="256" w:lineRule="auto"/>
        <w:ind w:left="1080"/>
        <w:rPr>
          <w:rFonts w:eastAsia="Calibri" w:cs="Times New Roman"/>
          <w:szCs w:val="24"/>
        </w:rPr>
      </w:pPr>
      <w:r w:rsidRPr="00B9679E">
        <w:rPr>
          <w:rFonts w:eastAsia="Calibri" w:cs="Times New Roman"/>
          <w:szCs w:val="24"/>
        </w:rPr>
        <w:t xml:space="preserve">Several procedures incorporated into the full survey effort were informed by findings from the pilot test. These refinements included revising mail survey formatting and </w:t>
      </w:r>
      <w:r w:rsidRPr="00B9679E">
        <w:rPr>
          <w:rFonts w:eastAsia="Calibri" w:cs="Times New Roman"/>
          <w:szCs w:val="24"/>
        </w:rPr>
        <w:t>skip</w:t>
      </w:r>
      <w:r w:rsidRPr="00B9679E">
        <w:rPr>
          <w:rFonts w:eastAsia="Calibri" w:cs="Times New Roman"/>
          <w:szCs w:val="24"/>
        </w:rPr>
        <w:t xml:space="preserve"> instructions, initiating </w:t>
      </w:r>
      <w:r w:rsidR="0030216E">
        <w:rPr>
          <w:rFonts w:eastAsia="Calibri" w:cs="Times New Roman"/>
          <w:szCs w:val="24"/>
        </w:rPr>
        <w:t>Short Message Service (</w:t>
      </w:r>
      <w:r w:rsidRPr="00B9679E">
        <w:rPr>
          <w:rFonts w:eastAsia="Calibri" w:cs="Times New Roman"/>
          <w:szCs w:val="24"/>
        </w:rPr>
        <w:t>SMS</w:t>
      </w:r>
      <w:r w:rsidR="0030216E">
        <w:rPr>
          <w:rFonts w:eastAsia="Calibri" w:cs="Times New Roman"/>
          <w:szCs w:val="24"/>
        </w:rPr>
        <w:t>)</w:t>
      </w:r>
      <w:r w:rsidRPr="00B9679E">
        <w:rPr>
          <w:rFonts w:eastAsia="Calibri" w:cs="Times New Roman"/>
          <w:szCs w:val="24"/>
        </w:rPr>
        <w:t xml:space="preserve"> text message outreach earlier in the data collection period, restructuring selected survey questions to reduce respondent burden, and adding a reminder postcard mailing between survey packet mailings. The pilot test findings also informed the timing and sequencing of follow-up contact procedures designed to improve participation and reduce survey breakoff.</w:t>
      </w:r>
    </w:p>
    <w:p w:rsidR="006A7E97" w:rsidP="00EE5E78" w14:paraId="407019FB" w14:textId="202A8C63">
      <w:pPr>
        <w:spacing w:line="256" w:lineRule="auto"/>
        <w:ind w:left="1080"/>
        <w:rPr>
          <w:rFonts w:eastAsia="Calibri" w:cs="Times New Roman"/>
          <w:szCs w:val="24"/>
        </w:rPr>
      </w:pPr>
      <w:r w:rsidRPr="006A7E97">
        <w:rPr>
          <w:rFonts w:eastAsia="Calibri" w:cs="Times New Roman"/>
          <w:szCs w:val="24"/>
        </w:rPr>
        <w:t xml:space="preserve">The current version of the survey reflects multiple revisions intended to reduce respondent burden and improve survey usability. Early drafts of the survey instrument included approximately 40 questions; the current version includes </w:t>
      </w:r>
      <w:r w:rsidR="00375ADC">
        <w:rPr>
          <w:rFonts w:eastAsia="Calibri" w:cs="Times New Roman"/>
          <w:szCs w:val="24"/>
        </w:rPr>
        <w:t>18</w:t>
      </w:r>
      <w:r w:rsidRPr="006A7E97" w:rsidR="00375ADC">
        <w:rPr>
          <w:rFonts w:eastAsia="Calibri" w:cs="Times New Roman"/>
          <w:szCs w:val="24"/>
        </w:rPr>
        <w:t xml:space="preserve"> </w:t>
      </w:r>
      <w:r w:rsidRPr="006A7E97">
        <w:rPr>
          <w:rFonts w:eastAsia="Calibri" w:cs="Times New Roman"/>
          <w:szCs w:val="24"/>
        </w:rPr>
        <w:t xml:space="preserve">questions. Revisions made during the survey development and pretesting phases included simplifying question wording and response options, improving survey navigation and </w:t>
      </w:r>
      <w:r w:rsidRPr="006A7E97">
        <w:rPr>
          <w:rFonts w:eastAsia="Calibri" w:cs="Times New Roman"/>
          <w:szCs w:val="24"/>
        </w:rPr>
        <w:t>skip</w:t>
      </w:r>
      <w:r w:rsidRPr="006A7E97">
        <w:rPr>
          <w:rFonts w:eastAsia="Calibri" w:cs="Times New Roman"/>
          <w:szCs w:val="24"/>
        </w:rPr>
        <w:t xml:space="preserve"> instructions, and restructuring selected questions to make the survey easier to complete accurately. These revisions are intended to reduce respondent burden, improve comprehension, and increase the likelihood of survey completion.</w:t>
      </w:r>
      <w:r w:rsidR="00333AE6">
        <w:rPr>
          <w:rFonts w:eastAsia="Calibri" w:cs="Times New Roman"/>
          <w:szCs w:val="24"/>
        </w:rPr>
        <w:t xml:space="preserve"> </w:t>
      </w:r>
      <w:r w:rsidRPr="006A7E97">
        <w:rPr>
          <w:rFonts w:eastAsia="Calibri" w:cs="Times New Roman"/>
          <w:szCs w:val="24"/>
        </w:rPr>
        <w:t>Providing both online and mail versions of the survey allows mariners to complete the survey using the mode most convenient and accessible to them. The online survey may be completed using a computer, tablet, or mobile device. Survey invitation materials will include both a web link and a QR code to facilitate easy access to the online survey.</w:t>
      </w:r>
    </w:p>
    <w:p w:rsidR="00C032DC" w:rsidP="00EE5E78" w14:paraId="36D1D8B9" w14:textId="28840284">
      <w:pPr>
        <w:spacing w:line="256" w:lineRule="auto"/>
        <w:ind w:left="1080"/>
        <w:rPr>
          <w:rFonts w:eastAsia="Calibri" w:cs="Times New Roman"/>
          <w:szCs w:val="24"/>
        </w:rPr>
      </w:pPr>
      <w:r w:rsidRPr="00107592">
        <w:rPr>
          <w:rFonts w:eastAsia="Calibri" w:cs="Times New Roman"/>
          <w:szCs w:val="24"/>
        </w:rPr>
        <w:t>The survey will be administered in English, which is consistent with U.S. Coast Guard credentialing and operational requirements for merchant mariners serving aboard oceangoing vessels.</w:t>
      </w:r>
      <w:r w:rsidRPr="00107592">
        <w:t xml:space="preserve"> </w:t>
      </w:r>
      <w:r w:rsidRPr="00107592">
        <w:rPr>
          <w:rFonts w:eastAsia="Calibri" w:cs="Times New Roman"/>
          <w:szCs w:val="24"/>
        </w:rPr>
        <w:t>Accordingly, MARAD does not anticipate language-related barriers to participation for the target population.</w:t>
      </w:r>
    </w:p>
    <w:p w:rsidR="006A7E97" w:rsidRPr="006A7E97" w:rsidP="00EE5E78" w14:paraId="27A199BC" w14:textId="7B5E0413">
      <w:pPr>
        <w:spacing w:line="256" w:lineRule="auto"/>
        <w:ind w:left="1080"/>
        <w:rPr>
          <w:rFonts w:eastAsia="Calibri" w:cs="Times New Roman"/>
          <w:szCs w:val="24"/>
        </w:rPr>
      </w:pPr>
      <w:r w:rsidRPr="006A7E97">
        <w:rPr>
          <w:rFonts w:eastAsia="Calibri" w:cs="Times New Roman"/>
          <w:szCs w:val="24"/>
        </w:rPr>
        <w:t>Contact information obtained from th</w:t>
      </w:r>
      <w:r w:rsidR="005C6019">
        <w:rPr>
          <w:rFonts w:eastAsia="Calibri" w:cs="Times New Roman"/>
          <w:szCs w:val="24"/>
        </w:rPr>
        <w:t xml:space="preserve">e </w:t>
      </w:r>
      <w:r w:rsidRPr="006A7E97">
        <w:rPr>
          <w:rFonts w:eastAsia="Calibri" w:cs="Times New Roman"/>
          <w:szCs w:val="24"/>
        </w:rPr>
        <w:t>MMLD extract will be supplemented, where possible, using commercial contact append services to improve the completeness and accuracy of mailing addresses, email addresses, and telephone numbers.</w:t>
      </w:r>
    </w:p>
    <w:p w:rsidR="00C125F8" w:rsidRPr="00C125F8" w:rsidP="00EE5E78" w14:paraId="3B7D7D33" w14:textId="0C3BE827">
      <w:pPr>
        <w:spacing w:line="256" w:lineRule="auto"/>
        <w:ind w:left="1080"/>
        <w:rPr>
          <w:rFonts w:eastAsia="Calibri" w:cs="Times New Roman"/>
          <w:szCs w:val="24"/>
        </w:rPr>
      </w:pPr>
      <w:r w:rsidRPr="002905A4">
        <w:rPr>
          <w:rFonts w:eastAsia="Calibri" w:cs="Times New Roman"/>
          <w:szCs w:val="24"/>
        </w:rPr>
        <w:t xml:space="preserve">A personalized email survey invitation will be sent to all mariners </w:t>
      </w:r>
      <w:r w:rsidR="003950B5">
        <w:rPr>
          <w:rFonts w:eastAsia="Calibri" w:cs="Times New Roman"/>
          <w:szCs w:val="24"/>
        </w:rPr>
        <w:t>for whom a valid</w:t>
      </w:r>
      <w:r w:rsidRPr="002905A4">
        <w:rPr>
          <w:rFonts w:eastAsia="Calibri" w:cs="Times New Roman"/>
          <w:szCs w:val="24"/>
        </w:rPr>
        <w:t xml:space="preserve"> email address</w:t>
      </w:r>
      <w:r w:rsidR="003950B5">
        <w:rPr>
          <w:rFonts w:eastAsia="Calibri" w:cs="Times New Roman"/>
          <w:szCs w:val="24"/>
        </w:rPr>
        <w:t xml:space="preserve"> is available</w:t>
      </w:r>
      <w:r w:rsidRPr="002905A4">
        <w:rPr>
          <w:rFonts w:eastAsia="Calibri" w:cs="Times New Roman"/>
          <w:szCs w:val="24"/>
        </w:rPr>
        <w:t xml:space="preserve">. </w:t>
      </w:r>
      <w:r w:rsidRPr="002905A4" w:rsidR="002905A4">
        <w:rPr>
          <w:rFonts w:eastAsia="Calibri" w:cs="Times New Roman"/>
          <w:szCs w:val="24"/>
        </w:rPr>
        <w:t>Additionally, a personalized letter will be sent</w:t>
      </w:r>
      <w:r w:rsidR="003950B5">
        <w:rPr>
          <w:rFonts w:eastAsia="Calibri" w:cs="Times New Roman"/>
          <w:szCs w:val="24"/>
        </w:rPr>
        <w:t xml:space="preserve"> via regular mail</w:t>
      </w:r>
      <w:r w:rsidRPr="002905A4" w:rsidR="002905A4">
        <w:rPr>
          <w:rFonts w:eastAsia="Calibri" w:cs="Times New Roman"/>
          <w:szCs w:val="24"/>
        </w:rPr>
        <w:t xml:space="preserve"> to all </w:t>
      </w:r>
      <w:r w:rsidR="003950B5">
        <w:rPr>
          <w:rFonts w:eastAsia="Calibri" w:cs="Times New Roman"/>
          <w:szCs w:val="24"/>
        </w:rPr>
        <w:t xml:space="preserve">sampled </w:t>
      </w:r>
      <w:r w:rsidRPr="002905A4" w:rsidR="002905A4">
        <w:rPr>
          <w:rFonts w:eastAsia="Calibri" w:cs="Times New Roman"/>
          <w:szCs w:val="24"/>
        </w:rPr>
        <w:t>mariners</w:t>
      </w:r>
      <w:r w:rsidR="003950B5">
        <w:rPr>
          <w:rFonts w:eastAsia="Calibri" w:cs="Times New Roman"/>
          <w:szCs w:val="24"/>
        </w:rPr>
        <w:t xml:space="preserve"> with a valid mailing address</w:t>
      </w:r>
      <w:r w:rsidRPr="002905A4" w:rsidR="002905A4">
        <w:rPr>
          <w:rFonts w:eastAsia="Calibri" w:cs="Times New Roman"/>
          <w:szCs w:val="24"/>
        </w:rPr>
        <w:t>.</w:t>
      </w:r>
      <w:r w:rsidRPr="002905A4">
        <w:rPr>
          <w:rFonts w:eastAsia="Calibri" w:cs="Times New Roman"/>
          <w:szCs w:val="24"/>
        </w:rPr>
        <w:t xml:space="preserve"> </w:t>
      </w:r>
      <w:r w:rsidR="003950B5">
        <w:rPr>
          <w:rFonts w:eastAsia="Calibri" w:cs="Times New Roman"/>
          <w:szCs w:val="24"/>
        </w:rPr>
        <w:t>T</w:t>
      </w:r>
      <w:r w:rsidRPr="002905A4">
        <w:rPr>
          <w:rFonts w:eastAsia="Calibri" w:cs="Times New Roman"/>
          <w:szCs w:val="24"/>
        </w:rPr>
        <w:t>he email invitation</w:t>
      </w:r>
      <w:r w:rsidR="003950B5">
        <w:rPr>
          <w:rFonts w:eastAsia="Calibri" w:cs="Times New Roman"/>
          <w:szCs w:val="24"/>
        </w:rPr>
        <w:t xml:space="preserve"> and mailed </w:t>
      </w:r>
      <w:r w:rsidRPr="002905A4">
        <w:rPr>
          <w:rFonts w:eastAsia="Calibri" w:cs="Times New Roman"/>
          <w:szCs w:val="24"/>
        </w:rPr>
        <w:t xml:space="preserve">letter will </w:t>
      </w:r>
      <w:r w:rsidR="003950B5">
        <w:rPr>
          <w:rFonts w:eastAsia="Calibri" w:cs="Times New Roman"/>
          <w:szCs w:val="24"/>
        </w:rPr>
        <w:t xml:space="preserve">describe the </w:t>
      </w:r>
      <w:r w:rsidRPr="002905A4">
        <w:rPr>
          <w:rFonts w:eastAsia="Calibri" w:cs="Times New Roman"/>
          <w:szCs w:val="24"/>
        </w:rPr>
        <w:t>purpose</w:t>
      </w:r>
      <w:r w:rsidR="003950B5">
        <w:rPr>
          <w:rFonts w:eastAsia="Calibri" w:cs="Times New Roman"/>
          <w:szCs w:val="24"/>
        </w:rPr>
        <w:t xml:space="preserve"> of the survey</w:t>
      </w:r>
      <w:r w:rsidRPr="002905A4">
        <w:rPr>
          <w:rFonts w:eastAsia="Calibri" w:cs="Times New Roman"/>
          <w:szCs w:val="24"/>
        </w:rPr>
        <w:t>, emphasize the importance of participati</w:t>
      </w:r>
      <w:r w:rsidR="003950B5">
        <w:rPr>
          <w:rFonts w:eastAsia="Calibri" w:cs="Times New Roman"/>
          <w:szCs w:val="24"/>
        </w:rPr>
        <w:t>on</w:t>
      </w:r>
      <w:r w:rsidRPr="002905A4">
        <w:rPr>
          <w:rFonts w:eastAsia="Calibri" w:cs="Times New Roman"/>
          <w:szCs w:val="24"/>
        </w:rPr>
        <w:t xml:space="preserve">, provide contact information </w:t>
      </w:r>
      <w:r w:rsidR="003950B5">
        <w:rPr>
          <w:rFonts w:eastAsia="Calibri" w:cs="Times New Roman"/>
          <w:szCs w:val="24"/>
        </w:rPr>
        <w:t>for respondent questions</w:t>
      </w:r>
      <w:r w:rsidRPr="002905A4">
        <w:rPr>
          <w:rFonts w:eastAsia="Calibri" w:cs="Times New Roman"/>
          <w:szCs w:val="24"/>
        </w:rPr>
        <w:t xml:space="preserve">, and provide the survey website and the mariner’s </w:t>
      </w:r>
      <w:r w:rsidR="003950B5">
        <w:rPr>
          <w:rFonts w:eastAsia="Calibri" w:cs="Times New Roman"/>
          <w:szCs w:val="24"/>
        </w:rPr>
        <w:t xml:space="preserve">unique </w:t>
      </w:r>
      <w:r w:rsidRPr="002905A4">
        <w:rPr>
          <w:rFonts w:eastAsia="Calibri" w:cs="Times New Roman"/>
        </w:rPr>
        <w:t xml:space="preserve">passcode </w:t>
      </w:r>
      <w:r w:rsidRPr="002905A4">
        <w:rPr>
          <w:rFonts w:eastAsia="Calibri" w:cs="Times New Roman"/>
          <w:szCs w:val="24"/>
        </w:rPr>
        <w:t xml:space="preserve">for accessing the </w:t>
      </w:r>
      <w:r w:rsidR="003950B5">
        <w:rPr>
          <w:rFonts w:eastAsia="Calibri" w:cs="Times New Roman"/>
          <w:szCs w:val="24"/>
        </w:rPr>
        <w:t xml:space="preserve">online </w:t>
      </w:r>
      <w:r w:rsidRPr="002905A4">
        <w:rPr>
          <w:rFonts w:eastAsia="Calibri" w:cs="Times New Roman"/>
          <w:szCs w:val="24"/>
        </w:rPr>
        <w:t>survey.</w:t>
      </w:r>
      <w:r w:rsidRPr="00C125F8">
        <w:rPr>
          <w:rFonts w:eastAsia="Calibri" w:cs="Times New Roman"/>
          <w:szCs w:val="24"/>
        </w:rPr>
        <w:t xml:space="preserve"> </w:t>
      </w:r>
      <w:r w:rsidR="000A1787">
        <w:rPr>
          <w:rFonts w:eastAsia="Calibri" w:cs="Times New Roman"/>
          <w:szCs w:val="24"/>
        </w:rPr>
        <w:t xml:space="preserve">The </w:t>
      </w:r>
      <w:r w:rsidR="003950B5">
        <w:rPr>
          <w:rFonts w:eastAsia="Calibri" w:cs="Times New Roman"/>
          <w:szCs w:val="24"/>
        </w:rPr>
        <w:t xml:space="preserve">mailed invitation </w:t>
      </w:r>
      <w:r w:rsidR="000A1787">
        <w:rPr>
          <w:rFonts w:eastAsia="Calibri" w:cs="Times New Roman"/>
          <w:szCs w:val="24"/>
        </w:rPr>
        <w:t>letter</w:t>
      </w:r>
      <w:r w:rsidR="003950B5">
        <w:rPr>
          <w:rFonts w:eastAsia="Calibri" w:cs="Times New Roman"/>
          <w:szCs w:val="24"/>
        </w:rPr>
        <w:t xml:space="preserve"> </w:t>
      </w:r>
      <w:r w:rsidR="000A1787">
        <w:rPr>
          <w:rFonts w:eastAsia="Calibri" w:cs="Times New Roman"/>
          <w:szCs w:val="24"/>
        </w:rPr>
        <w:t>also</w:t>
      </w:r>
      <w:r w:rsidR="003950B5">
        <w:rPr>
          <w:rFonts w:eastAsia="Calibri" w:cs="Times New Roman"/>
          <w:szCs w:val="24"/>
        </w:rPr>
        <w:t xml:space="preserve"> will</w:t>
      </w:r>
      <w:r w:rsidR="000A1787">
        <w:rPr>
          <w:rFonts w:eastAsia="Calibri" w:cs="Times New Roman"/>
          <w:szCs w:val="24"/>
        </w:rPr>
        <w:t xml:space="preserve"> include </w:t>
      </w:r>
      <w:r w:rsidRPr="000A1787" w:rsidR="000A1787">
        <w:rPr>
          <w:rFonts w:eastAsia="Calibri" w:cs="Times New Roman"/>
          <w:szCs w:val="24"/>
        </w:rPr>
        <w:t xml:space="preserve">a QR code to </w:t>
      </w:r>
      <w:r w:rsidR="003950B5">
        <w:rPr>
          <w:rFonts w:eastAsia="Calibri" w:cs="Times New Roman"/>
          <w:szCs w:val="24"/>
        </w:rPr>
        <w:t xml:space="preserve">facilitate </w:t>
      </w:r>
      <w:r w:rsidR="000A1787">
        <w:rPr>
          <w:rFonts w:eastAsia="Calibri" w:cs="Times New Roman"/>
          <w:szCs w:val="24"/>
        </w:rPr>
        <w:t xml:space="preserve">access to </w:t>
      </w:r>
      <w:r w:rsidRPr="000A1787" w:rsidR="000A1787">
        <w:rPr>
          <w:rFonts w:eastAsia="Calibri" w:cs="Times New Roman"/>
          <w:szCs w:val="24"/>
        </w:rPr>
        <w:t xml:space="preserve">the </w:t>
      </w:r>
      <w:r w:rsidR="000A1787">
        <w:rPr>
          <w:rFonts w:eastAsia="Calibri" w:cs="Times New Roman"/>
          <w:szCs w:val="24"/>
        </w:rPr>
        <w:t xml:space="preserve">online </w:t>
      </w:r>
      <w:r w:rsidRPr="000A1787" w:rsidR="000A1787">
        <w:rPr>
          <w:rFonts w:eastAsia="Calibri" w:cs="Times New Roman"/>
          <w:szCs w:val="24"/>
        </w:rPr>
        <w:t>survey.</w:t>
      </w:r>
    </w:p>
    <w:p w:rsidR="00C125F8" w:rsidRPr="00C125F8" w:rsidP="00EE5E78" w14:paraId="5838D455" w14:textId="568ADBEE">
      <w:pPr>
        <w:spacing w:line="256" w:lineRule="auto"/>
        <w:ind w:left="1080"/>
        <w:rPr>
          <w:rFonts w:eastAsia="Calibri" w:cs="Times New Roman"/>
        </w:rPr>
      </w:pPr>
      <w:r w:rsidRPr="00042B65">
        <w:rPr>
          <w:rFonts w:eastAsia="Calibri" w:cs="Times New Roman"/>
        </w:rPr>
        <w:t>Approximately t</w:t>
      </w:r>
      <w:r w:rsidRPr="00E85B68">
        <w:rPr>
          <w:rFonts w:eastAsia="Calibri" w:cs="Times New Roman"/>
        </w:rPr>
        <w:t>hree</w:t>
      </w:r>
      <w:r w:rsidRPr="00C125F8">
        <w:rPr>
          <w:rFonts w:eastAsia="Calibri" w:cs="Times New Roman"/>
        </w:rPr>
        <w:t xml:space="preserve"> </w:t>
      </w:r>
      <w:r w:rsidRPr="00C125F8">
        <w:rPr>
          <w:rFonts w:eastAsia="Calibri" w:cs="Times New Roman"/>
        </w:rPr>
        <w:t xml:space="preserve">weeks after the </w:t>
      </w:r>
      <w:r w:rsidR="003B22D5">
        <w:rPr>
          <w:rFonts w:eastAsia="Calibri" w:cs="Times New Roman"/>
        </w:rPr>
        <w:t xml:space="preserve">initial invitation </w:t>
      </w:r>
      <w:r w:rsidRPr="00C125F8">
        <w:rPr>
          <w:rFonts w:eastAsia="Calibri" w:cs="Times New Roman"/>
        </w:rPr>
        <w:t>letters are sent, a survey packet will be mailed to all mariners who have not completed the online survey and whose mail</w:t>
      </w:r>
      <w:r w:rsidR="003B22D5">
        <w:rPr>
          <w:rFonts w:eastAsia="Calibri" w:cs="Times New Roman"/>
        </w:rPr>
        <w:t>ed</w:t>
      </w:r>
      <w:r w:rsidRPr="00C125F8">
        <w:rPr>
          <w:rFonts w:eastAsia="Calibri" w:cs="Times New Roman"/>
        </w:rPr>
        <w:t xml:space="preserve"> invitation was not returned by the </w:t>
      </w:r>
      <w:r w:rsidR="003B22D5">
        <w:rPr>
          <w:rFonts w:eastAsia="Calibri" w:cs="Times New Roman"/>
        </w:rPr>
        <w:t xml:space="preserve">U.S. </w:t>
      </w:r>
      <w:r w:rsidRPr="00C125F8">
        <w:rPr>
          <w:rFonts w:eastAsia="Calibri" w:cs="Times New Roman"/>
        </w:rPr>
        <w:t>Post</w:t>
      </w:r>
      <w:r w:rsidR="003B22D5">
        <w:rPr>
          <w:rFonts w:eastAsia="Calibri" w:cs="Times New Roman"/>
        </w:rPr>
        <w:t>al</w:t>
      </w:r>
      <w:r w:rsidRPr="00C125F8">
        <w:rPr>
          <w:rFonts w:eastAsia="Calibri" w:cs="Times New Roman"/>
        </w:rPr>
        <w:t xml:space="preserve"> </w:t>
      </w:r>
      <w:r w:rsidR="003B22D5">
        <w:rPr>
          <w:rFonts w:eastAsia="Calibri" w:cs="Times New Roman"/>
        </w:rPr>
        <w:t>Service</w:t>
      </w:r>
      <w:r w:rsidRPr="00C125F8" w:rsidR="003B22D5">
        <w:rPr>
          <w:rFonts w:eastAsia="Calibri" w:cs="Times New Roman"/>
        </w:rPr>
        <w:t xml:space="preserve"> </w:t>
      </w:r>
      <w:r w:rsidRPr="00C125F8">
        <w:rPr>
          <w:rFonts w:eastAsia="Calibri" w:cs="Times New Roman"/>
        </w:rPr>
        <w:t>as undeliverable. The packet will include a personalized cover letter</w:t>
      </w:r>
      <w:r w:rsidR="003B22D5">
        <w:rPr>
          <w:rFonts w:eastAsia="Calibri" w:cs="Times New Roman"/>
        </w:rPr>
        <w:t xml:space="preserve">, </w:t>
      </w:r>
      <w:r w:rsidRPr="00C125F8">
        <w:rPr>
          <w:rFonts w:eastAsia="Calibri" w:cs="Times New Roman"/>
        </w:rPr>
        <w:t xml:space="preserve">the survey questionnaire, and a business reply envelope. </w:t>
      </w:r>
      <w:r w:rsidR="003B22D5">
        <w:rPr>
          <w:rFonts w:eastAsia="Calibri" w:cs="Times New Roman"/>
        </w:rPr>
        <w:t xml:space="preserve">The cover letter will again provide the survey website, QR code, and unique passcode in case the respondent prefers to complete the survey online. </w:t>
      </w:r>
      <w:r w:rsidRPr="00296935" w:rsidR="005E284F">
        <w:rPr>
          <w:rFonts w:eastAsia="Calibri" w:cs="Times New Roman"/>
        </w:rPr>
        <w:t xml:space="preserve">Approximately </w:t>
      </w:r>
      <w:r w:rsidR="005E284F">
        <w:rPr>
          <w:rFonts w:eastAsia="Calibri" w:cs="Times New Roman"/>
        </w:rPr>
        <w:t>three</w:t>
      </w:r>
      <w:r w:rsidR="003B22D5">
        <w:rPr>
          <w:rFonts w:eastAsia="Calibri" w:cs="Times New Roman"/>
        </w:rPr>
        <w:t xml:space="preserve"> weeks after the first survey packets are mailed, a postcard reminder will be sent to </w:t>
      </w:r>
      <w:r w:rsidRPr="003B22D5" w:rsidR="003B22D5">
        <w:rPr>
          <w:rFonts w:eastAsia="Calibri" w:cs="Times New Roman"/>
        </w:rPr>
        <w:t>mariners who have not yet returned the mail survey, completed the survey online, or contacted the survey contractor to opt out.</w:t>
      </w:r>
      <w:r w:rsidR="003B22D5">
        <w:rPr>
          <w:rFonts w:eastAsia="Calibri" w:cs="Times New Roman"/>
        </w:rPr>
        <w:t xml:space="preserve"> The postcard </w:t>
      </w:r>
      <w:r w:rsidR="002C3E0A">
        <w:rPr>
          <w:rFonts w:eastAsia="Calibri" w:cs="Times New Roman"/>
        </w:rPr>
        <w:t>will</w:t>
      </w:r>
      <w:r w:rsidRPr="002C3E0A" w:rsidR="002C3E0A">
        <w:rPr>
          <w:rFonts w:eastAsia="Calibri" w:cs="Times New Roman"/>
        </w:rPr>
        <w:t xml:space="preserve"> include brief language encouraging participation, along with the survey website, passcode, and QR code for accessing the </w:t>
      </w:r>
      <w:r w:rsidR="002C3E0A">
        <w:rPr>
          <w:rFonts w:eastAsia="Calibri" w:cs="Times New Roman"/>
        </w:rPr>
        <w:t xml:space="preserve">online </w:t>
      </w:r>
      <w:r w:rsidRPr="002C3E0A" w:rsidR="002C3E0A">
        <w:rPr>
          <w:rFonts w:eastAsia="Calibri" w:cs="Times New Roman"/>
        </w:rPr>
        <w:t>survey.</w:t>
      </w:r>
      <w:r w:rsidR="002C3E0A">
        <w:rPr>
          <w:rFonts w:eastAsia="Calibri" w:cs="Times New Roman"/>
        </w:rPr>
        <w:t xml:space="preserve"> Approximately </w:t>
      </w:r>
      <w:r w:rsidR="005E284F">
        <w:rPr>
          <w:rFonts w:eastAsia="Calibri" w:cs="Times New Roman"/>
        </w:rPr>
        <w:t>three</w:t>
      </w:r>
      <w:r w:rsidR="002C3E0A">
        <w:rPr>
          <w:rFonts w:eastAsia="Calibri" w:cs="Times New Roman"/>
        </w:rPr>
        <w:t xml:space="preserve"> weeks</w:t>
      </w:r>
      <w:r w:rsidRPr="00C125F8">
        <w:rPr>
          <w:rFonts w:eastAsia="Calibri" w:cs="Times New Roman"/>
        </w:rPr>
        <w:t xml:space="preserve"> after the </w:t>
      </w:r>
      <w:r w:rsidR="002C3E0A">
        <w:rPr>
          <w:rFonts w:eastAsia="Calibri" w:cs="Times New Roman"/>
        </w:rPr>
        <w:t>postcard</w:t>
      </w:r>
      <w:r w:rsidRPr="00C125F8">
        <w:rPr>
          <w:rFonts w:eastAsia="Calibri" w:cs="Times New Roman"/>
        </w:rPr>
        <w:t xml:space="preserve"> is sent, a second packet will be mailed to mariners who have not yet returned the mail survey, completed the survey online, or </w:t>
      </w:r>
      <w:r w:rsidR="00FE2189">
        <w:rPr>
          <w:rFonts w:eastAsia="Calibri" w:cs="Times New Roman"/>
        </w:rPr>
        <w:t>contacted</w:t>
      </w:r>
      <w:r w:rsidRPr="00C125F8" w:rsidR="00FE2189">
        <w:rPr>
          <w:rFonts w:eastAsia="Calibri" w:cs="Times New Roman"/>
        </w:rPr>
        <w:t xml:space="preserve"> </w:t>
      </w:r>
      <w:r w:rsidRPr="00C125F8">
        <w:rPr>
          <w:rFonts w:eastAsia="Calibri" w:cs="Times New Roman"/>
        </w:rPr>
        <w:t>the survey contractor to opt out.</w:t>
      </w:r>
    </w:p>
    <w:p w:rsidR="00C125F8" w:rsidP="00EE5E78" w14:paraId="1736B3AC" w14:textId="1B6883E8">
      <w:pPr>
        <w:spacing w:line="256" w:lineRule="auto"/>
        <w:ind w:left="1080"/>
        <w:rPr>
          <w:rFonts w:eastAsia="Calibri" w:cs="Times New Roman"/>
          <w:szCs w:val="24"/>
        </w:rPr>
      </w:pPr>
      <w:r w:rsidRPr="00ED1C7D">
        <w:rPr>
          <w:rFonts w:eastAsia="Calibri" w:cs="Times New Roman"/>
          <w:szCs w:val="24"/>
        </w:rPr>
        <w:t>Reminder emails will generally be sent weekly or every other week throughout the data collection period to nonresponding mariners with a valid email address, as determined from the initial email survey invitation</w:t>
      </w:r>
      <w:r>
        <w:rPr>
          <w:rFonts w:eastAsia="Calibri" w:cs="Times New Roman"/>
          <w:szCs w:val="24"/>
        </w:rPr>
        <w:t xml:space="preserve">. </w:t>
      </w:r>
      <w:r w:rsidRPr="0052339E">
        <w:rPr>
          <w:rFonts w:eastAsia="Calibri" w:cs="Times New Roman"/>
          <w:szCs w:val="24"/>
        </w:rPr>
        <w:t xml:space="preserve">Reminder emails will cease once a mariner completes the survey, requests no further contact, or the data </w:t>
      </w:r>
      <w:r w:rsidRPr="0052339E">
        <w:rPr>
          <w:rFonts w:eastAsia="Calibri" w:cs="Times New Roman"/>
          <w:szCs w:val="24"/>
        </w:rPr>
        <w:t>collection period</w:t>
      </w:r>
      <w:r w:rsidRPr="0052339E">
        <w:rPr>
          <w:rFonts w:eastAsia="Calibri" w:cs="Times New Roman"/>
          <w:szCs w:val="24"/>
        </w:rPr>
        <w:t xml:space="preserve"> concludes</w:t>
      </w:r>
      <w:r w:rsidRPr="00ED1C7D">
        <w:rPr>
          <w:rFonts w:eastAsia="Calibri" w:cs="Times New Roman"/>
          <w:szCs w:val="24"/>
        </w:rPr>
        <w:t>.</w:t>
      </w:r>
      <w:r>
        <w:rPr>
          <w:rFonts w:eastAsia="Calibri" w:cs="Times New Roman"/>
          <w:szCs w:val="24"/>
        </w:rPr>
        <w:t xml:space="preserve"> The timing of the email reminders will vary across days of the week throughout the field period. In addition, </w:t>
      </w:r>
      <w:r w:rsidRPr="00C125F8">
        <w:rPr>
          <w:rFonts w:eastAsia="Calibri" w:cs="Times New Roman"/>
          <w:szCs w:val="24"/>
        </w:rPr>
        <w:t>multiple versions of the reminder emails</w:t>
      </w:r>
      <w:r>
        <w:rPr>
          <w:rFonts w:eastAsia="Calibri" w:cs="Times New Roman"/>
          <w:szCs w:val="24"/>
        </w:rPr>
        <w:t xml:space="preserve"> will be used</w:t>
      </w:r>
      <w:r w:rsidRPr="00C125F8">
        <w:rPr>
          <w:rFonts w:eastAsia="Calibri" w:cs="Times New Roman"/>
          <w:szCs w:val="24"/>
        </w:rPr>
        <w:t xml:space="preserve"> so </w:t>
      </w:r>
      <w:r>
        <w:rPr>
          <w:rFonts w:eastAsia="Calibri" w:cs="Times New Roman"/>
          <w:szCs w:val="24"/>
        </w:rPr>
        <w:t>that the wording and presentation vary over the course of data collection</w:t>
      </w:r>
      <w:r w:rsidRPr="00C125F8">
        <w:rPr>
          <w:rFonts w:eastAsia="Calibri" w:cs="Times New Roman"/>
          <w:szCs w:val="24"/>
        </w:rPr>
        <w:t xml:space="preserve">. </w:t>
      </w:r>
      <w:r w:rsidR="00FE3EF8">
        <w:rPr>
          <w:rFonts w:eastAsia="Calibri" w:cs="Times New Roman"/>
          <w:szCs w:val="24"/>
        </w:rPr>
        <w:t xml:space="preserve">Reminder emails also </w:t>
      </w:r>
      <w:r w:rsidRPr="00C125F8">
        <w:rPr>
          <w:rFonts w:eastAsia="Calibri" w:cs="Times New Roman"/>
          <w:szCs w:val="24"/>
        </w:rPr>
        <w:t xml:space="preserve">will be sent to mariners who have started but </w:t>
      </w:r>
      <w:r w:rsidRPr="00C125F8" w:rsidR="002868EE">
        <w:rPr>
          <w:rFonts w:eastAsia="Calibri" w:cs="Times New Roman"/>
          <w:szCs w:val="24"/>
        </w:rPr>
        <w:t>have not</w:t>
      </w:r>
      <w:r w:rsidRPr="00C125F8">
        <w:rPr>
          <w:rFonts w:eastAsia="Calibri" w:cs="Times New Roman"/>
          <w:szCs w:val="24"/>
        </w:rPr>
        <w:t xml:space="preserve"> yet completed the survey. These reminders </w:t>
      </w:r>
      <w:r w:rsidR="00FE3EF8">
        <w:rPr>
          <w:rFonts w:eastAsia="Calibri" w:cs="Times New Roman"/>
          <w:szCs w:val="24"/>
        </w:rPr>
        <w:t>will thank respondents for beginning the survey and encourage completion</w:t>
      </w:r>
      <w:r w:rsidRPr="00C125F8">
        <w:rPr>
          <w:rFonts w:eastAsia="Calibri" w:cs="Times New Roman"/>
          <w:szCs w:val="24"/>
        </w:rPr>
        <w:t xml:space="preserve">. </w:t>
      </w:r>
    </w:p>
    <w:p w:rsidR="00F34AA1" w:rsidRPr="00C125F8" w:rsidP="00EE5E78" w14:paraId="2CDB63EB" w14:textId="77777777">
      <w:pPr>
        <w:spacing w:line="256" w:lineRule="auto"/>
        <w:ind w:left="1080"/>
        <w:rPr>
          <w:rFonts w:eastAsia="Calibri" w:cs="Times New Roman"/>
          <w:szCs w:val="24"/>
        </w:rPr>
      </w:pPr>
      <w:r w:rsidRPr="00D932C1">
        <w:rPr>
          <w:rFonts w:eastAsia="Calibri" w:cs="Times New Roman"/>
          <w:szCs w:val="24"/>
        </w:rPr>
        <w:t>Mariners also will receive reminder messages via SMS text messaging when a valid mobile telephone number is available. These messages will include a direct link to the online survey.</w:t>
      </w:r>
      <w:r w:rsidRPr="00D074D2">
        <w:t xml:space="preserve"> </w:t>
      </w:r>
      <w:r w:rsidRPr="00D074D2">
        <w:rPr>
          <w:rFonts w:eastAsia="Calibri" w:cs="Times New Roman"/>
          <w:szCs w:val="24"/>
        </w:rPr>
        <w:t>SMS text message reminders will include instructions allowing recipients to opt out of future text communications. Mariners who opt out of SMS reminders will not receive additional text messages related to the survey.</w:t>
      </w:r>
      <w:r w:rsidRPr="00D074D2">
        <w:t xml:space="preserve"> </w:t>
      </w:r>
      <w:r w:rsidRPr="00D074D2">
        <w:rPr>
          <w:rFonts w:eastAsia="Calibri" w:cs="Times New Roman"/>
          <w:szCs w:val="24"/>
        </w:rPr>
        <w:t>SMS outreach procedures will comply with applicable federal and state requirements governing text message communications.</w:t>
      </w:r>
    </w:p>
    <w:p w:rsidR="00C125F8" w:rsidRPr="00C125F8" w:rsidP="00EE5E78" w14:paraId="28978B74" w14:textId="470A8E60">
      <w:pPr>
        <w:spacing w:line="256" w:lineRule="auto"/>
        <w:ind w:left="1080"/>
        <w:rPr>
          <w:rFonts w:eastAsia="Calibri" w:cs="Times New Roman"/>
          <w:szCs w:val="24"/>
        </w:rPr>
      </w:pPr>
      <w:r w:rsidRPr="00C125F8">
        <w:rPr>
          <w:rFonts w:eastAsia="Calibri" w:cs="Times New Roman"/>
          <w:szCs w:val="24"/>
        </w:rPr>
        <w:t xml:space="preserve">Approximately </w:t>
      </w:r>
      <w:r w:rsidR="005E284F">
        <w:rPr>
          <w:rFonts w:eastAsia="Calibri" w:cs="Times New Roman"/>
          <w:szCs w:val="24"/>
        </w:rPr>
        <w:t>twelve</w:t>
      </w:r>
      <w:r w:rsidRPr="00C125F8">
        <w:rPr>
          <w:rFonts w:eastAsia="Calibri" w:cs="Times New Roman"/>
          <w:szCs w:val="24"/>
        </w:rPr>
        <w:t xml:space="preserve"> weeks after </w:t>
      </w:r>
      <w:r>
        <w:rPr>
          <w:rFonts w:eastAsia="Calibri" w:cs="Times New Roman"/>
          <w:szCs w:val="24"/>
        </w:rPr>
        <w:t>the initial survey invitations are distributed</w:t>
      </w:r>
      <w:r w:rsidRPr="00C125F8">
        <w:rPr>
          <w:rFonts w:eastAsia="Calibri" w:cs="Times New Roman"/>
          <w:szCs w:val="24"/>
        </w:rPr>
        <w:t xml:space="preserve">, nonresponse telephone prompting will begin. </w:t>
      </w:r>
      <w:r w:rsidRPr="00BB7FAE">
        <w:rPr>
          <w:rFonts w:eastAsia="Calibri" w:cs="Times New Roman"/>
          <w:szCs w:val="24"/>
        </w:rPr>
        <w:t xml:space="preserve">Data collection metrics, including response rates across key mariner subgroups and credential-status groups, will be monitored throughout the field period. Follow-up procedures may be adjusted during data collection to increase participation among groups exhibiting lower-than-expected response rates or elevated risk of nonresponse bias. </w:t>
      </w:r>
      <w:bookmarkStart w:id="17" w:name="_Hlk34214260"/>
      <w:r w:rsidR="00552AB1">
        <w:rPr>
          <w:rFonts w:eastAsia="Calibri" w:cs="Times New Roman"/>
          <w:szCs w:val="24"/>
        </w:rPr>
        <w:t xml:space="preserve">Telephone </w:t>
      </w:r>
      <w:r w:rsidRPr="00C125F8">
        <w:rPr>
          <w:rFonts w:eastAsia="Calibri" w:cs="Times New Roman"/>
          <w:szCs w:val="24"/>
        </w:rPr>
        <w:t xml:space="preserve">prompting </w:t>
      </w:r>
      <w:bookmarkEnd w:id="17"/>
      <w:r w:rsidR="00552AB1">
        <w:rPr>
          <w:rFonts w:eastAsia="Calibri" w:cs="Times New Roman"/>
          <w:szCs w:val="24"/>
        </w:rPr>
        <w:t>will also allow contact with sampled mariners for whom a telephone number is available but a valid email or mailing address is unavailable.</w:t>
      </w:r>
    </w:p>
    <w:p w:rsidR="00C125F8" w:rsidP="00EE5E78" w14:paraId="630A54B7" w14:textId="11DD54B3">
      <w:pPr>
        <w:spacing w:line="256" w:lineRule="auto"/>
        <w:ind w:left="1080"/>
        <w:rPr>
          <w:rFonts w:eastAsia="Calibri" w:cs="Times New Roman"/>
        </w:rPr>
      </w:pPr>
      <w:r>
        <w:rPr>
          <w:rFonts w:eastAsia="Calibri" w:cs="Times New Roman"/>
        </w:rPr>
        <w:t>Prior to survey administration</w:t>
      </w:r>
      <w:r w:rsidRPr="00C125F8">
        <w:rPr>
          <w:rFonts w:eastAsia="Calibri" w:cs="Times New Roman"/>
        </w:rPr>
        <w:t>,</w:t>
      </w:r>
      <w:r>
        <w:rPr>
          <w:rFonts w:eastAsia="Calibri" w:cs="Times New Roman"/>
        </w:rPr>
        <w:t xml:space="preserve"> outreach efforts will also be conducted with organizations that regularly interact with merchant mariners,</w:t>
      </w:r>
      <w:r w:rsidRPr="00C125F8">
        <w:rPr>
          <w:rFonts w:eastAsia="Calibri" w:cs="Times New Roman"/>
        </w:rPr>
        <w:t xml:space="preserve"> </w:t>
      </w:r>
      <w:r>
        <w:rPr>
          <w:rFonts w:eastAsia="Calibri" w:cs="Times New Roman"/>
        </w:rPr>
        <w:t>including</w:t>
      </w:r>
      <w:r w:rsidRPr="00C125F8">
        <w:rPr>
          <w:rFonts w:eastAsia="Calibri" w:cs="Times New Roman"/>
        </w:rPr>
        <w:t xml:space="preserve"> professional associations, maritime academy alumni associations, credentialing agencies, and labor unions</w:t>
      </w:r>
      <w:r>
        <w:rPr>
          <w:rFonts w:eastAsia="Calibri" w:cs="Times New Roman"/>
        </w:rPr>
        <w:t>.</w:t>
      </w:r>
      <w:r w:rsidRPr="00C125F8">
        <w:rPr>
          <w:rFonts w:eastAsia="Calibri" w:cs="Times New Roman"/>
        </w:rPr>
        <w:t xml:space="preserve"> </w:t>
      </w:r>
      <w:r>
        <w:rPr>
          <w:rFonts w:eastAsia="Calibri" w:cs="Times New Roman"/>
        </w:rPr>
        <w:t>T</w:t>
      </w:r>
      <w:r w:rsidRPr="00C125F8">
        <w:rPr>
          <w:rFonts w:eastAsia="Calibri" w:cs="Times New Roman"/>
        </w:rPr>
        <w:t xml:space="preserve">hese efforts </w:t>
      </w:r>
      <w:r>
        <w:rPr>
          <w:rFonts w:eastAsia="Calibri" w:cs="Times New Roman"/>
        </w:rPr>
        <w:t>are intended to increase</w:t>
      </w:r>
      <w:r w:rsidRPr="00C125F8">
        <w:rPr>
          <w:rFonts w:eastAsia="Calibri" w:cs="Times New Roman"/>
        </w:rPr>
        <w:t xml:space="preserve"> awareness of the survey, </w:t>
      </w:r>
      <w:r>
        <w:rPr>
          <w:rFonts w:eastAsia="Calibri" w:cs="Times New Roman"/>
        </w:rPr>
        <w:t xml:space="preserve">reinforce </w:t>
      </w:r>
      <w:r w:rsidRPr="00C125F8">
        <w:rPr>
          <w:rFonts w:eastAsia="Calibri" w:cs="Times New Roman"/>
        </w:rPr>
        <w:t xml:space="preserve">the legitimacy of the </w:t>
      </w:r>
      <w:r>
        <w:rPr>
          <w:rFonts w:eastAsia="Calibri" w:cs="Times New Roman"/>
        </w:rPr>
        <w:t>data collection</w:t>
      </w:r>
      <w:r w:rsidRPr="00C125F8">
        <w:rPr>
          <w:rFonts w:eastAsia="Calibri" w:cs="Times New Roman"/>
        </w:rPr>
        <w:t xml:space="preserve"> effort, and </w:t>
      </w:r>
      <w:r>
        <w:rPr>
          <w:rFonts w:eastAsia="Calibri" w:cs="Times New Roman"/>
        </w:rPr>
        <w:t xml:space="preserve">encourage </w:t>
      </w:r>
      <w:r w:rsidR="00F34AA1">
        <w:rPr>
          <w:rFonts w:eastAsia="Calibri" w:cs="Times New Roman"/>
        </w:rPr>
        <w:t xml:space="preserve">voluntary </w:t>
      </w:r>
      <w:r>
        <w:rPr>
          <w:rFonts w:eastAsia="Calibri" w:cs="Times New Roman"/>
        </w:rPr>
        <w:t>participation among sampled mariners</w:t>
      </w:r>
      <w:r w:rsidRPr="00C125F8">
        <w:rPr>
          <w:rFonts w:eastAsia="Calibri" w:cs="Times New Roman"/>
        </w:rPr>
        <w:t xml:space="preserve">. A one-page </w:t>
      </w:r>
      <w:r>
        <w:rPr>
          <w:rFonts w:eastAsia="Calibri" w:cs="Times New Roman"/>
        </w:rPr>
        <w:t xml:space="preserve">survey </w:t>
      </w:r>
      <w:r w:rsidRPr="00C125F8">
        <w:rPr>
          <w:rFonts w:eastAsia="Calibri" w:cs="Times New Roman"/>
        </w:rPr>
        <w:t xml:space="preserve">announcement will be developed </w:t>
      </w:r>
      <w:r>
        <w:rPr>
          <w:rFonts w:eastAsia="Calibri" w:cs="Times New Roman"/>
        </w:rPr>
        <w:t>for dissemination through</w:t>
      </w:r>
      <w:r w:rsidRPr="00C125F8">
        <w:rPr>
          <w:rFonts w:eastAsia="Calibri" w:cs="Times New Roman"/>
        </w:rPr>
        <w:t xml:space="preserve"> websites, newsletters, and other media </w:t>
      </w:r>
      <w:r>
        <w:rPr>
          <w:rFonts w:eastAsia="Calibri" w:cs="Times New Roman"/>
        </w:rPr>
        <w:t>commonly</w:t>
      </w:r>
      <w:r w:rsidRPr="00C125F8">
        <w:rPr>
          <w:rFonts w:eastAsia="Calibri" w:cs="Times New Roman"/>
        </w:rPr>
        <w:t xml:space="preserve"> </w:t>
      </w:r>
      <w:r>
        <w:rPr>
          <w:rFonts w:eastAsia="Calibri" w:cs="Times New Roman"/>
        </w:rPr>
        <w:t>accessed</w:t>
      </w:r>
      <w:r w:rsidRPr="00C125F8">
        <w:rPr>
          <w:rFonts w:eastAsia="Calibri" w:cs="Times New Roman"/>
        </w:rPr>
        <w:t xml:space="preserve"> by mariners.</w:t>
      </w:r>
    </w:p>
    <w:p w:rsidR="00095F93" w:rsidP="00EE5E78" w14:paraId="6FE87BBB" w14:textId="3B19EB35">
      <w:pPr>
        <w:spacing w:line="256" w:lineRule="auto"/>
        <w:ind w:left="1080"/>
        <w:rPr>
          <w:rFonts w:eastAsia="Calibri" w:cs="Times New Roman"/>
        </w:rPr>
      </w:pPr>
      <w:r>
        <w:rPr>
          <w:rFonts w:eastAsia="Calibri" w:cs="Times New Roman"/>
        </w:rPr>
        <w:t xml:space="preserve">For online respondents, Question </w:t>
      </w:r>
      <w:r w:rsidR="00E85B68">
        <w:rPr>
          <w:rFonts w:eastAsia="Calibri" w:cs="Times New Roman"/>
        </w:rPr>
        <w:t>4</w:t>
      </w:r>
      <w:r>
        <w:rPr>
          <w:rFonts w:eastAsia="Calibri" w:cs="Times New Roman"/>
        </w:rPr>
        <w:t>, the primary analytic outcome measure, will be programmed as a required item to minimize missing data for the key study outcome</w:t>
      </w:r>
      <w:r w:rsidR="00F34AA1">
        <w:rPr>
          <w:rFonts w:eastAsia="Calibri" w:cs="Times New Roman"/>
        </w:rPr>
        <w:t xml:space="preserve"> </w:t>
      </w:r>
      <w:r w:rsidRPr="00A454DC" w:rsidR="00F34AA1">
        <w:rPr>
          <w:rFonts w:eastAsia="Calibri" w:cs="Times New Roman"/>
        </w:rPr>
        <w:t>while still allowing respondents to discontinue participation at any time</w:t>
      </w:r>
      <w:r>
        <w:rPr>
          <w:rFonts w:eastAsia="Calibri" w:cs="Times New Roman"/>
        </w:rPr>
        <w:t>.</w:t>
      </w:r>
      <w:r w:rsidRPr="00D2112C" w:rsidR="00D2112C">
        <w:t xml:space="preserve"> </w:t>
      </w:r>
      <w:r w:rsidRPr="00D2112C" w:rsidR="00D2112C">
        <w:rPr>
          <w:rFonts w:eastAsia="Calibri" w:cs="Times New Roman"/>
        </w:rPr>
        <w:t>Completion of the six willingness-to-serve scenarios will serve as the primary analytic completion criterion for the full survey effort.</w:t>
      </w:r>
    </w:p>
    <w:p w:rsidR="00F34AA1" w:rsidRPr="00C125F8" w:rsidP="00EE5E78" w14:paraId="6F5AE198" w14:textId="4FE05477">
      <w:pPr>
        <w:spacing w:line="256" w:lineRule="auto"/>
        <w:ind w:left="1080"/>
        <w:rPr>
          <w:rFonts w:eastAsia="Calibri" w:cs="Times New Roman"/>
        </w:rPr>
      </w:pPr>
      <w:r w:rsidRPr="009A0EBC">
        <w:rPr>
          <w:rFonts w:eastAsia="Calibri" w:cs="Times New Roman"/>
        </w:rPr>
        <w:t xml:space="preserve">No monetary incentive will be provided for participation in the full survey effort. Although incentives are commonly used in survey research to increase participation, evidence from the Mariner Survey pilot test indicated that response rates </w:t>
      </w:r>
      <w:r w:rsidR="007D30FC">
        <w:rPr>
          <w:rFonts w:eastAsia="Calibri" w:cs="Times New Roman"/>
        </w:rPr>
        <w:t xml:space="preserve">sufficient to support the planned analyses </w:t>
      </w:r>
      <w:r w:rsidRPr="009A0EBC">
        <w:rPr>
          <w:rFonts w:eastAsia="Calibri" w:cs="Times New Roman"/>
        </w:rPr>
        <w:t>could be achieved without the use of incentives, particularly when combined with multimode outreach and repeated follow-up procedures. In addition, given the large sample size for the full survey effort, a lottery-style incentive structure would likely be required for budgetary reasons, and survey methodology research suggests that lottery incentives are generally less effective than guaranteed incentives in improving participation rates. Accordingly, resources were prioritized toward expanded follow-up procedures, multimode contact efforts, and respondent burden reduction strategies designed to improve participation and data quality.</w:t>
      </w:r>
    </w:p>
    <w:p w:rsidR="00C125F8" w:rsidRPr="00EE5E78" w:rsidP="00EE5E78" w14:paraId="1E60CCCB" w14:textId="070E9AEC">
      <w:pPr>
        <w:pStyle w:val="ListParagraph"/>
        <w:numPr>
          <w:ilvl w:val="0"/>
          <w:numId w:val="32"/>
        </w:numPr>
        <w:spacing w:line="256" w:lineRule="auto"/>
        <w:rPr>
          <w:rFonts w:eastAsia="Calibri" w:cs="Times New Roman"/>
          <w:b/>
          <w:bCs/>
        </w:rPr>
      </w:pPr>
      <w:r w:rsidRPr="00EE5E78">
        <w:rPr>
          <w:rFonts w:eastAsia="Calibri" w:cs="Times New Roman"/>
          <w:b/>
          <w:bCs/>
        </w:rPr>
        <w:t>Assessing Nonresponse Bias</w:t>
      </w:r>
    </w:p>
    <w:p w:rsidR="009F4FE8" w:rsidP="00EE5E78" w14:paraId="7EECA84C" w14:textId="225072CF">
      <w:pPr>
        <w:spacing w:line="256" w:lineRule="auto"/>
        <w:ind w:left="1080"/>
        <w:rPr>
          <w:rFonts w:eastAsia="Calibri" w:cs="Times New Roman"/>
          <w:snapToGrid w:val="0"/>
        </w:rPr>
      </w:pPr>
      <w:r w:rsidRPr="00C125F8">
        <w:rPr>
          <w:rFonts w:eastAsia="Calibri" w:cs="Times New Roman"/>
          <w:snapToGrid w:val="0"/>
        </w:rPr>
        <w:t xml:space="preserve">While </w:t>
      </w:r>
      <w:r w:rsidR="00E75876">
        <w:rPr>
          <w:rFonts w:eastAsia="Calibri" w:cs="Times New Roman"/>
          <w:snapToGrid w:val="0"/>
        </w:rPr>
        <w:t>maximizing</w:t>
      </w:r>
      <w:r w:rsidRPr="00C125F8">
        <w:rPr>
          <w:rFonts w:eastAsia="Calibri" w:cs="Times New Roman"/>
          <w:snapToGrid w:val="0"/>
        </w:rPr>
        <w:t xml:space="preserve"> response rates</w:t>
      </w:r>
      <w:r w:rsidR="00E75876">
        <w:rPr>
          <w:rFonts w:eastAsia="Calibri" w:cs="Times New Roman"/>
          <w:snapToGrid w:val="0"/>
        </w:rPr>
        <w:t xml:space="preserve"> is important</w:t>
      </w:r>
      <w:r w:rsidRPr="00C125F8">
        <w:rPr>
          <w:rFonts w:eastAsia="Calibri" w:cs="Times New Roman"/>
          <w:snapToGrid w:val="0"/>
        </w:rPr>
        <w:t xml:space="preserve">, </w:t>
      </w:r>
      <w:r w:rsidR="00E75876">
        <w:rPr>
          <w:rFonts w:eastAsia="Calibri" w:cs="Times New Roman"/>
          <w:snapToGrid w:val="0"/>
        </w:rPr>
        <w:t>survey methodology research</w:t>
      </w:r>
      <w:r w:rsidRPr="00C125F8">
        <w:rPr>
          <w:rFonts w:eastAsia="Calibri" w:cs="Times New Roman"/>
          <w:snapToGrid w:val="0"/>
        </w:rPr>
        <w:t xml:space="preserve"> </w:t>
      </w:r>
      <w:r w:rsidR="00E75876">
        <w:rPr>
          <w:rFonts w:eastAsia="Calibri" w:cs="Times New Roman"/>
          <w:snapToGrid w:val="0"/>
        </w:rPr>
        <w:t xml:space="preserve">has demonstrated </w:t>
      </w:r>
      <w:r w:rsidRPr="00C125F8">
        <w:rPr>
          <w:rFonts w:eastAsia="Calibri" w:cs="Times New Roman"/>
          <w:snapToGrid w:val="0"/>
        </w:rPr>
        <w:t xml:space="preserve">that response rates </w:t>
      </w:r>
      <w:r w:rsidRPr="00B9679E" w:rsidR="00B9679E">
        <w:rPr>
          <w:rFonts w:eastAsia="Calibri" w:cs="Times New Roman"/>
          <w:snapToGrid w:val="0"/>
        </w:rPr>
        <w:t>alone are not a reliable indicator of the presence or magnitude of nonresponse bias</w:t>
      </w:r>
      <w:r w:rsidR="00B9679E">
        <w:rPr>
          <w:rFonts w:eastAsia="Calibri" w:cs="Times New Roman"/>
          <w:snapToGrid w:val="0"/>
        </w:rPr>
        <w:t>.</w:t>
      </w:r>
      <w:r>
        <w:rPr>
          <w:rFonts w:eastAsia="Calibri" w:cs="Times New Roman"/>
          <w:snapToGrid w:val="0"/>
          <w:vertAlign w:val="superscript"/>
        </w:rPr>
        <w:footnoteReference w:id="3"/>
      </w:r>
      <w:r w:rsidRPr="00C125F8">
        <w:rPr>
          <w:rFonts w:eastAsia="Calibri" w:cs="Times New Roman"/>
          <w:snapToGrid w:val="0"/>
          <w:vertAlign w:val="superscript"/>
        </w:rPr>
        <w:t>,</w:t>
      </w:r>
      <w:r>
        <w:rPr>
          <w:rFonts w:eastAsia="Calibri" w:cs="Times New Roman"/>
          <w:snapToGrid w:val="0"/>
          <w:vertAlign w:val="superscript"/>
        </w:rPr>
        <w:footnoteReference w:id="4"/>
      </w:r>
      <w:r w:rsidRPr="00C125F8">
        <w:rPr>
          <w:rFonts w:eastAsia="Calibri" w:cs="Times New Roman"/>
          <w:snapToGrid w:val="0"/>
        </w:rPr>
        <w:t xml:space="preserve"> In </w:t>
      </w:r>
      <w:r w:rsidR="00E75876">
        <w:rPr>
          <w:rFonts w:eastAsia="Calibri" w:cs="Times New Roman"/>
          <w:snapToGrid w:val="0"/>
        </w:rPr>
        <w:t>some cases</w:t>
      </w:r>
      <w:r w:rsidRPr="00C125F8">
        <w:rPr>
          <w:rFonts w:eastAsia="Calibri" w:cs="Times New Roman"/>
          <w:snapToGrid w:val="0"/>
        </w:rPr>
        <w:t xml:space="preserve">, efforts </w:t>
      </w:r>
      <w:r w:rsidR="00E75876">
        <w:rPr>
          <w:rFonts w:eastAsia="Calibri" w:cs="Times New Roman"/>
          <w:snapToGrid w:val="0"/>
        </w:rPr>
        <w:t xml:space="preserve">designed solely </w:t>
      </w:r>
      <w:r w:rsidRPr="00C125F8">
        <w:rPr>
          <w:rFonts w:eastAsia="Calibri" w:cs="Times New Roman"/>
          <w:snapToGrid w:val="0"/>
        </w:rPr>
        <w:t xml:space="preserve">to increase response rates </w:t>
      </w:r>
      <w:r w:rsidR="00E75876">
        <w:rPr>
          <w:rFonts w:eastAsia="Calibri" w:cs="Times New Roman"/>
          <w:snapToGrid w:val="0"/>
        </w:rPr>
        <w:t>may not reduce</w:t>
      </w:r>
      <w:r w:rsidR="00424804">
        <w:rPr>
          <w:rFonts w:eastAsia="Calibri" w:cs="Times New Roman"/>
          <w:snapToGrid w:val="0"/>
        </w:rPr>
        <w:t xml:space="preserve">, </w:t>
      </w:r>
      <w:r w:rsidR="00E75876">
        <w:rPr>
          <w:rFonts w:eastAsia="Calibri" w:cs="Times New Roman"/>
          <w:snapToGrid w:val="0"/>
        </w:rPr>
        <w:t>and may potentially increase</w:t>
      </w:r>
      <w:r w:rsidR="00424804">
        <w:rPr>
          <w:rFonts w:eastAsia="Calibri" w:cs="Times New Roman"/>
          <w:snapToGrid w:val="0"/>
        </w:rPr>
        <w:t xml:space="preserve">, </w:t>
      </w:r>
      <w:r w:rsidRPr="00C125F8">
        <w:rPr>
          <w:rFonts w:eastAsia="Calibri" w:cs="Times New Roman"/>
          <w:snapToGrid w:val="0"/>
        </w:rPr>
        <w:t>nonresponse bias.</w:t>
      </w:r>
      <w:r>
        <w:rPr>
          <w:rFonts w:eastAsia="Calibri" w:cs="Times New Roman"/>
          <w:snapToGrid w:val="0"/>
          <w:vertAlign w:val="superscript"/>
        </w:rPr>
        <w:footnoteReference w:id="5"/>
      </w:r>
      <w:r w:rsidRPr="00C125F8">
        <w:rPr>
          <w:rFonts w:eastAsia="Calibri" w:cs="Times New Roman"/>
          <w:snapToGrid w:val="0"/>
          <w:vertAlign w:val="superscript"/>
        </w:rPr>
        <w:t>,</w:t>
      </w:r>
      <w:r>
        <w:rPr>
          <w:rFonts w:eastAsia="Calibri" w:cs="Times New Roman"/>
          <w:snapToGrid w:val="0"/>
          <w:vertAlign w:val="superscript"/>
        </w:rPr>
        <w:footnoteReference w:id="6"/>
      </w:r>
      <w:r w:rsidRPr="00C125F8">
        <w:rPr>
          <w:rFonts w:eastAsia="Calibri" w:cs="Times New Roman"/>
          <w:snapToGrid w:val="0"/>
        </w:rPr>
        <w:t xml:space="preserve"> </w:t>
      </w:r>
      <w:r w:rsidR="00E75876">
        <w:rPr>
          <w:rFonts w:eastAsia="Calibri" w:cs="Times New Roman"/>
          <w:snapToGrid w:val="0"/>
        </w:rPr>
        <w:t xml:space="preserve">Accordingly, </w:t>
      </w:r>
      <w:r w:rsidRPr="00C125F8">
        <w:rPr>
          <w:rFonts w:eastAsia="Calibri" w:cs="Times New Roman"/>
          <w:snapToGrid w:val="0"/>
        </w:rPr>
        <w:t xml:space="preserve">the </w:t>
      </w:r>
      <w:r w:rsidRPr="00EE5E78">
        <w:rPr>
          <w:rFonts w:eastAsia="Calibri" w:cs="Times New Roman"/>
          <w:snapToGrid w:val="0"/>
        </w:rPr>
        <w:t>Mariner Survey</w:t>
      </w:r>
      <w:r w:rsidR="00E75876">
        <w:rPr>
          <w:rFonts w:eastAsia="Calibri" w:cs="Times New Roman"/>
          <w:snapToGrid w:val="0"/>
        </w:rPr>
        <w:t xml:space="preserve"> includes procedures both to maximize participation and to assess the potential for nonresponse bias</w:t>
      </w:r>
      <w:r>
        <w:rPr>
          <w:rFonts w:eastAsia="Calibri" w:cs="Times New Roman"/>
          <w:snapToGrid w:val="0"/>
        </w:rPr>
        <w:t>.</w:t>
      </w:r>
    </w:p>
    <w:p w:rsidR="00C125F8" w:rsidP="00EE5E78" w14:paraId="029D5932" w14:textId="1DA4CADF">
      <w:pPr>
        <w:spacing w:line="256" w:lineRule="auto"/>
        <w:ind w:left="1080"/>
        <w:rPr>
          <w:rFonts w:eastAsia="Calibri" w:cs="Times New Roman"/>
          <w:snapToGrid w:val="0"/>
        </w:rPr>
      </w:pPr>
      <w:r>
        <w:rPr>
          <w:rFonts w:eastAsia="Calibri" w:cs="Times New Roman"/>
          <w:snapToGrid w:val="0"/>
        </w:rPr>
        <w:t xml:space="preserve">Nonresponse bias analysis will be conducted at both the respondent level and at the item level. </w:t>
      </w:r>
      <w:r w:rsidRPr="00C125F8">
        <w:rPr>
          <w:rFonts w:eastAsia="Calibri" w:cs="Times New Roman"/>
          <w:snapToGrid w:val="0"/>
        </w:rPr>
        <w:t xml:space="preserve">At the respondent level, </w:t>
      </w:r>
      <w:r>
        <w:rPr>
          <w:rFonts w:eastAsia="Calibri" w:cs="Times New Roman"/>
          <w:snapToGrid w:val="0"/>
        </w:rPr>
        <w:t>analyses will examine response patterns across available sampling-frame characteristics, including mariner subgroup, Merchant Mariner Credential (MMC) status, and age</w:t>
      </w:r>
      <w:r w:rsidRPr="00C125F8">
        <w:rPr>
          <w:rFonts w:eastAsia="Calibri" w:cs="Times New Roman"/>
          <w:snapToGrid w:val="0"/>
        </w:rPr>
        <w:t xml:space="preserve">. </w:t>
      </w:r>
      <w:r>
        <w:rPr>
          <w:rFonts w:eastAsia="Calibri" w:cs="Times New Roman"/>
          <w:snapToGrid w:val="0"/>
        </w:rPr>
        <w:t>Response distributions for respondents will be compared with the sampled population using available frame variables. If evidence of differential nonresponse is identified, weighting adjustments using available sampling-frame characteristics may be developed to align the respondent distribution more closely with the sampled population</w:t>
      </w:r>
      <w:r w:rsidRPr="00B9679E" w:rsidR="00B9679E">
        <w:rPr>
          <w:rFonts w:eastAsia="Calibri" w:cs="Times New Roman"/>
          <w:snapToGrid w:val="0"/>
        </w:rPr>
        <w:t>.</w:t>
      </w:r>
      <w:r w:rsidRPr="00C125F8">
        <w:rPr>
          <w:rFonts w:eastAsia="Calibri" w:cs="Times New Roman"/>
          <w:snapToGrid w:val="0"/>
        </w:rPr>
        <w:t xml:space="preserve"> </w:t>
      </w:r>
    </w:p>
    <w:p w:rsidR="003E126B" w:rsidRPr="00C125F8" w:rsidP="00EE5E78" w14:paraId="47AF8180" w14:textId="7C9A2B5C">
      <w:pPr>
        <w:spacing w:line="256" w:lineRule="auto"/>
        <w:ind w:left="1080"/>
        <w:rPr>
          <w:rFonts w:eastAsia="Calibri" w:cs="Times New Roman"/>
          <w:szCs w:val="24"/>
        </w:rPr>
      </w:pPr>
      <w:r>
        <w:rPr>
          <w:rFonts w:eastAsia="Calibri" w:cs="Times New Roman"/>
          <w:snapToGrid w:val="0"/>
        </w:rPr>
        <w:t xml:space="preserve">To strengthen the nonresponse bias assessment, additional auxiliary variables </w:t>
      </w:r>
      <w:r w:rsidR="00FF3425">
        <w:rPr>
          <w:rFonts w:eastAsia="Calibri" w:cs="Times New Roman"/>
          <w:snapToGrid w:val="0"/>
        </w:rPr>
        <w:t>will</w:t>
      </w:r>
      <w:r>
        <w:rPr>
          <w:rFonts w:eastAsia="Calibri" w:cs="Times New Roman"/>
          <w:snapToGrid w:val="0"/>
        </w:rPr>
        <w:t xml:space="preserve"> be appended to the sampling frame</w:t>
      </w:r>
      <w:r w:rsidR="00424804">
        <w:rPr>
          <w:rFonts w:eastAsia="Calibri" w:cs="Times New Roman"/>
          <w:snapToGrid w:val="0"/>
        </w:rPr>
        <w:t xml:space="preserve"> as available</w:t>
      </w:r>
      <w:r>
        <w:rPr>
          <w:rFonts w:eastAsia="Calibri" w:cs="Times New Roman"/>
          <w:snapToGrid w:val="0"/>
        </w:rPr>
        <w:t xml:space="preserve"> through geocoding and commercially available databases maintained by the sampling vendor. These variables </w:t>
      </w:r>
      <w:r w:rsidR="00FF3425">
        <w:rPr>
          <w:rFonts w:eastAsia="Calibri" w:cs="Times New Roman"/>
          <w:snapToGrid w:val="0"/>
        </w:rPr>
        <w:t>are expected to</w:t>
      </w:r>
      <w:r>
        <w:rPr>
          <w:rFonts w:eastAsia="Calibri" w:cs="Times New Roman"/>
          <w:snapToGrid w:val="0"/>
        </w:rPr>
        <w:t xml:space="preserve"> include demographic, socioeconomic, and geographic characteristics available for both respondents and nonrespondents. The appended variables will be used to evaluate patterns of survey participation, identify potential sources of differential nonresponse,</w:t>
      </w:r>
      <w:r w:rsidR="00424804">
        <w:rPr>
          <w:rFonts w:eastAsia="Calibri" w:cs="Times New Roman"/>
          <w:snapToGrid w:val="0"/>
        </w:rPr>
        <w:t xml:space="preserve"> </w:t>
      </w:r>
      <w:r>
        <w:rPr>
          <w:rFonts w:eastAsia="Calibri" w:cs="Times New Roman"/>
          <w:snapToGrid w:val="0"/>
        </w:rPr>
        <w:t>and inform weighting adjustments designed to reduce the potential effects of nonresponse bias on survey estimates.</w:t>
      </w:r>
    </w:p>
    <w:p w:rsidR="00972999" w:rsidP="00EE5E78" w14:paraId="6FD04EFE" w14:textId="24407447">
      <w:pPr>
        <w:spacing w:line="256" w:lineRule="auto"/>
        <w:ind w:left="1080"/>
        <w:rPr>
          <w:rFonts w:eastAsia="Calibri" w:cs="Times New Roman"/>
          <w:szCs w:val="24"/>
        </w:rPr>
      </w:pPr>
      <w:r>
        <w:rPr>
          <w:rFonts w:eastAsia="Calibri" w:cs="Times New Roman"/>
          <w:szCs w:val="24"/>
        </w:rPr>
        <w:t>Several approaches</w:t>
      </w:r>
      <w:r>
        <w:rPr>
          <w:rFonts w:eastAsia="Calibri" w:cs="Times New Roman"/>
          <w:szCs w:val="24"/>
        </w:rPr>
        <w:t xml:space="preserve"> </w:t>
      </w:r>
      <w:r w:rsidRPr="00972999">
        <w:rPr>
          <w:rFonts w:eastAsia="Calibri" w:cs="Times New Roman"/>
          <w:szCs w:val="24"/>
        </w:rPr>
        <w:t>recommended in the stated preference and survey methodology literature will be used to assess the potential for nonresponse bias</w:t>
      </w:r>
      <w:r w:rsidRPr="00C125F8" w:rsidR="00C125F8">
        <w:rPr>
          <w:rFonts w:eastAsia="Calibri" w:cs="Times New Roman"/>
          <w:szCs w:val="24"/>
        </w:rPr>
        <w:t>.</w:t>
      </w:r>
      <w:r>
        <w:rPr>
          <w:rFonts w:eastAsia="Calibri" w:cs="Times New Roman"/>
          <w:szCs w:val="24"/>
          <w:vertAlign w:val="superscript"/>
        </w:rPr>
        <w:footnoteReference w:id="7"/>
      </w:r>
      <w:r w:rsidRPr="00C125F8" w:rsidR="00C125F8">
        <w:rPr>
          <w:rFonts w:eastAsia="Calibri" w:cs="Times New Roman"/>
          <w:szCs w:val="24"/>
          <w:vertAlign w:val="superscript"/>
        </w:rPr>
        <w:t>,</w:t>
      </w:r>
      <w:r>
        <w:rPr>
          <w:rFonts w:eastAsia="Calibri" w:cs="Times New Roman"/>
          <w:szCs w:val="24"/>
          <w:vertAlign w:val="superscript"/>
        </w:rPr>
        <w:footnoteReference w:id="8"/>
      </w:r>
      <w:r w:rsidR="003E126B">
        <w:rPr>
          <w:rFonts w:eastAsia="Calibri" w:cs="Times New Roman"/>
          <w:szCs w:val="24"/>
        </w:rPr>
        <w:t xml:space="preserve"> Analyses will compare respondents and nonrespondents using available sampling-frame information and appended auxiliary variables. Results from these analyses may be used to inform weighting adjustments, sensitivity analyses, and interpretation of survey findings.</w:t>
      </w:r>
    </w:p>
    <w:p w:rsidR="00972999" w:rsidP="00EE5E78" w14:paraId="44BFFE36" w14:textId="565A1006">
      <w:pPr>
        <w:spacing w:line="256" w:lineRule="auto"/>
        <w:ind w:left="1080"/>
        <w:rPr>
          <w:rFonts w:eastAsia="Calibri" w:cs="Times New Roman"/>
          <w:szCs w:val="24"/>
        </w:rPr>
      </w:pPr>
      <w:r w:rsidRPr="00972999">
        <w:rPr>
          <w:rFonts w:eastAsia="Calibri" w:cs="Times New Roman"/>
          <w:szCs w:val="24"/>
        </w:rPr>
        <w:t xml:space="preserve">Information regarding reasons for refusal or nonparticipation will be </w:t>
      </w:r>
      <w:r w:rsidR="00FF3425">
        <w:rPr>
          <w:rFonts w:eastAsia="Calibri" w:cs="Times New Roman"/>
          <w:szCs w:val="24"/>
        </w:rPr>
        <w:t>documented</w:t>
      </w:r>
      <w:r w:rsidRPr="00972999">
        <w:rPr>
          <w:rFonts w:eastAsia="Calibri" w:cs="Times New Roman"/>
          <w:szCs w:val="24"/>
        </w:rPr>
        <w:t xml:space="preserve">, where feasible, </w:t>
      </w:r>
      <w:r w:rsidR="00FF3425">
        <w:rPr>
          <w:rFonts w:eastAsia="Calibri" w:cs="Times New Roman"/>
          <w:szCs w:val="24"/>
        </w:rPr>
        <w:t>during the data collection period</w:t>
      </w:r>
      <w:r w:rsidRPr="00972999">
        <w:rPr>
          <w:rFonts w:eastAsia="Calibri" w:cs="Times New Roman"/>
          <w:szCs w:val="24"/>
        </w:rPr>
        <w:t xml:space="preserve">. </w:t>
      </w:r>
      <w:r w:rsidR="00196716">
        <w:rPr>
          <w:rFonts w:eastAsia="Calibri" w:cs="Times New Roman"/>
          <w:szCs w:val="24"/>
        </w:rPr>
        <w:t>This</w:t>
      </w:r>
      <w:r w:rsidR="00FF3425">
        <w:rPr>
          <w:rFonts w:eastAsia="Calibri" w:cs="Times New Roman"/>
          <w:szCs w:val="24"/>
        </w:rPr>
        <w:t xml:space="preserve"> data may be used to help assess whether particular factors are associated with survey participation and to inform interpretation of survey findings. </w:t>
      </w:r>
    </w:p>
    <w:p w:rsidR="00C125F8" w:rsidRPr="00C125F8" w:rsidP="00EE5E78" w14:paraId="697397A5" w14:textId="5411271C">
      <w:pPr>
        <w:spacing w:line="256" w:lineRule="auto"/>
        <w:ind w:left="1080"/>
        <w:rPr>
          <w:rFonts w:eastAsia="Calibri" w:cs="Times New Roman"/>
        </w:rPr>
      </w:pPr>
      <w:r w:rsidRPr="00C125F8">
        <w:rPr>
          <w:rFonts w:eastAsia="Calibri" w:cs="Times New Roman"/>
          <w:color w:val="000000"/>
          <w:szCs w:val="24"/>
        </w:rPr>
        <w:t xml:space="preserve">Another </w:t>
      </w:r>
      <w:r w:rsidR="00850837">
        <w:rPr>
          <w:rFonts w:eastAsia="Calibri" w:cs="Times New Roman"/>
          <w:color w:val="000000"/>
          <w:szCs w:val="24"/>
        </w:rPr>
        <w:t>approach</w:t>
      </w:r>
      <w:r w:rsidRPr="00C125F8" w:rsidR="00850837">
        <w:rPr>
          <w:rFonts w:eastAsia="Calibri" w:cs="Times New Roman"/>
          <w:color w:val="000000"/>
          <w:szCs w:val="24"/>
        </w:rPr>
        <w:t xml:space="preserve"> </w:t>
      </w:r>
      <w:r w:rsidRPr="00C125F8">
        <w:rPr>
          <w:rFonts w:eastAsia="Calibri" w:cs="Times New Roman"/>
          <w:color w:val="000000"/>
          <w:szCs w:val="24"/>
        </w:rPr>
        <w:t xml:space="preserve">for </w:t>
      </w:r>
      <w:r w:rsidR="00850837">
        <w:rPr>
          <w:rFonts w:eastAsia="Calibri" w:cs="Times New Roman"/>
          <w:color w:val="000000"/>
          <w:szCs w:val="24"/>
        </w:rPr>
        <w:t>evaluating</w:t>
      </w:r>
      <w:r w:rsidRPr="00C125F8" w:rsidR="00850837">
        <w:rPr>
          <w:rFonts w:eastAsia="Calibri" w:cs="Times New Roman"/>
          <w:color w:val="000000"/>
          <w:szCs w:val="24"/>
        </w:rPr>
        <w:t xml:space="preserve"> </w:t>
      </w:r>
      <w:r w:rsidRPr="00C125F8">
        <w:rPr>
          <w:rFonts w:eastAsia="Calibri" w:cs="Times New Roman"/>
          <w:color w:val="000000"/>
          <w:szCs w:val="24"/>
        </w:rPr>
        <w:t xml:space="preserve">the potential for nonresponse bias </w:t>
      </w:r>
      <w:r w:rsidR="00850837">
        <w:rPr>
          <w:rFonts w:eastAsia="Calibri" w:cs="Times New Roman"/>
          <w:color w:val="000000"/>
          <w:szCs w:val="24"/>
        </w:rPr>
        <w:t>involves</w:t>
      </w:r>
      <w:r w:rsidRPr="00C125F8">
        <w:rPr>
          <w:rFonts w:eastAsia="Calibri" w:cs="Times New Roman"/>
          <w:color w:val="000000"/>
          <w:szCs w:val="24"/>
        </w:rPr>
        <w:t xml:space="preserve"> </w:t>
      </w:r>
      <w:r w:rsidRPr="00C125F8">
        <w:rPr>
          <w:rFonts w:eastAsia="Calibri" w:cs="Times New Roman"/>
        </w:rPr>
        <w:t>compar</w:t>
      </w:r>
      <w:r w:rsidR="00850837">
        <w:rPr>
          <w:rFonts w:eastAsia="Calibri" w:cs="Times New Roman"/>
        </w:rPr>
        <w:t>ing</w:t>
      </w:r>
      <w:r w:rsidRPr="00C125F8">
        <w:rPr>
          <w:rFonts w:eastAsia="Calibri" w:cs="Times New Roman"/>
        </w:rPr>
        <w:t xml:space="preserve"> earlier responde</w:t>
      </w:r>
      <w:r w:rsidR="00675661">
        <w:rPr>
          <w:rFonts w:eastAsia="Calibri" w:cs="Times New Roman"/>
        </w:rPr>
        <w:t>nt</w:t>
      </w:r>
      <w:r w:rsidRPr="00C125F8">
        <w:rPr>
          <w:rFonts w:eastAsia="Calibri" w:cs="Times New Roman"/>
        </w:rPr>
        <w:t xml:space="preserve">s </w:t>
      </w:r>
      <w:r w:rsidR="00850837">
        <w:rPr>
          <w:rFonts w:eastAsia="Calibri" w:cs="Times New Roman"/>
        </w:rPr>
        <w:t>with</w:t>
      </w:r>
      <w:r w:rsidRPr="00C125F8">
        <w:rPr>
          <w:rFonts w:eastAsia="Calibri" w:cs="Times New Roman"/>
        </w:rPr>
        <w:t xml:space="preserve"> late</w:t>
      </w:r>
      <w:r w:rsidR="00850837">
        <w:rPr>
          <w:rFonts w:eastAsia="Calibri" w:cs="Times New Roman"/>
        </w:rPr>
        <w:t>r</w:t>
      </w:r>
      <w:r w:rsidRPr="00C125F8">
        <w:rPr>
          <w:rFonts w:eastAsia="Calibri" w:cs="Times New Roman"/>
        </w:rPr>
        <w:t xml:space="preserve"> responde</w:t>
      </w:r>
      <w:r w:rsidR="00850837">
        <w:rPr>
          <w:rFonts w:eastAsia="Calibri" w:cs="Times New Roman"/>
        </w:rPr>
        <w:t>nts</w:t>
      </w:r>
      <w:r w:rsidRPr="00C125F8">
        <w:rPr>
          <w:rFonts w:eastAsia="Calibri" w:cs="Times New Roman"/>
        </w:rPr>
        <w:t>.</w:t>
      </w:r>
      <w:r>
        <w:rPr>
          <w:rFonts w:eastAsia="Calibri" w:cs="Times New Roman"/>
          <w:vertAlign w:val="superscript"/>
        </w:rPr>
        <w:footnoteReference w:id="9"/>
      </w:r>
      <w:r w:rsidRPr="00C125F8">
        <w:rPr>
          <w:rFonts w:eastAsia="Calibri" w:cs="Times New Roman"/>
        </w:rPr>
        <w:t xml:space="preserve"> This approach is based on the continuum of resistance theory,</w:t>
      </w:r>
      <w:r>
        <w:rPr>
          <w:rFonts w:eastAsia="Calibri" w:cs="Times New Roman"/>
          <w:vertAlign w:val="superscript"/>
        </w:rPr>
        <w:footnoteReference w:id="10"/>
      </w:r>
      <w:r w:rsidRPr="00C125F8">
        <w:rPr>
          <w:rFonts w:eastAsia="Calibri" w:cs="Times New Roman"/>
        </w:rPr>
        <w:t xml:space="preserve"> which suggests that </w:t>
      </w:r>
      <w:r w:rsidR="003A5EE3">
        <w:rPr>
          <w:rFonts w:eastAsia="Calibri" w:cs="Times New Roman"/>
        </w:rPr>
        <w:t>l</w:t>
      </w:r>
      <w:r w:rsidR="00850837">
        <w:rPr>
          <w:rFonts w:eastAsia="Calibri" w:cs="Times New Roman"/>
        </w:rPr>
        <w:t xml:space="preserve">ate respondents may share some characteristics with nonrespondents. Two approaches will be considered. The first approach, commonly </w:t>
      </w:r>
      <w:r w:rsidRPr="00C125F8">
        <w:rPr>
          <w:rFonts w:eastAsia="Calibri" w:cs="Times New Roman"/>
        </w:rPr>
        <w:t xml:space="preserve">known as wave analysis, </w:t>
      </w:r>
      <w:r w:rsidR="00850837">
        <w:rPr>
          <w:rFonts w:eastAsia="Calibri" w:cs="Times New Roman"/>
        </w:rPr>
        <w:t xml:space="preserve">involves defining response </w:t>
      </w:r>
      <w:r w:rsidR="00EC2D55">
        <w:rPr>
          <w:rFonts w:eastAsia="Calibri" w:cs="Times New Roman"/>
        </w:rPr>
        <w:t>waves based on contact efforts and comparing key outcome variables across waves using chi-square tests or Fisher’s Exact tests, where appropriate. The second approach involves examining the relationship between time-to-response and key outcome variables using regression-based methods. B</w:t>
      </w:r>
      <w:r w:rsidRPr="00C125F8">
        <w:rPr>
          <w:rFonts w:eastAsia="Calibri" w:cs="Times New Roman"/>
        </w:rPr>
        <w:t xml:space="preserve">oth approaches will be </w:t>
      </w:r>
      <w:r w:rsidR="00EC2D55">
        <w:rPr>
          <w:rFonts w:eastAsia="Calibri" w:cs="Times New Roman"/>
        </w:rPr>
        <w:t>conducted to evaluate the extent to which survey estimates could be affected.</w:t>
      </w:r>
    </w:p>
    <w:p w:rsidR="00C125F8" w:rsidP="00EE5E78" w14:paraId="4796DB45" w14:textId="3CA81B7F">
      <w:pPr>
        <w:ind w:left="1080"/>
      </w:pPr>
      <w:r w:rsidRPr="007D30FC">
        <w:rPr>
          <w:rFonts w:eastAsia="Calibri" w:cs="Times New Roman"/>
        </w:rPr>
        <w:t xml:space="preserve">Data from these analyses will be used to evaluate the potential </w:t>
      </w:r>
      <w:r w:rsidR="00424804">
        <w:rPr>
          <w:rFonts w:eastAsia="Calibri" w:cs="Times New Roman"/>
        </w:rPr>
        <w:t>presence and effects</w:t>
      </w:r>
      <w:r w:rsidRPr="007D30FC" w:rsidR="000B2CB5">
        <w:rPr>
          <w:rFonts w:eastAsia="Calibri" w:cs="Times New Roman"/>
        </w:rPr>
        <w:t xml:space="preserve"> </w:t>
      </w:r>
      <w:r w:rsidRPr="007D30FC">
        <w:rPr>
          <w:rFonts w:eastAsia="Calibri" w:cs="Times New Roman"/>
        </w:rPr>
        <w:t>of nonresponse bias. In addition to respondent-level analyses, item nonresponse will also be examined for key survey variables. Higher item response rates generally reduce the likelihood that item nonresponse will meaningfully affect survey estimates, whereas lower item response rates may increase the potential for bias depending on the nature and distribution of the missing data. Should analyses indicate the potential for differential nonresponse, weighting adjustments and sensitivity analyses will be considered to evaluate the extent to which survey estimates may be affected. If item nonresponse is determined to meaningfully affect</w:t>
      </w:r>
      <w:r w:rsidR="000B2CB5">
        <w:rPr>
          <w:rFonts w:eastAsia="Calibri" w:cs="Times New Roman"/>
        </w:rPr>
        <w:t xml:space="preserve"> the</w:t>
      </w:r>
      <w:r w:rsidRPr="007D30FC">
        <w:rPr>
          <w:rFonts w:eastAsia="Calibri" w:cs="Times New Roman"/>
        </w:rPr>
        <w:t xml:space="preserve"> analytic utility for selected non-key variables, imputation procedures such as hot-deck imputation may be considered.</w:t>
      </w:r>
    </w:p>
    <w:p w:rsidR="00C125F8" w:rsidRPr="0009382C" w:rsidP="00EE5E78" w14:paraId="583E29B2" w14:textId="3332AB94">
      <w:pPr>
        <w:pStyle w:val="Heading3"/>
        <w:numPr>
          <w:ilvl w:val="0"/>
          <w:numId w:val="29"/>
        </w:numPr>
      </w:pPr>
      <w:bookmarkStart w:id="18" w:name="_Toc36473987"/>
      <w:bookmarkStart w:id="19" w:name="_Toc236138084"/>
      <w:r>
        <w:t xml:space="preserve">Describe </w:t>
      </w:r>
      <w:r w:rsidRPr="0009382C">
        <w:t>Tests of Procedures or Methods</w:t>
      </w:r>
      <w:bookmarkEnd w:id="18"/>
      <w:bookmarkEnd w:id="19"/>
      <w:r w:rsidRPr="0009382C">
        <w:t xml:space="preserve"> </w:t>
      </w:r>
    </w:p>
    <w:p w:rsidR="00535EC5" w:rsidRPr="00C361CA" w:rsidP="00EE5E78" w14:paraId="31BE5EE0" w14:textId="272392EF">
      <w:pPr>
        <w:ind w:left="720"/>
        <w:rPr>
          <w:rFonts w:cs="Times New Roman"/>
          <w:szCs w:val="24"/>
        </w:rPr>
      </w:pPr>
      <w:r w:rsidRPr="00805405">
        <w:t xml:space="preserve">One of the most essential recommendations from the </w:t>
      </w:r>
      <w:r w:rsidRPr="00042B65">
        <w:rPr>
          <w:iCs/>
        </w:rPr>
        <w:t>stated preference</w:t>
      </w:r>
      <w:r w:rsidRPr="0090702B">
        <w:rPr>
          <w:iCs/>
        </w:rPr>
        <w:t xml:space="preserve"> </w:t>
      </w:r>
      <w:r w:rsidRPr="00805405">
        <w:t xml:space="preserve">literature is to conduct a pretest of the survey instrument prior to fielding. In their comprehensive review of the </w:t>
      </w:r>
      <w:r w:rsidR="007D30FC">
        <w:t>state</w:t>
      </w:r>
      <w:r w:rsidR="00675661">
        <w:t>d</w:t>
      </w:r>
      <w:r w:rsidR="007D30FC">
        <w:t xml:space="preserve"> preference</w:t>
      </w:r>
      <w:r w:rsidRPr="00805405" w:rsidR="007D30FC">
        <w:t xml:space="preserve"> </w:t>
      </w:r>
      <w:r w:rsidRPr="00805405">
        <w:t>literature and studies to date, Johnston et al. (201</w:t>
      </w:r>
      <w:r w:rsidR="007D30FC">
        <w:t>3</w:t>
      </w:r>
      <w:r w:rsidRPr="00805405">
        <w:t>)</w:t>
      </w:r>
      <w:r>
        <w:rPr>
          <w:vertAlign w:val="superscript"/>
        </w:rPr>
        <w:footnoteReference w:id="11"/>
      </w:r>
      <w:r w:rsidRPr="00805405">
        <w:t xml:space="preserve"> noted that the sufficiency of the survey design components depends on respondents’ understanding and perceptions of the scenarios they are being asked to value (or in this case respond to). This insight is </w:t>
      </w:r>
      <w:r w:rsidR="00C361CA">
        <w:t>particularly important for ensuring</w:t>
      </w:r>
      <w:r w:rsidRPr="00805405">
        <w:t xml:space="preserve"> that respondents understand scenarios as intended. Two types of pretesting are recommended: qualitative pretesting of survey materials using focus groups, cognitive interviews, or other small-group methods, and quantitative pretesting using pilot studies.</w:t>
      </w:r>
      <w:r>
        <w:rPr>
          <w:vertAlign w:val="superscript"/>
        </w:rPr>
        <w:footnoteReference w:id="12"/>
      </w:r>
      <w:r w:rsidRPr="00805405">
        <w:rPr>
          <w:vertAlign w:val="superscript"/>
        </w:rPr>
        <w:t>,</w:t>
      </w:r>
      <w:r>
        <w:rPr>
          <w:vertAlign w:val="superscript"/>
        </w:rPr>
        <w:footnoteReference w:id="13"/>
      </w:r>
      <w:r w:rsidRPr="00805405">
        <w:rPr>
          <w:vertAlign w:val="superscript"/>
        </w:rPr>
        <w:t>,</w:t>
      </w:r>
      <w:r>
        <w:rPr>
          <w:vertAlign w:val="superscript"/>
        </w:rPr>
        <w:footnoteReference w:id="14"/>
      </w:r>
      <w:r w:rsidRPr="00805405">
        <w:t xml:space="preserve"> Both types of pretesting </w:t>
      </w:r>
      <w:r w:rsidR="009123A9">
        <w:t>were</w:t>
      </w:r>
      <w:r w:rsidR="00C9597D">
        <w:t xml:space="preserve"> </w:t>
      </w:r>
      <w:r w:rsidRPr="00805405">
        <w:t>conducted</w:t>
      </w:r>
      <w:r w:rsidR="00C9597D">
        <w:rPr>
          <w:rFonts w:cs="Times New Roman"/>
          <w:szCs w:val="24"/>
        </w:rPr>
        <w:t xml:space="preserve"> </w:t>
      </w:r>
      <w:r w:rsidR="009B5329">
        <w:rPr>
          <w:rFonts w:cs="Times New Roman"/>
          <w:szCs w:val="24"/>
        </w:rPr>
        <w:t xml:space="preserve">through </w:t>
      </w:r>
      <w:r w:rsidRPr="004442D9" w:rsidR="00C9597D">
        <w:rPr>
          <w:rFonts w:cs="Times New Roman"/>
          <w:szCs w:val="24"/>
        </w:rPr>
        <w:t xml:space="preserve">OMB </w:t>
      </w:r>
      <w:r w:rsidRPr="000A5132" w:rsidR="00C9597D">
        <w:rPr>
          <w:rFonts w:cs="Times New Roman"/>
          <w:szCs w:val="24"/>
        </w:rPr>
        <w:t>2133-</w:t>
      </w:r>
      <w:r w:rsidR="00C9597D">
        <w:rPr>
          <w:rFonts w:cs="Times New Roman"/>
          <w:szCs w:val="24"/>
        </w:rPr>
        <w:t>0555</w:t>
      </w:r>
      <w:r w:rsidRPr="004442D9" w:rsidR="00C9597D">
        <w:rPr>
          <w:rFonts w:cs="Times New Roman"/>
          <w:szCs w:val="24"/>
        </w:rPr>
        <w:t>.</w:t>
      </w:r>
    </w:p>
    <w:p w:rsidR="00C361CA" w:rsidRPr="00EE5E78" w:rsidP="00EE5E78" w14:paraId="07C30867" w14:textId="544E4900">
      <w:pPr>
        <w:pStyle w:val="ListParagraph"/>
        <w:numPr>
          <w:ilvl w:val="0"/>
          <w:numId w:val="33"/>
        </w:numPr>
        <w:rPr>
          <w:b/>
          <w:bCs/>
        </w:rPr>
      </w:pPr>
      <w:r w:rsidRPr="00EE5E78">
        <w:rPr>
          <w:rFonts w:cs="Times New Roman"/>
          <w:b/>
          <w:bCs/>
          <w:szCs w:val="24"/>
        </w:rPr>
        <w:t>Pretest Component 1: Cognitive Interviews</w:t>
      </w:r>
    </w:p>
    <w:p w:rsidR="00C361CA" w:rsidRPr="00805405" w:rsidP="00EE5E78" w14:paraId="635F2EFD" w14:textId="77777777">
      <w:pPr>
        <w:ind w:left="1080"/>
      </w:pPr>
      <w:r w:rsidRPr="00BA2540">
        <w:t>The first phase of pretesting consisted of cognitive interviews conducted with a small subset of mariners. A total of 23 mariners participated in a cognitive interview and received a $50 incentive for participation. Cognitive interviews are particularly useful when surveys include stated preference questions because respondents may overestimate or underestimate their likelihood of engaging in a hypothetical behavior, resulting in biased or inaccurate estimates. In the case of the Mariner Survey, there is concern that mariners could overestimate their willingness to volunteer to serve as a paid crew member during a time of National Need. Given the real-world importance of obtaining accurate survey results, it was essential to minimize the potential for hypothetical bias to the greatest extent possible prior to implementation of the full-scale survey effort.</w:t>
      </w:r>
    </w:p>
    <w:p w:rsidR="00C361CA" w:rsidP="00EE5E78" w14:paraId="559A7E05" w14:textId="10C82BA3">
      <w:pPr>
        <w:ind w:left="1080"/>
        <w:rPr>
          <w:rFonts w:cs="Times New Roman"/>
        </w:rPr>
      </w:pPr>
      <w:r w:rsidRPr="00A31400">
        <w:rPr>
          <w:rFonts w:cs="Times New Roman"/>
        </w:rPr>
        <w:t xml:space="preserve">The </w:t>
      </w:r>
      <w:r w:rsidRPr="00042B65">
        <w:rPr>
          <w:rFonts w:cs="Times New Roman"/>
        </w:rPr>
        <w:t>stated preference</w:t>
      </w:r>
      <w:r w:rsidRPr="0090702B">
        <w:rPr>
          <w:rFonts w:cs="Times New Roman"/>
        </w:rPr>
        <w:t xml:space="preserve"> </w:t>
      </w:r>
      <w:r w:rsidRPr="00A31400">
        <w:rPr>
          <w:rFonts w:cs="Times New Roman"/>
        </w:rPr>
        <w:t xml:space="preserve">literature provides several recommendations for minimizing bias in responses to hypothetical questions. One important consideration is ensuring that respondents fully understand the scenarios they are asked to evaluate. </w:t>
      </w:r>
      <w:r w:rsidRPr="00805405">
        <w:t xml:space="preserve">Therefore, the scenarios </w:t>
      </w:r>
      <w:r w:rsidR="007D30FC">
        <w:t xml:space="preserve">must </w:t>
      </w:r>
      <w:r w:rsidRPr="00805405">
        <w:t>be presented in a manner easily comprehended by mariners, using language all mariners understand.</w:t>
      </w:r>
      <w:r>
        <w:rPr>
          <w:vertAlign w:val="superscript"/>
        </w:rPr>
        <w:footnoteReference w:id="15"/>
      </w:r>
      <w:r w:rsidRPr="00805405">
        <w:rPr>
          <w:vertAlign w:val="superscript"/>
        </w:rPr>
        <w:t>,</w:t>
      </w:r>
      <w:r>
        <w:rPr>
          <w:vertAlign w:val="superscript"/>
        </w:rPr>
        <w:footnoteReference w:id="16"/>
      </w:r>
      <w:r w:rsidRPr="00805405">
        <w:t xml:space="preserve"> </w:t>
      </w:r>
      <w:r w:rsidRPr="007C7CBD">
        <w:t>As a related issue, in order for mariners to respond accurately, they must have all relevant information.</w:t>
      </w:r>
      <w:r>
        <w:rPr>
          <w:rStyle w:val="FootnoteReference"/>
        </w:rPr>
        <w:footnoteReference w:id="17"/>
      </w:r>
      <w:r w:rsidRPr="00042B65" w:rsidR="007C7CBD">
        <w:rPr>
          <w:vertAlign w:val="superscript"/>
        </w:rPr>
        <w:t>,</w:t>
      </w:r>
      <w:r>
        <w:rPr>
          <w:vertAlign w:val="superscript"/>
        </w:rPr>
        <w:footnoteReference w:id="18"/>
      </w:r>
      <w:r w:rsidRPr="00805405">
        <w:t xml:space="preserve"> Hypothetical questions </w:t>
      </w:r>
      <w:r>
        <w:t>about</w:t>
      </w:r>
      <w:r w:rsidRPr="00805405">
        <w:t xml:space="preserve"> future decisions may </w:t>
      </w:r>
      <w:r>
        <w:t>yield</w:t>
      </w:r>
      <w:r w:rsidRPr="00805405">
        <w:t xml:space="preserve"> responses that are not representative of respondent</w:t>
      </w:r>
      <w:r w:rsidR="006574EB">
        <w:t>s’ actual</w:t>
      </w:r>
      <w:r w:rsidRPr="00805405">
        <w:t xml:space="preserve"> thought</w:t>
      </w:r>
      <w:r w:rsidR="006574EB">
        <w:t>s</w:t>
      </w:r>
      <w:r w:rsidRPr="00805405">
        <w:t xml:space="preserve"> if such questions fail to specify enough relevant information of the type that respondents use to make decisions.</w:t>
      </w:r>
      <w:r>
        <w:rPr>
          <w:vertAlign w:val="superscript"/>
        </w:rPr>
        <w:footnoteReference w:id="19"/>
      </w:r>
      <w:r w:rsidRPr="00805405">
        <w:t xml:space="preserve"> </w:t>
      </w:r>
      <w:r w:rsidRPr="00A31400">
        <w:rPr>
          <w:rFonts w:cs="Times New Roman"/>
        </w:rPr>
        <w:t xml:space="preserve">Another important aspect of reducing bias is ensuring that respondents </w:t>
      </w:r>
      <w:r w:rsidR="006574EB">
        <w:rPr>
          <w:rFonts w:cs="Times New Roman"/>
        </w:rPr>
        <w:t>perceive</w:t>
      </w:r>
      <w:r w:rsidRPr="00A31400">
        <w:rPr>
          <w:rFonts w:cs="Times New Roman"/>
        </w:rPr>
        <w:t xml:space="preserve"> the survey questions </w:t>
      </w:r>
      <w:r w:rsidR="006574EB">
        <w:rPr>
          <w:rFonts w:cs="Times New Roman"/>
        </w:rPr>
        <w:t>as</w:t>
      </w:r>
      <w:r w:rsidRPr="00A31400">
        <w:rPr>
          <w:rFonts w:cs="Times New Roman"/>
        </w:rPr>
        <w:t xml:space="preserve"> meaningful and </w:t>
      </w:r>
      <w:r w:rsidR="006574EB">
        <w:rPr>
          <w:rFonts w:cs="Times New Roman"/>
        </w:rPr>
        <w:t xml:space="preserve">give them </w:t>
      </w:r>
      <w:r w:rsidRPr="00A31400">
        <w:rPr>
          <w:rFonts w:cs="Times New Roman"/>
        </w:rPr>
        <w:t>serious consideration.</w:t>
      </w:r>
    </w:p>
    <w:p w:rsidR="00C361CA" w:rsidRPr="00A31400" w:rsidP="00EE5E78" w14:paraId="22E1650D" w14:textId="77777777">
      <w:pPr>
        <w:spacing w:line="254" w:lineRule="auto"/>
        <w:ind w:left="1080"/>
        <w:rPr>
          <w:rFonts w:cs="Times New Roman"/>
        </w:rPr>
      </w:pPr>
      <w:r w:rsidRPr="00A31400">
        <w:rPr>
          <w:rFonts w:cs="Times New Roman"/>
        </w:rPr>
        <w:t>Accordingly, the cognitive interviews included probes designed to evaluate whether mariners:</w:t>
      </w:r>
    </w:p>
    <w:p w:rsidR="00C361CA" w:rsidRPr="00A31400" w:rsidP="00DF4F0C" w14:paraId="3BEE7864" w14:textId="77777777">
      <w:pPr>
        <w:numPr>
          <w:ilvl w:val="0"/>
          <w:numId w:val="19"/>
        </w:numPr>
        <w:tabs>
          <w:tab w:val="num" w:pos="720"/>
        </w:tabs>
        <w:spacing w:line="254" w:lineRule="auto"/>
        <w:rPr>
          <w:rFonts w:cs="Times New Roman"/>
        </w:rPr>
      </w:pPr>
      <w:r w:rsidRPr="00A31400">
        <w:rPr>
          <w:rFonts w:cs="Times New Roman"/>
        </w:rPr>
        <w:t xml:space="preserve">understood the terminology, phrases, and response options used throughout the survey; </w:t>
      </w:r>
    </w:p>
    <w:p w:rsidR="00C361CA" w:rsidRPr="00A31400" w:rsidP="00DF4F0C" w14:paraId="468D77E8" w14:textId="77777777">
      <w:pPr>
        <w:numPr>
          <w:ilvl w:val="0"/>
          <w:numId w:val="19"/>
        </w:numPr>
        <w:tabs>
          <w:tab w:val="num" w:pos="720"/>
        </w:tabs>
        <w:spacing w:line="254" w:lineRule="auto"/>
        <w:rPr>
          <w:rFonts w:cs="Times New Roman"/>
        </w:rPr>
      </w:pPr>
      <w:r w:rsidRPr="00A31400">
        <w:rPr>
          <w:rFonts w:cs="Times New Roman"/>
        </w:rPr>
        <w:t xml:space="preserve">found the six willingness-to-volunteer scenarios easy to understand and respond to; </w:t>
      </w:r>
    </w:p>
    <w:p w:rsidR="00C361CA" w:rsidRPr="00A31400" w:rsidP="00DF4F0C" w14:paraId="3C3DE87B" w14:textId="77777777">
      <w:pPr>
        <w:numPr>
          <w:ilvl w:val="0"/>
          <w:numId w:val="19"/>
        </w:numPr>
        <w:tabs>
          <w:tab w:val="num" w:pos="720"/>
        </w:tabs>
        <w:spacing w:line="254" w:lineRule="auto"/>
        <w:rPr>
          <w:rFonts w:cs="Times New Roman"/>
        </w:rPr>
      </w:pPr>
      <w:r w:rsidRPr="00A31400">
        <w:rPr>
          <w:rFonts w:cs="Times New Roman"/>
        </w:rPr>
        <w:t xml:space="preserve">believed they had sufficient information to respond accurately to the hypothetical scenarios; </w:t>
      </w:r>
    </w:p>
    <w:p w:rsidR="00C361CA" w:rsidRPr="00A31400" w:rsidP="00DF4F0C" w14:paraId="2E0C916C" w14:textId="77777777">
      <w:pPr>
        <w:numPr>
          <w:ilvl w:val="0"/>
          <w:numId w:val="19"/>
        </w:numPr>
        <w:tabs>
          <w:tab w:val="num" w:pos="720"/>
        </w:tabs>
        <w:spacing w:line="254" w:lineRule="auto"/>
        <w:rPr>
          <w:rFonts w:cs="Times New Roman"/>
        </w:rPr>
      </w:pPr>
      <w:r w:rsidRPr="00A31400">
        <w:rPr>
          <w:rFonts w:cs="Times New Roman"/>
        </w:rPr>
        <w:t xml:space="preserve">interpreted the scenarios consistently and as intended; and </w:t>
      </w:r>
    </w:p>
    <w:p w:rsidR="00C361CA" w:rsidRPr="00A31400" w:rsidP="00DF4F0C" w14:paraId="3333B4CD" w14:textId="77777777">
      <w:pPr>
        <w:numPr>
          <w:ilvl w:val="0"/>
          <w:numId w:val="19"/>
        </w:numPr>
        <w:tabs>
          <w:tab w:val="num" w:pos="720"/>
        </w:tabs>
        <w:spacing w:line="254" w:lineRule="auto"/>
        <w:rPr>
          <w:rFonts w:cs="Times New Roman"/>
        </w:rPr>
      </w:pPr>
      <w:r w:rsidRPr="00A31400">
        <w:rPr>
          <w:rFonts w:cs="Times New Roman"/>
        </w:rPr>
        <w:t xml:space="preserve">gave serious consideration to the questions when formulating their responses. </w:t>
      </w:r>
    </w:p>
    <w:p w:rsidR="00C361CA" w:rsidRPr="00353FC1" w:rsidP="00EE5E78" w14:paraId="61ABEAC5" w14:textId="77777777">
      <w:pPr>
        <w:spacing w:line="254" w:lineRule="auto"/>
        <w:ind w:left="1080"/>
        <w:rPr>
          <w:rFonts w:cs="Times New Roman"/>
        </w:rPr>
      </w:pPr>
      <w:r w:rsidRPr="00353FC1">
        <w:rPr>
          <w:rFonts w:cs="Times New Roman"/>
        </w:rPr>
        <w:t xml:space="preserve">Additional </w:t>
      </w:r>
      <w:r>
        <w:rPr>
          <w:rFonts w:cs="Times New Roman"/>
        </w:rPr>
        <w:t>questions</w:t>
      </w:r>
      <w:r w:rsidRPr="00353FC1">
        <w:rPr>
          <w:rFonts w:cs="Times New Roman"/>
        </w:rPr>
        <w:t xml:space="preserve"> addressed survey instructions, response categories, question formatting, burden associated with completing the survey, and the overall respondent experience.</w:t>
      </w:r>
    </w:p>
    <w:p w:rsidR="00C361CA" w:rsidRPr="00A31400" w:rsidP="00EE5E78" w14:paraId="1B5A80A7" w14:textId="77777777">
      <w:pPr>
        <w:spacing w:line="254" w:lineRule="auto"/>
        <w:ind w:left="1080"/>
        <w:rPr>
          <w:rFonts w:cs="Times New Roman"/>
        </w:rPr>
      </w:pPr>
      <w:r w:rsidRPr="00A31400">
        <w:rPr>
          <w:rFonts w:cs="Times New Roman"/>
        </w:rPr>
        <w:t>The interviews were summarized, synthesized, and systematically reviewed to identify common themes, potential misunderstandings, and operational issues. A report was subsequently developed describing the methodology, findings, conclusions, and recommendations arising from the cognitive interviews.</w:t>
      </w:r>
    </w:p>
    <w:p w:rsidR="00C361CA" w:rsidRPr="00A31400" w:rsidP="00EE5E78" w14:paraId="7A064E85" w14:textId="13571DF0">
      <w:pPr>
        <w:spacing w:line="254" w:lineRule="auto"/>
        <w:ind w:left="1080"/>
        <w:rPr>
          <w:rFonts w:cs="Times New Roman"/>
        </w:rPr>
      </w:pPr>
      <w:r w:rsidRPr="00A31400">
        <w:rPr>
          <w:rFonts w:cs="Times New Roman"/>
        </w:rPr>
        <w:t xml:space="preserve">The cognitive interviews did not identify any issues requiring changes to the survey layout, formatting, or procedures for accessing the online survey. Nearly all mariners indicated that they understood the scenarios and gave the questions serious consideration before responding. However, a small number of mariners identified issues related to several </w:t>
      </w:r>
      <w:r w:rsidR="006574EB">
        <w:rPr>
          <w:rFonts w:cs="Times New Roman"/>
        </w:rPr>
        <w:t xml:space="preserve">other </w:t>
      </w:r>
      <w:r w:rsidRPr="00A31400">
        <w:rPr>
          <w:rFonts w:cs="Times New Roman"/>
        </w:rPr>
        <w:t>survey items and response options. These issues were addressed through revisions to the wording of the affected items and response categories prior to implementation of the pilot test. These revisions are expected to improve question clarity and strengthen the validity and interpretability of responses collected during the full survey effort.</w:t>
      </w:r>
    </w:p>
    <w:p w:rsidR="00C361CA" w:rsidRPr="00EE5E78" w:rsidP="00EE5E78" w14:paraId="5EFF4BEF" w14:textId="5876BA11">
      <w:pPr>
        <w:pStyle w:val="ListParagraph"/>
        <w:numPr>
          <w:ilvl w:val="0"/>
          <w:numId w:val="31"/>
        </w:numPr>
        <w:rPr>
          <w:b/>
          <w:bCs/>
        </w:rPr>
      </w:pPr>
      <w:r w:rsidRPr="00EE5E78">
        <w:rPr>
          <w:rFonts w:cs="Times New Roman"/>
          <w:b/>
          <w:bCs/>
        </w:rPr>
        <w:t>Pretest Component 2: Pilot Test</w:t>
      </w:r>
    </w:p>
    <w:p w:rsidR="00C361CA" w:rsidP="00EE5E78" w14:paraId="03110757" w14:textId="77777777">
      <w:pPr>
        <w:ind w:left="1080"/>
      </w:pPr>
      <w:r w:rsidRPr="00353FC1">
        <w:t>Following completion of the revisions identified through the cognitive interviews, a pilot test of the online and mail versions of the survey was conducted.</w:t>
      </w:r>
    </w:p>
    <w:p w:rsidR="00C361CA" w:rsidRPr="00353FC1" w:rsidP="00EE5E78" w14:paraId="3F533D38" w14:textId="77777777">
      <w:pPr>
        <w:ind w:left="1080"/>
      </w:pPr>
      <w:r w:rsidRPr="00353FC1">
        <w:t>The pilot test was conducted between December 9, 2025, and April 8, 2026, to evaluate survey administration procedures, assess the usability and completeness of available contact information, examine participation patterns across mariner groups and survey modes, evaluate survey functioning, and identify operational or methodological issues that could affect implementation of the full survey effort. The pilot test also provided an opportunity to evaluate respondent burden, survey navigation, data collection procedures, respondent tracking procedures, follow-up activities, and data processing procedures associated with the multimode survey design.</w:t>
      </w:r>
    </w:p>
    <w:p w:rsidR="00C361CA" w:rsidRPr="00353FC1" w:rsidP="00EE5E78" w14:paraId="7760520D" w14:textId="71128179">
      <w:pPr>
        <w:ind w:left="1080"/>
      </w:pPr>
      <w:r w:rsidRPr="00353FC1">
        <w:t>The pilot test sample consisted of 650 mariners selected from the 2025 Merchant Mariner Licensing and Documentation (MMLD) extract. The sample included 500 mariners with a valid Merchant Mariner Credential (MMC) and 150 Licensed mariners with an MMC placed in continuity. The sampling approach used proportionate stratified random sampling across mariner subgroups.</w:t>
      </w:r>
    </w:p>
    <w:p w:rsidR="00C361CA" w:rsidP="00EE5E78" w14:paraId="4538C338" w14:textId="77777777">
      <w:pPr>
        <w:ind w:left="1080"/>
      </w:pPr>
      <w:r w:rsidRPr="00344A87">
        <w:t>The pilot test evaluated a multimode survey administration approach that included email invitations and reminders, mailed invitations and survey packets, telephone prompting, and Short Message Service (SMS) text message reminders. The pilot test was originally planned as a 70-day data collection effort but was extended to 120 days after MARAD was unable to obtain mariner email addresses from the MMLD extract and additional contact procedures were required.</w:t>
      </w:r>
    </w:p>
    <w:p w:rsidR="00C361CA" w:rsidRPr="00067EF3" w:rsidP="00EE5E78" w14:paraId="2DA616FC" w14:textId="77777777">
      <w:pPr>
        <w:spacing w:line="278" w:lineRule="auto"/>
        <w:ind w:left="1080"/>
      </w:pPr>
      <w:r>
        <w:t xml:space="preserve">The pilot test </w:t>
      </w:r>
      <w:r w:rsidRPr="00067EF3">
        <w:t>evaluated:</w:t>
      </w:r>
    </w:p>
    <w:p w:rsidR="00C361CA" w:rsidRPr="00067EF3" w:rsidP="00C361CA" w14:paraId="57CC7AA4" w14:textId="77777777">
      <w:pPr>
        <w:numPr>
          <w:ilvl w:val="0"/>
          <w:numId w:val="18"/>
        </w:numPr>
        <w:spacing w:line="278" w:lineRule="auto"/>
      </w:pPr>
      <w:r w:rsidRPr="00067EF3">
        <w:t>the completeness</w:t>
      </w:r>
      <w:r>
        <w:t>, accuracy,</w:t>
      </w:r>
      <w:r w:rsidRPr="00067EF3">
        <w:t xml:space="preserve"> and usability of contact information available through the MMLD extract and commercial contact append services; </w:t>
      </w:r>
    </w:p>
    <w:p w:rsidR="00C361CA" w:rsidRPr="00067EF3" w:rsidP="00C361CA" w14:paraId="5A89CF27" w14:textId="77777777">
      <w:pPr>
        <w:numPr>
          <w:ilvl w:val="0"/>
          <w:numId w:val="18"/>
        </w:numPr>
        <w:spacing w:line="278" w:lineRule="auto"/>
      </w:pPr>
      <w:r w:rsidRPr="00067EF3">
        <w:t xml:space="preserve">response rates across mariner subgroups and MMC status groups; </w:t>
      </w:r>
    </w:p>
    <w:p w:rsidR="00C361CA" w:rsidRPr="00067EF3" w:rsidP="00C361CA" w14:paraId="73DCE262" w14:textId="77777777">
      <w:pPr>
        <w:numPr>
          <w:ilvl w:val="0"/>
          <w:numId w:val="18"/>
        </w:numPr>
        <w:spacing w:line="278" w:lineRule="auto"/>
      </w:pPr>
      <w:r w:rsidRPr="00067EF3">
        <w:t xml:space="preserve">participation patterns by survey mode; </w:t>
      </w:r>
    </w:p>
    <w:p w:rsidR="00C361CA" w:rsidRPr="00067EF3" w:rsidP="00C361CA" w14:paraId="7BE5B3EC" w14:textId="77777777">
      <w:pPr>
        <w:numPr>
          <w:ilvl w:val="0"/>
          <w:numId w:val="18"/>
        </w:numPr>
        <w:spacing w:line="278" w:lineRule="auto"/>
      </w:pPr>
      <w:r w:rsidRPr="00067EF3">
        <w:t xml:space="preserve">the effectiveness of different respondent contact procedures; </w:t>
      </w:r>
    </w:p>
    <w:p w:rsidR="00C361CA" w:rsidRPr="00067EF3" w:rsidP="00C361CA" w14:paraId="36345B59" w14:textId="77777777">
      <w:pPr>
        <w:numPr>
          <w:ilvl w:val="0"/>
          <w:numId w:val="18"/>
        </w:numPr>
        <w:spacing w:line="278" w:lineRule="auto"/>
      </w:pPr>
      <w:r w:rsidRPr="00067EF3">
        <w:t xml:space="preserve">respondent navigation of skip instructions and grid-format questions; </w:t>
      </w:r>
    </w:p>
    <w:p w:rsidR="00C361CA" w:rsidP="00C361CA" w14:paraId="11A12D7E" w14:textId="77777777">
      <w:pPr>
        <w:numPr>
          <w:ilvl w:val="0"/>
          <w:numId w:val="18"/>
        </w:numPr>
        <w:spacing w:line="278" w:lineRule="auto"/>
      </w:pPr>
      <w:r w:rsidRPr="00067EF3">
        <w:t>item nonresponse</w:t>
      </w:r>
      <w:r>
        <w:t xml:space="preserve"> and </w:t>
      </w:r>
      <w:r>
        <w:t>survey breakoff</w:t>
      </w:r>
      <w:r w:rsidRPr="00067EF3">
        <w:t xml:space="preserve"> patterns; </w:t>
      </w:r>
    </w:p>
    <w:p w:rsidR="00C361CA" w:rsidP="00C361CA" w14:paraId="6F5AEB2D" w14:textId="77777777">
      <w:pPr>
        <w:numPr>
          <w:ilvl w:val="0"/>
          <w:numId w:val="18"/>
        </w:numPr>
        <w:spacing w:line="278" w:lineRule="auto"/>
      </w:pPr>
      <w:r>
        <w:t>web survey functionality and survey flow;</w:t>
      </w:r>
    </w:p>
    <w:p w:rsidR="00C361CA" w:rsidRPr="00067EF3" w:rsidP="00C361CA" w14:paraId="0DFD043A" w14:textId="77777777">
      <w:pPr>
        <w:numPr>
          <w:ilvl w:val="0"/>
          <w:numId w:val="18"/>
        </w:numPr>
        <w:spacing w:line="278" w:lineRule="auto"/>
      </w:pPr>
      <w:r>
        <w:t>respondent burden, including question complexity, survey length, and skip logic navigation;</w:t>
      </w:r>
    </w:p>
    <w:p w:rsidR="00C361CA" w:rsidRPr="00067EF3" w:rsidP="00C361CA" w14:paraId="3E97E7AF" w14:textId="77777777">
      <w:pPr>
        <w:numPr>
          <w:ilvl w:val="0"/>
          <w:numId w:val="18"/>
        </w:numPr>
        <w:spacing w:line="278" w:lineRule="auto"/>
      </w:pPr>
      <w:r w:rsidRPr="00067EF3">
        <w:t xml:space="preserve">write-in responses and indications </w:t>
      </w:r>
      <w:r w:rsidRPr="00067EF3">
        <w:t>of question</w:t>
      </w:r>
      <w:r w:rsidRPr="00067EF3">
        <w:t xml:space="preserve"> misunderstanding or ambiguity; and </w:t>
      </w:r>
    </w:p>
    <w:p w:rsidR="00C361CA" w:rsidRPr="00067EF3" w:rsidP="00C361CA" w14:paraId="649FEA68" w14:textId="1F3B007A">
      <w:pPr>
        <w:numPr>
          <w:ilvl w:val="0"/>
          <w:numId w:val="18"/>
        </w:numPr>
        <w:spacing w:line="278" w:lineRule="auto"/>
      </w:pPr>
      <w:r w:rsidRPr="00067EF3">
        <w:t xml:space="preserve">the functioning of Question </w:t>
      </w:r>
      <w:r w:rsidR="00E85B68">
        <w:t>4</w:t>
      </w:r>
      <w:r w:rsidRPr="00067EF3">
        <w:t xml:space="preserve">, the primary survey question measuring willingness to volunteer to serve across six hypothetical scenarios. </w:t>
      </w:r>
    </w:p>
    <w:p w:rsidR="00C361CA" w:rsidRPr="00344A87" w:rsidP="00EE5E78" w14:paraId="65F07CB5" w14:textId="64C84635">
      <w:pPr>
        <w:ind w:left="1080"/>
      </w:pPr>
      <w:r w:rsidRPr="00344A87">
        <w:t xml:space="preserve">Of the 650 sampled mariners, two were determined to be deceased and removed from the sample, leaving 648 eligible mariners. A total of 234 mariners answered at least one survey question, yielding an overall participation rate of 36.1%. </w:t>
      </w:r>
      <w:r w:rsidRPr="00D2112C" w:rsidR="00D2112C">
        <w:t>Because the primary purpose of the pilot test was methodological evaluation rather than substantive estimation, all partial survey responses were considered useful for assessing survey functioning, navigation, item nonresponse, and breakoff patterns.</w:t>
      </w:r>
      <w:r w:rsidR="00D2112C">
        <w:t xml:space="preserve"> </w:t>
      </w:r>
      <w:r w:rsidRPr="00344A87">
        <w:t>Most respondents who began the survey completed it, and item nonresponse rates were generally low. The primary source of missing data resulted from online respondents who exited the survey prior to completion.</w:t>
      </w:r>
    </w:p>
    <w:p w:rsidR="00C361CA" w:rsidRPr="00344A87" w:rsidP="00EE5E78" w14:paraId="55ED1F4B" w14:textId="77777777">
      <w:pPr>
        <w:ind w:left="1080"/>
      </w:pPr>
      <w:r w:rsidRPr="00344A87">
        <w:t>The pilot test identified several findings relevant to refinement of the survey methodology and survey instrument prior to implementation of the full survey effort. These findings included:</w:t>
      </w:r>
    </w:p>
    <w:p w:rsidR="00C361CA" w:rsidRPr="00344A87" w:rsidP="00C361CA" w14:paraId="04D65D89" w14:textId="77777777">
      <w:pPr>
        <w:numPr>
          <w:ilvl w:val="0"/>
          <w:numId w:val="20"/>
        </w:numPr>
      </w:pPr>
      <w:r w:rsidRPr="00344A87">
        <w:t xml:space="preserve">evidence that SMS text message outreach was an effective method for encouraging participation; </w:t>
      </w:r>
    </w:p>
    <w:p w:rsidR="00C361CA" w:rsidRPr="00344A87" w:rsidP="00C361CA" w14:paraId="2ECF09B7" w14:textId="77777777">
      <w:pPr>
        <w:numPr>
          <w:ilvl w:val="0"/>
          <w:numId w:val="20"/>
        </w:numPr>
      </w:pPr>
      <w:r w:rsidRPr="00344A87">
        <w:t xml:space="preserve">indications that some mail respondents experienced difficulty following skip instructions and navigating grid-format questions; </w:t>
      </w:r>
    </w:p>
    <w:p w:rsidR="00C361CA" w:rsidRPr="00344A87" w:rsidP="00C361CA" w14:paraId="57B48D1E" w14:textId="77777777">
      <w:pPr>
        <w:numPr>
          <w:ilvl w:val="0"/>
          <w:numId w:val="20"/>
        </w:numPr>
      </w:pPr>
      <w:r w:rsidRPr="00344A87">
        <w:t xml:space="preserve">identification of opportunities to reduce respondent burden through question restructuring and revised formatting; </w:t>
      </w:r>
    </w:p>
    <w:p w:rsidR="00C361CA" w:rsidRPr="00344A87" w:rsidP="00C361CA" w14:paraId="4496975B" w14:textId="77777777">
      <w:pPr>
        <w:numPr>
          <w:ilvl w:val="0"/>
          <w:numId w:val="20"/>
        </w:numPr>
      </w:pPr>
      <w:r w:rsidRPr="00344A87">
        <w:t xml:space="preserve">identification of survey items and response options requiring clarification or refinement; </w:t>
      </w:r>
    </w:p>
    <w:p w:rsidR="00C361CA" w:rsidRPr="00344A87" w:rsidP="00C361CA" w14:paraId="603967A2" w14:textId="420330B5">
      <w:pPr>
        <w:numPr>
          <w:ilvl w:val="0"/>
          <w:numId w:val="20"/>
        </w:numPr>
      </w:pPr>
      <w:r w:rsidRPr="00344A87">
        <w:t xml:space="preserve">evidence that Question </w:t>
      </w:r>
      <w:r w:rsidR="00E85B68">
        <w:t>4</w:t>
      </w:r>
      <w:r w:rsidRPr="00344A87">
        <w:t xml:space="preserve"> functioned largely as intended, with approximately half of respondents varying their responses across the six scenarios, supporting inclusion of differing scenario attributes; and </w:t>
      </w:r>
    </w:p>
    <w:p w:rsidR="00C361CA" w:rsidRPr="00344A87" w:rsidP="00C361CA" w14:paraId="15498912" w14:textId="77777777">
      <w:pPr>
        <w:numPr>
          <w:ilvl w:val="0"/>
          <w:numId w:val="20"/>
        </w:numPr>
      </w:pPr>
      <w:r w:rsidRPr="00344A87">
        <w:t xml:space="preserve">confirmation that response rates differed substantially across mariner subgroups, providing empirical information necessary to refine sampling assumptions and outreach strategies for the full survey effort. </w:t>
      </w:r>
    </w:p>
    <w:p w:rsidR="00C361CA" w:rsidRPr="00344A87" w:rsidP="00EE5E78" w14:paraId="411C3B80" w14:textId="77777777">
      <w:pPr>
        <w:ind w:left="1080"/>
      </w:pPr>
      <w:r w:rsidRPr="00344A87">
        <w:t>Findings from the pilot test directly informed revisions to the survey instrument, survey formatting, respondent contact procedures, and sampling assumptions for the full survey effort. These revisions included:</w:t>
      </w:r>
    </w:p>
    <w:p w:rsidR="00C361CA" w:rsidRPr="00344A87" w:rsidP="00C361CA" w14:paraId="73236DAC" w14:textId="77777777">
      <w:pPr>
        <w:numPr>
          <w:ilvl w:val="0"/>
          <w:numId w:val="21"/>
        </w:numPr>
      </w:pPr>
      <w:bookmarkStart w:id="20" w:name="_Hlk233625713"/>
      <w:r w:rsidRPr="00344A87">
        <w:t xml:space="preserve">moving the willingness-to-serve questions earlier in the survey to reduce breakoff prior to completion of key analytic items; </w:t>
      </w:r>
    </w:p>
    <w:p w:rsidR="00C361CA" w:rsidRPr="00344A87" w:rsidP="00C361CA" w14:paraId="313346F6" w14:textId="1DFE7FEB">
      <w:pPr>
        <w:numPr>
          <w:ilvl w:val="0"/>
          <w:numId w:val="21"/>
        </w:numPr>
      </w:pPr>
      <w:r w:rsidRPr="00344A87">
        <w:t xml:space="preserve">revising mail survey formatting and </w:t>
      </w:r>
      <w:r w:rsidRPr="00344A87">
        <w:t>skip</w:t>
      </w:r>
      <w:r w:rsidRPr="00344A87">
        <w:t xml:space="preserve"> instructions to improve respondent navigation; </w:t>
      </w:r>
    </w:p>
    <w:p w:rsidR="00C361CA" w:rsidRPr="00344A87" w:rsidP="00C361CA" w14:paraId="17361F5D" w14:textId="763D4A6E">
      <w:pPr>
        <w:numPr>
          <w:ilvl w:val="0"/>
          <w:numId w:val="21"/>
        </w:numPr>
      </w:pPr>
      <w:r w:rsidRPr="00344A87">
        <w:t xml:space="preserve">restructuring several grid-format questions into </w:t>
      </w:r>
      <w:r w:rsidR="00210190">
        <w:t>simplified response</w:t>
      </w:r>
      <w:r w:rsidRPr="00344A87">
        <w:t xml:space="preserve"> formats to reduce respondent burden and improve </w:t>
      </w:r>
      <w:r w:rsidR="00210190">
        <w:t>survey navigation</w:t>
      </w:r>
      <w:r w:rsidRPr="00344A87">
        <w:t xml:space="preserve">; </w:t>
      </w:r>
    </w:p>
    <w:p w:rsidR="00C361CA" w:rsidRPr="00344A87" w:rsidP="00C361CA" w14:paraId="125DFE04" w14:textId="77777777">
      <w:pPr>
        <w:numPr>
          <w:ilvl w:val="0"/>
          <w:numId w:val="21"/>
        </w:numPr>
      </w:pPr>
      <w:r w:rsidRPr="00344A87">
        <w:t xml:space="preserve">revising selected question wording and response options to improve clarity and interpretability; </w:t>
      </w:r>
    </w:p>
    <w:p w:rsidR="00C361CA" w:rsidRPr="00344A87" w:rsidP="00C361CA" w14:paraId="3AE6A104" w14:textId="77777777">
      <w:pPr>
        <w:numPr>
          <w:ilvl w:val="0"/>
          <w:numId w:val="21"/>
        </w:numPr>
      </w:pPr>
      <w:r w:rsidRPr="00344A87">
        <w:t xml:space="preserve">initiating SMS text message outreach earlier in the data collection period; </w:t>
      </w:r>
    </w:p>
    <w:p w:rsidR="00C361CA" w:rsidRPr="00344A87" w:rsidP="00C361CA" w14:paraId="3CBBEDD2" w14:textId="77777777">
      <w:pPr>
        <w:numPr>
          <w:ilvl w:val="0"/>
          <w:numId w:val="21"/>
        </w:numPr>
      </w:pPr>
      <w:r w:rsidRPr="00344A87">
        <w:t xml:space="preserve">adding a reminder postcard mailing between survey packet mailings; and </w:t>
      </w:r>
    </w:p>
    <w:p w:rsidR="00C361CA" w:rsidRPr="00344A87" w:rsidP="00C361CA" w14:paraId="109F6330" w14:textId="77777777">
      <w:pPr>
        <w:numPr>
          <w:ilvl w:val="0"/>
          <w:numId w:val="21"/>
        </w:numPr>
      </w:pPr>
      <w:r w:rsidRPr="00344A87">
        <w:t xml:space="preserve">refining sampling assumptions and response-rate targets based on observed subgroup participation patterns. </w:t>
      </w:r>
    </w:p>
    <w:bookmarkEnd w:id="20"/>
    <w:p w:rsidR="00C125F8" w:rsidRPr="009A6D4B" w:rsidP="00EE5E78" w14:paraId="2282393F" w14:textId="1AC89CB0">
      <w:pPr>
        <w:ind w:left="1080"/>
      </w:pPr>
      <w:r w:rsidRPr="00344A87">
        <w:t>The pilot test was conducted solely for methodological and instrument refinement purposes. The pilot test was designed to evaluate survey procedures, survey functioning, respondent interpretation of the survey instrument</w:t>
      </w:r>
      <w:r w:rsidR="008A2848">
        <w:t>, and operational aspects of the multimode data collection effort</w:t>
      </w:r>
      <w:r w:rsidRPr="00344A87">
        <w:t xml:space="preserve"> rather than to produce statistically precise substantive estimates for the merchant mariner population. Accordingly, pilot test findings will not be used for programmatic or policy decision-making.</w:t>
      </w:r>
    </w:p>
    <w:p w:rsidR="009A6D4B" w:rsidRPr="009A6D4B" w:rsidP="00EE5E78" w14:paraId="514B5179" w14:textId="69F75208">
      <w:pPr>
        <w:pStyle w:val="Heading3"/>
        <w:numPr>
          <w:ilvl w:val="0"/>
          <w:numId w:val="29"/>
        </w:numPr>
      </w:pPr>
      <w:bookmarkStart w:id="21" w:name="_Toc236138085"/>
      <w:bookmarkEnd w:id="15"/>
      <w:r>
        <w:t>Consultation Information</w:t>
      </w:r>
      <w:bookmarkEnd w:id="21"/>
      <w:r>
        <w:t xml:space="preserve"> </w:t>
      </w:r>
      <w:r w:rsidRPr="009A6D4B">
        <w:t xml:space="preserve"> </w:t>
      </w:r>
    </w:p>
    <w:p w:rsidR="009A6D4B" w:rsidRPr="009A6D4B" w:rsidP="00EE5E78" w14:paraId="51815D7B" w14:textId="71C59100">
      <w:pPr>
        <w:ind w:left="720"/>
      </w:pPr>
      <w:r w:rsidRPr="009A6D4B">
        <w:t xml:space="preserve">Strategic Research Group (SRG) is the contractor providing survey design, methodology, survey administration, survey analysis, and reporting services for the </w:t>
      </w:r>
      <w:r w:rsidRPr="009A6D4B">
        <w:rPr>
          <w:u w:val="single"/>
        </w:rPr>
        <w:t>Mariner Survey</w:t>
      </w:r>
      <w:r w:rsidRPr="009A6D4B">
        <w:t xml:space="preserve"> to the Maritime Administration (MARAD). The SRG team is led by:</w:t>
      </w:r>
    </w:p>
    <w:p w:rsidR="009A6D4B" w:rsidRPr="009A6D4B" w:rsidP="00EE5E78" w14:paraId="6AEC1F4F" w14:textId="77777777">
      <w:pPr>
        <w:ind w:left="720"/>
        <w:contextualSpacing/>
      </w:pPr>
      <w:r w:rsidRPr="009A6D4B">
        <w:t>Dr. Kristen Heimdal</w:t>
      </w:r>
    </w:p>
    <w:p w:rsidR="009A6D4B" w:rsidRPr="009A6D4B" w:rsidP="00EE5E78" w14:paraId="7F79FB8D" w14:textId="77777777">
      <w:pPr>
        <w:ind w:left="720"/>
        <w:contextualSpacing/>
      </w:pPr>
      <w:r w:rsidRPr="009A6D4B">
        <w:t>Principal Investigator</w:t>
      </w:r>
    </w:p>
    <w:p w:rsidR="009A6D4B" w:rsidRPr="009A6D4B" w:rsidP="00EE5E78" w14:paraId="05B4591F" w14:textId="77777777">
      <w:pPr>
        <w:ind w:left="720"/>
        <w:contextualSpacing/>
      </w:pPr>
      <w:r w:rsidRPr="009A6D4B">
        <w:t>Strategic Research Group</w:t>
      </w:r>
    </w:p>
    <w:p w:rsidR="009A6D4B" w:rsidRPr="009A6D4B" w:rsidP="00EE5E78" w14:paraId="72CBA857" w14:textId="77777777">
      <w:pPr>
        <w:ind w:left="720"/>
        <w:contextualSpacing/>
      </w:pPr>
      <w:r w:rsidRPr="009A6D4B">
        <w:t>614-220-8860</w:t>
      </w:r>
    </w:p>
    <w:p w:rsidR="009A6D4B" w:rsidRPr="009A6D4B" w:rsidP="00EE5E78" w14:paraId="0A0606A6" w14:textId="12E423FB">
      <w:pPr>
        <w:ind w:left="720"/>
        <w:contextualSpacing/>
      </w:pPr>
      <w:r w:rsidRPr="009A6D4B">
        <w:rPr>
          <w:color w:val="0563C1" w:themeColor="hyperlink"/>
          <w:u w:val="single"/>
        </w:rPr>
        <w:t>kheimdal@strategicresea</w:t>
      </w:r>
      <w:r w:rsidR="00F64C2E">
        <w:rPr>
          <w:color w:val="0563C1" w:themeColor="hyperlink"/>
          <w:u w:val="single"/>
        </w:rPr>
        <w:t>r</w:t>
      </w:r>
      <w:r w:rsidRPr="009A6D4B">
        <w:rPr>
          <w:color w:val="0563C1" w:themeColor="hyperlink"/>
          <w:u w:val="single"/>
        </w:rPr>
        <w:t>chgroup.com</w:t>
      </w:r>
    </w:p>
    <w:p w:rsidR="009A6D4B" w:rsidRPr="009A6D4B" w:rsidP="00EE5E78" w14:paraId="2439B74B" w14:textId="77777777">
      <w:pPr>
        <w:ind w:left="720"/>
      </w:pPr>
    </w:p>
    <w:p w:rsidR="009A6D4B" w:rsidRPr="009A6D4B" w:rsidP="00EE5E78" w14:paraId="5539796F" w14:textId="22131039">
      <w:pPr>
        <w:ind w:left="720"/>
      </w:pPr>
      <w:r w:rsidRPr="009A6D4B">
        <w:t>SRG and MARAD consulted with the following staff from the Bureau of Transportation Statistics:</w:t>
      </w:r>
    </w:p>
    <w:p w:rsidR="009A6D4B" w:rsidRPr="00805405" w:rsidP="00EE5E78" w14:paraId="18F47237" w14:textId="77777777">
      <w:pPr>
        <w:spacing w:after="0"/>
        <w:ind w:left="720"/>
      </w:pPr>
      <w:r w:rsidRPr="00805405">
        <w:t>Patricia Hu</w:t>
      </w:r>
    </w:p>
    <w:p w:rsidR="00515BA4" w:rsidRPr="00805405" w:rsidP="00EE5E78" w14:paraId="271CD1E8" w14:textId="77777777">
      <w:pPr>
        <w:spacing w:after="0"/>
        <w:ind w:left="720"/>
      </w:pPr>
      <w:r w:rsidRPr="00805405">
        <w:t>Director</w:t>
      </w:r>
    </w:p>
    <w:p w:rsidR="009A6D4B" w:rsidRPr="00805405" w:rsidP="00EE5E78" w14:paraId="74CE681E" w14:textId="32124EE5">
      <w:pPr>
        <w:spacing w:after="0"/>
        <w:ind w:left="720"/>
      </w:pPr>
      <w:r w:rsidRPr="00805405">
        <w:t>Bureau of Transportation Statistics</w:t>
      </w:r>
    </w:p>
    <w:p w:rsidR="00515BA4" w:rsidRPr="00805405" w:rsidP="00EE5E78" w14:paraId="7F9C57B0" w14:textId="77777777">
      <w:pPr>
        <w:ind w:left="720"/>
        <w:contextualSpacing/>
      </w:pPr>
      <w:r w:rsidRPr="00805405">
        <w:t>U.S. Department of Transportation</w:t>
      </w:r>
    </w:p>
    <w:p w:rsidR="007E3413" w:rsidRPr="00805405" w:rsidP="00EE5E78" w14:paraId="1CD13CB8" w14:textId="77777777">
      <w:pPr>
        <w:spacing w:after="0"/>
        <w:ind w:left="720"/>
      </w:pPr>
      <w:r w:rsidRPr="00805405">
        <w:t>(202) 366-5277</w:t>
      </w:r>
    </w:p>
    <w:p w:rsidR="009A6D4B" w:rsidRPr="00042B65" w:rsidP="00EE5E78" w14:paraId="3726A456" w14:textId="61733BFD">
      <w:pPr>
        <w:spacing w:after="0"/>
        <w:ind w:left="720"/>
        <w:rPr>
          <w:lang w:val="es-ES"/>
        </w:rPr>
      </w:pPr>
      <w:r w:rsidRPr="00042B65">
        <w:rPr>
          <w:lang w:val="es-ES"/>
        </w:rPr>
        <w:t>patricia.hu@dot.gov</w:t>
      </w:r>
    </w:p>
    <w:p w:rsidR="009A6D4B" w:rsidRPr="00042B65" w:rsidP="00EE5E78" w14:paraId="607B3F06" w14:textId="77777777">
      <w:pPr>
        <w:spacing w:after="0"/>
        <w:ind w:left="720"/>
        <w:rPr>
          <w:lang w:val="es-ES"/>
        </w:rPr>
      </w:pPr>
    </w:p>
    <w:p w:rsidR="009A6D4B" w:rsidRPr="00042B65" w:rsidP="00EE5E78" w14:paraId="732DA377" w14:textId="77777777">
      <w:pPr>
        <w:spacing w:after="0"/>
        <w:ind w:left="720"/>
        <w:rPr>
          <w:lang w:val="es-ES"/>
        </w:rPr>
      </w:pPr>
      <w:r w:rsidRPr="00042B65">
        <w:rPr>
          <w:lang w:val="es-ES"/>
        </w:rPr>
        <w:t>Dr. Cha-Chi Fan</w:t>
      </w:r>
    </w:p>
    <w:p w:rsidR="00515BA4" w:rsidRPr="00805405" w:rsidP="00EE5E78" w14:paraId="70D7E41A" w14:textId="2BDD08DA">
      <w:pPr>
        <w:spacing w:after="0"/>
        <w:ind w:left="720"/>
      </w:pPr>
      <w:r w:rsidRPr="00805405">
        <w:t>Director, Office of Data Development &amp; Standards</w:t>
      </w:r>
    </w:p>
    <w:p w:rsidR="009A6D4B" w:rsidRPr="00805405" w:rsidP="00EE5E78" w14:paraId="38E507B7" w14:textId="36CAB0EA">
      <w:pPr>
        <w:spacing w:after="0"/>
        <w:ind w:left="720"/>
      </w:pPr>
      <w:r w:rsidRPr="00805405">
        <w:t>Bureau of Transportation Statistics</w:t>
      </w:r>
    </w:p>
    <w:p w:rsidR="00515BA4" w:rsidRPr="00805405" w:rsidP="00EE5E78" w14:paraId="4DD39C0D" w14:textId="77777777">
      <w:pPr>
        <w:ind w:left="720"/>
        <w:contextualSpacing/>
      </w:pPr>
      <w:r w:rsidRPr="00805405">
        <w:t>U.S. Department of Transportation</w:t>
      </w:r>
    </w:p>
    <w:p w:rsidR="00515BA4" w:rsidRPr="00805405" w:rsidP="00EE5E78" w14:paraId="229A2B20" w14:textId="77777777">
      <w:pPr>
        <w:spacing w:after="0"/>
        <w:ind w:left="720"/>
      </w:pPr>
      <w:r w:rsidRPr="00805405">
        <w:t>(202) 366-0483</w:t>
      </w:r>
    </w:p>
    <w:p w:rsidR="009A6D4B" w:rsidRPr="009A6D4B" w:rsidP="00EE5E78" w14:paraId="6A5633EA" w14:textId="576396B9">
      <w:pPr>
        <w:spacing w:after="0"/>
        <w:ind w:left="720"/>
      </w:pPr>
      <w:r w:rsidRPr="00805405">
        <w:t>chachi.fan@dot.gov</w:t>
      </w:r>
    </w:p>
    <w:p w:rsidR="009A6D4B" w:rsidRPr="009A6D4B" w:rsidP="00EE5E78" w14:paraId="471F1E12" w14:textId="1293BA9D">
      <w:pPr>
        <w:ind w:left="720"/>
      </w:pPr>
      <w:r w:rsidRPr="009A6D4B">
        <w:t xml:space="preserve">The MARAD team which was consulted on the design of the information collection for the </w:t>
      </w:r>
      <w:r w:rsidRPr="00EE5E78">
        <w:t>Mariner Survey</w:t>
      </w:r>
      <w:r w:rsidRPr="009A6D4B">
        <w:t xml:space="preserve"> includes:</w:t>
      </w:r>
    </w:p>
    <w:p w:rsidR="009A6D4B" w:rsidRPr="009A6D4B" w:rsidP="00EE5E78" w14:paraId="0FD184AA" w14:textId="77777777">
      <w:pPr>
        <w:ind w:left="720"/>
        <w:contextualSpacing/>
      </w:pPr>
      <w:r w:rsidRPr="009A6D4B">
        <w:t xml:space="preserve">Dr. Shashi N. Kumar </w:t>
      </w:r>
    </w:p>
    <w:p w:rsidR="009A6D4B" w:rsidRPr="009A6D4B" w:rsidP="00EE5E78" w14:paraId="73DB255A" w14:textId="551234A9">
      <w:pPr>
        <w:ind w:left="720"/>
        <w:contextualSpacing/>
      </w:pPr>
      <w:r w:rsidRPr="009A6D4B">
        <w:t xml:space="preserve">Associate Administrator for </w:t>
      </w:r>
      <w:r w:rsidR="00D3556D">
        <w:t xml:space="preserve">Workforce Development &amp; </w:t>
      </w:r>
      <w:r w:rsidRPr="009A6D4B">
        <w:t xml:space="preserve">Maritime Education </w:t>
      </w:r>
    </w:p>
    <w:p w:rsidR="009A6D4B" w:rsidRPr="009A6D4B" w:rsidP="00EE5E78" w14:paraId="3934E55B" w14:textId="77777777">
      <w:pPr>
        <w:ind w:left="720"/>
        <w:contextualSpacing/>
      </w:pPr>
      <w:r w:rsidRPr="009A6D4B">
        <w:t>Maritime Administration</w:t>
      </w:r>
    </w:p>
    <w:p w:rsidR="009A6D4B" w:rsidRPr="009A6D4B" w:rsidP="00EE5E78" w14:paraId="3547DCCC" w14:textId="77777777">
      <w:pPr>
        <w:ind w:left="720"/>
        <w:contextualSpacing/>
      </w:pPr>
      <w:r w:rsidRPr="009A6D4B">
        <w:t xml:space="preserve">202 366-2105 </w:t>
      </w:r>
    </w:p>
    <w:p w:rsidR="009A6D4B" w:rsidRPr="009A6D4B" w:rsidP="00EE5E78" w14:paraId="20EE43DF" w14:textId="77777777">
      <w:pPr>
        <w:ind w:left="720"/>
        <w:contextualSpacing/>
      </w:pPr>
      <w:hyperlink r:id="rId6" w:history="1">
        <w:r w:rsidRPr="009A6D4B">
          <w:rPr>
            <w:color w:val="0563C1" w:themeColor="hyperlink"/>
            <w:u w:val="single"/>
          </w:rPr>
          <w:t>shashi.kumar@dot.gov</w:t>
        </w:r>
      </w:hyperlink>
    </w:p>
    <w:p w:rsidR="009A6D4B" w:rsidRPr="009A6D4B" w:rsidP="00EE5E78" w14:paraId="6FAE799B" w14:textId="77777777">
      <w:pPr>
        <w:ind w:left="720"/>
        <w:contextualSpacing/>
      </w:pPr>
    </w:p>
    <w:p w:rsidR="009A6D4B" w:rsidRPr="009A6D4B" w:rsidP="00EE5E78" w14:paraId="137C26F9" w14:textId="77777777">
      <w:pPr>
        <w:keepNext/>
        <w:keepLines/>
        <w:spacing w:after="0"/>
        <w:ind w:left="720"/>
      </w:pPr>
      <w:r w:rsidRPr="009A6D4B">
        <w:t>Christopher Wahler</w:t>
      </w:r>
    </w:p>
    <w:p w:rsidR="009A6D4B" w:rsidRPr="009A6D4B" w:rsidP="00EE5E78" w14:paraId="1CEFD515" w14:textId="77777777">
      <w:pPr>
        <w:keepNext/>
        <w:keepLines/>
        <w:ind w:left="720"/>
        <w:contextualSpacing/>
      </w:pPr>
      <w:r w:rsidRPr="009A6D4B">
        <w:t>Director, Maritime Labor and Training</w:t>
      </w:r>
    </w:p>
    <w:p w:rsidR="009A6D4B" w:rsidRPr="009A6D4B" w:rsidP="00EE5E78" w14:paraId="37CE4A11" w14:textId="77777777">
      <w:pPr>
        <w:ind w:left="720"/>
        <w:contextualSpacing/>
      </w:pPr>
      <w:r w:rsidRPr="009A6D4B">
        <w:t>Maritime Administration</w:t>
      </w:r>
    </w:p>
    <w:p w:rsidR="009A6D4B" w:rsidRPr="009A6D4B" w:rsidP="00EE5E78" w14:paraId="096135CA" w14:textId="77777777">
      <w:pPr>
        <w:ind w:left="720"/>
        <w:contextualSpacing/>
      </w:pPr>
      <w:r w:rsidRPr="009A6D4B">
        <w:t>(202) 366-5469</w:t>
      </w:r>
    </w:p>
    <w:p w:rsidR="009A6D4B" w:rsidRPr="009A6D4B" w:rsidP="00EE5E78" w14:paraId="71593177" w14:textId="77777777">
      <w:pPr>
        <w:ind w:left="720"/>
        <w:contextualSpacing/>
      </w:pPr>
      <w:hyperlink r:id="rId7" w:history="1">
        <w:r w:rsidRPr="009A6D4B">
          <w:rPr>
            <w:color w:val="0563C1" w:themeColor="hyperlink"/>
            <w:u w:val="single"/>
          </w:rPr>
          <w:t>christopher.wahler@dot.gov</w:t>
        </w:r>
      </w:hyperlink>
    </w:p>
    <w:p w:rsidR="009A6D4B" w:rsidRPr="009A6D4B" w:rsidP="00EE5E78" w14:paraId="05CB8D15" w14:textId="77777777">
      <w:pPr>
        <w:ind w:left="720"/>
        <w:contextualSpacing/>
      </w:pPr>
    </w:p>
    <w:p w:rsidR="009A6D4B" w:rsidRPr="009A6D4B" w:rsidP="00EE5E78" w14:paraId="6CF01300" w14:textId="77777777">
      <w:pPr>
        <w:ind w:left="720"/>
        <w:contextualSpacing/>
      </w:pPr>
      <w:r w:rsidRPr="009A6D4B">
        <w:t>Douglas McDonald</w:t>
      </w:r>
    </w:p>
    <w:p w:rsidR="009A6D4B" w:rsidRPr="009A6D4B" w:rsidP="00EE5E78" w14:paraId="5115E5EE" w14:textId="77777777">
      <w:pPr>
        <w:ind w:left="720"/>
        <w:contextualSpacing/>
      </w:pPr>
      <w:r w:rsidRPr="009A6D4B">
        <w:t>Director, Office of Policy and Plans</w:t>
      </w:r>
    </w:p>
    <w:p w:rsidR="009A6D4B" w:rsidRPr="009A6D4B" w:rsidP="00EE5E78" w14:paraId="5022A9E9" w14:textId="77777777">
      <w:pPr>
        <w:ind w:left="720"/>
        <w:contextualSpacing/>
      </w:pPr>
      <w:r w:rsidRPr="009A6D4B">
        <w:t>Maritime Administration</w:t>
      </w:r>
    </w:p>
    <w:p w:rsidR="009A6D4B" w:rsidRPr="009A6D4B" w:rsidP="00EE5E78" w14:paraId="2C92DFF4" w14:textId="77777777">
      <w:pPr>
        <w:ind w:left="720"/>
        <w:contextualSpacing/>
      </w:pPr>
      <w:r w:rsidRPr="009A6D4B">
        <w:t>(202) 366-5469</w:t>
      </w:r>
    </w:p>
    <w:p w:rsidR="009A6D4B" w:rsidRPr="009A6D4B" w:rsidP="00EE5E78" w14:paraId="19A64F49" w14:textId="77777777">
      <w:pPr>
        <w:ind w:left="720"/>
        <w:contextualSpacing/>
      </w:pPr>
      <w:r w:rsidRPr="009A6D4B">
        <w:t>202-366-2145</w:t>
      </w:r>
    </w:p>
    <w:p w:rsidR="009A6D4B" w:rsidRPr="009A6D4B" w:rsidP="00EE5E78" w14:paraId="1C3C6D7A" w14:textId="77777777">
      <w:pPr>
        <w:ind w:left="720"/>
        <w:contextualSpacing/>
      </w:pPr>
      <w:hyperlink r:id="rId8" w:history="1">
        <w:r w:rsidRPr="009A6D4B">
          <w:rPr>
            <w:color w:val="0563C1" w:themeColor="hyperlink"/>
            <w:u w:val="single"/>
          </w:rPr>
          <w:t>douglas.mcdonald@dot.gov</w:t>
        </w:r>
      </w:hyperlink>
    </w:p>
    <w:p w:rsidR="007657B2" w:rsidP="00EE5E78" w14:paraId="086A6197" w14:textId="77777777">
      <w:pPr>
        <w:ind w:left="720"/>
        <w:contextualSpacing/>
      </w:pPr>
    </w:p>
    <w:p w:rsidR="00805405" w:rsidRPr="00805405" w:rsidP="00EE5E78" w14:paraId="623A584A" w14:textId="77777777">
      <w:pPr>
        <w:ind w:left="720"/>
        <w:contextualSpacing/>
      </w:pPr>
      <w:r w:rsidRPr="00805405">
        <w:t>Tom Bryan</w:t>
      </w:r>
    </w:p>
    <w:p w:rsidR="00805405" w:rsidRPr="00805405" w:rsidP="00EE5E78" w14:paraId="735A02CB" w14:textId="77777777">
      <w:pPr>
        <w:ind w:left="720"/>
        <w:contextualSpacing/>
      </w:pPr>
      <w:r w:rsidRPr="00805405">
        <w:t>Economist</w:t>
      </w:r>
    </w:p>
    <w:p w:rsidR="00805405" w:rsidRPr="00805405" w:rsidP="00EE5E78" w14:paraId="5F2A25DF" w14:textId="77777777">
      <w:pPr>
        <w:ind w:left="720"/>
        <w:contextualSpacing/>
      </w:pPr>
      <w:r w:rsidRPr="00805405">
        <w:t>Maritime Administration</w:t>
      </w:r>
    </w:p>
    <w:p w:rsidR="00DC3C09" w:rsidRPr="00805405" w:rsidP="00EE5E78" w14:paraId="0D92F4C9" w14:textId="4E663F6A">
      <w:pPr>
        <w:ind w:left="720"/>
        <w:contextualSpacing/>
      </w:pPr>
      <w:r>
        <w:t>[</w:t>
      </w:r>
      <w:r w:rsidRPr="002868EE">
        <w:rPr>
          <w:i/>
          <w:iCs/>
        </w:rPr>
        <w:t>Retired from MARAD</w:t>
      </w:r>
      <w:r>
        <w:t>]</w:t>
      </w:r>
    </w:p>
    <w:p w:rsidR="00805405" w:rsidRPr="00805405" w:rsidP="00EE5E78" w14:paraId="46DF97DD" w14:textId="77777777">
      <w:pPr>
        <w:ind w:left="720"/>
        <w:contextualSpacing/>
      </w:pPr>
    </w:p>
    <w:p w:rsidR="00805405" w:rsidRPr="00805405" w:rsidP="00EE5E78" w14:paraId="40525DCC" w14:textId="77777777">
      <w:pPr>
        <w:ind w:left="720"/>
        <w:contextualSpacing/>
      </w:pPr>
      <w:r w:rsidRPr="00805405">
        <w:t>Matthew Mueller</w:t>
      </w:r>
    </w:p>
    <w:p w:rsidR="00805405" w:rsidRPr="00805405" w:rsidP="00EE5E78" w14:paraId="32E53699" w14:textId="77777777">
      <w:pPr>
        <w:ind w:left="720"/>
        <w:contextualSpacing/>
      </w:pPr>
      <w:r w:rsidRPr="00805405">
        <w:t>Compliance Specialist</w:t>
      </w:r>
    </w:p>
    <w:p w:rsidR="00805405" w:rsidRPr="00805405" w:rsidP="00EE5E78" w14:paraId="1E6C5D1B" w14:textId="77777777">
      <w:pPr>
        <w:ind w:left="720"/>
        <w:contextualSpacing/>
      </w:pPr>
      <w:r w:rsidRPr="00805405">
        <w:t>Maritime Administration</w:t>
      </w:r>
    </w:p>
    <w:p w:rsidR="00805405" w:rsidRPr="00805405" w:rsidP="00EE5E78" w14:paraId="36DD00CF" w14:textId="77777777">
      <w:pPr>
        <w:ind w:left="720"/>
        <w:contextualSpacing/>
      </w:pPr>
      <w:r w:rsidRPr="00805405">
        <w:t>202-366-7173</w:t>
      </w:r>
    </w:p>
    <w:p w:rsidR="00805405" w:rsidRPr="00805405" w:rsidP="00EE5E78" w14:paraId="5774D034" w14:textId="77777777">
      <w:pPr>
        <w:ind w:left="720"/>
        <w:contextualSpacing/>
      </w:pPr>
      <w:hyperlink r:id="rId9" w:history="1">
        <w:r w:rsidRPr="00805405">
          <w:rPr>
            <w:rStyle w:val="Hyperlink"/>
          </w:rPr>
          <w:t>matthew.mueller@dot.gov</w:t>
        </w:r>
      </w:hyperlink>
    </w:p>
    <w:p w:rsidR="00805405" w:rsidP="00EE5E78" w14:paraId="37642DE9" w14:textId="77777777">
      <w:pPr>
        <w:ind w:left="720"/>
        <w:contextualSpacing/>
      </w:pPr>
    </w:p>
    <w:p w:rsidR="00DC3C09" w:rsidRPr="00805405" w:rsidP="00EE5E78" w14:paraId="06F8B311" w14:textId="1C93C6D6">
      <w:pPr>
        <w:ind w:left="720"/>
        <w:contextualSpacing/>
      </w:pPr>
      <w:r w:rsidRPr="00805405">
        <w:t xml:space="preserve">Matthew </w:t>
      </w:r>
      <w:r>
        <w:t>Edwards</w:t>
      </w:r>
    </w:p>
    <w:p w:rsidR="00DC3C09" w:rsidP="00EE5E78" w14:paraId="38C3D5A4" w14:textId="77777777">
      <w:pPr>
        <w:ind w:left="720"/>
        <w:contextualSpacing/>
      </w:pPr>
      <w:r w:rsidRPr="00DC3C09">
        <w:t>Maritime Transportation Program Advisor</w:t>
      </w:r>
    </w:p>
    <w:p w:rsidR="00DC3C09" w:rsidRPr="00805405" w:rsidP="00EE5E78" w14:paraId="54D16DB6" w14:textId="1F631FB3">
      <w:pPr>
        <w:ind w:left="720"/>
        <w:contextualSpacing/>
      </w:pPr>
      <w:r w:rsidRPr="00805405">
        <w:t>Maritime Administration</w:t>
      </w:r>
    </w:p>
    <w:p w:rsidR="00DC3C09" w:rsidRPr="00805405" w:rsidP="00EE5E78" w14:paraId="7FAD5D13" w14:textId="2C820489">
      <w:pPr>
        <w:ind w:left="720"/>
        <w:contextualSpacing/>
      </w:pPr>
      <w:r>
        <w:t>[</w:t>
      </w:r>
      <w:r w:rsidRPr="002868EE">
        <w:rPr>
          <w:i/>
          <w:iCs/>
        </w:rPr>
        <w:t>Departed from MARAD</w:t>
      </w:r>
      <w:r>
        <w:t>]</w:t>
      </w:r>
    </w:p>
    <w:p w:rsidR="00DC3C09" w:rsidP="00EE5E78" w14:paraId="7A9E99FF" w14:textId="77777777">
      <w:pPr>
        <w:ind w:left="720"/>
        <w:contextualSpacing/>
      </w:pPr>
    </w:p>
    <w:p w:rsidR="000B5B58" w:rsidP="00EE5E78" w14:paraId="7426E273" w14:textId="1B4D2C06">
      <w:pPr>
        <w:ind w:left="720"/>
        <w:contextualSpacing/>
      </w:pPr>
      <w:r>
        <w:t>Kevin Lau</w:t>
      </w:r>
    </w:p>
    <w:p w:rsidR="000B5B58" w:rsidP="00EE5E78" w14:paraId="0A6EDD68" w14:textId="77777777">
      <w:pPr>
        <w:ind w:left="720"/>
        <w:contextualSpacing/>
      </w:pPr>
      <w:r w:rsidRPr="000B5B58">
        <w:t>Marine Transportation Programs Analyst</w:t>
      </w:r>
    </w:p>
    <w:p w:rsidR="000B5B58" w:rsidRPr="00805405" w:rsidP="00EE5E78" w14:paraId="2AE8BFAA" w14:textId="1DC42FEA">
      <w:pPr>
        <w:ind w:left="720"/>
        <w:contextualSpacing/>
      </w:pPr>
      <w:r w:rsidRPr="00805405">
        <w:t>Maritime Administration</w:t>
      </w:r>
    </w:p>
    <w:p w:rsidR="000B5B58" w:rsidRPr="00805405" w:rsidP="00EE5E78" w14:paraId="2E98E377" w14:textId="5923C8FB">
      <w:pPr>
        <w:ind w:left="720"/>
        <w:contextualSpacing/>
      </w:pPr>
      <w:r w:rsidRPr="00805405">
        <w:t>202-</w:t>
      </w:r>
      <w:r>
        <w:t>366-0501</w:t>
      </w:r>
    </w:p>
    <w:p w:rsidR="000B5B58" w:rsidRPr="00805405" w:rsidP="00EE5E78" w14:paraId="3A5B0540" w14:textId="5953257E">
      <w:pPr>
        <w:ind w:left="720"/>
        <w:contextualSpacing/>
      </w:pPr>
      <w:hyperlink r:id="rId10" w:history="1">
        <w:r w:rsidRPr="000B5B58">
          <w:rPr>
            <w:rStyle w:val="Hyperlink"/>
          </w:rPr>
          <w:t>kevin.lau@dot.gov</w:t>
        </w:r>
      </w:hyperlink>
    </w:p>
    <w:p w:rsidR="000B5B58" w:rsidP="00EE5E78" w14:paraId="14E65551" w14:textId="77777777">
      <w:pPr>
        <w:ind w:left="720"/>
        <w:contextualSpacing/>
      </w:pPr>
    </w:p>
    <w:p w:rsidR="00805405" w:rsidRPr="00805405" w:rsidP="00EE5E78" w14:paraId="19422760" w14:textId="0005A8BC">
      <w:pPr>
        <w:ind w:left="720"/>
        <w:contextualSpacing/>
      </w:pPr>
      <w:r w:rsidRPr="00805405">
        <w:t>Nuns Jain</w:t>
      </w:r>
    </w:p>
    <w:p w:rsidR="00DC3C09" w:rsidRPr="00805405" w:rsidP="00EE5E78" w14:paraId="65450CCC" w14:textId="5115B1FC">
      <w:pPr>
        <w:ind w:left="720"/>
        <w:contextualSpacing/>
      </w:pPr>
      <w:r w:rsidRPr="00DC3C09">
        <w:t>Senior Maritime Personnel Policy Advisor</w:t>
      </w:r>
    </w:p>
    <w:p w:rsidR="00805405" w:rsidRPr="00805405" w:rsidP="00EE5E78" w14:paraId="4254D8CD" w14:textId="77777777">
      <w:pPr>
        <w:ind w:left="720"/>
        <w:contextualSpacing/>
      </w:pPr>
      <w:r w:rsidRPr="00805405">
        <w:t>Maritime Administration</w:t>
      </w:r>
    </w:p>
    <w:p w:rsidR="00805405" w:rsidRPr="00805405" w:rsidP="00EE5E78" w14:paraId="519A51A4" w14:textId="77777777">
      <w:pPr>
        <w:ind w:left="720"/>
        <w:contextualSpacing/>
      </w:pPr>
      <w:r w:rsidRPr="00805405">
        <w:t>202-385-0115</w:t>
      </w:r>
    </w:p>
    <w:p w:rsidR="00805405" w:rsidRPr="00805405" w:rsidP="00EE5E78" w14:paraId="283AD074" w14:textId="365B144E">
      <w:pPr>
        <w:ind w:left="720"/>
        <w:contextualSpacing/>
      </w:pPr>
      <w:hyperlink r:id="rId11" w:history="1">
        <w:r w:rsidRPr="000B5B58">
          <w:rPr>
            <w:rStyle w:val="Hyperlink"/>
          </w:rPr>
          <w:t>nuns.jain.ctr@dot.gov</w:t>
        </w:r>
      </w:hyperlink>
    </w:p>
    <w:p w:rsidR="009A6D4B" w:rsidRPr="009A6D4B" w:rsidP="00EE5E78" w14:paraId="47A22A4B" w14:textId="77777777">
      <w:pPr>
        <w:ind w:left="720"/>
        <w:contextualSpacing/>
      </w:pPr>
    </w:p>
    <w:p w:rsidR="009A6D4B" w:rsidP="00EE5E78" w14:paraId="4549CDD3" w14:textId="51D9B6F6">
      <w:pPr>
        <w:ind w:left="720"/>
      </w:pPr>
      <w:bookmarkStart w:id="22" w:name="_Hlk92710928"/>
      <w:r w:rsidRPr="009A6D4B">
        <w:t>The MARAD team input to SRG was provided through the designated MARAD Contracting Officer’s Representative for the MARAD-SRG Mariner Survey Contract</w:t>
      </w:r>
      <w:r w:rsidR="00DC3C09">
        <w:t>, initially</w:t>
      </w:r>
      <w:r w:rsidR="008B39F0">
        <w:t xml:space="preserve"> Mr. Jain </w:t>
      </w:r>
      <w:r w:rsidR="00DC3C09">
        <w:t xml:space="preserve">who </w:t>
      </w:r>
      <w:r w:rsidR="008B39F0">
        <w:t>retired from federal service effective</w:t>
      </w:r>
      <w:r w:rsidRPr="008B39F0" w:rsidR="008B39F0">
        <w:t xml:space="preserve"> December 31, 2021</w:t>
      </w:r>
      <w:r w:rsidR="00805405">
        <w:t>.</w:t>
      </w:r>
      <w:r w:rsidR="008B39F0">
        <w:t xml:space="preserve"> </w:t>
      </w:r>
      <w:r w:rsidRPr="008B39F0" w:rsidR="008B39F0">
        <w:t xml:space="preserve">Mr. Matthew Mueller </w:t>
      </w:r>
      <w:r w:rsidR="000869A7">
        <w:t>assumed coordinating responsibilities</w:t>
      </w:r>
      <w:r w:rsidR="00D90C26">
        <w:t xml:space="preserve"> </w:t>
      </w:r>
      <w:r w:rsidR="000B5B58">
        <w:t xml:space="preserve">which were subsequently transferred to Mr. Matthew Edwards </w:t>
      </w:r>
      <w:r w:rsidR="00DC3C09">
        <w:t>who</w:t>
      </w:r>
      <w:r w:rsidR="00D90C26">
        <w:t xml:space="preserve"> left MARAD </w:t>
      </w:r>
      <w:r w:rsidR="00DC3C09">
        <w:t xml:space="preserve">in December 2025 </w:t>
      </w:r>
      <w:r w:rsidR="00D90C26">
        <w:t xml:space="preserve">and Mr. Kevin Lau assumed his responsibilities. </w:t>
      </w:r>
      <w:r w:rsidR="00805405">
        <w:t>Mr. Jain has continued to provide consulting support as needed.</w:t>
      </w:r>
    </w:p>
    <w:bookmarkEnd w:id="22"/>
    <w:p w:rsidR="00F402AB" w:rsidP="00EE5E78" w14:paraId="36003949" w14:textId="77777777">
      <w:pPr>
        <w:ind w:left="720"/>
        <w:rPr>
          <w:rFonts w:cs="Times New Roman"/>
          <w:szCs w:val="24"/>
        </w:rPr>
      </w:pPr>
    </w:p>
    <w:p w:rsidR="00F402AB" w:rsidRPr="008E6666" w:rsidP="008E6666" w14:paraId="41A284D4" w14:textId="69B6734D">
      <w:pPr>
        <w:rPr>
          <w:b/>
          <w:bCs/>
          <w:caps/>
        </w:rPr>
      </w:pPr>
      <w:r w:rsidRPr="00375216">
        <w:rPr>
          <w:b/>
          <w:bCs/>
          <w:caps/>
        </w:rPr>
        <w:t>Documents Included in Appendix 1</w:t>
      </w:r>
    </w:p>
    <w:p w:rsidR="00F402AB" w:rsidP="005939B0" w14:paraId="12CE94A8" w14:textId="77777777">
      <w:pPr>
        <w:spacing w:after="120"/>
        <w:ind w:left="360"/>
        <w:rPr>
          <w:rFonts w:cs="Times New Roman"/>
          <w:szCs w:val="24"/>
        </w:rPr>
      </w:pPr>
      <w:r>
        <w:rPr>
          <w:rFonts w:cs="Times New Roman"/>
          <w:szCs w:val="24"/>
        </w:rPr>
        <w:t>1.a. Copies of Statutes and Executive Orders Requiring the Data Collection</w:t>
      </w:r>
    </w:p>
    <w:p w:rsidR="00F402AB" w:rsidP="005939B0" w14:paraId="1A29AA21" w14:textId="0DA1DCFF">
      <w:pPr>
        <w:spacing w:after="120"/>
        <w:ind w:left="360"/>
        <w:rPr>
          <w:rFonts w:cs="Times New Roman"/>
          <w:szCs w:val="24"/>
        </w:rPr>
      </w:pPr>
      <w:r>
        <w:rPr>
          <w:rFonts w:cs="Times New Roman"/>
          <w:szCs w:val="24"/>
        </w:rPr>
        <w:t>1.b. Mariner Survey Questionnaire</w:t>
      </w:r>
      <w:r w:rsidR="00AC362C">
        <w:rPr>
          <w:rFonts w:cs="Times New Roman"/>
          <w:szCs w:val="24"/>
        </w:rPr>
        <w:t xml:space="preserve"> (Web </w:t>
      </w:r>
      <w:r w:rsidR="002B43A6">
        <w:rPr>
          <w:rFonts w:cs="Times New Roman"/>
          <w:szCs w:val="24"/>
        </w:rPr>
        <w:t>V</w:t>
      </w:r>
      <w:r w:rsidR="00AC362C">
        <w:rPr>
          <w:rFonts w:cs="Times New Roman"/>
          <w:szCs w:val="24"/>
        </w:rPr>
        <w:t>ersion)</w:t>
      </w:r>
    </w:p>
    <w:p w:rsidR="00F402AB" w:rsidP="005939B0" w14:paraId="4B707733" w14:textId="4358B2D2">
      <w:pPr>
        <w:tabs>
          <w:tab w:val="left" w:pos="7815"/>
        </w:tabs>
        <w:spacing w:after="120"/>
        <w:ind w:left="360"/>
        <w:rPr>
          <w:rFonts w:cs="Times New Roman"/>
          <w:szCs w:val="24"/>
        </w:rPr>
      </w:pPr>
      <w:r>
        <w:rPr>
          <w:rFonts w:cs="Times New Roman"/>
          <w:szCs w:val="24"/>
        </w:rPr>
        <w:t>1.c.</w:t>
      </w:r>
      <w:r w:rsidRPr="00F402AB">
        <w:rPr>
          <w:rFonts w:cs="Times New Roman"/>
          <w:szCs w:val="24"/>
        </w:rPr>
        <w:t xml:space="preserve"> </w:t>
      </w:r>
      <w:r w:rsidR="00AC362C">
        <w:rPr>
          <w:rFonts w:cs="Times New Roman"/>
          <w:szCs w:val="24"/>
        </w:rPr>
        <w:t xml:space="preserve">Mariner Survey Questionnaire (Mail </w:t>
      </w:r>
      <w:r w:rsidR="002B43A6">
        <w:rPr>
          <w:rFonts w:cs="Times New Roman"/>
          <w:szCs w:val="24"/>
        </w:rPr>
        <w:t>V</w:t>
      </w:r>
      <w:r w:rsidR="00AC362C">
        <w:rPr>
          <w:rFonts w:cs="Times New Roman"/>
          <w:szCs w:val="24"/>
        </w:rPr>
        <w:t>ersion)</w:t>
      </w:r>
      <w:r>
        <w:rPr>
          <w:rFonts w:cs="Times New Roman"/>
          <w:szCs w:val="24"/>
        </w:rPr>
        <w:tab/>
      </w:r>
    </w:p>
    <w:p w:rsidR="00AC362C" w:rsidP="005939B0" w14:paraId="6D29E2A0" w14:textId="3AC6B43E">
      <w:pPr>
        <w:tabs>
          <w:tab w:val="left" w:pos="7815"/>
        </w:tabs>
        <w:spacing w:after="120"/>
        <w:ind w:left="360"/>
        <w:rPr>
          <w:rFonts w:cs="Times New Roman"/>
          <w:szCs w:val="24"/>
        </w:rPr>
      </w:pPr>
      <w:r>
        <w:rPr>
          <w:rFonts w:cs="Times New Roman"/>
          <w:szCs w:val="24"/>
        </w:rPr>
        <w:t xml:space="preserve">1.d. </w:t>
      </w:r>
      <w:r>
        <w:rPr>
          <w:rFonts w:cs="Times New Roman"/>
          <w:szCs w:val="24"/>
        </w:rPr>
        <w:t>Summary of Merchant Mariner Risk and Compensation Factors</w:t>
      </w:r>
      <w:r>
        <w:rPr>
          <w:rFonts w:cs="Times New Roman"/>
          <w:szCs w:val="24"/>
        </w:rPr>
        <w:t xml:space="preserve"> </w:t>
      </w:r>
    </w:p>
    <w:p w:rsidR="00F51060" w:rsidP="00AC362C" w14:paraId="6312BD18" w14:textId="581B03B8">
      <w:pPr>
        <w:tabs>
          <w:tab w:val="left" w:pos="7815"/>
        </w:tabs>
        <w:spacing w:after="120"/>
        <w:ind w:left="360"/>
        <w:rPr>
          <w:rFonts w:cs="Times New Roman"/>
          <w:szCs w:val="24"/>
        </w:rPr>
      </w:pPr>
      <w:r>
        <w:rPr>
          <w:rFonts w:cs="Times New Roman"/>
          <w:szCs w:val="24"/>
        </w:rPr>
        <w:t xml:space="preserve">1.e. </w:t>
      </w:r>
      <w:r w:rsidRPr="000A5E3B">
        <w:rPr>
          <w:rFonts w:cs="Times New Roman"/>
          <w:szCs w:val="24"/>
        </w:rPr>
        <w:t>Summary of Available Historical Revealed Data from Past Major Mariner Mobilizations</w:t>
      </w:r>
    </w:p>
    <w:sectPr w:rsidSect="000D0D77">
      <w:headerReference w:type="default" r:id="rId12"/>
      <w:footerReference w:type="default" r:id="rId13"/>
      <w:footerReference w:type="first" r:id="rId14"/>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39F0" w14:paraId="4D31BAB3" w14:textId="740529FE">
    <w:pPr>
      <w:pStyle w:val="Footer"/>
      <w:jc w:val="center"/>
    </w:pPr>
  </w:p>
  <w:p w:rsidR="008B39F0" w:rsidRPr="00C611EC" w:rsidP="000D0D77" w14:paraId="1702717F" w14:textId="79894A3A">
    <w:pPr>
      <w:pStyle w:val="Footer"/>
      <w:jc w:val="center"/>
      <w:rPr>
        <w:rFonts w:cs="Times New Roman"/>
        <w:sz w:val="20"/>
        <w:szCs w:val="20"/>
      </w:rPr>
    </w:pPr>
    <w:r w:rsidRPr="00C611EC">
      <w:rPr>
        <w:rFonts w:cs="Times New Roman"/>
        <w:sz w:val="20"/>
        <w:szCs w:val="20"/>
      </w:rPr>
      <w:fldChar w:fldCharType="begin"/>
    </w:r>
    <w:r w:rsidRPr="00C611EC">
      <w:rPr>
        <w:rFonts w:cs="Times New Roman"/>
        <w:sz w:val="20"/>
        <w:szCs w:val="20"/>
      </w:rPr>
      <w:instrText xml:space="preserve"> PAGE   \* MERGEFORMAT </w:instrText>
    </w:r>
    <w:r w:rsidRPr="00C611EC">
      <w:rPr>
        <w:rFonts w:cs="Times New Roman"/>
        <w:sz w:val="20"/>
        <w:szCs w:val="20"/>
      </w:rPr>
      <w:fldChar w:fldCharType="separate"/>
    </w:r>
    <w:r>
      <w:rPr>
        <w:rFonts w:cs="Times New Roman"/>
        <w:noProof/>
        <w:sz w:val="20"/>
        <w:szCs w:val="20"/>
      </w:rPr>
      <w:t>10</w:t>
    </w:r>
    <w:r w:rsidRPr="00C611EC">
      <w:rPr>
        <w:rFonts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39F0" w14:paraId="660094F0" w14:textId="2106EF7D">
    <w:pPr>
      <w:pStyle w:val="Footer"/>
      <w:jc w:val="center"/>
    </w:pPr>
  </w:p>
  <w:p w:rsidR="008B39F0" w14:paraId="352571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A51CB" w:rsidP="00416F70" w14:paraId="216F91A7" w14:textId="77777777">
      <w:pPr>
        <w:spacing w:after="0" w:line="240" w:lineRule="auto"/>
      </w:pPr>
      <w:r>
        <w:separator/>
      </w:r>
    </w:p>
  </w:footnote>
  <w:footnote w:type="continuationSeparator" w:id="1">
    <w:p w:rsidR="002A51CB" w:rsidP="00416F70" w14:paraId="62A93E57" w14:textId="77777777">
      <w:pPr>
        <w:spacing w:after="0" w:line="240" w:lineRule="auto"/>
      </w:pPr>
      <w:r>
        <w:continuationSeparator/>
      </w:r>
    </w:p>
  </w:footnote>
  <w:footnote w:id="2">
    <w:p w:rsidR="009C08D7" w:rsidRPr="00CB1A0B" w:rsidP="009C08D7" w14:paraId="19387D43" w14:textId="5808B4F6">
      <w:pPr>
        <w:pStyle w:val="FootnoteText"/>
        <w:rPr>
          <w:rFonts w:cs="Times New Roman"/>
        </w:rPr>
      </w:pPr>
      <w:r w:rsidRPr="00CB1A0B">
        <w:rPr>
          <w:rStyle w:val="FootnoteReference"/>
          <w:rFonts w:cs="Times New Roman"/>
        </w:rPr>
        <w:footnoteRef/>
      </w:r>
      <w:r w:rsidRPr="00CB1A0B">
        <w:rPr>
          <w:rFonts w:cs="Times New Roman"/>
        </w:rPr>
        <w:t xml:space="preserve"> In the survey effort, MARAD is including mariners with an MMC</w:t>
      </w:r>
      <w:r w:rsidRPr="00CB1A0B" w:rsidR="00562FE3">
        <w:rPr>
          <w:rFonts w:cs="Times New Roman"/>
        </w:rPr>
        <w:t xml:space="preserve"> placed</w:t>
      </w:r>
      <w:r w:rsidRPr="00CB1A0B">
        <w:rPr>
          <w:rFonts w:cs="Times New Roman"/>
        </w:rPr>
        <w:t xml:space="preserve"> in continuity</w:t>
      </w:r>
      <w:r w:rsidRPr="00CB1A0B" w:rsidR="00562FE3">
        <w:rPr>
          <w:rFonts w:cs="Times New Roman"/>
        </w:rPr>
        <w:t>,</w:t>
      </w:r>
      <w:r w:rsidRPr="00CB1A0B">
        <w:rPr>
          <w:rFonts w:cs="Times New Roman"/>
        </w:rPr>
        <w:t xml:space="preserve"> </w:t>
      </w:r>
      <w:r w:rsidRPr="00CB1A0B" w:rsidR="00562FE3">
        <w:rPr>
          <w:rFonts w:cs="Times New Roman"/>
        </w:rPr>
        <w:t xml:space="preserve">which </w:t>
      </w:r>
      <w:r w:rsidRPr="00CB1A0B">
        <w:rPr>
          <w:rFonts w:cs="Times New Roman"/>
        </w:rPr>
        <w:t xml:space="preserve">means that the </w:t>
      </w:r>
      <w:r w:rsidRPr="00CB1A0B" w:rsidR="0029068A">
        <w:rPr>
          <w:rFonts w:cs="Times New Roman"/>
        </w:rPr>
        <w:t xml:space="preserve">credential </w:t>
      </w:r>
      <w:r w:rsidRPr="00CB1A0B">
        <w:rPr>
          <w:rFonts w:cs="Times New Roman"/>
        </w:rPr>
        <w:t xml:space="preserve">is not active, but it can be renewed if the mariner completes refresher training required by the U.S. Coast Guard. These mariners may be </w:t>
      </w:r>
      <w:r w:rsidRPr="00CB1A0B" w:rsidR="007843AD">
        <w:rPr>
          <w:rFonts w:cs="Times New Roman"/>
        </w:rPr>
        <w:t xml:space="preserve">willing </w:t>
      </w:r>
      <w:r w:rsidRPr="00CB1A0B">
        <w:rPr>
          <w:rFonts w:cs="Times New Roman"/>
        </w:rPr>
        <w:t>to renew their expired credentials by completing the necessary training once they are able to meet the current medical standards. Only licensed mariners are included in this group</w:t>
      </w:r>
      <w:r w:rsidRPr="00CB1A0B" w:rsidR="00562FE3">
        <w:rPr>
          <w:rFonts w:cs="Times New Roman"/>
        </w:rPr>
        <w:t>.</w:t>
      </w:r>
      <w:r w:rsidRPr="00CB1A0B">
        <w:rPr>
          <w:rFonts w:cs="Times New Roman"/>
        </w:rPr>
        <w:t xml:space="preserve"> </w:t>
      </w:r>
      <w:r w:rsidRPr="00CB1A0B" w:rsidR="00562FE3">
        <w:rPr>
          <w:rFonts w:cs="Times New Roman"/>
        </w:rPr>
        <w:t>B</w:t>
      </w:r>
      <w:r w:rsidRPr="00CB1A0B">
        <w:rPr>
          <w:rFonts w:cs="Times New Roman"/>
        </w:rPr>
        <w:t xml:space="preserve">ecause the </w:t>
      </w:r>
      <w:r w:rsidRPr="00CB1A0B" w:rsidR="00562FE3">
        <w:rPr>
          <w:rFonts w:cs="Times New Roman"/>
        </w:rPr>
        <w:t xml:space="preserve">population </w:t>
      </w:r>
      <w:r w:rsidRPr="00CB1A0B">
        <w:rPr>
          <w:rFonts w:cs="Times New Roman"/>
        </w:rPr>
        <w:t xml:space="preserve">of unlicensed mariners with a </w:t>
      </w:r>
      <w:r w:rsidRPr="00CB1A0B" w:rsidR="00562FE3">
        <w:rPr>
          <w:rFonts w:cs="Times New Roman"/>
        </w:rPr>
        <w:t xml:space="preserve">valid </w:t>
      </w:r>
      <w:r w:rsidRPr="00CB1A0B">
        <w:rPr>
          <w:rFonts w:cs="Times New Roman"/>
        </w:rPr>
        <w:t xml:space="preserve">MMC is </w:t>
      </w:r>
      <w:r w:rsidRPr="00CB1A0B" w:rsidR="00562FE3">
        <w:rPr>
          <w:rFonts w:cs="Times New Roman"/>
        </w:rPr>
        <w:t>substantially</w:t>
      </w:r>
      <w:r w:rsidRPr="00CB1A0B">
        <w:rPr>
          <w:rFonts w:cs="Times New Roman"/>
        </w:rPr>
        <w:t xml:space="preserve"> large</w:t>
      </w:r>
      <w:r w:rsidRPr="00CB1A0B" w:rsidR="00562FE3">
        <w:rPr>
          <w:rFonts w:cs="Times New Roman"/>
        </w:rPr>
        <w:t>r than the corresponding licensed mariner population</w:t>
      </w:r>
      <w:r w:rsidRPr="00CB1A0B">
        <w:rPr>
          <w:rFonts w:cs="Times New Roman"/>
        </w:rPr>
        <w:t xml:space="preserve">, </w:t>
      </w:r>
      <w:r w:rsidRPr="00CB1A0B" w:rsidR="00562FE3">
        <w:rPr>
          <w:rFonts w:cs="Times New Roman"/>
        </w:rPr>
        <w:t xml:space="preserve">MARAD anticipates that sufficient numbers of currently credentialed unlicensed mariners would likely be available </w:t>
      </w:r>
      <w:r w:rsidRPr="00CB1A0B">
        <w:rPr>
          <w:rFonts w:cs="Times New Roman"/>
        </w:rPr>
        <w:t>to crew sealift vessels during periods of National Need.</w:t>
      </w:r>
      <w:r w:rsidRPr="00CB1A0B" w:rsidR="00562FE3">
        <w:rPr>
          <w:rFonts w:cs="Times New Roman"/>
        </w:rPr>
        <w:t xml:space="preserve"> Accordingly, unlicensed mariners with an MMC placed in continuity are not included in the survey effort.</w:t>
      </w:r>
    </w:p>
  </w:footnote>
  <w:footnote w:id="3">
    <w:p w:rsidR="00C125F8" w:rsidRPr="00CB1A0B" w:rsidP="00C125F8" w14:paraId="3FE89321" w14:textId="61132BFD">
      <w:pPr>
        <w:pStyle w:val="FootnoteText"/>
        <w:rPr>
          <w:rFonts w:cs="Times New Roman"/>
        </w:rPr>
      </w:pPr>
      <w:r w:rsidRPr="00CB1A0B">
        <w:rPr>
          <w:rStyle w:val="FootnoteReference"/>
          <w:rFonts w:cs="Times New Roman"/>
        </w:rPr>
        <w:footnoteRef/>
      </w:r>
      <w:r w:rsidRPr="00CB1A0B">
        <w:rPr>
          <w:rFonts w:cs="Times New Roman"/>
        </w:rPr>
        <w:t xml:space="preserve"> </w:t>
      </w:r>
      <w:r w:rsidRPr="00CB1A0B">
        <w:rPr>
          <w:rFonts w:cs="Times New Roman"/>
          <w:snapToGrid w:val="0"/>
        </w:rPr>
        <w:t>Groves, R</w:t>
      </w:r>
      <w:r w:rsidRPr="00CB1A0B" w:rsidR="007C179A">
        <w:rPr>
          <w:rFonts w:cs="Times New Roman"/>
          <w:snapToGrid w:val="0"/>
        </w:rPr>
        <w:t>.</w:t>
      </w:r>
      <w:r w:rsidRPr="00CB1A0B">
        <w:rPr>
          <w:rFonts w:cs="Times New Roman"/>
          <w:snapToGrid w:val="0"/>
        </w:rPr>
        <w:t xml:space="preserve"> M. 2006. Nonresponse rates and nonresponse bias in household surveys. </w:t>
      </w:r>
      <w:r w:rsidRPr="00CB1A0B">
        <w:rPr>
          <w:rFonts w:cs="Times New Roman"/>
          <w:i/>
          <w:iCs/>
          <w:snapToGrid w:val="0"/>
        </w:rPr>
        <w:t>Public Opinion Quarterly</w:t>
      </w:r>
      <w:r w:rsidRPr="00CB1A0B">
        <w:rPr>
          <w:rFonts w:cs="Times New Roman"/>
          <w:snapToGrid w:val="0"/>
        </w:rPr>
        <w:t xml:space="preserve"> 70:646</w:t>
      </w:r>
      <w:r w:rsidRPr="00CB1A0B" w:rsidR="00BB0F6D">
        <w:rPr>
          <w:rFonts w:cs="Times New Roman"/>
          <w:snapToGrid w:val="0"/>
        </w:rPr>
        <w:t>-</w:t>
      </w:r>
      <w:r w:rsidRPr="00CB1A0B">
        <w:rPr>
          <w:rFonts w:cs="Times New Roman"/>
          <w:snapToGrid w:val="0"/>
        </w:rPr>
        <w:t>75.</w:t>
      </w:r>
    </w:p>
  </w:footnote>
  <w:footnote w:id="4">
    <w:p w:rsidR="00C125F8" w:rsidRPr="00CB1A0B" w:rsidP="00C125F8" w14:paraId="58612BC8" w14:textId="3394D76B">
      <w:pPr>
        <w:pStyle w:val="FootnoteText"/>
        <w:rPr>
          <w:rFonts w:cs="Times New Roman"/>
        </w:rPr>
      </w:pPr>
      <w:r w:rsidRPr="00CB1A0B">
        <w:rPr>
          <w:rStyle w:val="FootnoteReference"/>
          <w:rFonts w:cs="Times New Roman"/>
        </w:rPr>
        <w:footnoteRef/>
      </w:r>
      <w:r w:rsidRPr="00CB1A0B">
        <w:rPr>
          <w:rFonts w:cs="Times New Roman"/>
        </w:rPr>
        <w:t xml:space="preserve"> </w:t>
      </w:r>
      <w:r w:rsidRPr="00CB1A0B">
        <w:rPr>
          <w:rFonts w:cs="Times New Roman"/>
          <w:snapToGrid w:val="0"/>
        </w:rPr>
        <w:t xml:space="preserve">National Research Council. 2013. </w:t>
      </w:r>
      <w:r w:rsidRPr="00CB1A0B">
        <w:rPr>
          <w:rFonts w:cs="Times New Roman"/>
          <w:i/>
          <w:iCs/>
          <w:snapToGrid w:val="0"/>
        </w:rPr>
        <w:t xml:space="preserve">Nonresponse in </w:t>
      </w:r>
      <w:r w:rsidRPr="00CB1A0B" w:rsidR="001A4564">
        <w:rPr>
          <w:rFonts w:cs="Times New Roman"/>
          <w:i/>
          <w:iCs/>
          <w:snapToGrid w:val="0"/>
        </w:rPr>
        <w:t>S</w:t>
      </w:r>
      <w:r w:rsidRPr="00CB1A0B">
        <w:rPr>
          <w:rFonts w:cs="Times New Roman"/>
          <w:i/>
          <w:iCs/>
          <w:snapToGrid w:val="0"/>
        </w:rPr>
        <w:t xml:space="preserve">ocial </w:t>
      </w:r>
      <w:r w:rsidRPr="00CB1A0B" w:rsidR="001A4564">
        <w:rPr>
          <w:rFonts w:cs="Times New Roman"/>
          <w:i/>
          <w:iCs/>
          <w:snapToGrid w:val="0"/>
        </w:rPr>
        <w:t>S</w:t>
      </w:r>
      <w:r w:rsidRPr="00CB1A0B">
        <w:rPr>
          <w:rFonts w:cs="Times New Roman"/>
          <w:i/>
          <w:iCs/>
          <w:snapToGrid w:val="0"/>
        </w:rPr>
        <w:t xml:space="preserve">cience </w:t>
      </w:r>
      <w:r w:rsidRPr="00CB1A0B" w:rsidR="001A4564">
        <w:rPr>
          <w:rFonts w:cs="Times New Roman"/>
          <w:i/>
          <w:iCs/>
          <w:snapToGrid w:val="0"/>
        </w:rPr>
        <w:t>S</w:t>
      </w:r>
      <w:r w:rsidRPr="00CB1A0B">
        <w:rPr>
          <w:rFonts w:cs="Times New Roman"/>
          <w:i/>
          <w:iCs/>
          <w:snapToGrid w:val="0"/>
        </w:rPr>
        <w:t xml:space="preserve">urveys: A </w:t>
      </w:r>
      <w:r w:rsidRPr="00CB1A0B" w:rsidR="001A4564">
        <w:rPr>
          <w:rFonts w:cs="Times New Roman"/>
          <w:i/>
          <w:iCs/>
          <w:snapToGrid w:val="0"/>
        </w:rPr>
        <w:t>R</w:t>
      </w:r>
      <w:r w:rsidRPr="00CB1A0B">
        <w:rPr>
          <w:rFonts w:cs="Times New Roman"/>
          <w:i/>
          <w:iCs/>
          <w:snapToGrid w:val="0"/>
        </w:rPr>
        <w:t xml:space="preserve">esearch </w:t>
      </w:r>
      <w:r w:rsidRPr="00CB1A0B" w:rsidR="001A4564">
        <w:rPr>
          <w:rFonts w:cs="Times New Roman"/>
          <w:i/>
          <w:iCs/>
          <w:snapToGrid w:val="0"/>
        </w:rPr>
        <w:t>A</w:t>
      </w:r>
      <w:r w:rsidRPr="00CB1A0B">
        <w:rPr>
          <w:rFonts w:cs="Times New Roman"/>
          <w:i/>
          <w:iCs/>
          <w:snapToGrid w:val="0"/>
        </w:rPr>
        <w:t>genda</w:t>
      </w:r>
      <w:r w:rsidRPr="00CB1A0B" w:rsidR="007C179A">
        <w:rPr>
          <w:rFonts w:cs="Times New Roman"/>
          <w:snapToGrid w:val="0"/>
        </w:rPr>
        <w:t>. R. Tourangeau and T. J. Plewes, eds</w:t>
      </w:r>
      <w:r w:rsidRPr="00CB1A0B">
        <w:rPr>
          <w:rFonts w:cs="Times New Roman"/>
          <w:snapToGrid w:val="0"/>
        </w:rPr>
        <w:t>. Panel on a Research Agenda for the Future of Social Science Data Collection, Committee on National Statistics</w:t>
      </w:r>
      <w:r w:rsidRPr="00CB1A0B" w:rsidR="001A4564">
        <w:rPr>
          <w:rFonts w:cs="Times New Roman"/>
          <w:snapToGrid w:val="0"/>
        </w:rPr>
        <w:t>,</w:t>
      </w:r>
      <w:r w:rsidRPr="00CB1A0B">
        <w:rPr>
          <w:rFonts w:cs="Times New Roman"/>
          <w:snapToGrid w:val="0"/>
        </w:rPr>
        <w:t xml:space="preserve"> Division of Behavioral and Social Sciences and Education. Washington, DC: National Academies Press.</w:t>
      </w:r>
    </w:p>
  </w:footnote>
  <w:footnote w:id="5">
    <w:p w:rsidR="00C125F8" w:rsidRPr="00CB1A0B" w:rsidP="00C125F8" w14:paraId="22D98CD9" w14:textId="7018E6DB">
      <w:pPr>
        <w:pStyle w:val="FootnoteText"/>
        <w:rPr>
          <w:rFonts w:cs="Times New Roman"/>
        </w:rPr>
      </w:pPr>
      <w:r w:rsidRPr="00CB1A0B">
        <w:rPr>
          <w:rStyle w:val="FootnoteReference"/>
          <w:rFonts w:cs="Times New Roman"/>
        </w:rPr>
        <w:footnoteRef/>
      </w:r>
      <w:r w:rsidRPr="00CB1A0B">
        <w:rPr>
          <w:rFonts w:cs="Times New Roman"/>
        </w:rPr>
        <w:t xml:space="preserve"> </w:t>
      </w:r>
      <w:r w:rsidRPr="00CB1A0B">
        <w:rPr>
          <w:rFonts w:cs="Times New Roman"/>
          <w:snapToGrid w:val="0"/>
        </w:rPr>
        <w:t xml:space="preserve">Peytchev, A. 2009. Survey breakoff. </w:t>
      </w:r>
      <w:r w:rsidRPr="00CB1A0B">
        <w:rPr>
          <w:rFonts w:cs="Times New Roman"/>
          <w:i/>
          <w:iCs/>
          <w:snapToGrid w:val="0"/>
        </w:rPr>
        <w:t>Public Opinion Quarterly</w:t>
      </w:r>
      <w:r w:rsidRPr="00CB1A0B">
        <w:rPr>
          <w:rFonts w:cs="Times New Roman"/>
          <w:snapToGrid w:val="0"/>
        </w:rPr>
        <w:t xml:space="preserve"> 73:74</w:t>
      </w:r>
      <w:r w:rsidRPr="00CB1A0B" w:rsidR="00BB0F6D">
        <w:rPr>
          <w:rFonts w:cs="Times New Roman"/>
          <w:snapToGrid w:val="0"/>
        </w:rPr>
        <w:t>-</w:t>
      </w:r>
      <w:r w:rsidRPr="00CB1A0B">
        <w:rPr>
          <w:rFonts w:cs="Times New Roman"/>
          <w:snapToGrid w:val="0"/>
        </w:rPr>
        <w:t>97.</w:t>
      </w:r>
    </w:p>
  </w:footnote>
  <w:footnote w:id="6">
    <w:p w:rsidR="00C125F8" w:rsidRPr="00CB1A0B" w:rsidP="00C125F8" w14:paraId="0EFD179C" w14:textId="43F9B22F">
      <w:pPr>
        <w:pStyle w:val="FootnoteText"/>
        <w:rPr>
          <w:rFonts w:cs="Times New Roman"/>
        </w:rPr>
      </w:pPr>
      <w:r w:rsidRPr="00CB1A0B">
        <w:rPr>
          <w:rStyle w:val="FootnoteReference"/>
          <w:rFonts w:cs="Times New Roman"/>
        </w:rPr>
        <w:footnoteRef/>
      </w:r>
      <w:r w:rsidRPr="00CB1A0B">
        <w:rPr>
          <w:rFonts w:cs="Times New Roman"/>
        </w:rPr>
        <w:t xml:space="preserve"> </w:t>
      </w:r>
      <w:r w:rsidRPr="00CB1A0B">
        <w:rPr>
          <w:rFonts w:cs="Times New Roman"/>
          <w:snapToGrid w:val="0"/>
        </w:rPr>
        <w:t>Lundquist, P</w:t>
      </w:r>
      <w:r w:rsidRPr="00CB1A0B" w:rsidR="00516F34">
        <w:rPr>
          <w:rFonts w:cs="Times New Roman"/>
          <w:snapToGrid w:val="0"/>
        </w:rPr>
        <w:t>.</w:t>
      </w:r>
      <w:r w:rsidRPr="00CB1A0B">
        <w:rPr>
          <w:rFonts w:cs="Times New Roman"/>
          <w:snapToGrid w:val="0"/>
        </w:rPr>
        <w:t>, and C</w:t>
      </w:r>
      <w:r w:rsidRPr="00CB1A0B" w:rsidR="00516F34">
        <w:rPr>
          <w:rFonts w:cs="Times New Roman"/>
          <w:snapToGrid w:val="0"/>
        </w:rPr>
        <w:t>.</w:t>
      </w:r>
      <w:r w:rsidRPr="00CB1A0B">
        <w:rPr>
          <w:rFonts w:cs="Times New Roman"/>
          <w:snapToGrid w:val="0"/>
        </w:rPr>
        <w:t>-E</w:t>
      </w:r>
      <w:r w:rsidRPr="00CB1A0B" w:rsidR="00516F34">
        <w:rPr>
          <w:rFonts w:cs="Times New Roman"/>
          <w:snapToGrid w:val="0"/>
        </w:rPr>
        <w:t>.</w:t>
      </w:r>
      <w:r w:rsidRPr="00CB1A0B">
        <w:rPr>
          <w:rFonts w:cs="Times New Roman"/>
          <w:snapToGrid w:val="0"/>
        </w:rPr>
        <w:t xml:space="preserve"> Särndal. 2013. Aspects of responsive design with applications to the Swedish living conditions survey. </w:t>
      </w:r>
      <w:r w:rsidRPr="00CB1A0B">
        <w:rPr>
          <w:rFonts w:cs="Times New Roman"/>
          <w:i/>
          <w:iCs/>
          <w:snapToGrid w:val="0"/>
        </w:rPr>
        <w:t>Journal of Official Statistics</w:t>
      </w:r>
      <w:r w:rsidRPr="00CB1A0B">
        <w:rPr>
          <w:rFonts w:cs="Times New Roman"/>
          <w:snapToGrid w:val="0"/>
        </w:rPr>
        <w:t xml:space="preserve"> 29:557</w:t>
      </w:r>
      <w:r w:rsidRPr="00CB1A0B" w:rsidR="00BB0F6D">
        <w:rPr>
          <w:rFonts w:cs="Times New Roman"/>
          <w:snapToGrid w:val="0"/>
        </w:rPr>
        <w:t>-</w:t>
      </w:r>
      <w:r w:rsidRPr="00CB1A0B">
        <w:rPr>
          <w:rFonts w:cs="Times New Roman"/>
          <w:snapToGrid w:val="0"/>
        </w:rPr>
        <w:t>82.</w:t>
      </w:r>
    </w:p>
  </w:footnote>
  <w:footnote w:id="7">
    <w:p w:rsidR="00C125F8" w:rsidRPr="00CB1A0B" w:rsidP="00C125F8" w14:paraId="1E7F66AF" w14:textId="5D357CA1">
      <w:pPr>
        <w:pStyle w:val="FootnoteText"/>
        <w:rPr>
          <w:rFonts w:cs="Times New Roman"/>
        </w:rPr>
      </w:pPr>
      <w:r w:rsidRPr="00CB1A0B">
        <w:rPr>
          <w:rStyle w:val="FootnoteReference"/>
          <w:rFonts w:cs="Times New Roman"/>
        </w:rPr>
        <w:footnoteRef/>
      </w:r>
      <w:r w:rsidRPr="00CB1A0B">
        <w:rPr>
          <w:rFonts w:cs="Times New Roman"/>
        </w:rPr>
        <w:t xml:space="preserve"> Groves</w:t>
      </w:r>
      <w:r w:rsidRPr="00CB1A0B" w:rsidR="00FF3425">
        <w:rPr>
          <w:rFonts w:cs="Times New Roman"/>
        </w:rPr>
        <w:t xml:space="preserve">. </w:t>
      </w:r>
      <w:r w:rsidRPr="00CB1A0B">
        <w:rPr>
          <w:rFonts w:cs="Times New Roman"/>
        </w:rPr>
        <w:t>2006.</w:t>
      </w:r>
    </w:p>
  </w:footnote>
  <w:footnote w:id="8">
    <w:p w:rsidR="00C125F8" w:rsidRPr="00CB1A0B" w:rsidP="00C125F8" w14:paraId="18930518" w14:textId="0B4ED0F3">
      <w:pPr>
        <w:pStyle w:val="FootnoteText"/>
        <w:rPr>
          <w:rFonts w:cs="Times New Roman"/>
        </w:rPr>
      </w:pPr>
      <w:r w:rsidRPr="00CB1A0B">
        <w:rPr>
          <w:rStyle w:val="FootnoteReference"/>
          <w:rFonts w:cs="Times New Roman"/>
        </w:rPr>
        <w:footnoteRef/>
      </w:r>
      <w:r w:rsidRPr="00CB1A0B">
        <w:rPr>
          <w:rFonts w:cs="Times New Roman"/>
        </w:rPr>
        <w:t xml:space="preserve"> National Research Council</w:t>
      </w:r>
      <w:r w:rsidRPr="00CB1A0B" w:rsidR="00FF3425">
        <w:rPr>
          <w:rFonts w:cs="Times New Roman"/>
        </w:rPr>
        <w:t>.</w:t>
      </w:r>
      <w:r w:rsidRPr="00CB1A0B">
        <w:rPr>
          <w:rFonts w:cs="Times New Roman"/>
        </w:rPr>
        <w:t xml:space="preserve"> 2013.</w:t>
      </w:r>
    </w:p>
  </w:footnote>
  <w:footnote w:id="9">
    <w:p w:rsidR="00C125F8" w:rsidRPr="00CB1A0B" w:rsidP="00C125F8" w14:paraId="6D22B06D" w14:textId="1E0164B3">
      <w:pPr>
        <w:pStyle w:val="FootnoteText"/>
        <w:rPr>
          <w:rFonts w:cs="Times New Roman"/>
        </w:rPr>
      </w:pPr>
      <w:r w:rsidRPr="00CB1A0B">
        <w:rPr>
          <w:rStyle w:val="FootnoteReference"/>
          <w:rFonts w:cs="Times New Roman"/>
        </w:rPr>
        <w:footnoteRef/>
      </w:r>
      <w:r w:rsidRPr="00CB1A0B">
        <w:rPr>
          <w:rFonts w:cs="Times New Roman"/>
        </w:rPr>
        <w:t xml:space="preserve"> Curtin, R</w:t>
      </w:r>
      <w:r w:rsidRPr="00CB1A0B" w:rsidR="00516F34">
        <w:rPr>
          <w:rFonts w:cs="Times New Roman"/>
        </w:rPr>
        <w:t>.</w:t>
      </w:r>
      <w:r w:rsidRPr="00CB1A0B">
        <w:rPr>
          <w:rFonts w:cs="Times New Roman"/>
        </w:rPr>
        <w:t>, S</w:t>
      </w:r>
      <w:r w:rsidRPr="00CB1A0B" w:rsidR="00516F34">
        <w:rPr>
          <w:rFonts w:cs="Times New Roman"/>
        </w:rPr>
        <w:t>.</w:t>
      </w:r>
      <w:r w:rsidRPr="00CB1A0B">
        <w:rPr>
          <w:rFonts w:cs="Times New Roman"/>
        </w:rPr>
        <w:t xml:space="preserve"> Presser, and E</w:t>
      </w:r>
      <w:r w:rsidRPr="00CB1A0B" w:rsidR="00516F34">
        <w:rPr>
          <w:rFonts w:cs="Times New Roman"/>
        </w:rPr>
        <w:t>.</w:t>
      </w:r>
      <w:r w:rsidRPr="00CB1A0B">
        <w:rPr>
          <w:rFonts w:cs="Times New Roman"/>
        </w:rPr>
        <w:t xml:space="preserve"> Singer. 2000. The effects of response rate changes on the Index of Consumer Sentiment. </w:t>
      </w:r>
      <w:r w:rsidRPr="00CB1A0B">
        <w:rPr>
          <w:rFonts w:cs="Times New Roman"/>
          <w:i/>
          <w:iCs/>
        </w:rPr>
        <w:t>Public Opinion Quarterly</w:t>
      </w:r>
      <w:r w:rsidRPr="00CB1A0B">
        <w:rPr>
          <w:rFonts w:cs="Times New Roman"/>
        </w:rPr>
        <w:t xml:space="preserve"> 64:413</w:t>
      </w:r>
      <w:r w:rsidRPr="00CB1A0B" w:rsidR="00BB0F6D">
        <w:rPr>
          <w:rFonts w:cs="Times New Roman"/>
        </w:rPr>
        <w:t>-</w:t>
      </w:r>
      <w:r w:rsidRPr="00CB1A0B">
        <w:rPr>
          <w:rFonts w:cs="Times New Roman"/>
        </w:rPr>
        <w:t>28.</w:t>
      </w:r>
    </w:p>
  </w:footnote>
  <w:footnote w:id="10">
    <w:p w:rsidR="00C125F8" w:rsidRPr="00CB1A0B" w:rsidP="00C125F8" w14:paraId="6BA63AE7" w14:textId="31F6F769">
      <w:pPr>
        <w:pStyle w:val="FootnoteText"/>
        <w:rPr>
          <w:rFonts w:cs="Times New Roman"/>
        </w:rPr>
      </w:pPr>
      <w:r w:rsidRPr="00CB1A0B">
        <w:rPr>
          <w:rStyle w:val="FootnoteReference"/>
          <w:rFonts w:cs="Times New Roman"/>
        </w:rPr>
        <w:footnoteRef/>
      </w:r>
      <w:r w:rsidRPr="00CB1A0B">
        <w:rPr>
          <w:rFonts w:cs="Times New Roman"/>
        </w:rPr>
        <w:t xml:space="preserve"> Lin, I.-F., and </w:t>
      </w:r>
      <w:r w:rsidRPr="00CB1A0B" w:rsidR="00516F34">
        <w:rPr>
          <w:rFonts w:cs="Times New Roman"/>
        </w:rPr>
        <w:t xml:space="preserve">N. C. </w:t>
      </w:r>
      <w:r w:rsidRPr="00CB1A0B">
        <w:rPr>
          <w:rFonts w:cs="Times New Roman"/>
        </w:rPr>
        <w:t xml:space="preserve">Schaeffer. 1995. Using survey participants to estimate the impact of nonparticipation. </w:t>
      </w:r>
      <w:r w:rsidRPr="00CB1A0B">
        <w:rPr>
          <w:rFonts w:cs="Times New Roman"/>
          <w:i/>
          <w:iCs/>
        </w:rPr>
        <w:t>Public Opinion Quarterly</w:t>
      </w:r>
      <w:r w:rsidRPr="00CB1A0B">
        <w:rPr>
          <w:rFonts w:cs="Times New Roman"/>
        </w:rPr>
        <w:t xml:space="preserve"> 59</w:t>
      </w:r>
      <w:r w:rsidRPr="00CB1A0B" w:rsidR="00516F34">
        <w:rPr>
          <w:rFonts w:cs="Times New Roman"/>
        </w:rPr>
        <w:t>:</w:t>
      </w:r>
      <w:r w:rsidRPr="00CB1A0B">
        <w:rPr>
          <w:rFonts w:cs="Times New Roman"/>
        </w:rPr>
        <w:t>236</w:t>
      </w:r>
      <w:r w:rsidRPr="00CB1A0B" w:rsidR="00BB0F6D">
        <w:rPr>
          <w:rFonts w:cs="Times New Roman"/>
        </w:rPr>
        <w:t>-</w:t>
      </w:r>
      <w:r w:rsidRPr="00CB1A0B">
        <w:rPr>
          <w:rFonts w:cs="Times New Roman"/>
        </w:rPr>
        <w:t>258.</w:t>
      </w:r>
    </w:p>
  </w:footnote>
  <w:footnote w:id="11">
    <w:p w:rsidR="00805405" w:rsidRPr="00CB1A0B" w:rsidP="00805405" w14:paraId="4F06353D" w14:textId="0A1E0EEC">
      <w:pPr>
        <w:pStyle w:val="FootnoteText"/>
        <w:rPr>
          <w:rFonts w:cs="Times New Roman"/>
        </w:rPr>
      </w:pPr>
      <w:r w:rsidRPr="00CB1A0B">
        <w:rPr>
          <w:rStyle w:val="FootnoteReference"/>
          <w:rFonts w:cs="Times New Roman"/>
        </w:rPr>
        <w:footnoteRef/>
      </w:r>
      <w:r w:rsidRPr="00CB1A0B">
        <w:rPr>
          <w:rFonts w:cs="Times New Roman"/>
        </w:rPr>
        <w:t xml:space="preserve"> Johnston, F. </w:t>
      </w:r>
      <w:r w:rsidRPr="00CB1A0B" w:rsidR="00797041">
        <w:rPr>
          <w:rFonts w:cs="Times New Roman"/>
        </w:rPr>
        <w:t>R., E. Lancsar, D. Marshall, V. Kilambi, A. Mühlbacher, D. A. Regier, B. W. Bresnahan, B. Kanninen, and J</w:t>
      </w:r>
      <w:r w:rsidRPr="00CB1A0B">
        <w:rPr>
          <w:rFonts w:cs="Times New Roman"/>
        </w:rPr>
        <w:t xml:space="preserve">. 2013. Constructing experimental designs for discrete choice experiments: Report of the ISPOR conjoint analysis experimental design good research practices task force. </w:t>
      </w:r>
      <w:r w:rsidRPr="00CB1A0B">
        <w:rPr>
          <w:rFonts w:cs="Times New Roman"/>
          <w:i/>
          <w:iCs/>
        </w:rPr>
        <w:t>Value in Health</w:t>
      </w:r>
      <w:r w:rsidRPr="00CB1A0B">
        <w:rPr>
          <w:rFonts w:cs="Times New Roman"/>
        </w:rPr>
        <w:t xml:space="preserve"> 16:3</w:t>
      </w:r>
      <w:r w:rsidRPr="00CB1A0B" w:rsidR="00797041">
        <w:rPr>
          <w:rFonts w:cs="Times New Roman"/>
        </w:rPr>
        <w:t>-</w:t>
      </w:r>
      <w:r w:rsidRPr="00CB1A0B">
        <w:rPr>
          <w:rFonts w:cs="Times New Roman"/>
        </w:rPr>
        <w:t>13.</w:t>
      </w:r>
    </w:p>
  </w:footnote>
  <w:footnote w:id="12">
    <w:p w:rsidR="00805405" w:rsidRPr="00CB1A0B" w:rsidP="00805405" w14:paraId="3C3543B8" w14:textId="04350013">
      <w:pPr>
        <w:pStyle w:val="FootnoteText"/>
        <w:rPr>
          <w:rFonts w:cs="Times New Roman"/>
        </w:rPr>
      </w:pPr>
      <w:r w:rsidRPr="00CB1A0B">
        <w:rPr>
          <w:rStyle w:val="FootnoteReference"/>
          <w:rFonts w:cs="Times New Roman"/>
        </w:rPr>
        <w:footnoteRef/>
      </w:r>
      <w:r w:rsidRPr="00CB1A0B">
        <w:rPr>
          <w:rFonts w:cs="Times New Roman"/>
        </w:rPr>
        <w:t xml:space="preserve"> Arrow, K</w:t>
      </w:r>
      <w:r w:rsidRPr="00CB1A0B" w:rsidR="00797041">
        <w:rPr>
          <w:rFonts w:cs="Times New Roman"/>
        </w:rPr>
        <w:t>.</w:t>
      </w:r>
      <w:r w:rsidRPr="00CB1A0B">
        <w:rPr>
          <w:rFonts w:cs="Times New Roman"/>
        </w:rPr>
        <w:t>, R</w:t>
      </w:r>
      <w:r w:rsidRPr="00CB1A0B" w:rsidR="00797041">
        <w:rPr>
          <w:rFonts w:cs="Times New Roman"/>
        </w:rPr>
        <w:t>.</w:t>
      </w:r>
      <w:r w:rsidRPr="00CB1A0B">
        <w:rPr>
          <w:rFonts w:cs="Times New Roman"/>
        </w:rPr>
        <w:t xml:space="preserve"> Solow, P</w:t>
      </w:r>
      <w:r w:rsidRPr="00CB1A0B" w:rsidR="00797041">
        <w:rPr>
          <w:rFonts w:cs="Times New Roman"/>
        </w:rPr>
        <w:t>.</w:t>
      </w:r>
      <w:r w:rsidRPr="00CB1A0B">
        <w:rPr>
          <w:rFonts w:cs="Times New Roman"/>
        </w:rPr>
        <w:t xml:space="preserve"> R. Portney, E</w:t>
      </w:r>
      <w:r w:rsidRPr="00CB1A0B" w:rsidR="00797041">
        <w:rPr>
          <w:rFonts w:cs="Times New Roman"/>
        </w:rPr>
        <w:t>.</w:t>
      </w:r>
      <w:r w:rsidRPr="00CB1A0B">
        <w:rPr>
          <w:rFonts w:cs="Times New Roman"/>
        </w:rPr>
        <w:t xml:space="preserve"> E. Leamer, R</w:t>
      </w:r>
      <w:r w:rsidRPr="00CB1A0B" w:rsidR="00797041">
        <w:rPr>
          <w:rFonts w:cs="Times New Roman"/>
        </w:rPr>
        <w:t>.</w:t>
      </w:r>
      <w:r w:rsidRPr="00CB1A0B">
        <w:rPr>
          <w:rFonts w:cs="Times New Roman"/>
        </w:rPr>
        <w:t xml:space="preserve"> Radner, and H</w:t>
      </w:r>
      <w:r w:rsidRPr="00CB1A0B" w:rsidR="00797041">
        <w:rPr>
          <w:rFonts w:cs="Times New Roman"/>
        </w:rPr>
        <w:t>.</w:t>
      </w:r>
      <w:r w:rsidRPr="00CB1A0B">
        <w:rPr>
          <w:rFonts w:cs="Times New Roman"/>
        </w:rPr>
        <w:t xml:space="preserve"> Schuman. 1993. Report of the NOAA panel on contingent valuation. </w:t>
      </w:r>
      <w:r w:rsidRPr="00CB1A0B">
        <w:rPr>
          <w:rFonts w:cs="Times New Roman"/>
          <w:i/>
          <w:iCs/>
        </w:rPr>
        <w:t>Federal Register</w:t>
      </w:r>
      <w:r w:rsidRPr="00CB1A0B">
        <w:rPr>
          <w:rFonts w:cs="Times New Roman"/>
        </w:rPr>
        <w:t xml:space="preserve"> 58:4601</w:t>
      </w:r>
      <w:r w:rsidRPr="00CB1A0B" w:rsidR="00797041">
        <w:rPr>
          <w:rFonts w:cs="Times New Roman"/>
        </w:rPr>
        <w:t>-</w:t>
      </w:r>
      <w:r w:rsidRPr="00CB1A0B">
        <w:rPr>
          <w:rFonts w:cs="Times New Roman"/>
        </w:rPr>
        <w:t>14.</w:t>
      </w:r>
    </w:p>
  </w:footnote>
  <w:footnote w:id="13">
    <w:p w:rsidR="00805405" w:rsidRPr="00CB1A0B" w:rsidP="00805405" w14:paraId="6273CC86" w14:textId="0AABB1C9">
      <w:pPr>
        <w:pStyle w:val="FootnoteText"/>
        <w:rPr>
          <w:rFonts w:cs="Times New Roman"/>
        </w:rPr>
      </w:pPr>
      <w:r w:rsidRPr="00CB1A0B">
        <w:rPr>
          <w:rStyle w:val="FootnoteReference"/>
          <w:rFonts w:cs="Times New Roman"/>
        </w:rPr>
        <w:footnoteRef/>
      </w:r>
      <w:r w:rsidRPr="00CB1A0B">
        <w:rPr>
          <w:rFonts w:cs="Times New Roman"/>
        </w:rPr>
        <w:t xml:space="preserve"> Bateman, I</w:t>
      </w:r>
      <w:r w:rsidRPr="00CB1A0B" w:rsidR="00797041">
        <w:rPr>
          <w:rFonts w:cs="Times New Roman"/>
        </w:rPr>
        <w:t>.</w:t>
      </w:r>
      <w:r w:rsidRPr="00CB1A0B">
        <w:rPr>
          <w:rFonts w:cs="Times New Roman"/>
        </w:rPr>
        <w:t xml:space="preserve"> J., R</w:t>
      </w:r>
      <w:r w:rsidRPr="00CB1A0B" w:rsidR="00797041">
        <w:rPr>
          <w:rFonts w:cs="Times New Roman"/>
        </w:rPr>
        <w:t>.</w:t>
      </w:r>
      <w:r w:rsidRPr="00CB1A0B">
        <w:rPr>
          <w:rFonts w:cs="Times New Roman"/>
        </w:rPr>
        <w:t xml:space="preserve"> T. Carson, B</w:t>
      </w:r>
      <w:r w:rsidRPr="00CB1A0B" w:rsidR="00797041">
        <w:rPr>
          <w:rFonts w:cs="Times New Roman"/>
        </w:rPr>
        <w:t>.</w:t>
      </w:r>
      <w:r w:rsidRPr="00CB1A0B">
        <w:rPr>
          <w:rFonts w:cs="Times New Roman"/>
        </w:rPr>
        <w:t xml:space="preserve"> H. Day, W. M</w:t>
      </w:r>
      <w:r w:rsidRPr="00CB1A0B" w:rsidR="00797041">
        <w:rPr>
          <w:rFonts w:cs="Times New Roman"/>
        </w:rPr>
        <w:t>.</w:t>
      </w:r>
      <w:r w:rsidRPr="00CB1A0B">
        <w:rPr>
          <w:rFonts w:cs="Times New Roman"/>
        </w:rPr>
        <w:t xml:space="preserve"> Hanemann, N</w:t>
      </w:r>
      <w:r w:rsidRPr="00CB1A0B" w:rsidR="00797041">
        <w:rPr>
          <w:rFonts w:cs="Times New Roman"/>
        </w:rPr>
        <w:t>.</w:t>
      </w:r>
      <w:r w:rsidRPr="00CB1A0B">
        <w:rPr>
          <w:rFonts w:cs="Times New Roman"/>
        </w:rPr>
        <w:t xml:space="preserve"> Hanley, T</w:t>
      </w:r>
      <w:r w:rsidRPr="00CB1A0B" w:rsidR="00797041">
        <w:rPr>
          <w:rFonts w:cs="Times New Roman"/>
        </w:rPr>
        <w:t>.</w:t>
      </w:r>
      <w:r w:rsidRPr="00CB1A0B">
        <w:rPr>
          <w:rFonts w:cs="Times New Roman"/>
        </w:rPr>
        <w:t xml:space="preserve"> Hett, M</w:t>
      </w:r>
      <w:r w:rsidRPr="00CB1A0B" w:rsidR="00797041">
        <w:rPr>
          <w:rFonts w:cs="Times New Roman"/>
        </w:rPr>
        <w:t>.</w:t>
      </w:r>
      <w:r w:rsidRPr="00CB1A0B">
        <w:rPr>
          <w:rFonts w:cs="Times New Roman"/>
        </w:rPr>
        <w:t xml:space="preserve"> Jones-Lee, G</w:t>
      </w:r>
      <w:r w:rsidRPr="00CB1A0B" w:rsidR="00797041">
        <w:rPr>
          <w:rFonts w:cs="Times New Roman"/>
        </w:rPr>
        <w:t>.</w:t>
      </w:r>
      <w:r w:rsidRPr="00CB1A0B">
        <w:rPr>
          <w:rFonts w:cs="Times New Roman"/>
        </w:rPr>
        <w:t xml:space="preserve"> Loomes, S</w:t>
      </w:r>
      <w:r w:rsidRPr="00CB1A0B" w:rsidR="00797041">
        <w:rPr>
          <w:rFonts w:cs="Times New Roman"/>
        </w:rPr>
        <w:t>.</w:t>
      </w:r>
      <w:r w:rsidRPr="00CB1A0B">
        <w:rPr>
          <w:rFonts w:cs="Times New Roman"/>
        </w:rPr>
        <w:t xml:space="preserve"> Mourato, E</w:t>
      </w:r>
      <w:r w:rsidRPr="00CB1A0B" w:rsidR="00797041">
        <w:rPr>
          <w:rFonts w:cs="Times New Roman"/>
        </w:rPr>
        <w:t>.</w:t>
      </w:r>
      <w:r w:rsidRPr="00CB1A0B">
        <w:rPr>
          <w:rFonts w:cs="Times New Roman"/>
        </w:rPr>
        <w:t xml:space="preserve"> Özdemiroglu, and D</w:t>
      </w:r>
      <w:r w:rsidRPr="00CB1A0B" w:rsidR="00797041">
        <w:rPr>
          <w:rFonts w:cs="Times New Roman"/>
        </w:rPr>
        <w:t>.</w:t>
      </w:r>
      <w:r w:rsidRPr="00CB1A0B">
        <w:rPr>
          <w:rFonts w:cs="Times New Roman"/>
        </w:rPr>
        <w:t xml:space="preserve"> W. Pearce. 2002. </w:t>
      </w:r>
      <w:r w:rsidRPr="00CB1A0B">
        <w:rPr>
          <w:rFonts w:cs="Times New Roman"/>
          <w:i/>
          <w:iCs/>
        </w:rPr>
        <w:t xml:space="preserve">Economic </w:t>
      </w:r>
      <w:r w:rsidRPr="00CB1A0B" w:rsidR="00797041">
        <w:rPr>
          <w:rFonts w:cs="Times New Roman"/>
          <w:i/>
          <w:iCs/>
        </w:rPr>
        <w:t>V</w:t>
      </w:r>
      <w:r w:rsidRPr="00CB1A0B">
        <w:rPr>
          <w:rFonts w:cs="Times New Roman"/>
          <w:i/>
          <w:iCs/>
        </w:rPr>
        <w:t xml:space="preserve">aluation with </w:t>
      </w:r>
      <w:r w:rsidRPr="00CB1A0B" w:rsidR="00797041">
        <w:rPr>
          <w:rFonts w:cs="Times New Roman"/>
          <w:i/>
          <w:iCs/>
        </w:rPr>
        <w:t>S</w:t>
      </w:r>
      <w:r w:rsidRPr="00CB1A0B">
        <w:rPr>
          <w:rFonts w:cs="Times New Roman"/>
          <w:i/>
          <w:iCs/>
        </w:rPr>
        <w:t xml:space="preserve">tated </w:t>
      </w:r>
      <w:r w:rsidRPr="00CB1A0B" w:rsidR="00797041">
        <w:rPr>
          <w:rFonts w:cs="Times New Roman"/>
          <w:i/>
          <w:iCs/>
        </w:rPr>
        <w:t>P</w:t>
      </w:r>
      <w:r w:rsidRPr="00CB1A0B">
        <w:rPr>
          <w:rFonts w:cs="Times New Roman"/>
          <w:i/>
          <w:iCs/>
        </w:rPr>
        <w:t xml:space="preserve">reference </w:t>
      </w:r>
      <w:r w:rsidRPr="00CB1A0B" w:rsidR="00797041">
        <w:rPr>
          <w:rFonts w:cs="Times New Roman"/>
          <w:i/>
          <w:iCs/>
        </w:rPr>
        <w:t>T</w:t>
      </w:r>
      <w:r w:rsidRPr="00CB1A0B">
        <w:rPr>
          <w:rFonts w:cs="Times New Roman"/>
          <w:i/>
          <w:iCs/>
        </w:rPr>
        <w:t xml:space="preserve">echniques: A </w:t>
      </w:r>
      <w:r w:rsidRPr="00CB1A0B" w:rsidR="00797041">
        <w:rPr>
          <w:rFonts w:cs="Times New Roman"/>
          <w:i/>
          <w:iCs/>
        </w:rPr>
        <w:t>M</w:t>
      </w:r>
      <w:r w:rsidRPr="00CB1A0B">
        <w:rPr>
          <w:rFonts w:cs="Times New Roman"/>
          <w:i/>
          <w:iCs/>
        </w:rPr>
        <w:t>anual</w:t>
      </w:r>
      <w:r w:rsidRPr="00CB1A0B">
        <w:rPr>
          <w:rFonts w:cs="Times New Roman"/>
        </w:rPr>
        <w:t>. Cheltenham: Edward Elgar.</w:t>
      </w:r>
    </w:p>
  </w:footnote>
  <w:footnote w:id="14">
    <w:p w:rsidR="00805405" w:rsidRPr="00CB1A0B" w:rsidP="00805405" w14:paraId="0F7A12FD" w14:textId="204BCFC1">
      <w:pPr>
        <w:pStyle w:val="FootnoteText"/>
        <w:rPr>
          <w:rFonts w:cs="Times New Roman"/>
        </w:rPr>
      </w:pPr>
      <w:r w:rsidRPr="00CB1A0B">
        <w:rPr>
          <w:rStyle w:val="FootnoteReference"/>
          <w:rFonts w:cs="Times New Roman"/>
        </w:rPr>
        <w:footnoteRef/>
      </w:r>
      <w:r w:rsidRPr="00CB1A0B">
        <w:rPr>
          <w:rFonts w:cs="Times New Roman"/>
        </w:rPr>
        <w:t xml:space="preserve"> Champ, </w:t>
      </w:r>
      <w:r w:rsidRPr="00CB1A0B" w:rsidR="00797041">
        <w:rPr>
          <w:rFonts w:cs="Times New Roman"/>
        </w:rPr>
        <w:t>P. A., K. Boyle, and T. C. Brown</w:t>
      </w:r>
      <w:r w:rsidRPr="00CB1A0B">
        <w:rPr>
          <w:rFonts w:cs="Times New Roman"/>
        </w:rPr>
        <w:t xml:space="preserve">, eds. 2017. </w:t>
      </w:r>
      <w:r w:rsidRPr="00CB1A0B">
        <w:rPr>
          <w:rFonts w:cs="Times New Roman"/>
          <w:i/>
          <w:iCs/>
        </w:rPr>
        <w:t xml:space="preserve">A </w:t>
      </w:r>
      <w:r w:rsidRPr="00CB1A0B" w:rsidR="00797041">
        <w:rPr>
          <w:rFonts w:cs="Times New Roman"/>
          <w:i/>
          <w:iCs/>
        </w:rPr>
        <w:t>P</w:t>
      </w:r>
      <w:r w:rsidRPr="00CB1A0B">
        <w:rPr>
          <w:rFonts w:cs="Times New Roman"/>
          <w:i/>
          <w:iCs/>
        </w:rPr>
        <w:t xml:space="preserve">rimer on </w:t>
      </w:r>
      <w:r w:rsidRPr="00CB1A0B" w:rsidR="00797041">
        <w:rPr>
          <w:rFonts w:cs="Times New Roman"/>
          <w:i/>
          <w:iCs/>
        </w:rPr>
        <w:t>N</w:t>
      </w:r>
      <w:r w:rsidRPr="00CB1A0B">
        <w:rPr>
          <w:rFonts w:cs="Times New Roman"/>
          <w:i/>
          <w:iCs/>
        </w:rPr>
        <w:t xml:space="preserve">onmarket </w:t>
      </w:r>
      <w:r w:rsidRPr="00CB1A0B" w:rsidR="00797041">
        <w:rPr>
          <w:rFonts w:cs="Times New Roman"/>
          <w:i/>
          <w:iCs/>
        </w:rPr>
        <w:t>V</w:t>
      </w:r>
      <w:r w:rsidRPr="00CB1A0B">
        <w:rPr>
          <w:rFonts w:cs="Times New Roman"/>
          <w:i/>
          <w:iCs/>
        </w:rPr>
        <w:t>aluation</w:t>
      </w:r>
      <w:r w:rsidRPr="00CB1A0B">
        <w:rPr>
          <w:rFonts w:cs="Times New Roman"/>
        </w:rPr>
        <w:t>. Amsterdam: Springer Science &amp; Business Media.</w:t>
      </w:r>
    </w:p>
  </w:footnote>
  <w:footnote w:id="15">
    <w:p w:rsidR="00C361CA" w:rsidRPr="00CB1A0B" w:rsidP="00C361CA" w14:paraId="7E8E2E5F" w14:textId="049951B5">
      <w:pPr>
        <w:pStyle w:val="FootnoteText"/>
        <w:rPr>
          <w:rFonts w:cs="Times New Roman"/>
        </w:rPr>
      </w:pPr>
      <w:r w:rsidRPr="00CB1A0B">
        <w:rPr>
          <w:rStyle w:val="FootnoteReference"/>
          <w:rFonts w:cs="Times New Roman"/>
        </w:rPr>
        <w:footnoteRef/>
      </w:r>
      <w:r w:rsidRPr="00CB1A0B">
        <w:rPr>
          <w:rFonts w:cs="Times New Roman"/>
        </w:rPr>
        <w:t xml:space="preserve"> Adamowicz, W</w:t>
      </w:r>
      <w:r w:rsidRPr="00CB1A0B" w:rsidR="00516F34">
        <w:rPr>
          <w:rFonts w:cs="Times New Roman"/>
        </w:rPr>
        <w:t>.</w:t>
      </w:r>
      <w:r w:rsidRPr="00CB1A0B">
        <w:rPr>
          <w:rFonts w:cs="Times New Roman"/>
        </w:rPr>
        <w:t>, J</w:t>
      </w:r>
      <w:r w:rsidRPr="00CB1A0B" w:rsidR="00516F34">
        <w:rPr>
          <w:rFonts w:cs="Times New Roman"/>
        </w:rPr>
        <w:t>.</w:t>
      </w:r>
      <w:r w:rsidRPr="00CB1A0B">
        <w:rPr>
          <w:rFonts w:cs="Times New Roman"/>
        </w:rPr>
        <w:t xml:space="preserve"> Swait, P</w:t>
      </w:r>
      <w:r w:rsidRPr="00CB1A0B" w:rsidR="00516F34">
        <w:rPr>
          <w:rFonts w:cs="Times New Roman"/>
        </w:rPr>
        <w:t>.</w:t>
      </w:r>
      <w:r w:rsidRPr="00CB1A0B">
        <w:rPr>
          <w:rFonts w:cs="Times New Roman"/>
        </w:rPr>
        <w:t xml:space="preserve"> Boxall, J</w:t>
      </w:r>
      <w:r w:rsidRPr="00CB1A0B" w:rsidR="00516F34">
        <w:rPr>
          <w:rFonts w:cs="Times New Roman"/>
        </w:rPr>
        <w:t>.</w:t>
      </w:r>
      <w:r w:rsidRPr="00CB1A0B">
        <w:rPr>
          <w:rFonts w:cs="Times New Roman"/>
        </w:rPr>
        <w:t xml:space="preserve"> Louviere, and M</w:t>
      </w:r>
      <w:r w:rsidRPr="00CB1A0B" w:rsidR="00516F34">
        <w:rPr>
          <w:rFonts w:cs="Times New Roman"/>
        </w:rPr>
        <w:t>.</w:t>
      </w:r>
      <w:r w:rsidRPr="00CB1A0B">
        <w:rPr>
          <w:rFonts w:cs="Times New Roman"/>
        </w:rPr>
        <w:t xml:space="preserve"> Williams. 1997. Perceptions versus objective measures of environmental quality in combined revealed and stated preference models of environmental valuation. </w:t>
      </w:r>
      <w:r w:rsidRPr="00CB1A0B">
        <w:rPr>
          <w:rFonts w:cs="Times New Roman"/>
          <w:i/>
          <w:iCs/>
        </w:rPr>
        <w:t>Journal of Environmental Economics and Management</w:t>
      </w:r>
      <w:r w:rsidRPr="00CB1A0B">
        <w:rPr>
          <w:rFonts w:cs="Times New Roman"/>
        </w:rPr>
        <w:t xml:space="preserve"> 32:65</w:t>
      </w:r>
      <w:r w:rsidRPr="00CB1A0B" w:rsidR="007D30FC">
        <w:rPr>
          <w:rFonts w:cs="Times New Roman"/>
        </w:rPr>
        <w:t>-</w:t>
      </w:r>
      <w:r w:rsidRPr="00CB1A0B">
        <w:rPr>
          <w:rFonts w:cs="Times New Roman"/>
        </w:rPr>
        <w:t>84.</w:t>
      </w:r>
    </w:p>
  </w:footnote>
  <w:footnote w:id="16">
    <w:p w:rsidR="00C361CA" w:rsidRPr="00CB1A0B" w:rsidP="00C361CA" w14:paraId="2F95E5C1" w14:textId="4F616A4E">
      <w:pPr>
        <w:pStyle w:val="FootnoteText"/>
        <w:rPr>
          <w:rFonts w:cs="Times New Roman"/>
        </w:rPr>
      </w:pPr>
      <w:r w:rsidRPr="00CB1A0B">
        <w:rPr>
          <w:rStyle w:val="FootnoteReference"/>
          <w:rFonts w:cs="Times New Roman"/>
        </w:rPr>
        <w:footnoteRef/>
      </w:r>
      <w:r w:rsidRPr="00CB1A0B">
        <w:rPr>
          <w:rFonts w:cs="Times New Roman"/>
        </w:rPr>
        <w:t xml:space="preserve"> Champ et a</w:t>
      </w:r>
      <w:r w:rsidRPr="00CB1A0B" w:rsidR="007C7CBD">
        <w:rPr>
          <w:rFonts w:cs="Times New Roman"/>
        </w:rPr>
        <w:t>l.</w:t>
      </w:r>
      <w:r w:rsidRPr="00CB1A0B">
        <w:rPr>
          <w:rFonts w:cs="Times New Roman"/>
        </w:rPr>
        <w:t xml:space="preserve"> 2017.</w:t>
      </w:r>
    </w:p>
  </w:footnote>
  <w:footnote w:id="17">
    <w:p w:rsidR="007C7CBD" w:rsidRPr="00CB1A0B" w14:paraId="5A7A8E19" w14:textId="1CA3552F">
      <w:pPr>
        <w:pStyle w:val="FootnoteText"/>
        <w:rPr>
          <w:rFonts w:cs="Times New Roman"/>
        </w:rPr>
      </w:pPr>
      <w:r w:rsidRPr="00CB1A0B">
        <w:rPr>
          <w:rStyle w:val="FootnoteReference"/>
          <w:rFonts w:cs="Times New Roman"/>
        </w:rPr>
        <w:footnoteRef/>
      </w:r>
      <w:r w:rsidRPr="00CB1A0B">
        <w:rPr>
          <w:rFonts w:cs="Times New Roman"/>
        </w:rPr>
        <w:t xml:space="preserve"> Bateman et al. 2002.</w:t>
      </w:r>
    </w:p>
  </w:footnote>
  <w:footnote w:id="18">
    <w:p w:rsidR="00C361CA" w:rsidRPr="00CB1A0B" w:rsidP="00C361CA" w14:paraId="249BDEAD" w14:textId="0BE0D8FE">
      <w:pPr>
        <w:pStyle w:val="FootnoteText"/>
        <w:rPr>
          <w:rFonts w:cs="Times New Roman"/>
        </w:rPr>
      </w:pPr>
      <w:r w:rsidRPr="00CB1A0B">
        <w:rPr>
          <w:rStyle w:val="FootnoteReference"/>
          <w:rFonts w:cs="Times New Roman"/>
        </w:rPr>
        <w:footnoteRef/>
      </w:r>
      <w:r w:rsidRPr="00CB1A0B">
        <w:rPr>
          <w:rFonts w:cs="Times New Roman"/>
        </w:rPr>
        <w:t xml:space="preserve"> </w:t>
      </w:r>
      <w:r w:rsidRPr="00CB1A0B" w:rsidR="007C7CBD">
        <w:rPr>
          <w:rFonts w:cs="Times New Roman"/>
        </w:rPr>
        <w:t>Arrow et al. 1993.</w:t>
      </w:r>
    </w:p>
  </w:footnote>
  <w:footnote w:id="19">
    <w:p w:rsidR="00C361CA" w:rsidRPr="00FA067A" w:rsidP="00C361CA" w14:paraId="0ABA6A38" w14:textId="22E529D1">
      <w:pPr>
        <w:pStyle w:val="FootnoteText"/>
        <w:rPr>
          <w:rFonts w:cs="Times New Roman"/>
        </w:rPr>
      </w:pPr>
      <w:r w:rsidRPr="00CB1A0B">
        <w:rPr>
          <w:rStyle w:val="FootnoteReference"/>
          <w:rFonts w:cs="Times New Roman"/>
        </w:rPr>
        <w:footnoteRef/>
      </w:r>
      <w:r w:rsidRPr="00CB1A0B">
        <w:rPr>
          <w:rFonts w:cs="Times New Roman"/>
        </w:rPr>
        <w:t xml:space="preserve"> Willis, G</w:t>
      </w:r>
      <w:r w:rsidRPr="00CB1A0B" w:rsidR="00516F34">
        <w:rPr>
          <w:rFonts w:cs="Times New Roman"/>
        </w:rPr>
        <w:t>.</w:t>
      </w:r>
      <w:r w:rsidRPr="00CB1A0B">
        <w:rPr>
          <w:rFonts w:cs="Times New Roman"/>
        </w:rPr>
        <w:t xml:space="preserve"> B. 2005. </w:t>
      </w:r>
      <w:r w:rsidRPr="00CB1A0B">
        <w:rPr>
          <w:rFonts w:cs="Times New Roman"/>
          <w:i/>
          <w:iCs/>
        </w:rPr>
        <w:t xml:space="preserve">Cognitive </w:t>
      </w:r>
      <w:r w:rsidRPr="00CB1A0B" w:rsidR="00797041">
        <w:rPr>
          <w:rFonts w:cs="Times New Roman"/>
          <w:i/>
          <w:iCs/>
        </w:rPr>
        <w:t>I</w:t>
      </w:r>
      <w:r w:rsidRPr="00CB1A0B">
        <w:rPr>
          <w:rFonts w:cs="Times New Roman"/>
          <w:i/>
          <w:iCs/>
        </w:rPr>
        <w:t xml:space="preserve">nterviewing: A </w:t>
      </w:r>
      <w:r w:rsidRPr="00CB1A0B" w:rsidR="00797041">
        <w:rPr>
          <w:rFonts w:cs="Times New Roman"/>
          <w:i/>
          <w:iCs/>
        </w:rPr>
        <w:t>T</w:t>
      </w:r>
      <w:r w:rsidRPr="00CB1A0B">
        <w:rPr>
          <w:rFonts w:cs="Times New Roman"/>
          <w:i/>
          <w:iCs/>
        </w:rPr>
        <w:t xml:space="preserve">ool for </w:t>
      </w:r>
      <w:r w:rsidRPr="00CB1A0B" w:rsidR="00797041">
        <w:rPr>
          <w:rFonts w:cs="Times New Roman"/>
          <w:i/>
          <w:iCs/>
        </w:rPr>
        <w:t>I</w:t>
      </w:r>
      <w:r w:rsidRPr="00CB1A0B">
        <w:rPr>
          <w:rFonts w:cs="Times New Roman"/>
          <w:i/>
          <w:iCs/>
        </w:rPr>
        <w:t xml:space="preserve">mproving </w:t>
      </w:r>
      <w:r w:rsidRPr="00CB1A0B" w:rsidR="00797041">
        <w:rPr>
          <w:rFonts w:cs="Times New Roman"/>
          <w:i/>
          <w:iCs/>
        </w:rPr>
        <w:t>Q</w:t>
      </w:r>
      <w:r w:rsidRPr="00CB1A0B">
        <w:rPr>
          <w:rFonts w:cs="Times New Roman"/>
          <w:i/>
          <w:iCs/>
        </w:rPr>
        <w:t xml:space="preserve">uestionnaire </w:t>
      </w:r>
      <w:r w:rsidRPr="00CB1A0B" w:rsidR="00797041">
        <w:rPr>
          <w:rFonts w:cs="Times New Roman"/>
          <w:i/>
          <w:iCs/>
        </w:rPr>
        <w:t>D</w:t>
      </w:r>
      <w:r w:rsidRPr="00CB1A0B">
        <w:rPr>
          <w:rFonts w:cs="Times New Roman"/>
          <w:i/>
          <w:iCs/>
        </w:rPr>
        <w:t>esign.</w:t>
      </w:r>
      <w:r w:rsidRPr="00CB1A0B">
        <w:rPr>
          <w:rFonts w:cs="Times New Roman"/>
        </w:rPr>
        <w:t xml:space="preserve"> Thousand Oaks, CA: Sage Publications, Inc.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39F0" w14:paraId="3746C329" w14:textId="1FA419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F4361"/>
    <w:multiLevelType w:val="hybridMultilevel"/>
    <w:tmpl w:val="0548D500"/>
    <w:lvl w:ilvl="0">
      <w:start w:val="1"/>
      <w:numFmt w:val="decimal"/>
      <w:lvlText w:val="%1."/>
      <w:lvlJc w:val="left"/>
      <w:pPr>
        <w:ind w:left="720" w:hanging="360"/>
      </w:pPr>
      <w:rPr>
        <w:rFonts w:cstheme="minorHAnsi"/>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F5619B"/>
    <w:multiLevelType w:val="hybridMultilevel"/>
    <w:tmpl w:val="7F94D3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C30382"/>
    <w:multiLevelType w:val="hybridMultilevel"/>
    <w:tmpl w:val="A3C67A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514687"/>
    <w:multiLevelType w:val="hybridMultilevel"/>
    <w:tmpl w:val="B3BCDC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33731E"/>
    <w:multiLevelType w:val="hybridMultilevel"/>
    <w:tmpl w:val="B650A1B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F4A2FF3"/>
    <w:multiLevelType w:val="hybridMultilevel"/>
    <w:tmpl w:val="6FDA94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9641C9"/>
    <w:multiLevelType w:val="hybridMultilevel"/>
    <w:tmpl w:val="D638A606"/>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FC449D3"/>
    <w:multiLevelType w:val="hybridMultilevel"/>
    <w:tmpl w:val="DFFA11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6E6207"/>
    <w:multiLevelType w:val="hybridMultilevel"/>
    <w:tmpl w:val="C854CEBE"/>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2DDD4439"/>
    <w:multiLevelType w:val="hybridMultilevel"/>
    <w:tmpl w:val="CB0C1BD8"/>
    <w:lvl w:ilvl="0">
      <w:start w:val="1"/>
      <w:numFmt w:val="bullet"/>
      <w:lvlText w:val=""/>
      <w:lvlJc w:val="left"/>
      <w:pPr>
        <w:ind w:left="1800" w:hanging="360"/>
      </w:pPr>
      <w:rPr>
        <w:rFonts w:ascii="Symbol" w:hAnsi="Symbol" w:hint="default"/>
      </w:rPr>
    </w:lvl>
    <w:lvl w:ilvl="1">
      <w:start w:val="1"/>
      <w:numFmt w:val="bullet"/>
      <w:lvlText w:val=""/>
      <w:lvlJc w:val="left"/>
      <w:pPr>
        <w:ind w:left="2520" w:hanging="360"/>
      </w:pPr>
      <w:rPr>
        <w:rFonts w:ascii="Wingdings" w:hAnsi="Wingdings"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30351843"/>
    <w:multiLevelType w:val="hybridMultilevel"/>
    <w:tmpl w:val="D8AA6A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072404"/>
    <w:multiLevelType w:val="hybridMultilevel"/>
    <w:tmpl w:val="D3808ADC"/>
    <w:lvl w:ilvl="0">
      <w:start w:val="2"/>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552801"/>
    <w:multiLevelType w:val="hybridMultilevel"/>
    <w:tmpl w:val="68B200D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35D344E"/>
    <w:multiLevelType w:val="multilevel"/>
    <w:tmpl w:val="83387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D22439"/>
    <w:multiLevelType w:val="hybridMultilevel"/>
    <w:tmpl w:val="99164F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D62063B"/>
    <w:multiLevelType w:val="hybridMultilevel"/>
    <w:tmpl w:val="7B4ECD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D7A1FEF"/>
    <w:multiLevelType w:val="hybridMultilevel"/>
    <w:tmpl w:val="93128C3E"/>
    <w:lvl w:ilvl="0">
      <w:start w:val="1"/>
      <w:numFmt w:val="lowerLetter"/>
      <w:lvlText w:val="%1."/>
      <w:lvlJc w:val="left"/>
      <w:pPr>
        <w:ind w:left="990" w:hanging="360"/>
      </w:pPr>
      <w:rPr>
        <w:rFonts w:cs="Times New Roman"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7">
    <w:nsid w:val="3DE3005F"/>
    <w:multiLevelType w:val="hybridMultilevel"/>
    <w:tmpl w:val="EEEC6D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0E6CEF"/>
    <w:multiLevelType w:val="hybridMultilevel"/>
    <w:tmpl w:val="8888472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325391"/>
    <w:multiLevelType w:val="hybridMultilevel"/>
    <w:tmpl w:val="7750BA4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3EB74388"/>
    <w:multiLevelType w:val="hybridMultilevel"/>
    <w:tmpl w:val="EB0CD80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04D027E"/>
    <w:multiLevelType w:val="multilevel"/>
    <w:tmpl w:val="9E24436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nsid w:val="4245229E"/>
    <w:multiLevelType w:val="multilevel"/>
    <w:tmpl w:val="9342C53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nsid w:val="437A4FE0"/>
    <w:multiLevelType w:val="hybridMultilevel"/>
    <w:tmpl w:val="1320FAF8"/>
    <w:lvl w:ilvl="0">
      <w:start w:val="1"/>
      <w:numFmt w:val="upp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45422FB4"/>
    <w:multiLevelType w:val="hybridMultilevel"/>
    <w:tmpl w:val="DE086A4E"/>
    <w:lvl w:ilvl="0">
      <w:start w:val="1"/>
      <w:numFmt w:val="lowerLetter"/>
      <w:lvlText w:val="%1."/>
      <w:lvlJc w:val="left"/>
      <w:pPr>
        <w:ind w:left="108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75250FC"/>
    <w:multiLevelType w:val="hybridMultilevel"/>
    <w:tmpl w:val="215E5388"/>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6">
    <w:nsid w:val="4A3F1D44"/>
    <w:multiLevelType w:val="multilevel"/>
    <w:tmpl w:val="D5F0EAA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7">
    <w:nsid w:val="4CDC56EC"/>
    <w:multiLevelType w:val="multilevel"/>
    <w:tmpl w:val="09FC4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b/>
        <w:bCs/>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FF25B8"/>
    <w:multiLevelType w:val="hybridMultilevel"/>
    <w:tmpl w:val="5F4C4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0371139"/>
    <w:multiLevelType w:val="hybridMultilevel"/>
    <w:tmpl w:val="8960BD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9C17CB6"/>
    <w:multiLevelType w:val="hybridMultilevel"/>
    <w:tmpl w:val="4DA29C6A"/>
    <w:lvl w:ilvl="0">
      <w:start w:val="1"/>
      <w:numFmt w:val="bullet"/>
      <w:lvlText w:val=""/>
      <w:lvlJc w:val="left"/>
      <w:pPr>
        <w:ind w:left="1800" w:hanging="360"/>
      </w:pPr>
      <w:rPr>
        <w:rFonts w:ascii="Symbol" w:hAnsi="Symbol" w:hint="default"/>
      </w:rPr>
    </w:lvl>
    <w:lvl w:ilvl="1">
      <w:start w:val="1"/>
      <w:numFmt w:val="bullet"/>
      <w:lvlText w:val=""/>
      <w:lvlJc w:val="left"/>
      <w:pPr>
        <w:ind w:left="2520" w:hanging="360"/>
      </w:pPr>
      <w:rPr>
        <w:rFonts w:ascii="Wingdings" w:hAnsi="Wingdings"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1">
    <w:nsid w:val="59CE0A1C"/>
    <w:multiLevelType w:val="hybridMultilevel"/>
    <w:tmpl w:val="164CA31E"/>
    <w:lvl w:ilvl="0">
      <w:start w:val="2"/>
      <w:numFmt w:val="decimal"/>
      <w:lvlText w:val="%1."/>
      <w:lvlJc w:val="left"/>
      <w:pPr>
        <w:ind w:left="216" w:hanging="72"/>
      </w:pPr>
      <w:rPr>
        <w:rFonts w:hint="default"/>
        <w:b w:val="0"/>
        <w:u w:val="none"/>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C446F06"/>
    <w:multiLevelType w:val="hybridMultilevel"/>
    <w:tmpl w:val="6ABE81E2"/>
    <w:lvl w:ilvl="0">
      <w:start w:val="1"/>
      <w:numFmt w:val="bullet"/>
      <w:lvlText w:val=""/>
      <w:lvlJc w:val="left"/>
      <w:pPr>
        <w:ind w:left="2520" w:hanging="360"/>
      </w:pPr>
      <w:rPr>
        <w:rFonts w:ascii="Wingdings" w:hAnsi="Wingdings"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3">
    <w:nsid w:val="5E356D91"/>
    <w:multiLevelType w:val="hybridMultilevel"/>
    <w:tmpl w:val="AE36F0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4">
    <w:nsid w:val="60723ED1"/>
    <w:multiLevelType w:val="multilevel"/>
    <w:tmpl w:val="425639A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nsid w:val="6473698C"/>
    <w:multiLevelType w:val="hybridMultilevel"/>
    <w:tmpl w:val="D3E487B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6">
    <w:nsid w:val="679C0AEB"/>
    <w:multiLevelType w:val="hybridMultilevel"/>
    <w:tmpl w:val="80B88A1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7C3682B"/>
    <w:multiLevelType w:val="hybridMultilevel"/>
    <w:tmpl w:val="9422408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808403B"/>
    <w:multiLevelType w:val="hybridMultilevel"/>
    <w:tmpl w:val="66F2EA2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89900A3"/>
    <w:multiLevelType w:val="hybridMultilevel"/>
    <w:tmpl w:val="BC4C263E"/>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40">
    <w:nsid w:val="6C460B8E"/>
    <w:multiLevelType w:val="hybridMultilevel"/>
    <w:tmpl w:val="DD64CF38"/>
    <w:lvl w:ilvl="0">
      <w:start w:val="2"/>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EE47891"/>
    <w:multiLevelType w:val="hybridMultilevel"/>
    <w:tmpl w:val="07023CEA"/>
    <w:lvl w:ilvl="0">
      <w:start w:val="30"/>
      <w:numFmt w:val="bullet"/>
      <w:lvlText w:val="-"/>
      <w:lvlJc w:val="left"/>
      <w:pPr>
        <w:ind w:left="410" w:hanging="360"/>
      </w:pPr>
      <w:rPr>
        <w:rFonts w:ascii="Times New Roman" w:hAnsi="Times New Roman" w:eastAsiaTheme="minorHAnsi" w:cs="Times New Roman" w:hint="default"/>
      </w:rPr>
    </w:lvl>
    <w:lvl w:ilvl="1" w:tentative="1">
      <w:start w:val="1"/>
      <w:numFmt w:val="bullet"/>
      <w:lvlText w:val="o"/>
      <w:lvlJc w:val="left"/>
      <w:pPr>
        <w:ind w:left="1130" w:hanging="360"/>
      </w:pPr>
      <w:rPr>
        <w:rFonts w:ascii="Courier New" w:hAnsi="Courier New" w:cs="Courier New" w:hint="default"/>
      </w:rPr>
    </w:lvl>
    <w:lvl w:ilvl="2" w:tentative="1">
      <w:start w:val="1"/>
      <w:numFmt w:val="bullet"/>
      <w:lvlText w:val=""/>
      <w:lvlJc w:val="left"/>
      <w:pPr>
        <w:ind w:left="1850" w:hanging="360"/>
      </w:pPr>
      <w:rPr>
        <w:rFonts w:ascii="Wingdings" w:hAnsi="Wingdings" w:hint="default"/>
      </w:rPr>
    </w:lvl>
    <w:lvl w:ilvl="3" w:tentative="1">
      <w:start w:val="1"/>
      <w:numFmt w:val="bullet"/>
      <w:lvlText w:val=""/>
      <w:lvlJc w:val="left"/>
      <w:pPr>
        <w:ind w:left="2570" w:hanging="360"/>
      </w:pPr>
      <w:rPr>
        <w:rFonts w:ascii="Symbol" w:hAnsi="Symbol" w:hint="default"/>
      </w:rPr>
    </w:lvl>
    <w:lvl w:ilvl="4" w:tentative="1">
      <w:start w:val="1"/>
      <w:numFmt w:val="bullet"/>
      <w:lvlText w:val="o"/>
      <w:lvlJc w:val="left"/>
      <w:pPr>
        <w:ind w:left="3290" w:hanging="360"/>
      </w:pPr>
      <w:rPr>
        <w:rFonts w:ascii="Courier New" w:hAnsi="Courier New" w:cs="Courier New" w:hint="default"/>
      </w:rPr>
    </w:lvl>
    <w:lvl w:ilvl="5" w:tentative="1">
      <w:start w:val="1"/>
      <w:numFmt w:val="bullet"/>
      <w:lvlText w:val=""/>
      <w:lvlJc w:val="left"/>
      <w:pPr>
        <w:ind w:left="4010" w:hanging="360"/>
      </w:pPr>
      <w:rPr>
        <w:rFonts w:ascii="Wingdings" w:hAnsi="Wingdings" w:hint="default"/>
      </w:rPr>
    </w:lvl>
    <w:lvl w:ilvl="6" w:tentative="1">
      <w:start w:val="1"/>
      <w:numFmt w:val="bullet"/>
      <w:lvlText w:val=""/>
      <w:lvlJc w:val="left"/>
      <w:pPr>
        <w:ind w:left="4730" w:hanging="360"/>
      </w:pPr>
      <w:rPr>
        <w:rFonts w:ascii="Symbol" w:hAnsi="Symbol" w:hint="default"/>
      </w:rPr>
    </w:lvl>
    <w:lvl w:ilvl="7" w:tentative="1">
      <w:start w:val="1"/>
      <w:numFmt w:val="bullet"/>
      <w:lvlText w:val="o"/>
      <w:lvlJc w:val="left"/>
      <w:pPr>
        <w:ind w:left="5450" w:hanging="360"/>
      </w:pPr>
      <w:rPr>
        <w:rFonts w:ascii="Courier New" w:hAnsi="Courier New" w:cs="Courier New" w:hint="default"/>
      </w:rPr>
    </w:lvl>
    <w:lvl w:ilvl="8" w:tentative="1">
      <w:start w:val="1"/>
      <w:numFmt w:val="bullet"/>
      <w:lvlText w:val=""/>
      <w:lvlJc w:val="left"/>
      <w:pPr>
        <w:ind w:left="6170" w:hanging="360"/>
      </w:pPr>
      <w:rPr>
        <w:rFonts w:ascii="Wingdings" w:hAnsi="Wingdings" w:hint="default"/>
      </w:rPr>
    </w:lvl>
  </w:abstractNum>
  <w:abstractNum w:abstractNumId="42">
    <w:nsid w:val="72A916F9"/>
    <w:multiLevelType w:val="hybridMultilevel"/>
    <w:tmpl w:val="3D7403E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7850965"/>
    <w:multiLevelType w:val="hybridMultilevel"/>
    <w:tmpl w:val="0CD244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9A32251"/>
    <w:multiLevelType w:val="hybridMultilevel"/>
    <w:tmpl w:val="0EF052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color w:val="000000" w:themeColor="text1"/>
      </w:rPr>
    </w:lvl>
    <w:lvl w:ilvl="2">
      <w:start w:val="1"/>
      <w:numFmt w:val="bullet"/>
      <w:lvlText w:val="o"/>
      <w:lvlJc w:val="left"/>
      <w:pPr>
        <w:ind w:left="2160" w:hanging="360"/>
      </w:pPr>
      <w:rPr>
        <w:rFonts w:ascii="Courier New" w:hAnsi="Courier New" w:cs="Courier New" w:hint="default"/>
        <w:color w:val="000000" w:themeColor="text1"/>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35322109">
    <w:abstractNumId w:val="1"/>
  </w:num>
  <w:num w:numId="2" w16cid:durableId="27025681">
    <w:abstractNumId w:val="35"/>
  </w:num>
  <w:num w:numId="3" w16cid:durableId="890113704">
    <w:abstractNumId w:val="17"/>
  </w:num>
  <w:num w:numId="4" w16cid:durableId="1353189624">
    <w:abstractNumId w:val="5"/>
  </w:num>
  <w:num w:numId="5" w16cid:durableId="1182236452">
    <w:abstractNumId w:val="18"/>
  </w:num>
  <w:num w:numId="6" w16cid:durableId="811874451">
    <w:abstractNumId w:val="38"/>
  </w:num>
  <w:num w:numId="7" w16cid:durableId="987443348">
    <w:abstractNumId w:val="12"/>
  </w:num>
  <w:num w:numId="8" w16cid:durableId="1770394296">
    <w:abstractNumId w:val="3"/>
  </w:num>
  <w:num w:numId="9" w16cid:durableId="871307012">
    <w:abstractNumId w:val="28"/>
  </w:num>
  <w:num w:numId="10" w16cid:durableId="889070944">
    <w:abstractNumId w:val="2"/>
  </w:num>
  <w:num w:numId="11" w16cid:durableId="1906985213">
    <w:abstractNumId w:val="43"/>
  </w:num>
  <w:num w:numId="12" w16cid:durableId="1321693275">
    <w:abstractNumId w:val="31"/>
  </w:num>
  <w:num w:numId="13" w16cid:durableId="1078018861">
    <w:abstractNumId w:val="7"/>
  </w:num>
  <w:num w:numId="14" w16cid:durableId="729158521">
    <w:abstractNumId w:val="4"/>
  </w:num>
  <w:num w:numId="15" w16cid:durableId="247232440">
    <w:abstractNumId w:val="15"/>
  </w:num>
  <w:num w:numId="16" w16cid:durableId="442574176">
    <w:abstractNumId w:val="14"/>
  </w:num>
  <w:num w:numId="17" w16cid:durableId="487404922">
    <w:abstractNumId w:val="41"/>
  </w:num>
  <w:num w:numId="18" w16cid:durableId="1453089886">
    <w:abstractNumId w:val="34"/>
  </w:num>
  <w:num w:numId="19" w16cid:durableId="2035576447">
    <w:abstractNumId w:val="22"/>
  </w:num>
  <w:num w:numId="20" w16cid:durableId="1604192894">
    <w:abstractNumId w:val="26"/>
  </w:num>
  <w:num w:numId="21" w16cid:durableId="772095272">
    <w:abstractNumId w:val="21"/>
  </w:num>
  <w:num w:numId="22" w16cid:durableId="920992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6520687">
    <w:abstractNumId w:val="13"/>
  </w:num>
  <w:num w:numId="24" w16cid:durableId="2140295190">
    <w:abstractNumId w:val="0"/>
  </w:num>
  <w:num w:numId="25" w16cid:durableId="743263338">
    <w:abstractNumId w:val="29"/>
  </w:num>
  <w:num w:numId="26" w16cid:durableId="314532490">
    <w:abstractNumId w:val="6"/>
  </w:num>
  <w:num w:numId="27" w16cid:durableId="164369463">
    <w:abstractNumId w:val="24"/>
  </w:num>
  <w:num w:numId="28" w16cid:durableId="692346972">
    <w:abstractNumId w:val="37"/>
  </w:num>
  <w:num w:numId="29" w16cid:durableId="1573345053">
    <w:abstractNumId w:val="27"/>
  </w:num>
  <w:num w:numId="30" w16cid:durableId="1506170736">
    <w:abstractNumId w:val="36"/>
  </w:num>
  <w:num w:numId="31" w16cid:durableId="1623344972">
    <w:abstractNumId w:val="40"/>
  </w:num>
  <w:num w:numId="32" w16cid:durableId="1691763276">
    <w:abstractNumId w:val="11"/>
  </w:num>
  <w:num w:numId="33" w16cid:durableId="1279608727">
    <w:abstractNumId w:val="20"/>
  </w:num>
  <w:num w:numId="34" w16cid:durableId="1446726991">
    <w:abstractNumId w:val="16"/>
  </w:num>
  <w:num w:numId="35" w16cid:durableId="1671134384">
    <w:abstractNumId w:val="19"/>
  </w:num>
  <w:num w:numId="36" w16cid:durableId="1785348589">
    <w:abstractNumId w:val="33"/>
  </w:num>
  <w:num w:numId="37" w16cid:durableId="1330211408">
    <w:abstractNumId w:val="32"/>
  </w:num>
  <w:num w:numId="38" w16cid:durableId="1453205024">
    <w:abstractNumId w:val="30"/>
  </w:num>
  <w:num w:numId="39" w16cid:durableId="939068180">
    <w:abstractNumId w:val="8"/>
  </w:num>
  <w:num w:numId="40" w16cid:durableId="2136025444">
    <w:abstractNumId w:val="42"/>
  </w:num>
  <w:num w:numId="41" w16cid:durableId="1204101651">
    <w:abstractNumId w:val="44"/>
  </w:num>
  <w:num w:numId="42" w16cid:durableId="2079593231">
    <w:abstractNumId w:val="25"/>
  </w:num>
  <w:num w:numId="43" w16cid:durableId="348996241">
    <w:abstractNumId w:val="39"/>
  </w:num>
  <w:num w:numId="44" w16cid:durableId="1406151553">
    <w:abstractNumId w:val="9"/>
  </w:num>
  <w:num w:numId="45" w16cid:durableId="2144931151">
    <w:abstractNumId w:val="10"/>
  </w:num>
  <w:num w:numId="46" w16cid:durableId="9727084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revisionView w:comments="1" w:formatting="1" w:inkAnnotations="0" w:insDel="1" w:markup="1"/>
  <w:defaultTabStop w:val="36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B1"/>
    <w:rsid w:val="00000069"/>
    <w:rsid w:val="0000126C"/>
    <w:rsid w:val="00003FD0"/>
    <w:rsid w:val="00004EBB"/>
    <w:rsid w:val="00006C90"/>
    <w:rsid w:val="00006F24"/>
    <w:rsid w:val="00011352"/>
    <w:rsid w:val="00013CF0"/>
    <w:rsid w:val="00014E59"/>
    <w:rsid w:val="000167BB"/>
    <w:rsid w:val="00022C75"/>
    <w:rsid w:val="00023CE3"/>
    <w:rsid w:val="00024C30"/>
    <w:rsid w:val="00025842"/>
    <w:rsid w:val="00027315"/>
    <w:rsid w:val="000275C2"/>
    <w:rsid w:val="00027AA0"/>
    <w:rsid w:val="00032638"/>
    <w:rsid w:val="000327FB"/>
    <w:rsid w:val="00032942"/>
    <w:rsid w:val="00034036"/>
    <w:rsid w:val="00035C95"/>
    <w:rsid w:val="00041661"/>
    <w:rsid w:val="00042B65"/>
    <w:rsid w:val="000435BC"/>
    <w:rsid w:val="00044D9D"/>
    <w:rsid w:val="00045AA7"/>
    <w:rsid w:val="0005020B"/>
    <w:rsid w:val="000508CC"/>
    <w:rsid w:val="00051A24"/>
    <w:rsid w:val="00056796"/>
    <w:rsid w:val="00057458"/>
    <w:rsid w:val="000627F0"/>
    <w:rsid w:val="00062D5A"/>
    <w:rsid w:val="00063D9B"/>
    <w:rsid w:val="000657CB"/>
    <w:rsid w:val="00066DDE"/>
    <w:rsid w:val="0006709A"/>
    <w:rsid w:val="000672CD"/>
    <w:rsid w:val="00067413"/>
    <w:rsid w:val="00067440"/>
    <w:rsid w:val="00067EF3"/>
    <w:rsid w:val="000749BC"/>
    <w:rsid w:val="00074A6E"/>
    <w:rsid w:val="000752FD"/>
    <w:rsid w:val="0007554E"/>
    <w:rsid w:val="00075C53"/>
    <w:rsid w:val="00076B11"/>
    <w:rsid w:val="00077D80"/>
    <w:rsid w:val="00080BE0"/>
    <w:rsid w:val="00082F20"/>
    <w:rsid w:val="000831AA"/>
    <w:rsid w:val="000837C7"/>
    <w:rsid w:val="000869A7"/>
    <w:rsid w:val="00090DF1"/>
    <w:rsid w:val="0009102E"/>
    <w:rsid w:val="00091127"/>
    <w:rsid w:val="00091EEA"/>
    <w:rsid w:val="000929C1"/>
    <w:rsid w:val="00092EBD"/>
    <w:rsid w:val="000936DF"/>
    <w:rsid w:val="0009382C"/>
    <w:rsid w:val="00094384"/>
    <w:rsid w:val="0009461A"/>
    <w:rsid w:val="00095F93"/>
    <w:rsid w:val="0009748F"/>
    <w:rsid w:val="00097798"/>
    <w:rsid w:val="000A0250"/>
    <w:rsid w:val="000A1787"/>
    <w:rsid w:val="000A189F"/>
    <w:rsid w:val="000A2804"/>
    <w:rsid w:val="000A29AB"/>
    <w:rsid w:val="000A2AC6"/>
    <w:rsid w:val="000A3C4E"/>
    <w:rsid w:val="000A5132"/>
    <w:rsid w:val="000A5E3B"/>
    <w:rsid w:val="000A7C6C"/>
    <w:rsid w:val="000A7F86"/>
    <w:rsid w:val="000B0811"/>
    <w:rsid w:val="000B22F4"/>
    <w:rsid w:val="000B2870"/>
    <w:rsid w:val="000B2CB5"/>
    <w:rsid w:val="000B394A"/>
    <w:rsid w:val="000B46B1"/>
    <w:rsid w:val="000B5B58"/>
    <w:rsid w:val="000B5E3B"/>
    <w:rsid w:val="000B6EDF"/>
    <w:rsid w:val="000B6FCD"/>
    <w:rsid w:val="000B74BA"/>
    <w:rsid w:val="000C06EB"/>
    <w:rsid w:val="000C2A4E"/>
    <w:rsid w:val="000C363C"/>
    <w:rsid w:val="000C3E01"/>
    <w:rsid w:val="000C3E4C"/>
    <w:rsid w:val="000C658C"/>
    <w:rsid w:val="000C6F8D"/>
    <w:rsid w:val="000C729B"/>
    <w:rsid w:val="000C7997"/>
    <w:rsid w:val="000D05E9"/>
    <w:rsid w:val="000D0D77"/>
    <w:rsid w:val="000D114B"/>
    <w:rsid w:val="000D272A"/>
    <w:rsid w:val="000D273F"/>
    <w:rsid w:val="000D2AE9"/>
    <w:rsid w:val="000D3E8C"/>
    <w:rsid w:val="000D50C2"/>
    <w:rsid w:val="000D5806"/>
    <w:rsid w:val="000D5F7A"/>
    <w:rsid w:val="000D6627"/>
    <w:rsid w:val="000D6DF5"/>
    <w:rsid w:val="000E113F"/>
    <w:rsid w:val="000E169E"/>
    <w:rsid w:val="000E1EBA"/>
    <w:rsid w:val="000E4313"/>
    <w:rsid w:val="000E4A07"/>
    <w:rsid w:val="000E4DC5"/>
    <w:rsid w:val="000E5B4B"/>
    <w:rsid w:val="000E6026"/>
    <w:rsid w:val="000E6249"/>
    <w:rsid w:val="000E63CB"/>
    <w:rsid w:val="000E6B20"/>
    <w:rsid w:val="000E7B0E"/>
    <w:rsid w:val="000F1826"/>
    <w:rsid w:val="000F1FFE"/>
    <w:rsid w:val="000F28CB"/>
    <w:rsid w:val="000F4578"/>
    <w:rsid w:val="000F6D1C"/>
    <w:rsid w:val="00100C4E"/>
    <w:rsid w:val="0010106B"/>
    <w:rsid w:val="00101290"/>
    <w:rsid w:val="00102309"/>
    <w:rsid w:val="00102453"/>
    <w:rsid w:val="00107592"/>
    <w:rsid w:val="00111BA4"/>
    <w:rsid w:val="00112B19"/>
    <w:rsid w:val="001132FC"/>
    <w:rsid w:val="00114DA3"/>
    <w:rsid w:val="0011588B"/>
    <w:rsid w:val="00116E5C"/>
    <w:rsid w:val="00120594"/>
    <w:rsid w:val="00120630"/>
    <w:rsid w:val="00121A4B"/>
    <w:rsid w:val="0012205D"/>
    <w:rsid w:val="00125BAB"/>
    <w:rsid w:val="00125FAD"/>
    <w:rsid w:val="0012701F"/>
    <w:rsid w:val="00130492"/>
    <w:rsid w:val="00131CDB"/>
    <w:rsid w:val="0013372E"/>
    <w:rsid w:val="00133E6D"/>
    <w:rsid w:val="00135FB2"/>
    <w:rsid w:val="00141D0C"/>
    <w:rsid w:val="00144143"/>
    <w:rsid w:val="00144F0A"/>
    <w:rsid w:val="0014752A"/>
    <w:rsid w:val="001521A4"/>
    <w:rsid w:val="00153DD6"/>
    <w:rsid w:val="00153E3A"/>
    <w:rsid w:val="00154369"/>
    <w:rsid w:val="00155753"/>
    <w:rsid w:val="0015740E"/>
    <w:rsid w:val="00157C38"/>
    <w:rsid w:val="0016043E"/>
    <w:rsid w:val="001614DE"/>
    <w:rsid w:val="00161BD3"/>
    <w:rsid w:val="00164B9E"/>
    <w:rsid w:val="001658EC"/>
    <w:rsid w:val="00165B8D"/>
    <w:rsid w:val="001660CF"/>
    <w:rsid w:val="00167DF4"/>
    <w:rsid w:val="00170A24"/>
    <w:rsid w:val="00171C8E"/>
    <w:rsid w:val="001733A6"/>
    <w:rsid w:val="001733EB"/>
    <w:rsid w:val="00173A1C"/>
    <w:rsid w:val="00174C72"/>
    <w:rsid w:val="00175512"/>
    <w:rsid w:val="00175D64"/>
    <w:rsid w:val="00176A15"/>
    <w:rsid w:val="00176F07"/>
    <w:rsid w:val="00180F2C"/>
    <w:rsid w:val="00184B94"/>
    <w:rsid w:val="00184CCE"/>
    <w:rsid w:val="00184ED3"/>
    <w:rsid w:val="001876DD"/>
    <w:rsid w:val="00187989"/>
    <w:rsid w:val="001925D0"/>
    <w:rsid w:val="001933DC"/>
    <w:rsid w:val="0019536D"/>
    <w:rsid w:val="001955FA"/>
    <w:rsid w:val="00195E92"/>
    <w:rsid w:val="0019670A"/>
    <w:rsid w:val="00196716"/>
    <w:rsid w:val="001A0544"/>
    <w:rsid w:val="001A1B27"/>
    <w:rsid w:val="001A331C"/>
    <w:rsid w:val="001A4564"/>
    <w:rsid w:val="001A4F32"/>
    <w:rsid w:val="001A6069"/>
    <w:rsid w:val="001A61D1"/>
    <w:rsid w:val="001A6818"/>
    <w:rsid w:val="001A6847"/>
    <w:rsid w:val="001B04E5"/>
    <w:rsid w:val="001B0657"/>
    <w:rsid w:val="001B06BB"/>
    <w:rsid w:val="001B3AEA"/>
    <w:rsid w:val="001B4B83"/>
    <w:rsid w:val="001B68DB"/>
    <w:rsid w:val="001C1523"/>
    <w:rsid w:val="001C2597"/>
    <w:rsid w:val="001C3463"/>
    <w:rsid w:val="001C4FEB"/>
    <w:rsid w:val="001C532B"/>
    <w:rsid w:val="001C53D0"/>
    <w:rsid w:val="001C6CF6"/>
    <w:rsid w:val="001C7268"/>
    <w:rsid w:val="001D062A"/>
    <w:rsid w:val="001D4023"/>
    <w:rsid w:val="001E18E0"/>
    <w:rsid w:val="001E1FCF"/>
    <w:rsid w:val="001E31DE"/>
    <w:rsid w:val="001E36DB"/>
    <w:rsid w:val="001E5B45"/>
    <w:rsid w:val="001E6A05"/>
    <w:rsid w:val="001E76B6"/>
    <w:rsid w:val="001E7FF2"/>
    <w:rsid w:val="001F0426"/>
    <w:rsid w:val="001F18FB"/>
    <w:rsid w:val="001F267A"/>
    <w:rsid w:val="001F2A9A"/>
    <w:rsid w:val="001F3106"/>
    <w:rsid w:val="001F4438"/>
    <w:rsid w:val="001F485D"/>
    <w:rsid w:val="001F557A"/>
    <w:rsid w:val="001F562A"/>
    <w:rsid w:val="001F61AE"/>
    <w:rsid w:val="001F7C49"/>
    <w:rsid w:val="00200B42"/>
    <w:rsid w:val="00201C25"/>
    <w:rsid w:val="002024AA"/>
    <w:rsid w:val="00202EAC"/>
    <w:rsid w:val="00205680"/>
    <w:rsid w:val="0020617E"/>
    <w:rsid w:val="00210190"/>
    <w:rsid w:val="002115A7"/>
    <w:rsid w:val="00214459"/>
    <w:rsid w:val="00214A88"/>
    <w:rsid w:val="002164A4"/>
    <w:rsid w:val="00217696"/>
    <w:rsid w:val="00217BCA"/>
    <w:rsid w:val="0022026D"/>
    <w:rsid w:val="00220A7F"/>
    <w:rsid w:val="0022450B"/>
    <w:rsid w:val="002250D6"/>
    <w:rsid w:val="00225737"/>
    <w:rsid w:val="0022573D"/>
    <w:rsid w:val="00226046"/>
    <w:rsid w:val="00226C89"/>
    <w:rsid w:val="00227053"/>
    <w:rsid w:val="00231C57"/>
    <w:rsid w:val="002325D6"/>
    <w:rsid w:val="002328CE"/>
    <w:rsid w:val="00233DDC"/>
    <w:rsid w:val="00234326"/>
    <w:rsid w:val="0023453B"/>
    <w:rsid w:val="002353D6"/>
    <w:rsid w:val="00236500"/>
    <w:rsid w:val="00237958"/>
    <w:rsid w:val="00242517"/>
    <w:rsid w:val="00242A4B"/>
    <w:rsid w:val="00244356"/>
    <w:rsid w:val="00245085"/>
    <w:rsid w:val="00245247"/>
    <w:rsid w:val="002500F5"/>
    <w:rsid w:val="00250C65"/>
    <w:rsid w:val="002517F6"/>
    <w:rsid w:val="00252FA1"/>
    <w:rsid w:val="00253F01"/>
    <w:rsid w:val="00257850"/>
    <w:rsid w:val="0026001C"/>
    <w:rsid w:val="002602F9"/>
    <w:rsid w:val="00260917"/>
    <w:rsid w:val="00261847"/>
    <w:rsid w:val="00264D5A"/>
    <w:rsid w:val="0026588D"/>
    <w:rsid w:val="002661A2"/>
    <w:rsid w:val="00266DAA"/>
    <w:rsid w:val="00271BD6"/>
    <w:rsid w:val="00271CD7"/>
    <w:rsid w:val="00271D9E"/>
    <w:rsid w:val="002720B6"/>
    <w:rsid w:val="00273E7E"/>
    <w:rsid w:val="002740A4"/>
    <w:rsid w:val="002741D8"/>
    <w:rsid w:val="00274DCB"/>
    <w:rsid w:val="002769BC"/>
    <w:rsid w:val="0028138E"/>
    <w:rsid w:val="00283BD7"/>
    <w:rsid w:val="002845F5"/>
    <w:rsid w:val="00284BBE"/>
    <w:rsid w:val="00284E21"/>
    <w:rsid w:val="002853C3"/>
    <w:rsid w:val="00285703"/>
    <w:rsid w:val="002868EE"/>
    <w:rsid w:val="00286EE5"/>
    <w:rsid w:val="002905A4"/>
    <w:rsid w:val="0029068A"/>
    <w:rsid w:val="002910D0"/>
    <w:rsid w:val="00291EC4"/>
    <w:rsid w:val="00292F7A"/>
    <w:rsid w:val="00293FE0"/>
    <w:rsid w:val="00294A69"/>
    <w:rsid w:val="00295DA1"/>
    <w:rsid w:val="00296935"/>
    <w:rsid w:val="00296E9D"/>
    <w:rsid w:val="00297BF9"/>
    <w:rsid w:val="002A00B5"/>
    <w:rsid w:val="002A00FF"/>
    <w:rsid w:val="002A0C85"/>
    <w:rsid w:val="002A3794"/>
    <w:rsid w:val="002A51CB"/>
    <w:rsid w:val="002A59D6"/>
    <w:rsid w:val="002A6109"/>
    <w:rsid w:val="002A6595"/>
    <w:rsid w:val="002A6DEF"/>
    <w:rsid w:val="002A710F"/>
    <w:rsid w:val="002B02FD"/>
    <w:rsid w:val="002B1269"/>
    <w:rsid w:val="002B1389"/>
    <w:rsid w:val="002B1E05"/>
    <w:rsid w:val="002B43A6"/>
    <w:rsid w:val="002B735D"/>
    <w:rsid w:val="002B7BFE"/>
    <w:rsid w:val="002B7F06"/>
    <w:rsid w:val="002C08C1"/>
    <w:rsid w:val="002C1A55"/>
    <w:rsid w:val="002C3E0A"/>
    <w:rsid w:val="002C709F"/>
    <w:rsid w:val="002C7762"/>
    <w:rsid w:val="002D1D8C"/>
    <w:rsid w:val="002D2FB7"/>
    <w:rsid w:val="002D404A"/>
    <w:rsid w:val="002D4321"/>
    <w:rsid w:val="002D474E"/>
    <w:rsid w:val="002D5D6B"/>
    <w:rsid w:val="002D60AD"/>
    <w:rsid w:val="002D64F0"/>
    <w:rsid w:val="002E0802"/>
    <w:rsid w:val="002E0BB5"/>
    <w:rsid w:val="002E1737"/>
    <w:rsid w:val="002E18FA"/>
    <w:rsid w:val="002E2A67"/>
    <w:rsid w:val="002E2FDB"/>
    <w:rsid w:val="002E3460"/>
    <w:rsid w:val="002F16D3"/>
    <w:rsid w:val="002F2BF4"/>
    <w:rsid w:val="002F3389"/>
    <w:rsid w:val="002F3BF9"/>
    <w:rsid w:val="002F4FBB"/>
    <w:rsid w:val="002F5FB9"/>
    <w:rsid w:val="002F638D"/>
    <w:rsid w:val="002F639F"/>
    <w:rsid w:val="00300F66"/>
    <w:rsid w:val="0030216E"/>
    <w:rsid w:val="00303E81"/>
    <w:rsid w:val="00304CB8"/>
    <w:rsid w:val="00305A24"/>
    <w:rsid w:val="00307E9A"/>
    <w:rsid w:val="003121FE"/>
    <w:rsid w:val="00312778"/>
    <w:rsid w:val="003132C5"/>
    <w:rsid w:val="00313F0E"/>
    <w:rsid w:val="00321F00"/>
    <w:rsid w:val="00324344"/>
    <w:rsid w:val="0032691C"/>
    <w:rsid w:val="00326923"/>
    <w:rsid w:val="00327B96"/>
    <w:rsid w:val="00330441"/>
    <w:rsid w:val="003306C2"/>
    <w:rsid w:val="00332C7A"/>
    <w:rsid w:val="003330AE"/>
    <w:rsid w:val="00333AE6"/>
    <w:rsid w:val="0033409E"/>
    <w:rsid w:val="003359D2"/>
    <w:rsid w:val="00340A7C"/>
    <w:rsid w:val="00341510"/>
    <w:rsid w:val="00341756"/>
    <w:rsid w:val="003418D6"/>
    <w:rsid w:val="00342979"/>
    <w:rsid w:val="00342BF0"/>
    <w:rsid w:val="00342F08"/>
    <w:rsid w:val="00343F87"/>
    <w:rsid w:val="003442A7"/>
    <w:rsid w:val="00344A87"/>
    <w:rsid w:val="0034518E"/>
    <w:rsid w:val="00345760"/>
    <w:rsid w:val="003464FE"/>
    <w:rsid w:val="00346E36"/>
    <w:rsid w:val="003473D5"/>
    <w:rsid w:val="00350A3A"/>
    <w:rsid w:val="003510CF"/>
    <w:rsid w:val="003511A5"/>
    <w:rsid w:val="0035133E"/>
    <w:rsid w:val="003522BF"/>
    <w:rsid w:val="00353FC1"/>
    <w:rsid w:val="003549CA"/>
    <w:rsid w:val="00356664"/>
    <w:rsid w:val="0035781F"/>
    <w:rsid w:val="00357DB5"/>
    <w:rsid w:val="003618E5"/>
    <w:rsid w:val="00362227"/>
    <w:rsid w:val="003634B3"/>
    <w:rsid w:val="003638B4"/>
    <w:rsid w:val="00363B34"/>
    <w:rsid w:val="00364B8D"/>
    <w:rsid w:val="00365EAB"/>
    <w:rsid w:val="00367043"/>
    <w:rsid w:val="00370B06"/>
    <w:rsid w:val="00372B02"/>
    <w:rsid w:val="00372D68"/>
    <w:rsid w:val="00373365"/>
    <w:rsid w:val="00375216"/>
    <w:rsid w:val="00375582"/>
    <w:rsid w:val="00375988"/>
    <w:rsid w:val="00375ADC"/>
    <w:rsid w:val="003800C6"/>
    <w:rsid w:val="0038591C"/>
    <w:rsid w:val="00385A01"/>
    <w:rsid w:val="00385FA6"/>
    <w:rsid w:val="00386AAF"/>
    <w:rsid w:val="003904DD"/>
    <w:rsid w:val="003908B2"/>
    <w:rsid w:val="003908C0"/>
    <w:rsid w:val="003917E6"/>
    <w:rsid w:val="00392D91"/>
    <w:rsid w:val="003950B5"/>
    <w:rsid w:val="00396276"/>
    <w:rsid w:val="00397861"/>
    <w:rsid w:val="003A2015"/>
    <w:rsid w:val="003A3ECA"/>
    <w:rsid w:val="003A5B4C"/>
    <w:rsid w:val="003A5EE3"/>
    <w:rsid w:val="003A64D6"/>
    <w:rsid w:val="003A7458"/>
    <w:rsid w:val="003A7B31"/>
    <w:rsid w:val="003B04B3"/>
    <w:rsid w:val="003B22D5"/>
    <w:rsid w:val="003B461B"/>
    <w:rsid w:val="003B4E2B"/>
    <w:rsid w:val="003B5F9A"/>
    <w:rsid w:val="003B5FFD"/>
    <w:rsid w:val="003B7B96"/>
    <w:rsid w:val="003B7C4B"/>
    <w:rsid w:val="003B7DC0"/>
    <w:rsid w:val="003C02B7"/>
    <w:rsid w:val="003C1A5F"/>
    <w:rsid w:val="003C1D75"/>
    <w:rsid w:val="003C2DE9"/>
    <w:rsid w:val="003C5DE2"/>
    <w:rsid w:val="003C6D15"/>
    <w:rsid w:val="003C6F5E"/>
    <w:rsid w:val="003D1DA3"/>
    <w:rsid w:val="003D2275"/>
    <w:rsid w:val="003D287D"/>
    <w:rsid w:val="003D3EB3"/>
    <w:rsid w:val="003D47C6"/>
    <w:rsid w:val="003D47E6"/>
    <w:rsid w:val="003D4BAB"/>
    <w:rsid w:val="003D5192"/>
    <w:rsid w:val="003D61A3"/>
    <w:rsid w:val="003D7E13"/>
    <w:rsid w:val="003E0656"/>
    <w:rsid w:val="003E126B"/>
    <w:rsid w:val="003E2D00"/>
    <w:rsid w:val="003E2D1C"/>
    <w:rsid w:val="003E3453"/>
    <w:rsid w:val="003E54FD"/>
    <w:rsid w:val="003E6359"/>
    <w:rsid w:val="003F03FE"/>
    <w:rsid w:val="003F25E9"/>
    <w:rsid w:val="003F4705"/>
    <w:rsid w:val="003F54EB"/>
    <w:rsid w:val="003F5CA4"/>
    <w:rsid w:val="003F6405"/>
    <w:rsid w:val="003F6B98"/>
    <w:rsid w:val="004016AF"/>
    <w:rsid w:val="00403BB4"/>
    <w:rsid w:val="00404107"/>
    <w:rsid w:val="00410DAA"/>
    <w:rsid w:val="004139D5"/>
    <w:rsid w:val="004149D8"/>
    <w:rsid w:val="004159AE"/>
    <w:rsid w:val="00415C36"/>
    <w:rsid w:val="00416AB2"/>
    <w:rsid w:val="00416F70"/>
    <w:rsid w:val="00417F10"/>
    <w:rsid w:val="0042009C"/>
    <w:rsid w:val="0042092D"/>
    <w:rsid w:val="004217AD"/>
    <w:rsid w:val="004227F1"/>
    <w:rsid w:val="00423997"/>
    <w:rsid w:val="00424804"/>
    <w:rsid w:val="00424E2F"/>
    <w:rsid w:val="00425539"/>
    <w:rsid w:val="00427E88"/>
    <w:rsid w:val="00430442"/>
    <w:rsid w:val="0043056E"/>
    <w:rsid w:val="00430BCC"/>
    <w:rsid w:val="0043240C"/>
    <w:rsid w:val="0043264E"/>
    <w:rsid w:val="00432BED"/>
    <w:rsid w:val="00433F00"/>
    <w:rsid w:val="0043556E"/>
    <w:rsid w:val="00436406"/>
    <w:rsid w:val="00441B30"/>
    <w:rsid w:val="004428DE"/>
    <w:rsid w:val="004442D9"/>
    <w:rsid w:val="00445BB8"/>
    <w:rsid w:val="00446B68"/>
    <w:rsid w:val="00446C91"/>
    <w:rsid w:val="00447CAE"/>
    <w:rsid w:val="00447DA0"/>
    <w:rsid w:val="00451020"/>
    <w:rsid w:val="00451270"/>
    <w:rsid w:val="00451B3C"/>
    <w:rsid w:val="0045216C"/>
    <w:rsid w:val="004558D7"/>
    <w:rsid w:val="00455ADA"/>
    <w:rsid w:val="004565D9"/>
    <w:rsid w:val="004579A1"/>
    <w:rsid w:val="00457A0B"/>
    <w:rsid w:val="004601BA"/>
    <w:rsid w:val="00460DD0"/>
    <w:rsid w:val="00462550"/>
    <w:rsid w:val="004635DE"/>
    <w:rsid w:val="00463651"/>
    <w:rsid w:val="00465D66"/>
    <w:rsid w:val="00467EAF"/>
    <w:rsid w:val="00470084"/>
    <w:rsid w:val="00470F17"/>
    <w:rsid w:val="00471F60"/>
    <w:rsid w:val="0047416D"/>
    <w:rsid w:val="004767C7"/>
    <w:rsid w:val="00476DC1"/>
    <w:rsid w:val="004807CC"/>
    <w:rsid w:val="0048235F"/>
    <w:rsid w:val="004829C0"/>
    <w:rsid w:val="00483E0F"/>
    <w:rsid w:val="00484ED8"/>
    <w:rsid w:val="004852BB"/>
    <w:rsid w:val="00487664"/>
    <w:rsid w:val="00487BF4"/>
    <w:rsid w:val="004939A3"/>
    <w:rsid w:val="00493E08"/>
    <w:rsid w:val="00494E74"/>
    <w:rsid w:val="00497C8C"/>
    <w:rsid w:val="004A08F8"/>
    <w:rsid w:val="004A0EA4"/>
    <w:rsid w:val="004B131F"/>
    <w:rsid w:val="004B1CF7"/>
    <w:rsid w:val="004B3017"/>
    <w:rsid w:val="004B53FB"/>
    <w:rsid w:val="004B55A3"/>
    <w:rsid w:val="004B69B3"/>
    <w:rsid w:val="004B705F"/>
    <w:rsid w:val="004C194A"/>
    <w:rsid w:val="004C24EE"/>
    <w:rsid w:val="004C5356"/>
    <w:rsid w:val="004C5611"/>
    <w:rsid w:val="004C5A29"/>
    <w:rsid w:val="004C7800"/>
    <w:rsid w:val="004C7BD4"/>
    <w:rsid w:val="004D2B37"/>
    <w:rsid w:val="004D2E39"/>
    <w:rsid w:val="004D4223"/>
    <w:rsid w:val="004D5084"/>
    <w:rsid w:val="004D53FA"/>
    <w:rsid w:val="004D6DB5"/>
    <w:rsid w:val="004E10B5"/>
    <w:rsid w:val="004E1593"/>
    <w:rsid w:val="004E2714"/>
    <w:rsid w:val="004E35FF"/>
    <w:rsid w:val="004E4DAB"/>
    <w:rsid w:val="004E7C06"/>
    <w:rsid w:val="004F30EE"/>
    <w:rsid w:val="004F3F76"/>
    <w:rsid w:val="004F6EC1"/>
    <w:rsid w:val="004F78B5"/>
    <w:rsid w:val="00500523"/>
    <w:rsid w:val="00500FBB"/>
    <w:rsid w:val="00501690"/>
    <w:rsid w:val="00501A9A"/>
    <w:rsid w:val="00502B1C"/>
    <w:rsid w:val="00502BF7"/>
    <w:rsid w:val="005042A0"/>
    <w:rsid w:val="005072A6"/>
    <w:rsid w:val="00510443"/>
    <w:rsid w:val="00514FAC"/>
    <w:rsid w:val="00515BA4"/>
    <w:rsid w:val="00516F34"/>
    <w:rsid w:val="00517596"/>
    <w:rsid w:val="00520E61"/>
    <w:rsid w:val="00521168"/>
    <w:rsid w:val="00522D89"/>
    <w:rsid w:val="0052339E"/>
    <w:rsid w:val="00523580"/>
    <w:rsid w:val="005258A1"/>
    <w:rsid w:val="00525900"/>
    <w:rsid w:val="00526007"/>
    <w:rsid w:val="00526CE1"/>
    <w:rsid w:val="00526F12"/>
    <w:rsid w:val="00530A6E"/>
    <w:rsid w:val="005317B8"/>
    <w:rsid w:val="00532E4D"/>
    <w:rsid w:val="00534F88"/>
    <w:rsid w:val="00535EC5"/>
    <w:rsid w:val="00536875"/>
    <w:rsid w:val="00536C64"/>
    <w:rsid w:val="0053734E"/>
    <w:rsid w:val="00540F87"/>
    <w:rsid w:val="0054174D"/>
    <w:rsid w:val="00541CA6"/>
    <w:rsid w:val="00542FC9"/>
    <w:rsid w:val="00543814"/>
    <w:rsid w:val="00544794"/>
    <w:rsid w:val="005454A2"/>
    <w:rsid w:val="005459D2"/>
    <w:rsid w:val="00546DB7"/>
    <w:rsid w:val="005470C7"/>
    <w:rsid w:val="0054772D"/>
    <w:rsid w:val="00547D3B"/>
    <w:rsid w:val="0055016B"/>
    <w:rsid w:val="005503CB"/>
    <w:rsid w:val="005516A0"/>
    <w:rsid w:val="00551760"/>
    <w:rsid w:val="00552554"/>
    <w:rsid w:val="00552AB1"/>
    <w:rsid w:val="00552F4D"/>
    <w:rsid w:val="0055352B"/>
    <w:rsid w:val="0055392F"/>
    <w:rsid w:val="00554B9F"/>
    <w:rsid w:val="00555D2D"/>
    <w:rsid w:val="005560F9"/>
    <w:rsid w:val="00557317"/>
    <w:rsid w:val="00561BA8"/>
    <w:rsid w:val="00561E7D"/>
    <w:rsid w:val="00562FE3"/>
    <w:rsid w:val="005634CA"/>
    <w:rsid w:val="00563727"/>
    <w:rsid w:val="00563EDF"/>
    <w:rsid w:val="00567079"/>
    <w:rsid w:val="00567B59"/>
    <w:rsid w:val="005700C0"/>
    <w:rsid w:val="00571873"/>
    <w:rsid w:val="00573CB4"/>
    <w:rsid w:val="00576A84"/>
    <w:rsid w:val="005777F1"/>
    <w:rsid w:val="00577CBD"/>
    <w:rsid w:val="0058189C"/>
    <w:rsid w:val="00581AD7"/>
    <w:rsid w:val="005841CC"/>
    <w:rsid w:val="00590C59"/>
    <w:rsid w:val="00591A86"/>
    <w:rsid w:val="00592D07"/>
    <w:rsid w:val="0059362B"/>
    <w:rsid w:val="005939B0"/>
    <w:rsid w:val="005943F2"/>
    <w:rsid w:val="005949B4"/>
    <w:rsid w:val="00595203"/>
    <w:rsid w:val="005959BE"/>
    <w:rsid w:val="00596B46"/>
    <w:rsid w:val="005A0024"/>
    <w:rsid w:val="005A067A"/>
    <w:rsid w:val="005A1718"/>
    <w:rsid w:val="005A1AA1"/>
    <w:rsid w:val="005A1D09"/>
    <w:rsid w:val="005A1FC8"/>
    <w:rsid w:val="005A2D01"/>
    <w:rsid w:val="005A31B0"/>
    <w:rsid w:val="005A5120"/>
    <w:rsid w:val="005A6552"/>
    <w:rsid w:val="005A7CCF"/>
    <w:rsid w:val="005B0C3A"/>
    <w:rsid w:val="005B172E"/>
    <w:rsid w:val="005B4631"/>
    <w:rsid w:val="005B6121"/>
    <w:rsid w:val="005B69D3"/>
    <w:rsid w:val="005C015A"/>
    <w:rsid w:val="005C1391"/>
    <w:rsid w:val="005C14F7"/>
    <w:rsid w:val="005C1A29"/>
    <w:rsid w:val="005C2858"/>
    <w:rsid w:val="005C6019"/>
    <w:rsid w:val="005C6543"/>
    <w:rsid w:val="005C6CDE"/>
    <w:rsid w:val="005C6E16"/>
    <w:rsid w:val="005D0683"/>
    <w:rsid w:val="005D2FB7"/>
    <w:rsid w:val="005D35FC"/>
    <w:rsid w:val="005D3D19"/>
    <w:rsid w:val="005D6A65"/>
    <w:rsid w:val="005E00E9"/>
    <w:rsid w:val="005E07A4"/>
    <w:rsid w:val="005E1CF4"/>
    <w:rsid w:val="005E2311"/>
    <w:rsid w:val="005E284F"/>
    <w:rsid w:val="005E33E2"/>
    <w:rsid w:val="005E37AD"/>
    <w:rsid w:val="005E40C0"/>
    <w:rsid w:val="005E464B"/>
    <w:rsid w:val="005E4D22"/>
    <w:rsid w:val="005E6321"/>
    <w:rsid w:val="005E649C"/>
    <w:rsid w:val="005E7105"/>
    <w:rsid w:val="005E7BFB"/>
    <w:rsid w:val="005F139A"/>
    <w:rsid w:val="005F167C"/>
    <w:rsid w:val="005F1685"/>
    <w:rsid w:val="005F3213"/>
    <w:rsid w:val="005F5104"/>
    <w:rsid w:val="005F5532"/>
    <w:rsid w:val="005F6971"/>
    <w:rsid w:val="00600139"/>
    <w:rsid w:val="006029D9"/>
    <w:rsid w:val="00603A99"/>
    <w:rsid w:val="00603BA5"/>
    <w:rsid w:val="00604876"/>
    <w:rsid w:val="0060551F"/>
    <w:rsid w:val="00605550"/>
    <w:rsid w:val="00606CD5"/>
    <w:rsid w:val="00611601"/>
    <w:rsid w:val="00611793"/>
    <w:rsid w:val="00611829"/>
    <w:rsid w:val="0061225E"/>
    <w:rsid w:val="006171FA"/>
    <w:rsid w:val="00620B27"/>
    <w:rsid w:val="00622D9A"/>
    <w:rsid w:val="00622DD0"/>
    <w:rsid w:val="00626308"/>
    <w:rsid w:val="00626788"/>
    <w:rsid w:val="00626DC8"/>
    <w:rsid w:val="00626F8C"/>
    <w:rsid w:val="006300D3"/>
    <w:rsid w:val="00631BD6"/>
    <w:rsid w:val="00632944"/>
    <w:rsid w:val="00633EDE"/>
    <w:rsid w:val="00633FC2"/>
    <w:rsid w:val="00634160"/>
    <w:rsid w:val="00635447"/>
    <w:rsid w:val="00635C13"/>
    <w:rsid w:val="006361A7"/>
    <w:rsid w:val="00637333"/>
    <w:rsid w:val="00640EFB"/>
    <w:rsid w:val="006410CC"/>
    <w:rsid w:val="00644475"/>
    <w:rsid w:val="00644DEC"/>
    <w:rsid w:val="00645300"/>
    <w:rsid w:val="00645562"/>
    <w:rsid w:val="00645F14"/>
    <w:rsid w:val="006464C8"/>
    <w:rsid w:val="0064653C"/>
    <w:rsid w:val="006477D7"/>
    <w:rsid w:val="006479CD"/>
    <w:rsid w:val="00650D09"/>
    <w:rsid w:val="00651DE5"/>
    <w:rsid w:val="006538DA"/>
    <w:rsid w:val="006544B6"/>
    <w:rsid w:val="00655BBF"/>
    <w:rsid w:val="0065613D"/>
    <w:rsid w:val="006574EB"/>
    <w:rsid w:val="00660FDF"/>
    <w:rsid w:val="00664759"/>
    <w:rsid w:val="0066776C"/>
    <w:rsid w:val="00667B1C"/>
    <w:rsid w:val="00670100"/>
    <w:rsid w:val="006704F3"/>
    <w:rsid w:val="00672A1F"/>
    <w:rsid w:val="00673139"/>
    <w:rsid w:val="00673616"/>
    <w:rsid w:val="00673D37"/>
    <w:rsid w:val="00675661"/>
    <w:rsid w:val="006759A4"/>
    <w:rsid w:val="00677033"/>
    <w:rsid w:val="00677A63"/>
    <w:rsid w:val="00680790"/>
    <w:rsid w:val="006819E8"/>
    <w:rsid w:val="00683509"/>
    <w:rsid w:val="006843C9"/>
    <w:rsid w:val="00684474"/>
    <w:rsid w:val="00684852"/>
    <w:rsid w:val="006857F2"/>
    <w:rsid w:val="0068762E"/>
    <w:rsid w:val="00690C92"/>
    <w:rsid w:val="006935FA"/>
    <w:rsid w:val="00693F0C"/>
    <w:rsid w:val="00696DD1"/>
    <w:rsid w:val="006A004A"/>
    <w:rsid w:val="006A26E2"/>
    <w:rsid w:val="006A3D06"/>
    <w:rsid w:val="006A454E"/>
    <w:rsid w:val="006A589F"/>
    <w:rsid w:val="006A7E97"/>
    <w:rsid w:val="006B1548"/>
    <w:rsid w:val="006B28A2"/>
    <w:rsid w:val="006B38D7"/>
    <w:rsid w:val="006B3EBE"/>
    <w:rsid w:val="006B43D2"/>
    <w:rsid w:val="006B532A"/>
    <w:rsid w:val="006B5BE3"/>
    <w:rsid w:val="006B6691"/>
    <w:rsid w:val="006B6D93"/>
    <w:rsid w:val="006C11D5"/>
    <w:rsid w:val="006C1B52"/>
    <w:rsid w:val="006C22F6"/>
    <w:rsid w:val="006C231B"/>
    <w:rsid w:val="006C2A86"/>
    <w:rsid w:val="006C3BAE"/>
    <w:rsid w:val="006C63DE"/>
    <w:rsid w:val="006C66C7"/>
    <w:rsid w:val="006C7369"/>
    <w:rsid w:val="006D16E0"/>
    <w:rsid w:val="006D28EC"/>
    <w:rsid w:val="006D4343"/>
    <w:rsid w:val="006D6664"/>
    <w:rsid w:val="006D7BAB"/>
    <w:rsid w:val="006E1E08"/>
    <w:rsid w:val="006E310F"/>
    <w:rsid w:val="006E4971"/>
    <w:rsid w:val="006E4A7C"/>
    <w:rsid w:val="006E4D69"/>
    <w:rsid w:val="006E4E5E"/>
    <w:rsid w:val="006E576B"/>
    <w:rsid w:val="006F2640"/>
    <w:rsid w:val="006F2A48"/>
    <w:rsid w:val="006F345A"/>
    <w:rsid w:val="006F3F67"/>
    <w:rsid w:val="006F51E4"/>
    <w:rsid w:val="007007FC"/>
    <w:rsid w:val="00702A63"/>
    <w:rsid w:val="00702CD2"/>
    <w:rsid w:val="0070319C"/>
    <w:rsid w:val="007034E4"/>
    <w:rsid w:val="00703F89"/>
    <w:rsid w:val="00704374"/>
    <w:rsid w:val="00704B42"/>
    <w:rsid w:val="007057F1"/>
    <w:rsid w:val="00705AF3"/>
    <w:rsid w:val="00706511"/>
    <w:rsid w:val="00706625"/>
    <w:rsid w:val="00706836"/>
    <w:rsid w:val="00707922"/>
    <w:rsid w:val="0071035D"/>
    <w:rsid w:val="0071378B"/>
    <w:rsid w:val="00715B31"/>
    <w:rsid w:val="007167B7"/>
    <w:rsid w:val="00716C8A"/>
    <w:rsid w:val="0072157C"/>
    <w:rsid w:val="007232AA"/>
    <w:rsid w:val="00723D14"/>
    <w:rsid w:val="007247BC"/>
    <w:rsid w:val="00724A0B"/>
    <w:rsid w:val="007261F3"/>
    <w:rsid w:val="007302AE"/>
    <w:rsid w:val="00731102"/>
    <w:rsid w:val="0073154C"/>
    <w:rsid w:val="00732599"/>
    <w:rsid w:val="00735A50"/>
    <w:rsid w:val="00737610"/>
    <w:rsid w:val="00740213"/>
    <w:rsid w:val="00741F31"/>
    <w:rsid w:val="00751F8A"/>
    <w:rsid w:val="00752C98"/>
    <w:rsid w:val="0075338B"/>
    <w:rsid w:val="00754591"/>
    <w:rsid w:val="007547E4"/>
    <w:rsid w:val="00756598"/>
    <w:rsid w:val="0075662E"/>
    <w:rsid w:val="0076007D"/>
    <w:rsid w:val="0076024B"/>
    <w:rsid w:val="007626DD"/>
    <w:rsid w:val="00763498"/>
    <w:rsid w:val="007635C0"/>
    <w:rsid w:val="0076365B"/>
    <w:rsid w:val="007644CB"/>
    <w:rsid w:val="007657B2"/>
    <w:rsid w:val="00765E47"/>
    <w:rsid w:val="00765F97"/>
    <w:rsid w:val="00772709"/>
    <w:rsid w:val="00773185"/>
    <w:rsid w:val="007741BD"/>
    <w:rsid w:val="00774347"/>
    <w:rsid w:val="00776095"/>
    <w:rsid w:val="0077728F"/>
    <w:rsid w:val="00781A55"/>
    <w:rsid w:val="00783C10"/>
    <w:rsid w:val="007843AD"/>
    <w:rsid w:val="007843E2"/>
    <w:rsid w:val="00784832"/>
    <w:rsid w:val="0078650C"/>
    <w:rsid w:val="007866EF"/>
    <w:rsid w:val="0078778B"/>
    <w:rsid w:val="007923E2"/>
    <w:rsid w:val="00793AA8"/>
    <w:rsid w:val="007940A2"/>
    <w:rsid w:val="007946FE"/>
    <w:rsid w:val="00797041"/>
    <w:rsid w:val="007A01BB"/>
    <w:rsid w:val="007A38D1"/>
    <w:rsid w:val="007A3CA9"/>
    <w:rsid w:val="007A5D99"/>
    <w:rsid w:val="007A5E24"/>
    <w:rsid w:val="007B113F"/>
    <w:rsid w:val="007B43D6"/>
    <w:rsid w:val="007B43F0"/>
    <w:rsid w:val="007B4F79"/>
    <w:rsid w:val="007B72BA"/>
    <w:rsid w:val="007C179A"/>
    <w:rsid w:val="007C1F29"/>
    <w:rsid w:val="007C4BAD"/>
    <w:rsid w:val="007C4DD2"/>
    <w:rsid w:val="007C564D"/>
    <w:rsid w:val="007C7CBD"/>
    <w:rsid w:val="007D0AC9"/>
    <w:rsid w:val="007D194C"/>
    <w:rsid w:val="007D2C68"/>
    <w:rsid w:val="007D30FC"/>
    <w:rsid w:val="007D3319"/>
    <w:rsid w:val="007D3B71"/>
    <w:rsid w:val="007D74C4"/>
    <w:rsid w:val="007E0797"/>
    <w:rsid w:val="007E09F4"/>
    <w:rsid w:val="007E0FAA"/>
    <w:rsid w:val="007E10BE"/>
    <w:rsid w:val="007E1457"/>
    <w:rsid w:val="007E214F"/>
    <w:rsid w:val="007E3413"/>
    <w:rsid w:val="007E348F"/>
    <w:rsid w:val="007E5822"/>
    <w:rsid w:val="007E5E77"/>
    <w:rsid w:val="007E7DB5"/>
    <w:rsid w:val="007F1285"/>
    <w:rsid w:val="007F2393"/>
    <w:rsid w:val="007F2E65"/>
    <w:rsid w:val="007F3C9B"/>
    <w:rsid w:val="007F7250"/>
    <w:rsid w:val="00800DA2"/>
    <w:rsid w:val="00801775"/>
    <w:rsid w:val="00802CFB"/>
    <w:rsid w:val="0080301B"/>
    <w:rsid w:val="00805405"/>
    <w:rsid w:val="0080561E"/>
    <w:rsid w:val="00810EF3"/>
    <w:rsid w:val="00811875"/>
    <w:rsid w:val="00811ABC"/>
    <w:rsid w:val="00811BA5"/>
    <w:rsid w:val="00812CDC"/>
    <w:rsid w:val="0081780E"/>
    <w:rsid w:val="00821BC0"/>
    <w:rsid w:val="0082425E"/>
    <w:rsid w:val="00831B05"/>
    <w:rsid w:val="00831D2B"/>
    <w:rsid w:val="0083271B"/>
    <w:rsid w:val="008327CA"/>
    <w:rsid w:val="0083285B"/>
    <w:rsid w:val="008334F3"/>
    <w:rsid w:val="00834F18"/>
    <w:rsid w:val="00836631"/>
    <w:rsid w:val="008376D8"/>
    <w:rsid w:val="008415DB"/>
    <w:rsid w:val="00841E1C"/>
    <w:rsid w:val="0084342B"/>
    <w:rsid w:val="00844697"/>
    <w:rsid w:val="008448A3"/>
    <w:rsid w:val="00845E9A"/>
    <w:rsid w:val="00846166"/>
    <w:rsid w:val="008469B0"/>
    <w:rsid w:val="00850837"/>
    <w:rsid w:val="00852839"/>
    <w:rsid w:val="00853E1B"/>
    <w:rsid w:val="00854129"/>
    <w:rsid w:val="00855A9C"/>
    <w:rsid w:val="00855BF4"/>
    <w:rsid w:val="0085639F"/>
    <w:rsid w:val="00857392"/>
    <w:rsid w:val="0085778E"/>
    <w:rsid w:val="00857DE2"/>
    <w:rsid w:val="0086046C"/>
    <w:rsid w:val="008604B7"/>
    <w:rsid w:val="00860EF5"/>
    <w:rsid w:val="008614C4"/>
    <w:rsid w:val="0086273C"/>
    <w:rsid w:val="00866119"/>
    <w:rsid w:val="0086679B"/>
    <w:rsid w:val="00867622"/>
    <w:rsid w:val="00871DE0"/>
    <w:rsid w:val="00872654"/>
    <w:rsid w:val="00872931"/>
    <w:rsid w:val="008740E1"/>
    <w:rsid w:val="00875722"/>
    <w:rsid w:val="008770CF"/>
    <w:rsid w:val="0088102D"/>
    <w:rsid w:val="008849D3"/>
    <w:rsid w:val="00886940"/>
    <w:rsid w:val="008903BC"/>
    <w:rsid w:val="008908D7"/>
    <w:rsid w:val="00896032"/>
    <w:rsid w:val="00896811"/>
    <w:rsid w:val="008A00F7"/>
    <w:rsid w:val="008A0F11"/>
    <w:rsid w:val="008A0FF0"/>
    <w:rsid w:val="008A2848"/>
    <w:rsid w:val="008A2BB5"/>
    <w:rsid w:val="008A4CEE"/>
    <w:rsid w:val="008B01A3"/>
    <w:rsid w:val="008B1E0E"/>
    <w:rsid w:val="008B21E4"/>
    <w:rsid w:val="008B2DB3"/>
    <w:rsid w:val="008B39F0"/>
    <w:rsid w:val="008B3AD2"/>
    <w:rsid w:val="008B494C"/>
    <w:rsid w:val="008B4E21"/>
    <w:rsid w:val="008B5344"/>
    <w:rsid w:val="008B73AD"/>
    <w:rsid w:val="008B7E3C"/>
    <w:rsid w:val="008C1250"/>
    <w:rsid w:val="008C154C"/>
    <w:rsid w:val="008C1C9F"/>
    <w:rsid w:val="008C2095"/>
    <w:rsid w:val="008C3808"/>
    <w:rsid w:val="008C5333"/>
    <w:rsid w:val="008C6678"/>
    <w:rsid w:val="008D0490"/>
    <w:rsid w:val="008D070C"/>
    <w:rsid w:val="008D0F8E"/>
    <w:rsid w:val="008D261A"/>
    <w:rsid w:val="008D354C"/>
    <w:rsid w:val="008D37A7"/>
    <w:rsid w:val="008D398C"/>
    <w:rsid w:val="008D43EB"/>
    <w:rsid w:val="008D6945"/>
    <w:rsid w:val="008E01D3"/>
    <w:rsid w:val="008E0730"/>
    <w:rsid w:val="008E092E"/>
    <w:rsid w:val="008E2C53"/>
    <w:rsid w:val="008E2C58"/>
    <w:rsid w:val="008E319B"/>
    <w:rsid w:val="008E43F5"/>
    <w:rsid w:val="008E6666"/>
    <w:rsid w:val="008E7B30"/>
    <w:rsid w:val="008E7EE1"/>
    <w:rsid w:val="008F10C1"/>
    <w:rsid w:val="008F39D0"/>
    <w:rsid w:val="008F5A2D"/>
    <w:rsid w:val="008F5E22"/>
    <w:rsid w:val="008F6350"/>
    <w:rsid w:val="008F6AAA"/>
    <w:rsid w:val="0090044B"/>
    <w:rsid w:val="00904E78"/>
    <w:rsid w:val="0090564F"/>
    <w:rsid w:val="00906018"/>
    <w:rsid w:val="0090702B"/>
    <w:rsid w:val="00910017"/>
    <w:rsid w:val="00911737"/>
    <w:rsid w:val="0091214C"/>
    <w:rsid w:val="009123A9"/>
    <w:rsid w:val="00912787"/>
    <w:rsid w:val="00912D21"/>
    <w:rsid w:val="00914B15"/>
    <w:rsid w:val="0091717A"/>
    <w:rsid w:val="009200E0"/>
    <w:rsid w:val="00920677"/>
    <w:rsid w:val="0092726F"/>
    <w:rsid w:val="00930A41"/>
    <w:rsid w:val="00931B88"/>
    <w:rsid w:val="00933153"/>
    <w:rsid w:val="00933F57"/>
    <w:rsid w:val="00935491"/>
    <w:rsid w:val="00936F89"/>
    <w:rsid w:val="0094143D"/>
    <w:rsid w:val="0094668C"/>
    <w:rsid w:val="009506FA"/>
    <w:rsid w:val="009526F8"/>
    <w:rsid w:val="00954473"/>
    <w:rsid w:val="009567AF"/>
    <w:rsid w:val="009616AA"/>
    <w:rsid w:val="00961DC2"/>
    <w:rsid w:val="00962061"/>
    <w:rsid w:val="00962220"/>
    <w:rsid w:val="009633CD"/>
    <w:rsid w:val="00963556"/>
    <w:rsid w:val="00965889"/>
    <w:rsid w:val="00965989"/>
    <w:rsid w:val="00965E7F"/>
    <w:rsid w:val="00966457"/>
    <w:rsid w:val="0096797F"/>
    <w:rsid w:val="00970755"/>
    <w:rsid w:val="00971498"/>
    <w:rsid w:val="009722CE"/>
    <w:rsid w:val="00972999"/>
    <w:rsid w:val="00974F91"/>
    <w:rsid w:val="00977B0E"/>
    <w:rsid w:val="0098054D"/>
    <w:rsid w:val="00980A89"/>
    <w:rsid w:val="00980F86"/>
    <w:rsid w:val="0098319B"/>
    <w:rsid w:val="00983E90"/>
    <w:rsid w:val="0098658D"/>
    <w:rsid w:val="00987591"/>
    <w:rsid w:val="00987C83"/>
    <w:rsid w:val="00990D95"/>
    <w:rsid w:val="00990F78"/>
    <w:rsid w:val="0099341C"/>
    <w:rsid w:val="009936BC"/>
    <w:rsid w:val="0099740E"/>
    <w:rsid w:val="009A07C2"/>
    <w:rsid w:val="009A0EBC"/>
    <w:rsid w:val="009A235A"/>
    <w:rsid w:val="009A2EBC"/>
    <w:rsid w:val="009A40FE"/>
    <w:rsid w:val="009A6D4B"/>
    <w:rsid w:val="009A70D9"/>
    <w:rsid w:val="009B07B6"/>
    <w:rsid w:val="009B1E1E"/>
    <w:rsid w:val="009B2876"/>
    <w:rsid w:val="009B48B7"/>
    <w:rsid w:val="009B5329"/>
    <w:rsid w:val="009B6BA3"/>
    <w:rsid w:val="009C08D7"/>
    <w:rsid w:val="009C0A36"/>
    <w:rsid w:val="009C1CAE"/>
    <w:rsid w:val="009C38FE"/>
    <w:rsid w:val="009C5A93"/>
    <w:rsid w:val="009C6B61"/>
    <w:rsid w:val="009D34DC"/>
    <w:rsid w:val="009D4241"/>
    <w:rsid w:val="009E2218"/>
    <w:rsid w:val="009E257D"/>
    <w:rsid w:val="009E313E"/>
    <w:rsid w:val="009E3CF4"/>
    <w:rsid w:val="009E5EED"/>
    <w:rsid w:val="009F0162"/>
    <w:rsid w:val="009F048D"/>
    <w:rsid w:val="009F0C5C"/>
    <w:rsid w:val="009F18F4"/>
    <w:rsid w:val="009F1A8C"/>
    <w:rsid w:val="009F1F62"/>
    <w:rsid w:val="009F4241"/>
    <w:rsid w:val="009F428A"/>
    <w:rsid w:val="009F4FE8"/>
    <w:rsid w:val="00A00B49"/>
    <w:rsid w:val="00A0231E"/>
    <w:rsid w:val="00A030CE"/>
    <w:rsid w:val="00A030D7"/>
    <w:rsid w:val="00A06FA0"/>
    <w:rsid w:val="00A1013E"/>
    <w:rsid w:val="00A10B9F"/>
    <w:rsid w:val="00A117FF"/>
    <w:rsid w:val="00A12A2D"/>
    <w:rsid w:val="00A145B2"/>
    <w:rsid w:val="00A146A0"/>
    <w:rsid w:val="00A150FE"/>
    <w:rsid w:val="00A15487"/>
    <w:rsid w:val="00A15735"/>
    <w:rsid w:val="00A16C5E"/>
    <w:rsid w:val="00A218E4"/>
    <w:rsid w:val="00A24057"/>
    <w:rsid w:val="00A2435F"/>
    <w:rsid w:val="00A300B5"/>
    <w:rsid w:val="00A30A67"/>
    <w:rsid w:val="00A31400"/>
    <w:rsid w:val="00A31AFB"/>
    <w:rsid w:val="00A33756"/>
    <w:rsid w:val="00A3473E"/>
    <w:rsid w:val="00A3653C"/>
    <w:rsid w:val="00A36E0D"/>
    <w:rsid w:val="00A37E72"/>
    <w:rsid w:val="00A40081"/>
    <w:rsid w:val="00A40D4F"/>
    <w:rsid w:val="00A41792"/>
    <w:rsid w:val="00A4283B"/>
    <w:rsid w:val="00A429CA"/>
    <w:rsid w:val="00A43E84"/>
    <w:rsid w:val="00A44B09"/>
    <w:rsid w:val="00A44CF3"/>
    <w:rsid w:val="00A44EB4"/>
    <w:rsid w:val="00A454DC"/>
    <w:rsid w:val="00A51F44"/>
    <w:rsid w:val="00A535AA"/>
    <w:rsid w:val="00A55A5C"/>
    <w:rsid w:val="00A56E4C"/>
    <w:rsid w:val="00A57136"/>
    <w:rsid w:val="00A5725A"/>
    <w:rsid w:val="00A57932"/>
    <w:rsid w:val="00A61AF8"/>
    <w:rsid w:val="00A61B19"/>
    <w:rsid w:val="00A62377"/>
    <w:rsid w:val="00A6362B"/>
    <w:rsid w:val="00A6404D"/>
    <w:rsid w:val="00A6771B"/>
    <w:rsid w:val="00A67C84"/>
    <w:rsid w:val="00A70CBF"/>
    <w:rsid w:val="00A715E7"/>
    <w:rsid w:val="00A72A80"/>
    <w:rsid w:val="00A74829"/>
    <w:rsid w:val="00A75F02"/>
    <w:rsid w:val="00A77595"/>
    <w:rsid w:val="00A77888"/>
    <w:rsid w:val="00A803B3"/>
    <w:rsid w:val="00A808AB"/>
    <w:rsid w:val="00A82173"/>
    <w:rsid w:val="00A83908"/>
    <w:rsid w:val="00A83C55"/>
    <w:rsid w:val="00A907AB"/>
    <w:rsid w:val="00A90C36"/>
    <w:rsid w:val="00A922C2"/>
    <w:rsid w:val="00A9249F"/>
    <w:rsid w:val="00A926A2"/>
    <w:rsid w:val="00A92D8D"/>
    <w:rsid w:val="00A932C3"/>
    <w:rsid w:val="00A94A1A"/>
    <w:rsid w:val="00A94FDB"/>
    <w:rsid w:val="00A95457"/>
    <w:rsid w:val="00A96062"/>
    <w:rsid w:val="00A97667"/>
    <w:rsid w:val="00AA3731"/>
    <w:rsid w:val="00AA4371"/>
    <w:rsid w:val="00AA5924"/>
    <w:rsid w:val="00AA6B61"/>
    <w:rsid w:val="00AB0230"/>
    <w:rsid w:val="00AB0F9E"/>
    <w:rsid w:val="00AB175A"/>
    <w:rsid w:val="00AB280C"/>
    <w:rsid w:val="00AB4139"/>
    <w:rsid w:val="00AB5414"/>
    <w:rsid w:val="00AB7138"/>
    <w:rsid w:val="00AC15B6"/>
    <w:rsid w:val="00AC2F91"/>
    <w:rsid w:val="00AC362C"/>
    <w:rsid w:val="00AC4532"/>
    <w:rsid w:val="00AC61D7"/>
    <w:rsid w:val="00AD1CC4"/>
    <w:rsid w:val="00AD4944"/>
    <w:rsid w:val="00AD5F21"/>
    <w:rsid w:val="00AD60B1"/>
    <w:rsid w:val="00AD6AD5"/>
    <w:rsid w:val="00AE0AB0"/>
    <w:rsid w:val="00AE14A7"/>
    <w:rsid w:val="00AE3B78"/>
    <w:rsid w:val="00AE3DD1"/>
    <w:rsid w:val="00AE4978"/>
    <w:rsid w:val="00AE6037"/>
    <w:rsid w:val="00AE7389"/>
    <w:rsid w:val="00AE738A"/>
    <w:rsid w:val="00AF08B3"/>
    <w:rsid w:val="00AF0913"/>
    <w:rsid w:val="00AF0DD4"/>
    <w:rsid w:val="00AF2232"/>
    <w:rsid w:val="00AF26E2"/>
    <w:rsid w:val="00AF2D59"/>
    <w:rsid w:val="00AF338B"/>
    <w:rsid w:val="00AF3BA3"/>
    <w:rsid w:val="00AF5BE8"/>
    <w:rsid w:val="00AF607A"/>
    <w:rsid w:val="00AF6AF0"/>
    <w:rsid w:val="00AF70D6"/>
    <w:rsid w:val="00B01441"/>
    <w:rsid w:val="00B01AD9"/>
    <w:rsid w:val="00B042B7"/>
    <w:rsid w:val="00B04592"/>
    <w:rsid w:val="00B058D1"/>
    <w:rsid w:val="00B06DAC"/>
    <w:rsid w:val="00B10144"/>
    <w:rsid w:val="00B1040B"/>
    <w:rsid w:val="00B1119C"/>
    <w:rsid w:val="00B12803"/>
    <w:rsid w:val="00B1316B"/>
    <w:rsid w:val="00B14976"/>
    <w:rsid w:val="00B152FE"/>
    <w:rsid w:val="00B168B2"/>
    <w:rsid w:val="00B16A97"/>
    <w:rsid w:val="00B173AD"/>
    <w:rsid w:val="00B2052A"/>
    <w:rsid w:val="00B21883"/>
    <w:rsid w:val="00B23711"/>
    <w:rsid w:val="00B2424D"/>
    <w:rsid w:val="00B24D2B"/>
    <w:rsid w:val="00B25C60"/>
    <w:rsid w:val="00B2759E"/>
    <w:rsid w:val="00B27636"/>
    <w:rsid w:val="00B32130"/>
    <w:rsid w:val="00B35604"/>
    <w:rsid w:val="00B36A99"/>
    <w:rsid w:val="00B36FC8"/>
    <w:rsid w:val="00B37BFA"/>
    <w:rsid w:val="00B40FF9"/>
    <w:rsid w:val="00B43314"/>
    <w:rsid w:val="00B43612"/>
    <w:rsid w:val="00B44696"/>
    <w:rsid w:val="00B45D1D"/>
    <w:rsid w:val="00B47B07"/>
    <w:rsid w:val="00B50510"/>
    <w:rsid w:val="00B51263"/>
    <w:rsid w:val="00B51356"/>
    <w:rsid w:val="00B55E1C"/>
    <w:rsid w:val="00B60996"/>
    <w:rsid w:val="00B6139E"/>
    <w:rsid w:val="00B61A7E"/>
    <w:rsid w:val="00B63BDF"/>
    <w:rsid w:val="00B644E4"/>
    <w:rsid w:val="00B65E69"/>
    <w:rsid w:val="00B66E03"/>
    <w:rsid w:val="00B6727A"/>
    <w:rsid w:val="00B70983"/>
    <w:rsid w:val="00B709C4"/>
    <w:rsid w:val="00B70E2A"/>
    <w:rsid w:val="00B74793"/>
    <w:rsid w:val="00B75F22"/>
    <w:rsid w:val="00B76CB5"/>
    <w:rsid w:val="00B8005C"/>
    <w:rsid w:val="00B80C92"/>
    <w:rsid w:val="00B80E78"/>
    <w:rsid w:val="00B843E4"/>
    <w:rsid w:val="00B84B84"/>
    <w:rsid w:val="00B856A6"/>
    <w:rsid w:val="00B878A1"/>
    <w:rsid w:val="00B87B0A"/>
    <w:rsid w:val="00B90867"/>
    <w:rsid w:val="00B90A47"/>
    <w:rsid w:val="00B92E3B"/>
    <w:rsid w:val="00B9679E"/>
    <w:rsid w:val="00BA1286"/>
    <w:rsid w:val="00BA1787"/>
    <w:rsid w:val="00BA2540"/>
    <w:rsid w:val="00BA3668"/>
    <w:rsid w:val="00BA64E4"/>
    <w:rsid w:val="00BA6BEB"/>
    <w:rsid w:val="00BA6DB0"/>
    <w:rsid w:val="00BA7AF0"/>
    <w:rsid w:val="00BB05FF"/>
    <w:rsid w:val="00BB0F6D"/>
    <w:rsid w:val="00BB3945"/>
    <w:rsid w:val="00BB5A9B"/>
    <w:rsid w:val="00BB5AB3"/>
    <w:rsid w:val="00BB7213"/>
    <w:rsid w:val="00BB7FAE"/>
    <w:rsid w:val="00BC2BFD"/>
    <w:rsid w:val="00BC31BE"/>
    <w:rsid w:val="00BC4574"/>
    <w:rsid w:val="00BC4D72"/>
    <w:rsid w:val="00BC63B1"/>
    <w:rsid w:val="00BC7F3A"/>
    <w:rsid w:val="00BD1C73"/>
    <w:rsid w:val="00BD4E5B"/>
    <w:rsid w:val="00BD4FD9"/>
    <w:rsid w:val="00BD52B0"/>
    <w:rsid w:val="00BD7142"/>
    <w:rsid w:val="00BE0323"/>
    <w:rsid w:val="00BE05BA"/>
    <w:rsid w:val="00BE1D7B"/>
    <w:rsid w:val="00BE22CA"/>
    <w:rsid w:val="00BE3001"/>
    <w:rsid w:val="00BE3D7F"/>
    <w:rsid w:val="00BE5D75"/>
    <w:rsid w:val="00BF0219"/>
    <w:rsid w:val="00BF2D71"/>
    <w:rsid w:val="00BF4C32"/>
    <w:rsid w:val="00BF50A8"/>
    <w:rsid w:val="00BF6139"/>
    <w:rsid w:val="00BF69FD"/>
    <w:rsid w:val="00BF6A7F"/>
    <w:rsid w:val="00C005FD"/>
    <w:rsid w:val="00C01D92"/>
    <w:rsid w:val="00C032DC"/>
    <w:rsid w:val="00C03BED"/>
    <w:rsid w:val="00C03F8A"/>
    <w:rsid w:val="00C125F8"/>
    <w:rsid w:val="00C12B81"/>
    <w:rsid w:val="00C1335F"/>
    <w:rsid w:val="00C150AA"/>
    <w:rsid w:val="00C1677C"/>
    <w:rsid w:val="00C21B2D"/>
    <w:rsid w:val="00C2358C"/>
    <w:rsid w:val="00C24E32"/>
    <w:rsid w:val="00C2510E"/>
    <w:rsid w:val="00C27B2B"/>
    <w:rsid w:val="00C30304"/>
    <w:rsid w:val="00C32096"/>
    <w:rsid w:val="00C341B8"/>
    <w:rsid w:val="00C35DF9"/>
    <w:rsid w:val="00C361CA"/>
    <w:rsid w:val="00C36DDA"/>
    <w:rsid w:val="00C3713B"/>
    <w:rsid w:val="00C4149D"/>
    <w:rsid w:val="00C45231"/>
    <w:rsid w:val="00C45706"/>
    <w:rsid w:val="00C45F6B"/>
    <w:rsid w:val="00C4646D"/>
    <w:rsid w:val="00C47014"/>
    <w:rsid w:val="00C51085"/>
    <w:rsid w:val="00C53381"/>
    <w:rsid w:val="00C5548D"/>
    <w:rsid w:val="00C56DC8"/>
    <w:rsid w:val="00C57328"/>
    <w:rsid w:val="00C611EC"/>
    <w:rsid w:val="00C655D4"/>
    <w:rsid w:val="00C656A0"/>
    <w:rsid w:val="00C670E7"/>
    <w:rsid w:val="00C677AF"/>
    <w:rsid w:val="00C70961"/>
    <w:rsid w:val="00C72164"/>
    <w:rsid w:val="00C72D61"/>
    <w:rsid w:val="00C73F9D"/>
    <w:rsid w:val="00C7450F"/>
    <w:rsid w:val="00C76583"/>
    <w:rsid w:val="00C77D8C"/>
    <w:rsid w:val="00C818F0"/>
    <w:rsid w:val="00C82873"/>
    <w:rsid w:val="00C83674"/>
    <w:rsid w:val="00C84200"/>
    <w:rsid w:val="00C847F7"/>
    <w:rsid w:val="00C84AB9"/>
    <w:rsid w:val="00C856EC"/>
    <w:rsid w:val="00C8591A"/>
    <w:rsid w:val="00C87ED5"/>
    <w:rsid w:val="00C904A2"/>
    <w:rsid w:val="00C910A5"/>
    <w:rsid w:val="00C91920"/>
    <w:rsid w:val="00C9501A"/>
    <w:rsid w:val="00C9597D"/>
    <w:rsid w:val="00C95996"/>
    <w:rsid w:val="00CA04AD"/>
    <w:rsid w:val="00CA3022"/>
    <w:rsid w:val="00CA3909"/>
    <w:rsid w:val="00CA4A88"/>
    <w:rsid w:val="00CA6664"/>
    <w:rsid w:val="00CA6CF3"/>
    <w:rsid w:val="00CA7723"/>
    <w:rsid w:val="00CB1A0B"/>
    <w:rsid w:val="00CB1C29"/>
    <w:rsid w:val="00CB1DA2"/>
    <w:rsid w:val="00CB1FC9"/>
    <w:rsid w:val="00CB278F"/>
    <w:rsid w:val="00CB3C92"/>
    <w:rsid w:val="00CB4467"/>
    <w:rsid w:val="00CB6444"/>
    <w:rsid w:val="00CB738F"/>
    <w:rsid w:val="00CC1779"/>
    <w:rsid w:val="00CC26F5"/>
    <w:rsid w:val="00CC2A7A"/>
    <w:rsid w:val="00CC4101"/>
    <w:rsid w:val="00CC4B6D"/>
    <w:rsid w:val="00CC5384"/>
    <w:rsid w:val="00CC7E2E"/>
    <w:rsid w:val="00CD1DE9"/>
    <w:rsid w:val="00CD3939"/>
    <w:rsid w:val="00CD49F6"/>
    <w:rsid w:val="00CD551A"/>
    <w:rsid w:val="00CD7F73"/>
    <w:rsid w:val="00CE0F73"/>
    <w:rsid w:val="00CE1DFC"/>
    <w:rsid w:val="00CE360B"/>
    <w:rsid w:val="00CE5398"/>
    <w:rsid w:val="00CE5D7D"/>
    <w:rsid w:val="00CE679A"/>
    <w:rsid w:val="00CE6F96"/>
    <w:rsid w:val="00CE7096"/>
    <w:rsid w:val="00CE7344"/>
    <w:rsid w:val="00CF00F4"/>
    <w:rsid w:val="00CF0B34"/>
    <w:rsid w:val="00CF13C6"/>
    <w:rsid w:val="00CF1411"/>
    <w:rsid w:val="00CF2661"/>
    <w:rsid w:val="00CF3564"/>
    <w:rsid w:val="00CF3A06"/>
    <w:rsid w:val="00CF79B2"/>
    <w:rsid w:val="00D00D98"/>
    <w:rsid w:val="00D017F5"/>
    <w:rsid w:val="00D01AF6"/>
    <w:rsid w:val="00D041EE"/>
    <w:rsid w:val="00D04344"/>
    <w:rsid w:val="00D074D2"/>
    <w:rsid w:val="00D1029E"/>
    <w:rsid w:val="00D15427"/>
    <w:rsid w:val="00D15502"/>
    <w:rsid w:val="00D16679"/>
    <w:rsid w:val="00D1692E"/>
    <w:rsid w:val="00D2071A"/>
    <w:rsid w:val="00D2112C"/>
    <w:rsid w:val="00D213B7"/>
    <w:rsid w:val="00D21C83"/>
    <w:rsid w:val="00D2282C"/>
    <w:rsid w:val="00D248E4"/>
    <w:rsid w:val="00D276AA"/>
    <w:rsid w:val="00D27777"/>
    <w:rsid w:val="00D277A5"/>
    <w:rsid w:val="00D31F48"/>
    <w:rsid w:val="00D34052"/>
    <w:rsid w:val="00D3556D"/>
    <w:rsid w:val="00D35C41"/>
    <w:rsid w:val="00D36C28"/>
    <w:rsid w:val="00D37916"/>
    <w:rsid w:val="00D40662"/>
    <w:rsid w:val="00D4171E"/>
    <w:rsid w:val="00D41B74"/>
    <w:rsid w:val="00D45DB3"/>
    <w:rsid w:val="00D46A03"/>
    <w:rsid w:val="00D47C0F"/>
    <w:rsid w:val="00D5175E"/>
    <w:rsid w:val="00D51D7B"/>
    <w:rsid w:val="00D53259"/>
    <w:rsid w:val="00D541DA"/>
    <w:rsid w:val="00D55EC5"/>
    <w:rsid w:val="00D565E0"/>
    <w:rsid w:val="00D608B6"/>
    <w:rsid w:val="00D60CEB"/>
    <w:rsid w:val="00D61DDA"/>
    <w:rsid w:val="00D621A2"/>
    <w:rsid w:val="00D62D00"/>
    <w:rsid w:val="00D63851"/>
    <w:rsid w:val="00D646E6"/>
    <w:rsid w:val="00D65716"/>
    <w:rsid w:val="00D72220"/>
    <w:rsid w:val="00D73818"/>
    <w:rsid w:val="00D73839"/>
    <w:rsid w:val="00D76CCC"/>
    <w:rsid w:val="00D77711"/>
    <w:rsid w:val="00D77A33"/>
    <w:rsid w:val="00D81307"/>
    <w:rsid w:val="00D83E40"/>
    <w:rsid w:val="00D8732A"/>
    <w:rsid w:val="00D902E7"/>
    <w:rsid w:val="00D90C26"/>
    <w:rsid w:val="00D92F81"/>
    <w:rsid w:val="00D932C1"/>
    <w:rsid w:val="00D94CB4"/>
    <w:rsid w:val="00D95A69"/>
    <w:rsid w:val="00D95A6F"/>
    <w:rsid w:val="00D96D70"/>
    <w:rsid w:val="00DA2C6E"/>
    <w:rsid w:val="00DA36B1"/>
    <w:rsid w:val="00DA4F0D"/>
    <w:rsid w:val="00DA72B0"/>
    <w:rsid w:val="00DA72BA"/>
    <w:rsid w:val="00DB0B44"/>
    <w:rsid w:val="00DB166F"/>
    <w:rsid w:val="00DB4D05"/>
    <w:rsid w:val="00DB53FD"/>
    <w:rsid w:val="00DB5A3D"/>
    <w:rsid w:val="00DB6FDD"/>
    <w:rsid w:val="00DB72A1"/>
    <w:rsid w:val="00DC1A22"/>
    <w:rsid w:val="00DC28B7"/>
    <w:rsid w:val="00DC3297"/>
    <w:rsid w:val="00DC32C6"/>
    <w:rsid w:val="00DC3C09"/>
    <w:rsid w:val="00DC3F83"/>
    <w:rsid w:val="00DC44FC"/>
    <w:rsid w:val="00DC649A"/>
    <w:rsid w:val="00DC6EB0"/>
    <w:rsid w:val="00DC701E"/>
    <w:rsid w:val="00DC7DF4"/>
    <w:rsid w:val="00DD158E"/>
    <w:rsid w:val="00DD1813"/>
    <w:rsid w:val="00DD2CEE"/>
    <w:rsid w:val="00DD3B9C"/>
    <w:rsid w:val="00DD4D78"/>
    <w:rsid w:val="00DD5084"/>
    <w:rsid w:val="00DD6616"/>
    <w:rsid w:val="00DE3238"/>
    <w:rsid w:val="00DE4214"/>
    <w:rsid w:val="00DE545F"/>
    <w:rsid w:val="00DE78CC"/>
    <w:rsid w:val="00DF0756"/>
    <w:rsid w:val="00DF21C1"/>
    <w:rsid w:val="00DF48D3"/>
    <w:rsid w:val="00DF4F0C"/>
    <w:rsid w:val="00DF5454"/>
    <w:rsid w:val="00DF55E8"/>
    <w:rsid w:val="00DF5B3F"/>
    <w:rsid w:val="00DF619B"/>
    <w:rsid w:val="00DF6B2A"/>
    <w:rsid w:val="00DF7CAF"/>
    <w:rsid w:val="00E00941"/>
    <w:rsid w:val="00E03D6D"/>
    <w:rsid w:val="00E04206"/>
    <w:rsid w:val="00E04559"/>
    <w:rsid w:val="00E067ED"/>
    <w:rsid w:val="00E11FE6"/>
    <w:rsid w:val="00E154F3"/>
    <w:rsid w:val="00E15BE3"/>
    <w:rsid w:val="00E20DB3"/>
    <w:rsid w:val="00E21D95"/>
    <w:rsid w:val="00E22244"/>
    <w:rsid w:val="00E259F2"/>
    <w:rsid w:val="00E25CE0"/>
    <w:rsid w:val="00E26DD8"/>
    <w:rsid w:val="00E27E74"/>
    <w:rsid w:val="00E30283"/>
    <w:rsid w:val="00E3181D"/>
    <w:rsid w:val="00E31C95"/>
    <w:rsid w:val="00E32534"/>
    <w:rsid w:val="00E32764"/>
    <w:rsid w:val="00E32854"/>
    <w:rsid w:val="00E3379E"/>
    <w:rsid w:val="00E34A8D"/>
    <w:rsid w:val="00E35169"/>
    <w:rsid w:val="00E35E9F"/>
    <w:rsid w:val="00E4011D"/>
    <w:rsid w:val="00E428C7"/>
    <w:rsid w:val="00E441FC"/>
    <w:rsid w:val="00E50E48"/>
    <w:rsid w:val="00E5167C"/>
    <w:rsid w:val="00E540C5"/>
    <w:rsid w:val="00E5785C"/>
    <w:rsid w:val="00E57E2C"/>
    <w:rsid w:val="00E57EDC"/>
    <w:rsid w:val="00E57EF9"/>
    <w:rsid w:val="00E6392B"/>
    <w:rsid w:val="00E63EB3"/>
    <w:rsid w:val="00E646B0"/>
    <w:rsid w:val="00E66702"/>
    <w:rsid w:val="00E66AE7"/>
    <w:rsid w:val="00E705F2"/>
    <w:rsid w:val="00E70752"/>
    <w:rsid w:val="00E71032"/>
    <w:rsid w:val="00E72746"/>
    <w:rsid w:val="00E732AE"/>
    <w:rsid w:val="00E75876"/>
    <w:rsid w:val="00E7747D"/>
    <w:rsid w:val="00E77FA2"/>
    <w:rsid w:val="00E77FE8"/>
    <w:rsid w:val="00E80223"/>
    <w:rsid w:val="00E80EF1"/>
    <w:rsid w:val="00E815F7"/>
    <w:rsid w:val="00E826F8"/>
    <w:rsid w:val="00E84097"/>
    <w:rsid w:val="00E85B68"/>
    <w:rsid w:val="00E85DD0"/>
    <w:rsid w:val="00E91D66"/>
    <w:rsid w:val="00E92940"/>
    <w:rsid w:val="00E92959"/>
    <w:rsid w:val="00E936A3"/>
    <w:rsid w:val="00E96884"/>
    <w:rsid w:val="00E970DC"/>
    <w:rsid w:val="00E97D83"/>
    <w:rsid w:val="00EA12B0"/>
    <w:rsid w:val="00EA2802"/>
    <w:rsid w:val="00EA30E4"/>
    <w:rsid w:val="00EA42CB"/>
    <w:rsid w:val="00EA42D8"/>
    <w:rsid w:val="00EA4494"/>
    <w:rsid w:val="00EA72CB"/>
    <w:rsid w:val="00EA7D8C"/>
    <w:rsid w:val="00EB0371"/>
    <w:rsid w:val="00EB061B"/>
    <w:rsid w:val="00EB0C0B"/>
    <w:rsid w:val="00EB1620"/>
    <w:rsid w:val="00EB2711"/>
    <w:rsid w:val="00EB273A"/>
    <w:rsid w:val="00EB2763"/>
    <w:rsid w:val="00EB360F"/>
    <w:rsid w:val="00EB3AA0"/>
    <w:rsid w:val="00EB67F7"/>
    <w:rsid w:val="00EC0ADB"/>
    <w:rsid w:val="00EC0D3B"/>
    <w:rsid w:val="00EC110D"/>
    <w:rsid w:val="00EC2D55"/>
    <w:rsid w:val="00EC49E9"/>
    <w:rsid w:val="00EC4E43"/>
    <w:rsid w:val="00EC56B3"/>
    <w:rsid w:val="00EC6610"/>
    <w:rsid w:val="00ED0502"/>
    <w:rsid w:val="00ED1155"/>
    <w:rsid w:val="00ED1C7D"/>
    <w:rsid w:val="00ED30E5"/>
    <w:rsid w:val="00ED64E2"/>
    <w:rsid w:val="00ED73C8"/>
    <w:rsid w:val="00ED7B83"/>
    <w:rsid w:val="00EE107B"/>
    <w:rsid w:val="00EE1709"/>
    <w:rsid w:val="00EE1973"/>
    <w:rsid w:val="00EE3807"/>
    <w:rsid w:val="00EE3DCD"/>
    <w:rsid w:val="00EE4088"/>
    <w:rsid w:val="00EE578E"/>
    <w:rsid w:val="00EE5E78"/>
    <w:rsid w:val="00EE710A"/>
    <w:rsid w:val="00EF2C82"/>
    <w:rsid w:val="00EF37EF"/>
    <w:rsid w:val="00EF3C40"/>
    <w:rsid w:val="00EF5485"/>
    <w:rsid w:val="00EF597D"/>
    <w:rsid w:val="00EF6454"/>
    <w:rsid w:val="00F004D0"/>
    <w:rsid w:val="00F04FBA"/>
    <w:rsid w:val="00F06486"/>
    <w:rsid w:val="00F1086F"/>
    <w:rsid w:val="00F11CB5"/>
    <w:rsid w:val="00F14151"/>
    <w:rsid w:val="00F15A76"/>
    <w:rsid w:val="00F15CDE"/>
    <w:rsid w:val="00F16935"/>
    <w:rsid w:val="00F2086F"/>
    <w:rsid w:val="00F22031"/>
    <w:rsid w:val="00F220F1"/>
    <w:rsid w:val="00F236B6"/>
    <w:rsid w:val="00F238AE"/>
    <w:rsid w:val="00F26E25"/>
    <w:rsid w:val="00F26E8D"/>
    <w:rsid w:val="00F2701D"/>
    <w:rsid w:val="00F27562"/>
    <w:rsid w:val="00F324B8"/>
    <w:rsid w:val="00F33692"/>
    <w:rsid w:val="00F33CBA"/>
    <w:rsid w:val="00F34AA1"/>
    <w:rsid w:val="00F34B51"/>
    <w:rsid w:val="00F34C1C"/>
    <w:rsid w:val="00F37050"/>
    <w:rsid w:val="00F37D2E"/>
    <w:rsid w:val="00F402AB"/>
    <w:rsid w:val="00F4071E"/>
    <w:rsid w:val="00F41DDF"/>
    <w:rsid w:val="00F42DE1"/>
    <w:rsid w:val="00F43BC3"/>
    <w:rsid w:val="00F43D54"/>
    <w:rsid w:val="00F43E2F"/>
    <w:rsid w:val="00F47864"/>
    <w:rsid w:val="00F47F10"/>
    <w:rsid w:val="00F51060"/>
    <w:rsid w:val="00F5479A"/>
    <w:rsid w:val="00F55EEB"/>
    <w:rsid w:val="00F6063A"/>
    <w:rsid w:val="00F60CAD"/>
    <w:rsid w:val="00F61866"/>
    <w:rsid w:val="00F63C61"/>
    <w:rsid w:val="00F63F7E"/>
    <w:rsid w:val="00F64426"/>
    <w:rsid w:val="00F64C2E"/>
    <w:rsid w:val="00F6718B"/>
    <w:rsid w:val="00F67AE9"/>
    <w:rsid w:val="00F71569"/>
    <w:rsid w:val="00F75D8D"/>
    <w:rsid w:val="00F80DD1"/>
    <w:rsid w:val="00F818B2"/>
    <w:rsid w:val="00F819FA"/>
    <w:rsid w:val="00F81C34"/>
    <w:rsid w:val="00F83D6A"/>
    <w:rsid w:val="00F84A81"/>
    <w:rsid w:val="00F9047D"/>
    <w:rsid w:val="00F93C0E"/>
    <w:rsid w:val="00F93D37"/>
    <w:rsid w:val="00F94C06"/>
    <w:rsid w:val="00F95AB5"/>
    <w:rsid w:val="00F95BD1"/>
    <w:rsid w:val="00F96C9F"/>
    <w:rsid w:val="00F97843"/>
    <w:rsid w:val="00FA067A"/>
    <w:rsid w:val="00FA0826"/>
    <w:rsid w:val="00FA0A8E"/>
    <w:rsid w:val="00FA29AC"/>
    <w:rsid w:val="00FA34B2"/>
    <w:rsid w:val="00FA49CA"/>
    <w:rsid w:val="00FA4A37"/>
    <w:rsid w:val="00FA52ED"/>
    <w:rsid w:val="00FA5BA8"/>
    <w:rsid w:val="00FA64FB"/>
    <w:rsid w:val="00FA7AE2"/>
    <w:rsid w:val="00FA7B2F"/>
    <w:rsid w:val="00FB1126"/>
    <w:rsid w:val="00FB2FC8"/>
    <w:rsid w:val="00FB39D5"/>
    <w:rsid w:val="00FB3E74"/>
    <w:rsid w:val="00FB64F1"/>
    <w:rsid w:val="00FC085F"/>
    <w:rsid w:val="00FC087B"/>
    <w:rsid w:val="00FC10C7"/>
    <w:rsid w:val="00FC3305"/>
    <w:rsid w:val="00FC3A69"/>
    <w:rsid w:val="00FC3EFC"/>
    <w:rsid w:val="00FC47DB"/>
    <w:rsid w:val="00FC4EC9"/>
    <w:rsid w:val="00FC7487"/>
    <w:rsid w:val="00FD06CA"/>
    <w:rsid w:val="00FD0D0E"/>
    <w:rsid w:val="00FD0EC6"/>
    <w:rsid w:val="00FD1204"/>
    <w:rsid w:val="00FD2EFA"/>
    <w:rsid w:val="00FD38FD"/>
    <w:rsid w:val="00FD3B1B"/>
    <w:rsid w:val="00FD4F55"/>
    <w:rsid w:val="00FD655B"/>
    <w:rsid w:val="00FD6C2D"/>
    <w:rsid w:val="00FE0E06"/>
    <w:rsid w:val="00FE1FB6"/>
    <w:rsid w:val="00FE2189"/>
    <w:rsid w:val="00FE25C7"/>
    <w:rsid w:val="00FE2EDC"/>
    <w:rsid w:val="00FE3EF8"/>
    <w:rsid w:val="00FE7D72"/>
    <w:rsid w:val="00FF3425"/>
    <w:rsid w:val="00FF3D91"/>
    <w:rsid w:val="00FF3E13"/>
    <w:rsid w:val="00FF4816"/>
    <w:rsid w:val="00FF779C"/>
  </w:rsids>
  <w:docVars>
    <w:docVar w:name="__Grammarly_42___1" w:val="H4sIAAAAAAAEAKtWcslP9kxRslIyNDayMDM2sDSxsDS3tDCyNDJU0lEKTi0uzszPAykwrAUAGFdQAiwAAAA="/>
    <w:docVar w:name="__Grammarly_42____i" w:val="H4sIAAAAAAAEAKtWckksSQxILCpxzi/NK1GyMqwFAAEhoTITAAAA"/>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7C942EB2"/>
  <w15:chartTrackingRefBased/>
  <w15:docId w15:val="{6B0A74EB-F07A-45A9-8FAA-FC023873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F11"/>
    <w:rPr>
      <w:rFonts w:ascii="Times New Roman" w:hAnsi="Times New Roman"/>
      <w:sz w:val="24"/>
    </w:rPr>
  </w:style>
  <w:style w:type="paragraph" w:styleId="Heading1">
    <w:name w:val="heading 1"/>
    <w:basedOn w:val="Normal"/>
    <w:next w:val="Normal"/>
    <w:link w:val="Heading1Char"/>
    <w:uiPriority w:val="9"/>
    <w:qFormat/>
    <w:rsid w:val="00E4011D"/>
    <w:pPr>
      <w:keepNext/>
      <w:keepLines/>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2F2BF4"/>
    <w:pPr>
      <w:keepNext/>
      <w:keepLines/>
      <w:outlineLvl w:val="1"/>
    </w:pPr>
    <w:rPr>
      <w:rFonts w:eastAsiaTheme="majorEastAsia" w:cstheme="majorBidi"/>
      <w:b/>
      <w:caps/>
      <w:szCs w:val="26"/>
    </w:rPr>
  </w:style>
  <w:style w:type="paragraph" w:styleId="Heading3">
    <w:name w:val="heading 3"/>
    <w:basedOn w:val="Normal"/>
    <w:next w:val="Normal"/>
    <w:link w:val="Heading3Char"/>
    <w:uiPriority w:val="9"/>
    <w:unhideWhenUsed/>
    <w:qFormat/>
    <w:rsid w:val="002F2BF4"/>
    <w:pPr>
      <w:keepNext/>
      <w:keepLines/>
      <w:spacing w:after="12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D22"/>
    <w:pPr>
      <w:ind w:left="720"/>
      <w:contextualSpacing/>
    </w:pPr>
  </w:style>
  <w:style w:type="table" w:styleId="TableGrid">
    <w:name w:val="Table Grid"/>
    <w:basedOn w:val="TableNormal"/>
    <w:uiPriority w:val="39"/>
    <w:rsid w:val="00444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F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F70"/>
  </w:style>
  <w:style w:type="paragraph" w:styleId="Footer">
    <w:name w:val="footer"/>
    <w:basedOn w:val="Normal"/>
    <w:link w:val="FooterChar"/>
    <w:uiPriority w:val="99"/>
    <w:unhideWhenUsed/>
    <w:rsid w:val="00416F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F70"/>
  </w:style>
  <w:style w:type="character" w:styleId="Hyperlink">
    <w:name w:val="Hyperlink"/>
    <w:uiPriority w:val="99"/>
    <w:unhideWhenUsed/>
    <w:rsid w:val="0071378B"/>
    <w:rPr>
      <w:color w:val="0000FF"/>
      <w:u w:val="single"/>
    </w:rPr>
  </w:style>
  <w:style w:type="paragraph" w:styleId="TOC1">
    <w:name w:val="toc 1"/>
    <w:basedOn w:val="Normal"/>
    <w:next w:val="Normal"/>
    <w:autoRedefine/>
    <w:uiPriority w:val="39"/>
    <w:unhideWhenUsed/>
    <w:rsid w:val="00E4011D"/>
    <w:pPr>
      <w:spacing w:before="120" w:after="120" w:line="276" w:lineRule="auto"/>
    </w:pPr>
    <w:rPr>
      <w:rFonts w:eastAsia="Calibri" w:cs="Times New Roman"/>
      <w:b/>
      <w:bCs/>
      <w:caps/>
      <w:szCs w:val="20"/>
    </w:rPr>
  </w:style>
  <w:style w:type="paragraph" w:styleId="TOC2">
    <w:name w:val="toc 2"/>
    <w:basedOn w:val="Normal"/>
    <w:next w:val="Normal"/>
    <w:autoRedefine/>
    <w:uiPriority w:val="39"/>
    <w:unhideWhenUsed/>
    <w:rsid w:val="00E4011D"/>
    <w:pPr>
      <w:spacing w:after="0" w:line="276" w:lineRule="auto"/>
      <w:ind w:left="220"/>
    </w:pPr>
    <w:rPr>
      <w:rFonts w:eastAsia="Calibri" w:cs="Times New Roman"/>
      <w:szCs w:val="20"/>
    </w:rPr>
  </w:style>
  <w:style w:type="paragraph" w:customStyle="1" w:styleId="Level3">
    <w:name w:val="Level 3"/>
    <w:basedOn w:val="TOC3"/>
    <w:link w:val="Level3CharChar"/>
    <w:qFormat/>
    <w:rsid w:val="0071378B"/>
    <w:pPr>
      <w:tabs>
        <w:tab w:val="right" w:leader="dot" w:pos="8630"/>
      </w:tabs>
      <w:spacing w:after="0" w:line="240" w:lineRule="auto"/>
      <w:ind w:left="400"/>
    </w:pPr>
    <w:rPr>
      <w:rFonts w:eastAsia="Times New Roman" w:asciiTheme="majorHAnsi" w:hAnsiTheme="majorHAnsi" w:cs="Times New Roman"/>
      <w:i/>
      <w:iCs/>
      <w:sz w:val="20"/>
      <w:szCs w:val="20"/>
    </w:rPr>
  </w:style>
  <w:style w:type="character" w:customStyle="1" w:styleId="Level3CharChar">
    <w:name w:val="Level 3 Char Char"/>
    <w:basedOn w:val="DefaultParagraphFont"/>
    <w:link w:val="Level3"/>
    <w:rsid w:val="0071378B"/>
    <w:rPr>
      <w:rFonts w:eastAsia="Times New Roman" w:asciiTheme="majorHAnsi" w:hAnsiTheme="majorHAnsi" w:cs="Times New Roman"/>
      <w:i/>
      <w:iCs/>
      <w:sz w:val="20"/>
      <w:szCs w:val="20"/>
    </w:rPr>
  </w:style>
  <w:style w:type="paragraph" w:customStyle="1" w:styleId="Level1">
    <w:name w:val="Level 1"/>
    <w:basedOn w:val="TOC1"/>
    <w:link w:val="Level1Char"/>
    <w:qFormat/>
    <w:rsid w:val="0071378B"/>
    <w:pPr>
      <w:tabs>
        <w:tab w:val="right" w:leader="dot" w:pos="8630"/>
      </w:tabs>
      <w:spacing w:line="240" w:lineRule="auto"/>
    </w:pPr>
    <w:rPr>
      <w:rFonts w:eastAsia="Times New Roman" w:asciiTheme="majorHAnsi" w:hAnsiTheme="majorHAnsi"/>
    </w:rPr>
  </w:style>
  <w:style w:type="character" w:customStyle="1" w:styleId="Level1Char">
    <w:name w:val="Level 1 Char"/>
    <w:basedOn w:val="DefaultParagraphFont"/>
    <w:link w:val="Level1"/>
    <w:rsid w:val="0071378B"/>
    <w:rPr>
      <w:rFonts w:eastAsia="Times New Roman" w:asciiTheme="majorHAnsi" w:hAnsiTheme="majorHAnsi" w:cs="Times New Roman"/>
      <w:b/>
      <w:bCs/>
      <w:caps/>
      <w:sz w:val="20"/>
      <w:szCs w:val="20"/>
    </w:rPr>
  </w:style>
  <w:style w:type="paragraph" w:customStyle="1" w:styleId="Level2">
    <w:name w:val="Level 2"/>
    <w:basedOn w:val="TOC2"/>
    <w:link w:val="Level2Char"/>
    <w:qFormat/>
    <w:rsid w:val="0071378B"/>
    <w:pPr>
      <w:tabs>
        <w:tab w:val="right" w:leader="dot" w:pos="8630"/>
      </w:tabs>
      <w:spacing w:line="240" w:lineRule="auto"/>
      <w:ind w:left="200"/>
    </w:pPr>
    <w:rPr>
      <w:rFonts w:eastAsia="Times New Roman" w:asciiTheme="majorHAnsi" w:hAnsiTheme="majorHAnsi"/>
      <w:color w:val="000000"/>
    </w:rPr>
  </w:style>
  <w:style w:type="character" w:customStyle="1" w:styleId="Level2Char">
    <w:name w:val="Level 2 Char"/>
    <w:basedOn w:val="DefaultParagraphFont"/>
    <w:link w:val="Level2"/>
    <w:rsid w:val="0071378B"/>
    <w:rPr>
      <w:rFonts w:eastAsia="Times New Roman" w:asciiTheme="majorHAnsi" w:hAnsiTheme="majorHAnsi" w:cs="Times New Roman"/>
      <w:smallCaps/>
      <w:color w:val="000000"/>
      <w:sz w:val="20"/>
      <w:szCs w:val="20"/>
    </w:rPr>
  </w:style>
  <w:style w:type="paragraph" w:styleId="TOC3">
    <w:name w:val="toc 3"/>
    <w:basedOn w:val="Normal"/>
    <w:next w:val="Normal"/>
    <w:autoRedefine/>
    <w:uiPriority w:val="39"/>
    <w:unhideWhenUsed/>
    <w:rsid w:val="00342F08"/>
    <w:pPr>
      <w:tabs>
        <w:tab w:val="left" w:pos="990"/>
        <w:tab w:val="right" w:leader="dot" w:pos="9350"/>
      </w:tabs>
      <w:spacing w:after="100"/>
      <w:ind w:left="440"/>
    </w:pPr>
  </w:style>
  <w:style w:type="paragraph" w:styleId="BalloonText">
    <w:name w:val="Balloon Text"/>
    <w:basedOn w:val="Normal"/>
    <w:link w:val="BalloonTextChar"/>
    <w:uiPriority w:val="99"/>
    <w:semiHidden/>
    <w:unhideWhenUsed/>
    <w:rsid w:val="00B75F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F22"/>
    <w:rPr>
      <w:rFonts w:ascii="Segoe UI" w:hAnsi="Segoe UI" w:cs="Segoe UI"/>
      <w:sz w:val="18"/>
      <w:szCs w:val="18"/>
    </w:rPr>
  </w:style>
  <w:style w:type="character" w:customStyle="1" w:styleId="Heading1Char">
    <w:name w:val="Heading 1 Char"/>
    <w:basedOn w:val="DefaultParagraphFont"/>
    <w:link w:val="Heading1"/>
    <w:uiPriority w:val="9"/>
    <w:rsid w:val="00E4011D"/>
    <w:rPr>
      <w:rFonts w:ascii="Times New Roman" w:hAnsi="Times New Roman" w:eastAsiaTheme="majorEastAsia" w:cstheme="majorBidi"/>
      <w:b/>
      <w:caps/>
      <w:sz w:val="24"/>
      <w:szCs w:val="32"/>
    </w:rPr>
  </w:style>
  <w:style w:type="character" w:customStyle="1" w:styleId="Heading2Char">
    <w:name w:val="Heading 2 Char"/>
    <w:basedOn w:val="DefaultParagraphFont"/>
    <w:link w:val="Heading2"/>
    <w:uiPriority w:val="9"/>
    <w:rsid w:val="002F2BF4"/>
    <w:rPr>
      <w:rFonts w:ascii="Times New Roman" w:hAnsi="Times New Roman" w:eastAsiaTheme="majorEastAsia" w:cstheme="majorBidi"/>
      <w:b/>
      <w:caps/>
      <w:sz w:val="24"/>
      <w:szCs w:val="26"/>
    </w:rPr>
  </w:style>
  <w:style w:type="paragraph" w:styleId="TOCHeading">
    <w:name w:val="TOC Heading"/>
    <w:basedOn w:val="Heading1"/>
    <w:next w:val="Normal"/>
    <w:uiPriority w:val="39"/>
    <w:unhideWhenUsed/>
    <w:qFormat/>
    <w:rsid w:val="00E4011D"/>
    <w:pPr>
      <w:spacing w:before="240" w:after="0"/>
      <w:outlineLvl w:val="9"/>
    </w:pPr>
    <w:rPr>
      <w:rFonts w:asciiTheme="majorHAnsi" w:hAnsiTheme="majorHAnsi"/>
      <w:b w:val="0"/>
      <w:caps w:val="0"/>
      <w:color w:val="2F5496" w:themeColor="accent1" w:themeShade="BF"/>
      <w:sz w:val="32"/>
    </w:rPr>
  </w:style>
  <w:style w:type="character" w:styleId="CommentReference">
    <w:name w:val="annotation reference"/>
    <w:basedOn w:val="DefaultParagraphFont"/>
    <w:uiPriority w:val="99"/>
    <w:semiHidden/>
    <w:unhideWhenUsed/>
    <w:rsid w:val="007741BD"/>
    <w:rPr>
      <w:sz w:val="16"/>
      <w:szCs w:val="16"/>
    </w:rPr>
  </w:style>
  <w:style w:type="paragraph" w:styleId="CommentText">
    <w:name w:val="annotation text"/>
    <w:basedOn w:val="Normal"/>
    <w:link w:val="CommentTextChar"/>
    <w:uiPriority w:val="99"/>
    <w:unhideWhenUsed/>
    <w:rsid w:val="007741BD"/>
    <w:pPr>
      <w:spacing w:line="240" w:lineRule="auto"/>
    </w:pPr>
    <w:rPr>
      <w:sz w:val="20"/>
      <w:szCs w:val="20"/>
    </w:rPr>
  </w:style>
  <w:style w:type="character" w:customStyle="1" w:styleId="CommentTextChar">
    <w:name w:val="Comment Text Char"/>
    <w:basedOn w:val="DefaultParagraphFont"/>
    <w:link w:val="CommentText"/>
    <w:uiPriority w:val="99"/>
    <w:rsid w:val="007741BD"/>
    <w:rPr>
      <w:sz w:val="20"/>
      <w:szCs w:val="20"/>
    </w:rPr>
  </w:style>
  <w:style w:type="paragraph" w:styleId="CommentSubject">
    <w:name w:val="annotation subject"/>
    <w:basedOn w:val="CommentText"/>
    <w:next w:val="CommentText"/>
    <w:link w:val="CommentSubjectChar"/>
    <w:uiPriority w:val="99"/>
    <w:semiHidden/>
    <w:unhideWhenUsed/>
    <w:rsid w:val="007741BD"/>
    <w:rPr>
      <w:b/>
      <w:bCs/>
    </w:rPr>
  </w:style>
  <w:style w:type="character" w:customStyle="1" w:styleId="CommentSubjectChar">
    <w:name w:val="Comment Subject Char"/>
    <w:basedOn w:val="CommentTextChar"/>
    <w:link w:val="CommentSubject"/>
    <w:uiPriority w:val="99"/>
    <w:semiHidden/>
    <w:rsid w:val="007741BD"/>
    <w:rPr>
      <w:b/>
      <w:bCs/>
      <w:sz w:val="20"/>
      <w:szCs w:val="20"/>
    </w:rPr>
  </w:style>
  <w:style w:type="paragraph" w:styleId="Revision">
    <w:name w:val="Revision"/>
    <w:hidden/>
    <w:uiPriority w:val="99"/>
    <w:semiHidden/>
    <w:rsid w:val="007167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47416D"/>
    <w:rPr>
      <w:color w:val="808080"/>
      <w:shd w:val="clear" w:color="auto" w:fill="E6E6E6"/>
    </w:rPr>
  </w:style>
  <w:style w:type="character" w:styleId="FootnoteReference">
    <w:name w:val="footnote reference"/>
    <w:basedOn w:val="DefaultParagraphFont"/>
    <w:uiPriority w:val="99"/>
    <w:unhideWhenUsed/>
    <w:rsid w:val="000C06EB"/>
    <w:rPr>
      <w:vertAlign w:val="superscript"/>
    </w:rPr>
  </w:style>
  <w:style w:type="paragraph" w:styleId="FootnoteText">
    <w:name w:val="footnote text"/>
    <w:basedOn w:val="Normal"/>
    <w:link w:val="FootnoteTextChar"/>
    <w:uiPriority w:val="99"/>
    <w:unhideWhenUsed/>
    <w:rsid w:val="0073154C"/>
    <w:pPr>
      <w:spacing w:after="0" w:line="240" w:lineRule="auto"/>
    </w:pPr>
    <w:rPr>
      <w:sz w:val="20"/>
      <w:szCs w:val="20"/>
    </w:rPr>
  </w:style>
  <w:style w:type="character" w:customStyle="1" w:styleId="FootnoteTextChar">
    <w:name w:val="Footnote Text Char"/>
    <w:basedOn w:val="DefaultParagraphFont"/>
    <w:link w:val="FootnoteText"/>
    <w:uiPriority w:val="99"/>
    <w:rsid w:val="0073154C"/>
    <w:rPr>
      <w:rFonts w:ascii="Times New Roman" w:hAnsi="Times New Roman"/>
      <w:sz w:val="20"/>
      <w:szCs w:val="20"/>
    </w:rPr>
  </w:style>
  <w:style w:type="paragraph" w:customStyle="1" w:styleId="CM10">
    <w:name w:val="CM10"/>
    <w:basedOn w:val="Normal"/>
    <w:next w:val="Normal"/>
    <w:uiPriority w:val="99"/>
    <w:rsid w:val="005F6971"/>
    <w:pPr>
      <w:autoSpaceDE w:val="0"/>
      <w:autoSpaceDN w:val="0"/>
      <w:adjustRightInd w:val="0"/>
      <w:spacing w:after="0" w:line="276" w:lineRule="atLeast"/>
    </w:pPr>
    <w:rPr>
      <w:rFonts w:cs="Times New Roman"/>
      <w:szCs w:val="24"/>
    </w:rPr>
  </w:style>
  <w:style w:type="paragraph" w:customStyle="1" w:styleId="CM56">
    <w:name w:val="CM56"/>
    <w:basedOn w:val="Normal"/>
    <w:next w:val="Normal"/>
    <w:uiPriority w:val="99"/>
    <w:rsid w:val="004D5084"/>
    <w:pPr>
      <w:autoSpaceDE w:val="0"/>
      <w:autoSpaceDN w:val="0"/>
      <w:adjustRightInd w:val="0"/>
      <w:spacing w:after="0" w:line="240" w:lineRule="auto"/>
    </w:pPr>
    <w:rPr>
      <w:rFonts w:cs="Times New Roman"/>
      <w:szCs w:val="24"/>
    </w:rPr>
  </w:style>
  <w:style w:type="character" w:styleId="Mention">
    <w:name w:val="Mention"/>
    <w:basedOn w:val="DefaultParagraphFont"/>
    <w:uiPriority w:val="99"/>
    <w:semiHidden/>
    <w:unhideWhenUsed/>
    <w:rsid w:val="00EB273A"/>
    <w:rPr>
      <w:color w:val="2B579A"/>
      <w:shd w:val="clear" w:color="auto" w:fill="E6E6E6"/>
    </w:rPr>
  </w:style>
  <w:style w:type="character" w:styleId="FollowedHyperlink">
    <w:name w:val="FollowedHyperlink"/>
    <w:basedOn w:val="DefaultParagraphFont"/>
    <w:uiPriority w:val="99"/>
    <w:semiHidden/>
    <w:unhideWhenUsed/>
    <w:rsid w:val="00500FBB"/>
    <w:rPr>
      <w:color w:val="954F72" w:themeColor="followedHyperlink"/>
      <w:u w:val="single"/>
    </w:rPr>
  </w:style>
  <w:style w:type="character" w:customStyle="1" w:styleId="Heading3Char">
    <w:name w:val="Heading 3 Char"/>
    <w:basedOn w:val="DefaultParagraphFont"/>
    <w:link w:val="Heading3"/>
    <w:uiPriority w:val="9"/>
    <w:rsid w:val="002F2BF4"/>
    <w:rPr>
      <w:rFonts w:ascii="Times New Roman" w:hAnsi="Times New Roman" w:eastAsiaTheme="majorEastAsia" w:cstheme="majorBidi"/>
      <w:b/>
      <w:color w:val="000000" w:themeColor="text1"/>
      <w:sz w:val="24"/>
      <w:szCs w:val="24"/>
    </w:rPr>
  </w:style>
  <w:style w:type="character" w:styleId="UnresolvedMention">
    <w:name w:val="Unresolved Mention"/>
    <w:basedOn w:val="DefaultParagraphFont"/>
    <w:uiPriority w:val="99"/>
    <w:semiHidden/>
    <w:unhideWhenUsed/>
    <w:rsid w:val="00F96C9F"/>
    <w:rPr>
      <w:color w:val="605E5C"/>
      <w:shd w:val="clear" w:color="auto" w:fill="E1DFDD"/>
    </w:rPr>
  </w:style>
  <w:style w:type="paragraph" w:styleId="NoSpacing">
    <w:name w:val="No Spacing"/>
    <w:uiPriority w:val="1"/>
    <w:qFormat/>
    <w:rsid w:val="002517F6"/>
    <w:pPr>
      <w:spacing w:after="0" w:line="240" w:lineRule="auto"/>
    </w:pPr>
    <w:rPr>
      <w:rFonts w:ascii="Times New Roman" w:hAnsi="Times New Roman"/>
      <w:sz w:val="24"/>
    </w:rPr>
  </w:style>
  <w:style w:type="table" w:customStyle="1" w:styleId="TableGrid1">
    <w:name w:val="Table Grid1"/>
    <w:basedOn w:val="TableNormal"/>
    <w:next w:val="TableGrid"/>
    <w:uiPriority w:val="39"/>
    <w:rsid w:val="00CB73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31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F0756"/>
    <w:pPr>
      <w:widowControl w:val="0"/>
      <w:autoSpaceDE w:val="0"/>
      <w:autoSpaceDN w:val="0"/>
      <w:adjustRightInd w:val="0"/>
      <w:spacing w:after="0" w:line="240" w:lineRule="auto"/>
      <w:jc w:val="center"/>
    </w:pPr>
    <w:rPr>
      <w:rFonts w:ascii="Letter Gothic 12cpi" w:eastAsia="Times New Roman" w:hAnsi="Letter Gothic 12cpi" w:cs="Times New Roman"/>
      <w:b/>
      <w:bCs/>
      <w:szCs w:val="24"/>
      <w:u w:val="single"/>
    </w:rPr>
  </w:style>
  <w:style w:type="character" w:customStyle="1" w:styleId="TitleChar">
    <w:name w:val="Title Char"/>
    <w:basedOn w:val="DefaultParagraphFont"/>
    <w:link w:val="Title"/>
    <w:rsid w:val="00DF0756"/>
    <w:rPr>
      <w:rFonts w:ascii="Letter Gothic 12cpi" w:eastAsia="Times New Roman" w:hAnsi="Letter Gothic 12cpi" w:cs="Times New Roman"/>
      <w:b/>
      <w:bCs/>
      <w:sz w:val="24"/>
      <w:szCs w:val="24"/>
      <w:u w:val="single"/>
    </w:rPr>
  </w:style>
  <w:style w:type="paragraph" w:customStyle="1" w:styleId="Default">
    <w:name w:val="Default"/>
    <w:rsid w:val="00DD181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kevin.lau@dot.gov" TargetMode="External" /><Relationship Id="rId11" Type="http://schemas.openxmlformats.org/officeDocument/2006/relationships/hyperlink" Target="mailto:nuns.jain.ctr@dot.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shashi.kumar@dot.gov" TargetMode="External" /><Relationship Id="rId7" Type="http://schemas.openxmlformats.org/officeDocument/2006/relationships/hyperlink" Target="mailto:christopher.wahler@dot.gov" TargetMode="External" /><Relationship Id="rId8" Type="http://schemas.openxmlformats.org/officeDocument/2006/relationships/hyperlink" Target="mailto:douglas.mcdonald@dot.gov" TargetMode="External" /><Relationship Id="rId9" Type="http://schemas.openxmlformats.org/officeDocument/2006/relationships/hyperlink" Target="mailto:matthew.mueller@do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C741D-C381-4F2D-B1AC-E5E554B0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5781</Words>
  <Characters>32957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Nuns Jain (CTR)</dc:creator>
  <cp:lastModifiedBy>Bolton, Tamelia (MARAD)</cp:lastModifiedBy>
  <cp:revision>6</cp:revision>
  <dcterms:created xsi:type="dcterms:W3CDTF">2026-07-28T17:31:00Z</dcterms:created>
  <dcterms:modified xsi:type="dcterms:W3CDTF">2026-07-28T19:14:00Z</dcterms:modified>
</cp:coreProperties>
</file>