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814A5" w14:paraId="3668E040" w14:textId="77777777">
      <w:pPr>
        <w:pStyle w:val="NormalWeb"/>
        <w:jc w:val="center"/>
        <w:rPr>
          <w:rFonts w:ascii="Times New Roman" w:hAnsi="Times New Roman" w:cs="Times New Roman"/>
          <w:b/>
          <w:bCs/>
        </w:rPr>
      </w:pPr>
      <w:r>
        <w:rPr>
          <w:rFonts w:ascii="Times New Roman" w:hAnsi="Times New Roman" w:cs="Times New Roman"/>
          <w:b/>
          <w:bCs/>
        </w:rPr>
        <w:t>DEPARTMENT OF TRANSPORTATION</w:t>
      </w:r>
    </w:p>
    <w:p w:rsidR="00BD1BF2" w14:paraId="26958695" w14:textId="254DD81F">
      <w:pPr>
        <w:pStyle w:val="NormalWeb"/>
        <w:jc w:val="center"/>
        <w:rPr>
          <w:rFonts w:ascii="Times New Roman" w:hAnsi="Times New Roman" w:cs="Times New Roman"/>
          <w:b/>
          <w:bCs/>
        </w:rPr>
      </w:pPr>
      <w:r>
        <w:rPr>
          <w:rFonts w:ascii="Times New Roman" w:hAnsi="Times New Roman" w:cs="Times New Roman"/>
          <w:b/>
          <w:bCs/>
        </w:rPr>
        <w:t>SUPPORTING STATEMENT</w:t>
      </w:r>
    </w:p>
    <w:p w:rsidR="003658C6" w:rsidRPr="0017141B" w14:paraId="04A2C6BF" w14:textId="14564854">
      <w:pPr>
        <w:pStyle w:val="NormalWeb"/>
        <w:jc w:val="center"/>
        <w:rPr>
          <w:rFonts w:ascii="Times New Roman" w:hAnsi="Times New Roman" w:cs="Times New Roman"/>
          <w:b/>
          <w:bCs/>
          <w:sz w:val="20"/>
          <w:szCs w:val="20"/>
        </w:rPr>
      </w:pPr>
      <w:r>
        <w:rPr>
          <w:rFonts w:ascii="Times New Roman" w:hAnsi="Times New Roman" w:cs="Times New Roman"/>
          <w:b/>
          <w:bCs/>
        </w:rPr>
        <w:t xml:space="preserve">OMB CONTROL No. </w:t>
      </w:r>
      <w:r w:rsidR="00360B9E">
        <w:rPr>
          <w:rFonts w:ascii="Times New Roman" w:hAnsi="Times New Roman" w:cs="Times New Roman"/>
          <w:b/>
          <w:bCs/>
        </w:rPr>
        <w:t>2138-0049</w:t>
      </w:r>
    </w:p>
    <w:p w:rsidR="00BD1BF2" w:rsidRPr="0017141B" w:rsidP="007B5632" w14:paraId="5158BF0B" w14:textId="4A687E67">
      <w:pPr>
        <w:pStyle w:val="NormalWeb"/>
        <w:jc w:val="center"/>
        <w:rPr>
          <w:rFonts w:ascii="Times New Roman" w:hAnsi="Times New Roman" w:cs="Times New Roman"/>
          <w:b/>
          <w:bCs/>
          <w:szCs w:val="22"/>
        </w:rPr>
      </w:pPr>
      <w:r w:rsidRPr="0017141B">
        <w:rPr>
          <w:rFonts w:ascii="Times New Roman" w:hAnsi="Times New Roman" w:cs="Times New Roman"/>
          <w:b/>
          <w:bCs/>
          <w:szCs w:val="22"/>
        </w:rPr>
        <w:t>Freight Logistics Optimization Works (FLOW) Project</w:t>
      </w:r>
    </w:p>
    <w:p w:rsidR="00BD1BF2" w:rsidRPr="00CE649C" w14:paraId="54A5FCAF" w14:textId="77777777">
      <w:pPr>
        <w:pStyle w:val="NormalWeb"/>
        <w:rPr>
          <w:rFonts w:ascii="Times New Roman" w:hAnsi="Times New Roman" w:cs="Times New Roman"/>
        </w:rPr>
      </w:pPr>
      <w:r w:rsidRPr="00CE649C">
        <w:rPr>
          <w:rFonts w:ascii="Times New Roman" w:hAnsi="Times New Roman" w:cs="Times New Roman"/>
          <w:u w:val="single"/>
        </w:rPr>
        <w:t>Part A. Justification</w:t>
      </w:r>
      <w:r w:rsidRPr="00CE649C">
        <w:rPr>
          <w:rFonts w:ascii="Times New Roman" w:hAnsi="Times New Roman" w:cs="Times New Roman"/>
        </w:rPr>
        <w:t>.</w:t>
      </w:r>
    </w:p>
    <w:p w:rsidR="00037F1B" w:rsidRPr="00CE649C" w:rsidP="00037F1B" w14:paraId="7EDBB0CB" w14:textId="77777777">
      <w:pPr>
        <w:pStyle w:val="NormalWeb"/>
        <w:rPr>
          <w:rFonts w:ascii="Times New Roman" w:hAnsi="Times New Roman" w:cs="Times New Roman"/>
        </w:rPr>
      </w:pPr>
      <w:r w:rsidRPr="00CE649C">
        <w:rPr>
          <w:rFonts w:ascii="Times New Roman" w:hAnsi="Times New Roman" w:cs="Times New Roman"/>
        </w:rPr>
        <w:t xml:space="preserve">1. </w:t>
      </w:r>
      <w:r w:rsidRPr="00CE649C">
        <w:rPr>
          <w:rFonts w:ascii="Times New Roman" w:hAnsi="Times New Roman" w:cs="Times New Roman"/>
          <w:u w:val="single"/>
        </w:rPr>
        <w:t>Circumstances that make collection of information necessary</w:t>
      </w:r>
      <w:r w:rsidRPr="00CE649C">
        <w:rPr>
          <w:rFonts w:ascii="Times New Roman" w:hAnsi="Times New Roman" w:cs="Times New Roman"/>
        </w:rPr>
        <w:t>:</w:t>
      </w:r>
    </w:p>
    <w:p w:rsidR="00316F5F" w:rsidP="1842F320" w14:paraId="139B8855" w14:textId="5A24A877">
      <w:r>
        <w:t>Following COVID-19</w:t>
      </w:r>
      <w:r w:rsidRPr="00CE649C" w:rsidR="00360B9E">
        <w:t xml:space="preserve">, the U.S. supply chain struggled with unprecedented congestion </w:t>
      </w:r>
      <w:r>
        <w:t>and</w:t>
      </w:r>
      <w:r w:rsidRPr="00CE649C" w:rsidR="00360B9E">
        <w:t xml:space="preserve"> surges of containerized cargo through our ports and intermodal networks. </w:t>
      </w:r>
    </w:p>
    <w:p w:rsidR="00316F5F" w:rsidP="1842F320" w14:paraId="6D524C23" w14:textId="79C9AA28">
      <w:r w:rsidRPr="00316F5F">
        <w:t>The Freight Logistics Optimization Works (FLOW) program</w:t>
      </w:r>
      <w:r>
        <w:t xml:space="preserve"> was established as</w:t>
      </w:r>
      <w:r w:rsidRPr="00316F5F">
        <w:t xml:space="preserve"> a government-industry information sharing initiative aimed at improving key freight information exchange between parts of the goods movement supply chain, equipping companies involved in freight with the evidence needed to avoid significant congestion events and support a more resilient freight network.</w:t>
      </w:r>
    </w:p>
    <w:p w:rsidR="00316F5F" w:rsidP="1842F320" w14:paraId="267956E3" w14:textId="77777777"/>
    <w:p w:rsidR="007E4968" w:rsidP="1842F320" w14:paraId="7F11A4D5" w14:textId="2E1A69BD">
      <w:pPr>
        <w:pBdr>
          <w:top w:val="nil"/>
          <w:left w:val="nil"/>
          <w:bottom w:val="nil"/>
          <w:right w:val="nil"/>
          <w:between w:val="nil"/>
        </w:pBdr>
        <w:jc w:val="both"/>
      </w:pPr>
      <w:r w:rsidRPr="00CE649C">
        <w:t>FLOW is a joint</w:t>
      </w:r>
      <w:r w:rsidRPr="00CE649C" w:rsidR="00A65E7A">
        <w:t xml:space="preserve"> endeavor between the</w:t>
      </w:r>
      <w:r w:rsidRPr="00CE649C">
        <w:t xml:space="preserve"> United States Department of Transportation (USDOT) and </w:t>
      </w:r>
      <w:r w:rsidR="431D605B">
        <w:t xml:space="preserve">the </w:t>
      </w:r>
      <w:r w:rsidRPr="00CE649C">
        <w:t>freight industry</w:t>
      </w:r>
      <w:r w:rsidR="00AC791F">
        <w:t>. Data collected and exchanged support</w:t>
      </w:r>
      <w:r w:rsidR="00316F5F">
        <w:t>s</w:t>
      </w:r>
      <w:r w:rsidR="00AC791F">
        <w:t xml:space="preserve"> industry decision making associated with the daily management of cargo and assets. </w:t>
      </w:r>
      <w:r w:rsidRPr="00CE649C" w:rsidR="00A561FA">
        <w:t xml:space="preserve">Industry partners </w:t>
      </w:r>
      <w:r w:rsidRPr="00CE649C" w:rsidR="00712779">
        <w:t>involved with FLOW</w:t>
      </w:r>
      <w:r w:rsidRPr="00CE649C" w:rsidR="00F1261D">
        <w:t xml:space="preserve">, referred to as FLOW </w:t>
      </w:r>
      <w:r w:rsidRPr="00CE649C" w:rsidR="00682C16">
        <w:t>participants</w:t>
      </w:r>
      <w:r w:rsidRPr="00CE649C" w:rsidR="00F1261D">
        <w:t>,</w:t>
      </w:r>
      <w:r w:rsidRPr="00CE649C">
        <w:t xml:space="preserve"> </w:t>
      </w:r>
      <w:r w:rsidR="002E123F">
        <w:t xml:space="preserve">include </w:t>
      </w:r>
      <w:r w:rsidRPr="00316F5F" w:rsidR="00316F5F">
        <w:t>beneficial cargo owners, intermodal equipment providers, the logistics real estate sector, ports and marine terminal operators, motor carriers, ocean carriers, non-vessel operating common carriers, rail carriers, and third-party logistics providers</w:t>
      </w:r>
      <w:r w:rsidRPr="00CE649C">
        <w:t xml:space="preserve">. </w:t>
      </w:r>
      <w:r w:rsidR="00316F5F">
        <w:t>T</w:t>
      </w:r>
      <w:r w:rsidR="00AC791F">
        <w:t>he practice of</w:t>
      </w:r>
      <w:r w:rsidRPr="00CE649C">
        <w:t xml:space="preserve"> sharing operational information between FLOW </w:t>
      </w:r>
      <w:r w:rsidRPr="00CE649C" w:rsidR="00682C16">
        <w:t xml:space="preserve">participants </w:t>
      </w:r>
      <w:r w:rsidR="00316F5F">
        <w:t>benefits the operational resilience and efficiency of the</w:t>
      </w:r>
      <w:r w:rsidRPr="00CE649C">
        <w:t xml:space="preserve"> </w:t>
      </w:r>
      <w:r w:rsidR="00AC791F">
        <w:t>n</w:t>
      </w:r>
      <w:r w:rsidRPr="00CE649C" w:rsidR="004050DB">
        <w:t xml:space="preserve">ational </w:t>
      </w:r>
      <w:r w:rsidR="00AC791F">
        <w:t>l</w:t>
      </w:r>
      <w:r w:rsidRPr="00CE649C" w:rsidR="004050DB">
        <w:t xml:space="preserve">ogistics </w:t>
      </w:r>
      <w:r w:rsidR="00AC791F">
        <w:t>s</w:t>
      </w:r>
      <w:r w:rsidRPr="00CE649C" w:rsidR="004050DB">
        <w:t>ystem</w:t>
      </w:r>
      <w:r w:rsidR="00AC791F">
        <w:t>, i.e., the complex collection of personnel, transportation assets, vessels, trucks, railcars, equipment, and any and all other freight components that comprise the United States’ supply chain system.</w:t>
      </w:r>
    </w:p>
    <w:p w:rsidR="00AC791F" w:rsidP="1842F320" w14:paraId="7AC4A7CB" w14:textId="65660D0E">
      <w:pPr>
        <w:pBdr>
          <w:top w:val="nil"/>
          <w:left w:val="nil"/>
          <w:bottom w:val="nil"/>
          <w:right w:val="nil"/>
          <w:between w:val="nil"/>
        </w:pBdr>
        <w:jc w:val="both"/>
      </w:pPr>
    </w:p>
    <w:p w:rsidR="007E4968" w:rsidP="007E4968" w14:paraId="50E2175D" w14:textId="46574A02">
      <w:pPr>
        <w:jc w:val="both"/>
      </w:pPr>
      <w:r w:rsidRPr="00316F5F">
        <w:t xml:space="preserve">Participants contribute data on import and export containers and the availability of space and assets to move the containers, including purchase orders, cargo bookings, marine terminal space availability and gate transactions, truck dispatch capacity, chassis availability, and warehouse capacity. </w:t>
      </w:r>
      <w:r>
        <w:t>By providing a means to share this data securely, the FLOW program aims to enable a data drive</w:t>
      </w:r>
      <w:r w:rsidR="002E123F">
        <w:t>n</w:t>
      </w:r>
      <w:r>
        <w:t xml:space="preserve"> approach to balance U.S. cargo traffic demand with system capacity.</w:t>
      </w:r>
    </w:p>
    <w:p w:rsidR="007E4968" w:rsidRPr="00CE649C" w:rsidP="00937433" w14:paraId="552501E0" w14:textId="77777777">
      <w:pPr>
        <w:pBdr>
          <w:top w:val="nil"/>
          <w:left w:val="nil"/>
          <w:bottom w:val="nil"/>
          <w:right w:val="nil"/>
          <w:between w:val="nil"/>
        </w:pBdr>
        <w:rPr>
          <w:color w:val="000000"/>
        </w:rPr>
      </w:pPr>
    </w:p>
    <w:p w:rsidR="00937433" w:rsidP="00937433" w14:paraId="07C5E3DE" w14:textId="10122F06">
      <w:pPr>
        <w:pBdr>
          <w:top w:val="nil"/>
          <w:left w:val="nil"/>
          <w:bottom w:val="nil"/>
          <w:right w:val="nil"/>
          <w:between w:val="nil"/>
        </w:pBdr>
        <w:rPr>
          <w:color w:val="000000" w:themeColor="text1"/>
        </w:rPr>
      </w:pPr>
      <w:r>
        <w:rPr>
          <w:color w:val="000000" w:themeColor="text1"/>
        </w:rPr>
        <w:t>The USDOT Bureau of Transportation Statistics (</w:t>
      </w:r>
      <w:r w:rsidRPr="00CE649C" w:rsidR="00BC4C60">
        <w:rPr>
          <w:color w:val="000000" w:themeColor="text1"/>
        </w:rPr>
        <w:t>BTS</w:t>
      </w:r>
      <w:r>
        <w:rPr>
          <w:color w:val="000000" w:themeColor="text1"/>
        </w:rPr>
        <w:t>)</w:t>
      </w:r>
      <w:r w:rsidRPr="00CE649C" w:rsidR="00BC4C60">
        <w:rPr>
          <w:color w:val="000000" w:themeColor="text1"/>
        </w:rPr>
        <w:t xml:space="preserve"> </w:t>
      </w:r>
      <w:r w:rsidR="00AC791F">
        <w:rPr>
          <w:color w:val="000000" w:themeColor="text1"/>
        </w:rPr>
        <w:t>serve</w:t>
      </w:r>
      <w:r w:rsidR="00FA2EA3">
        <w:rPr>
          <w:color w:val="000000" w:themeColor="text1"/>
        </w:rPr>
        <w:t>s</w:t>
      </w:r>
      <w:r w:rsidR="00AC791F">
        <w:rPr>
          <w:color w:val="000000" w:themeColor="text1"/>
        </w:rPr>
        <w:t xml:space="preserve"> </w:t>
      </w:r>
      <w:r w:rsidRPr="00CE649C" w:rsidR="00BC4C60">
        <w:rPr>
          <w:color w:val="000000" w:themeColor="text1"/>
        </w:rPr>
        <w:t>as the independent steward of the data collection.</w:t>
      </w:r>
      <w:r w:rsidRPr="00CE649C" w:rsidR="00630BD9">
        <w:rPr>
          <w:color w:val="000000" w:themeColor="text1"/>
        </w:rPr>
        <w:t xml:space="preserve"> </w:t>
      </w:r>
      <w:r w:rsidRPr="00CE649C" w:rsidR="001E58D7">
        <w:rPr>
          <w:color w:val="000000" w:themeColor="text1"/>
        </w:rPr>
        <w:t>BTS is authorized by</w:t>
      </w:r>
      <w:r w:rsidRPr="00CE649C" w:rsidR="00F42EB3">
        <w:rPr>
          <w:color w:val="000000" w:themeColor="text1"/>
        </w:rPr>
        <w:t xml:space="preserve"> </w:t>
      </w:r>
      <w:r w:rsidRPr="00CE649C" w:rsidR="004A5A40">
        <w:rPr>
          <w:color w:val="000000" w:themeColor="text1"/>
        </w:rPr>
        <w:t>Title 49 U.S.C. Chapter 63</w:t>
      </w:r>
      <w:r w:rsidRPr="00CE649C" w:rsidR="00B96611">
        <w:rPr>
          <w:color w:val="000000" w:themeColor="text1"/>
        </w:rPr>
        <w:t xml:space="preserve"> to collect, compile, analyze, and publish a comprehensive set of transportation statistics on the performance and impacts of the national transportation system</w:t>
      </w:r>
      <w:r w:rsidR="00AC791F">
        <w:rPr>
          <w:color w:val="000000" w:themeColor="text1"/>
        </w:rPr>
        <w:t>,</w:t>
      </w:r>
      <w:r w:rsidRPr="00CE649C" w:rsidR="00865E75">
        <w:rPr>
          <w:color w:val="000000" w:themeColor="text1"/>
        </w:rPr>
        <w:t xml:space="preserve"> of which </w:t>
      </w:r>
      <w:r w:rsidRPr="00CE649C" w:rsidR="004E2D03">
        <w:rPr>
          <w:color w:val="000000" w:themeColor="text1"/>
        </w:rPr>
        <w:t xml:space="preserve">freight </w:t>
      </w:r>
      <w:r w:rsidRPr="00CE649C" w:rsidR="004E2D03">
        <w:rPr>
          <w:color w:val="000000" w:themeColor="text1"/>
        </w:rPr>
        <w:t>transportation is a key component</w:t>
      </w:r>
      <w:r w:rsidRPr="00CE649C" w:rsidR="00752E65">
        <w:rPr>
          <w:color w:val="000000" w:themeColor="text1"/>
        </w:rPr>
        <w:t>.</w:t>
      </w:r>
      <w:r w:rsidR="002E123F">
        <w:rPr>
          <w:color w:val="000000" w:themeColor="text1"/>
        </w:rPr>
        <w:t xml:space="preserve"> The FLOW program is sponsored by the USDOT Office of Multimodal Freight Infrastructure and Policy (OST-F), and FLOW contributes to a primary role of the office: “to promote and facilitate the sharing of information between the private and public sectors with respect to freight issues” (49 U.S.C. 118(c)(4)). </w:t>
      </w:r>
    </w:p>
    <w:p w:rsidR="00BD1BF2" w:rsidRPr="00CE649C" w14:paraId="5C76FCB6" w14:textId="77777777">
      <w:pPr>
        <w:pStyle w:val="NormalWeb"/>
        <w:rPr>
          <w:rFonts w:ascii="Times New Roman" w:hAnsi="Times New Roman" w:cs="Times New Roman"/>
        </w:rPr>
      </w:pPr>
      <w:r w:rsidRPr="00CE649C">
        <w:rPr>
          <w:rFonts w:ascii="Times New Roman" w:hAnsi="Times New Roman" w:cs="Times New Roman"/>
        </w:rPr>
        <w:t xml:space="preserve">2. </w:t>
      </w:r>
      <w:r w:rsidRPr="00CE649C">
        <w:rPr>
          <w:rFonts w:ascii="Times New Roman" w:hAnsi="Times New Roman" w:cs="Times New Roman"/>
          <w:u w:val="single"/>
        </w:rPr>
        <w:t>How, by whom, and for what purpose is the information used</w:t>
      </w:r>
      <w:r w:rsidRPr="00CE649C">
        <w:rPr>
          <w:rFonts w:ascii="Times New Roman" w:hAnsi="Times New Roman" w:cs="Times New Roman"/>
        </w:rPr>
        <w:t>:</w:t>
      </w:r>
    </w:p>
    <w:p w:rsidR="00776EC7" w:rsidP="00E140AD" w14:paraId="0E8594BE" w14:textId="28D0504C">
      <w:pPr>
        <w:spacing w:before="100" w:beforeAutospacing="1" w:after="100" w:afterAutospacing="1"/>
      </w:pPr>
      <w:r>
        <w:t>Data collected</w:t>
      </w:r>
      <w:r w:rsidRPr="00AC791F">
        <w:t xml:space="preserve"> </w:t>
      </w:r>
      <w:r w:rsidR="00316F5F">
        <w:t>is</w:t>
      </w:r>
      <w:r w:rsidRPr="00AC791F">
        <w:t xml:space="preserve"> used to </w:t>
      </w:r>
      <w:r w:rsidR="001B5591">
        <w:t xml:space="preserve">calculate </w:t>
      </w:r>
      <w:r w:rsidR="00316F5F">
        <w:t>demand and capacity metrics that</w:t>
      </w:r>
      <w:r w:rsidRPr="00AC791F">
        <w:t xml:space="preserve"> act as leading</w:t>
      </w:r>
      <w:r w:rsidR="00EC69B8">
        <w:t xml:space="preserve"> </w:t>
      </w:r>
      <w:r w:rsidRPr="00AC791F">
        <w:t>indicator</w:t>
      </w:r>
      <w:r w:rsidR="00316F5F">
        <w:t>s</w:t>
      </w:r>
      <w:r w:rsidRPr="00AC791F">
        <w:t xml:space="preserve"> of freight congestion and supply chain performance. </w:t>
      </w:r>
      <w:r w:rsidR="00316F5F">
        <w:t>These metrics help to</w:t>
      </w:r>
      <w:r w:rsidRPr="00AC791F">
        <w:t xml:space="preserve"> communicate the degree of oversupply or undersupply of logistics assets</w:t>
      </w:r>
      <w:r w:rsidR="00316F5F">
        <w:t xml:space="preserve"> </w:t>
      </w:r>
      <w:r w:rsidR="00EC69B8">
        <w:t>at U.S. ports and along intermodal logistics networks.</w:t>
      </w:r>
    </w:p>
    <w:p w:rsidR="00776EC7" w:rsidP="00E140AD" w14:paraId="1B3A9971" w14:textId="0A16CEDA">
      <w:pPr>
        <w:spacing w:before="100" w:beforeAutospacing="1" w:after="100" w:afterAutospacing="1"/>
      </w:pPr>
      <w:r w:rsidRPr="00CE649C">
        <w:t xml:space="preserve">BTS </w:t>
      </w:r>
      <w:r w:rsidR="00EC69B8">
        <w:t>maintains an</w:t>
      </w:r>
      <w:r w:rsidRPr="00CE649C">
        <w:t xml:space="preserve"> analytical database using the reported data and other pertinent information</w:t>
      </w:r>
      <w:r w:rsidR="009E6BDF">
        <w:t>,</w:t>
      </w:r>
      <w:r w:rsidRPr="00CE649C">
        <w:t xml:space="preserve"> conduct</w:t>
      </w:r>
      <w:r w:rsidR="00EC69B8">
        <w:t>s</w:t>
      </w:r>
      <w:r w:rsidRPr="00CE649C">
        <w:t xml:space="preserve"> statistical analyses</w:t>
      </w:r>
      <w:r w:rsidR="009E6BDF">
        <w:t>,</w:t>
      </w:r>
      <w:r w:rsidRPr="00CE649C">
        <w:t xml:space="preserve"> </w:t>
      </w:r>
      <w:r w:rsidR="00EC69B8">
        <w:t>calculates metrics</w:t>
      </w:r>
      <w:r w:rsidR="009E6BDF">
        <w:t>, and develop</w:t>
      </w:r>
      <w:r w:rsidR="00EC69B8">
        <w:t>s</w:t>
      </w:r>
      <w:r w:rsidR="009E6BDF">
        <w:t xml:space="preserve"> visualization and analytical tools to facilitate the sharing of results</w:t>
      </w:r>
      <w:r w:rsidR="00EC69B8">
        <w:t xml:space="preserve"> with FLOW participants. </w:t>
      </w:r>
      <w:r w:rsidRPr="00EC69B8" w:rsidR="00EC69B8">
        <w:t xml:space="preserve">BTS shares aggregated, deidentified data with FLOW participants </w:t>
      </w:r>
      <w:r w:rsidR="00EC69B8">
        <w:t>to provide information that will</w:t>
      </w:r>
      <w:r w:rsidR="00FA2EA3">
        <w:t xml:space="preserve"> help</w:t>
      </w:r>
      <w:r w:rsidRPr="00CE649C">
        <w:t xml:space="preserve"> </w:t>
      </w:r>
      <w:r w:rsidR="00EC69B8">
        <w:t xml:space="preserve">participants </w:t>
      </w:r>
      <w:r>
        <w:t xml:space="preserve">to </w:t>
      </w:r>
      <w:r w:rsidRPr="00CE649C">
        <w:t>assess supply chain risk and allocate resources to address those risks.</w:t>
      </w:r>
      <w:r>
        <w:t xml:space="preserve"> FLOW </w:t>
      </w:r>
      <w:r w:rsidR="00EC69B8">
        <w:t>participants</w:t>
      </w:r>
      <w:r>
        <w:t xml:space="preserve"> will use </w:t>
      </w:r>
      <w:r w:rsidR="00EC69B8">
        <w:t>the</w:t>
      </w:r>
      <w:r>
        <w:t xml:space="preserve"> information to support decision making associated with the daily management of cargo and assets.</w:t>
      </w:r>
    </w:p>
    <w:p w:rsidR="00516DED" w:rsidRPr="00516DED" w:rsidP="00516DED" w14:paraId="3E2A85BE" w14:textId="77777777">
      <w:r w:rsidRPr="00516DED">
        <w:t xml:space="preserve">Access to the secure web portal is limited to FLOW participants and not shared publicly, although participants may provide specific authorization to publish FLOW data products through a review process. </w:t>
      </w:r>
      <w:r w:rsidRPr="00516DED">
        <w:t>Current in-</w:t>
      </w:r>
      <w:r w:rsidRPr="00516DED">
        <w:t>progress efforts to apply and include FLOW data in public data products include BTS port performance freight statistics and freight scenario analysis research.</w:t>
      </w:r>
    </w:p>
    <w:p w:rsidR="00BD1BF2" w:rsidRPr="00CE649C" w14:paraId="1462526A" w14:textId="77777777">
      <w:pPr>
        <w:pStyle w:val="NormalWeb"/>
        <w:rPr>
          <w:rFonts w:ascii="Times New Roman" w:hAnsi="Times New Roman" w:cs="Times New Roman"/>
        </w:rPr>
      </w:pPr>
      <w:r w:rsidRPr="00CE649C">
        <w:rPr>
          <w:rFonts w:ascii="Times New Roman" w:hAnsi="Times New Roman" w:cs="Times New Roman"/>
        </w:rPr>
        <w:t>3.</w:t>
      </w:r>
      <w:r w:rsidRPr="00CE649C" w:rsidR="00565AFD">
        <w:rPr>
          <w:rStyle w:val="Strong"/>
          <w:rFonts w:ascii="Times New Roman" w:hAnsi="Times New Roman" w:cs="Times New Roman"/>
        </w:rPr>
        <w:t xml:space="preserve"> </w:t>
      </w:r>
      <w:r w:rsidRPr="00CE649C" w:rsidR="00565AFD">
        <w:rPr>
          <w:rStyle w:val="markedcontent"/>
          <w:rFonts w:ascii="Times New Roman" w:hAnsi="Times New Roman" w:cs="Times New Roman"/>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CE649C" w:rsidR="00565AFD">
        <w:rPr>
          <w:rStyle w:val="markedcontent"/>
          <w:rFonts w:ascii="Times New Roman" w:hAnsi="Times New Roman" w:cs="Times New Roman"/>
        </w:rPr>
        <w:t xml:space="preserve"> </w:t>
      </w:r>
      <w:r w:rsidRPr="00CE649C">
        <w:rPr>
          <w:rFonts w:ascii="Times New Roman" w:hAnsi="Times New Roman" w:cs="Times New Roman"/>
        </w:rPr>
        <w:t xml:space="preserve"> </w:t>
      </w:r>
    </w:p>
    <w:p w:rsidR="00BD1BF2" w:rsidRPr="00CE649C" w:rsidP="000718A6" w14:paraId="1B007AF6" w14:textId="328957D6">
      <w:pPr>
        <w:pStyle w:val="BodyText"/>
        <w:jc w:val="both"/>
        <w:rPr>
          <w:rFonts w:ascii="Times New Roman" w:hAnsi="Times New Roman" w:cs="Times New Roman"/>
          <w:b/>
          <w:i/>
          <w:color w:val="auto"/>
          <w:sz w:val="24"/>
          <w:szCs w:val="24"/>
        </w:rPr>
      </w:pPr>
      <w:r w:rsidRPr="00CE649C">
        <w:rPr>
          <w:rFonts w:ascii="Times New Roman" w:hAnsi="Times New Roman" w:cs="Times New Roman"/>
          <w:color w:val="auto"/>
          <w:sz w:val="24"/>
          <w:szCs w:val="24"/>
        </w:rPr>
        <w:t xml:space="preserve">Data </w:t>
      </w:r>
      <w:r w:rsidR="00FA2EA3">
        <w:rPr>
          <w:rFonts w:ascii="Times New Roman" w:hAnsi="Times New Roman" w:cs="Times New Roman"/>
          <w:color w:val="auto"/>
          <w:sz w:val="24"/>
          <w:szCs w:val="24"/>
        </w:rPr>
        <w:t>are</w:t>
      </w:r>
      <w:r w:rsidRPr="00CE649C">
        <w:rPr>
          <w:rFonts w:ascii="Times New Roman" w:hAnsi="Times New Roman" w:cs="Times New Roman"/>
          <w:color w:val="auto"/>
          <w:sz w:val="24"/>
          <w:szCs w:val="24"/>
        </w:rPr>
        <w:t xml:space="preserve"> collected on a voluntary basis through</w:t>
      </w:r>
      <w:r w:rsidR="000B16FA">
        <w:rPr>
          <w:rFonts w:ascii="Times New Roman" w:hAnsi="Times New Roman" w:cs="Times New Roman"/>
          <w:color w:val="auto"/>
          <w:sz w:val="24"/>
          <w:szCs w:val="24"/>
        </w:rPr>
        <w:t xml:space="preserve"> a secure web </w:t>
      </w:r>
      <w:r w:rsidRPr="00CE649C">
        <w:rPr>
          <w:rFonts w:ascii="Times New Roman" w:hAnsi="Times New Roman" w:cs="Times New Roman"/>
          <w:color w:val="auto"/>
          <w:sz w:val="24"/>
          <w:szCs w:val="24"/>
        </w:rPr>
        <w:t>portal</w:t>
      </w:r>
      <w:r w:rsidR="00AC791F">
        <w:rPr>
          <w:rFonts w:ascii="Times New Roman" w:hAnsi="Times New Roman" w:cs="Times New Roman"/>
          <w:color w:val="auto"/>
          <w:sz w:val="24"/>
          <w:szCs w:val="24"/>
        </w:rPr>
        <w:t xml:space="preserve"> </w:t>
      </w:r>
      <w:r w:rsidR="000B16FA">
        <w:rPr>
          <w:rFonts w:ascii="Times New Roman" w:hAnsi="Times New Roman" w:cs="Times New Roman"/>
          <w:color w:val="auto"/>
          <w:sz w:val="24"/>
          <w:szCs w:val="24"/>
        </w:rPr>
        <w:t>and SFTP (secure file transfer protocol) server administered by BTS</w:t>
      </w:r>
      <w:r w:rsidRPr="00CE649C">
        <w:rPr>
          <w:rFonts w:ascii="Times New Roman" w:hAnsi="Times New Roman" w:cs="Times New Roman"/>
          <w:color w:val="auto"/>
          <w:sz w:val="24"/>
          <w:szCs w:val="24"/>
        </w:rPr>
        <w:t xml:space="preserve">. </w:t>
      </w:r>
      <w:r w:rsidR="000B16FA">
        <w:rPr>
          <w:rFonts w:ascii="Times New Roman" w:hAnsi="Times New Roman" w:cs="Times New Roman"/>
          <w:color w:val="auto"/>
          <w:sz w:val="24"/>
          <w:szCs w:val="24"/>
        </w:rPr>
        <w:t xml:space="preserve">Participants may choose to upload data via the secure web portal or set up an SFTP connection to automate the data transfer. </w:t>
      </w:r>
      <w:r w:rsidRPr="00CE649C">
        <w:rPr>
          <w:rFonts w:ascii="Times New Roman" w:hAnsi="Times New Roman" w:cs="Times New Roman"/>
          <w:color w:val="auto"/>
          <w:sz w:val="24"/>
          <w:szCs w:val="24"/>
        </w:rPr>
        <w:t xml:space="preserve">All data collection </w:t>
      </w:r>
      <w:r w:rsidR="00FA2EA3">
        <w:rPr>
          <w:rFonts w:ascii="Times New Roman" w:hAnsi="Times New Roman" w:cs="Times New Roman"/>
          <w:color w:val="auto"/>
          <w:sz w:val="24"/>
          <w:szCs w:val="24"/>
        </w:rPr>
        <w:t xml:space="preserve">is </w:t>
      </w:r>
      <w:r w:rsidRPr="00CE649C">
        <w:rPr>
          <w:rFonts w:ascii="Times New Roman" w:hAnsi="Times New Roman" w:cs="Times New Roman"/>
          <w:color w:val="auto"/>
          <w:sz w:val="24"/>
          <w:szCs w:val="24"/>
        </w:rPr>
        <w:t xml:space="preserve">electronic. </w:t>
      </w:r>
      <w:r w:rsidR="00FA2EA3">
        <w:rPr>
          <w:rFonts w:ascii="Times New Roman" w:hAnsi="Times New Roman" w:cs="Times New Roman"/>
          <w:color w:val="auto"/>
          <w:sz w:val="24"/>
          <w:szCs w:val="24"/>
        </w:rPr>
        <w:t xml:space="preserve">The </w:t>
      </w:r>
      <w:r w:rsidR="00482E69">
        <w:rPr>
          <w:rFonts w:ascii="Times New Roman" w:hAnsi="Times New Roman" w:cs="Times New Roman"/>
          <w:color w:val="auto"/>
          <w:sz w:val="24"/>
          <w:szCs w:val="24"/>
        </w:rPr>
        <w:t>SFTP</w:t>
      </w:r>
      <w:r w:rsidR="00FA2EA3">
        <w:rPr>
          <w:rFonts w:ascii="Times New Roman" w:hAnsi="Times New Roman" w:cs="Times New Roman"/>
          <w:color w:val="auto"/>
          <w:sz w:val="24"/>
          <w:szCs w:val="24"/>
        </w:rPr>
        <w:t xml:space="preserve"> server reduces burden by allowing for recurring, automatic data transfer.</w:t>
      </w:r>
    </w:p>
    <w:p w:rsidR="00BD1BF2" w:rsidRPr="00CE649C" w14:paraId="7C79E9A8" w14:textId="77777777">
      <w:pPr>
        <w:pStyle w:val="NormalWeb"/>
        <w:rPr>
          <w:rFonts w:ascii="Times New Roman" w:hAnsi="Times New Roman" w:cs="Times New Roman"/>
        </w:rPr>
      </w:pPr>
      <w:r w:rsidRPr="00CE649C">
        <w:rPr>
          <w:rFonts w:ascii="Times New Roman" w:hAnsi="Times New Roman" w:cs="Times New Roman"/>
        </w:rPr>
        <w:t xml:space="preserve">4. </w:t>
      </w:r>
      <w:r w:rsidRPr="00CE649C">
        <w:rPr>
          <w:rFonts w:ascii="Times New Roman" w:hAnsi="Times New Roman" w:cs="Times New Roman"/>
          <w:u w:val="single"/>
        </w:rPr>
        <w:t>Efforts to identify duplication</w:t>
      </w:r>
      <w:r w:rsidRPr="00CE649C">
        <w:rPr>
          <w:rFonts w:ascii="Times New Roman" w:hAnsi="Times New Roman" w:cs="Times New Roman"/>
        </w:rPr>
        <w:t>:</w:t>
      </w:r>
    </w:p>
    <w:p w:rsidR="00BD1BF2" w:rsidRPr="00CE649C" w14:paraId="6C05DE5F" w14:textId="2236BB59">
      <w:r w:rsidRPr="00482E69">
        <w:t xml:space="preserve">These </w:t>
      </w:r>
      <w:r w:rsidRPr="00482E69" w:rsidR="00937433">
        <w:t xml:space="preserve">data </w:t>
      </w:r>
      <w:r w:rsidRPr="00482E69">
        <w:t xml:space="preserve">were not </w:t>
      </w:r>
      <w:r w:rsidRPr="00482E69" w:rsidR="00937433">
        <w:t xml:space="preserve">collected by the </w:t>
      </w:r>
      <w:r w:rsidRPr="00482E69" w:rsidR="009E6BDF">
        <w:t>US</w:t>
      </w:r>
      <w:r w:rsidRPr="00482E69" w:rsidR="00937433">
        <w:t>DOT</w:t>
      </w:r>
      <w:r w:rsidRPr="00482E69" w:rsidR="00FA2EA3">
        <w:t xml:space="preserve"> </w:t>
      </w:r>
      <w:r w:rsidRPr="00482E69">
        <w:t>prior to the start of the FLOW pilot effort in 2022</w:t>
      </w:r>
      <w:r w:rsidRPr="00482E69" w:rsidR="00170BA1">
        <w:t>.</w:t>
      </w:r>
      <w:r w:rsidRPr="00482E69" w:rsidR="00937433">
        <w:t xml:space="preserve"> </w:t>
      </w:r>
      <w:r w:rsidRPr="00482E69" w:rsidR="006E5F6A">
        <w:t>Need</w:t>
      </w:r>
      <w:r w:rsidRPr="00CE649C" w:rsidR="006E5F6A">
        <w:t xml:space="preserve"> for these data were identified by </w:t>
      </w:r>
      <w:r w:rsidRPr="00CE649C" w:rsidR="003E3A20">
        <w:t xml:space="preserve">the federal government and industry partners while unprecedented </w:t>
      </w:r>
      <w:r w:rsidRPr="00CE649C" w:rsidR="00FD31A2">
        <w:t xml:space="preserve">congestion </w:t>
      </w:r>
      <w:r w:rsidR="00E938A5">
        <w:t xml:space="preserve">challenged the supply chain </w:t>
      </w:r>
      <w:r w:rsidR="00516DED">
        <w:t xml:space="preserve">prior to the pilot </w:t>
      </w:r>
      <w:r w:rsidR="00516DED">
        <w:t>effort</w:t>
      </w:r>
      <w:r w:rsidRPr="00CE649C" w:rsidR="00FD31A2">
        <w:t xml:space="preserve">. </w:t>
      </w:r>
      <w:r w:rsidRPr="00CE649C" w:rsidR="00D22C0F">
        <w:t xml:space="preserve">Although other freight data are collected, </w:t>
      </w:r>
      <w:r w:rsidRPr="00CE649C" w:rsidR="002D43D4">
        <w:t xml:space="preserve">no data source can answer the </w:t>
      </w:r>
      <w:r w:rsidR="00516DED">
        <w:t xml:space="preserve">frequent </w:t>
      </w:r>
      <w:r w:rsidRPr="00CE649C" w:rsidR="002D43D4">
        <w:t xml:space="preserve">demand and capacity </w:t>
      </w:r>
      <w:r w:rsidRPr="00CE649C" w:rsidR="00325EC4">
        <w:t>data needs identified</w:t>
      </w:r>
      <w:r w:rsidRPr="00CE649C" w:rsidR="00CD68A3">
        <w:t xml:space="preserve">. </w:t>
      </w:r>
      <w:r w:rsidRPr="00CE649C" w:rsidR="00D969D8">
        <w:t xml:space="preserve"> </w:t>
      </w:r>
    </w:p>
    <w:p w:rsidR="00BD1BF2" w:rsidRPr="00CE649C" w14:paraId="3830C498" w14:textId="77777777">
      <w:pPr>
        <w:pStyle w:val="NormalWeb"/>
        <w:rPr>
          <w:rFonts w:ascii="Times New Roman" w:hAnsi="Times New Roman" w:cs="Times New Roman"/>
        </w:rPr>
      </w:pPr>
      <w:r w:rsidRPr="00CE649C">
        <w:rPr>
          <w:rFonts w:ascii="Times New Roman" w:hAnsi="Times New Roman" w:cs="Times New Roman"/>
        </w:rPr>
        <w:t xml:space="preserve">5. </w:t>
      </w:r>
      <w:r w:rsidRPr="00CE649C">
        <w:rPr>
          <w:rFonts w:ascii="Times New Roman" w:hAnsi="Times New Roman" w:cs="Times New Roman"/>
          <w:u w:val="single"/>
        </w:rPr>
        <w:t>Efforts to minimize the burden on small businesses</w:t>
      </w:r>
      <w:r w:rsidRPr="00CE649C">
        <w:rPr>
          <w:rFonts w:ascii="Times New Roman" w:hAnsi="Times New Roman" w:cs="Times New Roman"/>
        </w:rPr>
        <w:t>:</w:t>
      </w:r>
    </w:p>
    <w:p w:rsidR="00BD1BF2" w:rsidRPr="00CE649C" w14:paraId="41F2CC37" w14:textId="7DA6D9B9">
      <w:r>
        <w:t>This data collection program is expected to have a minimal impact on small businesses because FLOW receives data primarily from companies</w:t>
      </w:r>
      <w:r w:rsidR="006A4931">
        <w:t xml:space="preserve"> that exceed the thresholds</w:t>
      </w:r>
      <w:r>
        <w:t xml:space="preserve"> defined by </w:t>
      </w:r>
      <w:r w:rsidR="006A4931">
        <w:t>S</w:t>
      </w:r>
      <w:r>
        <w:t xml:space="preserve">mall </w:t>
      </w:r>
      <w:r w:rsidR="006A4931">
        <w:t>B</w:t>
      </w:r>
      <w:r>
        <w:t xml:space="preserve">usiness </w:t>
      </w:r>
      <w:r w:rsidR="006A4931">
        <w:t>A</w:t>
      </w:r>
      <w:r>
        <w:t>dministration</w:t>
      </w:r>
      <w:r w:rsidR="006A4931">
        <w:t>.</w:t>
      </w:r>
      <w:r>
        <w:t xml:space="preserve"> </w:t>
      </w:r>
    </w:p>
    <w:p w:rsidR="00BD1BF2" w:rsidRPr="00CE649C" w14:paraId="1A914162" w14:textId="77777777">
      <w:pPr>
        <w:pStyle w:val="NormalWeb"/>
        <w:rPr>
          <w:rFonts w:ascii="Times New Roman" w:hAnsi="Times New Roman" w:cs="Times New Roman"/>
        </w:rPr>
      </w:pPr>
      <w:r w:rsidRPr="00CE649C">
        <w:rPr>
          <w:rFonts w:ascii="Times New Roman" w:hAnsi="Times New Roman" w:cs="Times New Roman"/>
        </w:rPr>
        <w:t xml:space="preserve">6. </w:t>
      </w:r>
      <w:r w:rsidRPr="00CE649C">
        <w:rPr>
          <w:rFonts w:ascii="Times New Roman" w:hAnsi="Times New Roman" w:cs="Times New Roman"/>
          <w:u w:val="single"/>
        </w:rPr>
        <w:t>Impact of less frequent collection of information</w:t>
      </w:r>
      <w:r w:rsidRPr="00CE649C">
        <w:rPr>
          <w:rFonts w:ascii="Times New Roman" w:hAnsi="Times New Roman" w:cs="Times New Roman"/>
        </w:rPr>
        <w:t>:</w:t>
      </w:r>
    </w:p>
    <w:p w:rsidR="0085312C" w:rsidRPr="00CE649C" w:rsidP="00B92BE9" w14:paraId="199BB5B4" w14:textId="502959E8">
      <w:pPr>
        <w:pStyle w:val="NormalWeb"/>
        <w:spacing w:before="0" w:beforeAutospacing="0" w:after="0" w:afterAutospacing="0"/>
        <w:rPr>
          <w:rFonts w:ascii="Times New Roman" w:hAnsi="Times New Roman" w:cs="Times New Roman"/>
        </w:rPr>
      </w:pPr>
      <w:r>
        <w:rPr>
          <w:rFonts w:ascii="Times New Roman" w:hAnsi="Times New Roman" w:cs="Times New Roman"/>
        </w:rPr>
        <w:t xml:space="preserve">If the data were collected less frequently, the </w:t>
      </w:r>
      <w:r w:rsidR="00516DED">
        <w:rPr>
          <w:rFonts w:ascii="Times New Roman" w:hAnsi="Times New Roman" w:cs="Times New Roman"/>
        </w:rPr>
        <w:t>information</w:t>
      </w:r>
      <w:r>
        <w:rPr>
          <w:rFonts w:ascii="Times New Roman" w:hAnsi="Times New Roman" w:cs="Times New Roman"/>
        </w:rPr>
        <w:t xml:space="preserve"> would not be as timely and effective as leading indicator</w:t>
      </w:r>
      <w:r w:rsidR="00516DED">
        <w:rPr>
          <w:rFonts w:ascii="Times New Roman" w:hAnsi="Times New Roman" w:cs="Times New Roman"/>
        </w:rPr>
        <w:t>s of potential congestion risk</w:t>
      </w:r>
      <w:r>
        <w:rPr>
          <w:rFonts w:ascii="Times New Roman" w:hAnsi="Times New Roman" w:cs="Times New Roman"/>
        </w:rPr>
        <w:t xml:space="preserve">. Because of the automation, less frequent data collection does not reduce burden and would not benefit the program or participants. </w:t>
      </w:r>
      <w:r w:rsidR="00776EC7">
        <w:rPr>
          <w:rFonts w:ascii="Times New Roman" w:hAnsi="Times New Roman" w:cs="Times New Roman"/>
        </w:rPr>
        <w:t xml:space="preserve">Reduced frequency will </w:t>
      </w:r>
      <w:r w:rsidRPr="00E140AD" w:rsidR="0081627C">
        <w:rPr>
          <w:rFonts w:ascii="Times New Roman" w:hAnsi="Times New Roman" w:cs="Times New Roman"/>
        </w:rPr>
        <w:t xml:space="preserve">reduce the </w:t>
      </w:r>
      <w:r w:rsidR="00776EC7">
        <w:rPr>
          <w:rFonts w:ascii="Times New Roman" w:hAnsi="Times New Roman" w:cs="Times New Roman"/>
        </w:rPr>
        <w:t>US</w:t>
      </w:r>
      <w:r w:rsidRPr="00E140AD" w:rsidR="0081627C">
        <w:rPr>
          <w:rFonts w:ascii="Times New Roman" w:hAnsi="Times New Roman" w:cs="Times New Roman"/>
        </w:rPr>
        <w:t xml:space="preserve">DOT’s ability to </w:t>
      </w:r>
      <w:r w:rsidRPr="00E140AD" w:rsidR="00B46009">
        <w:rPr>
          <w:rFonts w:ascii="Times New Roman" w:hAnsi="Times New Roman" w:cs="Times New Roman"/>
        </w:rPr>
        <w:t xml:space="preserve">forecast </w:t>
      </w:r>
      <w:r w:rsidRPr="00E140AD" w:rsidR="005C005C">
        <w:rPr>
          <w:rFonts w:ascii="Times New Roman" w:hAnsi="Times New Roman" w:cs="Times New Roman"/>
        </w:rPr>
        <w:t xml:space="preserve">congestion in the supply chain </w:t>
      </w:r>
      <w:r w:rsidRPr="00E140AD" w:rsidR="007C0F13">
        <w:rPr>
          <w:rFonts w:ascii="Times New Roman" w:hAnsi="Times New Roman" w:cs="Times New Roman"/>
        </w:rPr>
        <w:t xml:space="preserve">and the </w:t>
      </w:r>
      <w:r w:rsidRPr="00E140AD" w:rsidR="009B0AA4">
        <w:rPr>
          <w:rFonts w:ascii="Times New Roman" w:hAnsi="Times New Roman" w:cs="Times New Roman"/>
        </w:rPr>
        <w:t>efficacy and value of the program.</w:t>
      </w:r>
    </w:p>
    <w:p w:rsidR="00995617" w:rsidRPr="00CE649C" w:rsidP="00995617" w14:paraId="6ED5C487" w14:textId="77777777"/>
    <w:p w:rsidR="00995617" w:rsidRPr="00E140AD" w:rsidP="00E140AD" w14:paraId="74458CB8" w14:textId="3DD5E74D">
      <w:pPr>
        <w:rPr>
          <w:u w:val="single"/>
        </w:rPr>
      </w:pPr>
      <w:r w:rsidRPr="00CE649C">
        <w:t xml:space="preserve">7. </w:t>
      </w:r>
      <w:r w:rsidRPr="00E140AD">
        <w:rPr>
          <w:u w:val="single"/>
        </w:rPr>
        <w:t>Explain any special circumstances that would cause an information collection to be conducted in a manner:</w:t>
      </w:r>
    </w:p>
    <w:p w:rsidR="00995617" w:rsidRPr="00776EC7" w:rsidP="00E140AD" w14:paraId="12957390" w14:textId="2B24CCEA">
      <w:pPr>
        <w:numPr>
          <w:ilvl w:val="0"/>
          <w:numId w:val="4"/>
        </w:numPr>
        <w:rPr>
          <w:u w:val="single"/>
        </w:rPr>
      </w:pPr>
      <w:r w:rsidRPr="00E140AD">
        <w:rPr>
          <w:u w:val="single"/>
        </w:rPr>
        <w:t>requiring respondents to report information to the agency more often than quarterly;</w:t>
      </w:r>
    </w:p>
    <w:p w:rsidR="00995617" w:rsidRPr="00776EC7" w:rsidP="00E140AD" w14:paraId="4B4120B2" w14:textId="5DBC4792">
      <w:pPr>
        <w:numPr>
          <w:ilvl w:val="0"/>
          <w:numId w:val="5"/>
        </w:numPr>
        <w:rPr>
          <w:u w:val="single"/>
        </w:rPr>
      </w:pPr>
      <w:r w:rsidRPr="00E140AD">
        <w:rPr>
          <w:u w:val="single"/>
        </w:rPr>
        <w:t>requiring respondents to prepare a written response to a collection of information in fewer than 30 days after receipt of it;</w:t>
      </w:r>
    </w:p>
    <w:p w:rsidR="00995617" w:rsidRPr="00776EC7" w:rsidP="00E140AD" w14:paraId="61F3CB18" w14:textId="511CDE37">
      <w:pPr>
        <w:numPr>
          <w:ilvl w:val="0"/>
          <w:numId w:val="6"/>
        </w:numPr>
        <w:rPr>
          <w:u w:val="single"/>
        </w:rPr>
      </w:pPr>
      <w:r w:rsidRPr="00E140AD">
        <w:rPr>
          <w:u w:val="single"/>
        </w:rPr>
        <w:t>requiring respondents to submit more than an original and two copies of any document;</w:t>
      </w:r>
    </w:p>
    <w:p w:rsidR="00995617" w:rsidRPr="00776EC7" w:rsidP="00E140AD" w14:paraId="3C28A2EC" w14:textId="4BF25A99">
      <w:pPr>
        <w:numPr>
          <w:ilvl w:val="0"/>
          <w:numId w:val="7"/>
        </w:numPr>
        <w:rPr>
          <w:u w:val="single"/>
        </w:rPr>
      </w:pPr>
      <w:r w:rsidRPr="00E140AD">
        <w:rPr>
          <w:u w:val="single"/>
        </w:rPr>
        <w:t>requiring respondents to retain records, other than health, government contracts, grant-in-aid, or tax records for more than 3 years;</w:t>
      </w:r>
    </w:p>
    <w:p w:rsidR="00995617" w:rsidRPr="00776EC7" w:rsidP="00E140AD" w14:paraId="3CED6A9A" w14:textId="64644145">
      <w:pPr>
        <w:numPr>
          <w:ilvl w:val="0"/>
          <w:numId w:val="8"/>
        </w:numPr>
        <w:rPr>
          <w:u w:val="single"/>
        </w:rPr>
      </w:pPr>
      <w:r w:rsidRPr="00E140AD">
        <w:rPr>
          <w:u w:val="single"/>
        </w:rPr>
        <w:t>in connection with a statistical survey, that is not designed to produce valid and reliable results that can be generalized to the universe of study;</w:t>
      </w:r>
    </w:p>
    <w:p w:rsidR="00995617" w:rsidRPr="00776EC7" w:rsidP="00E140AD" w14:paraId="7EA0543E" w14:textId="5064CBD4">
      <w:pPr>
        <w:numPr>
          <w:ilvl w:val="0"/>
          <w:numId w:val="9"/>
        </w:numPr>
        <w:rPr>
          <w:u w:val="single"/>
        </w:rPr>
      </w:pPr>
      <w:r w:rsidRPr="00E140AD">
        <w:rPr>
          <w:u w:val="single"/>
        </w:rPr>
        <w:t>requiring the use of statistical data classification that has not been reviewed and approved by OMB;</w:t>
      </w:r>
    </w:p>
    <w:p w:rsidR="00995617" w:rsidRPr="00776EC7" w:rsidP="00E140AD" w14:paraId="35A81864" w14:textId="1ABE2A26">
      <w:pPr>
        <w:numPr>
          <w:ilvl w:val="0"/>
          <w:numId w:val="10"/>
        </w:numPr>
        <w:rPr>
          <w:u w:val="single"/>
        </w:rPr>
      </w:pPr>
      <w:r w:rsidRPr="00E140AD">
        <w:rPr>
          <w:u w:val="single"/>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95617" w:rsidRPr="00CE649C" w:rsidP="00995617" w14:paraId="0CBC7538" w14:textId="77777777">
      <w:pPr>
        <w:numPr>
          <w:ilvl w:val="0"/>
          <w:numId w:val="11"/>
        </w:numPr>
        <w:rPr>
          <w:u w:val="single"/>
        </w:rPr>
      </w:pPr>
      <w:r w:rsidRPr="00E140AD">
        <w:rPr>
          <w:u w:val="single"/>
        </w:rPr>
        <w:t>requiring respondents to submit proprietary trade secrets, or other confidential information unless the agency can demonstrate that it has instituted procedures to protect the information’s confidentiality to the extent permitted by law.</w:t>
      </w:r>
    </w:p>
    <w:p w:rsidR="00995617" w:rsidRPr="00CE649C" w:rsidP="00995617" w14:paraId="53B61AAD" w14:textId="77777777">
      <w:pPr>
        <w:rPr>
          <w:u w:val="single"/>
        </w:rPr>
      </w:pPr>
    </w:p>
    <w:p w:rsidR="00482E69" w:rsidRPr="00776EC7" w:rsidP="00776EC7" w14:paraId="4D34F2C9" w14:textId="28D06042">
      <w:r w:rsidRPr="00CE649C">
        <w:t>There are no special circumstances that pertain to this information collection.</w:t>
      </w:r>
    </w:p>
    <w:p w:rsidR="005346BE" w:rsidP="005346BE" w14:paraId="36B1F23F" w14:textId="77777777">
      <w:pPr>
        <w:pStyle w:val="NormalWeb"/>
        <w:rPr>
          <w:rFonts w:ascii="Times New Roman" w:hAnsi="Times New Roman" w:cs="Times New Roman"/>
          <w:u w:val="single"/>
        </w:rPr>
      </w:pPr>
      <w:r w:rsidRPr="00CE649C">
        <w:rPr>
          <w:rFonts w:ascii="Times New Roman" w:hAnsi="Times New Roman" w:cs="Times New Roman"/>
        </w:rPr>
        <w:t>8</w:t>
      </w:r>
      <w:r w:rsidRPr="00CE649C" w:rsidR="00BD1BF2">
        <w:rPr>
          <w:rFonts w:ascii="Times New Roman" w:hAnsi="Times New Roman" w:cs="Times New Roman"/>
        </w:rPr>
        <w:t xml:space="preserve">. </w:t>
      </w:r>
      <w:r>
        <w:rPr>
          <w:rFonts w:ascii="Times New Roman" w:hAnsi="Times New Roman" w:cs="Times New Roman"/>
          <w:u w:val="single"/>
        </w:rPr>
        <w:t xml:space="preserve">If applicable, provide a copy and identify the date and page number of </w:t>
      </w:r>
      <w:r>
        <w:rPr>
          <w:rFonts w:ascii="Times New Roman" w:hAnsi="Times New Roman" w:cs="Times New Roman"/>
          <w:u w:val="single"/>
        </w:rPr>
        <w:t>publication</w:t>
      </w:r>
      <w:r>
        <w:rPr>
          <w:rFonts w:ascii="Times New Roman" w:hAnsi="Times New Roman" w:cs="Times New Roman"/>
          <w:u w:val="single"/>
        </w:rPr>
        <w:t xml:space="preserve"> in the Federal Register of the agency’s notice, </w:t>
      </w:r>
      <w:r w:rsidRPr="005346BE">
        <w:rPr>
          <w:rFonts w:ascii="Times New Roman" w:hAnsi="Times New Roman" w:cs="Times New Roman"/>
          <w:u w:val="single"/>
        </w:rPr>
        <w:t xml:space="preserve">required by 5 CFR 1320.8(d), soliciting </w:t>
      </w:r>
      <w:r w:rsidRPr="005346BE">
        <w:rPr>
          <w:rFonts w:ascii="Times New Roman" w:hAnsi="Times New Roman" w:cs="Times New Roman"/>
          <w:u w:val="single"/>
        </w:rPr>
        <w:t>comments on</w:t>
      </w:r>
      <w:r>
        <w:rPr>
          <w:rFonts w:ascii="Times New Roman" w:hAnsi="Times New Roman" w:cs="Times New Roman"/>
          <w:u w:val="single"/>
        </w:rPr>
        <w:t xml:space="preserve"> </w:t>
      </w:r>
      <w:r w:rsidRPr="005346BE">
        <w:rPr>
          <w:rFonts w:ascii="Times New Roman" w:hAnsi="Times New Roman" w:cs="Times New Roman"/>
          <w:u w:val="single"/>
        </w:rPr>
        <w:t>the information collection prior to submission to OMB. Summarize public comments</w:t>
      </w:r>
      <w:r>
        <w:rPr>
          <w:rFonts w:ascii="Times New Roman" w:hAnsi="Times New Roman" w:cs="Times New Roman"/>
          <w:u w:val="single"/>
        </w:rPr>
        <w:t xml:space="preserve"> </w:t>
      </w:r>
      <w:r w:rsidRPr="005346BE">
        <w:rPr>
          <w:rFonts w:ascii="Times New Roman" w:hAnsi="Times New Roman" w:cs="Times New Roman"/>
          <w:u w:val="single"/>
        </w:rPr>
        <w:t>received in response to that notice and describe actions taken by the agency in response to</w:t>
      </w:r>
      <w:r>
        <w:rPr>
          <w:rFonts w:ascii="Times New Roman" w:hAnsi="Times New Roman" w:cs="Times New Roman"/>
          <w:u w:val="single"/>
        </w:rPr>
        <w:t xml:space="preserve"> </w:t>
      </w:r>
      <w:r w:rsidRPr="005346BE">
        <w:rPr>
          <w:rFonts w:ascii="Times New Roman" w:hAnsi="Times New Roman" w:cs="Times New Roman"/>
          <w:u w:val="single"/>
        </w:rPr>
        <w:t>these comments. Specifically address comments received on cost and hour burden.</w:t>
      </w:r>
    </w:p>
    <w:p w:rsidR="005346BE" w:rsidRPr="005346BE" w:rsidP="005346BE" w14:paraId="1CC525AB" w14:textId="7D4CE118">
      <w:pPr>
        <w:pStyle w:val="NormalWeb"/>
        <w:rPr>
          <w:rFonts w:ascii="Times New Roman" w:hAnsi="Times New Roman" w:cs="Times New Roman"/>
          <w:u w:val="single"/>
        </w:rPr>
      </w:pPr>
      <w:r w:rsidRPr="005346BE">
        <w:rPr>
          <w:rFonts w:ascii="Times New Roman" w:hAnsi="Times New Roman" w:cs="Times New Roman"/>
          <w:u w:val="single"/>
        </w:rPr>
        <w:t>Describe efforts to consult with persons outside the agency to obtain their views on the</w:t>
      </w:r>
      <w:r>
        <w:rPr>
          <w:rFonts w:ascii="Times New Roman" w:hAnsi="Times New Roman" w:cs="Times New Roman"/>
          <w:u w:val="single"/>
        </w:rPr>
        <w:t xml:space="preserve"> </w:t>
      </w:r>
      <w:r w:rsidRPr="005346BE">
        <w:rPr>
          <w:rFonts w:ascii="Times New Roman" w:hAnsi="Times New Roman" w:cs="Times New Roman"/>
          <w:u w:val="single"/>
        </w:rPr>
        <w:t>availability of data, frequency of collection, the clarity of instructions and recordkeeping,</w:t>
      </w:r>
      <w:r>
        <w:rPr>
          <w:rFonts w:ascii="Times New Roman" w:hAnsi="Times New Roman" w:cs="Times New Roman"/>
          <w:u w:val="single"/>
        </w:rPr>
        <w:t xml:space="preserve"> </w:t>
      </w:r>
      <w:r w:rsidRPr="005346BE">
        <w:rPr>
          <w:rFonts w:ascii="Times New Roman" w:hAnsi="Times New Roman" w:cs="Times New Roman"/>
          <w:u w:val="single"/>
        </w:rPr>
        <w:t>disclosure, or reporting format (if any), and on the data elements to be recorded, disclosed, or</w:t>
      </w:r>
      <w:r>
        <w:rPr>
          <w:rFonts w:ascii="Times New Roman" w:hAnsi="Times New Roman" w:cs="Times New Roman"/>
          <w:u w:val="single"/>
        </w:rPr>
        <w:t xml:space="preserve"> </w:t>
      </w:r>
      <w:r w:rsidRPr="005346BE">
        <w:rPr>
          <w:rFonts w:ascii="Times New Roman" w:hAnsi="Times New Roman" w:cs="Times New Roman"/>
          <w:u w:val="single"/>
        </w:rPr>
        <w:t>reported.</w:t>
      </w:r>
    </w:p>
    <w:p w:rsidR="005346BE" w:rsidRPr="005346BE" w:rsidP="005346BE" w14:paraId="5BBB9F01" w14:textId="77777777">
      <w:pPr>
        <w:rPr>
          <w:u w:val="single"/>
        </w:rPr>
      </w:pPr>
      <w:r w:rsidRPr="005346BE">
        <w:rPr>
          <w:u w:val="single"/>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5346BE">
        <w:rPr>
          <w:u w:val="single"/>
        </w:rPr>
        <w:cr/>
      </w:r>
    </w:p>
    <w:p w:rsidR="005346BE" w:rsidP="005346BE" w14:paraId="77A63BDE" w14:textId="280A325A">
      <w:pPr>
        <w:rPr>
          <w:rFonts w:eastAsia="Arial Unicode MS"/>
        </w:rPr>
      </w:pPr>
      <w:r>
        <w:rPr>
          <w:rFonts w:eastAsia="Arial Unicode MS"/>
        </w:rPr>
        <w:t xml:space="preserve">A </w:t>
      </w:r>
      <w:r w:rsidR="00360B9E">
        <w:rPr>
          <w:rFonts w:eastAsia="Arial Unicode MS"/>
        </w:rPr>
        <w:t>Federal Register notice</w:t>
      </w:r>
      <w:r>
        <w:rPr>
          <w:rFonts w:eastAsia="Arial Unicode MS"/>
        </w:rPr>
        <w:t xml:space="preserve"> relevant to this collection</w:t>
      </w:r>
      <w:r>
        <w:rPr>
          <w:rFonts w:eastAsia="Arial Unicode MS"/>
        </w:rPr>
        <w:t xml:space="preserve"> was published March 2, 2026 (</w:t>
      </w:r>
      <w:r>
        <w:rPr>
          <w:color w:val="000000"/>
        </w:rPr>
        <w:t>91 FR 10198</w:t>
      </w:r>
      <w:r>
        <w:rPr>
          <w:rFonts w:eastAsia="Arial Unicode MS"/>
        </w:rPr>
        <w:t>)</w:t>
      </w:r>
      <w:r>
        <w:rPr>
          <w:rFonts w:eastAsia="Arial Unicode MS"/>
        </w:rPr>
        <w:t xml:space="preserve">. Two comments were received. BTS received a comment from a transportation logistics company which was deemed nonrelevant, as the comment did not include any input on the FLOW collection. The second comment </w:t>
      </w:r>
      <w:r>
        <w:rPr>
          <w:rFonts w:eastAsia="Arial Unicode MS"/>
        </w:rPr>
        <w:t xml:space="preserve">expressed support for the </w:t>
      </w:r>
      <w:r>
        <w:rPr>
          <w:rFonts w:eastAsia="Arial Unicode MS"/>
        </w:rPr>
        <w:t>collection</w:t>
      </w:r>
      <w:r>
        <w:rPr>
          <w:rFonts w:eastAsia="Arial Unicode MS"/>
        </w:rPr>
        <w:t xml:space="preserve"> and did not address cost and hour burden.</w:t>
      </w:r>
      <w:r>
        <w:rPr>
          <w:rFonts w:eastAsia="Arial Unicode MS"/>
        </w:rPr>
        <w:t xml:space="preserve"> The comment proposed additional metrics and signals that could be developed from the FLOW data to provide value to program participants. BTS appreciates these suggestions and will consider them in the development of additional analytics and models using the FLOW data.</w:t>
      </w:r>
    </w:p>
    <w:p w:rsidR="00BD1BF2" w:rsidRPr="00CE649C" w14:paraId="07E193CA" w14:textId="49BC702E">
      <w:pPr>
        <w:pStyle w:val="NormalWeb"/>
        <w:rPr>
          <w:rFonts w:ascii="Times New Roman" w:hAnsi="Times New Roman" w:cs="Times New Roman"/>
        </w:rPr>
      </w:pPr>
      <w:r w:rsidRPr="00CE649C">
        <w:rPr>
          <w:rFonts w:ascii="Times New Roman" w:hAnsi="Times New Roman" w:cs="Times New Roman"/>
        </w:rPr>
        <w:t xml:space="preserve">9. </w:t>
      </w:r>
      <w:r w:rsidRPr="00CE649C">
        <w:rPr>
          <w:rFonts w:ascii="Times New Roman" w:hAnsi="Times New Roman" w:cs="Times New Roman"/>
          <w:u w:val="single"/>
        </w:rPr>
        <w:t>Payments or gifts to respondents</w:t>
      </w:r>
      <w:r w:rsidRPr="00CE649C">
        <w:rPr>
          <w:rFonts w:ascii="Times New Roman" w:hAnsi="Times New Roman" w:cs="Times New Roman"/>
        </w:rPr>
        <w:t>:</w:t>
      </w:r>
    </w:p>
    <w:p w:rsidR="00BD1BF2" w:rsidRPr="00CE649C" w14:paraId="73EF5E95" w14:textId="77777777">
      <w:pPr>
        <w:pStyle w:val="BodyText"/>
        <w:rPr>
          <w:rFonts w:ascii="Times New Roman" w:hAnsi="Times New Roman" w:cs="Times New Roman"/>
          <w:color w:val="auto"/>
          <w:sz w:val="24"/>
          <w:szCs w:val="24"/>
        </w:rPr>
      </w:pPr>
      <w:r w:rsidRPr="00CE649C">
        <w:rPr>
          <w:rFonts w:ascii="Times New Roman" w:hAnsi="Times New Roman" w:cs="Times New Roman"/>
          <w:color w:val="auto"/>
          <w:sz w:val="24"/>
          <w:szCs w:val="24"/>
        </w:rPr>
        <w:t>No payments or gifts to respondents.</w:t>
      </w:r>
    </w:p>
    <w:p w:rsidR="00BD1BF2" w:rsidRPr="00CE649C" w14:paraId="410C6ECB" w14:textId="5D288121">
      <w:pPr>
        <w:pStyle w:val="NormalWeb"/>
        <w:rPr>
          <w:rFonts w:ascii="Times New Roman" w:hAnsi="Times New Roman" w:cs="Times New Roman"/>
        </w:rPr>
      </w:pPr>
      <w:r w:rsidRPr="00CE649C">
        <w:rPr>
          <w:rFonts w:ascii="Times New Roman" w:hAnsi="Times New Roman" w:cs="Times New Roman"/>
        </w:rPr>
        <w:t xml:space="preserve">10. </w:t>
      </w:r>
      <w:r w:rsidRPr="00CE649C">
        <w:rPr>
          <w:rFonts w:ascii="Times New Roman" w:hAnsi="Times New Roman" w:cs="Times New Roman"/>
          <w:u w:val="single"/>
        </w:rPr>
        <w:t>Assurance of confidentiality</w:t>
      </w:r>
      <w:r w:rsidRPr="00CE649C">
        <w:rPr>
          <w:rFonts w:ascii="Times New Roman" w:hAnsi="Times New Roman" w:cs="Times New Roman"/>
        </w:rPr>
        <w:t>:</w:t>
      </w:r>
    </w:p>
    <w:p w:rsidR="00776EC7" w:rsidP="00776EC7" w14:paraId="0A2A1082" w14:textId="1B13CAAF">
      <w:pPr>
        <w:spacing w:before="100" w:beforeAutospacing="1" w:after="100" w:afterAutospacing="1"/>
      </w:pPr>
      <w:r w:rsidRPr="00CE649C">
        <w:t xml:space="preserve">BTS will collect, store, process, and analyze the data while assuring data confidentiality. The information provided will be used for statistical purposes only, in accordance with the </w:t>
      </w:r>
      <w:r w:rsidRPr="00E140AD">
        <w:t xml:space="preserve">BTS confidentiality statute (49 U.S.C. § 6307) and the Confidential Information Protection and Statistical Efficiency Act (CIPSEA) of 2018 (Title III of the Foundations for Evidence-Based Policymaking Act of 2018, Pub. L. 115-435, codified </w:t>
      </w:r>
      <w:r w:rsidR="00516DED">
        <w:t>at</w:t>
      </w:r>
      <w:r w:rsidRPr="00E140AD">
        <w:t xml:space="preserve"> 44 U.S.C. </w:t>
      </w:r>
      <w:r w:rsidR="00516DED">
        <w:t>3561–3583).</w:t>
      </w:r>
      <w:r w:rsidRPr="00E140AD">
        <w:t xml:space="preserve"> </w:t>
      </w:r>
      <w:r>
        <w:t>In accordance with CIPSEA, information voluntarily submitted by industry partners will be used exclusively for statistical purposes and will not be disclosed in identifiable form except with the informed consent of the respondent. As applicable, BTS will apply appropriate disclosure avoidance methods</w:t>
      </w:r>
      <w:r w:rsidR="00BD19EB">
        <w:t xml:space="preserve"> associated with any publications or data releases</w:t>
      </w:r>
      <w:r>
        <w:t>.</w:t>
      </w:r>
    </w:p>
    <w:p w:rsidR="00BD1BF2" w:rsidRPr="00CE649C" w14:paraId="37038752" w14:textId="649B0777">
      <w:pPr>
        <w:pStyle w:val="NormalWeb"/>
        <w:rPr>
          <w:rFonts w:ascii="Times New Roman" w:hAnsi="Times New Roman" w:cs="Times New Roman"/>
        </w:rPr>
      </w:pPr>
      <w:r w:rsidRPr="00CE649C">
        <w:rPr>
          <w:rFonts w:ascii="Times New Roman" w:hAnsi="Times New Roman" w:cs="Times New Roman"/>
        </w:rPr>
        <w:t>1</w:t>
      </w:r>
      <w:r w:rsidRPr="00CE649C" w:rsidR="008F6EEC">
        <w:rPr>
          <w:rFonts w:ascii="Times New Roman" w:hAnsi="Times New Roman" w:cs="Times New Roman"/>
        </w:rPr>
        <w:t>1</w:t>
      </w:r>
      <w:r w:rsidRPr="00CE649C">
        <w:rPr>
          <w:rFonts w:ascii="Times New Roman" w:hAnsi="Times New Roman" w:cs="Times New Roman"/>
        </w:rPr>
        <w:t xml:space="preserve">. </w:t>
      </w:r>
      <w:r w:rsidRPr="00CE649C">
        <w:rPr>
          <w:rFonts w:ascii="Times New Roman" w:hAnsi="Times New Roman" w:cs="Times New Roman"/>
          <w:u w:val="single"/>
        </w:rPr>
        <w:t>Justification for collection of sensitive information</w:t>
      </w:r>
      <w:r w:rsidRPr="00CE649C">
        <w:rPr>
          <w:rFonts w:ascii="Times New Roman" w:hAnsi="Times New Roman" w:cs="Times New Roman"/>
        </w:rPr>
        <w:t>:</w:t>
      </w:r>
    </w:p>
    <w:p w:rsidR="00516DED" w:rsidP="00606EB6" w14:paraId="533D80B5" w14:textId="6E1372A4">
      <w:pPr>
        <w:pStyle w:val="BodyText"/>
        <w:rPr>
          <w:rFonts w:ascii="Times New Roman" w:hAnsi="Times New Roman" w:cs="Times New Roman"/>
          <w:color w:val="auto"/>
          <w:sz w:val="24"/>
          <w:szCs w:val="24"/>
        </w:rPr>
      </w:pPr>
      <w:r w:rsidRPr="00606EB6">
        <w:rPr>
          <w:rFonts w:ascii="Times New Roman" w:hAnsi="Times New Roman" w:cs="Times New Roman"/>
          <w:color w:val="auto"/>
          <w:sz w:val="24"/>
          <w:szCs w:val="24"/>
        </w:rPr>
        <w:t xml:space="preserve">The information we are collecting will be aggregated and </w:t>
      </w:r>
      <w:r w:rsidR="00715B90">
        <w:rPr>
          <w:rFonts w:ascii="Times New Roman" w:hAnsi="Times New Roman" w:cs="Times New Roman"/>
          <w:color w:val="auto"/>
          <w:sz w:val="24"/>
          <w:szCs w:val="24"/>
        </w:rPr>
        <w:t>de-identified</w:t>
      </w:r>
      <w:r w:rsidRPr="00606EB6">
        <w:rPr>
          <w:rFonts w:ascii="Times New Roman" w:hAnsi="Times New Roman" w:cs="Times New Roman"/>
          <w:color w:val="auto"/>
          <w:sz w:val="24"/>
          <w:szCs w:val="24"/>
        </w:rPr>
        <w:t xml:space="preserve">, meaning the data will not be associated with a specific entity or business. The information provided is protected by </w:t>
      </w:r>
      <w:r>
        <w:rPr>
          <w:rFonts w:ascii="Times New Roman" w:hAnsi="Times New Roman" w:cs="Times New Roman"/>
          <w:color w:val="auto"/>
          <w:sz w:val="24"/>
          <w:szCs w:val="24"/>
        </w:rPr>
        <w:t xml:space="preserve">CIPSEA, which </w:t>
      </w:r>
      <w:r w:rsidRPr="00606EB6">
        <w:rPr>
          <w:rFonts w:ascii="Times New Roman" w:hAnsi="Times New Roman" w:cs="Times New Roman"/>
          <w:color w:val="auto"/>
          <w:sz w:val="24"/>
          <w:szCs w:val="24"/>
        </w:rPr>
        <w:t xml:space="preserve">establishes uniform confidentiality protections for information collected for statistical purposes by </w:t>
      </w:r>
      <w:r>
        <w:rPr>
          <w:rFonts w:ascii="Times New Roman" w:hAnsi="Times New Roman" w:cs="Times New Roman"/>
          <w:color w:val="auto"/>
          <w:sz w:val="24"/>
          <w:szCs w:val="24"/>
        </w:rPr>
        <w:t>recognized</w:t>
      </w:r>
      <w:r w:rsidRPr="00606EB6">
        <w:rPr>
          <w:rFonts w:ascii="Times New Roman" w:hAnsi="Times New Roman" w:cs="Times New Roman"/>
          <w:color w:val="auto"/>
          <w:sz w:val="24"/>
          <w:szCs w:val="24"/>
        </w:rPr>
        <w:t xml:space="preserve"> statistical agencies</w:t>
      </w:r>
      <w:r>
        <w:rPr>
          <w:rFonts w:ascii="Times New Roman" w:hAnsi="Times New Roman" w:cs="Times New Roman"/>
          <w:color w:val="auto"/>
          <w:sz w:val="24"/>
          <w:szCs w:val="24"/>
        </w:rPr>
        <w:t xml:space="preserve"> and units</w:t>
      </w:r>
      <w:r w:rsidRPr="00606EB6">
        <w:rPr>
          <w:rFonts w:ascii="Times New Roman" w:hAnsi="Times New Roman" w:cs="Times New Roman"/>
          <w:color w:val="auto"/>
          <w:sz w:val="24"/>
          <w:szCs w:val="24"/>
        </w:rPr>
        <w:t>.</w:t>
      </w:r>
    </w:p>
    <w:p w:rsidR="00BD1BF2" w14:paraId="34672279" w14:textId="6D0BC982">
      <w:pPr>
        <w:pStyle w:val="NormalWeb"/>
        <w:rPr>
          <w:rFonts w:ascii="Times New Roman" w:hAnsi="Times New Roman" w:cs="Times New Roman"/>
        </w:rPr>
      </w:pPr>
      <w:r w:rsidRPr="00CE649C">
        <w:rPr>
          <w:rFonts w:ascii="Times New Roman" w:hAnsi="Times New Roman" w:cs="Times New Roman"/>
        </w:rPr>
        <w:t xml:space="preserve">12. </w:t>
      </w:r>
      <w:r w:rsidRPr="00CE649C">
        <w:rPr>
          <w:rFonts w:ascii="Times New Roman" w:hAnsi="Times New Roman" w:cs="Times New Roman"/>
          <w:u w:val="single"/>
        </w:rPr>
        <w:t>Estimate of burden hours for information requested</w:t>
      </w:r>
      <w:r w:rsidRPr="00CE649C">
        <w:rPr>
          <w:rFonts w:ascii="Times New Roman" w:hAnsi="Times New Roman" w:cs="Times New Roman"/>
        </w:rPr>
        <w:t>:</w:t>
      </w:r>
    </w:p>
    <w:p w:rsidR="006D765C" w:rsidP="006D765C" w14:paraId="4E35C87D" w14:textId="77777777">
      <w:pPr>
        <w:pStyle w:val="NormalWeb"/>
        <w:rPr>
          <w:rFonts w:ascii="Times New Roman" w:hAnsi="Times New Roman" w:cs="Times New Roman"/>
        </w:rPr>
      </w:pPr>
      <w:r>
        <w:rPr>
          <w:rFonts w:ascii="Times New Roman" w:hAnsi="Times New Roman" w:cs="Times New Roman"/>
        </w:rPr>
        <w:t xml:space="preserve">Approximately 90 companies have joined the FLOW program to date, and up to an additional 50 companies may join the program over the next three years. </w:t>
      </w:r>
      <w:r w:rsidRPr="006D765C">
        <w:rPr>
          <w:rFonts w:ascii="Times New Roman" w:hAnsi="Times New Roman" w:cs="Times New Roman"/>
        </w:rPr>
        <w:t>It is estimated that a FLOW participant will spend a maximum of six hours establishing the initial system connection and developing and testing the data file. Once established, participants may spend up to two hours annually on routine maintenance activities, including system connection maintenance or any necessary amendments to data files. Most participants transmit files on a scheduled, automated basis through secure file transfer protocol; no additional burden is estimated for these scheduled jobs. Participants may also submit files via upload to secure web portal on a weekly basis; up to 15 minutes per week or approximately 13 hours annually are estimated for these uploads. This additional manual burden is included in the total estimate, for a total annual burden estimate of 21 hours per participant or 2,940 hours total for up to 140 FLOW participants.</w:t>
      </w:r>
    </w:p>
    <w:p w:rsidR="006B54FF" w:rsidRPr="00CA76C0" w:rsidP="006D765C" w14:paraId="40362331" w14:textId="4059C05F">
      <w:pPr>
        <w:pStyle w:val="NormalWeb"/>
        <w:rPr>
          <w:rFonts w:ascii="Times New Roman" w:hAnsi="Times New Roman" w:cs="Times New Roman"/>
        </w:rPr>
      </w:pPr>
      <w:r w:rsidRPr="00CA76C0">
        <w:rPr>
          <w:rFonts w:ascii="Times New Roman" w:hAnsi="Times New Roman" w:cs="Times New Roman"/>
        </w:rPr>
        <w:t>The total burden hours are not expected to meaningfully vary between company types.</w:t>
      </w:r>
    </w:p>
    <w:p w:rsidR="009D5719" w14:paraId="09B7BCAE" w14:textId="02EF81BE">
      <w:pPr>
        <w:pStyle w:val="NormalWeb"/>
        <w:rPr>
          <w:rFonts w:ascii="Times New Roman" w:hAnsi="Times New Roman" w:cs="Times New Roman"/>
        </w:rPr>
      </w:pPr>
      <w:r w:rsidRPr="00CA76C0">
        <w:rPr>
          <w:rFonts w:ascii="Times New Roman" w:hAnsi="Times New Roman" w:cs="Times New Roman"/>
        </w:rPr>
        <w:t xml:space="preserve">We expect this work will be carried out </w:t>
      </w:r>
      <w:r w:rsidR="000E4486">
        <w:rPr>
          <w:rFonts w:ascii="Times New Roman" w:hAnsi="Times New Roman" w:cs="Times New Roman"/>
        </w:rPr>
        <w:t xml:space="preserve">primarily </w:t>
      </w:r>
      <w:r w:rsidRPr="00CA76C0">
        <w:rPr>
          <w:rFonts w:ascii="Times New Roman" w:hAnsi="Times New Roman" w:cs="Times New Roman"/>
        </w:rPr>
        <w:t xml:space="preserve">by transportation, storage, and distribution managers. </w:t>
      </w:r>
      <w:r w:rsidRPr="00CA76C0" w:rsidR="00753DC9">
        <w:rPr>
          <w:rFonts w:ascii="Times New Roman" w:hAnsi="Times New Roman" w:cs="Times New Roman"/>
        </w:rPr>
        <w:t>Wage information for this occupation type for each industry sector participating in the pilot phase is shown in the table below. Based on the mean wage of transportation, storage, and distribution managers in each sector and the number of participating companies in each sector</w:t>
      </w:r>
      <w:r w:rsidRPr="00CA76C0">
        <w:rPr>
          <w:rFonts w:ascii="Times New Roman" w:hAnsi="Times New Roman" w:cs="Times New Roman"/>
        </w:rPr>
        <w:t>,</w:t>
      </w:r>
      <w:r w:rsidRPr="00CA76C0" w:rsidR="00753DC9">
        <w:rPr>
          <w:rFonts w:ascii="Times New Roman" w:hAnsi="Times New Roman" w:cs="Times New Roman"/>
        </w:rPr>
        <w:t xml:space="preserve"> the total cost for the burden hours for this collection is estimated as $</w:t>
      </w:r>
      <w:r w:rsidRPr="00360B9E">
        <w:rPr>
          <w:rFonts w:ascii="Times New Roman" w:hAnsi="Times New Roman" w:cs="Times New Roman"/>
        </w:rPr>
        <w:t>172,618</w:t>
      </w:r>
      <w:r w:rsidRPr="00CA76C0" w:rsidR="00753DC9">
        <w:rPr>
          <w:rFonts w:ascii="Times New Roman" w:hAnsi="Times New Roman" w:cs="Times New Roman"/>
        </w:rPr>
        <w:t>.</w:t>
      </w:r>
    </w:p>
    <w:p w:rsidR="00C01863" w:rsidP="00753DC9" w14:paraId="3AD3E425" w14:textId="3574BBDC">
      <w:pPr>
        <w:pStyle w:val="BodyText"/>
        <w:keepNext/>
        <w:rPr>
          <w:rFonts w:ascii="Times New Roman" w:hAnsi="Times New Roman" w:cs="Times New Roman"/>
          <w:color w:val="auto"/>
          <w:sz w:val="24"/>
          <w:szCs w:val="24"/>
        </w:rPr>
      </w:pPr>
      <w:r>
        <w:rPr>
          <w:rFonts w:ascii="Times New Roman" w:hAnsi="Times New Roman" w:cs="Times New Roman"/>
          <w:color w:val="auto"/>
          <w:sz w:val="24"/>
          <w:szCs w:val="24"/>
        </w:rPr>
        <w:t>Occupational Employment and Wage Statistics</w:t>
      </w:r>
      <w:r w:rsidR="00360B9E">
        <w:rPr>
          <w:rFonts w:ascii="Times New Roman" w:hAnsi="Times New Roman" w:cs="Times New Roman"/>
          <w:color w:val="auto"/>
          <w:sz w:val="24"/>
          <w:szCs w:val="24"/>
        </w:rPr>
        <w:t>, May 202</w:t>
      </w:r>
      <w:r>
        <w:rPr>
          <w:rFonts w:ascii="Times New Roman" w:hAnsi="Times New Roman" w:cs="Times New Roman"/>
          <w:color w:val="auto"/>
          <w:sz w:val="24"/>
          <w:szCs w:val="24"/>
        </w:rPr>
        <w:t>3</w:t>
      </w:r>
    </w:p>
    <w:p w:rsidR="00C01863" w:rsidP="00753DC9" w14:paraId="3E30EBD8" w14:textId="5A57C687">
      <w:pPr>
        <w:pStyle w:val="BodyText"/>
        <w:keepNext/>
        <w:rPr>
          <w:rFonts w:ascii="Times New Roman" w:hAnsi="Times New Roman" w:cs="Times New Roman"/>
          <w:color w:val="auto"/>
          <w:sz w:val="24"/>
          <w:szCs w:val="24"/>
        </w:rPr>
      </w:pPr>
      <w:r>
        <w:rPr>
          <w:rFonts w:ascii="Times New Roman" w:hAnsi="Times New Roman" w:cs="Times New Roman"/>
          <w:color w:val="auto"/>
          <w:sz w:val="24"/>
          <w:szCs w:val="24"/>
        </w:rPr>
        <w:t>Occupation: Transportation, Storage, and Distribution Managers (SOC Code 11</w:t>
      </w:r>
      <w:r w:rsidR="006D765C">
        <w:rPr>
          <w:rFonts w:ascii="Times New Roman" w:hAnsi="Times New Roman" w:cs="Times New Roman"/>
          <w:color w:val="auto"/>
          <w:sz w:val="24"/>
          <w:szCs w:val="24"/>
        </w:rPr>
        <w:t>-</w:t>
      </w:r>
      <w:r>
        <w:rPr>
          <w:rFonts w:ascii="Times New Roman" w:hAnsi="Times New Roman" w:cs="Times New Roman"/>
          <w:color w:val="auto"/>
          <w:sz w:val="24"/>
          <w:szCs w:val="24"/>
        </w:rPr>
        <w:t>3071)</w:t>
      </w:r>
    </w:p>
    <w:tbl>
      <w:tblPr>
        <w:tblStyle w:val="TableGrid"/>
        <w:tblW w:w="8785" w:type="dxa"/>
        <w:tblLayout w:type="fixed"/>
        <w:tblCellMar>
          <w:left w:w="29" w:type="dxa"/>
          <w:right w:w="29" w:type="dxa"/>
        </w:tblCellMar>
        <w:tblLook w:val="04A0"/>
      </w:tblPr>
      <w:tblGrid>
        <w:gridCol w:w="1885"/>
        <w:gridCol w:w="578"/>
        <w:gridCol w:w="466"/>
        <w:gridCol w:w="620"/>
        <w:gridCol w:w="738"/>
        <w:gridCol w:w="620"/>
        <w:gridCol w:w="620"/>
        <w:gridCol w:w="698"/>
        <w:gridCol w:w="621"/>
        <w:gridCol w:w="620"/>
        <w:gridCol w:w="620"/>
        <w:gridCol w:w="699"/>
      </w:tblGrid>
      <w:tr w14:paraId="7C88DCA1" w14:textId="6DF9715B" w:rsidTr="00DA34A5">
        <w:tblPrEx>
          <w:tblW w:w="8785" w:type="dxa"/>
          <w:tblLayout w:type="fixed"/>
          <w:tblCellMar>
            <w:left w:w="29" w:type="dxa"/>
            <w:right w:w="29" w:type="dxa"/>
          </w:tblCellMar>
          <w:tblLook w:val="04A0"/>
        </w:tblPrEx>
        <w:trPr>
          <w:cantSplit/>
          <w:trHeight w:val="1844"/>
        </w:trPr>
        <w:tc>
          <w:tcPr>
            <w:tcW w:w="1885" w:type="dxa"/>
            <w:shd w:val="clear" w:color="auto" w:fill="D9D9D9" w:themeFill="background1" w:themeFillShade="D9"/>
            <w:vAlign w:val="bottom"/>
            <w:hideMark/>
          </w:tcPr>
          <w:p w:rsidR="00A96743" w:rsidRPr="00F438D7" w:rsidP="00753DC9" w14:paraId="12B3A205" w14:textId="79D9926D">
            <w:pPr>
              <w:pStyle w:val="BodyText"/>
              <w:keepNext/>
              <w:keepLines/>
              <w:jc w:val="center"/>
              <w:rPr>
                <w:rFonts w:ascii="Times New Roman" w:hAnsi="Times New Roman" w:cs="Times New Roman"/>
                <w:color w:val="auto"/>
                <w:sz w:val="16"/>
                <w:szCs w:val="16"/>
              </w:rPr>
            </w:pPr>
            <w:r w:rsidRPr="00F438D7">
              <w:rPr>
                <w:rFonts w:ascii="Times New Roman" w:hAnsi="Times New Roman" w:cs="Times New Roman"/>
                <w:color w:val="auto"/>
                <w:sz w:val="16"/>
                <w:szCs w:val="16"/>
              </w:rPr>
              <w:t>Occupation</w:t>
            </w:r>
          </w:p>
        </w:tc>
        <w:tc>
          <w:tcPr>
            <w:tcW w:w="578" w:type="dxa"/>
            <w:shd w:val="clear" w:color="auto" w:fill="D9D9D9" w:themeFill="background1" w:themeFillShade="D9"/>
            <w:textDirection w:val="btLr"/>
            <w:vAlign w:val="center"/>
            <w:hideMark/>
          </w:tcPr>
          <w:p w:rsidR="00A96743" w:rsidRPr="00F438D7" w:rsidP="00753DC9" w14:paraId="105B4953" w14:textId="77777777">
            <w:pPr>
              <w:pStyle w:val="BodyText"/>
              <w:keepNext/>
              <w:keepLines/>
              <w:ind w:left="113" w:right="113"/>
              <w:rPr>
                <w:rFonts w:ascii="Times New Roman" w:hAnsi="Times New Roman" w:cs="Times New Roman"/>
                <w:color w:val="auto"/>
                <w:sz w:val="16"/>
                <w:szCs w:val="16"/>
              </w:rPr>
            </w:pPr>
            <w:r w:rsidRPr="00F438D7">
              <w:rPr>
                <w:rFonts w:ascii="Times New Roman" w:hAnsi="Times New Roman" w:cs="Times New Roman"/>
                <w:color w:val="auto"/>
                <w:sz w:val="16"/>
                <w:szCs w:val="16"/>
              </w:rPr>
              <w:t>Employment</w:t>
            </w:r>
            <w:r w:rsidRPr="00F438D7">
              <w:rPr>
                <w:rFonts w:ascii="Times New Roman" w:hAnsi="Times New Roman" w:cs="Times New Roman"/>
                <w:color w:val="auto"/>
                <w:sz w:val="16"/>
                <w:szCs w:val="16"/>
                <w:vertAlign w:val="superscript"/>
              </w:rPr>
              <w:t>(1)</w:t>
            </w:r>
          </w:p>
        </w:tc>
        <w:tc>
          <w:tcPr>
            <w:tcW w:w="466" w:type="dxa"/>
            <w:shd w:val="clear" w:color="auto" w:fill="D9D9D9" w:themeFill="background1" w:themeFillShade="D9"/>
            <w:textDirection w:val="btLr"/>
            <w:vAlign w:val="center"/>
            <w:hideMark/>
          </w:tcPr>
          <w:p w:rsidR="00A96743" w:rsidRPr="00F438D7" w:rsidP="00753DC9" w14:paraId="1918AEC6" w14:textId="77777777">
            <w:pPr>
              <w:pStyle w:val="BodyText"/>
              <w:keepNext/>
              <w:keepLines/>
              <w:ind w:left="113" w:right="113"/>
              <w:rPr>
                <w:rFonts w:ascii="Times New Roman" w:hAnsi="Times New Roman" w:cs="Times New Roman"/>
                <w:color w:val="auto"/>
                <w:sz w:val="16"/>
                <w:szCs w:val="16"/>
              </w:rPr>
            </w:pPr>
            <w:r w:rsidRPr="00F438D7">
              <w:rPr>
                <w:rFonts w:ascii="Times New Roman" w:hAnsi="Times New Roman" w:cs="Times New Roman"/>
                <w:color w:val="auto"/>
                <w:sz w:val="16"/>
                <w:szCs w:val="16"/>
              </w:rPr>
              <w:t>Employment percent relative standard error</w:t>
            </w:r>
            <w:r w:rsidRPr="00F438D7">
              <w:rPr>
                <w:rFonts w:ascii="Times New Roman" w:hAnsi="Times New Roman" w:cs="Times New Roman"/>
                <w:color w:val="auto"/>
                <w:sz w:val="16"/>
                <w:szCs w:val="16"/>
                <w:vertAlign w:val="superscript"/>
              </w:rPr>
              <w:t>(3)</w:t>
            </w:r>
          </w:p>
        </w:tc>
        <w:tc>
          <w:tcPr>
            <w:tcW w:w="620" w:type="dxa"/>
            <w:shd w:val="clear" w:color="auto" w:fill="D9D9D9" w:themeFill="background1" w:themeFillShade="D9"/>
            <w:textDirection w:val="btLr"/>
            <w:vAlign w:val="center"/>
            <w:hideMark/>
          </w:tcPr>
          <w:p w:rsidR="00A96743" w:rsidRPr="00F438D7" w:rsidP="00753DC9" w14:paraId="62F5AF8E" w14:textId="77777777">
            <w:pPr>
              <w:pStyle w:val="BodyText"/>
              <w:keepNext/>
              <w:keepLines/>
              <w:ind w:left="113" w:right="113"/>
              <w:rPr>
                <w:rFonts w:ascii="Times New Roman" w:hAnsi="Times New Roman" w:cs="Times New Roman"/>
                <w:color w:val="auto"/>
                <w:sz w:val="16"/>
                <w:szCs w:val="16"/>
              </w:rPr>
            </w:pPr>
            <w:r w:rsidRPr="00F438D7">
              <w:rPr>
                <w:rFonts w:ascii="Times New Roman" w:hAnsi="Times New Roman" w:cs="Times New Roman"/>
                <w:color w:val="auto"/>
                <w:sz w:val="16"/>
                <w:szCs w:val="16"/>
              </w:rPr>
              <w:t>Hourly mean wage</w:t>
            </w:r>
          </w:p>
        </w:tc>
        <w:tc>
          <w:tcPr>
            <w:tcW w:w="738" w:type="dxa"/>
            <w:shd w:val="clear" w:color="auto" w:fill="D9D9D9" w:themeFill="background1" w:themeFillShade="D9"/>
            <w:textDirection w:val="btLr"/>
            <w:vAlign w:val="center"/>
            <w:hideMark/>
          </w:tcPr>
          <w:p w:rsidR="00A96743" w:rsidRPr="00F438D7" w:rsidP="00753DC9" w14:paraId="065CBB52" w14:textId="77777777">
            <w:pPr>
              <w:pStyle w:val="BodyText"/>
              <w:keepNext/>
              <w:keepLines/>
              <w:ind w:left="113" w:right="113"/>
              <w:rPr>
                <w:rFonts w:ascii="Times New Roman" w:hAnsi="Times New Roman" w:cs="Times New Roman"/>
                <w:color w:val="auto"/>
                <w:sz w:val="16"/>
                <w:szCs w:val="16"/>
              </w:rPr>
            </w:pPr>
            <w:r w:rsidRPr="00F438D7">
              <w:rPr>
                <w:rFonts w:ascii="Times New Roman" w:hAnsi="Times New Roman" w:cs="Times New Roman"/>
                <w:color w:val="auto"/>
                <w:sz w:val="16"/>
                <w:szCs w:val="16"/>
              </w:rPr>
              <w:t>Annual mean wage</w:t>
            </w:r>
            <w:r w:rsidRPr="00F438D7">
              <w:rPr>
                <w:rFonts w:ascii="Times New Roman" w:hAnsi="Times New Roman" w:cs="Times New Roman"/>
                <w:color w:val="auto"/>
                <w:sz w:val="16"/>
                <w:szCs w:val="16"/>
                <w:vertAlign w:val="superscript"/>
              </w:rPr>
              <w:t>(2)</w:t>
            </w:r>
          </w:p>
        </w:tc>
        <w:tc>
          <w:tcPr>
            <w:tcW w:w="620" w:type="dxa"/>
            <w:shd w:val="clear" w:color="auto" w:fill="D9D9D9" w:themeFill="background1" w:themeFillShade="D9"/>
            <w:textDirection w:val="btLr"/>
            <w:vAlign w:val="center"/>
            <w:hideMark/>
          </w:tcPr>
          <w:p w:rsidR="00A96743" w:rsidRPr="00F438D7" w:rsidP="00753DC9" w14:paraId="2E8AFF5F" w14:textId="77777777">
            <w:pPr>
              <w:pStyle w:val="BodyText"/>
              <w:keepNext/>
              <w:keepLines/>
              <w:ind w:left="113" w:right="113"/>
              <w:rPr>
                <w:rFonts w:ascii="Times New Roman" w:hAnsi="Times New Roman" w:cs="Times New Roman"/>
                <w:color w:val="auto"/>
                <w:sz w:val="16"/>
                <w:szCs w:val="16"/>
              </w:rPr>
            </w:pPr>
            <w:r w:rsidRPr="00F438D7">
              <w:rPr>
                <w:rFonts w:ascii="Times New Roman" w:hAnsi="Times New Roman" w:cs="Times New Roman"/>
                <w:color w:val="auto"/>
                <w:sz w:val="16"/>
                <w:szCs w:val="16"/>
              </w:rPr>
              <w:t>Wage percent relative standard error</w:t>
            </w:r>
            <w:r w:rsidRPr="00F438D7">
              <w:rPr>
                <w:rFonts w:ascii="Times New Roman" w:hAnsi="Times New Roman" w:cs="Times New Roman"/>
                <w:color w:val="auto"/>
                <w:sz w:val="16"/>
                <w:szCs w:val="16"/>
                <w:vertAlign w:val="superscript"/>
              </w:rPr>
              <w:t>(3)</w:t>
            </w:r>
          </w:p>
        </w:tc>
        <w:tc>
          <w:tcPr>
            <w:tcW w:w="620" w:type="dxa"/>
            <w:shd w:val="clear" w:color="auto" w:fill="D9D9D9" w:themeFill="background1" w:themeFillShade="D9"/>
            <w:textDirection w:val="btLr"/>
            <w:vAlign w:val="center"/>
            <w:hideMark/>
          </w:tcPr>
          <w:p w:rsidR="00A96743" w:rsidRPr="00F438D7" w:rsidP="00753DC9" w14:paraId="2573BD66" w14:textId="77777777">
            <w:pPr>
              <w:pStyle w:val="BodyText"/>
              <w:keepNext/>
              <w:keepLines/>
              <w:ind w:left="113" w:right="113"/>
              <w:rPr>
                <w:rFonts w:ascii="Times New Roman" w:hAnsi="Times New Roman" w:cs="Times New Roman"/>
                <w:color w:val="auto"/>
                <w:sz w:val="16"/>
                <w:szCs w:val="16"/>
              </w:rPr>
            </w:pPr>
            <w:r w:rsidRPr="00F438D7">
              <w:rPr>
                <w:rFonts w:ascii="Times New Roman" w:hAnsi="Times New Roman" w:cs="Times New Roman"/>
                <w:color w:val="auto"/>
                <w:sz w:val="16"/>
                <w:szCs w:val="16"/>
              </w:rPr>
              <w:t>Hourly median wage</w:t>
            </w:r>
          </w:p>
        </w:tc>
        <w:tc>
          <w:tcPr>
            <w:tcW w:w="698" w:type="dxa"/>
            <w:shd w:val="clear" w:color="auto" w:fill="D9D9D9" w:themeFill="background1" w:themeFillShade="D9"/>
            <w:textDirection w:val="btLr"/>
            <w:vAlign w:val="center"/>
            <w:hideMark/>
          </w:tcPr>
          <w:p w:rsidR="00A96743" w:rsidRPr="00F438D7" w:rsidP="00753DC9" w14:paraId="6435BC62" w14:textId="77777777">
            <w:pPr>
              <w:pStyle w:val="BodyText"/>
              <w:keepNext/>
              <w:keepLines/>
              <w:ind w:left="113" w:right="113"/>
              <w:rPr>
                <w:rFonts w:ascii="Times New Roman" w:hAnsi="Times New Roman" w:cs="Times New Roman"/>
                <w:color w:val="auto"/>
                <w:sz w:val="16"/>
                <w:szCs w:val="16"/>
              </w:rPr>
            </w:pPr>
            <w:r w:rsidRPr="00F438D7">
              <w:rPr>
                <w:rFonts w:ascii="Times New Roman" w:hAnsi="Times New Roman" w:cs="Times New Roman"/>
                <w:color w:val="auto"/>
                <w:sz w:val="16"/>
                <w:szCs w:val="16"/>
              </w:rPr>
              <w:t>Annual median wage</w:t>
            </w:r>
            <w:r w:rsidRPr="00F438D7">
              <w:rPr>
                <w:rFonts w:ascii="Times New Roman" w:hAnsi="Times New Roman" w:cs="Times New Roman"/>
                <w:color w:val="auto"/>
                <w:sz w:val="16"/>
                <w:szCs w:val="16"/>
                <w:vertAlign w:val="superscript"/>
              </w:rPr>
              <w:t>(2)</w:t>
            </w:r>
          </w:p>
        </w:tc>
        <w:tc>
          <w:tcPr>
            <w:tcW w:w="621" w:type="dxa"/>
            <w:textDirection w:val="btLr"/>
            <w:vAlign w:val="center"/>
          </w:tcPr>
          <w:p w:rsidR="00A96743" w:rsidRPr="00753DC9" w:rsidP="00753DC9" w14:paraId="60CA62FC" w14:textId="2E1DFA3C">
            <w:pPr>
              <w:pStyle w:val="BodyText"/>
              <w:keepNext/>
              <w:keepLines/>
              <w:ind w:left="113" w:right="113"/>
              <w:rPr>
                <w:rFonts w:ascii="Times New Roman" w:hAnsi="Times New Roman" w:cs="Times New Roman"/>
                <w:color w:val="auto"/>
                <w:sz w:val="16"/>
                <w:szCs w:val="16"/>
              </w:rPr>
            </w:pPr>
            <w:r w:rsidRPr="00753DC9">
              <w:rPr>
                <w:rFonts w:ascii="Times New Roman" w:hAnsi="Times New Roman" w:cs="Times New Roman"/>
                <w:color w:val="auto"/>
                <w:sz w:val="16"/>
                <w:szCs w:val="16"/>
              </w:rPr>
              <w:t>Expected Number of Respondents</w:t>
            </w:r>
          </w:p>
        </w:tc>
        <w:tc>
          <w:tcPr>
            <w:tcW w:w="620" w:type="dxa"/>
            <w:textDirection w:val="btLr"/>
            <w:vAlign w:val="center"/>
          </w:tcPr>
          <w:p w:rsidR="00A96743" w:rsidRPr="00753DC9" w:rsidP="00753DC9" w14:paraId="528B1326" w14:textId="6E82E0EA">
            <w:pPr>
              <w:pStyle w:val="BodyText"/>
              <w:keepNext/>
              <w:keepLines/>
              <w:ind w:left="113" w:right="113"/>
              <w:rPr>
                <w:rFonts w:ascii="Times New Roman" w:hAnsi="Times New Roman" w:cs="Times New Roman"/>
                <w:color w:val="auto"/>
                <w:sz w:val="16"/>
                <w:szCs w:val="16"/>
              </w:rPr>
            </w:pPr>
            <w:r w:rsidRPr="00753DC9">
              <w:rPr>
                <w:rFonts w:ascii="Times New Roman" w:hAnsi="Times New Roman" w:cs="Times New Roman"/>
                <w:color w:val="auto"/>
                <w:sz w:val="16"/>
                <w:szCs w:val="16"/>
              </w:rPr>
              <w:t>Expected Burden Hours per Response</w:t>
            </w:r>
          </w:p>
        </w:tc>
        <w:tc>
          <w:tcPr>
            <w:tcW w:w="620" w:type="dxa"/>
            <w:textDirection w:val="btLr"/>
            <w:vAlign w:val="center"/>
          </w:tcPr>
          <w:p w:rsidR="00A96743" w:rsidRPr="00753DC9" w:rsidP="00753DC9" w14:paraId="2F8B46F9" w14:textId="30E3F64D">
            <w:pPr>
              <w:pStyle w:val="BodyText"/>
              <w:keepNext/>
              <w:keepLines/>
              <w:ind w:left="113" w:right="113"/>
              <w:rPr>
                <w:rFonts w:ascii="Times New Roman" w:hAnsi="Times New Roman" w:cs="Times New Roman"/>
                <w:color w:val="auto"/>
                <w:sz w:val="16"/>
                <w:szCs w:val="16"/>
              </w:rPr>
            </w:pPr>
            <w:r w:rsidRPr="00753DC9">
              <w:rPr>
                <w:rFonts w:ascii="Times New Roman" w:hAnsi="Times New Roman" w:cs="Times New Roman"/>
                <w:color w:val="auto"/>
                <w:sz w:val="16"/>
                <w:szCs w:val="16"/>
              </w:rPr>
              <w:t>Total Burden Hours</w:t>
            </w:r>
          </w:p>
        </w:tc>
        <w:tc>
          <w:tcPr>
            <w:tcW w:w="699" w:type="dxa"/>
            <w:textDirection w:val="btLr"/>
            <w:vAlign w:val="center"/>
          </w:tcPr>
          <w:p w:rsidR="00A96743" w:rsidRPr="00753DC9" w:rsidP="00753DC9" w14:paraId="5BD091A3" w14:textId="1D9D6128">
            <w:pPr>
              <w:pStyle w:val="BodyText"/>
              <w:keepNext/>
              <w:keepLines/>
              <w:ind w:left="113" w:right="113"/>
              <w:rPr>
                <w:rFonts w:ascii="Times New Roman" w:hAnsi="Times New Roman" w:cs="Times New Roman"/>
                <w:color w:val="auto"/>
                <w:sz w:val="16"/>
                <w:szCs w:val="16"/>
              </w:rPr>
            </w:pPr>
            <w:r w:rsidRPr="00753DC9">
              <w:rPr>
                <w:rFonts w:ascii="Times New Roman" w:hAnsi="Times New Roman" w:cs="Times New Roman"/>
                <w:color w:val="auto"/>
                <w:sz w:val="16"/>
                <w:szCs w:val="16"/>
              </w:rPr>
              <w:t>Total Effort Cost</w:t>
            </w:r>
          </w:p>
        </w:tc>
      </w:tr>
      <w:tr w14:paraId="5D8E6B96" w14:textId="215F9D63" w:rsidTr="00DA34A5">
        <w:tblPrEx>
          <w:tblW w:w="8785" w:type="dxa"/>
          <w:tblLayout w:type="fixed"/>
          <w:tblCellMar>
            <w:left w:w="29" w:type="dxa"/>
            <w:right w:w="29" w:type="dxa"/>
          </w:tblCellMar>
          <w:tblLook w:val="04A0"/>
        </w:tblPrEx>
        <w:trPr>
          <w:trHeight w:val="20"/>
        </w:trPr>
        <w:tc>
          <w:tcPr>
            <w:tcW w:w="1885" w:type="dxa"/>
            <w:shd w:val="clear" w:color="auto" w:fill="D9D9D9" w:themeFill="background1" w:themeFillShade="D9"/>
            <w:vAlign w:val="center"/>
            <w:hideMark/>
          </w:tcPr>
          <w:p w:rsidR="00DA34A5" w:rsidRPr="00F438D7" w:rsidP="00DA34A5" w14:paraId="709FABB8" w14:textId="77777777">
            <w:pPr>
              <w:pStyle w:val="BodyText"/>
              <w:keepNext/>
              <w:keepLines/>
              <w:rPr>
                <w:rFonts w:ascii="Times New Roman" w:hAnsi="Times New Roman" w:cs="Times New Roman"/>
                <w:color w:val="auto"/>
                <w:sz w:val="16"/>
                <w:szCs w:val="16"/>
              </w:rPr>
            </w:pPr>
            <w:r w:rsidRPr="00F438D7">
              <w:rPr>
                <w:rFonts w:ascii="Times New Roman" w:hAnsi="Times New Roman" w:cs="Times New Roman"/>
                <w:color w:val="auto"/>
                <w:sz w:val="16"/>
                <w:szCs w:val="16"/>
              </w:rPr>
              <w:t>Food and Beverage Stores (4451 and 4452 only)(4450A1)</w:t>
            </w:r>
          </w:p>
        </w:tc>
        <w:tc>
          <w:tcPr>
            <w:tcW w:w="578" w:type="dxa"/>
            <w:shd w:val="clear" w:color="auto" w:fill="D9D9D9" w:themeFill="background1" w:themeFillShade="D9"/>
            <w:vAlign w:val="center"/>
            <w:hideMark/>
          </w:tcPr>
          <w:p w:rsidR="00DA34A5" w:rsidRPr="00F438D7" w:rsidP="00DA34A5" w14:paraId="388BA59C" w14:textId="58DA5BDE">
            <w:pPr>
              <w:pStyle w:val="BodyText"/>
              <w:keepNext/>
              <w:keepLines/>
              <w:jc w:val="center"/>
              <w:rPr>
                <w:rFonts w:ascii="Times New Roman" w:hAnsi="Times New Roman" w:cs="Times New Roman"/>
                <w:color w:val="auto"/>
                <w:sz w:val="16"/>
                <w:szCs w:val="16"/>
              </w:rPr>
            </w:pPr>
            <w:r w:rsidRPr="00C66157">
              <w:rPr>
                <w:rFonts w:ascii="Times New Roman" w:hAnsi="Times New Roman" w:cs="Times New Roman"/>
                <w:color w:val="auto"/>
                <w:sz w:val="16"/>
                <w:szCs w:val="16"/>
              </w:rPr>
              <w:t>460</w:t>
            </w:r>
          </w:p>
        </w:tc>
        <w:tc>
          <w:tcPr>
            <w:tcW w:w="466" w:type="dxa"/>
            <w:shd w:val="clear" w:color="auto" w:fill="D9D9D9" w:themeFill="background1" w:themeFillShade="D9"/>
            <w:vAlign w:val="center"/>
            <w:hideMark/>
          </w:tcPr>
          <w:p w:rsidR="00DA34A5" w:rsidRPr="00F438D7" w:rsidP="00DA34A5" w14:paraId="605D1D93" w14:textId="67392984">
            <w:pPr>
              <w:pStyle w:val="BodyText"/>
              <w:keepNext/>
              <w:keepLines/>
              <w:jc w:val="center"/>
              <w:rPr>
                <w:rFonts w:ascii="Times New Roman" w:hAnsi="Times New Roman" w:cs="Times New Roman"/>
                <w:color w:val="auto"/>
                <w:sz w:val="16"/>
                <w:szCs w:val="16"/>
              </w:rPr>
            </w:pPr>
            <w:r w:rsidRPr="00C66157">
              <w:rPr>
                <w:rFonts w:ascii="Times New Roman" w:hAnsi="Times New Roman" w:cs="Times New Roman"/>
                <w:color w:val="auto"/>
                <w:sz w:val="16"/>
                <w:szCs w:val="16"/>
              </w:rPr>
              <w:t>26.8</w:t>
            </w:r>
          </w:p>
        </w:tc>
        <w:tc>
          <w:tcPr>
            <w:tcW w:w="620" w:type="dxa"/>
            <w:shd w:val="clear" w:color="auto" w:fill="D9D9D9" w:themeFill="background1" w:themeFillShade="D9"/>
            <w:vAlign w:val="center"/>
            <w:hideMark/>
          </w:tcPr>
          <w:p w:rsidR="00DA34A5" w:rsidRPr="00F438D7" w:rsidP="00DA34A5" w14:paraId="6F446A50" w14:textId="1474ADF6">
            <w:pPr>
              <w:pStyle w:val="BodyText"/>
              <w:keepNext/>
              <w:keepLines/>
              <w:jc w:val="center"/>
              <w:rPr>
                <w:rFonts w:ascii="Times New Roman" w:hAnsi="Times New Roman" w:cs="Times New Roman"/>
                <w:color w:val="auto"/>
                <w:sz w:val="16"/>
                <w:szCs w:val="16"/>
              </w:rPr>
            </w:pPr>
            <w:r w:rsidRPr="00C66157">
              <w:rPr>
                <w:rFonts w:ascii="Times New Roman" w:hAnsi="Times New Roman" w:cs="Times New Roman"/>
                <w:color w:val="auto"/>
                <w:sz w:val="16"/>
                <w:szCs w:val="16"/>
              </w:rPr>
              <w:t>$46.49</w:t>
            </w:r>
          </w:p>
        </w:tc>
        <w:tc>
          <w:tcPr>
            <w:tcW w:w="738" w:type="dxa"/>
            <w:shd w:val="clear" w:color="auto" w:fill="D9D9D9" w:themeFill="background1" w:themeFillShade="D9"/>
            <w:vAlign w:val="center"/>
            <w:hideMark/>
          </w:tcPr>
          <w:p w:rsidR="00DA34A5" w:rsidRPr="00F438D7" w:rsidP="00DA34A5" w14:paraId="2EAF7E11" w14:textId="20E8925B">
            <w:pPr>
              <w:pStyle w:val="BodyText"/>
              <w:keepNext/>
              <w:keepLines/>
              <w:jc w:val="center"/>
              <w:rPr>
                <w:rFonts w:ascii="Times New Roman" w:hAnsi="Times New Roman" w:cs="Times New Roman"/>
                <w:color w:val="auto"/>
                <w:sz w:val="16"/>
                <w:szCs w:val="16"/>
              </w:rPr>
            </w:pPr>
            <w:r w:rsidRPr="00C66157">
              <w:rPr>
                <w:rFonts w:ascii="Times New Roman" w:hAnsi="Times New Roman" w:cs="Times New Roman"/>
                <w:color w:val="auto"/>
                <w:sz w:val="16"/>
                <w:szCs w:val="16"/>
              </w:rPr>
              <w:t>$96,700</w:t>
            </w:r>
          </w:p>
        </w:tc>
        <w:tc>
          <w:tcPr>
            <w:tcW w:w="620" w:type="dxa"/>
            <w:shd w:val="clear" w:color="auto" w:fill="D9D9D9" w:themeFill="background1" w:themeFillShade="D9"/>
            <w:vAlign w:val="center"/>
            <w:hideMark/>
          </w:tcPr>
          <w:p w:rsidR="00DA34A5" w:rsidRPr="00F438D7" w:rsidP="00DA34A5" w14:paraId="1D842786" w14:textId="5562535D">
            <w:pPr>
              <w:pStyle w:val="BodyText"/>
              <w:keepNext/>
              <w:keepLines/>
              <w:jc w:val="center"/>
              <w:rPr>
                <w:rFonts w:ascii="Times New Roman" w:hAnsi="Times New Roman" w:cs="Times New Roman"/>
                <w:color w:val="auto"/>
                <w:sz w:val="16"/>
                <w:szCs w:val="16"/>
              </w:rPr>
            </w:pPr>
            <w:r w:rsidRPr="00C66157">
              <w:rPr>
                <w:rFonts w:ascii="Times New Roman" w:hAnsi="Times New Roman" w:cs="Times New Roman"/>
                <w:color w:val="auto"/>
                <w:sz w:val="16"/>
                <w:szCs w:val="16"/>
              </w:rPr>
              <w:t>7.0</w:t>
            </w:r>
          </w:p>
        </w:tc>
        <w:tc>
          <w:tcPr>
            <w:tcW w:w="620" w:type="dxa"/>
            <w:shd w:val="clear" w:color="auto" w:fill="D9D9D9" w:themeFill="background1" w:themeFillShade="D9"/>
            <w:vAlign w:val="center"/>
            <w:hideMark/>
          </w:tcPr>
          <w:p w:rsidR="00DA34A5" w:rsidRPr="00DA34A5" w:rsidP="00DA34A5" w14:paraId="71ECEEE2" w14:textId="451F0FFA">
            <w:pPr>
              <w:pStyle w:val="BodyText"/>
              <w:keepNext/>
              <w:keepLines/>
              <w:jc w:val="center"/>
              <w:rPr>
                <w:rFonts w:ascii="Times New Roman" w:hAnsi="Times New Roman" w:cs="Times New Roman"/>
                <w:color w:val="auto"/>
                <w:sz w:val="16"/>
                <w:szCs w:val="16"/>
              </w:rPr>
            </w:pPr>
            <w:r w:rsidRPr="00DA34A5">
              <w:rPr>
                <w:rFonts w:ascii="Times New Roman" w:hAnsi="Times New Roman" w:cs="Times New Roman"/>
                <w:color w:val="auto"/>
                <w:sz w:val="16"/>
                <w:szCs w:val="16"/>
              </w:rPr>
              <w:t>$47.44</w:t>
            </w:r>
          </w:p>
        </w:tc>
        <w:tc>
          <w:tcPr>
            <w:tcW w:w="698" w:type="dxa"/>
            <w:shd w:val="clear" w:color="auto" w:fill="D9D9D9" w:themeFill="background1" w:themeFillShade="D9"/>
            <w:vAlign w:val="center"/>
            <w:hideMark/>
          </w:tcPr>
          <w:p w:rsidR="00DA34A5" w:rsidRPr="00DA34A5" w:rsidP="00DA34A5" w14:paraId="29953E94" w14:textId="01A4381B">
            <w:pPr>
              <w:pStyle w:val="BodyText"/>
              <w:keepNext/>
              <w:keepLines/>
              <w:jc w:val="center"/>
              <w:rPr>
                <w:rFonts w:ascii="Times New Roman" w:hAnsi="Times New Roman" w:cs="Times New Roman"/>
                <w:color w:val="auto"/>
                <w:sz w:val="16"/>
                <w:szCs w:val="16"/>
              </w:rPr>
            </w:pPr>
            <w:r w:rsidRPr="00DA34A5">
              <w:rPr>
                <w:rFonts w:ascii="Times New Roman" w:hAnsi="Times New Roman" w:cs="Times New Roman"/>
                <w:color w:val="auto"/>
                <w:sz w:val="16"/>
                <w:szCs w:val="16"/>
              </w:rPr>
              <w:t>$98,670</w:t>
            </w:r>
          </w:p>
        </w:tc>
        <w:tc>
          <w:tcPr>
            <w:tcW w:w="621" w:type="dxa"/>
            <w:vAlign w:val="center"/>
          </w:tcPr>
          <w:p w:rsidR="00DA34A5" w:rsidRPr="00DA34A5" w:rsidP="00DA34A5" w14:paraId="65DFAEAA" w14:textId="6D6A8E21">
            <w:pPr>
              <w:jc w:val="center"/>
              <w:rPr>
                <w:sz w:val="16"/>
                <w:szCs w:val="16"/>
              </w:rPr>
            </w:pPr>
            <w:r w:rsidRPr="00DA34A5">
              <w:rPr>
                <w:sz w:val="16"/>
                <w:szCs w:val="16"/>
              </w:rPr>
              <w:t>30</w:t>
            </w:r>
          </w:p>
        </w:tc>
        <w:tc>
          <w:tcPr>
            <w:tcW w:w="620" w:type="dxa"/>
            <w:vAlign w:val="center"/>
          </w:tcPr>
          <w:p w:rsidR="00DA34A5" w:rsidRPr="00DA34A5" w:rsidP="00DA34A5" w14:paraId="6D385514" w14:textId="1FA895B0">
            <w:pPr>
              <w:jc w:val="center"/>
              <w:rPr>
                <w:sz w:val="16"/>
                <w:szCs w:val="16"/>
              </w:rPr>
            </w:pPr>
            <w:r w:rsidRPr="00DA34A5">
              <w:rPr>
                <w:sz w:val="16"/>
                <w:szCs w:val="16"/>
              </w:rPr>
              <w:t>21</w:t>
            </w:r>
          </w:p>
        </w:tc>
        <w:tc>
          <w:tcPr>
            <w:tcW w:w="620" w:type="dxa"/>
            <w:vAlign w:val="center"/>
          </w:tcPr>
          <w:p w:rsidR="00DA34A5" w:rsidRPr="00DA34A5" w:rsidP="00DA34A5" w14:paraId="5BEBF829" w14:textId="44FC8FF6">
            <w:pPr>
              <w:jc w:val="center"/>
              <w:rPr>
                <w:sz w:val="16"/>
                <w:szCs w:val="16"/>
              </w:rPr>
            </w:pPr>
            <w:r w:rsidRPr="00DA34A5">
              <w:rPr>
                <w:sz w:val="16"/>
                <w:szCs w:val="16"/>
              </w:rPr>
              <w:t>630</w:t>
            </w:r>
          </w:p>
        </w:tc>
        <w:tc>
          <w:tcPr>
            <w:tcW w:w="699" w:type="dxa"/>
            <w:vAlign w:val="center"/>
          </w:tcPr>
          <w:p w:rsidR="00DA34A5" w:rsidRPr="00DA34A5" w:rsidP="00DA34A5" w14:paraId="6C0EF581" w14:textId="2BC380BB">
            <w:pPr>
              <w:jc w:val="center"/>
              <w:rPr>
                <w:sz w:val="16"/>
                <w:szCs w:val="16"/>
              </w:rPr>
            </w:pPr>
            <w:r w:rsidRPr="00DA34A5">
              <w:rPr>
                <w:sz w:val="16"/>
                <w:szCs w:val="16"/>
              </w:rPr>
              <w:t>$29,289</w:t>
            </w:r>
          </w:p>
        </w:tc>
      </w:tr>
      <w:tr w14:paraId="35EFA144" w14:textId="7D271467" w:rsidTr="00DA34A5">
        <w:tblPrEx>
          <w:tblW w:w="8785" w:type="dxa"/>
          <w:tblLayout w:type="fixed"/>
          <w:tblCellMar>
            <w:left w:w="29" w:type="dxa"/>
            <w:right w:w="29" w:type="dxa"/>
          </w:tblCellMar>
          <w:tblLook w:val="04A0"/>
        </w:tblPrEx>
        <w:trPr>
          <w:trHeight w:val="20"/>
        </w:trPr>
        <w:tc>
          <w:tcPr>
            <w:tcW w:w="1885" w:type="dxa"/>
            <w:shd w:val="clear" w:color="auto" w:fill="D9D9D9" w:themeFill="background1" w:themeFillShade="D9"/>
            <w:vAlign w:val="center"/>
            <w:hideMark/>
          </w:tcPr>
          <w:p w:rsidR="00DA34A5" w:rsidRPr="00F438D7" w:rsidP="00DA34A5" w14:paraId="3BC23FB2" w14:textId="5577B3D5">
            <w:pPr>
              <w:pStyle w:val="BodyText"/>
              <w:keepNext/>
              <w:keepLines/>
              <w:rPr>
                <w:rFonts w:ascii="Times New Roman" w:hAnsi="Times New Roman" w:cs="Times New Roman"/>
                <w:color w:val="auto"/>
                <w:sz w:val="16"/>
                <w:szCs w:val="16"/>
              </w:rPr>
            </w:pPr>
            <w:r w:rsidRPr="00F438D7">
              <w:rPr>
                <w:rFonts w:ascii="Times New Roman" w:hAnsi="Times New Roman" w:cs="Times New Roman"/>
                <w:color w:val="auto"/>
                <w:sz w:val="16"/>
                <w:szCs w:val="16"/>
              </w:rPr>
              <w:t xml:space="preserve">General Merchandise </w:t>
            </w:r>
            <w:r>
              <w:rPr>
                <w:rFonts w:ascii="Times New Roman" w:hAnsi="Times New Roman" w:cs="Times New Roman"/>
                <w:color w:val="auto"/>
                <w:sz w:val="16"/>
                <w:szCs w:val="16"/>
              </w:rPr>
              <w:t>Retailers</w:t>
            </w:r>
            <w:r w:rsidRPr="00F438D7">
              <w:rPr>
                <w:rFonts w:ascii="Times New Roman" w:hAnsi="Times New Roman" w:cs="Times New Roman"/>
                <w:color w:val="auto"/>
                <w:sz w:val="16"/>
                <w:szCs w:val="16"/>
              </w:rPr>
              <w:t>(45</w:t>
            </w:r>
            <w:r>
              <w:rPr>
                <w:rFonts w:ascii="Times New Roman" w:hAnsi="Times New Roman" w:cs="Times New Roman"/>
                <w:color w:val="auto"/>
                <w:sz w:val="16"/>
                <w:szCs w:val="16"/>
              </w:rPr>
              <w:t>5</w:t>
            </w:r>
            <w:r w:rsidRPr="00F438D7">
              <w:rPr>
                <w:rFonts w:ascii="Times New Roman" w:hAnsi="Times New Roman" w:cs="Times New Roman"/>
                <w:color w:val="auto"/>
                <w:sz w:val="16"/>
                <w:szCs w:val="16"/>
              </w:rPr>
              <w:t>000)</w:t>
            </w:r>
          </w:p>
        </w:tc>
        <w:tc>
          <w:tcPr>
            <w:tcW w:w="578" w:type="dxa"/>
            <w:shd w:val="clear" w:color="auto" w:fill="D9D9D9" w:themeFill="background1" w:themeFillShade="D9"/>
            <w:vAlign w:val="center"/>
            <w:hideMark/>
          </w:tcPr>
          <w:p w:rsidR="00DA34A5" w:rsidRPr="00F438D7" w:rsidP="00DA34A5" w14:paraId="26126037" w14:textId="34CED9B9">
            <w:pPr>
              <w:pStyle w:val="BodyText"/>
              <w:keepNext/>
              <w:keepLines/>
              <w:jc w:val="center"/>
              <w:rPr>
                <w:rFonts w:ascii="Times New Roman" w:hAnsi="Times New Roman" w:cs="Times New Roman"/>
                <w:color w:val="auto"/>
                <w:sz w:val="16"/>
                <w:szCs w:val="16"/>
              </w:rPr>
            </w:pPr>
            <w:r w:rsidRPr="00C66157">
              <w:rPr>
                <w:rFonts w:ascii="Times New Roman" w:hAnsi="Times New Roman" w:cs="Times New Roman"/>
                <w:color w:val="auto"/>
                <w:sz w:val="16"/>
                <w:szCs w:val="16"/>
              </w:rPr>
              <w:t>2,370</w:t>
            </w:r>
          </w:p>
        </w:tc>
        <w:tc>
          <w:tcPr>
            <w:tcW w:w="466" w:type="dxa"/>
            <w:shd w:val="clear" w:color="auto" w:fill="D9D9D9" w:themeFill="background1" w:themeFillShade="D9"/>
            <w:vAlign w:val="center"/>
            <w:hideMark/>
          </w:tcPr>
          <w:p w:rsidR="00DA34A5" w:rsidRPr="00F438D7" w:rsidP="00DA34A5" w14:paraId="2A01DB93" w14:textId="27BDE121">
            <w:pPr>
              <w:pStyle w:val="BodyText"/>
              <w:keepNext/>
              <w:keepLines/>
              <w:jc w:val="center"/>
              <w:rPr>
                <w:rFonts w:ascii="Times New Roman" w:hAnsi="Times New Roman" w:cs="Times New Roman"/>
                <w:color w:val="auto"/>
                <w:sz w:val="16"/>
                <w:szCs w:val="16"/>
              </w:rPr>
            </w:pPr>
            <w:r w:rsidRPr="00C66157">
              <w:rPr>
                <w:rFonts w:ascii="Times New Roman" w:hAnsi="Times New Roman" w:cs="Times New Roman"/>
                <w:color w:val="auto"/>
                <w:sz w:val="16"/>
                <w:szCs w:val="16"/>
              </w:rPr>
              <w:t>31.0</w:t>
            </w:r>
          </w:p>
        </w:tc>
        <w:tc>
          <w:tcPr>
            <w:tcW w:w="620" w:type="dxa"/>
            <w:shd w:val="clear" w:color="auto" w:fill="D9D9D9" w:themeFill="background1" w:themeFillShade="D9"/>
            <w:vAlign w:val="center"/>
            <w:hideMark/>
          </w:tcPr>
          <w:p w:rsidR="00DA34A5" w:rsidRPr="00F438D7" w:rsidP="00DA34A5" w14:paraId="245155B8" w14:textId="7BD6DFCD">
            <w:pPr>
              <w:pStyle w:val="BodyText"/>
              <w:keepNext/>
              <w:keepLines/>
              <w:jc w:val="center"/>
              <w:rPr>
                <w:rFonts w:ascii="Times New Roman" w:hAnsi="Times New Roman" w:cs="Times New Roman"/>
                <w:color w:val="auto"/>
                <w:sz w:val="16"/>
                <w:szCs w:val="16"/>
              </w:rPr>
            </w:pPr>
            <w:r w:rsidRPr="00C66157">
              <w:rPr>
                <w:rFonts w:ascii="Times New Roman" w:hAnsi="Times New Roman" w:cs="Times New Roman"/>
                <w:color w:val="auto"/>
                <w:sz w:val="16"/>
                <w:szCs w:val="16"/>
              </w:rPr>
              <w:t>$58.48</w:t>
            </w:r>
          </w:p>
        </w:tc>
        <w:tc>
          <w:tcPr>
            <w:tcW w:w="738" w:type="dxa"/>
            <w:shd w:val="clear" w:color="auto" w:fill="D9D9D9" w:themeFill="background1" w:themeFillShade="D9"/>
            <w:vAlign w:val="center"/>
            <w:hideMark/>
          </w:tcPr>
          <w:p w:rsidR="00DA34A5" w:rsidRPr="00F438D7" w:rsidP="00DA34A5" w14:paraId="5F5239FA" w14:textId="38853897">
            <w:pPr>
              <w:pStyle w:val="BodyText"/>
              <w:keepNext/>
              <w:keepLines/>
              <w:jc w:val="center"/>
              <w:rPr>
                <w:rFonts w:ascii="Times New Roman" w:hAnsi="Times New Roman" w:cs="Times New Roman"/>
                <w:color w:val="auto"/>
                <w:sz w:val="16"/>
                <w:szCs w:val="16"/>
              </w:rPr>
            </w:pPr>
            <w:r w:rsidRPr="00C66157">
              <w:rPr>
                <w:rFonts w:ascii="Times New Roman" w:hAnsi="Times New Roman" w:cs="Times New Roman"/>
                <w:color w:val="auto"/>
                <w:sz w:val="16"/>
                <w:szCs w:val="16"/>
              </w:rPr>
              <w:t>$121,630</w:t>
            </w:r>
          </w:p>
        </w:tc>
        <w:tc>
          <w:tcPr>
            <w:tcW w:w="620" w:type="dxa"/>
            <w:shd w:val="clear" w:color="auto" w:fill="D9D9D9" w:themeFill="background1" w:themeFillShade="D9"/>
            <w:vAlign w:val="center"/>
            <w:hideMark/>
          </w:tcPr>
          <w:p w:rsidR="00DA34A5" w:rsidRPr="00F438D7" w:rsidP="00DA34A5" w14:paraId="70870642" w14:textId="3D31D2AF">
            <w:pPr>
              <w:pStyle w:val="BodyText"/>
              <w:keepNext/>
              <w:keepLines/>
              <w:jc w:val="center"/>
              <w:rPr>
                <w:rFonts w:ascii="Times New Roman" w:hAnsi="Times New Roman" w:cs="Times New Roman"/>
                <w:color w:val="auto"/>
                <w:sz w:val="16"/>
                <w:szCs w:val="16"/>
              </w:rPr>
            </w:pPr>
            <w:r w:rsidRPr="00C66157">
              <w:rPr>
                <w:rFonts w:ascii="Times New Roman" w:hAnsi="Times New Roman" w:cs="Times New Roman"/>
                <w:color w:val="auto"/>
                <w:sz w:val="16"/>
                <w:szCs w:val="16"/>
              </w:rPr>
              <w:t>17.0</w:t>
            </w:r>
          </w:p>
        </w:tc>
        <w:tc>
          <w:tcPr>
            <w:tcW w:w="620" w:type="dxa"/>
            <w:shd w:val="clear" w:color="auto" w:fill="D9D9D9" w:themeFill="background1" w:themeFillShade="D9"/>
            <w:vAlign w:val="center"/>
            <w:hideMark/>
          </w:tcPr>
          <w:p w:rsidR="00DA34A5" w:rsidRPr="00DA34A5" w:rsidP="00DA34A5" w14:paraId="0707F509" w14:textId="56B4F3BB">
            <w:pPr>
              <w:pStyle w:val="BodyText"/>
              <w:keepNext/>
              <w:keepLines/>
              <w:jc w:val="center"/>
              <w:rPr>
                <w:rFonts w:ascii="Times New Roman" w:hAnsi="Times New Roman" w:cs="Times New Roman"/>
                <w:color w:val="auto"/>
                <w:sz w:val="16"/>
                <w:szCs w:val="16"/>
              </w:rPr>
            </w:pPr>
            <w:r w:rsidRPr="00DA34A5">
              <w:rPr>
                <w:rFonts w:ascii="Times New Roman" w:hAnsi="Times New Roman" w:cs="Times New Roman"/>
                <w:color w:val="auto"/>
                <w:sz w:val="16"/>
                <w:szCs w:val="16"/>
              </w:rPr>
              <w:t>$65.27</w:t>
            </w:r>
          </w:p>
        </w:tc>
        <w:tc>
          <w:tcPr>
            <w:tcW w:w="698" w:type="dxa"/>
            <w:shd w:val="clear" w:color="auto" w:fill="D9D9D9" w:themeFill="background1" w:themeFillShade="D9"/>
            <w:vAlign w:val="center"/>
            <w:hideMark/>
          </w:tcPr>
          <w:p w:rsidR="00DA34A5" w:rsidRPr="00DA34A5" w:rsidP="00DA34A5" w14:paraId="575012D7" w14:textId="3A005204">
            <w:pPr>
              <w:pStyle w:val="BodyText"/>
              <w:keepNext/>
              <w:keepLines/>
              <w:jc w:val="center"/>
              <w:rPr>
                <w:rFonts w:ascii="Times New Roman" w:hAnsi="Times New Roman" w:cs="Times New Roman"/>
                <w:color w:val="auto"/>
                <w:sz w:val="16"/>
                <w:szCs w:val="16"/>
              </w:rPr>
            </w:pPr>
            <w:r w:rsidRPr="00DA34A5">
              <w:rPr>
                <w:rFonts w:ascii="Times New Roman" w:hAnsi="Times New Roman" w:cs="Times New Roman"/>
                <w:color w:val="auto"/>
                <w:sz w:val="16"/>
                <w:szCs w:val="16"/>
              </w:rPr>
              <w:t>$135,770</w:t>
            </w:r>
          </w:p>
        </w:tc>
        <w:tc>
          <w:tcPr>
            <w:tcW w:w="621" w:type="dxa"/>
            <w:vAlign w:val="center"/>
          </w:tcPr>
          <w:p w:rsidR="00DA34A5" w:rsidRPr="00DA34A5" w:rsidP="00DA34A5" w14:paraId="1D06E6C5" w14:textId="3C989B0B">
            <w:pPr>
              <w:jc w:val="center"/>
              <w:rPr>
                <w:sz w:val="16"/>
                <w:szCs w:val="16"/>
              </w:rPr>
            </w:pPr>
            <w:r w:rsidRPr="00DA34A5">
              <w:rPr>
                <w:sz w:val="16"/>
                <w:szCs w:val="16"/>
              </w:rPr>
              <w:t>30</w:t>
            </w:r>
          </w:p>
        </w:tc>
        <w:tc>
          <w:tcPr>
            <w:tcW w:w="620" w:type="dxa"/>
            <w:vAlign w:val="center"/>
          </w:tcPr>
          <w:p w:rsidR="00DA34A5" w:rsidRPr="00DA34A5" w:rsidP="00DA34A5" w14:paraId="109C462D" w14:textId="75EB432F">
            <w:pPr>
              <w:jc w:val="center"/>
              <w:rPr>
                <w:sz w:val="16"/>
                <w:szCs w:val="16"/>
              </w:rPr>
            </w:pPr>
            <w:r w:rsidRPr="00DA34A5">
              <w:rPr>
                <w:sz w:val="16"/>
                <w:szCs w:val="16"/>
              </w:rPr>
              <w:t>21</w:t>
            </w:r>
          </w:p>
        </w:tc>
        <w:tc>
          <w:tcPr>
            <w:tcW w:w="620" w:type="dxa"/>
            <w:vAlign w:val="center"/>
          </w:tcPr>
          <w:p w:rsidR="00DA34A5" w:rsidRPr="00DA34A5" w:rsidP="00DA34A5" w14:paraId="31094EF7" w14:textId="2C614470">
            <w:pPr>
              <w:jc w:val="center"/>
              <w:rPr>
                <w:sz w:val="16"/>
                <w:szCs w:val="16"/>
              </w:rPr>
            </w:pPr>
            <w:r w:rsidRPr="00DA34A5">
              <w:rPr>
                <w:sz w:val="16"/>
                <w:szCs w:val="16"/>
              </w:rPr>
              <w:t>630</w:t>
            </w:r>
          </w:p>
        </w:tc>
        <w:tc>
          <w:tcPr>
            <w:tcW w:w="699" w:type="dxa"/>
            <w:vAlign w:val="center"/>
          </w:tcPr>
          <w:p w:rsidR="00DA34A5" w:rsidRPr="00DA34A5" w:rsidP="00DA34A5" w14:paraId="6F4DFB62" w14:textId="3C7B0220">
            <w:pPr>
              <w:jc w:val="center"/>
              <w:rPr>
                <w:sz w:val="16"/>
                <w:szCs w:val="16"/>
              </w:rPr>
            </w:pPr>
            <w:r w:rsidRPr="00DA34A5">
              <w:rPr>
                <w:sz w:val="16"/>
                <w:szCs w:val="16"/>
              </w:rPr>
              <w:t>$36,842</w:t>
            </w:r>
          </w:p>
        </w:tc>
      </w:tr>
      <w:tr w14:paraId="4590DF98" w14:textId="35ADB4C9" w:rsidTr="00DA34A5">
        <w:tblPrEx>
          <w:tblW w:w="8785" w:type="dxa"/>
          <w:tblLayout w:type="fixed"/>
          <w:tblCellMar>
            <w:left w:w="29" w:type="dxa"/>
            <w:right w:w="29" w:type="dxa"/>
          </w:tblCellMar>
          <w:tblLook w:val="04A0"/>
        </w:tblPrEx>
        <w:trPr>
          <w:trHeight w:val="20"/>
        </w:trPr>
        <w:tc>
          <w:tcPr>
            <w:tcW w:w="1885" w:type="dxa"/>
            <w:shd w:val="clear" w:color="auto" w:fill="D9D9D9" w:themeFill="background1" w:themeFillShade="D9"/>
            <w:vAlign w:val="center"/>
            <w:hideMark/>
          </w:tcPr>
          <w:p w:rsidR="00DA34A5" w:rsidRPr="00F438D7" w:rsidP="00DA34A5" w14:paraId="450A7B67" w14:textId="77777777">
            <w:pPr>
              <w:pStyle w:val="BodyText"/>
              <w:keepNext/>
              <w:keepLines/>
              <w:rPr>
                <w:rFonts w:ascii="Times New Roman" w:hAnsi="Times New Roman" w:cs="Times New Roman"/>
                <w:color w:val="auto"/>
                <w:sz w:val="16"/>
                <w:szCs w:val="16"/>
              </w:rPr>
            </w:pPr>
            <w:r w:rsidRPr="00F438D7">
              <w:rPr>
                <w:rFonts w:ascii="Times New Roman" w:hAnsi="Times New Roman" w:cs="Times New Roman"/>
                <w:color w:val="auto"/>
                <w:sz w:val="16"/>
                <w:szCs w:val="16"/>
              </w:rPr>
              <w:t>Deep Sea, Coastal, and Great Lakes Water Transportation(483100)</w:t>
            </w:r>
          </w:p>
        </w:tc>
        <w:tc>
          <w:tcPr>
            <w:tcW w:w="578" w:type="dxa"/>
            <w:shd w:val="clear" w:color="auto" w:fill="D9D9D9" w:themeFill="background1" w:themeFillShade="D9"/>
            <w:vAlign w:val="center"/>
            <w:hideMark/>
          </w:tcPr>
          <w:p w:rsidR="00DA34A5" w:rsidRPr="00F438D7" w:rsidP="00DA34A5" w14:paraId="3E2D061F" w14:textId="130D3C98">
            <w:pPr>
              <w:pStyle w:val="BodyText"/>
              <w:keepNext/>
              <w:keepLines/>
              <w:jc w:val="center"/>
              <w:rPr>
                <w:rFonts w:ascii="Times New Roman" w:hAnsi="Times New Roman" w:cs="Times New Roman"/>
                <w:color w:val="auto"/>
                <w:sz w:val="16"/>
                <w:szCs w:val="16"/>
              </w:rPr>
            </w:pPr>
            <w:r w:rsidRPr="00C66157">
              <w:rPr>
                <w:rFonts w:ascii="Times New Roman" w:hAnsi="Times New Roman" w:cs="Times New Roman"/>
                <w:color w:val="auto"/>
                <w:sz w:val="16"/>
                <w:szCs w:val="16"/>
              </w:rPr>
              <w:t>630</w:t>
            </w:r>
          </w:p>
        </w:tc>
        <w:tc>
          <w:tcPr>
            <w:tcW w:w="466" w:type="dxa"/>
            <w:shd w:val="clear" w:color="auto" w:fill="D9D9D9" w:themeFill="background1" w:themeFillShade="D9"/>
            <w:vAlign w:val="center"/>
            <w:hideMark/>
          </w:tcPr>
          <w:p w:rsidR="00DA34A5" w:rsidRPr="00F438D7" w:rsidP="00DA34A5" w14:paraId="605095B9" w14:textId="562BE7DE">
            <w:pPr>
              <w:pStyle w:val="BodyText"/>
              <w:keepNext/>
              <w:keepLines/>
              <w:jc w:val="center"/>
              <w:rPr>
                <w:rFonts w:ascii="Times New Roman" w:hAnsi="Times New Roman" w:cs="Times New Roman"/>
                <w:color w:val="auto"/>
                <w:sz w:val="16"/>
                <w:szCs w:val="16"/>
              </w:rPr>
            </w:pPr>
            <w:r w:rsidRPr="00C66157">
              <w:rPr>
                <w:rFonts w:ascii="Times New Roman" w:hAnsi="Times New Roman" w:cs="Times New Roman"/>
                <w:color w:val="auto"/>
                <w:sz w:val="16"/>
                <w:szCs w:val="16"/>
              </w:rPr>
              <w:t>21.5</w:t>
            </w:r>
          </w:p>
        </w:tc>
        <w:tc>
          <w:tcPr>
            <w:tcW w:w="620" w:type="dxa"/>
            <w:shd w:val="clear" w:color="auto" w:fill="D9D9D9" w:themeFill="background1" w:themeFillShade="D9"/>
            <w:vAlign w:val="center"/>
            <w:hideMark/>
          </w:tcPr>
          <w:p w:rsidR="00DA34A5" w:rsidRPr="00F438D7" w:rsidP="00DA34A5" w14:paraId="0E8CB878" w14:textId="44E158DB">
            <w:pPr>
              <w:pStyle w:val="BodyText"/>
              <w:keepNext/>
              <w:keepLines/>
              <w:jc w:val="center"/>
              <w:rPr>
                <w:rFonts w:ascii="Times New Roman" w:hAnsi="Times New Roman" w:cs="Times New Roman"/>
                <w:color w:val="auto"/>
                <w:sz w:val="16"/>
                <w:szCs w:val="16"/>
              </w:rPr>
            </w:pPr>
            <w:r w:rsidRPr="00C66157">
              <w:rPr>
                <w:rFonts w:ascii="Times New Roman" w:hAnsi="Times New Roman" w:cs="Times New Roman"/>
                <w:color w:val="auto"/>
                <w:sz w:val="16"/>
                <w:szCs w:val="16"/>
              </w:rPr>
              <w:t>$72.62</w:t>
            </w:r>
          </w:p>
        </w:tc>
        <w:tc>
          <w:tcPr>
            <w:tcW w:w="738" w:type="dxa"/>
            <w:shd w:val="clear" w:color="auto" w:fill="D9D9D9" w:themeFill="background1" w:themeFillShade="D9"/>
            <w:vAlign w:val="center"/>
            <w:hideMark/>
          </w:tcPr>
          <w:p w:rsidR="00DA34A5" w:rsidRPr="00F438D7" w:rsidP="00DA34A5" w14:paraId="478D9A67" w14:textId="5CD8D347">
            <w:pPr>
              <w:pStyle w:val="BodyText"/>
              <w:keepNext/>
              <w:keepLines/>
              <w:jc w:val="center"/>
              <w:rPr>
                <w:rFonts w:ascii="Times New Roman" w:hAnsi="Times New Roman" w:cs="Times New Roman"/>
                <w:color w:val="auto"/>
                <w:sz w:val="16"/>
                <w:szCs w:val="16"/>
              </w:rPr>
            </w:pPr>
            <w:r w:rsidRPr="00C66157">
              <w:rPr>
                <w:rFonts w:ascii="Times New Roman" w:hAnsi="Times New Roman" w:cs="Times New Roman"/>
                <w:color w:val="auto"/>
                <w:sz w:val="16"/>
                <w:szCs w:val="16"/>
              </w:rPr>
              <w:t>$151,050</w:t>
            </w:r>
          </w:p>
        </w:tc>
        <w:tc>
          <w:tcPr>
            <w:tcW w:w="620" w:type="dxa"/>
            <w:shd w:val="clear" w:color="auto" w:fill="D9D9D9" w:themeFill="background1" w:themeFillShade="D9"/>
            <w:vAlign w:val="center"/>
            <w:hideMark/>
          </w:tcPr>
          <w:p w:rsidR="00DA34A5" w:rsidRPr="00F438D7" w:rsidP="00DA34A5" w14:paraId="1E692DD9" w14:textId="57D85A28">
            <w:pPr>
              <w:pStyle w:val="BodyText"/>
              <w:keepNext/>
              <w:keepLines/>
              <w:jc w:val="center"/>
              <w:rPr>
                <w:rFonts w:ascii="Times New Roman" w:hAnsi="Times New Roman" w:cs="Times New Roman"/>
                <w:color w:val="auto"/>
                <w:sz w:val="16"/>
                <w:szCs w:val="16"/>
              </w:rPr>
            </w:pPr>
            <w:r w:rsidRPr="00C66157">
              <w:rPr>
                <w:rFonts w:ascii="Times New Roman" w:hAnsi="Times New Roman" w:cs="Times New Roman"/>
                <w:color w:val="auto"/>
                <w:sz w:val="16"/>
                <w:szCs w:val="16"/>
              </w:rPr>
              <w:t>3.8</w:t>
            </w:r>
          </w:p>
        </w:tc>
        <w:tc>
          <w:tcPr>
            <w:tcW w:w="620" w:type="dxa"/>
            <w:shd w:val="clear" w:color="auto" w:fill="D9D9D9" w:themeFill="background1" w:themeFillShade="D9"/>
            <w:vAlign w:val="center"/>
            <w:hideMark/>
          </w:tcPr>
          <w:p w:rsidR="00DA34A5" w:rsidRPr="00DA34A5" w:rsidP="00DA34A5" w14:paraId="44109BCC" w14:textId="064EC0CC">
            <w:pPr>
              <w:pStyle w:val="BodyText"/>
              <w:keepNext/>
              <w:keepLines/>
              <w:jc w:val="center"/>
              <w:rPr>
                <w:rFonts w:ascii="Times New Roman" w:hAnsi="Times New Roman" w:cs="Times New Roman"/>
                <w:color w:val="auto"/>
                <w:sz w:val="16"/>
                <w:szCs w:val="16"/>
              </w:rPr>
            </w:pPr>
            <w:r w:rsidRPr="00DA34A5">
              <w:rPr>
                <w:rFonts w:ascii="Times New Roman" w:hAnsi="Times New Roman" w:cs="Times New Roman"/>
                <w:color w:val="auto"/>
                <w:sz w:val="16"/>
                <w:szCs w:val="16"/>
              </w:rPr>
              <w:t>$68.29</w:t>
            </w:r>
          </w:p>
        </w:tc>
        <w:tc>
          <w:tcPr>
            <w:tcW w:w="698" w:type="dxa"/>
            <w:shd w:val="clear" w:color="auto" w:fill="D9D9D9" w:themeFill="background1" w:themeFillShade="D9"/>
            <w:vAlign w:val="center"/>
            <w:hideMark/>
          </w:tcPr>
          <w:p w:rsidR="00DA34A5" w:rsidRPr="00DA34A5" w:rsidP="00DA34A5" w14:paraId="4C35C344" w14:textId="6071837D">
            <w:pPr>
              <w:pStyle w:val="BodyText"/>
              <w:keepNext/>
              <w:keepLines/>
              <w:jc w:val="center"/>
              <w:rPr>
                <w:rFonts w:ascii="Times New Roman" w:hAnsi="Times New Roman" w:cs="Times New Roman"/>
                <w:color w:val="auto"/>
                <w:sz w:val="16"/>
                <w:szCs w:val="16"/>
              </w:rPr>
            </w:pPr>
            <w:r w:rsidRPr="00DA34A5">
              <w:rPr>
                <w:rFonts w:ascii="Times New Roman" w:hAnsi="Times New Roman" w:cs="Times New Roman"/>
                <w:color w:val="auto"/>
                <w:sz w:val="16"/>
                <w:szCs w:val="16"/>
              </w:rPr>
              <w:t>$142,030</w:t>
            </w:r>
          </w:p>
        </w:tc>
        <w:tc>
          <w:tcPr>
            <w:tcW w:w="621" w:type="dxa"/>
            <w:vAlign w:val="center"/>
          </w:tcPr>
          <w:p w:rsidR="00DA34A5" w:rsidRPr="00DA34A5" w:rsidP="00DA34A5" w14:paraId="3CEDE1D2" w14:textId="56CFAF89">
            <w:pPr>
              <w:jc w:val="center"/>
              <w:rPr>
                <w:sz w:val="16"/>
                <w:szCs w:val="16"/>
              </w:rPr>
            </w:pPr>
            <w:r w:rsidRPr="00DA34A5">
              <w:rPr>
                <w:sz w:val="16"/>
                <w:szCs w:val="16"/>
              </w:rPr>
              <w:t>12</w:t>
            </w:r>
          </w:p>
        </w:tc>
        <w:tc>
          <w:tcPr>
            <w:tcW w:w="620" w:type="dxa"/>
            <w:vAlign w:val="center"/>
          </w:tcPr>
          <w:p w:rsidR="00DA34A5" w:rsidRPr="00DA34A5" w:rsidP="00DA34A5" w14:paraId="7735A0E6" w14:textId="7A5AE5EB">
            <w:pPr>
              <w:jc w:val="center"/>
              <w:rPr>
                <w:sz w:val="16"/>
                <w:szCs w:val="16"/>
              </w:rPr>
            </w:pPr>
            <w:r w:rsidRPr="00DA34A5">
              <w:rPr>
                <w:sz w:val="16"/>
                <w:szCs w:val="16"/>
              </w:rPr>
              <w:t>21</w:t>
            </w:r>
          </w:p>
        </w:tc>
        <w:tc>
          <w:tcPr>
            <w:tcW w:w="620" w:type="dxa"/>
            <w:vAlign w:val="center"/>
          </w:tcPr>
          <w:p w:rsidR="00DA34A5" w:rsidRPr="00DA34A5" w:rsidP="00DA34A5" w14:paraId="71AD93D5" w14:textId="277F8C59">
            <w:pPr>
              <w:jc w:val="center"/>
              <w:rPr>
                <w:sz w:val="16"/>
                <w:szCs w:val="16"/>
              </w:rPr>
            </w:pPr>
            <w:r w:rsidRPr="00DA34A5">
              <w:rPr>
                <w:sz w:val="16"/>
                <w:szCs w:val="16"/>
              </w:rPr>
              <w:t>252</w:t>
            </w:r>
          </w:p>
        </w:tc>
        <w:tc>
          <w:tcPr>
            <w:tcW w:w="699" w:type="dxa"/>
            <w:vAlign w:val="center"/>
          </w:tcPr>
          <w:p w:rsidR="00DA34A5" w:rsidRPr="00DA34A5" w:rsidP="00DA34A5" w14:paraId="4AD48122" w14:textId="72BFE4A3">
            <w:pPr>
              <w:jc w:val="center"/>
              <w:rPr>
                <w:sz w:val="16"/>
                <w:szCs w:val="16"/>
              </w:rPr>
            </w:pPr>
            <w:r w:rsidRPr="00DA34A5">
              <w:rPr>
                <w:sz w:val="16"/>
                <w:szCs w:val="16"/>
              </w:rPr>
              <w:t>$18,300</w:t>
            </w:r>
          </w:p>
        </w:tc>
      </w:tr>
      <w:tr w14:paraId="5A4E108E" w14:textId="0A22529F" w:rsidTr="00DA34A5">
        <w:tblPrEx>
          <w:tblW w:w="8785" w:type="dxa"/>
          <w:tblLayout w:type="fixed"/>
          <w:tblCellMar>
            <w:left w:w="29" w:type="dxa"/>
            <w:right w:w="29" w:type="dxa"/>
          </w:tblCellMar>
          <w:tblLook w:val="04A0"/>
        </w:tblPrEx>
        <w:trPr>
          <w:trHeight w:val="20"/>
        </w:trPr>
        <w:tc>
          <w:tcPr>
            <w:tcW w:w="1885" w:type="dxa"/>
            <w:shd w:val="clear" w:color="auto" w:fill="D9D9D9" w:themeFill="background1" w:themeFillShade="D9"/>
            <w:vAlign w:val="center"/>
            <w:hideMark/>
          </w:tcPr>
          <w:p w:rsidR="00DA34A5" w:rsidRPr="00F438D7" w:rsidP="00DA34A5" w14:paraId="61DEA687" w14:textId="77777777">
            <w:pPr>
              <w:pStyle w:val="BodyText"/>
              <w:keepNext/>
              <w:keepLines/>
              <w:rPr>
                <w:rFonts w:ascii="Times New Roman" w:hAnsi="Times New Roman" w:cs="Times New Roman"/>
                <w:color w:val="auto"/>
                <w:sz w:val="16"/>
                <w:szCs w:val="16"/>
              </w:rPr>
            </w:pPr>
            <w:r w:rsidRPr="00F438D7">
              <w:rPr>
                <w:rFonts w:ascii="Times New Roman" w:hAnsi="Times New Roman" w:cs="Times New Roman"/>
                <w:color w:val="auto"/>
                <w:sz w:val="16"/>
                <w:szCs w:val="16"/>
              </w:rPr>
              <w:t>Truck Transportation(484000)</w:t>
            </w:r>
          </w:p>
        </w:tc>
        <w:tc>
          <w:tcPr>
            <w:tcW w:w="578" w:type="dxa"/>
            <w:shd w:val="clear" w:color="auto" w:fill="D9D9D9" w:themeFill="background1" w:themeFillShade="D9"/>
            <w:vAlign w:val="center"/>
            <w:hideMark/>
          </w:tcPr>
          <w:p w:rsidR="00DA34A5" w:rsidRPr="00F438D7" w:rsidP="00DA34A5" w14:paraId="35A780DB" w14:textId="3AB16282">
            <w:pPr>
              <w:pStyle w:val="BodyText"/>
              <w:keepNext/>
              <w:keepLines/>
              <w:jc w:val="center"/>
              <w:rPr>
                <w:rFonts w:ascii="Times New Roman" w:hAnsi="Times New Roman" w:cs="Times New Roman"/>
                <w:color w:val="auto"/>
                <w:sz w:val="16"/>
                <w:szCs w:val="16"/>
              </w:rPr>
            </w:pPr>
            <w:r w:rsidRPr="00C66157">
              <w:rPr>
                <w:rFonts w:ascii="Times New Roman" w:hAnsi="Times New Roman" w:cs="Times New Roman"/>
                <w:color w:val="auto"/>
                <w:sz w:val="16"/>
                <w:szCs w:val="16"/>
              </w:rPr>
              <w:t>17,860</w:t>
            </w:r>
          </w:p>
        </w:tc>
        <w:tc>
          <w:tcPr>
            <w:tcW w:w="466" w:type="dxa"/>
            <w:shd w:val="clear" w:color="auto" w:fill="D9D9D9" w:themeFill="background1" w:themeFillShade="D9"/>
            <w:vAlign w:val="center"/>
            <w:hideMark/>
          </w:tcPr>
          <w:p w:rsidR="00DA34A5" w:rsidRPr="00F438D7" w:rsidP="00DA34A5" w14:paraId="7607160A" w14:textId="41E14958">
            <w:pPr>
              <w:pStyle w:val="BodyText"/>
              <w:keepNext/>
              <w:keepLines/>
              <w:jc w:val="center"/>
              <w:rPr>
                <w:rFonts w:ascii="Times New Roman" w:hAnsi="Times New Roman" w:cs="Times New Roman"/>
                <w:color w:val="auto"/>
                <w:sz w:val="16"/>
                <w:szCs w:val="16"/>
              </w:rPr>
            </w:pPr>
            <w:r w:rsidRPr="00C66157">
              <w:rPr>
                <w:rFonts w:ascii="Times New Roman" w:hAnsi="Times New Roman" w:cs="Times New Roman"/>
                <w:color w:val="auto"/>
                <w:sz w:val="16"/>
                <w:szCs w:val="16"/>
              </w:rPr>
              <w:t>7.5</w:t>
            </w:r>
          </w:p>
        </w:tc>
        <w:tc>
          <w:tcPr>
            <w:tcW w:w="620" w:type="dxa"/>
            <w:shd w:val="clear" w:color="auto" w:fill="D9D9D9" w:themeFill="background1" w:themeFillShade="D9"/>
            <w:vAlign w:val="center"/>
            <w:hideMark/>
          </w:tcPr>
          <w:p w:rsidR="00DA34A5" w:rsidRPr="00F438D7" w:rsidP="00DA34A5" w14:paraId="08E57E97" w14:textId="1A8CFF8F">
            <w:pPr>
              <w:pStyle w:val="BodyText"/>
              <w:keepNext/>
              <w:keepLines/>
              <w:jc w:val="center"/>
              <w:rPr>
                <w:rFonts w:ascii="Times New Roman" w:hAnsi="Times New Roman" w:cs="Times New Roman"/>
                <w:color w:val="auto"/>
                <w:sz w:val="16"/>
                <w:szCs w:val="16"/>
              </w:rPr>
            </w:pPr>
            <w:r w:rsidRPr="00C66157">
              <w:rPr>
                <w:rFonts w:ascii="Times New Roman" w:hAnsi="Times New Roman" w:cs="Times New Roman"/>
                <w:color w:val="auto"/>
                <w:sz w:val="16"/>
                <w:szCs w:val="16"/>
              </w:rPr>
              <w:t>$51.52</w:t>
            </w:r>
          </w:p>
        </w:tc>
        <w:tc>
          <w:tcPr>
            <w:tcW w:w="738" w:type="dxa"/>
            <w:shd w:val="clear" w:color="auto" w:fill="D9D9D9" w:themeFill="background1" w:themeFillShade="D9"/>
            <w:vAlign w:val="center"/>
            <w:hideMark/>
          </w:tcPr>
          <w:p w:rsidR="00DA34A5" w:rsidRPr="00F438D7" w:rsidP="00DA34A5" w14:paraId="67360B32" w14:textId="3CCFF3B2">
            <w:pPr>
              <w:pStyle w:val="BodyText"/>
              <w:keepNext/>
              <w:keepLines/>
              <w:jc w:val="center"/>
              <w:rPr>
                <w:rFonts w:ascii="Times New Roman" w:hAnsi="Times New Roman" w:cs="Times New Roman"/>
                <w:color w:val="auto"/>
                <w:sz w:val="16"/>
                <w:szCs w:val="16"/>
              </w:rPr>
            </w:pPr>
            <w:r w:rsidRPr="00C66157">
              <w:rPr>
                <w:rFonts w:ascii="Times New Roman" w:hAnsi="Times New Roman" w:cs="Times New Roman"/>
                <w:color w:val="auto"/>
                <w:sz w:val="16"/>
                <w:szCs w:val="16"/>
              </w:rPr>
              <w:t>$107,160</w:t>
            </w:r>
          </w:p>
        </w:tc>
        <w:tc>
          <w:tcPr>
            <w:tcW w:w="620" w:type="dxa"/>
            <w:shd w:val="clear" w:color="auto" w:fill="D9D9D9" w:themeFill="background1" w:themeFillShade="D9"/>
            <w:vAlign w:val="center"/>
            <w:hideMark/>
          </w:tcPr>
          <w:p w:rsidR="00DA34A5" w:rsidRPr="00F438D7" w:rsidP="00DA34A5" w14:paraId="1F585AAD" w14:textId="69B917C6">
            <w:pPr>
              <w:pStyle w:val="BodyText"/>
              <w:keepNext/>
              <w:keepLines/>
              <w:jc w:val="center"/>
              <w:rPr>
                <w:rFonts w:ascii="Times New Roman" w:hAnsi="Times New Roman" w:cs="Times New Roman"/>
                <w:color w:val="auto"/>
                <w:sz w:val="16"/>
                <w:szCs w:val="16"/>
              </w:rPr>
            </w:pPr>
            <w:r w:rsidRPr="00C66157">
              <w:rPr>
                <w:rFonts w:ascii="Times New Roman" w:hAnsi="Times New Roman" w:cs="Times New Roman"/>
                <w:color w:val="auto"/>
                <w:sz w:val="16"/>
                <w:szCs w:val="16"/>
              </w:rPr>
              <w:t>4.4</w:t>
            </w:r>
          </w:p>
        </w:tc>
        <w:tc>
          <w:tcPr>
            <w:tcW w:w="620" w:type="dxa"/>
            <w:shd w:val="clear" w:color="auto" w:fill="D9D9D9" w:themeFill="background1" w:themeFillShade="D9"/>
            <w:vAlign w:val="center"/>
            <w:hideMark/>
          </w:tcPr>
          <w:p w:rsidR="00DA34A5" w:rsidRPr="00DA34A5" w:rsidP="00DA34A5" w14:paraId="1B9B6CB3" w14:textId="402C4074">
            <w:pPr>
              <w:pStyle w:val="BodyText"/>
              <w:keepNext/>
              <w:keepLines/>
              <w:jc w:val="center"/>
              <w:rPr>
                <w:rFonts w:ascii="Times New Roman" w:hAnsi="Times New Roman" w:cs="Times New Roman"/>
                <w:color w:val="auto"/>
                <w:sz w:val="16"/>
                <w:szCs w:val="16"/>
              </w:rPr>
            </w:pPr>
            <w:r w:rsidRPr="00DA34A5">
              <w:rPr>
                <w:rFonts w:ascii="Times New Roman" w:hAnsi="Times New Roman" w:cs="Times New Roman"/>
                <w:color w:val="auto"/>
                <w:sz w:val="16"/>
                <w:szCs w:val="16"/>
              </w:rPr>
              <w:t>$47.50</w:t>
            </w:r>
          </w:p>
        </w:tc>
        <w:tc>
          <w:tcPr>
            <w:tcW w:w="698" w:type="dxa"/>
            <w:shd w:val="clear" w:color="auto" w:fill="D9D9D9" w:themeFill="background1" w:themeFillShade="D9"/>
            <w:vAlign w:val="center"/>
            <w:hideMark/>
          </w:tcPr>
          <w:p w:rsidR="00DA34A5" w:rsidRPr="00DA34A5" w:rsidP="00DA34A5" w14:paraId="34A5DE4D" w14:textId="6E4CEDD4">
            <w:pPr>
              <w:pStyle w:val="BodyText"/>
              <w:keepNext/>
              <w:keepLines/>
              <w:jc w:val="center"/>
              <w:rPr>
                <w:rFonts w:ascii="Times New Roman" w:hAnsi="Times New Roman" w:cs="Times New Roman"/>
                <w:color w:val="auto"/>
                <w:sz w:val="16"/>
                <w:szCs w:val="16"/>
              </w:rPr>
            </w:pPr>
            <w:r w:rsidRPr="00DA34A5">
              <w:rPr>
                <w:rFonts w:ascii="Times New Roman" w:hAnsi="Times New Roman" w:cs="Times New Roman"/>
                <w:color w:val="auto"/>
                <w:sz w:val="16"/>
                <w:szCs w:val="16"/>
              </w:rPr>
              <w:t>$98,800</w:t>
            </w:r>
          </w:p>
        </w:tc>
        <w:tc>
          <w:tcPr>
            <w:tcW w:w="621" w:type="dxa"/>
            <w:vAlign w:val="center"/>
          </w:tcPr>
          <w:p w:rsidR="00DA34A5" w:rsidRPr="00DA34A5" w:rsidP="00DA34A5" w14:paraId="61854A51" w14:textId="61DF45DC">
            <w:pPr>
              <w:jc w:val="center"/>
              <w:rPr>
                <w:sz w:val="16"/>
                <w:szCs w:val="16"/>
              </w:rPr>
            </w:pPr>
            <w:r w:rsidRPr="00DA34A5">
              <w:rPr>
                <w:sz w:val="16"/>
                <w:szCs w:val="16"/>
              </w:rPr>
              <w:t>20</w:t>
            </w:r>
          </w:p>
        </w:tc>
        <w:tc>
          <w:tcPr>
            <w:tcW w:w="620" w:type="dxa"/>
            <w:vAlign w:val="center"/>
          </w:tcPr>
          <w:p w:rsidR="00DA34A5" w:rsidRPr="00DA34A5" w:rsidP="00DA34A5" w14:paraId="18D68D6F" w14:textId="751B1615">
            <w:pPr>
              <w:jc w:val="center"/>
              <w:rPr>
                <w:sz w:val="16"/>
                <w:szCs w:val="16"/>
              </w:rPr>
            </w:pPr>
            <w:r w:rsidRPr="00DA34A5">
              <w:rPr>
                <w:sz w:val="16"/>
                <w:szCs w:val="16"/>
              </w:rPr>
              <w:t>21</w:t>
            </w:r>
          </w:p>
        </w:tc>
        <w:tc>
          <w:tcPr>
            <w:tcW w:w="620" w:type="dxa"/>
            <w:vAlign w:val="center"/>
          </w:tcPr>
          <w:p w:rsidR="00DA34A5" w:rsidRPr="00DA34A5" w:rsidP="00DA34A5" w14:paraId="375A0492" w14:textId="2DBA7A34">
            <w:pPr>
              <w:jc w:val="center"/>
              <w:rPr>
                <w:sz w:val="16"/>
                <w:szCs w:val="16"/>
              </w:rPr>
            </w:pPr>
            <w:r w:rsidRPr="00DA34A5">
              <w:rPr>
                <w:sz w:val="16"/>
                <w:szCs w:val="16"/>
              </w:rPr>
              <w:t>420</w:t>
            </w:r>
          </w:p>
        </w:tc>
        <w:tc>
          <w:tcPr>
            <w:tcW w:w="699" w:type="dxa"/>
            <w:vAlign w:val="center"/>
          </w:tcPr>
          <w:p w:rsidR="00DA34A5" w:rsidRPr="00DA34A5" w:rsidP="00DA34A5" w14:paraId="7DE8F8FA" w14:textId="19A1EAF2">
            <w:pPr>
              <w:jc w:val="center"/>
              <w:rPr>
                <w:sz w:val="16"/>
                <w:szCs w:val="16"/>
              </w:rPr>
            </w:pPr>
            <w:r w:rsidRPr="00DA34A5">
              <w:rPr>
                <w:sz w:val="16"/>
                <w:szCs w:val="16"/>
              </w:rPr>
              <w:t>$21,638</w:t>
            </w:r>
          </w:p>
        </w:tc>
      </w:tr>
      <w:tr w14:paraId="056E8D6D" w14:textId="5FDB208F" w:rsidTr="00DA34A5">
        <w:tblPrEx>
          <w:tblW w:w="8785" w:type="dxa"/>
          <w:tblLayout w:type="fixed"/>
          <w:tblCellMar>
            <w:left w:w="29" w:type="dxa"/>
            <w:right w:w="29" w:type="dxa"/>
          </w:tblCellMar>
          <w:tblLook w:val="04A0"/>
        </w:tblPrEx>
        <w:trPr>
          <w:trHeight w:val="20"/>
        </w:trPr>
        <w:tc>
          <w:tcPr>
            <w:tcW w:w="1885" w:type="dxa"/>
            <w:shd w:val="clear" w:color="auto" w:fill="D9D9D9" w:themeFill="background1" w:themeFillShade="D9"/>
            <w:vAlign w:val="center"/>
            <w:hideMark/>
          </w:tcPr>
          <w:p w:rsidR="00DA34A5" w:rsidRPr="00F438D7" w:rsidP="00DA34A5" w14:paraId="7FDDF697" w14:textId="77777777">
            <w:pPr>
              <w:pStyle w:val="BodyText"/>
              <w:keepNext/>
              <w:keepLines/>
              <w:rPr>
                <w:rFonts w:ascii="Times New Roman" w:hAnsi="Times New Roman" w:cs="Times New Roman"/>
                <w:color w:val="auto"/>
                <w:sz w:val="16"/>
                <w:szCs w:val="16"/>
              </w:rPr>
            </w:pPr>
            <w:r w:rsidRPr="00F438D7">
              <w:rPr>
                <w:rFonts w:ascii="Times New Roman" w:hAnsi="Times New Roman" w:cs="Times New Roman"/>
                <w:color w:val="auto"/>
                <w:sz w:val="16"/>
                <w:szCs w:val="16"/>
              </w:rPr>
              <w:t>Support Activities for Water Transportation(488300)</w:t>
            </w:r>
          </w:p>
        </w:tc>
        <w:tc>
          <w:tcPr>
            <w:tcW w:w="578" w:type="dxa"/>
            <w:shd w:val="clear" w:color="auto" w:fill="D9D9D9" w:themeFill="background1" w:themeFillShade="D9"/>
            <w:vAlign w:val="center"/>
            <w:hideMark/>
          </w:tcPr>
          <w:p w:rsidR="00DA34A5" w:rsidRPr="00F438D7" w:rsidP="00DA34A5" w14:paraId="014A0B5A" w14:textId="6A0F3C3A">
            <w:pPr>
              <w:pStyle w:val="BodyText"/>
              <w:keepNext/>
              <w:keepLines/>
              <w:jc w:val="center"/>
              <w:rPr>
                <w:rFonts w:ascii="Times New Roman" w:hAnsi="Times New Roman" w:cs="Times New Roman"/>
                <w:color w:val="auto"/>
                <w:sz w:val="16"/>
                <w:szCs w:val="16"/>
              </w:rPr>
            </w:pPr>
            <w:r w:rsidRPr="00C66157">
              <w:rPr>
                <w:rFonts w:ascii="Times New Roman" w:hAnsi="Times New Roman" w:cs="Times New Roman"/>
                <w:color w:val="auto"/>
                <w:sz w:val="16"/>
                <w:szCs w:val="16"/>
              </w:rPr>
              <w:t>3,490</w:t>
            </w:r>
          </w:p>
        </w:tc>
        <w:tc>
          <w:tcPr>
            <w:tcW w:w="466" w:type="dxa"/>
            <w:shd w:val="clear" w:color="auto" w:fill="D9D9D9" w:themeFill="background1" w:themeFillShade="D9"/>
            <w:vAlign w:val="center"/>
            <w:hideMark/>
          </w:tcPr>
          <w:p w:rsidR="00DA34A5" w:rsidRPr="00F438D7" w:rsidP="00DA34A5" w14:paraId="10A21EFD" w14:textId="559EA2C8">
            <w:pPr>
              <w:pStyle w:val="BodyText"/>
              <w:keepNext/>
              <w:keepLines/>
              <w:jc w:val="center"/>
              <w:rPr>
                <w:rFonts w:ascii="Times New Roman" w:hAnsi="Times New Roman" w:cs="Times New Roman"/>
                <w:color w:val="auto"/>
                <w:sz w:val="16"/>
                <w:szCs w:val="16"/>
              </w:rPr>
            </w:pPr>
            <w:r w:rsidRPr="00C66157">
              <w:rPr>
                <w:rFonts w:ascii="Times New Roman" w:hAnsi="Times New Roman" w:cs="Times New Roman"/>
                <w:color w:val="auto"/>
                <w:sz w:val="16"/>
                <w:szCs w:val="16"/>
              </w:rPr>
              <w:t>16.9</w:t>
            </w:r>
          </w:p>
        </w:tc>
        <w:tc>
          <w:tcPr>
            <w:tcW w:w="620" w:type="dxa"/>
            <w:shd w:val="clear" w:color="auto" w:fill="D9D9D9" w:themeFill="background1" w:themeFillShade="D9"/>
            <w:vAlign w:val="center"/>
            <w:hideMark/>
          </w:tcPr>
          <w:p w:rsidR="00DA34A5" w:rsidRPr="00F438D7" w:rsidP="00DA34A5" w14:paraId="368B9898" w14:textId="1DC7D34A">
            <w:pPr>
              <w:pStyle w:val="BodyText"/>
              <w:keepNext/>
              <w:keepLines/>
              <w:jc w:val="center"/>
              <w:rPr>
                <w:rFonts w:ascii="Times New Roman" w:hAnsi="Times New Roman" w:cs="Times New Roman"/>
                <w:color w:val="auto"/>
                <w:sz w:val="16"/>
                <w:szCs w:val="16"/>
              </w:rPr>
            </w:pPr>
            <w:r w:rsidRPr="00C66157">
              <w:rPr>
                <w:rFonts w:ascii="Times New Roman" w:hAnsi="Times New Roman" w:cs="Times New Roman"/>
                <w:color w:val="auto"/>
                <w:sz w:val="16"/>
                <w:szCs w:val="16"/>
              </w:rPr>
              <w:t>$76.06</w:t>
            </w:r>
          </w:p>
        </w:tc>
        <w:tc>
          <w:tcPr>
            <w:tcW w:w="738" w:type="dxa"/>
            <w:shd w:val="clear" w:color="auto" w:fill="D9D9D9" w:themeFill="background1" w:themeFillShade="D9"/>
            <w:vAlign w:val="center"/>
            <w:hideMark/>
          </w:tcPr>
          <w:p w:rsidR="00DA34A5" w:rsidRPr="00F438D7" w:rsidP="00DA34A5" w14:paraId="2469C58A" w14:textId="511E9FD1">
            <w:pPr>
              <w:pStyle w:val="BodyText"/>
              <w:keepNext/>
              <w:keepLines/>
              <w:jc w:val="center"/>
              <w:rPr>
                <w:rFonts w:ascii="Times New Roman" w:hAnsi="Times New Roman" w:cs="Times New Roman"/>
                <w:color w:val="auto"/>
                <w:sz w:val="16"/>
                <w:szCs w:val="16"/>
              </w:rPr>
            </w:pPr>
            <w:r w:rsidRPr="00C66157">
              <w:rPr>
                <w:rFonts w:ascii="Times New Roman" w:hAnsi="Times New Roman" w:cs="Times New Roman"/>
                <w:color w:val="auto"/>
                <w:sz w:val="16"/>
                <w:szCs w:val="16"/>
              </w:rPr>
              <w:t>$158,210</w:t>
            </w:r>
          </w:p>
        </w:tc>
        <w:tc>
          <w:tcPr>
            <w:tcW w:w="620" w:type="dxa"/>
            <w:shd w:val="clear" w:color="auto" w:fill="D9D9D9" w:themeFill="background1" w:themeFillShade="D9"/>
            <w:vAlign w:val="center"/>
            <w:hideMark/>
          </w:tcPr>
          <w:p w:rsidR="00DA34A5" w:rsidRPr="00F438D7" w:rsidP="00DA34A5" w14:paraId="08CC17DA" w14:textId="76AC5F5F">
            <w:pPr>
              <w:pStyle w:val="BodyText"/>
              <w:keepNext/>
              <w:keepLines/>
              <w:jc w:val="center"/>
              <w:rPr>
                <w:rFonts w:ascii="Times New Roman" w:hAnsi="Times New Roman" w:cs="Times New Roman"/>
                <w:color w:val="auto"/>
                <w:sz w:val="16"/>
                <w:szCs w:val="16"/>
              </w:rPr>
            </w:pPr>
            <w:r w:rsidRPr="00C66157">
              <w:rPr>
                <w:rFonts w:ascii="Times New Roman" w:hAnsi="Times New Roman" w:cs="Times New Roman"/>
                <w:color w:val="auto"/>
                <w:sz w:val="16"/>
                <w:szCs w:val="16"/>
              </w:rPr>
              <w:t>3.1</w:t>
            </w:r>
          </w:p>
        </w:tc>
        <w:tc>
          <w:tcPr>
            <w:tcW w:w="620" w:type="dxa"/>
            <w:shd w:val="clear" w:color="auto" w:fill="D9D9D9" w:themeFill="background1" w:themeFillShade="D9"/>
            <w:vAlign w:val="center"/>
            <w:hideMark/>
          </w:tcPr>
          <w:p w:rsidR="00DA34A5" w:rsidRPr="00DA34A5" w:rsidP="00DA34A5" w14:paraId="18BBBC12" w14:textId="40BD148B">
            <w:pPr>
              <w:pStyle w:val="BodyText"/>
              <w:keepNext/>
              <w:keepLines/>
              <w:jc w:val="center"/>
              <w:rPr>
                <w:rFonts w:ascii="Times New Roman" w:hAnsi="Times New Roman" w:cs="Times New Roman"/>
                <w:color w:val="auto"/>
                <w:sz w:val="16"/>
                <w:szCs w:val="16"/>
              </w:rPr>
            </w:pPr>
            <w:r w:rsidRPr="00DA34A5">
              <w:rPr>
                <w:rFonts w:ascii="Times New Roman" w:hAnsi="Times New Roman" w:cs="Times New Roman"/>
                <w:color w:val="auto"/>
                <w:sz w:val="16"/>
                <w:szCs w:val="16"/>
              </w:rPr>
              <w:t>$74.28</w:t>
            </w:r>
          </w:p>
        </w:tc>
        <w:tc>
          <w:tcPr>
            <w:tcW w:w="698" w:type="dxa"/>
            <w:shd w:val="clear" w:color="auto" w:fill="D9D9D9" w:themeFill="background1" w:themeFillShade="D9"/>
            <w:vAlign w:val="center"/>
            <w:hideMark/>
          </w:tcPr>
          <w:p w:rsidR="00DA34A5" w:rsidRPr="00DA34A5" w:rsidP="00DA34A5" w14:paraId="752AC904" w14:textId="53838F4D">
            <w:pPr>
              <w:pStyle w:val="BodyText"/>
              <w:keepNext/>
              <w:keepLines/>
              <w:jc w:val="center"/>
              <w:rPr>
                <w:rFonts w:ascii="Times New Roman" w:hAnsi="Times New Roman" w:cs="Times New Roman"/>
                <w:color w:val="auto"/>
                <w:sz w:val="16"/>
                <w:szCs w:val="16"/>
              </w:rPr>
            </w:pPr>
            <w:r w:rsidRPr="00DA34A5">
              <w:rPr>
                <w:rFonts w:ascii="Times New Roman" w:hAnsi="Times New Roman" w:cs="Times New Roman"/>
                <w:color w:val="auto"/>
                <w:sz w:val="16"/>
                <w:szCs w:val="16"/>
              </w:rPr>
              <w:t>$154,510</w:t>
            </w:r>
          </w:p>
        </w:tc>
        <w:tc>
          <w:tcPr>
            <w:tcW w:w="621" w:type="dxa"/>
            <w:vAlign w:val="center"/>
          </w:tcPr>
          <w:p w:rsidR="00DA34A5" w:rsidRPr="00DA34A5" w:rsidP="00DA34A5" w14:paraId="59D3B06C" w14:textId="048B73CD">
            <w:pPr>
              <w:jc w:val="center"/>
              <w:rPr>
                <w:sz w:val="16"/>
                <w:szCs w:val="16"/>
              </w:rPr>
            </w:pPr>
            <w:r w:rsidRPr="00DA34A5">
              <w:rPr>
                <w:sz w:val="16"/>
                <w:szCs w:val="16"/>
              </w:rPr>
              <w:t>24</w:t>
            </w:r>
          </w:p>
        </w:tc>
        <w:tc>
          <w:tcPr>
            <w:tcW w:w="620" w:type="dxa"/>
            <w:vAlign w:val="center"/>
          </w:tcPr>
          <w:p w:rsidR="00DA34A5" w:rsidRPr="00DA34A5" w:rsidP="00DA34A5" w14:paraId="6A8EAE2A" w14:textId="3CFB746F">
            <w:pPr>
              <w:jc w:val="center"/>
              <w:rPr>
                <w:sz w:val="16"/>
                <w:szCs w:val="16"/>
              </w:rPr>
            </w:pPr>
            <w:r w:rsidRPr="00DA34A5">
              <w:rPr>
                <w:sz w:val="16"/>
                <w:szCs w:val="16"/>
              </w:rPr>
              <w:t>21</w:t>
            </w:r>
          </w:p>
        </w:tc>
        <w:tc>
          <w:tcPr>
            <w:tcW w:w="620" w:type="dxa"/>
            <w:vAlign w:val="center"/>
          </w:tcPr>
          <w:p w:rsidR="00DA34A5" w:rsidRPr="00DA34A5" w:rsidP="00DA34A5" w14:paraId="015789F6" w14:textId="6765BB60">
            <w:pPr>
              <w:jc w:val="center"/>
              <w:rPr>
                <w:sz w:val="16"/>
                <w:szCs w:val="16"/>
              </w:rPr>
            </w:pPr>
            <w:r w:rsidRPr="00DA34A5">
              <w:rPr>
                <w:sz w:val="16"/>
                <w:szCs w:val="16"/>
              </w:rPr>
              <w:t>504</w:t>
            </w:r>
          </w:p>
        </w:tc>
        <w:tc>
          <w:tcPr>
            <w:tcW w:w="699" w:type="dxa"/>
            <w:vAlign w:val="center"/>
          </w:tcPr>
          <w:p w:rsidR="00DA34A5" w:rsidRPr="00DA34A5" w:rsidP="00DA34A5" w14:paraId="5D910508" w14:textId="51E8EEDA">
            <w:pPr>
              <w:jc w:val="center"/>
              <w:rPr>
                <w:sz w:val="16"/>
                <w:szCs w:val="16"/>
              </w:rPr>
            </w:pPr>
            <w:r w:rsidRPr="00DA34A5">
              <w:rPr>
                <w:sz w:val="16"/>
                <w:szCs w:val="16"/>
              </w:rPr>
              <w:t>$38,334</w:t>
            </w:r>
          </w:p>
        </w:tc>
      </w:tr>
      <w:tr w14:paraId="28B26BE6" w14:textId="79D47F85" w:rsidTr="00DA34A5">
        <w:tblPrEx>
          <w:tblW w:w="8785" w:type="dxa"/>
          <w:tblLayout w:type="fixed"/>
          <w:tblCellMar>
            <w:left w:w="29" w:type="dxa"/>
            <w:right w:w="29" w:type="dxa"/>
          </w:tblCellMar>
          <w:tblLook w:val="04A0"/>
        </w:tblPrEx>
        <w:trPr>
          <w:trHeight w:val="20"/>
        </w:trPr>
        <w:tc>
          <w:tcPr>
            <w:tcW w:w="1885" w:type="dxa"/>
            <w:shd w:val="clear" w:color="auto" w:fill="D9D9D9" w:themeFill="background1" w:themeFillShade="D9"/>
            <w:vAlign w:val="center"/>
            <w:hideMark/>
          </w:tcPr>
          <w:p w:rsidR="00DA34A5" w:rsidRPr="00F438D7" w:rsidP="00DA34A5" w14:paraId="7D344285" w14:textId="77777777">
            <w:pPr>
              <w:pStyle w:val="BodyText"/>
              <w:keepNext/>
              <w:keepLines/>
              <w:rPr>
                <w:rFonts w:ascii="Times New Roman" w:hAnsi="Times New Roman" w:cs="Times New Roman"/>
                <w:color w:val="auto"/>
                <w:sz w:val="16"/>
                <w:szCs w:val="16"/>
              </w:rPr>
            </w:pPr>
            <w:r w:rsidRPr="00F438D7">
              <w:rPr>
                <w:rFonts w:ascii="Times New Roman" w:hAnsi="Times New Roman" w:cs="Times New Roman"/>
                <w:color w:val="auto"/>
                <w:sz w:val="16"/>
                <w:szCs w:val="16"/>
              </w:rPr>
              <w:t>Freight Transportation Arrangement(488500)</w:t>
            </w:r>
          </w:p>
        </w:tc>
        <w:tc>
          <w:tcPr>
            <w:tcW w:w="578" w:type="dxa"/>
            <w:shd w:val="clear" w:color="auto" w:fill="D9D9D9" w:themeFill="background1" w:themeFillShade="D9"/>
            <w:vAlign w:val="center"/>
            <w:hideMark/>
          </w:tcPr>
          <w:p w:rsidR="00DA34A5" w:rsidRPr="00F438D7" w:rsidP="00DA34A5" w14:paraId="58E8E3CC" w14:textId="704A9D16">
            <w:pPr>
              <w:pStyle w:val="BodyText"/>
              <w:keepNext/>
              <w:keepLines/>
              <w:jc w:val="center"/>
              <w:rPr>
                <w:rFonts w:ascii="Times New Roman" w:hAnsi="Times New Roman" w:cs="Times New Roman"/>
                <w:color w:val="auto"/>
                <w:sz w:val="16"/>
                <w:szCs w:val="16"/>
              </w:rPr>
            </w:pPr>
            <w:r w:rsidRPr="00C66157">
              <w:rPr>
                <w:rFonts w:ascii="Times New Roman" w:hAnsi="Times New Roman" w:cs="Times New Roman"/>
                <w:color w:val="auto"/>
                <w:sz w:val="16"/>
                <w:szCs w:val="16"/>
              </w:rPr>
              <w:t>6,440</w:t>
            </w:r>
          </w:p>
        </w:tc>
        <w:tc>
          <w:tcPr>
            <w:tcW w:w="466" w:type="dxa"/>
            <w:shd w:val="clear" w:color="auto" w:fill="D9D9D9" w:themeFill="background1" w:themeFillShade="D9"/>
            <w:vAlign w:val="center"/>
            <w:hideMark/>
          </w:tcPr>
          <w:p w:rsidR="00DA34A5" w:rsidRPr="00F438D7" w:rsidP="00DA34A5" w14:paraId="7977F022" w14:textId="0D822D76">
            <w:pPr>
              <w:pStyle w:val="BodyText"/>
              <w:keepNext/>
              <w:keepLines/>
              <w:jc w:val="center"/>
              <w:rPr>
                <w:rFonts w:ascii="Times New Roman" w:hAnsi="Times New Roman" w:cs="Times New Roman"/>
                <w:color w:val="auto"/>
                <w:sz w:val="16"/>
                <w:szCs w:val="16"/>
              </w:rPr>
            </w:pPr>
            <w:r w:rsidRPr="00C66157">
              <w:rPr>
                <w:rFonts w:ascii="Times New Roman" w:hAnsi="Times New Roman" w:cs="Times New Roman"/>
                <w:color w:val="auto"/>
                <w:sz w:val="16"/>
                <w:szCs w:val="16"/>
              </w:rPr>
              <w:t>6.8</w:t>
            </w:r>
          </w:p>
        </w:tc>
        <w:tc>
          <w:tcPr>
            <w:tcW w:w="620" w:type="dxa"/>
            <w:shd w:val="clear" w:color="auto" w:fill="D9D9D9" w:themeFill="background1" w:themeFillShade="D9"/>
            <w:vAlign w:val="center"/>
            <w:hideMark/>
          </w:tcPr>
          <w:p w:rsidR="00DA34A5" w:rsidRPr="00F438D7" w:rsidP="00DA34A5" w14:paraId="09443F31" w14:textId="4E0A3143">
            <w:pPr>
              <w:pStyle w:val="BodyText"/>
              <w:keepNext/>
              <w:keepLines/>
              <w:jc w:val="center"/>
              <w:rPr>
                <w:rFonts w:ascii="Times New Roman" w:hAnsi="Times New Roman" w:cs="Times New Roman"/>
                <w:color w:val="auto"/>
                <w:sz w:val="16"/>
                <w:szCs w:val="16"/>
              </w:rPr>
            </w:pPr>
            <w:r w:rsidRPr="00C66157">
              <w:rPr>
                <w:rFonts w:ascii="Times New Roman" w:hAnsi="Times New Roman" w:cs="Times New Roman"/>
                <w:color w:val="auto"/>
                <w:sz w:val="16"/>
                <w:szCs w:val="16"/>
              </w:rPr>
              <w:t>$55.98</w:t>
            </w:r>
          </w:p>
        </w:tc>
        <w:tc>
          <w:tcPr>
            <w:tcW w:w="738" w:type="dxa"/>
            <w:shd w:val="clear" w:color="auto" w:fill="D9D9D9" w:themeFill="background1" w:themeFillShade="D9"/>
            <w:vAlign w:val="center"/>
            <w:hideMark/>
          </w:tcPr>
          <w:p w:rsidR="00DA34A5" w:rsidRPr="00F438D7" w:rsidP="00DA34A5" w14:paraId="1A38F193" w14:textId="363B82EC">
            <w:pPr>
              <w:pStyle w:val="BodyText"/>
              <w:keepNext/>
              <w:keepLines/>
              <w:jc w:val="center"/>
              <w:rPr>
                <w:rFonts w:ascii="Times New Roman" w:hAnsi="Times New Roman" w:cs="Times New Roman"/>
                <w:color w:val="auto"/>
                <w:sz w:val="16"/>
                <w:szCs w:val="16"/>
              </w:rPr>
            </w:pPr>
            <w:r w:rsidRPr="00C66157">
              <w:rPr>
                <w:rFonts w:ascii="Times New Roman" w:hAnsi="Times New Roman" w:cs="Times New Roman"/>
                <w:color w:val="auto"/>
                <w:sz w:val="16"/>
                <w:szCs w:val="16"/>
              </w:rPr>
              <w:t>$116,430</w:t>
            </w:r>
          </w:p>
        </w:tc>
        <w:tc>
          <w:tcPr>
            <w:tcW w:w="620" w:type="dxa"/>
            <w:shd w:val="clear" w:color="auto" w:fill="D9D9D9" w:themeFill="background1" w:themeFillShade="D9"/>
            <w:vAlign w:val="center"/>
            <w:hideMark/>
          </w:tcPr>
          <w:p w:rsidR="00DA34A5" w:rsidRPr="00F438D7" w:rsidP="00DA34A5" w14:paraId="159865C7" w14:textId="25AC2444">
            <w:pPr>
              <w:pStyle w:val="BodyText"/>
              <w:keepNext/>
              <w:keepLines/>
              <w:jc w:val="center"/>
              <w:rPr>
                <w:rFonts w:ascii="Times New Roman" w:hAnsi="Times New Roman" w:cs="Times New Roman"/>
                <w:color w:val="auto"/>
                <w:sz w:val="16"/>
                <w:szCs w:val="16"/>
              </w:rPr>
            </w:pPr>
            <w:r w:rsidRPr="00C66157">
              <w:rPr>
                <w:rFonts w:ascii="Times New Roman" w:hAnsi="Times New Roman" w:cs="Times New Roman"/>
                <w:color w:val="auto"/>
                <w:sz w:val="16"/>
                <w:szCs w:val="16"/>
              </w:rPr>
              <w:t>2.0</w:t>
            </w:r>
          </w:p>
        </w:tc>
        <w:tc>
          <w:tcPr>
            <w:tcW w:w="620" w:type="dxa"/>
            <w:shd w:val="clear" w:color="auto" w:fill="D9D9D9" w:themeFill="background1" w:themeFillShade="D9"/>
            <w:vAlign w:val="center"/>
            <w:hideMark/>
          </w:tcPr>
          <w:p w:rsidR="00DA34A5" w:rsidRPr="00DA34A5" w:rsidP="00DA34A5" w14:paraId="128540D0" w14:textId="4FDE0DD8">
            <w:pPr>
              <w:pStyle w:val="BodyText"/>
              <w:keepNext/>
              <w:keepLines/>
              <w:jc w:val="center"/>
              <w:rPr>
                <w:rFonts w:ascii="Times New Roman" w:hAnsi="Times New Roman" w:cs="Times New Roman"/>
                <w:color w:val="auto"/>
                <w:sz w:val="16"/>
                <w:szCs w:val="16"/>
              </w:rPr>
            </w:pPr>
            <w:r w:rsidRPr="00DA34A5">
              <w:rPr>
                <w:rFonts w:ascii="Times New Roman" w:hAnsi="Times New Roman" w:cs="Times New Roman"/>
                <w:color w:val="auto"/>
                <w:sz w:val="16"/>
                <w:szCs w:val="16"/>
              </w:rPr>
              <w:t>$49.19</w:t>
            </w:r>
          </w:p>
        </w:tc>
        <w:tc>
          <w:tcPr>
            <w:tcW w:w="698" w:type="dxa"/>
            <w:shd w:val="clear" w:color="auto" w:fill="D9D9D9" w:themeFill="background1" w:themeFillShade="D9"/>
            <w:vAlign w:val="center"/>
            <w:hideMark/>
          </w:tcPr>
          <w:p w:rsidR="00DA34A5" w:rsidRPr="00DA34A5" w:rsidP="00DA34A5" w14:paraId="1D1423E9" w14:textId="79ABAC49">
            <w:pPr>
              <w:pStyle w:val="BodyText"/>
              <w:keepNext/>
              <w:keepLines/>
              <w:jc w:val="center"/>
              <w:rPr>
                <w:rFonts w:ascii="Times New Roman" w:hAnsi="Times New Roman" w:cs="Times New Roman"/>
                <w:color w:val="auto"/>
                <w:sz w:val="16"/>
                <w:szCs w:val="16"/>
              </w:rPr>
            </w:pPr>
            <w:r w:rsidRPr="00DA34A5">
              <w:rPr>
                <w:rFonts w:ascii="Times New Roman" w:hAnsi="Times New Roman" w:cs="Times New Roman"/>
                <w:color w:val="auto"/>
                <w:sz w:val="16"/>
                <w:szCs w:val="16"/>
              </w:rPr>
              <w:t>$102,310</w:t>
            </w:r>
          </w:p>
        </w:tc>
        <w:tc>
          <w:tcPr>
            <w:tcW w:w="621" w:type="dxa"/>
            <w:vAlign w:val="center"/>
          </w:tcPr>
          <w:p w:rsidR="00DA34A5" w:rsidRPr="00DA34A5" w:rsidP="00DA34A5" w14:paraId="677578C6" w14:textId="18FC36C4">
            <w:pPr>
              <w:jc w:val="center"/>
              <w:rPr>
                <w:sz w:val="16"/>
                <w:szCs w:val="16"/>
              </w:rPr>
            </w:pPr>
            <w:r w:rsidRPr="00DA34A5">
              <w:rPr>
                <w:sz w:val="16"/>
                <w:szCs w:val="16"/>
              </w:rPr>
              <w:t>24</w:t>
            </w:r>
          </w:p>
        </w:tc>
        <w:tc>
          <w:tcPr>
            <w:tcW w:w="620" w:type="dxa"/>
            <w:vAlign w:val="center"/>
          </w:tcPr>
          <w:p w:rsidR="00DA34A5" w:rsidRPr="00DA34A5" w:rsidP="00DA34A5" w14:paraId="211599A9" w14:textId="587221AB">
            <w:pPr>
              <w:jc w:val="center"/>
              <w:rPr>
                <w:sz w:val="16"/>
                <w:szCs w:val="16"/>
              </w:rPr>
            </w:pPr>
            <w:r w:rsidRPr="00DA34A5">
              <w:rPr>
                <w:sz w:val="16"/>
                <w:szCs w:val="16"/>
              </w:rPr>
              <w:t>21</w:t>
            </w:r>
          </w:p>
        </w:tc>
        <w:tc>
          <w:tcPr>
            <w:tcW w:w="620" w:type="dxa"/>
            <w:vAlign w:val="center"/>
          </w:tcPr>
          <w:p w:rsidR="00DA34A5" w:rsidRPr="00DA34A5" w:rsidP="00DA34A5" w14:paraId="3E53DB49" w14:textId="03AFAF4C">
            <w:pPr>
              <w:jc w:val="center"/>
              <w:rPr>
                <w:sz w:val="16"/>
                <w:szCs w:val="16"/>
              </w:rPr>
            </w:pPr>
            <w:r w:rsidRPr="00DA34A5">
              <w:rPr>
                <w:sz w:val="16"/>
                <w:szCs w:val="16"/>
              </w:rPr>
              <w:t>504</w:t>
            </w:r>
          </w:p>
        </w:tc>
        <w:tc>
          <w:tcPr>
            <w:tcW w:w="699" w:type="dxa"/>
            <w:vAlign w:val="center"/>
          </w:tcPr>
          <w:p w:rsidR="00DA34A5" w:rsidRPr="00DA34A5" w:rsidP="00DA34A5" w14:paraId="487FAFB6" w14:textId="31FBCD0B">
            <w:pPr>
              <w:jc w:val="center"/>
              <w:rPr>
                <w:sz w:val="16"/>
                <w:szCs w:val="16"/>
              </w:rPr>
            </w:pPr>
            <w:r w:rsidRPr="00DA34A5">
              <w:rPr>
                <w:sz w:val="16"/>
                <w:szCs w:val="16"/>
              </w:rPr>
              <w:t>$28,214</w:t>
            </w:r>
          </w:p>
        </w:tc>
      </w:tr>
      <w:tr w14:paraId="2AEAC18A" w14:textId="38BD6520" w:rsidTr="00DA34A5">
        <w:tblPrEx>
          <w:tblW w:w="8785" w:type="dxa"/>
          <w:tblLayout w:type="fixed"/>
          <w:tblCellMar>
            <w:left w:w="29" w:type="dxa"/>
            <w:right w:w="29" w:type="dxa"/>
          </w:tblCellMar>
          <w:tblLook w:val="04A0"/>
        </w:tblPrEx>
        <w:trPr>
          <w:trHeight w:val="20"/>
        </w:trPr>
        <w:tc>
          <w:tcPr>
            <w:tcW w:w="1885" w:type="dxa"/>
            <w:vAlign w:val="center"/>
          </w:tcPr>
          <w:p w:rsidR="00DA34A5" w:rsidRPr="00F438D7" w:rsidP="00DA34A5" w14:paraId="76F2562E" w14:textId="17C8FCDD">
            <w:pPr>
              <w:pStyle w:val="BodyText"/>
              <w:keepNext/>
              <w:keepLines/>
              <w:rPr>
                <w:rFonts w:ascii="Times New Roman" w:hAnsi="Times New Roman" w:cs="Times New Roman"/>
                <w:color w:val="auto"/>
                <w:sz w:val="16"/>
                <w:szCs w:val="16"/>
              </w:rPr>
            </w:pPr>
            <w:r>
              <w:rPr>
                <w:rFonts w:ascii="Times New Roman" w:hAnsi="Times New Roman" w:cs="Times New Roman"/>
                <w:color w:val="auto"/>
                <w:sz w:val="16"/>
                <w:szCs w:val="16"/>
              </w:rPr>
              <w:t>Total Burden</w:t>
            </w:r>
          </w:p>
        </w:tc>
        <w:tc>
          <w:tcPr>
            <w:tcW w:w="578" w:type="dxa"/>
            <w:vAlign w:val="center"/>
          </w:tcPr>
          <w:p w:rsidR="00DA34A5" w:rsidRPr="00F438D7" w:rsidP="00DA34A5" w14:paraId="49E120E4" w14:textId="77777777">
            <w:pPr>
              <w:pStyle w:val="BodyText"/>
              <w:keepNext/>
              <w:keepLines/>
              <w:jc w:val="center"/>
              <w:rPr>
                <w:rFonts w:ascii="Times New Roman" w:hAnsi="Times New Roman" w:cs="Times New Roman"/>
                <w:color w:val="auto"/>
                <w:sz w:val="16"/>
                <w:szCs w:val="16"/>
              </w:rPr>
            </w:pPr>
          </w:p>
        </w:tc>
        <w:tc>
          <w:tcPr>
            <w:tcW w:w="466" w:type="dxa"/>
            <w:vAlign w:val="center"/>
          </w:tcPr>
          <w:p w:rsidR="00DA34A5" w:rsidRPr="00F438D7" w:rsidP="00DA34A5" w14:paraId="5CB7A02C" w14:textId="77777777">
            <w:pPr>
              <w:pStyle w:val="BodyText"/>
              <w:keepNext/>
              <w:keepLines/>
              <w:jc w:val="center"/>
              <w:rPr>
                <w:rFonts w:ascii="Times New Roman" w:hAnsi="Times New Roman" w:cs="Times New Roman"/>
                <w:color w:val="auto"/>
                <w:sz w:val="16"/>
                <w:szCs w:val="16"/>
              </w:rPr>
            </w:pPr>
          </w:p>
        </w:tc>
        <w:tc>
          <w:tcPr>
            <w:tcW w:w="620" w:type="dxa"/>
            <w:vAlign w:val="center"/>
          </w:tcPr>
          <w:p w:rsidR="00DA34A5" w:rsidRPr="00F438D7" w:rsidP="00DA34A5" w14:paraId="0B888D8E" w14:textId="77777777">
            <w:pPr>
              <w:pStyle w:val="BodyText"/>
              <w:keepNext/>
              <w:keepLines/>
              <w:jc w:val="center"/>
              <w:rPr>
                <w:rFonts w:ascii="Times New Roman" w:hAnsi="Times New Roman" w:cs="Times New Roman"/>
                <w:color w:val="auto"/>
                <w:sz w:val="16"/>
                <w:szCs w:val="16"/>
              </w:rPr>
            </w:pPr>
          </w:p>
        </w:tc>
        <w:tc>
          <w:tcPr>
            <w:tcW w:w="738" w:type="dxa"/>
            <w:vAlign w:val="center"/>
          </w:tcPr>
          <w:p w:rsidR="00DA34A5" w:rsidRPr="00F438D7" w:rsidP="00DA34A5" w14:paraId="10AB44B3" w14:textId="77777777">
            <w:pPr>
              <w:pStyle w:val="BodyText"/>
              <w:keepNext/>
              <w:keepLines/>
              <w:jc w:val="center"/>
              <w:rPr>
                <w:rFonts w:ascii="Times New Roman" w:hAnsi="Times New Roman" w:cs="Times New Roman"/>
                <w:color w:val="auto"/>
                <w:sz w:val="16"/>
                <w:szCs w:val="16"/>
              </w:rPr>
            </w:pPr>
          </w:p>
        </w:tc>
        <w:tc>
          <w:tcPr>
            <w:tcW w:w="620" w:type="dxa"/>
            <w:vAlign w:val="center"/>
          </w:tcPr>
          <w:p w:rsidR="00DA34A5" w:rsidRPr="00F438D7" w:rsidP="00DA34A5" w14:paraId="15773EC7" w14:textId="77777777">
            <w:pPr>
              <w:pStyle w:val="BodyText"/>
              <w:keepNext/>
              <w:keepLines/>
              <w:jc w:val="center"/>
              <w:rPr>
                <w:rFonts w:ascii="Times New Roman" w:hAnsi="Times New Roman" w:cs="Times New Roman"/>
                <w:color w:val="auto"/>
                <w:sz w:val="16"/>
                <w:szCs w:val="16"/>
              </w:rPr>
            </w:pPr>
          </w:p>
        </w:tc>
        <w:tc>
          <w:tcPr>
            <w:tcW w:w="620" w:type="dxa"/>
            <w:vAlign w:val="center"/>
          </w:tcPr>
          <w:p w:rsidR="00DA34A5" w:rsidRPr="00DA34A5" w:rsidP="00DA34A5" w14:paraId="1AB0112B" w14:textId="77777777">
            <w:pPr>
              <w:pStyle w:val="BodyText"/>
              <w:keepNext/>
              <w:keepLines/>
              <w:jc w:val="center"/>
              <w:rPr>
                <w:rFonts w:ascii="Times New Roman" w:hAnsi="Times New Roman" w:cs="Times New Roman"/>
                <w:color w:val="auto"/>
                <w:sz w:val="16"/>
                <w:szCs w:val="16"/>
              </w:rPr>
            </w:pPr>
          </w:p>
        </w:tc>
        <w:tc>
          <w:tcPr>
            <w:tcW w:w="698" w:type="dxa"/>
            <w:vAlign w:val="center"/>
          </w:tcPr>
          <w:p w:rsidR="00DA34A5" w:rsidRPr="00DA34A5" w:rsidP="00DA34A5" w14:paraId="6F8F4CED" w14:textId="77777777">
            <w:pPr>
              <w:pStyle w:val="BodyText"/>
              <w:keepNext/>
              <w:keepLines/>
              <w:jc w:val="center"/>
              <w:rPr>
                <w:rFonts w:ascii="Times New Roman" w:hAnsi="Times New Roman" w:cs="Times New Roman"/>
                <w:color w:val="auto"/>
                <w:sz w:val="16"/>
                <w:szCs w:val="16"/>
              </w:rPr>
            </w:pPr>
          </w:p>
        </w:tc>
        <w:tc>
          <w:tcPr>
            <w:tcW w:w="621" w:type="dxa"/>
            <w:vAlign w:val="center"/>
          </w:tcPr>
          <w:p w:rsidR="00DA34A5" w:rsidRPr="00DA34A5" w:rsidP="00DA34A5" w14:paraId="678703AD" w14:textId="2B94DB3B">
            <w:pPr>
              <w:jc w:val="center"/>
              <w:rPr>
                <w:sz w:val="16"/>
                <w:szCs w:val="16"/>
              </w:rPr>
            </w:pPr>
            <w:r w:rsidRPr="00DA34A5">
              <w:rPr>
                <w:sz w:val="16"/>
                <w:szCs w:val="16"/>
              </w:rPr>
              <w:t>140</w:t>
            </w:r>
          </w:p>
        </w:tc>
        <w:tc>
          <w:tcPr>
            <w:tcW w:w="620" w:type="dxa"/>
            <w:vAlign w:val="center"/>
          </w:tcPr>
          <w:p w:rsidR="00DA34A5" w:rsidRPr="00DA34A5" w:rsidP="00DA34A5" w14:paraId="41A4ED1F" w14:textId="74D04CE2">
            <w:pPr>
              <w:jc w:val="center"/>
              <w:rPr>
                <w:sz w:val="16"/>
                <w:szCs w:val="16"/>
              </w:rPr>
            </w:pPr>
          </w:p>
        </w:tc>
        <w:tc>
          <w:tcPr>
            <w:tcW w:w="620" w:type="dxa"/>
            <w:vAlign w:val="center"/>
          </w:tcPr>
          <w:p w:rsidR="00DA34A5" w:rsidRPr="00DA34A5" w:rsidP="00DA34A5" w14:paraId="6F299FF7" w14:textId="76226B3E">
            <w:pPr>
              <w:jc w:val="center"/>
              <w:rPr>
                <w:sz w:val="16"/>
                <w:szCs w:val="16"/>
              </w:rPr>
            </w:pPr>
          </w:p>
        </w:tc>
        <w:tc>
          <w:tcPr>
            <w:tcW w:w="699" w:type="dxa"/>
            <w:vAlign w:val="center"/>
          </w:tcPr>
          <w:p w:rsidR="00DA34A5" w:rsidRPr="00DA34A5" w:rsidP="00DA34A5" w14:paraId="13BA6B59" w14:textId="296F35E7">
            <w:pPr>
              <w:jc w:val="center"/>
              <w:rPr>
                <w:sz w:val="16"/>
                <w:szCs w:val="16"/>
              </w:rPr>
            </w:pPr>
            <w:r w:rsidRPr="00DA34A5">
              <w:rPr>
                <w:sz w:val="16"/>
                <w:szCs w:val="16"/>
              </w:rPr>
              <w:t>$172,618</w:t>
            </w:r>
          </w:p>
        </w:tc>
      </w:tr>
    </w:tbl>
    <w:p w:rsidR="00BD19EB" w:rsidP="00BD19EB" w14:paraId="529B3C31" w14:textId="77777777">
      <w:pPr>
        <w:pStyle w:val="BodyText"/>
        <w:rPr>
          <w:rFonts w:ascii="Times New Roman" w:hAnsi="Times New Roman" w:cs="Times New Roman"/>
          <w:color w:val="auto"/>
          <w:sz w:val="16"/>
          <w:szCs w:val="16"/>
        </w:rPr>
      </w:pPr>
    </w:p>
    <w:p w:rsidR="006B54FF" w:rsidRPr="006B54FF" w:rsidP="006B54FF" w14:paraId="628CF0C5" w14:textId="3067B0AD">
      <w:pPr>
        <w:pStyle w:val="BodyText"/>
        <w:shd w:val="clear" w:color="auto" w:fill="D9D9D9" w:themeFill="background1" w:themeFillShade="D9"/>
        <w:rPr>
          <w:rFonts w:ascii="Times New Roman" w:hAnsi="Times New Roman" w:cs="Times New Roman"/>
          <w:color w:val="auto"/>
          <w:sz w:val="16"/>
          <w:szCs w:val="16"/>
        </w:rPr>
      </w:pPr>
      <w:r w:rsidRPr="006B54FF">
        <w:rPr>
          <w:rFonts w:ascii="Times New Roman" w:hAnsi="Times New Roman" w:cs="Times New Roman"/>
          <w:color w:val="auto"/>
          <w:sz w:val="16"/>
          <w:szCs w:val="16"/>
        </w:rPr>
        <w:t xml:space="preserve">Cells in gray </w:t>
      </w:r>
      <w:r w:rsidRPr="006B54FF">
        <w:rPr>
          <w:rFonts w:ascii="Times New Roman" w:hAnsi="Times New Roman" w:cs="Times New Roman"/>
          <w:color w:val="auto"/>
          <w:sz w:val="16"/>
          <w:szCs w:val="16"/>
        </w:rPr>
        <w:t>extracted</w:t>
      </w:r>
      <w:r w:rsidRPr="006B54FF">
        <w:rPr>
          <w:rFonts w:ascii="Times New Roman" w:hAnsi="Times New Roman" w:cs="Times New Roman"/>
          <w:color w:val="auto"/>
          <w:sz w:val="16"/>
          <w:szCs w:val="16"/>
        </w:rPr>
        <w:t xml:space="preserve"> from BLS </w:t>
      </w:r>
      <w:r w:rsidR="00DA34A5">
        <w:rPr>
          <w:rFonts w:ascii="Times New Roman" w:hAnsi="Times New Roman" w:cs="Times New Roman"/>
          <w:color w:val="auto"/>
          <w:sz w:val="16"/>
          <w:szCs w:val="16"/>
        </w:rPr>
        <w:t>Occupational Employment and Wage Statistics</w:t>
      </w:r>
      <w:r w:rsidRPr="006B54FF">
        <w:rPr>
          <w:rFonts w:ascii="Times New Roman" w:hAnsi="Times New Roman" w:cs="Times New Roman"/>
          <w:color w:val="auto"/>
          <w:sz w:val="16"/>
          <w:szCs w:val="16"/>
        </w:rPr>
        <w:t>, May 202</w:t>
      </w:r>
      <w:r w:rsidR="00DA34A5">
        <w:rPr>
          <w:rFonts w:ascii="Times New Roman" w:hAnsi="Times New Roman" w:cs="Times New Roman"/>
          <w:color w:val="auto"/>
          <w:sz w:val="16"/>
          <w:szCs w:val="16"/>
        </w:rPr>
        <w:t>3</w:t>
      </w:r>
    </w:p>
    <w:p w:rsidR="00F438D7" w:rsidRPr="00A96743" w:rsidP="00F438D7" w14:paraId="2FD98E3D" w14:textId="1A315DCA">
      <w:pPr>
        <w:pStyle w:val="BodyText"/>
        <w:rPr>
          <w:rFonts w:ascii="Times New Roman" w:hAnsi="Times New Roman" w:cs="Times New Roman"/>
          <w:color w:val="auto"/>
          <w:sz w:val="16"/>
          <w:szCs w:val="16"/>
        </w:rPr>
      </w:pPr>
      <w:r w:rsidRPr="00A96743">
        <w:rPr>
          <w:rFonts w:ascii="Times New Roman" w:hAnsi="Times New Roman" w:cs="Times New Roman"/>
          <w:color w:val="auto"/>
          <w:sz w:val="16"/>
          <w:szCs w:val="16"/>
        </w:rPr>
        <w:t>(1) Estimates for detailed occupations do not sum to the totals because the totals include occupations not shown separately. Estimates do not include self-employed workers.</w:t>
      </w:r>
    </w:p>
    <w:p w:rsidR="00F438D7" w:rsidRPr="00A96743" w:rsidP="00F438D7" w14:paraId="4832853D" w14:textId="72E7CA66">
      <w:pPr>
        <w:pStyle w:val="BodyText"/>
        <w:rPr>
          <w:rFonts w:ascii="Times New Roman" w:hAnsi="Times New Roman" w:cs="Times New Roman"/>
          <w:color w:val="auto"/>
          <w:sz w:val="16"/>
          <w:szCs w:val="16"/>
        </w:rPr>
      </w:pPr>
      <w:r w:rsidRPr="00A96743">
        <w:rPr>
          <w:rFonts w:ascii="Times New Roman" w:hAnsi="Times New Roman" w:cs="Times New Roman"/>
          <w:color w:val="auto"/>
          <w:sz w:val="16"/>
          <w:szCs w:val="16"/>
        </w:rPr>
        <w:t>(2) Annual wages have been calculated by multiplying the corresponding hourly wage by 2,080 hours.</w:t>
      </w:r>
    </w:p>
    <w:p w:rsidR="00F438D7" w:rsidP="00F438D7" w14:paraId="552E4F26" w14:textId="286110C0">
      <w:pPr>
        <w:pStyle w:val="BodyText"/>
        <w:rPr>
          <w:rFonts w:ascii="Times New Roman" w:hAnsi="Times New Roman" w:cs="Times New Roman"/>
          <w:color w:val="auto"/>
          <w:sz w:val="16"/>
          <w:szCs w:val="16"/>
        </w:rPr>
      </w:pPr>
      <w:r w:rsidRPr="00A96743">
        <w:rPr>
          <w:rFonts w:ascii="Times New Roman" w:hAnsi="Times New Roman" w:cs="Times New Roman"/>
          <w:color w:val="auto"/>
          <w:sz w:val="16"/>
          <w:szCs w:val="16"/>
        </w:rPr>
        <w:t>(3) The relative standard error (RSE) is a measure of the reliability of a survey statistic. The smaller the relative standard error, the more precise the estimate.</w:t>
      </w:r>
    </w:p>
    <w:p w:rsidR="00BD19EB" w:rsidRPr="00A96743" w:rsidP="00F438D7" w14:paraId="2ECC4D46" w14:textId="77777777">
      <w:pPr>
        <w:pStyle w:val="BodyText"/>
        <w:rPr>
          <w:rFonts w:ascii="Times New Roman" w:hAnsi="Times New Roman" w:cs="Times New Roman"/>
          <w:color w:val="auto"/>
          <w:sz w:val="16"/>
          <w:szCs w:val="16"/>
        </w:rPr>
      </w:pPr>
    </w:p>
    <w:p w:rsidR="00F438D7" w:rsidRPr="00A96743" w:rsidP="00F438D7" w14:paraId="51656714" w14:textId="25BC690A">
      <w:pPr>
        <w:pStyle w:val="BodyText"/>
        <w:rPr>
          <w:rFonts w:ascii="Times New Roman" w:hAnsi="Times New Roman" w:cs="Times New Roman"/>
          <w:color w:val="auto"/>
          <w:sz w:val="16"/>
          <w:szCs w:val="16"/>
        </w:rPr>
      </w:pPr>
      <w:r w:rsidRPr="00A96743">
        <w:rPr>
          <w:rFonts w:ascii="Times New Roman" w:hAnsi="Times New Roman" w:cs="Times New Roman"/>
          <w:color w:val="auto"/>
          <w:sz w:val="16"/>
          <w:szCs w:val="16"/>
        </w:rPr>
        <w:t xml:space="preserve">SOC code: Standard Occupational Classification code -- see </w:t>
      </w:r>
      <w:hyperlink r:id="rId7" w:history="1">
        <w:r w:rsidRPr="00A96743">
          <w:rPr>
            <w:rStyle w:val="Hyperlink"/>
            <w:rFonts w:ascii="Times New Roman" w:hAnsi="Times New Roman" w:cs="Times New Roman"/>
            <w:sz w:val="16"/>
            <w:szCs w:val="16"/>
          </w:rPr>
          <w:t>http://www.bls.gov/soc/home.htm</w:t>
        </w:r>
      </w:hyperlink>
      <w:r w:rsidRPr="00A96743">
        <w:rPr>
          <w:rFonts w:ascii="Times New Roman" w:hAnsi="Times New Roman" w:cs="Times New Roman"/>
          <w:color w:val="auto"/>
          <w:sz w:val="16"/>
          <w:szCs w:val="16"/>
        </w:rPr>
        <w:t xml:space="preserve"> </w:t>
      </w:r>
    </w:p>
    <w:p w:rsidR="00BD1BF2" w:rsidRPr="00F3276E" w14:paraId="4E636CC4" w14:textId="0908560F">
      <w:pPr>
        <w:pStyle w:val="NormalWeb"/>
        <w:rPr>
          <w:rFonts w:ascii="Times New Roman" w:hAnsi="Times New Roman" w:cs="Times New Roman"/>
        </w:rPr>
      </w:pPr>
      <w:r w:rsidRPr="00F3276E">
        <w:rPr>
          <w:rFonts w:ascii="Times New Roman" w:hAnsi="Times New Roman" w:cs="Times New Roman"/>
        </w:rPr>
        <w:t xml:space="preserve">13. </w:t>
      </w:r>
      <w:r w:rsidRPr="00E140AD" w:rsidR="00F3276E">
        <w:rPr>
          <w:rFonts w:ascii="Times New Roman" w:hAnsi="Times New Roman" w:cs="Times New Roman"/>
          <w:u w:val="single"/>
        </w:rPr>
        <w:t>Provide an estimate of cost to the respondents. Do not include the cost of any hour burden shown in items 12 and 14. General estimates should not include purchase of equipment or services or portions thereof made prior to October, 1995.</w:t>
      </w:r>
    </w:p>
    <w:p w:rsidR="00555867" w:rsidRPr="00CE649C" w14:paraId="5750683A" w14:textId="41950743">
      <w:pPr>
        <w:pStyle w:val="NormalWeb"/>
        <w:rPr>
          <w:rFonts w:ascii="Times New Roman" w:hAnsi="Times New Roman" w:cs="Times New Roman"/>
        </w:rPr>
      </w:pPr>
      <w:r>
        <w:rPr>
          <w:rFonts w:ascii="Times New Roman" w:hAnsi="Times New Roman" w:cs="Times New Roman"/>
        </w:rPr>
        <w:t>There is no additional cost to the respondents.</w:t>
      </w:r>
    </w:p>
    <w:p w:rsidR="00BD1BF2" w:rsidRPr="00CE649C" w14:paraId="42BB6EC8" w14:textId="77777777">
      <w:pPr>
        <w:pStyle w:val="NormalWeb"/>
        <w:rPr>
          <w:rFonts w:ascii="Times New Roman" w:hAnsi="Times New Roman" w:cs="Times New Roman"/>
        </w:rPr>
      </w:pPr>
      <w:r w:rsidRPr="00CE649C">
        <w:rPr>
          <w:rFonts w:ascii="Times New Roman" w:hAnsi="Times New Roman" w:cs="Times New Roman"/>
        </w:rPr>
        <w:t xml:space="preserve">14. </w:t>
      </w:r>
      <w:r w:rsidRPr="00CE649C">
        <w:rPr>
          <w:rFonts w:ascii="Times New Roman" w:hAnsi="Times New Roman" w:cs="Times New Roman"/>
          <w:u w:val="single"/>
        </w:rPr>
        <w:t>Estimate of cost to the Federal government</w:t>
      </w:r>
      <w:r w:rsidRPr="00CE649C">
        <w:rPr>
          <w:rFonts w:ascii="Times New Roman" w:hAnsi="Times New Roman" w:cs="Times New Roman"/>
        </w:rPr>
        <w:t>:</w:t>
      </w:r>
    </w:p>
    <w:p w:rsidR="004120A7" w14:paraId="4AB823CD" w14:textId="6D2BBB66">
      <w:pPr>
        <w:pStyle w:val="BodyText"/>
        <w:rPr>
          <w:rFonts w:ascii="Times New Roman" w:hAnsi="Times New Roman" w:cs="Times New Roman"/>
          <w:color w:val="auto"/>
          <w:sz w:val="24"/>
          <w:szCs w:val="24"/>
        </w:rPr>
      </w:pPr>
      <w:r w:rsidRPr="00CE649C">
        <w:rPr>
          <w:rFonts w:ascii="Times New Roman" w:hAnsi="Times New Roman" w:cs="Times New Roman"/>
          <w:color w:val="auto"/>
          <w:sz w:val="24"/>
          <w:szCs w:val="24"/>
        </w:rPr>
        <w:t xml:space="preserve">Two full-time </w:t>
      </w:r>
      <w:r w:rsidR="0017141B">
        <w:rPr>
          <w:rFonts w:ascii="Times New Roman" w:hAnsi="Times New Roman" w:cs="Times New Roman"/>
          <w:color w:val="auto"/>
          <w:sz w:val="24"/>
          <w:szCs w:val="24"/>
        </w:rPr>
        <w:t xml:space="preserve">GS-12 </w:t>
      </w:r>
      <w:r w:rsidRPr="00CE649C">
        <w:rPr>
          <w:rFonts w:ascii="Times New Roman" w:hAnsi="Times New Roman" w:cs="Times New Roman"/>
          <w:color w:val="auto"/>
          <w:sz w:val="24"/>
          <w:szCs w:val="24"/>
        </w:rPr>
        <w:t>employees</w:t>
      </w:r>
      <w:r w:rsidR="00CD70FE">
        <w:rPr>
          <w:rFonts w:ascii="Times New Roman" w:hAnsi="Times New Roman" w:cs="Times New Roman"/>
          <w:color w:val="auto"/>
          <w:sz w:val="24"/>
          <w:szCs w:val="24"/>
        </w:rPr>
        <w:t>, one GS-13 employee, and two GS-14 employees</w:t>
      </w:r>
      <w:r w:rsidR="0017141B">
        <w:rPr>
          <w:rFonts w:ascii="Times New Roman" w:hAnsi="Times New Roman" w:cs="Times New Roman"/>
          <w:color w:val="auto"/>
          <w:sz w:val="24"/>
          <w:szCs w:val="24"/>
        </w:rPr>
        <w:t xml:space="preserve"> </w:t>
      </w:r>
      <w:r w:rsidR="00DA34A5">
        <w:rPr>
          <w:rFonts w:ascii="Times New Roman" w:hAnsi="Times New Roman" w:cs="Times New Roman"/>
          <w:color w:val="auto"/>
          <w:sz w:val="24"/>
          <w:szCs w:val="24"/>
        </w:rPr>
        <w:t>are</w:t>
      </w:r>
      <w:r w:rsidRPr="00CE649C">
        <w:rPr>
          <w:rFonts w:ascii="Times New Roman" w:hAnsi="Times New Roman" w:cs="Times New Roman"/>
          <w:color w:val="auto"/>
          <w:sz w:val="24"/>
          <w:szCs w:val="24"/>
        </w:rPr>
        <w:t xml:space="preserve"> needed</w:t>
      </w:r>
      <w:r w:rsidRPr="00CE649C" w:rsidR="0090328E">
        <w:rPr>
          <w:rFonts w:ascii="Times New Roman" w:hAnsi="Times New Roman" w:cs="Times New Roman"/>
          <w:color w:val="auto"/>
          <w:sz w:val="24"/>
          <w:szCs w:val="24"/>
        </w:rPr>
        <w:t xml:space="preserve"> </w:t>
      </w:r>
      <w:r w:rsidR="005E3B44">
        <w:rPr>
          <w:rFonts w:ascii="Times New Roman" w:hAnsi="Times New Roman" w:cs="Times New Roman"/>
          <w:color w:val="auto"/>
          <w:sz w:val="24"/>
          <w:szCs w:val="24"/>
        </w:rPr>
        <w:t>to support the program</w:t>
      </w:r>
      <w:r w:rsidR="00CD70FE">
        <w:rPr>
          <w:rFonts w:ascii="Times New Roman" w:hAnsi="Times New Roman" w:cs="Times New Roman"/>
          <w:color w:val="auto"/>
          <w:sz w:val="24"/>
          <w:szCs w:val="24"/>
        </w:rPr>
        <w:t xml:space="preserve">. </w:t>
      </w:r>
      <w:r w:rsidRPr="00CE649C" w:rsidR="0090328E">
        <w:rPr>
          <w:rFonts w:ascii="Times New Roman" w:hAnsi="Times New Roman" w:cs="Times New Roman"/>
          <w:color w:val="auto"/>
          <w:sz w:val="24"/>
          <w:szCs w:val="24"/>
        </w:rPr>
        <w:t>The</w:t>
      </w:r>
      <w:r w:rsidR="00CD70FE">
        <w:rPr>
          <w:rFonts w:ascii="Times New Roman" w:hAnsi="Times New Roman" w:cs="Times New Roman"/>
          <w:color w:val="auto"/>
          <w:sz w:val="24"/>
          <w:szCs w:val="24"/>
        </w:rPr>
        <w:t xml:space="preserve"> annual</w:t>
      </w:r>
      <w:r w:rsidRPr="00CE649C" w:rsidR="0090328E">
        <w:rPr>
          <w:rFonts w:ascii="Times New Roman" w:hAnsi="Times New Roman" w:cs="Times New Roman"/>
          <w:color w:val="auto"/>
          <w:sz w:val="24"/>
          <w:szCs w:val="24"/>
        </w:rPr>
        <w:t xml:space="preserve"> </w:t>
      </w:r>
      <w:r w:rsidR="0017141B">
        <w:rPr>
          <w:rFonts w:ascii="Times New Roman" w:hAnsi="Times New Roman" w:cs="Times New Roman"/>
          <w:color w:val="auto"/>
          <w:sz w:val="24"/>
          <w:szCs w:val="24"/>
        </w:rPr>
        <w:t>salar</w:t>
      </w:r>
      <w:r w:rsidR="00CD70FE">
        <w:rPr>
          <w:rFonts w:ascii="Times New Roman" w:hAnsi="Times New Roman" w:cs="Times New Roman"/>
          <w:color w:val="auto"/>
          <w:sz w:val="24"/>
          <w:szCs w:val="24"/>
        </w:rPr>
        <w:t>ies</w:t>
      </w:r>
      <w:r w:rsidR="0017141B">
        <w:rPr>
          <w:rFonts w:ascii="Times New Roman" w:hAnsi="Times New Roman" w:cs="Times New Roman"/>
          <w:color w:val="auto"/>
          <w:sz w:val="24"/>
          <w:szCs w:val="24"/>
        </w:rPr>
        <w:t xml:space="preserve"> per employee estimated at the step 7 level </w:t>
      </w:r>
      <w:r w:rsidR="002D09EF">
        <w:rPr>
          <w:rFonts w:ascii="Times New Roman" w:hAnsi="Times New Roman" w:cs="Times New Roman"/>
          <w:color w:val="auto"/>
          <w:sz w:val="24"/>
          <w:szCs w:val="24"/>
        </w:rPr>
        <w:t>and t</w:t>
      </w:r>
      <w:r w:rsidR="0017141B">
        <w:rPr>
          <w:rFonts w:ascii="Times New Roman" w:hAnsi="Times New Roman" w:cs="Times New Roman"/>
          <w:color w:val="auto"/>
          <w:sz w:val="24"/>
          <w:szCs w:val="24"/>
        </w:rPr>
        <w:t xml:space="preserve">he total fully </w:t>
      </w:r>
      <w:r w:rsidR="00753859">
        <w:rPr>
          <w:rFonts w:ascii="Times New Roman" w:hAnsi="Times New Roman" w:cs="Times New Roman"/>
          <w:color w:val="auto"/>
          <w:sz w:val="24"/>
          <w:szCs w:val="24"/>
        </w:rPr>
        <w:t>burdened</w:t>
      </w:r>
      <w:r w:rsidR="0017141B">
        <w:rPr>
          <w:rFonts w:ascii="Times New Roman" w:hAnsi="Times New Roman" w:cs="Times New Roman"/>
          <w:color w:val="auto"/>
          <w:sz w:val="24"/>
          <w:szCs w:val="24"/>
        </w:rPr>
        <w:t xml:space="preserve"> cost </w:t>
      </w:r>
      <w:r w:rsidR="002D09EF">
        <w:rPr>
          <w:rFonts w:ascii="Times New Roman" w:hAnsi="Times New Roman" w:cs="Times New Roman"/>
          <w:color w:val="auto"/>
          <w:sz w:val="24"/>
          <w:szCs w:val="24"/>
        </w:rPr>
        <w:t>(</w:t>
      </w:r>
      <w:r w:rsidR="0017141B">
        <w:rPr>
          <w:rFonts w:ascii="Times New Roman" w:hAnsi="Times New Roman" w:cs="Times New Roman"/>
          <w:color w:val="auto"/>
          <w:sz w:val="24"/>
          <w:szCs w:val="24"/>
        </w:rPr>
        <w:t xml:space="preserve">estimated as </w:t>
      </w:r>
      <w:r w:rsidR="00CD70FE">
        <w:rPr>
          <w:rFonts w:ascii="Times New Roman" w:hAnsi="Times New Roman" w:cs="Times New Roman"/>
          <w:color w:val="auto"/>
          <w:sz w:val="24"/>
          <w:szCs w:val="24"/>
        </w:rPr>
        <w:t xml:space="preserve">1.4 times </w:t>
      </w:r>
      <w:r w:rsidR="00753859">
        <w:rPr>
          <w:rFonts w:ascii="Times New Roman" w:hAnsi="Times New Roman" w:cs="Times New Roman"/>
          <w:color w:val="auto"/>
          <w:sz w:val="24"/>
          <w:szCs w:val="24"/>
        </w:rPr>
        <w:t xml:space="preserve">the </w:t>
      </w:r>
      <w:r w:rsidR="00E814A5">
        <w:rPr>
          <w:rFonts w:ascii="Times New Roman" w:hAnsi="Times New Roman" w:cs="Times New Roman"/>
          <w:color w:val="auto"/>
          <w:sz w:val="24"/>
          <w:szCs w:val="24"/>
        </w:rPr>
        <w:t>respective</w:t>
      </w:r>
      <w:r w:rsidR="00753859">
        <w:rPr>
          <w:rFonts w:ascii="Times New Roman" w:hAnsi="Times New Roman" w:cs="Times New Roman"/>
          <w:color w:val="auto"/>
          <w:sz w:val="24"/>
          <w:szCs w:val="24"/>
        </w:rPr>
        <w:t xml:space="preserve"> salaries</w:t>
      </w:r>
      <w:r w:rsidR="002D09EF">
        <w:rPr>
          <w:rFonts w:ascii="Times New Roman" w:hAnsi="Times New Roman" w:cs="Times New Roman"/>
          <w:color w:val="auto"/>
          <w:sz w:val="24"/>
          <w:szCs w:val="24"/>
        </w:rPr>
        <w:t>)</w:t>
      </w:r>
      <w:r w:rsidR="00DA34A5">
        <w:rPr>
          <w:rFonts w:ascii="Times New Roman" w:hAnsi="Times New Roman" w:cs="Times New Roman"/>
          <w:color w:val="auto"/>
          <w:sz w:val="24"/>
          <w:szCs w:val="24"/>
        </w:rPr>
        <w:t xml:space="preserve"> for employees within the Washington, DC area</w:t>
      </w:r>
      <w:r w:rsidR="002D09EF">
        <w:rPr>
          <w:rFonts w:ascii="Times New Roman" w:hAnsi="Times New Roman" w:cs="Times New Roman"/>
          <w:color w:val="auto"/>
          <w:sz w:val="24"/>
          <w:szCs w:val="24"/>
        </w:rPr>
        <w:t xml:space="preserve"> is shown in the table below. The total annual cost estimate for these employees is $</w:t>
      </w:r>
      <w:r w:rsidR="00DA34A5">
        <w:rPr>
          <w:rFonts w:ascii="Times New Roman" w:hAnsi="Times New Roman" w:cs="Times New Roman"/>
          <w:color w:val="auto"/>
          <w:sz w:val="24"/>
          <w:szCs w:val="24"/>
        </w:rPr>
        <w:t>1,032,277.40.</w:t>
      </w:r>
    </w:p>
    <w:p w:rsidR="004120A7" w14:paraId="2B53D01D" w14:textId="3143D572">
      <w:pPr>
        <w:pStyle w:val="BodyText"/>
        <w:rPr>
          <w:rFonts w:ascii="Times New Roman" w:hAnsi="Times New Roman" w:cs="Times New Roman"/>
          <w:color w:val="auto"/>
          <w:sz w:val="24"/>
          <w:szCs w:val="24"/>
        </w:rPr>
      </w:pPr>
    </w:p>
    <w:tbl>
      <w:tblPr>
        <w:tblStyle w:val="TableGrid"/>
        <w:tblW w:w="0" w:type="auto"/>
        <w:tblLook w:val="04A0"/>
      </w:tblPr>
      <w:tblGrid>
        <w:gridCol w:w="1715"/>
        <w:gridCol w:w="1827"/>
        <w:gridCol w:w="1872"/>
        <w:gridCol w:w="1608"/>
        <w:gridCol w:w="1608"/>
      </w:tblGrid>
      <w:tr w14:paraId="46130F64" w14:textId="1CCB0BC3" w:rsidTr="00B11B18">
        <w:tblPrEx>
          <w:tblW w:w="0" w:type="auto"/>
          <w:tblLook w:val="04A0"/>
        </w:tblPrEx>
        <w:tc>
          <w:tcPr>
            <w:tcW w:w="1715" w:type="dxa"/>
            <w:vAlign w:val="center"/>
          </w:tcPr>
          <w:p w:rsidR="002D09EF" w:rsidP="002D09EF" w14:paraId="510059B7" w14:textId="2253FC71">
            <w:r>
              <w:t> </w:t>
            </w:r>
          </w:p>
        </w:tc>
        <w:tc>
          <w:tcPr>
            <w:tcW w:w="1827" w:type="dxa"/>
            <w:vAlign w:val="center"/>
          </w:tcPr>
          <w:p w:rsidR="002D09EF" w:rsidP="002D09EF" w14:paraId="157EAB48" w14:textId="59432549">
            <w:r>
              <w:t>Annual Salary</w:t>
            </w:r>
          </w:p>
        </w:tc>
        <w:tc>
          <w:tcPr>
            <w:tcW w:w="1872" w:type="dxa"/>
            <w:vAlign w:val="center"/>
          </w:tcPr>
          <w:p w:rsidR="002D09EF" w:rsidP="002D09EF" w14:paraId="377DAEEA" w14:textId="3D8D6C8D">
            <w:r>
              <w:t>Fully Burdened Annual Salary Estimate</w:t>
            </w:r>
          </w:p>
        </w:tc>
        <w:tc>
          <w:tcPr>
            <w:tcW w:w="1608" w:type="dxa"/>
            <w:vAlign w:val="center"/>
          </w:tcPr>
          <w:p w:rsidR="002D09EF" w:rsidP="002D09EF" w14:paraId="6BAC24F7" w14:textId="758A3842">
            <w:r>
              <w:t>Number of FTEs</w:t>
            </w:r>
          </w:p>
        </w:tc>
        <w:tc>
          <w:tcPr>
            <w:tcW w:w="1608" w:type="dxa"/>
            <w:vAlign w:val="center"/>
          </w:tcPr>
          <w:p w:rsidR="002D09EF" w:rsidP="002D09EF" w14:paraId="348EF4FB" w14:textId="529D306A">
            <w:r>
              <w:t>Total Cost Estimate</w:t>
            </w:r>
          </w:p>
        </w:tc>
      </w:tr>
      <w:tr w14:paraId="7F25AD4C" w14:textId="6B59236A" w:rsidTr="009E27DE">
        <w:tblPrEx>
          <w:tblW w:w="0" w:type="auto"/>
          <w:tblLook w:val="04A0"/>
        </w:tblPrEx>
        <w:tc>
          <w:tcPr>
            <w:tcW w:w="1715" w:type="dxa"/>
            <w:vAlign w:val="center"/>
          </w:tcPr>
          <w:p w:rsidR="00DA34A5" w:rsidP="00DA34A5" w14:paraId="64424C50" w14:textId="73DF91E5">
            <w:r>
              <w:t>GS-12</w:t>
            </w:r>
          </w:p>
        </w:tc>
        <w:tc>
          <w:tcPr>
            <w:tcW w:w="1827" w:type="dxa"/>
            <w:vAlign w:val="center"/>
          </w:tcPr>
          <w:p w:rsidR="00DA34A5" w:rsidP="00DA34A5" w14:paraId="5E7682DC" w14:textId="45819940">
            <w:r>
              <w:t>$122,899</w:t>
            </w:r>
          </w:p>
        </w:tc>
        <w:tc>
          <w:tcPr>
            <w:tcW w:w="1872" w:type="dxa"/>
          </w:tcPr>
          <w:p w:rsidR="00DA34A5" w:rsidP="00DA34A5" w14:paraId="03871E0C" w14:textId="4680E426">
            <w:r w:rsidRPr="00551119">
              <w:t xml:space="preserve">$172,058.60 </w:t>
            </w:r>
          </w:p>
        </w:tc>
        <w:tc>
          <w:tcPr>
            <w:tcW w:w="1608" w:type="dxa"/>
            <w:vAlign w:val="center"/>
          </w:tcPr>
          <w:p w:rsidR="00DA34A5" w:rsidP="00DA34A5" w14:paraId="719869F4" w14:textId="73EB0098">
            <w:r>
              <w:t>2</w:t>
            </w:r>
          </w:p>
        </w:tc>
        <w:tc>
          <w:tcPr>
            <w:tcW w:w="1608" w:type="dxa"/>
          </w:tcPr>
          <w:p w:rsidR="00DA34A5" w:rsidP="00DA34A5" w14:paraId="55B0785E" w14:textId="7B78FD02">
            <w:r w:rsidRPr="0082010A">
              <w:t xml:space="preserve">$344,117.20 </w:t>
            </w:r>
          </w:p>
        </w:tc>
      </w:tr>
      <w:tr w14:paraId="02034A37" w14:textId="6E06867D" w:rsidTr="009E27DE">
        <w:tblPrEx>
          <w:tblW w:w="0" w:type="auto"/>
          <w:tblLook w:val="04A0"/>
        </w:tblPrEx>
        <w:tc>
          <w:tcPr>
            <w:tcW w:w="1715" w:type="dxa"/>
            <w:vAlign w:val="center"/>
          </w:tcPr>
          <w:p w:rsidR="00DA34A5" w:rsidP="00DA34A5" w14:paraId="63763FF5" w14:textId="48972F4F">
            <w:r>
              <w:t>GS-13</w:t>
            </w:r>
          </w:p>
        </w:tc>
        <w:tc>
          <w:tcPr>
            <w:tcW w:w="1827" w:type="dxa"/>
            <w:vAlign w:val="center"/>
          </w:tcPr>
          <w:p w:rsidR="00DA34A5" w:rsidP="00DA34A5" w14:paraId="4A8083E1" w14:textId="57132937">
            <w:r>
              <w:t>$146,143</w:t>
            </w:r>
          </w:p>
        </w:tc>
        <w:tc>
          <w:tcPr>
            <w:tcW w:w="1872" w:type="dxa"/>
          </w:tcPr>
          <w:p w:rsidR="00DA34A5" w:rsidP="00DA34A5" w14:paraId="3F501B77" w14:textId="51054EDF">
            <w:r w:rsidRPr="00551119">
              <w:t xml:space="preserve">$204,600.20 </w:t>
            </w:r>
          </w:p>
        </w:tc>
        <w:tc>
          <w:tcPr>
            <w:tcW w:w="1608" w:type="dxa"/>
            <w:vAlign w:val="center"/>
          </w:tcPr>
          <w:p w:rsidR="00DA34A5" w:rsidP="00DA34A5" w14:paraId="7F3A7E11" w14:textId="1B54F598">
            <w:r>
              <w:t>1</w:t>
            </w:r>
          </w:p>
        </w:tc>
        <w:tc>
          <w:tcPr>
            <w:tcW w:w="1608" w:type="dxa"/>
          </w:tcPr>
          <w:p w:rsidR="00DA34A5" w:rsidP="00DA34A5" w14:paraId="0B62492C" w14:textId="71F4C7AF">
            <w:r w:rsidRPr="0082010A">
              <w:t xml:space="preserve">$204,600.20 </w:t>
            </w:r>
          </w:p>
        </w:tc>
      </w:tr>
      <w:tr w14:paraId="4204A32D" w14:textId="549DD5DB" w:rsidTr="009E27DE">
        <w:tblPrEx>
          <w:tblW w:w="0" w:type="auto"/>
          <w:tblLook w:val="04A0"/>
        </w:tblPrEx>
        <w:tc>
          <w:tcPr>
            <w:tcW w:w="1715" w:type="dxa"/>
            <w:vAlign w:val="center"/>
          </w:tcPr>
          <w:p w:rsidR="00DA34A5" w:rsidP="00DA34A5" w14:paraId="5342D328" w14:textId="6731BADA">
            <w:r>
              <w:t>GS-14</w:t>
            </w:r>
          </w:p>
        </w:tc>
        <w:tc>
          <w:tcPr>
            <w:tcW w:w="1827" w:type="dxa"/>
            <w:vAlign w:val="center"/>
          </w:tcPr>
          <w:p w:rsidR="00DA34A5" w:rsidP="00DA34A5" w14:paraId="45AB81B2" w14:textId="3553CAB6">
            <w:r>
              <w:t>$172,700</w:t>
            </w:r>
          </w:p>
        </w:tc>
        <w:tc>
          <w:tcPr>
            <w:tcW w:w="1872" w:type="dxa"/>
          </w:tcPr>
          <w:p w:rsidR="00DA34A5" w:rsidP="00DA34A5" w14:paraId="5F9B642D" w14:textId="13FF616C">
            <w:r w:rsidRPr="00551119">
              <w:t xml:space="preserve">$241,780.00 </w:t>
            </w:r>
          </w:p>
        </w:tc>
        <w:tc>
          <w:tcPr>
            <w:tcW w:w="1608" w:type="dxa"/>
            <w:vAlign w:val="center"/>
          </w:tcPr>
          <w:p w:rsidR="00DA34A5" w:rsidP="00DA34A5" w14:paraId="675EFC5E" w14:textId="01112614">
            <w:r>
              <w:t>2</w:t>
            </w:r>
          </w:p>
        </w:tc>
        <w:tc>
          <w:tcPr>
            <w:tcW w:w="1608" w:type="dxa"/>
          </w:tcPr>
          <w:p w:rsidR="00DA34A5" w:rsidP="00DA34A5" w14:paraId="4622073A" w14:textId="709D3ED6">
            <w:r w:rsidRPr="0082010A">
              <w:t xml:space="preserve">$483,560.00 </w:t>
            </w:r>
          </w:p>
        </w:tc>
      </w:tr>
      <w:tr w14:paraId="32713A72" w14:textId="227C1FA7" w:rsidTr="009E27DE">
        <w:tblPrEx>
          <w:tblW w:w="0" w:type="auto"/>
          <w:tblLook w:val="04A0"/>
        </w:tblPrEx>
        <w:tc>
          <w:tcPr>
            <w:tcW w:w="1715" w:type="dxa"/>
          </w:tcPr>
          <w:p w:rsidR="00DA34A5" w:rsidRPr="00DA34A5" w:rsidP="00DA34A5" w14:paraId="46F4C6F2" w14:textId="4EB0DB7C">
            <w:pPr>
              <w:pStyle w:val="BodyText"/>
              <w:rPr>
                <w:rFonts w:ascii="Times New Roman" w:hAnsi="Times New Roman" w:cs="Times New Roman"/>
                <w:color w:val="auto"/>
                <w:sz w:val="24"/>
                <w:szCs w:val="24"/>
              </w:rPr>
            </w:pPr>
            <w:r w:rsidRPr="00DA34A5">
              <w:rPr>
                <w:rFonts w:ascii="Times New Roman" w:hAnsi="Times New Roman" w:cs="Times New Roman"/>
                <w:color w:val="auto"/>
                <w:sz w:val="24"/>
                <w:szCs w:val="24"/>
              </w:rPr>
              <w:t>Total</w:t>
            </w:r>
          </w:p>
        </w:tc>
        <w:tc>
          <w:tcPr>
            <w:tcW w:w="1827" w:type="dxa"/>
          </w:tcPr>
          <w:p w:rsidR="00DA34A5" w:rsidRPr="002D09EF" w:rsidP="00DA34A5" w14:paraId="37810456" w14:textId="77777777">
            <w:pPr>
              <w:pStyle w:val="BodyText"/>
              <w:rPr>
                <w:rFonts w:ascii="Times New Roman" w:hAnsi="Times New Roman" w:cs="Times New Roman"/>
                <w:b/>
                <w:bCs/>
                <w:color w:val="auto"/>
                <w:sz w:val="24"/>
                <w:szCs w:val="24"/>
              </w:rPr>
            </w:pPr>
          </w:p>
        </w:tc>
        <w:tc>
          <w:tcPr>
            <w:tcW w:w="1872" w:type="dxa"/>
          </w:tcPr>
          <w:p w:rsidR="00DA34A5" w:rsidRPr="002D09EF" w:rsidP="00DA34A5" w14:paraId="6B902996" w14:textId="77777777">
            <w:pPr>
              <w:pStyle w:val="BodyText"/>
              <w:rPr>
                <w:rFonts w:ascii="Times New Roman" w:hAnsi="Times New Roman" w:cs="Times New Roman"/>
                <w:b/>
                <w:bCs/>
                <w:color w:val="auto"/>
                <w:sz w:val="24"/>
                <w:szCs w:val="24"/>
              </w:rPr>
            </w:pPr>
          </w:p>
        </w:tc>
        <w:tc>
          <w:tcPr>
            <w:tcW w:w="1608" w:type="dxa"/>
          </w:tcPr>
          <w:p w:rsidR="00DA34A5" w:rsidRPr="002D09EF" w:rsidP="00DA34A5" w14:paraId="1498513C" w14:textId="77777777">
            <w:pPr>
              <w:rPr>
                <w:b/>
                <w:bCs/>
              </w:rPr>
            </w:pPr>
          </w:p>
        </w:tc>
        <w:tc>
          <w:tcPr>
            <w:tcW w:w="1608" w:type="dxa"/>
          </w:tcPr>
          <w:p w:rsidR="00DA34A5" w:rsidRPr="002D09EF" w:rsidP="00DA34A5" w14:paraId="0ED70C82" w14:textId="6BD9B8B2">
            <w:pPr>
              <w:rPr>
                <w:b/>
                <w:bCs/>
              </w:rPr>
            </w:pPr>
            <w:r w:rsidRPr="0082010A">
              <w:t xml:space="preserve">$1,032,277.40 </w:t>
            </w:r>
          </w:p>
        </w:tc>
      </w:tr>
    </w:tbl>
    <w:p w:rsidR="00753859" w14:paraId="12603FB2" w14:textId="6FB97B2E">
      <w:pPr>
        <w:pStyle w:val="BodyText"/>
        <w:rPr>
          <w:rFonts w:ascii="Times New Roman" w:hAnsi="Times New Roman" w:cs="Times New Roman"/>
          <w:color w:val="auto"/>
          <w:sz w:val="24"/>
          <w:szCs w:val="24"/>
        </w:rPr>
      </w:pPr>
    </w:p>
    <w:p w:rsidR="002D09EF" w14:paraId="39B77F3C" w14:textId="4322CBE8">
      <w:pPr>
        <w:pStyle w:val="BodyText"/>
        <w:rPr>
          <w:rFonts w:ascii="Times New Roman" w:hAnsi="Times New Roman" w:cs="Times New Roman"/>
          <w:color w:val="auto"/>
          <w:sz w:val="24"/>
          <w:szCs w:val="24"/>
        </w:rPr>
      </w:pPr>
      <w:r>
        <w:rPr>
          <w:rFonts w:ascii="Times New Roman" w:hAnsi="Times New Roman" w:cs="Times New Roman"/>
          <w:color w:val="auto"/>
          <w:sz w:val="24"/>
          <w:szCs w:val="24"/>
        </w:rPr>
        <w:t>In addition, an annual cost of approximately $</w:t>
      </w:r>
      <w:r w:rsidR="00DA34A5">
        <w:rPr>
          <w:rFonts w:ascii="Times New Roman" w:hAnsi="Times New Roman" w:cs="Times New Roman"/>
          <w:color w:val="auto"/>
          <w:sz w:val="24"/>
          <w:szCs w:val="24"/>
        </w:rPr>
        <w:t>1.5</w:t>
      </w:r>
      <w:r>
        <w:rPr>
          <w:rFonts w:ascii="Times New Roman" w:hAnsi="Times New Roman" w:cs="Times New Roman"/>
          <w:color w:val="auto"/>
          <w:sz w:val="24"/>
          <w:szCs w:val="24"/>
        </w:rPr>
        <w:t xml:space="preserve"> million is estimated for interagency agreements and contract support in the </w:t>
      </w:r>
      <w:r>
        <w:rPr>
          <w:rFonts w:ascii="Times New Roman" w:hAnsi="Times New Roman" w:cs="Times New Roman"/>
          <w:color w:val="auto"/>
          <w:sz w:val="24"/>
          <w:szCs w:val="24"/>
        </w:rPr>
        <w:t>following task</w:t>
      </w:r>
      <w:r>
        <w:rPr>
          <w:rFonts w:ascii="Times New Roman" w:hAnsi="Times New Roman" w:cs="Times New Roman"/>
          <w:color w:val="auto"/>
          <w:sz w:val="24"/>
          <w:szCs w:val="24"/>
        </w:rPr>
        <w:t xml:space="preserve"> areas:</w:t>
      </w:r>
    </w:p>
    <w:p w:rsidR="002D09EF" w:rsidP="002D09EF" w14:paraId="3DF04D78" w14:textId="54EE7654">
      <w:pPr>
        <w:pStyle w:val="BodyText"/>
        <w:numPr>
          <w:ilvl w:val="0"/>
          <w:numId w:val="12"/>
        </w:numPr>
        <w:rPr>
          <w:rFonts w:ascii="Times New Roman" w:hAnsi="Times New Roman" w:cs="Times New Roman"/>
          <w:color w:val="auto"/>
          <w:sz w:val="24"/>
          <w:szCs w:val="24"/>
        </w:rPr>
      </w:pPr>
      <w:r>
        <w:rPr>
          <w:rFonts w:ascii="Times New Roman" w:hAnsi="Times New Roman" w:cs="Times New Roman"/>
          <w:color w:val="auto"/>
          <w:sz w:val="24"/>
          <w:szCs w:val="24"/>
        </w:rPr>
        <w:t xml:space="preserve">Stakeholder engagement: </w:t>
      </w:r>
      <w:r w:rsidRPr="002D09EF">
        <w:rPr>
          <w:rFonts w:ascii="Times New Roman" w:hAnsi="Times New Roman" w:cs="Times New Roman"/>
          <w:color w:val="auto"/>
          <w:sz w:val="24"/>
          <w:szCs w:val="24"/>
        </w:rPr>
        <w:t xml:space="preserve">FLOW success is grounded in the principles of a voluntary and secure national platform for information sharing that is sustained by commercial and operational benefit.  FLOW, is a consensus driven approach, requiring continued stakeholder engagement. Currently, USDOT convenes, multiple meetings weekly with the FLOW team to facilitate consensus and advance the effort. Events, including in-person event for training and recruitment to the effort, </w:t>
      </w:r>
      <w:r w:rsidR="00DA34A5">
        <w:rPr>
          <w:rFonts w:ascii="Times New Roman" w:hAnsi="Times New Roman" w:cs="Times New Roman"/>
          <w:color w:val="auto"/>
          <w:sz w:val="24"/>
          <w:szCs w:val="24"/>
        </w:rPr>
        <w:t>are</w:t>
      </w:r>
      <w:r w:rsidRPr="002D09EF">
        <w:rPr>
          <w:rFonts w:ascii="Times New Roman" w:hAnsi="Times New Roman" w:cs="Times New Roman"/>
          <w:color w:val="auto"/>
          <w:sz w:val="24"/>
          <w:szCs w:val="24"/>
        </w:rPr>
        <w:t xml:space="preserve"> needed.</w:t>
      </w:r>
    </w:p>
    <w:p w:rsidR="002D09EF" w:rsidP="002D09EF" w14:paraId="1A824CB9" w14:textId="7B4EC391">
      <w:pPr>
        <w:pStyle w:val="BodyText"/>
        <w:numPr>
          <w:ilvl w:val="0"/>
          <w:numId w:val="12"/>
        </w:numPr>
        <w:rPr>
          <w:rFonts w:ascii="Times New Roman" w:hAnsi="Times New Roman" w:cs="Times New Roman"/>
          <w:color w:val="auto"/>
          <w:sz w:val="24"/>
          <w:szCs w:val="24"/>
        </w:rPr>
      </w:pPr>
      <w:r>
        <w:rPr>
          <w:rFonts w:ascii="Times New Roman" w:hAnsi="Times New Roman" w:cs="Times New Roman"/>
          <w:color w:val="auto"/>
          <w:sz w:val="24"/>
          <w:szCs w:val="24"/>
        </w:rPr>
        <w:t xml:space="preserve">Technical design and development: </w:t>
      </w:r>
      <w:r w:rsidR="00DA34A5">
        <w:rPr>
          <w:rFonts w:ascii="Times New Roman" w:hAnsi="Times New Roman" w:cs="Times New Roman"/>
          <w:color w:val="auto"/>
          <w:sz w:val="24"/>
          <w:szCs w:val="24"/>
        </w:rPr>
        <w:t>The</w:t>
      </w:r>
      <w:r w:rsidRPr="002D09EF">
        <w:rPr>
          <w:rFonts w:ascii="Times New Roman" w:hAnsi="Times New Roman" w:cs="Times New Roman"/>
          <w:color w:val="auto"/>
          <w:sz w:val="24"/>
          <w:szCs w:val="24"/>
        </w:rPr>
        <w:t xml:space="preserve"> FLOW </w:t>
      </w:r>
      <w:r>
        <w:rPr>
          <w:rFonts w:ascii="Times New Roman" w:hAnsi="Times New Roman" w:cs="Times New Roman"/>
          <w:color w:val="auto"/>
          <w:sz w:val="24"/>
          <w:szCs w:val="24"/>
        </w:rPr>
        <w:t>initiative</w:t>
      </w:r>
      <w:r w:rsidRPr="002D09EF">
        <w:rPr>
          <w:rFonts w:ascii="Times New Roman" w:hAnsi="Times New Roman" w:cs="Times New Roman"/>
          <w:color w:val="auto"/>
          <w:sz w:val="24"/>
          <w:szCs w:val="24"/>
        </w:rPr>
        <w:t xml:space="preserve"> require</w:t>
      </w:r>
      <w:r w:rsidR="00DA34A5">
        <w:rPr>
          <w:rFonts w:ascii="Times New Roman" w:hAnsi="Times New Roman" w:cs="Times New Roman"/>
          <w:color w:val="auto"/>
          <w:sz w:val="24"/>
          <w:szCs w:val="24"/>
        </w:rPr>
        <w:t>s</w:t>
      </w:r>
      <w:r w:rsidRPr="002D09EF">
        <w:rPr>
          <w:rFonts w:ascii="Times New Roman" w:hAnsi="Times New Roman" w:cs="Times New Roman"/>
          <w:color w:val="auto"/>
          <w:sz w:val="24"/>
          <w:szCs w:val="24"/>
        </w:rPr>
        <w:t xml:space="preserve"> maintaining the consensus-based message constructs and exchange protocols. FLOW program management focus</w:t>
      </w:r>
      <w:r w:rsidR="00DA34A5">
        <w:rPr>
          <w:rFonts w:ascii="Times New Roman" w:hAnsi="Times New Roman" w:cs="Times New Roman"/>
          <w:color w:val="auto"/>
          <w:sz w:val="24"/>
          <w:szCs w:val="24"/>
        </w:rPr>
        <w:t>es</w:t>
      </w:r>
      <w:r w:rsidRPr="002D09EF">
        <w:rPr>
          <w:rFonts w:ascii="Times New Roman" w:hAnsi="Times New Roman" w:cs="Times New Roman"/>
          <w:color w:val="auto"/>
          <w:sz w:val="24"/>
          <w:szCs w:val="24"/>
        </w:rPr>
        <w:t xml:space="preserve"> on ensuring the expertise that understands the business of supply chain data exchange in the transportation and logistics industry is acquired and maintained for the lifecycle of this project.</w:t>
      </w:r>
    </w:p>
    <w:p w:rsidR="002D09EF" w:rsidP="002D09EF" w14:paraId="6D09CBB9" w14:textId="0466A2FA">
      <w:pPr>
        <w:pStyle w:val="BodyText"/>
        <w:numPr>
          <w:ilvl w:val="0"/>
          <w:numId w:val="12"/>
        </w:numPr>
        <w:rPr>
          <w:rFonts w:ascii="Times New Roman" w:hAnsi="Times New Roman" w:cs="Times New Roman"/>
          <w:color w:val="auto"/>
          <w:sz w:val="24"/>
          <w:szCs w:val="24"/>
        </w:rPr>
      </w:pPr>
      <w:r>
        <w:rPr>
          <w:rFonts w:ascii="Times New Roman" w:hAnsi="Times New Roman" w:cs="Times New Roman"/>
          <w:color w:val="auto"/>
          <w:sz w:val="24"/>
          <w:szCs w:val="24"/>
        </w:rPr>
        <w:t xml:space="preserve">Data management and protection: The FLOW initiative </w:t>
      </w:r>
      <w:r w:rsidR="00DA34A5">
        <w:rPr>
          <w:rFonts w:ascii="Times New Roman" w:hAnsi="Times New Roman" w:cs="Times New Roman"/>
          <w:color w:val="auto"/>
          <w:sz w:val="24"/>
          <w:szCs w:val="24"/>
        </w:rPr>
        <w:t>requires</w:t>
      </w:r>
      <w:r>
        <w:rPr>
          <w:rFonts w:ascii="Times New Roman" w:hAnsi="Times New Roman" w:cs="Times New Roman"/>
          <w:color w:val="auto"/>
          <w:sz w:val="24"/>
          <w:szCs w:val="24"/>
        </w:rPr>
        <w:t xml:space="preserve"> the continuing development and maintenance of tools and processes for the m</w:t>
      </w:r>
      <w:r w:rsidRPr="002D09EF">
        <w:rPr>
          <w:rFonts w:ascii="Times New Roman" w:hAnsi="Times New Roman" w:cs="Times New Roman"/>
          <w:color w:val="auto"/>
          <w:sz w:val="24"/>
          <w:szCs w:val="24"/>
        </w:rPr>
        <w:t>anagement of data and protection of confidentiality.</w:t>
      </w:r>
    </w:p>
    <w:p w:rsidR="002D09EF" w:rsidP="002D09EF" w14:paraId="066A7CAA" w14:textId="512FD77C">
      <w:pPr>
        <w:pStyle w:val="BodyText"/>
        <w:numPr>
          <w:ilvl w:val="0"/>
          <w:numId w:val="12"/>
        </w:numPr>
        <w:rPr>
          <w:rFonts w:ascii="Times New Roman" w:hAnsi="Times New Roman" w:cs="Times New Roman"/>
          <w:color w:val="auto"/>
          <w:sz w:val="24"/>
          <w:szCs w:val="24"/>
        </w:rPr>
      </w:pPr>
      <w:r>
        <w:rPr>
          <w:rFonts w:ascii="Times New Roman" w:hAnsi="Times New Roman" w:cs="Times New Roman"/>
          <w:color w:val="auto"/>
          <w:sz w:val="24"/>
          <w:szCs w:val="24"/>
        </w:rPr>
        <w:t>Project management: Project management resources</w:t>
      </w:r>
      <w:r w:rsidRPr="002D09EF">
        <w:rPr>
          <w:rFonts w:ascii="Times New Roman" w:hAnsi="Times New Roman" w:cs="Times New Roman"/>
          <w:color w:val="auto"/>
          <w:sz w:val="24"/>
          <w:szCs w:val="24"/>
        </w:rPr>
        <w:t xml:space="preserve"> </w:t>
      </w:r>
      <w:r w:rsidR="00DA34A5">
        <w:rPr>
          <w:rFonts w:ascii="Times New Roman" w:hAnsi="Times New Roman" w:cs="Times New Roman"/>
          <w:color w:val="auto"/>
          <w:sz w:val="24"/>
          <w:szCs w:val="24"/>
        </w:rPr>
        <w:t>are</w:t>
      </w:r>
      <w:r w:rsidRPr="002D09EF">
        <w:rPr>
          <w:rFonts w:ascii="Times New Roman" w:hAnsi="Times New Roman" w:cs="Times New Roman"/>
          <w:color w:val="auto"/>
          <w:sz w:val="24"/>
          <w:szCs w:val="24"/>
        </w:rPr>
        <w:t xml:space="preserve"> targeted to ensure data quality, IT oversight, and timely delivery of results.</w:t>
      </w:r>
    </w:p>
    <w:p w:rsidR="00A24D48" w:rsidP="00A24D48" w14:paraId="418B505E" w14:textId="264487D9">
      <w:pPr>
        <w:pStyle w:val="BodyText"/>
        <w:rPr>
          <w:rFonts w:ascii="Times New Roman" w:hAnsi="Times New Roman" w:cs="Times New Roman"/>
          <w:color w:val="auto"/>
          <w:sz w:val="24"/>
          <w:szCs w:val="24"/>
        </w:rPr>
      </w:pPr>
    </w:p>
    <w:p w:rsidR="00A24D48" w:rsidP="00A24D48" w14:paraId="29D95ADD" w14:textId="77777777">
      <w:pPr>
        <w:pStyle w:val="BodyText"/>
        <w:rPr>
          <w:rFonts w:ascii="Times New Roman" w:hAnsi="Times New Roman" w:cs="Times New Roman"/>
          <w:color w:val="auto"/>
          <w:sz w:val="24"/>
          <w:szCs w:val="24"/>
        </w:rPr>
      </w:pPr>
      <w:r>
        <w:rPr>
          <w:rFonts w:ascii="Times New Roman" w:hAnsi="Times New Roman" w:cs="Times New Roman"/>
          <w:color w:val="auto"/>
          <w:sz w:val="24"/>
          <w:szCs w:val="24"/>
        </w:rPr>
        <w:t>The following provides a breakdown of estimated costs for the above support services:</w:t>
      </w:r>
    </w:p>
    <w:p w:rsidR="00A24D48" w:rsidP="00A24D48" w14:paraId="0E02E628" w14:textId="77777777">
      <w:pPr>
        <w:pStyle w:val="BodyText"/>
        <w:rPr>
          <w:rFonts w:ascii="Times New Roman" w:hAnsi="Times New Roman" w:cs="Times New Roman"/>
          <w:color w:val="auto"/>
          <w:sz w:val="24"/>
          <w:szCs w:val="24"/>
        </w:rPr>
      </w:pPr>
      <w:r>
        <w:rPr>
          <w:rFonts w:ascii="Times New Roman" w:hAnsi="Times New Roman" w:cs="Times New Roman"/>
          <w:color w:val="auto"/>
          <w:sz w:val="24"/>
          <w:szCs w:val="24"/>
        </w:rPr>
        <w:t xml:space="preserve"> </w:t>
      </w:r>
    </w:p>
    <w:tbl>
      <w:tblPr>
        <w:tblStyle w:val="TableGrid"/>
        <w:tblW w:w="0" w:type="auto"/>
        <w:tblLook w:val="04A0"/>
      </w:tblPr>
      <w:tblGrid>
        <w:gridCol w:w="2435"/>
        <w:gridCol w:w="2443"/>
      </w:tblGrid>
      <w:tr w14:paraId="1EE7249A" w14:textId="77777777" w:rsidTr="00A24D48">
        <w:tblPrEx>
          <w:tblW w:w="0" w:type="auto"/>
          <w:tblLook w:val="04A0"/>
        </w:tblPrEx>
        <w:tc>
          <w:tcPr>
            <w:tcW w:w="0" w:type="auto"/>
            <w:vAlign w:val="center"/>
          </w:tcPr>
          <w:p w:rsidR="00A24D48" w:rsidP="006E622C" w14:paraId="20445729" w14:textId="77777777">
            <w:r>
              <w:t> </w:t>
            </w:r>
          </w:p>
        </w:tc>
        <w:tc>
          <w:tcPr>
            <w:tcW w:w="0" w:type="auto"/>
            <w:vAlign w:val="center"/>
          </w:tcPr>
          <w:p w:rsidR="00A24D48" w:rsidP="006E622C" w14:paraId="78D0966F" w14:textId="2E8E7918">
            <w:r>
              <w:t xml:space="preserve">Annual </w:t>
            </w:r>
            <w:r w:rsidR="005D4383">
              <w:t>Estimated Cost</w:t>
            </w:r>
          </w:p>
        </w:tc>
      </w:tr>
      <w:tr w14:paraId="56B5F932" w14:textId="77777777" w:rsidTr="00A24D48">
        <w:tblPrEx>
          <w:tblW w:w="0" w:type="auto"/>
          <w:tblLook w:val="04A0"/>
        </w:tblPrEx>
        <w:tc>
          <w:tcPr>
            <w:tcW w:w="0" w:type="auto"/>
            <w:vAlign w:val="center"/>
          </w:tcPr>
          <w:p w:rsidR="00A24D48" w:rsidP="006E622C" w14:paraId="2473E277" w14:textId="68C1D2D9">
            <w:r>
              <w:t>Direct Labor</w:t>
            </w:r>
          </w:p>
        </w:tc>
        <w:tc>
          <w:tcPr>
            <w:tcW w:w="0" w:type="auto"/>
            <w:vAlign w:val="center"/>
          </w:tcPr>
          <w:p w:rsidR="00A24D48" w:rsidP="006E622C" w14:paraId="0CC3C3C1" w14:textId="3A33AA91">
            <w:r>
              <w:t>$1,</w:t>
            </w:r>
            <w:r w:rsidR="002E123F">
              <w:t>2</w:t>
            </w:r>
            <w:r>
              <w:t>00,000</w:t>
            </w:r>
          </w:p>
        </w:tc>
      </w:tr>
      <w:tr w14:paraId="523F29DC" w14:textId="77777777" w:rsidTr="00A24D48">
        <w:tblPrEx>
          <w:tblW w:w="0" w:type="auto"/>
          <w:tblLook w:val="04A0"/>
        </w:tblPrEx>
        <w:tc>
          <w:tcPr>
            <w:tcW w:w="0" w:type="auto"/>
            <w:vAlign w:val="center"/>
          </w:tcPr>
          <w:p w:rsidR="00A24D48" w:rsidP="006E622C" w14:paraId="1E25C450" w14:textId="60D34879">
            <w:r>
              <w:t>Travel</w:t>
            </w:r>
          </w:p>
        </w:tc>
        <w:tc>
          <w:tcPr>
            <w:tcW w:w="0" w:type="auto"/>
            <w:vAlign w:val="center"/>
          </w:tcPr>
          <w:p w:rsidR="00A24D48" w:rsidP="006E622C" w14:paraId="29E9000A" w14:textId="2823B0E2">
            <w:r>
              <w:t>$50,000</w:t>
            </w:r>
          </w:p>
        </w:tc>
      </w:tr>
      <w:tr w14:paraId="23B95ED9" w14:textId="77777777" w:rsidTr="00A24D48">
        <w:tblPrEx>
          <w:tblW w:w="0" w:type="auto"/>
          <w:tblLook w:val="04A0"/>
        </w:tblPrEx>
        <w:tc>
          <w:tcPr>
            <w:tcW w:w="0" w:type="auto"/>
            <w:vAlign w:val="center"/>
          </w:tcPr>
          <w:p w:rsidR="00A24D48" w:rsidP="006E622C" w14:paraId="5C35AB4C" w14:textId="676FB7CA">
            <w:r>
              <w:t>IT Software, Hardware</w:t>
            </w:r>
          </w:p>
        </w:tc>
        <w:tc>
          <w:tcPr>
            <w:tcW w:w="0" w:type="auto"/>
            <w:vAlign w:val="center"/>
          </w:tcPr>
          <w:p w:rsidR="00A24D48" w:rsidP="006E622C" w14:paraId="11F95C4D" w14:textId="4644D16B">
            <w:r>
              <w:t>$</w:t>
            </w:r>
            <w:r w:rsidR="002E123F">
              <w:t>2</w:t>
            </w:r>
            <w:r>
              <w:t>50,000</w:t>
            </w:r>
          </w:p>
        </w:tc>
      </w:tr>
      <w:tr w14:paraId="398CACFF" w14:textId="77777777" w:rsidTr="00A24D48">
        <w:tblPrEx>
          <w:tblW w:w="0" w:type="auto"/>
          <w:tblLook w:val="04A0"/>
        </w:tblPrEx>
        <w:tc>
          <w:tcPr>
            <w:tcW w:w="0" w:type="auto"/>
          </w:tcPr>
          <w:p w:rsidR="00A24D48" w:rsidRPr="002D09EF" w:rsidP="006E622C" w14:paraId="197879A9" w14:textId="77777777">
            <w:pPr>
              <w:pStyle w:val="BodyText"/>
              <w:rPr>
                <w:rFonts w:ascii="Times New Roman" w:hAnsi="Times New Roman" w:cs="Times New Roman"/>
                <w:b/>
                <w:bCs/>
                <w:color w:val="auto"/>
                <w:sz w:val="24"/>
                <w:szCs w:val="24"/>
              </w:rPr>
            </w:pPr>
            <w:r w:rsidRPr="002D09EF">
              <w:rPr>
                <w:rFonts w:ascii="Times New Roman" w:hAnsi="Times New Roman" w:cs="Times New Roman"/>
                <w:b/>
                <w:bCs/>
                <w:color w:val="auto"/>
                <w:sz w:val="24"/>
                <w:szCs w:val="24"/>
              </w:rPr>
              <w:t>Total</w:t>
            </w:r>
          </w:p>
        </w:tc>
        <w:tc>
          <w:tcPr>
            <w:tcW w:w="0" w:type="auto"/>
          </w:tcPr>
          <w:p w:rsidR="00A24D48" w:rsidRPr="002D09EF" w:rsidP="006E622C" w14:paraId="3DDFFF2B" w14:textId="2A989C24">
            <w:pPr>
              <w:pStyle w:val="BodyText"/>
              <w:rPr>
                <w:rFonts w:ascii="Times New Roman" w:hAnsi="Times New Roman" w:cs="Times New Roman"/>
                <w:b/>
                <w:bCs/>
                <w:color w:val="auto"/>
                <w:sz w:val="24"/>
                <w:szCs w:val="24"/>
              </w:rPr>
            </w:pPr>
            <w:r>
              <w:rPr>
                <w:rFonts w:ascii="Times New Roman" w:hAnsi="Times New Roman" w:cs="Times New Roman"/>
                <w:b/>
                <w:bCs/>
                <w:color w:val="auto"/>
                <w:sz w:val="24"/>
                <w:szCs w:val="24"/>
              </w:rPr>
              <w:t>$1,500,000</w:t>
            </w:r>
          </w:p>
        </w:tc>
      </w:tr>
    </w:tbl>
    <w:p w:rsidR="00A24D48" w:rsidP="00A24D48" w14:paraId="2E1C4841" w14:textId="1AE63EC6">
      <w:pPr>
        <w:pStyle w:val="BodyText"/>
        <w:rPr>
          <w:rFonts w:ascii="Times New Roman" w:hAnsi="Times New Roman" w:cs="Times New Roman"/>
          <w:color w:val="auto"/>
          <w:sz w:val="24"/>
          <w:szCs w:val="24"/>
        </w:rPr>
      </w:pPr>
    </w:p>
    <w:p w:rsidR="00BD1BF2" w:rsidRPr="00CE649C" w14:paraId="2E478A25" w14:textId="77777777">
      <w:pPr>
        <w:pStyle w:val="NormalWeb"/>
        <w:rPr>
          <w:rFonts w:ascii="Times New Roman" w:hAnsi="Times New Roman" w:cs="Times New Roman"/>
        </w:rPr>
      </w:pPr>
      <w:r w:rsidRPr="00CE649C">
        <w:rPr>
          <w:rFonts w:ascii="Times New Roman" w:hAnsi="Times New Roman" w:cs="Times New Roman"/>
        </w:rPr>
        <w:t xml:space="preserve">15. </w:t>
      </w:r>
      <w:r w:rsidRPr="00CE649C">
        <w:rPr>
          <w:rFonts w:ascii="Times New Roman" w:hAnsi="Times New Roman" w:cs="Times New Roman"/>
          <w:u w:val="single"/>
        </w:rPr>
        <w:t>Explanation of program changes or adjustments</w:t>
      </w:r>
      <w:r w:rsidRPr="00CE649C">
        <w:rPr>
          <w:rFonts w:ascii="Times New Roman" w:hAnsi="Times New Roman" w:cs="Times New Roman"/>
        </w:rPr>
        <w:t>:</w:t>
      </w:r>
    </w:p>
    <w:p w:rsidR="00A24D48" w14:paraId="30244758" w14:textId="2D4E8917">
      <w:pPr>
        <w:pStyle w:val="NormalWeb"/>
        <w:rPr>
          <w:rFonts w:ascii="Times New Roman" w:hAnsi="Times New Roman" w:cs="Times New Roman"/>
        </w:rPr>
      </w:pPr>
      <w:r>
        <w:rPr>
          <w:rFonts w:ascii="Times New Roman" w:hAnsi="Times New Roman" w:cs="Times New Roman"/>
        </w:rPr>
        <w:t xml:space="preserve">This is a continuation of an existing data collection. The program will </w:t>
      </w:r>
      <w:r>
        <w:rPr>
          <w:rFonts w:ascii="Times New Roman" w:hAnsi="Times New Roman" w:cs="Times New Roman"/>
        </w:rPr>
        <w:t>build on</w:t>
      </w:r>
      <w:r>
        <w:rPr>
          <w:rFonts w:ascii="Times New Roman" w:hAnsi="Times New Roman" w:cs="Times New Roman"/>
        </w:rPr>
        <w:t xml:space="preserve"> </w:t>
      </w:r>
      <w:r w:rsidR="002E123F">
        <w:rPr>
          <w:rFonts w:ascii="Times New Roman" w:hAnsi="Times New Roman" w:cs="Times New Roman"/>
        </w:rPr>
        <w:t>efforts to date</w:t>
      </w:r>
      <w:r>
        <w:rPr>
          <w:rFonts w:ascii="Times New Roman" w:hAnsi="Times New Roman" w:cs="Times New Roman"/>
        </w:rPr>
        <w:t xml:space="preserve"> by broadening participants and continuing to develop tools for the exchange, analysis, and use of FLOW data to monitor trends, risks, and geographic hot spots for key freight corridors.</w:t>
      </w:r>
      <w:r w:rsidR="002E123F">
        <w:rPr>
          <w:rFonts w:ascii="Times New Roman" w:hAnsi="Times New Roman" w:cs="Times New Roman"/>
        </w:rPr>
        <w:t xml:space="preserve"> FLOW is also working to</w:t>
      </w:r>
      <w:r w:rsidRPr="002E123F" w:rsidR="002E123F">
        <w:rPr>
          <w:rFonts w:ascii="Times New Roman" w:hAnsi="Times New Roman" w:cs="Times New Roman"/>
        </w:rPr>
        <w:t xml:space="preserve"> apply and include FLOW data in public data products </w:t>
      </w:r>
      <w:r w:rsidR="002E123F">
        <w:rPr>
          <w:rFonts w:ascii="Times New Roman" w:hAnsi="Times New Roman" w:cs="Times New Roman"/>
        </w:rPr>
        <w:t>such as</w:t>
      </w:r>
      <w:r w:rsidRPr="002E123F" w:rsidR="002E123F">
        <w:rPr>
          <w:rFonts w:ascii="Times New Roman" w:hAnsi="Times New Roman" w:cs="Times New Roman"/>
        </w:rPr>
        <w:t xml:space="preserve"> BTS port performance freight statistics and freight scenario analysis research</w:t>
      </w:r>
      <w:r w:rsidR="002E123F">
        <w:rPr>
          <w:rFonts w:ascii="Times New Roman" w:hAnsi="Times New Roman" w:cs="Times New Roman"/>
        </w:rPr>
        <w:t>, as well as incorporate additional data sources to complement FLOW data and add analytical capability, such as vessel location data and trade data.</w:t>
      </w:r>
    </w:p>
    <w:p w:rsidR="00BD1BF2" w:rsidRPr="00CE649C" w14:paraId="44F7B330" w14:textId="02D49351">
      <w:pPr>
        <w:pStyle w:val="NormalWeb"/>
        <w:rPr>
          <w:rFonts w:ascii="Times New Roman" w:hAnsi="Times New Roman" w:cs="Times New Roman"/>
        </w:rPr>
      </w:pPr>
      <w:r w:rsidRPr="00CE649C">
        <w:rPr>
          <w:rFonts w:ascii="Times New Roman" w:hAnsi="Times New Roman" w:cs="Times New Roman"/>
        </w:rPr>
        <w:t xml:space="preserve">16. </w:t>
      </w:r>
      <w:r w:rsidRPr="00CE649C">
        <w:rPr>
          <w:rFonts w:ascii="Times New Roman" w:hAnsi="Times New Roman" w:cs="Times New Roman"/>
          <w:u w:val="single"/>
        </w:rPr>
        <w:t>Publication of results of data collection</w:t>
      </w:r>
      <w:r w:rsidRPr="00CE649C">
        <w:rPr>
          <w:rFonts w:ascii="Times New Roman" w:hAnsi="Times New Roman" w:cs="Times New Roman"/>
        </w:rPr>
        <w:t>:</w:t>
      </w:r>
    </w:p>
    <w:p w:rsidR="00E84F78" w:rsidP="00E932A0" w14:paraId="4CF99990" w14:textId="21BD3888">
      <w:pPr>
        <w:jc w:val="both"/>
      </w:pPr>
      <w:r>
        <w:t xml:space="preserve">The </w:t>
      </w:r>
      <w:r w:rsidRPr="00CE649C" w:rsidR="008A55D5">
        <w:t xml:space="preserve">FLOW </w:t>
      </w:r>
      <w:r w:rsidR="002E123F">
        <w:t>program</w:t>
      </w:r>
      <w:r w:rsidRPr="00CE649C" w:rsidR="00E932A0">
        <w:t xml:space="preserve"> provide</w:t>
      </w:r>
      <w:r w:rsidR="002E123F">
        <w:t>s</w:t>
      </w:r>
      <w:r w:rsidRPr="00CE649C" w:rsidR="00E932A0">
        <w:t xml:space="preserve"> </w:t>
      </w:r>
      <w:r>
        <w:t>aggregate statistics and visualizations</w:t>
      </w:r>
      <w:r w:rsidR="00450966">
        <w:t xml:space="preserve"> to the participating companies on a dashboard through a secure online portal</w:t>
      </w:r>
      <w:r w:rsidR="009144B8">
        <w:t>.</w:t>
      </w:r>
      <w:r>
        <w:t xml:space="preserve"> </w:t>
      </w:r>
      <w:r w:rsidR="005D4383">
        <w:t xml:space="preserve">A public-facing website </w:t>
      </w:r>
      <w:r w:rsidR="002E123F">
        <w:t>is in place</w:t>
      </w:r>
      <w:r w:rsidR="005D4383">
        <w:t xml:space="preserve"> to share information about the FLOW initiative with all stakeholders including members of the public</w:t>
      </w:r>
      <w:r w:rsidR="002E123F">
        <w:t>.</w:t>
      </w:r>
    </w:p>
    <w:p w:rsidR="00BD1BF2" w:rsidRPr="00CE649C" w14:paraId="7CAFAA74" w14:textId="77777777">
      <w:pPr>
        <w:pStyle w:val="NormalWeb"/>
        <w:rPr>
          <w:rFonts w:ascii="Times New Roman" w:hAnsi="Times New Roman" w:cs="Times New Roman"/>
        </w:rPr>
      </w:pPr>
      <w:r w:rsidRPr="00CE649C">
        <w:rPr>
          <w:rFonts w:ascii="Times New Roman" w:hAnsi="Times New Roman" w:cs="Times New Roman"/>
        </w:rPr>
        <w:t xml:space="preserve">17. </w:t>
      </w:r>
      <w:r w:rsidRPr="00CE649C">
        <w:rPr>
          <w:rFonts w:ascii="Times New Roman" w:hAnsi="Times New Roman" w:cs="Times New Roman"/>
          <w:u w:val="single"/>
        </w:rPr>
        <w:t>Approval for not displaying the expiration date of OMB approval</w:t>
      </w:r>
      <w:r w:rsidRPr="00CE649C">
        <w:rPr>
          <w:rFonts w:ascii="Times New Roman" w:hAnsi="Times New Roman" w:cs="Times New Roman"/>
        </w:rPr>
        <w:t>:</w:t>
      </w:r>
    </w:p>
    <w:p w:rsidR="00BD1BF2" w:rsidRPr="00BD19EB" w14:paraId="64D04DB2" w14:textId="2AF49501">
      <w:pPr>
        <w:pStyle w:val="BodyText"/>
        <w:rPr>
          <w:rFonts w:ascii="Times New Roman" w:hAnsi="Times New Roman" w:cs="Times New Roman"/>
          <w:color w:val="auto"/>
          <w:sz w:val="24"/>
          <w:szCs w:val="24"/>
        </w:rPr>
      </w:pPr>
      <w:r w:rsidRPr="00CE649C">
        <w:rPr>
          <w:rFonts w:ascii="Times New Roman" w:hAnsi="Times New Roman" w:cs="Times New Roman"/>
          <w:color w:val="auto"/>
          <w:sz w:val="24"/>
          <w:szCs w:val="24"/>
        </w:rPr>
        <w:t xml:space="preserve">Not applicable. </w:t>
      </w:r>
      <w:r w:rsidRPr="00CE649C" w:rsidR="00565AFD">
        <w:rPr>
          <w:rFonts w:ascii="Times New Roman" w:hAnsi="Times New Roman" w:cs="Times New Roman"/>
          <w:color w:val="auto"/>
          <w:sz w:val="24"/>
          <w:szCs w:val="24"/>
        </w:rPr>
        <w:t>BTS</w:t>
      </w:r>
      <w:r w:rsidRPr="00CE649C">
        <w:rPr>
          <w:rFonts w:ascii="Times New Roman" w:hAnsi="Times New Roman" w:cs="Times New Roman"/>
          <w:color w:val="auto"/>
          <w:sz w:val="24"/>
          <w:szCs w:val="24"/>
        </w:rPr>
        <w:t xml:space="preserve"> is not seeking approval to not display the expiration date.</w:t>
      </w:r>
    </w:p>
    <w:p w:rsidR="00BD1BF2" w:rsidRPr="00CE649C" w14:paraId="26419323" w14:textId="77777777">
      <w:pPr>
        <w:pStyle w:val="NormalWeb"/>
        <w:rPr>
          <w:rFonts w:ascii="Times New Roman" w:hAnsi="Times New Roman" w:cs="Times New Roman"/>
        </w:rPr>
      </w:pPr>
      <w:r w:rsidRPr="00CE649C">
        <w:rPr>
          <w:rFonts w:ascii="Times New Roman" w:hAnsi="Times New Roman" w:cs="Times New Roman"/>
        </w:rPr>
        <w:t xml:space="preserve">18. </w:t>
      </w:r>
      <w:r w:rsidRPr="00CE649C">
        <w:rPr>
          <w:rFonts w:ascii="Times New Roman" w:hAnsi="Times New Roman" w:cs="Times New Roman"/>
          <w:u w:val="single"/>
        </w:rPr>
        <w:t>Exceptions to certification statement</w:t>
      </w:r>
      <w:r w:rsidRPr="00CE649C">
        <w:rPr>
          <w:rFonts w:ascii="Times New Roman" w:hAnsi="Times New Roman" w:cs="Times New Roman"/>
        </w:rPr>
        <w:t>:</w:t>
      </w:r>
    </w:p>
    <w:p w:rsidR="002F0FCB" w:rsidRPr="00CE649C" w:rsidP="002F0FCB" w14:paraId="3CB667A7" w14:textId="77777777">
      <w:pPr>
        <w:pStyle w:val="NormalWeb"/>
        <w:rPr>
          <w:rFonts w:ascii="Times New Roman" w:eastAsia="Times New Roman" w:hAnsi="Times New Roman" w:cs="Times New Roman"/>
        </w:rPr>
      </w:pPr>
      <w:r w:rsidRPr="00CE649C">
        <w:rPr>
          <w:rFonts w:ascii="Times New Roman" w:eastAsia="Times New Roman" w:hAnsi="Times New Roman" w:cs="Times New Roman"/>
        </w:rPr>
        <w:t xml:space="preserve">Not applicable. </w:t>
      </w:r>
      <w:r w:rsidRPr="00CE649C" w:rsidR="00565AFD">
        <w:rPr>
          <w:rFonts w:ascii="Times New Roman" w:eastAsia="Times New Roman" w:hAnsi="Times New Roman" w:cs="Times New Roman"/>
        </w:rPr>
        <w:t>BTS</w:t>
      </w:r>
      <w:r w:rsidRPr="00CE649C">
        <w:rPr>
          <w:rFonts w:ascii="Times New Roman" w:eastAsia="Times New Roman" w:hAnsi="Times New Roman" w:cs="Times New Roman"/>
        </w:rPr>
        <w:t xml:space="preserve"> does not have any exceptions to the certification statement.</w:t>
      </w:r>
    </w:p>
    <w:p w:rsidR="00BD1BF2" w:rsidRPr="007E4968" w14:paraId="3CB34583" w14:textId="77777777">
      <w:pPr>
        <w:rPr>
          <w:color w:val="FF0000"/>
        </w:rPr>
      </w:pPr>
      <w:r w:rsidRPr="007E4968">
        <w:rPr>
          <w:color w:val="FF0000"/>
        </w:rPr>
        <w:br/>
      </w:r>
      <w:r w:rsidRPr="007E4968">
        <w:rPr>
          <w:color w:val="FF0000"/>
        </w:rPr>
        <w:br/>
      </w:r>
    </w:p>
    <w:sectPr>
      <w:footerReference w:type="default" r:id="rI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47219183"/>
      <w:docPartObj>
        <w:docPartGallery w:val="Page Numbers (Bottom of Page)"/>
        <w:docPartUnique/>
      </w:docPartObj>
    </w:sdtPr>
    <w:sdtEndPr>
      <w:rPr>
        <w:noProof/>
      </w:rPr>
    </w:sdtEndPr>
    <w:sdtContent>
      <w:p w:rsidR="00BD19EB" w:rsidP="00BD19EB" w14:paraId="3165524C" w14:textId="2FC923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68351E"/>
    <w:multiLevelType w:val="multilevel"/>
    <w:tmpl w:val="074AE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2C5E5C"/>
    <w:multiLevelType w:val="multilevel"/>
    <w:tmpl w:val="72A6B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890D89"/>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7746243"/>
    <w:multiLevelType w:val="multilevel"/>
    <w:tmpl w:val="00A61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32373B"/>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24829B7"/>
    <w:multiLevelType w:val="multilevel"/>
    <w:tmpl w:val="28583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6F135C"/>
    <w:multiLevelType w:val="multilevel"/>
    <w:tmpl w:val="BAE20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F06A98"/>
    <w:multiLevelType w:val="multilevel"/>
    <w:tmpl w:val="1A824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C31A16"/>
    <w:multiLevelType w:val="multilevel"/>
    <w:tmpl w:val="0240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A31390"/>
    <w:multiLevelType w:val="hybridMultilevel"/>
    <w:tmpl w:val="429E3D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6D80549"/>
    <w:multiLevelType w:val="hybridMultilevel"/>
    <w:tmpl w:val="D35638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E414E43"/>
    <w:multiLevelType w:val="multilevel"/>
    <w:tmpl w:val="6E80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7498203">
    <w:abstractNumId w:val="9"/>
  </w:num>
  <w:num w:numId="2" w16cid:durableId="562717807">
    <w:abstractNumId w:val="2"/>
  </w:num>
  <w:num w:numId="3" w16cid:durableId="1346595072">
    <w:abstractNumId w:val="4"/>
  </w:num>
  <w:num w:numId="4" w16cid:durableId="717778536">
    <w:abstractNumId w:val="7"/>
  </w:num>
  <w:num w:numId="5" w16cid:durableId="838470284">
    <w:abstractNumId w:val="11"/>
  </w:num>
  <w:num w:numId="6" w16cid:durableId="418448929">
    <w:abstractNumId w:val="8"/>
  </w:num>
  <w:num w:numId="7" w16cid:durableId="2136368182">
    <w:abstractNumId w:val="5"/>
  </w:num>
  <w:num w:numId="8" w16cid:durableId="918366670">
    <w:abstractNumId w:val="6"/>
  </w:num>
  <w:num w:numId="9" w16cid:durableId="219949437">
    <w:abstractNumId w:val="0"/>
  </w:num>
  <w:num w:numId="10" w16cid:durableId="1601792361">
    <w:abstractNumId w:val="3"/>
  </w:num>
  <w:num w:numId="11" w16cid:durableId="1192379454">
    <w:abstractNumId w:val="1"/>
  </w:num>
  <w:num w:numId="12" w16cid:durableId="8428156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648"/>
    <w:rsid w:val="00000BC1"/>
    <w:rsid w:val="00007073"/>
    <w:rsid w:val="00020D05"/>
    <w:rsid w:val="00032AC0"/>
    <w:rsid w:val="00037F1B"/>
    <w:rsid w:val="00052712"/>
    <w:rsid w:val="00063A89"/>
    <w:rsid w:val="00064077"/>
    <w:rsid w:val="00071232"/>
    <w:rsid w:val="000718A6"/>
    <w:rsid w:val="00092E7B"/>
    <w:rsid w:val="000B16FA"/>
    <w:rsid w:val="000E4486"/>
    <w:rsid w:val="000E7BB4"/>
    <w:rsid w:val="000F22FD"/>
    <w:rsid w:val="000F5E14"/>
    <w:rsid w:val="001010D9"/>
    <w:rsid w:val="001415C9"/>
    <w:rsid w:val="00143A07"/>
    <w:rsid w:val="00152247"/>
    <w:rsid w:val="0016268E"/>
    <w:rsid w:val="00170BA1"/>
    <w:rsid w:val="0017141B"/>
    <w:rsid w:val="00192948"/>
    <w:rsid w:val="001A1287"/>
    <w:rsid w:val="001B00C1"/>
    <w:rsid w:val="001B5591"/>
    <w:rsid w:val="001C1EAC"/>
    <w:rsid w:val="001C248C"/>
    <w:rsid w:val="001C7374"/>
    <w:rsid w:val="001E58D7"/>
    <w:rsid w:val="001F17E7"/>
    <w:rsid w:val="001F1AE7"/>
    <w:rsid w:val="001F2F66"/>
    <w:rsid w:val="0020575A"/>
    <w:rsid w:val="00206393"/>
    <w:rsid w:val="0020686F"/>
    <w:rsid w:val="0022082B"/>
    <w:rsid w:val="00221016"/>
    <w:rsid w:val="00223C1C"/>
    <w:rsid w:val="00233883"/>
    <w:rsid w:val="00243CB5"/>
    <w:rsid w:val="002611A2"/>
    <w:rsid w:val="00273F99"/>
    <w:rsid w:val="00286F77"/>
    <w:rsid w:val="00292935"/>
    <w:rsid w:val="002B27C6"/>
    <w:rsid w:val="002C2ECA"/>
    <w:rsid w:val="002D09EF"/>
    <w:rsid w:val="002D2A4D"/>
    <w:rsid w:val="002D3D70"/>
    <w:rsid w:val="002D43D4"/>
    <w:rsid w:val="002E123F"/>
    <w:rsid w:val="002F0FCB"/>
    <w:rsid w:val="002F18B7"/>
    <w:rsid w:val="00311C08"/>
    <w:rsid w:val="00312BB1"/>
    <w:rsid w:val="00313C68"/>
    <w:rsid w:val="003158DF"/>
    <w:rsid w:val="00316F5F"/>
    <w:rsid w:val="00325EC4"/>
    <w:rsid w:val="003277F3"/>
    <w:rsid w:val="003312DD"/>
    <w:rsid w:val="00331E9D"/>
    <w:rsid w:val="003337BD"/>
    <w:rsid w:val="00335C49"/>
    <w:rsid w:val="00360B9E"/>
    <w:rsid w:val="003658C6"/>
    <w:rsid w:val="00372242"/>
    <w:rsid w:val="00382946"/>
    <w:rsid w:val="003C1910"/>
    <w:rsid w:val="003C2FD1"/>
    <w:rsid w:val="003C7BD1"/>
    <w:rsid w:val="003D08F5"/>
    <w:rsid w:val="003D3D1B"/>
    <w:rsid w:val="003D3EAE"/>
    <w:rsid w:val="003D5E27"/>
    <w:rsid w:val="003E2FFF"/>
    <w:rsid w:val="003E3A20"/>
    <w:rsid w:val="004050DB"/>
    <w:rsid w:val="00406730"/>
    <w:rsid w:val="004120A7"/>
    <w:rsid w:val="00412E56"/>
    <w:rsid w:val="00445276"/>
    <w:rsid w:val="00450966"/>
    <w:rsid w:val="0046319D"/>
    <w:rsid w:val="00473CB6"/>
    <w:rsid w:val="00482E69"/>
    <w:rsid w:val="004922E5"/>
    <w:rsid w:val="00492D0A"/>
    <w:rsid w:val="004951C1"/>
    <w:rsid w:val="00497B56"/>
    <w:rsid w:val="004A5A40"/>
    <w:rsid w:val="004B53C5"/>
    <w:rsid w:val="004C0B75"/>
    <w:rsid w:val="004C10D7"/>
    <w:rsid w:val="004C66E8"/>
    <w:rsid w:val="004E2D03"/>
    <w:rsid w:val="004F0DE8"/>
    <w:rsid w:val="004F72E3"/>
    <w:rsid w:val="0050261E"/>
    <w:rsid w:val="00516DED"/>
    <w:rsid w:val="00523A2A"/>
    <w:rsid w:val="005346BE"/>
    <w:rsid w:val="00547BBC"/>
    <w:rsid w:val="00551119"/>
    <w:rsid w:val="00555867"/>
    <w:rsid w:val="00565AFD"/>
    <w:rsid w:val="005846E1"/>
    <w:rsid w:val="005945F2"/>
    <w:rsid w:val="00597B90"/>
    <w:rsid w:val="005B3D16"/>
    <w:rsid w:val="005B7D82"/>
    <w:rsid w:val="005C005C"/>
    <w:rsid w:val="005C424F"/>
    <w:rsid w:val="005D4383"/>
    <w:rsid w:val="005E3B44"/>
    <w:rsid w:val="005E5DF3"/>
    <w:rsid w:val="005E786F"/>
    <w:rsid w:val="005E7973"/>
    <w:rsid w:val="00606EB6"/>
    <w:rsid w:val="00623E5A"/>
    <w:rsid w:val="00630BD9"/>
    <w:rsid w:val="006376AA"/>
    <w:rsid w:val="00660261"/>
    <w:rsid w:val="00663648"/>
    <w:rsid w:val="006724F9"/>
    <w:rsid w:val="00676175"/>
    <w:rsid w:val="00682C16"/>
    <w:rsid w:val="00686CFC"/>
    <w:rsid w:val="00696AA9"/>
    <w:rsid w:val="006A0B6A"/>
    <w:rsid w:val="006A3A8F"/>
    <w:rsid w:val="006A4931"/>
    <w:rsid w:val="006A7FCE"/>
    <w:rsid w:val="006B4A50"/>
    <w:rsid w:val="006B54FF"/>
    <w:rsid w:val="006C66A9"/>
    <w:rsid w:val="006D23B5"/>
    <w:rsid w:val="006D765C"/>
    <w:rsid w:val="006E5F6A"/>
    <w:rsid w:val="006E622C"/>
    <w:rsid w:val="006F641E"/>
    <w:rsid w:val="0070217C"/>
    <w:rsid w:val="00712779"/>
    <w:rsid w:val="00715B90"/>
    <w:rsid w:val="00750A0C"/>
    <w:rsid w:val="00751B6A"/>
    <w:rsid w:val="00752E65"/>
    <w:rsid w:val="00753859"/>
    <w:rsid w:val="00753DC9"/>
    <w:rsid w:val="0075781D"/>
    <w:rsid w:val="00776EC7"/>
    <w:rsid w:val="007833EB"/>
    <w:rsid w:val="007B2E4C"/>
    <w:rsid w:val="007B40DC"/>
    <w:rsid w:val="007B5632"/>
    <w:rsid w:val="007C0F13"/>
    <w:rsid w:val="007D1405"/>
    <w:rsid w:val="007E0F6A"/>
    <w:rsid w:val="007E4968"/>
    <w:rsid w:val="008109B0"/>
    <w:rsid w:val="0081627C"/>
    <w:rsid w:val="0082010A"/>
    <w:rsid w:val="00821B28"/>
    <w:rsid w:val="00845262"/>
    <w:rsid w:val="00847FF7"/>
    <w:rsid w:val="0085312C"/>
    <w:rsid w:val="00864FA1"/>
    <w:rsid w:val="00865E75"/>
    <w:rsid w:val="00867CD0"/>
    <w:rsid w:val="008704C6"/>
    <w:rsid w:val="00891F90"/>
    <w:rsid w:val="008A4BE2"/>
    <w:rsid w:val="008A5139"/>
    <w:rsid w:val="008A55D5"/>
    <w:rsid w:val="008A718E"/>
    <w:rsid w:val="008B7D88"/>
    <w:rsid w:val="008B7E7A"/>
    <w:rsid w:val="008C0F4A"/>
    <w:rsid w:val="008C75E8"/>
    <w:rsid w:val="008E340E"/>
    <w:rsid w:val="008F6EEC"/>
    <w:rsid w:val="0090328E"/>
    <w:rsid w:val="009144B8"/>
    <w:rsid w:val="00937433"/>
    <w:rsid w:val="0094568C"/>
    <w:rsid w:val="0095540B"/>
    <w:rsid w:val="00957B0E"/>
    <w:rsid w:val="00961AC1"/>
    <w:rsid w:val="009855CF"/>
    <w:rsid w:val="00995617"/>
    <w:rsid w:val="009A5C8B"/>
    <w:rsid w:val="009A74ED"/>
    <w:rsid w:val="009B0AA4"/>
    <w:rsid w:val="009D5719"/>
    <w:rsid w:val="009D7B9B"/>
    <w:rsid w:val="009E6BDF"/>
    <w:rsid w:val="009F2F32"/>
    <w:rsid w:val="009F30BF"/>
    <w:rsid w:val="00A027AA"/>
    <w:rsid w:val="00A1581E"/>
    <w:rsid w:val="00A21CE0"/>
    <w:rsid w:val="00A24D48"/>
    <w:rsid w:val="00A31D77"/>
    <w:rsid w:val="00A373FD"/>
    <w:rsid w:val="00A37AD7"/>
    <w:rsid w:val="00A561FA"/>
    <w:rsid w:val="00A65E7A"/>
    <w:rsid w:val="00A7223D"/>
    <w:rsid w:val="00A96743"/>
    <w:rsid w:val="00AB5E1A"/>
    <w:rsid w:val="00AB68DE"/>
    <w:rsid w:val="00AC791F"/>
    <w:rsid w:val="00AD3986"/>
    <w:rsid w:val="00AE4C1B"/>
    <w:rsid w:val="00AF7C27"/>
    <w:rsid w:val="00B342F1"/>
    <w:rsid w:val="00B46009"/>
    <w:rsid w:val="00B54679"/>
    <w:rsid w:val="00B65679"/>
    <w:rsid w:val="00B66B1D"/>
    <w:rsid w:val="00B67707"/>
    <w:rsid w:val="00B750F2"/>
    <w:rsid w:val="00B92BE9"/>
    <w:rsid w:val="00B96611"/>
    <w:rsid w:val="00BB10FE"/>
    <w:rsid w:val="00BC4C60"/>
    <w:rsid w:val="00BD087B"/>
    <w:rsid w:val="00BD19EB"/>
    <w:rsid w:val="00BD1BF2"/>
    <w:rsid w:val="00BD48DA"/>
    <w:rsid w:val="00BD7FDC"/>
    <w:rsid w:val="00BE06FF"/>
    <w:rsid w:val="00C01863"/>
    <w:rsid w:val="00C412E0"/>
    <w:rsid w:val="00C552B1"/>
    <w:rsid w:val="00C61C06"/>
    <w:rsid w:val="00C66157"/>
    <w:rsid w:val="00CA0F5D"/>
    <w:rsid w:val="00CA76C0"/>
    <w:rsid w:val="00CB0C1E"/>
    <w:rsid w:val="00CB1354"/>
    <w:rsid w:val="00CB154A"/>
    <w:rsid w:val="00CB300D"/>
    <w:rsid w:val="00CD68A3"/>
    <w:rsid w:val="00CD70FE"/>
    <w:rsid w:val="00CE3DF9"/>
    <w:rsid w:val="00CE649C"/>
    <w:rsid w:val="00CE66D8"/>
    <w:rsid w:val="00CF02D2"/>
    <w:rsid w:val="00D1328B"/>
    <w:rsid w:val="00D15C77"/>
    <w:rsid w:val="00D22C0F"/>
    <w:rsid w:val="00D66A30"/>
    <w:rsid w:val="00D77B63"/>
    <w:rsid w:val="00D969D8"/>
    <w:rsid w:val="00DA34A5"/>
    <w:rsid w:val="00DD374A"/>
    <w:rsid w:val="00DE5635"/>
    <w:rsid w:val="00E140AD"/>
    <w:rsid w:val="00E1499B"/>
    <w:rsid w:val="00E36772"/>
    <w:rsid w:val="00E4167F"/>
    <w:rsid w:val="00E74DFB"/>
    <w:rsid w:val="00E814A5"/>
    <w:rsid w:val="00E81B5B"/>
    <w:rsid w:val="00E84F78"/>
    <w:rsid w:val="00E903F2"/>
    <w:rsid w:val="00E932A0"/>
    <w:rsid w:val="00E938A5"/>
    <w:rsid w:val="00EA6051"/>
    <w:rsid w:val="00EB698A"/>
    <w:rsid w:val="00EC515C"/>
    <w:rsid w:val="00EC69B8"/>
    <w:rsid w:val="00EC6F4E"/>
    <w:rsid w:val="00ED03C9"/>
    <w:rsid w:val="00EE196F"/>
    <w:rsid w:val="00EE2166"/>
    <w:rsid w:val="00EE7343"/>
    <w:rsid w:val="00F05AF2"/>
    <w:rsid w:val="00F1261D"/>
    <w:rsid w:val="00F3276E"/>
    <w:rsid w:val="00F4008D"/>
    <w:rsid w:val="00F42EB3"/>
    <w:rsid w:val="00F438D7"/>
    <w:rsid w:val="00F47E78"/>
    <w:rsid w:val="00F5088F"/>
    <w:rsid w:val="00F50B4D"/>
    <w:rsid w:val="00F66CC6"/>
    <w:rsid w:val="00F757A9"/>
    <w:rsid w:val="00F765B4"/>
    <w:rsid w:val="00FA2EA3"/>
    <w:rsid w:val="00FA4D1D"/>
    <w:rsid w:val="00FD31A2"/>
    <w:rsid w:val="00FE7033"/>
    <w:rsid w:val="00FF47E4"/>
    <w:rsid w:val="00FF6D9A"/>
    <w:rsid w:val="03D36D1A"/>
    <w:rsid w:val="066E1D61"/>
    <w:rsid w:val="0B2E09FF"/>
    <w:rsid w:val="0F597677"/>
    <w:rsid w:val="13A27E68"/>
    <w:rsid w:val="1842F320"/>
    <w:rsid w:val="18BB590B"/>
    <w:rsid w:val="1A1F5934"/>
    <w:rsid w:val="1DC5E6C8"/>
    <w:rsid w:val="1DD6F9FD"/>
    <w:rsid w:val="270C44C4"/>
    <w:rsid w:val="2744A35D"/>
    <w:rsid w:val="2777989B"/>
    <w:rsid w:val="2BB7CA92"/>
    <w:rsid w:val="2C817F0C"/>
    <w:rsid w:val="2DFDA177"/>
    <w:rsid w:val="30929E4B"/>
    <w:rsid w:val="33E1B493"/>
    <w:rsid w:val="368372ED"/>
    <w:rsid w:val="3841BACA"/>
    <w:rsid w:val="3B3FE207"/>
    <w:rsid w:val="431D605B"/>
    <w:rsid w:val="437B1A16"/>
    <w:rsid w:val="459334E9"/>
    <w:rsid w:val="48C66204"/>
    <w:rsid w:val="4BF01224"/>
    <w:rsid w:val="4E4A70AE"/>
    <w:rsid w:val="51FE86DE"/>
    <w:rsid w:val="5205D5B6"/>
    <w:rsid w:val="52E4AC04"/>
    <w:rsid w:val="56521930"/>
    <w:rsid w:val="5A5A3A8E"/>
    <w:rsid w:val="5B9AA40F"/>
    <w:rsid w:val="5C0FFDCF"/>
    <w:rsid w:val="5F9370A5"/>
    <w:rsid w:val="6466F98E"/>
    <w:rsid w:val="66CC741D"/>
    <w:rsid w:val="6A04D547"/>
    <w:rsid w:val="6AAF9530"/>
    <w:rsid w:val="70577578"/>
    <w:rsid w:val="72E8424A"/>
    <w:rsid w:val="731D0A71"/>
    <w:rsid w:val="74576531"/>
    <w:rsid w:val="7829F309"/>
    <w:rsid w:val="795F6B19"/>
    <w:rsid w:val="79ECBE6E"/>
    <w:rsid w:val="7B3B79AF"/>
    <w:rsid w:val="7D8273C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7F5DCC8"/>
  <w15:chartTrackingRefBased/>
  <w15:docId w15:val="{A3934C62-BCC9-4DED-AECA-DEE50C116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141B"/>
    <w:pPr>
      <w:spacing w:line="259"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link w:val="BodyTextChar"/>
    <w:rPr>
      <w:rFonts w:ascii="Arial" w:hAnsi="Arial" w:cs="Arial"/>
      <w:color w:val="FF0000"/>
      <w:sz w:val="20"/>
      <w:szCs w:val="20"/>
    </w:rPr>
  </w:style>
  <w:style w:type="paragraph" w:styleId="BalloonText">
    <w:name w:val="Balloon Text"/>
    <w:basedOn w:val="Normal"/>
    <w:link w:val="BalloonTextChar"/>
    <w:rsid w:val="007B5632"/>
    <w:rPr>
      <w:rFonts w:ascii="Segoe UI" w:hAnsi="Segoe UI" w:cs="Segoe UI"/>
      <w:sz w:val="18"/>
      <w:szCs w:val="18"/>
    </w:rPr>
  </w:style>
  <w:style w:type="character" w:customStyle="1" w:styleId="BalloonTextChar">
    <w:name w:val="Balloon Text Char"/>
    <w:link w:val="BalloonText"/>
    <w:rsid w:val="007B5632"/>
    <w:rPr>
      <w:rFonts w:ascii="Segoe UI" w:hAnsi="Segoe UI" w:cs="Segoe UI"/>
      <w:sz w:val="18"/>
      <w:szCs w:val="18"/>
    </w:rPr>
  </w:style>
  <w:style w:type="character" w:customStyle="1" w:styleId="BodyTextChar">
    <w:name w:val="Body Text Char"/>
    <w:link w:val="BodyText"/>
    <w:rsid w:val="002F0FCB"/>
    <w:rPr>
      <w:rFonts w:ascii="Arial" w:hAnsi="Arial" w:cs="Arial"/>
      <w:color w:val="FF0000"/>
    </w:rPr>
  </w:style>
  <w:style w:type="character" w:customStyle="1" w:styleId="markedcontent">
    <w:name w:val="markedcontent"/>
    <w:basedOn w:val="DefaultParagraphFont"/>
    <w:rsid w:val="00565AFD"/>
  </w:style>
  <w:style w:type="character" w:styleId="CommentReference">
    <w:name w:val="annotation reference"/>
    <w:rsid w:val="007E4968"/>
    <w:rPr>
      <w:sz w:val="16"/>
      <w:szCs w:val="16"/>
    </w:rPr>
  </w:style>
  <w:style w:type="paragraph" w:styleId="CommentText">
    <w:name w:val="annotation text"/>
    <w:basedOn w:val="Normal"/>
    <w:link w:val="CommentTextChar"/>
    <w:rsid w:val="007E4968"/>
    <w:rPr>
      <w:sz w:val="20"/>
      <w:szCs w:val="20"/>
    </w:rPr>
  </w:style>
  <w:style w:type="character" w:customStyle="1" w:styleId="CommentTextChar">
    <w:name w:val="Comment Text Char"/>
    <w:basedOn w:val="DefaultParagraphFont"/>
    <w:link w:val="CommentText"/>
    <w:rsid w:val="007E4968"/>
  </w:style>
  <w:style w:type="paragraph" w:styleId="CommentSubject">
    <w:name w:val="annotation subject"/>
    <w:basedOn w:val="CommentText"/>
    <w:next w:val="CommentText"/>
    <w:link w:val="CommentSubjectChar"/>
    <w:rsid w:val="007E4968"/>
    <w:rPr>
      <w:b/>
      <w:bCs/>
    </w:rPr>
  </w:style>
  <w:style w:type="character" w:customStyle="1" w:styleId="CommentSubjectChar">
    <w:name w:val="Comment Subject Char"/>
    <w:link w:val="CommentSubject"/>
    <w:rsid w:val="007E4968"/>
    <w:rPr>
      <w:b/>
      <w:bCs/>
    </w:rPr>
  </w:style>
  <w:style w:type="table" w:styleId="TableGrid">
    <w:name w:val="Table Grid"/>
    <w:basedOn w:val="TableNormal"/>
    <w:rsid w:val="00F50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438D7"/>
    <w:rPr>
      <w:color w:val="605E5C"/>
      <w:shd w:val="clear" w:color="auto" w:fill="E1DFDD"/>
    </w:rPr>
  </w:style>
  <w:style w:type="paragraph" w:styleId="Header">
    <w:name w:val="header"/>
    <w:basedOn w:val="Normal"/>
    <w:link w:val="HeaderChar"/>
    <w:rsid w:val="00BD19EB"/>
    <w:pPr>
      <w:tabs>
        <w:tab w:val="center" w:pos="4680"/>
        <w:tab w:val="right" w:pos="9360"/>
      </w:tabs>
      <w:spacing w:line="240" w:lineRule="auto"/>
    </w:pPr>
  </w:style>
  <w:style w:type="character" w:customStyle="1" w:styleId="HeaderChar">
    <w:name w:val="Header Char"/>
    <w:basedOn w:val="DefaultParagraphFont"/>
    <w:link w:val="Header"/>
    <w:rsid w:val="00BD19EB"/>
    <w:rPr>
      <w:sz w:val="24"/>
      <w:szCs w:val="24"/>
      <w:lang w:eastAsia="en-US"/>
    </w:rPr>
  </w:style>
  <w:style w:type="paragraph" w:styleId="Footer">
    <w:name w:val="footer"/>
    <w:basedOn w:val="Normal"/>
    <w:link w:val="FooterChar"/>
    <w:uiPriority w:val="99"/>
    <w:rsid w:val="00BD19EB"/>
    <w:pPr>
      <w:tabs>
        <w:tab w:val="center" w:pos="4680"/>
        <w:tab w:val="right" w:pos="9360"/>
      </w:tabs>
      <w:spacing w:line="240" w:lineRule="auto"/>
    </w:pPr>
  </w:style>
  <w:style w:type="character" w:customStyle="1" w:styleId="FooterChar">
    <w:name w:val="Footer Char"/>
    <w:basedOn w:val="DefaultParagraphFont"/>
    <w:link w:val="Footer"/>
    <w:uiPriority w:val="99"/>
    <w:rsid w:val="00BD19EB"/>
    <w:rPr>
      <w:sz w:val="24"/>
      <w:szCs w:val="24"/>
      <w:lang w:eastAsia="en-US"/>
    </w:rPr>
  </w:style>
  <w:style w:type="paragraph" w:styleId="Revision">
    <w:name w:val="Revision"/>
    <w:hidden/>
    <w:uiPriority w:val="99"/>
    <w:semiHidden/>
    <w:rsid w:val="00E814A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bls.gov/soc/home.htm"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90BCF19F544D43B377207F0C4EF35B" ma:contentTypeVersion="5" ma:contentTypeDescription="Create a new document." ma:contentTypeScope="" ma:versionID="00ce0c226869b83007c3f938cca12fed">
  <xsd:schema xmlns:xsd="http://www.w3.org/2001/XMLSchema" xmlns:xs="http://www.w3.org/2001/XMLSchema" xmlns:p="http://schemas.microsoft.com/office/2006/metadata/properties" xmlns:ns3="fdda438c-7a5c-4f9a-a768-72890f1895c0" xmlns:ns4="b7951cc6-bc06-4bf4-92c2-f62803d8846f" targetNamespace="http://schemas.microsoft.com/office/2006/metadata/properties" ma:root="true" ma:fieldsID="c4de4fb95301293085f44ececdeb8159" ns3:_="" ns4:_="">
    <xsd:import namespace="fdda438c-7a5c-4f9a-a768-72890f1895c0"/>
    <xsd:import namespace="b7951cc6-bc06-4bf4-92c2-f62803d884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a438c-7a5c-4f9a-a768-72890f1895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51cc6-bc06-4bf4-92c2-f62803d884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13810-679A-488A-B48D-E6D0612FC826}">
  <ds:schemaRefs>
    <ds:schemaRef ds:uri="http://schemas.microsoft.com/sharepoint/v3/contenttype/forms"/>
  </ds:schemaRefs>
</ds:datastoreItem>
</file>

<file path=customXml/itemProps2.xml><?xml version="1.0" encoding="utf-8"?>
<ds:datastoreItem xmlns:ds="http://schemas.openxmlformats.org/officeDocument/2006/customXml" ds:itemID="{0B15CAEE-D8E8-4917-8866-704D5D940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a438c-7a5c-4f9a-a768-72890f1895c0"/>
    <ds:schemaRef ds:uri="b7951cc6-bc06-4bf4-92c2-f62803d884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3C2CFA-99E3-4130-97AF-E5EFEB509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2602</Words>
  <Characters>15159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The Supporting Statement</vt:lpstr>
    </vt:vector>
  </TitlesOfParts>
  <Company>DOT</Company>
  <LinksUpToDate>false</LinksUpToDate>
  <CharactersWithSpaces>17726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creator>FHWA</dc:creator>
  <cp:lastModifiedBy>Toone, Kim (OST)</cp:lastModifiedBy>
  <cp:revision>2</cp:revision>
  <cp:lastPrinted>2017-05-24T02:17:00Z</cp:lastPrinted>
  <dcterms:created xsi:type="dcterms:W3CDTF">2026-06-18T14:47:00Z</dcterms:created>
  <dcterms:modified xsi:type="dcterms:W3CDTF">2026-06-18T14:47:00Z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0x010100BF90BCF19F544D43B377207F0C4EF35B</vt:lpwstr>
  </property>
</Properties>
</file>