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2384E" w:rsidRPr="008F55DC" w:rsidP="008F55DC" w14:paraId="7FEB770E" w14:textId="77777777">
      <w:pPr>
        <w:pStyle w:val="NoSpacing"/>
        <w:jc w:val="center"/>
        <w:rPr>
          <w:rFonts w:ascii="Times New Roman" w:hAnsi="Times New Roman" w:cs="Times New Roman"/>
          <w:b/>
          <w:bCs/>
        </w:rPr>
      </w:pPr>
      <w:r w:rsidRPr="008F55DC">
        <w:rPr>
          <w:rFonts w:ascii="Times New Roman" w:hAnsi="Times New Roman" w:cs="Times New Roman"/>
          <w:b/>
          <w:bCs/>
        </w:rPr>
        <w:t>Supporting Statement for Paperwork Reduction Act Submissions</w:t>
      </w:r>
    </w:p>
    <w:p w:rsidR="0012384E" w:rsidRPr="008F55DC" w:rsidP="008F55DC" w14:paraId="07434FA6" w14:textId="77777777">
      <w:pPr>
        <w:pStyle w:val="NoSpacing"/>
        <w:jc w:val="center"/>
        <w:rPr>
          <w:rFonts w:ascii="Times New Roman" w:hAnsi="Times New Roman" w:cs="Times New Roman"/>
          <w:b/>
          <w:bCs/>
        </w:rPr>
      </w:pPr>
      <w:r w:rsidRPr="008F55DC">
        <w:rPr>
          <w:rFonts w:ascii="Times New Roman" w:hAnsi="Times New Roman" w:cs="Times New Roman"/>
          <w:b/>
          <w:bCs/>
        </w:rPr>
        <w:t>Economic Development Initiative Community Project Funding Grants</w:t>
      </w:r>
    </w:p>
    <w:p w:rsidR="0012384E" w:rsidRPr="008F55DC" w:rsidP="008F55DC" w14:paraId="3C534B94" w14:textId="77777777">
      <w:pPr>
        <w:pStyle w:val="NoSpacing"/>
        <w:jc w:val="center"/>
        <w:rPr>
          <w:rFonts w:ascii="Times New Roman" w:hAnsi="Times New Roman" w:cs="Times New Roman"/>
          <w:b/>
          <w:bCs/>
        </w:rPr>
      </w:pPr>
      <w:r w:rsidRPr="008F55DC">
        <w:rPr>
          <w:rFonts w:ascii="Times New Roman" w:hAnsi="Times New Roman" w:cs="Times New Roman"/>
          <w:b/>
          <w:bCs/>
        </w:rPr>
        <w:t>(OMB# 2506-0217)</w:t>
      </w:r>
    </w:p>
    <w:p w:rsidR="0012384E" w:rsidRPr="008F55DC" w:rsidP="008F55DC" w14:paraId="6287300D" w14:textId="77777777">
      <w:pPr>
        <w:pStyle w:val="NoSpacing"/>
        <w:jc w:val="center"/>
        <w:rPr>
          <w:rFonts w:ascii="Times New Roman" w:hAnsi="Times New Roman" w:cs="Times New Roman"/>
          <w:b/>
          <w:bCs/>
        </w:rPr>
      </w:pPr>
    </w:p>
    <w:p w:rsidR="0012384E" w:rsidRPr="008F55DC" w:rsidP="0012384E" w14:paraId="774B40E8" w14:textId="0E9292DC">
      <w:pPr>
        <w:rPr>
          <w:rFonts w:ascii="Times New Roman" w:hAnsi="Times New Roman" w:cs="Times New Roman"/>
          <w:b/>
          <w:bCs/>
        </w:rPr>
      </w:pPr>
      <w:r w:rsidRPr="008F55DC">
        <w:rPr>
          <w:rFonts w:ascii="Times New Roman" w:hAnsi="Times New Roman" w:cs="Times New Roman"/>
          <w:b/>
          <w:bCs/>
        </w:rPr>
        <w:t>A. Justification</w:t>
      </w:r>
    </w:p>
    <w:p w:rsidR="0012384E" w:rsidRPr="008F55DC" w:rsidP="0012384E" w14:paraId="07016799" w14:textId="1CDBE723">
      <w:pPr>
        <w:pStyle w:val="ListParagraph"/>
        <w:numPr>
          <w:ilvl w:val="0"/>
          <w:numId w:val="1"/>
        </w:numPr>
        <w:rPr>
          <w:rFonts w:ascii="Times New Roman" w:hAnsi="Times New Roman" w:cs="Times New Roman"/>
          <w:b/>
          <w:bCs/>
        </w:rPr>
      </w:pPr>
      <w:r w:rsidRPr="008F55DC">
        <w:rPr>
          <w:rFonts w:ascii="Times New Roman" w:hAnsi="Times New Roman" w:cs="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2384E" w:rsidRPr="0012384E" w:rsidP="0012384E" w14:paraId="248F7BAA" w14:textId="77777777">
      <w:pPr>
        <w:ind w:left="360"/>
        <w:rPr>
          <w:rFonts w:ascii="Times New Roman" w:hAnsi="Times New Roman" w:cs="Times New Roman"/>
        </w:rPr>
      </w:pPr>
      <w:r w:rsidRPr="0012384E">
        <w:rPr>
          <w:rFonts w:ascii="Times New Roman" w:hAnsi="Times New Roman" w:cs="Times New Roman"/>
        </w:rPr>
        <w:t xml:space="preserve">This information is collected to make grant funds available to entities that will be identified in the Joint Explanatory Statement for Transportation, Housing and Urban Development and Related Agencies in annual appropriations acts for 2022, 2023, 2024, 2026 and in perpetuity.  The legal requirements that necessitate the information collections include 2 CFR 200.211, 200.311, 200.313, 200.328-200.330, and 200.344.  </w:t>
      </w:r>
    </w:p>
    <w:p w:rsidR="0012384E" w:rsidRPr="008F55DC" w:rsidP="0012384E" w14:paraId="67FC907E" w14:textId="77777777">
      <w:pPr>
        <w:pStyle w:val="ListParagraph"/>
        <w:numPr>
          <w:ilvl w:val="0"/>
          <w:numId w:val="1"/>
        </w:numPr>
        <w:rPr>
          <w:rFonts w:ascii="Times New Roman" w:hAnsi="Times New Roman" w:cs="Times New Roman"/>
          <w:b/>
          <w:bCs/>
        </w:rPr>
      </w:pPr>
      <w:r w:rsidRPr="008F55DC">
        <w:rPr>
          <w:rFonts w:ascii="Times New Roman" w:hAnsi="Times New Roman" w:cs="Times New Roman"/>
          <w:b/>
          <w:bCs/>
        </w:rPr>
        <w:t>Indicate how, by whom and for what purpose the information is to be used.  Except for a new collection, indicate the actual use the agency has made of the information received from the current collection.</w:t>
      </w:r>
    </w:p>
    <w:p w:rsidR="0012384E" w:rsidP="0012384E" w14:paraId="3B5D05EB" w14:textId="77777777">
      <w:pPr>
        <w:pStyle w:val="ListParagraph"/>
        <w:ind w:left="360"/>
        <w:rPr>
          <w:rFonts w:ascii="Times New Roman" w:hAnsi="Times New Roman" w:cs="Times New Roman"/>
        </w:rPr>
      </w:pPr>
    </w:p>
    <w:p w:rsidR="0012384E" w:rsidP="0012384E" w14:paraId="37B18034" w14:textId="77777777">
      <w:pPr>
        <w:pStyle w:val="ListParagraph"/>
        <w:ind w:left="360"/>
        <w:rPr>
          <w:rFonts w:ascii="Times New Roman" w:hAnsi="Times New Roman" w:cs="Times New Roman"/>
        </w:rPr>
      </w:pPr>
      <w:r w:rsidRPr="0012384E">
        <w:rPr>
          <w:rFonts w:ascii="Times New Roman" w:hAnsi="Times New Roman" w:cs="Times New Roman"/>
        </w:rPr>
        <w:t>This is a revision of previously approved collection.  The Congressional Grants Division at HUD Headquarters and CPD Field Offices use the information collected to make grant funds available to appropriated entities. This information is collected, reviewed, and tracked through the Disaster Recovery Grant Reporting (DRGR) System, as well as through semi-annual and close-out reports. It is used to assess grantee performance, including reviewing submitted materials to ensure that project descriptions and budgets align with statutory requirements.</w:t>
      </w:r>
    </w:p>
    <w:p w:rsidR="0012384E" w:rsidP="0012384E" w14:paraId="4725F3E2" w14:textId="77777777">
      <w:pPr>
        <w:pStyle w:val="ListParagraph"/>
        <w:ind w:left="360"/>
        <w:rPr>
          <w:rFonts w:ascii="Times New Roman" w:hAnsi="Times New Roman" w:cs="Times New Roman"/>
        </w:rPr>
      </w:pPr>
    </w:p>
    <w:p w:rsidR="0012384E" w:rsidP="0012384E" w14:paraId="7C1DFC40" w14:textId="2F901FF0">
      <w:pPr>
        <w:pStyle w:val="ListParagraph"/>
        <w:ind w:left="360"/>
        <w:rPr>
          <w:rFonts w:ascii="Times New Roman" w:hAnsi="Times New Roman" w:cs="Times New Roman"/>
        </w:rPr>
      </w:pPr>
      <w:r w:rsidRPr="0012384E">
        <w:rPr>
          <w:rFonts w:ascii="Times New Roman" w:hAnsi="Times New Roman" w:cs="Times New Roman"/>
        </w:rPr>
        <w:t xml:space="preserve">All required forms are completed electronically in DRGR. No paper submissions are needed. Grantees receive an attachment to the CPF Grant Guide in their initial award letter.  The Grant Guide provides step-by-step instructions for completing all required documents in DRGR. The guide is also available on HUDexchange and HUD.gov. </w:t>
      </w:r>
    </w:p>
    <w:p w:rsidR="0012384E" w:rsidRPr="0012384E" w:rsidP="0012384E" w14:paraId="252AABBA" w14:textId="77777777">
      <w:pPr>
        <w:pStyle w:val="ListParagraph"/>
        <w:ind w:left="360"/>
        <w:rPr>
          <w:rFonts w:ascii="Times New Roman" w:hAnsi="Times New Roman" w:cs="Times New Roman"/>
        </w:rPr>
      </w:pPr>
    </w:p>
    <w:p w:rsidR="0012384E" w:rsidRPr="00605B39" w:rsidP="0012384E" w14:paraId="2430DE2B" w14:textId="77777777">
      <w:pPr>
        <w:pStyle w:val="ListParagraph"/>
        <w:numPr>
          <w:ilvl w:val="0"/>
          <w:numId w:val="1"/>
        </w:numPr>
        <w:rPr>
          <w:rFonts w:ascii="Times New Roman" w:hAnsi="Times New Roman" w:cs="Times New Roman"/>
          <w:b/>
          <w:bCs/>
        </w:rPr>
      </w:pPr>
      <w:r w:rsidRPr="00605B39">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05B39">
        <w:rPr>
          <w:rFonts w:ascii="Times New Roman" w:hAnsi="Times New Roman" w:cs="Times New Roman"/>
          <w:b/>
          <w:bCs/>
        </w:rPr>
        <w:t>for adopting</w:t>
      </w:r>
      <w:r w:rsidRPr="00605B39">
        <w:rPr>
          <w:rFonts w:ascii="Times New Roman" w:hAnsi="Times New Roman" w:cs="Times New Roman"/>
          <w:b/>
          <w:bCs/>
        </w:rPr>
        <w:t xml:space="preserve"> this means of collection.  Also describe any consideration of using information technology to reduce burden. </w:t>
      </w:r>
    </w:p>
    <w:p w:rsidR="0012384E" w:rsidP="0012384E" w14:paraId="53050E9D" w14:textId="77777777">
      <w:pPr>
        <w:pStyle w:val="ListParagraph"/>
        <w:ind w:left="360"/>
        <w:rPr>
          <w:rFonts w:ascii="Times New Roman" w:hAnsi="Times New Roman" w:cs="Times New Roman"/>
        </w:rPr>
      </w:pPr>
      <w:r w:rsidRPr="0012384E">
        <w:rPr>
          <w:rFonts w:ascii="Times New Roman" w:hAnsi="Times New Roman" w:cs="Times New Roman"/>
        </w:rPr>
        <w:t xml:space="preserve">As of 2026, organizations receiving EDI Community Project Funding grants will have the opportunity to submit the materials through DRGR.  Grantees may collect information for semi-annually grant activity reports and final reports electrically, using whatever format the </w:t>
      </w:r>
      <w:r w:rsidRPr="0012384E">
        <w:rPr>
          <w:rFonts w:ascii="Times New Roman" w:hAnsi="Times New Roman" w:cs="Times New Roman"/>
        </w:rPr>
        <w:t>grantee uses to collect such information, and will be permitted to submit such information to HUD electronically via HUD’s Disaster Recovery Grant Reporting (DRGR) System.</w:t>
      </w:r>
    </w:p>
    <w:p w:rsidR="0012384E" w:rsidP="0012384E" w14:paraId="16C69BC9" w14:textId="77777777">
      <w:pPr>
        <w:pStyle w:val="ListParagraph"/>
        <w:ind w:left="360"/>
        <w:rPr>
          <w:rFonts w:ascii="Times New Roman" w:hAnsi="Times New Roman" w:cs="Times New Roman"/>
        </w:rPr>
      </w:pPr>
    </w:p>
    <w:p w:rsidR="0012384E" w:rsidP="0012384E" w14:paraId="0FCF597B" w14:textId="77777777">
      <w:pPr>
        <w:pStyle w:val="ListParagraph"/>
        <w:ind w:left="360"/>
        <w:rPr>
          <w:rFonts w:ascii="Times New Roman" w:hAnsi="Times New Roman" w:cs="Times New Roman"/>
        </w:rPr>
      </w:pPr>
      <w:r w:rsidRPr="0012384E">
        <w:rPr>
          <w:rFonts w:ascii="Times New Roman" w:hAnsi="Times New Roman" w:cs="Times New Roman"/>
        </w:rPr>
        <w:t xml:space="preserve">Using an electronic information collection method will eliminate the paper materials for the various forms required. </w:t>
      </w:r>
      <w:r w:rsidRPr="0012384E">
        <w:rPr>
          <w:rFonts w:ascii="Times New Roman" w:hAnsi="Times New Roman" w:cs="Times New Roman"/>
        </w:rPr>
        <w:t>the</w:t>
      </w:r>
      <w:r w:rsidRPr="0012384E">
        <w:rPr>
          <w:rFonts w:ascii="Times New Roman" w:hAnsi="Times New Roman" w:cs="Times New Roman"/>
        </w:rPr>
        <w:t xml:space="preserve"> submission process is 100% electronic. All required forms and documents are completed and submitted through DRGR (Disaster Recovery Grant Reporting system), HUD's online grants management platform. There is no paper version of the required materials available to grantees.</w:t>
      </w:r>
    </w:p>
    <w:p w:rsidR="0012384E" w:rsidP="0012384E" w14:paraId="7A99C9EF" w14:textId="77777777">
      <w:pPr>
        <w:pStyle w:val="ListParagraph"/>
        <w:ind w:left="360"/>
        <w:rPr>
          <w:rFonts w:ascii="Times New Roman" w:hAnsi="Times New Roman" w:cs="Times New Roman"/>
        </w:rPr>
      </w:pPr>
    </w:p>
    <w:p w:rsidR="0012384E" w:rsidP="0012384E" w14:paraId="2093C675" w14:textId="20A87B95">
      <w:pPr>
        <w:pStyle w:val="ListParagraph"/>
        <w:ind w:left="360"/>
        <w:rPr>
          <w:rFonts w:ascii="Times New Roman" w:hAnsi="Times New Roman" w:cs="Times New Roman"/>
        </w:rPr>
      </w:pPr>
      <w:r w:rsidRPr="0012384E">
        <w:rPr>
          <w:rFonts w:ascii="Times New Roman" w:hAnsi="Times New Roman" w:cs="Times New Roman"/>
        </w:rPr>
        <w:t xml:space="preserve">The CPF program has transitioned to a fully electronic submission process to ensure efficiency, accuracy, and consistency in grant administration. The DRGR system serves as the authoritative platform for all grant documentation, enabling real-time tracking, compliance monitoring, and streamlined review by HUD staff. Grantees are </w:t>
      </w:r>
      <w:r w:rsidRPr="0012384E">
        <w:rPr>
          <w:rFonts w:ascii="Times New Roman" w:hAnsi="Times New Roman" w:cs="Times New Roman"/>
        </w:rPr>
        <w:t>provided</w:t>
      </w:r>
      <w:r w:rsidRPr="0012384E">
        <w:rPr>
          <w:rFonts w:ascii="Times New Roman" w:hAnsi="Times New Roman" w:cs="Times New Roman"/>
        </w:rPr>
        <w:t xml:space="preserve"> access to the CPF Grant Guide as an attachment to their initial grant award letter &amp; the guide is available on HUDexchange and HUD.gov. The guide offers step-by-step instructions for completing all required documents electronically in DRGR.</w:t>
      </w:r>
    </w:p>
    <w:p w:rsidR="0012384E" w:rsidRPr="0012384E" w:rsidP="0012384E" w14:paraId="22D441C2" w14:textId="77777777">
      <w:pPr>
        <w:pStyle w:val="ListParagraph"/>
        <w:ind w:left="360"/>
        <w:rPr>
          <w:rFonts w:ascii="Times New Roman" w:hAnsi="Times New Roman" w:cs="Times New Roman"/>
        </w:rPr>
      </w:pPr>
    </w:p>
    <w:p w:rsidR="0012384E" w:rsidRPr="00605B39" w:rsidP="0012384E" w14:paraId="3259686C" w14:textId="77777777">
      <w:pPr>
        <w:pStyle w:val="ListParagraph"/>
        <w:numPr>
          <w:ilvl w:val="0"/>
          <w:numId w:val="1"/>
        </w:numPr>
        <w:rPr>
          <w:rFonts w:ascii="Times New Roman" w:hAnsi="Times New Roman" w:cs="Times New Roman"/>
          <w:b/>
          <w:bCs/>
        </w:rPr>
      </w:pPr>
      <w:r w:rsidRPr="00605B39">
        <w:rPr>
          <w:rFonts w:ascii="Times New Roman" w:hAnsi="Times New Roman" w:cs="Times New Roman"/>
          <w:b/>
          <w:bCs/>
        </w:rPr>
        <w:t>Describe efforts to identify duplication.  Show specifically why any similar information already available cannot be used or modified for use for the purposes described in Item 2 above.</w:t>
      </w:r>
    </w:p>
    <w:p w:rsidR="0012384E" w:rsidP="0012384E" w14:paraId="62911E3E" w14:textId="77777777">
      <w:pPr>
        <w:pStyle w:val="ListParagraph"/>
        <w:ind w:left="360"/>
        <w:rPr>
          <w:rFonts w:ascii="Times New Roman" w:hAnsi="Times New Roman" w:cs="Times New Roman"/>
        </w:rPr>
      </w:pPr>
    </w:p>
    <w:p w:rsidR="0012384E" w:rsidP="0012384E" w14:paraId="3AE33837" w14:textId="2B07BAAC">
      <w:pPr>
        <w:pStyle w:val="ListParagraph"/>
        <w:ind w:left="360"/>
        <w:rPr>
          <w:rFonts w:ascii="Times New Roman" w:hAnsi="Times New Roman" w:cs="Times New Roman"/>
        </w:rPr>
      </w:pPr>
      <w:r w:rsidRPr="0012384E">
        <w:rPr>
          <w:rFonts w:ascii="Times New Roman" w:hAnsi="Times New Roman" w:cs="Times New Roman"/>
        </w:rPr>
        <w:t>HUD reviewed existing CPD reporting systems, including DRGR, Grants.gov, IDIS, and other HUD reporting channels, and confirmed that no existing collection captures the project-specific data required for CPF grant administration. Although DRGR is used across multiple CPD programs, CPF grantees are a distinct population of congressional set-aside recipients whose funded activities, locations, and performance benchmarks are unique to each appropriation cycle and cannot be derived from or substituted by disaster recovery or formula grant reporting already housed in the system. Any duplication of effort was assessed and ruled out on the basis that each CPF-funded project is newly authorized, with project-specific budgets, scopes, and congressional designations that require original data collection at each stage of the grant lifecycle, from application through closeout, and that information cannot be obtained from, or meaningfully modified from, any existing HUD or governmentwide data source.</w:t>
      </w:r>
    </w:p>
    <w:p w:rsidR="0012384E" w:rsidP="0012384E" w14:paraId="530872B9" w14:textId="77777777">
      <w:pPr>
        <w:pStyle w:val="ListParagraph"/>
        <w:ind w:left="360"/>
        <w:rPr>
          <w:rFonts w:ascii="Times New Roman" w:hAnsi="Times New Roman" w:cs="Times New Roman"/>
        </w:rPr>
      </w:pPr>
    </w:p>
    <w:p w:rsidR="0012384E" w:rsidP="0012384E" w14:paraId="3D62C7D1" w14:textId="77777777">
      <w:pPr>
        <w:pStyle w:val="ListParagraph"/>
        <w:ind w:left="360"/>
        <w:rPr>
          <w:rFonts w:ascii="Times New Roman" w:hAnsi="Times New Roman" w:cs="Times New Roman"/>
        </w:rPr>
      </w:pPr>
    </w:p>
    <w:p w:rsidR="0012384E" w:rsidRPr="0012384E" w:rsidP="0012384E" w14:paraId="1DD25441" w14:textId="77777777">
      <w:pPr>
        <w:pStyle w:val="ListParagraph"/>
        <w:ind w:left="360"/>
        <w:rPr>
          <w:rFonts w:ascii="Times New Roman" w:hAnsi="Times New Roman" w:cs="Times New Roman"/>
        </w:rPr>
      </w:pPr>
    </w:p>
    <w:p w:rsidR="0012384E" w:rsidRPr="00605B39" w:rsidP="0012384E" w14:paraId="54BA2298" w14:textId="15B0963C">
      <w:pPr>
        <w:pStyle w:val="ListParagraph"/>
        <w:numPr>
          <w:ilvl w:val="0"/>
          <w:numId w:val="1"/>
        </w:numPr>
        <w:rPr>
          <w:rFonts w:ascii="Times New Roman" w:hAnsi="Times New Roman" w:cs="Times New Roman"/>
          <w:b/>
          <w:bCs/>
        </w:rPr>
      </w:pPr>
      <w:r w:rsidRPr="00605B39">
        <w:rPr>
          <w:rFonts w:ascii="Times New Roman" w:hAnsi="Times New Roman" w:cs="Times New Roman"/>
          <w:b/>
          <w:bCs/>
        </w:rPr>
        <w:t>If the collection of information impacts small businesses or other small entities describe any methods used to minimize burden.</w:t>
      </w:r>
    </w:p>
    <w:p w:rsidR="0012384E" w:rsidP="0012384E" w14:paraId="3F6D62C0" w14:textId="0E1B94C4">
      <w:pPr>
        <w:ind w:left="360"/>
        <w:rPr>
          <w:rFonts w:ascii="Times New Roman" w:hAnsi="Times New Roman" w:cs="Times New Roman"/>
        </w:rPr>
      </w:pPr>
      <w:r w:rsidRPr="0012384E">
        <w:rPr>
          <w:rFonts w:ascii="Times New Roman" w:hAnsi="Times New Roman" w:cs="Times New Roman"/>
        </w:rPr>
        <w:t xml:space="preserve">The information collected may impact small businesses or other small entities. CPF grants can and sometimes are provided to small businesses or other small entities. To minimize </w:t>
      </w:r>
      <w:r w:rsidRPr="0012384E">
        <w:rPr>
          <w:rFonts w:ascii="Times New Roman" w:hAnsi="Times New Roman" w:cs="Times New Roman"/>
        </w:rPr>
        <w:t>burden on these entities, HUD has taken several steps to reduce the time and effort required to comply with reporting requirements. First, HUD utilizes the Disaster Recovery Grant Reporting (DRGR) system, an online platform that replaces paper-based forms and streamlines the submission of required information. The DRGR system allows grantees, including small businesses and other small entities, to input and manage data electronically, reducing administrative burden and improving efficiency</w:t>
      </w:r>
      <w:r>
        <w:rPr>
          <w:rFonts w:ascii="Times New Roman" w:hAnsi="Times New Roman" w:cs="Times New Roman"/>
        </w:rPr>
        <w:t>.</w:t>
      </w:r>
    </w:p>
    <w:p w:rsidR="0012384E" w:rsidRPr="00605B39" w:rsidP="0012384E" w14:paraId="4F09153E" w14:textId="77777777">
      <w:pPr>
        <w:pStyle w:val="ListParagraph"/>
        <w:numPr>
          <w:ilvl w:val="0"/>
          <w:numId w:val="1"/>
        </w:numPr>
        <w:rPr>
          <w:rFonts w:ascii="Times New Roman" w:hAnsi="Times New Roman" w:cs="Times New Roman"/>
          <w:b/>
          <w:bCs/>
        </w:rPr>
      </w:pPr>
      <w:r w:rsidRPr="00605B39">
        <w:rPr>
          <w:rFonts w:ascii="Times New Roman" w:hAnsi="Times New Roman" w:cs="Times New Roman"/>
          <w:b/>
          <w:bCs/>
        </w:rPr>
        <w:t xml:space="preserve">Describe the consequences </w:t>
      </w:r>
      <w:r w:rsidRPr="00605B39">
        <w:rPr>
          <w:rFonts w:ascii="Times New Roman" w:hAnsi="Times New Roman" w:cs="Times New Roman"/>
          <w:b/>
          <w:bCs/>
        </w:rPr>
        <w:t>to</w:t>
      </w:r>
      <w:r w:rsidRPr="00605B39">
        <w:rPr>
          <w:rFonts w:ascii="Times New Roman" w:hAnsi="Times New Roman" w:cs="Times New Roman"/>
          <w:b/>
          <w:bCs/>
        </w:rPr>
        <w:t xml:space="preserve"> Federal program or policy activities if the collection is not conducted or is conducted less frequently, as well as any technical or legal obstacles to reducing burden.</w:t>
      </w:r>
    </w:p>
    <w:p w:rsidR="0012384E" w:rsidP="0012384E" w14:paraId="27CD21B8" w14:textId="77777777">
      <w:pPr>
        <w:pStyle w:val="ListParagraph"/>
        <w:ind w:left="360"/>
        <w:rPr>
          <w:rFonts w:ascii="Times New Roman" w:hAnsi="Times New Roman" w:cs="Times New Roman"/>
        </w:rPr>
      </w:pPr>
    </w:p>
    <w:p w:rsidR="0012384E" w:rsidP="0012384E" w14:paraId="05599703" w14:textId="2A80BC86">
      <w:pPr>
        <w:pStyle w:val="ListParagraph"/>
        <w:ind w:left="360"/>
        <w:rPr>
          <w:rFonts w:ascii="Times New Roman" w:hAnsi="Times New Roman" w:cs="Times New Roman"/>
        </w:rPr>
      </w:pPr>
      <w:r w:rsidRPr="0012384E">
        <w:rPr>
          <w:rFonts w:ascii="Times New Roman" w:hAnsi="Times New Roman" w:cs="Times New Roman"/>
        </w:rPr>
        <w:t xml:space="preserve">Semi-annual reporting is the minimum frequency necessary to fulfill HUD's statutory oversight obligations for CPF grants, which are congressional set-asides carrying a direct accountability obligation to Congress. Given the portfolio's diversity in grantee capacity and project complexity, reporting at greater than six-month intervals would eliminate HUD's ability to detect and address cost overruns, scope changes, environmental compliance delays, and drawdown lags before they escalate into material findings. Reducing reporting frequency would also conflict with the terms and conditions of </w:t>
      </w:r>
      <w:r w:rsidRPr="0012384E">
        <w:rPr>
          <w:rFonts w:ascii="Times New Roman" w:hAnsi="Times New Roman" w:cs="Times New Roman"/>
        </w:rPr>
        <w:t>executed grant agreements</w:t>
      </w:r>
      <w:r w:rsidRPr="0012384E">
        <w:rPr>
          <w:rFonts w:ascii="Times New Roman" w:hAnsi="Times New Roman" w:cs="Times New Roman"/>
        </w:rPr>
        <w:t>, HUD's implementing regulations at 24 C.F.R. Part 570, and OMB's governmentwide grants management standards at 2 C.F.R. Part 200, which require performance reporting at intervals sufficient to support meaningful Federal oversight. Without collection at this frequency, HUD could not meet its congressional reporting obligations, conduct timely risk-based monitoring, or ensure grantee compliance with Federal stewardship standards.</w:t>
      </w:r>
    </w:p>
    <w:p w:rsidR="0012384E" w:rsidRPr="0012384E" w:rsidP="0012384E" w14:paraId="18D8A1FA" w14:textId="77777777">
      <w:pPr>
        <w:pStyle w:val="ListParagraph"/>
        <w:ind w:left="360"/>
        <w:rPr>
          <w:rFonts w:ascii="Times New Roman" w:hAnsi="Times New Roman" w:cs="Times New Roman"/>
        </w:rPr>
      </w:pPr>
    </w:p>
    <w:p w:rsidR="0012384E" w:rsidRPr="00605B39" w:rsidP="0012384E" w14:paraId="4DB7512E" w14:textId="129CAAFE">
      <w:pPr>
        <w:pStyle w:val="ListParagraph"/>
        <w:numPr>
          <w:ilvl w:val="0"/>
          <w:numId w:val="1"/>
        </w:numPr>
        <w:rPr>
          <w:rFonts w:ascii="Times New Roman" w:hAnsi="Times New Roman" w:cs="Times New Roman"/>
          <w:b/>
          <w:bCs/>
        </w:rPr>
      </w:pPr>
      <w:r w:rsidRPr="00605B39">
        <w:rPr>
          <w:rFonts w:ascii="Times New Roman" w:hAnsi="Times New Roman" w:cs="Times New Roman"/>
          <w:b/>
          <w:bCs/>
        </w:rPr>
        <w:t>Explain any special circumstances that would cause an information collection to be conducted in a manner: ANSWER ALL BULLETS INDIVIDUALLY</w:t>
      </w:r>
    </w:p>
    <w:p w:rsidR="0012384E" w:rsidRPr="0012384E" w:rsidP="0012384E" w14:paraId="650B9EB0" w14:textId="77777777">
      <w:pPr>
        <w:pStyle w:val="ListParagraph"/>
        <w:ind w:left="360"/>
        <w:rPr>
          <w:rFonts w:ascii="Times New Roman" w:hAnsi="Times New Roman" w:cs="Times New Roman"/>
        </w:rPr>
      </w:pPr>
    </w:p>
    <w:p w:rsidR="004178C9" w:rsidRPr="004178C9" w:rsidP="004178C9" w14:paraId="3FF0B179" w14:textId="77777777">
      <w:pPr>
        <w:pStyle w:val="ListParagraph"/>
        <w:numPr>
          <w:ilvl w:val="0"/>
          <w:numId w:val="15"/>
        </w:numPr>
        <w:rPr>
          <w:rFonts w:ascii="Times New Roman" w:hAnsi="Times New Roman" w:cs="Times New Roman"/>
        </w:rPr>
      </w:pPr>
      <w:r w:rsidRPr="0012384E">
        <w:rPr>
          <w:rFonts w:ascii="Times New Roman" w:hAnsi="Times New Roman" w:cs="Times New Roman"/>
        </w:rPr>
        <w:t xml:space="preserve">requiring respondents to report information to the agency more than quarterly; </w:t>
      </w:r>
      <w:r w:rsidRPr="0012384E">
        <w:rPr>
          <w:rFonts w:ascii="Times New Roman" w:hAnsi="Times New Roman" w:cs="Times New Roman"/>
          <w:b/>
          <w:bCs/>
        </w:rPr>
        <w:t>N/A</w:t>
      </w:r>
    </w:p>
    <w:p w:rsidR="004178C9" w:rsidRPr="004178C9" w:rsidP="004178C9" w14:paraId="5BFCAC8B" w14:textId="77777777">
      <w:pPr>
        <w:pStyle w:val="ListParagraph"/>
        <w:numPr>
          <w:ilvl w:val="0"/>
          <w:numId w:val="15"/>
        </w:numPr>
        <w:rPr>
          <w:rFonts w:ascii="Times New Roman" w:hAnsi="Times New Roman" w:cs="Times New Roman"/>
        </w:rPr>
      </w:pPr>
      <w:r w:rsidRPr="004178C9">
        <w:rPr>
          <w:rFonts w:ascii="Times New Roman" w:hAnsi="Times New Roman" w:cs="Times New Roman"/>
        </w:rPr>
        <w:t xml:space="preserve">requiring respondents to prepare a written response to a collection of information in fewer than 30 days after receipt of it; </w:t>
      </w:r>
      <w:r w:rsidRPr="004178C9">
        <w:rPr>
          <w:rFonts w:ascii="Times New Roman" w:hAnsi="Times New Roman" w:cs="Times New Roman"/>
          <w:b/>
          <w:bCs/>
        </w:rPr>
        <w:t>N/A</w:t>
      </w:r>
    </w:p>
    <w:p w:rsidR="004178C9" w:rsidRPr="004178C9" w:rsidP="004178C9" w14:paraId="233E1D71" w14:textId="77777777">
      <w:pPr>
        <w:pStyle w:val="ListParagraph"/>
        <w:numPr>
          <w:ilvl w:val="0"/>
          <w:numId w:val="15"/>
        </w:numPr>
        <w:rPr>
          <w:rFonts w:ascii="Times New Roman" w:hAnsi="Times New Roman" w:cs="Times New Roman"/>
        </w:rPr>
      </w:pPr>
      <w:r w:rsidRPr="004178C9">
        <w:rPr>
          <w:rFonts w:ascii="Times New Roman" w:hAnsi="Times New Roman" w:cs="Times New Roman"/>
        </w:rPr>
        <w:t xml:space="preserve">requiring respondents to submit more than an original and two copies of any document; </w:t>
      </w:r>
      <w:r w:rsidRPr="004178C9">
        <w:rPr>
          <w:rFonts w:ascii="Times New Roman" w:hAnsi="Times New Roman" w:cs="Times New Roman"/>
          <w:b/>
          <w:bCs/>
        </w:rPr>
        <w:t>N/A</w:t>
      </w:r>
    </w:p>
    <w:p w:rsidR="004178C9" w:rsidRPr="004178C9" w:rsidP="004178C9" w14:paraId="42C83F85" w14:textId="77777777">
      <w:pPr>
        <w:pStyle w:val="ListParagraph"/>
        <w:numPr>
          <w:ilvl w:val="0"/>
          <w:numId w:val="15"/>
        </w:numPr>
        <w:rPr>
          <w:rFonts w:ascii="Times New Roman" w:hAnsi="Times New Roman" w:cs="Times New Roman"/>
        </w:rPr>
      </w:pPr>
      <w:r w:rsidRPr="004178C9">
        <w:rPr>
          <w:rFonts w:ascii="Times New Roman" w:hAnsi="Times New Roman" w:cs="Times New Roman"/>
        </w:rPr>
        <w:t xml:space="preserve">requiring respondents to retain records other than health, medical, government contract, grant-in-aid, or tax records for more than three years; </w:t>
      </w:r>
      <w:r w:rsidRPr="004178C9">
        <w:rPr>
          <w:rFonts w:ascii="Times New Roman" w:hAnsi="Times New Roman" w:cs="Times New Roman"/>
          <w:b/>
          <w:bCs/>
        </w:rPr>
        <w:t>N/A</w:t>
      </w:r>
    </w:p>
    <w:p w:rsidR="004178C9" w:rsidRPr="004178C9" w:rsidP="004178C9" w14:paraId="21E94F43" w14:textId="77777777">
      <w:pPr>
        <w:pStyle w:val="ListParagraph"/>
        <w:numPr>
          <w:ilvl w:val="0"/>
          <w:numId w:val="15"/>
        </w:numPr>
        <w:rPr>
          <w:rFonts w:ascii="Times New Roman" w:hAnsi="Times New Roman" w:cs="Times New Roman"/>
        </w:rPr>
      </w:pPr>
      <w:r w:rsidRPr="004178C9">
        <w:rPr>
          <w:rFonts w:ascii="Times New Roman" w:hAnsi="Times New Roman" w:cs="Times New Roman"/>
        </w:rPr>
        <w:t xml:space="preserve">in connection with a statistical </w:t>
      </w:r>
      <w:r w:rsidRPr="004178C9">
        <w:rPr>
          <w:rFonts w:ascii="Times New Roman" w:hAnsi="Times New Roman" w:cs="Times New Roman"/>
        </w:rPr>
        <w:t>survey,</w:t>
      </w:r>
      <w:r w:rsidRPr="004178C9">
        <w:rPr>
          <w:rFonts w:ascii="Times New Roman" w:hAnsi="Times New Roman" w:cs="Times New Roman"/>
        </w:rPr>
        <w:t xml:space="preserve"> that is not designed to produce valid and reliable results than can be generalized to the universe of study; </w:t>
      </w:r>
      <w:r w:rsidRPr="004178C9">
        <w:rPr>
          <w:rFonts w:ascii="Times New Roman" w:hAnsi="Times New Roman" w:cs="Times New Roman"/>
          <w:b/>
          <w:bCs/>
        </w:rPr>
        <w:t>N/A</w:t>
      </w:r>
    </w:p>
    <w:p w:rsidR="004178C9" w:rsidRPr="004178C9" w:rsidP="004178C9" w14:paraId="78FBD25F" w14:textId="77777777">
      <w:pPr>
        <w:pStyle w:val="ListParagraph"/>
        <w:numPr>
          <w:ilvl w:val="0"/>
          <w:numId w:val="15"/>
        </w:numPr>
        <w:rPr>
          <w:rFonts w:ascii="Times New Roman" w:hAnsi="Times New Roman" w:cs="Times New Roman"/>
        </w:rPr>
      </w:pPr>
      <w:r w:rsidRPr="004178C9">
        <w:rPr>
          <w:rFonts w:ascii="Times New Roman" w:hAnsi="Times New Roman" w:cs="Times New Roman"/>
        </w:rPr>
        <w:t xml:space="preserve">requiring the use of a statistical data classification that has not been reviewed and approved by OMB; </w:t>
      </w:r>
      <w:r w:rsidRPr="004178C9">
        <w:rPr>
          <w:rFonts w:ascii="Times New Roman" w:hAnsi="Times New Roman" w:cs="Times New Roman"/>
          <w:b/>
          <w:bCs/>
        </w:rPr>
        <w:t>N/A</w:t>
      </w:r>
    </w:p>
    <w:p w:rsidR="004178C9" w:rsidRPr="004178C9" w:rsidP="004178C9" w14:paraId="638B4A86" w14:textId="77777777">
      <w:pPr>
        <w:pStyle w:val="ListParagraph"/>
        <w:numPr>
          <w:ilvl w:val="0"/>
          <w:numId w:val="15"/>
        </w:numPr>
        <w:rPr>
          <w:rFonts w:ascii="Times New Roman" w:hAnsi="Times New Roman" w:cs="Times New Roman"/>
        </w:rPr>
      </w:pPr>
      <w:r w:rsidRPr="004178C9">
        <w:rPr>
          <w:rFonts w:ascii="Times New Roman" w:hAnsi="Times New Roman" w:cs="Times New Roman"/>
        </w:rPr>
        <w:t xml:space="preserve">that includes a pledge of confidentiality that is not supported by authority established in statute or regulation, that is not supported by disclosure and data security policies that are </w:t>
      </w:r>
      <w:r w:rsidRPr="004178C9">
        <w:rPr>
          <w:rFonts w:ascii="Times New Roman" w:hAnsi="Times New Roman" w:cs="Times New Roman"/>
        </w:rPr>
        <w:t xml:space="preserve">consistent with the pledge, or which unnecessarily impedes sharing of data with other agencies for compatible confidential use; or </w:t>
      </w:r>
      <w:r w:rsidRPr="004178C9">
        <w:rPr>
          <w:rFonts w:ascii="Times New Roman" w:hAnsi="Times New Roman" w:cs="Times New Roman"/>
          <w:b/>
          <w:bCs/>
        </w:rPr>
        <w:t>N/A</w:t>
      </w:r>
    </w:p>
    <w:p w:rsidR="004178C9" w:rsidRPr="004178C9" w:rsidP="004178C9" w14:paraId="125B1717" w14:textId="77777777">
      <w:pPr>
        <w:pStyle w:val="ListParagraph"/>
        <w:numPr>
          <w:ilvl w:val="0"/>
          <w:numId w:val="15"/>
        </w:numPr>
        <w:rPr>
          <w:rFonts w:ascii="Times New Roman" w:hAnsi="Times New Roman" w:cs="Times New Roman"/>
        </w:rPr>
      </w:pPr>
      <w:r w:rsidRPr="004178C9">
        <w:rPr>
          <w:rFonts w:ascii="Times New Roman" w:hAnsi="Times New Roman" w:cs="Times New Roman"/>
        </w:rPr>
        <w:t xml:space="preserve">requiring respondents to submit proprietary trade </w:t>
      </w:r>
      <w:r w:rsidRPr="004178C9">
        <w:rPr>
          <w:rFonts w:ascii="Times New Roman" w:hAnsi="Times New Roman" w:cs="Times New Roman"/>
        </w:rPr>
        <w:t>secret</w:t>
      </w:r>
      <w:r w:rsidRPr="004178C9">
        <w:rPr>
          <w:rFonts w:ascii="Times New Roman" w:hAnsi="Times New Roman" w:cs="Times New Roman"/>
        </w:rPr>
        <w:t xml:space="preserve">, or other confidential information unless the agency can demonstrate that it has instituted procedures to protect the information's confidentiality to the extent permitted by law. </w:t>
      </w:r>
      <w:r w:rsidRPr="004178C9">
        <w:rPr>
          <w:rFonts w:ascii="Times New Roman" w:hAnsi="Times New Roman" w:cs="Times New Roman"/>
          <w:b/>
          <w:bCs/>
        </w:rPr>
        <w:t>N/A</w:t>
      </w:r>
    </w:p>
    <w:p w:rsidR="007D4007" w:rsidP="004178C9" w14:paraId="51270FCF" w14:textId="77777777">
      <w:pPr>
        <w:pStyle w:val="ListParagraph"/>
        <w:rPr>
          <w:rFonts w:ascii="Times New Roman" w:hAnsi="Times New Roman" w:cs="Times New Roman"/>
          <w:b/>
          <w:bCs/>
        </w:rPr>
      </w:pPr>
    </w:p>
    <w:p w:rsidR="0012384E" w:rsidRPr="004178C9" w:rsidP="004178C9" w14:paraId="23D04FC8" w14:textId="12FB638F">
      <w:pPr>
        <w:pStyle w:val="ListParagraph"/>
        <w:rPr>
          <w:rFonts w:ascii="Times New Roman" w:hAnsi="Times New Roman" w:cs="Times New Roman"/>
        </w:rPr>
      </w:pPr>
      <w:r w:rsidRPr="004178C9">
        <w:rPr>
          <w:rFonts w:ascii="Times New Roman" w:hAnsi="Times New Roman" w:cs="Times New Roman"/>
        </w:rPr>
        <w:t>There are no special circumstances that require information collection to be conducted in the manners listed in item #7.</w:t>
      </w:r>
    </w:p>
    <w:p w:rsidR="0012384E" w:rsidRPr="0012384E" w:rsidP="0012384E" w14:paraId="2CC17536" w14:textId="77777777">
      <w:pPr>
        <w:pStyle w:val="ListParagraph"/>
        <w:ind w:left="660"/>
        <w:rPr>
          <w:rFonts w:ascii="Times New Roman" w:hAnsi="Times New Roman" w:cs="Times New Roman"/>
        </w:rPr>
      </w:pPr>
    </w:p>
    <w:p w:rsidR="0012384E" w:rsidRPr="00605B39" w:rsidP="0012384E" w14:paraId="2B48B283" w14:textId="6EC99265">
      <w:pPr>
        <w:pStyle w:val="ListParagraph"/>
        <w:numPr>
          <w:ilvl w:val="0"/>
          <w:numId w:val="1"/>
        </w:numPr>
        <w:rPr>
          <w:rFonts w:ascii="Times New Roman" w:hAnsi="Times New Roman" w:cs="Times New Roman"/>
          <w:b/>
          <w:bCs/>
        </w:rPr>
      </w:pPr>
      <w:r w:rsidRPr="00605B39">
        <w:rPr>
          <w:rFonts w:ascii="Times New Roman" w:hAnsi="Times New Roman" w:cs="Times New Roman"/>
          <w:b/>
          <w:bCs/>
        </w:rPr>
        <w:t xml:space="preserve">If applicable, provide a copy and identify the date and page number of </w:t>
      </w:r>
      <w:r w:rsidRPr="00605B39">
        <w:rPr>
          <w:rFonts w:ascii="Times New Roman" w:hAnsi="Times New Roman" w:cs="Times New Roman"/>
          <w:b/>
          <w:bCs/>
        </w:rPr>
        <w:t>publication</w:t>
      </w:r>
      <w:r w:rsidRPr="00605B39">
        <w:rPr>
          <w:rFonts w:ascii="Times New Roman" w:hAnsi="Times New Roman" w:cs="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2384E" w:rsidRPr="00605B39" w:rsidP="0012384E" w14:paraId="2570C55F" w14:textId="77777777">
      <w:pPr>
        <w:pStyle w:val="ListParagraph"/>
        <w:ind w:left="360"/>
        <w:rPr>
          <w:rFonts w:ascii="Times New Roman" w:hAnsi="Times New Roman" w:cs="Times New Roman"/>
          <w:b/>
          <w:bCs/>
        </w:rPr>
      </w:pPr>
    </w:p>
    <w:p w:rsidR="0012384E" w:rsidRPr="00605B39" w:rsidP="0012384E" w14:paraId="7726C6AD" w14:textId="77777777">
      <w:pPr>
        <w:pStyle w:val="ListParagraph"/>
        <w:numPr>
          <w:ilvl w:val="0"/>
          <w:numId w:val="3"/>
        </w:numPr>
        <w:rPr>
          <w:rFonts w:ascii="Times New Roman" w:hAnsi="Times New Roman" w:cs="Times New Roman"/>
          <w:b/>
          <w:bCs/>
        </w:rPr>
      </w:pPr>
      <w:r w:rsidRPr="00605B39">
        <w:rPr>
          <w:rFonts w:ascii="Times New Roman" w:hAnsi="Times New Roman" w:cs="Times New Roman"/>
          <w:b/>
          <w:bCs/>
        </w:rPr>
        <w:t xml:space="preserve">Describe efforts to consult with </w:t>
      </w:r>
      <w:r w:rsidRPr="00605B39">
        <w:rPr>
          <w:rFonts w:ascii="Times New Roman" w:hAnsi="Times New Roman" w:cs="Times New Roman"/>
          <w:b/>
          <w:bCs/>
        </w:rPr>
        <w:t>persons</w:t>
      </w:r>
      <w:r w:rsidRPr="00605B39">
        <w:rPr>
          <w:rFonts w:ascii="Times New Roman" w:hAnsi="Times New Roman" w:cs="Times New Roman"/>
          <w:b/>
          <w:bCs/>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12384E" w:rsidRPr="00605B39" w:rsidP="0012384E" w14:paraId="5176F518" w14:textId="77777777">
      <w:pPr>
        <w:pStyle w:val="ListParagraph"/>
        <w:numPr>
          <w:ilvl w:val="0"/>
          <w:numId w:val="3"/>
        </w:numPr>
        <w:rPr>
          <w:rFonts w:ascii="Times New Roman" w:hAnsi="Times New Roman" w:cs="Times New Roman"/>
          <w:b/>
          <w:bCs/>
        </w:rPr>
      </w:pPr>
      <w:r w:rsidRPr="00605B39">
        <w:rPr>
          <w:rFonts w:ascii="Times New Roman" w:hAnsi="Times New Roman" w:cs="Times New Roman"/>
          <w:b/>
          <w:bCs/>
        </w:rPr>
        <w:t>Consultation</w:t>
      </w:r>
      <w:r w:rsidRPr="00605B39">
        <w:rPr>
          <w:rFonts w:ascii="Times New Roman" w:hAnsi="Times New Roman" w:cs="Times New Roman"/>
          <w:b/>
          <w:bCs/>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12384E" w:rsidP="0012384E" w14:paraId="74521200" w14:textId="77777777">
      <w:pPr>
        <w:pStyle w:val="ListParagraph"/>
        <w:rPr>
          <w:rFonts w:ascii="Times New Roman" w:hAnsi="Times New Roman" w:cs="Times New Roman"/>
        </w:rPr>
      </w:pPr>
    </w:p>
    <w:p w:rsidR="0012384E" w:rsidP="0012384E" w14:paraId="4DF24D5D" w14:textId="5BA56CF6">
      <w:pPr>
        <w:pStyle w:val="ListParagraph"/>
        <w:rPr>
          <w:rFonts w:ascii="Times New Roman" w:hAnsi="Times New Roman" w:cs="Times New Roman"/>
        </w:rPr>
      </w:pPr>
      <w:r w:rsidRPr="0012384E">
        <w:rPr>
          <w:rFonts w:ascii="Times New Roman" w:hAnsi="Times New Roman" w:cs="Times New Roman"/>
        </w:rPr>
        <w:t xml:space="preserve">In accordance with 5 CFR 1320.8(d), the agency’s notice announcing this collection of information was published in the Federal Register on March 16, 2026, (Volume 91, No 50, page 12602 to 12603).  The public was given until May 15, 2026, to submit comments on the proposed information no comments were received.  </w:t>
      </w:r>
    </w:p>
    <w:p w:rsidR="0012384E" w:rsidRPr="0012384E" w:rsidP="0012384E" w14:paraId="6A2FF39B" w14:textId="77777777">
      <w:pPr>
        <w:pStyle w:val="ListParagraph"/>
        <w:rPr>
          <w:rFonts w:ascii="Times New Roman" w:hAnsi="Times New Roman" w:cs="Times New Roman"/>
        </w:rPr>
      </w:pPr>
    </w:p>
    <w:p w:rsidR="0012384E" w:rsidRPr="00605B39" w:rsidP="0012384E" w14:paraId="57E9B2FB" w14:textId="77777777">
      <w:pPr>
        <w:pStyle w:val="ListParagraph"/>
        <w:numPr>
          <w:ilvl w:val="0"/>
          <w:numId w:val="1"/>
        </w:numPr>
        <w:rPr>
          <w:rFonts w:ascii="Times New Roman" w:hAnsi="Times New Roman" w:cs="Times New Roman"/>
          <w:b/>
          <w:bCs/>
        </w:rPr>
      </w:pPr>
      <w:r w:rsidRPr="00605B39">
        <w:rPr>
          <w:rFonts w:ascii="Times New Roman" w:hAnsi="Times New Roman" w:cs="Times New Roman"/>
          <w:b/>
          <w:bCs/>
        </w:rPr>
        <w:t>Explain any decision to provide any payment or gift to respondents, other than renumeration of contractors or grantees.</w:t>
      </w:r>
    </w:p>
    <w:p w:rsidR="0012384E" w:rsidP="0012384E" w14:paraId="73B70C9B" w14:textId="77777777">
      <w:pPr>
        <w:pStyle w:val="ListParagraph"/>
        <w:ind w:left="360"/>
        <w:rPr>
          <w:rFonts w:ascii="Times New Roman" w:hAnsi="Times New Roman" w:cs="Times New Roman"/>
        </w:rPr>
      </w:pPr>
    </w:p>
    <w:p w:rsidR="0012384E" w:rsidP="0012384E" w14:paraId="0821BFBB" w14:textId="72B21AE4">
      <w:pPr>
        <w:pStyle w:val="ListParagraph"/>
        <w:ind w:left="360"/>
        <w:rPr>
          <w:rFonts w:ascii="Times New Roman" w:hAnsi="Times New Roman" w:cs="Times New Roman"/>
        </w:rPr>
      </w:pPr>
      <w:r w:rsidRPr="0012384E">
        <w:rPr>
          <w:rFonts w:ascii="Times New Roman" w:hAnsi="Times New Roman" w:cs="Times New Roman"/>
        </w:rPr>
        <w:t>Information collection does not involve any payments or gifts to respondents</w:t>
      </w:r>
      <w:r>
        <w:rPr>
          <w:rFonts w:ascii="Times New Roman" w:hAnsi="Times New Roman" w:cs="Times New Roman"/>
        </w:rPr>
        <w:t>.</w:t>
      </w:r>
    </w:p>
    <w:p w:rsidR="0012384E" w:rsidRPr="0012384E" w:rsidP="0012384E" w14:paraId="69CC6DFB" w14:textId="77777777">
      <w:pPr>
        <w:pStyle w:val="ListParagraph"/>
        <w:ind w:left="360"/>
        <w:rPr>
          <w:rFonts w:ascii="Times New Roman" w:hAnsi="Times New Roman" w:cs="Times New Roman"/>
        </w:rPr>
      </w:pPr>
    </w:p>
    <w:p w:rsidR="0012384E" w:rsidRPr="00605B39" w:rsidP="0012384E" w14:paraId="7B881174" w14:textId="77777777">
      <w:pPr>
        <w:pStyle w:val="ListParagraph"/>
        <w:numPr>
          <w:ilvl w:val="0"/>
          <w:numId w:val="1"/>
        </w:numPr>
        <w:rPr>
          <w:rFonts w:ascii="Times New Roman" w:hAnsi="Times New Roman" w:cs="Times New Roman"/>
          <w:b/>
          <w:bCs/>
        </w:rPr>
      </w:pPr>
      <w:r w:rsidRPr="00605B39">
        <w:rPr>
          <w:rFonts w:ascii="Times New Roman" w:hAnsi="Times New Roman" w:cs="Times New Roman"/>
          <w:b/>
          <w:bCs/>
        </w:rPr>
        <w:t>Describe any assurance of confidentiality provided to respondents and the basis for assurance in statute, regulation or agency policy. If the collection requires a system of records notice (SORN) or privacy impact assessment (PIA), those should be cited and described here.</w:t>
      </w:r>
    </w:p>
    <w:p w:rsidR="0012384E" w:rsidP="0012384E" w14:paraId="22721489" w14:textId="77777777">
      <w:pPr>
        <w:pStyle w:val="ListParagraph"/>
        <w:ind w:left="360"/>
        <w:rPr>
          <w:rFonts w:ascii="Times New Roman" w:hAnsi="Times New Roman" w:cs="Times New Roman"/>
        </w:rPr>
      </w:pPr>
    </w:p>
    <w:p w:rsidR="0012384E" w:rsidP="0012384E" w14:paraId="188E9C95" w14:textId="18FD0D33">
      <w:pPr>
        <w:pStyle w:val="ListParagraph"/>
        <w:ind w:left="360"/>
        <w:rPr>
          <w:rFonts w:ascii="Times New Roman" w:hAnsi="Times New Roman" w:cs="Times New Roman"/>
        </w:rPr>
      </w:pPr>
      <w:r w:rsidRPr="0012384E">
        <w:rPr>
          <w:rFonts w:ascii="Times New Roman" w:hAnsi="Times New Roman" w:cs="Times New Roman"/>
        </w:rPr>
        <w:t>Assurance of confidentiality is not provided. A SORN is not required because HUD does not retrieve any information or data from DRGR using a personal or individual identifier.  The information is organized by Grantee, Grant and Sub-award</w:t>
      </w:r>
      <w:r>
        <w:rPr>
          <w:rFonts w:ascii="Times New Roman" w:hAnsi="Times New Roman" w:cs="Times New Roman"/>
        </w:rPr>
        <w:t>.</w:t>
      </w:r>
    </w:p>
    <w:p w:rsidR="0012384E" w:rsidRPr="0012384E" w:rsidP="0012384E" w14:paraId="74040914" w14:textId="77777777">
      <w:pPr>
        <w:pStyle w:val="ListParagraph"/>
        <w:ind w:left="360"/>
        <w:rPr>
          <w:rFonts w:ascii="Times New Roman" w:hAnsi="Times New Roman" w:cs="Times New Roman"/>
        </w:rPr>
      </w:pPr>
    </w:p>
    <w:p w:rsidR="0012384E" w:rsidP="0012384E" w14:paraId="3EDEB7F0" w14:textId="77777777">
      <w:pPr>
        <w:pStyle w:val="ListParagraph"/>
        <w:numPr>
          <w:ilvl w:val="0"/>
          <w:numId w:val="1"/>
        </w:numPr>
        <w:rPr>
          <w:rFonts w:ascii="Times New Roman" w:hAnsi="Times New Roman" w:cs="Times New Roman"/>
        </w:rPr>
      </w:pPr>
      <w:r w:rsidRPr="00605B39">
        <w:rPr>
          <w:rFonts w:ascii="Times New Roman" w:hAnsi="Times New Roman" w:cs="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605B39">
        <w:rPr>
          <w:rFonts w:ascii="Times New Roman" w:hAnsi="Times New Roman" w:cs="Times New Roman"/>
          <w:b/>
          <w:bCs/>
        </w:rPr>
        <w:t>persons</w:t>
      </w:r>
      <w:r w:rsidRPr="00605B39">
        <w:rPr>
          <w:rFonts w:ascii="Times New Roman" w:hAnsi="Times New Roman" w:cs="Times New Roman"/>
          <w:b/>
          <w:bCs/>
        </w:rPr>
        <w:t xml:space="preserve"> from whom the information is requested, and any steps to be taken to obtain their consent</w:t>
      </w:r>
      <w:r w:rsidRPr="0012384E">
        <w:rPr>
          <w:rFonts w:ascii="Times New Roman" w:hAnsi="Times New Roman" w:cs="Times New Roman"/>
        </w:rPr>
        <w:t>.</w:t>
      </w:r>
    </w:p>
    <w:p w:rsidR="0012384E" w:rsidP="0012384E" w14:paraId="0EE7ED49" w14:textId="77777777">
      <w:pPr>
        <w:pStyle w:val="ListParagraph"/>
        <w:ind w:left="360"/>
        <w:rPr>
          <w:rFonts w:ascii="Times New Roman" w:hAnsi="Times New Roman" w:cs="Times New Roman"/>
        </w:rPr>
      </w:pPr>
    </w:p>
    <w:p w:rsidR="0012384E" w:rsidP="0012384E" w14:paraId="3AAC8170" w14:textId="77777777">
      <w:pPr>
        <w:pStyle w:val="ListParagraph"/>
        <w:ind w:left="360"/>
        <w:rPr>
          <w:rFonts w:ascii="Times New Roman" w:hAnsi="Times New Roman" w:cs="Times New Roman"/>
        </w:rPr>
      </w:pPr>
      <w:r w:rsidRPr="0012384E">
        <w:rPr>
          <w:rFonts w:ascii="Times New Roman" w:hAnsi="Times New Roman" w:cs="Times New Roman"/>
        </w:rPr>
        <w:t>This collection does not request information of a sensitive nature as defined under PRA guidance, including questions related to sexual behavior or attitudes, religious beliefs, or other matters commonly considered private. The information collected pertains exclusively to grant administration activities such as project budgets, performance milestones, drawdown status, and compliance certifications submitted by units of government, tribal entities, and other organizational grantees in their institutional capacity. To the extent beneficiary data is reported, it is collected in aggregate form only and does not include personally identifiable information or individual-level data that would implicate privacy concerns. No consent mechanisms are required, as respondents are organizational entities participating voluntarily in a Federal grant program under terms and conditions they have agreed to upon award.</w:t>
      </w:r>
    </w:p>
    <w:p w:rsidR="0012384E" w:rsidP="0012384E" w14:paraId="04CAA4CD" w14:textId="77777777">
      <w:pPr>
        <w:pStyle w:val="ListParagraph"/>
        <w:ind w:left="360"/>
        <w:rPr>
          <w:rFonts w:ascii="Times New Roman" w:hAnsi="Times New Roman" w:cs="Times New Roman"/>
        </w:rPr>
      </w:pPr>
    </w:p>
    <w:p w:rsidR="0012384E" w:rsidRPr="00605B39" w:rsidP="007D4007" w14:paraId="69306D62" w14:textId="05EE3D26">
      <w:pPr>
        <w:pStyle w:val="ListParagraph"/>
        <w:numPr>
          <w:ilvl w:val="0"/>
          <w:numId w:val="1"/>
        </w:numPr>
        <w:rPr>
          <w:rFonts w:ascii="Times New Roman" w:hAnsi="Times New Roman" w:cs="Times New Roman"/>
          <w:b/>
          <w:bCs/>
        </w:rPr>
      </w:pPr>
      <w:r w:rsidRPr="00605B39">
        <w:rPr>
          <w:rFonts w:ascii="Times New Roman" w:hAnsi="Times New Roman" w:cs="Times New Roman"/>
          <w:b/>
          <w:bCs/>
        </w:rPr>
        <w:t>Provide estimates of the hour burden of the collection of information.  The statement should:</w:t>
      </w:r>
    </w:p>
    <w:p w:rsidR="0012384E" w:rsidRPr="00605B39" w:rsidP="0012384E" w14:paraId="35C7D127" w14:textId="14B6981D">
      <w:pPr>
        <w:pStyle w:val="ListParagraph"/>
        <w:numPr>
          <w:ilvl w:val="0"/>
          <w:numId w:val="9"/>
        </w:numPr>
        <w:rPr>
          <w:rFonts w:ascii="Times New Roman" w:hAnsi="Times New Roman" w:cs="Times New Roman"/>
          <w:b/>
          <w:bCs/>
        </w:rPr>
      </w:pPr>
      <w:r w:rsidRPr="00605B39">
        <w:rPr>
          <w:rFonts w:ascii="Times New Roman" w:hAnsi="Times New Roman" w:cs="Times New Roman"/>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605B39">
        <w:rPr>
          <w:rFonts w:ascii="Times New Roman" w:hAnsi="Times New Roman" w:cs="Times New Roman"/>
          <w:b/>
          <w:bCs/>
        </w:rPr>
        <w:t>practices;</w:t>
      </w:r>
    </w:p>
    <w:p w:rsidR="0012384E" w:rsidRPr="00605B39" w:rsidP="0012384E" w14:paraId="65AD75D0" w14:textId="49211DAD">
      <w:pPr>
        <w:pStyle w:val="ListParagraph"/>
        <w:numPr>
          <w:ilvl w:val="0"/>
          <w:numId w:val="8"/>
        </w:numPr>
        <w:rPr>
          <w:rFonts w:ascii="Times New Roman" w:hAnsi="Times New Roman" w:cs="Times New Roman"/>
          <w:b/>
          <w:bCs/>
        </w:rPr>
      </w:pPr>
      <w:r w:rsidRPr="00605B39">
        <w:rPr>
          <w:rFonts w:ascii="Times New Roman" w:hAnsi="Times New Roman" w:cs="Times New Roman"/>
          <w:b/>
          <w:bCs/>
        </w:rPr>
        <w:t xml:space="preserve">If this request covers more than one form, provide separate hour burden estimates for each form and aggregate the hour burdens in chart below; and </w:t>
      </w:r>
    </w:p>
    <w:p w:rsidR="0012384E" w:rsidRPr="0012384E" w:rsidP="0012384E" w14:paraId="35E22721" w14:textId="574FB5D4">
      <w:pPr>
        <w:pStyle w:val="ListParagraph"/>
        <w:numPr>
          <w:ilvl w:val="0"/>
          <w:numId w:val="8"/>
        </w:numPr>
        <w:rPr>
          <w:rFonts w:ascii="Times New Roman" w:hAnsi="Times New Roman" w:cs="Times New Roman"/>
        </w:rPr>
      </w:pPr>
      <w:r w:rsidRPr="00605B39">
        <w:rPr>
          <w:rFonts w:ascii="Times New Roman" w:hAnsi="Times New Roman" w:cs="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w:t>
      </w:r>
      <w:r w:rsidRPr="00605B39">
        <w:rPr>
          <w:rFonts w:ascii="Times New Roman" w:hAnsi="Times New Roman" w:cs="Times New Roman"/>
          <w:b/>
          <w:bCs/>
        </w:rPr>
        <w:t>activities should not be included here.  Instead, this cost should be included in Item 13</w:t>
      </w:r>
      <w:r w:rsidRPr="0012384E">
        <w:rPr>
          <w:rFonts w:ascii="Times New Roman" w:hAnsi="Times New Roman" w:cs="Times New Roman"/>
        </w:rPr>
        <w:t>.</w:t>
      </w:r>
    </w:p>
    <w:p w:rsidR="0012384E" w:rsidRPr="0012384E" w:rsidP="0012384E" w14:paraId="71F32244" w14:textId="77777777">
      <w:pPr>
        <w:ind w:left="720"/>
        <w:rPr>
          <w:rFonts w:ascii="Times New Roman" w:hAnsi="Times New Roman" w:cs="Times New Roman"/>
        </w:rPr>
      </w:pPr>
      <w:r w:rsidRPr="0012384E">
        <w:rPr>
          <w:rFonts w:ascii="Times New Roman" w:hAnsi="Times New Roman" w:cs="Times New Roman"/>
        </w:rPr>
        <w:t>The Grant Reporting (DRGR) listed below are submitted semi-annually and all other SF Forms and HUD-2880 burdens are captured under the HUD Generic NOFO (OMB- 2501-0044)</w:t>
      </w:r>
    </w:p>
    <w:tbl>
      <w:tblPr>
        <w:tblW w:w="10080" w:type="dxa"/>
        <w:tblInd w:w="-10" w:type="dxa"/>
        <w:tblLayout w:type="fixed"/>
        <w:tblCellMar>
          <w:left w:w="0" w:type="dxa"/>
          <w:right w:w="0" w:type="dxa"/>
        </w:tblCellMar>
        <w:tblLook w:val="04A0"/>
      </w:tblPr>
      <w:tblGrid>
        <w:gridCol w:w="2250"/>
        <w:gridCol w:w="1260"/>
        <w:gridCol w:w="1170"/>
        <w:gridCol w:w="1260"/>
        <w:gridCol w:w="1080"/>
        <w:gridCol w:w="990"/>
        <w:gridCol w:w="990"/>
        <w:gridCol w:w="1080"/>
      </w:tblGrid>
      <w:tr w14:paraId="54E0C29B" w14:textId="77777777" w:rsidTr="00725AC1">
        <w:tblPrEx>
          <w:tblW w:w="10080" w:type="dxa"/>
          <w:tblInd w:w="-10" w:type="dxa"/>
          <w:tblLayout w:type="fixed"/>
          <w:tblCellMar>
            <w:left w:w="0" w:type="dxa"/>
            <w:right w:w="0" w:type="dxa"/>
          </w:tblCellMar>
          <w:tblLook w:val="04A0"/>
        </w:tblPrEx>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2384E" w:rsidRPr="0012384E" w:rsidP="0012384E" w14:paraId="5F5C5BA5"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384E" w:rsidRPr="0012384E" w:rsidP="0012384E" w14:paraId="7534BD74"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Number of 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384E" w:rsidRPr="0012384E" w:rsidP="0012384E" w14:paraId="0354F64B"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Frequency of Response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384E" w:rsidRPr="0012384E" w:rsidP="0012384E" w14:paraId="6D794521" w14:textId="77777777">
            <w:pPr>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Responses</w:t>
            </w:r>
          </w:p>
          <w:p w:rsidR="0012384E" w:rsidRPr="0012384E" w:rsidP="0012384E" w14:paraId="605DF16F"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Per Annual</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384E" w:rsidRPr="0012384E" w:rsidP="0012384E" w14:paraId="0F041634"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Burden Hour Per Response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384E" w:rsidRPr="0012384E" w:rsidP="0012384E" w14:paraId="2AD48B6E"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Annual Burden Hours</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384E" w:rsidRPr="0012384E" w:rsidP="0012384E" w14:paraId="36F5B9D4"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Hourly 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2384E" w:rsidRPr="0012384E" w:rsidP="0012384E" w14:paraId="0BE6BCB5" w14:textId="77777777">
            <w:pPr>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Annual Cost</w:t>
            </w:r>
          </w:p>
          <w:p w:rsidR="0012384E" w:rsidRPr="0012384E" w:rsidP="0012384E" w14:paraId="2DE21232"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p>
        </w:tc>
      </w:tr>
      <w:tr w14:paraId="41B84F9F"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4D96A839"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 xml:space="preserve">Application for Federal Assistance </w:t>
            </w:r>
            <w:bookmarkStart w:id="0" w:name="_Hlk109728274"/>
            <w:r w:rsidRPr="0012384E">
              <w:rPr>
                <w:rFonts w:ascii="Times New Roman" w:eastAsia="Times New Roman" w:hAnsi="Times New Roman" w:cs="Times New Roman"/>
                <w:bCs/>
                <w:kern w:val="0"/>
                <w:sz w:val="18"/>
                <w:szCs w:val="18"/>
                <w14:ligatures w14:val="none"/>
              </w:rPr>
              <w:t>(SF-424)</w:t>
            </w:r>
            <w:bookmarkEnd w:id="0"/>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7C06C79"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C0E28AA"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63AB8E7"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5D46A21"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0F869A0"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4F8FFDD"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F7C6194"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187CE798"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56D34CF8"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 xml:space="preserve">Assurances for Non-Construction Programs </w:t>
            </w:r>
          </w:p>
          <w:p w:rsidR="0012384E" w:rsidRPr="0012384E" w:rsidP="0012384E" w14:paraId="033CA781"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bookmarkStart w:id="1" w:name="_Hlk109728369"/>
            <w:r w:rsidRPr="0012384E">
              <w:rPr>
                <w:rFonts w:ascii="Times New Roman" w:eastAsia="Times New Roman" w:hAnsi="Times New Roman" w:cs="Times New Roman"/>
                <w:bCs/>
                <w:kern w:val="0"/>
                <w:sz w:val="18"/>
                <w:szCs w:val="18"/>
                <w14:ligatures w14:val="none"/>
              </w:rPr>
              <w:t>(SF-424B)</w:t>
            </w:r>
            <w:bookmarkEnd w:id="1"/>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8F2B86F" w14:textId="77777777">
            <w:pPr>
              <w:tabs>
                <w:tab w:val="left" w:pos="536"/>
                <w:tab w:val="center" w:pos="626"/>
              </w:tabs>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29A597D"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667CEC1"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7737A63"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42AEB41"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D8FD46F"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1D58C87"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4F85EF72"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0ACD6FD0"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Assurances for Construction Programs (SF-424D)</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6473DE1"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61DA6DE"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A979373"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40085E8"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331DFB09"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034555F"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2BBF3D5"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7F2175DD"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603FC3AD"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Disclosure of Lobbying Activities (</w:t>
            </w:r>
            <w:bookmarkStart w:id="2" w:name="_Hlk109732599"/>
            <w:r w:rsidRPr="0012384E">
              <w:rPr>
                <w:rFonts w:ascii="Times New Roman" w:eastAsia="Times New Roman" w:hAnsi="Times New Roman" w:cs="Times New Roman"/>
                <w:bCs/>
                <w:kern w:val="0"/>
                <w:sz w:val="18"/>
                <w:szCs w:val="18"/>
                <w14:ligatures w14:val="none"/>
              </w:rPr>
              <w:t>SF-LLL</w:t>
            </w:r>
            <w:bookmarkEnd w:id="2"/>
            <w:r w:rsidRPr="0012384E">
              <w:rPr>
                <w:rFonts w:ascii="Times New Roman" w:eastAsia="Times New Roman" w:hAnsi="Times New Roman" w:cs="Times New Roman"/>
                <w:bCs/>
                <w:kern w:val="0"/>
                <w:sz w:val="18"/>
                <w:szCs w:val="18"/>
                <w14:ligatures w14:val="none"/>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942A6D5" w14:textId="77777777">
            <w:pPr>
              <w:tabs>
                <w:tab w:val="left" w:pos="571"/>
                <w:tab w:val="center" w:pos="626"/>
              </w:tabs>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D06EAD5"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D6BC2B8"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A1A08C6"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33CF7E8E"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3A36D345"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453D50E"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22CC3EED"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41B3A22F"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Disclosure/Update Report (Form HUD-2880)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361CB81" w14:textId="77777777">
            <w:pPr>
              <w:tabs>
                <w:tab w:val="left" w:pos="571"/>
                <w:tab w:val="center" w:pos="626"/>
              </w:tabs>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9C8D2F3"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851B23C"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12F684F"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2C18799"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57BDDD0"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BF93752"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p>
        </w:tc>
      </w:tr>
      <w:tr w14:paraId="034D3413"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1096C093"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Direct Deposit Sign-Up (SF-1199A)</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2667CE8"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30D277EB"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54F4F96"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EACF67A"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C7856A6"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FA0FE36"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3E454AA3"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785E89D0"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43D35CBF"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Federal Financial Report (</w:t>
            </w:r>
            <w:bookmarkStart w:id="3" w:name="_Hlk109732793"/>
            <w:r w:rsidRPr="0012384E">
              <w:rPr>
                <w:rFonts w:ascii="Times New Roman" w:eastAsia="Times New Roman" w:hAnsi="Times New Roman" w:cs="Times New Roman"/>
                <w:bCs/>
                <w:kern w:val="0"/>
                <w:sz w:val="18"/>
                <w:szCs w:val="18"/>
                <w14:ligatures w14:val="none"/>
              </w:rPr>
              <w:t>SF-425</w:t>
            </w:r>
            <w:bookmarkEnd w:id="3"/>
            <w:r w:rsidRPr="0012384E">
              <w:rPr>
                <w:rFonts w:ascii="Times New Roman" w:eastAsia="Times New Roman" w:hAnsi="Times New Roman" w:cs="Times New Roman"/>
                <w:bCs/>
                <w:kern w:val="0"/>
                <w:sz w:val="18"/>
                <w:szCs w:val="18"/>
                <w14:ligatures w14:val="none"/>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E99ECCC"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21E1DB0"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86598AB"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C9EA6A5"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D6BEF91"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0D26F88"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40D96C9"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028DBF4E"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5DD9E6DF"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Tangible Personal Property Report (</w:t>
            </w:r>
            <w:bookmarkStart w:id="4" w:name="_Hlk109732807"/>
            <w:r w:rsidRPr="0012384E">
              <w:rPr>
                <w:rFonts w:ascii="Times New Roman" w:eastAsia="Times New Roman" w:hAnsi="Times New Roman" w:cs="Times New Roman"/>
                <w:bCs/>
                <w:kern w:val="0"/>
                <w:sz w:val="18"/>
                <w:szCs w:val="18"/>
                <w14:ligatures w14:val="none"/>
              </w:rPr>
              <w:t>SF 428</w:t>
            </w:r>
            <w:bookmarkEnd w:id="4"/>
            <w:r w:rsidRPr="0012384E">
              <w:rPr>
                <w:rFonts w:ascii="Times New Roman" w:eastAsia="Times New Roman" w:hAnsi="Times New Roman" w:cs="Times New Roman"/>
                <w:bCs/>
                <w:kern w:val="0"/>
                <w:sz w:val="18"/>
                <w:szCs w:val="18"/>
                <w14:ligatures w14:val="none"/>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B7AF206"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6A39112"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C011E8E"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1FDFE35"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80E222D"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141F9E9"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B1CFFCA"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71595C8B"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12F0C6E4"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Tangible Personal Property Report (The Final/Award Closeout form on Acquired Equipment (</w:t>
            </w:r>
            <w:bookmarkStart w:id="5" w:name="_Hlk109732857"/>
            <w:r w:rsidRPr="0012384E">
              <w:rPr>
                <w:rFonts w:ascii="Times New Roman" w:eastAsia="Times New Roman" w:hAnsi="Times New Roman" w:cs="Times New Roman"/>
                <w:bCs/>
                <w:kern w:val="0"/>
                <w:sz w:val="18"/>
                <w:szCs w:val="18"/>
                <w14:ligatures w14:val="none"/>
              </w:rPr>
              <w:t>SF 428 B</w:t>
            </w:r>
            <w:bookmarkEnd w:id="5"/>
            <w:r w:rsidRPr="0012384E">
              <w:rPr>
                <w:rFonts w:ascii="Times New Roman" w:eastAsia="Times New Roman" w:hAnsi="Times New Roman" w:cs="Times New Roman"/>
                <w:bCs/>
                <w:kern w:val="0"/>
                <w:sz w:val="18"/>
                <w:szCs w:val="18"/>
                <w14:ligatures w14:val="none"/>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3A0ACB1C"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B1EB714"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4626629"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DF6224F"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68F34CC"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EE958F1"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905DF6D"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091B2774"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0C403BC2"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Tangible Personal Property Report (Disposition Request) (SF 428 C)</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7412D50"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3A741381"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21D139C"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085EFB0"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D48E644"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0B68270"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4B6EFD2"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6033D086"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71C550A6"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Real Property Status Report (SF- 429)</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39B3E365"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5277388"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587FA15"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C91AAA8"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B4CBD42"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A0558BA"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A29C9E9"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6158D4CD"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5AC1" w:rsidP="0012384E" w14:paraId="7FE4009C" w14:textId="1CD9F56A">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 xml:space="preserve">Real Property Status Report (General Reporting) </w:t>
            </w:r>
          </w:p>
          <w:p w:rsidR="0012384E" w:rsidRPr="0012384E" w:rsidP="0012384E" w14:paraId="3ED39F90" w14:textId="0CA06233">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(SF-429 A)</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79D2CF4"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3D27E15"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D3BC59D"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9191E01"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3A103DF"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31E776C"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2D85C47"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66068C9C"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5AC1" w:rsidP="0012384E" w14:paraId="7F13E9FC"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Real Property Status Report (Request to Acquire, Improve, or Furnish)</w:t>
            </w:r>
          </w:p>
          <w:p w:rsidR="0012384E" w:rsidRPr="0012384E" w:rsidP="0012384E" w14:paraId="27E8A17A" w14:textId="3A045C29">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(SF-429 B)</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2879978"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7174365"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2815960"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74E8FFE"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3BF6CE21"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64E8D13"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E86D784"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14D8728B"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244D3C94" w14:textId="0FFB02F8">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Real Property Status Report (Disposition or Encumbrance Request) (SF-429 C)</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219AF90"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E71112F"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2AD2B2B"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85DC419"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038C4C1"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CE11082"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1431062"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5318AC1D"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4EAF0A66"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Application narrative</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C2EC4F8"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94736BD"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C0B9F90"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4F54C47"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117C0807"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E4CABEA"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3E6C12C4"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3363BFEE"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748FB63D"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Detailed Budget Worksheet, (HUD) 424 CBW</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84F3CF8"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2E2C4D8"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0A668A2"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Times New Roman" w:hAnsi="Times New Roman" w:cs="Times New Roman"/>
                <w:kern w:val="0"/>
                <w:sz w:val="20"/>
                <w:szCs w:val="20"/>
                <w14:ligatures w14:val="none"/>
              </w:rPr>
              <w:t>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3B090AB5"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4ECA555"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o</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58F9714"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0A3B501"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0</w:t>
            </w:r>
          </w:p>
        </w:tc>
      </w:tr>
      <w:tr w14:paraId="672DF6FB"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14C6DBC4" w14:textId="77777777">
            <w:pPr>
              <w:overflowPunct w:val="0"/>
              <w:autoSpaceDE w:val="0"/>
              <w:autoSpaceDN w:val="0"/>
              <w:spacing w:after="0" w:line="240" w:lineRule="auto"/>
              <w:rPr>
                <w:rFonts w:ascii="Times New Roman" w:eastAsia="Times New Roman" w:hAnsi="Times New Roman" w:cs="Times New Roman"/>
                <w:bCs/>
                <w:kern w:val="0"/>
                <w:sz w:val="18"/>
                <w:szCs w:val="18"/>
                <w14:ligatures w14:val="none"/>
              </w:rPr>
            </w:pPr>
            <w:r w:rsidRPr="0012384E">
              <w:rPr>
                <w:rFonts w:ascii="Times New Roman" w:eastAsia="Times New Roman" w:hAnsi="Times New Roman" w:cs="Times New Roman"/>
                <w:bCs/>
                <w:kern w:val="0"/>
                <w:sz w:val="18"/>
                <w:szCs w:val="18"/>
                <w14:ligatures w14:val="none"/>
              </w:rPr>
              <w:t>Grant Reporting (DRGR)</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BE99A90"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3BDB4E2B"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752A8E0"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5,000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92590BC"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3</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612E63B2"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15,000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BB396FA"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$42.73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43B3E390"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$640,950</w:t>
            </w:r>
          </w:p>
        </w:tc>
      </w:tr>
      <w:tr w14:paraId="224BB6EC" w14:textId="77777777" w:rsidTr="00725AC1">
        <w:tblPrEx>
          <w:tblW w:w="10080" w:type="dxa"/>
          <w:tblInd w:w="-10" w:type="dxa"/>
          <w:tblLayout w:type="fixed"/>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84E" w:rsidRPr="0012384E" w:rsidP="0012384E" w14:paraId="6968FC0F" w14:textId="77777777">
            <w:pPr>
              <w:overflowPunct w:val="0"/>
              <w:autoSpaceDE w:val="0"/>
              <w:autoSpaceDN w:val="0"/>
              <w:spacing w:after="0" w:line="240" w:lineRule="auto"/>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B9AB578"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2,500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930BD9E"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5DE74E82"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5,000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DBBB1AA"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3</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749B7177"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15,000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0A5CD09A"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$42.73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384E" w:rsidRPr="0012384E" w:rsidP="0012384E" w14:paraId="25BB6CDA" w14:textId="77777777">
            <w:pPr>
              <w:overflowPunct w:val="0"/>
              <w:autoSpaceDE w:val="0"/>
              <w:autoSpaceDN w:val="0"/>
              <w:spacing w:after="0" w:line="240" w:lineRule="auto"/>
              <w:jc w:val="center"/>
              <w:rPr>
                <w:rFonts w:ascii="Times New Roman" w:eastAsia="Calibri" w:hAnsi="Times New Roman" w:cs="Times New Roman"/>
                <w:bCs/>
                <w:color w:val="000000"/>
                <w:kern w:val="0"/>
                <w:sz w:val="18"/>
                <w:szCs w:val="18"/>
                <w14:ligatures w14:val="none"/>
              </w:rPr>
            </w:pPr>
            <w:r w:rsidRPr="0012384E">
              <w:rPr>
                <w:rFonts w:ascii="Times New Roman" w:eastAsia="Calibri" w:hAnsi="Times New Roman" w:cs="Times New Roman"/>
                <w:bCs/>
                <w:color w:val="000000"/>
                <w:kern w:val="0"/>
                <w:sz w:val="18"/>
                <w:szCs w:val="18"/>
                <w14:ligatures w14:val="none"/>
              </w:rPr>
              <w:t>$640,950</w:t>
            </w:r>
          </w:p>
        </w:tc>
      </w:tr>
    </w:tbl>
    <w:p w:rsidR="0012384E" w:rsidRPr="0012384E" w:rsidP="0012384E" w14:paraId="2462B426" w14:textId="7B0967E2">
      <w:pPr>
        <w:rPr>
          <w:rFonts w:ascii="Times New Roman" w:hAnsi="Times New Roman" w:cs="Times New Roman"/>
        </w:rPr>
      </w:pPr>
      <w:r w:rsidRPr="0012384E">
        <w:rPr>
          <w:rFonts w:ascii="Times New Roman" w:hAnsi="Times New Roman" w:cs="Times New Roman"/>
        </w:rPr>
        <w:t xml:space="preserve">The U.S. Bureau of Labor Statistics (May 20, 2025) </w:t>
      </w:r>
      <w:r>
        <w:rPr>
          <w:rFonts w:ascii="Times New Roman" w:hAnsi="Times New Roman" w:cs="Times New Roman"/>
        </w:rPr>
        <w:t xml:space="preserve">Social and Community Service Managers   </w:t>
      </w:r>
      <w:hyperlink r:id="rId5" w:history="1">
        <w:r w:rsidRPr="00CA0C7C">
          <w:rPr>
            <w:rStyle w:val="Hyperlink"/>
            <w:rFonts w:ascii="Times New Roman" w:hAnsi="Times New Roman" w:cs="Times New Roman"/>
          </w:rPr>
          <w:t>https://data.bls.gov/oesprofile/?major_group=110000&amp;occupation=119151&amp;measure=01&amp;areas=INDUSTRY,STATE,MSA</w:t>
        </w:r>
      </w:hyperlink>
      <w:r>
        <w:rPr>
          <w:rFonts w:ascii="Times New Roman" w:hAnsi="Times New Roman" w:cs="Times New Roman"/>
        </w:rPr>
        <w:t xml:space="preserve"> </w:t>
      </w:r>
      <w:r w:rsidRPr="0012384E">
        <w:rPr>
          <w:rFonts w:ascii="Times New Roman" w:hAnsi="Times New Roman" w:cs="Times New Roman"/>
        </w:rPr>
        <w:t xml:space="preserve">was used to determine the hourly rate ($42.73). </w:t>
      </w:r>
    </w:p>
    <w:p w:rsidR="0012384E" w:rsidRPr="00605B39" w:rsidP="00605B39" w14:paraId="69C2AE55" w14:textId="143CDA6F">
      <w:pPr>
        <w:pStyle w:val="ListParagraph"/>
        <w:numPr>
          <w:ilvl w:val="0"/>
          <w:numId w:val="1"/>
        </w:numPr>
        <w:rPr>
          <w:rFonts w:ascii="Times New Roman" w:hAnsi="Times New Roman" w:cs="Times New Roman"/>
          <w:b/>
          <w:bCs/>
        </w:rPr>
      </w:pPr>
      <w:r w:rsidRPr="00605B39">
        <w:rPr>
          <w:rFonts w:ascii="Times New Roman" w:hAnsi="Times New Roman" w:cs="Times New Roman"/>
          <w:b/>
          <w:bCs/>
        </w:rPr>
        <w:t>Provide an estimate of the total annual cost burden to respondents or recordkeepers resulting from the collection of information. (Do not include the cost of any hour burden already reflected on the burden worksheet shown in Items 12 and 14).</w:t>
      </w:r>
    </w:p>
    <w:p w:rsidR="00605B39" w:rsidRPr="00605B39" w:rsidP="0012384E" w14:paraId="28A8FE17" w14:textId="77777777">
      <w:pPr>
        <w:pStyle w:val="ListParagraph"/>
        <w:numPr>
          <w:ilvl w:val="0"/>
          <w:numId w:val="10"/>
        </w:numPr>
        <w:rPr>
          <w:rFonts w:ascii="Times New Roman" w:hAnsi="Times New Roman" w:cs="Times New Roman"/>
          <w:b/>
          <w:bCs/>
        </w:rPr>
      </w:pPr>
      <w:r w:rsidRPr="00605B39">
        <w:rPr>
          <w:rFonts w:ascii="Times New Roman" w:hAnsi="Times New Roman" w:cs="Times New Roman"/>
          <w:b/>
          <w:bCs/>
        </w:rPr>
        <w:t xml:space="preserve">The cost estimate should be split into two components: (a) a total capital and start-up cost component (annualized over its expected useful life); and (b) a total operation and maintenance purchase of services component.  The estimates should </w:t>
      </w:r>
      <w:r w:rsidRPr="00605B39">
        <w:rPr>
          <w:rFonts w:ascii="Times New Roman" w:hAnsi="Times New Roman" w:cs="Times New Roman"/>
          <w:b/>
          <w:bCs/>
        </w:rPr>
        <w:t>take into account</w:t>
      </w:r>
      <w:r w:rsidRPr="00605B39">
        <w:rPr>
          <w:rFonts w:ascii="Times New Roman" w:hAnsi="Times New Roman" w:cs="Times New Roman"/>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05B39">
        <w:rPr>
          <w:rFonts w:ascii="Times New Roman" w:hAnsi="Times New Roman" w:cs="Times New Roman"/>
          <w:b/>
          <w:bCs/>
        </w:rPr>
        <w:t>time period</w:t>
      </w:r>
      <w:r w:rsidRPr="00605B39">
        <w:rPr>
          <w:rFonts w:ascii="Times New Roman" w:hAnsi="Times New Roman" w:cs="Times New Roman"/>
          <w:b/>
          <w:bCs/>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605B39">
        <w:rPr>
          <w:rFonts w:ascii="Times New Roman" w:hAnsi="Times New Roman" w:cs="Times New Roman"/>
          <w:b/>
          <w:bCs/>
        </w:rPr>
        <w:t>facilities;</w:t>
      </w:r>
      <w:r w:rsidRPr="00605B39">
        <w:rPr>
          <w:rFonts w:ascii="Times New Roman" w:hAnsi="Times New Roman" w:cs="Times New Roman"/>
          <w:b/>
          <w:bCs/>
        </w:rPr>
        <w:t xml:space="preserve"> </w:t>
      </w:r>
    </w:p>
    <w:p w:rsidR="00605B39" w:rsidRPr="00605B39" w:rsidP="0012384E" w14:paraId="4AD16B13" w14:textId="77777777">
      <w:pPr>
        <w:pStyle w:val="ListParagraph"/>
        <w:numPr>
          <w:ilvl w:val="0"/>
          <w:numId w:val="10"/>
        </w:numPr>
        <w:rPr>
          <w:rFonts w:ascii="Times New Roman" w:hAnsi="Times New Roman" w:cs="Times New Roman"/>
          <w:b/>
          <w:bCs/>
        </w:rPr>
      </w:pPr>
      <w:r w:rsidRPr="00605B39">
        <w:rPr>
          <w:rFonts w:ascii="Times New Roman" w:hAnsi="Times New Roman" w:cs="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605B39" w:rsidP="0012384E" w14:paraId="1C95C51C" w14:textId="77777777">
      <w:pPr>
        <w:pStyle w:val="ListParagraph"/>
        <w:numPr>
          <w:ilvl w:val="0"/>
          <w:numId w:val="10"/>
        </w:numPr>
        <w:rPr>
          <w:rFonts w:ascii="Times New Roman" w:hAnsi="Times New Roman" w:cs="Times New Roman"/>
        </w:rPr>
      </w:pPr>
      <w:r w:rsidRPr="00605B39">
        <w:rPr>
          <w:rFonts w:ascii="Times New Roman" w:hAnsi="Times New Roman" w:cs="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5B39">
        <w:rPr>
          <w:rFonts w:ascii="Times New Roman" w:hAnsi="Times New Roman" w:cs="Times New Roman"/>
        </w:rPr>
        <w:t>.</w:t>
      </w:r>
    </w:p>
    <w:p w:rsidR="00605B39" w:rsidP="00605B39" w14:paraId="7297413B" w14:textId="77777777">
      <w:pPr>
        <w:pStyle w:val="ListParagraph"/>
        <w:ind w:left="770"/>
        <w:rPr>
          <w:rFonts w:ascii="Times New Roman" w:hAnsi="Times New Roman" w:cs="Times New Roman"/>
        </w:rPr>
      </w:pPr>
    </w:p>
    <w:p w:rsidR="0012384E" w:rsidP="00605B39" w14:paraId="5FCEC338" w14:textId="38B77F31">
      <w:pPr>
        <w:pStyle w:val="ListParagraph"/>
        <w:ind w:left="770"/>
        <w:rPr>
          <w:rFonts w:ascii="Times New Roman" w:hAnsi="Times New Roman" w:cs="Times New Roman"/>
        </w:rPr>
      </w:pPr>
      <w:r w:rsidRPr="00605B39">
        <w:rPr>
          <w:rFonts w:ascii="Times New Roman" w:hAnsi="Times New Roman" w:cs="Times New Roman"/>
        </w:rPr>
        <w:t>There are no additional costs other than those shown in #12.</w:t>
      </w:r>
    </w:p>
    <w:p w:rsidR="00605B39" w:rsidRPr="00605B39" w:rsidP="00605B39" w14:paraId="2ECB4B27" w14:textId="77777777">
      <w:pPr>
        <w:pStyle w:val="ListParagraph"/>
        <w:ind w:left="770"/>
        <w:rPr>
          <w:rFonts w:ascii="Times New Roman" w:hAnsi="Times New Roman" w:cs="Times New Roman"/>
        </w:rPr>
      </w:pPr>
    </w:p>
    <w:p w:rsidR="0012384E" w:rsidRPr="00605B39" w:rsidP="00605B39" w14:paraId="7A8341BC" w14:textId="34F27834">
      <w:pPr>
        <w:pStyle w:val="ListParagraph"/>
        <w:numPr>
          <w:ilvl w:val="0"/>
          <w:numId w:val="1"/>
        </w:numPr>
        <w:rPr>
          <w:rFonts w:ascii="Times New Roman" w:hAnsi="Times New Roman" w:cs="Times New Roman"/>
          <w:b/>
          <w:bCs/>
        </w:rPr>
      </w:pPr>
      <w:r w:rsidRPr="00605B39">
        <w:rPr>
          <w:rFonts w:ascii="Times New Roman" w:hAnsi="Times New Roman" w:cs="Times New Roman"/>
          <w:b/>
          <w:b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605B39">
        <w:rPr>
          <w:rFonts w:ascii="Times New Roman" w:hAnsi="Times New Roman" w:cs="Times New Roman"/>
          <w:b/>
          <w:bCs/>
        </w:rPr>
        <w:t>expense</w:t>
      </w:r>
      <w:r w:rsidRPr="00605B39">
        <w:rPr>
          <w:rFonts w:ascii="Times New Roman" w:hAnsi="Times New Roman" w:cs="Times New Roman"/>
          <w:b/>
          <w:bCs/>
        </w:rPr>
        <w:t xml:space="preserve"> that would not have been incurred without this collection of information.  Agencies also may aggregate cost estimates from Items 12, 13, and 14 in a single table.</w:t>
      </w: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20"/>
        <w:gridCol w:w="1260"/>
        <w:gridCol w:w="1440"/>
        <w:gridCol w:w="1260"/>
        <w:gridCol w:w="1350"/>
        <w:gridCol w:w="1061"/>
        <w:gridCol w:w="1050"/>
        <w:gridCol w:w="1034"/>
      </w:tblGrid>
      <w:tr w14:paraId="749F15B6" w14:textId="77777777" w:rsidTr="00A443C7">
        <w:tblPrEx>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43"/>
        </w:trPr>
        <w:tc>
          <w:tcPr>
            <w:tcW w:w="1620" w:type="dxa"/>
            <w:tcMar>
              <w:top w:w="0" w:type="dxa"/>
              <w:left w:w="108" w:type="dxa"/>
              <w:bottom w:w="0" w:type="dxa"/>
              <w:right w:w="108" w:type="dxa"/>
            </w:tcMar>
            <w:hideMark/>
          </w:tcPr>
          <w:p w:rsidR="00605B39" w:rsidRPr="00605B39" w:rsidP="00605B39" w14:paraId="27D22BB3" w14:textId="77777777">
            <w:pPr>
              <w:overflowPunct w:val="0"/>
              <w:autoSpaceDE w:val="0"/>
              <w:autoSpaceDN w:val="0"/>
              <w:spacing w:after="0" w:line="240" w:lineRule="auto"/>
              <w:jc w:val="center"/>
              <w:rPr>
                <w:rFonts w:ascii="Times New Roman" w:eastAsia="Calibri" w:hAnsi="Times New Roman" w:cs="Times New Roman"/>
                <w:b/>
                <w:bCs/>
                <w:color w:val="000000"/>
                <w:kern w:val="0"/>
                <w:sz w:val="18"/>
                <w:szCs w:val="18"/>
                <w14:ligatures w14:val="none"/>
              </w:rPr>
            </w:pPr>
            <w:bookmarkStart w:id="6" w:name="_Hlk207178990"/>
            <w:r w:rsidRPr="00605B39">
              <w:rPr>
                <w:rFonts w:ascii="Times New Roman" w:eastAsia="Calibri" w:hAnsi="Times New Roman" w:cs="Times New Roman"/>
                <w:b/>
                <w:bCs/>
                <w:color w:val="000000"/>
                <w:kern w:val="0"/>
                <w:sz w:val="18"/>
                <w:szCs w:val="18"/>
                <w14:ligatures w14:val="none"/>
              </w:rPr>
              <w:t>Information Collection</w:t>
            </w:r>
          </w:p>
        </w:tc>
        <w:tc>
          <w:tcPr>
            <w:tcW w:w="1260" w:type="dxa"/>
            <w:tcMar>
              <w:top w:w="0" w:type="dxa"/>
              <w:left w:w="108" w:type="dxa"/>
              <w:bottom w:w="0" w:type="dxa"/>
              <w:right w:w="108" w:type="dxa"/>
            </w:tcMar>
            <w:hideMark/>
          </w:tcPr>
          <w:p w:rsidR="00605B39" w:rsidRPr="00605B39" w:rsidP="00605B39" w14:paraId="44E32E7F" w14:textId="77777777">
            <w:pPr>
              <w:overflowPunct w:val="0"/>
              <w:autoSpaceDE w:val="0"/>
              <w:autoSpaceDN w:val="0"/>
              <w:spacing w:after="0" w:line="240" w:lineRule="auto"/>
              <w:jc w:val="center"/>
              <w:rPr>
                <w:rFonts w:ascii="Times New Roman" w:eastAsia="Calibri" w:hAnsi="Times New Roman" w:cs="Times New Roman"/>
                <w:b/>
                <w:bCs/>
                <w:color w:val="000000"/>
                <w:kern w:val="0"/>
                <w:sz w:val="18"/>
                <w:szCs w:val="18"/>
                <w14:ligatures w14:val="none"/>
              </w:rPr>
            </w:pPr>
            <w:r w:rsidRPr="00605B39">
              <w:rPr>
                <w:rFonts w:ascii="Times New Roman" w:eastAsia="Calibri" w:hAnsi="Times New Roman" w:cs="Times New Roman"/>
                <w:b/>
                <w:bCs/>
                <w:color w:val="000000"/>
                <w:kern w:val="0"/>
                <w:sz w:val="18"/>
                <w:szCs w:val="18"/>
                <w14:ligatures w14:val="none"/>
              </w:rPr>
              <w:t>Number of Respondents</w:t>
            </w:r>
          </w:p>
        </w:tc>
        <w:tc>
          <w:tcPr>
            <w:tcW w:w="1440" w:type="dxa"/>
            <w:tcMar>
              <w:top w:w="0" w:type="dxa"/>
              <w:left w:w="108" w:type="dxa"/>
              <w:bottom w:w="0" w:type="dxa"/>
              <w:right w:w="108" w:type="dxa"/>
            </w:tcMar>
            <w:hideMark/>
          </w:tcPr>
          <w:p w:rsidR="00605B39" w:rsidRPr="00605B39" w:rsidP="00605B39" w14:paraId="5A7B8804" w14:textId="77777777">
            <w:pPr>
              <w:overflowPunct w:val="0"/>
              <w:autoSpaceDE w:val="0"/>
              <w:autoSpaceDN w:val="0"/>
              <w:spacing w:after="0" w:line="240" w:lineRule="auto"/>
              <w:jc w:val="center"/>
              <w:rPr>
                <w:rFonts w:ascii="Times New Roman" w:eastAsia="Calibri" w:hAnsi="Times New Roman" w:cs="Times New Roman"/>
                <w:b/>
                <w:bCs/>
                <w:color w:val="000000"/>
                <w:kern w:val="0"/>
                <w:sz w:val="18"/>
                <w:szCs w:val="18"/>
                <w14:ligatures w14:val="none"/>
              </w:rPr>
            </w:pPr>
            <w:r w:rsidRPr="00605B39">
              <w:rPr>
                <w:rFonts w:ascii="Times New Roman" w:eastAsia="Calibri" w:hAnsi="Times New Roman" w:cs="Times New Roman"/>
                <w:b/>
                <w:bCs/>
                <w:color w:val="000000"/>
                <w:kern w:val="0"/>
                <w:sz w:val="18"/>
                <w:szCs w:val="18"/>
                <w14:ligatures w14:val="none"/>
              </w:rPr>
              <w:t>Frequency of Response</w:t>
            </w:r>
          </w:p>
        </w:tc>
        <w:tc>
          <w:tcPr>
            <w:tcW w:w="1260" w:type="dxa"/>
            <w:tcMar>
              <w:top w:w="0" w:type="dxa"/>
              <w:left w:w="108" w:type="dxa"/>
              <w:bottom w:w="0" w:type="dxa"/>
              <w:right w:w="108" w:type="dxa"/>
            </w:tcMar>
            <w:hideMark/>
          </w:tcPr>
          <w:p w:rsidR="00605B39" w:rsidRPr="00605B39" w:rsidP="00605B39" w14:paraId="501DDF0A" w14:textId="77777777">
            <w:pPr>
              <w:spacing w:after="0" w:line="240" w:lineRule="auto"/>
              <w:jc w:val="center"/>
              <w:rPr>
                <w:rFonts w:ascii="Times New Roman" w:eastAsia="Calibri" w:hAnsi="Times New Roman" w:cs="Times New Roman"/>
                <w:b/>
                <w:bCs/>
                <w:color w:val="000000"/>
                <w:kern w:val="0"/>
                <w:sz w:val="18"/>
                <w:szCs w:val="18"/>
                <w14:ligatures w14:val="none"/>
              </w:rPr>
            </w:pPr>
            <w:r w:rsidRPr="00605B39">
              <w:rPr>
                <w:rFonts w:ascii="Times New Roman" w:eastAsia="Calibri" w:hAnsi="Times New Roman" w:cs="Times New Roman"/>
                <w:b/>
                <w:bCs/>
                <w:color w:val="000000"/>
                <w:kern w:val="0"/>
                <w:sz w:val="18"/>
                <w:szCs w:val="18"/>
                <w14:ligatures w14:val="none"/>
              </w:rPr>
              <w:t>Responses</w:t>
            </w:r>
          </w:p>
          <w:p w:rsidR="00605B39" w:rsidRPr="00605B39" w:rsidP="00605B39" w14:paraId="25025774" w14:textId="77777777">
            <w:pPr>
              <w:overflowPunct w:val="0"/>
              <w:autoSpaceDE w:val="0"/>
              <w:autoSpaceDN w:val="0"/>
              <w:spacing w:after="0" w:line="240" w:lineRule="auto"/>
              <w:jc w:val="center"/>
              <w:rPr>
                <w:rFonts w:ascii="Times New Roman" w:eastAsia="Calibri" w:hAnsi="Times New Roman" w:cs="Times New Roman"/>
                <w:b/>
                <w:bCs/>
                <w:color w:val="000000"/>
                <w:kern w:val="0"/>
                <w:sz w:val="18"/>
                <w:szCs w:val="18"/>
                <w14:ligatures w14:val="none"/>
              </w:rPr>
            </w:pPr>
            <w:r w:rsidRPr="00605B39">
              <w:rPr>
                <w:rFonts w:ascii="Times New Roman" w:eastAsia="Calibri" w:hAnsi="Times New Roman" w:cs="Times New Roman"/>
                <w:b/>
                <w:bCs/>
                <w:color w:val="000000"/>
                <w:kern w:val="0"/>
                <w:sz w:val="18"/>
                <w:szCs w:val="18"/>
                <w14:ligatures w14:val="none"/>
              </w:rPr>
              <w:t>Per Annum</w:t>
            </w:r>
          </w:p>
        </w:tc>
        <w:tc>
          <w:tcPr>
            <w:tcW w:w="1350" w:type="dxa"/>
            <w:tcMar>
              <w:top w:w="0" w:type="dxa"/>
              <w:left w:w="108" w:type="dxa"/>
              <w:bottom w:w="0" w:type="dxa"/>
              <w:right w:w="108" w:type="dxa"/>
            </w:tcMar>
            <w:hideMark/>
          </w:tcPr>
          <w:p w:rsidR="00605B39" w:rsidRPr="00605B39" w:rsidP="00605B39" w14:paraId="65E1C84B" w14:textId="77777777">
            <w:pPr>
              <w:overflowPunct w:val="0"/>
              <w:autoSpaceDE w:val="0"/>
              <w:autoSpaceDN w:val="0"/>
              <w:spacing w:after="0" w:line="240" w:lineRule="auto"/>
              <w:jc w:val="center"/>
              <w:rPr>
                <w:rFonts w:ascii="Times New Roman" w:eastAsia="Calibri" w:hAnsi="Times New Roman" w:cs="Times New Roman"/>
                <w:b/>
                <w:bCs/>
                <w:color w:val="000000"/>
                <w:kern w:val="0"/>
                <w:sz w:val="18"/>
                <w:szCs w:val="18"/>
                <w14:ligatures w14:val="none"/>
              </w:rPr>
            </w:pPr>
            <w:r w:rsidRPr="00605B39">
              <w:rPr>
                <w:rFonts w:ascii="Times New Roman" w:eastAsia="Calibri" w:hAnsi="Times New Roman" w:cs="Times New Roman"/>
                <w:b/>
                <w:bCs/>
                <w:color w:val="000000"/>
                <w:kern w:val="0"/>
                <w:sz w:val="18"/>
                <w:szCs w:val="18"/>
                <w14:ligatures w14:val="none"/>
              </w:rPr>
              <w:t>Burden Hour Per Response</w:t>
            </w:r>
          </w:p>
        </w:tc>
        <w:tc>
          <w:tcPr>
            <w:tcW w:w="1061" w:type="dxa"/>
            <w:tcMar>
              <w:top w:w="0" w:type="dxa"/>
              <w:left w:w="108" w:type="dxa"/>
              <w:bottom w:w="0" w:type="dxa"/>
              <w:right w:w="108" w:type="dxa"/>
            </w:tcMar>
            <w:hideMark/>
          </w:tcPr>
          <w:p w:rsidR="00605B39" w:rsidRPr="00605B39" w:rsidP="00605B39" w14:paraId="21CDC635" w14:textId="77777777">
            <w:pPr>
              <w:overflowPunct w:val="0"/>
              <w:autoSpaceDE w:val="0"/>
              <w:autoSpaceDN w:val="0"/>
              <w:spacing w:after="0" w:line="240" w:lineRule="auto"/>
              <w:jc w:val="center"/>
              <w:rPr>
                <w:rFonts w:ascii="Times New Roman" w:eastAsia="Calibri" w:hAnsi="Times New Roman" w:cs="Times New Roman"/>
                <w:b/>
                <w:bCs/>
                <w:color w:val="000000"/>
                <w:kern w:val="0"/>
                <w:sz w:val="18"/>
                <w:szCs w:val="18"/>
                <w14:ligatures w14:val="none"/>
              </w:rPr>
            </w:pPr>
            <w:r w:rsidRPr="00605B39">
              <w:rPr>
                <w:rFonts w:ascii="Times New Roman" w:eastAsia="Calibri" w:hAnsi="Times New Roman" w:cs="Times New Roman"/>
                <w:b/>
                <w:bCs/>
                <w:color w:val="000000"/>
                <w:kern w:val="0"/>
                <w:sz w:val="18"/>
                <w:szCs w:val="18"/>
                <w14:ligatures w14:val="none"/>
              </w:rPr>
              <w:t>Annual Burden Hours</w:t>
            </w:r>
          </w:p>
        </w:tc>
        <w:tc>
          <w:tcPr>
            <w:tcW w:w="1050" w:type="dxa"/>
            <w:tcMar>
              <w:top w:w="0" w:type="dxa"/>
              <w:left w:w="108" w:type="dxa"/>
              <w:bottom w:w="0" w:type="dxa"/>
              <w:right w:w="108" w:type="dxa"/>
            </w:tcMar>
            <w:hideMark/>
          </w:tcPr>
          <w:p w:rsidR="00605B39" w:rsidRPr="00605B39" w:rsidP="00605B39" w14:paraId="6E399460" w14:textId="77777777">
            <w:pPr>
              <w:overflowPunct w:val="0"/>
              <w:autoSpaceDE w:val="0"/>
              <w:autoSpaceDN w:val="0"/>
              <w:spacing w:after="0" w:line="240" w:lineRule="auto"/>
              <w:jc w:val="center"/>
              <w:rPr>
                <w:rFonts w:ascii="Times New Roman" w:eastAsia="Calibri" w:hAnsi="Times New Roman" w:cs="Times New Roman"/>
                <w:b/>
                <w:bCs/>
                <w:color w:val="000000"/>
                <w:kern w:val="0"/>
                <w:sz w:val="18"/>
                <w:szCs w:val="18"/>
                <w14:ligatures w14:val="none"/>
              </w:rPr>
            </w:pPr>
            <w:r w:rsidRPr="00605B39">
              <w:rPr>
                <w:rFonts w:ascii="Times New Roman" w:eastAsia="Calibri" w:hAnsi="Times New Roman" w:cs="Times New Roman"/>
                <w:b/>
                <w:bCs/>
                <w:color w:val="000000"/>
                <w:kern w:val="0"/>
                <w:sz w:val="18"/>
                <w:szCs w:val="18"/>
                <w14:ligatures w14:val="none"/>
              </w:rPr>
              <w:t>Hourly Cost Per Response</w:t>
            </w:r>
          </w:p>
        </w:tc>
        <w:tc>
          <w:tcPr>
            <w:tcW w:w="1034" w:type="dxa"/>
            <w:tcMar>
              <w:top w:w="0" w:type="dxa"/>
              <w:left w:w="108" w:type="dxa"/>
              <w:bottom w:w="0" w:type="dxa"/>
              <w:right w:w="108" w:type="dxa"/>
            </w:tcMar>
          </w:tcPr>
          <w:p w:rsidR="00605B39" w:rsidRPr="00605B39" w:rsidP="00605B39" w14:paraId="31FE1EC3" w14:textId="77777777">
            <w:pPr>
              <w:spacing w:after="0" w:line="240" w:lineRule="auto"/>
              <w:jc w:val="center"/>
              <w:rPr>
                <w:rFonts w:ascii="Times New Roman" w:eastAsia="Calibri" w:hAnsi="Times New Roman" w:cs="Times New Roman"/>
                <w:b/>
                <w:bCs/>
                <w:color w:val="000000"/>
                <w:kern w:val="0"/>
                <w:sz w:val="18"/>
                <w:szCs w:val="18"/>
                <w14:ligatures w14:val="none"/>
              </w:rPr>
            </w:pPr>
            <w:r w:rsidRPr="00605B39">
              <w:rPr>
                <w:rFonts w:ascii="Times New Roman" w:eastAsia="Calibri" w:hAnsi="Times New Roman" w:cs="Times New Roman"/>
                <w:b/>
                <w:bCs/>
                <w:color w:val="000000"/>
                <w:kern w:val="0"/>
                <w:sz w:val="18"/>
                <w:szCs w:val="18"/>
                <w14:ligatures w14:val="none"/>
              </w:rPr>
              <w:t>Annual Cost</w:t>
            </w:r>
          </w:p>
          <w:p w:rsidR="00605B39" w:rsidRPr="00605B39" w:rsidP="00605B39" w14:paraId="7CEEEA4A" w14:textId="77777777">
            <w:pPr>
              <w:overflowPunct w:val="0"/>
              <w:autoSpaceDE w:val="0"/>
              <w:autoSpaceDN w:val="0"/>
              <w:spacing w:after="0" w:line="240" w:lineRule="auto"/>
              <w:jc w:val="center"/>
              <w:rPr>
                <w:rFonts w:ascii="Times New Roman" w:eastAsia="Calibri" w:hAnsi="Times New Roman" w:cs="Times New Roman"/>
                <w:b/>
                <w:bCs/>
                <w:color w:val="000000"/>
                <w:kern w:val="0"/>
                <w:sz w:val="18"/>
                <w:szCs w:val="18"/>
                <w14:ligatures w14:val="none"/>
              </w:rPr>
            </w:pPr>
          </w:p>
        </w:tc>
      </w:tr>
      <w:tr w14:paraId="0F4B2B8C" w14:textId="77777777" w:rsidTr="00A443C7">
        <w:tblPrEx>
          <w:tblW w:w="10075" w:type="dxa"/>
          <w:tblInd w:w="-5" w:type="dxa"/>
          <w:tblCellMar>
            <w:left w:w="0" w:type="dxa"/>
            <w:right w:w="0" w:type="dxa"/>
          </w:tblCellMar>
          <w:tblLook w:val="04A0"/>
        </w:tblPrEx>
        <w:tc>
          <w:tcPr>
            <w:tcW w:w="1620" w:type="dxa"/>
            <w:tcMar>
              <w:top w:w="0" w:type="dxa"/>
              <w:left w:w="108" w:type="dxa"/>
              <w:bottom w:w="0" w:type="dxa"/>
              <w:right w:w="108" w:type="dxa"/>
            </w:tcMar>
          </w:tcPr>
          <w:p w:rsidR="00605B39" w:rsidRPr="00605B39" w:rsidP="00605B39" w14:paraId="1610D8A3" w14:textId="77777777">
            <w:pPr>
              <w:overflowPunct w:val="0"/>
              <w:autoSpaceDE w:val="0"/>
              <w:autoSpaceDN w:val="0"/>
              <w:spacing w:after="0" w:line="240" w:lineRule="auto"/>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Grant Reporting (DRGR)</w:t>
            </w:r>
          </w:p>
        </w:tc>
        <w:tc>
          <w:tcPr>
            <w:tcW w:w="1260" w:type="dxa"/>
            <w:tcMar>
              <w:top w:w="0" w:type="dxa"/>
              <w:left w:w="108" w:type="dxa"/>
              <w:bottom w:w="0" w:type="dxa"/>
              <w:right w:w="108" w:type="dxa"/>
            </w:tcMar>
          </w:tcPr>
          <w:p w:rsidR="00605B39" w:rsidRPr="00605B39" w:rsidP="00605B39" w14:paraId="1F539FE3" w14:textId="77777777">
            <w:pPr>
              <w:overflowPunct w:val="0"/>
              <w:autoSpaceDE w:val="0"/>
              <w:autoSpaceDN w:val="0"/>
              <w:spacing w:after="0" w:line="240" w:lineRule="auto"/>
              <w:jc w:val="center"/>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2,500</w:t>
            </w:r>
          </w:p>
        </w:tc>
        <w:tc>
          <w:tcPr>
            <w:tcW w:w="1440" w:type="dxa"/>
            <w:tcMar>
              <w:top w:w="0" w:type="dxa"/>
              <w:left w:w="108" w:type="dxa"/>
              <w:bottom w:w="0" w:type="dxa"/>
              <w:right w:w="108" w:type="dxa"/>
            </w:tcMar>
          </w:tcPr>
          <w:p w:rsidR="00605B39" w:rsidRPr="00605B39" w:rsidP="00605B39" w14:paraId="6629838E" w14:textId="77777777">
            <w:pPr>
              <w:overflowPunct w:val="0"/>
              <w:autoSpaceDE w:val="0"/>
              <w:autoSpaceDN w:val="0"/>
              <w:spacing w:after="0" w:line="240" w:lineRule="auto"/>
              <w:jc w:val="center"/>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2</w:t>
            </w:r>
          </w:p>
        </w:tc>
        <w:tc>
          <w:tcPr>
            <w:tcW w:w="1260" w:type="dxa"/>
            <w:tcMar>
              <w:top w:w="0" w:type="dxa"/>
              <w:left w:w="108" w:type="dxa"/>
              <w:bottom w:w="0" w:type="dxa"/>
              <w:right w:w="108" w:type="dxa"/>
            </w:tcMar>
          </w:tcPr>
          <w:p w:rsidR="00605B39" w:rsidRPr="00605B39" w:rsidP="00605B39" w14:paraId="61A8D259" w14:textId="77777777">
            <w:pPr>
              <w:overflowPunct w:val="0"/>
              <w:autoSpaceDE w:val="0"/>
              <w:autoSpaceDN w:val="0"/>
              <w:spacing w:after="0" w:line="240" w:lineRule="auto"/>
              <w:jc w:val="center"/>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5,000</w:t>
            </w:r>
          </w:p>
        </w:tc>
        <w:tc>
          <w:tcPr>
            <w:tcW w:w="1350" w:type="dxa"/>
            <w:tcMar>
              <w:top w:w="0" w:type="dxa"/>
              <w:left w:w="108" w:type="dxa"/>
              <w:bottom w:w="0" w:type="dxa"/>
              <w:right w:w="108" w:type="dxa"/>
            </w:tcMar>
          </w:tcPr>
          <w:p w:rsidR="00605B39" w:rsidRPr="00605B39" w:rsidP="00605B39" w14:paraId="249A9286" w14:textId="77777777">
            <w:pPr>
              <w:overflowPunct w:val="0"/>
              <w:autoSpaceDE w:val="0"/>
              <w:autoSpaceDN w:val="0"/>
              <w:spacing w:after="0" w:line="240" w:lineRule="auto"/>
              <w:jc w:val="center"/>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3</w:t>
            </w:r>
          </w:p>
        </w:tc>
        <w:tc>
          <w:tcPr>
            <w:tcW w:w="1061" w:type="dxa"/>
            <w:tcMar>
              <w:top w:w="0" w:type="dxa"/>
              <w:left w:w="108" w:type="dxa"/>
              <w:bottom w:w="0" w:type="dxa"/>
              <w:right w:w="108" w:type="dxa"/>
            </w:tcMar>
          </w:tcPr>
          <w:p w:rsidR="00605B39" w:rsidRPr="00605B39" w:rsidP="00605B39" w14:paraId="58F3F1A0" w14:textId="77777777">
            <w:pPr>
              <w:overflowPunct w:val="0"/>
              <w:autoSpaceDE w:val="0"/>
              <w:autoSpaceDN w:val="0"/>
              <w:spacing w:after="0" w:line="240" w:lineRule="auto"/>
              <w:jc w:val="center"/>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15,000</w:t>
            </w:r>
          </w:p>
        </w:tc>
        <w:tc>
          <w:tcPr>
            <w:tcW w:w="1050" w:type="dxa"/>
            <w:tcMar>
              <w:top w:w="0" w:type="dxa"/>
              <w:left w:w="108" w:type="dxa"/>
              <w:bottom w:w="0" w:type="dxa"/>
              <w:right w:w="108" w:type="dxa"/>
            </w:tcMar>
          </w:tcPr>
          <w:p w:rsidR="00605B39" w:rsidRPr="00605B39" w:rsidP="00605B39" w14:paraId="218963E3" w14:textId="5649E411">
            <w:pPr>
              <w:overflowPunct w:val="0"/>
              <w:autoSpaceDE w:val="0"/>
              <w:autoSpaceDN w:val="0"/>
              <w:spacing w:after="0" w:line="240" w:lineRule="auto"/>
              <w:jc w:val="right"/>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$36.64</w:t>
            </w:r>
            <w:r w:rsidR="00A443C7">
              <w:rPr>
                <w:rFonts w:ascii="Times New Roman" w:eastAsia="Calibri" w:hAnsi="Times New Roman" w:cs="Times New Roman"/>
                <w:color w:val="000000"/>
                <w:kern w:val="0"/>
                <w:sz w:val="18"/>
                <w:szCs w:val="18"/>
                <w14:ligatures w14:val="none"/>
              </w:rPr>
              <w:t>*</w:t>
            </w:r>
          </w:p>
        </w:tc>
        <w:tc>
          <w:tcPr>
            <w:tcW w:w="1034" w:type="dxa"/>
            <w:tcMar>
              <w:top w:w="0" w:type="dxa"/>
              <w:left w:w="108" w:type="dxa"/>
              <w:bottom w:w="0" w:type="dxa"/>
              <w:right w:w="108" w:type="dxa"/>
            </w:tcMar>
          </w:tcPr>
          <w:p w:rsidR="00605B39" w:rsidRPr="00605B39" w:rsidP="00605B39" w14:paraId="2EC9D05C" w14:textId="77777777">
            <w:pPr>
              <w:overflowPunct w:val="0"/>
              <w:autoSpaceDE w:val="0"/>
              <w:autoSpaceDN w:val="0"/>
              <w:spacing w:after="0" w:line="240" w:lineRule="auto"/>
              <w:jc w:val="right"/>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549,600.00</w:t>
            </w:r>
          </w:p>
        </w:tc>
      </w:tr>
      <w:tr w14:paraId="4C84B35B" w14:textId="77777777" w:rsidTr="00A443C7">
        <w:tblPrEx>
          <w:tblW w:w="10075" w:type="dxa"/>
          <w:tblInd w:w="-5" w:type="dxa"/>
          <w:tblCellMar>
            <w:left w:w="0" w:type="dxa"/>
            <w:right w:w="0" w:type="dxa"/>
          </w:tblCellMar>
          <w:tblLook w:val="04A0"/>
        </w:tblPrEx>
        <w:tc>
          <w:tcPr>
            <w:tcW w:w="1620" w:type="dxa"/>
            <w:tcMar>
              <w:top w:w="0" w:type="dxa"/>
              <w:left w:w="108" w:type="dxa"/>
              <w:bottom w:w="0" w:type="dxa"/>
              <w:right w:w="108" w:type="dxa"/>
            </w:tcMar>
          </w:tcPr>
          <w:p w:rsidR="00605B39" w:rsidRPr="00605B39" w:rsidP="00605B39" w14:paraId="51D25055" w14:textId="77777777">
            <w:pPr>
              <w:overflowPunct w:val="0"/>
              <w:autoSpaceDE w:val="0"/>
              <w:autoSpaceDN w:val="0"/>
              <w:spacing w:after="0" w:line="240" w:lineRule="auto"/>
              <w:rPr>
                <w:rFonts w:ascii="Times New Roman" w:eastAsia="Calibri" w:hAnsi="Times New Roman" w:cs="Times New Roman"/>
                <w:b/>
                <w:bCs/>
                <w:color w:val="000000"/>
                <w:kern w:val="0"/>
                <w:sz w:val="18"/>
                <w:szCs w:val="18"/>
                <w14:ligatures w14:val="none"/>
              </w:rPr>
            </w:pPr>
            <w:r w:rsidRPr="00605B39">
              <w:rPr>
                <w:rFonts w:ascii="Times New Roman" w:eastAsia="Calibri" w:hAnsi="Times New Roman" w:cs="Times New Roman"/>
                <w:b/>
                <w:bCs/>
                <w:color w:val="000000"/>
                <w:kern w:val="0"/>
                <w:sz w:val="18"/>
                <w:szCs w:val="18"/>
                <w14:ligatures w14:val="none"/>
              </w:rPr>
              <w:t>Total</w:t>
            </w:r>
          </w:p>
        </w:tc>
        <w:tc>
          <w:tcPr>
            <w:tcW w:w="1260" w:type="dxa"/>
            <w:tcMar>
              <w:top w:w="0" w:type="dxa"/>
              <w:left w:w="108" w:type="dxa"/>
              <w:bottom w:w="0" w:type="dxa"/>
              <w:right w:w="108" w:type="dxa"/>
            </w:tcMar>
          </w:tcPr>
          <w:p w:rsidR="00605B39" w:rsidRPr="00605B39" w:rsidP="00605B39" w14:paraId="0C60A8BF" w14:textId="77777777">
            <w:pPr>
              <w:overflowPunct w:val="0"/>
              <w:autoSpaceDE w:val="0"/>
              <w:autoSpaceDN w:val="0"/>
              <w:spacing w:after="0" w:line="240" w:lineRule="auto"/>
              <w:jc w:val="center"/>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2,500</w:t>
            </w:r>
          </w:p>
        </w:tc>
        <w:tc>
          <w:tcPr>
            <w:tcW w:w="1440" w:type="dxa"/>
            <w:tcMar>
              <w:top w:w="0" w:type="dxa"/>
              <w:left w:w="108" w:type="dxa"/>
              <w:bottom w:w="0" w:type="dxa"/>
              <w:right w:w="108" w:type="dxa"/>
            </w:tcMar>
          </w:tcPr>
          <w:p w:rsidR="00605B39" w:rsidRPr="00605B39" w:rsidP="00605B39" w14:paraId="73364F05" w14:textId="77777777">
            <w:pPr>
              <w:overflowPunct w:val="0"/>
              <w:autoSpaceDE w:val="0"/>
              <w:autoSpaceDN w:val="0"/>
              <w:spacing w:after="0" w:line="240" w:lineRule="auto"/>
              <w:jc w:val="center"/>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2</w:t>
            </w:r>
          </w:p>
        </w:tc>
        <w:tc>
          <w:tcPr>
            <w:tcW w:w="1260" w:type="dxa"/>
            <w:tcMar>
              <w:top w:w="0" w:type="dxa"/>
              <w:left w:w="108" w:type="dxa"/>
              <w:bottom w:w="0" w:type="dxa"/>
              <w:right w:w="108" w:type="dxa"/>
            </w:tcMar>
          </w:tcPr>
          <w:p w:rsidR="00605B39" w:rsidRPr="00605B39" w:rsidP="00605B39" w14:paraId="05827665" w14:textId="77777777">
            <w:pPr>
              <w:overflowPunct w:val="0"/>
              <w:autoSpaceDE w:val="0"/>
              <w:autoSpaceDN w:val="0"/>
              <w:spacing w:after="0" w:line="240" w:lineRule="auto"/>
              <w:jc w:val="center"/>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5,000</w:t>
            </w:r>
          </w:p>
        </w:tc>
        <w:tc>
          <w:tcPr>
            <w:tcW w:w="1350" w:type="dxa"/>
            <w:tcMar>
              <w:top w:w="0" w:type="dxa"/>
              <w:left w:w="108" w:type="dxa"/>
              <w:bottom w:w="0" w:type="dxa"/>
              <w:right w:w="108" w:type="dxa"/>
            </w:tcMar>
          </w:tcPr>
          <w:p w:rsidR="00605B39" w:rsidRPr="00605B39" w:rsidP="00605B39" w14:paraId="7904B2AA" w14:textId="77777777">
            <w:pPr>
              <w:overflowPunct w:val="0"/>
              <w:autoSpaceDE w:val="0"/>
              <w:autoSpaceDN w:val="0"/>
              <w:spacing w:after="0" w:line="240" w:lineRule="auto"/>
              <w:jc w:val="center"/>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3</w:t>
            </w:r>
          </w:p>
        </w:tc>
        <w:tc>
          <w:tcPr>
            <w:tcW w:w="1061" w:type="dxa"/>
            <w:tcMar>
              <w:top w:w="0" w:type="dxa"/>
              <w:left w:w="108" w:type="dxa"/>
              <w:bottom w:w="0" w:type="dxa"/>
              <w:right w:w="108" w:type="dxa"/>
            </w:tcMar>
          </w:tcPr>
          <w:p w:rsidR="00605B39" w:rsidRPr="00605B39" w:rsidP="00605B39" w14:paraId="444729E1" w14:textId="77777777">
            <w:pPr>
              <w:overflowPunct w:val="0"/>
              <w:autoSpaceDE w:val="0"/>
              <w:autoSpaceDN w:val="0"/>
              <w:spacing w:after="0" w:line="240" w:lineRule="auto"/>
              <w:jc w:val="center"/>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15,000</w:t>
            </w:r>
          </w:p>
        </w:tc>
        <w:tc>
          <w:tcPr>
            <w:tcW w:w="1050" w:type="dxa"/>
            <w:tcMar>
              <w:top w:w="0" w:type="dxa"/>
              <w:left w:w="108" w:type="dxa"/>
              <w:bottom w:w="0" w:type="dxa"/>
              <w:right w:w="108" w:type="dxa"/>
            </w:tcMar>
          </w:tcPr>
          <w:p w:rsidR="00605B39" w:rsidRPr="00605B39" w:rsidP="00605B39" w14:paraId="791E7BF8" w14:textId="77777777">
            <w:pPr>
              <w:overflowPunct w:val="0"/>
              <w:autoSpaceDE w:val="0"/>
              <w:autoSpaceDN w:val="0"/>
              <w:spacing w:after="0" w:line="240" w:lineRule="auto"/>
              <w:jc w:val="right"/>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$36.64</w:t>
            </w:r>
          </w:p>
        </w:tc>
        <w:tc>
          <w:tcPr>
            <w:tcW w:w="1034" w:type="dxa"/>
            <w:tcMar>
              <w:top w:w="0" w:type="dxa"/>
              <w:left w:w="108" w:type="dxa"/>
              <w:bottom w:w="0" w:type="dxa"/>
              <w:right w:w="108" w:type="dxa"/>
            </w:tcMar>
          </w:tcPr>
          <w:p w:rsidR="00605B39" w:rsidRPr="00605B39" w:rsidP="00605B39" w14:paraId="2186D421" w14:textId="77777777">
            <w:pPr>
              <w:overflowPunct w:val="0"/>
              <w:autoSpaceDE w:val="0"/>
              <w:autoSpaceDN w:val="0"/>
              <w:spacing w:after="0" w:line="240" w:lineRule="auto"/>
              <w:jc w:val="right"/>
              <w:rPr>
                <w:rFonts w:ascii="Times New Roman" w:eastAsia="Calibri" w:hAnsi="Times New Roman" w:cs="Times New Roman"/>
                <w:color w:val="000000"/>
                <w:kern w:val="0"/>
                <w:sz w:val="18"/>
                <w:szCs w:val="18"/>
                <w14:ligatures w14:val="none"/>
              </w:rPr>
            </w:pPr>
            <w:r w:rsidRPr="00605B39">
              <w:rPr>
                <w:rFonts w:ascii="Times New Roman" w:eastAsia="Calibri" w:hAnsi="Times New Roman" w:cs="Times New Roman"/>
                <w:color w:val="000000"/>
                <w:kern w:val="0"/>
                <w:sz w:val="18"/>
                <w:szCs w:val="18"/>
                <w14:ligatures w14:val="none"/>
              </w:rPr>
              <w:t>549,600.00</w:t>
            </w:r>
          </w:p>
        </w:tc>
      </w:tr>
    </w:tbl>
    <w:bookmarkEnd w:id="6"/>
    <w:p w:rsidR="0012384E" w:rsidRPr="0012384E" w:rsidP="0012384E" w14:paraId="1B0CF15F" w14:textId="5655C746">
      <w:pPr>
        <w:rPr>
          <w:rFonts w:ascii="Times New Roman" w:hAnsi="Times New Roman" w:cs="Times New Roman"/>
        </w:rPr>
      </w:pPr>
      <w:r>
        <w:rPr>
          <w:rFonts w:ascii="Times New Roman" w:hAnsi="Times New Roman" w:cs="Times New Roman"/>
        </w:rPr>
        <w:t xml:space="preserve">*GS-12-step 1@ $36.64 (2026 General base pay) </w:t>
      </w:r>
    </w:p>
    <w:p w:rsidR="00605B39" w:rsidRPr="00605B39" w:rsidP="0012384E" w14:paraId="2128AFBC" w14:textId="77777777">
      <w:pPr>
        <w:pStyle w:val="ListParagraph"/>
        <w:numPr>
          <w:ilvl w:val="0"/>
          <w:numId w:val="1"/>
        </w:numPr>
        <w:rPr>
          <w:rFonts w:ascii="Times New Roman" w:hAnsi="Times New Roman" w:cs="Times New Roman"/>
          <w:b/>
          <w:bCs/>
        </w:rPr>
      </w:pPr>
      <w:r w:rsidRPr="00605B39">
        <w:rPr>
          <w:rFonts w:ascii="Times New Roman" w:hAnsi="Times New Roman" w:cs="Times New Roman"/>
          <w:b/>
          <w:bCs/>
        </w:rPr>
        <w:t>Explain the reasons for any program changes or adjustments reported in Items 12 and 14 of the Supporting Statement.</w:t>
      </w:r>
    </w:p>
    <w:p w:rsidR="00605B39" w:rsidP="00605B39" w14:paraId="304FC46D" w14:textId="77777777">
      <w:pPr>
        <w:pStyle w:val="ListParagraph"/>
        <w:ind w:left="360"/>
        <w:rPr>
          <w:rFonts w:ascii="Times New Roman" w:hAnsi="Times New Roman" w:cs="Times New Roman"/>
        </w:rPr>
      </w:pPr>
    </w:p>
    <w:p w:rsidR="0012384E" w:rsidP="00605B39" w14:paraId="6B32F744" w14:textId="30EA8728">
      <w:pPr>
        <w:pStyle w:val="ListParagraph"/>
        <w:ind w:left="360"/>
        <w:rPr>
          <w:rFonts w:ascii="Times New Roman" w:hAnsi="Times New Roman" w:cs="Times New Roman"/>
        </w:rPr>
      </w:pPr>
      <w:r w:rsidRPr="00605B39">
        <w:rPr>
          <w:rFonts w:ascii="Times New Roman" w:hAnsi="Times New Roman" w:cs="Times New Roman"/>
        </w:rPr>
        <w:t xml:space="preserve">This is a revision of previously approved collection ELOCCS Access Authorization Form (HUD 27054) and Change of Address Request (HUD 27056) are no longer used forms and are removed from the list. </w:t>
      </w:r>
    </w:p>
    <w:p w:rsidR="00605B39" w:rsidRPr="00605B39" w:rsidP="00605B39" w14:paraId="48316E03" w14:textId="77777777">
      <w:pPr>
        <w:pStyle w:val="ListParagraph"/>
        <w:ind w:left="360"/>
        <w:rPr>
          <w:rFonts w:ascii="Times New Roman" w:hAnsi="Times New Roman" w:cs="Times New Roman"/>
        </w:rPr>
      </w:pPr>
    </w:p>
    <w:p w:rsidR="0012384E" w:rsidRPr="00605B39" w:rsidP="00605B39" w14:paraId="738629CA" w14:textId="4DDCE1B8">
      <w:pPr>
        <w:pStyle w:val="ListParagraph"/>
        <w:numPr>
          <w:ilvl w:val="0"/>
          <w:numId w:val="1"/>
        </w:numPr>
        <w:rPr>
          <w:rFonts w:ascii="Times New Roman" w:hAnsi="Times New Roman" w:cs="Times New Roman"/>
          <w:b/>
          <w:bCs/>
        </w:rPr>
      </w:pPr>
      <w:r w:rsidRPr="00605B39">
        <w:rPr>
          <w:rFonts w:ascii="Times New Roman" w:hAnsi="Times New Roman" w:cs="Times New Roman"/>
          <w:b/>
          <w:bCs/>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05B39" w:rsidP="00605B39" w14:paraId="70247201" w14:textId="77777777">
      <w:pPr>
        <w:ind w:firstLine="360"/>
        <w:rPr>
          <w:rFonts w:ascii="Times New Roman" w:hAnsi="Times New Roman" w:cs="Times New Roman"/>
        </w:rPr>
      </w:pPr>
      <w:r w:rsidRPr="0012384E">
        <w:rPr>
          <w:rFonts w:ascii="Times New Roman" w:hAnsi="Times New Roman" w:cs="Times New Roman"/>
        </w:rPr>
        <w:t>Information collected will not be published.</w:t>
      </w:r>
    </w:p>
    <w:p w:rsidR="00605B39" w:rsidRPr="00605B39" w:rsidP="0012384E" w14:paraId="0E927111" w14:textId="77777777">
      <w:pPr>
        <w:pStyle w:val="ListParagraph"/>
        <w:numPr>
          <w:ilvl w:val="0"/>
          <w:numId w:val="1"/>
        </w:numPr>
        <w:rPr>
          <w:rFonts w:ascii="Times New Roman" w:hAnsi="Times New Roman" w:cs="Times New Roman"/>
          <w:b/>
          <w:bCs/>
        </w:rPr>
      </w:pPr>
      <w:r w:rsidRPr="00605B39">
        <w:rPr>
          <w:rFonts w:ascii="Times New Roman" w:hAnsi="Times New Roman" w:cs="Times New Roman"/>
          <w:b/>
          <w:bCs/>
        </w:rPr>
        <w:t>If seeking approval to not display the expiration date for OMB approval of the information collection, explain the reasons that display would be inappropriate.</w:t>
      </w:r>
    </w:p>
    <w:p w:rsidR="00605B39" w:rsidP="00605B39" w14:paraId="1326352D" w14:textId="77777777">
      <w:pPr>
        <w:pStyle w:val="ListParagraph"/>
        <w:ind w:left="360"/>
        <w:rPr>
          <w:rFonts w:ascii="Times New Roman" w:hAnsi="Times New Roman" w:cs="Times New Roman"/>
        </w:rPr>
      </w:pPr>
    </w:p>
    <w:p w:rsidR="0012384E" w:rsidP="00605B39" w14:paraId="0C0B45E9" w14:textId="24EB19FB">
      <w:pPr>
        <w:pStyle w:val="ListParagraph"/>
        <w:ind w:left="360"/>
        <w:rPr>
          <w:rFonts w:ascii="Times New Roman" w:hAnsi="Times New Roman" w:cs="Times New Roman"/>
        </w:rPr>
      </w:pPr>
      <w:r w:rsidRPr="00605B39">
        <w:rPr>
          <w:rFonts w:ascii="Times New Roman" w:hAnsi="Times New Roman" w:cs="Times New Roman"/>
        </w:rPr>
        <w:t>The expiration date for OMB approval may be displayed</w:t>
      </w:r>
      <w:r w:rsidR="00605B39">
        <w:rPr>
          <w:rFonts w:ascii="Times New Roman" w:hAnsi="Times New Roman" w:cs="Times New Roman"/>
        </w:rPr>
        <w:t>.</w:t>
      </w:r>
    </w:p>
    <w:p w:rsidR="00605B39" w:rsidRPr="00605B39" w:rsidP="00605B39" w14:paraId="1E54591B" w14:textId="77777777">
      <w:pPr>
        <w:pStyle w:val="ListParagraph"/>
        <w:ind w:left="360"/>
        <w:rPr>
          <w:rFonts w:ascii="Times New Roman" w:hAnsi="Times New Roman" w:cs="Times New Roman"/>
        </w:rPr>
      </w:pPr>
    </w:p>
    <w:p w:rsidR="00605B39" w:rsidRPr="00605B39" w:rsidP="0012384E" w14:paraId="4A1C36CF" w14:textId="77777777">
      <w:pPr>
        <w:pStyle w:val="ListParagraph"/>
        <w:numPr>
          <w:ilvl w:val="0"/>
          <w:numId w:val="1"/>
        </w:numPr>
        <w:rPr>
          <w:rFonts w:ascii="Times New Roman" w:hAnsi="Times New Roman" w:cs="Times New Roman"/>
          <w:b/>
          <w:bCs/>
        </w:rPr>
      </w:pPr>
      <w:r w:rsidRPr="00605B39">
        <w:rPr>
          <w:rFonts w:ascii="Times New Roman" w:hAnsi="Times New Roman" w:cs="Times New Roman"/>
          <w:b/>
          <w:bCs/>
        </w:rPr>
        <w:t>Explain each exception to the certification statement.</w:t>
      </w:r>
    </w:p>
    <w:p w:rsidR="00605B39" w:rsidP="00605B39" w14:paraId="4A7BC18C" w14:textId="77777777">
      <w:pPr>
        <w:pStyle w:val="ListParagraph"/>
        <w:ind w:left="360"/>
        <w:rPr>
          <w:rFonts w:ascii="Times New Roman" w:hAnsi="Times New Roman" w:cs="Times New Roman"/>
        </w:rPr>
      </w:pPr>
    </w:p>
    <w:p w:rsidR="0012384E" w:rsidRPr="00605B39" w:rsidP="00605B39" w14:paraId="2261DBF7" w14:textId="376F78D8">
      <w:pPr>
        <w:pStyle w:val="ListParagraph"/>
        <w:ind w:left="360"/>
        <w:rPr>
          <w:rFonts w:ascii="Times New Roman" w:hAnsi="Times New Roman" w:cs="Times New Roman"/>
        </w:rPr>
      </w:pPr>
      <w:r w:rsidRPr="00605B39">
        <w:rPr>
          <w:rFonts w:ascii="Times New Roman" w:hAnsi="Times New Roman" w:cs="Times New Roman"/>
        </w:rPr>
        <w:t>There are no exceptions to the certification statement.</w:t>
      </w:r>
    </w:p>
    <w:p w:rsidR="008868E0" w:rsidRPr="0012384E" w14:paraId="0CD142EC"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25868"/>
    <w:multiLevelType w:val="hybridMultilevel"/>
    <w:tmpl w:val="A754D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547FA5"/>
    <w:multiLevelType w:val="hybridMultilevel"/>
    <w:tmpl w:val="E39C8486"/>
    <w:lvl w:ilvl="0">
      <w:start w:val="1"/>
      <w:numFmt w:val="decimal"/>
      <w:lvlText w:val="%1."/>
      <w:lvlJc w:val="left"/>
      <w:pPr>
        <w:ind w:left="360" w:hanging="360"/>
      </w:pPr>
      <w:rPr>
        <w:b/>
        <w:bCs/>
      </w:rPr>
    </w:lvl>
    <w:lvl w:ilvl="1">
      <w:start w:val="15"/>
      <w:numFmt w:val="bullet"/>
      <w:lvlText w:val="•"/>
      <w:lvlJc w:val="left"/>
      <w:pPr>
        <w:ind w:left="1380" w:hanging="660"/>
      </w:pPr>
      <w:rPr>
        <w:rFonts w:ascii="Times New Roman" w:hAnsi="Times New Roman" w:eastAsiaTheme="minorHAnsi"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CF844CF"/>
    <w:multiLevelType w:val="hybridMultilevel"/>
    <w:tmpl w:val="031E1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116D62"/>
    <w:multiLevelType w:val="hybridMultilevel"/>
    <w:tmpl w:val="43848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590AB9"/>
    <w:multiLevelType w:val="hybridMultilevel"/>
    <w:tmpl w:val="2A601D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CD817C7"/>
    <w:multiLevelType w:val="hybridMultilevel"/>
    <w:tmpl w:val="C3BCAB5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
    <w:nsid w:val="2FE6430C"/>
    <w:multiLevelType w:val="hybridMultilevel"/>
    <w:tmpl w:val="73063F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FB6D02"/>
    <w:multiLevelType w:val="hybridMultilevel"/>
    <w:tmpl w:val="8078E8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2DC7979"/>
    <w:multiLevelType w:val="hybridMultilevel"/>
    <w:tmpl w:val="DA966F42"/>
    <w:lvl w:ilvl="0">
      <w:start w:val="15"/>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5BD687F"/>
    <w:multiLevelType w:val="hybridMultilevel"/>
    <w:tmpl w:val="5A640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64149A"/>
    <w:multiLevelType w:val="hybridMultilevel"/>
    <w:tmpl w:val="50AC5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7D3A12"/>
    <w:multiLevelType w:val="hybridMultilevel"/>
    <w:tmpl w:val="035634A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2">
    <w:nsid w:val="64876071"/>
    <w:multiLevelType w:val="hybridMultilevel"/>
    <w:tmpl w:val="32123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E81A37"/>
    <w:multiLevelType w:val="hybridMultilevel"/>
    <w:tmpl w:val="BC06A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78C1833"/>
    <w:multiLevelType w:val="hybridMultilevel"/>
    <w:tmpl w:val="43DEF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8606663">
    <w:abstractNumId w:val="1"/>
  </w:num>
  <w:num w:numId="2" w16cid:durableId="2119331576">
    <w:abstractNumId w:val="12"/>
  </w:num>
  <w:num w:numId="3" w16cid:durableId="2144882811">
    <w:abstractNumId w:val="7"/>
  </w:num>
  <w:num w:numId="4" w16cid:durableId="1568571218">
    <w:abstractNumId w:val="6"/>
  </w:num>
  <w:num w:numId="5" w16cid:durableId="1014917890">
    <w:abstractNumId w:val="14"/>
  </w:num>
  <w:num w:numId="6" w16cid:durableId="414087232">
    <w:abstractNumId w:val="0"/>
  </w:num>
  <w:num w:numId="7" w16cid:durableId="368334398">
    <w:abstractNumId w:val="9"/>
  </w:num>
  <w:num w:numId="8" w16cid:durableId="449591940">
    <w:abstractNumId w:val="3"/>
  </w:num>
  <w:num w:numId="9" w16cid:durableId="611012148">
    <w:abstractNumId w:val="11"/>
  </w:num>
  <w:num w:numId="10" w16cid:durableId="472527192">
    <w:abstractNumId w:val="5"/>
  </w:num>
  <w:num w:numId="11" w16cid:durableId="589437592">
    <w:abstractNumId w:val="13"/>
  </w:num>
  <w:num w:numId="12" w16cid:durableId="169106488">
    <w:abstractNumId w:val="4"/>
  </w:num>
  <w:num w:numId="13" w16cid:durableId="238634191">
    <w:abstractNumId w:val="2"/>
  </w:num>
  <w:num w:numId="14" w16cid:durableId="948900229">
    <w:abstractNumId w:val="8"/>
  </w:num>
  <w:num w:numId="15" w16cid:durableId="401217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4E"/>
    <w:rsid w:val="0012384E"/>
    <w:rsid w:val="004178C9"/>
    <w:rsid w:val="00605B39"/>
    <w:rsid w:val="006333E5"/>
    <w:rsid w:val="00725AC1"/>
    <w:rsid w:val="007D4007"/>
    <w:rsid w:val="008868E0"/>
    <w:rsid w:val="008F55DC"/>
    <w:rsid w:val="00A443C7"/>
    <w:rsid w:val="00CA0C7C"/>
    <w:rsid w:val="00D40A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0FD939"/>
  <w15:chartTrackingRefBased/>
  <w15:docId w15:val="{D69924DF-85B2-4E59-8B58-B136FBBF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84E"/>
    <w:rPr>
      <w:rFonts w:eastAsiaTheme="majorEastAsia" w:cstheme="majorBidi"/>
      <w:color w:val="272727" w:themeColor="text1" w:themeTint="D8"/>
    </w:rPr>
  </w:style>
  <w:style w:type="paragraph" w:styleId="Title">
    <w:name w:val="Title"/>
    <w:basedOn w:val="Normal"/>
    <w:next w:val="Normal"/>
    <w:link w:val="TitleChar"/>
    <w:uiPriority w:val="10"/>
    <w:qFormat/>
    <w:rsid w:val="00123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84E"/>
    <w:pPr>
      <w:spacing w:before="160"/>
      <w:jc w:val="center"/>
    </w:pPr>
    <w:rPr>
      <w:i/>
      <w:iCs/>
      <w:color w:val="404040" w:themeColor="text1" w:themeTint="BF"/>
    </w:rPr>
  </w:style>
  <w:style w:type="character" w:customStyle="1" w:styleId="QuoteChar">
    <w:name w:val="Quote Char"/>
    <w:basedOn w:val="DefaultParagraphFont"/>
    <w:link w:val="Quote"/>
    <w:uiPriority w:val="29"/>
    <w:rsid w:val="0012384E"/>
    <w:rPr>
      <w:i/>
      <w:iCs/>
      <w:color w:val="404040" w:themeColor="text1" w:themeTint="BF"/>
    </w:rPr>
  </w:style>
  <w:style w:type="paragraph" w:styleId="ListParagraph">
    <w:name w:val="List Paragraph"/>
    <w:basedOn w:val="Normal"/>
    <w:uiPriority w:val="34"/>
    <w:qFormat/>
    <w:rsid w:val="0012384E"/>
    <w:pPr>
      <w:ind w:left="720"/>
      <w:contextualSpacing/>
    </w:pPr>
  </w:style>
  <w:style w:type="character" w:styleId="IntenseEmphasis">
    <w:name w:val="Intense Emphasis"/>
    <w:basedOn w:val="DefaultParagraphFont"/>
    <w:uiPriority w:val="21"/>
    <w:qFormat/>
    <w:rsid w:val="0012384E"/>
    <w:rPr>
      <w:i/>
      <w:iCs/>
      <w:color w:val="0F4761" w:themeColor="accent1" w:themeShade="BF"/>
    </w:rPr>
  </w:style>
  <w:style w:type="paragraph" w:styleId="IntenseQuote">
    <w:name w:val="Intense Quote"/>
    <w:basedOn w:val="Normal"/>
    <w:next w:val="Normal"/>
    <w:link w:val="IntenseQuoteChar"/>
    <w:uiPriority w:val="30"/>
    <w:qFormat/>
    <w:rsid w:val="00123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84E"/>
    <w:rPr>
      <w:i/>
      <w:iCs/>
      <w:color w:val="0F4761" w:themeColor="accent1" w:themeShade="BF"/>
    </w:rPr>
  </w:style>
  <w:style w:type="character" w:styleId="IntenseReference">
    <w:name w:val="Intense Reference"/>
    <w:basedOn w:val="DefaultParagraphFont"/>
    <w:uiPriority w:val="32"/>
    <w:qFormat/>
    <w:rsid w:val="0012384E"/>
    <w:rPr>
      <w:b/>
      <w:bCs/>
      <w:smallCaps/>
      <w:color w:val="0F4761" w:themeColor="accent1" w:themeShade="BF"/>
      <w:spacing w:val="5"/>
    </w:rPr>
  </w:style>
  <w:style w:type="character" w:styleId="Hyperlink">
    <w:name w:val="Hyperlink"/>
    <w:basedOn w:val="DefaultParagraphFont"/>
    <w:uiPriority w:val="99"/>
    <w:unhideWhenUsed/>
    <w:rsid w:val="0012384E"/>
    <w:rPr>
      <w:color w:val="467886" w:themeColor="hyperlink"/>
      <w:u w:val="single"/>
    </w:rPr>
  </w:style>
  <w:style w:type="character" w:styleId="UnresolvedMention">
    <w:name w:val="Unresolved Mention"/>
    <w:basedOn w:val="DefaultParagraphFont"/>
    <w:uiPriority w:val="99"/>
    <w:semiHidden/>
    <w:unhideWhenUsed/>
    <w:rsid w:val="0012384E"/>
    <w:rPr>
      <w:color w:val="605E5C"/>
      <w:shd w:val="clear" w:color="auto" w:fill="E1DFDD"/>
    </w:rPr>
  </w:style>
  <w:style w:type="paragraph" w:styleId="NoSpacing">
    <w:name w:val="No Spacing"/>
    <w:uiPriority w:val="1"/>
    <w:qFormat/>
    <w:rsid w:val="008F55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profile/?major_group=110000&amp;occupation=119151&amp;measure=01&amp;areas=INDUSTRY,STATE,MS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5D925-5498-4066-8F3E-5495D5B0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2026-06-11T17:42:00Z</dcterms:created>
  <dcterms:modified xsi:type="dcterms:W3CDTF">2026-06-11T17:42:00Z</dcterms:modified>
</cp:coreProperties>
</file>