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21276" w:rsidP="00740C5B" w14:paraId="7155D3E5" w14:textId="52CB31D1">
      <w:pPr>
        <w:pStyle w:val="BodyText"/>
        <w:jc w:val="center"/>
      </w:pPr>
      <w:r>
        <w:t>FINAL</w:t>
      </w:r>
      <w:r w:rsidR="00460797">
        <w:t xml:space="preserve"> </w:t>
      </w:r>
      <w:r w:rsidR="006A22EC">
        <w:t>SUPPORTING STATEMENT</w:t>
      </w:r>
    </w:p>
    <w:p w:rsidR="00557D99" w:rsidP="00740C5B" w14:paraId="75C4AC41" w14:textId="3D9752F2">
      <w:pPr>
        <w:pStyle w:val="BodyText"/>
        <w:jc w:val="center"/>
      </w:pPr>
      <w:r>
        <w:t>FOR NRC FORM 277</w:t>
      </w:r>
    </w:p>
    <w:p w:rsidR="00112FAD" w:rsidP="00740C5B" w14:paraId="21D024A7" w14:textId="77777777">
      <w:pPr>
        <w:pStyle w:val="BodyText"/>
        <w:jc w:val="center"/>
      </w:pPr>
      <w:r>
        <w:t>“REQUEST FOR</w:t>
      </w:r>
      <w:r w:rsidR="005C02D9">
        <w:t xml:space="preserve"> </w:t>
      </w:r>
      <w:r>
        <w:t xml:space="preserve">VISIT” </w:t>
      </w:r>
    </w:p>
    <w:p w:rsidR="00121276" w:rsidP="00740C5B" w14:paraId="7CF59F5E" w14:textId="5C6B7764">
      <w:pPr>
        <w:pStyle w:val="BodyText"/>
        <w:jc w:val="center"/>
      </w:pPr>
      <w:r>
        <w:t>(3150-0051)</w:t>
      </w:r>
    </w:p>
    <w:p w:rsidR="00740C5B" w:rsidP="00740C5B" w14:paraId="04BC97D8" w14:textId="77777777">
      <w:pPr>
        <w:pStyle w:val="BodyText"/>
        <w:jc w:val="center"/>
      </w:pPr>
    </w:p>
    <w:p w:rsidR="00557D99" w:rsidP="00740C5B" w14:paraId="15112224" w14:textId="75EFCC03">
      <w:pPr>
        <w:pStyle w:val="BodyText"/>
        <w:jc w:val="center"/>
      </w:pPr>
      <w:r>
        <w:t>EXTENSION</w:t>
      </w:r>
    </w:p>
    <w:p w:rsidR="00557D99" w14:paraId="4D57818A" w14:textId="77777777">
      <w:pPr>
        <w:pStyle w:val="BodyText"/>
        <w:spacing w:before="7"/>
      </w:pPr>
    </w:p>
    <w:p w:rsidR="00557D99" w14:paraId="31116965" w14:textId="77777777">
      <w:pPr>
        <w:pStyle w:val="BodyText"/>
        <w:ind w:left="119"/>
      </w:pPr>
      <w:r>
        <w:rPr>
          <w:u w:val="single"/>
        </w:rPr>
        <w:t>DESCRIPTION OF THE INFORMATION COLLECTION</w:t>
      </w:r>
    </w:p>
    <w:p w:rsidR="00557D99" w14:paraId="04050E81" w14:textId="77777777">
      <w:pPr>
        <w:pStyle w:val="BodyText"/>
        <w:spacing w:before="11"/>
        <w:rPr>
          <w:sz w:val="13"/>
        </w:rPr>
      </w:pPr>
    </w:p>
    <w:p w:rsidR="00557D99" w14:paraId="510A10ED" w14:textId="3DEE0593">
      <w:pPr>
        <w:pStyle w:val="BodyText"/>
        <w:spacing w:before="93"/>
        <w:ind w:left="120" w:right="102"/>
      </w:pPr>
      <w:r>
        <w:t xml:space="preserve">The information collection associated with the U.S. Nuclear Regulatory Commission’s (NRC’s) Form 277, “Request for Visit,” affects any employee of </w:t>
      </w:r>
      <w:r w:rsidR="006E16FF">
        <w:t>approximately 70</w:t>
      </w:r>
      <w:r>
        <w:t xml:space="preserve"> licensees and</w:t>
      </w:r>
      <w:r w:rsidR="00E51F22">
        <w:t xml:space="preserve"> approximately 60 </w:t>
      </w:r>
      <w:r>
        <w:t>NRC contractor</w:t>
      </w:r>
      <w:r w:rsidR="002A0255">
        <w:t xml:space="preserve"> companies </w:t>
      </w:r>
      <w:r>
        <w:t xml:space="preserve">who: (1) hold an NRC access authorization, and (2) need to make a visit to the NRC, other contractors/licensees or government agencies in which access to classified information will be involved or unescorted area access is desired. The completed NRC Form 277 contains a signature certification of the NRC access authorization and of an official need-to-know. </w:t>
      </w:r>
      <w:r w:rsidR="00E41E36">
        <w:t xml:space="preserve"> </w:t>
      </w:r>
      <w:r w:rsidR="00E41E36">
        <w:t>The NRC</w:t>
      </w:r>
      <w:r w:rsidR="00E41E36">
        <w:t xml:space="preserve"> Form 277 collects the personal information needed to verify the requestor’s identity and other relevant information regarding the visit. </w:t>
      </w:r>
    </w:p>
    <w:p w:rsidR="00557D99" w14:paraId="0A38386E" w14:textId="77777777">
      <w:pPr>
        <w:pStyle w:val="BodyText"/>
        <w:spacing w:before="10"/>
        <w:rPr>
          <w:sz w:val="21"/>
        </w:rPr>
      </w:pPr>
    </w:p>
    <w:p w:rsidR="00557D99" w14:paraId="29D98FC1" w14:textId="77777777">
      <w:pPr>
        <w:pStyle w:val="BodyText"/>
        <w:spacing w:before="1"/>
        <w:ind w:left="120" w:right="343"/>
      </w:pPr>
      <w:r>
        <w:t>The use of NRC Form 277 affords some assurance that only properly cleared and authorized individuals, who require access as a part of their official duties, will have such access during visits to other facilities and agencies. Therefore, the use of the NRC Form 277 benefits the NRC security program and the public at large.</w:t>
      </w:r>
    </w:p>
    <w:p w:rsidR="00557D99" w14:paraId="1A6CB702" w14:textId="77777777">
      <w:pPr>
        <w:pStyle w:val="BodyText"/>
        <w:spacing w:before="10"/>
        <w:rPr>
          <w:sz w:val="21"/>
        </w:rPr>
      </w:pPr>
    </w:p>
    <w:p w:rsidR="00557D99" w14:paraId="57B57DAC" w14:textId="77777777">
      <w:pPr>
        <w:pStyle w:val="ListParagraph"/>
        <w:numPr>
          <w:ilvl w:val="0"/>
          <w:numId w:val="1"/>
        </w:numPr>
        <w:tabs>
          <w:tab w:val="left" w:pos="841"/>
        </w:tabs>
        <w:spacing w:before="1"/>
        <w:ind w:firstLine="0"/>
        <w:jc w:val="left"/>
      </w:pPr>
      <w:r>
        <w:t>JUSTIFICATION</w:t>
      </w:r>
    </w:p>
    <w:p w:rsidR="00557D99" w14:paraId="68A3274B" w14:textId="77777777">
      <w:pPr>
        <w:pStyle w:val="BodyText"/>
      </w:pPr>
    </w:p>
    <w:p w:rsidR="00557D99" w14:paraId="56275318" w14:textId="77777777">
      <w:pPr>
        <w:pStyle w:val="ListParagraph"/>
        <w:numPr>
          <w:ilvl w:val="1"/>
          <w:numId w:val="1"/>
        </w:numPr>
        <w:tabs>
          <w:tab w:val="left" w:pos="1200"/>
        </w:tabs>
        <w:ind w:firstLine="40"/>
        <w:jc w:val="left"/>
      </w:pPr>
      <w:r>
        <w:rPr>
          <w:u w:val="single"/>
        </w:rPr>
        <w:t>Need For and Practical Utility of the Collection of</w:t>
      </w:r>
      <w:r>
        <w:rPr>
          <w:spacing w:val="-14"/>
          <w:u w:val="single"/>
        </w:rPr>
        <w:t xml:space="preserve"> </w:t>
      </w:r>
      <w:r>
        <w:rPr>
          <w:u w:val="single"/>
        </w:rPr>
        <w:t>Information</w:t>
      </w:r>
    </w:p>
    <w:p w:rsidR="00557D99" w14:paraId="3DAB9A4F" w14:textId="77777777">
      <w:pPr>
        <w:pStyle w:val="BodyText"/>
        <w:spacing w:before="11"/>
        <w:rPr>
          <w:sz w:val="13"/>
        </w:rPr>
      </w:pPr>
    </w:p>
    <w:p w:rsidR="00557D99" w14:paraId="7B4B9353" w14:textId="77777777">
      <w:pPr>
        <w:pStyle w:val="BodyText"/>
        <w:spacing w:before="92"/>
        <w:ind w:left="1199" w:right="100"/>
      </w:pPr>
      <w:r>
        <w:t xml:space="preserve">Section 4.2 of Executive Order (E.O.) 12958 states a person may have access to classified information provided that: (1) a favorable determination of eligibility for access has been made by an agency head or the agency head’s designee; (2) the person has signed an approved nondisclosure agreement; and (3) the person has a need-to-know the information. Further, Section 4.3 requires agencies to establish controls over the distribution of classified information to </w:t>
      </w:r>
      <w:r>
        <w:t>assure</w:t>
      </w:r>
      <w:r>
        <w:t xml:space="preserve"> that it is distributed only to organizations or individuals eligible for access who also have a need-to-know the information.</w:t>
      </w:r>
    </w:p>
    <w:p w:rsidR="00557D99" w14:paraId="1D5FD40F" w14:textId="77777777">
      <w:pPr>
        <w:pStyle w:val="BodyText"/>
      </w:pPr>
    </w:p>
    <w:p w:rsidR="00557D99" w14:paraId="00571580" w14:textId="77777777">
      <w:pPr>
        <w:pStyle w:val="BodyText"/>
        <w:ind w:left="1199" w:right="255"/>
      </w:pPr>
      <w:r>
        <w:t xml:space="preserve">The use of the NRC Form 277, as cited in NRC Management Directive 12.3, “NRC Personnel Security Program,” is applicable to contractors and licensees, and is the method by which the NRC can provide assurance of compliance with the above provisions of E.O. 12958. The NRC Form 277 provides the facility/agency to be visited with verification of the visitor’s NRC access authorization and certification of their official need-to-know for the classified information regarding the visit. By requiring the information collection contained on </w:t>
      </w:r>
      <w:r>
        <w:t>the NRC</w:t>
      </w:r>
      <w:r>
        <w:t xml:space="preserve"> Form 277, the facility/agency can assure that only properly </w:t>
      </w:r>
      <w:r>
        <w:t>cleared</w:t>
      </w:r>
      <w:r>
        <w:t xml:space="preserve"> and authorized individuals will be permitted access during a visit.</w:t>
      </w:r>
    </w:p>
    <w:p w:rsidR="00557D99" w14:paraId="066D4CDF" w14:textId="77777777"/>
    <w:p w:rsidR="00557D99" w:rsidP="00112FAD" w14:paraId="6A752958" w14:textId="77777777">
      <w:pPr>
        <w:pStyle w:val="ListParagraph"/>
        <w:numPr>
          <w:ilvl w:val="1"/>
          <w:numId w:val="1"/>
        </w:numPr>
        <w:tabs>
          <w:tab w:val="left" w:pos="800"/>
        </w:tabs>
        <w:spacing w:before="77"/>
        <w:ind w:left="799" w:hanging="359"/>
        <w:jc w:val="left"/>
      </w:pPr>
      <w:r>
        <w:rPr>
          <w:u w:val="single"/>
        </w:rPr>
        <w:t>Agency Use of</w:t>
      </w:r>
      <w:r>
        <w:rPr>
          <w:spacing w:val="-6"/>
          <w:u w:val="single"/>
        </w:rPr>
        <w:t xml:space="preserve"> </w:t>
      </w:r>
      <w:r>
        <w:rPr>
          <w:u w:val="single"/>
        </w:rPr>
        <w:t>Information</w:t>
      </w:r>
    </w:p>
    <w:p w:rsidR="00557D99" w14:paraId="2BC01758" w14:textId="77777777">
      <w:pPr>
        <w:pStyle w:val="BodyText"/>
        <w:spacing w:before="10"/>
        <w:rPr>
          <w:sz w:val="13"/>
        </w:rPr>
      </w:pPr>
    </w:p>
    <w:p w:rsidR="00557D99" w14:paraId="034C66E9" w14:textId="77777777">
      <w:pPr>
        <w:pStyle w:val="BodyText"/>
        <w:spacing w:before="93"/>
        <w:ind w:left="799" w:right="103"/>
      </w:pPr>
      <w:r>
        <w:t>The NRC Form 277 is forwarded by the contractor/</w:t>
      </w:r>
      <w:r>
        <w:t>licensee</w:t>
      </w:r>
      <w:r>
        <w:t xml:space="preserve"> through the appropriate </w:t>
      </w:r>
      <w:r>
        <w:t>NRC office exercising oversight authority for certification of need-to-know to the NRC’s Division of Facilities and Security (DFS). After clearance verification, DFS forwards the completed form to the security office having cognizance over the facility to be visited. The security office of the facility being visited uses the information collected to confirm identity of the visitor and to permit the visitor access to the requested classified information/area. Failure to use the NRC Form 277 by the contractor/</w:t>
      </w:r>
      <w:r>
        <w:t>licensee</w:t>
      </w:r>
      <w:r>
        <w:t xml:space="preserve"> may result in denied access to classified information or areas which are necessary in the accomplishment of official duties.</w:t>
      </w:r>
    </w:p>
    <w:p w:rsidR="00557D99" w14:paraId="2514A740" w14:textId="77777777">
      <w:pPr>
        <w:pStyle w:val="BodyText"/>
      </w:pPr>
    </w:p>
    <w:p w:rsidR="00557D99" w14:paraId="24611B58" w14:textId="77777777">
      <w:pPr>
        <w:pStyle w:val="ListParagraph"/>
        <w:numPr>
          <w:ilvl w:val="1"/>
          <w:numId w:val="1"/>
        </w:numPr>
        <w:tabs>
          <w:tab w:val="left" w:pos="801"/>
        </w:tabs>
        <w:jc w:val="left"/>
      </w:pPr>
      <w:r>
        <w:rPr>
          <w:u w:val="single"/>
        </w:rPr>
        <w:t>Reduction of Burden Through Information</w:t>
      </w:r>
      <w:r>
        <w:rPr>
          <w:spacing w:val="-13"/>
          <w:u w:val="single"/>
        </w:rPr>
        <w:t xml:space="preserve"> </w:t>
      </w:r>
      <w:r>
        <w:rPr>
          <w:u w:val="single"/>
        </w:rPr>
        <w:t>Technology</w:t>
      </w:r>
    </w:p>
    <w:p w:rsidR="00557D99" w14:paraId="3C62C853" w14:textId="77777777">
      <w:pPr>
        <w:pStyle w:val="BodyText"/>
        <w:spacing w:before="10"/>
        <w:rPr>
          <w:sz w:val="13"/>
        </w:rPr>
      </w:pPr>
    </w:p>
    <w:p w:rsidR="00557D99" w14:paraId="34ABEB53" w14:textId="77777777">
      <w:pPr>
        <w:pStyle w:val="BodyText"/>
        <w:spacing w:before="92"/>
        <w:ind w:left="799" w:right="103"/>
      </w:pPr>
      <w:r>
        <w:t xml:space="preserve">The NRC has issued </w:t>
      </w:r>
      <w:r>
        <w:rPr>
          <w:i/>
          <w:color w:val="0000FF"/>
          <w:u w:val="single" w:color="0000FF"/>
        </w:rPr>
        <w:t xml:space="preserve">Guidance for Electronic Submissions to the NRC </w:t>
      </w:r>
      <w:r>
        <w:t>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 100% of the responses are filed electronically.</w:t>
      </w:r>
    </w:p>
    <w:p w:rsidR="00557D99" w14:paraId="426F9A75" w14:textId="77777777">
      <w:pPr>
        <w:pStyle w:val="BodyText"/>
        <w:spacing w:before="11"/>
        <w:rPr>
          <w:sz w:val="21"/>
        </w:rPr>
      </w:pPr>
    </w:p>
    <w:p w:rsidR="00557D99" w14:paraId="4E854309" w14:textId="77777777">
      <w:pPr>
        <w:pStyle w:val="ListParagraph"/>
        <w:numPr>
          <w:ilvl w:val="1"/>
          <w:numId w:val="1"/>
        </w:numPr>
        <w:tabs>
          <w:tab w:val="left" w:pos="800"/>
        </w:tabs>
        <w:ind w:left="799" w:hanging="359"/>
        <w:jc w:val="left"/>
      </w:pPr>
      <w:r>
        <w:rPr>
          <w:u w:val="single"/>
        </w:rPr>
        <w:t>Effort to Identify Duplication and Use Similar</w:t>
      </w:r>
      <w:r>
        <w:rPr>
          <w:spacing w:val="-11"/>
          <w:u w:val="single"/>
        </w:rPr>
        <w:t xml:space="preserve"> </w:t>
      </w:r>
      <w:r>
        <w:rPr>
          <w:u w:val="single"/>
        </w:rPr>
        <w:t>Information</w:t>
      </w:r>
    </w:p>
    <w:p w:rsidR="00557D99" w14:paraId="69698383" w14:textId="77777777">
      <w:pPr>
        <w:pStyle w:val="BodyText"/>
        <w:spacing w:before="11"/>
        <w:rPr>
          <w:sz w:val="13"/>
        </w:rPr>
      </w:pPr>
    </w:p>
    <w:p w:rsidR="00557D99" w14:paraId="0FE7313A" w14:textId="4BE67AA7">
      <w:pPr>
        <w:pStyle w:val="BodyText"/>
        <w:spacing w:before="92"/>
        <w:ind w:left="799" w:right="103"/>
      </w:pPr>
      <w:r>
        <w:t>No sources of similar information are available. There is no duplication of requirements.</w:t>
      </w:r>
    </w:p>
    <w:p w:rsidR="00557D99" w14:paraId="3358427B" w14:textId="77777777">
      <w:pPr>
        <w:pStyle w:val="BodyText"/>
        <w:spacing w:before="11"/>
        <w:rPr>
          <w:sz w:val="21"/>
        </w:rPr>
      </w:pPr>
    </w:p>
    <w:p w:rsidR="00557D99" w14:paraId="5BFB3C4D" w14:textId="77777777">
      <w:pPr>
        <w:pStyle w:val="ListParagraph"/>
        <w:numPr>
          <w:ilvl w:val="1"/>
          <w:numId w:val="1"/>
        </w:numPr>
        <w:tabs>
          <w:tab w:val="left" w:pos="800"/>
        </w:tabs>
        <w:jc w:val="left"/>
      </w:pPr>
      <w:r>
        <w:rPr>
          <w:u w:val="single"/>
        </w:rPr>
        <w:t>Effort to Reduce Small Business</w:t>
      </w:r>
      <w:r>
        <w:rPr>
          <w:spacing w:val="-10"/>
          <w:u w:val="single"/>
        </w:rPr>
        <w:t xml:space="preserve"> </w:t>
      </w:r>
      <w:r>
        <w:rPr>
          <w:u w:val="single"/>
        </w:rPr>
        <w:t>Burden</w:t>
      </w:r>
    </w:p>
    <w:p w:rsidR="00557D99" w14:paraId="50454B16" w14:textId="77777777">
      <w:pPr>
        <w:pStyle w:val="BodyText"/>
        <w:spacing w:before="11"/>
        <w:rPr>
          <w:sz w:val="13"/>
        </w:rPr>
      </w:pPr>
    </w:p>
    <w:p w:rsidR="00557D99" w14:paraId="0D5E612A" w14:textId="77777777">
      <w:pPr>
        <w:pStyle w:val="BodyText"/>
        <w:spacing w:before="92"/>
        <w:ind w:left="799"/>
      </w:pPr>
      <w:r>
        <w:t xml:space="preserve">No respondents are small </w:t>
      </w:r>
      <w:r>
        <w:t>business</w:t>
      </w:r>
      <w:r>
        <w:t>.</w:t>
      </w:r>
    </w:p>
    <w:p w:rsidR="00557D99" w14:paraId="78C23762" w14:textId="77777777">
      <w:pPr>
        <w:pStyle w:val="BodyText"/>
        <w:spacing w:before="10"/>
        <w:rPr>
          <w:sz w:val="21"/>
        </w:rPr>
      </w:pPr>
    </w:p>
    <w:p w:rsidR="00557D99" w14:paraId="4DD3B478" w14:textId="77777777">
      <w:pPr>
        <w:pStyle w:val="ListParagraph"/>
        <w:numPr>
          <w:ilvl w:val="1"/>
          <w:numId w:val="1"/>
        </w:numPr>
        <w:tabs>
          <w:tab w:val="left" w:pos="801"/>
        </w:tabs>
        <w:ind w:right="877"/>
        <w:jc w:val="left"/>
      </w:pPr>
      <w:r>
        <w:rPr>
          <w:u w:val="single"/>
        </w:rPr>
        <w:t>Consequences to Federal Program or Policy Activities if the Collection Is Not Conducted or Is Conducted Less</w:t>
      </w:r>
      <w:r>
        <w:rPr>
          <w:spacing w:val="-10"/>
          <w:u w:val="single"/>
        </w:rPr>
        <w:t xml:space="preserve"> </w:t>
      </w:r>
      <w:r>
        <w:rPr>
          <w:u w:val="single"/>
        </w:rPr>
        <w:t>Frequently</w:t>
      </w:r>
    </w:p>
    <w:p w:rsidR="00557D99" w14:paraId="4DBF41D3" w14:textId="77777777">
      <w:pPr>
        <w:pStyle w:val="BodyText"/>
        <w:spacing w:before="11"/>
        <w:rPr>
          <w:sz w:val="13"/>
        </w:rPr>
      </w:pPr>
    </w:p>
    <w:p w:rsidR="00557D99" w14:paraId="3D4D1A83" w14:textId="16A1B044">
      <w:pPr>
        <w:pStyle w:val="BodyText"/>
        <w:spacing w:before="93"/>
        <w:ind w:left="799" w:right="111"/>
      </w:pPr>
      <w:r>
        <w:t xml:space="preserve">The frequency of </w:t>
      </w:r>
      <w:r w:rsidR="00112FAD">
        <w:t xml:space="preserve">this </w:t>
      </w:r>
      <w:r>
        <w:t>information collection is dependent on the number of visits an individual makes to Government agencies or facilities. If the information is not collected, access by the visitor to classified information or areas, necessary in the accomplishment of official duties, may be denied.</w:t>
      </w:r>
    </w:p>
    <w:p w:rsidR="00557D99" w14:paraId="51FEEBC8" w14:textId="77777777">
      <w:pPr>
        <w:pStyle w:val="BodyText"/>
        <w:spacing w:before="10"/>
        <w:rPr>
          <w:sz w:val="21"/>
        </w:rPr>
      </w:pPr>
    </w:p>
    <w:p w:rsidR="00557D99" w:rsidP="000A0266" w14:paraId="3D4C14A6" w14:textId="3E59D342">
      <w:pPr>
        <w:pStyle w:val="BodyText"/>
        <w:spacing w:before="1"/>
        <w:ind w:left="799" w:right="518"/>
      </w:pPr>
      <w:r>
        <w:t>Further, a reduction in the collection of the information required by the NRC Form 277 would reduce the assurance that only properly cleared and authorized</w:t>
      </w:r>
      <w:r w:rsidR="008232F5">
        <w:t xml:space="preserve"> </w:t>
      </w:r>
      <w:r>
        <w:t>individuals will be permitted access during a visit. Thus, less frequent collection may endanger the United States common defense and national security.</w:t>
      </w:r>
    </w:p>
    <w:p w:rsidR="00557D99" w14:paraId="2AC0EA4A" w14:textId="77777777">
      <w:pPr>
        <w:pStyle w:val="BodyText"/>
      </w:pPr>
    </w:p>
    <w:p w:rsidR="00557D99" w14:paraId="45E8E562" w14:textId="77777777">
      <w:pPr>
        <w:pStyle w:val="ListParagraph"/>
        <w:numPr>
          <w:ilvl w:val="1"/>
          <w:numId w:val="1"/>
        </w:numPr>
        <w:tabs>
          <w:tab w:val="left" w:pos="800"/>
        </w:tabs>
        <w:jc w:val="left"/>
      </w:pPr>
      <w:r>
        <w:rPr>
          <w:u w:val="single"/>
        </w:rPr>
        <w:t>Circumstances Which Justify Variation from OMB</w:t>
      </w:r>
      <w:r>
        <w:rPr>
          <w:spacing w:val="-15"/>
          <w:u w:val="single"/>
        </w:rPr>
        <w:t xml:space="preserve"> </w:t>
      </w:r>
      <w:r>
        <w:rPr>
          <w:u w:val="single"/>
        </w:rPr>
        <w:t>Guidelines</w:t>
      </w:r>
    </w:p>
    <w:p w:rsidR="00557D99" w14:paraId="12B4CBE7" w14:textId="77777777">
      <w:pPr>
        <w:pStyle w:val="BodyText"/>
        <w:spacing w:before="10"/>
        <w:rPr>
          <w:sz w:val="13"/>
        </w:rPr>
      </w:pPr>
    </w:p>
    <w:p w:rsidR="00557D99" w14:paraId="3CFF1497" w14:textId="77777777">
      <w:pPr>
        <w:pStyle w:val="BodyText"/>
        <w:spacing w:before="92"/>
        <w:ind w:left="799"/>
      </w:pPr>
      <w:r>
        <w:t>There are no variations from the OMB Guidelines.</w:t>
      </w:r>
    </w:p>
    <w:p w:rsidR="00557D99" w14:paraId="23390526" w14:textId="77777777"/>
    <w:p w:rsidR="00557D99" w14:paraId="5CF5270D" w14:textId="77777777">
      <w:pPr>
        <w:pStyle w:val="ListParagraph"/>
        <w:numPr>
          <w:ilvl w:val="1"/>
          <w:numId w:val="1"/>
        </w:numPr>
        <w:tabs>
          <w:tab w:val="left" w:pos="801"/>
        </w:tabs>
        <w:spacing w:before="77"/>
        <w:jc w:val="left"/>
      </w:pPr>
      <w:r>
        <w:rPr>
          <w:u w:val="single"/>
        </w:rPr>
        <w:t>Consultations Outside the</w:t>
      </w:r>
      <w:r>
        <w:rPr>
          <w:spacing w:val="-9"/>
          <w:u w:val="single"/>
        </w:rPr>
        <w:t xml:space="preserve"> </w:t>
      </w:r>
      <w:r>
        <w:rPr>
          <w:u w:val="single"/>
        </w:rPr>
        <w:t>NRC</w:t>
      </w:r>
    </w:p>
    <w:p w:rsidR="00557D99" w14:paraId="43E800EE" w14:textId="77777777">
      <w:pPr>
        <w:pStyle w:val="BodyText"/>
        <w:spacing w:before="10"/>
        <w:rPr>
          <w:sz w:val="13"/>
        </w:rPr>
      </w:pPr>
    </w:p>
    <w:p w:rsidR="0031160C" w:rsidRPr="00E349B4" w:rsidP="0031160C" w14:paraId="7646D8C9" w14:textId="2F94BB99">
      <w:pPr>
        <w:pStyle w:val="BodyText"/>
        <w:ind w:left="720"/>
        <w:rPr>
          <w:iCs/>
        </w:rPr>
      </w:pPr>
      <w:r>
        <w:t>Opportunity for public comment on the information collection requirements for this clearance</w:t>
      </w:r>
      <w:r>
        <w:rPr>
          <w:spacing w:val="-3"/>
        </w:rPr>
        <w:t xml:space="preserve"> </w:t>
      </w:r>
      <w:r>
        <w:t>package</w:t>
      </w:r>
      <w:r>
        <w:rPr>
          <w:spacing w:val="-3"/>
        </w:rPr>
        <w:t xml:space="preserve"> </w:t>
      </w:r>
      <w:r>
        <w:t>has been</w:t>
      </w:r>
      <w:r>
        <w:rPr>
          <w:spacing w:val="-4"/>
        </w:rPr>
        <w:t xml:space="preserve"> </w:t>
      </w:r>
      <w:r>
        <w:t>published</w:t>
      </w:r>
      <w:r>
        <w:rPr>
          <w:spacing w:val="-3"/>
        </w:rPr>
        <w:t xml:space="preserve"> </w:t>
      </w:r>
      <w:r>
        <w:t>in</w:t>
      </w:r>
      <w:r>
        <w:rPr>
          <w:spacing w:val="-4"/>
        </w:rPr>
        <w:t xml:space="preserve"> </w:t>
      </w:r>
      <w:r>
        <w:t>the</w:t>
      </w:r>
      <w:r>
        <w:rPr>
          <w:spacing w:val="-2"/>
        </w:rPr>
        <w:t xml:space="preserve"> </w:t>
      </w:r>
      <w:r>
        <w:rPr>
          <w:i/>
        </w:rPr>
        <w:t>Federal</w:t>
      </w:r>
      <w:r>
        <w:rPr>
          <w:i/>
          <w:spacing w:val="-3"/>
        </w:rPr>
        <w:t xml:space="preserve"> </w:t>
      </w:r>
      <w:r>
        <w:rPr>
          <w:i/>
        </w:rPr>
        <w:t>Register December 31</w:t>
      </w:r>
      <w:r w:rsidRPr="001A7E5B">
        <w:rPr>
          <w:i/>
        </w:rPr>
        <w:t>, 2025, (</w:t>
      </w:r>
      <w:r w:rsidR="00E349B4">
        <w:rPr>
          <w:i/>
        </w:rPr>
        <w:t xml:space="preserve">90 FR </w:t>
      </w:r>
      <w:r w:rsidR="00E349B4">
        <w:rPr>
          <w:i/>
        </w:rPr>
        <w:t xml:space="preserve">61438 </w:t>
      </w:r>
      <w:r w:rsidRPr="001A7E5B">
        <w:rPr>
          <w:i/>
        </w:rPr>
        <w:t>)</w:t>
      </w:r>
      <w:r w:rsidRPr="001A7E5B">
        <w:rPr>
          <w:i/>
        </w:rPr>
        <w:t xml:space="preserve">.  </w:t>
      </w:r>
      <w:r w:rsidRPr="00F56858">
        <w:rPr>
          <w:iCs/>
        </w:rPr>
        <w:t xml:space="preserve">Additionally, staff contacted eight stakeholders via email from American Centrifuge Operating/Centrus Energy, Louisiana Energy Services (Urenco USA), Globel </w:t>
      </w:r>
      <w:r w:rsidRPr="00F56858">
        <w:rPr>
          <w:iCs/>
        </w:rPr>
        <w:t>Laser Enrichment, and Nuclear Energy Institute</w:t>
      </w:r>
      <w:r>
        <w:rPr>
          <w:i/>
        </w:rPr>
        <w:t>.</w:t>
      </w:r>
      <w:r w:rsidR="00E349B4">
        <w:rPr>
          <w:iCs/>
        </w:rPr>
        <w:t xml:space="preserve"> No comments were received</w:t>
      </w:r>
      <w:r w:rsidR="00F56858">
        <w:rPr>
          <w:iCs/>
        </w:rPr>
        <w:t xml:space="preserve"> from either method.</w:t>
      </w:r>
    </w:p>
    <w:p w:rsidR="00595B44" w:rsidP="00595B44" w14:paraId="423B2AB7" w14:textId="77777777">
      <w:pPr>
        <w:pStyle w:val="BodyText"/>
        <w:kinsoku w:val="0"/>
        <w:overflowPunct w:val="0"/>
        <w:ind w:left="799"/>
        <w:rPr>
          <w:rFonts w:eastAsia="Times New Roman"/>
        </w:rPr>
      </w:pPr>
    </w:p>
    <w:p w:rsidR="00557D99" w:rsidRPr="00240ACB" w14:paraId="72E28D6A" w14:textId="77777777">
      <w:pPr>
        <w:pStyle w:val="ListParagraph"/>
        <w:numPr>
          <w:ilvl w:val="1"/>
          <w:numId w:val="1"/>
        </w:numPr>
        <w:tabs>
          <w:tab w:val="left" w:pos="800"/>
        </w:tabs>
        <w:ind w:left="799" w:hanging="359"/>
        <w:jc w:val="left"/>
      </w:pPr>
      <w:r w:rsidRPr="00240ACB">
        <w:rPr>
          <w:u w:val="single"/>
        </w:rPr>
        <w:t>Payment or Gift to</w:t>
      </w:r>
      <w:r w:rsidRPr="00240ACB">
        <w:rPr>
          <w:spacing w:val="-7"/>
          <w:u w:val="single"/>
        </w:rPr>
        <w:t xml:space="preserve"> </w:t>
      </w:r>
      <w:r w:rsidRPr="00240ACB">
        <w:rPr>
          <w:u w:val="single"/>
        </w:rPr>
        <w:t>Respondents</w:t>
      </w:r>
    </w:p>
    <w:p w:rsidR="00557D99" w14:paraId="78580886" w14:textId="77777777">
      <w:pPr>
        <w:pStyle w:val="BodyText"/>
        <w:spacing w:before="11"/>
        <w:rPr>
          <w:sz w:val="13"/>
        </w:rPr>
      </w:pPr>
    </w:p>
    <w:p w:rsidR="00557D99" w14:paraId="644C07F8" w14:textId="77777777">
      <w:pPr>
        <w:pStyle w:val="BodyText"/>
        <w:spacing w:before="92"/>
        <w:ind w:left="799"/>
      </w:pPr>
      <w:r>
        <w:t>Not applicable.</w:t>
      </w:r>
    </w:p>
    <w:p w:rsidR="00557D99" w14:paraId="53DAA8B5" w14:textId="77777777">
      <w:pPr>
        <w:pStyle w:val="BodyText"/>
        <w:spacing w:before="9"/>
        <w:rPr>
          <w:sz w:val="21"/>
        </w:rPr>
      </w:pPr>
    </w:p>
    <w:p w:rsidR="00557D99" w14:paraId="06870C03" w14:textId="77777777">
      <w:pPr>
        <w:pStyle w:val="ListParagraph"/>
        <w:numPr>
          <w:ilvl w:val="1"/>
          <w:numId w:val="1"/>
        </w:numPr>
        <w:tabs>
          <w:tab w:val="left" w:pos="800"/>
        </w:tabs>
        <w:spacing w:before="1"/>
        <w:ind w:left="799" w:hanging="359"/>
        <w:jc w:val="left"/>
      </w:pPr>
      <w:r>
        <w:rPr>
          <w:u w:val="single"/>
        </w:rPr>
        <w:t>Confidentiality of</w:t>
      </w:r>
      <w:r>
        <w:rPr>
          <w:spacing w:val="-6"/>
          <w:u w:val="single"/>
        </w:rPr>
        <w:t xml:space="preserve"> </w:t>
      </w:r>
      <w:r>
        <w:rPr>
          <w:u w:val="single"/>
        </w:rPr>
        <w:t>Information</w:t>
      </w:r>
    </w:p>
    <w:p w:rsidR="00557D99" w14:paraId="05E483EB" w14:textId="77777777">
      <w:pPr>
        <w:pStyle w:val="BodyText"/>
        <w:rPr>
          <w:sz w:val="14"/>
        </w:rPr>
      </w:pPr>
    </w:p>
    <w:p w:rsidR="00557D99" w14:paraId="2AA58405" w14:textId="77777777">
      <w:pPr>
        <w:pStyle w:val="BodyText"/>
        <w:spacing w:before="92"/>
        <w:ind w:left="799" w:right="889"/>
      </w:pPr>
      <w:r>
        <w:t>Confidential and proprietary information is protected in accordance with NRC regulations at 10 CFR 9.17(a) and 10 CFR 2.390(b).</w:t>
      </w:r>
    </w:p>
    <w:p w:rsidR="009249D4" w14:paraId="17A5F2C8" w14:textId="5D92C90F">
      <w:pPr>
        <w:pStyle w:val="BodyText"/>
        <w:ind w:left="799" w:right="83"/>
      </w:pPr>
    </w:p>
    <w:p w:rsidR="00557D99" w14:paraId="1E85B416" w14:textId="6FEAA417">
      <w:pPr>
        <w:pStyle w:val="BodyText"/>
        <w:ind w:left="799" w:right="83"/>
      </w:pPr>
      <w:r>
        <w:t>Personal Information provided on the NRC Form 277 is handled and protected in accordance with NRC directives and provisions of the Privacy Act of 1974, as described in the Privacy Act Statement on the form. Information is maintained in a system of records designated as NRC-39 and described in the Federal Register in NRC’s “Republication of Systems of Records Notices” on November 17, 2016 (81 FR 81348).</w:t>
      </w:r>
    </w:p>
    <w:p w:rsidR="00557D99" w14:paraId="0A5A62B9" w14:textId="77777777">
      <w:pPr>
        <w:pStyle w:val="BodyText"/>
      </w:pPr>
    </w:p>
    <w:p w:rsidR="00557D99" w14:paraId="488A058F" w14:textId="77777777">
      <w:pPr>
        <w:pStyle w:val="ListParagraph"/>
        <w:numPr>
          <w:ilvl w:val="1"/>
          <w:numId w:val="1"/>
        </w:numPr>
        <w:tabs>
          <w:tab w:val="left" w:pos="800"/>
        </w:tabs>
        <w:ind w:left="799" w:hanging="359"/>
        <w:jc w:val="left"/>
      </w:pPr>
      <w:r>
        <w:rPr>
          <w:u w:val="single"/>
        </w:rPr>
        <w:t>Justification for Sensitive</w:t>
      </w:r>
      <w:r>
        <w:rPr>
          <w:spacing w:val="-8"/>
          <w:u w:val="single"/>
        </w:rPr>
        <w:t xml:space="preserve"> </w:t>
      </w:r>
      <w:r>
        <w:rPr>
          <w:u w:val="single"/>
        </w:rPr>
        <w:t>Questions</w:t>
      </w:r>
    </w:p>
    <w:p w:rsidR="00557D99" w14:paraId="72041B2F" w14:textId="77777777">
      <w:pPr>
        <w:pStyle w:val="BodyText"/>
        <w:spacing w:before="11"/>
        <w:rPr>
          <w:sz w:val="13"/>
        </w:rPr>
      </w:pPr>
    </w:p>
    <w:p w:rsidR="00557D99" w14:paraId="2293CAEB" w14:textId="77777777">
      <w:pPr>
        <w:pStyle w:val="BodyText"/>
        <w:spacing w:before="92"/>
        <w:ind w:left="799"/>
      </w:pPr>
      <w:r>
        <w:t>The NRC does request sensitive information on this form.</w:t>
      </w:r>
    </w:p>
    <w:p w:rsidR="00557D99" w14:paraId="1ADC6221" w14:textId="41CFB9D6">
      <w:pPr>
        <w:pStyle w:val="BodyText"/>
        <w:spacing w:before="10"/>
        <w:rPr>
          <w:sz w:val="21"/>
        </w:rPr>
      </w:pPr>
      <w:r>
        <w:rPr>
          <w:sz w:val="21"/>
        </w:rPr>
        <w:t xml:space="preserve">  </w:t>
      </w:r>
    </w:p>
    <w:p w:rsidR="00557D99" w14:paraId="13AD4DC7" w14:textId="77777777">
      <w:pPr>
        <w:pStyle w:val="ListParagraph"/>
        <w:numPr>
          <w:ilvl w:val="1"/>
          <w:numId w:val="1"/>
        </w:numPr>
        <w:tabs>
          <w:tab w:val="left" w:pos="800"/>
        </w:tabs>
        <w:ind w:left="799" w:hanging="359"/>
        <w:jc w:val="left"/>
      </w:pPr>
      <w:r>
        <w:rPr>
          <w:u w:val="single"/>
        </w:rPr>
        <w:t>Estimated Burden and Burden Hour</w:t>
      </w:r>
      <w:r>
        <w:rPr>
          <w:spacing w:val="-9"/>
          <w:u w:val="single"/>
        </w:rPr>
        <w:t xml:space="preserve"> </w:t>
      </w:r>
      <w:r>
        <w:rPr>
          <w:u w:val="single"/>
        </w:rPr>
        <w:t>Cost</w:t>
      </w:r>
    </w:p>
    <w:p w:rsidR="00557D99" w14:paraId="7A8D9133" w14:textId="77777777">
      <w:pPr>
        <w:pStyle w:val="BodyText"/>
        <w:rPr>
          <w:sz w:val="14"/>
        </w:rPr>
      </w:pPr>
    </w:p>
    <w:p w:rsidR="00557D99" w14:paraId="24083D6D" w14:textId="77777777">
      <w:pPr>
        <w:pStyle w:val="BodyText"/>
        <w:spacing w:before="92"/>
        <w:ind w:left="800"/>
      </w:pPr>
      <w:r>
        <w:rPr>
          <w:u w:val="single"/>
        </w:rPr>
        <w:t>REPORTING</w:t>
      </w:r>
    </w:p>
    <w:p w:rsidR="00B304FA" w:rsidRPr="00B304FA" w:rsidP="00B304FA" w14:paraId="281FDABE" w14:textId="77777777">
      <w:pPr>
        <w:pStyle w:val="BodyText"/>
        <w:ind w:left="800" w:right="289"/>
      </w:pPr>
      <w:r w:rsidRPr="00B304FA">
        <w:t xml:space="preserve">The $317 hourly rate used in the burden estimates is based on the Nuclear Regulatory Commission’s fee for hourly rates as noted in 10 CFR 170.20 “Average cost per professional staff-hour.” For more information </w:t>
      </w:r>
      <w:r w:rsidRPr="00B304FA">
        <w:t>on the basis of</w:t>
      </w:r>
      <w:r w:rsidRPr="00B304FA">
        <w:t xml:space="preserve"> this rate, see the Revision of Fee Schedules; Fee Recovery for Fiscal Year 2024 (89 FR 51789, June 20, 2024).</w:t>
      </w:r>
    </w:p>
    <w:p w:rsidR="00557D99" w14:paraId="29AEAF54" w14:textId="77777777">
      <w:pPr>
        <w:pStyle w:val="BodyText"/>
      </w:pPr>
    </w:p>
    <w:p w:rsidR="007244C0" w:rsidP="007244C0" w14:paraId="2D890574" w14:textId="0CA9D0CE">
      <w:pPr>
        <w:adjustRightInd w:val="0"/>
        <w:ind w:left="780"/>
      </w:pPr>
      <w:r>
        <w:t>An estimated 10 minutes (based on staff experience) is required to complete each NRC Form 277.  The NRC staff estimates that 60 responses will be received annually during the clearance period, resulting in a total annual burden to the public of 10 hours (60 responses X 10 minutes ÷ 60)</w:t>
      </w:r>
      <w:r w:rsidR="0033432B">
        <w:t>.</w:t>
      </w:r>
      <w:r>
        <w:t xml:space="preserve">  </w:t>
      </w:r>
    </w:p>
    <w:p w:rsidR="0072310C" w:rsidP="00E0183B" w14:paraId="5F3C53CE" w14:textId="6DDCCEEF">
      <w:pPr>
        <w:pStyle w:val="BodyText"/>
        <w:spacing w:before="5" w:line="500" w:lineRule="atLeast"/>
        <w:ind w:left="800" w:right="2000"/>
      </w:pPr>
      <w:r>
        <w:t>The estimated annual cost is $</w:t>
      </w:r>
      <w:r w:rsidR="00D1196D">
        <w:t>3,170</w:t>
      </w:r>
      <w:r>
        <w:t xml:space="preserve"> (10 hours X $ </w:t>
      </w:r>
      <w:r w:rsidR="00D1196D">
        <w:t>317</w:t>
      </w:r>
      <w:r>
        <w:t xml:space="preserve"> per hour.) </w:t>
      </w:r>
    </w:p>
    <w:p w:rsidR="00BF4806" w:rsidP="00E0183B" w14:paraId="5311827E" w14:textId="33E8DD80">
      <w:pPr>
        <w:pStyle w:val="BodyText"/>
        <w:spacing w:before="5" w:line="500" w:lineRule="atLeast"/>
        <w:ind w:left="800" w:right="2000"/>
        <w:rPr>
          <w:u w:val="single"/>
        </w:rPr>
      </w:pPr>
      <w:r>
        <w:rPr>
          <w:u w:val="single"/>
        </w:rPr>
        <w:t>RECORDKEEPING</w:t>
      </w:r>
    </w:p>
    <w:p w:rsidR="00BF4806" w:rsidRPr="00C840AB" w:rsidP="00BF4806" w14:paraId="00210A3C" w14:textId="77777777">
      <w:pPr>
        <w:adjustRightInd w:val="0"/>
        <w:ind w:left="79" w:firstLine="720"/>
      </w:pPr>
      <w:r w:rsidRPr="00C840AB">
        <w:t xml:space="preserve">There </w:t>
      </w:r>
      <w:r w:rsidRPr="00C840AB">
        <w:t>are</w:t>
      </w:r>
      <w:r w:rsidRPr="00C840AB">
        <w:t xml:space="preserve"> no recordkeeping requirements associated with this information collection.</w:t>
      </w:r>
    </w:p>
    <w:p w:rsidR="007F1C15" w14:paraId="70B00D34" w14:textId="77777777">
      <w:pPr>
        <w:pStyle w:val="BodyText"/>
        <w:spacing w:before="1"/>
      </w:pPr>
    </w:p>
    <w:p w:rsidR="00557D99" w14:paraId="48041731" w14:textId="77777777">
      <w:pPr>
        <w:pStyle w:val="ListParagraph"/>
        <w:numPr>
          <w:ilvl w:val="1"/>
          <w:numId w:val="1"/>
        </w:numPr>
        <w:tabs>
          <w:tab w:val="left" w:pos="800"/>
        </w:tabs>
        <w:ind w:left="799" w:hanging="359"/>
        <w:jc w:val="left"/>
      </w:pPr>
      <w:r>
        <w:rPr>
          <w:u w:val="single"/>
        </w:rPr>
        <w:t>Estimate of Other Additional</w:t>
      </w:r>
      <w:r>
        <w:rPr>
          <w:spacing w:val="-7"/>
          <w:u w:val="single"/>
        </w:rPr>
        <w:t xml:space="preserve"> </w:t>
      </w:r>
      <w:r>
        <w:rPr>
          <w:u w:val="single"/>
        </w:rPr>
        <w:t>Costs</w:t>
      </w:r>
    </w:p>
    <w:p w:rsidR="00557D99" w14:paraId="5FFA9F85" w14:textId="77777777">
      <w:pPr>
        <w:pStyle w:val="BodyText"/>
        <w:spacing w:before="11"/>
        <w:rPr>
          <w:sz w:val="13"/>
        </w:rPr>
      </w:pPr>
    </w:p>
    <w:p w:rsidR="000A0266" w:rsidRPr="000A0266" w:rsidP="00BF4806" w14:paraId="7E939089" w14:textId="5714698A">
      <w:pPr>
        <w:spacing w:line="240" w:lineRule="exact"/>
        <w:ind w:left="79" w:firstLine="720"/>
        <w:rPr>
          <w:color w:val="262626" w:themeColor="text1" w:themeTint="D9"/>
        </w:rPr>
      </w:pPr>
      <w:r>
        <w:rPr>
          <w:color w:val="262626" w:themeColor="text1" w:themeTint="D9"/>
        </w:rPr>
        <w:t>None.</w:t>
      </w:r>
    </w:p>
    <w:p w:rsidR="00B2514A" w14:paraId="5B0E4A16" w14:textId="1A59FD37">
      <w:pPr>
        <w:pStyle w:val="BodyText"/>
        <w:spacing w:before="92"/>
        <w:ind w:left="799"/>
      </w:pPr>
    </w:p>
    <w:p w:rsidR="00557D99" w14:paraId="4E3D0DE6" w14:textId="77777777">
      <w:pPr>
        <w:pStyle w:val="ListParagraph"/>
        <w:numPr>
          <w:ilvl w:val="1"/>
          <w:numId w:val="1"/>
        </w:numPr>
        <w:tabs>
          <w:tab w:val="left" w:pos="840"/>
        </w:tabs>
        <w:spacing w:before="77"/>
        <w:ind w:left="839" w:hanging="359"/>
        <w:jc w:val="left"/>
      </w:pPr>
      <w:r>
        <w:rPr>
          <w:u w:val="single"/>
        </w:rPr>
        <w:t>Estimated Annualized Cost to the Federal</w:t>
      </w:r>
      <w:r>
        <w:rPr>
          <w:spacing w:val="-14"/>
          <w:u w:val="single"/>
        </w:rPr>
        <w:t xml:space="preserve"> </w:t>
      </w:r>
      <w:r>
        <w:rPr>
          <w:u w:val="single"/>
        </w:rPr>
        <w:t>Government</w:t>
      </w:r>
    </w:p>
    <w:p w:rsidR="00557D99" w14:paraId="174B1D94" w14:textId="77777777">
      <w:pPr>
        <w:pStyle w:val="BodyText"/>
        <w:spacing w:before="10"/>
        <w:rPr>
          <w:sz w:val="13"/>
        </w:rPr>
      </w:pPr>
    </w:p>
    <w:p w:rsidR="00557D99" w14:paraId="37BA7542" w14:textId="77777777">
      <w:pPr>
        <w:pStyle w:val="BodyText"/>
        <w:spacing w:before="93"/>
        <w:ind w:left="839" w:right="107"/>
      </w:pPr>
      <w:r>
        <w:t xml:space="preserve">The staff has developed estimates of annualized costs to the Federal Government related to the conduct of this collection of information. These estimates are based on </w:t>
      </w:r>
      <w:r>
        <w:t>staff experience and subject matter expertise and include the burden needed to review, analyze, and process the collected information and any relevant operational expenses.</w:t>
      </w:r>
    </w:p>
    <w:p w:rsidR="00557D99" w14:paraId="07312B30" w14:textId="77777777">
      <w:pPr>
        <w:pStyle w:val="BodyText"/>
      </w:pPr>
    </w:p>
    <w:p w:rsidR="00557D99" w14:paraId="04528B7C" w14:textId="33D07744">
      <w:pPr>
        <w:pStyle w:val="BodyText"/>
        <w:ind w:left="839" w:right="107"/>
      </w:pPr>
      <w:r w:rsidRPr="0033432B">
        <w:t>It takes NRC staff an estimated 15 minutes per form to process the NRC Form 277. The total cost to process 60 forms is estimated to be $</w:t>
      </w:r>
      <w:r w:rsidR="0033432B">
        <w:t>4,</w:t>
      </w:r>
      <w:r w:rsidR="00D1196D">
        <w:t>755</w:t>
      </w:r>
      <w:r w:rsidRPr="0033432B">
        <w:t xml:space="preserve"> (60 forms x 15 minutes</w:t>
      </w:r>
      <w:r w:rsidR="00DB2F90">
        <w:t xml:space="preserve"> ÷ 60 </w:t>
      </w:r>
      <w:r w:rsidR="0033432B">
        <w:t>x </w:t>
      </w:r>
      <w:r w:rsidRPr="0033432B">
        <w:t>$</w:t>
      </w:r>
      <w:r w:rsidR="00DC1BDE">
        <w:t>317</w:t>
      </w:r>
      <w:r w:rsidRPr="0033432B">
        <w:t>/hr</w:t>
      </w:r>
      <w:r w:rsidR="00DB2F90">
        <w:t>. = $4,</w:t>
      </w:r>
      <w:r w:rsidR="00D1196D">
        <w:t>755</w:t>
      </w:r>
      <w:r w:rsidRPr="0033432B">
        <w:t>).</w:t>
      </w:r>
    </w:p>
    <w:p w:rsidR="00557D99" w14:paraId="6DBDCC9E" w14:textId="77777777">
      <w:pPr>
        <w:pStyle w:val="BodyText"/>
      </w:pPr>
    </w:p>
    <w:p w:rsidR="00557D99" w14:paraId="255FA88F" w14:textId="77777777">
      <w:pPr>
        <w:pStyle w:val="ListParagraph"/>
        <w:numPr>
          <w:ilvl w:val="1"/>
          <w:numId w:val="1"/>
        </w:numPr>
        <w:tabs>
          <w:tab w:val="left" w:pos="840"/>
        </w:tabs>
        <w:ind w:left="840"/>
        <w:jc w:val="left"/>
      </w:pPr>
      <w:r>
        <w:rPr>
          <w:u w:val="single"/>
        </w:rPr>
        <w:t>Reasons for Change in Burden or</w:t>
      </w:r>
      <w:r>
        <w:rPr>
          <w:spacing w:val="-9"/>
          <w:u w:val="single"/>
        </w:rPr>
        <w:t xml:space="preserve"> </w:t>
      </w:r>
      <w:r>
        <w:rPr>
          <w:u w:val="single"/>
        </w:rPr>
        <w:t>Cost</w:t>
      </w:r>
    </w:p>
    <w:p w:rsidR="00557D99" w14:paraId="61D243CC" w14:textId="77777777">
      <w:pPr>
        <w:pStyle w:val="BodyText"/>
        <w:spacing w:before="10"/>
        <w:rPr>
          <w:sz w:val="13"/>
        </w:rPr>
      </w:pPr>
    </w:p>
    <w:p w:rsidR="00557D99" w:rsidP="006E47E3" w14:paraId="5A7FDEBF" w14:textId="7636FDD2">
      <w:pPr>
        <w:widowControl/>
        <w:adjustRightInd w:val="0"/>
        <w:ind w:left="839"/>
        <w:rPr>
          <w:rFonts w:eastAsiaTheme="minorHAnsi"/>
        </w:rPr>
      </w:pPr>
      <w:r>
        <w:rPr>
          <w:rFonts w:eastAsiaTheme="minorHAnsi"/>
        </w:rPr>
        <w:t>There is no change in burden. However, the burden cost for professional staff hours increased from $</w:t>
      </w:r>
      <w:r w:rsidR="00DC1BDE">
        <w:rPr>
          <w:rFonts w:eastAsiaTheme="minorHAnsi"/>
        </w:rPr>
        <w:t xml:space="preserve">288 </w:t>
      </w:r>
      <w:r>
        <w:rPr>
          <w:rFonts w:eastAsiaTheme="minorHAnsi"/>
        </w:rPr>
        <w:t>to $</w:t>
      </w:r>
      <w:r w:rsidR="00DC1BDE">
        <w:rPr>
          <w:rFonts w:eastAsiaTheme="minorHAnsi"/>
        </w:rPr>
        <w:t xml:space="preserve">317 </w:t>
      </w:r>
      <w:r>
        <w:rPr>
          <w:rFonts w:eastAsiaTheme="minorHAnsi"/>
        </w:rPr>
        <w:t>per hour.</w:t>
      </w:r>
    </w:p>
    <w:p w:rsidR="0033432B" w:rsidP="0033432B" w14:paraId="4F653B97" w14:textId="77777777">
      <w:pPr>
        <w:pStyle w:val="BodyText"/>
        <w:spacing w:before="92"/>
        <w:ind w:left="839" w:right="107"/>
      </w:pPr>
    </w:p>
    <w:p w:rsidR="00557D99" w14:paraId="396A7A1B" w14:textId="77777777">
      <w:pPr>
        <w:pStyle w:val="ListParagraph"/>
        <w:numPr>
          <w:ilvl w:val="1"/>
          <w:numId w:val="1"/>
        </w:numPr>
        <w:tabs>
          <w:tab w:val="left" w:pos="841"/>
        </w:tabs>
        <w:ind w:left="840"/>
        <w:jc w:val="left"/>
      </w:pPr>
      <w:r>
        <w:rPr>
          <w:u w:val="single"/>
        </w:rPr>
        <w:t>Publication for Statistical</w:t>
      </w:r>
      <w:r>
        <w:rPr>
          <w:spacing w:val="-9"/>
          <w:u w:val="single"/>
        </w:rPr>
        <w:t xml:space="preserve"> </w:t>
      </w:r>
      <w:r>
        <w:rPr>
          <w:u w:val="single"/>
        </w:rPr>
        <w:t>Use</w:t>
      </w:r>
    </w:p>
    <w:p w:rsidR="00557D99" w14:paraId="44DB1D93" w14:textId="77777777">
      <w:pPr>
        <w:pStyle w:val="BodyText"/>
        <w:spacing w:before="9"/>
        <w:rPr>
          <w:sz w:val="13"/>
        </w:rPr>
      </w:pPr>
    </w:p>
    <w:p w:rsidR="00557D99" w14:paraId="250A59FC" w14:textId="7FC450D6">
      <w:pPr>
        <w:pStyle w:val="BodyText"/>
        <w:spacing w:before="93"/>
        <w:ind w:left="901" w:right="755" w:hanging="62"/>
      </w:pPr>
      <w:r>
        <w:t>N/A</w:t>
      </w:r>
      <w:r w:rsidR="00C64C24">
        <w:t>.</w:t>
      </w:r>
    </w:p>
    <w:p w:rsidR="00557D99" w14:paraId="192ADA43" w14:textId="77777777">
      <w:pPr>
        <w:pStyle w:val="BodyText"/>
      </w:pPr>
    </w:p>
    <w:p w:rsidR="00557D99" w14:paraId="1C03FB48" w14:textId="77777777">
      <w:pPr>
        <w:pStyle w:val="ListParagraph"/>
        <w:numPr>
          <w:ilvl w:val="1"/>
          <w:numId w:val="1"/>
        </w:numPr>
        <w:tabs>
          <w:tab w:val="left" w:pos="840"/>
        </w:tabs>
        <w:ind w:left="839" w:hanging="359"/>
        <w:jc w:val="left"/>
      </w:pPr>
      <w:r>
        <w:rPr>
          <w:u w:val="single"/>
        </w:rPr>
        <w:t>Reason for Not Displaying the Expiration</w:t>
      </w:r>
      <w:r>
        <w:rPr>
          <w:spacing w:val="-10"/>
          <w:u w:val="single"/>
        </w:rPr>
        <w:t xml:space="preserve"> </w:t>
      </w:r>
      <w:r>
        <w:rPr>
          <w:u w:val="single"/>
        </w:rPr>
        <w:t>Date</w:t>
      </w:r>
    </w:p>
    <w:p w:rsidR="00557D99" w14:paraId="5FCBC2CF" w14:textId="77777777">
      <w:pPr>
        <w:pStyle w:val="BodyText"/>
        <w:spacing w:before="11"/>
        <w:rPr>
          <w:sz w:val="13"/>
        </w:rPr>
      </w:pPr>
    </w:p>
    <w:p w:rsidR="00557D99" w14:paraId="26FD6E3F" w14:textId="77777777">
      <w:pPr>
        <w:pStyle w:val="BodyText"/>
        <w:spacing w:before="92"/>
        <w:ind w:left="839"/>
      </w:pPr>
      <w:r>
        <w:t>The expiration date is displayed</w:t>
      </w:r>
      <w:r w:rsidR="00B2514A">
        <w:t xml:space="preserve"> on the form</w:t>
      </w:r>
      <w:r>
        <w:t>.</w:t>
      </w:r>
    </w:p>
    <w:p w:rsidR="00557D99" w14:paraId="637B21B4" w14:textId="77777777">
      <w:pPr>
        <w:pStyle w:val="BodyText"/>
        <w:spacing w:before="9"/>
        <w:rPr>
          <w:sz w:val="21"/>
        </w:rPr>
      </w:pPr>
    </w:p>
    <w:p w:rsidR="00557D99" w14:paraId="05C8E6C9" w14:textId="77777777">
      <w:pPr>
        <w:pStyle w:val="ListParagraph"/>
        <w:numPr>
          <w:ilvl w:val="1"/>
          <w:numId w:val="1"/>
        </w:numPr>
        <w:tabs>
          <w:tab w:val="left" w:pos="840"/>
        </w:tabs>
        <w:spacing w:before="1"/>
        <w:ind w:left="839" w:hanging="359"/>
        <w:jc w:val="left"/>
      </w:pPr>
      <w:r>
        <w:rPr>
          <w:u w:val="single"/>
        </w:rPr>
        <w:t>Exceptions to the Certification</w:t>
      </w:r>
      <w:r>
        <w:rPr>
          <w:spacing w:val="-11"/>
          <w:u w:val="single"/>
        </w:rPr>
        <w:t xml:space="preserve"> </w:t>
      </w:r>
      <w:r>
        <w:rPr>
          <w:u w:val="single"/>
        </w:rPr>
        <w:t>Statement</w:t>
      </w:r>
    </w:p>
    <w:p w:rsidR="00557D99" w14:paraId="074A722F" w14:textId="77777777">
      <w:pPr>
        <w:pStyle w:val="BodyText"/>
        <w:rPr>
          <w:sz w:val="14"/>
        </w:rPr>
      </w:pPr>
    </w:p>
    <w:p w:rsidR="00557D99" w14:paraId="4E0B1B4A" w14:textId="51F8A291">
      <w:pPr>
        <w:pStyle w:val="BodyText"/>
        <w:spacing w:before="92"/>
        <w:ind w:left="839"/>
      </w:pPr>
      <w:r>
        <w:t>None</w:t>
      </w:r>
      <w:r w:rsidR="006A22EC">
        <w:t>.</w:t>
      </w:r>
    </w:p>
    <w:p w:rsidR="00557D99" w14:paraId="1B22B1CA" w14:textId="77777777">
      <w:pPr>
        <w:pStyle w:val="BodyText"/>
        <w:spacing w:before="10"/>
        <w:rPr>
          <w:sz w:val="21"/>
        </w:rPr>
      </w:pPr>
    </w:p>
    <w:p w:rsidR="003D0D4B" w14:paraId="57DBE413" w14:textId="77777777">
      <w:pPr>
        <w:pStyle w:val="ListParagraph"/>
        <w:numPr>
          <w:ilvl w:val="0"/>
          <w:numId w:val="1"/>
        </w:numPr>
        <w:tabs>
          <w:tab w:val="left" w:pos="481"/>
        </w:tabs>
        <w:spacing w:line="480" w:lineRule="auto"/>
        <w:ind w:right="1235" w:hanging="360"/>
        <w:jc w:val="left"/>
      </w:pPr>
      <w:r>
        <w:t>COLLECTIONS OF INFORMATION EMPLOYING STATISTICAL</w:t>
      </w:r>
      <w:r>
        <w:rPr>
          <w:spacing w:val="-12"/>
        </w:rPr>
        <w:t xml:space="preserve"> </w:t>
      </w:r>
      <w:r>
        <w:t xml:space="preserve">METHODS </w:t>
      </w:r>
    </w:p>
    <w:p w:rsidR="00557D99" w:rsidP="003D0D4B" w14:paraId="1D0B45F0" w14:textId="385DA04A">
      <w:pPr>
        <w:pStyle w:val="ListParagraph"/>
        <w:tabs>
          <w:tab w:val="left" w:pos="481"/>
        </w:tabs>
        <w:spacing w:line="480" w:lineRule="auto"/>
        <w:ind w:left="480" w:right="1235" w:firstLine="0"/>
      </w:pPr>
      <w:r>
        <w:tab/>
      </w:r>
      <w:r w:rsidR="006A22EC">
        <w:t>Not</w:t>
      </w:r>
      <w:r w:rsidR="006A22EC">
        <w:rPr>
          <w:spacing w:val="-4"/>
        </w:rPr>
        <w:t xml:space="preserve"> </w:t>
      </w:r>
      <w:r w:rsidR="006A22EC">
        <w:t>applicable.</w:t>
      </w:r>
    </w:p>
    <w:sectPr w:rsidSect="00E11E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E2E" w14:paraId="570144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1099228"/>
      <w:docPartObj>
        <w:docPartGallery w:val="Page Numbers (Bottom of Page)"/>
        <w:docPartUnique/>
      </w:docPartObj>
    </w:sdtPr>
    <w:sdtEndPr>
      <w:rPr>
        <w:noProof/>
      </w:rPr>
    </w:sdtEndPr>
    <w:sdtContent>
      <w:p w:rsidR="00E11E2E" w14:paraId="6888CD6A" w14:textId="4C8EEE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7D99" w14:paraId="5F661F13" w14:textId="7AF2344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E2E" w14:paraId="202BE8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E2E" w14:paraId="2DB6B8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E2E" w14:paraId="54F97F5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1E2E" w14:paraId="781E63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2A31BC"/>
    <w:multiLevelType w:val="hybridMultilevel"/>
    <w:tmpl w:val="7EAE538E"/>
    <w:lvl w:ilvl="0">
      <w:start w:val="1"/>
      <w:numFmt w:val="upperLetter"/>
      <w:lvlText w:val="%1."/>
      <w:lvlJc w:val="left"/>
      <w:pPr>
        <w:ind w:left="480" w:hanging="361"/>
        <w:jc w:val="right"/>
      </w:pPr>
      <w:rPr>
        <w:rFonts w:ascii="Arial" w:eastAsia="Arial" w:hAnsi="Arial" w:cs="Arial" w:hint="default"/>
        <w:w w:val="99"/>
        <w:sz w:val="22"/>
        <w:szCs w:val="22"/>
      </w:rPr>
    </w:lvl>
    <w:lvl w:ilvl="1">
      <w:start w:val="1"/>
      <w:numFmt w:val="decimal"/>
      <w:lvlText w:val="%2."/>
      <w:lvlJc w:val="left"/>
      <w:pPr>
        <w:ind w:left="800" w:hanging="360"/>
        <w:jc w:val="right"/>
      </w:pPr>
      <w:rPr>
        <w:rFonts w:ascii="Arial" w:eastAsia="Arial" w:hAnsi="Arial" w:cs="Arial" w:hint="default"/>
        <w:w w:val="99"/>
        <w:sz w:val="22"/>
        <w:szCs w:val="22"/>
      </w:rPr>
    </w:lvl>
    <w:lvl w:ilvl="2">
      <w:start w:val="0"/>
      <w:numFmt w:val="bullet"/>
      <w:lvlText w:val="•"/>
      <w:lvlJc w:val="left"/>
      <w:pPr>
        <w:ind w:left="1768" w:hanging="360"/>
      </w:pPr>
      <w:rPr>
        <w:rFonts w:hint="default"/>
      </w:rPr>
    </w:lvl>
    <w:lvl w:ilvl="3">
      <w:start w:val="0"/>
      <w:numFmt w:val="bullet"/>
      <w:lvlText w:val="•"/>
      <w:lvlJc w:val="left"/>
      <w:pPr>
        <w:ind w:left="2737" w:hanging="360"/>
      </w:pPr>
      <w:rPr>
        <w:rFonts w:hint="default"/>
      </w:rPr>
    </w:lvl>
    <w:lvl w:ilvl="4">
      <w:start w:val="0"/>
      <w:numFmt w:val="bullet"/>
      <w:lvlText w:val="•"/>
      <w:lvlJc w:val="left"/>
      <w:pPr>
        <w:ind w:left="3706" w:hanging="360"/>
      </w:pPr>
      <w:rPr>
        <w:rFonts w:hint="default"/>
      </w:rPr>
    </w:lvl>
    <w:lvl w:ilvl="5">
      <w:start w:val="0"/>
      <w:numFmt w:val="bullet"/>
      <w:lvlText w:val="•"/>
      <w:lvlJc w:val="left"/>
      <w:pPr>
        <w:ind w:left="4675" w:hanging="360"/>
      </w:pPr>
      <w:rPr>
        <w:rFonts w:hint="default"/>
      </w:rPr>
    </w:lvl>
    <w:lvl w:ilvl="6">
      <w:start w:val="0"/>
      <w:numFmt w:val="bullet"/>
      <w:lvlText w:val="•"/>
      <w:lvlJc w:val="left"/>
      <w:pPr>
        <w:ind w:left="5644" w:hanging="360"/>
      </w:pPr>
      <w:rPr>
        <w:rFonts w:hint="default"/>
      </w:rPr>
    </w:lvl>
    <w:lvl w:ilvl="7">
      <w:start w:val="0"/>
      <w:numFmt w:val="bullet"/>
      <w:lvlText w:val="•"/>
      <w:lvlJc w:val="left"/>
      <w:pPr>
        <w:ind w:left="6613" w:hanging="360"/>
      </w:pPr>
      <w:rPr>
        <w:rFonts w:hint="default"/>
      </w:rPr>
    </w:lvl>
    <w:lvl w:ilvl="8">
      <w:start w:val="0"/>
      <w:numFmt w:val="bullet"/>
      <w:lvlText w:val="•"/>
      <w:lvlJc w:val="left"/>
      <w:pPr>
        <w:ind w:left="7582" w:hanging="360"/>
      </w:pPr>
      <w:rPr>
        <w:rFonts w:hint="default"/>
      </w:rPr>
    </w:lvl>
  </w:abstractNum>
  <w:num w:numId="1" w16cid:durableId="135911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99"/>
    <w:rsid w:val="0000593C"/>
    <w:rsid w:val="000161EB"/>
    <w:rsid w:val="000473ED"/>
    <w:rsid w:val="000A0266"/>
    <w:rsid w:val="000E6A9D"/>
    <w:rsid w:val="00112FAD"/>
    <w:rsid w:val="0011637D"/>
    <w:rsid w:val="00121276"/>
    <w:rsid w:val="00143FED"/>
    <w:rsid w:val="00160A2B"/>
    <w:rsid w:val="00163181"/>
    <w:rsid w:val="001A7E5B"/>
    <w:rsid w:val="001C0EF2"/>
    <w:rsid w:val="001D479F"/>
    <w:rsid w:val="001E2AE2"/>
    <w:rsid w:val="001F05AA"/>
    <w:rsid w:val="00216D82"/>
    <w:rsid w:val="00240ACB"/>
    <w:rsid w:val="002A0255"/>
    <w:rsid w:val="002B5716"/>
    <w:rsid w:val="002C024B"/>
    <w:rsid w:val="002E6CAF"/>
    <w:rsid w:val="0031160C"/>
    <w:rsid w:val="0033432B"/>
    <w:rsid w:val="00344951"/>
    <w:rsid w:val="00357B63"/>
    <w:rsid w:val="0036561C"/>
    <w:rsid w:val="003B4906"/>
    <w:rsid w:val="003D0D4B"/>
    <w:rsid w:val="00460797"/>
    <w:rsid w:val="004724F7"/>
    <w:rsid w:val="004954D5"/>
    <w:rsid w:val="004F0662"/>
    <w:rsid w:val="00557D99"/>
    <w:rsid w:val="00576C56"/>
    <w:rsid w:val="00582559"/>
    <w:rsid w:val="00584437"/>
    <w:rsid w:val="00595B44"/>
    <w:rsid w:val="005C02D9"/>
    <w:rsid w:val="005C382B"/>
    <w:rsid w:val="006010C5"/>
    <w:rsid w:val="0060784D"/>
    <w:rsid w:val="00613F5A"/>
    <w:rsid w:val="006530D0"/>
    <w:rsid w:val="006556F1"/>
    <w:rsid w:val="006603E8"/>
    <w:rsid w:val="006A22EC"/>
    <w:rsid w:val="006D48DC"/>
    <w:rsid w:val="006E16FF"/>
    <w:rsid w:val="006E4281"/>
    <w:rsid w:val="006E47E3"/>
    <w:rsid w:val="0071755A"/>
    <w:rsid w:val="00722E6A"/>
    <w:rsid w:val="0072310C"/>
    <w:rsid w:val="007244C0"/>
    <w:rsid w:val="00740C5B"/>
    <w:rsid w:val="0074548E"/>
    <w:rsid w:val="0077081F"/>
    <w:rsid w:val="007834B3"/>
    <w:rsid w:val="007D106E"/>
    <w:rsid w:val="007E11E0"/>
    <w:rsid w:val="007E5268"/>
    <w:rsid w:val="007F1C15"/>
    <w:rsid w:val="008208E5"/>
    <w:rsid w:val="008232F5"/>
    <w:rsid w:val="008426BA"/>
    <w:rsid w:val="00871AD4"/>
    <w:rsid w:val="008721D0"/>
    <w:rsid w:val="008E59FE"/>
    <w:rsid w:val="008F4D46"/>
    <w:rsid w:val="009239CF"/>
    <w:rsid w:val="009249D4"/>
    <w:rsid w:val="00951663"/>
    <w:rsid w:val="00954C05"/>
    <w:rsid w:val="00956A3E"/>
    <w:rsid w:val="00974EF9"/>
    <w:rsid w:val="009B3930"/>
    <w:rsid w:val="009C24AF"/>
    <w:rsid w:val="009D5A85"/>
    <w:rsid w:val="00A02D23"/>
    <w:rsid w:val="00A02F57"/>
    <w:rsid w:val="00A41A9B"/>
    <w:rsid w:val="00A84D67"/>
    <w:rsid w:val="00A962C8"/>
    <w:rsid w:val="00AA10CE"/>
    <w:rsid w:val="00AB69EA"/>
    <w:rsid w:val="00B04015"/>
    <w:rsid w:val="00B06B95"/>
    <w:rsid w:val="00B2514A"/>
    <w:rsid w:val="00B304FA"/>
    <w:rsid w:val="00B34E04"/>
    <w:rsid w:val="00B60528"/>
    <w:rsid w:val="00B827D2"/>
    <w:rsid w:val="00B969BD"/>
    <w:rsid w:val="00BC1B82"/>
    <w:rsid w:val="00BF4806"/>
    <w:rsid w:val="00C46E7D"/>
    <w:rsid w:val="00C502A5"/>
    <w:rsid w:val="00C64C24"/>
    <w:rsid w:val="00C7173A"/>
    <w:rsid w:val="00C840AB"/>
    <w:rsid w:val="00CA537C"/>
    <w:rsid w:val="00CB53AC"/>
    <w:rsid w:val="00D1196D"/>
    <w:rsid w:val="00D61663"/>
    <w:rsid w:val="00D66A2B"/>
    <w:rsid w:val="00D85B31"/>
    <w:rsid w:val="00DB2F90"/>
    <w:rsid w:val="00DC1BDE"/>
    <w:rsid w:val="00E0183B"/>
    <w:rsid w:val="00E11E2E"/>
    <w:rsid w:val="00E349B4"/>
    <w:rsid w:val="00E41E36"/>
    <w:rsid w:val="00E51F22"/>
    <w:rsid w:val="00E609D3"/>
    <w:rsid w:val="00E701CD"/>
    <w:rsid w:val="00E84CCB"/>
    <w:rsid w:val="00EA7A98"/>
    <w:rsid w:val="00EC418E"/>
    <w:rsid w:val="00EE43E6"/>
    <w:rsid w:val="00F333CC"/>
    <w:rsid w:val="00F40F96"/>
    <w:rsid w:val="00F46FF2"/>
    <w:rsid w:val="00F56858"/>
    <w:rsid w:val="00F63412"/>
    <w:rsid w:val="00F830C4"/>
    <w:rsid w:val="00F90FCB"/>
    <w:rsid w:val="00FA2E61"/>
    <w:rsid w:val="00FA6DD5"/>
    <w:rsid w:val="00FE46CB"/>
    <w:rsid w:val="00FF7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9E1250"/>
  <w15:docId w15:val="{5D6B7F8F-B5AB-465D-8714-C6145EE4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99" w:hanging="35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548E"/>
    <w:rPr>
      <w:sz w:val="16"/>
      <w:szCs w:val="16"/>
    </w:rPr>
  </w:style>
  <w:style w:type="paragraph" w:styleId="CommentText">
    <w:name w:val="annotation text"/>
    <w:basedOn w:val="Normal"/>
    <w:link w:val="CommentTextChar"/>
    <w:uiPriority w:val="99"/>
    <w:unhideWhenUsed/>
    <w:rsid w:val="0074548E"/>
    <w:rPr>
      <w:sz w:val="20"/>
      <w:szCs w:val="20"/>
    </w:rPr>
  </w:style>
  <w:style w:type="character" w:customStyle="1" w:styleId="CommentTextChar">
    <w:name w:val="Comment Text Char"/>
    <w:basedOn w:val="DefaultParagraphFont"/>
    <w:link w:val="CommentText"/>
    <w:uiPriority w:val="99"/>
    <w:rsid w:val="0074548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4548E"/>
    <w:rPr>
      <w:b/>
      <w:bCs/>
    </w:rPr>
  </w:style>
  <w:style w:type="character" w:customStyle="1" w:styleId="CommentSubjectChar">
    <w:name w:val="Comment Subject Char"/>
    <w:basedOn w:val="CommentTextChar"/>
    <w:link w:val="CommentSubject"/>
    <w:uiPriority w:val="99"/>
    <w:semiHidden/>
    <w:rsid w:val="0074548E"/>
    <w:rPr>
      <w:rFonts w:ascii="Arial" w:eastAsia="Arial" w:hAnsi="Arial" w:cs="Arial"/>
      <w:b/>
      <w:bCs/>
      <w:sz w:val="20"/>
      <w:szCs w:val="20"/>
    </w:rPr>
  </w:style>
  <w:style w:type="paragraph" w:styleId="BalloonText">
    <w:name w:val="Balloon Text"/>
    <w:basedOn w:val="Normal"/>
    <w:link w:val="BalloonTextChar"/>
    <w:uiPriority w:val="99"/>
    <w:semiHidden/>
    <w:unhideWhenUsed/>
    <w:rsid w:val="0074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48E"/>
    <w:rPr>
      <w:rFonts w:ascii="Segoe UI" w:eastAsia="Arial" w:hAnsi="Segoe UI" w:cs="Segoe UI"/>
      <w:sz w:val="18"/>
      <w:szCs w:val="18"/>
    </w:rPr>
  </w:style>
  <w:style w:type="character" w:customStyle="1" w:styleId="BodyTextChar">
    <w:name w:val="Body Text Char"/>
    <w:basedOn w:val="DefaultParagraphFont"/>
    <w:link w:val="BodyText"/>
    <w:uiPriority w:val="1"/>
    <w:rsid w:val="00AB69EA"/>
    <w:rPr>
      <w:rFonts w:ascii="Arial" w:eastAsia="Arial" w:hAnsi="Arial" w:cs="Arial"/>
    </w:rPr>
  </w:style>
  <w:style w:type="paragraph" w:styleId="Header">
    <w:name w:val="header"/>
    <w:basedOn w:val="Normal"/>
    <w:link w:val="HeaderChar"/>
    <w:uiPriority w:val="99"/>
    <w:unhideWhenUsed/>
    <w:rsid w:val="00E11E2E"/>
    <w:pPr>
      <w:tabs>
        <w:tab w:val="center" w:pos="4680"/>
        <w:tab w:val="right" w:pos="9360"/>
      </w:tabs>
    </w:pPr>
  </w:style>
  <w:style w:type="character" w:customStyle="1" w:styleId="HeaderChar">
    <w:name w:val="Header Char"/>
    <w:basedOn w:val="DefaultParagraphFont"/>
    <w:link w:val="Header"/>
    <w:uiPriority w:val="99"/>
    <w:rsid w:val="00E11E2E"/>
    <w:rPr>
      <w:rFonts w:ascii="Arial" w:eastAsia="Arial" w:hAnsi="Arial" w:cs="Arial"/>
    </w:rPr>
  </w:style>
  <w:style w:type="paragraph" w:styleId="Footer">
    <w:name w:val="footer"/>
    <w:basedOn w:val="Normal"/>
    <w:link w:val="FooterChar"/>
    <w:uiPriority w:val="99"/>
    <w:unhideWhenUsed/>
    <w:rsid w:val="00E11E2E"/>
    <w:pPr>
      <w:tabs>
        <w:tab w:val="center" w:pos="4680"/>
        <w:tab w:val="right" w:pos="9360"/>
      </w:tabs>
    </w:pPr>
  </w:style>
  <w:style w:type="character" w:customStyle="1" w:styleId="FooterChar">
    <w:name w:val="Footer Char"/>
    <w:basedOn w:val="DefaultParagraphFont"/>
    <w:link w:val="Footer"/>
    <w:uiPriority w:val="99"/>
    <w:rsid w:val="00E11E2E"/>
    <w:rPr>
      <w:rFonts w:ascii="Arial" w:eastAsia="Arial" w:hAnsi="Arial" w:cs="Arial"/>
    </w:rPr>
  </w:style>
  <w:style w:type="character" w:styleId="Hyperlink">
    <w:name w:val="Hyperlink"/>
    <w:basedOn w:val="DefaultParagraphFont"/>
    <w:uiPriority w:val="99"/>
    <w:unhideWhenUsed/>
    <w:rsid w:val="008426BA"/>
    <w:rPr>
      <w:color w:val="0000FF" w:themeColor="hyperlink"/>
      <w:u w:val="single"/>
    </w:rPr>
  </w:style>
  <w:style w:type="character" w:styleId="UnresolvedMention">
    <w:name w:val="Unresolved Mention"/>
    <w:basedOn w:val="DefaultParagraphFont"/>
    <w:uiPriority w:val="99"/>
    <w:semiHidden/>
    <w:unhideWhenUsed/>
    <w:rsid w:val="008426BA"/>
    <w:rPr>
      <w:color w:val="605E5C"/>
      <w:shd w:val="clear" w:color="auto" w:fill="E1DFDD"/>
    </w:rPr>
  </w:style>
  <w:style w:type="character" w:styleId="FollowedHyperlink">
    <w:name w:val="FollowedHyperlink"/>
    <w:basedOn w:val="DefaultParagraphFont"/>
    <w:uiPriority w:val="99"/>
    <w:semiHidden/>
    <w:unhideWhenUsed/>
    <w:rsid w:val="008426BA"/>
    <w:rPr>
      <w:color w:val="800080" w:themeColor="followedHyperlink"/>
      <w:u w:val="single"/>
    </w:rPr>
  </w:style>
  <w:style w:type="paragraph" w:styleId="Revision">
    <w:name w:val="Revision"/>
    <w:hidden/>
    <w:uiPriority w:val="99"/>
    <w:semiHidden/>
    <w:rsid w:val="00112FAD"/>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DJXZ7D336C7E-259460999-4388</_dlc_DocId>
    <_dlc_DocIdUrl xmlns="b3a34a53-9a19-47a4-8acc-4e423288e9ad">
      <Url>https://usnrc.sharepoint.com/teams/OCIO-Information-Collections-Site/_layouts/15/DocIdRedir.aspx?ID=DJXZ7D336C7E-259460999-4388</Url>
      <Description>DJXZ7D336C7E-259460999-4388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C4788-8E94-4269-B450-2C38D52D0595}">
  <ds:schemaRefs>
    <ds:schemaRef ds:uri="http://schemas.openxmlformats.org/officeDocument/2006/bibliography"/>
  </ds:schemaRefs>
</ds:datastoreItem>
</file>

<file path=customXml/itemProps2.xml><?xml version="1.0" encoding="utf-8"?>
<ds:datastoreItem xmlns:ds="http://schemas.openxmlformats.org/officeDocument/2006/customXml" ds:itemID="{34FC6F6D-FE3D-488D-ADEA-81A9B19A6E63}">
  <ds:schemaRefs>
    <ds:schemaRef ds:uri="http://schemas.microsoft.com/sharepoint/v3/contenttype/forms"/>
  </ds:schemaRefs>
</ds:datastoreItem>
</file>

<file path=customXml/itemProps3.xml><?xml version="1.0" encoding="utf-8"?>
<ds:datastoreItem xmlns:ds="http://schemas.openxmlformats.org/officeDocument/2006/customXml" ds:itemID="{B380C912-5B8D-4B45-AF8F-30D2562700B4}">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4.xml><?xml version="1.0" encoding="utf-8"?>
<ds:datastoreItem xmlns:ds="http://schemas.openxmlformats.org/officeDocument/2006/customXml" ds:itemID="{1703EDA8-CA05-4086-9B44-B3F46BDCE288}">
  <ds:schemaRefs>
    <ds:schemaRef ds:uri="http://schemas.microsoft.com/sharepoint/events"/>
  </ds:schemaRefs>
</ds:datastoreItem>
</file>

<file path=customXml/itemProps5.xml><?xml version="1.0" encoding="utf-8"?>
<ds:datastoreItem xmlns:ds="http://schemas.openxmlformats.org/officeDocument/2006/customXml" ds:itemID="{697A1D28-44AC-456D-826E-C8516D8D5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6807</Characters>
  <Application>Microsoft Office Word</Application>
  <DocSecurity>0</DocSecurity>
  <Lines>179</Lines>
  <Paragraphs>65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 Shannon</dc:creator>
  <cp:lastModifiedBy>Lisa Fishman</cp:lastModifiedBy>
  <cp:revision>2</cp:revision>
  <dcterms:created xsi:type="dcterms:W3CDTF">2026-04-01T21:14:00Z</dcterms:created>
  <dcterms:modified xsi:type="dcterms:W3CDTF">2026-04-01T21:14:00Z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Created">
    <vt:filetime>2019-05-08T00:00:00Z</vt:filetime>
  </property>
  <property fmtid="{D5CDD505-2E9C-101B-9397-08002B2CF9AE}" pid="4" name="Creator">
    <vt:lpwstr>PScript5.dll Version 5.2.2</vt:lpwstr>
  </property>
  <property fmtid="{D5CDD505-2E9C-101B-9397-08002B2CF9AE}" pid="5" name="LastSaved">
    <vt:filetime>2019-07-23T00:00:00Z</vt:filetime>
  </property>
  <property fmtid="{D5CDD505-2E9C-101B-9397-08002B2CF9AE}" pid="6" name="MediaServiceImageTags">
    <vt:lpwstr/>
  </property>
  <property fmtid="{D5CDD505-2E9C-101B-9397-08002B2CF9AE}" pid="7" name="_dlc_DocIdItemGuid">
    <vt:lpwstr>01515724-fe5a-4ddc-8992-73a8eeb91786</vt:lpwstr>
  </property>
</Properties>
</file>