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3B51" w:rsidRPr="00BB0427" w:rsidP="438F8593" w14:paraId="54406D7E" w14:textId="77777777">
      <w:pPr>
        <w:keepNext/>
        <w:keepLines/>
        <w:spacing w:before="240" w:after="0" w:line="240" w:lineRule="auto"/>
        <w:jc w:val="center"/>
        <w:outlineLvl w:val="1"/>
        <w:rPr>
          <w:rFonts w:eastAsiaTheme="majorEastAsia"/>
          <w:b/>
          <w:color w:val="046B5C"/>
          <w:lang w:val=""/>
        </w:rPr>
      </w:pPr>
    </w:p>
    <w:p w:rsidR="00D03B51" w:rsidRPr="00BB0427" w:rsidP="438F8593" w14:paraId="398C6DE4" w14:textId="77777777">
      <w:pPr>
        <w:keepNext/>
        <w:keepLines/>
        <w:spacing w:before="240" w:after="0" w:line="240" w:lineRule="auto"/>
        <w:jc w:val="center"/>
        <w:outlineLvl w:val="1"/>
        <w:rPr>
          <w:rFonts w:eastAsiaTheme="majorEastAsia"/>
          <w:b/>
          <w:color w:val="046B5C"/>
          <w:lang w:val=""/>
        </w:rPr>
      </w:pPr>
    </w:p>
    <w:p w:rsidR="00D03B51" w:rsidRPr="00BB0427" w:rsidP="438F8593" w14:paraId="2522F412" w14:textId="77777777">
      <w:pPr>
        <w:keepNext/>
        <w:keepLines/>
        <w:spacing w:before="240" w:after="0" w:line="240" w:lineRule="auto"/>
        <w:jc w:val="center"/>
        <w:outlineLvl w:val="1"/>
        <w:rPr>
          <w:rFonts w:eastAsiaTheme="majorEastAsia"/>
          <w:b/>
          <w:color w:val="046B5C"/>
          <w:lang w:val=""/>
        </w:rPr>
      </w:pPr>
    </w:p>
    <w:p w:rsidR="00D03B51" w:rsidRPr="00BB0427" w:rsidP="438F8593" w14:paraId="17278277" w14:textId="7955A211">
      <w:pPr>
        <w:keepNext/>
        <w:keepLines/>
        <w:spacing w:before="240" w:after="0" w:line="240" w:lineRule="auto"/>
        <w:jc w:val="center"/>
        <w:outlineLvl w:val="1"/>
        <w:rPr>
          <w:b/>
          <w:color w:val="046B5C"/>
          <w:lang w:val=""/>
        </w:rPr>
      </w:pPr>
      <w:r w:rsidRPr="00BB0427">
        <w:rPr>
          <w:b/>
          <w:color w:val="046B5C"/>
          <w:lang w:val=""/>
        </w:rPr>
        <w:t>Appendix</w:t>
      </w:r>
      <w:r w:rsidRPr="00BB0427">
        <w:rPr>
          <w:b/>
          <w:color w:val="046B5C"/>
          <w:lang w:val=""/>
        </w:rPr>
        <w:t xml:space="preserve"> N.3</w:t>
      </w:r>
      <w:r w:rsidR="00CD481A">
        <w:rPr>
          <w:b/>
          <w:color w:val="046B5C"/>
          <w:lang w:val=""/>
        </w:rPr>
        <w:t>a</w:t>
      </w:r>
      <w:r w:rsidRPr="00BB0427">
        <w:rPr>
          <w:b/>
          <w:color w:val="046B5C"/>
          <w:lang w:val=""/>
        </w:rPr>
        <w:t xml:space="preserve">. </w:t>
      </w:r>
    </w:p>
    <w:p w:rsidR="00A94B7A" w:rsidRPr="00BB0427" w:rsidP="438F8593" w14:paraId="2734403A" w14:textId="1835D9E3">
      <w:pPr>
        <w:keepNext/>
        <w:keepLines/>
        <w:spacing w:before="240" w:after="0" w:line="240" w:lineRule="auto"/>
        <w:jc w:val="center"/>
        <w:outlineLvl w:val="1"/>
        <w:rPr>
          <w:b/>
          <w:color w:val="046B5C"/>
          <w:lang w:val=""/>
        </w:rPr>
      </w:pPr>
      <w:r w:rsidRPr="00BB0427">
        <w:rPr>
          <w:b/>
          <w:color w:val="046B5C"/>
          <w:lang w:val=""/>
        </w:rPr>
        <w:t xml:space="preserve">WIC </w:t>
      </w:r>
      <w:r w:rsidRPr="00BB0427">
        <w:rPr>
          <w:b/>
          <w:color w:val="046B5C"/>
          <w:lang w:val=""/>
        </w:rPr>
        <w:t>participant</w:t>
      </w:r>
      <w:r w:rsidRPr="00BB0427">
        <w:rPr>
          <w:b/>
          <w:color w:val="046B5C"/>
          <w:lang w:val=""/>
        </w:rPr>
        <w:t xml:space="preserve"> case </w:t>
      </w:r>
      <w:r w:rsidRPr="00BB0427">
        <w:rPr>
          <w:b/>
          <w:color w:val="046B5C"/>
          <w:lang w:val=""/>
        </w:rPr>
        <w:t>study</w:t>
      </w:r>
      <w:r w:rsidRPr="00BB0427">
        <w:rPr>
          <w:b/>
          <w:color w:val="046B5C"/>
          <w:lang w:val=""/>
        </w:rPr>
        <w:t xml:space="preserve"> </w:t>
      </w:r>
      <w:r w:rsidRPr="00BB0427">
        <w:rPr>
          <w:b/>
          <w:color w:val="046B5C"/>
          <w:lang w:val=""/>
        </w:rPr>
        <w:t>focus</w:t>
      </w:r>
      <w:r w:rsidRPr="00BB0427">
        <w:rPr>
          <w:b/>
          <w:color w:val="046B5C"/>
          <w:lang w:val=""/>
        </w:rPr>
        <w:t xml:space="preserve"> </w:t>
      </w:r>
      <w:r w:rsidRPr="00BB0427">
        <w:rPr>
          <w:b/>
          <w:color w:val="046B5C"/>
          <w:lang w:val=""/>
        </w:rPr>
        <w:t>group</w:t>
      </w:r>
      <w:r w:rsidRPr="00BB0427">
        <w:rPr>
          <w:b/>
          <w:color w:val="046B5C"/>
          <w:lang w:val=""/>
        </w:rPr>
        <w:t xml:space="preserve"> </w:t>
      </w:r>
      <w:r w:rsidRPr="00BB0427">
        <w:rPr>
          <w:b/>
          <w:color w:val="046B5C"/>
          <w:lang w:val=""/>
        </w:rPr>
        <w:t>scheduling</w:t>
      </w:r>
      <w:r w:rsidRPr="00BB0427">
        <w:rPr>
          <w:b/>
          <w:color w:val="046B5C"/>
          <w:lang w:val=""/>
        </w:rPr>
        <w:t xml:space="preserve"> email</w:t>
      </w:r>
      <w:r w:rsidR="00CD481A">
        <w:rPr>
          <w:b/>
          <w:color w:val="046B5C"/>
          <w:lang w:val=""/>
        </w:rPr>
        <w:t xml:space="preserve"> (</w:t>
      </w:r>
      <w:r w:rsidR="00CD481A">
        <w:rPr>
          <w:b/>
          <w:color w:val="046B5C"/>
          <w:lang w:val=""/>
        </w:rPr>
        <w:t>Spanish</w:t>
      </w:r>
      <w:r w:rsidR="00CD481A">
        <w:rPr>
          <w:b/>
          <w:color w:val="046B5C"/>
          <w:lang w:val=""/>
        </w:rPr>
        <w:t>)</w:t>
      </w:r>
    </w:p>
    <w:p w:rsidR="00FA42BC" w:rsidRPr="00BB0427" w:rsidP="00B812B4" w14:paraId="7CFDF39E" w14:textId="77777777">
      <w:pPr>
        <w:keepNext/>
        <w:keepLines/>
        <w:spacing w:before="240" w:after="0" w:line="240" w:lineRule="auto"/>
        <w:outlineLvl w:val="1"/>
        <w:rPr>
          <w:lang w:val=""/>
        </w:rPr>
        <w:sectPr w:rsidSect="00F3214B">
          <w:headerReference w:type="default" r:id="rId8"/>
          <w:footerReference w:type="default" r:id="rId9"/>
          <w:headerReference w:type="first" r:id="rId10"/>
          <w:pgSz w:w="12240" w:h="15840"/>
          <w:pgMar w:top="1440" w:right="1440" w:bottom="1440" w:left="1440" w:header="720" w:footer="720" w:gutter="0"/>
          <w:cols w:space="720"/>
          <w:docGrid w:linePitch="299"/>
        </w:sectPr>
      </w:pPr>
    </w:p>
    <w:p w:rsidR="00FA42BC" w:rsidRPr="00BB0427" w:rsidP="00236662" w14:paraId="3577FF8B" w14:textId="4721DFAA">
      <w:pPr>
        <w:spacing w:line="240" w:lineRule="auto"/>
        <w:rPr>
          <w:lang w:val=""/>
        </w:rPr>
      </w:pPr>
      <w:r w:rsidRPr="00BB0427">
        <w:rPr>
          <w:rFonts w:ascii="Calibri" w:hAnsi="Calibri"/>
          <w:noProof/>
          <w:lang w:val=""/>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ragraph">
                  <wp:posOffset>313725</wp:posOffset>
                </wp:positionV>
                <wp:extent cx="6126480" cy="1556385"/>
                <wp:effectExtent l="0" t="0" r="26670" b="2476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556385"/>
                        </a:xfrm>
                        <a:prstGeom prst="rect">
                          <a:avLst/>
                        </a:prstGeom>
                        <a:solidFill>
                          <a:sysClr val="window" lastClr="FFFFFF"/>
                        </a:solidFill>
                        <a:ln w="6350">
                          <a:solidFill>
                            <a:prstClr val="black"/>
                          </a:solidFill>
                        </a:ln>
                        <a:effectLst/>
                      </wps:spPr>
                      <wps:txbx>
                        <w:txbxContent>
                          <w:p w:rsidR="00CD481A" w:rsidRPr="00CD481A" w:rsidP="00CD481A" w14:textId="77777777">
                            <w:pPr>
                              <w:tabs>
                                <w:tab w:val="left" w:pos="5760"/>
                              </w:tabs>
                              <w:spacing w:before="40" w:after="40"/>
                              <w:jc w:val="center"/>
                              <w:rPr>
                                <w:rFonts w:ascii="Arial" w:eastAsia="Times New Roman" w:hAnsi="Arial" w:cs="Arial"/>
                                <w:noProof/>
                                <w:color w:val="000000"/>
                                <w:sz w:val="14"/>
                                <w:szCs w:val="14"/>
                              </w:rPr>
                            </w:pPr>
                            <w:r w:rsidRPr="00CD481A">
                              <w:rPr>
                                <w:rFonts w:ascii="Arial" w:eastAsia="Times New Roman" w:hAnsi="Arial" w:cs="Arial"/>
                                <w:b/>
                                <w:color w:val="000000"/>
                                <w:sz w:val="14"/>
                                <w:szCs w:val="14"/>
                                <w:lang w:val=""/>
                              </w:rPr>
                              <w:t>Declaración de carga pública</w:t>
                            </w:r>
                          </w:p>
                          <w:p w:rsidR="00CD481A" w:rsidRPr="00CD481A" w:rsidP="00CD481A" w14:textId="77777777">
                            <w:pPr>
                              <w:tabs>
                                <w:tab w:val="left" w:pos="5760"/>
                              </w:tabs>
                              <w:spacing w:before="40" w:after="40" w:line="240" w:lineRule="auto"/>
                              <w:jc w:val="both"/>
                              <w:rPr>
                                <w:rFonts w:ascii="Arial" w:eastAsia="Times New Roman" w:hAnsi="Arial" w:cs="Arial"/>
                                <w:noProof/>
                                <w:color w:val="000000"/>
                                <w:sz w:val="14"/>
                                <w:szCs w:val="14"/>
                              </w:rPr>
                            </w:pPr>
                            <w:r w:rsidRPr="00CD481A">
                              <w:rPr>
                                <w:rFonts w:ascii="Arial" w:eastAsia="Times New Roman" w:hAnsi="Arial" w:cs="Arial"/>
                                <w:color w:val="000000"/>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CD481A">
                              <w:rPr>
                                <w:rFonts w:ascii="Arial" w:eastAsia="Times New Roman" w:hAnsi="Arial" w:cs="Arial"/>
                                <w:noProof/>
                                <w:color w:val="000000"/>
                                <w:sz w:val="14"/>
                                <w:szCs w:val="14"/>
                                <w:lang w:val=""/>
                              </w:rPr>
                              <w:t>0584-[xxxx]</w:t>
                            </w:r>
                            <w:r w:rsidRPr="00CD481A">
                              <w:rPr>
                                <w:rFonts w:ascii="Arial" w:eastAsia="Times New Roman" w:hAnsi="Arial" w:cs="Arial"/>
                                <w:color w:val="000000"/>
                                <w:sz w:val="14"/>
                                <w:szCs w:val="14"/>
                                <w:lang w:val=""/>
                              </w:rPr>
                              <w:t>. Se estima que completar esta recopilación de información toma en promedio</w:t>
                            </w:r>
                            <w:r w:rsidRPr="00CD481A">
                              <w:rPr>
                                <w:rFonts w:ascii="Arial" w:eastAsia="Times New Roman" w:hAnsi="Arial" w:cs="Arial"/>
                                <w:noProof/>
                                <w:color w:val="000000"/>
                                <w:sz w:val="14"/>
                                <w:szCs w:val="14"/>
                              </w:rPr>
                              <w:t xml:space="preserve">.0167 horas/1 minuto </w:t>
                            </w:r>
                            <w:r w:rsidRPr="00CD481A">
                              <w:rPr>
                                <w:rFonts w:ascii="Arial" w:eastAsia="Times New Roman" w:hAnsi="Arial" w:cs="Arial"/>
                                <w:color w:val="000000"/>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CD481A">
                              <w:rPr>
                                <w:rFonts w:ascii="Arial" w:eastAsia="Times New Roman" w:hAnsi="Arial" w:cs="Arial"/>
                                <w:noProof/>
                                <w:color w:val="000000"/>
                                <w:sz w:val="14"/>
                                <w:szCs w:val="14"/>
                              </w:rPr>
                              <w:t xml:space="preserve">U.S. Department of Agriculture, Food and Nutrition Service, Evidence, Analysis, and Regulatory Affairs Office, 1320 Braddock Place, 5th Floor, Alexandria, VA 22306 ATTN: PRA (0584-xxxx). </w:t>
                            </w:r>
                            <w:r w:rsidRPr="00CD481A">
                              <w:rPr>
                                <w:rFonts w:ascii="Arial" w:eastAsia="Times New Roman" w:hAnsi="Arial" w:cs="Arial"/>
                                <w:color w:val="000000"/>
                                <w:sz w:val="14"/>
                                <w:szCs w:val="14"/>
                                <w:lang w:val=""/>
                              </w:rPr>
                              <w:t>No devuelva el formulario completado a esta dirección.</w:t>
                            </w:r>
                          </w:p>
                          <w:p w:rsidR="00D15DCA" w:rsidRPr="00550603" w:rsidP="00D15DCA" w14:textId="64F05EFC">
                            <w:pPr>
                              <w:tabs>
                                <w:tab w:val="left" w:pos="5760"/>
                              </w:tabs>
                              <w:spacing w:before="40" w:after="40"/>
                              <w:jc w:val="both"/>
                              <w:rPr>
                                <w:rFonts w:ascii="Calibri" w:hAnsi="Calibr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22.55pt;margin-top:24.7pt;margin-left:0;mso-height-percent:0;mso-height-relative:margin;mso-position-horizontal:left;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CD481A" w:rsidRPr="00CD481A" w:rsidP="00CD481A" w14:paraId="7478D1B2" w14:textId="77777777">
                      <w:pPr>
                        <w:tabs>
                          <w:tab w:val="left" w:pos="5760"/>
                        </w:tabs>
                        <w:spacing w:before="40" w:after="40"/>
                        <w:jc w:val="center"/>
                        <w:rPr>
                          <w:rFonts w:ascii="Arial" w:eastAsia="Times New Roman" w:hAnsi="Arial" w:cs="Arial"/>
                          <w:noProof/>
                          <w:color w:val="000000"/>
                          <w:sz w:val="14"/>
                          <w:szCs w:val="14"/>
                        </w:rPr>
                      </w:pPr>
                      <w:r w:rsidRPr="00CD481A">
                        <w:rPr>
                          <w:rFonts w:ascii="Arial" w:eastAsia="Times New Roman" w:hAnsi="Arial" w:cs="Arial"/>
                          <w:b/>
                          <w:color w:val="000000"/>
                          <w:sz w:val="14"/>
                          <w:szCs w:val="14"/>
                          <w:lang w:val=""/>
                        </w:rPr>
                        <w:t>Declaración de carga pública</w:t>
                      </w:r>
                    </w:p>
                    <w:p w:rsidR="00CD481A" w:rsidRPr="00CD481A" w:rsidP="00CD481A" w14:paraId="5A1185EF" w14:textId="77777777">
                      <w:pPr>
                        <w:tabs>
                          <w:tab w:val="left" w:pos="5760"/>
                        </w:tabs>
                        <w:spacing w:before="40" w:after="40" w:line="240" w:lineRule="auto"/>
                        <w:jc w:val="both"/>
                        <w:rPr>
                          <w:rFonts w:ascii="Arial" w:eastAsia="Times New Roman" w:hAnsi="Arial" w:cs="Arial"/>
                          <w:noProof/>
                          <w:color w:val="000000"/>
                          <w:sz w:val="14"/>
                          <w:szCs w:val="14"/>
                        </w:rPr>
                      </w:pPr>
                      <w:r w:rsidRPr="00CD481A">
                        <w:rPr>
                          <w:rFonts w:ascii="Arial" w:eastAsia="Times New Roman" w:hAnsi="Arial" w:cs="Arial"/>
                          <w:color w:val="000000"/>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CD481A">
                        <w:rPr>
                          <w:rFonts w:ascii="Arial" w:eastAsia="Times New Roman" w:hAnsi="Arial" w:cs="Arial"/>
                          <w:noProof/>
                          <w:color w:val="000000"/>
                          <w:sz w:val="14"/>
                          <w:szCs w:val="14"/>
                          <w:lang w:val=""/>
                        </w:rPr>
                        <w:t>0584-[xxxx]</w:t>
                      </w:r>
                      <w:r w:rsidRPr="00CD481A">
                        <w:rPr>
                          <w:rFonts w:ascii="Arial" w:eastAsia="Times New Roman" w:hAnsi="Arial" w:cs="Arial"/>
                          <w:color w:val="000000"/>
                          <w:sz w:val="14"/>
                          <w:szCs w:val="14"/>
                          <w:lang w:val=""/>
                        </w:rPr>
                        <w:t>. Se estima que completar esta recopilación de información toma en promedio</w:t>
                      </w:r>
                      <w:r w:rsidRPr="00CD481A">
                        <w:rPr>
                          <w:rFonts w:ascii="Arial" w:eastAsia="Times New Roman" w:hAnsi="Arial" w:cs="Arial"/>
                          <w:noProof/>
                          <w:color w:val="000000"/>
                          <w:sz w:val="14"/>
                          <w:szCs w:val="14"/>
                        </w:rPr>
                        <w:t xml:space="preserve">.0167 horas/1 minuto </w:t>
                      </w:r>
                      <w:r w:rsidRPr="00CD481A">
                        <w:rPr>
                          <w:rFonts w:ascii="Arial" w:eastAsia="Times New Roman" w:hAnsi="Arial" w:cs="Arial"/>
                          <w:color w:val="000000"/>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CD481A">
                        <w:rPr>
                          <w:rFonts w:ascii="Arial" w:eastAsia="Times New Roman" w:hAnsi="Arial" w:cs="Arial"/>
                          <w:noProof/>
                          <w:color w:val="000000"/>
                          <w:sz w:val="14"/>
                          <w:szCs w:val="14"/>
                        </w:rPr>
                        <w:t xml:space="preserve">U.S. Department of Agriculture, Food and Nutrition Service, Evidence, Analysis, and Regulatory Affairs Office, 1320 Braddock Place, 5th Floor, Alexandria, VA 22306 ATTN: PRA (0584-xxxx). </w:t>
                      </w:r>
                      <w:r w:rsidRPr="00CD481A">
                        <w:rPr>
                          <w:rFonts w:ascii="Arial" w:eastAsia="Times New Roman" w:hAnsi="Arial" w:cs="Arial"/>
                          <w:color w:val="000000"/>
                          <w:sz w:val="14"/>
                          <w:szCs w:val="14"/>
                          <w:lang w:val=""/>
                        </w:rPr>
                        <w:t>No devuelva el formulario completado a esta dirección.</w:t>
                      </w:r>
                    </w:p>
                    <w:p w:rsidR="00D15DCA" w:rsidRPr="00550603" w:rsidP="00D15DCA" w14:paraId="3ECA05AC" w14:textId="64F05EFC">
                      <w:pPr>
                        <w:tabs>
                          <w:tab w:val="left" w:pos="5760"/>
                        </w:tabs>
                        <w:spacing w:before="40" w:after="40"/>
                        <w:jc w:val="both"/>
                        <w:rPr>
                          <w:rFonts w:ascii="Calibri" w:hAnsi="Calibri"/>
                          <w:sz w:val="14"/>
                        </w:rPr>
                      </w:pPr>
                    </w:p>
                  </w:txbxContent>
                </v:textbox>
                <w10:wrap type="square"/>
              </v:shape>
            </w:pict>
          </mc:Fallback>
        </mc:AlternateContent>
      </w:r>
    </w:p>
    <w:p w:rsidR="00FA42BC" w:rsidRPr="00BB0427" w:rsidP="00236662" w14:paraId="0645E1E5" w14:textId="0EC56E37">
      <w:pPr>
        <w:spacing w:line="240" w:lineRule="auto"/>
        <w:rPr>
          <w:b/>
          <w:lang w:val=""/>
        </w:rPr>
      </w:pPr>
    </w:p>
    <w:p w:rsidR="00733033" w:rsidRPr="00BB0427" w:rsidP="00550603" w14:paraId="43EDB4BA" w14:textId="12124B3E">
      <w:pPr>
        <w:pStyle w:val="Paragraph"/>
        <w:spacing w:after="0" w:line="240" w:lineRule="auto"/>
        <w:rPr>
          <w:lang w:val=""/>
        </w:rPr>
      </w:pPr>
      <w:r w:rsidRPr="00BB0427">
        <w:rPr>
          <w:b/>
          <w:lang w:val=""/>
        </w:rPr>
        <w:t>To</w:t>
      </w:r>
      <w:r w:rsidRPr="00BB0427">
        <w:rPr>
          <w:b/>
          <w:lang w:val=""/>
        </w:rPr>
        <w:t>:</w:t>
      </w:r>
      <w:r w:rsidRPr="00BB0427">
        <w:rPr>
          <w:b/>
          <w:i/>
          <w:lang w:val=""/>
        </w:rPr>
        <w:t xml:space="preserve"> </w:t>
      </w:r>
      <w:r w:rsidRPr="00BB0427">
        <w:rPr>
          <w:lang w:val=""/>
        </w:rPr>
        <w:t xml:space="preserve">WIC </w:t>
      </w:r>
      <w:r w:rsidRPr="00BB0427">
        <w:rPr>
          <w:lang w:val=""/>
        </w:rPr>
        <w:t>Participant</w:t>
      </w:r>
    </w:p>
    <w:p w:rsidR="00417B83" w:rsidRPr="00BB0427" w:rsidP="00B812B4" w14:paraId="6AC4DD58" w14:textId="5D9A4DAE">
      <w:pPr>
        <w:pStyle w:val="Paragraph"/>
        <w:spacing w:before="120" w:after="0" w:line="240" w:lineRule="auto"/>
        <w:rPr>
          <w:lang w:val=""/>
        </w:rPr>
      </w:pPr>
      <w:r w:rsidRPr="00BB0427">
        <w:rPr>
          <w:b/>
          <w:lang w:val=""/>
        </w:rPr>
        <w:t>From</w:t>
      </w:r>
      <w:r w:rsidRPr="00BB0427">
        <w:rPr>
          <w:b/>
          <w:lang w:val=""/>
        </w:rPr>
        <w:t>:</w:t>
      </w:r>
      <w:r w:rsidRPr="00BB0427">
        <w:rPr>
          <w:lang w:val=""/>
        </w:rPr>
        <w:t xml:space="preserve"> The Mathematica </w:t>
      </w:r>
      <w:r w:rsidRPr="00BB0427">
        <w:rPr>
          <w:lang w:val=""/>
        </w:rPr>
        <w:t>study</w:t>
      </w:r>
      <w:r w:rsidRPr="00BB0427">
        <w:rPr>
          <w:lang w:val=""/>
        </w:rPr>
        <w:t xml:space="preserve"> </w:t>
      </w:r>
      <w:r w:rsidRPr="00BB0427">
        <w:rPr>
          <w:lang w:val=""/>
        </w:rPr>
        <w:t>team</w:t>
      </w:r>
      <w:r w:rsidRPr="00BB0427">
        <w:rPr>
          <w:lang w:val=""/>
        </w:rPr>
        <w:t xml:space="preserve"> </w:t>
      </w:r>
      <w:r w:rsidRPr="00BB0427">
        <w:rPr>
          <w:i/>
          <w:lang w:val=""/>
        </w:rPr>
        <w:t>or</w:t>
      </w:r>
      <w:r w:rsidRPr="00BB0427">
        <w:rPr>
          <w:i/>
          <w:lang w:val=""/>
        </w:rPr>
        <w:t xml:space="preserve"> </w:t>
      </w:r>
      <w:r w:rsidRPr="00BB0427">
        <w:rPr>
          <w:lang w:val=""/>
        </w:rPr>
        <w:t>WIC</w:t>
      </w:r>
      <w:r w:rsidRPr="00BB0427">
        <w:rPr>
          <w:i/>
          <w:lang w:val=""/>
        </w:rPr>
        <w:t xml:space="preserve"> </w:t>
      </w:r>
      <w:r w:rsidRPr="00BB0427">
        <w:rPr>
          <w:lang w:val=""/>
        </w:rPr>
        <w:t>agency</w:t>
      </w:r>
      <w:r w:rsidRPr="00BB0427">
        <w:rPr>
          <w:lang w:val=""/>
        </w:rPr>
        <w:t xml:space="preserve"> staff</w:t>
      </w:r>
    </w:p>
    <w:p w:rsidR="00733033" w:rsidRPr="00BB0427" w:rsidP="5B5F0C60" w14:paraId="113B24AF" w14:textId="1B1E66A4">
      <w:pPr>
        <w:pStyle w:val="Paragraph"/>
        <w:spacing w:before="120" w:after="0" w:line="240" w:lineRule="auto"/>
        <w:rPr>
          <w:lang w:val=""/>
        </w:rPr>
      </w:pPr>
      <w:r w:rsidRPr="00BB0427">
        <w:rPr>
          <w:b/>
          <w:lang w:val=""/>
        </w:rPr>
        <w:t>When</w:t>
      </w:r>
      <w:r w:rsidRPr="00BB0427">
        <w:rPr>
          <w:b/>
          <w:lang w:val=""/>
        </w:rPr>
        <w:t>:</w:t>
      </w:r>
      <w:r w:rsidRPr="00BB0427">
        <w:rPr>
          <w:b/>
          <w:i/>
          <w:lang w:val=""/>
        </w:rPr>
        <w:t xml:space="preserve"> </w:t>
      </w:r>
      <w:r w:rsidRPr="00BB0427">
        <w:rPr>
          <w:lang w:val=""/>
        </w:rPr>
        <w:t xml:space="preserve">Once </w:t>
      </w:r>
      <w:r w:rsidRPr="00BB0427">
        <w:rPr>
          <w:lang w:val=""/>
        </w:rPr>
        <w:t>potential</w:t>
      </w:r>
      <w:r w:rsidRPr="00BB0427">
        <w:rPr>
          <w:lang w:val=""/>
        </w:rPr>
        <w:t xml:space="preserve"> </w:t>
      </w:r>
      <w:r w:rsidRPr="00BB0427">
        <w:rPr>
          <w:lang w:val=""/>
        </w:rPr>
        <w:t>participants</w:t>
      </w:r>
      <w:r w:rsidRPr="00BB0427">
        <w:rPr>
          <w:lang w:val=""/>
        </w:rPr>
        <w:t xml:space="preserve"> </w:t>
      </w:r>
      <w:r w:rsidRPr="00BB0427">
        <w:rPr>
          <w:lang w:val=""/>
        </w:rPr>
        <w:t>have</w:t>
      </w:r>
      <w:r w:rsidRPr="00BB0427">
        <w:rPr>
          <w:lang w:val=""/>
        </w:rPr>
        <w:t xml:space="preserve"> </w:t>
      </w:r>
      <w:r w:rsidRPr="00BB0427">
        <w:rPr>
          <w:lang w:val=""/>
        </w:rPr>
        <w:t>been</w:t>
      </w:r>
      <w:r w:rsidRPr="00BB0427">
        <w:rPr>
          <w:lang w:val=""/>
        </w:rPr>
        <w:t xml:space="preserve"> </w:t>
      </w:r>
      <w:r w:rsidRPr="00BB0427">
        <w:rPr>
          <w:lang w:val=""/>
        </w:rPr>
        <w:t>emailed</w:t>
      </w:r>
    </w:p>
    <w:p w:rsidR="00400F38" w:rsidRPr="00BB0427" w:rsidP="66FF4E0E" w14:paraId="25353898" w14:textId="1C3B66F8">
      <w:pPr>
        <w:pStyle w:val="Paragraph"/>
        <w:spacing w:line="240" w:lineRule="auto"/>
        <w:rPr>
          <w:lang w:val=""/>
        </w:rPr>
      </w:pPr>
      <w:r w:rsidRPr="00BB0427">
        <w:rPr>
          <w:b/>
          <w:lang w:val=""/>
        </w:rPr>
        <w:t>Subject</w:t>
      </w:r>
      <w:r w:rsidRPr="00BB0427">
        <w:rPr>
          <w:b/>
          <w:lang w:val=""/>
        </w:rPr>
        <w:t>:</w:t>
      </w:r>
      <w:r w:rsidRPr="00BB0427">
        <w:rPr>
          <w:lang w:val=""/>
        </w:rPr>
        <w:t xml:space="preserve"> ¡Cuéntenos qué opina sobre WIC!</w:t>
      </w:r>
    </w:p>
    <w:p w:rsidR="00400F38" w:rsidRPr="00BB0427" w:rsidP="00B812B4" w14:paraId="05C8E13C" w14:textId="03804063">
      <w:pPr>
        <w:pStyle w:val="Paragraph"/>
        <w:spacing w:after="120" w:line="240" w:lineRule="auto"/>
        <w:rPr>
          <w:lang w:val=""/>
        </w:rPr>
      </w:pPr>
      <w:r w:rsidRPr="00BB0427">
        <w:rPr>
          <w:lang w:val=""/>
        </w:rPr>
        <w:t>Estimada [WIC PARTICIPANT]:</w:t>
      </w:r>
    </w:p>
    <w:p w:rsidR="003A4A63" w:rsidRPr="00BB0427" w:rsidP="5B5F0C60" w14:paraId="7067B847" w14:textId="4010EE21">
      <w:pPr>
        <w:pStyle w:val="Paragraph"/>
        <w:spacing w:before="120" w:after="120" w:line="240" w:lineRule="auto"/>
        <w:rPr>
          <w:lang w:val=""/>
        </w:rPr>
      </w:pPr>
      <w:bookmarkStart w:id="0" w:name="_Hlk92968947"/>
      <w:r w:rsidRPr="00BB0427">
        <w:rPr>
          <w:lang w:val=""/>
        </w:rPr>
        <w:t>La semana pasada [NAME] se comunicó con usted para invitarla a unirse a un grupo de enfoque a través de [NAME OF WIC LOCAL AGENCY]. WIC ha trabajado mucho recientemente para modernizar el programa WIC. Como parte de la Evaluación de la Modernización de WIC, nos gustaría escuchar directamente a los participantes de WIC sobre lo que está funcionando bien en WIC y lo que aún se puede mejorar.</w:t>
      </w:r>
    </w:p>
    <w:p w:rsidR="00126ADD" w:rsidRPr="00BB0427" w:rsidP="00B812B4" w14:paraId="14F2C488" w14:textId="32D007D5">
      <w:pPr>
        <w:pStyle w:val="Paragraph"/>
        <w:spacing w:after="0" w:line="240" w:lineRule="auto"/>
        <w:rPr>
          <w:rFonts w:cstheme="minorHAnsi"/>
          <w:b/>
          <w:u w:val="single"/>
          <w:lang w:val=""/>
        </w:rPr>
      </w:pPr>
      <w:bookmarkStart w:id="1" w:name="_Hlk38631575"/>
      <w:bookmarkEnd w:id="0"/>
      <w:r w:rsidRPr="00BB0427">
        <w:rPr>
          <w:b/>
          <w:u w:val="single"/>
          <w:lang w:val=""/>
        </w:rPr>
        <w:t>Acerca del grupo de enfoque</w:t>
      </w:r>
    </w:p>
    <w:p w:rsidR="00126ADD" w:rsidRPr="00BB0427" w:rsidP="5B5F0C60" w14:paraId="406A3FF7" w14:textId="16EFEFCF">
      <w:pPr>
        <w:pStyle w:val="Paragraph"/>
        <w:spacing w:after="120" w:line="240" w:lineRule="auto"/>
        <w:rPr>
          <w:b/>
          <w:bCs/>
          <w:lang w:val=""/>
        </w:rPr>
      </w:pPr>
      <w:r w:rsidRPr="00BB0427">
        <w:rPr>
          <w:lang w:val=""/>
        </w:rPr>
        <w:t>Cada grupo de enfoque durará 90 minutos y se llevará a cabo en persona en [LOCATION] durante la semana del [DATE]</w:t>
      </w:r>
      <w:bookmarkStart w:id="2" w:name="_Hlk93307262"/>
      <w:r w:rsidRPr="00BB0427">
        <w:rPr>
          <w:lang w:val=""/>
        </w:rPr>
        <w:t xml:space="preserve">. Durante la conversación del grupo de enfoque, se le preguntará sobre su experiencia con las actualizaciones recientes del programa WIC. </w:t>
      </w:r>
      <w:r w:rsidRPr="00BB0427">
        <w:rPr>
          <w:b/>
          <w:lang w:val=""/>
        </w:rPr>
        <w:t>Por participar en este grupo de enfoque, recibirá una tarjeta de regalo [TYPE] de $50.</w:t>
      </w:r>
    </w:p>
    <w:p w:rsidR="00520A61" w:rsidRPr="00BB0427" w:rsidP="5B5F0C60" w14:paraId="1FF2A133" w14:textId="315EC090">
      <w:pPr>
        <w:pStyle w:val="Paragraph"/>
        <w:spacing w:after="120" w:line="240" w:lineRule="auto"/>
        <w:rPr>
          <w:b/>
          <w:bCs/>
          <w:lang w:val=""/>
        </w:rPr>
      </w:pPr>
      <w:r w:rsidRPr="00BB0427">
        <w:rPr>
          <w:lang w:val=""/>
        </w:rPr>
        <w:t xml:space="preserve">Esperamos que pueda participar. </w:t>
      </w:r>
      <w:r w:rsidRPr="00BB0427">
        <w:rPr>
          <w:b/>
          <w:lang w:val=""/>
        </w:rPr>
        <w:t xml:space="preserve">Por favor, responda a este correo electrónico o llámenos </w:t>
      </w:r>
      <w:bookmarkEnd w:id="2"/>
      <w:r w:rsidRPr="00BB0427">
        <w:rPr>
          <w:b/>
          <w:lang w:val=""/>
        </w:rPr>
        <w:t>si está disponible para el grupo de enfoque en uno de los siguientes días y horarios:</w:t>
      </w:r>
    </w:p>
    <w:p w:rsidR="0053579A" w:rsidRPr="00BB0427" w:rsidP="00B812B4" w14:paraId="14EE2E85" w14:textId="0F0BAAD9">
      <w:pPr>
        <w:pStyle w:val="Paragraph"/>
        <w:numPr>
          <w:ilvl w:val="0"/>
          <w:numId w:val="3"/>
        </w:numPr>
        <w:spacing w:after="0" w:line="240" w:lineRule="auto"/>
        <w:ind w:left="360"/>
        <w:rPr>
          <w:lang w:val=""/>
        </w:rPr>
      </w:pPr>
      <w:r w:rsidRPr="00BB0427">
        <w:rPr>
          <w:lang w:val=""/>
        </w:rPr>
        <w:t xml:space="preserve">Date, time 1, </w:t>
      </w:r>
      <w:r w:rsidRPr="00BB0427">
        <w:rPr>
          <w:lang w:val=""/>
        </w:rPr>
        <w:t>location</w:t>
      </w:r>
    </w:p>
    <w:p w:rsidR="0053579A" w:rsidRPr="00BB0427" w:rsidP="00B812B4" w14:paraId="0B63C23E" w14:textId="1D7CDEC0">
      <w:pPr>
        <w:pStyle w:val="Paragraph"/>
        <w:numPr>
          <w:ilvl w:val="0"/>
          <w:numId w:val="3"/>
        </w:numPr>
        <w:spacing w:after="0" w:line="240" w:lineRule="auto"/>
        <w:ind w:left="360"/>
        <w:rPr>
          <w:lang w:val=""/>
        </w:rPr>
      </w:pPr>
      <w:r w:rsidRPr="00BB0427">
        <w:rPr>
          <w:lang w:val=""/>
        </w:rPr>
        <w:t xml:space="preserve">Date, time 2, </w:t>
      </w:r>
      <w:r w:rsidRPr="00BB0427">
        <w:rPr>
          <w:lang w:val=""/>
        </w:rPr>
        <w:t>location</w:t>
      </w:r>
    </w:p>
    <w:p w:rsidR="0053579A" w:rsidRPr="00BB0427" w:rsidP="00B812B4" w14:paraId="7B1AB5F1" w14:textId="73A59406">
      <w:pPr>
        <w:pStyle w:val="Paragraph"/>
        <w:numPr>
          <w:ilvl w:val="0"/>
          <w:numId w:val="3"/>
        </w:numPr>
        <w:spacing w:after="0" w:line="240" w:lineRule="auto"/>
        <w:ind w:left="360"/>
        <w:rPr>
          <w:lang w:val=""/>
        </w:rPr>
      </w:pPr>
      <w:r w:rsidRPr="00BB0427">
        <w:rPr>
          <w:lang w:val=""/>
        </w:rPr>
        <w:t xml:space="preserve">Date, time 3, </w:t>
      </w:r>
      <w:r w:rsidRPr="00BB0427">
        <w:rPr>
          <w:lang w:val=""/>
        </w:rPr>
        <w:t>location</w:t>
      </w:r>
    </w:p>
    <w:p w:rsidR="00E5034B" w:rsidRPr="00BB0427" w:rsidP="00355A19" w14:paraId="7E1DB2D7" w14:textId="09E3577A">
      <w:pPr>
        <w:pStyle w:val="Paragraph"/>
        <w:spacing w:before="120" w:after="120" w:line="240" w:lineRule="auto"/>
        <w:rPr>
          <w:lang w:val=""/>
        </w:rPr>
      </w:pPr>
      <w:bookmarkStart w:id="3" w:name="_Hlk92912612"/>
      <w:r w:rsidRPr="00BB0427">
        <w:rPr>
          <w:lang w:val=""/>
        </w:rPr>
        <w:t xml:space="preserve">Su participación en este grupo de enfoque es voluntaria. Puede encontrar más información sobre el estudio en el documento adjunto, y no dude en comunicarse con nosotros o con la agencia de WIC de su localidad en cualquier momento si tiene preguntas. </w:t>
      </w:r>
    </w:p>
    <w:bookmarkEnd w:id="3"/>
    <w:p w:rsidR="00A94B7A" w:rsidRPr="00BB0427" w:rsidP="66FF4E0E" w14:paraId="3DFE63BE" w14:textId="1DAD5073">
      <w:pPr>
        <w:pStyle w:val="Paragraph"/>
        <w:spacing w:before="120" w:after="120" w:line="240" w:lineRule="auto"/>
        <w:rPr>
          <w:lang w:val=""/>
        </w:rPr>
      </w:pPr>
      <w:r w:rsidRPr="00BB0427">
        <w:rPr>
          <w:b/>
          <w:lang w:val=""/>
        </w:rPr>
        <w:t>Para programar su grupo de enfoque, envíe un correo electrónico a [EMAIL]@mathematica-mpr.com o llame al XXX-XXX-XXXX con las fechas y horas en las que está disponible antes del [DATE].</w:t>
      </w:r>
      <w:r w:rsidRPr="00BB0427">
        <w:rPr>
          <w:lang w:val=""/>
        </w:rPr>
        <w:t xml:space="preserve"> Puede comunicarse con la responsable del proyecto del FNS, Carol Dreibelbis, en carol.dreibelbis@usda.gov.</w:t>
      </w:r>
    </w:p>
    <w:p w:rsidR="00416620" w:rsidRPr="00BB0427" w:rsidP="00B812B4" w14:paraId="3798B9D1" w14:textId="0E250A07">
      <w:pPr>
        <w:pStyle w:val="Paragraph"/>
        <w:spacing w:before="120" w:after="120" w:line="240" w:lineRule="auto"/>
        <w:rPr>
          <w:rFonts w:cstheme="minorHAnsi"/>
          <w:lang w:val=""/>
        </w:rPr>
      </w:pPr>
      <w:r w:rsidRPr="00BB0427">
        <w:rPr>
          <w:lang w:val=""/>
        </w:rPr>
        <w:t xml:space="preserve">¡Gracias por su tiempo y su participación en este importante grupo de enfoque! </w:t>
      </w:r>
    </w:p>
    <w:p w:rsidR="00416620" w:rsidRPr="00BB0427" w:rsidP="00B812B4" w14:paraId="791D4749" w14:textId="729C81B2">
      <w:pPr>
        <w:pStyle w:val="Paragraph"/>
        <w:spacing w:before="240" w:line="240" w:lineRule="auto"/>
        <w:rPr>
          <w:rFonts w:cstheme="minorHAnsi"/>
          <w:lang w:val=""/>
        </w:rPr>
      </w:pPr>
      <w:r w:rsidRPr="00BB0427">
        <w:rPr>
          <w:lang w:val=""/>
        </w:rPr>
        <w:t>Atentamente.</w:t>
      </w:r>
    </w:p>
    <w:p w:rsidR="00416620" w:rsidRPr="00BB0427" w:rsidP="00B812B4" w14:paraId="7344BCD8" w14:textId="519DBAE9">
      <w:pPr>
        <w:pStyle w:val="Paragraph"/>
        <w:spacing w:after="0" w:line="240" w:lineRule="auto"/>
        <w:rPr>
          <w:lang w:val=""/>
        </w:rPr>
      </w:pPr>
      <w:r w:rsidRPr="00BB0427">
        <w:rPr>
          <w:lang w:val=""/>
        </w:rPr>
        <w:t>[FOCUS GROUP LEAD]</w:t>
      </w:r>
    </w:p>
    <w:p w:rsidR="002C3700" w:rsidRPr="00BB0427" w:rsidP="00B812B4" w14:paraId="4062DCD2" w14:textId="773AE147">
      <w:pPr>
        <w:pStyle w:val="Paragraph"/>
        <w:spacing w:after="0" w:line="240" w:lineRule="auto"/>
        <w:rPr>
          <w:lang w:val=""/>
        </w:rPr>
      </w:pPr>
      <w:bookmarkStart w:id="4" w:name="_Hlk92989211"/>
      <w:r w:rsidRPr="00BB0427">
        <w:rPr>
          <w:lang w:val=""/>
        </w:rPr>
        <w:t>Líder del grupo de enfoque</w:t>
      </w:r>
      <w:bookmarkStart w:id="5" w:name="_Hlk93584830"/>
      <w:r w:rsidRPr="00BB0427">
        <w:rPr>
          <w:lang w:val=""/>
        </w:rPr>
        <w:t>, Evaluación de la Modernización de WIC</w:t>
      </w:r>
      <w:bookmarkEnd w:id="1"/>
      <w:bookmarkEnd w:id="4"/>
      <w:bookmarkEnd w:id="5"/>
    </w:p>
    <w:sectPr w:rsidSect="00D15DCA">
      <w:headerReference w:type="default" r:id="rId11"/>
      <w:footerReference w:type="first" r:id="rId12"/>
      <w:pgSz w:w="12240" w:h="15840" w:code="1"/>
      <w:pgMar w:top="1152" w:right="1440" w:bottom="1152"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6662" w14:paraId="5C8514C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5DCA" w:rsidRPr="00D15DCA" w:rsidP="00D15DCA" w14:paraId="4EB44B0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6662" w14:paraId="188E64F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3B51" w:rsidRPr="00236662" w:rsidP="00D03B51" w14:paraId="7C64D1BD" w14:textId="28E1469F">
    <w:pPr>
      <w:pStyle w:val="Header"/>
      <w:jc w:val="right"/>
      <w:rPr>
        <w:rFonts w:ascii="Arial" w:eastAsia="Calibri" w:hAnsi="Arial" w:cs="Arial"/>
        <w:color w:val="auto"/>
        <w:sz w:val="16"/>
        <w:szCs w:val="16"/>
        <w:lang w:val="es-ES"/>
      </w:rPr>
    </w:pPr>
    <w:r w:rsidRPr="00236662">
      <w:rPr>
        <w:lang w:val="es-ES"/>
      </w:rPr>
      <w:t xml:space="preserve">N.º </w:t>
    </w:r>
    <w:r w:rsidRPr="00236662">
      <w:rPr>
        <w:rFonts w:ascii="Arial" w:hAnsi="Arial"/>
        <w:color w:val="auto"/>
        <w:sz w:val="16"/>
        <w:lang w:val="es-ES"/>
      </w:rPr>
      <w:t>OMB 0584-XXXX</w:t>
    </w:r>
  </w:p>
  <w:p w:rsidR="00D03B51" w:rsidRPr="00236662" w:rsidP="00D03B51" w14:paraId="3B5119DC" w14:textId="655F15E7">
    <w:pPr>
      <w:pStyle w:val="Header"/>
      <w:jc w:val="right"/>
      <w:rPr>
        <w:color w:val="auto"/>
        <w:lang w:val="es-ES"/>
      </w:rPr>
    </w:pPr>
    <w:r w:rsidRPr="00236662">
      <w:rPr>
        <w:rFonts w:ascii="Arial" w:hAnsi="Arial"/>
        <w:color w:val="auto"/>
        <w:sz w:val="16"/>
        <w:lang w:val="es-ES"/>
      </w:rPr>
      <w:t>Fecha de vencimiento: XX/XX/20XX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2BC" w:rsidRPr="00236662" w:rsidP="00D15DCA" w14:paraId="5ED73C7C" w14:textId="0BD83E73">
    <w:pPr>
      <w:pStyle w:val="Header"/>
      <w:spacing w:after="120"/>
      <w:jc w:val="right"/>
      <w:rPr>
        <w:rFonts w:ascii="Calibri" w:hAnsi="Calibri" w:cs="Calibri"/>
        <w:color w:val="auto"/>
        <w:spacing w:val="-4"/>
        <w:w w:val="105"/>
        <w:sz w:val="16"/>
        <w:szCs w:val="16"/>
        <w:lang w:val="es-ES"/>
      </w:rPr>
    </w:pPr>
    <w:r>
      <w:rPr>
        <w:rFonts w:ascii="Calibri" w:hAnsi="Calibri"/>
      </w:rPr>
      <w:tab/>
    </w:r>
    <w:r w:rsidRPr="00236662">
      <w:rPr>
        <w:rFonts w:ascii="Calibri" w:hAnsi="Calibri"/>
        <w:color w:val="auto"/>
        <w:sz w:val="16"/>
        <w:lang w:val="es-ES"/>
      </w:rPr>
      <w:t xml:space="preserve">Número de </w:t>
    </w:r>
    <w:r w:rsidRPr="00236662">
      <w:rPr>
        <w:rFonts w:ascii="Calibri" w:hAnsi="Calibri"/>
        <w:color w:val="auto"/>
        <w:spacing w:val="-4"/>
        <w:w w:val="105"/>
        <w:sz w:val="16"/>
        <w:lang w:val="es-ES"/>
      </w:rPr>
      <w:t>OMB: 0584-XXXX</w:t>
    </w:r>
  </w:p>
  <w:p w:rsidR="00B44E2E" w:rsidRPr="00236662" w:rsidP="00D15DCA" w14:paraId="45007B6B" w14:textId="01E07B1A">
    <w:pPr>
      <w:pStyle w:val="Header"/>
      <w:spacing w:after="0"/>
      <w:jc w:val="right"/>
      <w:rPr>
        <w:rFonts w:ascii="Calibri" w:hAnsi="Calibri" w:cs="Calibri"/>
        <w:color w:val="auto"/>
        <w:sz w:val="22"/>
        <w:lang w:val="es-ES"/>
      </w:rPr>
    </w:pPr>
    <w:r w:rsidRPr="00236662">
      <w:rPr>
        <w:rFonts w:ascii="Calibri" w:hAnsi="Calibri"/>
        <w:color w:val="auto"/>
        <w:sz w:val="16"/>
        <w:lang w:val="es-ES"/>
      </w:rPr>
      <w:t>Fecha de vencimiento</w:t>
    </w:r>
    <w:r w:rsidRPr="00236662">
      <w:rPr>
        <w:rFonts w:ascii="Calibri" w:hAnsi="Calibri"/>
        <w:color w:val="auto"/>
        <w:spacing w:val="-4"/>
        <w:w w:val="105"/>
        <w:sz w:val="16"/>
        <w:lang w:val="es-ES"/>
      </w:rPr>
      <w:t xml:space="preserve">: </w:t>
    </w:r>
    <w:r w:rsidRPr="00236662">
      <w:rPr>
        <w:rFonts w:ascii="Calibri" w:hAnsi="Calibri"/>
        <w:color w:val="auto"/>
        <w:spacing w:val="-4"/>
        <w:w w:val="105"/>
        <w:sz w:val="16"/>
        <w:lang w:val="es-ES"/>
      </w:rPr>
      <w:t>xx</w:t>
    </w:r>
    <w:r w:rsidRPr="00236662">
      <w:rPr>
        <w:rFonts w:ascii="Calibri" w:hAnsi="Calibri"/>
        <w:color w:val="auto"/>
        <w:spacing w:val="-4"/>
        <w:w w:val="105"/>
        <w:sz w:val="16"/>
        <w:lang w:val="es-ES"/>
      </w:rPr>
      <w:t>/</w:t>
    </w:r>
    <w:r w:rsidRPr="00236662">
      <w:rPr>
        <w:rFonts w:ascii="Calibri" w:hAnsi="Calibri"/>
        <w:color w:val="auto"/>
        <w:spacing w:val="-4"/>
        <w:w w:val="105"/>
        <w:sz w:val="16"/>
        <w:lang w:val="es-ES"/>
      </w:rPr>
      <w:t>xx</w:t>
    </w:r>
    <w:r w:rsidRPr="00236662">
      <w:rPr>
        <w:rFonts w:ascii="Calibri" w:hAnsi="Calibri"/>
        <w:color w:val="auto"/>
        <w:spacing w:val="-4"/>
        <w:w w:val="105"/>
        <w:sz w:val="16"/>
        <w:lang w:val="es-ES"/>
      </w:rPr>
      <w:t>/20xx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7B6B01"/>
    <w:multiLevelType w:val="hybridMultilevel"/>
    <w:tmpl w:val="C9C63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90435707">
    <w:abstractNumId w:val="1"/>
  </w:num>
  <w:num w:numId="2" w16cid:durableId="1706014">
    <w:abstractNumId w:val="2"/>
  </w:num>
  <w:num w:numId="3" w16cid:durableId="1789010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AA1"/>
    <w:rsid w:val="00006267"/>
    <w:rsid w:val="000A4181"/>
    <w:rsid w:val="000B5487"/>
    <w:rsid w:val="000B63FD"/>
    <w:rsid w:val="000D1A6E"/>
    <w:rsid w:val="000F2284"/>
    <w:rsid w:val="00116473"/>
    <w:rsid w:val="0012161E"/>
    <w:rsid w:val="00126ADD"/>
    <w:rsid w:val="001367F1"/>
    <w:rsid w:val="0013739A"/>
    <w:rsid w:val="00147921"/>
    <w:rsid w:val="00151AC7"/>
    <w:rsid w:val="001543C7"/>
    <w:rsid w:val="001751B8"/>
    <w:rsid w:val="002071A8"/>
    <w:rsid w:val="0022196D"/>
    <w:rsid w:val="00226AB9"/>
    <w:rsid w:val="00226D11"/>
    <w:rsid w:val="00236662"/>
    <w:rsid w:val="00251F09"/>
    <w:rsid w:val="00255A08"/>
    <w:rsid w:val="002608C3"/>
    <w:rsid w:val="002725A6"/>
    <w:rsid w:val="00280B25"/>
    <w:rsid w:val="00283D80"/>
    <w:rsid w:val="00287FCF"/>
    <w:rsid w:val="002930F0"/>
    <w:rsid w:val="00297833"/>
    <w:rsid w:val="002B2986"/>
    <w:rsid w:val="002C3700"/>
    <w:rsid w:val="002C4034"/>
    <w:rsid w:val="002D3617"/>
    <w:rsid w:val="00304B77"/>
    <w:rsid w:val="00304D7E"/>
    <w:rsid w:val="00310FDF"/>
    <w:rsid w:val="00333D79"/>
    <w:rsid w:val="0033714B"/>
    <w:rsid w:val="00342901"/>
    <w:rsid w:val="00353CBD"/>
    <w:rsid w:val="00355A19"/>
    <w:rsid w:val="00361D5B"/>
    <w:rsid w:val="003737CD"/>
    <w:rsid w:val="0039181B"/>
    <w:rsid w:val="003A0CAA"/>
    <w:rsid w:val="003A1D1B"/>
    <w:rsid w:val="003A4A63"/>
    <w:rsid w:val="003C150F"/>
    <w:rsid w:val="003D6427"/>
    <w:rsid w:val="00400F38"/>
    <w:rsid w:val="00416620"/>
    <w:rsid w:val="00417B83"/>
    <w:rsid w:val="00451ED6"/>
    <w:rsid w:val="00453691"/>
    <w:rsid w:val="0045484B"/>
    <w:rsid w:val="00464D26"/>
    <w:rsid w:val="004861A5"/>
    <w:rsid w:val="00497760"/>
    <w:rsid w:val="004C5358"/>
    <w:rsid w:val="004C70AD"/>
    <w:rsid w:val="004F1084"/>
    <w:rsid w:val="00520A61"/>
    <w:rsid w:val="0053579A"/>
    <w:rsid w:val="00542520"/>
    <w:rsid w:val="00550603"/>
    <w:rsid w:val="00556783"/>
    <w:rsid w:val="0057286E"/>
    <w:rsid w:val="00580C5F"/>
    <w:rsid w:val="0058453B"/>
    <w:rsid w:val="005B4BF6"/>
    <w:rsid w:val="005E591E"/>
    <w:rsid w:val="005F703F"/>
    <w:rsid w:val="00625968"/>
    <w:rsid w:val="0065376B"/>
    <w:rsid w:val="0069334F"/>
    <w:rsid w:val="006A1B13"/>
    <w:rsid w:val="006A1C60"/>
    <w:rsid w:val="006A2738"/>
    <w:rsid w:val="006A5C4B"/>
    <w:rsid w:val="006B096D"/>
    <w:rsid w:val="006C150F"/>
    <w:rsid w:val="00701BD8"/>
    <w:rsid w:val="00702D1B"/>
    <w:rsid w:val="00714354"/>
    <w:rsid w:val="00717D38"/>
    <w:rsid w:val="00733033"/>
    <w:rsid w:val="00761613"/>
    <w:rsid w:val="0076764B"/>
    <w:rsid w:val="00794AE7"/>
    <w:rsid w:val="00820DA9"/>
    <w:rsid w:val="00826B16"/>
    <w:rsid w:val="00834644"/>
    <w:rsid w:val="00836FC4"/>
    <w:rsid w:val="00846D96"/>
    <w:rsid w:val="00851526"/>
    <w:rsid w:val="008535F8"/>
    <w:rsid w:val="0085773F"/>
    <w:rsid w:val="00864926"/>
    <w:rsid w:val="008742C9"/>
    <w:rsid w:val="008808AE"/>
    <w:rsid w:val="008910C2"/>
    <w:rsid w:val="008A1AEA"/>
    <w:rsid w:val="008B38E7"/>
    <w:rsid w:val="008E2115"/>
    <w:rsid w:val="00902345"/>
    <w:rsid w:val="00902E98"/>
    <w:rsid w:val="00905CD1"/>
    <w:rsid w:val="00947C53"/>
    <w:rsid w:val="00953D81"/>
    <w:rsid w:val="00960DFE"/>
    <w:rsid w:val="009706D6"/>
    <w:rsid w:val="009754E7"/>
    <w:rsid w:val="00976AF2"/>
    <w:rsid w:val="00977478"/>
    <w:rsid w:val="00980992"/>
    <w:rsid w:val="009843FE"/>
    <w:rsid w:val="009855E9"/>
    <w:rsid w:val="00990275"/>
    <w:rsid w:val="009A5CA4"/>
    <w:rsid w:val="009D3C9D"/>
    <w:rsid w:val="009E5C11"/>
    <w:rsid w:val="009F10C1"/>
    <w:rsid w:val="009F1D6C"/>
    <w:rsid w:val="00A21031"/>
    <w:rsid w:val="00A5023F"/>
    <w:rsid w:val="00A540E4"/>
    <w:rsid w:val="00A876D7"/>
    <w:rsid w:val="00A90A94"/>
    <w:rsid w:val="00A94B7A"/>
    <w:rsid w:val="00AC0847"/>
    <w:rsid w:val="00AC0CC7"/>
    <w:rsid w:val="00AC3556"/>
    <w:rsid w:val="00AF27F2"/>
    <w:rsid w:val="00B307C2"/>
    <w:rsid w:val="00B44E2E"/>
    <w:rsid w:val="00B53F00"/>
    <w:rsid w:val="00B66C13"/>
    <w:rsid w:val="00B776DA"/>
    <w:rsid w:val="00B812B4"/>
    <w:rsid w:val="00BA52E9"/>
    <w:rsid w:val="00BB0427"/>
    <w:rsid w:val="00BD092F"/>
    <w:rsid w:val="00BD24A3"/>
    <w:rsid w:val="00BD3AA1"/>
    <w:rsid w:val="00BE5AE8"/>
    <w:rsid w:val="00BE7A15"/>
    <w:rsid w:val="00BF0FC3"/>
    <w:rsid w:val="00BF26EB"/>
    <w:rsid w:val="00C02636"/>
    <w:rsid w:val="00C248B0"/>
    <w:rsid w:val="00C43E69"/>
    <w:rsid w:val="00C838EC"/>
    <w:rsid w:val="00C91D51"/>
    <w:rsid w:val="00CA043D"/>
    <w:rsid w:val="00CB2276"/>
    <w:rsid w:val="00CD481A"/>
    <w:rsid w:val="00CD7815"/>
    <w:rsid w:val="00CF0EF2"/>
    <w:rsid w:val="00CF1F61"/>
    <w:rsid w:val="00D03B51"/>
    <w:rsid w:val="00D15DB8"/>
    <w:rsid w:val="00D15DCA"/>
    <w:rsid w:val="00D30C41"/>
    <w:rsid w:val="00D45CD4"/>
    <w:rsid w:val="00D46372"/>
    <w:rsid w:val="00D52C63"/>
    <w:rsid w:val="00D93090"/>
    <w:rsid w:val="00DD6E1B"/>
    <w:rsid w:val="00DE1A9D"/>
    <w:rsid w:val="00E2074F"/>
    <w:rsid w:val="00E30A2F"/>
    <w:rsid w:val="00E47DB4"/>
    <w:rsid w:val="00E5034B"/>
    <w:rsid w:val="00E711B2"/>
    <w:rsid w:val="00E81ADE"/>
    <w:rsid w:val="00ED3A28"/>
    <w:rsid w:val="00ED65DE"/>
    <w:rsid w:val="00EF5F7F"/>
    <w:rsid w:val="00F10F85"/>
    <w:rsid w:val="00F113BC"/>
    <w:rsid w:val="00F20B81"/>
    <w:rsid w:val="00F3214B"/>
    <w:rsid w:val="00F45BCA"/>
    <w:rsid w:val="00F64FC9"/>
    <w:rsid w:val="00F6735B"/>
    <w:rsid w:val="00F73850"/>
    <w:rsid w:val="00FA23FA"/>
    <w:rsid w:val="00FA42BC"/>
    <w:rsid w:val="00FA6117"/>
    <w:rsid w:val="00FB7358"/>
    <w:rsid w:val="00FC5F8F"/>
    <w:rsid w:val="00FE144D"/>
    <w:rsid w:val="00FE4F68"/>
    <w:rsid w:val="00FE629D"/>
    <w:rsid w:val="00FF6AA1"/>
    <w:rsid w:val="06E1B454"/>
    <w:rsid w:val="06FBB237"/>
    <w:rsid w:val="090E2CF8"/>
    <w:rsid w:val="09F9C4A8"/>
    <w:rsid w:val="0BCA2656"/>
    <w:rsid w:val="0C75EAE5"/>
    <w:rsid w:val="142842D3"/>
    <w:rsid w:val="182F81E8"/>
    <w:rsid w:val="2257792A"/>
    <w:rsid w:val="23F3498B"/>
    <w:rsid w:val="258F19EC"/>
    <w:rsid w:val="285179D6"/>
    <w:rsid w:val="2BD5E947"/>
    <w:rsid w:val="3101F143"/>
    <w:rsid w:val="381BA8AD"/>
    <w:rsid w:val="438F8593"/>
    <w:rsid w:val="44B439B2"/>
    <w:rsid w:val="45869985"/>
    <w:rsid w:val="473496FA"/>
    <w:rsid w:val="47926599"/>
    <w:rsid w:val="51082F26"/>
    <w:rsid w:val="58B25CCE"/>
    <w:rsid w:val="5AEC602C"/>
    <w:rsid w:val="5B5F0C60"/>
    <w:rsid w:val="663426EC"/>
    <w:rsid w:val="66FF4E0E"/>
    <w:rsid w:val="77DD9A2E"/>
    <w:rsid w:val="7B1D28C1"/>
    <w:rsid w:val="7BC9966A"/>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34E78A2E"/>
  <w15:chartTrackingRefBased/>
  <w15:docId w15:val="{9265E4DA-DB40-45E1-A047-1C8C250C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481A"/>
    <w:rPr>
      <w:kern w:val="2"/>
      <w:lang w:val="en-US"/>
      <w14:ligatures w14:val="standardContextual"/>
    </w:rPr>
  </w:style>
  <w:style w:type="character" w:default="1" w:styleId="DefaultParagraphFont">
    <w:name w:val="Default Paragraph Font"/>
    <w:uiPriority w:val="1"/>
    <w:semiHidden/>
    <w:unhideWhenUsed/>
    <w:rsid w:val="00CD481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D481A"/>
  </w:style>
  <w:style w:type="paragraph" w:styleId="Header">
    <w:name w:val="header"/>
    <w:basedOn w:val="Normal"/>
    <w:link w:val="HeaderChar"/>
    <w:qFormat/>
    <w:rsid w:val="00400F38"/>
    <w:pPr>
      <w:tabs>
        <w:tab w:val="right" w:pos="9360"/>
      </w:tabs>
      <w:spacing w:after="360"/>
      <w:contextualSpacing/>
    </w:pPr>
    <w:rPr>
      <w:rFonts w:asciiTheme="majorHAnsi" w:hAnsiTheme="majorHAnsi"/>
      <w:color w:val="4472C4" w:themeColor="accent1"/>
      <w:sz w:val="20"/>
    </w:rPr>
  </w:style>
  <w:style w:type="character" w:customStyle="1" w:styleId="HeaderChar">
    <w:name w:val="Header Char"/>
    <w:basedOn w:val="DefaultParagraphFont"/>
    <w:link w:val="Header"/>
    <w:rsid w:val="00400F38"/>
    <w:rPr>
      <w:rFonts w:eastAsia="Times New Roman" w:asciiTheme="majorHAnsi" w:hAnsiTheme="majorHAnsi" w:cs="Times New Roman"/>
      <w:color w:val="4472C4" w:themeColor="accent1"/>
      <w:sz w:val="20"/>
      <w:szCs w:val="20"/>
    </w:rPr>
  </w:style>
  <w:style w:type="paragraph" w:customStyle="1" w:styleId="Paragraph">
    <w:name w:val="Paragraph"/>
    <w:basedOn w:val="Normal"/>
    <w:qFormat/>
    <w:rsid w:val="00400F38"/>
  </w:style>
  <w:style w:type="character" w:styleId="Hyperlink">
    <w:name w:val="Hyperlink"/>
    <w:basedOn w:val="DefaultParagraphFont"/>
    <w:unhideWhenUsed/>
    <w:rsid w:val="00400F38"/>
    <w:rPr>
      <w:color w:val="0563C1" w:themeColor="hyperlink"/>
      <w:u w:val="single"/>
    </w:rPr>
  </w:style>
  <w:style w:type="paragraph" w:styleId="CommentText">
    <w:name w:val="annotation text"/>
    <w:basedOn w:val="Normal"/>
    <w:link w:val="CommentTextChar"/>
    <w:unhideWhenUsed/>
    <w:rsid w:val="00416620"/>
    <w:rPr>
      <w:sz w:val="20"/>
    </w:rPr>
  </w:style>
  <w:style w:type="character" w:customStyle="1" w:styleId="CommentTextChar">
    <w:name w:val="Comment Text Char"/>
    <w:basedOn w:val="DefaultParagraphFont"/>
    <w:link w:val="CommentText"/>
    <w:uiPriority w:val="99"/>
    <w:rsid w:val="00416620"/>
    <w:rPr>
      <w:rFonts w:eastAsia="Times New Roman" w:cs="Times New Roman"/>
      <w:sz w:val="20"/>
      <w:szCs w:val="20"/>
    </w:rPr>
  </w:style>
  <w:style w:type="character" w:styleId="CommentReference">
    <w:name w:val="annotation reference"/>
    <w:basedOn w:val="DefaultParagraphFont"/>
    <w:unhideWhenUsed/>
    <w:rsid w:val="00416620"/>
    <w:rPr>
      <w:rFonts w:asciiTheme="minorHAnsi" w:hAnsiTheme="minorHAnsi"/>
      <w:sz w:val="16"/>
      <w:szCs w:val="16"/>
    </w:rPr>
  </w:style>
  <w:style w:type="paragraph" w:styleId="Footer">
    <w:name w:val="footer"/>
    <w:basedOn w:val="Normal"/>
    <w:link w:val="FooterChar"/>
    <w:unhideWhenUsed/>
    <w:qFormat/>
    <w:rsid w:val="00416620"/>
    <w:pPr>
      <w:tabs>
        <w:tab w:val="center" w:pos="4680"/>
        <w:tab w:val="right" w:pos="9360"/>
      </w:tabs>
      <w:spacing w:after="0" w:line="240" w:lineRule="auto"/>
    </w:pPr>
  </w:style>
  <w:style w:type="character" w:customStyle="1" w:styleId="FooterChar">
    <w:name w:val="Footer Char"/>
    <w:basedOn w:val="DefaultParagraphFont"/>
    <w:link w:val="Footer"/>
    <w:uiPriority w:val="1"/>
    <w:rsid w:val="00416620"/>
    <w:rPr>
      <w:rFonts w:eastAsia="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83D80"/>
    <w:pPr>
      <w:spacing w:line="240" w:lineRule="auto"/>
    </w:pPr>
    <w:rPr>
      <w:b/>
      <w:bCs/>
    </w:rPr>
  </w:style>
  <w:style w:type="character" w:customStyle="1" w:styleId="CommentSubjectChar">
    <w:name w:val="Comment Subject Char"/>
    <w:basedOn w:val="CommentTextChar"/>
    <w:link w:val="CommentSubject"/>
    <w:uiPriority w:val="99"/>
    <w:semiHidden/>
    <w:rsid w:val="00283D80"/>
    <w:rPr>
      <w:rFonts w:eastAsia="Times New Roman" w:cs="Times New Roman"/>
      <w:b/>
      <w:bCs/>
      <w:sz w:val="20"/>
      <w:szCs w:val="20"/>
    </w:rPr>
  </w:style>
  <w:style w:type="paragraph" w:styleId="Revision">
    <w:name w:val="Revision"/>
    <w:hidden/>
    <w:uiPriority w:val="99"/>
    <w:semiHidden/>
    <w:rsid w:val="00B44E2E"/>
    <w:pPr>
      <w:spacing w:after="0" w:line="240" w:lineRule="auto"/>
    </w:pPr>
    <w:rPr>
      <w:rFonts w:eastAsia="Times New Roman" w:cs="Times New Roman"/>
      <w:sz w:val="24"/>
      <w:szCs w:val="20"/>
    </w:rPr>
  </w:style>
  <w:style w:type="character" w:customStyle="1" w:styleId="tw4winExternal">
    <w:name w:val="tw4winExternal"/>
    <w:rsid w:val="000F2284"/>
    <w:rPr>
      <w:rFonts w:ascii="Times New Roman" w:hAnsi="Times New Roman"/>
      <w:noProof/>
      <w:color w:val="808080"/>
    </w:rPr>
  </w:style>
  <w:style w:type="character" w:customStyle="1" w:styleId="tw4winInternal">
    <w:name w:val="tw4winInternal"/>
    <w:rsid w:val="000F2284"/>
    <w:rPr>
      <w:rFonts w:ascii="Times New Roman" w:hAnsi="Times New Roman"/>
      <w:noProof/>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74DAF2-8A54-4CC3-941A-6FC8760B3D86}">
  <ds:schemaRefs>
    <ds:schemaRef ds:uri="http://www.w3.org/XML/1998/namespace"/>
    <ds:schemaRef ds:uri="3f29377c-9173-458c-b67e-ff2b850d3996"/>
    <ds:schemaRef ds:uri="http://purl.org/dc/dcmitype/"/>
    <ds:schemaRef ds:uri="http://schemas.microsoft.com/office/infopath/2007/PartnerControls"/>
    <ds:schemaRef ds:uri="http://purl.org/dc/elements/1.1/"/>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81D41BE-72FA-4F3A-83D1-3AF04199145E}">
  <ds:schemaRefs>
    <ds:schemaRef ds:uri="http://schemas.openxmlformats.org/officeDocument/2006/bibliography"/>
  </ds:schemaRefs>
</ds:datastoreItem>
</file>

<file path=customXml/itemProps3.xml><?xml version="1.0" encoding="utf-8"?>
<ds:datastoreItem xmlns:ds="http://schemas.openxmlformats.org/officeDocument/2006/customXml" ds:itemID="{519D64F4-87BA-4D6A-8915-AB4EC9FDE8CC}">
  <ds:schemaRefs/>
</ds:datastoreItem>
</file>

<file path=customXml/itemProps4.xml><?xml version="1.0" encoding="utf-8"?>
<ds:datastoreItem xmlns:ds="http://schemas.openxmlformats.org/officeDocument/2006/customXml" ds:itemID="{37DD4BE7-4044-4CD2-BEB3-7E5D89F197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Participant Focus Group Scheduling Email</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Focus Group Scheduling Email</dc:title>
  <dc:creator>Mathematica</dc:creator>
  <cp:lastModifiedBy>Caroline Lauver</cp:lastModifiedBy>
  <cp:revision>6</cp:revision>
  <dcterms:created xsi:type="dcterms:W3CDTF">2024-03-12T17:19:00Z</dcterms:created>
  <dcterms:modified xsi:type="dcterms:W3CDTF">2025-01-09T19:23:00Z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