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B75666" w:rsidP="2DDF10C6" w14:paraId="497B2812" w14:textId="77777777">
      <w:pPr>
        <w:pStyle w:val="NoSpacing"/>
        <w:spacing w:line="259" w:lineRule="auto"/>
        <w:jc w:val="center"/>
        <w:rPr>
          <w:rFonts w:asciiTheme="minorHAnsi" w:hAnsiTheme="minorHAnsi" w:cstheme="minorHAnsi"/>
          <w:b/>
          <w:bCs/>
          <w:sz w:val="24"/>
          <w:szCs w:val="24"/>
        </w:rPr>
      </w:pPr>
      <w:r w:rsidRPr="00B75666">
        <w:rPr>
          <w:rFonts w:asciiTheme="minorHAnsi" w:hAnsiTheme="minorHAnsi" w:cstheme="minorHAnsi"/>
          <w:b/>
          <w:bCs/>
          <w:sz w:val="24"/>
          <w:szCs w:val="24"/>
        </w:rPr>
        <w:t>SUPPORTING STATEMENT</w:t>
      </w:r>
      <w:r w:rsidRPr="00B75666" w:rsidR="007F2304">
        <w:rPr>
          <w:rFonts w:asciiTheme="minorHAnsi" w:hAnsiTheme="minorHAnsi" w:cstheme="minorHAnsi"/>
          <w:b/>
          <w:bCs/>
          <w:sz w:val="24"/>
          <w:szCs w:val="24"/>
        </w:rPr>
        <w:t xml:space="preserve"> A</w:t>
      </w:r>
    </w:p>
    <w:p w:rsidR="00E12A81" w:rsidRPr="00B75666" w:rsidP="00E12A81" w14:paraId="14BD20F8" w14:textId="77777777">
      <w:pPr>
        <w:pStyle w:val="NoSpacing"/>
        <w:jc w:val="center"/>
        <w:rPr>
          <w:rFonts w:asciiTheme="minorHAnsi" w:hAnsiTheme="minorHAnsi" w:cstheme="minorHAnsi"/>
          <w:b/>
          <w:sz w:val="24"/>
          <w:szCs w:val="24"/>
        </w:rPr>
      </w:pPr>
      <w:r w:rsidRPr="00B75666">
        <w:rPr>
          <w:rFonts w:asciiTheme="minorHAnsi" w:hAnsiTheme="minorHAnsi" w:cstheme="minorHAnsi"/>
          <w:b/>
          <w:sz w:val="24"/>
          <w:szCs w:val="24"/>
        </w:rPr>
        <w:t>U.S. Department of Commerce</w:t>
      </w:r>
    </w:p>
    <w:p w:rsidR="00201347" w:rsidRPr="00B75666" w:rsidP="00E12A81" w14:paraId="36A6892F" w14:textId="77777777">
      <w:pPr>
        <w:pStyle w:val="NoSpacing"/>
        <w:jc w:val="center"/>
        <w:rPr>
          <w:rFonts w:asciiTheme="minorHAnsi" w:hAnsiTheme="minorHAnsi" w:cstheme="minorHAnsi"/>
          <w:b/>
          <w:sz w:val="24"/>
          <w:szCs w:val="24"/>
        </w:rPr>
      </w:pPr>
      <w:r w:rsidRPr="00B75666">
        <w:rPr>
          <w:rFonts w:asciiTheme="minorHAnsi" w:hAnsiTheme="minorHAnsi" w:cstheme="minorHAnsi"/>
          <w:b/>
          <w:sz w:val="24"/>
          <w:szCs w:val="24"/>
        </w:rPr>
        <w:t>U.S. Census Bureau</w:t>
      </w:r>
    </w:p>
    <w:p w:rsidR="00E375CC" w:rsidRPr="00B75666" w:rsidP="00E375CC" w14:paraId="2DE9A7AB" w14:textId="77777777">
      <w:pPr>
        <w:tabs>
          <w:tab w:val="center" w:pos="4680"/>
        </w:tabs>
        <w:jc w:val="center"/>
        <w:rPr>
          <w:rFonts w:asciiTheme="minorHAnsi" w:hAnsiTheme="minorHAnsi" w:cstheme="minorHAnsi"/>
          <w:b/>
          <w:bCs/>
          <w:sz w:val="24"/>
          <w:szCs w:val="24"/>
        </w:rPr>
      </w:pPr>
      <w:r w:rsidRPr="00B75666">
        <w:rPr>
          <w:rFonts w:asciiTheme="minorHAnsi" w:hAnsiTheme="minorHAnsi" w:cstheme="minorHAnsi"/>
          <w:b/>
          <w:bCs/>
          <w:sz w:val="24"/>
          <w:szCs w:val="24"/>
        </w:rPr>
        <w:t>National Sample Survey of Registered Nurses</w:t>
      </w:r>
    </w:p>
    <w:p w:rsidR="00E375CC" w:rsidRPr="00B75666" w:rsidP="00E375CC" w14:paraId="77D20B8E" w14:textId="77777777">
      <w:pPr>
        <w:tabs>
          <w:tab w:val="center" w:pos="4680"/>
        </w:tabs>
        <w:jc w:val="center"/>
        <w:rPr>
          <w:rFonts w:asciiTheme="minorHAnsi" w:hAnsiTheme="minorHAnsi" w:cstheme="minorHAnsi"/>
          <w:b/>
          <w:sz w:val="24"/>
          <w:szCs w:val="24"/>
        </w:rPr>
      </w:pPr>
      <w:r w:rsidRPr="00B75666">
        <w:rPr>
          <w:rFonts w:asciiTheme="minorHAnsi" w:hAnsiTheme="minorHAnsi" w:cstheme="minorHAnsi"/>
          <w:b/>
          <w:sz w:val="24"/>
          <w:szCs w:val="24"/>
        </w:rPr>
        <w:t>OMB Control No. 0607-1002</w:t>
      </w:r>
    </w:p>
    <w:p w:rsidR="00201347" w:rsidRPr="00B75666" w14:paraId="50124EE1" w14:textId="77777777">
      <w:pPr>
        <w:pStyle w:val="BodyText"/>
        <w:spacing w:before="1"/>
        <w:ind w:left="0"/>
        <w:rPr>
          <w:rFonts w:asciiTheme="minorHAnsi" w:hAnsiTheme="minorHAnsi" w:cstheme="minorHAnsi"/>
          <w:b/>
        </w:rPr>
      </w:pPr>
    </w:p>
    <w:p w:rsidR="00201347" w:rsidRPr="00B75666" w:rsidP="007F2304" w14:paraId="6968F729" w14:textId="77777777">
      <w:pPr>
        <w:pStyle w:val="Heading1"/>
        <w:spacing w:before="199"/>
        <w:ind w:left="0"/>
        <w:rPr>
          <w:rFonts w:asciiTheme="minorHAnsi" w:hAnsiTheme="minorHAnsi" w:cstheme="minorHAnsi"/>
        </w:rPr>
      </w:pPr>
      <w:r w:rsidRPr="00B75666">
        <w:rPr>
          <w:rFonts w:asciiTheme="minorHAnsi" w:hAnsiTheme="minorHAnsi" w:cstheme="minorHAnsi"/>
        </w:rPr>
        <w:t>Abstract</w:t>
      </w:r>
    </w:p>
    <w:p w:rsidR="0050239D" w:rsidRPr="00B75666" w:rsidP="0050239D" w14:paraId="7ADECF89" w14:textId="77777777">
      <w:pPr>
        <w:spacing w:before="240"/>
        <w:ind w:left="360"/>
        <w:rPr>
          <w:rFonts w:asciiTheme="minorHAnsi" w:hAnsiTheme="minorHAnsi" w:cstheme="minorHAnsi"/>
          <w:sz w:val="24"/>
          <w:szCs w:val="24"/>
        </w:rPr>
      </w:pPr>
      <w:r w:rsidRPr="00B75666">
        <w:rPr>
          <w:rFonts w:asciiTheme="minorHAnsi" w:hAnsiTheme="minorHAnsi" w:cstheme="minorHAnsi"/>
          <w:sz w:val="24"/>
          <w:szCs w:val="24"/>
        </w:rPr>
        <w:t xml:space="preserve">Sponsored by the U.S. Department of Health and Human Services’ (HHS) Health Resources and Services Administration’s (HRSA) National Center for Health Workforce Analysis (NCHWA), the National Sample Survey of Registered Nurses (NSSRN) is designed to obtain the necessary data to determine the characteristics and distribution of registered nurses (RNs) throughout the United States, as well as emerging patterns in their employment characteristics. These data will provide the means for the evaluation and assessment of the evolving demographics, educational qualifications, and career employment patterns of RNs. </w:t>
      </w:r>
    </w:p>
    <w:p w:rsidR="007F2304" w:rsidRPr="00B75666" w:rsidP="007F2304" w14:paraId="50CCAD56" w14:textId="77777777">
      <w:pPr>
        <w:spacing w:before="144" w:line="259" w:lineRule="auto"/>
        <w:rPr>
          <w:rFonts w:asciiTheme="minorHAnsi" w:hAnsiTheme="minorHAnsi" w:cstheme="minorHAnsi"/>
          <w:b/>
          <w:sz w:val="24"/>
          <w:szCs w:val="24"/>
        </w:rPr>
      </w:pPr>
    </w:p>
    <w:p w:rsidR="00201347" w:rsidRPr="00B75666" w:rsidP="007F2304" w14:paraId="57228BBD" w14:textId="77777777">
      <w:pPr>
        <w:pStyle w:val="Heading1"/>
        <w:spacing w:before="124"/>
        <w:ind w:left="0"/>
        <w:rPr>
          <w:rFonts w:asciiTheme="minorHAnsi" w:hAnsiTheme="minorHAnsi" w:cstheme="minorHAnsi"/>
        </w:rPr>
      </w:pPr>
      <w:r w:rsidRPr="00B75666">
        <w:rPr>
          <w:rFonts w:asciiTheme="minorHAnsi" w:hAnsiTheme="minorHAnsi" w:cstheme="minorHAnsi"/>
        </w:rPr>
        <w:t>Justification</w:t>
      </w:r>
    </w:p>
    <w:p w:rsidR="00201347" w:rsidRPr="00B75666" w:rsidP="00844D2F" w14:paraId="6357C725" w14:textId="77777777">
      <w:pPr>
        <w:pStyle w:val="ListParagraph"/>
        <w:numPr>
          <w:ilvl w:val="0"/>
          <w:numId w:val="7"/>
        </w:numPr>
        <w:tabs>
          <w:tab w:val="left" w:pos="669"/>
        </w:tabs>
        <w:spacing w:before="182" w:line="259" w:lineRule="auto"/>
        <w:ind w:left="360" w:hanging="360"/>
        <w:rPr>
          <w:rFonts w:asciiTheme="minorHAnsi" w:hAnsiTheme="minorHAnsi" w:cstheme="minorHAnsi"/>
          <w:b/>
          <w:sz w:val="24"/>
          <w:szCs w:val="24"/>
        </w:rPr>
      </w:pPr>
      <w:r w:rsidRPr="00B75666">
        <w:rPr>
          <w:rFonts w:asciiTheme="minorHAnsi" w:hAnsiTheme="minorHAnsi" w:cstheme="minorHAnsi"/>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59F5" w:rsidP="00536744" w14:paraId="0D5488F6" w14:textId="1CE2614A">
      <w:pPr>
        <w:tabs>
          <w:tab w:val="left" w:pos="360"/>
        </w:tabs>
        <w:spacing w:before="240"/>
        <w:ind w:left="360"/>
        <w:rPr>
          <w:rFonts w:asciiTheme="minorHAnsi" w:hAnsiTheme="minorHAnsi" w:cstheme="minorHAnsi"/>
          <w:sz w:val="24"/>
          <w:szCs w:val="24"/>
        </w:rPr>
      </w:pPr>
      <w:r w:rsidRPr="00B75666">
        <w:rPr>
          <w:rFonts w:asciiTheme="minorHAnsi" w:hAnsiTheme="minorHAnsi" w:cstheme="minorHAnsi"/>
          <w:sz w:val="24"/>
          <w:szCs w:val="24"/>
        </w:rPr>
        <w:t xml:space="preserve">The NSSRN is collected to help fulfill the congressional mandates of the Public Health Service Act, </w:t>
      </w:r>
      <w:bookmarkStart w:id="0" w:name="_Hlk205194036"/>
      <w:r w:rsidRPr="00B75666">
        <w:rPr>
          <w:rFonts w:asciiTheme="minorHAnsi" w:hAnsiTheme="minorHAnsi" w:cstheme="minorHAnsi"/>
          <w:sz w:val="24"/>
          <w:szCs w:val="24"/>
        </w:rPr>
        <w:t>Title 42, U.S.C. Section 294n(b)(2)(A) and Section 295k(a)-(b</w:t>
      </w:r>
      <w:bookmarkEnd w:id="0"/>
      <w:r w:rsidRPr="00B75666">
        <w:rPr>
          <w:rFonts w:asciiTheme="minorHAnsi" w:hAnsiTheme="minorHAnsi" w:cstheme="minorHAnsi"/>
          <w:sz w:val="24"/>
          <w:szCs w:val="24"/>
        </w:rPr>
        <w:t xml:space="preserve">). These mandates ensure the development of information describing and analyzing the health care workforce and workforce-related issues. Through </w:t>
      </w:r>
      <w:r w:rsidRPr="00B75666">
        <w:rPr>
          <w:rFonts w:asciiTheme="minorHAnsi" w:hAnsiTheme="minorHAnsi" w:cstheme="minorHAnsi"/>
          <w:sz w:val="24"/>
          <w:szCs w:val="24"/>
        </w:rPr>
        <w:t>means of collecting</w:t>
      </w:r>
      <w:r w:rsidRPr="00B75666">
        <w:rPr>
          <w:rFonts w:asciiTheme="minorHAnsi" w:hAnsiTheme="minorHAnsi" w:cstheme="minorHAnsi"/>
          <w:sz w:val="24"/>
          <w:szCs w:val="24"/>
        </w:rPr>
        <w:t xml:space="preserve">, compiling, and analyzing data on healthcare professionals, this survey provides required information for decision-making regarding future directions in health professions and nursing programs in response to societal and professional needs. Such data </w:t>
      </w:r>
      <w:r w:rsidRPr="00B75666">
        <w:rPr>
          <w:rFonts w:asciiTheme="minorHAnsi" w:hAnsiTheme="minorHAnsi" w:cstheme="minorHAnsi"/>
          <w:sz w:val="24"/>
          <w:szCs w:val="24"/>
        </w:rPr>
        <w:t>have</w:t>
      </w:r>
      <w:r w:rsidRPr="00B75666">
        <w:rPr>
          <w:rFonts w:asciiTheme="minorHAnsi" w:hAnsiTheme="minorHAnsi" w:cstheme="minorHAnsi"/>
          <w:sz w:val="24"/>
          <w:szCs w:val="24"/>
        </w:rPr>
        <w:t xml:space="preserve"> become particularly important to better understand workforce issues given the recent </w:t>
      </w:r>
      <w:r w:rsidR="001836EA">
        <w:rPr>
          <w:rFonts w:asciiTheme="minorHAnsi" w:hAnsiTheme="minorHAnsi" w:cstheme="minorHAnsi"/>
          <w:sz w:val="24"/>
          <w:szCs w:val="24"/>
        </w:rPr>
        <w:t>demographic</w:t>
      </w:r>
      <w:r w:rsidRPr="00B75666" w:rsidR="001836EA">
        <w:rPr>
          <w:rFonts w:asciiTheme="minorHAnsi" w:hAnsiTheme="minorHAnsi" w:cstheme="minorHAnsi"/>
          <w:sz w:val="24"/>
          <w:szCs w:val="24"/>
        </w:rPr>
        <w:t xml:space="preserve"> </w:t>
      </w:r>
      <w:r w:rsidRPr="00B75666">
        <w:rPr>
          <w:rFonts w:asciiTheme="minorHAnsi" w:hAnsiTheme="minorHAnsi" w:cstheme="minorHAnsi"/>
          <w:sz w:val="24"/>
          <w:szCs w:val="24"/>
        </w:rPr>
        <w:t>changes in the RN population</w:t>
      </w:r>
      <w:r w:rsidRPr="00F259F5">
        <w:rPr>
          <w:rFonts w:asciiTheme="minorHAnsi" w:hAnsiTheme="minorHAnsi" w:cstheme="minorHAnsi"/>
          <w:sz w:val="24"/>
          <w:szCs w:val="24"/>
        </w:rPr>
        <w:t>.</w:t>
      </w:r>
      <w:r w:rsidRPr="00B75666">
        <w:rPr>
          <w:rFonts w:asciiTheme="minorHAnsi" w:hAnsiTheme="minorHAnsi" w:cstheme="minorHAnsi"/>
          <w:sz w:val="24"/>
          <w:szCs w:val="24"/>
        </w:rPr>
        <w:t xml:space="preserve"> </w:t>
      </w:r>
      <w:r w:rsidRPr="00F259F5">
        <w:rPr>
          <w:rFonts w:asciiTheme="minorHAnsi" w:hAnsiTheme="minorHAnsi" w:cstheme="minorHAnsi"/>
          <w:sz w:val="24"/>
          <w:szCs w:val="24"/>
        </w:rPr>
        <w:t>Similarly, th</w:t>
      </w:r>
      <w:r>
        <w:rPr>
          <w:rFonts w:asciiTheme="minorHAnsi" w:hAnsiTheme="minorHAnsi" w:cstheme="minorHAnsi"/>
          <w:sz w:val="24"/>
          <w:szCs w:val="24"/>
        </w:rPr>
        <w:t>ese</w:t>
      </w:r>
      <w:r w:rsidRPr="00F259F5">
        <w:rPr>
          <w:rFonts w:asciiTheme="minorHAnsi" w:hAnsiTheme="minorHAnsi" w:cstheme="minorHAnsi"/>
          <w:sz w:val="24"/>
          <w:szCs w:val="24"/>
        </w:rPr>
        <w:t xml:space="preserve"> data </w:t>
      </w:r>
      <w:r>
        <w:rPr>
          <w:rFonts w:asciiTheme="minorHAnsi" w:hAnsiTheme="minorHAnsi" w:cstheme="minorHAnsi"/>
          <w:sz w:val="24"/>
          <w:szCs w:val="24"/>
        </w:rPr>
        <w:t>are</w:t>
      </w:r>
      <w:r w:rsidRPr="00F259F5">
        <w:rPr>
          <w:rFonts w:asciiTheme="minorHAnsi" w:hAnsiTheme="minorHAnsi" w:cstheme="minorHAnsi"/>
          <w:sz w:val="24"/>
          <w:szCs w:val="24"/>
        </w:rPr>
        <w:t xml:space="preserve"> necessary to gain insight </w:t>
      </w:r>
      <w:r w:rsidRPr="00F259F5">
        <w:rPr>
          <w:rFonts w:asciiTheme="minorHAnsi" w:hAnsiTheme="minorHAnsi" w:cstheme="minorHAnsi"/>
          <w:sz w:val="24"/>
          <w:szCs w:val="24"/>
        </w:rPr>
        <w:t>on</w:t>
      </w:r>
      <w:r w:rsidRPr="00F259F5">
        <w:rPr>
          <w:rFonts w:asciiTheme="minorHAnsi" w:hAnsiTheme="minorHAnsi" w:cstheme="minorHAnsi"/>
          <w:sz w:val="24"/>
          <w:szCs w:val="24"/>
        </w:rPr>
        <w:t xml:space="preserve"> healthcare system changes and challenges </w:t>
      </w:r>
      <w:r>
        <w:rPr>
          <w:rFonts w:asciiTheme="minorHAnsi" w:hAnsiTheme="minorHAnsi" w:cstheme="minorHAnsi"/>
          <w:sz w:val="24"/>
          <w:szCs w:val="24"/>
        </w:rPr>
        <w:t>for the nursing workforce</w:t>
      </w:r>
      <w:r w:rsidRPr="00F259F5">
        <w:rPr>
          <w:rFonts w:asciiTheme="minorHAnsi" w:hAnsiTheme="minorHAnsi" w:cstheme="minorHAnsi"/>
          <w:sz w:val="24"/>
          <w:szCs w:val="24"/>
        </w:rPr>
        <w:t>. These cha</w:t>
      </w:r>
      <w:r>
        <w:rPr>
          <w:rFonts w:asciiTheme="minorHAnsi" w:hAnsiTheme="minorHAnsi" w:cstheme="minorHAnsi"/>
          <w:sz w:val="24"/>
          <w:szCs w:val="24"/>
        </w:rPr>
        <w:t>llenges</w:t>
      </w:r>
      <w:r w:rsidRPr="00F259F5">
        <w:rPr>
          <w:rFonts w:asciiTheme="minorHAnsi" w:hAnsiTheme="minorHAnsi" w:cstheme="minorHAnsi"/>
          <w:sz w:val="24"/>
          <w:szCs w:val="24"/>
        </w:rPr>
        <w:t xml:space="preserve"> include </w:t>
      </w:r>
      <w:r>
        <w:rPr>
          <w:rFonts w:asciiTheme="minorHAnsi" w:hAnsiTheme="minorHAnsi" w:cstheme="minorHAnsi"/>
          <w:sz w:val="24"/>
          <w:szCs w:val="24"/>
        </w:rPr>
        <w:t>r</w:t>
      </w:r>
      <w:r w:rsidRPr="00F259F5">
        <w:rPr>
          <w:rFonts w:asciiTheme="minorHAnsi" w:hAnsiTheme="minorHAnsi" w:cstheme="minorHAnsi"/>
          <w:sz w:val="24"/>
          <w:szCs w:val="24"/>
        </w:rPr>
        <w:t xml:space="preserve">esponding to an aging population, </w:t>
      </w:r>
      <w:r w:rsidR="00D370A9">
        <w:rPr>
          <w:rFonts w:asciiTheme="minorHAnsi" w:hAnsiTheme="minorHAnsi" w:cstheme="minorHAnsi"/>
          <w:sz w:val="24"/>
          <w:szCs w:val="24"/>
        </w:rPr>
        <w:t>rightsizing</w:t>
      </w:r>
      <w:r w:rsidR="00D370A9">
        <w:rPr>
          <w:rFonts w:asciiTheme="minorHAnsi" w:hAnsiTheme="minorHAnsi" w:cstheme="minorHAnsi"/>
          <w:sz w:val="24"/>
          <w:szCs w:val="24"/>
        </w:rPr>
        <w:t xml:space="preserve"> the distributions of nurses where they are needed most</w:t>
      </w:r>
      <w:r w:rsidR="001836EA">
        <w:rPr>
          <w:rFonts w:asciiTheme="minorHAnsi" w:hAnsiTheme="minorHAnsi" w:cstheme="minorHAnsi"/>
          <w:sz w:val="24"/>
          <w:szCs w:val="24"/>
        </w:rPr>
        <w:t>,</w:t>
      </w:r>
      <w:r w:rsidR="00D370A9">
        <w:rPr>
          <w:rFonts w:asciiTheme="minorHAnsi" w:hAnsiTheme="minorHAnsi" w:cstheme="minorHAnsi"/>
          <w:sz w:val="24"/>
          <w:szCs w:val="24"/>
        </w:rPr>
        <w:t xml:space="preserve"> such as between </w:t>
      </w:r>
      <w:r w:rsidRPr="00F259F5">
        <w:rPr>
          <w:rFonts w:asciiTheme="minorHAnsi" w:hAnsiTheme="minorHAnsi" w:cstheme="minorHAnsi"/>
          <w:sz w:val="24"/>
          <w:szCs w:val="24"/>
        </w:rPr>
        <w:t>primary care capacity</w:t>
      </w:r>
      <w:r>
        <w:rPr>
          <w:rFonts w:asciiTheme="minorHAnsi" w:hAnsiTheme="minorHAnsi" w:cstheme="minorHAnsi"/>
          <w:sz w:val="24"/>
          <w:szCs w:val="24"/>
        </w:rPr>
        <w:t xml:space="preserve"> and clinical special</w:t>
      </w:r>
      <w:r w:rsidR="00D370A9">
        <w:rPr>
          <w:rFonts w:asciiTheme="minorHAnsi" w:hAnsiTheme="minorHAnsi" w:cstheme="minorHAnsi"/>
          <w:sz w:val="24"/>
          <w:szCs w:val="24"/>
        </w:rPr>
        <w:t>ty needs</w:t>
      </w:r>
      <w:r>
        <w:rPr>
          <w:rFonts w:asciiTheme="minorHAnsi" w:hAnsiTheme="minorHAnsi" w:cstheme="minorHAnsi"/>
          <w:sz w:val="24"/>
          <w:szCs w:val="24"/>
        </w:rPr>
        <w:t>, and anticipating</w:t>
      </w:r>
      <w:r w:rsidR="00D370A9">
        <w:rPr>
          <w:rFonts w:asciiTheme="minorHAnsi" w:hAnsiTheme="minorHAnsi" w:cstheme="minorHAnsi"/>
          <w:sz w:val="24"/>
          <w:szCs w:val="24"/>
        </w:rPr>
        <w:t xml:space="preserve"> current and future barriers affecting workforce capacity.</w:t>
      </w:r>
      <w:r>
        <w:rPr>
          <w:rStyle w:val="FootnoteReference"/>
          <w:rFonts w:asciiTheme="minorHAnsi" w:hAnsiTheme="minorHAnsi" w:cstheme="minorHAnsi"/>
          <w:sz w:val="24"/>
          <w:szCs w:val="24"/>
          <w:vertAlign w:val="superscript"/>
        </w:rPr>
        <w:footnoteReference w:id="2"/>
      </w:r>
      <w:r w:rsidR="00D370A9">
        <w:rPr>
          <w:rFonts w:asciiTheme="minorHAnsi" w:hAnsiTheme="minorHAnsi" w:cstheme="minorHAnsi"/>
          <w:sz w:val="24"/>
          <w:szCs w:val="24"/>
        </w:rPr>
        <w:t xml:space="preserve"> </w:t>
      </w:r>
    </w:p>
    <w:p w:rsidR="00536744" w:rsidRPr="00B75666" w:rsidP="00536744" w14:paraId="77465607" w14:textId="1AD58B7A">
      <w:pPr>
        <w:tabs>
          <w:tab w:val="left" w:pos="360"/>
        </w:tabs>
        <w:spacing w:before="240"/>
        <w:ind w:left="360"/>
        <w:rPr>
          <w:rFonts w:asciiTheme="minorHAnsi" w:hAnsiTheme="minorHAnsi" w:cstheme="minorHAnsi"/>
          <w:sz w:val="24"/>
          <w:szCs w:val="24"/>
        </w:rPr>
      </w:pPr>
      <w:r w:rsidRPr="00B75666">
        <w:rPr>
          <w:rFonts w:asciiTheme="minorHAnsi" w:hAnsiTheme="minorHAnsi" w:cstheme="minorHAnsi"/>
          <w:sz w:val="24"/>
          <w:szCs w:val="24"/>
        </w:rPr>
        <w:t>Previous improvements to the NSSRN were made based on changes in healthcare policy, best practices in survey methodology, and a section on nurse practitioners (NPs) was added</w:t>
      </w:r>
      <w:bookmarkStart w:id="1" w:name="_Hlk205194950"/>
      <w:r w:rsidRPr="00B75666">
        <w:rPr>
          <w:rFonts w:asciiTheme="minorHAnsi" w:hAnsiTheme="minorHAnsi" w:cstheme="minorHAnsi"/>
          <w:sz w:val="24"/>
          <w:szCs w:val="24"/>
        </w:rPr>
        <w:t xml:space="preserve">.  Previously, NP data were collected in a separate survey called the National Sample Survey of Nurse Practitioners (NSSNP). </w:t>
      </w:r>
      <w:bookmarkEnd w:id="1"/>
      <w:r w:rsidRPr="00B75666">
        <w:rPr>
          <w:rFonts w:asciiTheme="minorHAnsi" w:hAnsiTheme="minorHAnsi" w:cstheme="minorHAnsi"/>
          <w:sz w:val="24"/>
          <w:szCs w:val="24"/>
        </w:rPr>
        <w:t xml:space="preserve"> The updated survey, which incorporates questions from both previous </w:t>
      </w:r>
      <w:r w:rsidRPr="00B75666">
        <w:rPr>
          <w:rFonts w:asciiTheme="minorHAnsi" w:hAnsiTheme="minorHAnsi" w:cstheme="minorHAnsi"/>
          <w:sz w:val="24"/>
          <w:szCs w:val="24"/>
        </w:rPr>
        <w:t xml:space="preserve">surveys, retains the name “The National Sample Survey of Registered Nurses.”  The intent behind combining these two surveys was to reduce redundancy in the collection of data, which results in lower costs and burden on respondents that accompanied the administration of two separate surveys. The 2022 NSSRN had some changes to content from 2018, but it did not undergo a major redesign. </w:t>
      </w:r>
    </w:p>
    <w:p w:rsidR="00536744" w:rsidRPr="00B75666" w:rsidP="00536744" w14:paraId="605F2FEB" w14:textId="77777777">
      <w:pPr>
        <w:pStyle w:val="BodyTextIndent"/>
        <w:rPr>
          <w:rFonts w:asciiTheme="minorHAnsi" w:hAnsiTheme="minorHAnsi" w:cstheme="minorHAnsi"/>
          <w:sz w:val="24"/>
          <w:szCs w:val="24"/>
        </w:rPr>
      </w:pPr>
    </w:p>
    <w:p w:rsidR="00536744" w:rsidRPr="00B75666" w:rsidP="00536744" w14:paraId="3EBE416F" w14:textId="77777777">
      <w:pPr>
        <w:pStyle w:val="BodyTextIndent"/>
        <w:rPr>
          <w:rFonts w:asciiTheme="minorHAnsi" w:hAnsiTheme="minorHAnsi" w:cstheme="minorHAnsi"/>
          <w:sz w:val="24"/>
          <w:szCs w:val="24"/>
        </w:rPr>
      </w:pPr>
      <w:r w:rsidRPr="00B75666">
        <w:rPr>
          <w:rFonts w:asciiTheme="minorHAnsi" w:hAnsiTheme="minorHAnsi" w:cstheme="minorHAnsi"/>
          <w:sz w:val="24"/>
          <w:szCs w:val="24"/>
        </w:rPr>
        <w:t>The 2026 NSSRN will be the third production fielding of the NSSRN since redesign and collaboration with the U.S. Census Bureau. There are some differences between the 2022 NSSRN and the 2026 NSSRN for which we are requesting Office of Management and Budget (OMB) approval. These differences will be discussed in further detail throughout Supporting Statements A and B and Appendix A, but have been summarized here for ease of reference:</w:t>
      </w:r>
    </w:p>
    <w:p w:rsidR="00536744" w:rsidRPr="00B75666" w:rsidP="00536744" w14:paraId="23E10ADB" w14:textId="77777777">
      <w:pPr>
        <w:pStyle w:val="BodyTextIndent"/>
        <w:rPr>
          <w:rFonts w:asciiTheme="minorHAnsi" w:hAnsiTheme="minorHAnsi" w:cstheme="minorHAnsi"/>
          <w:sz w:val="24"/>
          <w:szCs w:val="24"/>
        </w:rPr>
      </w:pPr>
    </w:p>
    <w:p w:rsidR="00536744" w:rsidRPr="00B75666" w:rsidP="00536744" w14:paraId="0B6A2AA2" w14:textId="77777777">
      <w:pPr>
        <w:pStyle w:val="NormalWeb"/>
        <w:widowControl w:val="0"/>
        <w:numPr>
          <w:ilvl w:val="0"/>
          <w:numId w:val="16"/>
        </w:numPr>
        <w:spacing w:before="0" w:beforeAutospacing="0" w:after="0" w:afterAutospacing="0"/>
        <w:rPr>
          <w:rFonts w:asciiTheme="minorHAnsi" w:hAnsiTheme="minorHAnsi" w:cstheme="minorHAnsi"/>
        </w:rPr>
      </w:pPr>
      <w:r w:rsidRPr="00B75666">
        <w:rPr>
          <w:rFonts w:asciiTheme="minorHAnsi" w:hAnsiTheme="minorHAnsi" w:cstheme="minorHAnsi"/>
          <w:b/>
          <w:bCs/>
        </w:rPr>
        <w:t>Revised questionnaire content</w:t>
      </w:r>
      <w:r w:rsidRPr="00B75666">
        <w:rPr>
          <w:rFonts w:asciiTheme="minorHAnsi" w:hAnsiTheme="minorHAnsi" w:cstheme="minorHAnsi"/>
        </w:rPr>
        <w:t xml:space="preserve"> – Since the NSSRN was last collected in 2022, significant time was spent on questionnaire content </w:t>
      </w:r>
      <w:r w:rsidRPr="00B75666">
        <w:rPr>
          <w:rFonts w:asciiTheme="minorHAnsi" w:hAnsiTheme="minorHAnsi" w:cstheme="minorHAnsi"/>
        </w:rPr>
        <w:t>in light of</w:t>
      </w:r>
      <w:r w:rsidRPr="00B75666">
        <w:rPr>
          <w:rFonts w:asciiTheme="minorHAnsi" w:hAnsiTheme="minorHAnsi" w:cstheme="minorHAnsi"/>
        </w:rPr>
        <w:t xml:space="preserve"> recent healthcare policy changes. The 2026 NSSRN questionnaire has new content provided from sponsors at NCHWA and underwent cognitive testing. This testing request was submitted under the generic clearance package and was approved by OMB</w:t>
      </w:r>
      <w:r>
        <w:rPr>
          <w:rStyle w:val="FootnoteReference"/>
          <w:rFonts w:asciiTheme="minorHAnsi" w:hAnsiTheme="minorHAnsi" w:cstheme="minorHAnsi"/>
          <w:vertAlign w:val="superscript"/>
        </w:rPr>
        <w:footnoteReference w:id="3"/>
      </w:r>
      <w:r w:rsidRPr="00B75666">
        <w:rPr>
          <w:rFonts w:asciiTheme="minorHAnsi" w:hAnsiTheme="minorHAnsi" w:cstheme="minorHAnsi"/>
        </w:rPr>
        <w:t xml:space="preserve">. Based on the results, a final set of proposed new and modified content for the 2026 NSSRN was created. Please see </w:t>
      </w:r>
      <w:r w:rsidRPr="00B75666">
        <w:rPr>
          <w:rFonts w:asciiTheme="minorHAnsi" w:hAnsiTheme="minorHAnsi" w:cstheme="minorHAnsi"/>
          <w:b/>
          <w:bCs/>
        </w:rPr>
        <w:t>Appendix A</w:t>
      </w:r>
      <w:r w:rsidRPr="00B75666">
        <w:rPr>
          <w:rFonts w:asciiTheme="minorHAnsi" w:hAnsiTheme="minorHAnsi" w:cstheme="minorHAnsi"/>
        </w:rPr>
        <w:t xml:space="preserve"> for the list </w:t>
      </w:r>
      <w:r w:rsidRPr="00B75666">
        <w:rPr>
          <w:rFonts w:asciiTheme="minorHAnsi" w:hAnsiTheme="minorHAnsi" w:cstheme="minorHAnsi"/>
        </w:rPr>
        <w:t>of content</w:t>
      </w:r>
      <w:r w:rsidRPr="00B75666">
        <w:rPr>
          <w:rFonts w:asciiTheme="minorHAnsi" w:hAnsiTheme="minorHAnsi" w:cstheme="minorHAnsi"/>
        </w:rPr>
        <w:t xml:space="preserve"> changes from 2022 to 2026. Please see </w:t>
      </w:r>
      <w:r w:rsidRPr="00B75666">
        <w:rPr>
          <w:rFonts w:asciiTheme="minorHAnsi" w:hAnsiTheme="minorHAnsi" w:cstheme="minorHAnsi"/>
          <w:b/>
          <w:bCs/>
        </w:rPr>
        <w:t>Appendix B</w:t>
      </w:r>
      <w:r w:rsidRPr="00B75666">
        <w:rPr>
          <w:rFonts w:asciiTheme="minorHAnsi" w:hAnsiTheme="minorHAnsi" w:cstheme="minorHAnsi"/>
        </w:rPr>
        <w:t xml:space="preserve"> for the final questionnaire. </w:t>
      </w:r>
    </w:p>
    <w:p w:rsidR="00536744" w:rsidRPr="00B75666" w:rsidP="00536744" w14:paraId="02F24FBD" w14:textId="77777777">
      <w:pPr>
        <w:pStyle w:val="ListParagraph"/>
        <w:numPr>
          <w:ilvl w:val="0"/>
          <w:numId w:val="16"/>
        </w:numPr>
        <w:adjustRightInd w:val="0"/>
        <w:spacing w:before="240"/>
        <w:rPr>
          <w:rFonts w:asciiTheme="minorHAnsi" w:hAnsiTheme="minorHAnsi" w:cstheme="minorHAnsi"/>
          <w:bCs/>
          <w:sz w:val="24"/>
          <w:szCs w:val="24"/>
        </w:rPr>
      </w:pPr>
      <w:r w:rsidRPr="00B75666">
        <w:rPr>
          <w:rFonts w:asciiTheme="minorHAnsi" w:hAnsiTheme="minorHAnsi" w:cstheme="minorHAnsi"/>
          <w:b/>
          <w:sz w:val="24"/>
          <w:szCs w:val="24"/>
        </w:rPr>
        <w:t>Removal of incentive experiment</w:t>
      </w:r>
      <w:r w:rsidRPr="00B75666">
        <w:rPr>
          <w:rFonts w:asciiTheme="minorHAnsi" w:hAnsiTheme="minorHAnsi" w:cstheme="minorHAnsi"/>
          <w:sz w:val="24"/>
          <w:szCs w:val="24"/>
        </w:rPr>
        <w:t xml:space="preserve"> – In 2022, the NSSRN experimented with an unconditional monetary incentive, with 90% of the sample receiving $5 with the initial survey invitation letter.  The intention of the monetary incentive was to test the efficacy of reducing nonresponse bias by encouraging earlier response and reducing costs associated with follow-up mailings.  Following the success of this effort, the 2026 survey will continue with the monetary incentive, eliminating the experimental tests of this intervention.</w:t>
      </w:r>
    </w:p>
    <w:p w:rsidR="00536744" w:rsidRPr="00B75666" w:rsidP="002A1D08" w14:paraId="24E9B2B2" w14:textId="77777777">
      <w:pPr>
        <w:pStyle w:val="BodyText"/>
        <w:spacing w:before="159" w:line="259" w:lineRule="auto"/>
        <w:rPr>
          <w:rFonts w:asciiTheme="minorHAnsi" w:hAnsiTheme="minorHAnsi" w:cstheme="minorHAnsi"/>
          <w:b/>
          <w:color w:val="0070C0"/>
          <w:u w:val="thick" w:color="2F5496"/>
        </w:rPr>
      </w:pPr>
    </w:p>
    <w:p w:rsidR="00201347" w:rsidRPr="00B75666" w:rsidP="00844D2F" w14:paraId="34791083" w14:textId="77777777">
      <w:pPr>
        <w:pStyle w:val="Heading1"/>
        <w:numPr>
          <w:ilvl w:val="0"/>
          <w:numId w:val="7"/>
        </w:numPr>
        <w:tabs>
          <w:tab w:val="left" w:pos="669"/>
        </w:tabs>
        <w:spacing w:before="197"/>
        <w:ind w:left="360" w:hanging="360"/>
        <w:rPr>
          <w:rFonts w:asciiTheme="minorHAnsi" w:hAnsiTheme="minorHAnsi" w:cstheme="minorHAnsi"/>
        </w:rPr>
      </w:pPr>
      <w:r w:rsidRPr="00B75666">
        <w:rPr>
          <w:rFonts w:asciiTheme="minorHAnsi" w:hAnsiTheme="minorHAnsi" w:cstheme="minorHAnsi"/>
        </w:rPr>
        <w:t>Indicate how, by whom, and for what purpose the information is to be used. Except for a new collection, indicate the actual use the agency has made of the information received from the current</w:t>
      </w:r>
      <w:r w:rsidRPr="00B75666">
        <w:rPr>
          <w:rFonts w:asciiTheme="minorHAnsi" w:hAnsiTheme="minorHAnsi" w:cstheme="minorHAnsi"/>
          <w:spacing w:val="-1"/>
        </w:rPr>
        <w:t xml:space="preserve"> </w:t>
      </w:r>
      <w:r w:rsidRPr="00B75666">
        <w:rPr>
          <w:rFonts w:asciiTheme="minorHAnsi" w:hAnsiTheme="minorHAnsi" w:cstheme="minorHAnsi"/>
        </w:rPr>
        <w:t>collection.</w:t>
      </w:r>
    </w:p>
    <w:p w:rsidR="00B75666" w:rsidRPr="00B75666" w:rsidP="003D3ED9" w14:paraId="237B44C3" w14:textId="77777777">
      <w:pPr>
        <w:adjustRightInd w:val="0"/>
        <w:ind w:left="360"/>
        <w:rPr>
          <w:rFonts w:eastAsia="Times New Roman" w:asciiTheme="minorHAnsi" w:hAnsiTheme="minorHAnsi" w:cstheme="minorHAnsi"/>
          <w:sz w:val="24"/>
          <w:szCs w:val="24"/>
        </w:rPr>
      </w:pPr>
    </w:p>
    <w:p w:rsidR="004E69D9" w:rsidRPr="00B75666" w:rsidP="003D3ED9" w14:paraId="4B09B824" w14:textId="77777777">
      <w:pPr>
        <w:adjustRightInd w:val="0"/>
        <w:ind w:left="360"/>
        <w:rPr>
          <w:rFonts w:eastAsia="Times New Roman" w:asciiTheme="minorHAnsi" w:hAnsiTheme="minorHAnsi" w:cstheme="minorHAnsi"/>
          <w:sz w:val="24"/>
          <w:szCs w:val="24"/>
        </w:rPr>
      </w:pPr>
      <w:r w:rsidRPr="00B75666">
        <w:rPr>
          <w:rFonts w:eastAsia="Times New Roman" w:asciiTheme="minorHAnsi" w:hAnsiTheme="minorHAnsi" w:cstheme="minorHAnsi"/>
          <w:sz w:val="24"/>
          <w:szCs w:val="24"/>
        </w:rPr>
        <w:t xml:space="preserve">The Census Bureau will request survey participation from up to 125,000 RNs using one of two modes. The first mode is a web instrument (Centurion) survey. All letters mailed to respondents will include a web link to complete the survey.  The second mode is a mailout/mail back of a self-administered paper-and-pencil interviewing (PAPI) questionnaire. There will be one paper questionnaire mailing. All respondents will have access to a telephone questionnaire assistance line </w:t>
      </w:r>
      <w:r w:rsidRPr="00B75666">
        <w:rPr>
          <w:rFonts w:eastAsia="Times New Roman" w:asciiTheme="minorHAnsi" w:hAnsiTheme="minorHAnsi" w:cstheme="minorHAnsi"/>
          <w:sz w:val="24"/>
          <w:szCs w:val="24"/>
        </w:rPr>
        <w:t>that</w:t>
      </w:r>
      <w:r w:rsidRPr="00B75666">
        <w:rPr>
          <w:rFonts w:eastAsia="Times New Roman" w:asciiTheme="minorHAnsi" w:hAnsiTheme="minorHAnsi" w:cstheme="minorHAnsi"/>
          <w:sz w:val="24"/>
          <w:szCs w:val="24"/>
        </w:rPr>
        <w:t xml:space="preserve"> they will be able to get login assistance, language support, and even complete the interview with a Census telephone interview agent.</w:t>
      </w:r>
    </w:p>
    <w:p w:rsidR="004E69D9" w:rsidRPr="00B75666" w:rsidP="004E69D9" w14:paraId="4EEA2BF9" w14:textId="77777777">
      <w:pPr>
        <w:spacing w:before="240"/>
        <w:ind w:left="360"/>
        <w:rPr>
          <w:rFonts w:asciiTheme="minorHAnsi" w:hAnsiTheme="minorHAnsi" w:cstheme="minorHAnsi"/>
          <w:sz w:val="24"/>
          <w:szCs w:val="24"/>
        </w:rPr>
      </w:pPr>
      <w:r w:rsidRPr="00B75666">
        <w:rPr>
          <w:rFonts w:asciiTheme="minorHAnsi" w:hAnsiTheme="minorHAnsi" w:cstheme="minorHAnsi"/>
          <w:sz w:val="24"/>
          <w:szCs w:val="24"/>
        </w:rPr>
        <w:t xml:space="preserve">Data from the NSSRN are used to capture the evolving demographics, educational qualifications, and career employment patterns of the RN workforce. This survey provides educators, health workforce leaders, and policymakers with key details and developments on the nursing workforce.  </w:t>
      </w:r>
    </w:p>
    <w:p w:rsidR="004E69D9" w:rsidRPr="00B75666" w:rsidP="00A078FA" w14:paraId="08A5C2B5" w14:textId="77777777">
      <w:pPr>
        <w:spacing w:before="240"/>
        <w:ind w:left="360"/>
        <w:rPr>
          <w:rFonts w:asciiTheme="minorHAnsi" w:hAnsiTheme="minorHAnsi" w:cstheme="minorHAnsi"/>
          <w:sz w:val="24"/>
          <w:szCs w:val="24"/>
        </w:rPr>
      </w:pPr>
      <w:r w:rsidRPr="00B75666">
        <w:rPr>
          <w:rFonts w:asciiTheme="minorHAnsi" w:hAnsiTheme="minorHAnsi" w:cstheme="minorHAnsi"/>
          <w:sz w:val="24"/>
          <w:szCs w:val="24"/>
        </w:rPr>
        <w:t>It is critical that the Census Bureau conducts this survey on behalf of HRSA NCHWA</w:t>
      </w:r>
      <w:r w:rsidR="00525083">
        <w:rPr>
          <w:rFonts w:asciiTheme="minorHAnsi" w:hAnsiTheme="minorHAnsi" w:cstheme="minorHAnsi"/>
          <w:sz w:val="24"/>
          <w:szCs w:val="24"/>
        </w:rPr>
        <w:t xml:space="preserve"> every four years</w:t>
      </w:r>
      <w:r w:rsidRPr="00B75666">
        <w:rPr>
          <w:rFonts w:asciiTheme="minorHAnsi" w:hAnsiTheme="minorHAnsi" w:cstheme="minorHAnsi"/>
          <w:sz w:val="24"/>
          <w:szCs w:val="24"/>
        </w:rPr>
        <w:t xml:space="preserve"> to collect information to better understand workforce issues given the recent dynamic change in the RN population and the transformation of the healthcare system. </w:t>
      </w:r>
    </w:p>
    <w:p w:rsidR="00525083" w:rsidP="00FF7F00" w14:paraId="5A2B45A9" w14:textId="77777777">
      <w:pPr>
        <w:spacing w:before="240"/>
        <w:ind w:left="360"/>
        <w:rPr>
          <w:rFonts w:asciiTheme="minorHAnsi" w:hAnsiTheme="minorHAnsi" w:cstheme="minorHAnsi"/>
          <w:sz w:val="24"/>
          <w:szCs w:val="24"/>
        </w:rPr>
      </w:pPr>
      <w:r w:rsidRPr="00B75666">
        <w:rPr>
          <w:rFonts w:asciiTheme="minorHAnsi" w:hAnsiTheme="minorHAnsi" w:cstheme="minorHAnsi"/>
          <w:sz w:val="24"/>
          <w:szCs w:val="24"/>
        </w:rPr>
        <w:t>Information quality is an integral part of the pre-dissemination review of the information released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FF7F00" w:rsidRPr="00525083" w:rsidP="00FF7F00" w14:paraId="491C4F2B" w14:textId="77777777">
      <w:pPr>
        <w:spacing w:before="240"/>
        <w:ind w:left="360"/>
        <w:rPr>
          <w:rFonts w:asciiTheme="minorHAnsi" w:hAnsiTheme="minorHAnsi" w:cstheme="minorHAnsi"/>
          <w:sz w:val="24"/>
          <w:szCs w:val="24"/>
        </w:rPr>
      </w:pPr>
    </w:p>
    <w:p w:rsidR="00201347" w:rsidRPr="00B75666" w:rsidP="00844D2F" w14:paraId="5E15F83D" w14:textId="77777777">
      <w:pPr>
        <w:pStyle w:val="ListParagraph"/>
        <w:numPr>
          <w:ilvl w:val="0"/>
          <w:numId w:val="7"/>
        </w:numPr>
        <w:tabs>
          <w:tab w:val="left" w:pos="669"/>
        </w:tabs>
        <w:spacing w:before="199"/>
        <w:ind w:left="360" w:hanging="360"/>
        <w:rPr>
          <w:rFonts w:asciiTheme="minorHAnsi" w:hAnsiTheme="minorHAnsi" w:cstheme="minorHAnsi"/>
          <w:b/>
          <w:sz w:val="24"/>
          <w:szCs w:val="24"/>
        </w:rPr>
      </w:pPr>
      <w:r w:rsidRPr="00B75666">
        <w:rPr>
          <w:rFonts w:asciiTheme="minorHAnsi" w:hAnsiTheme="minorHAnsi" w:cstheme="minorHAnsi"/>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B75666">
        <w:rPr>
          <w:rFonts w:asciiTheme="minorHAnsi" w:hAnsiTheme="minorHAnsi" w:cstheme="minorHAnsi"/>
          <w:b/>
          <w:sz w:val="24"/>
          <w:szCs w:val="24"/>
        </w:rPr>
        <w:t>for adopting</w:t>
      </w:r>
      <w:r w:rsidRPr="00B75666">
        <w:rPr>
          <w:rFonts w:asciiTheme="minorHAnsi" w:hAnsiTheme="minorHAnsi" w:cstheme="minorHAnsi"/>
          <w:b/>
          <w:sz w:val="24"/>
          <w:szCs w:val="24"/>
        </w:rPr>
        <w:t xml:space="preserve"> this means of collection. Also, describe any consideration of using information technology to reduce</w:t>
      </w:r>
      <w:r w:rsidRPr="00B75666">
        <w:rPr>
          <w:rFonts w:asciiTheme="minorHAnsi" w:hAnsiTheme="minorHAnsi" w:cstheme="minorHAnsi"/>
          <w:b/>
          <w:spacing w:val="-6"/>
          <w:sz w:val="24"/>
          <w:szCs w:val="24"/>
        </w:rPr>
        <w:t xml:space="preserve"> </w:t>
      </w:r>
      <w:r w:rsidRPr="00B75666">
        <w:rPr>
          <w:rFonts w:asciiTheme="minorHAnsi" w:hAnsiTheme="minorHAnsi" w:cstheme="minorHAnsi"/>
          <w:b/>
          <w:sz w:val="24"/>
          <w:szCs w:val="24"/>
        </w:rPr>
        <w:t>burden.</w:t>
      </w:r>
    </w:p>
    <w:p w:rsidR="00536744" w:rsidRPr="00B75666" w:rsidP="00536744" w14:paraId="0BE13147" w14:textId="77777777">
      <w:pPr>
        <w:pStyle w:val="P1-StandPara"/>
        <w:spacing w:before="240" w:line="240" w:lineRule="auto"/>
        <w:ind w:left="360" w:firstLine="0"/>
        <w:jc w:val="left"/>
        <w:rPr>
          <w:rFonts w:asciiTheme="minorHAnsi" w:hAnsiTheme="minorHAnsi" w:cstheme="minorHAnsi"/>
          <w:sz w:val="24"/>
          <w:szCs w:val="24"/>
        </w:rPr>
      </w:pPr>
      <w:r w:rsidRPr="00B75666">
        <w:rPr>
          <w:rFonts w:asciiTheme="minorHAnsi" w:hAnsiTheme="minorHAnsi" w:cstheme="minorHAnsi"/>
          <w:sz w:val="24"/>
          <w:szCs w:val="24"/>
        </w:rPr>
        <w:t xml:space="preserve">The 2026 NSSRN will be conducted for HRSA NCHWA by the Census Bureau in Web Push mixed-mode format. The initial opportunities to respond electronically via the Centurion Web instrument will be followed by a data collection strategy that will augment online data collection with a paper data collection mode. The Centurion Web instrument allows online reporting, improving the efficiency and accuracy of the data collection process, and </w:t>
      </w:r>
      <w:r w:rsidRPr="00B75666">
        <w:rPr>
          <w:rFonts w:asciiTheme="minorHAnsi" w:hAnsiTheme="minorHAnsi" w:cstheme="minorHAnsi"/>
          <w:sz w:val="24"/>
          <w:szCs w:val="24"/>
        </w:rPr>
        <w:t>minimizes</w:t>
      </w:r>
      <w:r w:rsidRPr="00B75666">
        <w:rPr>
          <w:rFonts w:asciiTheme="minorHAnsi" w:hAnsiTheme="minorHAnsi" w:cstheme="minorHAnsi"/>
          <w:sz w:val="24"/>
          <w:szCs w:val="24"/>
        </w:rPr>
        <w:t xml:space="preserve"> burden and material costs.  The paper data collection will rely on three complementary survey systems to efficiently administer this mode of data collection: (1) Questionnaire Design and Metadata/Census Automated Forms Engine (QDM/CAFE), (2) Docuprint, and (3) integrated Computer-Assisted Data Entry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w:t>
      </w:r>
    </w:p>
    <w:p w:rsidR="00536744" w:rsidRPr="00B75666" w:rsidP="00536744" w14:paraId="592C2099" w14:textId="77777777">
      <w:pPr>
        <w:pStyle w:val="P1-StandPara"/>
        <w:spacing w:line="240" w:lineRule="auto"/>
        <w:ind w:firstLine="0"/>
        <w:jc w:val="left"/>
        <w:rPr>
          <w:rFonts w:asciiTheme="minorHAnsi" w:hAnsiTheme="minorHAnsi" w:cstheme="minorHAnsi"/>
          <w:sz w:val="24"/>
          <w:szCs w:val="24"/>
        </w:rPr>
      </w:pPr>
    </w:p>
    <w:p w:rsidR="00536744" w:rsidRPr="00B75666" w:rsidP="00536744" w14:paraId="0CEB6314" w14:textId="77777777">
      <w:pPr>
        <w:pStyle w:val="N2-2ndBullet"/>
        <w:numPr>
          <w:ilvl w:val="0"/>
          <w:numId w:val="18"/>
        </w:numPr>
        <w:spacing w:after="0" w:line="240" w:lineRule="auto"/>
        <w:jc w:val="left"/>
        <w:rPr>
          <w:rFonts w:asciiTheme="minorHAnsi" w:hAnsiTheme="minorHAnsi" w:cstheme="minorHAnsi"/>
          <w:sz w:val="24"/>
          <w:szCs w:val="24"/>
        </w:rPr>
      </w:pPr>
      <w:r w:rsidRPr="00B75666">
        <w:rPr>
          <w:rFonts w:asciiTheme="minorHAnsi" w:hAnsiTheme="minorHAnsi" w:cstheme="minorHAnsi"/>
          <w:b/>
          <w:sz w:val="24"/>
          <w:szCs w:val="24"/>
        </w:rPr>
        <w:t xml:space="preserve">Online Reporting. </w:t>
      </w:r>
      <w:r w:rsidRPr="00B75666">
        <w:rPr>
          <w:rFonts w:asciiTheme="minorHAnsi" w:hAnsiTheme="minorHAnsi" w:cstheme="minorHAnsi"/>
          <w:sz w:val="24"/>
          <w:szCs w:val="24"/>
        </w:rPr>
        <w:t xml:space="preserve">The 2026 NSSRN will utilize a Web-based survey with follow-up paper data collection as the primary collection modes. The Web-based survey collection mode allows for features that reduce respondent burden as well as report results more quickly and at considerably less cost.  In general, respondents find it less taxing to provide personal information in self-administered surveys; however, because of the significant number of filter questions, paper-and-pencil versions of the survey appear quite lengthy. The Web-based survey allows for the programming of skip patterns which combines the comfort of self-administration with the ease of seeing and subsequently answering only questions relevant to a particular respondent.  </w:t>
      </w:r>
    </w:p>
    <w:p w:rsidR="00536744" w:rsidRPr="00B75666" w:rsidP="00536744" w14:paraId="3D44B368" w14:textId="77777777">
      <w:pPr>
        <w:pStyle w:val="N2-2ndBullet"/>
        <w:numPr>
          <w:ilvl w:val="0"/>
          <w:numId w:val="0"/>
        </w:numPr>
        <w:spacing w:after="0" w:line="240" w:lineRule="auto"/>
        <w:ind w:left="825"/>
        <w:jc w:val="left"/>
        <w:rPr>
          <w:rFonts w:asciiTheme="minorHAnsi" w:hAnsiTheme="minorHAnsi" w:cstheme="minorHAnsi"/>
          <w:sz w:val="24"/>
          <w:szCs w:val="24"/>
        </w:rPr>
      </w:pPr>
    </w:p>
    <w:p w:rsidR="00536744" w:rsidRPr="00B75666" w:rsidP="00536744" w14:paraId="0FA37F04" w14:textId="77777777">
      <w:pPr>
        <w:pStyle w:val="P1-StandPara"/>
        <w:numPr>
          <w:ilvl w:val="0"/>
          <w:numId w:val="18"/>
        </w:numPr>
        <w:spacing w:line="240" w:lineRule="auto"/>
        <w:jc w:val="left"/>
        <w:rPr>
          <w:rFonts w:asciiTheme="minorHAnsi" w:hAnsiTheme="minorHAnsi" w:cstheme="minorHAnsi"/>
          <w:sz w:val="24"/>
          <w:szCs w:val="24"/>
        </w:rPr>
      </w:pPr>
      <w:r w:rsidRPr="00B75666">
        <w:rPr>
          <w:rFonts w:asciiTheme="minorHAnsi" w:hAnsiTheme="minorHAnsi" w:cstheme="minorHAnsi"/>
          <w:b/>
          <w:sz w:val="24"/>
          <w:szCs w:val="24"/>
        </w:rPr>
        <w:t>Forms Design.</w:t>
      </w:r>
      <w:r w:rsidRPr="00B75666">
        <w:rPr>
          <w:rFonts w:asciiTheme="minorHAnsi" w:hAnsiTheme="minorHAnsi" w:cstheme="minorHAnsi"/>
          <w:sz w:val="24"/>
          <w:szCs w:val="24"/>
        </w:rPr>
        <w:t xml:space="preserve"> Completed hardcopy forms can be processed by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to capture responses through optical mark recognition (OMR), optical character recognition (OCR), and keying from image (KFI). The data from the questionnaires will be captured by the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technology/software, which automatically extracts all check box entries via OMR and </w:t>
      </w:r>
      <w:r w:rsidRPr="00B75666">
        <w:rPr>
          <w:rFonts w:asciiTheme="minorHAnsi" w:hAnsiTheme="minorHAnsi" w:cstheme="minorHAnsi"/>
          <w:sz w:val="24"/>
          <w:szCs w:val="24"/>
        </w:rPr>
        <w:t>preselected answer fields via OCR. It then captures and displays an image of all other entries to an operator for KFI.</w:t>
      </w:r>
    </w:p>
    <w:p w:rsidR="00536744" w:rsidRPr="00B75666" w:rsidP="00536744" w14:paraId="0E4C74F4" w14:textId="77777777">
      <w:pPr>
        <w:pStyle w:val="P1-StandPara"/>
        <w:spacing w:line="240" w:lineRule="auto"/>
        <w:ind w:firstLine="0"/>
        <w:jc w:val="left"/>
        <w:rPr>
          <w:rFonts w:asciiTheme="minorHAnsi" w:hAnsiTheme="minorHAnsi" w:cstheme="minorHAnsi"/>
          <w:sz w:val="24"/>
          <w:szCs w:val="24"/>
        </w:rPr>
      </w:pPr>
    </w:p>
    <w:p w:rsidR="00536744" w:rsidRPr="00B75666" w:rsidP="00536744" w14:paraId="262F6678" w14:textId="77777777">
      <w:pPr>
        <w:pStyle w:val="P1-StandPara"/>
        <w:numPr>
          <w:ilvl w:val="0"/>
          <w:numId w:val="18"/>
        </w:numPr>
        <w:spacing w:line="240" w:lineRule="auto"/>
        <w:jc w:val="left"/>
        <w:rPr>
          <w:rFonts w:asciiTheme="minorHAnsi" w:hAnsiTheme="minorHAnsi" w:cstheme="minorHAnsi"/>
          <w:sz w:val="24"/>
          <w:szCs w:val="24"/>
        </w:rPr>
      </w:pPr>
      <w:r w:rsidRPr="00B75666">
        <w:rPr>
          <w:rFonts w:asciiTheme="minorHAnsi" w:hAnsiTheme="minorHAnsi" w:cstheme="minorHAnsi"/>
          <w:b/>
          <w:sz w:val="24"/>
          <w:szCs w:val="24"/>
        </w:rPr>
        <w:t>Image Preprocessing.</w:t>
      </w:r>
      <w:r w:rsidRPr="00B75666">
        <w:rPr>
          <w:rFonts w:asciiTheme="minorHAnsi" w:hAnsiTheme="minorHAnsi" w:cstheme="minorHAnsi"/>
          <w:sz w:val="24"/>
          <w:szCs w:val="24"/>
        </w:rPr>
        <w:t xml:space="preserve"> The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software performs a registration process for each individual questionnaire page to </w:t>
      </w:r>
      <w:r w:rsidRPr="00B75666">
        <w:rPr>
          <w:rFonts w:asciiTheme="minorHAnsi" w:hAnsiTheme="minorHAnsi" w:cstheme="minorHAnsi"/>
          <w:sz w:val="24"/>
          <w:szCs w:val="24"/>
        </w:rPr>
        <w:t>match to</w:t>
      </w:r>
      <w:r w:rsidRPr="00B75666">
        <w:rPr>
          <w:rFonts w:asciiTheme="minorHAnsi" w:hAnsiTheme="minorHAnsi" w:cstheme="minorHAnsi"/>
          <w:sz w:val="24"/>
          <w:szCs w:val="24"/>
        </w:rPr>
        <w:t xml:space="preserve"> the appropriate page template.  This also allows for corrections due to any skewing during scanning.</w:t>
      </w:r>
    </w:p>
    <w:p w:rsidR="00536744" w:rsidRPr="00B75666" w:rsidP="00536744" w14:paraId="037ADB6B" w14:textId="77777777">
      <w:pPr>
        <w:pStyle w:val="P1-StandPara"/>
        <w:spacing w:line="240" w:lineRule="auto"/>
        <w:ind w:left="825" w:firstLine="0"/>
        <w:jc w:val="left"/>
        <w:rPr>
          <w:rFonts w:asciiTheme="minorHAnsi" w:hAnsiTheme="minorHAnsi" w:cstheme="minorHAnsi"/>
          <w:sz w:val="24"/>
          <w:szCs w:val="24"/>
        </w:rPr>
      </w:pPr>
    </w:p>
    <w:p w:rsidR="00536744" w:rsidRPr="00B75666" w:rsidP="00536744" w14:paraId="1B4058D6" w14:textId="77777777">
      <w:pPr>
        <w:pStyle w:val="P1-StandPara"/>
        <w:numPr>
          <w:ilvl w:val="0"/>
          <w:numId w:val="18"/>
        </w:numPr>
        <w:spacing w:line="240" w:lineRule="auto"/>
        <w:jc w:val="left"/>
        <w:rPr>
          <w:rFonts w:asciiTheme="minorHAnsi" w:hAnsiTheme="minorHAnsi" w:cstheme="minorHAnsi"/>
          <w:sz w:val="24"/>
          <w:szCs w:val="24"/>
        </w:rPr>
      </w:pPr>
      <w:r w:rsidRPr="00B75666">
        <w:rPr>
          <w:rFonts w:asciiTheme="minorHAnsi" w:hAnsiTheme="minorHAnsi" w:cstheme="minorHAnsi"/>
          <w:b/>
          <w:sz w:val="24"/>
          <w:szCs w:val="24"/>
        </w:rPr>
        <w:t>Data Capture.</w:t>
      </w:r>
      <w:r w:rsidRPr="00B75666">
        <w:rPr>
          <w:rFonts w:asciiTheme="minorHAnsi" w:hAnsiTheme="minorHAnsi" w:cstheme="minorHAnsi"/>
          <w:sz w:val="24"/>
          <w:szCs w:val="24"/>
        </w:rPr>
        <w:t xml:space="preserve"> </w:t>
      </w:r>
      <w:r w:rsidRPr="00B75666">
        <w:rPr>
          <w:rFonts w:asciiTheme="minorHAnsi" w:hAnsiTheme="minorHAnsi" w:cstheme="minorHAnsi"/>
          <w:sz w:val="24"/>
          <w:szCs w:val="24"/>
        </w:rPr>
        <w:t>iCADE</w:t>
      </w:r>
      <w:r w:rsidRPr="00B75666">
        <w:rPr>
          <w:rFonts w:asciiTheme="minorHAnsi" w:hAnsiTheme="minorHAnsi" w:cstheme="minorHAnsi"/>
          <w:sz w:val="24"/>
          <w:szCs w:val="24"/>
        </w:rPr>
        <w:t xml:space="preserve"> reads the form image files, checks for the presence of data, processes all check box fields through OMR, processes all preselected response fields through OCR, then presents an image of all other handwritten fields to an operator for KFI. </w:t>
      </w:r>
    </w:p>
    <w:p w:rsidR="00536744" w:rsidRPr="00B75666" w:rsidP="00536744" w14:paraId="0E9CCFBB" w14:textId="77777777">
      <w:pPr>
        <w:pStyle w:val="P1-StandPara"/>
        <w:spacing w:line="240" w:lineRule="auto"/>
        <w:ind w:firstLine="0"/>
        <w:jc w:val="left"/>
        <w:rPr>
          <w:rFonts w:asciiTheme="minorHAnsi" w:hAnsiTheme="minorHAnsi" w:cstheme="minorHAnsi"/>
          <w:sz w:val="24"/>
          <w:szCs w:val="24"/>
        </w:rPr>
      </w:pPr>
    </w:p>
    <w:p w:rsidR="00536744" w:rsidRPr="00B75666" w:rsidP="00536744" w14:paraId="30D9DF13" w14:textId="77777777">
      <w:pPr>
        <w:pStyle w:val="P1-StandPara"/>
        <w:numPr>
          <w:ilvl w:val="0"/>
          <w:numId w:val="18"/>
        </w:numPr>
        <w:spacing w:line="240" w:lineRule="auto"/>
        <w:jc w:val="left"/>
        <w:rPr>
          <w:rFonts w:asciiTheme="minorHAnsi" w:hAnsiTheme="minorHAnsi" w:cstheme="minorHAnsi"/>
          <w:sz w:val="24"/>
          <w:szCs w:val="24"/>
        </w:rPr>
      </w:pPr>
      <w:r w:rsidRPr="00B75666">
        <w:rPr>
          <w:rFonts w:asciiTheme="minorHAnsi" w:hAnsiTheme="minorHAnsi" w:cstheme="minorHAnsi"/>
          <w:b/>
          <w:sz w:val="24"/>
          <w:szCs w:val="24"/>
        </w:rPr>
        <w:t>Verification.</w:t>
      </w:r>
      <w:r w:rsidRPr="00B75666">
        <w:rPr>
          <w:rFonts w:asciiTheme="minorHAnsi" w:hAnsiTheme="minorHAnsi" w:cstheme="minorHAnsi"/>
          <w:sz w:val="24"/>
          <w:szCs w:val="24"/>
        </w:rPr>
        <w:t xml:space="preserve"> Extracted KFI data are subject to 100% field validation according to project specifications. If a data value violates validation rules, the data point is flagged for review by verifiers who interactively review the images and the corresponding extracted data and resolve validation errors. </w:t>
      </w:r>
    </w:p>
    <w:p w:rsidR="00536744" w:rsidRPr="00B75666" w:rsidP="00536744" w14:paraId="314FA0D6" w14:textId="77777777">
      <w:pPr>
        <w:pStyle w:val="P1-StandPara"/>
        <w:spacing w:line="240" w:lineRule="auto"/>
        <w:ind w:firstLine="0"/>
        <w:jc w:val="left"/>
        <w:rPr>
          <w:rFonts w:asciiTheme="minorHAnsi" w:hAnsiTheme="minorHAnsi" w:cstheme="minorHAnsi"/>
          <w:sz w:val="24"/>
          <w:szCs w:val="24"/>
        </w:rPr>
      </w:pPr>
    </w:p>
    <w:p w:rsidR="00536744" w:rsidP="00536744" w14:paraId="56DA0FC7" w14:textId="77777777">
      <w:pPr>
        <w:pStyle w:val="N2-2ndBullet"/>
        <w:numPr>
          <w:ilvl w:val="0"/>
          <w:numId w:val="18"/>
        </w:numPr>
        <w:tabs>
          <w:tab w:val="clear" w:pos="1728"/>
        </w:tabs>
        <w:spacing w:after="0" w:line="240" w:lineRule="auto"/>
        <w:jc w:val="left"/>
        <w:rPr>
          <w:rFonts w:asciiTheme="minorHAnsi" w:hAnsiTheme="minorHAnsi" w:cstheme="minorHAnsi"/>
          <w:sz w:val="24"/>
          <w:szCs w:val="24"/>
        </w:rPr>
      </w:pPr>
      <w:r w:rsidRPr="00B75666">
        <w:rPr>
          <w:rFonts w:asciiTheme="minorHAnsi" w:hAnsiTheme="minorHAnsi" w:cstheme="minorHAnsi"/>
          <w:b/>
          <w:sz w:val="24"/>
          <w:szCs w:val="24"/>
        </w:rPr>
        <w:t>Archiving.</w:t>
      </w:r>
      <w:r w:rsidRPr="00B75666">
        <w:rPr>
          <w:rFonts w:asciiTheme="minorHAnsi" w:hAnsiTheme="minorHAnsi" w:cstheme="minorHAnsi"/>
          <w:sz w:val="24"/>
          <w:szCs w:val="24"/>
        </w:rPr>
        <w:t xml:space="preserve"> Images will be scanned and archived to magnetic storage located on a secured server in case they are needed later. This eliminates the need to save paper copies of the </w:t>
      </w:r>
      <w:r w:rsidRPr="00B75666">
        <w:rPr>
          <w:rFonts w:asciiTheme="minorHAnsi" w:hAnsiTheme="minorHAnsi" w:cstheme="minorHAnsi"/>
          <w:sz w:val="24"/>
          <w:szCs w:val="24"/>
        </w:rPr>
        <w:t>completed</w:t>
      </w:r>
      <w:r w:rsidRPr="00B75666">
        <w:rPr>
          <w:rFonts w:asciiTheme="minorHAnsi" w:hAnsiTheme="minorHAnsi" w:cstheme="minorHAnsi"/>
          <w:sz w:val="24"/>
          <w:szCs w:val="24"/>
        </w:rPr>
        <w:t xml:space="preserve"> questionnaires. </w:t>
      </w:r>
    </w:p>
    <w:p w:rsidR="007900A1" w:rsidRPr="00B75666" w:rsidP="007900A1" w14:paraId="069C1D90" w14:textId="77777777">
      <w:pPr>
        <w:pStyle w:val="N2-2ndBullet"/>
        <w:numPr>
          <w:ilvl w:val="0"/>
          <w:numId w:val="0"/>
        </w:numPr>
        <w:tabs>
          <w:tab w:val="clear" w:pos="1728"/>
        </w:tabs>
        <w:spacing w:after="0" w:line="240" w:lineRule="auto"/>
        <w:jc w:val="left"/>
        <w:rPr>
          <w:rFonts w:asciiTheme="minorHAnsi" w:hAnsiTheme="minorHAnsi" w:cstheme="minorHAnsi"/>
          <w:sz w:val="24"/>
          <w:szCs w:val="24"/>
        </w:rPr>
      </w:pPr>
    </w:p>
    <w:p w:rsidR="00201347" w:rsidRPr="00B75666" w:rsidP="00844D2F" w14:paraId="2E26CFBE" w14:textId="77777777">
      <w:pPr>
        <w:pStyle w:val="ListParagraph"/>
        <w:numPr>
          <w:ilvl w:val="0"/>
          <w:numId w:val="7"/>
        </w:numPr>
        <w:ind w:left="360" w:hanging="360"/>
        <w:rPr>
          <w:rFonts w:asciiTheme="minorHAnsi" w:hAnsiTheme="minorHAnsi" w:cstheme="minorHAnsi"/>
          <w:b/>
          <w:sz w:val="24"/>
          <w:szCs w:val="24"/>
        </w:rPr>
      </w:pPr>
      <w:r w:rsidRPr="00B75666">
        <w:rPr>
          <w:rFonts w:asciiTheme="minorHAnsi" w:hAnsiTheme="minorHAnsi" w:cstheme="minorHAnsi"/>
          <w:b/>
          <w:sz w:val="24"/>
          <w:szCs w:val="24"/>
        </w:rPr>
        <w:t>Describe efforts to identify duplication. Show specifically why any similar information already available cannot be used or modified for use for the purposes described in Question</w:t>
      </w:r>
      <w:r w:rsidRPr="00B75666">
        <w:rPr>
          <w:rFonts w:asciiTheme="minorHAnsi" w:hAnsiTheme="minorHAnsi" w:cstheme="minorHAnsi"/>
          <w:b/>
          <w:spacing w:val="-42"/>
          <w:sz w:val="24"/>
          <w:szCs w:val="24"/>
        </w:rPr>
        <w:t xml:space="preserve"> </w:t>
      </w:r>
      <w:r w:rsidRPr="00B75666">
        <w:rPr>
          <w:rFonts w:asciiTheme="minorHAnsi" w:hAnsiTheme="minorHAnsi" w:cstheme="minorHAnsi"/>
          <w:b/>
          <w:sz w:val="24"/>
          <w:szCs w:val="24"/>
        </w:rPr>
        <w:t>2</w:t>
      </w:r>
      <w:r w:rsidRPr="00B75666" w:rsidR="003C66B9">
        <w:rPr>
          <w:rFonts w:asciiTheme="minorHAnsi" w:hAnsiTheme="minorHAnsi" w:cstheme="minorHAnsi"/>
          <w:b/>
          <w:sz w:val="24"/>
          <w:szCs w:val="24"/>
        </w:rPr>
        <w:t>.</w:t>
      </w:r>
    </w:p>
    <w:p w:rsidR="008E7449" w:rsidP="008E7449" w14:paraId="21FC68DE" w14:textId="77777777">
      <w:pPr>
        <w:spacing w:before="240"/>
        <w:ind w:left="360"/>
        <w:rPr>
          <w:rFonts w:asciiTheme="minorHAnsi" w:hAnsiTheme="minorHAnsi" w:cstheme="minorHAnsi"/>
          <w:sz w:val="24"/>
          <w:szCs w:val="24"/>
        </w:rPr>
      </w:pPr>
      <w:r w:rsidRPr="00C84DC5">
        <w:rPr>
          <w:rFonts w:asciiTheme="minorHAnsi" w:hAnsiTheme="minorHAnsi" w:cstheme="minorHAnsi"/>
          <w:sz w:val="24"/>
          <w:szCs w:val="24"/>
        </w:rPr>
        <w:t xml:space="preserve">This research does not duplicate any other data collection or research being done by the Census Bureau or other Federal agencies. </w:t>
      </w:r>
      <w:r w:rsidRPr="00B75666">
        <w:rPr>
          <w:rFonts w:asciiTheme="minorHAnsi" w:hAnsiTheme="minorHAnsi" w:cstheme="minorHAnsi"/>
          <w:sz w:val="24"/>
          <w:szCs w:val="24"/>
        </w:rPr>
        <w:t xml:space="preserve">The NSSRN is the longest running national survey of RNs.  NSSRN has provided educators, health workforce leaders, and policymakers with key details and developments on the nursing workforce since 1977.  The NSSRN was last collected in 2022. There have been modifications made to the questionnaire. In the process of redesigning and eliminating redundancies in questionnaire items, the 2026 NSSRN will also delete the section titled “Nursing During the Coronavirus Pandemic” (see </w:t>
      </w:r>
      <w:r w:rsidRPr="00B75666">
        <w:rPr>
          <w:rFonts w:asciiTheme="minorHAnsi" w:hAnsiTheme="minorHAnsi" w:cstheme="minorHAnsi"/>
          <w:b/>
          <w:bCs/>
          <w:sz w:val="24"/>
          <w:szCs w:val="24"/>
        </w:rPr>
        <w:t>Appendix A</w:t>
      </w:r>
      <w:r w:rsidRPr="00B75666">
        <w:rPr>
          <w:rFonts w:asciiTheme="minorHAnsi" w:hAnsiTheme="minorHAnsi" w:cstheme="minorHAnsi"/>
          <w:sz w:val="24"/>
          <w:szCs w:val="24"/>
        </w:rPr>
        <w:t xml:space="preserve"> for a complete list of new, and modified survey items). </w:t>
      </w:r>
    </w:p>
    <w:p w:rsidR="007900A1" w:rsidRPr="00B75666" w:rsidP="008E7449" w14:paraId="6B4FD301" w14:textId="77777777">
      <w:pPr>
        <w:spacing w:before="240"/>
        <w:ind w:left="360"/>
        <w:rPr>
          <w:rFonts w:asciiTheme="minorHAnsi" w:hAnsiTheme="minorHAnsi" w:cstheme="minorHAnsi"/>
          <w:sz w:val="24"/>
          <w:szCs w:val="24"/>
        </w:rPr>
      </w:pPr>
      <w:r w:rsidRPr="007900A1">
        <w:rPr>
          <w:rFonts w:asciiTheme="minorHAnsi" w:hAnsiTheme="minorHAnsi" w:cstheme="minorHAnsi"/>
          <w:sz w:val="24"/>
          <w:szCs w:val="24"/>
        </w:rPr>
        <w:t xml:space="preserve">NP data were </w:t>
      </w:r>
      <w:r>
        <w:rPr>
          <w:rFonts w:asciiTheme="minorHAnsi" w:hAnsiTheme="minorHAnsi" w:cstheme="minorHAnsi"/>
          <w:sz w:val="24"/>
          <w:szCs w:val="24"/>
        </w:rPr>
        <w:t xml:space="preserve">previously </w:t>
      </w:r>
      <w:r w:rsidRPr="007900A1">
        <w:rPr>
          <w:rFonts w:asciiTheme="minorHAnsi" w:hAnsiTheme="minorHAnsi" w:cstheme="minorHAnsi"/>
          <w:sz w:val="24"/>
          <w:szCs w:val="24"/>
        </w:rPr>
        <w:t>collected in a separate survey called the NSSNP.</w:t>
      </w:r>
      <w:r>
        <w:rPr>
          <w:rFonts w:asciiTheme="minorHAnsi" w:hAnsiTheme="minorHAnsi" w:cstheme="minorHAnsi"/>
          <w:sz w:val="24"/>
          <w:szCs w:val="24"/>
        </w:rPr>
        <w:t xml:space="preserve"> This survey has been discontinued and merged with the NSSRN. </w:t>
      </w:r>
    </w:p>
    <w:p w:rsidR="00B82768" w:rsidRPr="00B75666" w:rsidP="00B82768" w14:paraId="705EBCB4" w14:textId="77777777">
      <w:pPr>
        <w:pStyle w:val="BodyText"/>
        <w:rPr>
          <w:rFonts w:asciiTheme="minorHAnsi" w:hAnsiTheme="minorHAnsi" w:cstheme="minorHAnsi"/>
        </w:rPr>
      </w:pPr>
    </w:p>
    <w:p w:rsidR="00201347" w:rsidRPr="00B75666" w:rsidP="00060FAF" w14:paraId="7D7A4298" w14:textId="77777777">
      <w:pPr>
        <w:pStyle w:val="Heading1"/>
        <w:numPr>
          <w:ilvl w:val="0"/>
          <w:numId w:val="7"/>
        </w:numPr>
        <w:tabs>
          <w:tab w:val="left" w:pos="669"/>
        </w:tabs>
        <w:spacing w:before="123"/>
        <w:ind w:hanging="400"/>
        <w:rPr>
          <w:rFonts w:asciiTheme="minorHAnsi" w:hAnsiTheme="minorHAnsi" w:cstheme="minorHAnsi"/>
        </w:rPr>
      </w:pPr>
      <w:r w:rsidRPr="00B75666">
        <w:rPr>
          <w:rFonts w:asciiTheme="minorHAnsi" w:hAnsiTheme="minorHAnsi" w:cstheme="minorHAnsi"/>
        </w:rPr>
        <w:t>If the collection of information impacts small businesses or other small entities, describe any methods used to minimize</w:t>
      </w:r>
      <w:r w:rsidRPr="00B75666">
        <w:rPr>
          <w:rFonts w:asciiTheme="minorHAnsi" w:hAnsiTheme="minorHAnsi" w:cstheme="minorHAnsi"/>
          <w:spacing w:val="-3"/>
        </w:rPr>
        <w:t xml:space="preserve"> </w:t>
      </w:r>
      <w:r w:rsidRPr="00B75666">
        <w:rPr>
          <w:rFonts w:asciiTheme="minorHAnsi" w:hAnsiTheme="minorHAnsi" w:cstheme="minorHAnsi"/>
        </w:rPr>
        <w:t>burden.</w:t>
      </w:r>
    </w:p>
    <w:p w:rsidR="00B82768" w:rsidRPr="00B75666" w:rsidP="00B82768" w14:paraId="5659AF23" w14:textId="77777777">
      <w:pPr>
        <w:spacing w:before="161"/>
        <w:ind w:left="400"/>
        <w:rPr>
          <w:rFonts w:asciiTheme="minorHAnsi" w:hAnsiTheme="minorHAnsi" w:cstheme="minorHAnsi"/>
          <w:bCs/>
          <w:sz w:val="24"/>
          <w:szCs w:val="24"/>
        </w:rPr>
      </w:pPr>
      <w:r w:rsidRPr="00B75666">
        <w:rPr>
          <w:rFonts w:asciiTheme="minorHAnsi" w:hAnsiTheme="minorHAnsi" w:cstheme="minorHAnsi"/>
          <w:bCs/>
          <w:sz w:val="24"/>
          <w:szCs w:val="24"/>
        </w:rPr>
        <w:t>The collection does not impact small businesses or other small entities.</w:t>
      </w:r>
    </w:p>
    <w:p w:rsidR="00B82768" w:rsidRPr="00B75666" w14:paraId="49A0BD89" w14:textId="77777777">
      <w:pPr>
        <w:pStyle w:val="BodyText"/>
        <w:spacing w:before="160"/>
        <w:ind w:right="580"/>
        <w:rPr>
          <w:rFonts w:asciiTheme="minorHAnsi" w:hAnsiTheme="minorHAnsi" w:cstheme="minorHAnsi"/>
        </w:rPr>
      </w:pPr>
    </w:p>
    <w:p w:rsidR="00201347" w:rsidRPr="00B75666" w:rsidP="00844D2F" w14:paraId="36941938" w14:textId="77777777">
      <w:pPr>
        <w:pStyle w:val="Heading1"/>
        <w:numPr>
          <w:ilvl w:val="0"/>
          <w:numId w:val="7"/>
        </w:numPr>
        <w:tabs>
          <w:tab w:val="left" w:pos="669"/>
        </w:tabs>
        <w:spacing w:before="116"/>
        <w:ind w:left="360" w:hanging="360"/>
        <w:rPr>
          <w:rFonts w:asciiTheme="minorHAnsi" w:hAnsiTheme="minorHAnsi" w:cstheme="minorHAnsi"/>
        </w:rPr>
      </w:pPr>
      <w:r w:rsidRPr="00B75666">
        <w:rPr>
          <w:rFonts w:asciiTheme="minorHAnsi" w:hAnsiTheme="minorHAnsi" w:cstheme="minorHAnsi"/>
        </w:rPr>
        <w:t xml:space="preserve">Describe the </w:t>
      </w:r>
      <w:r w:rsidRPr="00B75666">
        <w:rPr>
          <w:rFonts w:asciiTheme="minorHAnsi" w:hAnsiTheme="minorHAnsi" w:cstheme="minorHAnsi"/>
        </w:rPr>
        <w:t>consequence</w:t>
      </w:r>
      <w:r w:rsidRPr="00B75666">
        <w:rPr>
          <w:rFonts w:asciiTheme="minorHAnsi" w:hAnsiTheme="minorHAnsi" w:cstheme="minorHAnsi"/>
        </w:rPr>
        <w:t xml:space="preserve"> </w:t>
      </w:r>
      <w:r w:rsidRPr="00B75666">
        <w:rPr>
          <w:rFonts w:asciiTheme="minorHAnsi" w:hAnsiTheme="minorHAnsi" w:cstheme="minorHAnsi"/>
        </w:rPr>
        <w:t>to</w:t>
      </w:r>
      <w:r w:rsidRPr="00B75666">
        <w:rPr>
          <w:rFonts w:asciiTheme="minorHAnsi" w:hAnsiTheme="minorHAnsi" w:cstheme="minorHAnsi"/>
        </w:rPr>
        <w:t xml:space="preserve"> Federal program or policy acti</w:t>
      </w:r>
      <w:r w:rsidRPr="00B75666" w:rsidR="00060FAF">
        <w:rPr>
          <w:rFonts w:asciiTheme="minorHAnsi" w:hAnsiTheme="minorHAnsi" w:cstheme="minorHAnsi"/>
        </w:rPr>
        <w:t xml:space="preserve">vities if the collection is not </w:t>
      </w:r>
      <w:r w:rsidRPr="00B75666">
        <w:rPr>
          <w:rFonts w:asciiTheme="minorHAnsi" w:hAnsiTheme="minorHAnsi" w:cstheme="minorHAnsi"/>
        </w:rPr>
        <w:t>conducted or is conducted less frequently, as well as any technical or legal obstacles to reducing</w:t>
      </w:r>
      <w:r w:rsidRPr="00B75666">
        <w:rPr>
          <w:rFonts w:asciiTheme="minorHAnsi" w:hAnsiTheme="minorHAnsi" w:cstheme="minorHAnsi"/>
          <w:spacing w:val="-1"/>
        </w:rPr>
        <w:t xml:space="preserve"> </w:t>
      </w:r>
      <w:r w:rsidRPr="00B75666">
        <w:rPr>
          <w:rFonts w:asciiTheme="minorHAnsi" w:hAnsiTheme="minorHAnsi" w:cstheme="minorHAnsi"/>
        </w:rPr>
        <w:t>burden.</w:t>
      </w:r>
    </w:p>
    <w:p w:rsidR="008E7449" w:rsidRPr="00B75666" w:rsidP="008E7449" w14:paraId="6A985B1F" w14:textId="77777777">
      <w:pPr>
        <w:pStyle w:val="NormalWeb"/>
        <w:ind w:left="360"/>
        <w:rPr>
          <w:rFonts w:asciiTheme="minorHAnsi" w:hAnsiTheme="minorHAnsi" w:cstheme="minorHAnsi"/>
        </w:rPr>
      </w:pPr>
      <w:r w:rsidRPr="00B75666">
        <w:rPr>
          <w:rFonts w:asciiTheme="minorHAnsi" w:hAnsiTheme="minorHAnsi" w:cstheme="minorHAnsi"/>
        </w:rPr>
        <w:t xml:space="preserve">The NSSRN collects the necessary data to determine the characteristics and distribution of RNs throughout the United States, as well as emerging patterns in their employment characteristics. These data will provide the means for the evaluation and assessment of the evolving demographics, educational qualifications, and career employment patterns of RNs. Without </w:t>
      </w:r>
      <w:r w:rsidRPr="00B75666">
        <w:rPr>
          <w:rFonts w:asciiTheme="minorHAnsi" w:hAnsiTheme="minorHAnsi" w:cstheme="minorHAnsi"/>
        </w:rPr>
        <w:t>these</w:t>
      </w:r>
      <w:r w:rsidRPr="00B75666">
        <w:rPr>
          <w:rFonts w:asciiTheme="minorHAnsi" w:hAnsiTheme="minorHAnsi" w:cstheme="minorHAnsi"/>
        </w:rPr>
        <w:t xml:space="preserve"> data, HRSA NCHWA would not be able to produce these timely national estimates.  Additionally, without the data produced by this survey, the congressional mandates of the Public Health Service Act 42 U.S.C. Section 294n(b)(2)(A) and Section 295k(a)-(b) would not be fulfilled.</w:t>
      </w:r>
    </w:p>
    <w:p w:rsidR="00B82768" w:rsidRPr="00B75666" w:rsidP="00B82768" w14:paraId="71ECB609" w14:textId="77777777">
      <w:pPr>
        <w:pStyle w:val="BodyText"/>
        <w:spacing w:before="115"/>
        <w:rPr>
          <w:rFonts w:asciiTheme="minorHAnsi" w:hAnsiTheme="minorHAnsi" w:cstheme="minorHAnsi"/>
        </w:rPr>
      </w:pPr>
    </w:p>
    <w:p w:rsidR="00201347" w:rsidRPr="00B75666" w:rsidP="00844D2F" w14:paraId="21106830" w14:textId="77777777">
      <w:pPr>
        <w:pStyle w:val="Heading1"/>
        <w:numPr>
          <w:ilvl w:val="0"/>
          <w:numId w:val="7"/>
        </w:numPr>
        <w:tabs>
          <w:tab w:val="left" w:pos="669"/>
        </w:tabs>
        <w:spacing w:before="122" w:line="259" w:lineRule="auto"/>
        <w:ind w:left="360" w:hanging="360"/>
        <w:rPr>
          <w:rFonts w:asciiTheme="minorHAnsi" w:hAnsiTheme="minorHAnsi" w:cstheme="minorHAnsi"/>
        </w:rPr>
      </w:pPr>
      <w:r w:rsidRPr="00B75666">
        <w:rPr>
          <w:rFonts w:asciiTheme="minorHAnsi" w:hAnsiTheme="minorHAnsi" w:cstheme="minorHAnsi"/>
        </w:rPr>
        <w:t>Explain any special circumstances that would cause an information collection to</w:t>
      </w:r>
      <w:r w:rsidRPr="00B75666">
        <w:rPr>
          <w:rFonts w:asciiTheme="minorHAnsi" w:hAnsiTheme="minorHAnsi" w:cstheme="minorHAnsi"/>
          <w:spacing w:val="-45"/>
        </w:rPr>
        <w:t xml:space="preserve"> </w:t>
      </w:r>
      <w:r w:rsidRPr="00B75666">
        <w:rPr>
          <w:rFonts w:asciiTheme="minorHAnsi" w:hAnsiTheme="minorHAnsi" w:cstheme="minorHAnsi"/>
        </w:rPr>
        <w:t>be conducted in a</w:t>
      </w:r>
      <w:r w:rsidRPr="00B75666">
        <w:rPr>
          <w:rFonts w:asciiTheme="minorHAnsi" w:hAnsiTheme="minorHAnsi" w:cstheme="minorHAnsi"/>
          <w:spacing w:val="-2"/>
        </w:rPr>
        <w:t xml:space="preserve"> </w:t>
      </w:r>
      <w:r w:rsidRPr="00B75666">
        <w:rPr>
          <w:rFonts w:asciiTheme="minorHAnsi" w:hAnsiTheme="minorHAnsi" w:cstheme="minorHAnsi"/>
        </w:rPr>
        <w:t>manner:</w:t>
      </w:r>
    </w:p>
    <w:p w:rsidR="00201347" w:rsidRPr="00B75666" w:rsidP="00060FAF" w14:paraId="0D79C917" w14:textId="77777777">
      <w:pPr>
        <w:pStyle w:val="ListParagraph"/>
        <w:numPr>
          <w:ilvl w:val="0"/>
          <w:numId w:val="9"/>
        </w:numPr>
        <w:tabs>
          <w:tab w:val="left" w:pos="759"/>
          <w:tab w:val="left" w:pos="760"/>
        </w:tabs>
        <w:spacing w:before="160"/>
        <w:rPr>
          <w:rFonts w:asciiTheme="minorHAnsi" w:hAnsiTheme="minorHAnsi" w:cstheme="minorHAnsi"/>
          <w:sz w:val="24"/>
          <w:szCs w:val="24"/>
        </w:rPr>
      </w:pPr>
      <w:r w:rsidRPr="00B75666">
        <w:rPr>
          <w:rFonts w:asciiTheme="minorHAnsi" w:hAnsiTheme="minorHAnsi" w:cstheme="minorHAnsi"/>
          <w:sz w:val="24"/>
          <w:szCs w:val="24"/>
        </w:rPr>
        <w:t>requiring respondents to report information to the agency more often than</w:t>
      </w:r>
      <w:r w:rsidRPr="00B75666">
        <w:rPr>
          <w:rFonts w:asciiTheme="minorHAnsi" w:hAnsiTheme="minorHAnsi" w:cstheme="minorHAnsi"/>
          <w:spacing w:val="-16"/>
          <w:sz w:val="24"/>
          <w:szCs w:val="24"/>
        </w:rPr>
        <w:t xml:space="preserve"> </w:t>
      </w:r>
      <w:r w:rsidRPr="00B75666">
        <w:rPr>
          <w:rFonts w:asciiTheme="minorHAnsi" w:hAnsiTheme="minorHAnsi" w:cstheme="minorHAnsi"/>
          <w:sz w:val="24"/>
          <w:szCs w:val="24"/>
        </w:rPr>
        <w:t>quarterly;</w:t>
      </w:r>
    </w:p>
    <w:p w:rsidR="00201347" w:rsidRPr="00B75666" w:rsidP="00060FAF" w14:paraId="14242E0E" w14:textId="77777777">
      <w:pPr>
        <w:pStyle w:val="ListParagraph"/>
        <w:numPr>
          <w:ilvl w:val="0"/>
          <w:numId w:val="9"/>
        </w:numPr>
        <w:tabs>
          <w:tab w:val="left" w:pos="759"/>
          <w:tab w:val="left" w:pos="760"/>
        </w:tabs>
        <w:rPr>
          <w:rFonts w:asciiTheme="minorHAnsi" w:hAnsiTheme="minorHAnsi" w:cstheme="minorHAnsi"/>
          <w:sz w:val="24"/>
          <w:szCs w:val="24"/>
        </w:rPr>
      </w:pPr>
      <w:r w:rsidRPr="00B75666">
        <w:rPr>
          <w:rFonts w:asciiTheme="minorHAnsi" w:hAnsiTheme="minorHAnsi" w:cstheme="minorHAnsi"/>
          <w:sz w:val="24"/>
          <w:szCs w:val="24"/>
        </w:rPr>
        <w:t xml:space="preserve">requiring respondents to prepare a written response to a collection of information in fewer than 30 days after receipt of </w:t>
      </w:r>
      <w:r w:rsidRPr="00B75666">
        <w:rPr>
          <w:rFonts w:asciiTheme="minorHAnsi" w:hAnsiTheme="minorHAnsi" w:cstheme="minorHAnsi"/>
          <w:sz w:val="24"/>
          <w:szCs w:val="24"/>
        </w:rPr>
        <w:t>it;</w:t>
      </w:r>
    </w:p>
    <w:p w:rsidR="00201347" w:rsidRPr="00B75666" w:rsidP="00060FAF" w14:paraId="4B07997D" w14:textId="77777777">
      <w:pPr>
        <w:pStyle w:val="ListParagraph"/>
        <w:numPr>
          <w:ilvl w:val="0"/>
          <w:numId w:val="9"/>
        </w:numPr>
        <w:tabs>
          <w:tab w:val="left" w:pos="759"/>
          <w:tab w:val="left" w:pos="760"/>
        </w:tabs>
        <w:rPr>
          <w:rFonts w:asciiTheme="minorHAnsi" w:hAnsiTheme="minorHAnsi" w:cstheme="minorHAnsi"/>
          <w:sz w:val="24"/>
          <w:szCs w:val="24"/>
        </w:rPr>
      </w:pPr>
      <w:r w:rsidRPr="00B75666">
        <w:rPr>
          <w:rFonts w:asciiTheme="minorHAnsi" w:hAnsiTheme="minorHAnsi" w:cstheme="minorHAnsi"/>
          <w:sz w:val="24"/>
          <w:szCs w:val="24"/>
        </w:rPr>
        <w:t>requiring respondents to submit more than an original and two copies of any</w:t>
      </w:r>
      <w:r w:rsidRPr="00B75666">
        <w:rPr>
          <w:rFonts w:asciiTheme="minorHAnsi" w:hAnsiTheme="minorHAnsi" w:cstheme="minorHAnsi"/>
          <w:spacing w:val="-16"/>
          <w:sz w:val="24"/>
          <w:szCs w:val="24"/>
        </w:rPr>
        <w:t xml:space="preserve"> </w:t>
      </w:r>
      <w:r w:rsidRPr="00B75666">
        <w:rPr>
          <w:rFonts w:asciiTheme="minorHAnsi" w:hAnsiTheme="minorHAnsi" w:cstheme="minorHAnsi"/>
          <w:sz w:val="24"/>
          <w:szCs w:val="24"/>
        </w:rPr>
        <w:t>document;</w:t>
      </w:r>
    </w:p>
    <w:p w:rsidR="00201347" w:rsidRPr="00B75666" w:rsidP="00060FAF" w14:paraId="7D983868" w14:textId="77777777">
      <w:pPr>
        <w:pStyle w:val="ListParagraph"/>
        <w:numPr>
          <w:ilvl w:val="0"/>
          <w:numId w:val="9"/>
        </w:numPr>
        <w:tabs>
          <w:tab w:val="left" w:pos="759"/>
          <w:tab w:val="left" w:pos="760"/>
        </w:tabs>
        <w:spacing w:before="158"/>
        <w:rPr>
          <w:rFonts w:asciiTheme="minorHAnsi" w:hAnsiTheme="minorHAnsi" w:cstheme="minorHAnsi"/>
          <w:sz w:val="24"/>
          <w:szCs w:val="24"/>
        </w:rPr>
      </w:pPr>
      <w:r w:rsidRPr="00B75666">
        <w:rPr>
          <w:rFonts w:asciiTheme="minorHAnsi" w:hAnsiTheme="minorHAnsi" w:cstheme="minorHAnsi"/>
          <w:sz w:val="24"/>
          <w:szCs w:val="24"/>
        </w:rPr>
        <w:t>requiring respondents to retain records, other than health, medical, government contract, grant-in- aid, or tax records for more than three</w:t>
      </w:r>
      <w:r w:rsidRPr="00B75666">
        <w:rPr>
          <w:rFonts w:asciiTheme="minorHAnsi" w:hAnsiTheme="minorHAnsi" w:cstheme="minorHAnsi"/>
          <w:spacing w:val="-4"/>
          <w:sz w:val="24"/>
          <w:szCs w:val="24"/>
        </w:rPr>
        <w:t xml:space="preserve"> </w:t>
      </w:r>
      <w:r w:rsidRPr="00B75666">
        <w:rPr>
          <w:rFonts w:asciiTheme="minorHAnsi" w:hAnsiTheme="minorHAnsi" w:cstheme="minorHAnsi"/>
          <w:sz w:val="24"/>
          <w:szCs w:val="24"/>
        </w:rPr>
        <w:t>years;</w:t>
      </w:r>
    </w:p>
    <w:p w:rsidR="00201347" w:rsidRPr="00B75666" w:rsidP="00060FAF" w14:paraId="53B8F27A" w14:textId="77777777">
      <w:pPr>
        <w:pStyle w:val="ListParagraph"/>
        <w:numPr>
          <w:ilvl w:val="0"/>
          <w:numId w:val="9"/>
        </w:numPr>
        <w:tabs>
          <w:tab w:val="left" w:pos="759"/>
          <w:tab w:val="left" w:pos="760"/>
        </w:tabs>
        <w:rPr>
          <w:rFonts w:asciiTheme="minorHAnsi" w:hAnsiTheme="minorHAnsi" w:cstheme="minorHAnsi"/>
          <w:sz w:val="24"/>
          <w:szCs w:val="24"/>
        </w:rPr>
      </w:pPr>
      <w:r w:rsidRPr="00B75666">
        <w:rPr>
          <w:rFonts w:asciiTheme="minorHAnsi" w:hAnsiTheme="minorHAnsi" w:cstheme="minorHAnsi"/>
          <w:sz w:val="24"/>
          <w:szCs w:val="24"/>
        </w:rPr>
        <w:t>in connection with a statistical survey, that is not designed to produce valid and reliable results that can be generalized to the universe of</w:t>
      </w:r>
      <w:r w:rsidRPr="00B75666">
        <w:rPr>
          <w:rFonts w:asciiTheme="minorHAnsi" w:hAnsiTheme="minorHAnsi" w:cstheme="minorHAnsi"/>
          <w:spacing w:val="-5"/>
          <w:sz w:val="24"/>
          <w:szCs w:val="24"/>
        </w:rPr>
        <w:t xml:space="preserve"> </w:t>
      </w:r>
      <w:r w:rsidRPr="00B75666">
        <w:rPr>
          <w:rFonts w:asciiTheme="minorHAnsi" w:hAnsiTheme="minorHAnsi" w:cstheme="minorHAnsi"/>
          <w:sz w:val="24"/>
          <w:szCs w:val="24"/>
        </w:rPr>
        <w:t>study;</w:t>
      </w:r>
    </w:p>
    <w:p w:rsidR="00201347" w:rsidRPr="00B75666" w:rsidP="00060FAF" w14:paraId="793B2688" w14:textId="77777777">
      <w:pPr>
        <w:pStyle w:val="ListParagraph"/>
        <w:numPr>
          <w:ilvl w:val="0"/>
          <w:numId w:val="9"/>
        </w:numPr>
        <w:tabs>
          <w:tab w:val="left" w:pos="759"/>
          <w:tab w:val="left" w:pos="760"/>
        </w:tabs>
        <w:spacing w:before="159"/>
        <w:rPr>
          <w:rFonts w:asciiTheme="minorHAnsi" w:hAnsiTheme="minorHAnsi" w:cstheme="minorHAnsi"/>
          <w:sz w:val="24"/>
          <w:szCs w:val="24"/>
        </w:rPr>
      </w:pPr>
      <w:r w:rsidRPr="00B75666">
        <w:rPr>
          <w:rFonts w:asciiTheme="minorHAnsi" w:hAnsiTheme="minorHAnsi" w:cstheme="minorHAnsi"/>
          <w:sz w:val="24"/>
          <w:szCs w:val="24"/>
        </w:rPr>
        <w:t xml:space="preserve">requiring the use of a statistical data classification that has not been reviewed and approved by </w:t>
      </w:r>
      <w:r w:rsidRPr="00B75666">
        <w:rPr>
          <w:rFonts w:asciiTheme="minorHAnsi" w:hAnsiTheme="minorHAnsi" w:cstheme="minorHAnsi"/>
          <w:sz w:val="24"/>
          <w:szCs w:val="24"/>
        </w:rPr>
        <w:t>OMB;</w:t>
      </w:r>
    </w:p>
    <w:p w:rsidR="00201347" w:rsidRPr="00B75666" w:rsidP="00060FAF" w14:paraId="6D42250B" w14:textId="77777777">
      <w:pPr>
        <w:pStyle w:val="ListParagraph"/>
        <w:numPr>
          <w:ilvl w:val="0"/>
          <w:numId w:val="9"/>
        </w:numPr>
        <w:tabs>
          <w:tab w:val="left" w:pos="759"/>
          <w:tab w:val="left" w:pos="760"/>
        </w:tabs>
        <w:rPr>
          <w:rFonts w:asciiTheme="minorHAnsi" w:hAnsiTheme="minorHAnsi" w:cstheme="minorHAnsi"/>
          <w:sz w:val="24"/>
          <w:szCs w:val="24"/>
        </w:rPr>
      </w:pPr>
      <w:r w:rsidRPr="00B75666">
        <w:rPr>
          <w:rFonts w:asciiTheme="minorHAnsi" w:hAnsiTheme="minorHAnsi" w:cstheme="minorHAns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B75666">
        <w:rPr>
          <w:rFonts w:asciiTheme="minorHAnsi" w:hAnsiTheme="minorHAnsi" w:cstheme="minorHAnsi"/>
          <w:spacing w:val="-6"/>
          <w:sz w:val="24"/>
          <w:szCs w:val="24"/>
        </w:rPr>
        <w:t xml:space="preserve"> </w:t>
      </w:r>
      <w:r w:rsidRPr="00B75666">
        <w:rPr>
          <w:rFonts w:asciiTheme="minorHAnsi" w:hAnsiTheme="minorHAnsi" w:cstheme="minorHAnsi"/>
          <w:sz w:val="24"/>
          <w:szCs w:val="24"/>
        </w:rPr>
        <w:t>or</w:t>
      </w:r>
    </w:p>
    <w:p w:rsidR="00201347" w:rsidRPr="00B75666" w:rsidP="00060FAF" w14:paraId="1D93F7BB" w14:textId="77777777">
      <w:pPr>
        <w:pStyle w:val="ListParagraph"/>
        <w:numPr>
          <w:ilvl w:val="0"/>
          <w:numId w:val="9"/>
        </w:numPr>
        <w:tabs>
          <w:tab w:val="left" w:pos="759"/>
          <w:tab w:val="left" w:pos="760"/>
        </w:tabs>
        <w:spacing w:before="160"/>
        <w:rPr>
          <w:rFonts w:asciiTheme="minorHAnsi" w:hAnsiTheme="minorHAnsi" w:cstheme="minorHAnsi"/>
          <w:sz w:val="24"/>
          <w:szCs w:val="24"/>
        </w:rPr>
      </w:pPr>
      <w:r w:rsidRPr="00B75666">
        <w:rPr>
          <w:rFonts w:asciiTheme="minorHAnsi" w:hAnsiTheme="minorHAnsi" w:cstheme="minorHAnsi"/>
          <w:sz w:val="24"/>
          <w:szCs w:val="24"/>
        </w:rPr>
        <w:t xml:space="preserve">requiring respondents to submit proprietary trade </w:t>
      </w:r>
      <w:r w:rsidRPr="00B75666">
        <w:rPr>
          <w:rFonts w:asciiTheme="minorHAnsi" w:hAnsiTheme="minorHAnsi" w:cstheme="minorHAnsi"/>
          <w:sz w:val="24"/>
          <w:szCs w:val="24"/>
        </w:rPr>
        <w:t>secret</w:t>
      </w:r>
      <w:r w:rsidRPr="00B75666">
        <w:rPr>
          <w:rFonts w:asciiTheme="minorHAnsi" w:hAnsiTheme="minorHAnsi" w:cstheme="minorHAnsi"/>
          <w:sz w:val="24"/>
          <w:szCs w:val="24"/>
        </w:rPr>
        <w:t>, or other confidential information unless the agency can demonstrate that it has instituted procedures to protect the information's confidentiality to the extent permitted by</w:t>
      </w:r>
      <w:r w:rsidRPr="00B75666">
        <w:rPr>
          <w:rFonts w:asciiTheme="minorHAnsi" w:hAnsiTheme="minorHAnsi" w:cstheme="minorHAnsi"/>
          <w:spacing w:val="-3"/>
          <w:sz w:val="24"/>
          <w:szCs w:val="24"/>
        </w:rPr>
        <w:t xml:space="preserve"> </w:t>
      </w:r>
      <w:r w:rsidRPr="00B75666">
        <w:rPr>
          <w:rFonts w:asciiTheme="minorHAnsi" w:hAnsiTheme="minorHAnsi" w:cstheme="minorHAnsi"/>
          <w:sz w:val="24"/>
          <w:szCs w:val="24"/>
        </w:rPr>
        <w:t>law.</w:t>
      </w:r>
    </w:p>
    <w:p w:rsidR="008D5253" w:rsidRPr="00B75666" w:rsidP="00060FAF" w14:paraId="50938797" w14:textId="77777777">
      <w:pPr>
        <w:pStyle w:val="BodyText"/>
        <w:spacing w:before="80"/>
        <w:rPr>
          <w:rFonts w:asciiTheme="minorHAnsi" w:hAnsiTheme="minorHAnsi" w:cstheme="minorHAnsi"/>
          <w:color w:val="0070C0"/>
        </w:rPr>
      </w:pPr>
    </w:p>
    <w:p w:rsidR="0050350B" w:rsidP="00AB6442" w14:paraId="13C78D9E" w14:textId="0ABFBD78">
      <w:pPr>
        <w:ind w:left="360"/>
        <w:rPr>
          <w:rFonts w:asciiTheme="minorHAnsi" w:hAnsiTheme="minorHAnsi" w:cstheme="minorHAnsi"/>
          <w:sz w:val="24"/>
          <w:szCs w:val="24"/>
        </w:rPr>
      </w:pPr>
      <w:r w:rsidRPr="00B75666">
        <w:rPr>
          <w:rFonts w:asciiTheme="minorHAnsi" w:hAnsiTheme="minorHAnsi" w:cstheme="minorHAnsi"/>
          <w:sz w:val="24"/>
          <w:szCs w:val="24"/>
        </w:rPr>
        <w:t>Th</w:t>
      </w:r>
      <w:r w:rsidR="00AB6442">
        <w:rPr>
          <w:rFonts w:asciiTheme="minorHAnsi" w:hAnsiTheme="minorHAnsi" w:cstheme="minorHAnsi"/>
          <w:sz w:val="24"/>
          <w:szCs w:val="24"/>
        </w:rPr>
        <w:t>e</w:t>
      </w:r>
      <w:r w:rsidRPr="00B75666">
        <w:rPr>
          <w:rFonts w:asciiTheme="minorHAnsi" w:hAnsiTheme="minorHAnsi" w:cstheme="minorHAnsi"/>
          <w:sz w:val="24"/>
          <w:szCs w:val="24"/>
        </w:rPr>
        <w:t xml:space="preserve"> </w:t>
      </w:r>
      <w:r w:rsidR="00AB6442">
        <w:rPr>
          <w:rFonts w:asciiTheme="minorHAnsi" w:hAnsiTheme="minorHAnsi" w:cstheme="minorHAnsi"/>
          <w:sz w:val="24"/>
          <w:szCs w:val="24"/>
        </w:rPr>
        <w:t xml:space="preserve">2026 NSSRN </w:t>
      </w:r>
      <w:r w:rsidRPr="00B75666">
        <w:rPr>
          <w:rFonts w:asciiTheme="minorHAnsi" w:hAnsiTheme="minorHAnsi" w:cstheme="minorHAnsi"/>
          <w:sz w:val="24"/>
          <w:szCs w:val="24"/>
        </w:rPr>
        <w:t xml:space="preserve">data collection </w:t>
      </w:r>
      <w:r w:rsidR="001836EA">
        <w:rPr>
          <w:rFonts w:asciiTheme="minorHAnsi" w:hAnsiTheme="minorHAnsi" w:cstheme="minorHAnsi"/>
          <w:sz w:val="24"/>
          <w:szCs w:val="24"/>
        </w:rPr>
        <w:t>uses</w:t>
      </w:r>
      <w:r w:rsidRPr="00B75666">
        <w:rPr>
          <w:rFonts w:asciiTheme="minorHAnsi" w:hAnsiTheme="minorHAnsi" w:cstheme="minorHAnsi"/>
          <w:sz w:val="24"/>
          <w:szCs w:val="24"/>
        </w:rPr>
        <w:t xml:space="preserve"> OMB’s </w:t>
      </w:r>
      <w:r w:rsidR="001836EA">
        <w:rPr>
          <w:rFonts w:asciiTheme="minorHAnsi" w:hAnsiTheme="minorHAnsi" w:cstheme="minorHAnsi"/>
          <w:sz w:val="24"/>
          <w:szCs w:val="24"/>
        </w:rPr>
        <w:t>1997</w:t>
      </w:r>
      <w:r w:rsidRPr="00B75666">
        <w:rPr>
          <w:rFonts w:asciiTheme="minorHAnsi" w:hAnsiTheme="minorHAnsi" w:cstheme="minorHAnsi"/>
          <w:sz w:val="24"/>
          <w:szCs w:val="24"/>
        </w:rPr>
        <w:t xml:space="preserve"> Statistical Policy Directive No. 15 (SPD15) on Federal Race and Ethnicity </w:t>
      </w:r>
      <w:r w:rsidR="001836EA">
        <w:rPr>
          <w:rFonts w:asciiTheme="minorHAnsi" w:hAnsiTheme="minorHAnsi" w:cstheme="minorHAnsi"/>
          <w:sz w:val="24"/>
          <w:szCs w:val="24"/>
        </w:rPr>
        <w:t xml:space="preserve">Data </w:t>
      </w:r>
      <w:r w:rsidRPr="00B75666">
        <w:rPr>
          <w:rFonts w:asciiTheme="minorHAnsi" w:hAnsiTheme="minorHAnsi" w:cstheme="minorHAnsi"/>
          <w:sz w:val="24"/>
          <w:szCs w:val="24"/>
        </w:rPr>
        <w:t>Standards</w:t>
      </w:r>
      <w:r w:rsidR="001836EA">
        <w:rPr>
          <w:rFonts w:asciiTheme="minorHAnsi" w:hAnsiTheme="minorHAnsi" w:cstheme="minorHAnsi"/>
          <w:sz w:val="24"/>
          <w:szCs w:val="24"/>
        </w:rPr>
        <w:t xml:space="preserve"> with</w:t>
      </w:r>
      <w:r>
        <w:rPr>
          <w:rFonts w:asciiTheme="minorHAnsi" w:hAnsiTheme="minorHAnsi" w:cstheme="minorHAnsi"/>
          <w:sz w:val="24"/>
          <w:szCs w:val="24"/>
        </w:rPr>
        <w:t xml:space="preserve"> </w:t>
      </w:r>
      <w:r w:rsidR="00AB6442">
        <w:rPr>
          <w:rFonts w:asciiTheme="minorHAnsi" w:hAnsiTheme="minorHAnsi" w:cstheme="minorHAnsi"/>
          <w:sz w:val="24"/>
          <w:szCs w:val="24"/>
        </w:rPr>
        <w:t>plan</w:t>
      </w:r>
      <w:r w:rsidR="001836EA">
        <w:rPr>
          <w:rFonts w:asciiTheme="minorHAnsi" w:hAnsiTheme="minorHAnsi" w:cstheme="minorHAnsi"/>
          <w:sz w:val="24"/>
          <w:szCs w:val="24"/>
        </w:rPr>
        <w:t>s</w:t>
      </w:r>
      <w:r w:rsidR="00AB6442">
        <w:rPr>
          <w:rFonts w:asciiTheme="minorHAnsi" w:hAnsiTheme="minorHAnsi" w:cstheme="minorHAnsi"/>
          <w:sz w:val="24"/>
          <w:szCs w:val="24"/>
        </w:rPr>
        <w:t xml:space="preserve"> to incorporate </w:t>
      </w:r>
      <w:r w:rsidR="001836EA">
        <w:rPr>
          <w:rFonts w:asciiTheme="minorHAnsi" w:hAnsiTheme="minorHAnsi" w:cstheme="minorHAnsi"/>
          <w:sz w:val="24"/>
          <w:szCs w:val="24"/>
        </w:rPr>
        <w:t>the 2024 standards</w:t>
      </w:r>
      <w:r w:rsidR="00AB6442">
        <w:rPr>
          <w:rFonts w:asciiTheme="minorHAnsi" w:hAnsiTheme="minorHAnsi" w:cstheme="minorHAnsi"/>
          <w:sz w:val="24"/>
          <w:szCs w:val="24"/>
        </w:rPr>
        <w:t xml:space="preserve"> in the next survey cycle of NSSRN</w:t>
      </w:r>
      <w:r w:rsidRPr="00B75666">
        <w:rPr>
          <w:rFonts w:asciiTheme="minorHAnsi" w:hAnsiTheme="minorHAnsi" w:cstheme="minorHAnsi"/>
          <w:sz w:val="24"/>
          <w:szCs w:val="24"/>
        </w:rPr>
        <w:t xml:space="preserve">. </w:t>
      </w:r>
    </w:p>
    <w:p w:rsidR="0050350B" w:rsidP="00AB6442" w14:paraId="6CC7DF66" w14:textId="4AD242D1">
      <w:pPr>
        <w:ind w:left="360"/>
        <w:rPr>
          <w:rFonts w:asciiTheme="minorHAnsi" w:hAnsiTheme="minorHAnsi" w:cstheme="minorHAnsi"/>
          <w:sz w:val="24"/>
          <w:szCs w:val="24"/>
        </w:rPr>
      </w:pPr>
    </w:p>
    <w:p w:rsidR="0050350B" w:rsidRPr="00B75666" w:rsidP="00AB6442" w14:paraId="7F5A2204" w14:textId="58054460">
      <w:pPr>
        <w:ind w:left="360"/>
        <w:rPr>
          <w:rFonts w:asciiTheme="minorHAnsi" w:hAnsiTheme="minorHAnsi" w:cstheme="minorHAnsi"/>
          <w:sz w:val="24"/>
          <w:szCs w:val="24"/>
        </w:rPr>
      </w:pPr>
      <w:r>
        <w:rPr>
          <w:rFonts w:asciiTheme="minorHAnsi" w:hAnsiTheme="minorHAnsi" w:cstheme="minorHAnsi"/>
          <w:sz w:val="24"/>
          <w:szCs w:val="24"/>
        </w:rPr>
        <w:t xml:space="preserve">The 2026 NSSRN </w:t>
      </w:r>
      <w:r>
        <w:rPr>
          <w:rFonts w:asciiTheme="minorHAnsi" w:hAnsiTheme="minorHAnsi" w:cstheme="minorHAnsi"/>
          <w:sz w:val="24"/>
          <w:szCs w:val="24"/>
        </w:rPr>
        <w:t>is in compliance with</w:t>
      </w:r>
      <w:r>
        <w:rPr>
          <w:rFonts w:asciiTheme="minorHAnsi" w:hAnsiTheme="minorHAnsi" w:cstheme="minorHAnsi"/>
          <w:sz w:val="24"/>
          <w:szCs w:val="24"/>
        </w:rPr>
        <w:t xml:space="preserve"> EO 14168 on </w:t>
      </w:r>
      <w:r w:rsidRPr="0050350B">
        <w:rPr>
          <w:rFonts w:asciiTheme="minorHAnsi" w:hAnsiTheme="minorHAnsi" w:cstheme="minorHAnsi"/>
          <w:sz w:val="24"/>
          <w:szCs w:val="24"/>
        </w:rPr>
        <w:t xml:space="preserve">Defending Women </w:t>
      </w:r>
      <w:r w:rsidRPr="0050350B">
        <w:rPr>
          <w:rFonts w:asciiTheme="minorHAnsi" w:hAnsiTheme="minorHAnsi" w:cstheme="minorHAnsi"/>
          <w:sz w:val="24"/>
          <w:szCs w:val="24"/>
        </w:rPr>
        <w:t>From</w:t>
      </w:r>
      <w:r w:rsidRPr="0050350B">
        <w:rPr>
          <w:rFonts w:asciiTheme="minorHAnsi" w:hAnsiTheme="minorHAnsi" w:cstheme="minorHAnsi"/>
          <w:sz w:val="24"/>
          <w:szCs w:val="24"/>
        </w:rPr>
        <w:t xml:space="preserve"> Gender Ideology Extremism and Restoring Biological Truth to the Federal Government</w:t>
      </w:r>
      <w:r>
        <w:rPr>
          <w:rFonts w:asciiTheme="minorHAnsi" w:hAnsiTheme="minorHAnsi" w:cstheme="minorHAnsi"/>
          <w:sz w:val="24"/>
          <w:szCs w:val="24"/>
        </w:rPr>
        <w:t>.</w:t>
      </w:r>
    </w:p>
    <w:p w:rsidR="008D5253" w:rsidRPr="00B75666" w:rsidP="00AB6442" w14:paraId="6DFCBE42" w14:textId="31D5D4BC">
      <w:pPr>
        <w:ind w:left="360"/>
        <w:rPr>
          <w:rFonts w:asciiTheme="minorHAnsi" w:hAnsiTheme="minorHAnsi" w:cstheme="minorHAnsi"/>
          <w:sz w:val="24"/>
          <w:szCs w:val="24"/>
        </w:rPr>
      </w:pPr>
    </w:p>
    <w:p w:rsidR="008D5253" w:rsidRPr="00B75666" w:rsidP="008D5253" w14:paraId="141BDE31" w14:textId="77777777">
      <w:pPr>
        <w:ind w:left="360"/>
        <w:rPr>
          <w:rFonts w:asciiTheme="minorHAnsi" w:hAnsiTheme="minorHAnsi" w:cstheme="minorHAnsi"/>
          <w:sz w:val="24"/>
          <w:szCs w:val="24"/>
        </w:rPr>
      </w:pPr>
    </w:p>
    <w:p w:rsidR="008D5253" w:rsidRPr="00B75666" w:rsidP="008D5253" w14:paraId="0C27CD27"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will be consistent with the general information collection guidelines of 5 CFR 1320.5.  </w:t>
      </w:r>
    </w:p>
    <w:p w:rsidR="008D5253" w:rsidRPr="00B75666" w:rsidP="008D5253" w14:paraId="6DF6125A" w14:textId="77777777">
      <w:pPr>
        <w:ind w:left="360"/>
        <w:rPr>
          <w:rFonts w:asciiTheme="minorHAnsi" w:hAnsiTheme="minorHAnsi" w:cstheme="minorHAnsi"/>
          <w:sz w:val="24"/>
          <w:szCs w:val="24"/>
        </w:rPr>
      </w:pPr>
    </w:p>
    <w:p w:rsidR="008D5253" w:rsidRPr="00B75666" w:rsidP="008D5253" w14:paraId="142B07F3"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does not require respondents to report information to the agency more often than quarterly. </w:t>
      </w:r>
    </w:p>
    <w:p w:rsidR="008D5253" w:rsidRPr="00B75666" w:rsidP="008D5253" w14:paraId="51DCB57D" w14:textId="77777777">
      <w:pPr>
        <w:ind w:left="360"/>
        <w:rPr>
          <w:rFonts w:asciiTheme="minorHAnsi" w:hAnsiTheme="minorHAnsi" w:cstheme="minorHAnsi"/>
          <w:sz w:val="24"/>
          <w:szCs w:val="24"/>
        </w:rPr>
      </w:pPr>
    </w:p>
    <w:p w:rsidR="008D5253" w:rsidRPr="00B75666" w:rsidP="008D5253" w14:paraId="1B2B6FCD"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does not require respondents to prepare a written response to a collection of information in fewer than 30 days after </w:t>
      </w:r>
      <w:r w:rsidRPr="00B75666">
        <w:rPr>
          <w:rFonts w:asciiTheme="minorHAnsi" w:hAnsiTheme="minorHAnsi" w:cstheme="minorHAnsi"/>
          <w:sz w:val="24"/>
          <w:szCs w:val="24"/>
        </w:rPr>
        <w:t>receipt of</w:t>
      </w:r>
      <w:r w:rsidRPr="00B75666">
        <w:rPr>
          <w:rFonts w:asciiTheme="minorHAnsi" w:hAnsiTheme="minorHAnsi" w:cstheme="minorHAnsi"/>
          <w:sz w:val="24"/>
          <w:szCs w:val="24"/>
        </w:rPr>
        <w:t xml:space="preserve"> it. </w:t>
      </w:r>
    </w:p>
    <w:p w:rsidR="008D5253" w:rsidRPr="00B75666" w:rsidP="008D5253" w14:paraId="6C6CDAD2" w14:textId="77777777">
      <w:pPr>
        <w:ind w:left="360"/>
        <w:rPr>
          <w:rFonts w:asciiTheme="minorHAnsi" w:hAnsiTheme="minorHAnsi" w:cstheme="minorHAnsi"/>
          <w:sz w:val="24"/>
          <w:szCs w:val="24"/>
        </w:rPr>
      </w:pPr>
    </w:p>
    <w:p w:rsidR="008D5253" w:rsidRPr="00B75666" w:rsidP="008D5253" w14:paraId="271391D8" w14:textId="77777777">
      <w:pPr>
        <w:ind w:left="360"/>
        <w:rPr>
          <w:rFonts w:asciiTheme="minorHAnsi" w:hAnsiTheme="minorHAnsi" w:cstheme="minorHAnsi"/>
          <w:sz w:val="24"/>
          <w:szCs w:val="24"/>
        </w:rPr>
      </w:pPr>
      <w:r w:rsidRPr="00B75666">
        <w:rPr>
          <w:rFonts w:asciiTheme="minorHAnsi" w:hAnsiTheme="minorHAnsi" w:cstheme="minorHAnsi"/>
          <w:sz w:val="24"/>
          <w:szCs w:val="24"/>
        </w:rPr>
        <w:t>This data collection does not require respondents to submit more than an original and 2 copies of any documents.</w:t>
      </w:r>
    </w:p>
    <w:p w:rsidR="008D5253" w:rsidRPr="00B75666" w:rsidP="008D5253" w14:paraId="34CEC025" w14:textId="77777777">
      <w:pPr>
        <w:ind w:left="360"/>
        <w:rPr>
          <w:rFonts w:asciiTheme="minorHAnsi" w:hAnsiTheme="minorHAnsi" w:cstheme="minorHAnsi"/>
          <w:sz w:val="24"/>
          <w:szCs w:val="24"/>
        </w:rPr>
      </w:pPr>
    </w:p>
    <w:p w:rsidR="008D5253" w:rsidRPr="00B75666" w:rsidP="008D5253" w14:paraId="7AAE1983" w14:textId="77777777">
      <w:pPr>
        <w:ind w:left="360"/>
        <w:rPr>
          <w:rFonts w:asciiTheme="minorHAnsi" w:hAnsiTheme="minorHAnsi" w:cstheme="minorHAnsi"/>
          <w:sz w:val="24"/>
          <w:szCs w:val="24"/>
        </w:rPr>
      </w:pPr>
      <w:r w:rsidRPr="00B75666">
        <w:rPr>
          <w:rFonts w:asciiTheme="minorHAnsi" w:hAnsiTheme="minorHAnsi" w:cstheme="minorHAnsi"/>
          <w:sz w:val="24"/>
          <w:szCs w:val="24"/>
        </w:rPr>
        <w:t>This data collection does not require respondents to retain records for more than three years,</w:t>
      </w:r>
    </w:p>
    <w:p w:rsidR="008D5253" w:rsidRPr="00B75666" w:rsidP="008D5253" w14:paraId="0415C123" w14:textId="77777777">
      <w:pPr>
        <w:ind w:left="360"/>
        <w:rPr>
          <w:rFonts w:asciiTheme="minorHAnsi" w:hAnsiTheme="minorHAnsi" w:cstheme="minorHAnsi"/>
          <w:sz w:val="24"/>
          <w:szCs w:val="24"/>
        </w:rPr>
      </w:pPr>
    </w:p>
    <w:p w:rsidR="008D5253" w:rsidRPr="00B75666" w:rsidP="008D5253" w14:paraId="519F09A5" w14:textId="77777777">
      <w:pPr>
        <w:ind w:left="360"/>
        <w:rPr>
          <w:rFonts w:asciiTheme="minorHAnsi" w:hAnsiTheme="minorHAnsi" w:cstheme="minorHAnsi"/>
          <w:sz w:val="24"/>
          <w:szCs w:val="24"/>
        </w:rPr>
      </w:pPr>
      <w:r w:rsidRPr="00B75666">
        <w:rPr>
          <w:rFonts w:asciiTheme="minorHAnsi" w:hAnsiTheme="minorHAnsi" w:cstheme="minorHAnsi"/>
          <w:sz w:val="24"/>
          <w:szCs w:val="24"/>
        </w:rPr>
        <w:t>This data collection is not collected in connection with a statistical survey that is not designed to produce valid and reliable results that can be generalized to the universe of study.</w:t>
      </w:r>
    </w:p>
    <w:p w:rsidR="008D5253" w:rsidRPr="00B75666" w:rsidP="008D5253" w14:paraId="5D41E60B" w14:textId="77777777">
      <w:pPr>
        <w:ind w:left="360"/>
        <w:rPr>
          <w:rFonts w:asciiTheme="minorHAnsi" w:hAnsiTheme="minorHAnsi" w:cstheme="minorHAnsi"/>
          <w:sz w:val="24"/>
          <w:szCs w:val="24"/>
        </w:rPr>
      </w:pPr>
    </w:p>
    <w:p w:rsidR="008D5253" w:rsidRPr="00B75666" w:rsidP="008D5253" w14:paraId="44230B70"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is not collected in a manner requiring the use of a statistical data classification that has not been reviewed and approved by OMB. </w:t>
      </w:r>
    </w:p>
    <w:p w:rsidR="008D5253" w:rsidRPr="00B75666" w:rsidP="008D5253" w14:paraId="0F7AA08E" w14:textId="77777777">
      <w:pPr>
        <w:ind w:left="360"/>
        <w:rPr>
          <w:rFonts w:asciiTheme="minorHAnsi" w:hAnsiTheme="minorHAnsi" w:cstheme="minorHAnsi"/>
          <w:sz w:val="24"/>
          <w:szCs w:val="24"/>
        </w:rPr>
      </w:pPr>
    </w:p>
    <w:p w:rsidR="008D5253" w:rsidRPr="00B75666" w:rsidP="008D5253" w14:paraId="6E6E2B65"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8D5253" w:rsidRPr="00B75666" w:rsidP="008D5253" w14:paraId="1383AA4B" w14:textId="77777777">
      <w:pPr>
        <w:ind w:left="360"/>
        <w:rPr>
          <w:rFonts w:asciiTheme="minorHAnsi" w:hAnsiTheme="minorHAnsi" w:cstheme="minorHAnsi"/>
          <w:sz w:val="24"/>
          <w:szCs w:val="24"/>
        </w:rPr>
      </w:pPr>
    </w:p>
    <w:p w:rsidR="008D5253" w:rsidRPr="00B75666" w:rsidP="008D5253" w14:paraId="3D28C89A" w14:textId="77777777">
      <w:pPr>
        <w:ind w:left="360"/>
        <w:rPr>
          <w:rFonts w:asciiTheme="minorHAnsi" w:hAnsiTheme="minorHAnsi" w:cstheme="minorHAnsi"/>
          <w:sz w:val="24"/>
          <w:szCs w:val="24"/>
        </w:rPr>
      </w:pPr>
      <w:r w:rsidRPr="00B75666">
        <w:rPr>
          <w:rFonts w:asciiTheme="minorHAnsi" w:hAnsiTheme="minorHAnsi" w:cstheme="minorHAnsi"/>
          <w:sz w:val="24"/>
          <w:szCs w:val="24"/>
        </w:rPr>
        <w:t xml:space="preserve">This data collection does not require respondents to submit proprietary trade </w:t>
      </w:r>
      <w:r w:rsidRPr="00B75666">
        <w:rPr>
          <w:rFonts w:asciiTheme="minorHAnsi" w:hAnsiTheme="minorHAnsi" w:cstheme="minorHAnsi"/>
          <w:sz w:val="24"/>
          <w:szCs w:val="24"/>
        </w:rPr>
        <w:t>secret</w:t>
      </w:r>
      <w:r w:rsidRPr="00B75666">
        <w:rPr>
          <w:rFonts w:asciiTheme="minorHAnsi" w:hAnsiTheme="minorHAnsi" w:cstheme="minorHAnsi"/>
          <w:sz w:val="24"/>
          <w:szCs w:val="24"/>
        </w:rPr>
        <w:t>, or other confidential information.</w:t>
      </w:r>
    </w:p>
    <w:p w:rsidR="008D5253" w:rsidRPr="00B75666" w:rsidP="008D5253" w14:paraId="60A48F1D" w14:textId="77777777">
      <w:pPr>
        <w:ind w:left="360"/>
        <w:rPr>
          <w:rFonts w:asciiTheme="minorHAnsi" w:hAnsiTheme="minorHAnsi" w:cstheme="minorHAnsi"/>
          <w:sz w:val="24"/>
          <w:szCs w:val="24"/>
        </w:rPr>
      </w:pPr>
    </w:p>
    <w:p w:rsidR="00060FAF" w:rsidRPr="00B75666" w14:paraId="24133D34" w14:textId="77777777">
      <w:pPr>
        <w:pStyle w:val="BodyText"/>
        <w:spacing w:before="80"/>
        <w:ind w:right="379"/>
        <w:rPr>
          <w:rFonts w:asciiTheme="minorHAnsi" w:hAnsiTheme="minorHAnsi" w:cstheme="minorHAnsi"/>
        </w:rPr>
      </w:pPr>
    </w:p>
    <w:p w:rsidR="00201347" w:rsidRPr="00B75666" w:rsidP="00844D2F" w14:paraId="111FBC6D" w14:textId="77777777">
      <w:pPr>
        <w:pStyle w:val="Heading1"/>
        <w:numPr>
          <w:ilvl w:val="0"/>
          <w:numId w:val="7"/>
        </w:numPr>
        <w:tabs>
          <w:tab w:val="left" w:pos="669"/>
        </w:tabs>
        <w:spacing w:before="125"/>
        <w:ind w:left="360" w:hanging="360"/>
        <w:rPr>
          <w:rFonts w:asciiTheme="minorHAnsi" w:hAnsiTheme="minorHAnsi" w:cstheme="minorHAnsi"/>
        </w:rPr>
      </w:pPr>
      <w:r w:rsidRPr="00B75666">
        <w:rPr>
          <w:rFonts w:asciiTheme="minorHAnsi" w:hAnsiTheme="minorHAnsi" w:cstheme="minorHAns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B75666">
        <w:rPr>
          <w:rFonts w:asciiTheme="minorHAnsi" w:hAnsiTheme="minorHAnsi" w:cstheme="minorHAnsi"/>
          <w:spacing w:val="-17"/>
        </w:rPr>
        <w:t xml:space="preserve"> </w:t>
      </w:r>
      <w:r w:rsidRPr="00B75666">
        <w:rPr>
          <w:rFonts w:asciiTheme="minorHAnsi" w:hAnsiTheme="minorHAnsi" w:cstheme="minorHAnsi"/>
        </w:rPr>
        <w:t>burden.</w:t>
      </w:r>
    </w:p>
    <w:p w:rsidR="0056581F" w:rsidRPr="00B75666" w:rsidP="00060FAF" w14:paraId="098C4E7C" w14:textId="77777777">
      <w:pPr>
        <w:pStyle w:val="BodyText"/>
        <w:spacing w:before="159"/>
        <w:rPr>
          <w:rFonts w:asciiTheme="minorHAnsi" w:hAnsiTheme="minorHAnsi" w:cstheme="minorHAnsi"/>
          <w:b/>
          <w:bCs/>
        </w:rPr>
      </w:pPr>
      <w:r w:rsidRPr="00B75666">
        <w:rPr>
          <w:rFonts w:asciiTheme="minorHAnsi" w:hAnsiTheme="minorHAnsi" w:cstheme="minorHAns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09FB" w:rsidP="008D5253" w14:paraId="66AB96F4" w14:textId="77777777">
      <w:pPr>
        <w:widowControl/>
        <w:autoSpaceDE/>
        <w:autoSpaceDN/>
        <w:ind w:left="360"/>
        <w:rPr>
          <w:rFonts w:asciiTheme="minorHAnsi" w:hAnsiTheme="minorHAnsi" w:cstheme="minorHAnsi"/>
          <w:sz w:val="24"/>
          <w:szCs w:val="24"/>
        </w:rPr>
      </w:pPr>
    </w:p>
    <w:p w:rsidR="008D5253" w:rsidRPr="00B75666" w:rsidP="5256D0E2" w14:paraId="5FCAF969" w14:textId="77777777">
      <w:pPr>
        <w:widowControl/>
        <w:autoSpaceDE/>
        <w:autoSpaceDN/>
        <w:ind w:left="360"/>
        <w:rPr>
          <w:rFonts w:asciiTheme="minorHAnsi" w:hAnsiTheme="minorHAnsi" w:cstheme="minorBidi"/>
          <w:sz w:val="24"/>
          <w:szCs w:val="24"/>
        </w:rPr>
      </w:pPr>
      <w:r w:rsidRPr="5256D0E2">
        <w:rPr>
          <w:rFonts w:asciiTheme="minorHAnsi" w:hAnsiTheme="minorHAnsi" w:cstheme="minorBidi"/>
          <w:sz w:val="24"/>
          <w:szCs w:val="24"/>
        </w:rPr>
        <w:t xml:space="preserve">The 60-day Federal Register Notice </w:t>
      </w:r>
      <w:r w:rsidRPr="5256D0E2" w:rsidR="27C307F2">
        <w:rPr>
          <w:rFonts w:asciiTheme="minorHAnsi" w:hAnsiTheme="minorHAnsi" w:cstheme="minorBidi"/>
          <w:sz w:val="24"/>
          <w:szCs w:val="24"/>
        </w:rPr>
        <w:t xml:space="preserve">(Federal Register </w:t>
      </w:r>
      <w:r w:rsidRPr="5256D0E2" w:rsidR="27C307F2">
        <w:rPr>
          <w:rFonts w:asciiTheme="minorHAnsi" w:hAnsiTheme="minorHAnsi" w:cstheme="minorBidi"/>
          <w:sz w:val="24"/>
          <w:szCs w:val="24"/>
        </w:rPr>
        <w:t>Number  2025</w:t>
      </w:r>
      <w:r w:rsidRPr="5256D0E2" w:rsidR="27C307F2">
        <w:rPr>
          <w:rFonts w:asciiTheme="minorHAnsi" w:hAnsiTheme="minorHAnsi" w:cstheme="minorBidi"/>
          <w:sz w:val="24"/>
          <w:szCs w:val="24"/>
        </w:rPr>
        <w:t xml:space="preserve">-06678, FR Citation 90 FR 16495) </w:t>
      </w:r>
      <w:r w:rsidRPr="5256D0E2">
        <w:rPr>
          <w:rFonts w:asciiTheme="minorHAnsi" w:hAnsiTheme="minorHAnsi" w:cstheme="minorBidi"/>
          <w:sz w:val="24"/>
          <w:szCs w:val="24"/>
        </w:rPr>
        <w:t xml:space="preserve">was published in the </w:t>
      </w:r>
      <w:r w:rsidRPr="5256D0E2">
        <w:rPr>
          <w:rFonts w:asciiTheme="minorHAnsi" w:hAnsiTheme="minorHAnsi" w:cstheme="minorBidi"/>
          <w:i/>
          <w:iCs/>
          <w:sz w:val="24"/>
          <w:szCs w:val="24"/>
        </w:rPr>
        <w:t xml:space="preserve">Federal Register </w:t>
      </w:r>
      <w:r w:rsidRPr="5256D0E2">
        <w:rPr>
          <w:rFonts w:asciiTheme="minorHAnsi" w:hAnsiTheme="minorHAnsi" w:cstheme="minorBidi"/>
          <w:sz w:val="24"/>
          <w:szCs w:val="24"/>
        </w:rPr>
        <w:t>on April 18, 2025</w:t>
      </w:r>
      <w:r w:rsidRPr="5256D0E2" w:rsidR="00EE3C46">
        <w:rPr>
          <w:rFonts w:asciiTheme="minorHAnsi" w:hAnsiTheme="minorHAnsi" w:cstheme="minorBidi"/>
          <w:sz w:val="24"/>
          <w:szCs w:val="24"/>
        </w:rPr>
        <w:t xml:space="preserve">.  </w:t>
      </w:r>
      <w:r w:rsidRPr="5256D0E2">
        <w:rPr>
          <w:rFonts w:asciiTheme="minorHAnsi" w:hAnsiTheme="minorHAnsi" w:cstheme="minorBidi"/>
          <w:sz w:val="24"/>
          <w:szCs w:val="24"/>
        </w:rPr>
        <w:t xml:space="preserve">There </w:t>
      </w:r>
      <w:r w:rsidR="00395991">
        <w:rPr>
          <w:rFonts w:asciiTheme="minorHAnsi" w:hAnsiTheme="minorHAnsi" w:cstheme="minorBidi"/>
          <w:sz w:val="24"/>
          <w:szCs w:val="24"/>
        </w:rPr>
        <w:t xml:space="preserve">was </w:t>
      </w:r>
      <w:r w:rsidR="00395991">
        <w:rPr>
          <w:rFonts w:asciiTheme="minorHAnsi" w:hAnsiTheme="minorHAnsi" w:cstheme="minorBidi"/>
          <w:sz w:val="24"/>
          <w:szCs w:val="24"/>
        </w:rPr>
        <w:t>one,</w:t>
      </w:r>
      <w:r w:rsidR="00395991">
        <w:rPr>
          <w:rFonts w:asciiTheme="minorHAnsi" w:hAnsiTheme="minorHAnsi" w:cstheme="minorBidi"/>
          <w:sz w:val="24"/>
          <w:szCs w:val="24"/>
        </w:rPr>
        <w:t xml:space="preserve"> non-substantive comment</w:t>
      </w:r>
      <w:r w:rsidRPr="5256D0E2">
        <w:rPr>
          <w:rFonts w:asciiTheme="minorHAnsi" w:hAnsiTheme="minorHAnsi" w:cstheme="minorBidi"/>
          <w:sz w:val="24"/>
          <w:szCs w:val="24"/>
        </w:rPr>
        <w:t xml:space="preserve"> submitted for the 2026 data collection operation.</w:t>
      </w:r>
    </w:p>
    <w:p w:rsidR="008D5253" w:rsidRPr="00B75666" w:rsidP="008D5253" w14:paraId="08CF2B22" w14:textId="77777777">
      <w:pPr>
        <w:widowControl/>
        <w:autoSpaceDE/>
        <w:autoSpaceDN/>
        <w:ind w:left="360"/>
        <w:rPr>
          <w:rFonts w:asciiTheme="minorHAnsi" w:hAnsiTheme="minorHAnsi" w:cstheme="minorHAnsi"/>
          <w:bCs/>
          <w:sz w:val="24"/>
          <w:szCs w:val="24"/>
        </w:rPr>
      </w:pPr>
    </w:p>
    <w:p w:rsidR="008D5253" w:rsidRPr="00B75666" w:rsidP="008D5253" w14:paraId="0EB65FBE" w14:textId="77777777">
      <w:pPr>
        <w:widowControl/>
        <w:autoSpaceDE/>
        <w:autoSpaceDN/>
        <w:ind w:left="360"/>
        <w:rPr>
          <w:rFonts w:asciiTheme="minorHAnsi" w:hAnsiTheme="minorHAnsi" w:cstheme="minorHAnsi"/>
          <w:bCs/>
          <w:sz w:val="24"/>
          <w:szCs w:val="24"/>
        </w:rPr>
      </w:pPr>
      <w:r w:rsidRPr="00B75666">
        <w:rPr>
          <w:rFonts w:asciiTheme="minorHAnsi" w:hAnsiTheme="minorHAnsi" w:cstheme="minorHAnsi"/>
          <w:bCs/>
          <w:sz w:val="24"/>
          <w:szCs w:val="24"/>
        </w:rPr>
        <w:t>To encourage participation and enhance credibility, HRSA NCHWA will seek endorsement for the 2026 NSSRN from nursing associations and organizations, whose demonstrated interest and support can significantly influence respondent engagement and survey participation.</w:t>
      </w:r>
    </w:p>
    <w:p w:rsidR="00060FAF" w:rsidRPr="00B75666" w14:paraId="0583ABD5" w14:textId="77777777">
      <w:pPr>
        <w:pStyle w:val="BodyText"/>
        <w:spacing w:before="159"/>
        <w:rPr>
          <w:rFonts w:asciiTheme="minorHAnsi" w:hAnsiTheme="minorHAnsi" w:cstheme="minorHAnsi"/>
        </w:rPr>
      </w:pPr>
    </w:p>
    <w:p w:rsidR="00201347" w:rsidP="00844D2F" w14:paraId="2763B983" w14:textId="77777777">
      <w:pPr>
        <w:pStyle w:val="Heading1"/>
        <w:numPr>
          <w:ilvl w:val="0"/>
          <w:numId w:val="7"/>
        </w:numPr>
        <w:tabs>
          <w:tab w:val="left" w:pos="669"/>
        </w:tabs>
        <w:spacing w:before="161"/>
        <w:ind w:left="360" w:hanging="360"/>
        <w:rPr>
          <w:rFonts w:asciiTheme="minorHAnsi" w:hAnsiTheme="minorHAnsi" w:cstheme="minorHAnsi"/>
        </w:rPr>
      </w:pPr>
      <w:r w:rsidRPr="00B75666">
        <w:rPr>
          <w:rFonts w:asciiTheme="minorHAnsi" w:hAnsiTheme="minorHAnsi" w:cstheme="minorHAnsi"/>
        </w:rPr>
        <w:t>Explain any decision to provide any paymen</w:t>
      </w:r>
      <w:r w:rsidRPr="00B75666" w:rsidR="00060FAF">
        <w:rPr>
          <w:rFonts w:asciiTheme="minorHAnsi" w:hAnsiTheme="minorHAnsi" w:cstheme="minorHAnsi"/>
        </w:rPr>
        <w:t xml:space="preserve">t or gift to respondents, other </w:t>
      </w:r>
      <w:r w:rsidRPr="00B75666" w:rsidR="00EB723C">
        <w:rPr>
          <w:rFonts w:asciiTheme="minorHAnsi" w:hAnsiTheme="minorHAnsi" w:cstheme="minorHAnsi"/>
        </w:rPr>
        <w:t>than remun</w:t>
      </w:r>
      <w:r w:rsidRPr="00B75666">
        <w:rPr>
          <w:rFonts w:asciiTheme="minorHAnsi" w:hAnsiTheme="minorHAnsi" w:cstheme="minorHAnsi"/>
        </w:rPr>
        <w:t>eration of contractors or</w:t>
      </w:r>
      <w:r w:rsidRPr="00B75666">
        <w:rPr>
          <w:rFonts w:asciiTheme="minorHAnsi" w:hAnsiTheme="minorHAnsi" w:cstheme="minorHAnsi"/>
          <w:spacing w:val="-2"/>
        </w:rPr>
        <w:t xml:space="preserve"> </w:t>
      </w:r>
      <w:r w:rsidRPr="00B75666">
        <w:rPr>
          <w:rFonts w:asciiTheme="minorHAnsi" w:hAnsiTheme="minorHAnsi" w:cstheme="minorHAnsi"/>
        </w:rPr>
        <w:t>grantees.</w:t>
      </w:r>
    </w:p>
    <w:p w:rsidR="003809FB" w:rsidP="008D5253" w14:paraId="37D093BB" w14:textId="77777777">
      <w:pPr>
        <w:ind w:left="360"/>
        <w:rPr>
          <w:rFonts w:asciiTheme="minorHAnsi" w:hAnsiTheme="minorHAnsi" w:cstheme="minorHAnsi"/>
          <w:sz w:val="24"/>
          <w:szCs w:val="24"/>
        </w:rPr>
      </w:pPr>
    </w:p>
    <w:p w:rsidR="008D5253" w:rsidRPr="00B75666" w:rsidP="008D5253" w14:paraId="57C04F2A" w14:textId="100CA5BF">
      <w:pPr>
        <w:ind w:left="360"/>
        <w:rPr>
          <w:rFonts w:asciiTheme="minorHAnsi" w:hAnsiTheme="minorHAnsi" w:cstheme="minorHAnsi"/>
          <w:sz w:val="24"/>
          <w:szCs w:val="24"/>
        </w:rPr>
      </w:pPr>
      <w:r w:rsidRPr="00B75666">
        <w:rPr>
          <w:rFonts w:asciiTheme="minorHAnsi" w:hAnsiTheme="minorHAnsi" w:cstheme="minorHAnsi"/>
          <w:sz w:val="24"/>
          <w:szCs w:val="24"/>
        </w:rPr>
        <w:t xml:space="preserve">There will be a $5 monetary incentive for the 2026 NSSRN in the first mailing to 90% of the sample. The cost of monetary incentive is balanced against the reduction in follow-up effort and the cost required to collect the data. </w:t>
      </w:r>
      <w:r w:rsidR="00AB6442">
        <w:rPr>
          <w:rFonts w:asciiTheme="minorHAnsi" w:hAnsiTheme="minorHAnsi" w:cstheme="minorHAnsi"/>
          <w:sz w:val="24"/>
          <w:szCs w:val="24"/>
        </w:rPr>
        <w:t>Th</w:t>
      </w:r>
      <w:r w:rsidR="00630174">
        <w:rPr>
          <w:rFonts w:asciiTheme="minorHAnsi" w:hAnsiTheme="minorHAnsi" w:cstheme="minorHAnsi"/>
          <w:sz w:val="24"/>
          <w:szCs w:val="24"/>
        </w:rPr>
        <w:t>is incentive strategy is based on the 2022 NSSRN where a</w:t>
      </w:r>
      <w:r w:rsidR="00AB6442">
        <w:rPr>
          <w:rFonts w:asciiTheme="minorHAnsi" w:hAnsiTheme="minorHAnsi" w:cstheme="minorHAnsi"/>
          <w:sz w:val="24"/>
          <w:szCs w:val="24"/>
        </w:rPr>
        <w:t xml:space="preserve"> $5 monetary incentive was </w:t>
      </w:r>
      <w:r w:rsidR="00630174">
        <w:rPr>
          <w:rFonts w:asciiTheme="minorHAnsi" w:hAnsiTheme="minorHAnsi" w:cstheme="minorHAnsi"/>
          <w:sz w:val="24"/>
          <w:szCs w:val="24"/>
        </w:rPr>
        <w:t>first implemented as an experiment to 90% of the sample in the first mailing. In the 2018 NSSRN, a</w:t>
      </w:r>
      <w:r w:rsidRPr="00630174" w:rsidR="00630174">
        <w:rPr>
          <w:rFonts w:asciiTheme="minorHAnsi" w:hAnsiTheme="minorHAnsi" w:cstheme="minorHAnsi"/>
          <w:sz w:val="24"/>
          <w:szCs w:val="24"/>
        </w:rPr>
        <w:t xml:space="preserve"> non-monetary incentive </w:t>
      </w:r>
      <w:r w:rsidR="00630174">
        <w:rPr>
          <w:rFonts w:asciiTheme="minorHAnsi" w:hAnsiTheme="minorHAnsi" w:cstheme="minorHAnsi"/>
          <w:sz w:val="24"/>
          <w:szCs w:val="24"/>
        </w:rPr>
        <w:t>was tested that included</w:t>
      </w:r>
      <w:r w:rsidRPr="00630174" w:rsidR="00630174">
        <w:rPr>
          <w:rFonts w:asciiTheme="minorHAnsi" w:hAnsiTheme="minorHAnsi" w:cstheme="minorHAnsi"/>
          <w:sz w:val="24"/>
          <w:szCs w:val="24"/>
        </w:rPr>
        <w:t xml:space="preserve"> both an inscribed syringe pen and lanyard treatment group along with a control group that w</w:t>
      </w:r>
      <w:r w:rsidR="00C94B19">
        <w:rPr>
          <w:rFonts w:asciiTheme="minorHAnsi" w:hAnsiTheme="minorHAnsi" w:cstheme="minorHAnsi"/>
          <w:sz w:val="24"/>
          <w:szCs w:val="24"/>
        </w:rPr>
        <w:t>as</w:t>
      </w:r>
      <w:r w:rsidRPr="00630174" w:rsidR="00630174">
        <w:rPr>
          <w:rFonts w:asciiTheme="minorHAnsi" w:hAnsiTheme="minorHAnsi" w:cstheme="minorHAnsi"/>
          <w:sz w:val="24"/>
          <w:szCs w:val="24"/>
        </w:rPr>
        <w:t xml:space="preserve"> not eligible to receive an incentive.</w:t>
      </w:r>
      <w:r w:rsidR="00630174">
        <w:rPr>
          <w:rFonts w:asciiTheme="minorHAnsi" w:hAnsiTheme="minorHAnsi" w:cstheme="minorHAnsi"/>
          <w:sz w:val="24"/>
          <w:szCs w:val="24"/>
        </w:rPr>
        <w:t xml:space="preserve"> </w:t>
      </w:r>
      <w:r w:rsidR="00A9571B">
        <w:rPr>
          <w:rFonts w:asciiTheme="minorHAnsi" w:hAnsiTheme="minorHAnsi" w:cstheme="minorHAnsi"/>
          <w:sz w:val="24"/>
          <w:szCs w:val="24"/>
        </w:rPr>
        <w:t xml:space="preserve">Based on logistical challenges and effectiveness, the $5 monetary incentive was found to be cost effective </w:t>
      </w:r>
      <w:r w:rsidR="00C94B19">
        <w:rPr>
          <w:rFonts w:asciiTheme="minorHAnsi" w:hAnsiTheme="minorHAnsi" w:cstheme="minorHAnsi"/>
          <w:sz w:val="24"/>
          <w:szCs w:val="24"/>
        </w:rPr>
        <w:t>in</w:t>
      </w:r>
      <w:r w:rsidR="00A9571B">
        <w:rPr>
          <w:rFonts w:asciiTheme="minorHAnsi" w:hAnsiTheme="minorHAnsi" w:cstheme="minorHAnsi"/>
          <w:sz w:val="24"/>
          <w:szCs w:val="24"/>
        </w:rPr>
        <w:t xml:space="preserve"> encouraging respondent cooperation.</w:t>
      </w:r>
    </w:p>
    <w:p w:rsidR="008D5253" w:rsidRPr="00B75666" w:rsidP="008D5253" w14:paraId="07A9DD1F" w14:textId="77777777">
      <w:pPr>
        <w:ind w:left="360"/>
        <w:rPr>
          <w:rFonts w:asciiTheme="minorHAnsi" w:hAnsiTheme="minorHAnsi" w:cstheme="minorHAnsi"/>
          <w:sz w:val="24"/>
          <w:szCs w:val="24"/>
        </w:rPr>
      </w:pPr>
    </w:p>
    <w:p w:rsidR="008D5253" w:rsidRPr="00B75666" w:rsidP="5256D0E2" w14:paraId="1A94A017" w14:textId="77777777">
      <w:pPr>
        <w:ind w:left="360"/>
        <w:rPr>
          <w:rFonts w:asciiTheme="minorHAnsi" w:hAnsiTheme="minorHAnsi" w:cstheme="minorBidi"/>
          <w:sz w:val="24"/>
          <w:szCs w:val="24"/>
        </w:rPr>
      </w:pPr>
      <w:r w:rsidRPr="5256D0E2">
        <w:rPr>
          <w:rFonts w:asciiTheme="minorHAnsi" w:hAnsiTheme="minorHAnsi" w:cstheme="minorBidi"/>
          <w:sz w:val="24"/>
          <w:szCs w:val="24"/>
        </w:rPr>
        <w:t>As people in medical fields become increasingly burdened with surveys, studies suggest incentives may be necessary to engage potential respondents and thus maximize response rate</w:t>
      </w:r>
      <w:r>
        <w:rPr>
          <w:rStyle w:val="FootnoteReference"/>
          <w:rFonts w:asciiTheme="minorHAnsi" w:hAnsiTheme="minorHAnsi" w:cstheme="minorBidi"/>
          <w:sz w:val="24"/>
          <w:szCs w:val="24"/>
          <w:vertAlign w:val="superscript"/>
        </w:rPr>
        <w:footnoteReference w:id="4"/>
      </w:r>
      <w:r w:rsidRPr="5256D0E2">
        <w:rPr>
          <w:rFonts w:asciiTheme="minorHAnsi" w:hAnsiTheme="minorHAnsi" w:cstheme="minorBidi"/>
          <w:sz w:val="24"/>
          <w:szCs w:val="24"/>
        </w:rPr>
        <w:t>. Survey methods research strongly support the use of unconditional incentives to reduce nonresponse bias in self-administered survey data collection</w:t>
      </w:r>
      <w:r>
        <w:rPr>
          <w:rStyle w:val="FootnoteReference"/>
          <w:rFonts w:asciiTheme="minorHAnsi" w:hAnsiTheme="minorHAnsi" w:cstheme="minorBidi"/>
          <w:sz w:val="24"/>
          <w:szCs w:val="24"/>
          <w:vertAlign w:val="superscript"/>
        </w:rPr>
        <w:footnoteReference w:id="5"/>
      </w:r>
      <w:r>
        <w:rPr>
          <w:rStyle w:val="FootnoteReference"/>
          <w:rFonts w:asciiTheme="minorHAnsi" w:hAnsiTheme="minorHAnsi" w:cstheme="minorHAnsi"/>
          <w:sz w:val="24"/>
          <w:szCs w:val="24"/>
          <w:vertAlign w:val="superscript"/>
        </w:rPr>
        <w:footnoteReference w:id="6"/>
      </w:r>
      <w:r w:rsidRPr="5256D0E2">
        <w:t>￼</w:t>
      </w:r>
      <w:r w:rsidRPr="5256D0E2">
        <w:rPr>
          <w:rFonts w:asciiTheme="minorHAnsi" w:hAnsiTheme="minorHAnsi" w:cstheme="minorBidi"/>
          <w:sz w:val="24"/>
          <w:szCs w:val="24"/>
        </w:rPr>
        <w:t>.</w:t>
      </w:r>
    </w:p>
    <w:p w:rsidR="008D5253" w:rsidRPr="00B75666" w:rsidP="008D5253" w14:paraId="52CE642D" w14:textId="77777777">
      <w:pPr>
        <w:rPr>
          <w:rFonts w:asciiTheme="minorHAnsi" w:hAnsiTheme="minorHAnsi" w:cstheme="minorHAnsi"/>
          <w:sz w:val="24"/>
          <w:szCs w:val="24"/>
        </w:rPr>
      </w:pPr>
    </w:p>
    <w:p w:rsidR="008D5253" w:rsidRPr="00B75666" w:rsidP="008D5253" w14:paraId="52E5F9AC" w14:textId="77777777">
      <w:pPr>
        <w:pStyle w:val="a"/>
        <w:widowControl/>
        <w:tabs>
          <w:tab w:val="left" w:pos="0"/>
        </w:tabs>
        <w:spacing w:before="120" w:after="120"/>
        <w:ind w:left="360" w:firstLine="0"/>
        <w:rPr>
          <w:rFonts w:asciiTheme="minorHAnsi" w:hAnsiTheme="minorHAnsi" w:cstheme="minorHAnsi"/>
        </w:rPr>
      </w:pPr>
      <w:r w:rsidRPr="00B75666">
        <w:rPr>
          <w:rFonts w:asciiTheme="minorHAnsi" w:hAnsiTheme="minorHAnsi" w:cstheme="minorHAnsi"/>
        </w:rPr>
        <w:t xml:space="preserve">Incentives are commonly used in other HHS-sponsored surveys including the National Survey of Children’s Health, National Health Interview Survey, the National Survey of Family Growth, the National Health and Nutrition Examination Survey, the National Survey on Drug Use and Health, and the Health Center Patient Survey. </w:t>
      </w:r>
    </w:p>
    <w:p w:rsidR="00060FAF" w:rsidRPr="00B75666" w:rsidP="00060FAF" w14:paraId="5BA827D4" w14:textId="77777777">
      <w:pPr>
        <w:pStyle w:val="BodyText"/>
        <w:rPr>
          <w:rFonts w:asciiTheme="minorHAnsi" w:hAnsiTheme="minorHAnsi" w:cstheme="minorHAnsi"/>
        </w:rPr>
      </w:pPr>
    </w:p>
    <w:p w:rsidR="00201347" w:rsidRPr="00B75666" w:rsidP="00844D2F" w14:paraId="5D0CE2E1" w14:textId="77777777">
      <w:pPr>
        <w:pStyle w:val="Heading1"/>
        <w:numPr>
          <w:ilvl w:val="0"/>
          <w:numId w:val="7"/>
        </w:numPr>
        <w:tabs>
          <w:tab w:val="left" w:pos="804"/>
        </w:tabs>
        <w:spacing w:before="161"/>
        <w:ind w:left="360" w:hanging="360"/>
        <w:rPr>
          <w:rFonts w:asciiTheme="minorHAnsi" w:hAnsiTheme="minorHAnsi" w:cstheme="minorHAnsi"/>
        </w:rPr>
      </w:pPr>
      <w:r w:rsidRPr="00B75666">
        <w:rPr>
          <w:rFonts w:asciiTheme="minorHAnsi" w:hAnsiTheme="minorHAnsi" w:cstheme="minorHAnsi"/>
        </w:rPr>
        <w:t xml:space="preserve">Describe any assurance of confidentiality provided to </w:t>
      </w:r>
      <w:r w:rsidRPr="00B75666" w:rsidR="00FF1A79">
        <w:rPr>
          <w:rFonts w:asciiTheme="minorHAnsi" w:hAnsiTheme="minorHAnsi" w:cstheme="minorHAnsi"/>
        </w:rPr>
        <w:t xml:space="preserve">respondents and the basis </w:t>
      </w:r>
      <w:r w:rsidRPr="00B75666">
        <w:rPr>
          <w:rFonts w:asciiTheme="minorHAnsi" w:hAnsiTheme="minorHAnsi" w:cstheme="minorHAnsi"/>
        </w:rPr>
        <w:t xml:space="preserve">for the assurance in statute, regulation, or agency policy. If the collection requires a </w:t>
      </w:r>
      <w:r w:rsidRPr="00B75666">
        <w:rPr>
          <w:rFonts w:asciiTheme="minorHAnsi" w:hAnsiTheme="minorHAnsi" w:cstheme="minorHAnsi"/>
        </w:rPr>
        <w:t>systems</w:t>
      </w:r>
      <w:r w:rsidRPr="00B75666">
        <w:rPr>
          <w:rFonts w:asciiTheme="minorHAnsi" w:hAnsiTheme="minorHAnsi" w:cstheme="minorHAnsi"/>
        </w:rPr>
        <w:t xml:space="preserve"> of records notice (SORN) or privacy impact assessment (PIA), those should be cited and described</w:t>
      </w:r>
      <w:r w:rsidRPr="00B75666">
        <w:rPr>
          <w:rFonts w:asciiTheme="minorHAnsi" w:hAnsiTheme="minorHAnsi" w:cstheme="minorHAnsi"/>
          <w:spacing w:val="-1"/>
        </w:rPr>
        <w:t xml:space="preserve"> </w:t>
      </w:r>
      <w:r w:rsidRPr="00B75666">
        <w:rPr>
          <w:rFonts w:asciiTheme="minorHAnsi" w:hAnsiTheme="minorHAnsi" w:cstheme="minorHAnsi"/>
        </w:rPr>
        <w:t>here.</w:t>
      </w:r>
    </w:p>
    <w:p w:rsidR="0008325B" w:rsidRPr="00B75666" w:rsidP="0008325B" w14:paraId="5268BD09" w14:textId="77777777">
      <w:pPr>
        <w:spacing w:before="240" w:after="120"/>
        <w:ind w:left="360"/>
        <w:rPr>
          <w:rFonts w:asciiTheme="minorHAnsi" w:hAnsiTheme="minorHAnsi" w:cstheme="minorHAnsi"/>
          <w:sz w:val="24"/>
          <w:szCs w:val="24"/>
        </w:rPr>
      </w:pPr>
      <w:r w:rsidRPr="00B75666">
        <w:rPr>
          <w:rFonts w:asciiTheme="minorHAnsi" w:hAnsiTheme="minorHAnsi" w:cstheme="minorHAnsi"/>
          <w:sz w:val="24"/>
          <w:szCs w:val="24"/>
        </w:rPr>
        <w:t xml:space="preserve">The following confidentiality statement will be presented to respondents within both the Centurion </w:t>
      </w:r>
      <w:r w:rsidRPr="00B75666">
        <w:rPr>
          <w:rFonts w:asciiTheme="minorHAnsi" w:hAnsiTheme="minorHAnsi" w:cstheme="minorHAnsi"/>
          <w:sz w:val="24"/>
          <w:szCs w:val="24"/>
        </w:rPr>
        <w:t>Web instrument and paper questionnaires:</w:t>
      </w:r>
    </w:p>
    <w:p w:rsidR="0008325B" w:rsidRPr="00B75666" w:rsidP="0008325B" w14:paraId="1728E04F" w14:textId="77777777">
      <w:pPr>
        <w:spacing w:before="240" w:after="120"/>
        <w:ind w:left="360"/>
        <w:rPr>
          <w:rFonts w:asciiTheme="minorHAnsi" w:hAnsiTheme="minorHAnsi" w:cstheme="minorHAnsi"/>
          <w:sz w:val="24"/>
          <w:szCs w:val="24"/>
        </w:rPr>
      </w:pPr>
      <w:r w:rsidRPr="00B75666">
        <w:rPr>
          <w:rFonts w:asciiTheme="minorHAnsi" w:hAnsiTheme="minorHAnsi" w:cstheme="minorHAnsi"/>
          <w:sz w:val="24"/>
          <w:szCs w:val="24"/>
        </w:rPr>
        <w:t>The Census Bureau is required by law to protect your information. We are not permitted to publicly release your responses in a way that could identify you or your household. The Census Bureau is conducting this survey under the authority of Title 13, United States Code (U.S.C.), Section 8(b) (13 U.S.C. § 8(b)) and the Public Health Service Act (42 U.S.C. Sections 294n(b)(2)(A) and 295k(a)-(b). Federal law protects your privacy and keeps your answers confidential under Title 13, U.S.C., Section 9 (13 U.S.C. § 9). Per the Federal Cybersecurity Enhancement Act of 2015, your data are protected from cybersecurity risks through screening of the systems that transmit your data.</w:t>
      </w:r>
    </w:p>
    <w:p w:rsidR="00060FAF" w:rsidRPr="003809FB" w:rsidP="00060FAF" w14:paraId="1631E89B" w14:textId="77777777">
      <w:pPr>
        <w:pStyle w:val="BodyText"/>
        <w:spacing w:before="158"/>
        <w:rPr>
          <w:rFonts w:asciiTheme="minorHAnsi" w:hAnsiTheme="minorHAnsi" w:cstheme="minorHAnsi"/>
        </w:rPr>
      </w:pPr>
      <w:r w:rsidRPr="003809FB">
        <w:rPr>
          <w:rFonts w:asciiTheme="minorHAnsi" w:hAnsiTheme="minorHAnsi" w:cstheme="minorHAnsi"/>
        </w:rPr>
        <w:t>As permitted under the Privacy Act of 1974 (5 U.S.C. Section 552a) and SORN COMMERCE/CENSUS-3, Demographic Survey Collection (Census Bureau Sampling Frame), access to records maintained in the system is restricted to Census Bureau employees and certain individuals authorized by Title 13, U.S. Code (designated as Special Sworn Status individuals). These individuals are subject to the same confidentiality requirements as regular Census Bureau employees identified above</w:t>
      </w:r>
      <w:r w:rsidRPr="003809FB" w:rsidR="003809FB">
        <w:rPr>
          <w:rFonts w:asciiTheme="minorHAnsi" w:hAnsiTheme="minorHAnsi" w:cstheme="minorHAnsi"/>
        </w:rPr>
        <w:t>.</w:t>
      </w:r>
    </w:p>
    <w:p w:rsidR="00201347" w:rsidRPr="00B75666" w:rsidP="00844D2F" w14:paraId="13B534BD" w14:textId="77777777">
      <w:pPr>
        <w:pStyle w:val="Heading1"/>
        <w:numPr>
          <w:ilvl w:val="0"/>
          <w:numId w:val="7"/>
        </w:numPr>
        <w:tabs>
          <w:tab w:val="left" w:pos="804"/>
        </w:tabs>
        <w:spacing w:before="185"/>
        <w:ind w:left="360" w:hanging="400"/>
        <w:rPr>
          <w:rFonts w:asciiTheme="minorHAnsi" w:hAnsiTheme="minorHAnsi" w:cstheme="minorHAnsi"/>
        </w:rPr>
      </w:pPr>
      <w:r w:rsidRPr="00B75666">
        <w:rPr>
          <w:rFonts w:asciiTheme="minorHAnsi" w:hAnsiTheme="minorHAnsi" w:cstheme="minorHAnsi"/>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B75666">
        <w:rPr>
          <w:rFonts w:asciiTheme="minorHAnsi" w:hAnsiTheme="minorHAnsi" w:cstheme="minorHAnsi"/>
        </w:rPr>
        <w:t>persons</w:t>
      </w:r>
      <w:r w:rsidRPr="00B75666">
        <w:rPr>
          <w:rFonts w:asciiTheme="minorHAnsi" w:hAnsiTheme="minorHAnsi" w:cstheme="minorHAnsi"/>
        </w:rPr>
        <w:t xml:space="preserve"> from whom the information is requested, and any steps to be taken to obtain their consent.</w:t>
      </w:r>
    </w:p>
    <w:p w:rsidR="0008325B" w:rsidRPr="003809FB" w:rsidP="003809FB" w14:paraId="29B4F381" w14:textId="77777777">
      <w:pPr>
        <w:pStyle w:val="BodyText"/>
        <w:rPr>
          <w:rFonts w:asciiTheme="minorHAnsi" w:hAnsiTheme="minorHAnsi" w:cstheme="minorHAnsi"/>
        </w:rPr>
      </w:pPr>
      <w:r w:rsidRPr="003809FB">
        <w:rPr>
          <w:rFonts w:asciiTheme="minorHAnsi" w:hAnsiTheme="minorHAnsi" w:cstheme="minorHAnsi"/>
        </w:rPr>
        <w:t xml:space="preserve">Sensitive questions are generally not included on the NSSRN. However, it is possible that respondents may find some questions related to their work history to be sensitive in nature. Additionally, HHS requires that race and ethnicity be asked on all HHS data collection instruments, and so questions on both race and Hispanic origin appear on the NSSRN. Respondents are made aware of the voluntary nature of this survey in the cover letter that accompanies the invitation to complete the questionnaire.  Individuals are free to refrain from answering any question that they do not feel comfortable responding to. </w:t>
      </w:r>
    </w:p>
    <w:p w:rsidR="00060FAF" w:rsidRPr="00B75666" w:rsidP="000311EF" w14:paraId="1DEE6239" w14:textId="77777777">
      <w:pPr>
        <w:pStyle w:val="BodyText"/>
        <w:spacing w:before="80" w:line="259" w:lineRule="auto"/>
        <w:ind w:right="368"/>
        <w:rPr>
          <w:rFonts w:asciiTheme="minorHAnsi" w:hAnsiTheme="minorHAnsi" w:cstheme="minorHAnsi"/>
        </w:rPr>
      </w:pPr>
    </w:p>
    <w:p w:rsidR="00201347" w:rsidRPr="00B75666" w:rsidP="003B1309" w14:paraId="5D3AEDB0" w14:textId="77777777">
      <w:pPr>
        <w:pStyle w:val="Heading1"/>
        <w:numPr>
          <w:ilvl w:val="0"/>
          <w:numId w:val="7"/>
        </w:numPr>
        <w:tabs>
          <w:tab w:val="left" w:pos="540"/>
        </w:tabs>
        <w:spacing w:before="122"/>
        <w:ind w:left="360" w:hanging="360"/>
        <w:rPr>
          <w:rFonts w:asciiTheme="minorHAnsi" w:hAnsiTheme="minorHAnsi" w:cstheme="minorHAnsi"/>
        </w:rPr>
      </w:pPr>
      <w:r w:rsidRPr="00B75666">
        <w:rPr>
          <w:rFonts w:asciiTheme="minorHAnsi" w:hAnsiTheme="minorHAnsi" w:cstheme="minorHAnsi"/>
        </w:rPr>
        <w:t>Provide estimates of the hour burden of the collection of</w:t>
      </w:r>
      <w:r w:rsidRPr="00B75666">
        <w:rPr>
          <w:rFonts w:asciiTheme="minorHAnsi" w:hAnsiTheme="minorHAnsi" w:cstheme="minorHAnsi"/>
          <w:spacing w:val="-10"/>
        </w:rPr>
        <w:t xml:space="preserve"> </w:t>
      </w:r>
      <w:r w:rsidRPr="00B75666">
        <w:rPr>
          <w:rFonts w:asciiTheme="minorHAnsi" w:hAnsiTheme="minorHAnsi" w:cstheme="minorHAnsi"/>
        </w:rPr>
        <w:t>information.</w:t>
      </w:r>
    </w:p>
    <w:p w:rsidR="00201347" w:rsidRPr="00B75666" w:rsidP="003B1309" w14:paraId="38BD4FA1" w14:textId="77777777">
      <w:pPr>
        <w:pStyle w:val="ListParagraph"/>
        <w:numPr>
          <w:ilvl w:val="0"/>
          <w:numId w:val="10"/>
        </w:numPr>
        <w:tabs>
          <w:tab w:val="left" w:pos="759"/>
          <w:tab w:val="left" w:pos="760"/>
        </w:tabs>
        <w:spacing w:before="140"/>
        <w:rPr>
          <w:rFonts w:asciiTheme="minorHAnsi" w:hAnsiTheme="minorHAnsi" w:cstheme="minorHAnsi"/>
          <w:b/>
          <w:sz w:val="24"/>
          <w:szCs w:val="24"/>
        </w:rPr>
      </w:pPr>
      <w:r w:rsidRPr="00B75666">
        <w:rPr>
          <w:rFonts w:asciiTheme="minorHAnsi" w:hAnsiTheme="minorHAnsi" w:cstheme="minorHAns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B75666">
        <w:rPr>
          <w:rFonts w:asciiTheme="minorHAnsi" w:hAnsiTheme="minorHAnsi" w:cstheme="minorHAnsi"/>
          <w:b/>
          <w:spacing w:val="-2"/>
          <w:sz w:val="24"/>
          <w:szCs w:val="24"/>
        </w:rPr>
        <w:t xml:space="preserve"> </w:t>
      </w:r>
      <w:r w:rsidRPr="00B75666">
        <w:rPr>
          <w:rFonts w:asciiTheme="minorHAnsi" w:hAnsiTheme="minorHAnsi" w:cstheme="minorHAnsi"/>
          <w:b/>
          <w:sz w:val="24"/>
          <w:szCs w:val="24"/>
        </w:rPr>
        <w:t>practices.</w:t>
      </w:r>
    </w:p>
    <w:p w:rsidR="00201347" w:rsidRPr="00B75666" w:rsidP="003B1309" w14:paraId="51A4B365" w14:textId="77777777">
      <w:pPr>
        <w:pStyle w:val="ListParagraph"/>
        <w:numPr>
          <w:ilvl w:val="0"/>
          <w:numId w:val="10"/>
        </w:numPr>
        <w:tabs>
          <w:tab w:val="left" w:pos="759"/>
          <w:tab w:val="left" w:pos="760"/>
        </w:tabs>
        <w:spacing w:before="128"/>
        <w:rPr>
          <w:rFonts w:asciiTheme="minorHAnsi" w:hAnsiTheme="minorHAnsi" w:cstheme="minorHAnsi"/>
          <w:b/>
          <w:sz w:val="24"/>
          <w:szCs w:val="24"/>
        </w:rPr>
      </w:pPr>
      <w:r w:rsidRPr="00B75666">
        <w:rPr>
          <w:rFonts w:asciiTheme="minorHAnsi" w:hAnsiTheme="minorHAnsi" w:cstheme="minorHAnsi"/>
          <w:b/>
          <w:sz w:val="24"/>
          <w:szCs w:val="24"/>
        </w:rPr>
        <w:t>If this request for approval covers more than one form, provide separate hour burden estimates for each form and aggregate the hour</w:t>
      </w:r>
      <w:r w:rsidRPr="00B75666">
        <w:rPr>
          <w:rFonts w:asciiTheme="minorHAnsi" w:hAnsiTheme="minorHAnsi" w:cstheme="minorHAnsi"/>
          <w:b/>
          <w:spacing w:val="-3"/>
          <w:sz w:val="24"/>
          <w:szCs w:val="24"/>
        </w:rPr>
        <w:t xml:space="preserve"> </w:t>
      </w:r>
      <w:r w:rsidRPr="00B75666">
        <w:rPr>
          <w:rFonts w:asciiTheme="minorHAnsi" w:hAnsiTheme="minorHAnsi" w:cstheme="minorHAnsi"/>
          <w:b/>
          <w:sz w:val="24"/>
          <w:szCs w:val="24"/>
        </w:rPr>
        <w:t>burdens.</w:t>
      </w:r>
    </w:p>
    <w:p w:rsidR="00201347" w:rsidRPr="00B75666" w:rsidP="003B1309" w14:paraId="368316B7" w14:textId="77777777">
      <w:pPr>
        <w:pStyle w:val="ListParagraph"/>
        <w:numPr>
          <w:ilvl w:val="0"/>
          <w:numId w:val="10"/>
        </w:numPr>
        <w:tabs>
          <w:tab w:val="left" w:pos="759"/>
          <w:tab w:val="left" w:pos="760"/>
        </w:tabs>
        <w:spacing w:before="131"/>
        <w:rPr>
          <w:rFonts w:asciiTheme="minorHAnsi" w:hAnsiTheme="minorHAnsi" w:cstheme="minorHAnsi"/>
          <w:b/>
          <w:sz w:val="24"/>
          <w:szCs w:val="24"/>
        </w:rPr>
      </w:pPr>
      <w:r w:rsidRPr="00B75666">
        <w:rPr>
          <w:rFonts w:asciiTheme="minorHAnsi" w:hAnsiTheme="minorHAnsi" w:cstheme="minorHAnsi"/>
          <w:b/>
          <w:sz w:val="24"/>
          <w:szCs w:val="24"/>
        </w:rPr>
        <w:t xml:space="preserve">Provide estimates of annualized cost to respondents for the hour burdens for collections of information, identifying and using appropriate wage rate categories. The cost of contracting </w:t>
      </w:r>
      <w:r w:rsidRPr="00B75666">
        <w:rPr>
          <w:rFonts w:asciiTheme="minorHAnsi" w:hAnsiTheme="minorHAnsi" w:cstheme="minorHAnsi"/>
          <w:b/>
          <w:sz w:val="24"/>
          <w:szCs w:val="24"/>
        </w:rPr>
        <w:t>out or paying outside parties for information collection activities should</w:t>
      </w:r>
      <w:r w:rsidRPr="00B75666">
        <w:rPr>
          <w:rFonts w:asciiTheme="minorHAnsi" w:hAnsiTheme="minorHAnsi" w:cstheme="minorHAnsi"/>
          <w:b/>
          <w:spacing w:val="-49"/>
          <w:sz w:val="24"/>
          <w:szCs w:val="24"/>
        </w:rPr>
        <w:t xml:space="preserve"> </w:t>
      </w:r>
      <w:r w:rsidRPr="00B75666">
        <w:rPr>
          <w:rFonts w:asciiTheme="minorHAnsi" w:hAnsiTheme="minorHAnsi" w:cstheme="minorHAnsi"/>
          <w:b/>
          <w:sz w:val="24"/>
          <w:szCs w:val="24"/>
        </w:rPr>
        <w:t>not be included here. Instead, this cost should be included under ‘Annual Cost to Federal Government’</w:t>
      </w:r>
      <w:r w:rsidRPr="00B75666" w:rsidR="002D0D06">
        <w:rPr>
          <w:rFonts w:asciiTheme="minorHAnsi" w:hAnsiTheme="minorHAnsi" w:cstheme="minorHAnsi"/>
          <w:b/>
          <w:sz w:val="24"/>
          <w:szCs w:val="24"/>
        </w:rPr>
        <w:t xml:space="preserve"> (Item #14)</w:t>
      </w:r>
      <w:r w:rsidRPr="00B75666">
        <w:rPr>
          <w:rFonts w:asciiTheme="minorHAnsi" w:hAnsiTheme="minorHAnsi" w:cstheme="minorHAnsi"/>
          <w:b/>
          <w:sz w:val="24"/>
          <w:szCs w:val="24"/>
        </w:rPr>
        <w:t>.</w:t>
      </w:r>
    </w:p>
    <w:p w:rsidR="003809FB" w:rsidP="0008325B" w14:paraId="5E0B28F8" w14:textId="77777777">
      <w:pPr>
        <w:ind w:left="360"/>
        <w:rPr>
          <w:rFonts w:asciiTheme="minorHAnsi" w:hAnsiTheme="minorHAnsi" w:cstheme="minorHAnsi"/>
          <w:sz w:val="24"/>
          <w:szCs w:val="24"/>
        </w:rPr>
      </w:pPr>
    </w:p>
    <w:p w:rsidR="0008325B" w:rsidRPr="00B75666" w:rsidP="5256D0E2" w14:paraId="6D2F9EAA" w14:textId="77777777">
      <w:pPr>
        <w:ind w:left="360"/>
        <w:rPr>
          <w:rFonts w:asciiTheme="minorHAnsi" w:hAnsiTheme="minorHAnsi" w:cstheme="minorBidi"/>
          <w:sz w:val="24"/>
          <w:szCs w:val="24"/>
        </w:rPr>
      </w:pPr>
      <w:r w:rsidRPr="5256D0E2">
        <w:rPr>
          <w:rFonts w:asciiTheme="minorHAnsi" w:hAnsiTheme="minorHAnsi" w:cstheme="minorBidi"/>
          <w:sz w:val="24"/>
          <w:szCs w:val="24"/>
        </w:rPr>
        <w:t>Estimates of annualized hour burden and annualized cost to respondents are listed in Tables 12A and 12B, respectively. The total number of estimated respondents is 62,500. The total number of annual burden hours is 3</w:t>
      </w:r>
      <w:r w:rsidRPr="5256D0E2" w:rsidR="54B46826">
        <w:rPr>
          <w:rFonts w:asciiTheme="minorHAnsi" w:hAnsiTheme="minorHAnsi" w:cstheme="minorBidi"/>
          <w:sz w:val="24"/>
          <w:szCs w:val="24"/>
        </w:rPr>
        <w:t>1</w:t>
      </w:r>
      <w:r w:rsidRPr="5256D0E2">
        <w:rPr>
          <w:rFonts w:asciiTheme="minorHAnsi" w:hAnsiTheme="minorHAnsi" w:cstheme="minorBidi"/>
          <w:sz w:val="24"/>
          <w:szCs w:val="24"/>
        </w:rPr>
        <w:t>,</w:t>
      </w:r>
      <w:r w:rsidRPr="5256D0E2" w:rsidR="6A628143">
        <w:rPr>
          <w:rFonts w:asciiTheme="minorHAnsi" w:hAnsiTheme="minorHAnsi" w:cstheme="minorBidi"/>
          <w:sz w:val="24"/>
          <w:szCs w:val="24"/>
        </w:rPr>
        <w:t>25</w:t>
      </w:r>
      <w:r w:rsidRPr="5256D0E2">
        <w:rPr>
          <w:rFonts w:asciiTheme="minorHAnsi" w:hAnsiTheme="minorHAnsi" w:cstheme="minorBidi"/>
          <w:sz w:val="24"/>
          <w:szCs w:val="24"/>
        </w:rPr>
        <w:t>0. The estimated total annual respondent cost is $1,</w:t>
      </w:r>
      <w:r w:rsidRPr="5256D0E2" w:rsidR="253A4DC0">
        <w:rPr>
          <w:rFonts w:asciiTheme="minorHAnsi" w:hAnsiTheme="minorHAnsi" w:cstheme="minorBidi"/>
          <w:sz w:val="24"/>
          <w:szCs w:val="24"/>
        </w:rPr>
        <w:t>623,875.</w:t>
      </w:r>
      <w:r w:rsidRPr="5256D0E2">
        <w:rPr>
          <w:rFonts w:asciiTheme="minorHAnsi" w:hAnsiTheme="minorHAnsi" w:cstheme="minorBidi"/>
          <w:sz w:val="24"/>
          <w:szCs w:val="24"/>
        </w:rPr>
        <w:t xml:space="preserve"> </w:t>
      </w:r>
    </w:p>
    <w:p w:rsidR="0008325B" w:rsidRPr="00B75666" w:rsidP="0008325B" w14:paraId="56E6C12A" w14:textId="77777777">
      <w:pPr>
        <w:rPr>
          <w:rFonts w:asciiTheme="minorHAnsi" w:hAnsiTheme="minorHAnsi" w:cstheme="minorHAnsi"/>
          <w:sz w:val="24"/>
          <w:szCs w:val="24"/>
        </w:rPr>
      </w:pPr>
    </w:p>
    <w:p w:rsidR="0008325B" w:rsidRPr="00B75666" w:rsidP="0008325B" w14:paraId="6D8D4731" w14:textId="77777777">
      <w:pPr>
        <w:widowControl/>
        <w:autoSpaceDE/>
        <w:autoSpaceDN/>
        <w:ind w:firstLine="360"/>
        <w:rPr>
          <w:rFonts w:asciiTheme="minorHAnsi" w:hAnsiTheme="minorHAnsi" w:cstheme="minorHAnsi"/>
          <w:b/>
          <w:sz w:val="24"/>
          <w:szCs w:val="24"/>
        </w:rPr>
      </w:pPr>
      <w:r w:rsidRPr="00B75666">
        <w:rPr>
          <w:rFonts w:asciiTheme="minorHAnsi" w:hAnsiTheme="minorHAnsi" w:cstheme="minorHAnsi"/>
          <w:b/>
          <w:sz w:val="24"/>
          <w:szCs w:val="24"/>
        </w:rPr>
        <w:t>Table 12A. 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7"/>
        <w:gridCol w:w="1639"/>
        <w:gridCol w:w="1593"/>
        <w:gridCol w:w="1662"/>
        <w:gridCol w:w="1623"/>
        <w:gridCol w:w="990"/>
      </w:tblGrid>
      <w:tr w14:paraId="742DF8B5" w14:textId="77777777" w:rsidTr="5256D0E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983"/>
        </w:trPr>
        <w:tc>
          <w:tcPr>
            <w:tcW w:w="1807" w:type="dxa"/>
            <w:shd w:val="clear" w:color="auto" w:fill="A6A6A6" w:themeFill="background1" w:themeFillShade="A6"/>
            <w:vAlign w:val="bottom"/>
          </w:tcPr>
          <w:p w:rsidR="0008325B" w:rsidRPr="00B75666" w:rsidP="00D73818" w14:paraId="5FF101F5"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Type of Respondent</w:t>
            </w:r>
          </w:p>
        </w:tc>
        <w:tc>
          <w:tcPr>
            <w:tcW w:w="1639" w:type="dxa"/>
            <w:shd w:val="clear" w:color="auto" w:fill="A6A6A6" w:themeFill="background1" w:themeFillShade="A6"/>
            <w:vAlign w:val="bottom"/>
          </w:tcPr>
          <w:p w:rsidR="0008325B" w:rsidRPr="00B75666" w:rsidP="00D73818" w14:paraId="3BE50838"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Questionnaire Name</w:t>
            </w:r>
          </w:p>
        </w:tc>
        <w:tc>
          <w:tcPr>
            <w:tcW w:w="1593" w:type="dxa"/>
            <w:shd w:val="clear" w:color="auto" w:fill="A6A6A6" w:themeFill="background1" w:themeFillShade="A6"/>
            <w:vAlign w:val="bottom"/>
          </w:tcPr>
          <w:p w:rsidR="0008325B" w:rsidRPr="00B75666" w:rsidP="00D73818" w14:paraId="5C791B9E" w14:textId="77777777">
            <w:pPr>
              <w:widowControl/>
              <w:tabs>
                <w:tab w:val="num" w:pos="1080"/>
              </w:tabs>
              <w:rPr>
                <w:rFonts w:asciiTheme="minorHAnsi" w:hAnsiTheme="minorHAnsi" w:cstheme="minorHAnsi"/>
                <w:b/>
                <w:bCs/>
                <w:sz w:val="24"/>
                <w:szCs w:val="24"/>
              </w:rPr>
            </w:pPr>
            <w:r w:rsidRPr="00B75666">
              <w:rPr>
                <w:rFonts w:asciiTheme="minorHAnsi" w:hAnsiTheme="minorHAnsi" w:cstheme="minorHAnsi"/>
                <w:b/>
                <w:bCs/>
                <w:sz w:val="24"/>
                <w:szCs w:val="24"/>
              </w:rPr>
              <w:t>Expected Number of Respondents</w:t>
            </w:r>
            <w:r>
              <w:rPr>
                <w:rStyle w:val="FootnoteReference"/>
                <w:rFonts w:asciiTheme="minorHAnsi" w:hAnsiTheme="minorHAnsi" w:cstheme="minorHAnsi"/>
                <w:b/>
                <w:bCs/>
                <w:sz w:val="24"/>
                <w:szCs w:val="24"/>
                <w:vertAlign w:val="superscript"/>
              </w:rPr>
              <w:footnoteReference w:id="7"/>
            </w:r>
          </w:p>
        </w:tc>
        <w:tc>
          <w:tcPr>
            <w:tcW w:w="1662" w:type="dxa"/>
            <w:shd w:val="clear" w:color="auto" w:fill="A6A6A6" w:themeFill="background1" w:themeFillShade="A6"/>
            <w:vAlign w:val="bottom"/>
          </w:tcPr>
          <w:p w:rsidR="0008325B" w:rsidRPr="00B75666" w:rsidP="00D73818" w14:paraId="2D255CFC"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Number of Responses per Respondent</w:t>
            </w:r>
          </w:p>
        </w:tc>
        <w:tc>
          <w:tcPr>
            <w:tcW w:w="1623" w:type="dxa"/>
            <w:shd w:val="clear" w:color="auto" w:fill="A6A6A6" w:themeFill="background1" w:themeFillShade="A6"/>
            <w:vAlign w:val="bottom"/>
          </w:tcPr>
          <w:p w:rsidR="0008325B" w:rsidRPr="00B75666" w:rsidP="00D73818" w14:paraId="0D6CE832"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Average Burden per Response</w:t>
            </w:r>
          </w:p>
          <w:p w:rsidR="0008325B" w:rsidRPr="00B75666" w:rsidP="00D73818" w14:paraId="261485EE"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(in hours)</w:t>
            </w:r>
          </w:p>
        </w:tc>
        <w:tc>
          <w:tcPr>
            <w:tcW w:w="990" w:type="dxa"/>
            <w:shd w:val="clear" w:color="auto" w:fill="A6A6A6" w:themeFill="background1" w:themeFillShade="A6"/>
            <w:vAlign w:val="bottom"/>
          </w:tcPr>
          <w:p w:rsidR="0008325B" w:rsidRPr="00B75666" w:rsidP="00D73818" w14:paraId="7C62C50A" w14:textId="77777777">
            <w:pPr>
              <w:widowControl/>
              <w:tabs>
                <w:tab w:val="num" w:pos="1080"/>
              </w:tabs>
              <w:jc w:val="center"/>
              <w:rPr>
                <w:rFonts w:asciiTheme="minorHAnsi" w:hAnsiTheme="minorHAnsi" w:cstheme="minorHAnsi"/>
                <w:b/>
                <w:bCs/>
                <w:sz w:val="24"/>
                <w:szCs w:val="24"/>
              </w:rPr>
            </w:pPr>
            <w:r w:rsidRPr="00B75666">
              <w:rPr>
                <w:rFonts w:asciiTheme="minorHAnsi" w:hAnsiTheme="minorHAnsi" w:cstheme="minorHAnsi"/>
                <w:b/>
                <w:bCs/>
                <w:sz w:val="24"/>
                <w:szCs w:val="24"/>
              </w:rPr>
              <w:t>Total Burden Hours</w:t>
            </w:r>
          </w:p>
        </w:tc>
      </w:tr>
      <w:tr w14:paraId="1989720D" w14:textId="77777777" w:rsidTr="5256D0E2">
        <w:tblPrEx>
          <w:tblW w:w="0" w:type="auto"/>
          <w:tblLook w:val="01E0"/>
        </w:tblPrEx>
        <w:trPr>
          <w:trHeight w:val="63"/>
        </w:trPr>
        <w:tc>
          <w:tcPr>
            <w:tcW w:w="9314" w:type="dxa"/>
            <w:gridSpan w:val="6"/>
            <w:shd w:val="clear" w:color="auto" w:fill="000000" w:themeFill="text1"/>
            <w:vAlign w:val="center"/>
          </w:tcPr>
          <w:p w:rsidR="0008325B" w:rsidRPr="00B75666" w:rsidP="00D73818" w14:paraId="22AB1D22" w14:textId="77777777">
            <w:pPr>
              <w:widowControl/>
              <w:tabs>
                <w:tab w:val="num" w:pos="1080"/>
              </w:tabs>
              <w:spacing w:before="120"/>
              <w:rPr>
                <w:rFonts w:asciiTheme="minorHAnsi" w:hAnsiTheme="minorHAnsi" w:cstheme="minorHAnsi"/>
                <w:b/>
                <w:sz w:val="24"/>
                <w:szCs w:val="24"/>
              </w:rPr>
            </w:pPr>
            <w:r w:rsidRPr="00B75666">
              <w:rPr>
                <w:rFonts w:asciiTheme="minorHAnsi" w:hAnsiTheme="minorHAnsi" w:cstheme="minorHAnsi"/>
                <w:b/>
                <w:sz w:val="24"/>
                <w:szCs w:val="24"/>
              </w:rPr>
              <w:t>NSSRN Production</w:t>
            </w:r>
          </w:p>
        </w:tc>
      </w:tr>
      <w:tr w14:paraId="0CFACB06" w14:textId="77777777" w:rsidTr="5256D0E2">
        <w:tblPrEx>
          <w:tblW w:w="0" w:type="auto"/>
          <w:tblLook w:val="01E0"/>
        </w:tblPrEx>
        <w:trPr>
          <w:trHeight w:val="576"/>
        </w:trPr>
        <w:tc>
          <w:tcPr>
            <w:tcW w:w="1807" w:type="dxa"/>
            <w:vAlign w:val="center"/>
          </w:tcPr>
          <w:p w:rsidR="0008325B" w:rsidRPr="00B75666" w:rsidP="00D73818" w14:paraId="48E92840" w14:textId="77777777">
            <w:pPr>
              <w:rPr>
                <w:rFonts w:asciiTheme="minorHAnsi" w:hAnsiTheme="minorHAnsi" w:cstheme="minorHAnsi"/>
                <w:sz w:val="24"/>
                <w:szCs w:val="24"/>
              </w:rPr>
            </w:pPr>
            <w:r w:rsidRPr="00B75666">
              <w:rPr>
                <w:rFonts w:asciiTheme="minorHAnsi" w:hAnsiTheme="minorHAnsi" w:cstheme="minorHAnsi"/>
                <w:b/>
                <w:bCs/>
                <w:sz w:val="24"/>
                <w:szCs w:val="24"/>
              </w:rPr>
              <w:t>Registered Nurse</w:t>
            </w:r>
          </w:p>
        </w:tc>
        <w:tc>
          <w:tcPr>
            <w:tcW w:w="1639" w:type="dxa"/>
            <w:vAlign w:val="center"/>
          </w:tcPr>
          <w:p w:rsidR="0008325B" w:rsidRPr="00B75666" w:rsidP="00D73818" w14:paraId="33B9FCB0" w14:textId="77777777">
            <w:pPr>
              <w:widowControl/>
              <w:tabs>
                <w:tab w:val="num" w:pos="1080"/>
              </w:tabs>
              <w:spacing w:before="120"/>
              <w:jc w:val="center"/>
              <w:rPr>
                <w:rFonts w:asciiTheme="minorHAnsi" w:hAnsiTheme="minorHAnsi" w:cstheme="minorHAnsi"/>
                <w:b/>
                <w:bCs/>
                <w:sz w:val="24"/>
                <w:szCs w:val="24"/>
              </w:rPr>
            </w:pPr>
            <w:r w:rsidRPr="00B75666">
              <w:rPr>
                <w:rFonts w:asciiTheme="minorHAnsi" w:hAnsiTheme="minorHAnsi" w:cstheme="minorHAnsi"/>
                <w:b/>
                <w:bCs/>
                <w:sz w:val="24"/>
                <w:szCs w:val="24"/>
              </w:rPr>
              <w:t>NSSRN</w:t>
            </w:r>
          </w:p>
        </w:tc>
        <w:tc>
          <w:tcPr>
            <w:tcW w:w="1593" w:type="dxa"/>
            <w:vAlign w:val="center"/>
          </w:tcPr>
          <w:p w:rsidR="0008325B" w:rsidRPr="00B75666" w:rsidP="5256D0E2" w14:paraId="011FB2D3" w14:textId="77777777">
            <w:pPr>
              <w:jc w:val="center"/>
              <w:rPr>
                <w:rFonts w:asciiTheme="minorHAnsi" w:hAnsiTheme="minorHAnsi" w:cstheme="minorBidi"/>
                <w:sz w:val="24"/>
                <w:szCs w:val="24"/>
              </w:rPr>
            </w:pPr>
            <w:r w:rsidRPr="5256D0E2">
              <w:rPr>
                <w:rFonts w:asciiTheme="minorHAnsi" w:hAnsiTheme="minorHAnsi" w:cstheme="minorBidi"/>
                <w:sz w:val="24"/>
                <w:szCs w:val="24"/>
              </w:rPr>
              <w:t>37,500</w:t>
            </w:r>
          </w:p>
        </w:tc>
        <w:tc>
          <w:tcPr>
            <w:tcW w:w="1662" w:type="dxa"/>
            <w:vAlign w:val="center"/>
          </w:tcPr>
          <w:p w:rsidR="0008325B" w:rsidRPr="00B75666" w:rsidP="5256D0E2" w14:paraId="381BF5AF"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1</w:t>
            </w:r>
          </w:p>
        </w:tc>
        <w:tc>
          <w:tcPr>
            <w:tcW w:w="1623" w:type="dxa"/>
            <w:vAlign w:val="center"/>
          </w:tcPr>
          <w:p w:rsidR="0008325B" w:rsidRPr="00B75666" w:rsidP="5256D0E2" w14:paraId="23AD1AC9"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.5</w:t>
            </w:r>
          </w:p>
        </w:tc>
        <w:tc>
          <w:tcPr>
            <w:tcW w:w="990" w:type="dxa"/>
            <w:vAlign w:val="center"/>
          </w:tcPr>
          <w:p w:rsidR="0008325B" w:rsidRPr="00B75666" w:rsidP="5256D0E2" w14:paraId="42E958A7" w14:textId="77777777">
            <w:pPr>
              <w:jc w:val="center"/>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18,750</w:t>
            </w:r>
          </w:p>
        </w:tc>
      </w:tr>
      <w:tr w14:paraId="1F5437A8" w14:textId="77777777" w:rsidTr="5256D0E2">
        <w:tblPrEx>
          <w:tblW w:w="0" w:type="auto"/>
          <w:tblLook w:val="01E0"/>
        </w:tblPrEx>
        <w:trPr>
          <w:trHeight w:val="576"/>
        </w:trPr>
        <w:tc>
          <w:tcPr>
            <w:tcW w:w="1807" w:type="dxa"/>
            <w:vAlign w:val="center"/>
          </w:tcPr>
          <w:p w:rsidR="0008325B" w:rsidRPr="00B75666" w:rsidP="00D73818" w14:paraId="0C4B5C2E" w14:textId="77777777">
            <w:pPr>
              <w:rPr>
                <w:rFonts w:asciiTheme="minorHAnsi" w:hAnsiTheme="minorHAnsi" w:cstheme="minorHAnsi"/>
                <w:b/>
                <w:bCs/>
                <w:sz w:val="24"/>
                <w:szCs w:val="24"/>
              </w:rPr>
            </w:pPr>
            <w:r w:rsidRPr="00B75666">
              <w:rPr>
                <w:rFonts w:asciiTheme="minorHAnsi" w:hAnsiTheme="minorHAnsi" w:cstheme="minorHAnsi"/>
                <w:b/>
                <w:bCs/>
                <w:sz w:val="24"/>
                <w:szCs w:val="24"/>
              </w:rPr>
              <w:t>Nurse Practitioner</w:t>
            </w:r>
          </w:p>
        </w:tc>
        <w:tc>
          <w:tcPr>
            <w:tcW w:w="1639" w:type="dxa"/>
            <w:vAlign w:val="center"/>
          </w:tcPr>
          <w:p w:rsidR="0008325B" w:rsidRPr="00B75666" w:rsidP="00D73818" w14:paraId="421C10A0" w14:textId="77777777">
            <w:pPr>
              <w:widowControl/>
              <w:tabs>
                <w:tab w:val="num" w:pos="1080"/>
              </w:tabs>
              <w:spacing w:before="120"/>
              <w:jc w:val="center"/>
              <w:rPr>
                <w:rFonts w:asciiTheme="minorHAnsi" w:hAnsiTheme="minorHAnsi" w:cstheme="minorHAnsi"/>
                <w:b/>
                <w:bCs/>
                <w:sz w:val="24"/>
                <w:szCs w:val="24"/>
              </w:rPr>
            </w:pPr>
            <w:r w:rsidRPr="00B75666">
              <w:rPr>
                <w:rFonts w:asciiTheme="minorHAnsi" w:hAnsiTheme="minorHAnsi" w:cstheme="minorHAnsi"/>
                <w:b/>
                <w:bCs/>
                <w:sz w:val="24"/>
                <w:szCs w:val="24"/>
              </w:rPr>
              <w:t>NSSRN</w:t>
            </w:r>
          </w:p>
        </w:tc>
        <w:tc>
          <w:tcPr>
            <w:tcW w:w="1593" w:type="dxa"/>
            <w:vAlign w:val="center"/>
          </w:tcPr>
          <w:p w:rsidR="0008325B" w:rsidRPr="00B75666" w:rsidP="5256D0E2" w14:paraId="49B6A1A4" w14:textId="77777777">
            <w:pPr>
              <w:jc w:val="center"/>
              <w:rPr>
                <w:rFonts w:asciiTheme="minorHAnsi" w:hAnsiTheme="minorHAnsi" w:cstheme="minorBidi"/>
                <w:sz w:val="24"/>
                <w:szCs w:val="24"/>
              </w:rPr>
            </w:pPr>
            <w:r w:rsidRPr="5256D0E2">
              <w:rPr>
                <w:rFonts w:asciiTheme="minorHAnsi" w:hAnsiTheme="minorHAnsi" w:cstheme="minorBidi"/>
                <w:sz w:val="24"/>
                <w:szCs w:val="24"/>
              </w:rPr>
              <w:t>25,000</w:t>
            </w:r>
          </w:p>
        </w:tc>
        <w:tc>
          <w:tcPr>
            <w:tcW w:w="1662" w:type="dxa"/>
            <w:vAlign w:val="center"/>
          </w:tcPr>
          <w:p w:rsidR="0008325B" w:rsidRPr="00B75666" w:rsidP="5256D0E2" w14:paraId="7E63F068"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1</w:t>
            </w:r>
          </w:p>
        </w:tc>
        <w:tc>
          <w:tcPr>
            <w:tcW w:w="1623" w:type="dxa"/>
            <w:vAlign w:val="center"/>
          </w:tcPr>
          <w:p w:rsidR="0008325B" w:rsidRPr="00B75666" w:rsidP="5256D0E2" w14:paraId="5B0AD232"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w:t>
            </w:r>
            <w:r w:rsidRPr="5256D0E2" w:rsidR="2796E0FA">
              <w:rPr>
                <w:rFonts w:asciiTheme="minorHAnsi" w:hAnsiTheme="minorHAnsi" w:cstheme="minorBidi"/>
                <w:sz w:val="24"/>
                <w:szCs w:val="24"/>
              </w:rPr>
              <w:t>5</w:t>
            </w:r>
          </w:p>
        </w:tc>
        <w:tc>
          <w:tcPr>
            <w:tcW w:w="990" w:type="dxa"/>
            <w:vAlign w:val="center"/>
          </w:tcPr>
          <w:p w:rsidR="0008325B" w:rsidRPr="00B75666" w:rsidP="5256D0E2" w14:paraId="492EB14A" w14:textId="77777777">
            <w:pPr>
              <w:jc w:val="center"/>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12,500</w:t>
            </w:r>
          </w:p>
        </w:tc>
      </w:tr>
      <w:tr w14:paraId="28727DAF" w14:textId="77777777" w:rsidTr="5256D0E2">
        <w:tblPrEx>
          <w:tblW w:w="0" w:type="auto"/>
          <w:tblLook w:val="01E0"/>
        </w:tblPrEx>
        <w:trPr>
          <w:trHeight w:val="576"/>
        </w:trPr>
        <w:tc>
          <w:tcPr>
            <w:tcW w:w="1807" w:type="dxa"/>
            <w:vAlign w:val="center"/>
          </w:tcPr>
          <w:p w:rsidR="0008325B" w:rsidRPr="00B75666" w:rsidP="00D73818" w14:paraId="7CE7DE5A" w14:textId="77777777">
            <w:pPr>
              <w:rPr>
                <w:rFonts w:asciiTheme="minorHAnsi" w:hAnsiTheme="minorHAnsi" w:cstheme="minorHAnsi"/>
                <w:b/>
                <w:bCs/>
                <w:sz w:val="24"/>
                <w:szCs w:val="24"/>
              </w:rPr>
            </w:pPr>
            <w:r w:rsidRPr="00B75666">
              <w:rPr>
                <w:rFonts w:asciiTheme="minorHAnsi" w:hAnsiTheme="minorHAnsi" w:cstheme="minorHAnsi"/>
                <w:b/>
                <w:bCs/>
                <w:sz w:val="24"/>
                <w:szCs w:val="24"/>
              </w:rPr>
              <w:t>Total</w:t>
            </w:r>
          </w:p>
        </w:tc>
        <w:tc>
          <w:tcPr>
            <w:tcW w:w="1639" w:type="dxa"/>
            <w:vAlign w:val="center"/>
          </w:tcPr>
          <w:p w:rsidR="0008325B" w:rsidRPr="00B75666" w:rsidP="00D73818" w14:paraId="664A16FB" w14:textId="77777777">
            <w:pPr>
              <w:widowControl/>
              <w:tabs>
                <w:tab w:val="num" w:pos="1080"/>
              </w:tabs>
              <w:spacing w:before="120"/>
              <w:jc w:val="center"/>
              <w:rPr>
                <w:rFonts w:asciiTheme="minorHAnsi" w:hAnsiTheme="minorHAnsi" w:cstheme="minorHAnsi"/>
                <w:b/>
                <w:bCs/>
                <w:sz w:val="24"/>
                <w:szCs w:val="24"/>
              </w:rPr>
            </w:pPr>
            <w:r w:rsidRPr="00B75666">
              <w:rPr>
                <w:rFonts w:asciiTheme="minorHAnsi" w:hAnsiTheme="minorHAnsi" w:cstheme="minorHAnsi"/>
                <w:b/>
                <w:bCs/>
                <w:sz w:val="24"/>
                <w:szCs w:val="24"/>
              </w:rPr>
              <w:t>NSSRN</w:t>
            </w:r>
          </w:p>
        </w:tc>
        <w:tc>
          <w:tcPr>
            <w:tcW w:w="1593" w:type="dxa"/>
            <w:vAlign w:val="center"/>
          </w:tcPr>
          <w:p w:rsidR="0008325B" w:rsidRPr="00B75666" w:rsidP="5256D0E2" w14:paraId="436097CA" w14:textId="77777777">
            <w:pPr>
              <w:jc w:val="center"/>
              <w:rPr>
                <w:rFonts w:asciiTheme="minorHAnsi" w:hAnsiTheme="minorHAnsi" w:cstheme="minorBidi"/>
                <w:sz w:val="24"/>
                <w:szCs w:val="24"/>
              </w:rPr>
            </w:pPr>
            <w:r w:rsidRPr="5256D0E2">
              <w:rPr>
                <w:rFonts w:asciiTheme="minorHAnsi" w:hAnsiTheme="minorHAnsi" w:cstheme="minorBidi"/>
                <w:sz w:val="24"/>
                <w:szCs w:val="24"/>
              </w:rPr>
              <w:t>62,500</w:t>
            </w:r>
          </w:p>
        </w:tc>
        <w:tc>
          <w:tcPr>
            <w:tcW w:w="1662" w:type="dxa"/>
            <w:vAlign w:val="center"/>
          </w:tcPr>
          <w:p w:rsidR="0008325B" w:rsidRPr="00B75666" w:rsidP="5256D0E2" w14:paraId="6BABFCD8"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1</w:t>
            </w:r>
          </w:p>
        </w:tc>
        <w:tc>
          <w:tcPr>
            <w:tcW w:w="1623" w:type="dxa"/>
            <w:vAlign w:val="center"/>
          </w:tcPr>
          <w:p w:rsidR="0008325B" w:rsidRPr="00B75666" w:rsidP="5256D0E2" w14:paraId="400FC9DA" w14:textId="77777777">
            <w:pPr>
              <w:widowControl/>
              <w:tabs>
                <w:tab w:val="num" w:pos="1080"/>
              </w:tabs>
              <w:spacing w:before="120"/>
              <w:jc w:val="center"/>
              <w:rPr>
                <w:rFonts w:asciiTheme="minorHAnsi" w:hAnsiTheme="minorHAnsi" w:cstheme="minorBidi"/>
                <w:sz w:val="24"/>
                <w:szCs w:val="24"/>
              </w:rPr>
            </w:pPr>
            <w:r w:rsidRPr="5256D0E2">
              <w:rPr>
                <w:rFonts w:asciiTheme="minorHAnsi" w:hAnsiTheme="minorHAnsi" w:cstheme="minorBidi"/>
                <w:sz w:val="24"/>
                <w:szCs w:val="24"/>
              </w:rPr>
              <w:t>.5</w:t>
            </w:r>
          </w:p>
        </w:tc>
        <w:tc>
          <w:tcPr>
            <w:tcW w:w="990" w:type="dxa"/>
            <w:vAlign w:val="center"/>
          </w:tcPr>
          <w:p w:rsidR="0008325B" w:rsidRPr="00B75666" w:rsidP="5256D0E2" w14:paraId="38BF92E0" w14:textId="77777777">
            <w:pPr>
              <w:jc w:val="center"/>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31,250</w:t>
            </w:r>
          </w:p>
        </w:tc>
      </w:tr>
    </w:tbl>
    <w:p w:rsidR="00A82C0C" w:rsidRPr="00B75666" w:rsidP="00A93D97" w14:paraId="4B4C620A" w14:textId="77777777">
      <w:pPr>
        <w:spacing w:line="259" w:lineRule="auto"/>
        <w:ind w:left="399" w:right="359" w:firstLine="50"/>
        <w:rPr>
          <w:rFonts w:asciiTheme="minorHAnsi" w:hAnsiTheme="minorHAnsi" w:cstheme="minorHAnsi"/>
          <w:sz w:val="24"/>
          <w:szCs w:val="24"/>
        </w:rPr>
      </w:pPr>
    </w:p>
    <w:p w:rsidR="0008325B" w:rsidRPr="00B75666" w:rsidP="00A93D97" w14:paraId="4C59EDB4" w14:textId="77777777">
      <w:pPr>
        <w:spacing w:line="259" w:lineRule="auto"/>
        <w:ind w:left="399" w:right="359" w:firstLine="50"/>
        <w:rPr>
          <w:rFonts w:asciiTheme="minorHAnsi" w:hAnsiTheme="minorHAnsi" w:cstheme="minorHAnsi"/>
          <w:sz w:val="24"/>
          <w:szCs w:val="24"/>
        </w:rPr>
      </w:pPr>
    </w:p>
    <w:p w:rsidR="00B75666" w:rsidRPr="00B75666" w:rsidP="00B75666" w14:paraId="3100E497" w14:textId="77777777">
      <w:pPr>
        <w:widowControl/>
        <w:autoSpaceDE/>
        <w:autoSpaceDN/>
        <w:rPr>
          <w:rFonts w:asciiTheme="minorHAnsi" w:hAnsiTheme="minorHAnsi" w:cstheme="minorHAnsi"/>
          <w:sz w:val="24"/>
          <w:szCs w:val="24"/>
        </w:rPr>
      </w:pPr>
      <w:r w:rsidRPr="00B75666">
        <w:rPr>
          <w:rFonts w:asciiTheme="minorHAnsi" w:hAnsiTheme="minorHAnsi" w:cstheme="minorHAnsi"/>
          <w:sz w:val="24"/>
          <w:szCs w:val="24"/>
        </w:rPr>
        <w:t xml:space="preserve">     </w:t>
      </w:r>
      <w:r w:rsidRPr="00B75666">
        <w:rPr>
          <w:rFonts w:asciiTheme="minorHAnsi" w:hAnsiTheme="minorHAnsi" w:cstheme="minorHAnsi"/>
          <w:b/>
          <w:sz w:val="24"/>
          <w:szCs w:val="24"/>
        </w:rPr>
        <w:t xml:space="preserve"> Table</w:t>
      </w:r>
      <w:r w:rsidRPr="00B75666">
        <w:rPr>
          <w:rFonts w:asciiTheme="minorHAnsi" w:hAnsiTheme="minorHAnsi" w:cstheme="minorHAnsi"/>
          <w:sz w:val="24"/>
          <w:szCs w:val="24"/>
        </w:rPr>
        <w:t xml:space="preserve"> </w:t>
      </w:r>
      <w:r w:rsidRPr="00B75666">
        <w:rPr>
          <w:rFonts w:asciiTheme="minorHAnsi" w:hAnsiTheme="minorHAnsi" w:cstheme="minorHAnsi"/>
          <w:b/>
          <w:sz w:val="24"/>
          <w:szCs w:val="24"/>
        </w:rPr>
        <w:t>12B. Estimated Annualized Burden Costs</w:t>
      </w:r>
    </w:p>
    <w:tbl>
      <w:tblPr>
        <w:tblW w:w="9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1"/>
        <w:gridCol w:w="2196"/>
        <w:gridCol w:w="1710"/>
        <w:gridCol w:w="2250"/>
      </w:tblGrid>
      <w:tr w14:paraId="24B23CE4" w14:textId="77777777" w:rsidTr="5256D0E2">
        <w:tblPrEx>
          <w:tblW w:w="9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9"/>
        </w:trPr>
        <w:tc>
          <w:tcPr>
            <w:tcW w:w="3091" w:type="dxa"/>
            <w:shd w:val="clear" w:color="auto" w:fill="A6A6A6" w:themeFill="background1" w:themeFillShade="A6"/>
            <w:vAlign w:val="bottom"/>
          </w:tcPr>
          <w:p w:rsidR="0008325B" w:rsidRPr="00B75666" w:rsidP="00B75666" w14:paraId="0A4E324D" w14:textId="77777777">
            <w:pPr>
              <w:jc w:val="center"/>
              <w:rPr>
                <w:rFonts w:asciiTheme="minorHAnsi" w:hAnsiTheme="minorHAnsi" w:cstheme="minorHAnsi"/>
                <w:b/>
                <w:bCs/>
                <w:sz w:val="24"/>
                <w:szCs w:val="24"/>
              </w:rPr>
            </w:pPr>
            <w:r w:rsidRPr="00B75666">
              <w:rPr>
                <w:rFonts w:asciiTheme="minorHAnsi" w:hAnsiTheme="minorHAnsi" w:cstheme="minorHAnsi"/>
                <w:b/>
                <w:bCs/>
                <w:sz w:val="24"/>
                <w:szCs w:val="24"/>
              </w:rPr>
              <w:t>Type of</w:t>
            </w:r>
          </w:p>
          <w:p w:rsidR="0008325B" w:rsidRPr="00B75666" w:rsidP="00B75666" w14:paraId="74EC6559" w14:textId="77777777">
            <w:pPr>
              <w:jc w:val="center"/>
              <w:rPr>
                <w:rFonts w:asciiTheme="minorHAnsi" w:hAnsiTheme="minorHAnsi" w:cstheme="minorHAnsi"/>
                <w:sz w:val="24"/>
                <w:szCs w:val="24"/>
              </w:rPr>
            </w:pPr>
            <w:r w:rsidRPr="00B75666">
              <w:rPr>
                <w:rFonts w:asciiTheme="minorHAnsi" w:hAnsiTheme="minorHAnsi" w:cstheme="minorHAnsi"/>
                <w:b/>
                <w:bCs/>
                <w:sz w:val="24"/>
                <w:szCs w:val="24"/>
              </w:rPr>
              <w:t>Respondent</w:t>
            </w:r>
          </w:p>
        </w:tc>
        <w:tc>
          <w:tcPr>
            <w:tcW w:w="2196" w:type="dxa"/>
            <w:shd w:val="clear" w:color="auto" w:fill="A6A6A6" w:themeFill="background1" w:themeFillShade="A6"/>
            <w:vAlign w:val="bottom"/>
          </w:tcPr>
          <w:p w:rsidR="0008325B" w:rsidRPr="00B75666" w:rsidP="00B75666" w14:paraId="2BF8FC12" w14:textId="77777777">
            <w:pPr>
              <w:jc w:val="center"/>
              <w:rPr>
                <w:rFonts w:asciiTheme="minorHAnsi" w:hAnsiTheme="minorHAnsi" w:cstheme="minorHAnsi"/>
                <w:b/>
                <w:bCs/>
                <w:sz w:val="24"/>
                <w:szCs w:val="24"/>
              </w:rPr>
            </w:pPr>
            <w:r w:rsidRPr="00B75666">
              <w:rPr>
                <w:rFonts w:asciiTheme="minorHAnsi" w:hAnsiTheme="minorHAnsi" w:cstheme="minorHAnsi"/>
                <w:b/>
                <w:bCs/>
                <w:sz w:val="24"/>
                <w:szCs w:val="24"/>
              </w:rPr>
              <w:t>Total Burden</w:t>
            </w:r>
          </w:p>
          <w:p w:rsidR="0008325B" w:rsidRPr="00B75666" w:rsidP="00B75666" w14:paraId="09EB1862" w14:textId="77777777">
            <w:pPr>
              <w:jc w:val="center"/>
              <w:rPr>
                <w:rFonts w:asciiTheme="minorHAnsi" w:hAnsiTheme="minorHAnsi" w:cstheme="minorHAnsi"/>
                <w:sz w:val="24"/>
                <w:szCs w:val="24"/>
              </w:rPr>
            </w:pPr>
            <w:r w:rsidRPr="00B75666">
              <w:rPr>
                <w:rFonts w:asciiTheme="minorHAnsi" w:hAnsiTheme="minorHAnsi" w:cstheme="minorHAnsi"/>
                <w:b/>
                <w:bCs/>
                <w:sz w:val="24"/>
                <w:szCs w:val="24"/>
              </w:rPr>
              <w:t>Hours</w:t>
            </w:r>
          </w:p>
        </w:tc>
        <w:tc>
          <w:tcPr>
            <w:tcW w:w="1710" w:type="dxa"/>
            <w:shd w:val="clear" w:color="auto" w:fill="A6A6A6" w:themeFill="background1" w:themeFillShade="A6"/>
            <w:vAlign w:val="bottom"/>
          </w:tcPr>
          <w:p w:rsidR="0008325B" w:rsidRPr="00B75666" w:rsidP="00B75666" w14:paraId="1B1312EA" w14:textId="77777777">
            <w:pPr>
              <w:jc w:val="center"/>
              <w:rPr>
                <w:rFonts w:asciiTheme="minorHAnsi" w:hAnsiTheme="minorHAnsi" w:cstheme="minorHAnsi"/>
                <w:b/>
                <w:bCs/>
                <w:sz w:val="24"/>
                <w:szCs w:val="24"/>
              </w:rPr>
            </w:pPr>
            <w:r w:rsidRPr="00B75666">
              <w:rPr>
                <w:rFonts w:asciiTheme="minorHAnsi" w:hAnsiTheme="minorHAnsi" w:cstheme="minorHAnsi"/>
                <w:b/>
                <w:bCs/>
                <w:sz w:val="24"/>
                <w:szCs w:val="24"/>
              </w:rPr>
              <w:t>Hourly</w:t>
            </w:r>
          </w:p>
          <w:p w:rsidR="0008325B" w:rsidRPr="00B75666" w:rsidP="00B75666" w14:paraId="45C94E09" w14:textId="77777777">
            <w:pPr>
              <w:jc w:val="center"/>
              <w:rPr>
                <w:rFonts w:asciiTheme="minorHAnsi" w:hAnsiTheme="minorHAnsi" w:cstheme="minorHAnsi"/>
                <w:sz w:val="24"/>
                <w:szCs w:val="24"/>
              </w:rPr>
            </w:pPr>
            <w:r w:rsidRPr="00B75666">
              <w:rPr>
                <w:rFonts w:asciiTheme="minorHAnsi" w:hAnsiTheme="minorHAnsi" w:cstheme="minorHAnsi"/>
                <w:b/>
                <w:bCs/>
                <w:sz w:val="24"/>
                <w:szCs w:val="24"/>
              </w:rPr>
              <w:t>Wage Rate</w:t>
            </w:r>
          </w:p>
        </w:tc>
        <w:tc>
          <w:tcPr>
            <w:tcW w:w="2250" w:type="dxa"/>
            <w:shd w:val="clear" w:color="auto" w:fill="A6A6A6" w:themeFill="background1" w:themeFillShade="A6"/>
            <w:vAlign w:val="bottom"/>
          </w:tcPr>
          <w:p w:rsidR="0008325B" w:rsidRPr="00B75666" w:rsidP="00B75666" w14:paraId="56C37D7E" w14:textId="77777777">
            <w:pPr>
              <w:jc w:val="center"/>
              <w:rPr>
                <w:rFonts w:asciiTheme="minorHAnsi" w:hAnsiTheme="minorHAnsi" w:cstheme="minorHAnsi"/>
                <w:sz w:val="24"/>
                <w:szCs w:val="24"/>
              </w:rPr>
            </w:pPr>
            <w:r w:rsidRPr="00B75666">
              <w:rPr>
                <w:rFonts w:asciiTheme="minorHAnsi" w:hAnsiTheme="minorHAnsi" w:cstheme="minorHAnsi"/>
                <w:b/>
                <w:bCs/>
                <w:sz w:val="24"/>
                <w:szCs w:val="24"/>
              </w:rPr>
              <w:t>Total Respondent Costs</w:t>
            </w:r>
          </w:p>
        </w:tc>
      </w:tr>
      <w:tr w14:paraId="1DFC39B8" w14:textId="77777777" w:rsidTr="5256D0E2">
        <w:tblPrEx>
          <w:tblW w:w="9247" w:type="dxa"/>
          <w:tblInd w:w="378" w:type="dxa"/>
          <w:tblLook w:val="01E0"/>
        </w:tblPrEx>
        <w:trPr>
          <w:trHeight w:val="445"/>
        </w:trPr>
        <w:tc>
          <w:tcPr>
            <w:tcW w:w="9247" w:type="dxa"/>
            <w:gridSpan w:val="4"/>
            <w:shd w:val="clear" w:color="auto" w:fill="000000" w:themeFill="text1"/>
            <w:vAlign w:val="center"/>
          </w:tcPr>
          <w:p w:rsidR="0008325B" w:rsidRPr="00B75666" w:rsidP="00D73818" w14:paraId="64D6C2CE" w14:textId="77777777">
            <w:pPr>
              <w:spacing w:before="100" w:beforeAutospacing="1" w:after="100" w:afterAutospacing="1"/>
              <w:rPr>
                <w:rFonts w:asciiTheme="minorHAnsi" w:hAnsiTheme="minorHAnsi" w:cstheme="minorHAnsi"/>
                <w:sz w:val="24"/>
                <w:szCs w:val="24"/>
              </w:rPr>
            </w:pPr>
            <w:r w:rsidRPr="00B75666">
              <w:rPr>
                <w:rFonts w:asciiTheme="minorHAnsi" w:hAnsiTheme="minorHAnsi" w:cstheme="minorHAnsi"/>
                <w:b/>
                <w:sz w:val="24"/>
                <w:szCs w:val="24"/>
              </w:rPr>
              <w:t>NSSRN Production</w:t>
            </w:r>
          </w:p>
        </w:tc>
      </w:tr>
      <w:tr w14:paraId="3776E643" w14:textId="77777777" w:rsidTr="5256D0E2">
        <w:tblPrEx>
          <w:tblW w:w="9247" w:type="dxa"/>
          <w:tblInd w:w="378" w:type="dxa"/>
          <w:tblLook w:val="01E0"/>
        </w:tblPrEx>
        <w:trPr>
          <w:trHeight w:val="445"/>
        </w:trPr>
        <w:tc>
          <w:tcPr>
            <w:tcW w:w="3091" w:type="dxa"/>
            <w:vAlign w:val="center"/>
          </w:tcPr>
          <w:p w:rsidR="0008325B" w:rsidRPr="00B75666" w:rsidP="00D73818" w14:paraId="703F1C5C" w14:textId="77777777">
            <w:pPr>
              <w:tabs>
                <w:tab w:val="num" w:pos="1080"/>
              </w:tabs>
              <w:spacing w:before="100" w:beforeAutospacing="1" w:after="100" w:afterAutospacing="1"/>
              <w:rPr>
                <w:rFonts w:asciiTheme="minorHAnsi" w:hAnsiTheme="minorHAnsi" w:cstheme="minorHAnsi"/>
                <w:b/>
                <w:bCs/>
                <w:sz w:val="24"/>
                <w:szCs w:val="24"/>
              </w:rPr>
            </w:pPr>
            <w:r w:rsidRPr="00B75666">
              <w:rPr>
                <w:rFonts w:asciiTheme="minorHAnsi" w:hAnsiTheme="minorHAnsi" w:cstheme="minorHAnsi"/>
                <w:b/>
                <w:bCs/>
                <w:sz w:val="24"/>
                <w:szCs w:val="24"/>
              </w:rPr>
              <w:t>Registered Nurse</w:t>
            </w:r>
          </w:p>
        </w:tc>
        <w:tc>
          <w:tcPr>
            <w:tcW w:w="2196" w:type="dxa"/>
            <w:vAlign w:val="center"/>
          </w:tcPr>
          <w:p w:rsidR="0008325B" w:rsidRPr="00B75666" w:rsidP="00D73818" w14:paraId="402FF16E" w14:textId="77777777">
            <w:pPr>
              <w:spacing w:before="100" w:beforeAutospacing="1" w:after="100" w:afterAutospacing="1"/>
              <w:jc w:val="right"/>
              <w:rPr>
                <w:rFonts w:asciiTheme="minorHAnsi" w:hAnsiTheme="minorHAnsi" w:cstheme="minorHAnsi"/>
                <w:color w:val="000000"/>
                <w:sz w:val="24"/>
                <w:szCs w:val="24"/>
              </w:rPr>
            </w:pPr>
            <w:r w:rsidRPr="00B75666">
              <w:rPr>
                <w:rFonts w:asciiTheme="minorHAnsi" w:hAnsiTheme="minorHAnsi" w:cstheme="minorHAnsi"/>
                <w:color w:val="000000"/>
                <w:sz w:val="24"/>
                <w:szCs w:val="24"/>
              </w:rPr>
              <w:t>18,750</w:t>
            </w:r>
          </w:p>
        </w:tc>
        <w:tc>
          <w:tcPr>
            <w:tcW w:w="1710" w:type="dxa"/>
            <w:vAlign w:val="center"/>
          </w:tcPr>
          <w:p w:rsidR="0008325B" w:rsidRPr="00B75666" w:rsidP="00D73818" w14:paraId="0A4DD41E" w14:textId="77777777">
            <w:pPr>
              <w:spacing w:before="100" w:beforeAutospacing="1" w:after="100" w:afterAutospacing="1"/>
              <w:jc w:val="right"/>
              <w:rPr>
                <w:rFonts w:asciiTheme="minorHAnsi" w:hAnsiTheme="minorHAnsi" w:cstheme="minorHAnsi"/>
                <w:color w:val="000000"/>
                <w:sz w:val="24"/>
                <w:szCs w:val="24"/>
              </w:rPr>
            </w:pPr>
            <w:r w:rsidRPr="00B75666">
              <w:rPr>
                <w:rFonts w:asciiTheme="minorHAnsi" w:hAnsiTheme="minorHAnsi" w:cstheme="minorHAnsi"/>
                <w:color w:val="000000"/>
                <w:sz w:val="24"/>
                <w:szCs w:val="24"/>
              </w:rPr>
              <w:t>$45.42</w:t>
            </w:r>
          </w:p>
        </w:tc>
        <w:tc>
          <w:tcPr>
            <w:tcW w:w="2250" w:type="dxa"/>
            <w:vAlign w:val="center"/>
          </w:tcPr>
          <w:p w:rsidR="0008325B" w:rsidRPr="00B75666" w:rsidP="00D73818" w14:paraId="66CF3D7E" w14:textId="77777777">
            <w:pPr>
              <w:spacing w:before="100" w:beforeAutospacing="1" w:after="100" w:afterAutospacing="1"/>
              <w:jc w:val="right"/>
              <w:rPr>
                <w:rFonts w:asciiTheme="minorHAnsi" w:hAnsiTheme="minorHAnsi" w:cstheme="minorHAnsi"/>
                <w:color w:val="000000"/>
                <w:sz w:val="24"/>
                <w:szCs w:val="24"/>
              </w:rPr>
            </w:pPr>
            <w:r w:rsidRPr="00B75666">
              <w:rPr>
                <w:rFonts w:asciiTheme="minorHAnsi" w:hAnsiTheme="minorHAnsi" w:cstheme="minorHAnsi"/>
                <w:color w:val="000000"/>
                <w:sz w:val="24"/>
                <w:szCs w:val="24"/>
              </w:rPr>
              <w:t>$851,625</w:t>
            </w:r>
          </w:p>
        </w:tc>
      </w:tr>
      <w:tr w14:paraId="7ED0A64A" w14:textId="77777777" w:rsidTr="5256D0E2">
        <w:tblPrEx>
          <w:tblW w:w="9247" w:type="dxa"/>
          <w:tblInd w:w="378" w:type="dxa"/>
          <w:tblLook w:val="01E0"/>
        </w:tblPrEx>
        <w:trPr>
          <w:trHeight w:val="445"/>
        </w:trPr>
        <w:tc>
          <w:tcPr>
            <w:tcW w:w="3091" w:type="dxa"/>
            <w:vAlign w:val="center"/>
          </w:tcPr>
          <w:p w:rsidR="0008325B" w:rsidRPr="00B75666" w:rsidP="00D73818" w14:paraId="676C69DC" w14:textId="77777777">
            <w:pPr>
              <w:tabs>
                <w:tab w:val="num" w:pos="1080"/>
              </w:tabs>
              <w:spacing w:before="100" w:beforeAutospacing="1" w:after="100" w:afterAutospacing="1"/>
              <w:rPr>
                <w:rFonts w:asciiTheme="minorHAnsi" w:hAnsiTheme="minorHAnsi" w:cstheme="minorHAnsi"/>
                <w:b/>
                <w:bCs/>
                <w:sz w:val="24"/>
                <w:szCs w:val="24"/>
              </w:rPr>
            </w:pPr>
            <w:r w:rsidRPr="00B75666">
              <w:rPr>
                <w:rFonts w:asciiTheme="minorHAnsi" w:hAnsiTheme="minorHAnsi" w:cstheme="minorHAnsi"/>
                <w:b/>
                <w:bCs/>
                <w:sz w:val="24"/>
                <w:szCs w:val="24"/>
              </w:rPr>
              <w:t>Nurse Practitioner</w:t>
            </w:r>
          </w:p>
        </w:tc>
        <w:tc>
          <w:tcPr>
            <w:tcW w:w="2196" w:type="dxa"/>
            <w:vAlign w:val="center"/>
          </w:tcPr>
          <w:p w:rsidR="0008325B" w:rsidRPr="00B75666" w:rsidP="5256D0E2" w14:paraId="45260EBD" w14:textId="77777777">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12,500</w:t>
            </w:r>
          </w:p>
        </w:tc>
        <w:tc>
          <w:tcPr>
            <w:tcW w:w="1710" w:type="dxa"/>
            <w:vAlign w:val="center"/>
          </w:tcPr>
          <w:p w:rsidR="0008325B" w:rsidRPr="00B75666" w:rsidP="5256D0E2" w14:paraId="60103F20" w14:textId="77777777">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$61.78</w:t>
            </w:r>
          </w:p>
        </w:tc>
        <w:tc>
          <w:tcPr>
            <w:tcW w:w="2250" w:type="dxa"/>
            <w:vAlign w:val="center"/>
          </w:tcPr>
          <w:p w:rsidR="0008325B" w:rsidRPr="00B75666" w:rsidP="5256D0E2" w14:paraId="6A529FFD" w14:textId="77777777">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w:t>
            </w:r>
            <w:r w:rsidRPr="5256D0E2" w:rsidR="441076F5">
              <w:rPr>
                <w:rFonts w:asciiTheme="minorHAnsi" w:hAnsiTheme="minorHAnsi" w:cstheme="minorBidi"/>
                <w:color w:val="000000" w:themeColor="text1"/>
                <w:sz w:val="24"/>
                <w:szCs w:val="24"/>
              </w:rPr>
              <w:t>772,250</w:t>
            </w:r>
          </w:p>
        </w:tc>
      </w:tr>
      <w:tr w14:paraId="515BCC4F" w14:textId="77777777" w:rsidTr="5256D0E2">
        <w:tblPrEx>
          <w:tblW w:w="9247" w:type="dxa"/>
          <w:tblInd w:w="378" w:type="dxa"/>
          <w:tblLook w:val="01E0"/>
        </w:tblPrEx>
        <w:trPr>
          <w:trHeight w:val="445"/>
        </w:trPr>
        <w:tc>
          <w:tcPr>
            <w:tcW w:w="3091" w:type="dxa"/>
          </w:tcPr>
          <w:p w:rsidR="0008325B" w:rsidRPr="00B75666" w:rsidP="00D73818" w14:paraId="25886EFA" w14:textId="77777777">
            <w:pPr>
              <w:tabs>
                <w:tab w:val="num" w:pos="1080"/>
              </w:tabs>
              <w:spacing w:before="100" w:beforeAutospacing="1" w:after="100" w:afterAutospacing="1"/>
              <w:rPr>
                <w:rFonts w:asciiTheme="minorHAnsi" w:hAnsiTheme="minorHAnsi" w:cstheme="minorHAnsi"/>
                <w:b/>
                <w:bCs/>
                <w:sz w:val="24"/>
                <w:szCs w:val="24"/>
              </w:rPr>
            </w:pPr>
            <w:r w:rsidRPr="00B75666">
              <w:rPr>
                <w:rFonts w:asciiTheme="minorHAnsi" w:hAnsiTheme="minorHAnsi" w:cstheme="minorHAnsi"/>
                <w:b/>
                <w:bCs/>
                <w:sz w:val="24"/>
                <w:szCs w:val="24"/>
              </w:rPr>
              <w:t>Total</w:t>
            </w:r>
          </w:p>
        </w:tc>
        <w:tc>
          <w:tcPr>
            <w:tcW w:w="2196" w:type="dxa"/>
            <w:vAlign w:val="center"/>
          </w:tcPr>
          <w:p w:rsidR="0008325B" w:rsidRPr="00B75666" w:rsidP="5256D0E2" w14:paraId="7E163DAA" w14:textId="77777777">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3</w:t>
            </w:r>
            <w:r w:rsidRPr="5256D0E2" w:rsidR="0E575B19">
              <w:rPr>
                <w:rFonts w:asciiTheme="minorHAnsi" w:hAnsiTheme="minorHAnsi" w:cstheme="minorBidi"/>
                <w:color w:val="000000" w:themeColor="text1"/>
                <w:sz w:val="24"/>
                <w:szCs w:val="24"/>
              </w:rPr>
              <w:t>1,250</w:t>
            </w:r>
          </w:p>
        </w:tc>
        <w:tc>
          <w:tcPr>
            <w:tcW w:w="1710" w:type="dxa"/>
            <w:vAlign w:val="center"/>
          </w:tcPr>
          <w:p w:rsidR="0008325B" w:rsidRPr="00B75666" w:rsidP="5256D0E2" w14:paraId="3648A296" w14:textId="77777777">
            <w:pPr>
              <w:spacing w:before="100" w:beforeAutospacing="1" w:after="100" w:afterAutospacing="1"/>
              <w:jc w:val="right"/>
              <w:rPr>
                <w:rFonts w:asciiTheme="minorHAnsi" w:hAnsiTheme="minorHAnsi" w:cstheme="minorBidi"/>
                <w:sz w:val="24"/>
                <w:szCs w:val="24"/>
              </w:rPr>
            </w:pPr>
            <w:r w:rsidRPr="5256D0E2">
              <w:rPr>
                <w:rFonts w:asciiTheme="minorHAnsi" w:hAnsiTheme="minorHAnsi" w:cstheme="minorBidi"/>
                <w:color w:val="000000" w:themeColor="text1"/>
                <w:sz w:val="24"/>
                <w:szCs w:val="24"/>
              </w:rPr>
              <w:t>-</w:t>
            </w:r>
          </w:p>
        </w:tc>
        <w:tc>
          <w:tcPr>
            <w:tcW w:w="2250" w:type="dxa"/>
            <w:vAlign w:val="center"/>
          </w:tcPr>
          <w:p w:rsidR="0008325B" w:rsidRPr="00B75666" w:rsidP="5256D0E2" w14:paraId="1B9229D7" w14:textId="77777777">
            <w:pPr>
              <w:spacing w:before="100" w:beforeAutospacing="1" w:after="100" w:afterAutospacing="1"/>
              <w:jc w:val="right"/>
              <w:rPr>
                <w:rFonts w:asciiTheme="minorHAnsi" w:hAnsiTheme="minorHAnsi" w:cstheme="minorBidi"/>
                <w:color w:val="000000"/>
                <w:sz w:val="24"/>
                <w:szCs w:val="24"/>
              </w:rPr>
            </w:pPr>
            <w:r w:rsidRPr="5256D0E2">
              <w:rPr>
                <w:rFonts w:asciiTheme="minorHAnsi" w:hAnsiTheme="minorHAnsi" w:cstheme="minorBidi"/>
                <w:color w:val="000000" w:themeColor="text1"/>
                <w:sz w:val="24"/>
                <w:szCs w:val="24"/>
              </w:rPr>
              <w:t>$</w:t>
            </w:r>
            <w:r w:rsidRPr="5256D0E2" w:rsidR="54021734">
              <w:rPr>
                <w:rFonts w:asciiTheme="minorHAnsi" w:hAnsiTheme="minorHAnsi" w:cstheme="minorBidi"/>
                <w:color w:val="000000" w:themeColor="text1"/>
                <w:sz w:val="24"/>
                <w:szCs w:val="24"/>
              </w:rPr>
              <w:t>1,623,875</w:t>
            </w:r>
          </w:p>
        </w:tc>
      </w:tr>
    </w:tbl>
    <w:p w:rsidR="0008325B" w:rsidRPr="00B75666" w:rsidP="00A93D97" w14:paraId="49B9DD2C" w14:textId="77777777">
      <w:pPr>
        <w:spacing w:line="259" w:lineRule="auto"/>
        <w:ind w:left="399" w:right="359" w:firstLine="50"/>
        <w:rPr>
          <w:rFonts w:asciiTheme="minorHAnsi" w:hAnsiTheme="minorHAnsi" w:cstheme="minorHAnsi"/>
          <w:sz w:val="24"/>
          <w:szCs w:val="24"/>
        </w:rPr>
      </w:pPr>
    </w:p>
    <w:p w:rsidR="00201347" w:rsidRPr="00B75666" w:rsidP="00A82C0C" w14:paraId="7A66BF17" w14:textId="77777777">
      <w:pPr>
        <w:pStyle w:val="ListParagraph"/>
        <w:numPr>
          <w:ilvl w:val="0"/>
          <w:numId w:val="7"/>
        </w:numPr>
        <w:spacing w:line="259" w:lineRule="auto"/>
        <w:ind w:left="360" w:hanging="360"/>
        <w:rPr>
          <w:rFonts w:asciiTheme="minorHAnsi" w:hAnsiTheme="minorHAnsi" w:cstheme="minorHAnsi"/>
          <w:b/>
          <w:sz w:val="24"/>
          <w:szCs w:val="24"/>
        </w:rPr>
      </w:pPr>
      <w:r w:rsidRPr="00B75666">
        <w:rPr>
          <w:rFonts w:asciiTheme="minorHAnsi" w:hAnsiTheme="minorHAnsi" w:cstheme="minorHAnsi"/>
          <w:b/>
          <w:sz w:val="24"/>
          <w:szCs w:val="24"/>
        </w:rPr>
        <w:t>Provide an estimate for the total annual cost burden to respondents or record</w:t>
      </w:r>
      <w:r w:rsidRPr="00B75666">
        <w:rPr>
          <w:rFonts w:asciiTheme="minorHAnsi" w:hAnsiTheme="minorHAnsi" w:cstheme="minorHAnsi"/>
          <w:b/>
          <w:spacing w:val="-44"/>
          <w:sz w:val="24"/>
          <w:szCs w:val="24"/>
        </w:rPr>
        <w:t xml:space="preserve"> </w:t>
      </w:r>
      <w:r w:rsidRPr="00B75666">
        <w:rPr>
          <w:rFonts w:asciiTheme="minorHAnsi" w:hAnsiTheme="minorHAnsi" w:cstheme="minorHAnsi"/>
          <w:b/>
          <w:sz w:val="24"/>
          <w:szCs w:val="24"/>
        </w:rPr>
        <w:t>keepers resulting from the collection of information. (Do not include the cost of any hour burden already reflected on the burden worksheet).</w:t>
      </w:r>
    </w:p>
    <w:p w:rsidR="00201347" w:rsidRPr="00B75666" w:rsidP="00A82C0C" w14:paraId="52BDDAF4" w14:textId="77777777">
      <w:pPr>
        <w:pStyle w:val="BodyText"/>
        <w:spacing w:line="259" w:lineRule="auto"/>
        <w:ind w:left="399"/>
        <w:rPr>
          <w:rFonts w:asciiTheme="minorHAnsi" w:hAnsiTheme="minorHAnsi" w:cstheme="minorHAnsi"/>
        </w:rPr>
      </w:pPr>
      <w:r w:rsidRPr="00B75666">
        <w:rPr>
          <w:rFonts w:asciiTheme="minorHAnsi" w:hAnsiTheme="minorHAnsi" w:cstheme="minorHAnsi"/>
        </w:rPr>
        <w:t>There are no capital/start-up or ongoing operation/maintenance costs associated with this information collection.</w:t>
      </w:r>
      <w:r w:rsidRPr="00B75666" w:rsidR="001F43EB">
        <w:rPr>
          <w:rFonts w:asciiTheme="minorHAnsi" w:hAnsiTheme="minorHAnsi" w:cstheme="minorHAnsi"/>
        </w:rPr>
        <w:t xml:space="preserve"> </w:t>
      </w:r>
    </w:p>
    <w:p w:rsidR="00BE7FCC" w:rsidRPr="00B75666" w:rsidP="00EE3C46" w14:paraId="58859762" w14:textId="77777777">
      <w:pPr>
        <w:pStyle w:val="BodyText"/>
        <w:spacing w:line="259" w:lineRule="auto"/>
        <w:ind w:left="399"/>
        <w:rPr>
          <w:rFonts w:asciiTheme="minorHAnsi" w:hAnsiTheme="minorHAnsi" w:cstheme="minorHAnsi"/>
        </w:rPr>
      </w:pPr>
      <w:r w:rsidRPr="00B75666">
        <w:rPr>
          <w:rFonts w:asciiTheme="minorHAnsi" w:hAnsiTheme="minorHAnsi" w:cstheme="minorHAnsi"/>
        </w:rPr>
        <w:t xml:space="preserve">There are no direct costs to respondents other than their time to participate in the study. </w:t>
      </w:r>
    </w:p>
    <w:p w:rsidR="00201347" w:rsidRPr="00B75666" w14:paraId="180D7527" w14:textId="77777777">
      <w:pPr>
        <w:pStyle w:val="BodyText"/>
        <w:spacing w:before="7"/>
        <w:ind w:left="0"/>
        <w:rPr>
          <w:rFonts w:asciiTheme="minorHAnsi" w:hAnsiTheme="minorHAnsi" w:cstheme="minorHAnsi"/>
          <w:b/>
        </w:rPr>
      </w:pPr>
    </w:p>
    <w:p w:rsidR="00201347" w:rsidRPr="00B75666" w:rsidP="00972981" w14:paraId="575417E2" w14:textId="77777777">
      <w:pPr>
        <w:pStyle w:val="Heading1"/>
        <w:numPr>
          <w:ilvl w:val="0"/>
          <w:numId w:val="7"/>
        </w:numPr>
        <w:tabs>
          <w:tab w:val="left" w:pos="804"/>
        </w:tabs>
        <w:spacing w:before="0"/>
        <w:ind w:left="360" w:hanging="360"/>
        <w:rPr>
          <w:rFonts w:asciiTheme="minorHAnsi" w:hAnsiTheme="minorHAnsi" w:cstheme="minorHAnsi"/>
        </w:rPr>
      </w:pPr>
      <w:r w:rsidRPr="00B75666">
        <w:rPr>
          <w:rFonts w:asciiTheme="minorHAnsi" w:hAnsiTheme="minorHAnsi" w:cstheme="minorHAns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B75666">
        <w:rPr>
          <w:rFonts w:asciiTheme="minorHAnsi" w:hAnsiTheme="minorHAnsi" w:cstheme="minorHAnsi"/>
        </w:rPr>
        <w:t>expense</w:t>
      </w:r>
      <w:r w:rsidRPr="00B75666">
        <w:rPr>
          <w:rFonts w:asciiTheme="minorHAnsi" w:hAnsiTheme="minorHAnsi" w:cstheme="minorHAnsi"/>
        </w:rPr>
        <w:t xml:space="preserve"> that would not have been incurred without this collection of</w:t>
      </w:r>
      <w:r w:rsidRPr="00B75666">
        <w:rPr>
          <w:rFonts w:asciiTheme="minorHAnsi" w:hAnsiTheme="minorHAnsi" w:cstheme="minorHAnsi"/>
          <w:spacing w:val="-24"/>
        </w:rPr>
        <w:t xml:space="preserve"> </w:t>
      </w:r>
      <w:r w:rsidRPr="00B75666">
        <w:rPr>
          <w:rFonts w:asciiTheme="minorHAnsi" w:hAnsiTheme="minorHAnsi" w:cstheme="minorHAnsi"/>
        </w:rPr>
        <w:t>information.</w:t>
      </w:r>
    </w:p>
    <w:p w:rsidR="00BE7FCC" w:rsidP="00BE7FCC" w14:paraId="50251437" w14:textId="77777777">
      <w:pPr>
        <w:spacing w:before="240"/>
        <w:ind w:left="360"/>
        <w:rPr>
          <w:rFonts w:asciiTheme="minorHAnsi" w:hAnsiTheme="minorHAnsi" w:cstheme="minorHAnsi"/>
          <w:bCs/>
          <w:sz w:val="24"/>
          <w:szCs w:val="24"/>
        </w:rPr>
      </w:pPr>
      <w:r w:rsidRPr="00B75666">
        <w:rPr>
          <w:rFonts w:asciiTheme="minorHAnsi" w:hAnsiTheme="minorHAnsi" w:cstheme="minorHAnsi"/>
          <w:bCs/>
          <w:sz w:val="24"/>
          <w:szCs w:val="24"/>
        </w:rPr>
        <w:t>Costs for this survey are estimated at $8,118,306.  This includes all direct and indirect costs of the design, data collection, analysis, and reporting phases of the survey, as well as delivery of the datasets to HRSA NCHWA.</w:t>
      </w:r>
      <w:r w:rsidR="00395991">
        <w:rPr>
          <w:rFonts w:asciiTheme="minorHAnsi" w:hAnsiTheme="minorHAnsi" w:cstheme="minorHAnsi"/>
          <w:bCs/>
          <w:sz w:val="24"/>
          <w:szCs w:val="24"/>
        </w:rPr>
        <w:t xml:space="preserve"> </w:t>
      </w:r>
      <w:r w:rsidR="00076ACE">
        <w:rPr>
          <w:rFonts w:asciiTheme="minorHAnsi" w:hAnsiTheme="minorHAnsi" w:cstheme="minorHAnsi"/>
          <w:bCs/>
          <w:sz w:val="24"/>
          <w:szCs w:val="24"/>
        </w:rPr>
        <w:t xml:space="preserve">The increase in cost from last survey cycle is due to substantial increases in both salaries, postage prices, and the cost of paper. An additional cost increase is due to lower response rates across surveys, causing more parcels </w:t>
      </w:r>
      <w:r w:rsidR="00076ACE">
        <w:rPr>
          <w:rFonts w:asciiTheme="minorHAnsi" w:hAnsiTheme="minorHAnsi" w:cstheme="minorHAnsi"/>
          <w:bCs/>
          <w:sz w:val="24"/>
          <w:szCs w:val="24"/>
        </w:rPr>
        <w:t>being</w:t>
      </w:r>
      <w:r w:rsidR="00076ACE">
        <w:rPr>
          <w:rFonts w:asciiTheme="minorHAnsi" w:hAnsiTheme="minorHAnsi" w:cstheme="minorHAnsi"/>
          <w:bCs/>
          <w:sz w:val="24"/>
          <w:szCs w:val="24"/>
        </w:rPr>
        <w:t xml:space="preserve"> mailed throughout the duration of the survey cycle. </w:t>
      </w:r>
    </w:p>
    <w:p w:rsidR="00395991" w:rsidP="00BE7FCC" w14:paraId="39855706" w14:textId="77777777">
      <w:pPr>
        <w:spacing w:before="240"/>
        <w:ind w:left="360"/>
        <w:rPr>
          <w:rFonts w:asciiTheme="minorHAnsi" w:hAnsiTheme="minorHAnsi" w:cstheme="minorHAnsi"/>
          <w:bCs/>
          <w:sz w:val="24"/>
          <w:szCs w:val="24"/>
        </w:rPr>
      </w:pPr>
      <w:r>
        <w:rPr>
          <w:rFonts w:asciiTheme="minorHAnsi" w:hAnsiTheme="minorHAnsi" w:cstheme="minorHAnsi"/>
          <w:bCs/>
          <w:sz w:val="24"/>
          <w:szCs w:val="24"/>
        </w:rPr>
        <w:t xml:space="preserve">The </w:t>
      </w:r>
      <w:r>
        <w:rPr>
          <w:rFonts w:asciiTheme="minorHAnsi" w:hAnsiTheme="minorHAnsi" w:cstheme="minorHAnsi"/>
          <w:bCs/>
          <w:sz w:val="24"/>
          <w:szCs w:val="24"/>
        </w:rPr>
        <w:t>below table</w:t>
      </w:r>
      <w:r>
        <w:rPr>
          <w:rFonts w:asciiTheme="minorHAnsi" w:hAnsiTheme="minorHAnsi" w:cstheme="minorHAnsi"/>
          <w:bCs/>
          <w:sz w:val="24"/>
          <w:szCs w:val="24"/>
        </w:rPr>
        <w:t xml:space="preserve"> represents the best estimates provided by </w:t>
      </w:r>
      <w:r>
        <w:rPr>
          <w:rFonts w:asciiTheme="minorHAnsi" w:hAnsiTheme="minorHAnsi" w:cstheme="minorHAnsi"/>
          <w:bCs/>
          <w:sz w:val="24"/>
          <w:szCs w:val="24"/>
        </w:rPr>
        <w:t>participating</w:t>
      </w:r>
      <w:r>
        <w:rPr>
          <w:rFonts w:asciiTheme="minorHAnsi" w:hAnsiTheme="minorHAnsi" w:cstheme="minorHAnsi"/>
          <w:bCs/>
          <w:sz w:val="24"/>
          <w:szCs w:val="24"/>
        </w:rPr>
        <w:t xml:space="preserve"> work areas, given the description of tasks in the statement of work and their estimated level of effort. </w:t>
      </w:r>
    </w:p>
    <w:p w:rsidR="00395991" w:rsidP="00BE7FCC" w14:paraId="4B68613D" w14:textId="77777777">
      <w:pPr>
        <w:spacing w:before="240"/>
        <w:ind w:left="360"/>
        <w:rPr>
          <w:rFonts w:asciiTheme="minorHAnsi" w:hAnsiTheme="minorHAnsi" w:cstheme="minorHAnsi"/>
          <w:bCs/>
          <w:sz w:val="24"/>
          <w:szCs w:val="24"/>
        </w:rPr>
      </w:pPr>
    </w:p>
    <w:p w:rsidR="00395991" w:rsidP="00BE7FCC" w14:paraId="7E6735C0" w14:textId="77777777">
      <w:pPr>
        <w:spacing w:before="240"/>
        <w:ind w:left="360"/>
        <w:rPr>
          <w:rFonts w:asciiTheme="minorHAnsi" w:hAnsiTheme="minorHAnsi" w:cstheme="minorHAnsi"/>
          <w:bCs/>
          <w:sz w:val="24"/>
          <w:szCs w:val="24"/>
        </w:rPr>
      </w:pPr>
      <w:r>
        <w:rPr>
          <w:noProof/>
        </w:rPr>
        <w:drawing>
          <wp:inline distT="0" distB="0" distL="0" distR="0">
            <wp:extent cx="5447619" cy="3742857"/>
            <wp:effectExtent l="0" t="0" r="1270" b="0"/>
            <wp:docPr id="1894006907"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06907" name="Picture 1" descr="Table&#10;&#10;AI-generated content may be incorrect."/>
                    <pic:cNvPicPr/>
                  </pic:nvPicPr>
                  <pic:blipFill>
                    <a:blip xmlns:r="http://schemas.openxmlformats.org/officeDocument/2006/relationships" r:embed="rId6"/>
                    <a:stretch>
                      <a:fillRect/>
                    </a:stretch>
                  </pic:blipFill>
                  <pic:spPr>
                    <a:xfrm>
                      <a:off x="0" y="0"/>
                      <a:ext cx="5447619" cy="3742857"/>
                    </a:xfrm>
                    <a:prstGeom prst="rect">
                      <a:avLst/>
                    </a:prstGeom>
                  </pic:spPr>
                </pic:pic>
              </a:graphicData>
            </a:graphic>
          </wp:inline>
        </w:drawing>
      </w:r>
    </w:p>
    <w:p w:rsidR="00395991" w:rsidP="00395991" w14:paraId="588609B9"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p>
    <w:p w:rsidR="00395991" w:rsidRPr="00395991" w:rsidP="00395991" w14:paraId="292FEB87"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sidRPr="00395991">
        <w:rPr>
          <w:rFonts w:ascii="Aptos" w:eastAsia="Times New Roman" w:hAnsi="Aptos" w:cs="Times New Roman"/>
          <w:color w:val="000000"/>
          <w:sz w:val="24"/>
          <w:szCs w:val="24"/>
          <w:lang w:bidi="ar-SA"/>
        </w:rPr>
        <w:t>ADDP = Overall Program Management and Survey Operations Implementation</w:t>
      </w:r>
    </w:p>
    <w:p w:rsidR="00395991" w:rsidRPr="00395991" w:rsidP="00395991" w14:paraId="2E6B7468"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sidRPr="00395991">
        <w:rPr>
          <w:rFonts w:ascii="Aptos" w:eastAsia="Times New Roman" w:hAnsi="Aptos" w:cs="Times New Roman"/>
          <w:color w:val="000000"/>
          <w:sz w:val="24"/>
          <w:szCs w:val="24"/>
          <w:lang w:bidi="ar-SA"/>
        </w:rPr>
        <w:t>DSD = Sample and Data Processing Development and Implementation</w:t>
      </w:r>
    </w:p>
    <w:p w:rsidR="00395991" w:rsidRPr="00395991" w:rsidP="00395991" w14:paraId="6B5D95DE"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sidRPr="00395991">
        <w:rPr>
          <w:rFonts w:ascii="Aptos" w:eastAsia="Times New Roman" w:hAnsi="Aptos" w:cs="Times New Roman"/>
          <w:color w:val="000000"/>
          <w:sz w:val="24"/>
          <w:szCs w:val="24"/>
          <w:lang w:bidi="ar-SA"/>
        </w:rPr>
        <w:t>DSMD = Sample and Data Processing Methodology Support</w:t>
      </w:r>
    </w:p>
    <w:p w:rsidR="00395991" w:rsidP="00395991" w14:paraId="004B488F"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sidRPr="00395991">
        <w:rPr>
          <w:rFonts w:ascii="Aptos" w:eastAsia="Times New Roman" w:hAnsi="Aptos" w:cs="Times New Roman"/>
          <w:color w:val="000000"/>
          <w:sz w:val="24"/>
          <w:szCs w:val="24"/>
          <w:lang w:bidi="ar-SA"/>
        </w:rPr>
        <w:t>CES = Final Frame Development and Creation </w:t>
      </w:r>
    </w:p>
    <w:p w:rsidR="00395991" w:rsidP="00395991" w14:paraId="632B406F"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ERD = Sample Frame Data Ingest </w:t>
      </w:r>
    </w:p>
    <w:p w:rsidR="00395991" w:rsidP="00395991" w14:paraId="0D53BBCB"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ADEP = Forms Design </w:t>
      </w:r>
    </w:p>
    <w:p w:rsidR="00395991" w:rsidP="00395991" w14:paraId="605817F6"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ADSD MCS = Master Control System </w:t>
      </w:r>
    </w:p>
    <w:p w:rsidR="00395991" w:rsidP="00395991" w14:paraId="2E9C2191"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ADSD Web = Web Instrument Programming and Development </w:t>
      </w:r>
    </w:p>
    <w:p w:rsidR="00395991" w:rsidP="00395991" w14:paraId="36C0926A"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 xml:space="preserve">LCC = Contact Center Customer Support Services </w:t>
      </w:r>
    </w:p>
    <w:p w:rsidR="00395991" w:rsidRPr="00395991" w:rsidP="00395991" w14:paraId="14BDC513" w14:textId="77777777">
      <w:pPr>
        <w:widowControl/>
        <w:shd w:val="clear" w:color="auto" w:fill="FFFFFF"/>
        <w:autoSpaceDE/>
        <w:autoSpaceDN/>
        <w:textAlignment w:val="baseline"/>
        <w:rPr>
          <w:rFonts w:ascii="Aptos" w:eastAsia="Times New Roman" w:hAnsi="Aptos" w:cs="Times New Roman"/>
          <w:color w:val="000000"/>
          <w:sz w:val="24"/>
          <w:szCs w:val="24"/>
          <w:lang w:bidi="ar-SA"/>
        </w:rPr>
      </w:pPr>
      <w:r>
        <w:rPr>
          <w:rFonts w:ascii="Aptos" w:eastAsia="Times New Roman" w:hAnsi="Aptos" w:cs="Times New Roman"/>
          <w:color w:val="000000"/>
          <w:sz w:val="24"/>
          <w:szCs w:val="24"/>
          <w:lang w:bidi="ar-SA"/>
        </w:rPr>
        <w:t>NPC = Mailout and Mail Receipt Operations</w:t>
      </w:r>
    </w:p>
    <w:p w:rsidR="00395991" w:rsidRPr="00B75666" w:rsidP="00BE7FCC" w14:paraId="4F3E3834" w14:textId="77777777">
      <w:pPr>
        <w:spacing w:before="240"/>
        <w:ind w:left="360"/>
        <w:rPr>
          <w:rFonts w:asciiTheme="minorHAnsi" w:hAnsiTheme="minorHAnsi" w:cstheme="minorHAnsi"/>
          <w:bCs/>
          <w:sz w:val="24"/>
          <w:szCs w:val="24"/>
        </w:rPr>
      </w:pPr>
    </w:p>
    <w:p w:rsidR="00201347" w:rsidRPr="00B75666" w:rsidP="00061D50" w14:paraId="20FEF59D" w14:textId="77777777">
      <w:pPr>
        <w:pStyle w:val="ListParagraph"/>
        <w:numPr>
          <w:ilvl w:val="0"/>
          <w:numId w:val="7"/>
        </w:numPr>
        <w:tabs>
          <w:tab w:val="left" w:pos="720"/>
        </w:tabs>
        <w:spacing w:before="199"/>
        <w:ind w:left="360" w:hanging="360"/>
        <w:rPr>
          <w:rFonts w:asciiTheme="minorHAnsi" w:hAnsiTheme="minorHAnsi" w:cstheme="minorHAnsi"/>
          <w:b/>
          <w:sz w:val="24"/>
          <w:szCs w:val="24"/>
        </w:rPr>
      </w:pPr>
      <w:r w:rsidRPr="00B75666">
        <w:rPr>
          <w:rFonts w:asciiTheme="minorHAnsi" w:hAnsiTheme="minorHAnsi" w:cstheme="minorHAnsi"/>
          <w:b/>
          <w:sz w:val="24"/>
          <w:szCs w:val="24"/>
        </w:rPr>
        <w:t>Explain the reasons for any program changes or adjustments reported in</w:t>
      </w:r>
      <w:r w:rsidRPr="00B75666">
        <w:rPr>
          <w:rFonts w:asciiTheme="minorHAnsi" w:hAnsiTheme="minorHAnsi" w:cstheme="minorHAnsi"/>
          <w:b/>
          <w:spacing w:val="-11"/>
          <w:sz w:val="24"/>
          <w:szCs w:val="24"/>
        </w:rPr>
        <w:t xml:space="preserve"> </w:t>
      </w:r>
      <w:r w:rsidRPr="00B75666">
        <w:rPr>
          <w:rFonts w:asciiTheme="minorHAnsi" w:hAnsiTheme="minorHAnsi" w:cstheme="minorHAnsi"/>
          <w:b/>
          <w:sz w:val="24"/>
          <w:szCs w:val="24"/>
        </w:rPr>
        <w:t>ROCIS.</w:t>
      </w:r>
    </w:p>
    <w:p w:rsidR="00BE7FCC" w:rsidRPr="00B75666" w:rsidP="00BE7FCC" w14:paraId="70214FE4" w14:textId="77777777">
      <w:pPr>
        <w:pStyle w:val="BodyTextIndent"/>
        <w:spacing w:before="120"/>
        <w:rPr>
          <w:rFonts w:asciiTheme="minorHAnsi" w:hAnsiTheme="minorHAnsi" w:cstheme="minorHAnsi"/>
          <w:sz w:val="24"/>
          <w:szCs w:val="24"/>
        </w:rPr>
      </w:pPr>
      <w:r w:rsidRPr="00B75666">
        <w:rPr>
          <w:rFonts w:asciiTheme="minorHAnsi" w:hAnsiTheme="minorHAnsi" w:cstheme="minorHAnsi"/>
          <w:sz w:val="24"/>
          <w:szCs w:val="24"/>
        </w:rPr>
        <w:t xml:space="preserve">This is a reinstatement with changes request of a previously approved collection. For the 2026 NSSRN cycle, the production survey will again be mailed to up to 125,000 RNs. With each cycle there continues to be a streamlining of NSSRN processes with the creation of a mailing strategy that has proven effective in increasing early response and reducing nonresponse follow-up and bias. </w:t>
      </w:r>
    </w:p>
    <w:p w:rsidR="00061D50" w:rsidRPr="00B75666" w:rsidP="00061D50" w14:paraId="4902BF16" w14:textId="77777777">
      <w:pPr>
        <w:pStyle w:val="ListParagraph"/>
        <w:tabs>
          <w:tab w:val="left" w:pos="804"/>
        </w:tabs>
        <w:spacing w:before="123"/>
        <w:ind w:left="400" w:right="429" w:firstLine="0"/>
        <w:rPr>
          <w:rFonts w:asciiTheme="minorHAnsi" w:hAnsiTheme="minorHAnsi" w:cstheme="minorHAnsi"/>
          <w:b/>
          <w:sz w:val="24"/>
          <w:szCs w:val="24"/>
        </w:rPr>
      </w:pPr>
    </w:p>
    <w:p w:rsidR="00201347" w:rsidP="00972981" w14:paraId="09698025" w14:textId="77777777">
      <w:pPr>
        <w:pStyle w:val="ListParagraph"/>
        <w:numPr>
          <w:ilvl w:val="0"/>
          <w:numId w:val="7"/>
        </w:numPr>
        <w:tabs>
          <w:tab w:val="left" w:pos="804"/>
        </w:tabs>
        <w:spacing w:before="123"/>
        <w:ind w:left="360" w:hanging="360"/>
        <w:rPr>
          <w:rFonts w:asciiTheme="minorHAnsi" w:hAnsiTheme="minorHAnsi" w:cstheme="minorHAnsi"/>
          <w:b/>
          <w:sz w:val="24"/>
          <w:szCs w:val="24"/>
        </w:rPr>
      </w:pPr>
      <w:r w:rsidRPr="00B75666">
        <w:rPr>
          <w:rFonts w:asciiTheme="minorHAnsi" w:hAnsiTheme="minorHAnsi" w:cstheme="minorHAnsi"/>
          <w:b/>
          <w:sz w:val="24"/>
          <w:szCs w:val="24"/>
        </w:rPr>
        <w:t>For collections of information whose results will</w:t>
      </w:r>
      <w:r w:rsidRPr="00B75666" w:rsidR="008D6D12">
        <w:rPr>
          <w:rFonts w:asciiTheme="minorHAnsi" w:hAnsiTheme="minorHAnsi" w:cstheme="minorHAnsi"/>
          <w:b/>
          <w:sz w:val="24"/>
          <w:szCs w:val="24"/>
        </w:rPr>
        <w:t xml:space="preserve"> be published, outline plans for </w:t>
      </w:r>
      <w:r w:rsidRPr="00B75666">
        <w:rPr>
          <w:rFonts w:asciiTheme="minorHAnsi" w:hAnsiTheme="minorHAnsi" w:cstheme="minorHAnsi"/>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B75666">
        <w:rPr>
          <w:rFonts w:asciiTheme="minorHAnsi" w:hAnsiTheme="minorHAnsi" w:cstheme="minorHAnsi"/>
          <w:b/>
          <w:spacing w:val="-9"/>
          <w:sz w:val="24"/>
          <w:szCs w:val="24"/>
        </w:rPr>
        <w:t xml:space="preserve"> </w:t>
      </w:r>
      <w:r w:rsidRPr="00B75666">
        <w:rPr>
          <w:rFonts w:asciiTheme="minorHAnsi" w:hAnsiTheme="minorHAnsi" w:cstheme="minorHAnsi"/>
          <w:b/>
          <w:sz w:val="24"/>
          <w:szCs w:val="24"/>
        </w:rPr>
        <w:t>actions.</w:t>
      </w:r>
    </w:p>
    <w:p w:rsidR="006B6443" w:rsidRPr="00B75666" w:rsidP="003809FB" w14:paraId="2F65B40E" w14:textId="77777777">
      <w:pPr>
        <w:pStyle w:val="ListParagraph"/>
        <w:tabs>
          <w:tab w:val="left" w:pos="804"/>
        </w:tabs>
        <w:spacing w:before="123"/>
        <w:ind w:left="360" w:firstLine="0"/>
        <w:rPr>
          <w:rFonts w:asciiTheme="minorHAnsi" w:hAnsiTheme="minorHAnsi" w:cstheme="minorHAnsi"/>
          <w:b/>
          <w:sz w:val="24"/>
          <w:szCs w:val="24"/>
        </w:rPr>
      </w:pPr>
    </w:p>
    <w:tbl>
      <w:tblPr>
        <w:tblW w:w="0" w:type="auto"/>
        <w:tblInd w:w="440" w:type="dxa"/>
        <w:tblLayout w:type="fixed"/>
        <w:tblLook w:val="04A0"/>
      </w:tblPr>
      <w:tblGrid>
        <w:gridCol w:w="1172"/>
        <w:gridCol w:w="8098"/>
      </w:tblGrid>
      <w:tr w14:paraId="3D1DF83D" w14:textId="77777777" w:rsidTr="003809FB">
        <w:tblPrEx>
          <w:tblW w:w="0" w:type="auto"/>
          <w:tblInd w:w="440" w:type="dxa"/>
          <w:tblLayout w:type="fixed"/>
          <w:tblLook w:val="04A0"/>
        </w:tblPrEx>
        <w:trPr>
          <w:trHeight w:val="510"/>
        </w:trPr>
        <w:tc>
          <w:tcPr>
            <w:tcW w:w="9270" w:type="dxa"/>
            <w:gridSpan w:val="2"/>
            <w:tcBorders>
              <w:top w:val="single" w:sz="8" w:space="0" w:color="auto"/>
              <w:left w:val="single" w:sz="8" w:space="0" w:color="auto"/>
              <w:bottom w:val="single" w:sz="8" w:space="0" w:color="auto"/>
              <w:right w:val="single" w:sz="8" w:space="0" w:color="auto"/>
            </w:tcBorders>
            <w:shd w:val="clear" w:color="auto" w:fill="B8CCE4" w:themeFill="accent1" w:themeFillTint="66"/>
            <w:tcMar>
              <w:left w:w="108" w:type="dxa"/>
              <w:right w:w="108" w:type="dxa"/>
            </w:tcMar>
            <w:vAlign w:val="center"/>
          </w:tcPr>
          <w:p w:rsidR="00BE7FCC" w:rsidRPr="00B75666" w:rsidP="00D73818" w14:paraId="6BB941CB" w14:textId="77777777">
            <w:pPr>
              <w:jc w:val="cente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2026 NSSRN Data Collection Plan </w:t>
            </w:r>
          </w:p>
        </w:tc>
      </w:tr>
      <w:tr w14:paraId="63906321" w14:textId="77777777" w:rsidTr="003809FB">
        <w:tblPrEx>
          <w:tblW w:w="0" w:type="auto"/>
          <w:tblInd w:w="440" w:type="dxa"/>
          <w:tblLayout w:type="fixed"/>
          <w:tblLook w:val="04A0"/>
        </w:tblPrEx>
        <w:trPr>
          <w:trHeight w:val="300"/>
        </w:trPr>
        <w:tc>
          <w:tcPr>
            <w:tcW w:w="1172"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41C920CA"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January </w:t>
            </w:r>
          </w:p>
        </w:tc>
        <w:tc>
          <w:tcPr>
            <w:tcW w:w="8098" w:type="dxa"/>
            <w:tcBorders>
              <w:top w:val="nil"/>
              <w:left w:val="single" w:sz="8" w:space="0" w:color="auto"/>
              <w:bottom w:val="single" w:sz="8" w:space="0" w:color="auto"/>
              <w:right w:val="single" w:sz="8" w:space="0" w:color="auto"/>
            </w:tcBorders>
            <w:tcMar>
              <w:left w:w="108" w:type="dxa"/>
              <w:right w:w="108" w:type="dxa"/>
            </w:tcMar>
            <w:vAlign w:val="center"/>
          </w:tcPr>
          <w:p w:rsidR="00BE7FCC" w:rsidRPr="00B75666" w:rsidP="00D73818" w14:paraId="5BFBBD0C"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#1: Initial Invite (containing Web login information) </w:t>
            </w:r>
          </w:p>
        </w:tc>
      </w:tr>
      <w:tr w14:paraId="1E32F589" w14:textId="77777777" w:rsidTr="003809FB">
        <w:tblPrEx>
          <w:tblW w:w="0" w:type="auto"/>
          <w:tblInd w:w="440" w:type="dxa"/>
          <w:tblLayout w:type="fixed"/>
          <w:tblLook w:val="04A0"/>
        </w:tblPrEx>
        <w:trPr>
          <w:trHeight w:val="300"/>
        </w:trPr>
        <w:tc>
          <w:tcPr>
            <w:tcW w:w="1172" w:type="dxa"/>
            <w:vMerge/>
            <w:tcBorders>
              <w:left w:val="single" w:sz="0" w:space="0" w:color="auto"/>
              <w:bottom w:val="single" w:sz="0" w:space="0" w:color="auto"/>
              <w:right w:val="single" w:sz="0" w:space="0" w:color="auto"/>
            </w:tcBorders>
            <w:vAlign w:val="center"/>
          </w:tcPr>
          <w:p w:rsidR="00BE7FCC" w:rsidRPr="00B75666" w:rsidP="00D73818" w14:paraId="3537C6CD" w14:textId="77777777">
            <w:pPr>
              <w:rPr>
                <w:rFonts w:asciiTheme="minorHAnsi" w:hAnsiTheme="minorHAnsi" w:cstheme="minorHAnsi"/>
                <w:sz w:val="24"/>
                <w:szCs w:val="24"/>
              </w:rPr>
            </w:pPr>
          </w:p>
        </w:tc>
        <w:tc>
          <w:tcPr>
            <w:tcW w:w="8098" w:type="dxa"/>
            <w:tcBorders>
              <w:top w:val="single" w:sz="8" w:space="0" w:color="auto"/>
              <w:left w:val="nil"/>
              <w:bottom w:val="single" w:sz="8" w:space="0" w:color="auto"/>
              <w:right w:val="single" w:sz="8" w:space="0" w:color="auto"/>
            </w:tcBorders>
            <w:tcMar>
              <w:left w:w="108" w:type="dxa"/>
              <w:right w:w="108" w:type="dxa"/>
            </w:tcMar>
            <w:vAlign w:val="center"/>
          </w:tcPr>
          <w:p w:rsidR="00BE7FCC" w:rsidRPr="00B75666" w:rsidP="00D73818" w14:paraId="37D269D6"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#1: Initial Invite with $5 Incentive (containing Web login information) </w:t>
            </w:r>
          </w:p>
        </w:tc>
      </w:tr>
      <w:tr w14:paraId="5252DD50" w14:textId="77777777" w:rsidTr="003809FB">
        <w:tblPrEx>
          <w:tblW w:w="0" w:type="auto"/>
          <w:tblInd w:w="440" w:type="dxa"/>
          <w:tblLayout w:type="fixed"/>
          <w:tblLook w:val="04A0"/>
        </w:tblPrEx>
        <w:trPr>
          <w:trHeight w:val="300"/>
        </w:trPr>
        <w:tc>
          <w:tcPr>
            <w:tcW w:w="1172" w:type="dxa"/>
            <w:tcBorders>
              <w:top w:val="nil"/>
              <w:left w:val="single" w:sz="8" w:space="0" w:color="auto"/>
              <w:bottom w:val="single" w:sz="8" w:space="0" w:color="auto"/>
              <w:right w:val="single" w:sz="8" w:space="0" w:color="auto"/>
            </w:tcBorders>
            <w:tcMar>
              <w:left w:w="108" w:type="dxa"/>
              <w:right w:w="108" w:type="dxa"/>
            </w:tcMar>
            <w:vAlign w:val="center"/>
          </w:tcPr>
          <w:p w:rsidR="00BE7FCC" w:rsidRPr="00B75666" w:rsidP="00D73818" w14:paraId="2402447D"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February </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060A4056"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#2: Pressure-sealed postcard reminder (containing Web login information) </w:t>
            </w:r>
          </w:p>
        </w:tc>
      </w:tr>
      <w:tr w14:paraId="656EBF09" w14:textId="77777777" w:rsidTr="003809FB">
        <w:tblPrEx>
          <w:tblW w:w="0" w:type="auto"/>
          <w:tblInd w:w="440" w:type="dxa"/>
          <w:tblLayout w:type="fixed"/>
          <w:tblLook w:val="04A0"/>
        </w:tblPrEx>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50011722"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March </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54E161B8"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Mailing #3: Web invite (containing Web login information)</w:t>
            </w:r>
          </w:p>
        </w:tc>
      </w:tr>
      <w:tr w14:paraId="01198DD0" w14:textId="77777777" w:rsidTr="003809FB">
        <w:tblPrEx>
          <w:tblW w:w="0" w:type="auto"/>
          <w:tblInd w:w="440" w:type="dxa"/>
          <w:tblLayout w:type="fixed"/>
          <w:tblLook w:val="04A0"/>
        </w:tblPrEx>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64A3AB63"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April </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75F2DD1D"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#4: Web invite (containing Web login information) &amp; paper questionnaire </w:t>
            </w:r>
          </w:p>
        </w:tc>
      </w:tr>
      <w:tr w14:paraId="0DCB2BB7" w14:textId="77777777" w:rsidTr="003809FB">
        <w:tblPrEx>
          <w:tblW w:w="0" w:type="auto"/>
          <w:tblInd w:w="440" w:type="dxa"/>
          <w:tblLayout w:type="fixed"/>
          <w:tblLook w:val="04A0"/>
        </w:tblPrEx>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4C6203CF"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May</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6738EC39"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 xml:space="preserve">Mailing #5: Pressure-sealed postcard reminder (containing Web login information) </w:t>
            </w:r>
          </w:p>
        </w:tc>
      </w:tr>
      <w:tr w14:paraId="1B60EC8D" w14:textId="77777777" w:rsidTr="003809FB">
        <w:tblPrEx>
          <w:tblW w:w="0" w:type="auto"/>
          <w:tblInd w:w="440" w:type="dxa"/>
          <w:tblLayout w:type="fixed"/>
          <w:tblLook w:val="04A0"/>
        </w:tblPrEx>
        <w:trPr>
          <w:trHeight w:val="300"/>
        </w:trPr>
        <w:tc>
          <w:tcPr>
            <w:tcW w:w="11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4658B943"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June</w:t>
            </w:r>
          </w:p>
        </w:tc>
        <w:tc>
          <w:tcPr>
            <w:tcW w:w="80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E7FCC" w:rsidRPr="00B75666" w:rsidP="00D73818" w14:paraId="54C81881" w14:textId="77777777">
            <w:pPr>
              <w:rPr>
                <w:rFonts w:asciiTheme="minorHAnsi" w:hAnsiTheme="minorHAnsi" w:cstheme="minorHAnsi"/>
                <w:sz w:val="24"/>
                <w:szCs w:val="24"/>
              </w:rPr>
            </w:pPr>
            <w:r w:rsidRPr="00B75666">
              <w:rPr>
                <w:rFonts w:asciiTheme="minorHAnsi" w:hAnsiTheme="minorHAnsi" w:cstheme="minorHAnsi"/>
                <w:color w:val="000000" w:themeColor="text1"/>
                <w:sz w:val="24"/>
                <w:szCs w:val="24"/>
              </w:rPr>
              <w:t>Survey closeout – data collection ends</w:t>
            </w:r>
          </w:p>
        </w:tc>
      </w:tr>
    </w:tbl>
    <w:p w:rsidR="00BE7FCC" w:rsidRPr="00B75666" w:rsidP="00BE7FCC" w14:paraId="705F8EF9" w14:textId="77777777">
      <w:pPr>
        <w:spacing w:before="240"/>
        <w:rPr>
          <w:rFonts w:asciiTheme="minorHAnsi" w:hAnsiTheme="minorHAnsi" w:cstheme="minorHAnsi"/>
          <w:sz w:val="24"/>
          <w:szCs w:val="24"/>
        </w:rPr>
      </w:pPr>
      <w:r w:rsidRPr="00B75666">
        <w:rPr>
          <w:rFonts w:asciiTheme="minorHAnsi" w:hAnsiTheme="minorHAnsi" w:cstheme="minorHAnsi"/>
          <w:sz w:val="24"/>
          <w:szCs w:val="24"/>
        </w:rPr>
        <w:t xml:space="preserve">The NSSRN will generate datasets, statistics, and reports. Below are the planned deliverables that the Census Bureau will provide NCHWA: </w:t>
      </w:r>
    </w:p>
    <w:p w:rsidR="00BE7FCC" w:rsidRPr="00B75666" w:rsidP="00BE7FCC" w14:paraId="1CFCD7AD" w14:textId="77777777">
      <w:pPr>
        <w:pStyle w:val="ListParagraph"/>
        <w:numPr>
          <w:ilvl w:val="0"/>
          <w:numId w:val="19"/>
        </w:numPr>
        <w:adjustRightInd w:val="0"/>
        <w:spacing w:before="240"/>
        <w:rPr>
          <w:rFonts w:asciiTheme="minorHAnsi" w:hAnsiTheme="minorHAnsi" w:cstheme="minorHAnsi"/>
          <w:sz w:val="24"/>
          <w:szCs w:val="24"/>
        </w:rPr>
      </w:pPr>
      <w:r w:rsidRPr="00B75666">
        <w:rPr>
          <w:rFonts w:asciiTheme="minorHAnsi" w:hAnsiTheme="minorHAnsi" w:cstheme="minorHAnsi"/>
          <w:sz w:val="24"/>
          <w:szCs w:val="24"/>
        </w:rPr>
        <w:t>A fully documented public use data set. This file will contain the data collected and any other variables (derived, flag, admin, etc.) requested by HRSA NCHWA.</w:t>
      </w:r>
    </w:p>
    <w:p w:rsidR="00BE7FCC" w:rsidRPr="00B75666" w:rsidP="00BE7FCC" w14:paraId="2AEACD02" w14:textId="77777777">
      <w:pPr>
        <w:pStyle w:val="ListParagraph"/>
        <w:numPr>
          <w:ilvl w:val="0"/>
          <w:numId w:val="19"/>
        </w:numPr>
        <w:adjustRightInd w:val="0"/>
        <w:spacing w:before="240"/>
        <w:rPr>
          <w:rFonts w:asciiTheme="minorHAnsi" w:hAnsiTheme="minorHAnsi" w:cstheme="minorHAnsi"/>
          <w:sz w:val="24"/>
          <w:szCs w:val="24"/>
        </w:rPr>
      </w:pPr>
      <w:r w:rsidRPr="00B75666">
        <w:rPr>
          <w:rFonts w:asciiTheme="minorHAnsi" w:hAnsiTheme="minorHAnsi" w:cstheme="minorHAnsi"/>
          <w:sz w:val="24"/>
          <w:szCs w:val="24"/>
        </w:rPr>
        <w:t>A codebook with weighted and unweighted frequencies of all variables</w:t>
      </w:r>
      <w:r w:rsidR="002F1976">
        <w:rPr>
          <w:rFonts w:asciiTheme="minorHAnsi" w:hAnsiTheme="minorHAnsi" w:cstheme="minorHAnsi"/>
          <w:sz w:val="24"/>
          <w:szCs w:val="24"/>
        </w:rPr>
        <w:t>.</w:t>
      </w:r>
      <w:r w:rsidRPr="00B75666">
        <w:rPr>
          <w:rFonts w:asciiTheme="minorHAnsi" w:hAnsiTheme="minorHAnsi" w:cstheme="minorHAnsi"/>
          <w:sz w:val="24"/>
          <w:szCs w:val="24"/>
        </w:rPr>
        <w:t xml:space="preserve"> </w:t>
      </w:r>
    </w:p>
    <w:p w:rsidR="00BE7FCC" w:rsidRPr="00B75666" w:rsidP="00BE7FCC" w14:paraId="0CC7924F" w14:textId="77777777">
      <w:pPr>
        <w:pStyle w:val="ListParagraph"/>
        <w:numPr>
          <w:ilvl w:val="0"/>
          <w:numId w:val="19"/>
        </w:numPr>
        <w:adjustRightInd w:val="0"/>
        <w:spacing w:before="240"/>
        <w:rPr>
          <w:rFonts w:asciiTheme="minorHAnsi" w:hAnsiTheme="minorHAnsi" w:cstheme="minorHAnsi"/>
          <w:sz w:val="24"/>
          <w:szCs w:val="24"/>
        </w:rPr>
      </w:pPr>
      <w:r w:rsidRPr="00B75666">
        <w:rPr>
          <w:rFonts w:asciiTheme="minorHAnsi" w:hAnsiTheme="minorHAnsi" w:cstheme="minorHAnsi"/>
          <w:sz w:val="24"/>
          <w:szCs w:val="24"/>
        </w:rPr>
        <w:t>A user’s manual and methodology report</w:t>
      </w:r>
      <w:r w:rsidR="002F1976">
        <w:rPr>
          <w:rFonts w:asciiTheme="minorHAnsi" w:hAnsiTheme="minorHAnsi" w:cstheme="minorHAnsi"/>
          <w:sz w:val="24"/>
          <w:szCs w:val="24"/>
        </w:rPr>
        <w:t>.</w:t>
      </w:r>
      <w:r w:rsidRPr="00B75666">
        <w:rPr>
          <w:rFonts w:asciiTheme="minorHAnsi" w:hAnsiTheme="minorHAnsi" w:cstheme="minorHAnsi"/>
          <w:sz w:val="24"/>
          <w:szCs w:val="24"/>
        </w:rPr>
        <w:t xml:space="preserve"> </w:t>
      </w:r>
    </w:p>
    <w:p w:rsidR="00BE7FCC" w:rsidRPr="00B75666" w:rsidP="00BE7FCC" w14:paraId="5F44863D" w14:textId="5DD0D921">
      <w:pPr>
        <w:pStyle w:val="ListParagraph"/>
        <w:numPr>
          <w:ilvl w:val="0"/>
          <w:numId w:val="19"/>
        </w:numPr>
        <w:adjustRightInd w:val="0"/>
        <w:spacing w:before="240"/>
        <w:rPr>
          <w:rFonts w:asciiTheme="minorHAnsi" w:hAnsiTheme="minorHAnsi" w:cstheme="minorHAnsi"/>
          <w:sz w:val="24"/>
          <w:szCs w:val="24"/>
        </w:rPr>
      </w:pPr>
      <w:r w:rsidRPr="00B75666">
        <w:rPr>
          <w:rFonts w:asciiTheme="minorHAnsi" w:hAnsiTheme="minorHAnsi" w:cstheme="minorHAnsi"/>
          <w:sz w:val="24"/>
          <w:szCs w:val="24"/>
        </w:rPr>
        <w:t xml:space="preserve">Separately, NCHWA makes the data available and easily accessible through the creation of a </w:t>
      </w:r>
      <w:r w:rsidRPr="00B75666">
        <w:rPr>
          <w:rFonts w:asciiTheme="minorHAnsi" w:hAnsiTheme="minorHAnsi" w:cstheme="minorHAnsi"/>
          <w:sz w:val="24"/>
          <w:szCs w:val="24"/>
        </w:rPr>
        <w:t>nursing workforce dashboard</w:t>
      </w:r>
      <w:r>
        <w:rPr>
          <w:rStyle w:val="FootnoteReference"/>
          <w:rFonts w:asciiTheme="minorHAnsi" w:hAnsiTheme="minorHAnsi" w:cstheme="minorHAnsi"/>
          <w:sz w:val="24"/>
          <w:szCs w:val="24"/>
          <w:vertAlign w:val="superscript"/>
        </w:rPr>
        <w:footnoteReference w:id="8"/>
      </w:r>
      <w:r w:rsidR="00125401">
        <w:rPr>
          <w:rFonts w:asciiTheme="minorHAnsi" w:hAnsiTheme="minorHAnsi" w:cstheme="minorHAnsi"/>
          <w:sz w:val="24"/>
          <w:szCs w:val="24"/>
        </w:rPr>
        <w:t xml:space="preserve">, </w:t>
      </w:r>
      <w:r w:rsidRPr="00B75666">
        <w:rPr>
          <w:rFonts w:asciiTheme="minorHAnsi" w:hAnsiTheme="minorHAnsi" w:cstheme="minorHAnsi"/>
          <w:sz w:val="24"/>
          <w:szCs w:val="24"/>
        </w:rPr>
        <w:t>reports</w:t>
      </w:r>
      <w:r w:rsidR="00125401">
        <w:rPr>
          <w:rFonts w:asciiTheme="minorHAnsi" w:hAnsiTheme="minorHAnsi" w:cstheme="minorHAnsi"/>
          <w:sz w:val="24"/>
          <w:szCs w:val="24"/>
        </w:rPr>
        <w:t>,</w:t>
      </w:r>
      <w:r w:rsidRPr="00B75666">
        <w:rPr>
          <w:rFonts w:asciiTheme="minorHAnsi" w:hAnsiTheme="minorHAnsi" w:cstheme="minorHAnsi"/>
          <w:sz w:val="24"/>
          <w:szCs w:val="24"/>
        </w:rPr>
        <w:t xml:space="preserve"> and briefs. On NCHWA’s website, they current</w:t>
      </w:r>
      <w:r w:rsidR="00630174">
        <w:rPr>
          <w:rFonts w:asciiTheme="minorHAnsi" w:hAnsiTheme="minorHAnsi" w:cstheme="minorHAnsi"/>
          <w:sz w:val="24"/>
          <w:szCs w:val="24"/>
        </w:rPr>
        <w:t>ly</w:t>
      </w:r>
      <w:r w:rsidRPr="00B75666">
        <w:rPr>
          <w:rFonts w:asciiTheme="minorHAnsi" w:hAnsiTheme="minorHAnsi" w:cstheme="minorHAnsi"/>
          <w:sz w:val="24"/>
          <w:szCs w:val="24"/>
        </w:rPr>
        <w:t xml:space="preserve"> provide a Nursing Workforce Dashboard that visualizes data from both the 2022 and 2018 NSSRN. Following the 2022 NSSRN release, NCHWA also created multiple reports and briefs. These include “Nursing Education and Training</w:t>
      </w:r>
      <w:r w:rsidR="00125401">
        <w:rPr>
          <w:rFonts w:asciiTheme="minorHAnsi" w:hAnsiTheme="minorHAnsi" w:cstheme="minorHAnsi"/>
          <w:sz w:val="24"/>
          <w:szCs w:val="24"/>
        </w:rPr>
        <w:t>,</w:t>
      </w:r>
      <w:r w:rsidRPr="00B75666">
        <w:rPr>
          <w:rFonts w:asciiTheme="minorHAnsi" w:hAnsiTheme="minorHAnsi" w:cstheme="minorHAnsi"/>
          <w:sz w:val="24"/>
          <w:szCs w:val="24"/>
        </w:rPr>
        <w:t xml:space="preserve">” “Experiences of Nurses Working During the COVID-19 Pandemic,” and “Job Satisfaction Among Registered Nurses.” While topics are not currently decided, it is expected that other reports and briefs will be available after the release of the 2026 NSSRN. </w:t>
      </w:r>
    </w:p>
    <w:p w:rsidR="00972981" w:rsidRPr="00B75666" w:rsidP="00972981" w14:paraId="62DEAC13" w14:textId="77777777">
      <w:pPr>
        <w:pStyle w:val="BodyText"/>
        <w:spacing w:before="160"/>
        <w:rPr>
          <w:rFonts w:asciiTheme="minorHAnsi" w:hAnsiTheme="minorHAnsi" w:cstheme="minorHAnsi"/>
          <w:color w:val="0070C0"/>
        </w:rPr>
      </w:pPr>
    </w:p>
    <w:p w:rsidR="00201347" w:rsidRPr="00B75666" w:rsidP="00220406" w14:paraId="137C2D8C" w14:textId="77777777">
      <w:pPr>
        <w:pStyle w:val="Heading1"/>
        <w:numPr>
          <w:ilvl w:val="0"/>
          <w:numId w:val="7"/>
        </w:numPr>
        <w:tabs>
          <w:tab w:val="left" w:pos="804"/>
        </w:tabs>
        <w:spacing w:before="116"/>
        <w:ind w:left="360" w:right="509" w:hanging="360"/>
        <w:rPr>
          <w:rFonts w:asciiTheme="minorHAnsi" w:hAnsiTheme="minorHAnsi" w:cstheme="minorHAnsi"/>
        </w:rPr>
      </w:pPr>
      <w:r w:rsidRPr="00B75666">
        <w:rPr>
          <w:rFonts w:asciiTheme="minorHAnsi" w:hAnsiTheme="minorHAnsi" w:cstheme="minorHAnsi"/>
        </w:rPr>
        <w:t>If seeking approval to not display the expiration date for OMB approval of the</w:t>
      </w:r>
      <w:r w:rsidRPr="00B75666">
        <w:rPr>
          <w:rFonts w:asciiTheme="minorHAnsi" w:hAnsiTheme="minorHAnsi" w:cstheme="minorHAnsi"/>
          <w:spacing w:val="-44"/>
        </w:rPr>
        <w:t xml:space="preserve"> </w:t>
      </w:r>
      <w:r w:rsidRPr="00B75666">
        <w:rPr>
          <w:rFonts w:asciiTheme="minorHAnsi" w:hAnsiTheme="minorHAnsi" w:cstheme="minorHAnsi"/>
        </w:rPr>
        <w:t>information collection, explain the reasons that display would be</w:t>
      </w:r>
      <w:r w:rsidRPr="00B75666">
        <w:rPr>
          <w:rFonts w:asciiTheme="minorHAnsi" w:hAnsiTheme="minorHAnsi" w:cstheme="minorHAnsi"/>
          <w:spacing w:val="-7"/>
        </w:rPr>
        <w:t xml:space="preserve"> </w:t>
      </w:r>
      <w:r w:rsidRPr="00B75666">
        <w:rPr>
          <w:rFonts w:asciiTheme="minorHAnsi" w:hAnsiTheme="minorHAnsi" w:cstheme="minorHAnsi"/>
        </w:rPr>
        <w:t>inappropriate.</w:t>
      </w:r>
    </w:p>
    <w:p w:rsidR="00AC2578" w:rsidRPr="00B75666" w:rsidP="00AC2578" w14:paraId="1DEC02C4" w14:textId="77777777">
      <w:pPr>
        <w:ind w:left="360" w:right="402"/>
        <w:rPr>
          <w:rFonts w:asciiTheme="minorHAnsi" w:hAnsiTheme="minorHAnsi" w:cstheme="minorHAnsi"/>
          <w:iCs/>
          <w:color w:val="0070C0"/>
          <w:sz w:val="24"/>
          <w:szCs w:val="24"/>
        </w:rPr>
      </w:pPr>
    </w:p>
    <w:p w:rsidR="00AC2578" w:rsidRPr="00B75666" w:rsidP="00AC2578" w14:paraId="0232E7CF" w14:textId="77777777">
      <w:pPr>
        <w:ind w:left="360" w:right="402"/>
        <w:rPr>
          <w:rFonts w:asciiTheme="minorHAnsi" w:hAnsiTheme="minorHAnsi" w:cstheme="minorHAnsi"/>
          <w:iCs/>
          <w:sz w:val="24"/>
          <w:szCs w:val="24"/>
        </w:rPr>
      </w:pPr>
      <w:r w:rsidRPr="00B75666">
        <w:rPr>
          <w:rFonts w:asciiTheme="minorHAnsi" w:hAnsiTheme="minorHAnsi" w:cstheme="minorHAnsi"/>
          <w:iCs/>
          <w:sz w:val="24"/>
          <w:szCs w:val="24"/>
        </w:rPr>
        <w:t>The agency plans to display the expiration date for OMB approval of the information collection on all instruments.</w:t>
      </w:r>
    </w:p>
    <w:p w:rsidR="00AC2578" w:rsidRPr="00B75666" w:rsidP="00AC2578" w14:paraId="75F39210" w14:textId="77777777">
      <w:pPr>
        <w:ind w:right="402"/>
        <w:rPr>
          <w:rFonts w:asciiTheme="minorHAnsi" w:hAnsiTheme="minorHAnsi" w:cstheme="minorHAnsi"/>
          <w:iCs/>
          <w:color w:val="0070C0"/>
          <w:sz w:val="24"/>
          <w:szCs w:val="24"/>
        </w:rPr>
      </w:pPr>
    </w:p>
    <w:p w:rsidR="00201347" w:rsidRPr="00B75666" w:rsidP="00220406" w14:paraId="1C3773EA" w14:textId="77777777">
      <w:pPr>
        <w:pStyle w:val="Heading1"/>
        <w:numPr>
          <w:ilvl w:val="0"/>
          <w:numId w:val="7"/>
        </w:numPr>
        <w:tabs>
          <w:tab w:val="left" w:pos="720"/>
        </w:tabs>
        <w:spacing w:line="259" w:lineRule="auto"/>
        <w:ind w:left="360" w:hanging="360"/>
        <w:rPr>
          <w:rFonts w:asciiTheme="minorHAnsi" w:hAnsiTheme="minorHAnsi" w:cstheme="minorHAnsi"/>
        </w:rPr>
      </w:pPr>
      <w:r w:rsidRPr="00B75666">
        <w:rPr>
          <w:rFonts w:asciiTheme="minorHAnsi" w:hAnsiTheme="minorHAnsi" w:cstheme="minorHAnsi"/>
        </w:rPr>
        <w:t xml:space="preserve">Explain each exception to the certification statement identified in “Certification </w:t>
      </w:r>
      <w:r w:rsidRPr="00B75666">
        <w:rPr>
          <w:rFonts w:asciiTheme="minorHAnsi" w:hAnsiTheme="minorHAnsi" w:cstheme="minorHAnsi"/>
          <w:spacing w:val="-2"/>
        </w:rPr>
        <w:t xml:space="preserve">for </w:t>
      </w:r>
      <w:r w:rsidRPr="00B75666">
        <w:rPr>
          <w:rFonts w:asciiTheme="minorHAnsi" w:hAnsiTheme="minorHAnsi" w:cstheme="minorHAnsi"/>
        </w:rPr>
        <w:t>Paperwork Reduction Act</w:t>
      </w:r>
      <w:r w:rsidRPr="00B75666">
        <w:rPr>
          <w:rFonts w:asciiTheme="minorHAnsi" w:hAnsiTheme="minorHAnsi" w:cstheme="minorHAnsi"/>
          <w:spacing w:val="-1"/>
        </w:rPr>
        <w:t xml:space="preserve"> </w:t>
      </w:r>
      <w:r w:rsidRPr="00B75666">
        <w:rPr>
          <w:rFonts w:asciiTheme="minorHAnsi" w:hAnsiTheme="minorHAnsi" w:cstheme="minorHAnsi"/>
        </w:rPr>
        <w:t>Submissions."</w:t>
      </w:r>
    </w:p>
    <w:p w:rsidR="00AC2578" w:rsidRPr="00B75666" w:rsidP="00AC2578" w14:paraId="1666AB68" w14:textId="77777777">
      <w:pPr>
        <w:ind w:left="360"/>
        <w:rPr>
          <w:rFonts w:asciiTheme="minorHAnsi" w:hAnsiTheme="minorHAnsi" w:cstheme="minorHAnsi"/>
          <w:sz w:val="24"/>
          <w:szCs w:val="24"/>
        </w:rPr>
      </w:pPr>
    </w:p>
    <w:p w:rsidR="00AC2578" w:rsidRPr="00B75666" w:rsidP="00AC2578" w14:paraId="7BCA6E9F" w14:textId="77777777">
      <w:pPr>
        <w:ind w:left="360"/>
        <w:rPr>
          <w:rFonts w:asciiTheme="minorHAnsi" w:hAnsiTheme="minorHAnsi" w:cstheme="minorHAnsi"/>
          <w:sz w:val="24"/>
          <w:szCs w:val="24"/>
        </w:rPr>
      </w:pPr>
      <w:r w:rsidRPr="00B75666">
        <w:rPr>
          <w:rFonts w:asciiTheme="minorHAnsi" w:hAnsiTheme="minorHAnsi" w:cstheme="minorHAnsi"/>
          <w:sz w:val="24"/>
          <w:szCs w:val="24"/>
        </w:rPr>
        <w:t>The agency certifies compliance with 5 CFR 1320.9 and the related provisions of 5 CFR 1320.8(b)(3)</w:t>
      </w:r>
    </w:p>
    <w:p w:rsidR="00AC2578" w:rsidRPr="00B75666" w:rsidP="00BE7FCC" w14:paraId="2002D2A8" w14:textId="77777777">
      <w:pPr>
        <w:spacing w:before="221" w:line="259" w:lineRule="auto"/>
        <w:ind w:left="400" w:right="477"/>
        <w:rPr>
          <w:rFonts w:asciiTheme="minorHAnsi" w:hAnsiTheme="minorHAnsi" w:cstheme="minorHAnsi"/>
          <w:b/>
          <w:iCs/>
          <w:color w:val="0070C0"/>
          <w:sz w:val="24"/>
          <w:szCs w:val="24"/>
        </w:rPr>
      </w:pPr>
    </w:p>
    <w:p w:rsidR="00BE7FCC" w:rsidRPr="00B75666" w:rsidP="00BE7FCC" w14:paraId="27584B7A" w14:textId="77777777">
      <w:pPr>
        <w:spacing w:before="221" w:line="259" w:lineRule="auto"/>
        <w:ind w:left="400" w:right="477"/>
        <w:rPr>
          <w:rFonts w:asciiTheme="minorHAnsi" w:hAnsiTheme="minorHAnsi" w:cstheme="minorHAnsi"/>
          <w:sz w:val="24"/>
          <w:szCs w:val="24"/>
        </w:rPr>
      </w:pPr>
    </w:p>
    <w:sectPr w:rsidSect="002A1D08">
      <w:footerReference w:type="default" r:id="rId7"/>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6663036"/>
      <w:docPartObj>
        <w:docPartGallery w:val="Page Numbers (Bottom of Page)"/>
        <w:docPartUnique/>
      </w:docPartObj>
    </w:sdtPr>
    <w:sdtEndPr>
      <w:rPr>
        <w:color w:val="7F7F7F" w:themeColor="background1" w:themeShade="7F"/>
        <w:spacing w:val="60"/>
      </w:rPr>
    </w:sdtEndPr>
    <w:sdtContent>
      <w:p w:rsidR="00C91BAF" w14:paraId="2E5ED196" w14:textId="77777777">
        <w:pPr>
          <w:pStyle w:val="Footer"/>
          <w:pBdr>
            <w:top w:val="single" w:sz="4" w:space="1" w:color="D9D9D9" w:themeColor="background1" w:themeShade="D9"/>
          </w:pBdr>
          <w:rPr>
            <w:b/>
            <w:bCs/>
          </w:rPr>
        </w:pPr>
        <w:r>
          <w:rPr>
            <w:color w:val="7F7F7F" w:themeColor="background1" w:themeShade="7F"/>
            <w:spacing w:val="60"/>
          </w:rPr>
          <w:t>Page</w:t>
        </w:r>
        <w:r>
          <w:rPr>
            <w:b/>
            <w:bCs/>
          </w:rPr>
          <w:t xml:space="preserve"> |</w:t>
        </w:r>
        <w:r w:rsidRPr="00C91BAF">
          <w:t xml:space="preserve"> </w:t>
        </w:r>
        <w:r>
          <w:fldChar w:fldCharType="begin"/>
        </w:r>
        <w:r>
          <w:instrText xml:space="preserve"> PAGE   \* MERGEFORMAT </w:instrText>
        </w:r>
        <w:r>
          <w:fldChar w:fldCharType="separate"/>
        </w:r>
        <w:r>
          <w:t>8</w:t>
        </w:r>
        <w:r>
          <w:rPr>
            <w:b/>
            <w:bCs/>
            <w:noProof/>
          </w:rPr>
          <w:fldChar w:fldCharType="end"/>
        </w:r>
      </w:p>
    </w:sdtContent>
  </w:sdt>
  <w:p w:rsidR="007D3FB5" w14:paraId="069B454E" w14:textId="7777777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6661" w14:paraId="67E6AA6D" w14:textId="77777777">
      <w:r>
        <w:separator/>
      </w:r>
    </w:p>
  </w:footnote>
  <w:footnote w:type="continuationSeparator" w:id="1">
    <w:p w:rsidR="00BA6661" w14:paraId="029C4157" w14:textId="77777777">
      <w:r>
        <w:continuationSeparator/>
      </w:r>
    </w:p>
  </w:footnote>
  <w:footnote w:id="2">
    <w:p w:rsidR="00C94B19" w14:paraId="794646D7" w14:textId="49F81B88">
      <w:pPr>
        <w:pStyle w:val="FootnoteText"/>
      </w:pPr>
      <w:r w:rsidRPr="00FD4570">
        <w:rPr>
          <w:rStyle w:val="FootnoteReference"/>
          <w:rFonts w:asciiTheme="minorHAnsi" w:hAnsiTheme="minorHAnsi" w:cstheme="minorHAnsi"/>
          <w:sz w:val="18"/>
          <w:szCs w:val="18"/>
          <w:vertAlign w:val="superscript"/>
        </w:rPr>
        <w:footnoteRef/>
      </w:r>
      <w:r w:rsidRPr="00FD4570">
        <w:rPr>
          <w:rStyle w:val="FootnoteReference"/>
          <w:rFonts w:asciiTheme="minorHAnsi" w:hAnsiTheme="minorHAnsi" w:cstheme="minorHAnsi"/>
          <w:sz w:val="18"/>
          <w:szCs w:val="18"/>
        </w:rPr>
        <w:t xml:space="preserve">National Academies of Sciences, Engineering, and Medicine; National Academy of Medicine; Committee on the Future of Nursing 2020–2030; Flaubert JL, Le </w:t>
      </w:r>
      <w:r w:rsidRPr="00FD4570">
        <w:rPr>
          <w:rStyle w:val="FootnoteReference"/>
          <w:rFonts w:asciiTheme="minorHAnsi" w:hAnsiTheme="minorHAnsi" w:cstheme="minorHAnsi"/>
          <w:sz w:val="18"/>
          <w:szCs w:val="18"/>
        </w:rPr>
        <w:t>Menestrel</w:t>
      </w:r>
      <w:r w:rsidRPr="00FD4570">
        <w:rPr>
          <w:rStyle w:val="FootnoteReference"/>
          <w:rFonts w:asciiTheme="minorHAnsi" w:hAnsiTheme="minorHAnsi" w:cstheme="minorHAnsi"/>
          <w:sz w:val="18"/>
          <w:szCs w:val="18"/>
        </w:rPr>
        <w:t xml:space="preserve"> S, Williams DR, et al., editors. The Future of Nursing 2020-2030: Charting a Path to Achieve Health Equity. Washington (DC): National Academies Press (US); 2021 May 11. 3, The Nursing Workforce. Available from: https://www.ncbi.nlm.nih.gov/books/NBK573922/</w:t>
      </w:r>
    </w:p>
  </w:footnote>
  <w:footnote w:id="3">
    <w:p w:rsidR="00536744" w:rsidRPr="0052350D" w:rsidP="00536744" w14:paraId="461B8502" w14:textId="77777777">
      <w:pPr>
        <w:pStyle w:val="FootnoteText"/>
        <w:rPr>
          <w:rFonts w:asciiTheme="minorHAnsi" w:hAnsiTheme="minorHAnsi" w:cstheme="minorHAnsi"/>
        </w:rPr>
      </w:pPr>
      <w:r w:rsidRPr="0052350D">
        <w:rPr>
          <w:rStyle w:val="FootnoteReference"/>
          <w:rFonts w:asciiTheme="minorHAnsi" w:hAnsiTheme="minorHAnsi" w:cstheme="minorHAnsi"/>
          <w:sz w:val="18"/>
          <w:szCs w:val="18"/>
          <w:vertAlign w:val="superscript"/>
        </w:rPr>
        <w:footnoteRef/>
      </w:r>
      <w:r w:rsidRPr="0052350D">
        <w:rPr>
          <w:rFonts w:asciiTheme="minorHAnsi" w:hAnsiTheme="minorHAnsi" w:cstheme="minorHAnsi"/>
          <w:sz w:val="18"/>
          <w:szCs w:val="18"/>
        </w:rPr>
        <w:t>Generic Clearance Information Collection Request: https://www.federalregister.gov/documents/2019/09/09/2019-19349/submission-for-omb-review-comment-request</w:t>
      </w:r>
    </w:p>
  </w:footnote>
  <w:footnote w:id="4">
    <w:p w:rsidR="008D5253" w:rsidRPr="00C54769" w:rsidP="008D5253" w14:paraId="28CA6EA7" w14:textId="77777777">
      <w:pPr>
        <w:pStyle w:val="FootnoteText"/>
        <w:contextualSpacing/>
        <w:rPr>
          <w:rFonts w:asciiTheme="minorHAnsi" w:hAnsiTheme="minorHAnsi" w:cstheme="minorHAnsi"/>
          <w:sz w:val="18"/>
          <w:szCs w:val="18"/>
        </w:rPr>
      </w:pPr>
      <w:r w:rsidRPr="00C54769">
        <w:rPr>
          <w:rStyle w:val="FootnoteReference"/>
          <w:rFonts w:asciiTheme="minorHAnsi" w:hAnsiTheme="minorHAnsi" w:cstheme="minorHAnsi"/>
          <w:sz w:val="18"/>
          <w:szCs w:val="18"/>
          <w:vertAlign w:val="superscript"/>
        </w:rPr>
        <w:footnoteRef/>
      </w:r>
      <w:r w:rsidRPr="00C54769">
        <w:rPr>
          <w:rFonts w:asciiTheme="minorHAnsi" w:hAnsiTheme="minorHAnsi" w:cstheme="minorHAnsi"/>
          <w:sz w:val="18"/>
          <w:szCs w:val="18"/>
        </w:rPr>
        <w:t>Cunningham, C.T., Quan, H., Hemmelgarn, B. </w:t>
      </w:r>
      <w:r w:rsidRPr="00C54769">
        <w:rPr>
          <w:rFonts w:asciiTheme="minorHAnsi" w:hAnsiTheme="minorHAnsi" w:cstheme="minorHAnsi"/>
          <w:i/>
          <w:iCs/>
          <w:sz w:val="18"/>
          <w:szCs w:val="18"/>
        </w:rPr>
        <w:t>et al.</w:t>
      </w:r>
      <w:r w:rsidRPr="00C54769">
        <w:rPr>
          <w:rFonts w:asciiTheme="minorHAnsi" w:hAnsiTheme="minorHAnsi" w:cstheme="minorHAnsi"/>
          <w:sz w:val="18"/>
          <w:szCs w:val="18"/>
        </w:rPr>
        <w:t> Exploring physician specialist response rates to web-based surveys. </w:t>
      </w:r>
      <w:r w:rsidRPr="00C54769">
        <w:rPr>
          <w:rFonts w:asciiTheme="minorHAnsi" w:hAnsiTheme="minorHAnsi" w:cstheme="minorHAnsi"/>
          <w:i/>
          <w:iCs/>
          <w:sz w:val="18"/>
          <w:szCs w:val="18"/>
        </w:rPr>
        <w:t xml:space="preserve">BMC Med Res </w:t>
      </w:r>
      <w:r w:rsidRPr="00C54769" w:rsidR="00C84DC5">
        <w:rPr>
          <w:rFonts w:asciiTheme="minorHAnsi" w:hAnsiTheme="minorHAnsi" w:cstheme="minorHAnsi"/>
          <w:i/>
          <w:iCs/>
          <w:sz w:val="18"/>
          <w:szCs w:val="18"/>
        </w:rPr>
        <w:t>Methodology</w:t>
      </w:r>
      <w:r w:rsidR="00C84DC5">
        <w:rPr>
          <w:rFonts w:asciiTheme="minorHAnsi" w:hAnsiTheme="minorHAnsi" w:cstheme="minorHAnsi"/>
          <w:i/>
          <w:iCs/>
          <w:sz w:val="18"/>
          <w:szCs w:val="18"/>
        </w:rPr>
        <w:t>,</w:t>
      </w:r>
      <w:r w:rsidRPr="00C54769">
        <w:rPr>
          <w:rFonts w:asciiTheme="minorHAnsi" w:hAnsiTheme="minorHAnsi" w:cstheme="minorHAnsi"/>
          <w:sz w:val="18"/>
          <w:szCs w:val="18"/>
        </w:rPr>
        <w:t> </w:t>
      </w:r>
      <w:r w:rsidRPr="00C54769">
        <w:rPr>
          <w:rFonts w:asciiTheme="minorHAnsi" w:hAnsiTheme="minorHAnsi" w:cstheme="minorHAnsi"/>
          <w:b/>
          <w:bCs/>
          <w:sz w:val="18"/>
          <w:szCs w:val="18"/>
        </w:rPr>
        <w:t>15, </w:t>
      </w:r>
      <w:r w:rsidRPr="00C54769">
        <w:rPr>
          <w:rFonts w:asciiTheme="minorHAnsi" w:hAnsiTheme="minorHAnsi" w:cstheme="minorHAnsi"/>
          <w:sz w:val="18"/>
          <w:szCs w:val="18"/>
        </w:rPr>
        <w:t>32 (2015). https://doi.org/10.1186/s12874-015-0016-z</w:t>
      </w:r>
    </w:p>
  </w:footnote>
  <w:footnote w:id="5">
    <w:p w:rsidR="008D5253" w:rsidRPr="00C54769" w:rsidP="008D5253" w14:paraId="7903B6BC" w14:textId="77777777">
      <w:pPr>
        <w:contextualSpacing/>
        <w:rPr>
          <w:rFonts w:asciiTheme="minorHAnsi" w:hAnsiTheme="minorHAnsi" w:cstheme="minorHAnsi"/>
          <w:sz w:val="18"/>
          <w:szCs w:val="18"/>
        </w:rPr>
      </w:pPr>
      <w:r w:rsidRPr="00C54769">
        <w:rPr>
          <w:rStyle w:val="FootnoteReference"/>
          <w:rFonts w:asciiTheme="minorHAnsi" w:hAnsiTheme="minorHAnsi" w:cstheme="minorHAnsi"/>
          <w:sz w:val="18"/>
          <w:szCs w:val="18"/>
          <w:vertAlign w:val="superscript"/>
        </w:rPr>
        <w:footnoteRef/>
      </w:r>
      <w:r w:rsidRPr="00C54769">
        <w:rPr>
          <w:rFonts w:asciiTheme="minorHAnsi" w:hAnsiTheme="minorHAnsi" w:cstheme="minorHAnsi"/>
          <w:sz w:val="18"/>
          <w:szCs w:val="18"/>
        </w:rPr>
        <w:t xml:space="preserve">Alexander, G.L. et al. (2008). Effect of Incentives and Mailing Features on Online Health Program Enrollment. </w:t>
      </w:r>
      <w:r w:rsidRPr="00C54769">
        <w:rPr>
          <w:rFonts w:asciiTheme="minorHAnsi" w:hAnsiTheme="minorHAnsi" w:cstheme="minorHAnsi"/>
          <w:i/>
          <w:sz w:val="18"/>
          <w:szCs w:val="18"/>
        </w:rPr>
        <w:t>American Journal of Preventive Medicine, 34</w:t>
      </w:r>
      <w:r w:rsidRPr="00C54769">
        <w:rPr>
          <w:rFonts w:asciiTheme="minorHAnsi" w:hAnsiTheme="minorHAnsi" w:cstheme="minorHAnsi"/>
          <w:sz w:val="18"/>
          <w:szCs w:val="18"/>
        </w:rPr>
        <w:t>(5), 382-388</w:t>
      </w:r>
      <w:r w:rsidR="00C84DC5">
        <w:rPr>
          <w:rFonts w:asciiTheme="minorHAnsi" w:hAnsiTheme="minorHAnsi" w:cstheme="minorHAnsi"/>
          <w:sz w:val="18"/>
          <w:szCs w:val="18"/>
        </w:rPr>
        <w:t xml:space="preserve">, </w:t>
      </w:r>
      <w:r w:rsidRPr="00C84DC5" w:rsidR="00C84DC5">
        <w:rPr>
          <w:rFonts w:asciiTheme="minorHAnsi" w:hAnsiTheme="minorHAnsi" w:cstheme="minorHAnsi"/>
          <w:sz w:val="18"/>
          <w:szCs w:val="18"/>
        </w:rPr>
        <w:t>https://pubmed.ncbi.nlm.nih.gov/18407004/</w:t>
      </w:r>
    </w:p>
  </w:footnote>
  <w:footnote w:id="6">
    <w:p w:rsidR="008D5253" w:rsidP="008D5253" w14:paraId="1E8641BC" w14:textId="77777777">
      <w:pPr>
        <w:spacing w:line="240" w:lineRule="exact"/>
      </w:pPr>
      <w:r w:rsidRPr="00C54769">
        <w:rPr>
          <w:rStyle w:val="FootnoteReference"/>
          <w:rFonts w:asciiTheme="minorHAnsi" w:hAnsiTheme="minorHAnsi" w:cstheme="minorHAnsi"/>
          <w:sz w:val="18"/>
          <w:szCs w:val="18"/>
          <w:vertAlign w:val="superscript"/>
        </w:rPr>
        <w:footnoteRef/>
      </w:r>
      <w:r w:rsidRPr="00C54769">
        <w:rPr>
          <w:rFonts w:asciiTheme="minorHAnsi" w:hAnsiTheme="minorHAnsi" w:cstheme="minorHAnsi"/>
          <w:sz w:val="18"/>
          <w:szCs w:val="18"/>
        </w:rPr>
        <w:t>Cosgrove, J.A. Using a Small Cash Incentive to Increase Survey Response. </w:t>
      </w:r>
      <w:r w:rsidRPr="00C54769">
        <w:rPr>
          <w:rFonts w:asciiTheme="minorHAnsi" w:hAnsiTheme="minorHAnsi" w:cstheme="minorHAnsi"/>
          <w:i/>
          <w:iCs/>
          <w:sz w:val="18"/>
          <w:szCs w:val="18"/>
        </w:rPr>
        <w:t>Adm Policy Ment Health</w:t>
      </w:r>
      <w:r w:rsidRPr="00C54769">
        <w:rPr>
          <w:rFonts w:asciiTheme="minorHAnsi" w:hAnsiTheme="minorHAnsi" w:cstheme="minorHAnsi"/>
          <w:sz w:val="18"/>
          <w:szCs w:val="18"/>
        </w:rPr>
        <w:t> </w:t>
      </w:r>
      <w:r w:rsidRPr="00C54769">
        <w:rPr>
          <w:rFonts w:asciiTheme="minorHAnsi" w:hAnsiTheme="minorHAnsi" w:cstheme="minorHAnsi"/>
          <w:b/>
          <w:bCs/>
          <w:sz w:val="18"/>
          <w:szCs w:val="18"/>
        </w:rPr>
        <w:t>45, </w:t>
      </w:r>
      <w:r w:rsidRPr="00C54769">
        <w:rPr>
          <w:rFonts w:asciiTheme="minorHAnsi" w:hAnsiTheme="minorHAnsi" w:cstheme="minorHAnsi"/>
          <w:sz w:val="18"/>
          <w:szCs w:val="18"/>
        </w:rPr>
        <w:t>813–819 (2018). https://doi.org/10.1007/s10488-018-0866-x</w:t>
      </w:r>
      <w:r>
        <w:rPr>
          <w:rStyle w:val="FootnoteReference"/>
        </w:rPr>
        <w:t xml:space="preserve"> </w:t>
      </w:r>
    </w:p>
  </w:footnote>
  <w:footnote w:id="7">
    <w:p w:rsidR="0008325B" w:rsidP="0008325B" w14:paraId="1F949175" w14:textId="77777777">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questionnaires, discussed in section </w:t>
      </w:r>
      <w:r w:rsidRPr="00DC7841">
        <w:t>B.1.</w:t>
      </w:r>
      <w:r>
        <w:t>3. This is different from the number of respondents that are mailed a questionnaire.</w:t>
      </w:r>
    </w:p>
  </w:footnote>
  <w:footnote w:id="8">
    <w:p w:rsidR="00A54EE1" w14:paraId="219CE5E9" w14:textId="77777777">
      <w:pPr>
        <w:pStyle w:val="FootnoteText"/>
      </w:pPr>
      <w:r>
        <w:rPr>
          <w:rStyle w:val="FootnoteReference"/>
        </w:rPr>
        <w:footnoteRef/>
      </w:r>
      <w:r>
        <w:t xml:space="preserve"> </w:t>
      </w:r>
      <w:r w:rsidRPr="00A54EE1">
        <w:t>https://data.hrsa.gov/topics/health-workforce/nursing-workforce-dashboards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0">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44C5B73"/>
    <w:multiLevelType w:val="hybridMultilevel"/>
    <w:tmpl w:val="C2B41F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44F42D3"/>
    <w:multiLevelType w:val="hybridMultilevel"/>
    <w:tmpl w:val="BE740A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4">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5">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6">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7">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8">
    <w:nsid w:val="79DB1E6F"/>
    <w:multiLevelType w:val="hybridMultilevel"/>
    <w:tmpl w:val="A4FCEF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29340035">
    <w:abstractNumId w:val="0"/>
  </w:num>
  <w:num w:numId="2" w16cid:durableId="992872458">
    <w:abstractNumId w:val="5"/>
  </w:num>
  <w:num w:numId="3" w16cid:durableId="980616192">
    <w:abstractNumId w:val="15"/>
  </w:num>
  <w:num w:numId="4" w16cid:durableId="806507379">
    <w:abstractNumId w:val="7"/>
  </w:num>
  <w:num w:numId="5" w16cid:durableId="32468612">
    <w:abstractNumId w:val="1"/>
  </w:num>
  <w:num w:numId="6" w16cid:durableId="511146517">
    <w:abstractNumId w:val="6"/>
  </w:num>
  <w:num w:numId="7" w16cid:durableId="1143228655">
    <w:abstractNumId w:val="14"/>
  </w:num>
  <w:num w:numId="8" w16cid:durableId="1356662557">
    <w:abstractNumId w:val="3"/>
  </w:num>
  <w:num w:numId="9" w16cid:durableId="1450080063">
    <w:abstractNumId w:val="8"/>
  </w:num>
  <w:num w:numId="10" w16cid:durableId="1167356863">
    <w:abstractNumId w:val="16"/>
  </w:num>
  <w:num w:numId="11" w16cid:durableId="1223440855">
    <w:abstractNumId w:val="17"/>
  </w:num>
  <w:num w:numId="12" w16cid:durableId="235671587">
    <w:abstractNumId w:val="10"/>
  </w:num>
  <w:num w:numId="13" w16cid:durableId="1068845369">
    <w:abstractNumId w:val="4"/>
  </w:num>
  <w:num w:numId="14" w16cid:durableId="1755857138">
    <w:abstractNumId w:val="13"/>
  </w:num>
  <w:num w:numId="15" w16cid:durableId="1809588577">
    <w:abstractNumId w:val="2"/>
  </w:num>
  <w:num w:numId="16" w16cid:durableId="247421222">
    <w:abstractNumId w:val="12"/>
  </w:num>
  <w:num w:numId="17" w16cid:durableId="1555001061">
    <w:abstractNumId w:val="9"/>
  </w:num>
  <w:num w:numId="18" w16cid:durableId="2009481998">
    <w:abstractNumId w:val="11"/>
  </w:num>
  <w:num w:numId="19" w16cid:durableId="17071744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11472"/>
    <w:rsid w:val="00020E36"/>
    <w:rsid w:val="000311EF"/>
    <w:rsid w:val="00060FAF"/>
    <w:rsid w:val="00061D50"/>
    <w:rsid w:val="00076ACE"/>
    <w:rsid w:val="0008325B"/>
    <w:rsid w:val="00087454"/>
    <w:rsid w:val="000911DB"/>
    <w:rsid w:val="001235D4"/>
    <w:rsid w:val="00124446"/>
    <w:rsid w:val="00125401"/>
    <w:rsid w:val="001315A2"/>
    <w:rsid w:val="00147F27"/>
    <w:rsid w:val="00154292"/>
    <w:rsid w:val="00157254"/>
    <w:rsid w:val="001831B3"/>
    <w:rsid w:val="001836EA"/>
    <w:rsid w:val="001B75AF"/>
    <w:rsid w:val="001E22D7"/>
    <w:rsid w:val="001E6017"/>
    <w:rsid w:val="001F2674"/>
    <w:rsid w:val="001F43EB"/>
    <w:rsid w:val="00201347"/>
    <w:rsid w:val="00220406"/>
    <w:rsid w:val="002314A1"/>
    <w:rsid w:val="00241D51"/>
    <w:rsid w:val="00277DE3"/>
    <w:rsid w:val="002A143C"/>
    <w:rsid w:val="002A1D08"/>
    <w:rsid w:val="002C4089"/>
    <w:rsid w:val="002D055F"/>
    <w:rsid w:val="002D0D06"/>
    <w:rsid w:val="002D2382"/>
    <w:rsid w:val="002F0AAC"/>
    <w:rsid w:val="002F1976"/>
    <w:rsid w:val="00374115"/>
    <w:rsid w:val="003809FB"/>
    <w:rsid w:val="00395991"/>
    <w:rsid w:val="003B1309"/>
    <w:rsid w:val="003C66B9"/>
    <w:rsid w:val="003D3ED9"/>
    <w:rsid w:val="003E789D"/>
    <w:rsid w:val="00436454"/>
    <w:rsid w:val="00475EE1"/>
    <w:rsid w:val="004A6461"/>
    <w:rsid w:val="004C6F21"/>
    <w:rsid w:val="004E69D9"/>
    <w:rsid w:val="0050239D"/>
    <w:rsid w:val="0050350B"/>
    <w:rsid w:val="00503D21"/>
    <w:rsid w:val="005122C5"/>
    <w:rsid w:val="0052350D"/>
    <w:rsid w:val="00525083"/>
    <w:rsid w:val="00536744"/>
    <w:rsid w:val="00545A05"/>
    <w:rsid w:val="0056581F"/>
    <w:rsid w:val="00583A45"/>
    <w:rsid w:val="00592183"/>
    <w:rsid w:val="005E2B16"/>
    <w:rsid w:val="00611D2E"/>
    <w:rsid w:val="00630174"/>
    <w:rsid w:val="00636FFF"/>
    <w:rsid w:val="00683754"/>
    <w:rsid w:val="006B6443"/>
    <w:rsid w:val="00710DB3"/>
    <w:rsid w:val="007900A1"/>
    <w:rsid w:val="00793856"/>
    <w:rsid w:val="00797E70"/>
    <w:rsid w:val="007D3FB5"/>
    <w:rsid w:val="007D6F83"/>
    <w:rsid w:val="007E3278"/>
    <w:rsid w:val="007F2304"/>
    <w:rsid w:val="00812FBF"/>
    <w:rsid w:val="00830F56"/>
    <w:rsid w:val="00844D2F"/>
    <w:rsid w:val="008A2E0D"/>
    <w:rsid w:val="008A6B72"/>
    <w:rsid w:val="008D5253"/>
    <w:rsid w:val="008D6D12"/>
    <w:rsid w:val="008E7449"/>
    <w:rsid w:val="008F0ED9"/>
    <w:rsid w:val="0090049C"/>
    <w:rsid w:val="00926527"/>
    <w:rsid w:val="0096082B"/>
    <w:rsid w:val="00972981"/>
    <w:rsid w:val="009A1D58"/>
    <w:rsid w:val="009A69D9"/>
    <w:rsid w:val="009E5FCC"/>
    <w:rsid w:val="009F31A3"/>
    <w:rsid w:val="009F4720"/>
    <w:rsid w:val="009F4DA3"/>
    <w:rsid w:val="00A078FA"/>
    <w:rsid w:val="00A10DFC"/>
    <w:rsid w:val="00A54EE1"/>
    <w:rsid w:val="00A66E4B"/>
    <w:rsid w:val="00A741AD"/>
    <w:rsid w:val="00A82C0C"/>
    <w:rsid w:val="00A93D97"/>
    <w:rsid w:val="00A9571B"/>
    <w:rsid w:val="00AB1D23"/>
    <w:rsid w:val="00AB6442"/>
    <w:rsid w:val="00AC2578"/>
    <w:rsid w:val="00AF30A7"/>
    <w:rsid w:val="00B07CE7"/>
    <w:rsid w:val="00B75666"/>
    <w:rsid w:val="00B82768"/>
    <w:rsid w:val="00B86EBE"/>
    <w:rsid w:val="00BA6661"/>
    <w:rsid w:val="00BE7FCC"/>
    <w:rsid w:val="00BF3D28"/>
    <w:rsid w:val="00C2335F"/>
    <w:rsid w:val="00C54769"/>
    <w:rsid w:val="00C84DC5"/>
    <w:rsid w:val="00C85C6B"/>
    <w:rsid w:val="00C91BAF"/>
    <w:rsid w:val="00C94B19"/>
    <w:rsid w:val="00C970DF"/>
    <w:rsid w:val="00D1220F"/>
    <w:rsid w:val="00D370A9"/>
    <w:rsid w:val="00D73818"/>
    <w:rsid w:val="00DC7841"/>
    <w:rsid w:val="00E12A81"/>
    <w:rsid w:val="00E375CC"/>
    <w:rsid w:val="00E47708"/>
    <w:rsid w:val="00E55203"/>
    <w:rsid w:val="00EB723C"/>
    <w:rsid w:val="00EC47CC"/>
    <w:rsid w:val="00EE3C46"/>
    <w:rsid w:val="00EE46BC"/>
    <w:rsid w:val="00EF5A3B"/>
    <w:rsid w:val="00F148E8"/>
    <w:rsid w:val="00F248E4"/>
    <w:rsid w:val="00F259F5"/>
    <w:rsid w:val="00F30DF8"/>
    <w:rsid w:val="00F37B81"/>
    <w:rsid w:val="00F95DC8"/>
    <w:rsid w:val="00FD4570"/>
    <w:rsid w:val="00FF1A79"/>
    <w:rsid w:val="00FF2759"/>
    <w:rsid w:val="00FF7F00"/>
    <w:rsid w:val="01CD7B3A"/>
    <w:rsid w:val="0AA047D0"/>
    <w:rsid w:val="0E575B19"/>
    <w:rsid w:val="0F3DFC2F"/>
    <w:rsid w:val="1274ED89"/>
    <w:rsid w:val="165F81CD"/>
    <w:rsid w:val="17D98ABF"/>
    <w:rsid w:val="1836B55A"/>
    <w:rsid w:val="191FF485"/>
    <w:rsid w:val="1BC811A5"/>
    <w:rsid w:val="253A4DC0"/>
    <w:rsid w:val="27046618"/>
    <w:rsid w:val="2796E0FA"/>
    <w:rsid w:val="27C307F2"/>
    <w:rsid w:val="2DDF10C6"/>
    <w:rsid w:val="441076F5"/>
    <w:rsid w:val="46C57F27"/>
    <w:rsid w:val="5256D0E2"/>
    <w:rsid w:val="52EDF104"/>
    <w:rsid w:val="54021734"/>
    <w:rsid w:val="54B46826"/>
    <w:rsid w:val="5EBE984E"/>
    <w:rsid w:val="60F68B73"/>
    <w:rsid w:val="6A628143"/>
    <w:rsid w:val="6DF10C36"/>
    <w:rsid w:val="72672CC5"/>
    <w:rsid w:val="752E6162"/>
    <w:rsid w:val="7AE4C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A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basedOn w:val="DefaultParagraphFont"/>
    <w:rsid w:val="00E375CC"/>
    <w:rPr>
      <w:color w:val="0000FF"/>
      <w:u w:val="single"/>
    </w:rPr>
  </w:style>
  <w:style w:type="character" w:styleId="CommentReference">
    <w:name w:val="annotation reference"/>
    <w:basedOn w:val="DefaultParagraphFont"/>
    <w:uiPriority w:val="99"/>
    <w:semiHidden/>
    <w:unhideWhenUsed/>
    <w:rsid w:val="00E375CC"/>
    <w:rPr>
      <w:sz w:val="16"/>
      <w:szCs w:val="16"/>
    </w:rPr>
  </w:style>
  <w:style w:type="paragraph" w:styleId="CommentText">
    <w:name w:val="annotation text"/>
    <w:basedOn w:val="Normal"/>
    <w:link w:val="CommentTextChar"/>
    <w:uiPriority w:val="99"/>
    <w:unhideWhenUsed/>
    <w:rsid w:val="00E375CC"/>
    <w:pPr>
      <w:adjustRightInd w:val="0"/>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E375C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E375CC"/>
    <w:pPr>
      <w:spacing w:after="120"/>
      <w:ind w:left="360"/>
    </w:pPr>
  </w:style>
  <w:style w:type="character" w:customStyle="1" w:styleId="BodyTextIndentChar">
    <w:name w:val="Body Text Indent Char"/>
    <w:basedOn w:val="DefaultParagraphFont"/>
    <w:link w:val="BodyTextIndent"/>
    <w:uiPriority w:val="99"/>
    <w:semiHidden/>
    <w:rsid w:val="00E375CC"/>
    <w:rPr>
      <w:rFonts w:ascii="Arial" w:eastAsia="Arial" w:hAnsi="Arial" w:cs="Arial"/>
      <w:lang w:bidi="en-US"/>
    </w:rPr>
  </w:style>
  <w:style w:type="character" w:styleId="FootnoteReference">
    <w:name w:val="footnote reference"/>
    <w:uiPriority w:val="99"/>
    <w:semiHidden/>
    <w:rsid w:val="00E375CC"/>
  </w:style>
  <w:style w:type="paragraph" w:styleId="FootnoteText">
    <w:name w:val="footnote text"/>
    <w:basedOn w:val="Normal"/>
    <w:link w:val="FootnoteTextChar"/>
    <w:uiPriority w:val="99"/>
    <w:semiHidden/>
    <w:unhideWhenUsed/>
    <w:rsid w:val="00E375CC"/>
    <w:pPr>
      <w:adjustRightInd w:val="0"/>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E375CC"/>
    <w:rPr>
      <w:rFonts w:ascii="Times New Roman" w:eastAsia="Times New Roman" w:hAnsi="Times New Roman" w:cs="Times New Roman"/>
      <w:sz w:val="20"/>
      <w:szCs w:val="20"/>
    </w:rPr>
  </w:style>
  <w:style w:type="paragraph" w:styleId="NormalWeb">
    <w:name w:val="Normal (Web)"/>
    <w:basedOn w:val="Normal"/>
    <w:uiPriority w:val="99"/>
    <w:unhideWhenUsed/>
    <w:rsid w:val="00E375C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Mention">
    <w:name w:val="Mention"/>
    <w:basedOn w:val="DefaultParagraphFont"/>
    <w:uiPriority w:val="99"/>
    <w:unhideWhenUsed/>
    <w:rsid w:val="00E375CC"/>
    <w:rPr>
      <w:color w:val="2B579A"/>
      <w:shd w:val="clear" w:color="auto" w:fill="E1DFDD"/>
    </w:rPr>
  </w:style>
  <w:style w:type="paragraph" w:styleId="Revision">
    <w:name w:val="Revision"/>
    <w:hidden/>
    <w:uiPriority w:val="99"/>
    <w:semiHidden/>
    <w:rsid w:val="00E375CC"/>
    <w:pPr>
      <w:widowControl/>
      <w:autoSpaceDE/>
      <w:autoSpaceDN/>
    </w:pPr>
    <w:rPr>
      <w:rFonts w:ascii="Arial" w:eastAsia="Arial" w:hAnsi="Arial" w:cs="Arial"/>
      <w:lang w:bidi="en-US"/>
    </w:rPr>
  </w:style>
  <w:style w:type="paragraph" w:customStyle="1" w:styleId="P1-StandPara">
    <w:name w:val="P1-Stand Para"/>
    <w:uiPriority w:val="99"/>
    <w:rsid w:val="00536744"/>
    <w:pPr>
      <w:widowControl/>
      <w:autoSpaceDE/>
      <w:autoSpaceDN/>
      <w:spacing w:line="360" w:lineRule="atLeast"/>
      <w:ind w:firstLine="1152"/>
      <w:jc w:val="both"/>
    </w:pPr>
    <w:rPr>
      <w:rFonts w:ascii="Times New Roman" w:eastAsia="Times New Roman" w:hAnsi="Times New Roman" w:cs="Times New Roman"/>
      <w:szCs w:val="20"/>
    </w:rPr>
  </w:style>
  <w:style w:type="paragraph" w:customStyle="1" w:styleId="N2-2ndBullet">
    <w:name w:val="N2-2nd Bullet"/>
    <w:basedOn w:val="Normal"/>
    <w:uiPriority w:val="99"/>
    <w:rsid w:val="00536744"/>
    <w:pPr>
      <w:widowControl/>
      <w:numPr>
        <w:numId w:val="17"/>
      </w:numPr>
      <w:tabs>
        <w:tab w:val="left" w:pos="1728"/>
      </w:tabs>
      <w:autoSpaceDE/>
      <w:autoSpaceDN/>
      <w:spacing w:after="240" w:line="240" w:lineRule="atLeast"/>
      <w:jc w:val="both"/>
    </w:pPr>
    <w:rPr>
      <w:rFonts w:ascii="Times New Roman" w:eastAsia="Times New Roman" w:hAnsi="Times New Roman" w:cs="Times New Roman"/>
      <w:szCs w:val="20"/>
      <w:lang w:bidi="ar-SA"/>
    </w:rPr>
  </w:style>
  <w:style w:type="character" w:styleId="UnresolvedMention">
    <w:name w:val="Unresolved Mention"/>
    <w:basedOn w:val="DefaultParagraphFont"/>
    <w:uiPriority w:val="99"/>
    <w:semiHidden/>
    <w:unhideWhenUsed/>
    <w:rsid w:val="007D3FB5"/>
    <w:rPr>
      <w:color w:val="605E5C"/>
      <w:shd w:val="clear" w:color="auto" w:fill="E1DFDD"/>
    </w:rPr>
  </w:style>
  <w:style w:type="paragraph" w:customStyle="1" w:styleId="a">
    <w:name w:val="_"/>
    <w:basedOn w:val="Normal"/>
    <w:rsid w:val="008D5253"/>
    <w:pPr>
      <w:adjustRightInd w:val="0"/>
      <w:ind w:left="720" w:hanging="720"/>
    </w:pPr>
    <w:rPr>
      <w:rFonts w:ascii="Times New Roman" w:eastAsia="Times New Roman" w:hAnsi="Times New Roman" w:cs="Times New Roman"/>
      <w:sz w:val="24"/>
      <w:szCs w:val="24"/>
      <w:lang w:bidi="ar-SA"/>
    </w:rPr>
  </w:style>
  <w:style w:type="paragraph" w:styleId="CommentSubject">
    <w:name w:val="annotation subject"/>
    <w:basedOn w:val="CommentText"/>
    <w:next w:val="CommentText"/>
    <w:link w:val="CommentSubjectChar"/>
    <w:uiPriority w:val="99"/>
    <w:semiHidden/>
    <w:unhideWhenUsed/>
    <w:rsid w:val="00BE7FCC"/>
    <w:pPr>
      <w:adjustRightInd/>
    </w:pPr>
    <w:rPr>
      <w:rFonts w:ascii="Arial" w:eastAsia="Arial" w:hAnsi="Arial" w:cs="Arial"/>
      <w:b/>
      <w:bCs/>
      <w:lang w:bidi="en-US"/>
    </w:rPr>
  </w:style>
  <w:style w:type="character" w:customStyle="1" w:styleId="CommentSubjectChar">
    <w:name w:val="Comment Subject Char"/>
    <w:basedOn w:val="CommentTextChar"/>
    <w:link w:val="CommentSubject"/>
    <w:uiPriority w:val="99"/>
    <w:semiHidden/>
    <w:rsid w:val="00BE7FCC"/>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9BADC-AFE4-44C3-966E-45F463851BEB}">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2025-09-30T18:06:00Z</dcterms:created>
  <dcterms:modified xsi:type="dcterms:W3CDTF">2025-09-30T18:20:00Z</dcterms:modified>
</cp:coreProperties>
</file>