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94F42" w:rsidP="005D0C10" w14:paraId="60687BED" w14:textId="77777777">
      <w:pPr>
        <w:pStyle w:val="Heading1"/>
        <w:spacing w:before="0"/>
        <w:ind w:left="0"/>
        <w:jc w:val="center"/>
      </w:pPr>
      <w:r>
        <w:t>SUPPORTING STATEMENT</w:t>
      </w:r>
    </w:p>
    <w:p w:rsidR="00194F42" w:rsidP="005D0C10" w14:paraId="23671C13" w14:textId="77777777">
      <w:pPr>
        <w:ind w:firstLine="14"/>
        <w:jc w:val="center"/>
        <w:rPr>
          <w:b/>
        </w:rPr>
      </w:pPr>
      <w:r>
        <w:rPr>
          <w:b/>
        </w:rPr>
        <w:t>U.S. Department of Commerce</w:t>
      </w:r>
    </w:p>
    <w:p w:rsidR="00194F42" w:rsidP="005D0C10" w14:paraId="45ACCABC" w14:textId="77777777">
      <w:pPr>
        <w:ind w:firstLine="14"/>
        <w:jc w:val="center"/>
        <w:rPr>
          <w:b/>
        </w:rPr>
      </w:pPr>
      <w:r>
        <w:rPr>
          <w:b/>
        </w:rPr>
        <w:t>National Oceanic &amp; Atmospheric Administration</w:t>
      </w:r>
    </w:p>
    <w:p w:rsidR="00194F42" w:rsidP="005D0C10" w14:paraId="10EA733A" w14:textId="7F84FE04">
      <w:pPr>
        <w:ind w:hanging="6"/>
        <w:jc w:val="center"/>
        <w:rPr>
          <w:b/>
        </w:rPr>
      </w:pPr>
      <w:r>
        <w:rPr>
          <w:b/>
        </w:rPr>
        <w:t xml:space="preserve">Pribilof Islands: </w:t>
      </w:r>
      <w:r w:rsidR="007604E9">
        <w:rPr>
          <w:b/>
        </w:rPr>
        <w:t xml:space="preserve">Administration and </w:t>
      </w:r>
      <w:r>
        <w:rPr>
          <w:b/>
        </w:rPr>
        <w:t>Taking for Subsistence Purposes</w:t>
      </w:r>
    </w:p>
    <w:p w:rsidR="00194F42" w:rsidRPr="003409CF" w:rsidP="005D0C10" w14:paraId="0D534540" w14:textId="283E8D41">
      <w:pPr>
        <w:ind w:hanging="6"/>
        <w:jc w:val="center"/>
        <w:rPr>
          <w:b/>
        </w:rPr>
      </w:pPr>
      <w:r w:rsidRPr="003409CF">
        <w:rPr>
          <w:b/>
        </w:rPr>
        <w:t>OMB Control No. 0648-</w:t>
      </w:r>
      <w:r w:rsidRPr="003409CF" w:rsidR="0087354E">
        <w:rPr>
          <w:b/>
        </w:rPr>
        <w:t>0699</w:t>
      </w:r>
    </w:p>
    <w:p w:rsidR="00194F42" w:rsidRPr="003409CF" w14:paraId="4E945F2C" w14:textId="77777777">
      <w:pPr>
        <w:pBdr>
          <w:top w:val="nil"/>
          <w:left w:val="nil"/>
          <w:bottom w:val="nil"/>
          <w:right w:val="nil"/>
          <w:between w:val="nil"/>
        </w:pBdr>
        <w:spacing w:before="1"/>
        <w:jc w:val="center"/>
        <w:rPr>
          <w:b/>
          <w:color w:val="000000"/>
        </w:rPr>
      </w:pPr>
    </w:p>
    <w:p w:rsidR="00194F42" w:rsidRPr="003409CF" w14:paraId="30C0BF90" w14:textId="77777777">
      <w:pPr>
        <w:pStyle w:val="Heading1"/>
        <w:spacing w:before="199"/>
        <w:ind w:left="0"/>
      </w:pPr>
      <w:r w:rsidRPr="003409CF">
        <w:t>Abstract</w:t>
      </w:r>
    </w:p>
    <w:p w:rsidR="005D0C10" w:rsidRPr="003409CF" w:rsidP="005D0C10" w14:paraId="604B5ECC" w14:textId="713DC2D3">
      <w:pPr>
        <w:spacing w:before="144" w:line="259" w:lineRule="auto"/>
      </w:pPr>
      <w:r w:rsidRPr="003409CF">
        <w:t xml:space="preserve">This is </w:t>
      </w:r>
      <w:r>
        <w:t xml:space="preserve">a request for </w:t>
      </w:r>
      <w:r w:rsidR="00AD6A9A">
        <w:t>a</w:t>
      </w:r>
      <w:r w:rsidR="005B7396">
        <w:t xml:space="preserve"> revision and</w:t>
      </w:r>
      <w:r>
        <w:t xml:space="preserve"> </w:t>
      </w:r>
      <w:r w:rsidRPr="003409CF">
        <w:t>extension of collection of information control number 0648-0699.</w:t>
      </w:r>
      <w:r>
        <w:t xml:space="preserve"> </w:t>
      </w:r>
      <w:r w:rsidRPr="003159EC" w:rsidR="005B7396">
        <w:t>NMFS published a</w:t>
      </w:r>
      <w:r w:rsidR="005B7396">
        <w:t xml:space="preserve">n interim final rule (RIN 0648-BN39) </w:t>
      </w:r>
      <w:r w:rsidRPr="003159EC" w:rsidR="005B7396">
        <w:t xml:space="preserve">and request for comments to create an exception in </w:t>
      </w:r>
      <w:hyperlink r:id="rId7" w:history="1">
        <w:r w:rsidRPr="0014057B" w:rsidR="005B7396">
          <w:rPr>
            <w:rStyle w:val="Hyperlink"/>
          </w:rPr>
          <w:t>50 CFR 216.82</w:t>
        </w:r>
      </w:hyperlink>
      <w:r>
        <w:rPr>
          <w:rStyle w:val="FootnoteReference"/>
        </w:rPr>
        <w:footnoteReference w:id="2"/>
      </w:r>
      <w:r w:rsidRPr="003159EC" w:rsidR="005B7396">
        <w:t xml:space="preserve"> to authorize the use of trained and </w:t>
      </w:r>
      <w:r w:rsidR="005B7396">
        <w:t xml:space="preserve">independently </w:t>
      </w:r>
      <w:r w:rsidRPr="003159EC" w:rsidR="005B7396">
        <w:t xml:space="preserve">certified rodent detection dogs to </w:t>
      </w:r>
      <w:r w:rsidR="005B7396">
        <w:t xml:space="preserve">detect and </w:t>
      </w:r>
      <w:r w:rsidRPr="003159EC" w:rsidR="005B7396">
        <w:t>prevent the establishment of invasive rodents on the Pribilof Islands. Current regulations prohibit the landing of any dogs at the Pribilof Islands in order to prevent the molestation of the fur seal herds (50 CFR 216.82).</w:t>
      </w:r>
      <w:r w:rsidR="008A4DED">
        <w:t xml:space="preserve">  </w:t>
      </w:r>
      <w:r w:rsidR="004E6FE3">
        <w:t>In order for NMFS Alaska Regional Administrator to authorize an exception to 50 CFR 216.82 information must be collected from the Pribilof Island landowner to make a determination that the detection dog is independently certified and trained for rodent detection, vaccinated, and the survey</w:t>
      </w:r>
      <w:r w:rsidR="00550B6C">
        <w:t>, quarantine and feces management</w:t>
      </w:r>
      <w:r w:rsidR="004E6FE3">
        <w:t xml:space="preserve"> plan is consistent with the regulations</w:t>
      </w:r>
      <w:r w:rsidRPr="003159EC" w:rsidR="005B7396">
        <w:t>.</w:t>
      </w:r>
    </w:p>
    <w:p w:rsidR="00194F42" w:rsidRPr="003409CF" w14:paraId="6D81BAAC" w14:textId="2CDC53FA">
      <w:pPr>
        <w:spacing w:before="144" w:line="259" w:lineRule="auto"/>
      </w:pPr>
      <w:r w:rsidRPr="003409CF">
        <w:t xml:space="preserve">NMFS regulations for the subsistence use of northern fur seals under the </w:t>
      </w:r>
      <w:hyperlink r:id="rId8" w:history="1">
        <w:r w:rsidRPr="003159EC">
          <w:rPr>
            <w:rStyle w:val="Hyperlink"/>
          </w:rPr>
          <w:t>Fur Seal Act</w:t>
        </w:r>
      </w:hyperlink>
      <w:r>
        <w:rPr>
          <w:rStyle w:val="FootnoteReference"/>
        </w:rPr>
        <w:footnoteReference w:id="3"/>
      </w:r>
      <w:r w:rsidRPr="003409CF">
        <w:t xml:space="preserve"> </w:t>
      </w:r>
      <w:r w:rsidR="00F65A53">
        <w:t xml:space="preserve">(FSA) </w:t>
      </w:r>
      <w:r w:rsidRPr="003409CF">
        <w:t>require</w:t>
      </w:r>
      <w:r w:rsidRPr="003409CF" w:rsidR="003409CF">
        <w:t>s</w:t>
      </w:r>
      <w:r w:rsidRPr="003409CF">
        <w:t xml:space="preserve"> </w:t>
      </w:r>
      <w:r w:rsidRPr="003409CF" w:rsidR="003409CF">
        <w:t>Alaska Native residents of the Pribilof Islands</w:t>
      </w:r>
      <w:r w:rsidRPr="003409CF">
        <w:t xml:space="preserve"> to report their subsistence need and their actual subsistence take</w:t>
      </w:r>
      <w:r w:rsidRPr="003409CF" w:rsidR="003409CF">
        <w:t xml:space="preserve"> of northern fur seals. The current collection of information allows the NMFS to confirm the annual subsistence use of northern fur seals is consistent with subsistence use quotas established in 2014 and 2019.</w:t>
      </w:r>
      <w:r w:rsidR="00BD5FB6">
        <w:t xml:space="preserve"> </w:t>
      </w:r>
    </w:p>
    <w:p w:rsidR="00194F42" w14:paraId="3CC07872" w14:textId="77777777">
      <w:pPr>
        <w:pStyle w:val="Heading1"/>
        <w:spacing w:before="124"/>
        <w:ind w:left="0"/>
      </w:pPr>
      <w:r>
        <w:t>Justification</w:t>
      </w:r>
    </w:p>
    <w:p w:rsidR="00194F42" w14:paraId="3ED98C46" w14:textId="7E452037">
      <w:pPr>
        <w:numPr>
          <w:ilvl w:val="0"/>
          <w:numId w:val="9"/>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59EC" w:rsidP="00F65A53" w14:paraId="772C6A54" w14:textId="503FB4A9">
      <w:pPr>
        <w:pStyle w:val="Heading1"/>
        <w:tabs>
          <w:tab w:val="left" w:pos="360"/>
        </w:tabs>
        <w:spacing w:before="197"/>
        <w:ind w:left="0"/>
      </w:pPr>
      <w:r w:rsidRPr="0014057B">
        <w:rPr>
          <w:b w:val="0"/>
          <w:bCs w:val="0"/>
        </w:rPr>
        <w:t>The FSA (16 U.S.C. 1161-1169b) requires the NMFS Alaska Regional Administrator, acting pursuant to delegated authority, to administer Federal lands of the Pribilof Islands and ensure that activities on such Federal lands are consistent with the purposes of conserving, managing, and protecting northern fur seals,</w:t>
      </w:r>
      <w:r w:rsidRPr="0014057B">
        <w:rPr>
          <w:b w:val="0"/>
          <w:bCs w:val="0"/>
          <w:i/>
        </w:rPr>
        <w:t xml:space="preserve"> </w:t>
      </w:r>
      <w:r w:rsidRPr="0014057B">
        <w:rPr>
          <w:b w:val="0"/>
          <w:bCs w:val="0"/>
          <w:i/>
        </w:rPr>
        <w:t>Callorhinus</w:t>
      </w:r>
      <w:r w:rsidRPr="0014057B">
        <w:rPr>
          <w:b w:val="0"/>
          <w:bCs w:val="0"/>
          <w:i/>
        </w:rPr>
        <w:t xml:space="preserve"> ursinus</w:t>
      </w:r>
      <w:r w:rsidRPr="0014057B">
        <w:rPr>
          <w:b w:val="0"/>
          <w:bCs w:val="0"/>
          <w:iCs/>
        </w:rPr>
        <w:t>,</w:t>
      </w:r>
      <w:r w:rsidRPr="0014057B">
        <w:rPr>
          <w:b w:val="0"/>
          <w:bCs w:val="0"/>
        </w:rPr>
        <w:t xml:space="preserve"> and other wildlife. NMFS is authorized to promulgate regulations necessary for the administration of the Pribilof Islands (16 U.S.C. 1169), which NMFS has promulgated at 50 CFR part 216, Subpart G-Pribilof Islands Administration. NMFS manages northern fur seals consistent with both the FSA and </w:t>
      </w:r>
      <w:hyperlink r:id="rId9" w:history="1">
        <w:r w:rsidRPr="003159EC">
          <w:rPr>
            <w:rStyle w:val="Hyperlink"/>
            <w:b w:val="0"/>
            <w:bCs w:val="0"/>
          </w:rPr>
          <w:t>Marine Mammal Protection Act</w:t>
        </w:r>
      </w:hyperlink>
      <w:r>
        <w:rPr>
          <w:rStyle w:val="FootnoteReference"/>
          <w:b w:val="0"/>
          <w:bCs w:val="0"/>
        </w:rPr>
        <w:footnoteReference w:id="4"/>
      </w:r>
      <w:r>
        <w:rPr>
          <w:b w:val="0"/>
          <w:bCs w:val="0"/>
        </w:rPr>
        <w:t xml:space="preserve"> </w:t>
      </w:r>
      <w:r>
        <w:rPr>
          <w:b w:val="0"/>
          <w:bCs w:val="0"/>
        </w:rPr>
        <w:t xml:space="preserve">(16 U.S.C. 1361-1423; </w:t>
      </w:r>
      <w:r w:rsidRPr="0014057B">
        <w:rPr>
          <w:b w:val="0"/>
          <w:bCs w:val="0"/>
        </w:rPr>
        <w:t>MMPA</w:t>
      </w:r>
      <w:r>
        <w:rPr>
          <w:b w:val="0"/>
          <w:bCs w:val="0"/>
        </w:rPr>
        <w:t>)</w:t>
      </w:r>
      <w:r>
        <w:t xml:space="preserve">  </w:t>
      </w:r>
    </w:p>
    <w:p w:rsidR="0014057B" w:rsidP="003159EC" w14:paraId="3F83DE35" w14:textId="3FD429D5">
      <w:pPr>
        <w:pBdr>
          <w:top w:val="nil"/>
          <w:left w:val="nil"/>
          <w:bottom w:val="nil"/>
          <w:right w:val="nil"/>
          <w:between w:val="nil"/>
        </w:pBdr>
        <w:tabs>
          <w:tab w:val="left" w:pos="360"/>
        </w:tabs>
        <w:spacing w:before="182" w:line="259" w:lineRule="auto"/>
      </w:pPr>
      <w:r w:rsidRPr="003159EC">
        <w:t>Regulations for northern fur seal subsistence harvest have been in existence since 1985. However, an information collection to support those regulations for St. Paul and St. George Island sub-adult subsistence harvest season did not exist</w:t>
      </w:r>
      <w:r w:rsidR="00F65A53">
        <w:rPr>
          <w:b/>
          <w:bCs/>
        </w:rPr>
        <w:t xml:space="preserve"> </w:t>
      </w:r>
      <w:r w:rsidRPr="0014057B" w:rsidR="00F65A53">
        <w:t>until</w:t>
      </w:r>
      <w:r w:rsidR="00F65A53">
        <w:rPr>
          <w:b/>
          <w:bCs/>
        </w:rPr>
        <w:t xml:space="preserve"> </w:t>
      </w:r>
      <w:r w:rsidRPr="003159EC">
        <w:t>2014</w:t>
      </w:r>
      <w:r w:rsidR="00F65A53">
        <w:rPr>
          <w:b/>
          <w:bCs/>
        </w:rPr>
        <w:t xml:space="preserve"> </w:t>
      </w:r>
      <w:r w:rsidRPr="0014057B" w:rsidR="00F65A53">
        <w:t>when</w:t>
      </w:r>
      <w:r w:rsidRPr="003159EC">
        <w:t xml:space="preserve"> NMFS </w:t>
      </w:r>
      <w:r>
        <w:t xml:space="preserve">requested and </w:t>
      </w:r>
      <w:r w:rsidRPr="003159EC">
        <w:t>obtained a collection of information control number (</w:t>
      </w:r>
      <w:hyperlink r:id="rId10" w:history="1">
        <w:r w:rsidRPr="00630443">
          <w:rPr>
            <w:rStyle w:val="Hyperlink"/>
          </w:rPr>
          <w:t>79 FR 65327</w:t>
        </w:r>
      </w:hyperlink>
      <w:r>
        <w:rPr>
          <w:rStyle w:val="FootnoteReference"/>
        </w:rPr>
        <w:footnoteReference w:id="5"/>
      </w:r>
      <w:r w:rsidRPr="003159EC">
        <w:t>; November 4, 2014)</w:t>
      </w:r>
      <w:r w:rsidRPr="0014057B" w:rsidR="00F65A53">
        <w:t>.</w:t>
      </w:r>
      <w:r w:rsidRPr="003159EC" w:rsidR="00D073A4">
        <w:t xml:space="preserve"> </w:t>
      </w:r>
      <w:r w:rsidRPr="0014057B" w:rsidR="00F65A53">
        <w:t>T</w:t>
      </w:r>
      <w:r w:rsidRPr="003159EC" w:rsidR="00E65771">
        <w:t>he</w:t>
      </w:r>
      <w:r w:rsidRPr="003159EC">
        <w:t xml:space="preserve"> regulations</w:t>
      </w:r>
      <w:r w:rsidRPr="003159EC" w:rsidR="00E65771">
        <w:t xml:space="preserve"> for northern fur seal </w:t>
      </w:r>
      <w:r w:rsidRPr="003159EC" w:rsidR="00E65771">
        <w:t>subsistence harvest</w:t>
      </w:r>
      <w:r w:rsidRPr="003159EC" w:rsidR="00EB0E95">
        <w:t xml:space="preserve"> </w:t>
      </w:r>
      <w:r w:rsidRPr="003159EC">
        <w:t>require the public (</w:t>
      </w:r>
      <w:r w:rsidRPr="003159EC">
        <w:t>Pribilovians</w:t>
      </w:r>
      <w:r w:rsidRPr="003159EC">
        <w:t xml:space="preserve">) to report to NMFS on </w:t>
      </w:r>
      <w:r w:rsidRPr="003159EC" w:rsidR="00E65771">
        <w:t>their subsistence needs and actual level of subsistence take of northern fur seals (</w:t>
      </w:r>
      <w:hyperlink r:id="rId11" w:history="1">
        <w:r w:rsidRPr="0014057B" w:rsidR="00E65771">
          <w:rPr>
            <w:rStyle w:val="Hyperlink"/>
          </w:rPr>
          <w:t>50 CFR 216.74</w:t>
        </w:r>
      </w:hyperlink>
      <w:r>
        <w:rPr>
          <w:rStyle w:val="FootnoteReference"/>
        </w:rPr>
        <w:footnoteReference w:id="6"/>
      </w:r>
      <w:r w:rsidRPr="003159EC" w:rsidR="00E65771">
        <w:t>).</w:t>
      </w:r>
      <w:r w:rsidRPr="003159EC" w:rsidR="00155467">
        <w:t xml:space="preserve"> </w:t>
      </w:r>
    </w:p>
    <w:p w:rsidR="003159EC" w:rsidRPr="003159EC" w:rsidP="003159EC" w14:paraId="7FC8E147" w14:textId="7DF4531E">
      <w:pPr>
        <w:pBdr>
          <w:top w:val="nil"/>
          <w:left w:val="nil"/>
          <w:bottom w:val="nil"/>
          <w:right w:val="nil"/>
          <w:between w:val="nil"/>
        </w:pBdr>
        <w:tabs>
          <w:tab w:val="left" w:pos="360"/>
        </w:tabs>
        <w:spacing w:before="182" w:line="259" w:lineRule="auto"/>
      </w:pPr>
      <w:bookmarkStart w:id="0" w:name="_Hlk233709005"/>
      <w:r w:rsidRPr="003159EC">
        <w:t>NMFS published a</w:t>
      </w:r>
      <w:r w:rsidR="00934E2E">
        <w:t xml:space="preserve">n interim final rule </w:t>
      </w:r>
      <w:r w:rsidR="00630443">
        <w:t xml:space="preserve">(RIN 0648-BN39) </w:t>
      </w:r>
      <w:r w:rsidRPr="003159EC">
        <w:t xml:space="preserve">and request for comments to create an exception in </w:t>
      </w:r>
      <w:bookmarkEnd w:id="0"/>
      <w:hyperlink r:id="rId7" w:history="1">
        <w:r w:rsidRPr="0014057B">
          <w:rPr>
            <w:rStyle w:val="Hyperlink"/>
          </w:rPr>
          <w:t>50 CFR 216.82</w:t>
        </w:r>
      </w:hyperlink>
      <w:r>
        <w:rPr>
          <w:rStyle w:val="FootnoteReference"/>
        </w:rPr>
        <w:footnoteReference w:id="7"/>
      </w:r>
      <w:r w:rsidRPr="003159EC">
        <w:t xml:space="preserve"> to authorize the use of trained and </w:t>
      </w:r>
      <w:r w:rsidR="00934E2E">
        <w:t xml:space="preserve">independently </w:t>
      </w:r>
      <w:r w:rsidRPr="003159EC">
        <w:t xml:space="preserve">certified rodent detection dogs to </w:t>
      </w:r>
      <w:r w:rsidR="00934E2E">
        <w:t xml:space="preserve">detect and </w:t>
      </w:r>
      <w:r w:rsidRPr="003159EC">
        <w:t xml:space="preserve">prevent the establishment of invasive rodents on the Pribilof Islands. Current regulations prohibit the landing of any dogs at the Pribilof Islands in order to prevent the molestation of the fur seal herds (50 CFR 216.82). NMFS has interpreted the molestation of the fur seal herds to include physical disturbance and disease transmission by a dog or its feces. </w:t>
      </w:r>
    </w:p>
    <w:p w:rsidR="00E65771" w:rsidRPr="0014057B" w:rsidP="0014057B" w14:paraId="1EFB796F" w14:textId="24A27C29">
      <w:pPr>
        <w:numPr>
          <w:ilvl w:val="0"/>
          <w:numId w:val="9"/>
        </w:numPr>
        <w:pBdr>
          <w:top w:val="nil"/>
          <w:left w:val="nil"/>
          <w:bottom w:val="nil"/>
          <w:right w:val="nil"/>
          <w:between w:val="nil"/>
        </w:pBdr>
        <w:tabs>
          <w:tab w:val="left" w:pos="360"/>
        </w:tabs>
        <w:spacing w:before="182" w:line="259" w:lineRule="auto"/>
        <w:ind w:left="0" w:firstLine="0"/>
        <w:rPr>
          <w:b/>
          <w:color w:val="000000"/>
        </w:rPr>
      </w:pPr>
      <w:r w:rsidRPr="0014057B">
        <w:rPr>
          <w:b/>
          <w:color w:val="000000"/>
        </w:rPr>
        <w:t>Indicate how, by whom, and for what purpose the information is to be used. Except for a new collection, indicate the actual use the agency has made of the information received from the current collection.</w:t>
      </w:r>
    </w:p>
    <w:p w:rsidR="00194F42" w:rsidP="00630443" w14:paraId="374D7F65" w14:textId="2B73E8DE">
      <w:pPr>
        <w:widowControl/>
        <w:spacing w:before="120" w:after="120"/>
      </w:pPr>
      <w:r w:rsidRPr="00625E4D">
        <w:t>The regulations at 50 CFR 216.7</w:t>
      </w:r>
      <w:r>
        <w:t>4</w:t>
      </w:r>
      <w:r w:rsidRPr="00625E4D">
        <w:t xml:space="preserve"> state that </w:t>
      </w:r>
      <w:r w:rsidRPr="00625E4D">
        <w:t>Pribilovians</w:t>
      </w:r>
      <w:r w:rsidRPr="00625E4D">
        <w:t xml:space="preserve"> are responsible for reporting their subsistence needs and actual level of subsistence take. The </w:t>
      </w:r>
      <w:r w:rsidRPr="00625E4D">
        <w:t>Pribilovians</w:t>
      </w:r>
      <w:r w:rsidRPr="00625E4D">
        <w:t xml:space="preserve"> continue to conduct the annual sub-adult male subsistence harvest monitoring and reporting for St. Paul and St. George as has occurred for the past decade through the </w:t>
      </w:r>
      <w:r w:rsidR="00630443">
        <w:t>T</w:t>
      </w:r>
      <w:r w:rsidRPr="00625E4D">
        <w:t>ribal governments under co-management.</w:t>
      </w:r>
    </w:p>
    <w:p w:rsidR="00EB0E95" w:rsidP="0014057B" w14:paraId="29043A1E" w14:textId="31EBD2CF">
      <w:pPr>
        <w:pBdr>
          <w:top w:val="nil"/>
          <w:left w:val="nil"/>
          <w:bottom w:val="nil"/>
          <w:right w:val="nil"/>
          <w:between w:val="nil"/>
        </w:pBdr>
        <w:tabs>
          <w:tab w:val="left" w:pos="360"/>
        </w:tabs>
        <w:spacing w:before="120"/>
      </w:pPr>
      <w:r>
        <w:t xml:space="preserve">Subsistence monitoring of northern fur seal take by </w:t>
      </w:r>
      <w:r>
        <w:t>Pribilovians</w:t>
      </w:r>
      <w:r>
        <w:t xml:space="preserve"> on St. George and St. Paul Island has relied on an annual self-reporting process since the previous rulemaking in 2019. The Tribal governments of both islands have fulfilled the reporting requirement for </w:t>
      </w:r>
      <w:r>
        <w:t>Pribilovians</w:t>
      </w:r>
      <w:r>
        <w:t>, with the addition of a NMFS-contracted independent monitor on St. Paul. Independent and Tribal government hunt and harvest monitoring are reconciled throughout the year to ensure accurate final reporting. Additionally, NMFS and Tribal governments on both islands</w:t>
      </w:r>
      <w:r w:rsidR="00D073A4">
        <w:t xml:space="preserve"> discuss </w:t>
      </w:r>
      <w:r>
        <w:t>subsistence use</w:t>
      </w:r>
      <w:r w:rsidR="00D073A4">
        <w:t xml:space="preserve"> by tribal members</w:t>
      </w:r>
      <w:r>
        <w:t xml:space="preserve"> throughout the year </w:t>
      </w:r>
      <w:r w:rsidR="00D073A4">
        <w:t>as comanagers</w:t>
      </w:r>
      <w:r>
        <w:t xml:space="preserve">. </w:t>
      </w:r>
    </w:p>
    <w:p w:rsidR="00EB0E95" w:rsidP="00630443" w14:paraId="4A0D9F48" w14:textId="05A492F0">
      <w:pPr>
        <w:tabs>
          <w:tab w:val="left" w:pos="540"/>
        </w:tabs>
        <w:spacing w:before="120"/>
      </w:pPr>
      <w:r>
        <w:t>The</w:t>
      </w:r>
      <w:r w:rsidRPr="00625E4D">
        <w:t xml:space="preserve"> collection of information includes dates, locations, and numbers of seals harvested and their sex, the extent of utilization of fur seals taken, and other information necessary for the Assistant Administrator to make determinations under § 216.72</w:t>
      </w:r>
      <w:r>
        <w:t>.</w:t>
      </w:r>
    </w:p>
    <w:p w:rsidR="00EB0E95" w:rsidP="00630443" w14:paraId="6FA616E8" w14:textId="7AF4C25B">
      <w:pPr>
        <w:tabs>
          <w:tab w:val="left" w:pos="540"/>
        </w:tabs>
        <w:spacing w:before="120"/>
      </w:pPr>
      <w:r w:rsidRPr="00625E4D">
        <w:t>The Assistant Administrator is required to suspend or terminate the take of fur seals under § 216.72</w:t>
      </w:r>
      <w:r w:rsidR="00C66D68">
        <w:t xml:space="preserve"> i</w:t>
      </w:r>
      <w:r w:rsidR="00630443">
        <w:t>f</w:t>
      </w:r>
      <w:r w:rsidR="00C66D68">
        <w:t xml:space="preserve"> the overall level of subsistence is exceeded or limits of accidental female mortality are exceeded</w:t>
      </w:r>
      <w:r w:rsidRPr="00625E4D">
        <w:t xml:space="preserve">. These determinations are made based on information collected from NMFS representatives and </w:t>
      </w:r>
      <w:r w:rsidRPr="00625E4D">
        <w:t>Pribilovians</w:t>
      </w:r>
      <w:r w:rsidRPr="00625E4D">
        <w:t xml:space="preserve"> monitoring and reporting the subsistence use of northern fur seals. The Tribal and NMFS representatives from each island meet as Co-Management Councils regularly to share information and discuss cooperative management of the subsistence use of marine mammals under the co-management agreement.</w:t>
      </w:r>
    </w:p>
    <w:p w:rsidR="00EB0E95" w:rsidP="00E65771" w14:paraId="00165D61" w14:textId="6B6428E9">
      <w:pPr>
        <w:tabs>
          <w:tab w:val="left" w:pos="540"/>
        </w:tabs>
      </w:pPr>
    </w:p>
    <w:p w:rsidR="00D7052D" w:rsidP="00E26A3C" w14:paraId="68A08739" w14:textId="7E5F9C81">
      <w:pPr>
        <w:tabs>
          <w:tab w:val="left" w:pos="540"/>
        </w:tabs>
      </w:pPr>
      <w:r>
        <w:t>N</w:t>
      </w:r>
      <w:r w:rsidRPr="00625E4D">
        <w:t xml:space="preserve">MFS receives electronic copies of the northern fur seal subsistence harvest reports from the </w:t>
      </w:r>
      <w:r>
        <w:t>T</w:t>
      </w:r>
      <w:r w:rsidRPr="00625E4D">
        <w:t>ribal governments of St. Paul and St. George annually.</w:t>
      </w:r>
      <w:r>
        <w:t xml:space="preserve"> St. Paul </w:t>
      </w:r>
      <w:r w:rsidR="00411082">
        <w:t xml:space="preserve">and St. George </w:t>
      </w:r>
      <w:r>
        <w:t>combine all northern fur seal subsistence into one report.</w:t>
      </w:r>
      <w:r w:rsidRPr="00625E4D">
        <w:t xml:space="preserve"> NMFS subsequently posts these reports online (</w:t>
      </w:r>
      <w:hyperlink r:id="rId12" w:history="1">
        <w:r w:rsidRPr="00EB0E95">
          <w:rPr>
            <w:rStyle w:val="Hyperlink"/>
          </w:rPr>
          <w:t>https://www.fisheries.noaa.gov/alaska/marine-mammal-protection/northern-fur-seal-subsistence-harvest-estimates-and-reports</w:t>
        </w:r>
      </w:hyperlink>
      <w:r w:rsidRPr="00625E4D">
        <w:t>) and i</w:t>
      </w:r>
      <w:r>
        <w:t>ncludes the relevant data in</w:t>
      </w:r>
      <w:r w:rsidRPr="00625E4D">
        <w:t xml:space="preserve"> </w:t>
      </w:r>
      <w:r>
        <w:t>NOAA Technical Memoranda,</w:t>
      </w:r>
      <w:r w:rsidRPr="00625E4D">
        <w:t xml:space="preserve"> the annual Alaska Marine Mammal Stock Assessment Report. </w:t>
      </w:r>
    </w:p>
    <w:p w:rsidR="00E26A3C" w:rsidP="00E26A3C" w14:paraId="5656F698" w14:textId="77777777">
      <w:pPr>
        <w:tabs>
          <w:tab w:val="left" w:pos="540"/>
        </w:tabs>
      </w:pPr>
    </w:p>
    <w:p w:rsidR="00D7052D" w:rsidP="00E26A3C" w14:paraId="00C6F137" w14:textId="3CA60CE5">
      <w:pPr>
        <w:tabs>
          <w:tab w:val="left" w:pos="540"/>
        </w:tabs>
      </w:pPr>
      <w:r w:rsidRPr="00625E4D">
        <w:t xml:space="preserve">The </w:t>
      </w:r>
      <w:r>
        <w:t xml:space="preserve">subsistence </w:t>
      </w:r>
      <w:r w:rsidRPr="00625E4D">
        <w:t xml:space="preserve">reports from the tribal governments of St. Paul and St. George include the following information: 1) number, sex, and dates of fur seals harvested, 2) methods of gathering and herding of fur </w:t>
      </w:r>
      <w:r w:rsidRPr="00625E4D">
        <w:t xml:space="preserve">seals during the harvesting period, 3) environmental conditions, 4) cases of death due to hyperthermia, 5) occurrence of adult male and females fur seals harvested, 6) occurrence of flipper-tagged fur seals, 7) number of fur seals entangled in marine debris and the number of seals disentangled, 8) health status of fur seals and oil contamination of pelts, 9) incidence of by-products and waste during the harvest process, </w:t>
      </w:r>
      <w:r w:rsidR="00630443">
        <w:t xml:space="preserve">and </w:t>
      </w:r>
      <w:r w:rsidRPr="00625E4D">
        <w:t>10) research conducted during the harvest and visitors requesting to view the harvest.</w:t>
      </w:r>
    </w:p>
    <w:p w:rsidR="00E26A3C" w:rsidP="00E26A3C" w14:paraId="4BFC0F64" w14:textId="77777777">
      <w:pPr>
        <w:tabs>
          <w:tab w:val="left" w:pos="540"/>
        </w:tabs>
      </w:pPr>
    </w:p>
    <w:p w:rsidR="00630443" w:rsidP="00630443" w14:paraId="5CE2BCD3" w14:textId="3503F993">
      <w:bookmarkStart w:id="1" w:name="_Hlk233710989"/>
      <w:r w:rsidRPr="00934E2E">
        <w:t xml:space="preserve">NMFS published an interim final rule (RIN 0648-BN39) and request for comments to create an exception in </w:t>
      </w:r>
      <w:r>
        <w:t xml:space="preserve">in 50 CFR 216.82 to authorize the use of trained and </w:t>
      </w:r>
      <w:r>
        <w:t xml:space="preserve">independently </w:t>
      </w:r>
      <w:r>
        <w:t xml:space="preserve">certified rodent detection dogs to </w:t>
      </w:r>
      <w:r>
        <w:t xml:space="preserve">detect and </w:t>
      </w:r>
      <w:r>
        <w:t>prevent the establishment of invasive rodents on the Pribilof Islands</w:t>
      </w:r>
      <w:r w:rsidRPr="00817BB5">
        <w:t>.</w:t>
      </w:r>
      <w:bookmarkEnd w:id="1"/>
      <w:r w:rsidRPr="00817BB5">
        <w:t xml:space="preserve"> </w:t>
      </w:r>
      <w:r>
        <w:t xml:space="preserve">Current regulations prohibit the </w:t>
      </w:r>
      <w:r w:rsidRPr="005903AA">
        <w:t xml:space="preserve">landing of any dogs at </w:t>
      </w:r>
      <w:r>
        <w:t xml:space="preserve">the </w:t>
      </w:r>
      <w:r w:rsidRPr="005903AA">
        <w:t>Pribilof Island</w:t>
      </w:r>
      <w:r>
        <w:t xml:space="preserve">s in order to prevent the molestation of the fur seal herds (50 CFR 216.82). </w:t>
      </w:r>
      <w:r w:rsidRPr="005151D9">
        <w:t>NMFS has interpreted the molestation of the fur seal herds to include physical disturbance and disease transmission by a dog or its feces.</w:t>
      </w:r>
    </w:p>
    <w:p w:rsidR="009C7446" w:rsidP="00F47E37" w14:paraId="316A711E" w14:textId="77777777">
      <w:pPr>
        <w:tabs>
          <w:tab w:val="left" w:pos="540"/>
        </w:tabs>
      </w:pPr>
    </w:p>
    <w:p w:rsidR="009C7446" w:rsidP="00F47E37" w14:paraId="13583C92" w14:textId="62DA4495">
      <w:pPr>
        <w:tabs>
          <w:tab w:val="left" w:pos="540"/>
        </w:tabs>
      </w:pPr>
      <w:r>
        <w:t xml:space="preserve">In the </w:t>
      </w:r>
      <w:r w:rsidR="00934E2E">
        <w:t>Interim Final</w:t>
      </w:r>
      <w:r>
        <w:t xml:space="preserve"> Rule,</w:t>
      </w:r>
      <w:r w:rsidRPr="00817BB5">
        <w:t xml:space="preserve"> </w:t>
      </w:r>
      <w:r>
        <w:t>NMFS describe</w:t>
      </w:r>
      <w:r w:rsidR="00411082">
        <w:t>s</w:t>
      </w:r>
      <w:r w:rsidR="004631B6">
        <w:t xml:space="preserve"> </w:t>
      </w:r>
      <w:r>
        <w:t xml:space="preserve">the </w:t>
      </w:r>
      <w:r w:rsidRPr="00632651">
        <w:t xml:space="preserve">need </w:t>
      </w:r>
      <w:r>
        <w:t xml:space="preserve">to create the exception to the current regulatory prohibition by allowing the Regional Administrator to authorize the use of rodent detection dogs to respond to any incidents that could otherwise lead to the establishment of a rodent population on any of the Pribilof Islands. </w:t>
      </w:r>
      <w:r w:rsidRPr="00C608DF">
        <w:t>After careful review</w:t>
      </w:r>
      <w:r>
        <w:t xml:space="preserve"> and</w:t>
      </w:r>
      <w:r w:rsidRPr="005D4B1F">
        <w:t xml:space="preserve"> </w:t>
      </w:r>
      <w:r w:rsidRPr="00C608DF">
        <w:t>consideration of public comments, NMFS has determined that landing</w:t>
      </w:r>
      <w:r>
        <w:t xml:space="preserve"> independently</w:t>
      </w:r>
      <w:r w:rsidRPr="00C608DF">
        <w:t xml:space="preserve"> certified and trained </w:t>
      </w:r>
      <w:r>
        <w:t>rodent</w:t>
      </w:r>
      <w:r w:rsidRPr="00C608DF">
        <w:t xml:space="preserve"> detection dog</w:t>
      </w:r>
      <w:r>
        <w:t xml:space="preserve">s, subject to certain conditions to be imposed by NMFS, </w:t>
      </w:r>
      <w:r w:rsidRPr="00C608DF">
        <w:t>would not create any significant environmental risk to fur seals or other wildlife populations on the Pribilof Islands</w:t>
      </w:r>
      <w:r>
        <w:t xml:space="preserve">. </w:t>
      </w:r>
    </w:p>
    <w:p w:rsidR="009C7446" w:rsidP="00F47E37" w14:paraId="7E35CA42" w14:textId="77777777">
      <w:pPr>
        <w:tabs>
          <w:tab w:val="left" w:pos="540"/>
        </w:tabs>
      </w:pPr>
    </w:p>
    <w:p w:rsidR="00F47E37" w:rsidP="00F47E37" w14:paraId="52128D39" w14:textId="619CAAF3">
      <w:pPr>
        <w:tabs>
          <w:tab w:val="left" w:pos="540"/>
        </w:tabs>
      </w:pPr>
      <w:r w:rsidRPr="00F47E37">
        <w:t>Th</w:t>
      </w:r>
      <w:r w:rsidR="009C7446">
        <w:t>is</w:t>
      </w:r>
      <w:r w:rsidRPr="00F47E37">
        <w:t xml:space="preserve"> </w:t>
      </w:r>
      <w:r>
        <w:t>information collection</w:t>
      </w:r>
      <w:r w:rsidRPr="00F47E37">
        <w:t xml:space="preserve"> </w:t>
      </w:r>
      <w:r w:rsidR="009C7446">
        <w:t xml:space="preserve">would </w:t>
      </w:r>
      <w:r w:rsidRPr="00F47E37">
        <w:t>appl</w:t>
      </w:r>
      <w:r w:rsidR="009C7446">
        <w:t>y</w:t>
      </w:r>
      <w:r w:rsidRPr="00F47E37">
        <w:t xml:space="preserve"> to Pribilof Island landowners who apply for an exception</w:t>
      </w:r>
      <w:r>
        <w:t xml:space="preserve"> to the dog prohibition at 50 CFR 216.82. A Pribilof Island landowner must submit a request for authorization to land a rodent detection dog on a Pribilof Island in writing to the NMFS Alaska Regional Administrator and must include the following information: </w:t>
      </w:r>
    </w:p>
    <w:p w:rsidR="00F47E37" w:rsidP="00DB42E0" w14:paraId="2CC09634" w14:textId="443B5D91">
      <w:pPr>
        <w:pStyle w:val="ListParagraph"/>
        <w:numPr>
          <w:ilvl w:val="0"/>
          <w:numId w:val="14"/>
        </w:numPr>
        <w:tabs>
          <w:tab w:val="left" w:pos="900"/>
        </w:tabs>
        <w:spacing w:before="60"/>
        <w:ind w:left="900" w:hanging="450"/>
      </w:pPr>
      <w:r>
        <w:t>Independent certification by an accredited canine scent detection association, company, or organization that the dog has been trained for rodent detection;</w:t>
      </w:r>
    </w:p>
    <w:p w:rsidR="00F47E37" w:rsidP="00DB42E0" w14:paraId="734F2234" w14:textId="6F77F9E8">
      <w:pPr>
        <w:pStyle w:val="ListParagraph"/>
        <w:numPr>
          <w:ilvl w:val="0"/>
          <w:numId w:val="14"/>
        </w:numPr>
        <w:tabs>
          <w:tab w:val="left" w:pos="900"/>
        </w:tabs>
        <w:spacing w:before="60"/>
        <w:ind w:left="900" w:hanging="450"/>
      </w:pPr>
      <w:r>
        <w:t xml:space="preserve"> Certification that the dog will be under the constant voice, electronic, or leash control of a professional dog handler, or otherwise confined, while on the Pribilof Island;</w:t>
      </w:r>
    </w:p>
    <w:p w:rsidR="00F47E37" w:rsidP="00DB42E0" w14:paraId="3DE01283" w14:textId="4787DDB2">
      <w:pPr>
        <w:pStyle w:val="ListParagraph"/>
        <w:numPr>
          <w:ilvl w:val="0"/>
          <w:numId w:val="14"/>
        </w:numPr>
        <w:tabs>
          <w:tab w:val="left" w:pos="900"/>
        </w:tabs>
        <w:spacing w:before="60"/>
        <w:ind w:left="900" w:hanging="450"/>
      </w:pPr>
      <w:r>
        <w:t xml:space="preserve"> Proof that the dog has undergone any quarantine period required by the State of Alaska;</w:t>
      </w:r>
    </w:p>
    <w:p w:rsidR="00F47E37" w:rsidP="00DB42E0" w14:paraId="5832FB8A" w14:textId="06A44C50">
      <w:pPr>
        <w:tabs>
          <w:tab w:val="left" w:pos="900"/>
        </w:tabs>
        <w:spacing w:before="60"/>
        <w:ind w:left="900" w:hanging="450"/>
      </w:pPr>
      <w:r>
        <w:t>(iv)</w:t>
      </w:r>
      <w:r w:rsidR="009C7446">
        <w:tab/>
      </w:r>
      <w:r>
        <w:t xml:space="preserve"> Current immunization and health certifications required by the State of Alaska and NMFS Alaska Regional Administrator;</w:t>
      </w:r>
    </w:p>
    <w:p w:rsidR="00F47E37" w:rsidP="00DB42E0" w14:paraId="36E8AFB4" w14:textId="00911581">
      <w:pPr>
        <w:pStyle w:val="ListParagraph"/>
        <w:numPr>
          <w:ilvl w:val="0"/>
          <w:numId w:val="15"/>
        </w:numPr>
        <w:tabs>
          <w:tab w:val="left" w:pos="900"/>
        </w:tabs>
        <w:spacing w:before="60"/>
      </w:pPr>
      <w:r>
        <w:t xml:space="preserve"> The number of dogs expected to be used;</w:t>
      </w:r>
    </w:p>
    <w:p w:rsidR="00F47E37" w:rsidP="00DB42E0" w14:paraId="17A96CAD" w14:textId="2B03EA62">
      <w:pPr>
        <w:pStyle w:val="ListParagraph"/>
        <w:numPr>
          <w:ilvl w:val="0"/>
          <w:numId w:val="15"/>
        </w:numPr>
        <w:tabs>
          <w:tab w:val="left" w:pos="900"/>
        </w:tabs>
        <w:spacing w:before="60"/>
        <w:ind w:left="900" w:hanging="450"/>
      </w:pPr>
      <w:r>
        <w:t xml:space="preserve"> The professional dog handler’s written plan for collecting and incinerating dog feces;  </w:t>
      </w:r>
    </w:p>
    <w:p w:rsidR="00F47E37" w:rsidP="00DB42E0" w14:paraId="59BAEBFB" w14:textId="08F728D1">
      <w:pPr>
        <w:pStyle w:val="ListParagraph"/>
        <w:numPr>
          <w:ilvl w:val="0"/>
          <w:numId w:val="15"/>
        </w:numPr>
        <w:tabs>
          <w:tab w:val="left" w:pos="900"/>
        </w:tabs>
        <w:spacing w:before="60"/>
        <w:ind w:left="900" w:hanging="450"/>
      </w:pPr>
      <w:r>
        <w:t xml:space="preserve"> The expected duration and location of rodent searches on the Pribilof Island; and</w:t>
      </w:r>
    </w:p>
    <w:p w:rsidR="00F47E37" w:rsidP="00DB42E0" w14:paraId="3A3F9376" w14:textId="13BBC8CC">
      <w:pPr>
        <w:pStyle w:val="ListParagraph"/>
        <w:numPr>
          <w:ilvl w:val="0"/>
          <w:numId w:val="15"/>
        </w:numPr>
        <w:tabs>
          <w:tab w:val="left" w:pos="900"/>
          <w:tab w:val="left" w:pos="1170"/>
        </w:tabs>
        <w:spacing w:before="60"/>
        <w:ind w:left="900" w:hanging="450"/>
      </w:pPr>
      <w:r>
        <w:t xml:space="preserve"> Any other information requested by the Alaska Regional Administrator.</w:t>
      </w:r>
    </w:p>
    <w:p w:rsidR="00F47E37" w:rsidP="00DB42E0" w14:paraId="5373E05C" w14:textId="77777777">
      <w:pPr>
        <w:tabs>
          <w:tab w:val="left" w:pos="540"/>
        </w:tabs>
        <w:ind w:left="900" w:hanging="450"/>
      </w:pPr>
    </w:p>
    <w:p w:rsidR="00D7052D" w:rsidRPr="00D7052D" w:rsidP="00D7052D" w14:paraId="783234E0" w14:textId="1ADFD6FA">
      <w:pPr>
        <w:numPr>
          <w:ilvl w:val="0"/>
          <w:numId w:val="9"/>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7052D" w:rsidP="00D7052D" w14:paraId="464719FD" w14:textId="77777777">
      <w:pPr>
        <w:tabs>
          <w:tab w:val="left" w:pos="540"/>
        </w:tabs>
      </w:pPr>
    </w:p>
    <w:p w:rsidR="00D7052D" w:rsidP="00E26A3C" w14:paraId="72BDA39E" w14:textId="7139D59A">
      <w:pPr>
        <w:tabs>
          <w:tab w:val="left" w:pos="540"/>
        </w:tabs>
      </w:pPr>
      <w:r w:rsidRPr="00625E4D">
        <w:t xml:space="preserve">This collection consists of </w:t>
      </w:r>
      <w:r w:rsidR="00F47E37">
        <w:t xml:space="preserve">subsistence </w:t>
      </w:r>
      <w:r w:rsidRPr="00625E4D">
        <w:t xml:space="preserve">reports submitted by the </w:t>
      </w:r>
      <w:r>
        <w:t>T</w:t>
      </w:r>
      <w:r w:rsidRPr="00625E4D">
        <w:t xml:space="preserve">ribal governments which may be submitted as an attachment to an email. </w:t>
      </w:r>
      <w:r w:rsidR="00F47E37">
        <w:t>The application for the exception under 50 CR 216.82 submitted by Pribilof landowners</w:t>
      </w:r>
      <w:r w:rsidR="00097F6D">
        <w:t xml:space="preserve"> may be submitted as an attachment to an email. </w:t>
      </w:r>
      <w:r w:rsidR="00E26A3C">
        <w:t xml:space="preserve">All submissions are anticipated </w:t>
      </w:r>
      <w:r w:rsidR="00E26A3C">
        <w:t>to be electronic.</w:t>
      </w:r>
    </w:p>
    <w:p w:rsidR="00E26A3C" w:rsidRPr="00E26A3C" w:rsidP="00E26A3C" w14:paraId="731F0915" w14:textId="77777777">
      <w:pPr>
        <w:tabs>
          <w:tab w:val="left" w:pos="540"/>
        </w:tabs>
      </w:pPr>
    </w:p>
    <w:p w:rsidR="00194F42" w14:paraId="5F86CB9A"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D7052D" w:rsidP="00D7052D" w14:paraId="503B0D7C" w14:textId="77777777">
      <w:pPr>
        <w:tabs>
          <w:tab w:val="left" w:pos="540"/>
        </w:tabs>
      </w:pPr>
    </w:p>
    <w:p w:rsidR="001549EE" w:rsidP="00D7052D" w14:paraId="03441626" w14:textId="77777777">
      <w:pPr>
        <w:tabs>
          <w:tab w:val="left" w:pos="540"/>
        </w:tabs>
      </w:pPr>
      <w:r>
        <w:t xml:space="preserve">The NMFS-contracted independent </w:t>
      </w:r>
      <w:r w:rsidR="00C66D68">
        <w:t xml:space="preserve">subsistence </w:t>
      </w:r>
      <w:r w:rsidR="00C66D68">
        <w:t>use</w:t>
      </w:r>
      <w:r>
        <w:t xml:space="preserve"> monitors report annually</w:t>
      </w:r>
      <w:r w:rsidR="00C66D68">
        <w:t xml:space="preserve"> and those reports are used to verify subsistence use reports</w:t>
      </w:r>
      <w:r>
        <w:t xml:space="preserve"> by the Tribal government</w:t>
      </w:r>
      <w:r w:rsidR="00C66D68">
        <w:t>s</w:t>
      </w:r>
      <w:r>
        <w:t>. The purpose of this has been to ensure accurate reporting. It is anticipated that, as the Tribal government’s self-reporting has been</w:t>
      </w:r>
      <w:r w:rsidR="00D22904">
        <w:t xml:space="preserve"> determined</w:t>
      </w:r>
      <w:r>
        <w:t xml:space="preserve"> accurate and thorough, the independent monitoring will be phased out. </w:t>
      </w:r>
    </w:p>
    <w:p w:rsidR="001549EE" w:rsidP="00D7052D" w14:paraId="308D155C" w14:textId="77777777">
      <w:pPr>
        <w:tabs>
          <w:tab w:val="left" w:pos="540"/>
        </w:tabs>
      </w:pPr>
    </w:p>
    <w:p w:rsidR="00D7052D" w:rsidRPr="00625E4D" w:rsidP="00D7052D" w14:paraId="6C1F0F91" w14:textId="27E5A8E5">
      <w:pPr>
        <w:tabs>
          <w:tab w:val="left" w:pos="540"/>
        </w:tabs>
      </w:pPr>
      <w:r>
        <w:t xml:space="preserve">There is no centralized repository of independently certified rodent detection dogs, and each exception to search for invasive rodents on the Pribilof Islands is expected to be unique. </w:t>
      </w:r>
      <w:r w:rsidR="00E26A3C">
        <w:t xml:space="preserve">No additional information collected </w:t>
      </w:r>
      <w:r w:rsidRPr="00625E4D">
        <w:t>as part of this information collection duplicates other collections.</w:t>
      </w:r>
    </w:p>
    <w:p w:rsidR="00D7052D" w14:paraId="0FC3F873" w14:textId="77777777">
      <w:pPr>
        <w:pBdr>
          <w:top w:val="nil"/>
          <w:left w:val="nil"/>
          <w:bottom w:val="nil"/>
          <w:right w:val="nil"/>
          <w:between w:val="nil"/>
        </w:pBdr>
        <w:spacing w:before="161"/>
        <w:rPr>
          <w:color w:val="1F497D"/>
        </w:rPr>
      </w:pPr>
    </w:p>
    <w:p w:rsidR="00194F42" w14:paraId="45D28FED"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AF7A68" w14:paraId="6AAD9FE9" w14:textId="1767BE60">
      <w:pPr>
        <w:pBdr>
          <w:top w:val="nil"/>
          <w:left w:val="nil"/>
          <w:bottom w:val="nil"/>
          <w:right w:val="nil"/>
          <w:between w:val="nil"/>
        </w:pBdr>
        <w:spacing w:before="160"/>
      </w:pPr>
      <w:r w:rsidRPr="00625E4D">
        <w:t xml:space="preserve">The </w:t>
      </w:r>
      <w:r w:rsidR="00934E2E">
        <w:t xml:space="preserve">subsistence use </w:t>
      </w:r>
      <w:r w:rsidRPr="00625E4D">
        <w:t>of northern fur seals on the Pribilof Islands, Alaska, is for subsistence uses only. Th</w:t>
      </w:r>
      <w:r>
        <w:t>e existing regulation</w:t>
      </w:r>
      <w:r w:rsidRPr="00625E4D">
        <w:t xml:space="preserve"> directly regulates the subsistence harvest of northern fur seals by Alaska Natives in the communities of St. George and St. Paul.  The action regulates only the practices and behavior of individual subsistence fur seal hunters/harvesters on St. Paul and St. George Islands, none of whom meet the definition of ‘small entity’ under SBA criteria. </w:t>
      </w:r>
      <w:r w:rsidR="00934E2E">
        <w:t xml:space="preserve">The exception to authorize the deployment of invasive rodent detection dogs applies to </w:t>
      </w:r>
      <w:r w:rsidR="0000303F">
        <w:t>landowners on the Pribilof Islands that includes two local Alaska Native Corporations, municipal, tribal, state and federal government agencies, and individual homeowners</w:t>
      </w:r>
      <w:r w:rsidR="005B7396">
        <w:t xml:space="preserve">. </w:t>
      </w:r>
      <w:r w:rsidR="0081688E">
        <w:t xml:space="preserve"> </w:t>
      </w:r>
      <w:r w:rsidR="005B7396">
        <w:t>T</w:t>
      </w:r>
      <w:r w:rsidR="0081688E">
        <w:t>he tribal and municipal governments are considered small entities</w:t>
      </w:r>
      <w:r w:rsidR="0000303F">
        <w:t xml:space="preserve">. NMFS has met </w:t>
      </w:r>
      <w:r w:rsidR="0081688E">
        <w:t>extensively with tribal governments of St. Paul and St. George Island since 2024</w:t>
      </w:r>
      <w:r w:rsidR="00394BA4">
        <w:t xml:space="preserve"> to determine the minimum information needs to authorize the exception</w:t>
      </w:r>
      <w:r w:rsidR="0081688E">
        <w:t>.</w:t>
      </w:r>
    </w:p>
    <w:p w:rsidR="001549EE" w14:paraId="289E9C52" w14:textId="77777777">
      <w:pPr>
        <w:pBdr>
          <w:top w:val="nil"/>
          <w:left w:val="nil"/>
          <w:bottom w:val="nil"/>
          <w:right w:val="nil"/>
          <w:between w:val="nil"/>
        </w:pBdr>
        <w:spacing w:before="160"/>
      </w:pPr>
    </w:p>
    <w:p w:rsidR="00194F42" w14:paraId="1E95CE76"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1549EE" w14:paraId="3C87222B" w14:textId="77777777">
      <w:pPr>
        <w:pBdr>
          <w:top w:val="nil"/>
          <w:left w:val="nil"/>
          <w:bottom w:val="nil"/>
          <w:right w:val="nil"/>
          <w:between w:val="nil"/>
        </w:pBdr>
        <w:spacing w:before="115"/>
        <w:rPr>
          <w:color w:val="000000"/>
        </w:rPr>
      </w:pPr>
      <w:r>
        <w:rPr>
          <w:color w:val="000000"/>
        </w:rPr>
        <w:t>The regulatory</w:t>
      </w:r>
      <w:r w:rsidR="000C38F0">
        <w:rPr>
          <w:color w:val="000000"/>
        </w:rPr>
        <w:t xml:space="preserve"> requirement to collect subsistence reports was deemed necessary to improve recordkeeping and reporting efficiency and to </w:t>
      </w:r>
      <w:r>
        <w:rPr>
          <w:color w:val="000000"/>
        </w:rPr>
        <w:t>make suspension and termination determinations under 50 CFR 216.72</w:t>
      </w:r>
      <w:r w:rsidR="000C38F0">
        <w:rPr>
          <w:color w:val="000000"/>
        </w:rPr>
        <w:t xml:space="preserve">. </w:t>
      </w:r>
    </w:p>
    <w:p w:rsidR="000C38F0" w:rsidP="001549EE" w14:paraId="19719794" w14:textId="6A85E603">
      <w:pPr>
        <w:pBdr>
          <w:top w:val="nil"/>
          <w:left w:val="nil"/>
          <w:bottom w:val="nil"/>
          <w:right w:val="nil"/>
          <w:between w:val="nil"/>
        </w:pBdr>
        <w:spacing w:before="160"/>
        <w:rPr>
          <w:color w:val="000000"/>
        </w:rPr>
      </w:pPr>
      <w:r>
        <w:t xml:space="preserve">The </w:t>
      </w:r>
      <w:r w:rsidR="005B7396">
        <w:t xml:space="preserve">application for an exception for rodent detecting dog </w:t>
      </w:r>
      <w:r w:rsidRPr="00AF7A68">
        <w:t>rule</w:t>
      </w:r>
      <w:r w:rsidR="005B7396">
        <w:t xml:space="preserve"> (0648-BN39)</w:t>
      </w:r>
      <w:r w:rsidRPr="00AF7A68">
        <w:t xml:space="preserve"> would prevent the establishment of invasive rodents on the Pribilof Islands, </w:t>
      </w:r>
      <w:r>
        <w:t>thereby</w:t>
      </w:r>
      <w:r w:rsidRPr="00AF7A68">
        <w:t xml:space="preserve"> protect</w:t>
      </w:r>
      <w:r>
        <w:t>ing</w:t>
      </w:r>
      <w:r w:rsidRPr="00AF7A68">
        <w:t xml:space="preserve"> the tourist economy, subsistence resources that contribute to food security and the mixed cash-subsistence economy, and public health costs from rodent-borne diseases. Entities that would be directly regulated by this rule are limited to any landowner who requests invasive rodent detection services and the service provider. Landowners on the Pribilof Islands include the Federal government, municipal governments of St. Paul and St. George, and TDX and </w:t>
      </w:r>
      <w:r w:rsidRPr="00AF7A68">
        <w:t>Tanaq</w:t>
      </w:r>
      <w:r w:rsidRPr="00AF7A68">
        <w:t xml:space="preserve">. In addition to private companies, other Federal agencies, such as the U.S. Department of Agriculture, may have rodent detection dogs available. </w:t>
      </w:r>
      <w:r w:rsidR="00AF7A68">
        <w:rPr>
          <w:color w:val="000000"/>
        </w:rPr>
        <w:t>NMFS Regional Administrator could not make determinations to issue an exception to land an independently certified rodent detection dog on the Pribilof Islands in the absence of the information provided by landowners in the application.</w:t>
      </w:r>
    </w:p>
    <w:p w:rsidR="001549EE" w:rsidP="001549EE" w14:paraId="598CD69F" w14:textId="77777777">
      <w:pPr>
        <w:pBdr>
          <w:top w:val="nil"/>
          <w:left w:val="nil"/>
          <w:bottom w:val="nil"/>
          <w:right w:val="nil"/>
          <w:between w:val="nil"/>
        </w:pBdr>
        <w:spacing w:before="160"/>
        <w:rPr>
          <w:color w:val="000000"/>
        </w:rPr>
      </w:pPr>
    </w:p>
    <w:p w:rsidR="00194F42" w14:paraId="45F9FE6D" w14:textId="1B944CB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0C38F0" w:rsidP="000C38F0" w14:paraId="234FCEFD" w14:textId="47C496D4">
      <w:pPr>
        <w:pBdr>
          <w:top w:val="nil"/>
          <w:left w:val="nil"/>
          <w:bottom w:val="nil"/>
          <w:right w:val="nil"/>
          <w:between w:val="nil"/>
        </w:pBdr>
        <w:tabs>
          <w:tab w:val="left" w:pos="360"/>
        </w:tabs>
        <w:spacing w:before="80"/>
        <w:rPr>
          <w:b/>
          <w:color w:val="000000"/>
        </w:rPr>
      </w:pPr>
    </w:p>
    <w:p w:rsidR="000C38F0" w:rsidRPr="000C38F0" w:rsidP="000C38F0" w14:paraId="5BDB1177" w14:textId="7C4804AB">
      <w:pPr>
        <w:pBdr>
          <w:top w:val="nil"/>
          <w:left w:val="nil"/>
          <w:bottom w:val="nil"/>
          <w:right w:val="nil"/>
          <w:between w:val="nil"/>
        </w:pBdr>
        <w:tabs>
          <w:tab w:val="left" w:pos="360"/>
        </w:tabs>
        <w:spacing w:before="80"/>
        <w:rPr>
          <w:bCs/>
          <w:color w:val="000000"/>
        </w:rPr>
      </w:pPr>
      <w:r>
        <w:rPr>
          <w:bCs/>
          <w:color w:val="000000"/>
        </w:rPr>
        <w:t>This collection will be conducted in a manner consistent with OMB guidelines.</w:t>
      </w:r>
    </w:p>
    <w:p w:rsidR="000C38F0" w14:paraId="41DA0530" w14:textId="77777777">
      <w:pPr>
        <w:pBdr>
          <w:top w:val="nil"/>
          <w:left w:val="nil"/>
          <w:bottom w:val="nil"/>
          <w:right w:val="nil"/>
          <w:between w:val="nil"/>
        </w:pBdr>
        <w:spacing w:before="80"/>
        <w:rPr>
          <w:color w:val="000000"/>
        </w:rPr>
      </w:pPr>
    </w:p>
    <w:p w:rsidR="00194F42" w14:paraId="4FA283AA"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549EE" w:rsidRPr="00817BB5" w:rsidP="001549EE" w14:paraId="486F0127" w14:textId="03A966B1">
      <w:pPr>
        <w:spacing w:before="120"/>
      </w:pPr>
      <w:r w:rsidRPr="00394BA4">
        <w:t>NMFS published an interim final rule (RIN 0648-BN39) and request for comments to create an exception in in 50 CFR 216.82 to authorize the use of trained and independently certified rodent detection dogs to detect and prevent the establishment of invasive rodents on the Pribilof Islands.</w:t>
      </w:r>
      <w:r>
        <w:t xml:space="preserve"> This interim final rule included a request for comments on </w:t>
      </w:r>
      <w:r w:rsidRPr="00394BA4">
        <w:t>whether th</w:t>
      </w:r>
      <w:r>
        <w:t>e</w:t>
      </w:r>
      <w:r w:rsidRPr="00394BA4">
        <w:t xml:space="preserve"> proposed collection of information is necessary for the proper performance of the agency's functions, including whether the information shall have practical utility; the accuracy of the burden estimate; ways to enhance the quality, utility, and clarity of the information to be collected; and ways to minimize the burden of the collection of information, including through the use of automated collection techniques or other forms of information technology.</w:t>
      </w:r>
      <w:r w:rsidR="00813F90">
        <w:t xml:space="preserve"> </w:t>
      </w:r>
      <w:r w:rsidR="005B7396">
        <w:t>Any comments received in response to the interim final rule will be addressed in the final rule.</w:t>
      </w:r>
    </w:p>
    <w:p w:rsidR="00AB7101" w:rsidRPr="00AB7101" w:rsidP="00AB7101" w14:paraId="1FCD2A47" w14:textId="26455EA5">
      <w:pPr>
        <w:pBdr>
          <w:top w:val="nil"/>
          <w:left w:val="nil"/>
          <w:bottom w:val="nil"/>
          <w:right w:val="nil"/>
          <w:between w:val="nil"/>
        </w:pBdr>
        <w:spacing w:before="161"/>
      </w:pPr>
      <w:r>
        <w:t xml:space="preserve">Prior to issuing the interim final rule, </w:t>
      </w:r>
      <w:r w:rsidRPr="00AB7101">
        <w:t xml:space="preserve">NOAA consulted with </w:t>
      </w:r>
      <w:r w:rsidR="00A46783">
        <w:t xml:space="preserve">3 tribal members and one employee of the </w:t>
      </w:r>
      <w:r w:rsidR="006E6216">
        <w:t xml:space="preserve">Aleut Community of St. Paul Island, Tribal Government </w:t>
      </w:r>
      <w:r w:rsidR="00A46783">
        <w:t xml:space="preserve">via email </w:t>
      </w:r>
      <w:r w:rsidRPr="00AB7101">
        <w:t xml:space="preserve">to obtain their views on the need for and practical utility of the data collected, the accuracy of the burden and frequency of collection, suggestions to minimize the burden, and ways to improve the clarity of instructions and forms. </w:t>
      </w:r>
      <w:r w:rsidR="00A46783">
        <w:t>No comments were received.</w:t>
      </w:r>
    </w:p>
    <w:p w:rsidR="00194F42" w14:paraId="369BE946" w14:textId="77777777">
      <w:pPr>
        <w:pBdr>
          <w:top w:val="nil"/>
          <w:left w:val="nil"/>
          <w:bottom w:val="nil"/>
          <w:right w:val="nil"/>
          <w:between w:val="nil"/>
        </w:pBdr>
        <w:spacing w:before="159"/>
        <w:rPr>
          <w:color w:val="000000"/>
        </w:rPr>
      </w:pPr>
    </w:p>
    <w:p w:rsidR="00194F42" w14:paraId="1650E737"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1C30F2" w:rsidP="001C30F2" w14:paraId="6DB02F12" w14:textId="77777777">
      <w:pPr>
        <w:tabs>
          <w:tab w:val="left" w:pos="540"/>
        </w:tabs>
      </w:pPr>
    </w:p>
    <w:p w:rsidR="001C30F2" w:rsidRPr="009975BD" w:rsidP="001C30F2" w14:paraId="112A31C6" w14:textId="2F719D21">
      <w:pPr>
        <w:tabs>
          <w:tab w:val="left" w:pos="540"/>
        </w:tabs>
      </w:pPr>
      <w:r w:rsidRPr="009975BD">
        <w:t>This action requires the collection of information about the annual subsistence harvest of northern fur seals on St. George and St. Paul Islands</w:t>
      </w:r>
      <w:r w:rsidR="00813F90">
        <w:t xml:space="preserve"> and requests for an exception to the prohibition on landing dogs on the Pribilof Islands to detect and prevent the establishment of invasive rodents</w:t>
      </w:r>
      <w:r w:rsidRPr="009975BD">
        <w:t xml:space="preserve">. NMFS funding through the Alaska Native Co-management Funding Program provides the opportunity for both the St. George Island Traditional Council and the Aleut Community of St. Paul Island Tribal Government to apply for grant funds to support subsistence harvest monitoring and reporting. Both </w:t>
      </w:r>
      <w:r w:rsidR="00E83D32">
        <w:t>T</w:t>
      </w:r>
      <w:r w:rsidRPr="009975BD">
        <w:t>ribal governments have received funding in the past from NMFS to report the subsistence harvests of northern fur seals, and continue to submit annual funding proposals under the Alaska Native Co-management Funding Program.</w:t>
      </w:r>
    </w:p>
    <w:p w:rsidR="001C30F2" w:rsidP="001C30F2" w14:paraId="037F87BF" w14:textId="77777777">
      <w:pPr>
        <w:tabs>
          <w:tab w:val="left" w:pos="540"/>
        </w:tabs>
      </w:pPr>
    </w:p>
    <w:p w:rsidR="001C30F2" w:rsidRPr="009975BD" w:rsidP="001C30F2" w14:paraId="745852E6" w14:textId="1B0AAC45">
      <w:pPr>
        <w:tabs>
          <w:tab w:val="left" w:pos="540"/>
        </w:tabs>
      </w:pPr>
      <w:r w:rsidRPr="009975BD">
        <w:t>No payment or gift is provided under this program.</w:t>
      </w:r>
    </w:p>
    <w:p w:rsidR="001C30F2" w14:paraId="2A1DAF95" w14:textId="77777777">
      <w:pPr>
        <w:pBdr>
          <w:top w:val="nil"/>
          <w:left w:val="nil"/>
          <w:bottom w:val="nil"/>
          <w:right w:val="nil"/>
          <w:between w:val="nil"/>
        </w:pBdr>
        <w:spacing w:before="161"/>
        <w:rPr>
          <w:color w:val="000000"/>
        </w:rPr>
      </w:pPr>
    </w:p>
    <w:p w:rsidR="00194F42" w14:paraId="6C617CF0" w14:textId="75D09EC6">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9654E4" w:rsidP="00E26A3C" w14:paraId="7FD756AA" w14:textId="77777777">
      <w:pPr>
        <w:tabs>
          <w:tab w:val="left" w:pos="540"/>
        </w:tabs>
        <w:rPr>
          <w:color w:val="2F5496"/>
        </w:rPr>
      </w:pPr>
    </w:p>
    <w:p w:rsidR="001C30F2" w:rsidP="00E26A3C" w14:paraId="261D7790" w14:textId="0CB61C1A">
      <w:pPr>
        <w:tabs>
          <w:tab w:val="left" w:pos="540"/>
        </w:tabs>
      </w:pPr>
      <w:r>
        <w:t xml:space="preserve">The annual subsistence reports are submitted by Tribal governments and no system of record notice is required.  The landowner requests for exception to the dog prohibition is covered by SORN </w:t>
      </w:r>
      <w:hyperlink r:id="rId13" w:history="1">
        <w:r w:rsidRPr="00947223">
          <w:rPr>
            <w:rStyle w:val="Hyperlink"/>
          </w:rPr>
          <w:t>NOAA-11</w:t>
        </w:r>
      </w:hyperlink>
      <w:r>
        <w:rPr>
          <w:rStyle w:val="FootnoteReference"/>
        </w:rPr>
        <w:footnoteReference w:id="8"/>
      </w:r>
      <w:r>
        <w:t xml:space="preserve">, Contact Information for Members of the Public Requesting or Providing Information Related to NOAA’s Mission.  </w:t>
      </w:r>
      <w:r w:rsidR="004524F9">
        <w:t xml:space="preserve">The privacy impact assessment for NOAA information system </w:t>
      </w:r>
      <w:hyperlink r:id="rId14" w:history="1">
        <w:r w:rsidRPr="004524F9" w:rsidR="004524F9">
          <w:rPr>
            <w:rStyle w:val="Hyperlink"/>
          </w:rPr>
          <w:t>NOAA4700</w:t>
        </w:r>
      </w:hyperlink>
      <w:r>
        <w:rPr>
          <w:rStyle w:val="FootnoteReference"/>
        </w:rPr>
        <w:footnoteReference w:id="9"/>
      </w:r>
      <w:r w:rsidR="004524F9">
        <w:t xml:space="preserve"> explains the security and privacy controls for this information. </w:t>
      </w:r>
      <w:r w:rsidRPr="009975BD">
        <w:t>The information collected is not confidential.</w:t>
      </w:r>
      <w:r>
        <w:t xml:space="preserve"> </w:t>
      </w:r>
    </w:p>
    <w:p w:rsidR="00E26A3C" w:rsidRPr="00E26A3C" w:rsidP="00E26A3C" w14:paraId="351D5F7A" w14:textId="77777777">
      <w:pPr>
        <w:tabs>
          <w:tab w:val="left" w:pos="540"/>
        </w:tabs>
      </w:pPr>
    </w:p>
    <w:p w:rsidR="00194F42" w14:paraId="71747075"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4F42" w14:paraId="0B64FAF3" w14:textId="77777777">
      <w:pPr>
        <w:spacing w:line="259" w:lineRule="auto"/>
        <w:rPr>
          <w:color w:val="2F5496"/>
        </w:rPr>
      </w:pPr>
    </w:p>
    <w:p w:rsidR="001C30F2" w:rsidRPr="009975BD" w:rsidP="001C30F2" w14:paraId="06943269" w14:textId="0AC769E3">
      <w:pPr>
        <w:tabs>
          <w:tab w:val="left" w:pos="540"/>
        </w:tabs>
      </w:pPr>
      <w:r>
        <w:t>No information of a sensitive nature will be requested as part of this collection of information.</w:t>
      </w:r>
    </w:p>
    <w:p w:rsidR="001C30F2" w14:paraId="2780B2ED" w14:textId="4CEFBC5A">
      <w:pPr>
        <w:spacing w:line="259" w:lineRule="auto"/>
        <w:rPr>
          <w:color w:val="2F5496"/>
        </w:rPr>
        <w:sectPr w:rsidSect="005D0C10">
          <w:footerReference w:type="default" r:id="rId15"/>
          <w:pgSz w:w="12240" w:h="15840"/>
          <w:pgMar w:top="990" w:right="1080" w:bottom="1200" w:left="1080" w:header="0" w:footer="714" w:gutter="0"/>
          <w:pgNumType w:start="1"/>
          <w:cols w:space="720"/>
        </w:sectPr>
      </w:pPr>
    </w:p>
    <w:p w:rsidR="00194F42" w14:paraId="0F5CFBCD" w14:textId="77777777">
      <w:pPr>
        <w:spacing w:line="259" w:lineRule="auto"/>
        <w:rPr>
          <w:color w:val="2F5496"/>
        </w:rPr>
      </w:pPr>
    </w:p>
    <w:p w:rsidR="00194F42" w14:paraId="7D34A8CF"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194F42" w:rsidRPr="00813F90" w14:paraId="04D5E1A5" w14:textId="77777777">
      <w:pPr>
        <w:spacing w:line="259" w:lineRule="auto"/>
        <w:ind w:hanging="43"/>
        <w:jc w:val="center"/>
        <w:rPr>
          <w:b/>
        </w:rPr>
      </w:pPr>
    </w:p>
    <w:tbl>
      <w:tblPr>
        <w:tblStyle w:val="a0"/>
        <w:tblW w:w="14415" w:type="dxa"/>
        <w:tblInd w:w="-140" w:type="dxa"/>
        <w:tblLayout w:type="fixed"/>
        <w:tblLook w:val="0400"/>
      </w:tblPr>
      <w:tblGrid>
        <w:gridCol w:w="3510"/>
        <w:gridCol w:w="1890"/>
        <w:gridCol w:w="1185"/>
        <w:gridCol w:w="1320"/>
        <w:gridCol w:w="1215"/>
        <w:gridCol w:w="1080"/>
        <w:gridCol w:w="1185"/>
        <w:gridCol w:w="1440"/>
        <w:gridCol w:w="1590"/>
      </w:tblGrid>
      <w:tr w14:paraId="7FCA9D8D" w14:textId="77777777">
        <w:tblPrEx>
          <w:tblW w:w="14415" w:type="dxa"/>
          <w:tblInd w:w="-140" w:type="dxa"/>
          <w:tblLayout w:type="fixed"/>
          <w:tblLook w:val="0400"/>
        </w:tblPrEx>
        <w:trPr>
          <w:trHeight w:val="1365"/>
        </w:trPr>
        <w:tc>
          <w:tcPr>
            <w:tcW w:w="35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194F42" w14:paraId="1C3E364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194F42" w14:paraId="19B4481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194F42" w14:paraId="343F349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320" w:type="dxa"/>
            <w:tcBorders>
              <w:top w:val="single" w:sz="8" w:space="0" w:color="000000"/>
              <w:left w:val="nil"/>
              <w:bottom w:val="single" w:sz="8" w:space="0" w:color="000000"/>
              <w:right w:val="single" w:sz="8" w:space="0" w:color="000000"/>
            </w:tcBorders>
            <w:shd w:val="clear" w:color="auto" w:fill="BDD7EE"/>
            <w:vAlign w:val="center"/>
          </w:tcPr>
          <w:p w:rsidR="00194F42" w14:paraId="77D227B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215" w:type="dxa"/>
            <w:tcBorders>
              <w:top w:val="single" w:sz="8" w:space="0" w:color="000000"/>
              <w:left w:val="nil"/>
              <w:bottom w:val="single" w:sz="8" w:space="0" w:color="000000"/>
              <w:right w:val="single" w:sz="8" w:space="0" w:color="000000"/>
            </w:tcBorders>
            <w:shd w:val="clear" w:color="auto" w:fill="BDD7EE"/>
            <w:vAlign w:val="center"/>
          </w:tcPr>
          <w:p w:rsidR="00194F42" w14:paraId="544AE95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194F42" w14:paraId="58E7195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194F42" w14:paraId="34C494F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194F42" w14:paraId="7493D0E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590" w:type="dxa"/>
            <w:tcBorders>
              <w:top w:val="single" w:sz="8" w:space="0" w:color="000000"/>
              <w:left w:val="nil"/>
              <w:bottom w:val="single" w:sz="8" w:space="0" w:color="000000"/>
              <w:right w:val="single" w:sz="8" w:space="0" w:color="000000"/>
            </w:tcBorders>
            <w:shd w:val="clear" w:color="auto" w:fill="BDD7EE"/>
            <w:vAlign w:val="center"/>
          </w:tcPr>
          <w:p w:rsidR="00194F42" w14:paraId="65C2DDFA" w14:textId="77777777">
            <w:pPr>
              <w:widowControl/>
              <w:ind w:right="-3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49179C11" w14:textId="77777777" w:rsidTr="00936A82">
        <w:tblPrEx>
          <w:tblW w:w="14415" w:type="dxa"/>
          <w:tblInd w:w="-140"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center"/>
          </w:tcPr>
          <w:p w:rsidR="00194F42" w:rsidP="00936A82" w14:paraId="1B0B3358" w14:textId="06D69C03">
            <w:pPr>
              <w:widowControl/>
              <w:jc w:val="center"/>
              <w:rPr>
                <w:rFonts w:ascii="Calibri" w:eastAsia="Calibri" w:hAnsi="Calibri" w:cs="Calibri"/>
                <w:color w:val="000000"/>
                <w:sz w:val="16"/>
                <w:szCs w:val="16"/>
              </w:rPr>
            </w:pPr>
            <w:r>
              <w:rPr>
                <w:rFonts w:ascii="Calibri" w:eastAsia="Calibri" w:hAnsi="Calibri" w:cs="Calibri"/>
                <w:color w:val="000000"/>
                <w:sz w:val="16"/>
                <w:szCs w:val="16"/>
              </w:rPr>
              <w:t>Northern fur seal subsistence reports</w:t>
            </w:r>
          </w:p>
        </w:tc>
        <w:tc>
          <w:tcPr>
            <w:tcW w:w="1890" w:type="dxa"/>
            <w:tcBorders>
              <w:top w:val="nil"/>
              <w:left w:val="nil"/>
              <w:bottom w:val="single" w:sz="4" w:space="0" w:color="000000"/>
              <w:right w:val="single" w:sz="4" w:space="0" w:color="000000"/>
            </w:tcBorders>
            <w:shd w:val="clear" w:color="auto" w:fill="auto"/>
            <w:vAlign w:val="center"/>
          </w:tcPr>
          <w:p w:rsidR="00194F42" w:rsidP="00936A82" w14:paraId="17BD7A08" w14:textId="21944E67">
            <w:pPr>
              <w:widowControl/>
              <w:jc w:val="center"/>
              <w:rPr>
                <w:rFonts w:ascii="Calibri" w:eastAsia="Calibri" w:hAnsi="Calibri" w:cs="Calibri"/>
                <w:color w:val="000000"/>
                <w:sz w:val="16"/>
                <w:szCs w:val="16"/>
              </w:rPr>
            </w:pPr>
            <w:r>
              <w:rPr>
                <w:rFonts w:ascii="Calibri" w:eastAsia="Calibri" w:hAnsi="Calibri" w:cs="Calibri"/>
                <w:color w:val="000000"/>
                <w:sz w:val="16"/>
                <w:szCs w:val="16"/>
              </w:rPr>
              <w:t>Tribal government</w:t>
            </w:r>
            <w:r w:rsidR="00DA5BF1">
              <w:rPr>
                <w:rFonts w:ascii="Calibri" w:eastAsia="Calibri" w:hAnsi="Calibri" w:cs="Calibri"/>
                <w:color w:val="000000"/>
                <w:sz w:val="16"/>
                <w:szCs w:val="16"/>
              </w:rPr>
              <w:t xml:space="preserve"> of St. Paul Island</w:t>
            </w:r>
            <w:r w:rsidR="00A30D6C">
              <w:rPr>
                <w:rFonts w:ascii="Calibri" w:eastAsia="Calibri" w:hAnsi="Calibri" w:cs="Calibri"/>
                <w:color w:val="000000"/>
                <w:sz w:val="16"/>
                <w:szCs w:val="16"/>
              </w:rPr>
              <w:t>, Biological Scientists</w:t>
            </w:r>
          </w:p>
        </w:tc>
        <w:tc>
          <w:tcPr>
            <w:tcW w:w="1185" w:type="dxa"/>
            <w:tcBorders>
              <w:top w:val="nil"/>
              <w:left w:val="nil"/>
              <w:bottom w:val="single" w:sz="4" w:space="0" w:color="000000"/>
              <w:right w:val="single" w:sz="4" w:space="0" w:color="000000"/>
            </w:tcBorders>
            <w:shd w:val="clear" w:color="auto" w:fill="auto"/>
            <w:vAlign w:val="center"/>
          </w:tcPr>
          <w:p w:rsidR="00194F42" w:rsidP="00936A82" w14:paraId="5AFF4E2F" w14:textId="4A94393E">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320" w:type="dxa"/>
            <w:tcBorders>
              <w:top w:val="nil"/>
              <w:left w:val="nil"/>
              <w:bottom w:val="single" w:sz="4" w:space="0" w:color="000000"/>
              <w:right w:val="single" w:sz="4" w:space="0" w:color="000000"/>
            </w:tcBorders>
            <w:shd w:val="clear" w:color="auto" w:fill="auto"/>
            <w:vAlign w:val="center"/>
          </w:tcPr>
          <w:p w:rsidR="00194F42" w:rsidP="00936A82" w14:paraId="0F6753A5" w14:textId="3364ED4B">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215" w:type="dxa"/>
            <w:tcBorders>
              <w:top w:val="nil"/>
              <w:left w:val="nil"/>
              <w:bottom w:val="single" w:sz="4" w:space="0" w:color="000000"/>
              <w:right w:val="single" w:sz="4" w:space="0" w:color="000000"/>
            </w:tcBorders>
            <w:shd w:val="clear" w:color="auto" w:fill="auto"/>
            <w:vAlign w:val="center"/>
          </w:tcPr>
          <w:p w:rsidR="00194F42" w:rsidP="00936A82" w14:paraId="0A008A01" w14:textId="41F0340E">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80" w:type="dxa"/>
            <w:tcBorders>
              <w:top w:val="nil"/>
              <w:left w:val="nil"/>
              <w:bottom w:val="single" w:sz="4" w:space="0" w:color="000000"/>
              <w:right w:val="single" w:sz="4" w:space="0" w:color="000000"/>
            </w:tcBorders>
            <w:shd w:val="clear" w:color="auto" w:fill="auto"/>
            <w:vAlign w:val="center"/>
          </w:tcPr>
          <w:p w:rsidR="00194F42" w:rsidP="00936A82" w14:paraId="51BB1085" w14:textId="3709E6D0">
            <w:pPr>
              <w:widowControl/>
              <w:jc w:val="center"/>
              <w:rPr>
                <w:rFonts w:ascii="Calibri" w:eastAsia="Calibri" w:hAnsi="Calibri" w:cs="Calibri"/>
                <w:color w:val="000000"/>
                <w:sz w:val="16"/>
                <w:szCs w:val="16"/>
              </w:rPr>
            </w:pPr>
            <w:r>
              <w:rPr>
                <w:rFonts w:ascii="Calibri" w:eastAsia="Calibri" w:hAnsi="Calibri" w:cs="Calibri"/>
                <w:color w:val="000000"/>
                <w:sz w:val="16"/>
                <w:szCs w:val="16"/>
              </w:rPr>
              <w:t>8</w:t>
            </w:r>
            <w:r w:rsidR="00B71A5C">
              <w:rPr>
                <w:rFonts w:ascii="Calibri" w:eastAsia="Calibri" w:hAnsi="Calibri" w:cs="Calibri"/>
                <w:color w:val="000000"/>
                <w:sz w:val="16"/>
                <w:szCs w:val="16"/>
              </w:rPr>
              <w:t>0</w:t>
            </w:r>
          </w:p>
        </w:tc>
        <w:tc>
          <w:tcPr>
            <w:tcW w:w="1185" w:type="dxa"/>
            <w:tcBorders>
              <w:top w:val="nil"/>
              <w:left w:val="nil"/>
              <w:bottom w:val="single" w:sz="4" w:space="0" w:color="000000"/>
              <w:right w:val="single" w:sz="4" w:space="0" w:color="000000"/>
            </w:tcBorders>
            <w:shd w:val="clear" w:color="auto" w:fill="auto"/>
            <w:vAlign w:val="center"/>
          </w:tcPr>
          <w:p w:rsidR="00194F42" w:rsidP="00936A82" w14:paraId="10759516" w14:textId="11E8785B">
            <w:pPr>
              <w:widowControl/>
              <w:jc w:val="center"/>
              <w:rPr>
                <w:rFonts w:ascii="Calibri" w:eastAsia="Calibri" w:hAnsi="Calibri" w:cs="Calibri"/>
                <w:color w:val="000000"/>
                <w:sz w:val="16"/>
                <w:szCs w:val="16"/>
              </w:rPr>
            </w:pPr>
            <w:r>
              <w:rPr>
                <w:rFonts w:ascii="Calibri" w:eastAsia="Calibri" w:hAnsi="Calibri" w:cs="Calibri"/>
                <w:color w:val="000000"/>
                <w:sz w:val="16"/>
                <w:szCs w:val="16"/>
              </w:rPr>
              <w:t>8</w:t>
            </w:r>
            <w:r w:rsidR="00B71A5C">
              <w:rPr>
                <w:rFonts w:ascii="Calibri" w:eastAsia="Calibri" w:hAnsi="Calibri" w:cs="Calibri"/>
                <w:color w:val="000000"/>
                <w:sz w:val="16"/>
                <w:szCs w:val="16"/>
              </w:rPr>
              <w:t>0</w:t>
            </w:r>
          </w:p>
        </w:tc>
        <w:tc>
          <w:tcPr>
            <w:tcW w:w="1440" w:type="dxa"/>
            <w:tcBorders>
              <w:top w:val="nil"/>
              <w:left w:val="nil"/>
              <w:bottom w:val="single" w:sz="4" w:space="0" w:color="000000"/>
              <w:right w:val="single" w:sz="4" w:space="0" w:color="000000"/>
            </w:tcBorders>
            <w:shd w:val="clear" w:color="auto" w:fill="auto"/>
            <w:vAlign w:val="center"/>
          </w:tcPr>
          <w:p w:rsidR="00194F42" w:rsidP="00936A82" w14:paraId="09E52D82" w14:textId="1C81DCD7">
            <w:pPr>
              <w:widowControl/>
              <w:jc w:val="center"/>
              <w:rPr>
                <w:rFonts w:ascii="Calibri" w:eastAsia="Calibri" w:hAnsi="Calibri" w:cs="Calibri"/>
                <w:color w:val="000000"/>
                <w:sz w:val="16"/>
                <w:szCs w:val="16"/>
              </w:rPr>
            </w:pPr>
            <w:r w:rsidRPr="00A30D6C">
              <w:rPr>
                <w:rFonts w:ascii="Calibri" w:eastAsia="Calibri" w:hAnsi="Calibri" w:cs="Calibri"/>
                <w:color w:val="000000"/>
                <w:sz w:val="16"/>
                <w:szCs w:val="16"/>
              </w:rPr>
              <w:t>$</w:t>
            </w:r>
            <w:r w:rsidR="00C03D1B">
              <w:rPr>
                <w:rFonts w:ascii="Calibri" w:eastAsia="Calibri" w:hAnsi="Calibri" w:cs="Calibri"/>
                <w:color w:val="000000"/>
                <w:sz w:val="16"/>
                <w:szCs w:val="16"/>
              </w:rPr>
              <w:t>50.87</w:t>
            </w:r>
          </w:p>
        </w:tc>
        <w:tc>
          <w:tcPr>
            <w:tcW w:w="1590" w:type="dxa"/>
            <w:tcBorders>
              <w:top w:val="nil"/>
              <w:left w:val="nil"/>
              <w:bottom w:val="single" w:sz="4" w:space="0" w:color="000000"/>
              <w:right w:val="single" w:sz="8" w:space="0" w:color="000000"/>
            </w:tcBorders>
            <w:shd w:val="clear" w:color="auto" w:fill="auto"/>
            <w:vAlign w:val="center"/>
          </w:tcPr>
          <w:p w:rsidR="00194F42" w:rsidP="00936A82" w14:paraId="380F96C4" w14:textId="439A87FA">
            <w:pPr>
              <w:widowControl/>
              <w:jc w:val="center"/>
              <w:rPr>
                <w:rFonts w:ascii="Calibri" w:eastAsia="Calibri" w:hAnsi="Calibri" w:cs="Calibri"/>
                <w:color w:val="000000"/>
                <w:sz w:val="16"/>
                <w:szCs w:val="16"/>
              </w:rPr>
            </w:pPr>
            <w:r w:rsidRPr="00A30D6C">
              <w:rPr>
                <w:rFonts w:ascii="Calibri" w:eastAsia="Calibri" w:hAnsi="Calibri" w:cs="Calibri"/>
                <w:color w:val="000000"/>
                <w:sz w:val="16"/>
                <w:szCs w:val="16"/>
              </w:rPr>
              <w:t>$</w:t>
            </w:r>
            <w:r w:rsidR="00C03D1B">
              <w:rPr>
                <w:rFonts w:ascii="Calibri" w:eastAsia="Calibri" w:hAnsi="Calibri" w:cs="Calibri"/>
                <w:color w:val="000000"/>
                <w:sz w:val="16"/>
                <w:szCs w:val="16"/>
              </w:rPr>
              <w:t>4,070</w:t>
            </w:r>
          </w:p>
        </w:tc>
      </w:tr>
      <w:tr w14:paraId="52B153E0" w14:textId="77777777" w:rsidTr="00936A82">
        <w:tblPrEx>
          <w:tblW w:w="14415" w:type="dxa"/>
          <w:tblInd w:w="-140"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center"/>
          </w:tcPr>
          <w:p w:rsidR="00194F42" w:rsidP="00936A82" w14:paraId="29CB213A" w14:textId="18D23140">
            <w:pPr>
              <w:widowControl/>
              <w:jc w:val="center"/>
              <w:rPr>
                <w:rFonts w:ascii="Calibri" w:eastAsia="Calibri" w:hAnsi="Calibri" w:cs="Calibri"/>
                <w:color w:val="000000"/>
                <w:sz w:val="16"/>
                <w:szCs w:val="16"/>
              </w:rPr>
            </w:pPr>
            <w:r>
              <w:rPr>
                <w:rFonts w:ascii="Calibri" w:eastAsia="Calibri" w:hAnsi="Calibri" w:cs="Calibri"/>
                <w:color w:val="000000"/>
                <w:sz w:val="16"/>
                <w:szCs w:val="16"/>
              </w:rPr>
              <w:t>Northern fur seal subsistence reports</w:t>
            </w:r>
          </w:p>
        </w:tc>
        <w:tc>
          <w:tcPr>
            <w:tcW w:w="1890" w:type="dxa"/>
            <w:tcBorders>
              <w:top w:val="nil"/>
              <w:left w:val="nil"/>
              <w:bottom w:val="single" w:sz="4" w:space="0" w:color="000000"/>
              <w:right w:val="single" w:sz="4" w:space="0" w:color="000000"/>
            </w:tcBorders>
            <w:shd w:val="clear" w:color="auto" w:fill="auto"/>
            <w:vAlign w:val="center"/>
          </w:tcPr>
          <w:p w:rsidR="00194F42" w:rsidP="00936A82" w14:paraId="70C67ADF" w14:textId="609A5A22">
            <w:pPr>
              <w:widowControl/>
              <w:jc w:val="center"/>
              <w:rPr>
                <w:rFonts w:ascii="Calibri" w:eastAsia="Calibri" w:hAnsi="Calibri" w:cs="Calibri"/>
                <w:color w:val="000000"/>
                <w:sz w:val="16"/>
                <w:szCs w:val="16"/>
              </w:rPr>
            </w:pPr>
            <w:r>
              <w:rPr>
                <w:rFonts w:ascii="Calibri" w:eastAsia="Calibri" w:hAnsi="Calibri" w:cs="Calibri"/>
                <w:color w:val="000000"/>
                <w:sz w:val="16"/>
                <w:szCs w:val="16"/>
              </w:rPr>
              <w:t>Tribal government of St. George Island</w:t>
            </w:r>
            <w:r w:rsidR="00A30D6C">
              <w:rPr>
                <w:rFonts w:ascii="Calibri" w:eastAsia="Calibri" w:hAnsi="Calibri" w:cs="Calibri"/>
                <w:color w:val="000000"/>
                <w:sz w:val="16"/>
                <w:szCs w:val="16"/>
              </w:rPr>
              <w:t>, Biological Scientists</w:t>
            </w:r>
          </w:p>
        </w:tc>
        <w:tc>
          <w:tcPr>
            <w:tcW w:w="1185" w:type="dxa"/>
            <w:tcBorders>
              <w:top w:val="nil"/>
              <w:left w:val="nil"/>
              <w:bottom w:val="single" w:sz="4" w:space="0" w:color="000000"/>
              <w:right w:val="single" w:sz="4" w:space="0" w:color="000000"/>
            </w:tcBorders>
            <w:shd w:val="clear" w:color="auto" w:fill="auto"/>
            <w:vAlign w:val="center"/>
          </w:tcPr>
          <w:p w:rsidR="00194F42" w:rsidP="00936A82" w14:paraId="09649DD3" w14:textId="1C9DB2AD">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320" w:type="dxa"/>
            <w:tcBorders>
              <w:top w:val="nil"/>
              <w:left w:val="nil"/>
              <w:bottom w:val="single" w:sz="4" w:space="0" w:color="000000"/>
              <w:right w:val="single" w:sz="4" w:space="0" w:color="000000"/>
            </w:tcBorders>
            <w:shd w:val="clear" w:color="auto" w:fill="auto"/>
            <w:vAlign w:val="center"/>
          </w:tcPr>
          <w:p w:rsidR="00194F42" w:rsidP="00936A82" w14:paraId="74074ED6" w14:textId="1E5DF6C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215" w:type="dxa"/>
            <w:tcBorders>
              <w:top w:val="nil"/>
              <w:left w:val="nil"/>
              <w:bottom w:val="single" w:sz="4" w:space="0" w:color="000000"/>
              <w:right w:val="single" w:sz="4" w:space="0" w:color="000000"/>
            </w:tcBorders>
            <w:shd w:val="clear" w:color="auto" w:fill="auto"/>
            <w:vAlign w:val="center"/>
          </w:tcPr>
          <w:p w:rsidR="00194F42" w:rsidP="00936A82" w14:paraId="576867DE" w14:textId="15D10138">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80" w:type="dxa"/>
            <w:tcBorders>
              <w:top w:val="nil"/>
              <w:left w:val="nil"/>
              <w:bottom w:val="single" w:sz="4" w:space="0" w:color="000000"/>
              <w:right w:val="single" w:sz="4" w:space="0" w:color="000000"/>
            </w:tcBorders>
            <w:shd w:val="clear" w:color="auto" w:fill="auto"/>
            <w:vAlign w:val="center"/>
          </w:tcPr>
          <w:p w:rsidR="00194F42" w:rsidP="00936A82" w14:paraId="5B65A0DD" w14:textId="4C3F9BC0">
            <w:pPr>
              <w:widowControl/>
              <w:jc w:val="center"/>
              <w:rPr>
                <w:rFonts w:ascii="Calibri" w:eastAsia="Calibri" w:hAnsi="Calibri" w:cs="Calibri"/>
                <w:color w:val="000000"/>
                <w:sz w:val="16"/>
                <w:szCs w:val="16"/>
              </w:rPr>
            </w:pPr>
            <w:r>
              <w:rPr>
                <w:rFonts w:ascii="Calibri" w:eastAsia="Calibri" w:hAnsi="Calibri" w:cs="Calibri"/>
                <w:color w:val="000000"/>
                <w:sz w:val="16"/>
                <w:szCs w:val="16"/>
              </w:rPr>
              <w:t>8</w:t>
            </w:r>
            <w:r w:rsidR="00B71A5C">
              <w:rPr>
                <w:rFonts w:ascii="Calibri" w:eastAsia="Calibri" w:hAnsi="Calibri" w:cs="Calibri"/>
                <w:color w:val="000000"/>
                <w:sz w:val="16"/>
                <w:szCs w:val="16"/>
              </w:rPr>
              <w:t>0</w:t>
            </w:r>
          </w:p>
        </w:tc>
        <w:tc>
          <w:tcPr>
            <w:tcW w:w="1185" w:type="dxa"/>
            <w:tcBorders>
              <w:top w:val="nil"/>
              <w:left w:val="nil"/>
              <w:bottom w:val="single" w:sz="4" w:space="0" w:color="000000"/>
              <w:right w:val="single" w:sz="4" w:space="0" w:color="000000"/>
            </w:tcBorders>
            <w:shd w:val="clear" w:color="auto" w:fill="auto"/>
            <w:vAlign w:val="center"/>
          </w:tcPr>
          <w:p w:rsidR="00194F42" w:rsidP="00936A82" w14:paraId="64D929BB" w14:textId="0E287B6B">
            <w:pPr>
              <w:widowControl/>
              <w:jc w:val="center"/>
              <w:rPr>
                <w:rFonts w:ascii="Calibri" w:eastAsia="Calibri" w:hAnsi="Calibri" w:cs="Calibri"/>
                <w:color w:val="000000"/>
                <w:sz w:val="16"/>
                <w:szCs w:val="16"/>
              </w:rPr>
            </w:pPr>
            <w:r>
              <w:rPr>
                <w:rFonts w:ascii="Calibri" w:eastAsia="Calibri" w:hAnsi="Calibri" w:cs="Calibri"/>
                <w:color w:val="000000"/>
                <w:sz w:val="16"/>
                <w:szCs w:val="16"/>
              </w:rPr>
              <w:t>80</w:t>
            </w:r>
          </w:p>
        </w:tc>
        <w:tc>
          <w:tcPr>
            <w:tcW w:w="1440" w:type="dxa"/>
            <w:tcBorders>
              <w:top w:val="nil"/>
              <w:left w:val="nil"/>
              <w:bottom w:val="single" w:sz="4" w:space="0" w:color="000000"/>
              <w:right w:val="single" w:sz="4" w:space="0" w:color="000000"/>
            </w:tcBorders>
            <w:shd w:val="clear" w:color="auto" w:fill="auto"/>
            <w:vAlign w:val="center"/>
          </w:tcPr>
          <w:p w:rsidR="00194F42" w:rsidP="00936A82" w14:paraId="7A22D6E7" w14:textId="17E04A69">
            <w:pPr>
              <w:widowControl/>
              <w:jc w:val="center"/>
              <w:rPr>
                <w:rFonts w:ascii="Calibri" w:eastAsia="Calibri" w:hAnsi="Calibri" w:cs="Calibri"/>
                <w:color w:val="000000"/>
                <w:sz w:val="16"/>
                <w:szCs w:val="16"/>
              </w:rPr>
            </w:pPr>
            <w:r w:rsidRPr="00A30D6C">
              <w:rPr>
                <w:rFonts w:ascii="Calibri" w:eastAsia="Calibri" w:hAnsi="Calibri" w:cs="Calibri"/>
                <w:color w:val="000000"/>
                <w:sz w:val="16"/>
                <w:szCs w:val="16"/>
              </w:rPr>
              <w:t>$</w:t>
            </w:r>
            <w:r w:rsidR="00C03D1B">
              <w:rPr>
                <w:rFonts w:ascii="Calibri" w:eastAsia="Calibri" w:hAnsi="Calibri" w:cs="Calibri"/>
                <w:color w:val="000000"/>
                <w:sz w:val="16"/>
                <w:szCs w:val="16"/>
              </w:rPr>
              <w:t>50.87</w:t>
            </w:r>
          </w:p>
        </w:tc>
        <w:tc>
          <w:tcPr>
            <w:tcW w:w="1590" w:type="dxa"/>
            <w:tcBorders>
              <w:top w:val="nil"/>
              <w:left w:val="nil"/>
              <w:bottom w:val="single" w:sz="4" w:space="0" w:color="000000"/>
              <w:right w:val="single" w:sz="8" w:space="0" w:color="000000"/>
            </w:tcBorders>
            <w:shd w:val="clear" w:color="auto" w:fill="auto"/>
            <w:vAlign w:val="center"/>
          </w:tcPr>
          <w:p w:rsidR="00194F42" w:rsidP="00936A82" w14:paraId="259B524E" w14:textId="60DF38A6">
            <w:pPr>
              <w:widowControl/>
              <w:jc w:val="center"/>
              <w:rPr>
                <w:rFonts w:ascii="Calibri" w:eastAsia="Calibri" w:hAnsi="Calibri" w:cs="Calibri"/>
                <w:color w:val="000000"/>
                <w:sz w:val="16"/>
                <w:szCs w:val="16"/>
              </w:rPr>
            </w:pPr>
            <w:r w:rsidRPr="00A30D6C">
              <w:rPr>
                <w:rFonts w:ascii="Calibri" w:eastAsia="Calibri" w:hAnsi="Calibri" w:cs="Calibri"/>
                <w:color w:val="000000"/>
                <w:sz w:val="16"/>
                <w:szCs w:val="16"/>
              </w:rPr>
              <w:t>$</w:t>
            </w:r>
            <w:r w:rsidR="00C03D1B">
              <w:rPr>
                <w:rFonts w:ascii="Calibri" w:eastAsia="Calibri" w:hAnsi="Calibri" w:cs="Calibri"/>
                <w:color w:val="000000"/>
                <w:sz w:val="16"/>
                <w:szCs w:val="16"/>
              </w:rPr>
              <w:t>4,070</w:t>
            </w:r>
          </w:p>
        </w:tc>
      </w:tr>
      <w:tr w14:paraId="1DAFA69B" w14:textId="77777777" w:rsidTr="00936A82">
        <w:tblPrEx>
          <w:tblW w:w="14415" w:type="dxa"/>
          <w:tblInd w:w="-140"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FFFFFF" w:themeFill="background1"/>
            <w:vAlign w:val="center"/>
          </w:tcPr>
          <w:p w:rsidR="00505697" w:rsidP="00936A82" w14:paraId="450CC3F8" w14:textId="7DB776C9">
            <w:pPr>
              <w:widowControl/>
              <w:jc w:val="center"/>
              <w:rPr>
                <w:rFonts w:ascii="Calibri" w:eastAsia="Calibri" w:hAnsi="Calibri" w:cs="Calibri"/>
                <w:color w:val="000000"/>
                <w:sz w:val="16"/>
                <w:szCs w:val="16"/>
              </w:rPr>
            </w:pPr>
            <w:r>
              <w:rPr>
                <w:rFonts w:ascii="Calibri" w:eastAsia="Calibri" w:hAnsi="Calibri" w:cs="Calibri"/>
                <w:color w:val="000000"/>
                <w:sz w:val="16"/>
                <w:szCs w:val="16"/>
              </w:rPr>
              <w:t>Application for an exception under 50 CFR 216.82</w:t>
            </w:r>
          </w:p>
        </w:tc>
        <w:tc>
          <w:tcPr>
            <w:tcW w:w="1890" w:type="dxa"/>
            <w:tcBorders>
              <w:top w:val="nil"/>
              <w:left w:val="nil"/>
              <w:bottom w:val="single" w:sz="4" w:space="0" w:color="000000"/>
              <w:right w:val="single" w:sz="4" w:space="0" w:color="000000"/>
            </w:tcBorders>
            <w:shd w:val="clear" w:color="auto" w:fill="FFFFFF" w:themeFill="background1"/>
            <w:vAlign w:val="center"/>
          </w:tcPr>
          <w:p w:rsidR="00505697" w:rsidP="00936A82" w14:paraId="15C6EB32" w14:textId="3B4DABAE">
            <w:pPr>
              <w:widowControl/>
              <w:jc w:val="center"/>
              <w:rPr>
                <w:rFonts w:ascii="Calibri" w:eastAsia="Calibri" w:hAnsi="Calibri" w:cs="Calibri"/>
                <w:color w:val="000000"/>
                <w:sz w:val="16"/>
                <w:szCs w:val="16"/>
              </w:rPr>
            </w:pPr>
            <w:r>
              <w:rPr>
                <w:rFonts w:ascii="Calibri" w:eastAsia="Calibri" w:hAnsi="Calibri" w:cs="Calibri"/>
                <w:color w:val="000000"/>
                <w:sz w:val="16"/>
                <w:szCs w:val="16"/>
              </w:rPr>
              <w:t>Landowner</w:t>
            </w:r>
          </w:p>
        </w:tc>
        <w:tc>
          <w:tcPr>
            <w:tcW w:w="1185" w:type="dxa"/>
            <w:tcBorders>
              <w:top w:val="nil"/>
              <w:left w:val="nil"/>
              <w:bottom w:val="single" w:sz="4" w:space="0" w:color="000000"/>
              <w:right w:val="single" w:sz="4" w:space="0" w:color="000000"/>
            </w:tcBorders>
            <w:shd w:val="clear" w:color="auto" w:fill="FFFFFF" w:themeFill="background1"/>
            <w:vAlign w:val="center"/>
          </w:tcPr>
          <w:p w:rsidR="00505697" w:rsidP="00936A82" w14:paraId="0B399870" w14:textId="2DBFF3C6">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320" w:type="dxa"/>
            <w:tcBorders>
              <w:top w:val="nil"/>
              <w:left w:val="nil"/>
              <w:bottom w:val="single" w:sz="4" w:space="0" w:color="000000"/>
              <w:right w:val="single" w:sz="4" w:space="0" w:color="000000"/>
            </w:tcBorders>
            <w:shd w:val="clear" w:color="auto" w:fill="FFFFFF" w:themeFill="background1"/>
            <w:vAlign w:val="center"/>
          </w:tcPr>
          <w:p w:rsidR="00505697" w:rsidP="00936A82" w14:paraId="3B99A7CD" w14:textId="37F7CA4C">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215" w:type="dxa"/>
            <w:tcBorders>
              <w:top w:val="nil"/>
              <w:left w:val="nil"/>
              <w:bottom w:val="single" w:sz="4" w:space="0" w:color="000000"/>
              <w:right w:val="single" w:sz="4" w:space="0" w:color="000000"/>
            </w:tcBorders>
            <w:shd w:val="clear" w:color="auto" w:fill="FFFFFF" w:themeFill="background1"/>
            <w:vAlign w:val="center"/>
          </w:tcPr>
          <w:p w:rsidR="00505697" w:rsidP="00936A82" w14:paraId="10C73646" w14:textId="38189782">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080" w:type="dxa"/>
            <w:tcBorders>
              <w:top w:val="nil"/>
              <w:left w:val="nil"/>
              <w:bottom w:val="single" w:sz="4" w:space="0" w:color="000000"/>
              <w:right w:val="single" w:sz="4" w:space="0" w:color="000000"/>
            </w:tcBorders>
            <w:shd w:val="clear" w:color="auto" w:fill="FFFFFF" w:themeFill="background1"/>
            <w:vAlign w:val="center"/>
          </w:tcPr>
          <w:p w:rsidR="00505697" w:rsidP="00936A82" w14:paraId="4579C3E4" w14:textId="1B86CCC2">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185" w:type="dxa"/>
            <w:tcBorders>
              <w:top w:val="nil"/>
              <w:left w:val="nil"/>
              <w:bottom w:val="single" w:sz="4" w:space="0" w:color="000000"/>
              <w:right w:val="single" w:sz="4" w:space="0" w:color="000000"/>
            </w:tcBorders>
            <w:shd w:val="clear" w:color="auto" w:fill="FFFFFF" w:themeFill="background1"/>
            <w:vAlign w:val="center"/>
          </w:tcPr>
          <w:p w:rsidR="00505697" w:rsidP="00936A82" w14:paraId="6B5CDEF6" w14:textId="05DC937A">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p>
        </w:tc>
        <w:tc>
          <w:tcPr>
            <w:tcW w:w="1440" w:type="dxa"/>
            <w:tcBorders>
              <w:top w:val="nil"/>
              <w:left w:val="nil"/>
              <w:bottom w:val="single" w:sz="4" w:space="0" w:color="000000"/>
              <w:right w:val="single" w:sz="4" w:space="0" w:color="000000"/>
            </w:tcBorders>
            <w:shd w:val="clear" w:color="auto" w:fill="FFFFFF" w:themeFill="background1"/>
            <w:vAlign w:val="center"/>
          </w:tcPr>
          <w:p w:rsidR="00505697" w:rsidRPr="00A30D6C" w:rsidP="00936A82" w14:paraId="64E27B1A" w14:textId="42614CD1">
            <w:pPr>
              <w:widowControl/>
              <w:jc w:val="center"/>
              <w:rPr>
                <w:rFonts w:ascii="Calibri" w:eastAsia="Calibri" w:hAnsi="Calibri" w:cs="Calibri"/>
                <w:color w:val="000000"/>
                <w:sz w:val="16"/>
                <w:szCs w:val="16"/>
              </w:rPr>
            </w:pPr>
            <w:r>
              <w:rPr>
                <w:rFonts w:ascii="Calibri" w:eastAsia="Calibri" w:hAnsi="Calibri" w:cs="Calibri"/>
                <w:color w:val="000000"/>
                <w:sz w:val="16"/>
                <w:szCs w:val="16"/>
              </w:rPr>
              <w:t>$</w:t>
            </w:r>
            <w:r w:rsidR="00936A82">
              <w:rPr>
                <w:rFonts w:ascii="Calibri" w:eastAsia="Calibri" w:hAnsi="Calibri" w:cs="Calibri"/>
                <w:color w:val="000000"/>
                <w:sz w:val="16"/>
                <w:szCs w:val="16"/>
              </w:rPr>
              <w:t>35.92</w:t>
            </w:r>
          </w:p>
        </w:tc>
        <w:tc>
          <w:tcPr>
            <w:tcW w:w="1590" w:type="dxa"/>
            <w:tcBorders>
              <w:top w:val="nil"/>
              <w:left w:val="nil"/>
              <w:bottom w:val="single" w:sz="4" w:space="0" w:color="000000"/>
              <w:right w:val="single" w:sz="8" w:space="0" w:color="000000"/>
            </w:tcBorders>
            <w:shd w:val="clear" w:color="auto" w:fill="FFFFFF" w:themeFill="background1"/>
            <w:vAlign w:val="center"/>
          </w:tcPr>
          <w:p w:rsidR="00505697" w:rsidP="00936A82" w14:paraId="5F997879" w14:textId="2EB40BEA">
            <w:pPr>
              <w:widowControl/>
              <w:jc w:val="center"/>
              <w:rPr>
                <w:rFonts w:ascii="Calibri" w:eastAsia="Calibri" w:hAnsi="Calibri" w:cs="Calibri"/>
                <w:color w:val="000000"/>
                <w:sz w:val="16"/>
                <w:szCs w:val="16"/>
              </w:rPr>
            </w:pPr>
            <w:r>
              <w:rPr>
                <w:rFonts w:ascii="Calibri" w:eastAsia="Calibri" w:hAnsi="Calibri" w:cs="Calibri"/>
                <w:color w:val="000000"/>
                <w:sz w:val="16"/>
                <w:szCs w:val="16"/>
              </w:rPr>
              <w:t>$</w:t>
            </w:r>
            <w:r w:rsidR="00936A82">
              <w:rPr>
                <w:rFonts w:ascii="Calibri" w:eastAsia="Calibri" w:hAnsi="Calibri" w:cs="Calibri"/>
                <w:color w:val="000000"/>
                <w:sz w:val="16"/>
                <w:szCs w:val="16"/>
              </w:rPr>
              <w:t>718</w:t>
            </w:r>
          </w:p>
        </w:tc>
      </w:tr>
      <w:tr w14:paraId="1E28426D" w14:textId="77777777" w:rsidTr="00936A82">
        <w:tblPrEx>
          <w:tblW w:w="14415" w:type="dxa"/>
          <w:tblInd w:w="-140" w:type="dxa"/>
          <w:tblLayout w:type="fixed"/>
          <w:tblLook w:val="0400"/>
        </w:tblPrEx>
        <w:trPr>
          <w:trHeight w:val="615"/>
        </w:trPr>
        <w:tc>
          <w:tcPr>
            <w:tcW w:w="3510" w:type="dxa"/>
            <w:tcBorders>
              <w:top w:val="nil"/>
              <w:left w:val="single" w:sz="8" w:space="0" w:color="000000"/>
              <w:bottom w:val="single" w:sz="8" w:space="0" w:color="000000"/>
              <w:right w:val="single" w:sz="8" w:space="0" w:color="000000"/>
            </w:tcBorders>
            <w:shd w:val="clear" w:color="auto" w:fill="DDEBF7"/>
            <w:vAlign w:val="center"/>
          </w:tcPr>
          <w:p w:rsidR="00194F42" w:rsidP="00936A82" w14:paraId="097F76B9" w14:textId="77777777">
            <w:pPr>
              <w:widowControl/>
              <w:jc w:val="center"/>
              <w:rPr>
                <w:rFonts w:ascii="Calibri" w:eastAsia="Calibri" w:hAnsi="Calibri" w:cs="Calibri"/>
                <w:b/>
                <w:color w:val="000000"/>
              </w:rPr>
            </w:pPr>
            <w:r>
              <w:rPr>
                <w:rFonts w:ascii="Calibri" w:eastAsia="Calibri" w:hAnsi="Calibri" w:cs="Calibri"/>
                <w:b/>
                <w:color w:val="000000"/>
              </w:rPr>
              <w:t>Totals</w:t>
            </w:r>
          </w:p>
        </w:tc>
        <w:tc>
          <w:tcPr>
            <w:tcW w:w="1890" w:type="dxa"/>
            <w:tcBorders>
              <w:top w:val="nil"/>
              <w:left w:val="nil"/>
              <w:bottom w:val="single" w:sz="8" w:space="0" w:color="000000"/>
              <w:right w:val="single" w:sz="8" w:space="0" w:color="000000"/>
            </w:tcBorders>
            <w:shd w:val="clear" w:color="auto" w:fill="000000"/>
            <w:vAlign w:val="center"/>
          </w:tcPr>
          <w:p w:rsidR="00194F42" w:rsidP="00936A82" w14:paraId="79FA3D6B" w14:textId="05654488">
            <w:pPr>
              <w:widowControl/>
              <w:jc w:val="center"/>
              <w:rPr>
                <w:rFonts w:ascii="Calibri" w:eastAsia="Calibri" w:hAnsi="Calibri" w:cs="Calibri"/>
                <w:b/>
                <w:color w:val="000000"/>
              </w:rPr>
            </w:pPr>
          </w:p>
        </w:tc>
        <w:tc>
          <w:tcPr>
            <w:tcW w:w="1185" w:type="dxa"/>
            <w:tcBorders>
              <w:top w:val="nil"/>
              <w:left w:val="nil"/>
              <w:bottom w:val="single" w:sz="8" w:space="0" w:color="000000"/>
              <w:right w:val="single" w:sz="8" w:space="0" w:color="000000"/>
            </w:tcBorders>
            <w:shd w:val="clear" w:color="auto" w:fill="000000"/>
            <w:vAlign w:val="center"/>
          </w:tcPr>
          <w:p w:rsidR="00194F42" w:rsidP="00936A82" w14:paraId="10132424" w14:textId="42136295">
            <w:pPr>
              <w:widowControl/>
              <w:jc w:val="center"/>
              <w:rPr>
                <w:rFonts w:ascii="Calibri" w:eastAsia="Calibri" w:hAnsi="Calibri" w:cs="Calibri"/>
                <w:b/>
                <w:color w:val="000000"/>
              </w:rPr>
            </w:pPr>
          </w:p>
        </w:tc>
        <w:tc>
          <w:tcPr>
            <w:tcW w:w="1320" w:type="dxa"/>
            <w:tcBorders>
              <w:top w:val="nil"/>
              <w:left w:val="nil"/>
              <w:bottom w:val="single" w:sz="8" w:space="0" w:color="000000"/>
              <w:right w:val="single" w:sz="8" w:space="0" w:color="000000"/>
            </w:tcBorders>
            <w:shd w:val="clear" w:color="auto" w:fill="000000"/>
            <w:vAlign w:val="center"/>
          </w:tcPr>
          <w:p w:rsidR="00194F42" w:rsidP="00936A82" w14:paraId="495E2CB4" w14:textId="7CB9B622">
            <w:pPr>
              <w:widowControl/>
              <w:jc w:val="center"/>
              <w:rPr>
                <w:rFonts w:ascii="Calibri" w:eastAsia="Calibri" w:hAnsi="Calibri" w:cs="Calibri"/>
                <w:b/>
                <w:color w:val="000000"/>
              </w:rPr>
            </w:pPr>
          </w:p>
        </w:tc>
        <w:tc>
          <w:tcPr>
            <w:tcW w:w="1215" w:type="dxa"/>
            <w:tcBorders>
              <w:top w:val="nil"/>
              <w:left w:val="nil"/>
              <w:bottom w:val="single" w:sz="8" w:space="0" w:color="000000"/>
              <w:right w:val="single" w:sz="8" w:space="0" w:color="000000"/>
            </w:tcBorders>
            <w:shd w:val="clear" w:color="auto" w:fill="DDEBF7"/>
            <w:vAlign w:val="center"/>
          </w:tcPr>
          <w:p w:rsidR="00194F42" w:rsidP="00936A82" w14:paraId="3CE5D500" w14:textId="4C39CF52">
            <w:pPr>
              <w:widowControl/>
              <w:jc w:val="center"/>
              <w:rPr>
                <w:rFonts w:ascii="Calibri" w:eastAsia="Calibri" w:hAnsi="Calibri" w:cs="Calibri"/>
                <w:b/>
                <w:color w:val="000000"/>
              </w:rPr>
            </w:pPr>
            <w:r>
              <w:rPr>
                <w:rFonts w:ascii="Calibri" w:eastAsia="Calibri" w:hAnsi="Calibri" w:cs="Calibri"/>
                <w:b/>
                <w:color w:val="000000"/>
              </w:rPr>
              <w:t>3</w:t>
            </w:r>
          </w:p>
        </w:tc>
        <w:tc>
          <w:tcPr>
            <w:tcW w:w="1080" w:type="dxa"/>
            <w:tcBorders>
              <w:top w:val="nil"/>
              <w:left w:val="nil"/>
              <w:bottom w:val="single" w:sz="8" w:space="0" w:color="000000"/>
              <w:right w:val="single" w:sz="8" w:space="0" w:color="000000"/>
            </w:tcBorders>
            <w:shd w:val="clear" w:color="auto" w:fill="000000"/>
            <w:vAlign w:val="center"/>
          </w:tcPr>
          <w:p w:rsidR="00194F42" w:rsidP="00936A82" w14:paraId="58293225" w14:textId="70E6349D">
            <w:pPr>
              <w:widowControl/>
              <w:jc w:val="center"/>
              <w:rPr>
                <w:rFonts w:ascii="Calibri" w:eastAsia="Calibri" w:hAnsi="Calibri" w:cs="Calibri"/>
                <w:b/>
                <w:color w:val="000000"/>
              </w:rPr>
            </w:pPr>
          </w:p>
        </w:tc>
        <w:tc>
          <w:tcPr>
            <w:tcW w:w="1185" w:type="dxa"/>
            <w:tcBorders>
              <w:top w:val="nil"/>
              <w:left w:val="nil"/>
              <w:bottom w:val="single" w:sz="8" w:space="0" w:color="000000"/>
              <w:right w:val="single" w:sz="8" w:space="0" w:color="000000"/>
            </w:tcBorders>
            <w:shd w:val="clear" w:color="auto" w:fill="DDEBF7"/>
            <w:vAlign w:val="center"/>
          </w:tcPr>
          <w:p w:rsidR="00194F42" w:rsidP="00936A82" w14:paraId="3F75AAC8" w14:textId="6C546D0F">
            <w:pPr>
              <w:widowControl/>
              <w:jc w:val="center"/>
              <w:rPr>
                <w:rFonts w:ascii="Calibri" w:eastAsia="Calibri" w:hAnsi="Calibri" w:cs="Calibri"/>
                <w:b/>
                <w:color w:val="000000"/>
              </w:rPr>
            </w:pPr>
            <w:r>
              <w:rPr>
                <w:rFonts w:ascii="Calibri" w:eastAsia="Calibri" w:hAnsi="Calibri" w:cs="Calibri"/>
                <w:b/>
                <w:color w:val="000000"/>
              </w:rPr>
              <w:t>180</w:t>
            </w:r>
          </w:p>
        </w:tc>
        <w:tc>
          <w:tcPr>
            <w:tcW w:w="1440" w:type="dxa"/>
            <w:tcBorders>
              <w:top w:val="nil"/>
              <w:left w:val="nil"/>
              <w:bottom w:val="single" w:sz="8" w:space="0" w:color="000000"/>
              <w:right w:val="single" w:sz="8" w:space="0" w:color="000000"/>
            </w:tcBorders>
            <w:shd w:val="clear" w:color="auto" w:fill="000000"/>
            <w:vAlign w:val="center"/>
          </w:tcPr>
          <w:p w:rsidR="00194F42" w:rsidP="00936A82" w14:paraId="20257F5E" w14:textId="1902D27A">
            <w:pPr>
              <w:widowControl/>
              <w:jc w:val="center"/>
              <w:rPr>
                <w:rFonts w:ascii="Calibri" w:eastAsia="Calibri" w:hAnsi="Calibri" w:cs="Calibri"/>
                <w:b/>
                <w:color w:val="000000"/>
              </w:rPr>
            </w:pPr>
          </w:p>
        </w:tc>
        <w:tc>
          <w:tcPr>
            <w:tcW w:w="1590" w:type="dxa"/>
            <w:tcBorders>
              <w:top w:val="nil"/>
              <w:left w:val="nil"/>
              <w:bottom w:val="single" w:sz="8" w:space="0" w:color="000000"/>
              <w:right w:val="single" w:sz="8" w:space="0" w:color="000000"/>
            </w:tcBorders>
            <w:shd w:val="clear" w:color="auto" w:fill="DDEBF7"/>
            <w:vAlign w:val="center"/>
          </w:tcPr>
          <w:p w:rsidR="00194F42" w:rsidP="00936A82" w14:paraId="59940247" w14:textId="74840E10">
            <w:pPr>
              <w:widowControl/>
              <w:jc w:val="center"/>
              <w:rPr>
                <w:rFonts w:ascii="Calibri" w:eastAsia="Calibri" w:hAnsi="Calibri" w:cs="Calibri"/>
                <w:b/>
                <w:color w:val="000000"/>
              </w:rPr>
            </w:pPr>
            <w:r>
              <w:rPr>
                <w:rFonts w:ascii="Calibri" w:eastAsia="Calibri" w:hAnsi="Calibri" w:cs="Calibri"/>
                <w:b/>
                <w:color w:val="000000"/>
              </w:rPr>
              <w:t>$8,</w:t>
            </w:r>
            <w:r w:rsidR="00C03D1B">
              <w:rPr>
                <w:rFonts w:ascii="Calibri" w:eastAsia="Calibri" w:hAnsi="Calibri" w:cs="Calibri"/>
                <w:b/>
                <w:color w:val="000000"/>
              </w:rPr>
              <w:t>858</w:t>
            </w:r>
          </w:p>
        </w:tc>
      </w:tr>
    </w:tbl>
    <w:p w:rsidR="00194F42" w:rsidRPr="00813F90" w14:paraId="098900E7" w14:textId="77777777">
      <w:pPr>
        <w:spacing w:line="259" w:lineRule="auto"/>
        <w:rPr>
          <w:b/>
        </w:rPr>
      </w:pPr>
    </w:p>
    <w:p w:rsidR="00194F42" w:rsidRPr="00C03D1B" w:rsidP="00936A82" w14:paraId="67F46553" w14:textId="75154F4B">
      <w:pPr>
        <w:spacing w:line="259" w:lineRule="auto"/>
        <w:ind w:hanging="43"/>
        <w:rPr>
          <w:bCs/>
          <w:color w:val="FF0000"/>
        </w:rPr>
      </w:pPr>
      <w:r w:rsidRPr="00C03D1B">
        <w:rPr>
          <w:bCs/>
        </w:rPr>
        <w:t>*</w:t>
      </w:r>
      <w:r w:rsidRPr="00C03D1B" w:rsidR="00A30D6C">
        <w:rPr>
          <w:bCs/>
        </w:rPr>
        <w:t>Hourly wage is based on the</w:t>
      </w:r>
      <w:r w:rsidRPr="00C03D1B">
        <w:rPr>
          <w:bCs/>
        </w:rPr>
        <w:t xml:space="preserve"> BLS’s </w:t>
      </w:r>
      <w:r w:rsidRPr="00C03D1B">
        <w:rPr>
          <w:bCs/>
          <w:i/>
        </w:rPr>
        <w:t>Occupational Outlook Handbook</w:t>
      </w:r>
      <w:r w:rsidRPr="00C03D1B" w:rsidR="00A30D6C">
        <w:rPr>
          <w:bCs/>
        </w:rPr>
        <w:t xml:space="preserve"> (</w:t>
      </w:r>
      <w:hyperlink r:id="rId16" w:history="1">
        <w:r w:rsidRPr="00C03D1B" w:rsidR="00A30D6C">
          <w:rPr>
            <w:rStyle w:val="Hyperlink"/>
            <w:bCs/>
          </w:rPr>
          <w:t>https://www.bls.gov/bls/blswage.htm</w:t>
        </w:r>
      </w:hyperlink>
      <w:r w:rsidRPr="00C03D1B" w:rsidR="00A30D6C">
        <w:rPr>
          <w:bCs/>
          <w:color w:val="0563C1"/>
          <w:u w:val="single"/>
        </w:rPr>
        <w:t>)</w:t>
      </w:r>
      <w:r w:rsidRPr="00C03D1B" w:rsidR="00936A82">
        <w:rPr>
          <w:bCs/>
          <w:color w:val="0563C1"/>
          <w:u w:val="single"/>
        </w:rPr>
        <w:t xml:space="preserve"> </w:t>
      </w:r>
      <w:r w:rsidRPr="00C03D1B" w:rsidR="00A30D6C">
        <w:rPr>
          <w:bCs/>
        </w:rPr>
        <w:t>using occupational code 19-1029 (Biological Scientists, All Other)</w:t>
      </w:r>
      <w:r w:rsidRPr="00C03D1B">
        <w:rPr>
          <w:bCs/>
        </w:rPr>
        <w:t xml:space="preserve"> </w:t>
      </w:r>
      <w:r w:rsidRPr="00C03D1B" w:rsidR="00A30D6C">
        <w:rPr>
          <w:bCs/>
        </w:rPr>
        <w:t>for Alaska</w:t>
      </w:r>
      <w:r w:rsidRPr="00C03D1B" w:rsidR="00936A82">
        <w:rPr>
          <w:bCs/>
        </w:rPr>
        <w:t xml:space="preserve"> and 00-0000 (All Occupations) for landowners.</w:t>
      </w:r>
      <w:r w:rsidRPr="00C03D1B" w:rsidR="00A30D6C">
        <w:rPr>
          <w:bCs/>
          <w:color w:val="FF0000"/>
        </w:rPr>
        <w:t xml:space="preserve"> </w:t>
      </w:r>
    </w:p>
    <w:p w:rsidR="00936A82" w:rsidRPr="00C03D1B" w:rsidP="00936A82" w14:paraId="6030B5E2" w14:textId="77777777">
      <w:pPr>
        <w:spacing w:line="259" w:lineRule="auto"/>
        <w:ind w:hanging="43"/>
        <w:rPr>
          <w:bCs/>
        </w:rPr>
      </w:pPr>
    </w:p>
    <w:p w:rsidR="00936A82" w:rsidRPr="00C03D1B" w:rsidP="00936A82" w14:paraId="37F8A91A" w14:textId="2BEB93E0">
      <w:pPr>
        <w:spacing w:line="259" w:lineRule="auto"/>
        <w:ind w:hanging="43"/>
        <w:rPr>
          <w:bCs/>
        </w:rPr>
      </w:pPr>
      <w:r w:rsidRPr="00C03D1B">
        <w:rPr>
          <w:bCs/>
        </w:rPr>
        <w:t>The estimated burden time for the application for an exception under 50 CFR 216.82 is not yet known, but NMFS determined that the necessary burden time could be as high as 20 hours in order to collect all required documentation.  NOAA will seek feedback from landowners who submit application</w:t>
      </w:r>
      <w:r w:rsidRPr="00C03D1B" w:rsidR="00240EEB">
        <w:rPr>
          <w:bCs/>
        </w:rPr>
        <w:t>s</w:t>
      </w:r>
      <w:r w:rsidRPr="00C03D1B">
        <w:rPr>
          <w:bCs/>
        </w:rPr>
        <w:t xml:space="preserve"> to determine a more accurate burden time and will update future </w:t>
      </w:r>
      <w:r w:rsidRPr="00C03D1B" w:rsidR="00940409">
        <w:rPr>
          <w:bCs/>
        </w:rPr>
        <w:t>submission requests accordingly.</w:t>
      </w:r>
    </w:p>
    <w:p w:rsidR="00194F42" w14:paraId="25DFFEF7" w14:textId="77777777">
      <w:pPr>
        <w:spacing w:line="259" w:lineRule="auto"/>
        <w:ind w:hanging="43"/>
        <w:rPr>
          <w:b/>
          <w:highlight w:val="yellow"/>
        </w:rPr>
        <w:sectPr>
          <w:pgSz w:w="15840" w:h="12240" w:orient="landscape"/>
          <w:pgMar w:top="640" w:right="1080" w:bottom="1200" w:left="1080" w:header="0" w:footer="714" w:gutter="0"/>
          <w:cols w:space="720"/>
        </w:sectPr>
      </w:pPr>
    </w:p>
    <w:p w:rsidR="00194F42" w14:paraId="1D450D18" w14:textId="77777777">
      <w:pPr>
        <w:spacing w:line="259" w:lineRule="auto"/>
        <w:ind w:hanging="43"/>
        <w:rPr>
          <w:b/>
          <w:highlight w:val="yellow"/>
        </w:rPr>
      </w:pPr>
    </w:p>
    <w:p w:rsidR="00194F42" w14:paraId="7D141081"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194F42" w14:paraId="094631AC" w14:textId="77777777">
      <w:pPr>
        <w:pBdr>
          <w:top w:val="nil"/>
          <w:left w:val="nil"/>
          <w:bottom w:val="nil"/>
          <w:right w:val="nil"/>
          <w:between w:val="nil"/>
        </w:pBdr>
        <w:spacing w:before="1"/>
        <w:rPr>
          <w:b/>
          <w:color w:val="000000"/>
        </w:rPr>
      </w:pPr>
    </w:p>
    <w:p w:rsidR="00194F42" w14:paraId="64EC4C5A" w14:textId="59C5218A">
      <w:pPr>
        <w:rPr>
          <w:b/>
        </w:rPr>
      </w:pPr>
      <w:r w:rsidRPr="00910B83">
        <w:rPr>
          <w:bCs/>
        </w:rPr>
        <w:t>There are no capital costs or operating and maintenance costs associated with this information collection</w:t>
      </w:r>
      <w:r w:rsidRPr="0067712E">
        <w:rPr>
          <w:bCs/>
        </w:rPr>
        <w:t>.</w:t>
      </w:r>
      <w:r w:rsidRPr="0067712E" w:rsidR="0067712E">
        <w:rPr>
          <w:bCs/>
        </w:rPr>
        <w:t xml:space="preserve">  All submissions are electronic so there are no miscellaneous costs to the respondents.</w:t>
      </w:r>
    </w:p>
    <w:p w:rsidR="00194F42" w14:paraId="583A13BA" w14:textId="77777777">
      <w:pPr>
        <w:pBdr>
          <w:top w:val="nil"/>
          <w:left w:val="nil"/>
          <w:bottom w:val="nil"/>
          <w:right w:val="nil"/>
          <w:between w:val="nil"/>
        </w:pBdr>
        <w:spacing w:before="7"/>
        <w:rPr>
          <w:b/>
          <w:color w:val="000000"/>
        </w:rPr>
      </w:pPr>
    </w:p>
    <w:p w:rsidR="00194F42" w14:paraId="4713AA26"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94F42" w:rsidP="0067712E" w14:paraId="07B808C6" w14:textId="49F67E30">
      <w:pPr>
        <w:spacing w:before="120"/>
        <w:rPr>
          <w:rFonts w:eastAsia="Calibri"/>
          <w:b/>
          <w:sz w:val="16"/>
          <w:szCs w:val="16"/>
        </w:rPr>
      </w:pPr>
      <w:r>
        <w:rPr>
          <w:bCs/>
        </w:rPr>
        <w:t xml:space="preserve">The Commerce Alternate Personnel System (CAPS) </w:t>
      </w:r>
      <w:hyperlink r:id="rId17" w:history="1">
        <w:r w:rsidRPr="0067712E">
          <w:rPr>
            <w:rStyle w:val="Hyperlink"/>
            <w:bCs/>
          </w:rPr>
          <w:t>pay tables</w:t>
        </w:r>
      </w:hyperlink>
      <w:r>
        <w:rPr>
          <w:rStyle w:val="FootnoteReference"/>
          <w:bCs/>
        </w:rPr>
        <w:footnoteReference w:id="10"/>
      </w:r>
      <w:r>
        <w:rPr>
          <w:bCs/>
        </w:rPr>
        <w:t xml:space="preserve"> for Alaska were used to determine the base salary for the federal positions.  The upper bound for interval 3 of each position was used as the base and a multiplier of 1.5 was applied to calculate the loaded salary.  </w:t>
      </w:r>
      <w:r w:rsidRPr="007427CC" w:rsidR="007427CC">
        <w:rPr>
          <w:bCs/>
        </w:rPr>
        <w:t>There are</w:t>
      </w:r>
      <w:r w:rsidR="007427CC">
        <w:rPr>
          <w:bCs/>
        </w:rPr>
        <w:t xml:space="preserve"> two federal positions</w:t>
      </w:r>
      <w:r w:rsidR="0035717C">
        <w:rPr>
          <w:bCs/>
        </w:rPr>
        <w:t xml:space="preserve"> </w:t>
      </w:r>
      <w:r w:rsidR="007427CC">
        <w:rPr>
          <w:bCs/>
        </w:rPr>
        <w:t xml:space="preserve">that support the Pribilof Islands Program </w:t>
      </w:r>
      <w:r w:rsidR="0035717C">
        <w:rPr>
          <w:bCs/>
        </w:rPr>
        <w:t xml:space="preserve">of NMFS Alaska Region </w:t>
      </w:r>
      <w:r w:rsidR="007427CC">
        <w:rPr>
          <w:bCs/>
        </w:rPr>
        <w:t>in addition to a contract to collect information regarding the subsistence use of northern fur seals on St. Paul Island. Costs include those for managing and reporting subsistence use of northern fur seals and administration of the contract</w:t>
      </w:r>
      <w:r w:rsidR="0035717C">
        <w:rPr>
          <w:bCs/>
        </w:rPr>
        <w:t>.</w:t>
      </w:r>
      <w:r w:rsidRPr="007427CC" w:rsidR="007427CC">
        <w:rPr>
          <w:rFonts w:eastAsia="Calibri"/>
          <w:b/>
          <w:sz w:val="16"/>
          <w:szCs w:val="16"/>
        </w:rPr>
        <w:t xml:space="preserve"> </w:t>
      </w:r>
    </w:p>
    <w:p w:rsidR="00025F87" w:rsidRPr="007427CC" w:rsidP="0067712E" w14:paraId="2A214FAC" w14:textId="77777777">
      <w:pPr>
        <w:spacing w:before="120"/>
        <w:rPr>
          <w:rFonts w:eastAsia="Calibri"/>
          <w:b/>
          <w:sz w:val="16"/>
          <w:szCs w:val="16"/>
        </w:rPr>
      </w:pPr>
    </w:p>
    <w:tbl>
      <w:tblPr>
        <w:tblStyle w:val="a2"/>
        <w:tblW w:w="8240" w:type="dxa"/>
        <w:tblLayout w:type="fixed"/>
        <w:tblLook w:val="0400"/>
      </w:tblPr>
      <w:tblGrid>
        <w:gridCol w:w="2280"/>
        <w:gridCol w:w="1120"/>
        <w:gridCol w:w="1140"/>
        <w:gridCol w:w="1120"/>
        <w:gridCol w:w="1280"/>
        <w:gridCol w:w="1300"/>
      </w:tblGrid>
      <w:tr w14:paraId="0B5E262B" w14:textId="77777777" w:rsidTr="00025F87">
        <w:tblPrEx>
          <w:tblW w:w="8240" w:type="dxa"/>
          <w:tblLayout w:type="fixed"/>
          <w:tblLook w:val="0400"/>
        </w:tblPrEx>
        <w:trPr>
          <w:trHeight w:val="450"/>
        </w:trPr>
        <w:tc>
          <w:tcPr>
            <w:tcW w:w="2280" w:type="dxa"/>
            <w:tcBorders>
              <w:top w:val="single" w:sz="8" w:space="0" w:color="000000"/>
              <w:left w:val="single" w:sz="8" w:space="0" w:color="000000"/>
              <w:bottom w:val="single" w:sz="4" w:space="0" w:color="000000"/>
              <w:right w:val="single" w:sz="8" w:space="0" w:color="000000"/>
            </w:tcBorders>
            <w:shd w:val="clear" w:color="auto" w:fill="BDD7EE"/>
            <w:vAlign w:val="center"/>
          </w:tcPr>
          <w:p w:rsidR="00194F42" w:rsidP="00025F87" w14:paraId="3A35593D" w14:textId="77777777">
            <w:pPr>
              <w:widowControl/>
              <w:jc w:val="center"/>
              <w:rPr>
                <w:rFonts w:ascii="Calibri" w:eastAsia="Calibri" w:hAnsi="Calibri" w:cs="Calibri"/>
                <w:b/>
                <w:sz w:val="16"/>
                <w:szCs w:val="16"/>
              </w:rPr>
            </w:pPr>
            <w:r>
              <w:rPr>
                <w:rFonts w:ascii="Calibri" w:eastAsia="Calibri" w:hAnsi="Calibri" w:cs="Calibri"/>
                <w:b/>
                <w:sz w:val="16"/>
                <w:szCs w:val="16"/>
              </w:rPr>
              <w:t>Cost Descriptions</w:t>
            </w:r>
          </w:p>
        </w:tc>
        <w:tc>
          <w:tcPr>
            <w:tcW w:w="1120" w:type="dxa"/>
            <w:tcBorders>
              <w:top w:val="single" w:sz="8" w:space="0" w:color="000000"/>
              <w:left w:val="single" w:sz="8" w:space="0" w:color="000000"/>
              <w:bottom w:val="single" w:sz="4" w:space="0" w:color="000000"/>
              <w:right w:val="single" w:sz="8" w:space="0" w:color="000000"/>
            </w:tcBorders>
            <w:shd w:val="clear" w:color="auto" w:fill="BDD7EE"/>
            <w:vAlign w:val="center"/>
          </w:tcPr>
          <w:p w:rsidR="00194F42" w:rsidP="00025F87" w14:paraId="2BAD53AD" w14:textId="77777777">
            <w:pPr>
              <w:widowControl/>
              <w:jc w:val="center"/>
              <w:rPr>
                <w:rFonts w:ascii="Calibri" w:eastAsia="Calibri" w:hAnsi="Calibri" w:cs="Calibri"/>
                <w:b/>
                <w:sz w:val="16"/>
                <w:szCs w:val="16"/>
              </w:rPr>
            </w:pPr>
            <w:r>
              <w:rPr>
                <w:rFonts w:ascii="Calibri" w:eastAsia="Calibri" w:hAnsi="Calibri" w:cs="Calibri"/>
                <w:b/>
                <w:sz w:val="16"/>
                <w:szCs w:val="16"/>
              </w:rPr>
              <w:t>Grade/Step</w:t>
            </w:r>
          </w:p>
        </w:tc>
        <w:tc>
          <w:tcPr>
            <w:tcW w:w="1140" w:type="dxa"/>
            <w:tcBorders>
              <w:top w:val="single" w:sz="8" w:space="0" w:color="000000"/>
              <w:left w:val="single" w:sz="8" w:space="0" w:color="000000"/>
              <w:bottom w:val="single" w:sz="4" w:space="0" w:color="000000"/>
              <w:right w:val="single" w:sz="8" w:space="0" w:color="000000"/>
            </w:tcBorders>
            <w:shd w:val="clear" w:color="auto" w:fill="BDD7EE"/>
            <w:vAlign w:val="center"/>
          </w:tcPr>
          <w:p w:rsidR="00194F42" w:rsidP="00025F87" w14:paraId="336FD782" w14:textId="77777777">
            <w:pPr>
              <w:widowControl/>
              <w:jc w:val="center"/>
              <w:rPr>
                <w:rFonts w:ascii="Calibri" w:eastAsia="Calibri" w:hAnsi="Calibri" w:cs="Calibri"/>
                <w:b/>
                <w:sz w:val="16"/>
                <w:szCs w:val="16"/>
              </w:rPr>
            </w:pPr>
            <w:r>
              <w:rPr>
                <w:rFonts w:ascii="Calibri" w:eastAsia="Calibri" w:hAnsi="Calibri" w:cs="Calibri"/>
                <w:b/>
                <w:sz w:val="16"/>
                <w:szCs w:val="16"/>
              </w:rPr>
              <w:t>Loaded Salary /Cost</w:t>
            </w:r>
          </w:p>
        </w:tc>
        <w:tc>
          <w:tcPr>
            <w:tcW w:w="1120" w:type="dxa"/>
            <w:tcBorders>
              <w:top w:val="single" w:sz="8" w:space="0" w:color="000000"/>
              <w:left w:val="single" w:sz="8" w:space="0" w:color="000000"/>
              <w:bottom w:val="single" w:sz="4" w:space="0" w:color="000000"/>
              <w:right w:val="single" w:sz="8" w:space="0" w:color="000000"/>
            </w:tcBorders>
            <w:shd w:val="clear" w:color="auto" w:fill="BDD7EE"/>
            <w:vAlign w:val="center"/>
          </w:tcPr>
          <w:p w:rsidR="00194F42" w:rsidP="00025F87" w14:paraId="64AB70E3" w14:textId="77777777">
            <w:pPr>
              <w:widowControl/>
              <w:jc w:val="center"/>
              <w:rPr>
                <w:rFonts w:ascii="Calibri" w:eastAsia="Calibri" w:hAnsi="Calibri" w:cs="Calibri"/>
                <w:b/>
                <w:sz w:val="16"/>
                <w:szCs w:val="16"/>
              </w:rPr>
            </w:pPr>
            <w:r>
              <w:rPr>
                <w:rFonts w:ascii="Calibri" w:eastAsia="Calibri" w:hAnsi="Calibri" w:cs="Calibri"/>
                <w:b/>
                <w:sz w:val="16"/>
                <w:szCs w:val="16"/>
              </w:rPr>
              <w:t>% of Effort</w:t>
            </w:r>
          </w:p>
        </w:tc>
        <w:tc>
          <w:tcPr>
            <w:tcW w:w="1280" w:type="dxa"/>
            <w:tcBorders>
              <w:top w:val="single" w:sz="8" w:space="0" w:color="000000"/>
              <w:left w:val="single" w:sz="8" w:space="0" w:color="000000"/>
              <w:bottom w:val="single" w:sz="4" w:space="0" w:color="000000"/>
              <w:right w:val="single" w:sz="8" w:space="0" w:color="000000"/>
            </w:tcBorders>
            <w:shd w:val="clear" w:color="auto" w:fill="BDD7EE"/>
            <w:vAlign w:val="center"/>
          </w:tcPr>
          <w:p w:rsidR="00194F42" w:rsidP="00025F87" w14:paraId="2016AC6D" w14:textId="77777777">
            <w:pPr>
              <w:widowControl/>
              <w:jc w:val="center"/>
              <w:rPr>
                <w:rFonts w:ascii="Calibri" w:eastAsia="Calibri" w:hAnsi="Calibri" w:cs="Calibri"/>
                <w:b/>
                <w:sz w:val="16"/>
                <w:szCs w:val="16"/>
              </w:rPr>
            </w:pPr>
            <w:r>
              <w:rPr>
                <w:rFonts w:ascii="Calibri" w:eastAsia="Calibri" w:hAnsi="Calibri" w:cs="Calibri"/>
                <w:b/>
                <w:sz w:val="16"/>
                <w:szCs w:val="16"/>
              </w:rPr>
              <w:t>Fringe (if Applicable)</w:t>
            </w:r>
          </w:p>
        </w:tc>
        <w:tc>
          <w:tcPr>
            <w:tcW w:w="1300" w:type="dxa"/>
            <w:tcBorders>
              <w:top w:val="single" w:sz="8" w:space="0" w:color="000000"/>
              <w:left w:val="single" w:sz="8" w:space="0" w:color="000000"/>
              <w:bottom w:val="single" w:sz="4" w:space="0" w:color="000000"/>
              <w:right w:val="single" w:sz="8" w:space="0" w:color="000000"/>
            </w:tcBorders>
            <w:shd w:val="clear" w:color="auto" w:fill="BDD7EE"/>
            <w:vAlign w:val="center"/>
          </w:tcPr>
          <w:p w:rsidR="00194F42" w:rsidP="00025F87" w14:paraId="20E1A405" w14:textId="77777777">
            <w:pPr>
              <w:widowControl/>
              <w:jc w:val="center"/>
              <w:rPr>
                <w:rFonts w:ascii="Calibri" w:eastAsia="Calibri" w:hAnsi="Calibri" w:cs="Calibri"/>
                <w:b/>
                <w:sz w:val="16"/>
                <w:szCs w:val="16"/>
              </w:rPr>
            </w:pPr>
            <w:r>
              <w:rPr>
                <w:rFonts w:ascii="Calibri" w:eastAsia="Calibri" w:hAnsi="Calibri" w:cs="Calibri"/>
                <w:b/>
                <w:sz w:val="16"/>
                <w:szCs w:val="16"/>
              </w:rPr>
              <w:t>Total Cost to Government</w:t>
            </w:r>
          </w:p>
        </w:tc>
      </w:tr>
      <w:tr w14:paraId="42A6F7B1" w14:textId="77777777" w:rsidTr="00025F87">
        <w:tblPrEx>
          <w:tblW w:w="82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vAlign w:val="bottom"/>
          </w:tcPr>
          <w:p w:rsidR="00194F42" w:rsidP="00025F87" w14:paraId="35EAE4A3" w14:textId="77777777">
            <w:pPr>
              <w:widowControl/>
              <w:rPr>
                <w:rFonts w:ascii="Calibri" w:eastAsia="Calibri" w:hAnsi="Calibri" w:cs="Calibri"/>
                <w:b/>
                <w:sz w:val="16"/>
                <w:szCs w:val="16"/>
              </w:rPr>
            </w:pPr>
            <w:r>
              <w:rPr>
                <w:rFonts w:ascii="Calibri" w:eastAsia="Calibri" w:hAnsi="Calibri" w:cs="Calibri"/>
                <w:b/>
                <w:sz w:val="16"/>
                <w:szCs w:val="16"/>
              </w:rPr>
              <w:t>Federal Oversight</w:t>
            </w:r>
          </w:p>
        </w:tc>
        <w:tc>
          <w:tcPr>
            <w:tcW w:w="1120" w:type="dxa"/>
            <w:tcBorders>
              <w:top w:val="single" w:sz="4" w:space="0" w:color="000000"/>
              <w:left w:val="single" w:sz="8" w:space="0" w:color="000000"/>
              <w:bottom w:val="single" w:sz="4" w:space="0" w:color="000000"/>
              <w:right w:val="single" w:sz="4" w:space="0" w:color="000000"/>
            </w:tcBorders>
            <w:vAlign w:val="bottom"/>
          </w:tcPr>
          <w:p w:rsidR="00194F42" w:rsidP="00025F87" w14:paraId="0F5210B8" w14:textId="5BF09789">
            <w:pPr>
              <w:widowControl/>
              <w:rPr>
                <w:rFonts w:ascii="Calibri" w:eastAsia="Calibri" w:hAnsi="Calibri" w:cs="Calibri"/>
                <w:sz w:val="16"/>
                <w:szCs w:val="16"/>
              </w:rPr>
            </w:pPr>
            <w:r>
              <w:rPr>
                <w:rFonts w:ascii="Calibri" w:eastAsia="Calibri" w:hAnsi="Calibri" w:cs="Calibri"/>
                <w:sz w:val="16"/>
                <w:szCs w:val="16"/>
              </w:rPr>
              <w:t> </w:t>
            </w:r>
            <w:r w:rsidR="0057290A">
              <w:rPr>
                <w:rFonts w:ascii="Calibri" w:eastAsia="Calibri" w:hAnsi="Calibri" w:cs="Calibri"/>
                <w:sz w:val="16"/>
                <w:szCs w:val="16"/>
              </w:rPr>
              <w:t>ZP-3</w:t>
            </w:r>
          </w:p>
        </w:tc>
        <w:tc>
          <w:tcPr>
            <w:tcW w:w="1140" w:type="dxa"/>
            <w:tcBorders>
              <w:top w:val="single" w:sz="4" w:space="0" w:color="000000"/>
              <w:left w:val="single" w:sz="4" w:space="0" w:color="000000"/>
              <w:bottom w:val="single" w:sz="4" w:space="0" w:color="000000"/>
              <w:right w:val="single" w:sz="4" w:space="0" w:color="000000"/>
            </w:tcBorders>
            <w:vAlign w:val="bottom"/>
          </w:tcPr>
          <w:p w:rsidR="00194F42" w:rsidP="00025F87" w14:paraId="5A580B9A" w14:textId="2AACAE90">
            <w:pPr>
              <w:widowControl/>
              <w:rPr>
                <w:rFonts w:ascii="Calibri" w:eastAsia="Calibri" w:hAnsi="Calibri" w:cs="Calibri"/>
                <w:sz w:val="16"/>
                <w:szCs w:val="16"/>
              </w:rPr>
            </w:pPr>
            <w:r>
              <w:rPr>
                <w:rFonts w:ascii="Calibri" w:eastAsia="Calibri" w:hAnsi="Calibri" w:cs="Calibri"/>
                <w:sz w:val="16"/>
                <w:szCs w:val="16"/>
              </w:rPr>
              <w:t> </w:t>
            </w:r>
            <w:r w:rsidR="001A03AD">
              <w:rPr>
                <w:rFonts w:ascii="Calibri" w:eastAsia="Calibri" w:hAnsi="Calibri" w:cs="Calibri"/>
                <w:sz w:val="16"/>
                <w:szCs w:val="16"/>
              </w:rPr>
              <w:t>$</w:t>
            </w:r>
            <w:r w:rsidR="0067712E">
              <w:rPr>
                <w:rFonts w:ascii="Calibri" w:eastAsia="Calibri" w:hAnsi="Calibri" w:cs="Calibri"/>
                <w:sz w:val="16"/>
                <w:szCs w:val="16"/>
              </w:rPr>
              <w:t>197,357</w:t>
            </w:r>
          </w:p>
        </w:tc>
        <w:tc>
          <w:tcPr>
            <w:tcW w:w="1120" w:type="dxa"/>
            <w:tcBorders>
              <w:top w:val="single" w:sz="4" w:space="0" w:color="000000"/>
              <w:left w:val="single" w:sz="4" w:space="0" w:color="000000"/>
              <w:bottom w:val="single" w:sz="4" w:space="0" w:color="000000"/>
              <w:right w:val="single" w:sz="4" w:space="0" w:color="000000"/>
            </w:tcBorders>
            <w:vAlign w:val="bottom"/>
          </w:tcPr>
          <w:p w:rsidR="00194F42" w:rsidP="00025F87" w14:paraId="7EC20BF3" w14:textId="24CC3B88">
            <w:pPr>
              <w:widowControl/>
              <w:rPr>
                <w:rFonts w:ascii="Calibri" w:eastAsia="Calibri" w:hAnsi="Calibri" w:cs="Calibri"/>
                <w:sz w:val="16"/>
                <w:szCs w:val="16"/>
              </w:rPr>
            </w:pPr>
            <w:r>
              <w:rPr>
                <w:rFonts w:ascii="Calibri" w:eastAsia="Calibri" w:hAnsi="Calibri" w:cs="Calibri"/>
                <w:sz w:val="16"/>
                <w:szCs w:val="16"/>
              </w:rPr>
              <w:t> </w:t>
            </w:r>
            <w:r w:rsidR="0067712E">
              <w:rPr>
                <w:rFonts w:ascii="Calibri" w:eastAsia="Calibri" w:hAnsi="Calibri" w:cs="Calibri"/>
                <w:sz w:val="16"/>
                <w:szCs w:val="16"/>
              </w:rPr>
              <w:t>4</w:t>
            </w:r>
          </w:p>
        </w:tc>
        <w:tc>
          <w:tcPr>
            <w:tcW w:w="1280" w:type="dxa"/>
            <w:tcBorders>
              <w:top w:val="single" w:sz="4" w:space="0" w:color="000000"/>
              <w:left w:val="single" w:sz="4" w:space="0" w:color="000000"/>
              <w:bottom w:val="single" w:sz="4" w:space="0" w:color="000000"/>
              <w:right w:val="single" w:sz="4" w:space="0" w:color="000000"/>
            </w:tcBorders>
            <w:shd w:val="clear" w:color="auto" w:fill="808080"/>
            <w:vAlign w:val="bottom"/>
          </w:tcPr>
          <w:p w:rsidR="00194F42" w:rsidP="00025F87" w14:paraId="755176E4"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4" w:space="0" w:color="000000"/>
              <w:left w:val="single" w:sz="4" w:space="0" w:color="000000"/>
              <w:bottom w:val="single" w:sz="4" w:space="0" w:color="000000"/>
              <w:right w:val="single" w:sz="8" w:space="0" w:color="000000"/>
            </w:tcBorders>
            <w:vAlign w:val="bottom"/>
          </w:tcPr>
          <w:p w:rsidR="00194F42" w:rsidP="00025F87" w14:paraId="514AEE5B" w14:textId="62167FF3">
            <w:pPr>
              <w:widowControl/>
              <w:rPr>
                <w:rFonts w:ascii="Calibri" w:eastAsia="Calibri" w:hAnsi="Calibri" w:cs="Calibri"/>
                <w:sz w:val="16"/>
                <w:szCs w:val="16"/>
              </w:rPr>
            </w:pPr>
            <w:r>
              <w:rPr>
                <w:rFonts w:ascii="Calibri" w:eastAsia="Calibri" w:hAnsi="Calibri" w:cs="Calibri"/>
                <w:sz w:val="16"/>
                <w:szCs w:val="16"/>
              </w:rPr>
              <w:t> </w:t>
            </w:r>
            <w:r w:rsidR="001A03AD">
              <w:rPr>
                <w:rFonts w:ascii="Calibri" w:eastAsia="Calibri" w:hAnsi="Calibri" w:cs="Calibri"/>
                <w:sz w:val="16"/>
                <w:szCs w:val="16"/>
              </w:rPr>
              <w:t>$</w:t>
            </w:r>
            <w:r w:rsidR="0067712E">
              <w:rPr>
                <w:rFonts w:ascii="Calibri" w:eastAsia="Calibri" w:hAnsi="Calibri" w:cs="Calibri"/>
                <w:sz w:val="16"/>
                <w:szCs w:val="16"/>
              </w:rPr>
              <w:t>7,894</w:t>
            </w:r>
          </w:p>
        </w:tc>
      </w:tr>
      <w:tr w14:paraId="63824F5A" w14:textId="77777777" w:rsidTr="00025F87">
        <w:tblPrEx>
          <w:tblW w:w="8240" w:type="dxa"/>
          <w:tblLayout w:type="fixed"/>
          <w:tblLook w:val="0400"/>
        </w:tblPrEx>
        <w:trPr>
          <w:trHeight w:val="300"/>
        </w:trPr>
        <w:tc>
          <w:tcPr>
            <w:tcW w:w="2280" w:type="dxa"/>
            <w:tcBorders>
              <w:top w:val="single" w:sz="4" w:space="0" w:color="000000"/>
              <w:left w:val="single" w:sz="8" w:space="0" w:color="000000"/>
              <w:bottom w:val="single" w:sz="4" w:space="0" w:color="000000"/>
              <w:right w:val="single" w:sz="8" w:space="0" w:color="000000"/>
            </w:tcBorders>
            <w:vAlign w:val="bottom"/>
          </w:tcPr>
          <w:p w:rsidR="00194F42" w:rsidP="00025F87" w14:paraId="1A792AF4" w14:textId="77777777">
            <w:pPr>
              <w:widowControl/>
              <w:rPr>
                <w:rFonts w:ascii="Calibri" w:eastAsia="Calibri" w:hAnsi="Calibri" w:cs="Calibri"/>
                <w:sz w:val="16"/>
                <w:szCs w:val="16"/>
              </w:rPr>
            </w:pPr>
            <w:r>
              <w:rPr>
                <w:rFonts w:ascii="Calibri" w:eastAsia="Calibri" w:hAnsi="Calibri" w:cs="Calibri"/>
                <w:sz w:val="16"/>
                <w:szCs w:val="16"/>
              </w:rPr>
              <w:t>Other Federal Positions</w:t>
            </w:r>
          </w:p>
        </w:tc>
        <w:tc>
          <w:tcPr>
            <w:tcW w:w="1120" w:type="dxa"/>
            <w:tcBorders>
              <w:top w:val="single" w:sz="4" w:space="0" w:color="000000"/>
              <w:left w:val="single" w:sz="8" w:space="0" w:color="000000"/>
              <w:bottom w:val="single" w:sz="4" w:space="0" w:color="000000"/>
              <w:right w:val="single" w:sz="4" w:space="0" w:color="000000"/>
            </w:tcBorders>
            <w:vAlign w:val="bottom"/>
          </w:tcPr>
          <w:p w:rsidR="00194F42" w:rsidP="00025F87" w14:paraId="35718A77" w14:textId="39447634">
            <w:pPr>
              <w:widowControl/>
              <w:rPr>
                <w:rFonts w:ascii="Calibri" w:eastAsia="Calibri" w:hAnsi="Calibri" w:cs="Calibri"/>
                <w:sz w:val="16"/>
                <w:szCs w:val="16"/>
              </w:rPr>
            </w:pPr>
            <w:r>
              <w:rPr>
                <w:rFonts w:ascii="Calibri" w:eastAsia="Calibri" w:hAnsi="Calibri" w:cs="Calibri"/>
                <w:sz w:val="16"/>
                <w:szCs w:val="16"/>
              </w:rPr>
              <w:t> </w:t>
            </w:r>
            <w:r w:rsidR="0035717C">
              <w:rPr>
                <w:rFonts w:ascii="Calibri" w:eastAsia="Calibri" w:hAnsi="Calibri" w:cs="Calibri"/>
                <w:sz w:val="16"/>
                <w:szCs w:val="16"/>
              </w:rPr>
              <w:t>ZP-4</w:t>
            </w:r>
          </w:p>
        </w:tc>
        <w:tc>
          <w:tcPr>
            <w:tcW w:w="1140" w:type="dxa"/>
            <w:tcBorders>
              <w:top w:val="single" w:sz="4" w:space="0" w:color="000000"/>
              <w:left w:val="single" w:sz="4" w:space="0" w:color="000000"/>
              <w:bottom w:val="single" w:sz="4" w:space="0" w:color="000000"/>
              <w:right w:val="single" w:sz="4" w:space="0" w:color="000000"/>
            </w:tcBorders>
            <w:vAlign w:val="bottom"/>
          </w:tcPr>
          <w:p w:rsidR="00194F42" w:rsidP="00025F87" w14:paraId="5FD9B711" w14:textId="0B5A86BD">
            <w:pPr>
              <w:widowControl/>
              <w:rPr>
                <w:rFonts w:ascii="Calibri" w:eastAsia="Calibri" w:hAnsi="Calibri" w:cs="Calibri"/>
                <w:sz w:val="16"/>
                <w:szCs w:val="16"/>
              </w:rPr>
            </w:pPr>
            <w:r>
              <w:rPr>
                <w:rFonts w:ascii="Calibri" w:eastAsia="Calibri" w:hAnsi="Calibri" w:cs="Calibri"/>
                <w:sz w:val="16"/>
                <w:szCs w:val="16"/>
              </w:rPr>
              <w:t>$</w:t>
            </w:r>
            <w:r w:rsidR="0067712E">
              <w:rPr>
                <w:rFonts w:ascii="Calibri" w:eastAsia="Calibri" w:hAnsi="Calibri" w:cs="Calibri"/>
                <w:sz w:val="16"/>
                <w:szCs w:val="16"/>
              </w:rPr>
              <w:t>277,329</w:t>
            </w:r>
          </w:p>
        </w:tc>
        <w:tc>
          <w:tcPr>
            <w:tcW w:w="1120" w:type="dxa"/>
            <w:tcBorders>
              <w:top w:val="single" w:sz="4" w:space="0" w:color="000000"/>
              <w:left w:val="single" w:sz="4" w:space="0" w:color="000000"/>
              <w:bottom w:val="single" w:sz="4" w:space="0" w:color="000000"/>
              <w:right w:val="single" w:sz="4" w:space="0" w:color="000000"/>
            </w:tcBorders>
            <w:vAlign w:val="bottom"/>
          </w:tcPr>
          <w:p w:rsidR="00194F42" w:rsidP="00025F87" w14:paraId="3E50FE16" w14:textId="2B8D71A1">
            <w:pPr>
              <w:widowControl/>
              <w:rPr>
                <w:rFonts w:ascii="Calibri" w:eastAsia="Calibri" w:hAnsi="Calibri" w:cs="Calibri"/>
                <w:sz w:val="16"/>
                <w:szCs w:val="16"/>
              </w:rPr>
            </w:pPr>
            <w:r>
              <w:rPr>
                <w:rFonts w:ascii="Calibri" w:eastAsia="Calibri" w:hAnsi="Calibri" w:cs="Calibri"/>
                <w:sz w:val="16"/>
                <w:szCs w:val="16"/>
              </w:rPr>
              <w:t> </w:t>
            </w:r>
            <w:r w:rsidR="0067712E">
              <w:rPr>
                <w:rFonts w:ascii="Calibri" w:eastAsia="Calibri" w:hAnsi="Calibri" w:cs="Calibri"/>
                <w:sz w:val="16"/>
                <w:szCs w:val="16"/>
              </w:rPr>
              <w:t>4</w:t>
            </w:r>
          </w:p>
        </w:tc>
        <w:tc>
          <w:tcPr>
            <w:tcW w:w="1280" w:type="dxa"/>
            <w:tcBorders>
              <w:top w:val="single" w:sz="4" w:space="0" w:color="000000"/>
              <w:left w:val="single" w:sz="4" w:space="0" w:color="000000"/>
              <w:bottom w:val="single" w:sz="4" w:space="0" w:color="000000"/>
              <w:right w:val="single" w:sz="4" w:space="0" w:color="000000"/>
            </w:tcBorders>
            <w:shd w:val="clear" w:color="auto" w:fill="808080"/>
            <w:vAlign w:val="bottom"/>
          </w:tcPr>
          <w:p w:rsidR="00194F42" w:rsidP="00025F87" w14:paraId="443075F2"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4" w:space="0" w:color="000000"/>
              <w:left w:val="single" w:sz="4" w:space="0" w:color="000000"/>
              <w:bottom w:val="single" w:sz="4" w:space="0" w:color="000000"/>
              <w:right w:val="single" w:sz="8" w:space="0" w:color="000000"/>
            </w:tcBorders>
            <w:vAlign w:val="bottom"/>
          </w:tcPr>
          <w:p w:rsidR="00194F42" w:rsidP="00025F87" w14:paraId="1229AA98" w14:textId="493F587B">
            <w:pPr>
              <w:widowControl/>
              <w:rPr>
                <w:rFonts w:ascii="Calibri" w:eastAsia="Calibri" w:hAnsi="Calibri" w:cs="Calibri"/>
                <w:sz w:val="16"/>
                <w:szCs w:val="16"/>
              </w:rPr>
            </w:pPr>
            <w:r>
              <w:rPr>
                <w:rFonts w:ascii="Calibri" w:eastAsia="Calibri" w:hAnsi="Calibri" w:cs="Calibri"/>
                <w:sz w:val="16"/>
                <w:szCs w:val="16"/>
              </w:rPr>
              <w:t> </w:t>
            </w:r>
            <w:r w:rsidR="0035717C">
              <w:rPr>
                <w:rFonts w:ascii="Calibri" w:eastAsia="Calibri" w:hAnsi="Calibri" w:cs="Calibri"/>
                <w:sz w:val="16"/>
                <w:szCs w:val="16"/>
              </w:rPr>
              <w:t>$</w:t>
            </w:r>
            <w:r w:rsidR="0067712E">
              <w:rPr>
                <w:rFonts w:ascii="Calibri" w:eastAsia="Calibri" w:hAnsi="Calibri" w:cs="Calibri"/>
                <w:sz w:val="16"/>
                <w:szCs w:val="16"/>
              </w:rPr>
              <w:t>11,093</w:t>
            </w:r>
          </w:p>
        </w:tc>
      </w:tr>
      <w:tr w14:paraId="11994803" w14:textId="77777777" w:rsidTr="00025F87">
        <w:tblPrEx>
          <w:tblW w:w="8240" w:type="dxa"/>
          <w:tblLayout w:type="fixed"/>
          <w:tblLook w:val="0400"/>
        </w:tblPrEx>
        <w:trPr>
          <w:trHeight w:val="300"/>
        </w:trPr>
        <w:tc>
          <w:tcPr>
            <w:tcW w:w="2280" w:type="dxa"/>
            <w:tcBorders>
              <w:top w:val="single" w:sz="4" w:space="0" w:color="000000"/>
              <w:left w:val="single" w:sz="8" w:space="0" w:color="000000"/>
              <w:bottom w:val="single" w:sz="4" w:space="0" w:color="000000"/>
              <w:right w:val="single" w:sz="8" w:space="0" w:color="000000"/>
            </w:tcBorders>
            <w:vAlign w:val="bottom"/>
          </w:tcPr>
          <w:p w:rsidR="00194F42" w:rsidP="00025F87" w14:paraId="192B0A23"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4" w:space="0" w:color="000000"/>
              <w:left w:val="single" w:sz="8" w:space="0" w:color="000000"/>
              <w:bottom w:val="single" w:sz="4" w:space="0" w:color="000000"/>
              <w:right w:val="single" w:sz="4" w:space="0" w:color="000000"/>
            </w:tcBorders>
            <w:vAlign w:val="bottom"/>
          </w:tcPr>
          <w:p w:rsidR="00194F42" w:rsidP="00025F87" w14:paraId="23309D69" w14:textId="77777777">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single" w:sz="4" w:space="0" w:color="000000"/>
              <w:left w:val="single" w:sz="4" w:space="0" w:color="000000"/>
              <w:bottom w:val="single" w:sz="4" w:space="0" w:color="000000"/>
              <w:right w:val="single" w:sz="4" w:space="0" w:color="000000"/>
            </w:tcBorders>
            <w:vAlign w:val="bottom"/>
          </w:tcPr>
          <w:p w:rsidR="00194F42" w:rsidP="00025F87" w14:paraId="1B137D91" w14:textId="77777777">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4" w:space="0" w:color="000000"/>
              <w:left w:val="single" w:sz="4" w:space="0" w:color="000000"/>
              <w:bottom w:val="single" w:sz="4" w:space="0" w:color="000000"/>
              <w:right w:val="single" w:sz="4" w:space="0" w:color="000000"/>
            </w:tcBorders>
            <w:vAlign w:val="bottom"/>
          </w:tcPr>
          <w:p w:rsidR="00194F42" w:rsidP="00025F87" w14:paraId="55C4F4E6" w14:textId="77777777">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single" w:sz="4" w:space="0" w:color="000000"/>
              <w:left w:val="single" w:sz="4" w:space="0" w:color="000000"/>
              <w:bottom w:val="single" w:sz="4" w:space="0" w:color="000000"/>
              <w:right w:val="single" w:sz="4" w:space="0" w:color="000000"/>
            </w:tcBorders>
            <w:shd w:val="clear" w:color="auto" w:fill="808080"/>
            <w:vAlign w:val="bottom"/>
          </w:tcPr>
          <w:p w:rsidR="00194F42" w:rsidP="00025F87" w14:paraId="7FF3F17E" w14:textId="77777777">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4" w:space="0" w:color="000000"/>
              <w:left w:val="single" w:sz="4" w:space="0" w:color="000000"/>
              <w:bottom w:val="single" w:sz="4" w:space="0" w:color="000000"/>
              <w:right w:val="single" w:sz="8" w:space="0" w:color="000000"/>
            </w:tcBorders>
            <w:vAlign w:val="bottom"/>
          </w:tcPr>
          <w:p w:rsidR="00194F42" w:rsidP="00025F87" w14:paraId="4C847C16" w14:textId="77777777">
            <w:pPr>
              <w:widowControl/>
              <w:rPr>
                <w:rFonts w:ascii="Calibri" w:eastAsia="Calibri" w:hAnsi="Calibri" w:cs="Calibri"/>
                <w:sz w:val="16"/>
                <w:szCs w:val="16"/>
              </w:rPr>
            </w:pPr>
            <w:r>
              <w:rPr>
                <w:rFonts w:ascii="Calibri" w:eastAsia="Calibri" w:hAnsi="Calibri" w:cs="Calibri"/>
                <w:sz w:val="16"/>
                <w:szCs w:val="16"/>
              </w:rPr>
              <w:t> </w:t>
            </w:r>
          </w:p>
        </w:tc>
      </w:tr>
      <w:tr w14:paraId="6381F01D" w14:textId="77777777" w:rsidTr="00025F87">
        <w:tblPrEx>
          <w:tblW w:w="8240" w:type="dxa"/>
          <w:tblLayout w:type="fixed"/>
          <w:tblLook w:val="0400"/>
        </w:tblPrEx>
        <w:trPr>
          <w:trHeight w:val="300"/>
        </w:trPr>
        <w:tc>
          <w:tcPr>
            <w:tcW w:w="2280" w:type="dxa"/>
            <w:tcBorders>
              <w:top w:val="single" w:sz="4" w:space="0" w:color="000000"/>
              <w:left w:val="single" w:sz="8" w:space="0" w:color="000000"/>
              <w:bottom w:val="single" w:sz="4" w:space="0" w:color="000000"/>
              <w:right w:val="single" w:sz="8" w:space="0" w:color="000000"/>
            </w:tcBorders>
            <w:vAlign w:val="bottom"/>
          </w:tcPr>
          <w:p w:rsidR="0067712E" w:rsidP="00025F87" w14:paraId="406C63C5" w14:textId="4B4F823E">
            <w:pPr>
              <w:widowControl/>
              <w:rPr>
                <w:rFonts w:ascii="Calibri" w:eastAsia="Calibri" w:hAnsi="Calibri" w:cs="Calibri"/>
                <w:sz w:val="16"/>
                <w:szCs w:val="16"/>
              </w:rPr>
            </w:pPr>
            <w:r>
              <w:rPr>
                <w:rFonts w:ascii="Calibri" w:eastAsia="Calibri" w:hAnsi="Calibri" w:cs="Calibri"/>
                <w:b/>
                <w:sz w:val="16"/>
                <w:szCs w:val="16"/>
              </w:rPr>
              <w:t>Contractor Cost</w:t>
            </w:r>
          </w:p>
        </w:tc>
        <w:tc>
          <w:tcPr>
            <w:tcW w:w="1120" w:type="dxa"/>
            <w:tcBorders>
              <w:top w:val="single" w:sz="4" w:space="0" w:color="000000"/>
              <w:left w:val="single" w:sz="8" w:space="0" w:color="000000"/>
              <w:bottom w:val="single" w:sz="4" w:space="0" w:color="000000"/>
              <w:right w:val="single" w:sz="4" w:space="0" w:color="000000"/>
            </w:tcBorders>
            <w:shd w:val="clear" w:color="auto" w:fill="808080"/>
            <w:vAlign w:val="bottom"/>
          </w:tcPr>
          <w:p w:rsidR="0067712E" w:rsidP="00025F87" w14:paraId="193C5DC0" w14:textId="01E1E426">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single" w:sz="4" w:space="0" w:color="000000"/>
              <w:left w:val="single" w:sz="4" w:space="0" w:color="000000"/>
              <w:bottom w:val="single" w:sz="4" w:space="0" w:color="000000"/>
              <w:right w:val="single" w:sz="4" w:space="0" w:color="000000"/>
            </w:tcBorders>
            <w:vAlign w:val="bottom"/>
          </w:tcPr>
          <w:p w:rsidR="0067712E" w:rsidP="00025F87" w14:paraId="3BE558C8" w14:textId="77848CEB">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4" w:space="0" w:color="000000"/>
              <w:left w:val="single" w:sz="4" w:space="0" w:color="000000"/>
              <w:bottom w:val="single" w:sz="4" w:space="0" w:color="000000"/>
              <w:right w:val="single" w:sz="4" w:space="0" w:color="000000"/>
            </w:tcBorders>
            <w:vAlign w:val="bottom"/>
          </w:tcPr>
          <w:p w:rsidR="0067712E" w:rsidP="00025F87" w14:paraId="688BB5D0" w14:textId="3A1DFBC1">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single" w:sz="4" w:space="0" w:color="000000"/>
              <w:left w:val="single" w:sz="4" w:space="0" w:color="000000"/>
              <w:bottom w:val="single" w:sz="4" w:space="0" w:color="000000"/>
              <w:right w:val="single" w:sz="4" w:space="0" w:color="000000"/>
            </w:tcBorders>
            <w:vAlign w:val="bottom"/>
          </w:tcPr>
          <w:p w:rsidR="0067712E" w:rsidP="00025F87" w14:paraId="52CADF80" w14:textId="6757BDAE">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4" w:space="0" w:color="000000"/>
              <w:left w:val="single" w:sz="4" w:space="0" w:color="000000"/>
              <w:bottom w:val="single" w:sz="4" w:space="0" w:color="000000"/>
              <w:right w:val="single" w:sz="8" w:space="0" w:color="000000"/>
            </w:tcBorders>
            <w:vAlign w:val="bottom"/>
          </w:tcPr>
          <w:p w:rsidR="0067712E" w:rsidP="00025F87" w14:paraId="4BED23C4" w14:textId="4D6D61F7">
            <w:pPr>
              <w:widowControl/>
              <w:rPr>
                <w:rFonts w:ascii="Calibri" w:eastAsia="Calibri" w:hAnsi="Calibri" w:cs="Calibri"/>
                <w:sz w:val="16"/>
                <w:szCs w:val="16"/>
              </w:rPr>
            </w:pPr>
            <w:r>
              <w:rPr>
                <w:rFonts w:ascii="Calibri" w:eastAsia="Calibri" w:hAnsi="Calibri" w:cs="Calibri"/>
                <w:sz w:val="16"/>
                <w:szCs w:val="16"/>
              </w:rPr>
              <w:t> </w:t>
            </w:r>
          </w:p>
        </w:tc>
      </w:tr>
      <w:tr w14:paraId="303BF03C" w14:textId="77777777" w:rsidTr="00025F87">
        <w:tblPrEx>
          <w:tblW w:w="8240" w:type="dxa"/>
          <w:tblLayout w:type="fixed"/>
          <w:tblLook w:val="0400"/>
        </w:tblPrEx>
        <w:trPr>
          <w:trHeight w:val="278"/>
        </w:trPr>
        <w:tc>
          <w:tcPr>
            <w:tcW w:w="2280" w:type="dxa"/>
            <w:tcBorders>
              <w:top w:val="single" w:sz="4" w:space="0" w:color="000000"/>
              <w:left w:val="single" w:sz="8" w:space="0" w:color="000000"/>
              <w:bottom w:val="single" w:sz="4" w:space="0" w:color="000000"/>
              <w:right w:val="single" w:sz="8" w:space="0" w:color="000000"/>
            </w:tcBorders>
            <w:vAlign w:val="bottom"/>
          </w:tcPr>
          <w:p w:rsidR="0067712E" w:rsidP="00025F87" w14:paraId="0AE5878B" w14:textId="0B340B1D">
            <w:pPr>
              <w:widowControl/>
              <w:rPr>
                <w:rFonts w:ascii="Calibri" w:eastAsia="Calibri" w:hAnsi="Calibri" w:cs="Calibri"/>
                <w:b/>
                <w:sz w:val="16"/>
                <w:szCs w:val="16"/>
              </w:rPr>
            </w:pPr>
            <w:r>
              <w:rPr>
                <w:rFonts w:ascii="Calibri" w:eastAsia="Calibri" w:hAnsi="Calibri" w:cs="Calibri"/>
                <w:sz w:val="16"/>
                <w:szCs w:val="16"/>
              </w:rPr>
              <w:t> </w:t>
            </w:r>
            <w:r>
              <w:rPr>
                <w:rFonts w:ascii="Calibri" w:eastAsia="Calibri" w:hAnsi="Calibri" w:cs="Calibri"/>
                <w:sz w:val="16"/>
                <w:szCs w:val="16"/>
              </w:rPr>
              <w:t>Awalix</w:t>
            </w:r>
            <w:r>
              <w:rPr>
                <w:rFonts w:ascii="Calibri" w:eastAsia="Calibri" w:hAnsi="Calibri" w:cs="Calibri"/>
                <w:sz w:val="16"/>
                <w:szCs w:val="16"/>
              </w:rPr>
              <w:t>, LLC</w:t>
            </w:r>
          </w:p>
        </w:tc>
        <w:tc>
          <w:tcPr>
            <w:tcW w:w="1120" w:type="dxa"/>
            <w:tcBorders>
              <w:top w:val="single" w:sz="4" w:space="0" w:color="000000"/>
              <w:left w:val="single" w:sz="8" w:space="0" w:color="000000"/>
              <w:bottom w:val="single" w:sz="4" w:space="0" w:color="000000"/>
              <w:right w:val="single" w:sz="4" w:space="0" w:color="000000"/>
            </w:tcBorders>
            <w:vAlign w:val="bottom"/>
          </w:tcPr>
          <w:p w:rsidR="0067712E" w:rsidP="00025F87" w14:paraId="228D8E67" w14:textId="06BA72D1">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single" w:sz="4" w:space="0" w:color="000000"/>
              <w:left w:val="single" w:sz="4" w:space="0" w:color="000000"/>
              <w:bottom w:val="single" w:sz="4" w:space="0" w:color="000000"/>
              <w:right w:val="single" w:sz="4" w:space="0" w:color="000000"/>
            </w:tcBorders>
            <w:vAlign w:val="bottom"/>
          </w:tcPr>
          <w:p w:rsidR="0067712E" w:rsidP="00025F87" w14:paraId="2B9CD405" w14:textId="301F531E">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4" w:space="0" w:color="000000"/>
              <w:left w:val="single" w:sz="4" w:space="0" w:color="000000"/>
              <w:bottom w:val="single" w:sz="4" w:space="0" w:color="000000"/>
              <w:right w:val="single" w:sz="4" w:space="0" w:color="000000"/>
            </w:tcBorders>
            <w:vAlign w:val="bottom"/>
          </w:tcPr>
          <w:p w:rsidR="0067712E" w:rsidP="00025F87" w14:paraId="3A7E8C0C" w14:textId="29BCA1D1">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single" w:sz="4" w:space="0" w:color="000000"/>
              <w:left w:val="single" w:sz="4" w:space="0" w:color="000000"/>
              <w:bottom w:val="single" w:sz="4" w:space="0" w:color="000000"/>
              <w:right w:val="single" w:sz="4" w:space="0" w:color="000000"/>
            </w:tcBorders>
            <w:vAlign w:val="bottom"/>
          </w:tcPr>
          <w:p w:rsidR="0067712E" w:rsidP="00025F87" w14:paraId="23CF8619" w14:textId="343F4F50">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4" w:space="0" w:color="000000"/>
              <w:left w:val="single" w:sz="4" w:space="0" w:color="000000"/>
              <w:bottom w:val="single" w:sz="4" w:space="0" w:color="000000"/>
              <w:right w:val="single" w:sz="8" w:space="0" w:color="000000"/>
            </w:tcBorders>
            <w:vAlign w:val="bottom"/>
          </w:tcPr>
          <w:p w:rsidR="0067712E" w:rsidP="00025F87" w14:paraId="6B582979" w14:textId="79500025">
            <w:pPr>
              <w:widowControl/>
              <w:rPr>
                <w:rFonts w:ascii="Calibri" w:eastAsia="Calibri" w:hAnsi="Calibri" w:cs="Calibri"/>
                <w:sz w:val="16"/>
                <w:szCs w:val="16"/>
              </w:rPr>
            </w:pPr>
            <w:r>
              <w:rPr>
                <w:rFonts w:ascii="Calibri" w:eastAsia="Calibri" w:hAnsi="Calibri" w:cs="Calibri"/>
                <w:sz w:val="16"/>
                <w:szCs w:val="16"/>
              </w:rPr>
              <w:t> $78,</w:t>
            </w:r>
            <w:r>
              <w:rPr>
                <w:rFonts w:ascii="Calibri" w:eastAsia="Calibri" w:hAnsi="Calibri" w:cs="Calibri"/>
                <w:sz w:val="16"/>
                <w:szCs w:val="16"/>
              </w:rPr>
              <w:t>278</w:t>
            </w:r>
          </w:p>
        </w:tc>
      </w:tr>
      <w:tr w14:paraId="19774C3D" w14:textId="77777777" w:rsidTr="00025F87">
        <w:tblPrEx>
          <w:tblW w:w="8240" w:type="dxa"/>
          <w:tblLayout w:type="fixed"/>
          <w:tblLook w:val="0400"/>
        </w:tblPrEx>
        <w:trPr>
          <w:trHeight w:val="300"/>
        </w:trPr>
        <w:tc>
          <w:tcPr>
            <w:tcW w:w="2280" w:type="dxa"/>
            <w:tcBorders>
              <w:top w:val="single" w:sz="4" w:space="0" w:color="000000"/>
              <w:left w:val="single" w:sz="8" w:space="0" w:color="000000"/>
              <w:bottom w:val="single" w:sz="4" w:space="0" w:color="000000"/>
              <w:right w:val="single" w:sz="8" w:space="0" w:color="000000"/>
            </w:tcBorders>
            <w:vAlign w:val="bottom"/>
          </w:tcPr>
          <w:p w:rsidR="0067712E" w:rsidP="00025F87" w14:paraId="067BE938" w14:textId="7069AE64">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4" w:space="0" w:color="000000"/>
              <w:left w:val="single" w:sz="8" w:space="0" w:color="000000"/>
              <w:bottom w:val="single" w:sz="4" w:space="0" w:color="000000"/>
              <w:right w:val="single" w:sz="4" w:space="0" w:color="000000"/>
            </w:tcBorders>
            <w:vAlign w:val="bottom"/>
          </w:tcPr>
          <w:p w:rsidR="0067712E" w:rsidP="00025F87" w14:paraId="5AAEBE64" w14:textId="7CCE062A">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single" w:sz="4" w:space="0" w:color="000000"/>
              <w:left w:val="single" w:sz="4" w:space="0" w:color="000000"/>
              <w:bottom w:val="single" w:sz="4" w:space="0" w:color="000000"/>
              <w:right w:val="single" w:sz="4" w:space="0" w:color="000000"/>
            </w:tcBorders>
            <w:vAlign w:val="bottom"/>
          </w:tcPr>
          <w:p w:rsidR="0067712E" w:rsidP="00025F87" w14:paraId="7CCAF33E" w14:textId="6D05A30F">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4" w:space="0" w:color="000000"/>
              <w:left w:val="single" w:sz="4" w:space="0" w:color="000000"/>
              <w:bottom w:val="single" w:sz="4" w:space="0" w:color="000000"/>
              <w:right w:val="single" w:sz="4" w:space="0" w:color="000000"/>
            </w:tcBorders>
            <w:vAlign w:val="bottom"/>
          </w:tcPr>
          <w:p w:rsidR="0067712E" w:rsidP="00025F87" w14:paraId="10E28777" w14:textId="0A40988C">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single" w:sz="4" w:space="0" w:color="000000"/>
              <w:left w:val="single" w:sz="4" w:space="0" w:color="000000"/>
              <w:bottom w:val="single" w:sz="4" w:space="0" w:color="000000"/>
              <w:right w:val="single" w:sz="4" w:space="0" w:color="000000"/>
            </w:tcBorders>
            <w:vAlign w:val="bottom"/>
          </w:tcPr>
          <w:p w:rsidR="0067712E" w:rsidP="00025F87" w14:paraId="5D73901C" w14:textId="0B6D2AD3">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4" w:space="0" w:color="000000"/>
              <w:left w:val="single" w:sz="4" w:space="0" w:color="000000"/>
              <w:bottom w:val="single" w:sz="4" w:space="0" w:color="000000"/>
              <w:right w:val="single" w:sz="8" w:space="0" w:color="000000"/>
            </w:tcBorders>
            <w:vAlign w:val="bottom"/>
          </w:tcPr>
          <w:p w:rsidR="0067712E" w:rsidP="00025F87" w14:paraId="356C5EA2" w14:textId="3CC865B5">
            <w:pPr>
              <w:widowControl/>
              <w:rPr>
                <w:rFonts w:ascii="Calibri" w:eastAsia="Calibri" w:hAnsi="Calibri" w:cs="Calibri"/>
                <w:sz w:val="16"/>
                <w:szCs w:val="16"/>
              </w:rPr>
            </w:pPr>
            <w:r>
              <w:rPr>
                <w:rFonts w:ascii="Calibri" w:eastAsia="Calibri" w:hAnsi="Calibri" w:cs="Calibri"/>
                <w:sz w:val="16"/>
                <w:szCs w:val="16"/>
              </w:rPr>
              <w:t> </w:t>
            </w:r>
          </w:p>
        </w:tc>
      </w:tr>
      <w:tr w14:paraId="2A2A35B8" w14:textId="77777777" w:rsidTr="00025F87">
        <w:tblPrEx>
          <w:tblW w:w="8240" w:type="dxa"/>
          <w:tblLayout w:type="fixed"/>
          <w:tblLook w:val="0400"/>
        </w:tblPrEx>
        <w:trPr>
          <w:trHeight w:val="300"/>
        </w:trPr>
        <w:tc>
          <w:tcPr>
            <w:tcW w:w="2280" w:type="dxa"/>
            <w:tcBorders>
              <w:top w:val="single" w:sz="4" w:space="0" w:color="000000"/>
              <w:left w:val="single" w:sz="8" w:space="0" w:color="000000"/>
              <w:bottom w:val="single" w:sz="4" w:space="0" w:color="000000"/>
              <w:right w:val="single" w:sz="8" w:space="0" w:color="000000"/>
            </w:tcBorders>
            <w:vAlign w:val="bottom"/>
          </w:tcPr>
          <w:p w:rsidR="0067712E" w:rsidP="00025F87" w14:paraId="10B47C68" w14:textId="0B3BA24D">
            <w:pPr>
              <w:widowControl/>
              <w:rPr>
                <w:rFonts w:ascii="Calibri" w:eastAsia="Calibri" w:hAnsi="Calibri" w:cs="Calibri"/>
                <w:sz w:val="16"/>
                <w:szCs w:val="16"/>
              </w:rPr>
            </w:pPr>
            <w:r>
              <w:rPr>
                <w:rFonts w:ascii="Calibri" w:eastAsia="Calibri" w:hAnsi="Calibri" w:cs="Calibri"/>
                <w:b/>
                <w:sz w:val="16"/>
                <w:szCs w:val="16"/>
              </w:rPr>
              <w:t>Travel</w:t>
            </w:r>
          </w:p>
        </w:tc>
        <w:tc>
          <w:tcPr>
            <w:tcW w:w="1120" w:type="dxa"/>
            <w:tcBorders>
              <w:top w:val="single" w:sz="4" w:space="0" w:color="000000"/>
              <w:left w:val="single" w:sz="8" w:space="0" w:color="000000"/>
              <w:bottom w:val="single" w:sz="4" w:space="0" w:color="000000"/>
              <w:right w:val="single" w:sz="4" w:space="0" w:color="000000"/>
            </w:tcBorders>
            <w:shd w:val="clear" w:color="auto" w:fill="808080"/>
            <w:vAlign w:val="bottom"/>
          </w:tcPr>
          <w:p w:rsidR="0067712E" w:rsidP="00025F87" w14:paraId="771556C1" w14:textId="56B22E65">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808080"/>
            <w:vAlign w:val="bottom"/>
          </w:tcPr>
          <w:p w:rsidR="0067712E" w:rsidP="00025F87" w14:paraId="08AE1411" w14:textId="785EC4C8">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4" w:space="0" w:color="000000"/>
              <w:left w:val="single" w:sz="4" w:space="0" w:color="000000"/>
              <w:bottom w:val="single" w:sz="4" w:space="0" w:color="000000"/>
              <w:right w:val="single" w:sz="4" w:space="0" w:color="000000"/>
            </w:tcBorders>
            <w:shd w:val="clear" w:color="auto" w:fill="808080"/>
            <w:vAlign w:val="bottom"/>
          </w:tcPr>
          <w:p w:rsidR="0067712E" w:rsidP="00025F87" w14:paraId="19447DA9" w14:textId="2EC99920">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single" w:sz="4" w:space="0" w:color="000000"/>
              <w:left w:val="single" w:sz="4" w:space="0" w:color="000000"/>
              <w:bottom w:val="single" w:sz="4" w:space="0" w:color="000000"/>
              <w:right w:val="single" w:sz="4" w:space="0" w:color="000000"/>
            </w:tcBorders>
            <w:shd w:val="clear" w:color="auto" w:fill="808080"/>
            <w:vAlign w:val="bottom"/>
          </w:tcPr>
          <w:p w:rsidR="0067712E" w:rsidP="00025F87" w14:paraId="739579AF" w14:textId="47DFF91C">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4" w:space="0" w:color="000000"/>
              <w:left w:val="single" w:sz="4" w:space="0" w:color="000000"/>
              <w:bottom w:val="single" w:sz="4" w:space="0" w:color="000000"/>
              <w:right w:val="single" w:sz="8" w:space="0" w:color="000000"/>
            </w:tcBorders>
            <w:vAlign w:val="bottom"/>
          </w:tcPr>
          <w:p w:rsidR="0067712E" w:rsidP="00025F87" w14:paraId="486A1EBE" w14:textId="2F378019">
            <w:pPr>
              <w:widowControl/>
              <w:rPr>
                <w:rFonts w:ascii="Calibri" w:eastAsia="Calibri" w:hAnsi="Calibri" w:cs="Calibri"/>
                <w:sz w:val="16"/>
                <w:szCs w:val="16"/>
              </w:rPr>
            </w:pPr>
            <w:r>
              <w:rPr>
                <w:rFonts w:ascii="Calibri" w:eastAsia="Calibri" w:hAnsi="Calibri" w:cs="Calibri"/>
                <w:sz w:val="16"/>
                <w:szCs w:val="16"/>
              </w:rPr>
              <w:t> 0</w:t>
            </w:r>
          </w:p>
        </w:tc>
      </w:tr>
      <w:tr w14:paraId="59E0ABC3" w14:textId="77777777" w:rsidTr="00025F87">
        <w:tblPrEx>
          <w:tblW w:w="8240" w:type="dxa"/>
          <w:tblLayout w:type="fixed"/>
          <w:tblLook w:val="0400"/>
        </w:tblPrEx>
        <w:trPr>
          <w:trHeight w:val="300"/>
        </w:trPr>
        <w:tc>
          <w:tcPr>
            <w:tcW w:w="2280" w:type="dxa"/>
            <w:tcBorders>
              <w:top w:val="single" w:sz="4" w:space="0" w:color="000000"/>
              <w:left w:val="single" w:sz="8" w:space="0" w:color="000000"/>
              <w:bottom w:val="single" w:sz="8" w:space="0" w:color="000000"/>
              <w:right w:val="single" w:sz="8" w:space="0" w:color="000000"/>
            </w:tcBorders>
            <w:vAlign w:val="center"/>
          </w:tcPr>
          <w:p w:rsidR="0067712E" w:rsidP="00025F87" w14:paraId="305B8D64" w14:textId="7D425DA6">
            <w:pPr>
              <w:widowControl/>
              <w:rPr>
                <w:rFonts w:ascii="Calibri" w:eastAsia="Calibri" w:hAnsi="Calibri" w:cs="Calibri"/>
                <w:b/>
                <w:sz w:val="16"/>
                <w:szCs w:val="16"/>
              </w:rPr>
            </w:pPr>
            <w:r>
              <w:rPr>
                <w:rFonts w:ascii="Calibri" w:eastAsia="Calibri" w:hAnsi="Calibri" w:cs="Calibri"/>
                <w:b/>
                <w:sz w:val="16"/>
                <w:szCs w:val="16"/>
              </w:rPr>
              <w:t xml:space="preserve">Other Costs: </w:t>
            </w:r>
          </w:p>
        </w:tc>
        <w:tc>
          <w:tcPr>
            <w:tcW w:w="1120" w:type="dxa"/>
            <w:tcBorders>
              <w:top w:val="single" w:sz="4" w:space="0" w:color="000000"/>
              <w:left w:val="single" w:sz="8" w:space="0" w:color="000000"/>
              <w:bottom w:val="single" w:sz="8" w:space="0" w:color="000000"/>
              <w:right w:val="single" w:sz="4" w:space="0" w:color="000000"/>
            </w:tcBorders>
            <w:shd w:val="clear" w:color="auto" w:fill="808080"/>
            <w:vAlign w:val="bottom"/>
          </w:tcPr>
          <w:p w:rsidR="0067712E" w:rsidP="00025F87" w14:paraId="434BFBFC" w14:textId="2DF81BBE">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single" w:sz="4" w:space="0" w:color="000000"/>
              <w:left w:val="single" w:sz="4" w:space="0" w:color="000000"/>
              <w:bottom w:val="single" w:sz="8" w:space="0" w:color="000000"/>
              <w:right w:val="single" w:sz="4" w:space="0" w:color="000000"/>
            </w:tcBorders>
            <w:shd w:val="clear" w:color="auto" w:fill="808080"/>
            <w:vAlign w:val="bottom"/>
          </w:tcPr>
          <w:p w:rsidR="0067712E" w:rsidP="00025F87" w14:paraId="550ED766" w14:textId="7B4F1D39">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4" w:space="0" w:color="000000"/>
              <w:left w:val="single" w:sz="4" w:space="0" w:color="000000"/>
              <w:bottom w:val="single" w:sz="8" w:space="0" w:color="000000"/>
              <w:right w:val="single" w:sz="4" w:space="0" w:color="000000"/>
            </w:tcBorders>
            <w:shd w:val="clear" w:color="auto" w:fill="808080"/>
            <w:vAlign w:val="bottom"/>
          </w:tcPr>
          <w:p w:rsidR="0067712E" w:rsidP="00025F87" w14:paraId="356A50A0" w14:textId="185A1174">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single" w:sz="4" w:space="0" w:color="000000"/>
              <w:left w:val="single" w:sz="4" w:space="0" w:color="000000"/>
              <w:bottom w:val="single" w:sz="8" w:space="0" w:color="000000"/>
              <w:right w:val="single" w:sz="4" w:space="0" w:color="000000"/>
            </w:tcBorders>
            <w:shd w:val="clear" w:color="auto" w:fill="808080"/>
            <w:vAlign w:val="bottom"/>
          </w:tcPr>
          <w:p w:rsidR="0067712E" w:rsidP="00025F87" w14:paraId="4AA3EB88" w14:textId="7176CCA6">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4" w:space="0" w:color="000000"/>
              <w:left w:val="single" w:sz="4" w:space="0" w:color="000000"/>
              <w:bottom w:val="single" w:sz="8" w:space="0" w:color="000000"/>
              <w:right w:val="single" w:sz="8" w:space="0" w:color="000000"/>
            </w:tcBorders>
            <w:vAlign w:val="bottom"/>
          </w:tcPr>
          <w:p w:rsidR="0067712E" w:rsidP="00025F87" w14:paraId="0D8F9F58" w14:textId="30B5AAF8">
            <w:pPr>
              <w:widowControl/>
              <w:rPr>
                <w:rFonts w:ascii="Calibri" w:eastAsia="Calibri" w:hAnsi="Calibri" w:cs="Calibri"/>
                <w:sz w:val="16"/>
                <w:szCs w:val="16"/>
              </w:rPr>
            </w:pPr>
            <w:r>
              <w:rPr>
                <w:rFonts w:ascii="Calibri" w:eastAsia="Calibri" w:hAnsi="Calibri" w:cs="Calibri"/>
                <w:sz w:val="16"/>
                <w:szCs w:val="16"/>
              </w:rPr>
              <w:t> 0</w:t>
            </w:r>
          </w:p>
        </w:tc>
      </w:tr>
      <w:tr w14:paraId="5916D82B" w14:textId="77777777" w:rsidTr="00025F87">
        <w:tblPrEx>
          <w:tblW w:w="8240" w:type="dxa"/>
          <w:tblLayout w:type="fixed"/>
          <w:tblLook w:val="0400"/>
        </w:tblPrEx>
        <w:trPr>
          <w:trHeight w:val="313"/>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67712E" w:rsidP="00025F87" w14:paraId="1B2A4BE8" w14:textId="03936C9D">
            <w:pPr>
              <w:widowControl/>
              <w:rPr>
                <w:rFonts w:ascii="Calibri" w:eastAsia="Calibri" w:hAnsi="Calibri" w:cs="Calibri"/>
                <w:b/>
                <w:sz w:val="16"/>
                <w:szCs w:val="16"/>
              </w:rPr>
            </w:pPr>
            <w:r>
              <w:rPr>
                <w:rFonts w:ascii="Calibri" w:eastAsia="Calibri" w:hAnsi="Calibri" w:cs="Calibri"/>
                <w:b/>
                <w:sz w:val="16"/>
                <w:szCs w:val="16"/>
              </w:rPr>
              <w:t>TOTAL</w:t>
            </w:r>
          </w:p>
        </w:tc>
        <w:tc>
          <w:tcPr>
            <w:tcW w:w="1120" w:type="dxa"/>
            <w:tcBorders>
              <w:top w:val="single" w:sz="8" w:space="0" w:color="000000"/>
              <w:left w:val="single" w:sz="8" w:space="0" w:color="000000"/>
              <w:bottom w:val="single" w:sz="8" w:space="0" w:color="000000"/>
              <w:right w:val="single" w:sz="8" w:space="0" w:color="000000"/>
            </w:tcBorders>
            <w:shd w:val="clear" w:color="auto" w:fill="808080"/>
            <w:vAlign w:val="bottom"/>
          </w:tcPr>
          <w:p w:rsidR="0067712E" w:rsidP="00025F87" w14:paraId="40AEC49E" w14:textId="6F611A25">
            <w:pPr>
              <w:widowControl/>
              <w:rPr>
                <w:rFonts w:ascii="Calibri" w:eastAsia="Calibri" w:hAnsi="Calibri" w:cs="Calibri"/>
                <w:sz w:val="16"/>
                <w:szCs w:val="16"/>
              </w:rPr>
            </w:pPr>
            <w:r>
              <w:rPr>
                <w:rFonts w:ascii="Calibri" w:eastAsia="Calibri" w:hAnsi="Calibri" w:cs="Calibri"/>
                <w:sz w:val="16"/>
                <w:szCs w:val="16"/>
              </w:rPr>
              <w:t> </w:t>
            </w:r>
          </w:p>
        </w:tc>
        <w:tc>
          <w:tcPr>
            <w:tcW w:w="1140" w:type="dxa"/>
            <w:tcBorders>
              <w:top w:val="single" w:sz="8" w:space="0" w:color="000000"/>
              <w:left w:val="single" w:sz="8" w:space="0" w:color="000000"/>
              <w:bottom w:val="single" w:sz="8" w:space="0" w:color="000000"/>
              <w:right w:val="single" w:sz="8" w:space="0" w:color="000000"/>
            </w:tcBorders>
            <w:shd w:val="clear" w:color="auto" w:fill="808080"/>
            <w:vAlign w:val="bottom"/>
          </w:tcPr>
          <w:p w:rsidR="0067712E" w:rsidP="00025F87" w14:paraId="0BB9CA3A" w14:textId="18624F9D">
            <w:pPr>
              <w:widowControl/>
              <w:rPr>
                <w:rFonts w:ascii="Calibri" w:eastAsia="Calibri" w:hAnsi="Calibri" w:cs="Calibri"/>
                <w:sz w:val="16"/>
                <w:szCs w:val="16"/>
              </w:rPr>
            </w:pPr>
            <w:r>
              <w:rPr>
                <w:rFonts w:ascii="Calibri" w:eastAsia="Calibri" w:hAnsi="Calibri" w:cs="Calibri"/>
                <w:sz w:val="16"/>
                <w:szCs w:val="16"/>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757171"/>
            <w:vAlign w:val="bottom"/>
          </w:tcPr>
          <w:p w:rsidR="0067712E" w:rsidP="00025F87" w14:paraId="718FCAF7" w14:textId="1EFC91C4">
            <w:pPr>
              <w:widowControl/>
              <w:rPr>
                <w:rFonts w:ascii="Calibri" w:eastAsia="Calibri" w:hAnsi="Calibri" w:cs="Calibri"/>
                <w:sz w:val="16"/>
                <w:szCs w:val="16"/>
              </w:rPr>
            </w:pPr>
            <w:r>
              <w:rPr>
                <w:rFonts w:ascii="Calibri" w:eastAsia="Calibri" w:hAnsi="Calibri" w:cs="Calibri"/>
                <w:sz w:val="16"/>
                <w:szCs w:val="16"/>
              </w:rPr>
              <w:t> </w:t>
            </w:r>
          </w:p>
        </w:tc>
        <w:tc>
          <w:tcPr>
            <w:tcW w:w="1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67712E" w:rsidP="00025F87" w14:paraId="346A52E7" w14:textId="6E8B4262">
            <w:pPr>
              <w:widowControl/>
              <w:rPr>
                <w:rFonts w:ascii="Calibri" w:eastAsia="Calibri" w:hAnsi="Calibri" w:cs="Calibri"/>
                <w:sz w:val="16"/>
                <w:szCs w:val="16"/>
              </w:rPr>
            </w:pPr>
            <w:r>
              <w:rPr>
                <w:rFonts w:ascii="Calibri" w:eastAsia="Calibri" w:hAnsi="Calibri" w:cs="Calibri"/>
                <w:sz w:val="16"/>
                <w:szCs w:val="16"/>
              </w:rPr>
              <w:t> </w:t>
            </w:r>
          </w:p>
        </w:tc>
        <w:tc>
          <w:tcPr>
            <w:tcW w:w="130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67712E" w:rsidP="00025F87" w14:paraId="6DFB346B" w14:textId="5B41B591">
            <w:pPr>
              <w:widowControl/>
              <w:rPr>
                <w:rFonts w:ascii="Calibri" w:eastAsia="Calibri" w:hAnsi="Calibri" w:cs="Calibri"/>
                <w:sz w:val="16"/>
                <w:szCs w:val="16"/>
              </w:rPr>
            </w:pPr>
            <w:r>
              <w:rPr>
                <w:rFonts w:ascii="Calibri" w:eastAsia="Calibri" w:hAnsi="Calibri" w:cs="Calibri"/>
                <w:sz w:val="16"/>
                <w:szCs w:val="16"/>
              </w:rPr>
              <w:t> </w:t>
            </w:r>
            <w:r w:rsidR="00025F87">
              <w:rPr>
                <w:rFonts w:ascii="Calibri" w:eastAsia="Calibri" w:hAnsi="Calibri" w:cs="Calibri"/>
                <w:sz w:val="16"/>
                <w:szCs w:val="16"/>
              </w:rPr>
              <w:t>$</w:t>
            </w:r>
            <w:r>
              <w:rPr>
                <w:rFonts w:ascii="Calibri" w:eastAsia="Calibri" w:hAnsi="Calibri" w:cs="Calibri"/>
                <w:sz w:val="16"/>
                <w:szCs w:val="16"/>
              </w:rPr>
              <w:t>97,266</w:t>
            </w:r>
          </w:p>
        </w:tc>
      </w:tr>
    </w:tbl>
    <w:p w:rsidR="004631B6" w14:paraId="7C2209F4" w14:textId="77777777">
      <w:pPr>
        <w:spacing w:before="9" w:after="1"/>
        <w:rPr>
          <w:b/>
        </w:rPr>
        <w:sectPr>
          <w:pgSz w:w="12240" w:h="15840"/>
          <w:pgMar w:top="640" w:right="1080" w:bottom="1200" w:left="1080" w:header="0" w:footer="714" w:gutter="0"/>
          <w:cols w:space="720"/>
        </w:sectPr>
      </w:pPr>
    </w:p>
    <w:p w:rsidR="00194F42" w14:paraId="6F988650"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194F42" w14:paraId="43C1C111" w14:textId="77777777">
      <w:pPr>
        <w:pBdr>
          <w:top w:val="nil"/>
          <w:left w:val="nil"/>
          <w:bottom w:val="nil"/>
          <w:right w:val="nil"/>
          <w:between w:val="nil"/>
        </w:pBdr>
        <w:spacing w:before="7"/>
        <w:rPr>
          <w:b/>
          <w:color w:val="000000"/>
        </w:rPr>
      </w:pPr>
    </w:p>
    <w:tbl>
      <w:tblPr>
        <w:tblW w:w="14220" w:type="dxa"/>
        <w:tblInd w:w="-460" w:type="dxa"/>
        <w:tblLook w:val="04A0"/>
      </w:tblPr>
      <w:tblGrid>
        <w:gridCol w:w="2780"/>
        <w:gridCol w:w="1200"/>
        <w:gridCol w:w="1180"/>
        <w:gridCol w:w="1160"/>
        <w:gridCol w:w="1140"/>
        <w:gridCol w:w="1180"/>
        <w:gridCol w:w="1240"/>
        <w:gridCol w:w="4340"/>
      </w:tblGrid>
      <w:tr w14:paraId="35579EC0" w14:textId="77777777" w:rsidTr="004631B6">
        <w:tblPrEx>
          <w:tblW w:w="14220" w:type="dxa"/>
          <w:tblInd w:w="-460" w:type="dxa"/>
          <w:tblLook w:val="04A0"/>
        </w:tblPrEx>
        <w:trPr>
          <w:trHeight w:val="300"/>
        </w:trPr>
        <w:tc>
          <w:tcPr>
            <w:tcW w:w="278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4631B6" w:rsidRPr="004631B6" w:rsidP="004631B6" w14:paraId="0AE981EA"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Information Collection</w:t>
            </w:r>
          </w:p>
        </w:tc>
        <w:tc>
          <w:tcPr>
            <w:tcW w:w="238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4631B6" w:rsidRPr="004631B6" w:rsidP="004631B6" w14:paraId="3B29974B"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Respondents</w:t>
            </w:r>
          </w:p>
        </w:tc>
        <w:tc>
          <w:tcPr>
            <w:tcW w:w="230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4631B6" w:rsidRPr="004631B6" w:rsidP="004631B6" w14:paraId="459DF54F"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Responses</w:t>
            </w:r>
          </w:p>
        </w:tc>
        <w:tc>
          <w:tcPr>
            <w:tcW w:w="242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4631B6" w:rsidRPr="004631B6" w:rsidP="004631B6" w14:paraId="57D8A21A"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Burden Hours</w:t>
            </w:r>
          </w:p>
        </w:tc>
        <w:tc>
          <w:tcPr>
            <w:tcW w:w="434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4631B6" w:rsidRPr="004631B6" w:rsidP="004631B6" w14:paraId="2CCFA773"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Reason for change or adjustment</w:t>
            </w:r>
          </w:p>
        </w:tc>
      </w:tr>
      <w:tr w14:paraId="6DEB3B4B" w14:textId="77777777" w:rsidTr="004631B6">
        <w:tblPrEx>
          <w:tblW w:w="14220" w:type="dxa"/>
          <w:tblInd w:w="-460" w:type="dxa"/>
          <w:tblLook w:val="04A0"/>
        </w:tblPrEx>
        <w:trPr>
          <w:trHeight w:val="780"/>
        </w:trPr>
        <w:tc>
          <w:tcPr>
            <w:tcW w:w="2780" w:type="dxa"/>
            <w:vMerge/>
            <w:tcBorders>
              <w:top w:val="single" w:sz="8" w:space="0" w:color="000000"/>
              <w:left w:val="single" w:sz="8" w:space="0" w:color="000000"/>
              <w:bottom w:val="single" w:sz="8" w:space="0" w:color="000000"/>
              <w:right w:val="single" w:sz="8" w:space="0" w:color="000000"/>
            </w:tcBorders>
            <w:vAlign w:val="center"/>
            <w:hideMark/>
          </w:tcPr>
          <w:p w:rsidR="004631B6" w:rsidRPr="004631B6" w:rsidP="004631B6" w14:paraId="7D71F986" w14:textId="77777777">
            <w:pPr>
              <w:widowControl/>
              <w:rPr>
                <w:rFonts w:ascii="Calibri" w:hAnsi="Calibri" w:cs="Calibri"/>
                <w:b/>
                <w:bCs/>
                <w:color w:val="000000"/>
                <w:sz w:val="20"/>
                <w:szCs w:val="20"/>
              </w:rPr>
            </w:pPr>
          </w:p>
        </w:tc>
        <w:tc>
          <w:tcPr>
            <w:tcW w:w="1200" w:type="dxa"/>
            <w:tcBorders>
              <w:top w:val="nil"/>
              <w:left w:val="nil"/>
              <w:bottom w:val="single" w:sz="8" w:space="0" w:color="000000"/>
              <w:right w:val="dotted" w:sz="4" w:space="0" w:color="000000"/>
            </w:tcBorders>
            <w:shd w:val="clear" w:color="FBE4D5" w:fill="FBE4D5"/>
            <w:vAlign w:val="center"/>
            <w:hideMark/>
          </w:tcPr>
          <w:p w:rsidR="004631B6" w:rsidRPr="004631B6" w:rsidP="004631B6" w14:paraId="187E785A" w14:textId="77777777">
            <w:pPr>
              <w:widowControl/>
              <w:jc w:val="center"/>
              <w:rPr>
                <w:rFonts w:ascii="Calibri" w:hAnsi="Calibri" w:cs="Calibri"/>
                <w:color w:val="000000"/>
                <w:sz w:val="20"/>
                <w:szCs w:val="20"/>
              </w:rPr>
            </w:pPr>
            <w:r w:rsidRPr="004631B6">
              <w:rPr>
                <w:rFonts w:ascii="Calibri" w:hAnsi="Calibri" w:cs="Calibri"/>
                <w:color w:val="000000"/>
                <w:sz w:val="20"/>
                <w:szCs w:val="20"/>
              </w:rPr>
              <w:t>Current Renewal / Revision</w:t>
            </w:r>
          </w:p>
        </w:tc>
        <w:tc>
          <w:tcPr>
            <w:tcW w:w="1180" w:type="dxa"/>
            <w:tcBorders>
              <w:top w:val="nil"/>
              <w:left w:val="nil"/>
              <w:bottom w:val="single" w:sz="8" w:space="0" w:color="000000"/>
              <w:right w:val="single" w:sz="8" w:space="0" w:color="000000"/>
            </w:tcBorders>
            <w:shd w:val="clear" w:color="FBE4D5" w:fill="FBE4D5"/>
            <w:vAlign w:val="center"/>
            <w:hideMark/>
          </w:tcPr>
          <w:p w:rsidR="004631B6" w:rsidRPr="004631B6" w:rsidP="004631B6" w14:paraId="46DBD31C" w14:textId="77777777">
            <w:pPr>
              <w:widowControl/>
              <w:jc w:val="center"/>
              <w:rPr>
                <w:rFonts w:ascii="Calibri" w:hAnsi="Calibri" w:cs="Calibri"/>
                <w:color w:val="000000"/>
                <w:sz w:val="20"/>
                <w:szCs w:val="20"/>
              </w:rPr>
            </w:pPr>
            <w:r w:rsidRPr="004631B6">
              <w:rPr>
                <w:rFonts w:ascii="Calibri" w:hAnsi="Calibri" w:cs="Calibri"/>
                <w:color w:val="000000"/>
                <w:sz w:val="20"/>
                <w:szCs w:val="20"/>
              </w:rPr>
              <w:t>Previous Renewal / Revision</w:t>
            </w:r>
          </w:p>
        </w:tc>
        <w:tc>
          <w:tcPr>
            <w:tcW w:w="1160" w:type="dxa"/>
            <w:tcBorders>
              <w:top w:val="nil"/>
              <w:left w:val="nil"/>
              <w:bottom w:val="single" w:sz="8" w:space="0" w:color="000000"/>
              <w:right w:val="dotted" w:sz="4" w:space="0" w:color="000000"/>
            </w:tcBorders>
            <w:shd w:val="clear" w:color="FBE4D5" w:fill="FBE4D5"/>
            <w:vAlign w:val="center"/>
            <w:hideMark/>
          </w:tcPr>
          <w:p w:rsidR="004631B6" w:rsidRPr="004631B6" w:rsidP="004631B6" w14:paraId="7A3EBEC5" w14:textId="77777777">
            <w:pPr>
              <w:widowControl/>
              <w:jc w:val="center"/>
              <w:rPr>
                <w:rFonts w:ascii="Calibri" w:hAnsi="Calibri" w:cs="Calibri"/>
                <w:color w:val="000000"/>
                <w:sz w:val="20"/>
                <w:szCs w:val="20"/>
              </w:rPr>
            </w:pPr>
            <w:r w:rsidRPr="004631B6">
              <w:rPr>
                <w:rFonts w:ascii="Calibri" w:hAnsi="Calibri" w:cs="Calibri"/>
                <w:color w:val="000000"/>
                <w:sz w:val="20"/>
                <w:szCs w:val="20"/>
              </w:rPr>
              <w:t>Current Renewal / Revision</w:t>
            </w:r>
          </w:p>
        </w:tc>
        <w:tc>
          <w:tcPr>
            <w:tcW w:w="1140" w:type="dxa"/>
            <w:tcBorders>
              <w:top w:val="nil"/>
              <w:left w:val="nil"/>
              <w:bottom w:val="single" w:sz="8" w:space="0" w:color="000000"/>
              <w:right w:val="single" w:sz="8" w:space="0" w:color="000000"/>
            </w:tcBorders>
            <w:shd w:val="clear" w:color="FBE4D5" w:fill="FBE4D5"/>
            <w:vAlign w:val="center"/>
            <w:hideMark/>
          </w:tcPr>
          <w:p w:rsidR="004631B6" w:rsidRPr="004631B6" w:rsidP="004631B6" w14:paraId="54299775" w14:textId="77777777">
            <w:pPr>
              <w:widowControl/>
              <w:jc w:val="center"/>
              <w:rPr>
                <w:rFonts w:ascii="Calibri" w:hAnsi="Calibri" w:cs="Calibri"/>
                <w:color w:val="000000"/>
                <w:sz w:val="20"/>
                <w:szCs w:val="20"/>
              </w:rPr>
            </w:pPr>
            <w:r w:rsidRPr="004631B6">
              <w:rPr>
                <w:rFonts w:ascii="Calibri" w:hAnsi="Calibri" w:cs="Calibri"/>
                <w:color w:val="000000"/>
                <w:sz w:val="20"/>
                <w:szCs w:val="20"/>
              </w:rPr>
              <w:t>Previous Renewal / Revision</w:t>
            </w:r>
          </w:p>
        </w:tc>
        <w:tc>
          <w:tcPr>
            <w:tcW w:w="1180" w:type="dxa"/>
            <w:tcBorders>
              <w:top w:val="nil"/>
              <w:left w:val="nil"/>
              <w:bottom w:val="single" w:sz="8" w:space="0" w:color="000000"/>
              <w:right w:val="dotted" w:sz="4" w:space="0" w:color="000000"/>
            </w:tcBorders>
            <w:shd w:val="clear" w:color="FBE4D5" w:fill="FBE4D5"/>
            <w:vAlign w:val="center"/>
            <w:hideMark/>
          </w:tcPr>
          <w:p w:rsidR="004631B6" w:rsidRPr="004631B6" w:rsidP="004631B6" w14:paraId="5AA44223" w14:textId="77777777">
            <w:pPr>
              <w:widowControl/>
              <w:jc w:val="center"/>
              <w:rPr>
                <w:rFonts w:ascii="Calibri" w:hAnsi="Calibri" w:cs="Calibri"/>
                <w:color w:val="000000"/>
                <w:sz w:val="20"/>
                <w:szCs w:val="20"/>
              </w:rPr>
            </w:pPr>
            <w:r w:rsidRPr="004631B6">
              <w:rPr>
                <w:rFonts w:ascii="Calibri" w:hAnsi="Calibri" w:cs="Calibri"/>
                <w:color w:val="000000"/>
                <w:sz w:val="20"/>
                <w:szCs w:val="20"/>
              </w:rPr>
              <w:t>Current Renewal / Revision</w:t>
            </w:r>
          </w:p>
        </w:tc>
        <w:tc>
          <w:tcPr>
            <w:tcW w:w="1240" w:type="dxa"/>
            <w:tcBorders>
              <w:top w:val="nil"/>
              <w:left w:val="nil"/>
              <w:bottom w:val="single" w:sz="8" w:space="0" w:color="000000"/>
              <w:right w:val="single" w:sz="8" w:space="0" w:color="000000"/>
            </w:tcBorders>
            <w:shd w:val="clear" w:color="FBE4D5" w:fill="FBE4D5"/>
            <w:vAlign w:val="center"/>
            <w:hideMark/>
          </w:tcPr>
          <w:p w:rsidR="004631B6" w:rsidRPr="004631B6" w:rsidP="004631B6" w14:paraId="6A8A225D" w14:textId="77777777">
            <w:pPr>
              <w:widowControl/>
              <w:jc w:val="center"/>
              <w:rPr>
                <w:rFonts w:ascii="Calibri" w:hAnsi="Calibri" w:cs="Calibri"/>
                <w:color w:val="000000"/>
                <w:sz w:val="20"/>
                <w:szCs w:val="20"/>
              </w:rPr>
            </w:pPr>
            <w:r w:rsidRPr="004631B6">
              <w:rPr>
                <w:rFonts w:ascii="Calibri" w:hAnsi="Calibri" w:cs="Calibri"/>
                <w:color w:val="000000"/>
                <w:sz w:val="20"/>
                <w:szCs w:val="20"/>
              </w:rPr>
              <w:t>Previous Renewal / Revision</w:t>
            </w:r>
          </w:p>
        </w:tc>
        <w:tc>
          <w:tcPr>
            <w:tcW w:w="4340" w:type="dxa"/>
            <w:vMerge/>
            <w:tcBorders>
              <w:top w:val="single" w:sz="8" w:space="0" w:color="000000"/>
              <w:left w:val="single" w:sz="8" w:space="0" w:color="000000"/>
              <w:bottom w:val="single" w:sz="8" w:space="0" w:color="000000"/>
              <w:right w:val="single" w:sz="8" w:space="0" w:color="000000"/>
            </w:tcBorders>
            <w:vAlign w:val="center"/>
            <w:hideMark/>
          </w:tcPr>
          <w:p w:rsidR="004631B6" w:rsidRPr="004631B6" w:rsidP="004631B6" w14:paraId="505527F8" w14:textId="77777777">
            <w:pPr>
              <w:widowControl/>
              <w:rPr>
                <w:rFonts w:ascii="Calibri" w:hAnsi="Calibri" w:cs="Calibri"/>
                <w:b/>
                <w:bCs/>
                <w:color w:val="000000"/>
                <w:sz w:val="20"/>
                <w:szCs w:val="20"/>
              </w:rPr>
            </w:pPr>
          </w:p>
        </w:tc>
      </w:tr>
      <w:tr w14:paraId="5272AF19" w14:textId="77777777" w:rsidTr="004631B6">
        <w:tblPrEx>
          <w:tblW w:w="14220" w:type="dxa"/>
          <w:tblInd w:w="-460" w:type="dxa"/>
          <w:tblLook w:val="04A0"/>
        </w:tblPrEx>
        <w:trPr>
          <w:trHeight w:val="1177"/>
        </w:trPr>
        <w:tc>
          <w:tcPr>
            <w:tcW w:w="2780" w:type="dxa"/>
            <w:tcBorders>
              <w:top w:val="nil"/>
              <w:left w:val="single" w:sz="8" w:space="0" w:color="000000"/>
              <w:bottom w:val="single" w:sz="8" w:space="0" w:color="000000"/>
              <w:right w:val="single" w:sz="8" w:space="0" w:color="000000"/>
            </w:tcBorders>
            <w:shd w:val="clear" w:color="auto" w:fill="auto"/>
            <w:noWrap/>
            <w:vAlign w:val="center"/>
            <w:hideMark/>
          </w:tcPr>
          <w:p w:rsidR="004631B6" w:rsidRPr="004631B6" w:rsidP="004631B6" w14:paraId="744EA328" w14:textId="77777777">
            <w:pPr>
              <w:widowControl/>
              <w:rPr>
                <w:rFonts w:ascii="Calibri" w:hAnsi="Calibri" w:cs="Calibri"/>
                <w:sz w:val="20"/>
                <w:szCs w:val="20"/>
              </w:rPr>
            </w:pPr>
            <w:r w:rsidRPr="004631B6">
              <w:rPr>
                <w:rFonts w:ascii="Calibri" w:hAnsi="Calibri" w:cs="Calibri"/>
                <w:sz w:val="20"/>
                <w:szCs w:val="20"/>
              </w:rPr>
              <w:t>Subsistence Hunt Report</w:t>
            </w:r>
          </w:p>
        </w:tc>
        <w:tc>
          <w:tcPr>
            <w:tcW w:w="1200" w:type="dxa"/>
            <w:tcBorders>
              <w:top w:val="nil"/>
              <w:left w:val="nil"/>
              <w:bottom w:val="nil"/>
              <w:right w:val="dotted" w:sz="4" w:space="0" w:color="000000"/>
            </w:tcBorders>
            <w:shd w:val="clear" w:color="auto" w:fill="auto"/>
            <w:vAlign w:val="center"/>
            <w:hideMark/>
          </w:tcPr>
          <w:p w:rsidR="004631B6" w:rsidRPr="004631B6" w:rsidP="004631B6" w14:paraId="07D61990"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180" w:type="dxa"/>
            <w:tcBorders>
              <w:top w:val="nil"/>
              <w:left w:val="nil"/>
              <w:bottom w:val="nil"/>
              <w:right w:val="single" w:sz="8" w:space="0" w:color="000000"/>
            </w:tcBorders>
            <w:shd w:val="clear" w:color="auto" w:fill="auto"/>
            <w:vAlign w:val="center"/>
            <w:hideMark/>
          </w:tcPr>
          <w:p w:rsidR="004631B6" w:rsidRPr="004631B6" w:rsidP="004631B6" w14:paraId="3B9F6FAC" w14:textId="77777777">
            <w:pPr>
              <w:widowControl/>
              <w:jc w:val="center"/>
              <w:rPr>
                <w:rFonts w:ascii="Calibri" w:hAnsi="Calibri" w:cs="Calibri"/>
                <w:color w:val="000000"/>
                <w:sz w:val="20"/>
                <w:szCs w:val="20"/>
              </w:rPr>
            </w:pPr>
            <w:r w:rsidRPr="004631B6">
              <w:rPr>
                <w:rFonts w:ascii="Calibri" w:hAnsi="Calibri" w:cs="Calibri"/>
                <w:color w:val="000000"/>
                <w:sz w:val="20"/>
                <w:szCs w:val="20"/>
              </w:rPr>
              <w:t>1</w:t>
            </w:r>
          </w:p>
        </w:tc>
        <w:tc>
          <w:tcPr>
            <w:tcW w:w="1160" w:type="dxa"/>
            <w:tcBorders>
              <w:top w:val="nil"/>
              <w:left w:val="nil"/>
              <w:bottom w:val="nil"/>
              <w:right w:val="dotted" w:sz="4" w:space="0" w:color="000000"/>
            </w:tcBorders>
            <w:shd w:val="clear" w:color="auto" w:fill="auto"/>
            <w:vAlign w:val="center"/>
            <w:hideMark/>
          </w:tcPr>
          <w:p w:rsidR="004631B6" w:rsidRPr="004631B6" w:rsidP="004631B6" w14:paraId="6E8BE276"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140" w:type="dxa"/>
            <w:tcBorders>
              <w:top w:val="nil"/>
              <w:left w:val="nil"/>
              <w:bottom w:val="nil"/>
              <w:right w:val="single" w:sz="8" w:space="0" w:color="000000"/>
            </w:tcBorders>
            <w:shd w:val="clear" w:color="auto" w:fill="auto"/>
            <w:vAlign w:val="center"/>
            <w:hideMark/>
          </w:tcPr>
          <w:p w:rsidR="004631B6" w:rsidRPr="004631B6" w:rsidP="004631B6" w14:paraId="077BC5ED" w14:textId="77777777">
            <w:pPr>
              <w:widowControl/>
              <w:jc w:val="center"/>
              <w:rPr>
                <w:rFonts w:ascii="Calibri" w:hAnsi="Calibri" w:cs="Calibri"/>
                <w:color w:val="000000"/>
                <w:sz w:val="20"/>
                <w:szCs w:val="20"/>
              </w:rPr>
            </w:pPr>
            <w:r w:rsidRPr="004631B6">
              <w:rPr>
                <w:rFonts w:ascii="Calibri" w:hAnsi="Calibri" w:cs="Calibri"/>
                <w:color w:val="000000"/>
                <w:sz w:val="20"/>
                <w:szCs w:val="20"/>
              </w:rPr>
              <w:t>1</w:t>
            </w:r>
          </w:p>
        </w:tc>
        <w:tc>
          <w:tcPr>
            <w:tcW w:w="1180" w:type="dxa"/>
            <w:tcBorders>
              <w:top w:val="nil"/>
              <w:left w:val="nil"/>
              <w:bottom w:val="nil"/>
              <w:right w:val="dotted" w:sz="4" w:space="0" w:color="000000"/>
            </w:tcBorders>
            <w:shd w:val="clear" w:color="auto" w:fill="auto"/>
            <w:vAlign w:val="center"/>
            <w:hideMark/>
          </w:tcPr>
          <w:p w:rsidR="004631B6" w:rsidRPr="004631B6" w:rsidP="004631B6" w14:paraId="3264CEB8"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240" w:type="dxa"/>
            <w:tcBorders>
              <w:top w:val="nil"/>
              <w:left w:val="nil"/>
              <w:bottom w:val="nil"/>
              <w:right w:val="single" w:sz="8" w:space="0" w:color="000000"/>
            </w:tcBorders>
            <w:shd w:val="clear" w:color="auto" w:fill="auto"/>
            <w:vAlign w:val="center"/>
            <w:hideMark/>
          </w:tcPr>
          <w:p w:rsidR="004631B6" w:rsidRPr="004631B6" w:rsidP="004631B6" w14:paraId="605B3678" w14:textId="77777777">
            <w:pPr>
              <w:widowControl/>
              <w:jc w:val="center"/>
              <w:rPr>
                <w:rFonts w:ascii="Calibri" w:hAnsi="Calibri" w:cs="Calibri"/>
                <w:color w:val="000000"/>
                <w:sz w:val="20"/>
                <w:szCs w:val="20"/>
              </w:rPr>
            </w:pPr>
            <w:r w:rsidRPr="004631B6">
              <w:rPr>
                <w:rFonts w:ascii="Calibri" w:hAnsi="Calibri" w:cs="Calibri"/>
                <w:color w:val="000000"/>
                <w:sz w:val="20"/>
                <w:szCs w:val="20"/>
              </w:rPr>
              <w:t>40</w:t>
            </w:r>
          </w:p>
        </w:tc>
        <w:tc>
          <w:tcPr>
            <w:tcW w:w="4340" w:type="dxa"/>
            <w:vMerge w:val="restart"/>
            <w:tcBorders>
              <w:top w:val="nil"/>
              <w:left w:val="single" w:sz="8" w:space="0" w:color="000000"/>
              <w:bottom w:val="dotted" w:sz="4" w:space="0" w:color="000000"/>
              <w:right w:val="single" w:sz="8" w:space="0" w:color="000000"/>
            </w:tcBorders>
            <w:shd w:val="clear" w:color="auto" w:fill="auto"/>
            <w:vAlign w:val="center"/>
            <w:hideMark/>
          </w:tcPr>
          <w:p w:rsidR="004631B6" w:rsidRPr="004631B6" w:rsidP="004631B6" w14:paraId="26457A54" w14:textId="77777777">
            <w:pPr>
              <w:widowControl/>
              <w:rPr>
                <w:rFonts w:ascii="Calibri" w:hAnsi="Calibri" w:cs="Calibri"/>
                <w:sz w:val="20"/>
                <w:szCs w:val="20"/>
              </w:rPr>
            </w:pPr>
            <w:r w:rsidRPr="004631B6">
              <w:rPr>
                <w:rFonts w:ascii="Calibri" w:hAnsi="Calibri" w:cs="Calibri"/>
                <w:sz w:val="20"/>
                <w:szCs w:val="20"/>
              </w:rPr>
              <w:t>These ICs are being removed and combined into a single IC, Subsistence Reports, to reflect the actual process.  Previous submissions also calculated two annual reports (one for hunt and one for harvest) for each respondent, which was incorrect as St. George does not have a subsistence hunt.</w:t>
            </w:r>
          </w:p>
        </w:tc>
      </w:tr>
      <w:tr w14:paraId="66A0B705" w14:textId="77777777" w:rsidTr="004631B6">
        <w:tblPrEx>
          <w:tblW w:w="14220" w:type="dxa"/>
          <w:tblInd w:w="-460" w:type="dxa"/>
          <w:tblLook w:val="04A0"/>
        </w:tblPrEx>
        <w:trPr>
          <w:trHeight w:val="898"/>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4631B6" w:rsidRPr="004631B6" w:rsidP="004631B6" w14:paraId="14B42FF8" w14:textId="77777777">
            <w:pPr>
              <w:widowControl/>
              <w:rPr>
                <w:rFonts w:ascii="Calibri" w:hAnsi="Calibri" w:cs="Calibri"/>
                <w:color w:val="000000"/>
                <w:sz w:val="20"/>
                <w:szCs w:val="20"/>
              </w:rPr>
            </w:pPr>
            <w:r w:rsidRPr="004631B6">
              <w:rPr>
                <w:rFonts w:ascii="Calibri" w:hAnsi="Calibri" w:cs="Calibri"/>
                <w:color w:val="000000"/>
                <w:sz w:val="20"/>
                <w:szCs w:val="20"/>
              </w:rPr>
              <w:t>Subsistence Harvest Report</w:t>
            </w:r>
          </w:p>
        </w:tc>
        <w:tc>
          <w:tcPr>
            <w:tcW w:w="1200" w:type="dxa"/>
            <w:tcBorders>
              <w:top w:val="nil"/>
              <w:left w:val="nil"/>
              <w:bottom w:val="dotted" w:sz="4" w:space="0" w:color="000000"/>
              <w:right w:val="dotted" w:sz="4" w:space="0" w:color="000000"/>
            </w:tcBorders>
            <w:shd w:val="clear" w:color="auto" w:fill="auto"/>
            <w:vAlign w:val="center"/>
            <w:hideMark/>
          </w:tcPr>
          <w:p w:rsidR="004631B6" w:rsidRPr="004631B6" w:rsidP="004631B6" w14:paraId="5FA1076C"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180" w:type="dxa"/>
            <w:tcBorders>
              <w:top w:val="nil"/>
              <w:left w:val="nil"/>
              <w:bottom w:val="dotted" w:sz="4" w:space="0" w:color="000000"/>
              <w:right w:val="single" w:sz="8" w:space="0" w:color="000000"/>
            </w:tcBorders>
            <w:shd w:val="clear" w:color="auto" w:fill="auto"/>
            <w:vAlign w:val="center"/>
            <w:hideMark/>
          </w:tcPr>
          <w:p w:rsidR="004631B6" w:rsidRPr="004631B6" w:rsidP="004631B6" w14:paraId="3FA69B44" w14:textId="77777777">
            <w:pPr>
              <w:widowControl/>
              <w:jc w:val="center"/>
              <w:rPr>
                <w:rFonts w:ascii="Calibri" w:hAnsi="Calibri" w:cs="Calibri"/>
                <w:color w:val="000000"/>
                <w:sz w:val="20"/>
                <w:szCs w:val="20"/>
              </w:rPr>
            </w:pPr>
            <w:r w:rsidRPr="004631B6">
              <w:rPr>
                <w:rFonts w:ascii="Calibri" w:hAnsi="Calibri" w:cs="Calibri"/>
                <w:color w:val="000000"/>
                <w:sz w:val="20"/>
                <w:szCs w:val="20"/>
              </w:rPr>
              <w:t>2</w:t>
            </w:r>
          </w:p>
        </w:tc>
        <w:tc>
          <w:tcPr>
            <w:tcW w:w="1160" w:type="dxa"/>
            <w:tcBorders>
              <w:top w:val="nil"/>
              <w:left w:val="nil"/>
              <w:bottom w:val="dotted" w:sz="4" w:space="0" w:color="000000"/>
              <w:right w:val="dotted" w:sz="4" w:space="0" w:color="000000"/>
            </w:tcBorders>
            <w:shd w:val="clear" w:color="auto" w:fill="auto"/>
            <w:vAlign w:val="center"/>
            <w:hideMark/>
          </w:tcPr>
          <w:p w:rsidR="004631B6" w:rsidRPr="004631B6" w:rsidP="004631B6" w14:paraId="759F6228"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140" w:type="dxa"/>
            <w:tcBorders>
              <w:top w:val="nil"/>
              <w:left w:val="nil"/>
              <w:bottom w:val="dotted" w:sz="4" w:space="0" w:color="000000"/>
              <w:right w:val="single" w:sz="8" w:space="0" w:color="000000"/>
            </w:tcBorders>
            <w:shd w:val="clear" w:color="auto" w:fill="auto"/>
            <w:vAlign w:val="center"/>
            <w:hideMark/>
          </w:tcPr>
          <w:p w:rsidR="004631B6" w:rsidRPr="004631B6" w:rsidP="004631B6" w14:paraId="7E858C4B" w14:textId="77777777">
            <w:pPr>
              <w:widowControl/>
              <w:jc w:val="center"/>
              <w:rPr>
                <w:rFonts w:ascii="Calibri" w:hAnsi="Calibri" w:cs="Calibri"/>
                <w:color w:val="000000"/>
                <w:sz w:val="20"/>
                <w:szCs w:val="20"/>
              </w:rPr>
            </w:pPr>
            <w:r w:rsidRPr="004631B6">
              <w:rPr>
                <w:rFonts w:ascii="Calibri" w:hAnsi="Calibri" w:cs="Calibri"/>
                <w:color w:val="000000"/>
                <w:sz w:val="20"/>
                <w:szCs w:val="20"/>
              </w:rPr>
              <w:t>4</w:t>
            </w:r>
          </w:p>
        </w:tc>
        <w:tc>
          <w:tcPr>
            <w:tcW w:w="1180" w:type="dxa"/>
            <w:tcBorders>
              <w:top w:val="nil"/>
              <w:left w:val="nil"/>
              <w:bottom w:val="dotted" w:sz="4" w:space="0" w:color="000000"/>
              <w:right w:val="dotted" w:sz="4" w:space="0" w:color="000000"/>
            </w:tcBorders>
            <w:shd w:val="clear" w:color="auto" w:fill="auto"/>
            <w:vAlign w:val="center"/>
            <w:hideMark/>
          </w:tcPr>
          <w:p w:rsidR="004631B6" w:rsidRPr="004631B6" w:rsidP="004631B6" w14:paraId="64640B83"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240" w:type="dxa"/>
            <w:tcBorders>
              <w:top w:val="nil"/>
              <w:left w:val="nil"/>
              <w:bottom w:val="dotted" w:sz="4" w:space="0" w:color="000000"/>
              <w:right w:val="single" w:sz="8" w:space="0" w:color="000000"/>
            </w:tcBorders>
            <w:shd w:val="clear" w:color="auto" w:fill="auto"/>
            <w:vAlign w:val="center"/>
            <w:hideMark/>
          </w:tcPr>
          <w:p w:rsidR="004631B6" w:rsidRPr="004631B6" w:rsidP="004631B6" w14:paraId="6D1A7A94" w14:textId="77777777">
            <w:pPr>
              <w:widowControl/>
              <w:jc w:val="center"/>
              <w:rPr>
                <w:rFonts w:ascii="Calibri" w:hAnsi="Calibri" w:cs="Calibri"/>
                <w:color w:val="000000"/>
                <w:sz w:val="20"/>
                <w:szCs w:val="20"/>
              </w:rPr>
            </w:pPr>
            <w:r w:rsidRPr="004631B6">
              <w:rPr>
                <w:rFonts w:ascii="Calibri" w:hAnsi="Calibri" w:cs="Calibri"/>
                <w:color w:val="000000"/>
                <w:sz w:val="20"/>
                <w:szCs w:val="20"/>
              </w:rPr>
              <w:t>160</w:t>
            </w:r>
          </w:p>
        </w:tc>
        <w:tc>
          <w:tcPr>
            <w:tcW w:w="4340" w:type="dxa"/>
            <w:vMerge/>
            <w:tcBorders>
              <w:top w:val="nil"/>
              <w:left w:val="single" w:sz="8" w:space="0" w:color="000000"/>
              <w:bottom w:val="dotted" w:sz="4" w:space="0" w:color="000000"/>
              <w:right w:val="single" w:sz="8" w:space="0" w:color="000000"/>
            </w:tcBorders>
            <w:vAlign w:val="center"/>
            <w:hideMark/>
          </w:tcPr>
          <w:p w:rsidR="004631B6" w:rsidRPr="004631B6" w:rsidP="004631B6" w14:paraId="2BDD5F60" w14:textId="77777777">
            <w:pPr>
              <w:widowControl/>
              <w:rPr>
                <w:rFonts w:ascii="Calibri" w:hAnsi="Calibri" w:cs="Calibri"/>
                <w:sz w:val="20"/>
                <w:szCs w:val="20"/>
              </w:rPr>
            </w:pPr>
          </w:p>
        </w:tc>
      </w:tr>
      <w:tr w14:paraId="41F4F1E2" w14:textId="77777777" w:rsidTr="004631B6">
        <w:tblPrEx>
          <w:tblW w:w="14220" w:type="dxa"/>
          <w:tblInd w:w="-460" w:type="dxa"/>
          <w:tblLook w:val="04A0"/>
        </w:tblPrEx>
        <w:trPr>
          <w:trHeight w:val="799"/>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4631B6" w:rsidRPr="004631B6" w:rsidP="004631B6" w14:paraId="3E9A3028" w14:textId="77777777">
            <w:pPr>
              <w:widowControl/>
              <w:rPr>
                <w:rFonts w:ascii="Calibri" w:hAnsi="Calibri" w:cs="Calibri"/>
                <w:color w:val="000000"/>
                <w:sz w:val="20"/>
                <w:szCs w:val="20"/>
              </w:rPr>
            </w:pPr>
            <w:r w:rsidRPr="004631B6">
              <w:rPr>
                <w:rFonts w:ascii="Calibri" w:hAnsi="Calibri" w:cs="Calibri"/>
                <w:color w:val="000000"/>
                <w:sz w:val="20"/>
                <w:szCs w:val="20"/>
              </w:rPr>
              <w:t>Subsistence Reports</w:t>
            </w:r>
          </w:p>
        </w:tc>
        <w:tc>
          <w:tcPr>
            <w:tcW w:w="1200" w:type="dxa"/>
            <w:tcBorders>
              <w:top w:val="nil"/>
              <w:left w:val="nil"/>
              <w:bottom w:val="dotted" w:sz="4" w:space="0" w:color="000000"/>
              <w:right w:val="dotted" w:sz="4" w:space="0" w:color="000000"/>
            </w:tcBorders>
            <w:shd w:val="clear" w:color="auto" w:fill="auto"/>
            <w:vAlign w:val="center"/>
            <w:hideMark/>
          </w:tcPr>
          <w:p w:rsidR="004631B6" w:rsidRPr="004631B6" w:rsidP="004631B6" w14:paraId="3C36333E" w14:textId="77777777">
            <w:pPr>
              <w:widowControl/>
              <w:jc w:val="center"/>
              <w:rPr>
                <w:rFonts w:ascii="Calibri" w:hAnsi="Calibri" w:cs="Calibri"/>
                <w:color w:val="000000"/>
                <w:sz w:val="20"/>
                <w:szCs w:val="20"/>
              </w:rPr>
            </w:pPr>
            <w:r w:rsidRPr="004631B6">
              <w:rPr>
                <w:rFonts w:ascii="Calibri" w:hAnsi="Calibri" w:cs="Calibri"/>
                <w:color w:val="000000"/>
                <w:sz w:val="20"/>
                <w:szCs w:val="20"/>
              </w:rPr>
              <w:t>2</w:t>
            </w:r>
          </w:p>
        </w:tc>
        <w:tc>
          <w:tcPr>
            <w:tcW w:w="1180" w:type="dxa"/>
            <w:tcBorders>
              <w:top w:val="nil"/>
              <w:left w:val="nil"/>
              <w:bottom w:val="dotted" w:sz="4" w:space="0" w:color="000000"/>
              <w:right w:val="single" w:sz="8" w:space="0" w:color="000000"/>
            </w:tcBorders>
            <w:shd w:val="clear" w:color="auto" w:fill="auto"/>
            <w:vAlign w:val="center"/>
            <w:hideMark/>
          </w:tcPr>
          <w:p w:rsidR="004631B6" w:rsidRPr="004631B6" w:rsidP="004631B6" w14:paraId="06589AA8"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160" w:type="dxa"/>
            <w:tcBorders>
              <w:top w:val="nil"/>
              <w:left w:val="nil"/>
              <w:bottom w:val="dotted" w:sz="4" w:space="0" w:color="000000"/>
              <w:right w:val="dotted" w:sz="4" w:space="0" w:color="000000"/>
            </w:tcBorders>
            <w:shd w:val="clear" w:color="auto" w:fill="auto"/>
            <w:vAlign w:val="center"/>
            <w:hideMark/>
          </w:tcPr>
          <w:p w:rsidR="004631B6" w:rsidRPr="004631B6" w:rsidP="004631B6" w14:paraId="1031DD4D" w14:textId="77777777">
            <w:pPr>
              <w:widowControl/>
              <w:jc w:val="center"/>
              <w:rPr>
                <w:rFonts w:ascii="Calibri" w:hAnsi="Calibri" w:cs="Calibri"/>
                <w:color w:val="000000"/>
                <w:sz w:val="20"/>
                <w:szCs w:val="20"/>
              </w:rPr>
            </w:pPr>
            <w:r w:rsidRPr="004631B6">
              <w:rPr>
                <w:rFonts w:ascii="Calibri" w:hAnsi="Calibri" w:cs="Calibri"/>
                <w:color w:val="000000"/>
                <w:sz w:val="20"/>
                <w:szCs w:val="20"/>
              </w:rPr>
              <w:t>2</w:t>
            </w:r>
          </w:p>
        </w:tc>
        <w:tc>
          <w:tcPr>
            <w:tcW w:w="1140" w:type="dxa"/>
            <w:tcBorders>
              <w:top w:val="nil"/>
              <w:left w:val="nil"/>
              <w:bottom w:val="dotted" w:sz="4" w:space="0" w:color="000000"/>
              <w:right w:val="single" w:sz="8" w:space="0" w:color="000000"/>
            </w:tcBorders>
            <w:shd w:val="clear" w:color="auto" w:fill="auto"/>
            <w:vAlign w:val="center"/>
            <w:hideMark/>
          </w:tcPr>
          <w:p w:rsidR="004631B6" w:rsidRPr="004631B6" w:rsidP="004631B6" w14:paraId="64038446"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180" w:type="dxa"/>
            <w:tcBorders>
              <w:top w:val="nil"/>
              <w:left w:val="nil"/>
              <w:bottom w:val="dotted" w:sz="4" w:space="0" w:color="000000"/>
              <w:right w:val="dotted" w:sz="4" w:space="0" w:color="000000"/>
            </w:tcBorders>
            <w:shd w:val="clear" w:color="auto" w:fill="auto"/>
            <w:vAlign w:val="center"/>
            <w:hideMark/>
          </w:tcPr>
          <w:p w:rsidR="004631B6" w:rsidRPr="004631B6" w:rsidP="004631B6" w14:paraId="75F65F32" w14:textId="77777777">
            <w:pPr>
              <w:widowControl/>
              <w:jc w:val="center"/>
              <w:rPr>
                <w:rFonts w:ascii="Calibri" w:hAnsi="Calibri" w:cs="Calibri"/>
                <w:color w:val="000000"/>
                <w:sz w:val="20"/>
                <w:szCs w:val="20"/>
              </w:rPr>
            </w:pPr>
            <w:r w:rsidRPr="004631B6">
              <w:rPr>
                <w:rFonts w:ascii="Calibri" w:hAnsi="Calibri" w:cs="Calibri"/>
                <w:color w:val="000000"/>
                <w:sz w:val="20"/>
                <w:szCs w:val="20"/>
              </w:rPr>
              <w:t>160</w:t>
            </w:r>
          </w:p>
        </w:tc>
        <w:tc>
          <w:tcPr>
            <w:tcW w:w="1240" w:type="dxa"/>
            <w:tcBorders>
              <w:top w:val="nil"/>
              <w:left w:val="nil"/>
              <w:bottom w:val="dotted" w:sz="4" w:space="0" w:color="000000"/>
              <w:right w:val="single" w:sz="8" w:space="0" w:color="000000"/>
            </w:tcBorders>
            <w:shd w:val="clear" w:color="auto" w:fill="auto"/>
            <w:vAlign w:val="center"/>
            <w:hideMark/>
          </w:tcPr>
          <w:p w:rsidR="004631B6" w:rsidRPr="004631B6" w:rsidP="004631B6" w14:paraId="07AF0557"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4340" w:type="dxa"/>
            <w:tcBorders>
              <w:top w:val="nil"/>
              <w:left w:val="nil"/>
              <w:bottom w:val="dotted" w:sz="4" w:space="0" w:color="000000"/>
              <w:right w:val="single" w:sz="8" w:space="0" w:color="000000"/>
            </w:tcBorders>
            <w:shd w:val="clear" w:color="auto" w:fill="auto"/>
            <w:vAlign w:val="center"/>
            <w:hideMark/>
          </w:tcPr>
          <w:p w:rsidR="004631B6" w:rsidRPr="004631B6" w:rsidP="004631B6" w14:paraId="606C9DF7" w14:textId="77777777">
            <w:pPr>
              <w:widowControl/>
              <w:rPr>
                <w:rFonts w:ascii="Calibri" w:hAnsi="Calibri" w:cs="Calibri"/>
                <w:color w:val="000000"/>
                <w:sz w:val="20"/>
                <w:szCs w:val="20"/>
              </w:rPr>
            </w:pPr>
            <w:r w:rsidRPr="004631B6">
              <w:rPr>
                <w:rFonts w:ascii="Calibri" w:hAnsi="Calibri" w:cs="Calibri"/>
                <w:color w:val="000000"/>
                <w:sz w:val="20"/>
                <w:szCs w:val="20"/>
              </w:rPr>
              <w:t>Subsistence Reports contain hunt and harvest records.</w:t>
            </w:r>
          </w:p>
        </w:tc>
      </w:tr>
      <w:tr w14:paraId="4A0535C0" w14:textId="77777777" w:rsidTr="004631B6">
        <w:tblPrEx>
          <w:tblW w:w="14220" w:type="dxa"/>
          <w:tblInd w:w="-460" w:type="dxa"/>
          <w:tblLook w:val="04A0"/>
        </w:tblPrEx>
        <w:trPr>
          <w:trHeight w:val="600"/>
        </w:trPr>
        <w:tc>
          <w:tcPr>
            <w:tcW w:w="2780" w:type="dxa"/>
            <w:tcBorders>
              <w:top w:val="nil"/>
              <w:left w:val="single" w:sz="8" w:space="0" w:color="000000"/>
              <w:bottom w:val="single" w:sz="8" w:space="0" w:color="000000"/>
              <w:right w:val="single" w:sz="8" w:space="0" w:color="000000"/>
            </w:tcBorders>
            <w:shd w:val="clear" w:color="auto" w:fill="auto"/>
            <w:vAlign w:val="center"/>
            <w:hideMark/>
          </w:tcPr>
          <w:p w:rsidR="004631B6" w:rsidRPr="004631B6" w:rsidP="004631B6" w14:paraId="6CF04D2E" w14:textId="77777777">
            <w:pPr>
              <w:widowControl/>
              <w:rPr>
                <w:rFonts w:ascii="Calibri" w:hAnsi="Calibri" w:cs="Calibri"/>
                <w:color w:val="000000"/>
                <w:sz w:val="20"/>
                <w:szCs w:val="20"/>
              </w:rPr>
            </w:pPr>
            <w:r w:rsidRPr="004631B6">
              <w:rPr>
                <w:rFonts w:ascii="Calibri" w:hAnsi="Calibri" w:cs="Calibri"/>
                <w:color w:val="000000"/>
                <w:sz w:val="20"/>
                <w:szCs w:val="20"/>
              </w:rPr>
              <w:t>Application for Exception for Rodent Detecting Dogs</w:t>
            </w:r>
          </w:p>
        </w:tc>
        <w:tc>
          <w:tcPr>
            <w:tcW w:w="1200" w:type="dxa"/>
            <w:tcBorders>
              <w:top w:val="nil"/>
              <w:left w:val="nil"/>
              <w:bottom w:val="dotted" w:sz="4" w:space="0" w:color="000000"/>
              <w:right w:val="dotted" w:sz="4" w:space="0" w:color="000000"/>
            </w:tcBorders>
            <w:shd w:val="clear" w:color="auto" w:fill="auto"/>
            <w:vAlign w:val="center"/>
            <w:hideMark/>
          </w:tcPr>
          <w:p w:rsidR="004631B6" w:rsidRPr="004631B6" w:rsidP="004631B6" w14:paraId="59CDD4FF" w14:textId="77777777">
            <w:pPr>
              <w:widowControl/>
              <w:jc w:val="center"/>
              <w:rPr>
                <w:rFonts w:ascii="Calibri" w:hAnsi="Calibri" w:cs="Calibri"/>
                <w:color w:val="000000"/>
                <w:sz w:val="20"/>
                <w:szCs w:val="20"/>
              </w:rPr>
            </w:pPr>
            <w:r w:rsidRPr="004631B6">
              <w:rPr>
                <w:rFonts w:ascii="Calibri" w:hAnsi="Calibri" w:cs="Calibri"/>
                <w:color w:val="000000"/>
                <w:sz w:val="20"/>
                <w:szCs w:val="20"/>
              </w:rPr>
              <w:t>1</w:t>
            </w:r>
          </w:p>
        </w:tc>
        <w:tc>
          <w:tcPr>
            <w:tcW w:w="1180" w:type="dxa"/>
            <w:tcBorders>
              <w:top w:val="nil"/>
              <w:left w:val="nil"/>
              <w:bottom w:val="dotted" w:sz="4" w:space="0" w:color="000000"/>
              <w:right w:val="single" w:sz="8" w:space="0" w:color="000000"/>
            </w:tcBorders>
            <w:shd w:val="clear" w:color="auto" w:fill="auto"/>
            <w:vAlign w:val="center"/>
            <w:hideMark/>
          </w:tcPr>
          <w:p w:rsidR="004631B6" w:rsidRPr="004631B6" w:rsidP="004631B6" w14:paraId="48711B12"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160" w:type="dxa"/>
            <w:tcBorders>
              <w:top w:val="nil"/>
              <w:left w:val="nil"/>
              <w:bottom w:val="dotted" w:sz="4" w:space="0" w:color="000000"/>
              <w:right w:val="dotted" w:sz="4" w:space="0" w:color="000000"/>
            </w:tcBorders>
            <w:shd w:val="clear" w:color="auto" w:fill="auto"/>
            <w:vAlign w:val="center"/>
            <w:hideMark/>
          </w:tcPr>
          <w:p w:rsidR="004631B6" w:rsidRPr="004631B6" w:rsidP="004631B6" w14:paraId="3628529D" w14:textId="77777777">
            <w:pPr>
              <w:widowControl/>
              <w:jc w:val="center"/>
              <w:rPr>
                <w:rFonts w:ascii="Calibri" w:hAnsi="Calibri" w:cs="Calibri"/>
                <w:color w:val="000000"/>
                <w:sz w:val="20"/>
                <w:szCs w:val="20"/>
              </w:rPr>
            </w:pPr>
            <w:r w:rsidRPr="004631B6">
              <w:rPr>
                <w:rFonts w:ascii="Calibri" w:hAnsi="Calibri" w:cs="Calibri"/>
                <w:color w:val="000000"/>
                <w:sz w:val="20"/>
                <w:szCs w:val="20"/>
              </w:rPr>
              <w:t>1</w:t>
            </w:r>
          </w:p>
        </w:tc>
        <w:tc>
          <w:tcPr>
            <w:tcW w:w="1140" w:type="dxa"/>
            <w:tcBorders>
              <w:top w:val="nil"/>
              <w:left w:val="nil"/>
              <w:bottom w:val="dotted" w:sz="4" w:space="0" w:color="000000"/>
              <w:right w:val="single" w:sz="8" w:space="0" w:color="000000"/>
            </w:tcBorders>
            <w:shd w:val="clear" w:color="auto" w:fill="auto"/>
            <w:vAlign w:val="center"/>
            <w:hideMark/>
          </w:tcPr>
          <w:p w:rsidR="004631B6" w:rsidRPr="004631B6" w:rsidP="004631B6" w14:paraId="43F6190B"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1180" w:type="dxa"/>
            <w:tcBorders>
              <w:top w:val="nil"/>
              <w:left w:val="nil"/>
              <w:bottom w:val="dotted" w:sz="4" w:space="0" w:color="000000"/>
              <w:right w:val="dotted" w:sz="4" w:space="0" w:color="000000"/>
            </w:tcBorders>
            <w:shd w:val="clear" w:color="auto" w:fill="auto"/>
            <w:vAlign w:val="center"/>
            <w:hideMark/>
          </w:tcPr>
          <w:p w:rsidR="004631B6" w:rsidRPr="004631B6" w:rsidP="004631B6" w14:paraId="532B83D3" w14:textId="77777777">
            <w:pPr>
              <w:widowControl/>
              <w:jc w:val="center"/>
              <w:rPr>
                <w:rFonts w:ascii="Calibri" w:hAnsi="Calibri" w:cs="Calibri"/>
                <w:color w:val="000000"/>
                <w:sz w:val="20"/>
                <w:szCs w:val="20"/>
              </w:rPr>
            </w:pPr>
            <w:r w:rsidRPr="004631B6">
              <w:rPr>
                <w:rFonts w:ascii="Calibri" w:hAnsi="Calibri" w:cs="Calibri"/>
                <w:color w:val="000000"/>
                <w:sz w:val="20"/>
                <w:szCs w:val="20"/>
              </w:rPr>
              <w:t>20</w:t>
            </w:r>
          </w:p>
        </w:tc>
        <w:tc>
          <w:tcPr>
            <w:tcW w:w="1240" w:type="dxa"/>
            <w:tcBorders>
              <w:top w:val="nil"/>
              <w:left w:val="nil"/>
              <w:bottom w:val="dotted" w:sz="4" w:space="0" w:color="000000"/>
              <w:right w:val="single" w:sz="8" w:space="0" w:color="000000"/>
            </w:tcBorders>
            <w:shd w:val="clear" w:color="auto" w:fill="auto"/>
            <w:vAlign w:val="center"/>
            <w:hideMark/>
          </w:tcPr>
          <w:p w:rsidR="004631B6" w:rsidRPr="004631B6" w:rsidP="004631B6" w14:paraId="476D24C5" w14:textId="77777777">
            <w:pPr>
              <w:widowControl/>
              <w:jc w:val="center"/>
              <w:rPr>
                <w:rFonts w:ascii="Calibri" w:hAnsi="Calibri" w:cs="Calibri"/>
                <w:color w:val="000000"/>
                <w:sz w:val="20"/>
                <w:szCs w:val="20"/>
              </w:rPr>
            </w:pPr>
            <w:r w:rsidRPr="004631B6">
              <w:rPr>
                <w:rFonts w:ascii="Calibri" w:hAnsi="Calibri" w:cs="Calibri"/>
                <w:color w:val="000000"/>
                <w:sz w:val="20"/>
                <w:szCs w:val="20"/>
              </w:rPr>
              <w:t>0</w:t>
            </w:r>
          </w:p>
        </w:tc>
        <w:tc>
          <w:tcPr>
            <w:tcW w:w="4340" w:type="dxa"/>
            <w:tcBorders>
              <w:top w:val="nil"/>
              <w:left w:val="nil"/>
              <w:bottom w:val="dotted" w:sz="4" w:space="0" w:color="000000"/>
              <w:right w:val="single" w:sz="8" w:space="0" w:color="000000"/>
            </w:tcBorders>
            <w:shd w:val="clear" w:color="auto" w:fill="auto"/>
            <w:vAlign w:val="center"/>
            <w:hideMark/>
          </w:tcPr>
          <w:p w:rsidR="004631B6" w:rsidRPr="004631B6" w:rsidP="004631B6" w14:paraId="412881B8" w14:textId="77777777">
            <w:pPr>
              <w:widowControl/>
              <w:rPr>
                <w:rFonts w:ascii="Calibri" w:hAnsi="Calibri" w:cs="Calibri"/>
                <w:color w:val="000000"/>
                <w:sz w:val="20"/>
                <w:szCs w:val="20"/>
              </w:rPr>
            </w:pPr>
            <w:r w:rsidRPr="004631B6">
              <w:rPr>
                <w:rFonts w:ascii="Calibri" w:hAnsi="Calibri" w:cs="Calibri"/>
                <w:color w:val="000000"/>
                <w:sz w:val="20"/>
                <w:szCs w:val="20"/>
              </w:rPr>
              <w:t>New Requirement</w:t>
            </w:r>
          </w:p>
        </w:tc>
      </w:tr>
      <w:tr w14:paraId="1F76980A" w14:textId="77777777" w:rsidTr="004631B6">
        <w:tblPrEx>
          <w:tblW w:w="14220" w:type="dxa"/>
          <w:tblInd w:w="-460" w:type="dxa"/>
          <w:tblLook w:val="04A0"/>
        </w:tblPrEx>
        <w:trPr>
          <w:trHeight w:val="465"/>
        </w:trPr>
        <w:tc>
          <w:tcPr>
            <w:tcW w:w="2780" w:type="dxa"/>
            <w:tcBorders>
              <w:top w:val="nil"/>
              <w:left w:val="single" w:sz="8" w:space="0" w:color="000000"/>
              <w:bottom w:val="nil"/>
              <w:right w:val="single" w:sz="8" w:space="0" w:color="000000"/>
            </w:tcBorders>
            <w:shd w:val="clear" w:color="BDD6EE" w:fill="BDD6EE"/>
            <w:vAlign w:val="center"/>
            <w:hideMark/>
          </w:tcPr>
          <w:p w:rsidR="004631B6" w:rsidRPr="004631B6" w:rsidP="004631B6" w14:paraId="44EBF2A6"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Total for Collection</w:t>
            </w:r>
          </w:p>
        </w:tc>
        <w:tc>
          <w:tcPr>
            <w:tcW w:w="1200" w:type="dxa"/>
            <w:tcBorders>
              <w:top w:val="nil"/>
              <w:left w:val="nil"/>
              <w:bottom w:val="nil"/>
              <w:right w:val="dotted" w:sz="4" w:space="0" w:color="000000"/>
            </w:tcBorders>
            <w:shd w:val="clear" w:color="BDD6EE" w:fill="BDD6EE"/>
            <w:vAlign w:val="center"/>
            <w:hideMark/>
          </w:tcPr>
          <w:p w:rsidR="004631B6" w:rsidRPr="004631B6" w:rsidP="004631B6" w14:paraId="2AC8935D"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3</w:t>
            </w:r>
          </w:p>
        </w:tc>
        <w:tc>
          <w:tcPr>
            <w:tcW w:w="1180" w:type="dxa"/>
            <w:tcBorders>
              <w:top w:val="nil"/>
              <w:left w:val="nil"/>
              <w:bottom w:val="nil"/>
              <w:right w:val="single" w:sz="8" w:space="0" w:color="000000"/>
            </w:tcBorders>
            <w:shd w:val="clear" w:color="BDD6EE" w:fill="BDD6EE"/>
            <w:vAlign w:val="center"/>
            <w:hideMark/>
          </w:tcPr>
          <w:p w:rsidR="004631B6" w:rsidRPr="004631B6" w:rsidP="004631B6" w14:paraId="6BCA0E14"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3</w:t>
            </w:r>
          </w:p>
        </w:tc>
        <w:tc>
          <w:tcPr>
            <w:tcW w:w="1160" w:type="dxa"/>
            <w:tcBorders>
              <w:top w:val="nil"/>
              <w:left w:val="nil"/>
              <w:bottom w:val="nil"/>
              <w:right w:val="dotted" w:sz="4" w:space="0" w:color="000000"/>
            </w:tcBorders>
            <w:shd w:val="clear" w:color="BDD6EE" w:fill="BDD6EE"/>
            <w:vAlign w:val="center"/>
            <w:hideMark/>
          </w:tcPr>
          <w:p w:rsidR="004631B6" w:rsidRPr="004631B6" w:rsidP="004631B6" w14:paraId="418B176B"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3</w:t>
            </w:r>
          </w:p>
        </w:tc>
        <w:tc>
          <w:tcPr>
            <w:tcW w:w="1140" w:type="dxa"/>
            <w:tcBorders>
              <w:top w:val="nil"/>
              <w:left w:val="nil"/>
              <w:bottom w:val="nil"/>
              <w:right w:val="single" w:sz="8" w:space="0" w:color="000000"/>
            </w:tcBorders>
            <w:shd w:val="clear" w:color="BDD6EE" w:fill="BDD6EE"/>
            <w:vAlign w:val="center"/>
            <w:hideMark/>
          </w:tcPr>
          <w:p w:rsidR="004631B6" w:rsidRPr="004631B6" w:rsidP="004631B6" w14:paraId="100E2AFB"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5</w:t>
            </w:r>
          </w:p>
        </w:tc>
        <w:tc>
          <w:tcPr>
            <w:tcW w:w="1180" w:type="dxa"/>
            <w:tcBorders>
              <w:top w:val="nil"/>
              <w:left w:val="nil"/>
              <w:bottom w:val="nil"/>
              <w:right w:val="dotted" w:sz="4" w:space="0" w:color="000000"/>
            </w:tcBorders>
            <w:shd w:val="clear" w:color="BDD6EE" w:fill="BDD6EE"/>
            <w:vAlign w:val="center"/>
            <w:hideMark/>
          </w:tcPr>
          <w:p w:rsidR="004631B6" w:rsidRPr="004631B6" w:rsidP="004631B6" w14:paraId="0A93A120"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180</w:t>
            </w:r>
          </w:p>
        </w:tc>
        <w:tc>
          <w:tcPr>
            <w:tcW w:w="1240" w:type="dxa"/>
            <w:tcBorders>
              <w:top w:val="nil"/>
              <w:left w:val="nil"/>
              <w:bottom w:val="nil"/>
              <w:right w:val="single" w:sz="8" w:space="0" w:color="000000"/>
            </w:tcBorders>
            <w:shd w:val="clear" w:color="BDD6EE" w:fill="BDD6EE"/>
            <w:vAlign w:val="center"/>
            <w:hideMark/>
          </w:tcPr>
          <w:p w:rsidR="004631B6" w:rsidRPr="004631B6" w:rsidP="004631B6" w14:paraId="5C98F61B"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200</w:t>
            </w:r>
          </w:p>
        </w:tc>
        <w:tc>
          <w:tcPr>
            <w:tcW w:w="4340" w:type="dxa"/>
            <w:tcBorders>
              <w:top w:val="nil"/>
              <w:left w:val="nil"/>
              <w:bottom w:val="nil"/>
              <w:right w:val="single" w:sz="8" w:space="0" w:color="000000"/>
            </w:tcBorders>
            <w:shd w:val="clear" w:color="000000" w:fill="000000"/>
            <w:vAlign w:val="center"/>
            <w:hideMark/>
          </w:tcPr>
          <w:p w:rsidR="004631B6" w:rsidRPr="004631B6" w:rsidP="004631B6" w14:paraId="73264D76" w14:textId="77777777">
            <w:pPr>
              <w:widowControl/>
              <w:jc w:val="center"/>
              <w:rPr>
                <w:rFonts w:ascii="Calibri" w:hAnsi="Calibri" w:cs="Calibri"/>
                <w:b/>
                <w:bCs/>
                <w:color w:val="000000"/>
                <w:sz w:val="20"/>
                <w:szCs w:val="20"/>
              </w:rPr>
            </w:pPr>
            <w:r w:rsidRPr="004631B6">
              <w:rPr>
                <w:rFonts w:ascii="Calibri" w:hAnsi="Calibri" w:cs="Calibri"/>
                <w:b/>
                <w:bCs/>
                <w:color w:val="000000"/>
                <w:sz w:val="20"/>
                <w:szCs w:val="20"/>
              </w:rPr>
              <w:t> </w:t>
            </w:r>
          </w:p>
        </w:tc>
      </w:tr>
      <w:tr w14:paraId="355FB3DB" w14:textId="77777777" w:rsidTr="004631B6">
        <w:tblPrEx>
          <w:tblW w:w="14220" w:type="dxa"/>
          <w:tblInd w:w="-460" w:type="dxa"/>
          <w:tblLook w:val="04A0"/>
        </w:tblPrEx>
        <w:trPr>
          <w:trHeight w:val="300"/>
        </w:trPr>
        <w:tc>
          <w:tcPr>
            <w:tcW w:w="2780" w:type="dxa"/>
            <w:tcBorders>
              <w:top w:val="single" w:sz="8" w:space="0" w:color="000000"/>
              <w:left w:val="single" w:sz="8" w:space="0" w:color="000000"/>
              <w:bottom w:val="single" w:sz="8" w:space="0" w:color="000000"/>
              <w:right w:val="nil"/>
            </w:tcBorders>
            <w:shd w:val="clear" w:color="FBE4D5" w:fill="FBE4D5"/>
            <w:noWrap/>
            <w:vAlign w:val="bottom"/>
            <w:hideMark/>
          </w:tcPr>
          <w:p w:rsidR="004631B6" w:rsidRPr="004631B6" w:rsidP="004631B6" w14:paraId="23B367F7" w14:textId="77777777">
            <w:pPr>
              <w:widowControl/>
              <w:jc w:val="center"/>
              <w:rPr>
                <w:rFonts w:ascii="Calibri" w:hAnsi="Calibri" w:cs="Calibri"/>
                <w:b/>
                <w:bCs/>
                <w:color w:val="000000"/>
                <w:sz w:val="16"/>
                <w:szCs w:val="16"/>
              </w:rPr>
            </w:pPr>
            <w:r w:rsidRPr="004631B6">
              <w:rPr>
                <w:rFonts w:ascii="Calibri" w:hAnsi="Calibri" w:cs="Calibri"/>
                <w:b/>
                <w:bCs/>
                <w:color w:val="000000"/>
                <w:sz w:val="16"/>
                <w:szCs w:val="16"/>
              </w:rPr>
              <w:t>Difference</w:t>
            </w:r>
          </w:p>
        </w:tc>
        <w:tc>
          <w:tcPr>
            <w:tcW w:w="2380" w:type="dxa"/>
            <w:gridSpan w:val="2"/>
            <w:tcBorders>
              <w:top w:val="single" w:sz="8" w:space="0" w:color="000000"/>
              <w:left w:val="single" w:sz="8" w:space="0" w:color="000000"/>
              <w:bottom w:val="single" w:sz="8" w:space="0" w:color="000000"/>
              <w:right w:val="single" w:sz="8" w:space="0" w:color="000000"/>
            </w:tcBorders>
            <w:shd w:val="clear" w:color="FBE4D5" w:fill="FBE4D5"/>
            <w:noWrap/>
            <w:vAlign w:val="bottom"/>
            <w:hideMark/>
          </w:tcPr>
          <w:p w:rsidR="004631B6" w:rsidRPr="004631B6" w:rsidP="004631B6" w14:paraId="34A82847" w14:textId="77777777">
            <w:pPr>
              <w:widowControl/>
              <w:jc w:val="center"/>
              <w:rPr>
                <w:rFonts w:ascii="Calibri" w:hAnsi="Calibri" w:cs="Calibri"/>
                <w:b/>
                <w:bCs/>
                <w:color w:val="000000"/>
                <w:sz w:val="22"/>
                <w:szCs w:val="22"/>
              </w:rPr>
            </w:pPr>
            <w:r w:rsidRPr="004631B6">
              <w:rPr>
                <w:rFonts w:ascii="Calibri" w:hAnsi="Calibri" w:cs="Calibri"/>
                <w:b/>
                <w:bCs/>
                <w:color w:val="000000"/>
                <w:sz w:val="22"/>
                <w:szCs w:val="22"/>
              </w:rPr>
              <w:t>0</w:t>
            </w:r>
          </w:p>
        </w:tc>
        <w:tc>
          <w:tcPr>
            <w:tcW w:w="2300" w:type="dxa"/>
            <w:gridSpan w:val="2"/>
            <w:tcBorders>
              <w:top w:val="single" w:sz="8" w:space="0" w:color="000000"/>
              <w:left w:val="nil"/>
              <w:bottom w:val="single" w:sz="8" w:space="0" w:color="000000"/>
              <w:right w:val="single" w:sz="8" w:space="0" w:color="000000"/>
            </w:tcBorders>
            <w:shd w:val="clear" w:color="FBE4D5" w:fill="FBE4D5"/>
            <w:noWrap/>
            <w:vAlign w:val="bottom"/>
            <w:hideMark/>
          </w:tcPr>
          <w:p w:rsidR="004631B6" w:rsidRPr="004631B6" w:rsidP="004631B6" w14:paraId="321DF274" w14:textId="77777777">
            <w:pPr>
              <w:widowControl/>
              <w:jc w:val="center"/>
              <w:rPr>
                <w:rFonts w:ascii="Calibri" w:hAnsi="Calibri" w:cs="Calibri"/>
                <w:b/>
                <w:bCs/>
                <w:color w:val="000000"/>
                <w:sz w:val="22"/>
                <w:szCs w:val="22"/>
              </w:rPr>
            </w:pPr>
            <w:r w:rsidRPr="004631B6">
              <w:rPr>
                <w:rFonts w:ascii="Calibri" w:hAnsi="Calibri" w:cs="Calibri"/>
                <w:b/>
                <w:bCs/>
                <w:color w:val="000000"/>
                <w:sz w:val="22"/>
                <w:szCs w:val="22"/>
              </w:rPr>
              <w:t>-2</w:t>
            </w:r>
          </w:p>
        </w:tc>
        <w:tc>
          <w:tcPr>
            <w:tcW w:w="2420" w:type="dxa"/>
            <w:gridSpan w:val="2"/>
            <w:tcBorders>
              <w:top w:val="single" w:sz="8" w:space="0" w:color="000000"/>
              <w:left w:val="nil"/>
              <w:bottom w:val="single" w:sz="8" w:space="0" w:color="000000"/>
              <w:right w:val="single" w:sz="4" w:space="0" w:color="000000"/>
            </w:tcBorders>
            <w:shd w:val="clear" w:color="FBE4D5" w:fill="FBE4D5"/>
            <w:noWrap/>
            <w:vAlign w:val="bottom"/>
            <w:hideMark/>
          </w:tcPr>
          <w:p w:rsidR="004631B6" w:rsidRPr="004631B6" w:rsidP="004631B6" w14:paraId="41EB0AA2" w14:textId="77777777">
            <w:pPr>
              <w:widowControl/>
              <w:jc w:val="center"/>
              <w:rPr>
                <w:rFonts w:ascii="Calibri" w:hAnsi="Calibri" w:cs="Calibri"/>
                <w:b/>
                <w:bCs/>
                <w:color w:val="000000"/>
                <w:sz w:val="22"/>
                <w:szCs w:val="22"/>
              </w:rPr>
            </w:pPr>
            <w:r w:rsidRPr="004631B6">
              <w:rPr>
                <w:rFonts w:ascii="Calibri" w:hAnsi="Calibri" w:cs="Calibri"/>
                <w:b/>
                <w:bCs/>
                <w:color w:val="000000"/>
                <w:sz w:val="22"/>
                <w:szCs w:val="22"/>
              </w:rPr>
              <w:t>-20</w:t>
            </w:r>
          </w:p>
        </w:tc>
        <w:tc>
          <w:tcPr>
            <w:tcW w:w="4340" w:type="dxa"/>
            <w:tcBorders>
              <w:top w:val="single" w:sz="8" w:space="0" w:color="000000"/>
              <w:left w:val="nil"/>
              <w:bottom w:val="single" w:sz="8" w:space="0" w:color="000000"/>
              <w:right w:val="single" w:sz="8" w:space="0" w:color="000000"/>
            </w:tcBorders>
            <w:shd w:val="clear" w:color="000000" w:fill="000000"/>
            <w:noWrap/>
            <w:vAlign w:val="bottom"/>
            <w:hideMark/>
          </w:tcPr>
          <w:p w:rsidR="004631B6" w:rsidRPr="004631B6" w:rsidP="004631B6" w14:paraId="7103AF0F" w14:textId="77777777">
            <w:pPr>
              <w:widowControl/>
              <w:rPr>
                <w:rFonts w:ascii="Calibri" w:hAnsi="Calibri" w:cs="Calibri"/>
                <w:color w:val="000000"/>
                <w:sz w:val="22"/>
                <w:szCs w:val="22"/>
              </w:rPr>
            </w:pPr>
            <w:r w:rsidRPr="004631B6">
              <w:rPr>
                <w:rFonts w:ascii="Calibri" w:hAnsi="Calibri" w:cs="Calibri"/>
                <w:color w:val="000000"/>
                <w:sz w:val="22"/>
                <w:szCs w:val="22"/>
              </w:rPr>
              <w:t> </w:t>
            </w:r>
          </w:p>
        </w:tc>
      </w:tr>
    </w:tbl>
    <w:p w:rsidR="004631B6" w14:paraId="567A0017" w14:textId="77777777">
      <w:pPr>
        <w:pBdr>
          <w:top w:val="nil"/>
          <w:left w:val="nil"/>
          <w:bottom w:val="nil"/>
          <w:right w:val="nil"/>
          <w:between w:val="nil"/>
        </w:pBdr>
        <w:spacing w:before="7"/>
        <w:rPr>
          <w:b/>
          <w:color w:val="000000"/>
        </w:rPr>
      </w:pPr>
    </w:p>
    <w:p w:rsidR="004631B6" w14:paraId="35322239" w14:textId="77777777">
      <w:pPr>
        <w:pBdr>
          <w:top w:val="nil"/>
          <w:left w:val="nil"/>
          <w:bottom w:val="nil"/>
          <w:right w:val="nil"/>
          <w:between w:val="nil"/>
        </w:pBdr>
        <w:spacing w:before="7"/>
        <w:rPr>
          <w:b/>
          <w:color w:val="000000"/>
        </w:rPr>
        <w:sectPr w:rsidSect="004631B6">
          <w:pgSz w:w="15840" w:h="12240" w:orient="landscape"/>
          <w:pgMar w:top="1080" w:right="640" w:bottom="1080" w:left="1200" w:header="0" w:footer="714" w:gutter="0"/>
          <w:cols w:space="720"/>
          <w:docGrid w:linePitch="326"/>
        </w:sectPr>
      </w:pPr>
    </w:p>
    <w:p w:rsidR="004631B6" w14:paraId="22F89328" w14:textId="77777777">
      <w:pPr>
        <w:pBdr>
          <w:top w:val="nil"/>
          <w:left w:val="nil"/>
          <w:bottom w:val="nil"/>
          <w:right w:val="nil"/>
          <w:between w:val="nil"/>
        </w:pBdr>
        <w:spacing w:before="7"/>
        <w:rPr>
          <w:b/>
          <w:color w:val="000000"/>
        </w:rPr>
      </w:pPr>
    </w:p>
    <w:p w:rsidR="00194F42" w14:paraId="7B1888DB"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95DC7" w:rsidP="00D95DC7" w14:paraId="5ECAC50E" w14:textId="77777777">
      <w:pPr>
        <w:tabs>
          <w:tab w:val="left" w:pos="540"/>
        </w:tabs>
      </w:pPr>
    </w:p>
    <w:p w:rsidR="00DB42E0" w:rsidP="00D95DC7" w14:paraId="4DD2A1C4" w14:textId="7AEA5C8E">
      <w:pPr>
        <w:tabs>
          <w:tab w:val="left" w:pos="540"/>
        </w:tabs>
      </w:pPr>
      <w:r w:rsidRPr="009975BD">
        <w:t xml:space="preserve">NMFS will review the northern fur seal subsistence </w:t>
      </w:r>
      <w:r w:rsidRPr="009975BD">
        <w:t>use</w:t>
      </w:r>
      <w:r w:rsidRPr="009975BD">
        <w:t xml:space="preserve"> reports received </w:t>
      </w:r>
      <w:r w:rsidR="00C03D1B">
        <w:t xml:space="preserve">annually </w:t>
      </w:r>
      <w:r w:rsidRPr="009975BD">
        <w:t xml:space="preserve">from the </w:t>
      </w:r>
      <w:r>
        <w:t>T</w:t>
      </w:r>
      <w:r w:rsidRPr="009975BD">
        <w:t xml:space="preserve">ribal governments of St. George and St. Paul Islands.  If any revisions or corrections are </w:t>
      </w:r>
      <w:r>
        <w:t>identified by NMFS in the</w:t>
      </w:r>
      <w:r w:rsidRPr="009975BD">
        <w:t xml:space="preserve"> reports, NMFS will request the revised reports prior to their publication online by NMFS.  In addition</w:t>
      </w:r>
      <w:r>
        <w:t>,</w:t>
      </w:r>
      <w:r w:rsidRPr="009975BD">
        <w:t xml:space="preserve"> data extracted from the report will be referenced and used in NOAA’s </w:t>
      </w:r>
      <w:r>
        <w:t>Technical Memoranda</w:t>
      </w:r>
      <w:r w:rsidRPr="009975BD">
        <w:t xml:space="preserve"> and the Alaska Marine Mammal Stock Assessment Reports. </w:t>
      </w:r>
    </w:p>
    <w:p w:rsidR="00DB42E0" w:rsidP="00D95DC7" w14:paraId="551B14D9" w14:textId="77777777">
      <w:pPr>
        <w:tabs>
          <w:tab w:val="left" w:pos="540"/>
        </w:tabs>
      </w:pPr>
    </w:p>
    <w:p w:rsidR="00D95DC7" w:rsidP="00D95DC7" w14:paraId="7C157F69" w14:textId="096A7BC6">
      <w:pPr>
        <w:tabs>
          <w:tab w:val="left" w:pos="540"/>
        </w:tabs>
      </w:pPr>
      <w:r w:rsidRPr="00E31301">
        <w:t xml:space="preserve">It is anticipated that the information collected will be disseminated to the public or used to support publicly disseminated information. NOAA </w:t>
      </w:r>
      <w:r>
        <w:t>Alaska Fisheries Science Center and Alaska Region</w:t>
      </w:r>
      <w:r w:rsidRPr="00E31301">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r w:rsidRPr="009975BD">
        <w:t xml:space="preserve"> </w:t>
      </w:r>
    </w:p>
    <w:p w:rsidR="00DB42E0" w:rsidP="00D95DC7" w14:paraId="1FCB5CFA" w14:textId="77777777">
      <w:pPr>
        <w:tabs>
          <w:tab w:val="left" w:pos="540"/>
        </w:tabs>
      </w:pPr>
    </w:p>
    <w:p w:rsidR="00505697" w:rsidRPr="009975BD" w:rsidP="00D95DC7" w14:paraId="152C56D7" w14:textId="7C63E815">
      <w:pPr>
        <w:tabs>
          <w:tab w:val="left" w:pos="540"/>
        </w:tabs>
      </w:pPr>
      <w:r>
        <w:t>Information associated with applications for an exception to 50 CFR 216.82 will not be published.</w:t>
      </w:r>
    </w:p>
    <w:p w:rsidR="00194F42" w14:paraId="79FC0125" w14:textId="77777777">
      <w:pPr>
        <w:pBdr>
          <w:top w:val="nil"/>
          <w:left w:val="nil"/>
          <w:bottom w:val="nil"/>
          <w:right w:val="nil"/>
          <w:between w:val="nil"/>
        </w:pBdr>
        <w:spacing w:before="160"/>
        <w:rPr>
          <w:color w:val="2F5496"/>
        </w:rPr>
      </w:pPr>
    </w:p>
    <w:p w:rsidR="00194F42" w14:paraId="53C4DB28"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D95DC7" w:rsidP="00D95DC7" w14:paraId="53B1AD05" w14:textId="77777777">
      <w:pPr>
        <w:tabs>
          <w:tab w:val="left" w:pos="540"/>
        </w:tabs>
      </w:pPr>
    </w:p>
    <w:p w:rsidR="00D95DC7" w:rsidRPr="009975BD" w:rsidP="00D95DC7" w14:paraId="13F47ABA" w14:textId="543E316B">
      <w:pPr>
        <w:tabs>
          <w:tab w:val="left" w:pos="540"/>
        </w:tabs>
      </w:pPr>
      <w:r w:rsidRPr="009975BD">
        <w:t>The subsistence use of fur seals report</w:t>
      </w:r>
      <w:r w:rsidR="00505697">
        <w:t xml:space="preserve"> and the application for an exception to 50 CFR 216.82</w:t>
      </w:r>
      <w:r w:rsidRPr="009975BD">
        <w:t xml:space="preserve"> </w:t>
      </w:r>
      <w:r w:rsidR="00DB42E0">
        <w:t>do</w:t>
      </w:r>
      <w:r w:rsidRPr="009975BD">
        <w:t xml:space="preserve"> not </w:t>
      </w:r>
      <w:r w:rsidR="00DB42E0">
        <w:t xml:space="preserve">use </w:t>
      </w:r>
      <w:r w:rsidRPr="009975BD">
        <w:t>a form, and therefore will not show the expiration date.</w:t>
      </w:r>
    </w:p>
    <w:p w:rsidR="00194F42" w14:paraId="6E9BF789" w14:textId="77777777">
      <w:pPr>
        <w:spacing w:before="161"/>
        <w:rPr>
          <w:i/>
        </w:rPr>
      </w:pPr>
    </w:p>
    <w:p w:rsidR="00194F42" w14:paraId="707437CE" w14:textId="77777777">
      <w:pPr>
        <w:numPr>
          <w:ilvl w:val="0"/>
          <w:numId w:val="9"/>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194F42" w:rsidP="00DB42E0" w14:paraId="02ABD3F9" w14:textId="77777777">
      <w:pPr>
        <w:spacing w:before="221" w:line="259" w:lineRule="auto"/>
      </w:pPr>
      <w:r>
        <w:t xml:space="preserve">The agency certifies compliance with </w:t>
      </w:r>
      <w:hyperlink r:id="rId18">
        <w:r>
          <w:rPr>
            <w:color w:val="0563C1"/>
            <w:u w:val="single"/>
          </w:rPr>
          <w:t>5 CFR 1320.9</w:t>
        </w:r>
      </w:hyperlink>
      <w:hyperlink r:id="rId18">
        <w:r>
          <w:rPr>
            <w:color w:val="0563C1"/>
          </w:rPr>
          <w:t xml:space="preserve"> </w:t>
        </w:r>
      </w:hyperlink>
      <w:r>
        <w:t xml:space="preserve">and the related provisions of </w:t>
      </w:r>
      <w:hyperlink r:id="rId19">
        <w:r>
          <w:rPr>
            <w:color w:val="0563C1"/>
            <w:u w:val="single"/>
          </w:rPr>
          <w:t>5 CFR</w:t>
        </w:r>
      </w:hyperlink>
      <w:r>
        <w:rPr>
          <w:color w:val="0563C1"/>
        </w:rPr>
        <w:t xml:space="preserve"> </w:t>
      </w:r>
      <w:hyperlink r:id="rId19">
        <w:r>
          <w:rPr>
            <w:color w:val="0563C1"/>
            <w:u w:val="single"/>
          </w:rPr>
          <w:t>1320.8(b)(3)</w:t>
        </w:r>
      </w:hyperlink>
      <w:r>
        <w:t>.</w:t>
      </w:r>
    </w:p>
    <w:p w:rsidR="00194F42" w14:paraId="4986041C" w14:textId="77777777">
      <w:pPr>
        <w:spacing w:before="221" w:line="259" w:lineRule="auto"/>
        <w:jc w:val="both"/>
      </w:pPr>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F42" w14:paraId="50E9DEB2"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7F1F" w14:paraId="2E9572B0" w14:textId="77777777">
      <w:r>
        <w:separator/>
      </w:r>
    </w:p>
  </w:footnote>
  <w:footnote w:type="continuationSeparator" w:id="1">
    <w:p w:rsidR="00607F1F" w14:paraId="413E5C84" w14:textId="77777777">
      <w:r>
        <w:continuationSeparator/>
      </w:r>
    </w:p>
  </w:footnote>
  <w:footnote w:id="2">
    <w:p w:rsidR="005B7396" w:rsidP="005B7396" w14:paraId="79699F46" w14:textId="77777777">
      <w:pPr>
        <w:pStyle w:val="FootnoteText"/>
      </w:pPr>
      <w:r>
        <w:rPr>
          <w:rStyle w:val="FootnoteReference"/>
        </w:rPr>
        <w:footnoteRef/>
      </w:r>
      <w:r>
        <w:t xml:space="preserve"> </w:t>
      </w:r>
      <w:r w:rsidRPr="0014057B">
        <w:t>https://www.ecfr.gov/current/title-50/chapter-II/subchapter-C/part-216/subpart-G</w:t>
      </w:r>
    </w:p>
  </w:footnote>
  <w:footnote w:id="3">
    <w:p w:rsidR="003159EC" w14:paraId="75DDE4AB" w14:textId="0B592F95">
      <w:pPr>
        <w:pStyle w:val="FootnoteText"/>
      </w:pPr>
      <w:r>
        <w:rPr>
          <w:rStyle w:val="FootnoteReference"/>
        </w:rPr>
        <w:footnoteRef/>
      </w:r>
      <w:r>
        <w:t xml:space="preserve"> </w:t>
      </w:r>
      <w:r w:rsidRPr="003159EC">
        <w:t>https://www.govinfo.gov/app/details/PLAW-106publ562</w:t>
      </w:r>
    </w:p>
  </w:footnote>
  <w:footnote w:id="4">
    <w:p w:rsidR="003159EC" w14:paraId="37028C4A" w14:textId="2AE41D62">
      <w:pPr>
        <w:pStyle w:val="FootnoteText"/>
      </w:pPr>
      <w:r>
        <w:rPr>
          <w:rStyle w:val="FootnoteReference"/>
        </w:rPr>
        <w:footnoteRef/>
      </w:r>
      <w:r>
        <w:t xml:space="preserve"> </w:t>
      </w:r>
      <w:r w:rsidRPr="003159EC">
        <w:t>https://www.law.cornell.edu/uscode/text/16/chapter-31</w:t>
      </w:r>
    </w:p>
  </w:footnote>
  <w:footnote w:id="5">
    <w:p w:rsidR="00630443" w14:paraId="49B86238" w14:textId="4CFF8C60">
      <w:pPr>
        <w:pStyle w:val="FootnoteText"/>
      </w:pPr>
      <w:r>
        <w:rPr>
          <w:rStyle w:val="FootnoteReference"/>
        </w:rPr>
        <w:footnoteRef/>
      </w:r>
      <w:r>
        <w:t xml:space="preserve"> </w:t>
      </w:r>
      <w:r w:rsidRPr="00630443">
        <w:t>https://www.federalregister.gov/documents/2014/11/04/2014-26177/marine-mammals-subsistence-taking-of-northern-fur-seals-st-george-island-alaska</w:t>
      </w:r>
    </w:p>
  </w:footnote>
  <w:footnote w:id="6">
    <w:p w:rsidR="0014057B" w14:paraId="730CBA4F" w14:textId="01E86EF8">
      <w:pPr>
        <w:pStyle w:val="FootnoteText"/>
      </w:pPr>
      <w:r>
        <w:rPr>
          <w:rStyle w:val="FootnoteReference"/>
        </w:rPr>
        <w:footnoteRef/>
      </w:r>
      <w:r>
        <w:t xml:space="preserve"> </w:t>
      </w:r>
      <w:r w:rsidRPr="0014057B">
        <w:t>https://www.ecfr.gov/current/title-50/chapter-II/subchapter-C/part-216/subpart-F</w:t>
      </w:r>
    </w:p>
  </w:footnote>
  <w:footnote w:id="7">
    <w:p w:rsidR="0014057B" w14:paraId="44B3C34E" w14:textId="053FA6A3">
      <w:pPr>
        <w:pStyle w:val="FootnoteText"/>
      </w:pPr>
      <w:r>
        <w:rPr>
          <w:rStyle w:val="FootnoteReference"/>
        </w:rPr>
        <w:footnoteRef/>
      </w:r>
      <w:r>
        <w:t xml:space="preserve"> </w:t>
      </w:r>
      <w:r w:rsidRPr="0014057B">
        <w:t>https://www.ecfr.gov/current/title-50/chapter-II/subchapter-C/part-216/subpart-G</w:t>
      </w:r>
    </w:p>
  </w:footnote>
  <w:footnote w:id="8">
    <w:p w:rsidR="00947223" w14:paraId="7DDA51E6" w14:textId="7B10D6E4">
      <w:pPr>
        <w:pStyle w:val="FootnoteText"/>
      </w:pPr>
      <w:r>
        <w:rPr>
          <w:rStyle w:val="FootnoteReference"/>
        </w:rPr>
        <w:footnoteRef/>
      </w:r>
      <w:r>
        <w:t xml:space="preserve"> </w:t>
      </w:r>
      <w:r w:rsidRPr="00947223">
        <w:t>https://www.commerce.gov/node/4985</w:t>
      </w:r>
    </w:p>
  </w:footnote>
  <w:footnote w:id="9">
    <w:p w:rsidR="004524F9" w14:paraId="0D74CD63" w14:textId="02FE5829">
      <w:pPr>
        <w:pStyle w:val="FootnoteText"/>
      </w:pPr>
      <w:r>
        <w:rPr>
          <w:rStyle w:val="FootnoteReference"/>
        </w:rPr>
        <w:footnoteRef/>
      </w:r>
      <w:r>
        <w:t xml:space="preserve"> </w:t>
      </w:r>
      <w:r w:rsidRPr="004524F9">
        <w:t>https://www.commerce.gov/sites/default/files/2025-03/NOAA4700%20PIA%20FY25%20SAOP_Approved.pdf</w:t>
      </w:r>
    </w:p>
  </w:footnote>
  <w:footnote w:id="10">
    <w:p w:rsidR="0067712E" w14:paraId="2037A541" w14:textId="56BC6180">
      <w:pPr>
        <w:pStyle w:val="FootnoteText"/>
      </w:pPr>
      <w:r>
        <w:rPr>
          <w:rStyle w:val="FootnoteReference"/>
        </w:rPr>
        <w:footnoteRef/>
      </w:r>
      <w:r>
        <w:t xml:space="preserve"> </w:t>
      </w:r>
      <w:r w:rsidRPr="0067712E">
        <w:t>https://www.commerce.gov/sites/default/files/2026-01/CAPS%20Standard%20Pay%20Tables%202026.pdf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0C1CCB"/>
    <w:multiLevelType w:val="multilevel"/>
    <w:tmpl w:val="B3741D7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207618FC"/>
    <w:multiLevelType w:val="multilevel"/>
    <w:tmpl w:val="5FA019B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26831648"/>
    <w:multiLevelType w:val="hybridMultilevel"/>
    <w:tmpl w:val="23F00388"/>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33CD083E"/>
    <w:multiLevelType w:val="multilevel"/>
    <w:tmpl w:val="B4466DB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35B10C5C"/>
    <w:multiLevelType w:val="multilevel"/>
    <w:tmpl w:val="B836A39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5">
    <w:nsid w:val="35B93AE2"/>
    <w:multiLevelType w:val="multilevel"/>
    <w:tmpl w:val="7E6EE048"/>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42E51862"/>
    <w:multiLevelType w:val="multilevel"/>
    <w:tmpl w:val="32BE198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nsid w:val="43FD023F"/>
    <w:multiLevelType w:val="hybridMultilevel"/>
    <w:tmpl w:val="9E800AF2"/>
    <w:lvl w:ilvl="0">
      <w:start w:val="5"/>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A4A4080"/>
    <w:multiLevelType w:val="multilevel"/>
    <w:tmpl w:val="59708F3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nsid w:val="50B91146"/>
    <w:multiLevelType w:val="multilevel"/>
    <w:tmpl w:val="E1BA5C1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5BEE12FA"/>
    <w:multiLevelType w:val="multilevel"/>
    <w:tmpl w:val="5AFCD62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5E430081"/>
    <w:multiLevelType w:val="multilevel"/>
    <w:tmpl w:val="2A266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5ED02CA5"/>
    <w:multiLevelType w:val="multilevel"/>
    <w:tmpl w:val="E0C216B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60BF56DE"/>
    <w:multiLevelType w:val="multilevel"/>
    <w:tmpl w:val="BAA2938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4">
    <w:nsid w:val="65320482"/>
    <w:multiLevelType w:val="multilevel"/>
    <w:tmpl w:val="1C9AC4F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num w:numId="1" w16cid:durableId="240413837">
    <w:abstractNumId w:val="12"/>
  </w:num>
  <w:num w:numId="2" w16cid:durableId="619917162">
    <w:abstractNumId w:val="0"/>
  </w:num>
  <w:num w:numId="3" w16cid:durableId="1456096615">
    <w:abstractNumId w:val="3"/>
  </w:num>
  <w:num w:numId="4" w16cid:durableId="1994024989">
    <w:abstractNumId w:val="4"/>
  </w:num>
  <w:num w:numId="5" w16cid:durableId="355077977">
    <w:abstractNumId w:val="13"/>
  </w:num>
  <w:num w:numId="6" w16cid:durableId="353502871">
    <w:abstractNumId w:val="14"/>
  </w:num>
  <w:num w:numId="7" w16cid:durableId="908884694">
    <w:abstractNumId w:val="6"/>
  </w:num>
  <w:num w:numId="8" w16cid:durableId="49967220">
    <w:abstractNumId w:val="8"/>
  </w:num>
  <w:num w:numId="9" w16cid:durableId="1519664019">
    <w:abstractNumId w:val="10"/>
  </w:num>
  <w:num w:numId="10" w16cid:durableId="1821114756">
    <w:abstractNumId w:val="9"/>
  </w:num>
  <w:num w:numId="11" w16cid:durableId="948391962">
    <w:abstractNumId w:val="1"/>
  </w:num>
  <w:num w:numId="12" w16cid:durableId="1148982603">
    <w:abstractNumId w:val="5"/>
  </w:num>
  <w:num w:numId="13" w16cid:durableId="234095270">
    <w:abstractNumId w:val="11"/>
  </w:num>
  <w:num w:numId="14" w16cid:durableId="947393989">
    <w:abstractNumId w:val="2"/>
  </w:num>
  <w:num w:numId="15" w16cid:durableId="1555853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F42"/>
    <w:rsid w:val="0000303F"/>
    <w:rsid w:val="00003C69"/>
    <w:rsid w:val="00025F87"/>
    <w:rsid w:val="00067EB7"/>
    <w:rsid w:val="00097F6D"/>
    <w:rsid w:val="000C2C86"/>
    <w:rsid w:val="000C38F0"/>
    <w:rsid w:val="000D2E4D"/>
    <w:rsid w:val="000D52A4"/>
    <w:rsid w:val="000D57C0"/>
    <w:rsid w:val="0014057B"/>
    <w:rsid w:val="001549EE"/>
    <w:rsid w:val="00155467"/>
    <w:rsid w:val="00194F42"/>
    <w:rsid w:val="001A03AD"/>
    <w:rsid w:val="001C23F6"/>
    <w:rsid w:val="001C2C06"/>
    <w:rsid w:val="001C30F2"/>
    <w:rsid w:val="001F60AA"/>
    <w:rsid w:val="00240EEB"/>
    <w:rsid w:val="00241704"/>
    <w:rsid w:val="002B1F8F"/>
    <w:rsid w:val="002E7B16"/>
    <w:rsid w:val="003159EC"/>
    <w:rsid w:val="003409CF"/>
    <w:rsid w:val="0035717C"/>
    <w:rsid w:val="00394BA4"/>
    <w:rsid w:val="00411082"/>
    <w:rsid w:val="004524F9"/>
    <w:rsid w:val="004631B6"/>
    <w:rsid w:val="004E6FE3"/>
    <w:rsid w:val="00505697"/>
    <w:rsid w:val="005151D9"/>
    <w:rsid w:val="00550B6C"/>
    <w:rsid w:val="0057290A"/>
    <w:rsid w:val="005903AA"/>
    <w:rsid w:val="005B7396"/>
    <w:rsid w:val="005C2370"/>
    <w:rsid w:val="005D0C10"/>
    <w:rsid w:val="005D4B1F"/>
    <w:rsid w:val="005F0F00"/>
    <w:rsid w:val="00607F1F"/>
    <w:rsid w:val="00625E4D"/>
    <w:rsid w:val="00630443"/>
    <w:rsid w:val="00632651"/>
    <w:rsid w:val="0067712E"/>
    <w:rsid w:val="006856DB"/>
    <w:rsid w:val="006D3051"/>
    <w:rsid w:val="006E6216"/>
    <w:rsid w:val="0072577F"/>
    <w:rsid w:val="007427CC"/>
    <w:rsid w:val="007604E9"/>
    <w:rsid w:val="00813F90"/>
    <w:rsid w:val="0081688E"/>
    <w:rsid w:val="00817BB5"/>
    <w:rsid w:val="00825BCD"/>
    <w:rsid w:val="008305DA"/>
    <w:rsid w:val="008433A2"/>
    <w:rsid w:val="0087354E"/>
    <w:rsid w:val="008A4DED"/>
    <w:rsid w:val="00910B83"/>
    <w:rsid w:val="00915157"/>
    <w:rsid w:val="009227EA"/>
    <w:rsid w:val="00934E2E"/>
    <w:rsid w:val="00936A82"/>
    <w:rsid w:val="00940409"/>
    <w:rsid w:val="00947223"/>
    <w:rsid w:val="009654E4"/>
    <w:rsid w:val="009975BD"/>
    <w:rsid w:val="009C7446"/>
    <w:rsid w:val="00A30D6C"/>
    <w:rsid w:val="00A46783"/>
    <w:rsid w:val="00AB7101"/>
    <w:rsid w:val="00AD6A9A"/>
    <w:rsid w:val="00AE35AD"/>
    <w:rsid w:val="00AF7A68"/>
    <w:rsid w:val="00B47F5B"/>
    <w:rsid w:val="00B71A5C"/>
    <w:rsid w:val="00BC513F"/>
    <w:rsid w:val="00BD5FB6"/>
    <w:rsid w:val="00C03D1B"/>
    <w:rsid w:val="00C15863"/>
    <w:rsid w:val="00C608DF"/>
    <w:rsid w:val="00C66D68"/>
    <w:rsid w:val="00CB325B"/>
    <w:rsid w:val="00D073A4"/>
    <w:rsid w:val="00D22904"/>
    <w:rsid w:val="00D7052D"/>
    <w:rsid w:val="00D95DC7"/>
    <w:rsid w:val="00DA5BF1"/>
    <w:rsid w:val="00DB42E0"/>
    <w:rsid w:val="00DC15D0"/>
    <w:rsid w:val="00DD705E"/>
    <w:rsid w:val="00DD7A63"/>
    <w:rsid w:val="00E26A3C"/>
    <w:rsid w:val="00E31301"/>
    <w:rsid w:val="00E65771"/>
    <w:rsid w:val="00E83D32"/>
    <w:rsid w:val="00EA63C7"/>
    <w:rsid w:val="00EB0E95"/>
    <w:rsid w:val="00EE358F"/>
    <w:rsid w:val="00EF3735"/>
    <w:rsid w:val="00F35CE6"/>
    <w:rsid w:val="00F426B8"/>
    <w:rsid w:val="00F47E37"/>
    <w:rsid w:val="00F65A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D73C94"/>
  <w15:docId w15:val="{38247861-11CD-4C14-BED3-29218AC2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6856DB"/>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6856DB"/>
    <w:rPr>
      <w:rFonts w:ascii="Arial" w:eastAsia="Arial" w:hAnsi="Arial" w:cs="Arial"/>
      <w:b/>
      <w:bCs/>
      <w:color w:val="2E5395"/>
      <w:sz w:val="20"/>
      <w:szCs w:val="20"/>
    </w:rPr>
  </w:style>
  <w:style w:type="character" w:styleId="UnresolvedMention">
    <w:name w:val="Unresolved Mention"/>
    <w:basedOn w:val="DefaultParagraphFont"/>
    <w:uiPriority w:val="99"/>
    <w:semiHidden/>
    <w:unhideWhenUsed/>
    <w:rsid w:val="00EB0E95"/>
    <w:rPr>
      <w:color w:val="605E5C"/>
      <w:shd w:val="clear" w:color="auto" w:fill="E1DFDD"/>
    </w:rPr>
  </w:style>
  <w:style w:type="paragraph" w:styleId="Revision">
    <w:name w:val="Revision"/>
    <w:hidden/>
    <w:uiPriority w:val="99"/>
    <w:semiHidden/>
    <w:rsid w:val="005D0C10"/>
    <w:pPr>
      <w:widowControl/>
    </w:pPr>
  </w:style>
  <w:style w:type="paragraph" w:styleId="FootnoteText">
    <w:name w:val="footnote text"/>
    <w:basedOn w:val="Normal"/>
    <w:link w:val="FootnoteTextChar"/>
    <w:uiPriority w:val="99"/>
    <w:semiHidden/>
    <w:unhideWhenUsed/>
    <w:rsid w:val="003159EC"/>
    <w:rPr>
      <w:sz w:val="20"/>
      <w:szCs w:val="20"/>
    </w:rPr>
  </w:style>
  <w:style w:type="character" w:customStyle="1" w:styleId="FootnoteTextChar">
    <w:name w:val="Footnote Text Char"/>
    <w:basedOn w:val="DefaultParagraphFont"/>
    <w:link w:val="FootnoteText"/>
    <w:uiPriority w:val="99"/>
    <w:semiHidden/>
    <w:rsid w:val="003159EC"/>
    <w:rPr>
      <w:sz w:val="20"/>
      <w:szCs w:val="20"/>
    </w:rPr>
  </w:style>
  <w:style w:type="character" w:styleId="FootnoteReference">
    <w:name w:val="footnote reference"/>
    <w:basedOn w:val="DefaultParagraphFont"/>
    <w:uiPriority w:val="99"/>
    <w:semiHidden/>
    <w:unhideWhenUsed/>
    <w:rsid w:val="00315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14/11/04/2014-26177/marine-mammals-subsistence-taking-of-northern-fur-seals-st-george-island-alaska" TargetMode="External" /><Relationship Id="rId11" Type="http://schemas.openxmlformats.org/officeDocument/2006/relationships/hyperlink" Target="https://www.ecfr.gov/current/title-50/chapter-II/subchapter-C/part-216/subpart-F" TargetMode="External" /><Relationship Id="rId12" Type="http://schemas.openxmlformats.org/officeDocument/2006/relationships/hyperlink" Target="https://www.fisheries.noaa.gov/alaska/marine-mammal-protection/northern-fur-seal-subsistence-harvest-estimates-and-reports" TargetMode="External" /><Relationship Id="rId13" Type="http://schemas.openxmlformats.org/officeDocument/2006/relationships/hyperlink" Target="https://www.commerce.gov/node/4985" TargetMode="External" /><Relationship Id="rId14" Type="http://schemas.openxmlformats.org/officeDocument/2006/relationships/hyperlink" Target="https://www.commerce.gov/sites/default/files/2025-03/NOAA4700%20PIA%20FY25%20SAOP_Approved.pdf" TargetMode="External" /><Relationship Id="rId15" Type="http://schemas.openxmlformats.org/officeDocument/2006/relationships/footer" Target="footer1.xml" /><Relationship Id="rId16" Type="http://schemas.openxmlformats.org/officeDocument/2006/relationships/hyperlink" Target="https://www.bls.gov/bls/blswage.htm" TargetMode="External" /><Relationship Id="rId17" Type="http://schemas.openxmlformats.org/officeDocument/2006/relationships/hyperlink" Target="https://www.commerce.gov/sites/default/files/2026-01/CAPS%20Standard%20Pay%20Tables%202026.pdf" TargetMode="External" /><Relationship Id="rId18" Type="http://schemas.openxmlformats.org/officeDocument/2006/relationships/hyperlink" Target="http://www.gpo.gov/fdsys/pkg/CFR-2014-title5-vol3/pdf/CFR-2014-title5-vol3-sec1320-9.pdf" TargetMode="External" /><Relationship Id="rId19" Type="http://schemas.openxmlformats.org/officeDocument/2006/relationships/hyperlink" Target="http://www.gpo.gov/fdsys/pkg/CFR-2014-title5-vol3/pdf/CFR-2014-title5-vol3-sec1320-8.pdf"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ecfr.gov/current/title-50/chapter-II/subchapter-C/part-216/subpart-G" TargetMode="External" /><Relationship Id="rId8" Type="http://schemas.openxmlformats.org/officeDocument/2006/relationships/hyperlink" Target="https://www.govinfo.gov/app/details/PLAW-106publ562" TargetMode="External" /><Relationship Id="rId9" Type="http://schemas.openxmlformats.org/officeDocument/2006/relationships/hyperlink" Target="https://www.law.cornell.edu/uscode/text/16/chapter-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73730A-0CD6-4AB9-949D-14D719C9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2026-07-02T13:36:00Z</dcterms:created>
  <dcterms:modified xsi:type="dcterms:W3CDTF">2026-07-02T13:41:00Z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