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736FC" w:rsidP="000736FC" w14:paraId="7C9BDEC4" w14:textId="77777777">
      <w:pPr>
        <w:spacing w:before="221" w:line="259" w:lineRule="auto"/>
        <w:jc w:val="both"/>
        <w:rPr>
          <w:b/>
        </w:rPr>
      </w:pPr>
      <w:r>
        <w:rPr>
          <w:b/>
        </w:rPr>
        <w:t>Appendix A: Screenshots of APPS Online Application System Redesign</w:t>
      </w:r>
    </w:p>
    <w:p w:rsidR="000736FC" w:rsidRPr="003B299F" w:rsidP="000736FC" w14:paraId="02BDEFD5" w14:textId="77777777">
      <w:pPr>
        <w:spacing w:before="221" w:line="259" w:lineRule="auto"/>
        <w:ind w:right="770"/>
        <w:rPr>
          <w:bCs/>
        </w:rPr>
      </w:pPr>
      <w:r>
        <w:rPr>
          <w:bCs/>
        </w:rPr>
        <w:t xml:space="preserve">The APPS redesign separates large text boxes that previously required multiple pieces of information into individual questions or fields (such as for the Project Purpose shown here), making it easier to ensure applicants provide all required details. </w:t>
      </w:r>
    </w:p>
    <w:p w:rsidR="000736FC" w:rsidRPr="004936DD" w:rsidP="000736FC" w14:paraId="4BA65DC6" w14:textId="77777777">
      <w:pPr>
        <w:spacing w:before="221" w:line="259" w:lineRule="auto"/>
        <w:jc w:val="both"/>
        <w:rPr>
          <w:b/>
        </w:rPr>
      </w:pPr>
      <w:r>
        <w:rPr>
          <w:rFonts w:ascii="Arial" w:hAnsi="Arial" w:cs="Arial"/>
          <w:noProof/>
          <w:color w:val="000000"/>
          <w:sz w:val="22"/>
          <w:szCs w:val="22"/>
          <w:bdr w:val="none" w:sz="0" w:space="0" w:color="auto" w:frame="1"/>
        </w:rPr>
        <w:drawing>
          <wp:inline distT="0" distB="0" distL="0" distR="0">
            <wp:extent cx="8655823" cy="3151475"/>
            <wp:effectExtent l="19050" t="19050" r="12065" b="11430"/>
            <wp:docPr id="15461072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07268" name="Picture 1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676608" cy="3159042"/>
                    </a:xfrm>
                    <a:prstGeom prst="rect">
                      <a:avLst/>
                    </a:prstGeom>
                    <a:noFill/>
                    <a:ln w="9525">
                      <a:solidFill>
                        <a:schemeClr val="tx1"/>
                      </a:solidFill>
                    </a:ln>
                  </pic:spPr>
                </pic:pic>
              </a:graphicData>
            </a:graphic>
          </wp:inline>
        </w:drawing>
      </w:r>
    </w:p>
    <w:p w:rsidR="000736FC" w:rsidP="000736FC" w14:paraId="486852E4" w14:textId="77777777">
      <w:pPr>
        <w:spacing w:before="221" w:line="259" w:lineRule="auto"/>
        <w:ind w:right="770"/>
      </w:pPr>
      <w:r>
        <w:t>The APPS redesign also provides enhanced help (shown below) that includes the guidance from the instructions directly onscreen to the right of each information field.</w:t>
      </w:r>
    </w:p>
    <w:p w:rsidR="000736FC" w:rsidP="000736FC" w14:paraId="6540DD20" w14:textId="77777777">
      <w:pPr>
        <w:spacing w:before="221" w:line="259" w:lineRule="auto"/>
        <w:jc w:val="both"/>
      </w:pPr>
      <w:r w:rsidRPr="00A71286">
        <w:rPr>
          <w:noProof/>
        </w:rPr>
        <w:drawing>
          <wp:inline distT="0" distB="0" distL="0" distR="0">
            <wp:extent cx="8527499" cy="2024435"/>
            <wp:effectExtent l="19050" t="19050" r="26035" b="13970"/>
            <wp:docPr id="1822671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71108" name="Picture 2"/>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8546434" cy="2028930"/>
                    </a:xfrm>
                    <a:prstGeom prst="rect">
                      <a:avLst/>
                    </a:prstGeom>
                    <a:ln w="9525">
                      <a:solidFill>
                        <a:schemeClr val="tx1"/>
                      </a:solidFill>
                    </a:ln>
                  </pic:spPr>
                </pic:pic>
              </a:graphicData>
            </a:graphic>
          </wp:inline>
        </w:drawing>
      </w:r>
    </w:p>
    <w:p w:rsidR="000736FC" w:rsidP="000736FC" w14:paraId="04700ED6" w14:textId="77777777">
      <w:pPr>
        <w:spacing w:before="221" w:line="259" w:lineRule="auto"/>
        <w:jc w:val="both"/>
      </w:pPr>
    </w:p>
    <w:p w:rsidR="000736FC" w:rsidRPr="00137C01" w:rsidP="000736FC" w14:paraId="59F5E508" w14:textId="77777777">
      <w:pPr>
        <w:spacing w:before="221" w:line="259" w:lineRule="auto"/>
      </w:pPr>
      <w:r w:rsidRPr="00137C01">
        <w:t xml:space="preserve">Below </w:t>
      </w:r>
      <w:r>
        <w:t>are</w:t>
      </w:r>
      <w:r w:rsidRPr="00137C01">
        <w:t xml:space="preserve"> </w:t>
      </w:r>
      <w:r>
        <w:t>two</w:t>
      </w:r>
      <w:r w:rsidRPr="00137C01">
        <w:t xml:space="preserve"> example</w:t>
      </w:r>
      <w:r>
        <w:t>s</w:t>
      </w:r>
      <w:r w:rsidRPr="00137C01">
        <w:t xml:space="preserve"> of </w:t>
      </w:r>
      <w:r>
        <w:t>information fields for</w:t>
      </w:r>
      <w:r w:rsidRPr="00137C01">
        <w:t xml:space="preserve"> an MMPA public display permit application for importation.</w:t>
      </w:r>
    </w:p>
    <w:p w:rsidR="000736FC" w:rsidP="000736FC" w14:paraId="49605413" w14:textId="77777777">
      <w:pPr>
        <w:spacing w:before="221" w:line="259" w:lineRule="auto"/>
        <w:jc w:val="both"/>
      </w:pPr>
      <w:r w:rsidRPr="00137C01">
        <w:rPr>
          <w:noProof/>
        </w:rPr>
        <w:drawing>
          <wp:inline distT="0" distB="0" distL="0" distR="0">
            <wp:extent cx="8648700" cy="1828800"/>
            <wp:effectExtent l="19050" t="19050" r="19050" b="19050"/>
            <wp:docPr id="288257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57251"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8648700" cy="1828800"/>
                    </a:xfrm>
                    <a:prstGeom prst="rect">
                      <a:avLst/>
                    </a:prstGeom>
                    <a:noFill/>
                    <a:ln w="9525">
                      <a:solidFill>
                        <a:schemeClr val="tx1"/>
                      </a:solidFill>
                    </a:ln>
                  </pic:spPr>
                </pic:pic>
              </a:graphicData>
            </a:graphic>
          </wp:inline>
        </w:drawing>
      </w:r>
    </w:p>
    <w:p w:rsidR="000736FC" w:rsidP="000736FC" w14:paraId="0F863386" w14:textId="77777777">
      <w:pPr>
        <w:spacing w:before="221" w:line="259" w:lineRule="auto"/>
        <w:jc w:val="both"/>
      </w:pPr>
    </w:p>
    <w:p w:rsidR="000736FC" w:rsidP="000736FC" w14:paraId="2A734E42" w14:textId="77777777">
      <w:pPr>
        <w:spacing w:before="221" w:line="259" w:lineRule="auto"/>
        <w:jc w:val="both"/>
      </w:pPr>
      <w:r>
        <w:rPr>
          <w:rFonts w:ascii="Arial" w:hAnsi="Arial" w:cs="Arial"/>
          <w:b/>
          <w:bCs/>
          <w:noProof/>
          <w:color w:val="000000"/>
          <w:sz w:val="22"/>
          <w:szCs w:val="22"/>
          <w:bdr w:val="none" w:sz="0" w:space="0" w:color="auto" w:frame="1"/>
        </w:rPr>
        <w:drawing>
          <wp:inline distT="0" distB="0" distL="0" distR="0">
            <wp:extent cx="8236585" cy="2934335"/>
            <wp:effectExtent l="19050" t="19050" r="12065" b="18415"/>
            <wp:docPr id="69229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91595" name="Picture 10"/>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36585" cy="2934335"/>
                    </a:xfrm>
                    <a:prstGeom prst="rect">
                      <a:avLst/>
                    </a:prstGeom>
                    <a:noFill/>
                    <a:ln w="9525">
                      <a:solidFill>
                        <a:schemeClr val="tx1"/>
                      </a:solidFill>
                    </a:ln>
                  </pic:spPr>
                </pic:pic>
              </a:graphicData>
            </a:graphic>
          </wp:inline>
        </w:drawing>
      </w:r>
    </w:p>
    <w:p w:rsidR="000736FC" w:rsidP="000736FC" w14:paraId="248E04C2" w14:textId="77777777">
      <w:pPr>
        <w:spacing w:before="221" w:line="259" w:lineRule="auto"/>
        <w:jc w:val="both"/>
      </w:pPr>
    </w:p>
    <w:p w:rsidR="000736FC" w:rsidP="000736FC" w14:paraId="1B7FEC54" w14:textId="77777777">
      <w:pPr>
        <w:spacing w:before="221" w:line="259" w:lineRule="auto"/>
        <w:ind w:right="770"/>
      </w:pPr>
      <w:r>
        <w:t>The below image shows the enhanced help within the Project Description section that has categories of methods that expand with more information to guide the user on the type of details to provide for each category.</w:t>
      </w:r>
    </w:p>
    <w:p w:rsidR="000736FC" w:rsidP="000736FC" w14:paraId="159A0ACA" w14:textId="77777777">
      <w:pPr>
        <w:spacing w:before="221" w:line="259" w:lineRule="auto"/>
        <w:jc w:val="both"/>
      </w:pPr>
      <w:r w:rsidRPr="00A71286">
        <w:rPr>
          <w:noProof/>
        </w:rPr>
        <w:drawing>
          <wp:inline distT="0" distB="0" distL="0" distR="0">
            <wp:extent cx="8496797" cy="2411640"/>
            <wp:effectExtent l="19050" t="19050" r="19050" b="27305"/>
            <wp:docPr id="7" name="Content Placeholder 6"/>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8533835" cy="2422152"/>
                    </a:xfrm>
                    <a:prstGeom prst="rect">
                      <a:avLst/>
                    </a:prstGeom>
                    <a:ln w="9525">
                      <a:solidFill>
                        <a:schemeClr val="tx1"/>
                      </a:solidFill>
                    </a:ln>
                  </pic:spPr>
                </pic:pic>
              </a:graphicData>
            </a:graphic>
          </wp:inline>
        </w:drawing>
      </w:r>
    </w:p>
    <w:p w:rsidR="000736FC" w:rsidP="000736FC" w14:paraId="519CAAAB" w14:textId="77777777">
      <w:pPr>
        <w:spacing w:before="221" w:line="259" w:lineRule="auto"/>
        <w:ind w:right="500"/>
      </w:pPr>
      <w:r>
        <w:t>Another example of enhanced help with hyperlinks (in blue font) to other websites to help applicants find information to complete their application.</w:t>
      </w:r>
    </w:p>
    <w:p w:rsidR="000736FC" w:rsidP="000736FC" w14:paraId="024C404F" w14:textId="77777777">
      <w:pPr>
        <w:spacing w:before="221" w:line="259" w:lineRule="auto"/>
        <w:jc w:val="both"/>
      </w:pPr>
      <w:r w:rsidRPr="00A71286">
        <w:rPr>
          <w:noProof/>
        </w:rPr>
        <w:drawing>
          <wp:inline distT="0" distB="0" distL="0" distR="0">
            <wp:extent cx="8542350" cy="2396604"/>
            <wp:effectExtent l="19050" t="19050" r="11430" b="22860"/>
            <wp:docPr id="68333916" name="Content Placeholder 6"/>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68333916" name="Content Placeholder 6"/>
                    <pic:cNvPicPr>
                      <a:picLocks noGrp="1"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8585306" cy="2408656"/>
                    </a:xfrm>
                    <a:prstGeom prst="rect">
                      <a:avLst/>
                    </a:prstGeom>
                    <a:ln w="9525">
                      <a:solidFill>
                        <a:schemeClr val="tx1"/>
                      </a:solidFill>
                    </a:ln>
                  </pic:spPr>
                </pic:pic>
              </a:graphicData>
            </a:graphic>
          </wp:inline>
        </w:drawing>
      </w:r>
    </w:p>
    <w:p w:rsidR="001861FF" w14:paraId="26B44F8B" w14:textId="77777777"/>
    <w:sectPr w:rsidSect="000736FC">
      <w:pgSz w:w="15840" w:h="12240" w:orient="landscape"/>
      <w:pgMar w:top="1080" w:right="640" w:bottom="1080" w:left="1200" w:header="0" w:footer="7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FC"/>
    <w:rsid w:val="000736FC"/>
    <w:rsid w:val="00137C01"/>
    <w:rsid w:val="001861FF"/>
    <w:rsid w:val="002855A6"/>
    <w:rsid w:val="003B299F"/>
    <w:rsid w:val="004936DD"/>
    <w:rsid w:val="005C7922"/>
    <w:rsid w:val="008F4628"/>
    <w:rsid w:val="009E7120"/>
    <w:rsid w:val="00BE41EC"/>
    <w:rsid w:val="00C97A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C0CECA"/>
  <w15:chartTrackingRefBased/>
  <w15:docId w15:val="{ED5B7E0B-6C66-4234-A289-16E22B74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6FC"/>
    <w:pPr>
      <w:widowControl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736FC"/>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36FC"/>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36FC"/>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36FC"/>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736FC"/>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736FC"/>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736FC"/>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736FC"/>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736FC"/>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6FC"/>
    <w:rPr>
      <w:rFonts w:eastAsiaTheme="majorEastAsia" w:cstheme="majorBidi"/>
      <w:color w:val="272727" w:themeColor="text1" w:themeTint="D8"/>
    </w:rPr>
  </w:style>
  <w:style w:type="paragraph" w:styleId="Title">
    <w:name w:val="Title"/>
    <w:basedOn w:val="Normal"/>
    <w:next w:val="Normal"/>
    <w:link w:val="TitleChar"/>
    <w:uiPriority w:val="10"/>
    <w:qFormat/>
    <w:rsid w:val="000736FC"/>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3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6FC"/>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3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6FC"/>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736FC"/>
    <w:rPr>
      <w:i/>
      <w:iCs/>
      <w:color w:val="404040" w:themeColor="text1" w:themeTint="BF"/>
    </w:rPr>
  </w:style>
  <w:style w:type="paragraph" w:styleId="ListParagraph">
    <w:name w:val="List Paragraph"/>
    <w:basedOn w:val="Normal"/>
    <w:uiPriority w:val="34"/>
    <w:qFormat/>
    <w:rsid w:val="000736FC"/>
    <w:pPr>
      <w:widowControl/>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736FC"/>
    <w:rPr>
      <w:i/>
      <w:iCs/>
      <w:color w:val="0F4761" w:themeColor="accent1" w:themeShade="BF"/>
    </w:rPr>
  </w:style>
  <w:style w:type="paragraph" w:styleId="IntenseQuote">
    <w:name w:val="Intense Quote"/>
    <w:basedOn w:val="Normal"/>
    <w:next w:val="Normal"/>
    <w:link w:val="IntenseQuoteChar"/>
    <w:uiPriority w:val="30"/>
    <w:qFormat/>
    <w:rsid w:val="000736FC"/>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736FC"/>
    <w:rPr>
      <w:i/>
      <w:iCs/>
      <w:color w:val="0F4761" w:themeColor="accent1" w:themeShade="BF"/>
    </w:rPr>
  </w:style>
  <w:style w:type="character" w:styleId="IntenseReference">
    <w:name w:val="Intense Reference"/>
    <w:basedOn w:val="DefaultParagraphFont"/>
    <w:uiPriority w:val="32"/>
    <w:qFormat/>
    <w:rsid w:val="000736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Words>
  <Characters>829</Characters>
  <Application>Microsoft Office Word</Application>
  <DocSecurity>0</DocSecurity>
  <Lines>6</Lines>
  <Paragraphs>1</Paragraphs>
  <ScaleCrop>false</ScaleCrop>
  <Company>NOAA 1200 CORPSRV</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1</cp:revision>
  <dcterms:created xsi:type="dcterms:W3CDTF">2026-07-14T16:10:00Z</dcterms:created>
  <dcterms:modified xsi:type="dcterms:W3CDTF">2026-07-14T16:11:00Z</dcterms:modified>
</cp:coreProperties>
</file>