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D55703" w14:paraId="2AB4E51F" w14:textId="77777777">
      <w:pPr>
        <w:pStyle w:val="Heading1"/>
        <w:ind w:left="0"/>
        <w:jc w:val="center"/>
      </w:pPr>
      <w:r>
        <w:t>SUPPORTING STATEMENT</w:t>
      </w:r>
    </w:p>
    <w:p w:rsidR="00D55703" w14:paraId="78C69486" w14:textId="77777777">
      <w:pPr>
        <w:spacing w:before="22" w:line="259" w:lineRule="auto"/>
        <w:ind w:firstLine="14"/>
        <w:jc w:val="center"/>
        <w:rPr>
          <w:b/>
          <w:bCs/>
        </w:rPr>
      </w:pPr>
      <w:r>
        <w:rPr>
          <w:b/>
          <w:bCs/>
        </w:rPr>
        <w:t>U.S. Department of Commerce</w:t>
      </w:r>
    </w:p>
    <w:p w:rsidR="00D55703" w14:paraId="753CD6B5" w14:textId="77777777">
      <w:pPr>
        <w:spacing w:before="22" w:line="259" w:lineRule="auto"/>
        <w:ind w:firstLine="14"/>
        <w:jc w:val="center"/>
        <w:rPr>
          <w:b/>
          <w:bCs/>
        </w:rPr>
      </w:pPr>
      <w:r>
        <w:rPr>
          <w:b/>
          <w:bCs/>
        </w:rPr>
        <w:t>National Oceanic &amp; Atmospheric Administration</w:t>
      </w:r>
    </w:p>
    <w:p w:rsidR="00D55703" w14:paraId="3A05CBAD" w14:textId="77777777">
      <w:pPr>
        <w:spacing w:before="22" w:line="259" w:lineRule="auto"/>
        <w:ind w:firstLine="14"/>
        <w:jc w:val="center"/>
        <w:rPr>
          <w:b/>
          <w:bCs/>
        </w:rPr>
      </w:pPr>
      <w:r>
        <w:rPr>
          <w:b/>
          <w:bCs/>
        </w:rPr>
        <w:t>Statement of Financial Interests for Regional Fishery Management Councils</w:t>
      </w:r>
    </w:p>
    <w:p w:rsidR="00D55703" w14:paraId="0B63714F" w14:textId="77777777">
      <w:pPr>
        <w:spacing w:line="259" w:lineRule="auto"/>
        <w:ind w:hanging="6"/>
        <w:jc w:val="center"/>
        <w:rPr>
          <w:b/>
          <w:bCs/>
        </w:rPr>
      </w:pPr>
      <w:r>
        <w:rPr>
          <w:b/>
          <w:bCs/>
        </w:rPr>
        <w:t>OMB Control No. 0648-0192</w:t>
      </w:r>
    </w:p>
    <w:p w:rsidR="00D55703" w14:paraId="00FEA5CA" w14:textId="77777777">
      <w:pPr>
        <w:pBdr>
          <w:top w:val="nil"/>
          <w:left w:val="nil"/>
          <w:bottom w:val="nil"/>
          <w:right w:val="nil"/>
          <w:between w:val="nil"/>
        </w:pBdr>
        <w:spacing w:before="1"/>
        <w:jc w:val="center"/>
        <w:rPr>
          <w:b/>
          <w:bCs/>
        </w:rPr>
      </w:pPr>
    </w:p>
    <w:p w:rsidR="00D55703" w14:paraId="442AF1CD" w14:textId="77777777">
      <w:pPr>
        <w:spacing w:before="1" w:line="398" w:lineRule="auto"/>
        <w:rPr>
          <w:b/>
          <w:bCs/>
        </w:rPr>
      </w:pPr>
      <w:r>
        <w:rPr>
          <w:b/>
          <w:bCs/>
        </w:rPr>
        <w:t xml:space="preserve">SUPPORTING STATEMENT PART A </w:t>
      </w:r>
    </w:p>
    <w:p w:rsidR="00D55703" w14:paraId="3E8B20E3" w14:textId="77777777">
      <w:pPr>
        <w:spacing w:before="1" w:line="398" w:lineRule="auto"/>
        <w:rPr>
          <w:b/>
          <w:bCs/>
        </w:rPr>
      </w:pPr>
      <w:r>
        <w:rPr>
          <w:b/>
          <w:bCs/>
        </w:rPr>
        <w:t>Abstract</w:t>
      </w:r>
    </w:p>
    <w:p w:rsidR="00D55703" w14:paraId="7A797A7B" w14:textId="6A6F0475">
      <w:pPr>
        <w:spacing w:before="1"/>
        <w:rPr>
          <w:b/>
          <w:bCs/>
        </w:rPr>
      </w:pPr>
      <w:r>
        <w:t xml:space="preserve">This request is for extension of a currently approved information collection. The </w:t>
      </w:r>
      <w:hyperlink r:id="rId7" w:history="1">
        <w:r w:rsidRPr="005C4243">
          <w:rPr>
            <w:rStyle w:val="Hyperlink"/>
          </w:rPr>
          <w:t>Magnuson-Stevens Fishery Conservation and Management Act</w:t>
        </w:r>
      </w:hyperlink>
      <w:r>
        <w:rPr>
          <w:rStyle w:val="FootnoteReference"/>
        </w:rPr>
        <w:footnoteReference w:id="2"/>
      </w:r>
      <w:r>
        <w:t xml:space="preserve"> (Magnuson-Stevens Act) authorizes the establishment of eight Regional Fishery Management Councils (Councils) to manage fisheries within regional jurisdictions. This collection pertains to several sections of the Magnuson-Stevens Act related to the Councils. Section 302(b) provides for appointment of Council members nominated by State Governors, Territorial Governors, or Tribal Governments and for designation of a principal state fishery official for the purposes of the Magnuson-Stevens Act. Section 306(b)(</w:t>
      </w:r>
      <w:r>
        <w:t xml:space="preserve">2) provides for a request by a state for reinstatement of state authority over a managed fishery. Nominees for Council membership must provide their State Governor, Territorial Governor, or Tribal Government leadership with background documentation, which is then submitted to NOAA, on behalf of the Secretary of Commerce, to review qualifications for Council membership. The information collected with these actions is used to ensure that the requirements of the Magnuson-Stevens Act are being met </w:t>
      </w:r>
      <w:r w:rsidR="00D90971">
        <w:t>in regard to</w:t>
      </w:r>
      <w:r>
        <w:t xml:space="preserve"> </w:t>
      </w:r>
      <w:r>
        <w:t xml:space="preserve">Council membership and state authority. </w:t>
      </w:r>
    </w:p>
    <w:p w:rsidR="00D55703" w14:paraId="215CAE9B" w14:textId="77777777">
      <w:pPr>
        <w:pStyle w:val="Heading1"/>
        <w:spacing w:before="124"/>
        <w:ind w:left="0"/>
      </w:pPr>
      <w:r>
        <w:t>Justification</w:t>
      </w:r>
    </w:p>
    <w:p w:rsidR="00D55703" w14:paraId="7BA335C4" w14:textId="77777777">
      <w:pPr>
        <w:numPr>
          <w:ilvl w:val="0"/>
          <w:numId w:val="1"/>
        </w:numPr>
        <w:pBdr>
          <w:top w:val="nil"/>
          <w:left w:val="nil"/>
          <w:bottom w:val="nil"/>
          <w:right w:val="nil"/>
          <w:between w:val="nil"/>
        </w:pBdr>
        <w:tabs>
          <w:tab w:val="left" w:pos="360"/>
        </w:tabs>
        <w:spacing w:before="182" w:line="259" w:lineRule="auto"/>
        <w:ind w:left="0" w:firstLine="0"/>
        <w:rPr>
          <w:b/>
          <w:bCs/>
        </w:rPr>
      </w:pPr>
      <w:r>
        <w:rPr>
          <w:b/>
          <w:bCs/>
        </w:rPr>
        <w:t xml:space="preserve">Explain the circumstances that make the collection of </w:t>
      </w:r>
      <w:r>
        <w:rPr>
          <w:b/>
          <w:bCs/>
        </w:rPr>
        <w:t>information necessary. Identify any legal or administrative requirements that necessitate the collection. Attach a copy of the appropriate section of each statute and regulation mandating or authorizing the collection of information.</w:t>
      </w:r>
    </w:p>
    <w:p w:rsidR="00D55703" w14:paraId="3F5288A7" w14:textId="21D62260">
      <w:pPr>
        <w:pBdr>
          <w:top w:val="nil"/>
          <w:left w:val="nil"/>
          <w:bottom w:val="nil"/>
          <w:right w:val="nil"/>
          <w:between w:val="nil"/>
        </w:pBdr>
        <w:spacing w:before="159" w:line="259" w:lineRule="auto"/>
      </w:pPr>
      <w:r>
        <w:t>The Magnuson-Stevens Act authorizes the establishment of eight Councils to manage fisheries within regional jurisdictions by recommending fishery management plans and regulations to NOAA Fisheries for implementation. Section 302(j) of the Magnuson-Stevens Act requires that Council members appointed by the Secretary of Commerce, Scientific and Statistical Committee (SSC) members appointed by a Council, or individuals nominated by the State Governor, Territorial Governor or Tribal Government for possible appo</w:t>
      </w:r>
      <w:r>
        <w:t>intment as a Council member must disclose their financial interest in any Council fishery (</w:t>
      </w:r>
      <w:hyperlink r:id="rId8" w:history="1">
        <w:r w:rsidRPr="005C4243">
          <w:rPr>
            <w:rStyle w:val="Hyperlink"/>
          </w:rPr>
          <w:t>50 CFR 600.235</w:t>
        </w:r>
      </w:hyperlink>
      <w:r>
        <w:rPr>
          <w:rStyle w:val="FootnoteReference"/>
        </w:rPr>
        <w:footnoteReference w:id="3"/>
      </w:r>
      <w:r>
        <w:t xml:space="preserve">). These financial interests include harvesting, processing, lobbying, advocacy, or marketing activity that is being, or will be, undertaken within any fishery over which the Council concerned has jurisdiction. The information on financial interests must be disclosed on NOAA Form 88-195, Statement of Financial Interests. The current Statement of Financial Interests form can be found at: </w:t>
      </w:r>
      <w:hyperlink r:id="rId9" w:history="1">
        <w:r w:rsidRPr="005C4243" w:rsidR="005C4243">
          <w:rPr>
            <w:rStyle w:val="Hyperlink"/>
          </w:rPr>
          <w:t>https://www.fisheries.noaa.gov/national/part</w:t>
        </w:r>
        <w:r w:rsidRPr="005C4243" w:rsidR="005C4243">
          <w:rPr>
            <w:rStyle w:val="Hyperlink"/>
          </w:rPr>
          <w:t>n</w:t>
        </w:r>
        <w:r w:rsidRPr="005C4243" w:rsidR="005C4243">
          <w:rPr>
            <w:rStyle w:val="Hyperlink"/>
          </w:rPr>
          <w:t>ers/financial-disclosure-statements</w:t>
        </w:r>
      </w:hyperlink>
      <w:r>
        <w:t xml:space="preserve">. </w:t>
      </w:r>
    </w:p>
    <w:p w:rsidR="00D55703" w14:paraId="5C515099" w14:textId="5D4BDA65">
      <w:pPr>
        <w:pBdr>
          <w:top w:val="nil"/>
          <w:left w:val="nil"/>
          <w:bottom w:val="nil"/>
          <w:right w:val="nil"/>
          <w:between w:val="nil"/>
        </w:pBdr>
        <w:spacing w:before="159" w:line="259" w:lineRule="auto"/>
      </w:pPr>
      <w:r>
        <w:t xml:space="preserve">Currently seated voting Council members must file an updated Statement of Financial Interests form within 45 days of taking office, within 30 days if any such financial interest is acquired or substantially </w:t>
      </w:r>
      <w:r w:rsidR="00D90971">
        <w:t>changed and</w:t>
      </w:r>
      <w:r>
        <w:t xml:space="preserve"> must update his or her form with the Council Executive Director by February 1 each year (50 CFR 600.235 (b)(2)). In addition, SSC members must file an updated Statement of Financial Interests form under the same conditions. The complete and current Statement of Financial Interests forms are kept on file by the NOAA Fisheries Regional Administrators and Council offices, who are required to maintain copies that are </w:t>
      </w:r>
      <w:r w:rsidR="00D90971">
        <w:t>publicly</w:t>
      </w:r>
      <w:r>
        <w:t xml:space="preserve"> available at Council meetings and posted online for transparency.  These r</w:t>
      </w:r>
      <w:r>
        <w:t xml:space="preserve">ecordkeeping requirements are outlined in NOAA Fisheries policy and procedure </w:t>
      </w:r>
      <w:r>
        <w:t xml:space="preserve">directives. The current NOAA Fisheries </w:t>
      </w:r>
      <w:hyperlink r:id="rId10" w:history="1">
        <w:r w:rsidRPr="005C4243">
          <w:rPr>
            <w:rStyle w:val="Hyperlink"/>
          </w:rPr>
          <w:t>policy directive 01-116</w:t>
        </w:r>
      </w:hyperlink>
      <w:r>
        <w:rPr>
          <w:rStyle w:val="FootnoteReference"/>
        </w:rPr>
        <w:footnoteReference w:id="4"/>
      </w:r>
      <w:r>
        <w:t xml:space="preserve"> on Fishery Management Council Financial Disclosure and </w:t>
      </w:r>
      <w:hyperlink r:id="rId11" w:history="1">
        <w:r w:rsidRPr="00442349">
          <w:rPr>
            <w:rStyle w:val="Hyperlink"/>
          </w:rPr>
          <w:t>procedural directive 01-116-01</w:t>
        </w:r>
      </w:hyperlink>
      <w:r>
        <w:rPr>
          <w:rStyle w:val="FootnoteReference"/>
        </w:rPr>
        <w:footnoteReference w:id="5"/>
      </w:r>
      <w:r>
        <w:t xml:space="preserve"> on Procedures for Review of Fishery Management Council Financial Disclosures outline specific responsibilities for reporting financial </w:t>
      </w:r>
      <w:r w:rsidR="00D90971">
        <w:t>interests and</w:t>
      </w:r>
      <w:r>
        <w:t xml:space="preserve"> can be found at: </w:t>
      </w:r>
      <w:hyperlink r:id="rId12" w:history="1">
        <w:r w:rsidRPr="00442349">
          <w:rPr>
            <w:rStyle w:val="Hyperlink"/>
          </w:rPr>
          <w:t>https://www.fisheries.noaa.gov/national/laws-p</w:t>
        </w:r>
        <w:r w:rsidRPr="00442349">
          <w:rPr>
            <w:rStyle w:val="Hyperlink"/>
          </w:rPr>
          <w:t>o</w:t>
        </w:r>
        <w:r w:rsidRPr="00442349">
          <w:rPr>
            <w:rStyle w:val="Hyperlink"/>
          </w:rPr>
          <w:t>licies/policy-directive-system</w:t>
        </w:r>
      </w:hyperlink>
      <w:r>
        <w:t xml:space="preserve">. </w:t>
      </w:r>
    </w:p>
    <w:p w:rsidR="00D55703" w14:paraId="368DE6EF" w14:textId="77777777">
      <w:pPr>
        <w:pStyle w:val="Heading1"/>
        <w:numPr>
          <w:ilvl w:val="0"/>
          <w:numId w:val="1"/>
        </w:numPr>
        <w:tabs>
          <w:tab w:val="left" w:pos="360"/>
        </w:tabs>
        <w:spacing w:before="197"/>
        <w:ind w:left="0" w:firstLine="0"/>
      </w:pPr>
      <w:r>
        <w:t>Indicate how, by whom, and for what purpose the information is to be used. Except for a new collection, indicate the actual use the agency has made of the information received from the current collection.</w:t>
      </w:r>
    </w:p>
    <w:p w:rsidR="00D55703" w14:paraId="7CE12122" w14:textId="29B29CFF">
      <w:pPr>
        <w:spacing w:before="161"/>
      </w:pPr>
      <w:r>
        <w:t>The information collected is intended to inform the Secretary and the public of potential members’ conflicts of interests relevant to decision making during the Council</w:t>
      </w:r>
      <w:r w:rsidR="00442349">
        <w:t>’</w:t>
      </w:r>
      <w:r>
        <w:t>s process. NOAA Fisheries uses the information reported by individuals nominated by their State Governors, Territorial Governor or Tribal Government to validate financial interests and verify any connections to fishing vessels or other interests before recommending an individual for appointment by the Secretary. NOAA Fisheries Regional Offices and NOAA General Counsel use the current information on file to make determinations about when recusals are necessary to avoid conflicts of interests. Instances of re</w:t>
      </w:r>
      <w:r>
        <w:t xml:space="preserve">cusals are outlined in the annual </w:t>
      </w:r>
      <w:r>
        <w:rPr>
          <w:i/>
          <w:iCs/>
        </w:rPr>
        <w:t>Report to Congress on the Regional Fishery Management Councils and Scientific and Statistic Committee Members’ Financial Interest and Recusal Requirements</w:t>
      </w:r>
      <w:r>
        <w:t xml:space="preserve">. The current Report to Congress is found at: </w:t>
      </w:r>
      <w:hyperlink r:id="rId13">
        <w:r>
          <w:rPr>
            <w:u w:val="single"/>
          </w:rPr>
          <w:t>https://www.fisheries.n</w:t>
        </w:r>
        <w:r>
          <w:rPr>
            <w:u w:val="single"/>
          </w:rPr>
          <w:t>o</w:t>
        </w:r>
        <w:r>
          <w:rPr>
            <w:u w:val="single"/>
          </w:rPr>
          <w:t>aa.gov/national/partners/council-reports-congress</w:t>
        </w:r>
      </w:hyperlink>
      <w:r>
        <w:t xml:space="preserve">. </w:t>
      </w:r>
    </w:p>
    <w:p w:rsidR="00D55703" w14:paraId="7FF7AAAE" w14:textId="77777777">
      <w:pPr>
        <w:numPr>
          <w:ilvl w:val="0"/>
          <w:numId w:val="1"/>
        </w:numPr>
        <w:pBdr>
          <w:top w:val="nil"/>
          <w:left w:val="nil"/>
          <w:bottom w:val="nil"/>
          <w:right w:val="nil"/>
          <w:between w:val="nil"/>
        </w:pBdr>
        <w:tabs>
          <w:tab w:val="left" w:pos="360"/>
        </w:tabs>
        <w:spacing w:before="199"/>
        <w:ind w:left="0" w:firstLine="0"/>
        <w:rPr>
          <w:b/>
          <w:bCs/>
        </w:rPr>
      </w:pPr>
      <w:r>
        <w:rPr>
          <w:b/>
          <w:bCs/>
        </w:rPr>
        <w:t xml:space="preserve">Describe whether, and to what extent, the collection of </w:t>
      </w:r>
      <w:r>
        <w:rPr>
          <w:b/>
          <w:bCs/>
        </w:rPr>
        <w:t>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D55703" w14:paraId="5B5BC740" w14:textId="36BCDDB3">
      <w:pPr>
        <w:spacing w:before="161"/>
      </w:pPr>
      <w:r>
        <w:t xml:space="preserve">The Statement of Financial Interests (NOAA Form 88-195) is available electronically in PDF format on the NOAA Fisheries website or via the </w:t>
      </w:r>
      <w:hyperlink r:id="rId14" w:history="1">
        <w:r w:rsidRPr="00442349">
          <w:rPr>
            <w:rStyle w:val="Hyperlink"/>
          </w:rPr>
          <w:t>Council Appointment System</w:t>
        </w:r>
      </w:hyperlink>
      <w:r>
        <w:rPr>
          <w:rStyle w:val="FootnoteReference"/>
        </w:rPr>
        <w:footnoteReference w:id="6"/>
      </w:r>
      <w:r>
        <w:t xml:space="preserve"> (CAS). The information is collected either by a fillable PDF form and submitted via email or online via the CAS. A digital signature is permitted on the form. </w:t>
      </w:r>
    </w:p>
    <w:p w:rsidR="00D55703" w14:paraId="6AF7CDC5" w14:textId="77777777">
      <w:pPr>
        <w:spacing w:before="161"/>
      </w:pPr>
    </w:p>
    <w:p w:rsidR="00D55703" w14:paraId="3F9DF182" w14:textId="77777777">
      <w:pPr>
        <w:numPr>
          <w:ilvl w:val="0"/>
          <w:numId w:val="1"/>
        </w:numPr>
        <w:pBdr>
          <w:top w:val="nil"/>
          <w:left w:val="nil"/>
          <w:bottom w:val="nil"/>
          <w:right w:val="nil"/>
          <w:between w:val="nil"/>
        </w:pBdr>
        <w:tabs>
          <w:tab w:val="left" w:pos="360"/>
        </w:tabs>
        <w:spacing w:before="80"/>
        <w:ind w:left="0" w:firstLine="0"/>
        <w:rPr>
          <w:b/>
          <w:bCs/>
        </w:rPr>
      </w:pPr>
      <w:r>
        <w:rPr>
          <w:b/>
          <w:bCs/>
        </w:rPr>
        <w:t>Describe efforts to identify duplication. Show specifically why any similar information already available cannot be used or modified for use for the purposes described in Question 2</w:t>
      </w:r>
    </w:p>
    <w:p w:rsidR="00D55703" w14:paraId="2946D448" w14:textId="2D38B157">
      <w:pPr>
        <w:spacing w:before="161"/>
      </w:pPr>
      <w:r>
        <w:t xml:space="preserve">There is no duplication. Processes for requesting current financial </w:t>
      </w:r>
      <w:r w:rsidR="00D90971">
        <w:t>interests’</w:t>
      </w:r>
      <w:r>
        <w:t xml:space="preserve"> information are clearly defined in procedural directive 01-116-01. Information collected is specific and relevant only to the Regional Fishery Management Councils. </w:t>
      </w:r>
    </w:p>
    <w:p w:rsidR="00D55703" w14:paraId="1D4A8FA5" w14:textId="77777777">
      <w:pPr>
        <w:spacing w:before="161"/>
      </w:pPr>
    </w:p>
    <w:p w:rsidR="00D55703" w14:paraId="50757D57" w14:textId="77777777">
      <w:pPr>
        <w:numPr>
          <w:ilvl w:val="0"/>
          <w:numId w:val="1"/>
        </w:numPr>
        <w:pBdr>
          <w:top w:val="nil"/>
          <w:left w:val="nil"/>
          <w:bottom w:val="nil"/>
          <w:right w:val="nil"/>
          <w:between w:val="nil"/>
        </w:pBdr>
        <w:tabs>
          <w:tab w:val="left" w:pos="360"/>
        </w:tabs>
        <w:spacing w:before="80"/>
        <w:ind w:left="0" w:firstLine="0"/>
        <w:rPr>
          <w:b/>
          <w:bCs/>
        </w:rPr>
      </w:pPr>
      <w:r>
        <w:rPr>
          <w:b/>
          <w:bCs/>
        </w:rPr>
        <w:t>If the collection of information impacts small businesses or other small entities, describe any methods used to minimize burden.</w:t>
      </w:r>
    </w:p>
    <w:p w:rsidR="00D55703" w14:paraId="465648A0" w14:textId="77777777">
      <w:pPr>
        <w:spacing w:before="160"/>
      </w:pPr>
      <w:r>
        <w:t>This information collection will not have a significant impact on small businesses, organizations or government entities because all respondents are individuals.</w:t>
      </w:r>
    </w:p>
    <w:p w:rsidR="00D55703" w14:paraId="772CE9AE" w14:textId="77777777">
      <w:pPr>
        <w:spacing w:before="160"/>
      </w:pPr>
    </w:p>
    <w:p w:rsidR="00D55703" w14:paraId="110DA3F6" w14:textId="77777777">
      <w:pPr>
        <w:numPr>
          <w:ilvl w:val="0"/>
          <w:numId w:val="1"/>
        </w:numPr>
        <w:pBdr>
          <w:top w:val="nil"/>
          <w:left w:val="nil"/>
          <w:bottom w:val="nil"/>
          <w:right w:val="nil"/>
          <w:between w:val="nil"/>
        </w:pBdr>
        <w:tabs>
          <w:tab w:val="left" w:pos="360"/>
        </w:tabs>
        <w:spacing w:before="80"/>
        <w:ind w:left="0" w:firstLine="0"/>
        <w:rPr>
          <w:b/>
          <w:bCs/>
        </w:rPr>
      </w:pPr>
      <w:r>
        <w:rPr>
          <w:b/>
          <w:bCs/>
        </w:rPr>
        <w:t>Describe the consequence to Federal program or policy activities if the collection is not conducted or is conducted less frequently, as well as any technical or legal obstacles to reducing burden.</w:t>
      </w:r>
    </w:p>
    <w:p w:rsidR="00D55703" w14:paraId="5357CFA2" w14:textId="159F87BE">
      <w:pPr>
        <w:spacing w:before="115"/>
      </w:pPr>
      <w:r>
        <w:t xml:space="preserve">Failure to collect this information would increase the risk of Council and SSC members violating the Magnuson-Stevens Act requirements and conflict of interest laws, including </w:t>
      </w:r>
      <w:hyperlink r:id="rId15">
        <w:r>
          <w:rPr>
            <w:u w:val="single"/>
          </w:rPr>
          <w:t>18 U.S</w:t>
        </w:r>
        <w:r>
          <w:rPr>
            <w:u w:val="single"/>
          </w:rPr>
          <w:t>.</w:t>
        </w:r>
        <w:r>
          <w:rPr>
            <w:u w:val="single"/>
          </w:rPr>
          <w:t>C. 208</w:t>
        </w:r>
      </w:hyperlink>
      <w:r>
        <w:rPr>
          <w:rStyle w:val="FootnoteReference"/>
          <w:u w:val="single"/>
        </w:rPr>
        <w:footnoteReference w:id="7"/>
      </w:r>
      <w:r>
        <w:t xml:space="preserve">, Acts Affecting a Personal Financial Interest. </w:t>
      </w:r>
    </w:p>
    <w:p w:rsidR="00D55703" w14:paraId="6AC56DB0" w14:textId="18A4235C">
      <w:pPr>
        <w:spacing w:before="115"/>
      </w:pPr>
      <w:r>
        <w:t xml:space="preserve">The Magnuson-Stevens Act provides that a member may not vote on a Council decision that would have a significant and predictable effect on </w:t>
      </w:r>
      <w:r w:rsidR="00D90971">
        <w:t>financial</w:t>
      </w:r>
      <w:r>
        <w:t xml:space="preserve"> interest. A Council decision will be considered to have a significant and predictable effect on </w:t>
      </w:r>
      <w:r w:rsidR="00D90971">
        <w:t>financial</w:t>
      </w:r>
      <w:r>
        <w:t xml:space="preserve"> interest if there is a close causal link between the decision and an expected and substantially disproportionate benefit to the financial interest in harvesting, processing, lobbying, advocacy, or marketing of the affected individual. A close causal link means that “a Council decision would reasonably be expected to directly impact or affect the financial interests of an affected individual”. An affect</w:t>
      </w:r>
      <w:r>
        <w:t xml:space="preserve">ed individual who is declared ineligible to vote on a Council action may, however, participate in Council deliberations relating to the decision after notifying the Council of their recusal and identifying the financial interest that would be affected. </w:t>
      </w:r>
    </w:p>
    <w:p w:rsidR="00D55703" w14:paraId="330DF219" w14:textId="77777777">
      <w:pPr>
        <w:spacing w:before="115"/>
      </w:pPr>
      <w:r>
        <w:t xml:space="preserve">The implications of failing to regularly collect and update financial disclosure information are that Council decisions may have the appearance of financial conflict of interests by voting Council members. Making such determinations for recusals from voting decisions would not be possible without regular reporting of financial interests. </w:t>
      </w:r>
    </w:p>
    <w:p w:rsidR="00D55703" w14:paraId="390D77FB" w14:textId="77777777">
      <w:pPr>
        <w:pBdr>
          <w:top w:val="nil"/>
          <w:left w:val="nil"/>
          <w:bottom w:val="nil"/>
          <w:right w:val="nil"/>
          <w:between w:val="nil"/>
        </w:pBdr>
        <w:spacing w:before="115"/>
      </w:pPr>
    </w:p>
    <w:p w:rsidR="00D55703" w14:paraId="54C0BC49" w14:textId="77777777">
      <w:pPr>
        <w:numPr>
          <w:ilvl w:val="0"/>
          <w:numId w:val="1"/>
        </w:numPr>
        <w:pBdr>
          <w:top w:val="nil"/>
          <w:left w:val="nil"/>
          <w:bottom w:val="nil"/>
          <w:right w:val="nil"/>
          <w:between w:val="nil"/>
        </w:pBdr>
        <w:tabs>
          <w:tab w:val="left" w:pos="360"/>
        </w:tabs>
        <w:spacing w:before="80"/>
        <w:ind w:left="0" w:firstLine="0"/>
        <w:rPr>
          <w:b/>
          <w:bCs/>
        </w:rPr>
      </w:pPr>
      <w:r>
        <w:rPr>
          <w:b/>
          <w:bCs/>
        </w:rPr>
        <w:t>Explain any special circumstances that would cause an information collection to be conducted in a manner inconsistent with OMB guidelines.</w:t>
      </w:r>
    </w:p>
    <w:p w:rsidR="00D55703" w14:paraId="01043023" w14:textId="77777777">
      <w:pPr>
        <w:spacing w:before="80"/>
      </w:pPr>
      <w:r>
        <w:t xml:space="preserve">The collection is </w:t>
      </w:r>
      <w:r>
        <w:t>consistent with OMB guidelines and does not require special circumstances.</w:t>
      </w:r>
    </w:p>
    <w:p w:rsidR="00D55703" w14:paraId="18B76C9C" w14:textId="77777777">
      <w:pPr>
        <w:spacing w:before="80"/>
      </w:pPr>
    </w:p>
    <w:p w:rsidR="00D55703" w14:paraId="4FCE517F" w14:textId="77777777">
      <w:pPr>
        <w:numPr>
          <w:ilvl w:val="0"/>
          <w:numId w:val="1"/>
        </w:numPr>
        <w:pBdr>
          <w:top w:val="nil"/>
          <w:left w:val="nil"/>
          <w:bottom w:val="nil"/>
          <w:right w:val="nil"/>
          <w:between w:val="nil"/>
        </w:pBdr>
        <w:tabs>
          <w:tab w:val="left" w:pos="360"/>
        </w:tabs>
        <w:spacing w:before="80"/>
        <w:ind w:left="0" w:firstLine="0"/>
        <w:rPr>
          <w:b/>
          <w:bCs/>
        </w:rPr>
      </w:pPr>
      <w:r>
        <w:rPr>
          <w:b/>
          <w:bCs/>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24320B" w14:paraId="470BEF84" w14:textId="77777777">
      <w:pPr>
        <w:spacing w:before="159"/>
      </w:pPr>
      <w:r>
        <w:t xml:space="preserve">A Federal Register notice seeking comment on this collection was published on </w:t>
      </w:r>
      <w:r w:rsidR="002C43A5">
        <w:t xml:space="preserve">January 14, </w:t>
      </w:r>
      <w:r w:rsidR="00D90971">
        <w:t>2026,</w:t>
      </w:r>
      <w:r w:rsidR="002C43A5">
        <w:t xml:space="preserve"> </w:t>
      </w:r>
      <w:r>
        <w:t>(91 FR 1509)</w:t>
      </w:r>
      <w:r w:rsidR="002C43A5">
        <w:t xml:space="preserve">. No public comments were received. </w:t>
      </w:r>
    </w:p>
    <w:p w:rsidR="00D55703" w14:paraId="39195CA7" w14:textId="5AAA4A97">
      <w:pPr>
        <w:spacing w:before="159"/>
      </w:pPr>
      <w:r w:rsidRPr="0024320B">
        <w:t xml:space="preserve">NOAA </w:t>
      </w:r>
      <w:r>
        <w:t>reached out to three (3) external</w:t>
      </w:r>
      <w:r w:rsidRPr="0024320B">
        <w:t xml:space="preserve"> stakeholders to obtain their views on the need for and practical utility of the data collected, the accuracy of the burden and frequency of collection, suggestions to minimize the burden, and ways to improve the clarity of instructions and forms.</w:t>
      </w:r>
      <w:r>
        <w:t xml:space="preserve"> </w:t>
      </w:r>
      <w:r w:rsidR="00F66AA9">
        <w:t xml:space="preserve"> No comments were received. </w:t>
      </w:r>
    </w:p>
    <w:p w:rsidR="00D55703" w14:paraId="1D0436DB" w14:textId="77777777">
      <w:pPr>
        <w:spacing w:before="159"/>
      </w:pPr>
    </w:p>
    <w:p w:rsidR="00D55703" w14:paraId="45B92E46" w14:textId="77777777">
      <w:pPr>
        <w:numPr>
          <w:ilvl w:val="0"/>
          <w:numId w:val="1"/>
        </w:numPr>
        <w:pBdr>
          <w:top w:val="nil"/>
          <w:left w:val="nil"/>
          <w:bottom w:val="nil"/>
          <w:right w:val="nil"/>
          <w:between w:val="nil"/>
        </w:pBdr>
        <w:tabs>
          <w:tab w:val="left" w:pos="360"/>
        </w:tabs>
        <w:spacing w:before="80"/>
        <w:ind w:left="0" w:firstLine="0"/>
        <w:rPr>
          <w:b/>
          <w:bCs/>
        </w:rPr>
      </w:pPr>
      <w:r>
        <w:rPr>
          <w:b/>
          <w:bCs/>
        </w:rPr>
        <w:t>Explain any decision to provide any payment or gift to respondents, other than remuneration of contractors or grantees.</w:t>
      </w:r>
    </w:p>
    <w:p w:rsidR="00D90971" w:rsidP="00D90971" w14:paraId="6B366495" w14:textId="77777777">
      <w:pPr>
        <w:pBdr>
          <w:top w:val="nil"/>
          <w:left w:val="nil"/>
          <w:bottom w:val="nil"/>
          <w:right w:val="nil"/>
          <w:between w:val="nil"/>
        </w:pBdr>
        <w:tabs>
          <w:tab w:val="left" w:pos="360"/>
        </w:tabs>
        <w:spacing w:before="80"/>
        <w:rPr>
          <w:b/>
          <w:bCs/>
        </w:rPr>
      </w:pPr>
    </w:p>
    <w:p w:rsidR="00D55703" w14:paraId="6C310E8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No payment or gift will be made for responses.</w:t>
      </w:r>
    </w:p>
    <w:p w:rsidR="00D55703" w14:paraId="3107BF8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D55703" w14:paraId="114BF145" w14:textId="51FC73D9">
      <w:pPr>
        <w:numPr>
          <w:ilvl w:val="0"/>
          <w:numId w:val="1"/>
        </w:numPr>
        <w:pBdr>
          <w:top w:val="nil"/>
          <w:left w:val="nil"/>
          <w:bottom w:val="nil"/>
          <w:right w:val="nil"/>
          <w:between w:val="nil"/>
        </w:pBdr>
        <w:tabs>
          <w:tab w:val="left" w:pos="360"/>
        </w:tabs>
        <w:spacing w:before="80"/>
        <w:ind w:left="0" w:firstLine="0"/>
        <w:rPr>
          <w:b/>
          <w:bCs/>
        </w:rPr>
      </w:pPr>
      <w:r>
        <w:rPr>
          <w:b/>
          <w:bCs/>
        </w:rPr>
        <w:t xml:space="preserve">Describe any assurance of confidentiality provided to respondents and the basis for the assurance in </w:t>
      </w:r>
      <w:r>
        <w:rPr>
          <w:b/>
          <w:bCs/>
        </w:rPr>
        <w:t>statute, regulation, or agency policy. If the collection requires a system</w:t>
      </w:r>
      <w:r>
        <w:rPr>
          <w:b/>
          <w:bCs/>
        </w:rPr>
        <w:t xml:space="preserve"> of records notice (SORN) or privacy impact assessment (PIA), those should be cited and described here.</w:t>
      </w:r>
    </w:p>
    <w:p w:rsidR="00D90971" w:rsidP="00D90971" w14:paraId="253D8A15" w14:textId="77777777">
      <w:pPr>
        <w:pBdr>
          <w:top w:val="nil"/>
          <w:left w:val="nil"/>
          <w:bottom w:val="nil"/>
          <w:right w:val="nil"/>
          <w:between w:val="nil"/>
        </w:pBdr>
        <w:tabs>
          <w:tab w:val="left" w:pos="360"/>
        </w:tabs>
        <w:spacing w:before="80"/>
        <w:rPr>
          <w:b/>
          <w:bCs/>
        </w:rPr>
      </w:pPr>
    </w:p>
    <w:p w:rsidR="00D55703" w14:paraId="29739944" w14:textId="7777777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Statement of Financial Interests forms completed by Council members appointed by the Secretary are kept on file by the Council and by NOAA Fisheries, on behalf of the Secretary. The current statements </w:t>
      </w:r>
      <w:r>
        <w:t xml:space="preserve">on file are available on Council websites and for public inspection at the Council offices during reasonable hours, at each public hearing or public meeting. SSC members’ forms are also kept on file by the Council and NOAA Fisheries and available online. Statement of Financial Interests forms for individuals nominated by their State Governors, Territorial Governor or Tribal Government, but not appointed by the Secretary, are stored on a secure encrypted drive with restricted access. </w:t>
      </w:r>
    </w:p>
    <w:p w:rsidR="000B2E7A" w14:paraId="692A6F3E" w14:textId="7777777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0B2E7A" w14:paraId="78D5167D" w14:textId="088FF6F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System of record notices </w:t>
      </w:r>
      <w:hyperlink r:id="rId16" w:history="1">
        <w:r w:rsidRPr="000B2E7A">
          <w:rPr>
            <w:rStyle w:val="Hyperlink"/>
          </w:rPr>
          <w:t>COMMERCE/DEPT-11</w:t>
        </w:r>
      </w:hyperlink>
      <w:r>
        <w:rPr>
          <w:rStyle w:val="FootnoteReference"/>
        </w:rPr>
        <w:footnoteReference w:id="8"/>
      </w:r>
      <w:r>
        <w:t xml:space="preserve">, Candidates for Membership, Members, and Former Members of Department of Commerce Advisory Committees, and </w:t>
      </w:r>
      <w:hyperlink r:id="rId17" w:history="1">
        <w:r w:rsidRPr="000B2E7A">
          <w:rPr>
            <w:rStyle w:val="Hyperlink"/>
          </w:rPr>
          <w:t>NOAA-13</w:t>
        </w:r>
      </w:hyperlink>
      <w:r>
        <w:rPr>
          <w:rStyle w:val="FootnoteReference"/>
        </w:rPr>
        <w:footnoteReference w:id="9"/>
      </w:r>
      <w:r>
        <w:t xml:space="preserve">, Personnel, Payroll, Travel, and Attendance Records of the Regional Fishery Management Councils, cover the collection of this information.  </w:t>
      </w:r>
      <w:r w:rsidR="002C43A5">
        <w:t xml:space="preserve">The privacy impact assessment for </w:t>
      </w:r>
      <w:hyperlink r:id="rId18" w:history="1">
        <w:r w:rsidRPr="002C43A5" w:rsidR="002C43A5">
          <w:rPr>
            <w:rStyle w:val="Hyperlink"/>
          </w:rPr>
          <w:t>NOAA4000</w:t>
        </w:r>
      </w:hyperlink>
      <w:r>
        <w:rPr>
          <w:rStyle w:val="FootnoteReference"/>
        </w:rPr>
        <w:footnoteReference w:id="10"/>
      </w:r>
      <w:r w:rsidR="002C43A5">
        <w:t xml:space="preserve"> provides the security and privacy controls for this collection of information.</w:t>
      </w:r>
    </w:p>
    <w:p w:rsidR="00D55703" w14:paraId="52CB9E31" w14:textId="7777777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D55703" w14:paraId="6880AB7E" w14:textId="77777777">
      <w:pPr>
        <w:numPr>
          <w:ilvl w:val="0"/>
          <w:numId w:val="1"/>
        </w:numPr>
        <w:pBdr>
          <w:top w:val="nil"/>
          <w:left w:val="nil"/>
          <w:bottom w:val="nil"/>
          <w:right w:val="nil"/>
          <w:between w:val="nil"/>
        </w:pBdr>
        <w:tabs>
          <w:tab w:val="left" w:pos="360"/>
        </w:tabs>
        <w:spacing w:before="80"/>
        <w:ind w:left="0" w:firstLine="0"/>
        <w:rPr>
          <w:b/>
          <w:bCs/>
        </w:rPr>
      </w:pPr>
      <w:r>
        <w:rPr>
          <w:b/>
          <w:bCs/>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D55703" w14:paraId="2B3FFDF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D55703" w14:paraId="50FF4DA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ectPr w:rsidSect="00930C88">
          <w:headerReference w:type="default" r:id="rId19"/>
          <w:footerReference w:type="default" r:id="rId20"/>
          <w:pgSz w:w="12240" w:h="15840"/>
          <w:pgMar w:top="990" w:right="1080" w:bottom="1200" w:left="1080" w:header="0" w:footer="714" w:gutter="0"/>
          <w:pgNumType w:start="1"/>
          <w:cols w:space="720"/>
        </w:sectPr>
      </w:pPr>
      <w:r>
        <w:t>No sensitive questions are asked on the form.</w:t>
      </w:r>
    </w:p>
    <w:p w:rsidR="00D55703" w14:paraId="31520860" w14:textId="77777777">
      <w:pPr>
        <w:numPr>
          <w:ilvl w:val="0"/>
          <w:numId w:val="1"/>
        </w:numPr>
        <w:pBdr>
          <w:top w:val="nil"/>
          <w:left w:val="nil"/>
          <w:bottom w:val="nil"/>
          <w:right w:val="nil"/>
          <w:between w:val="nil"/>
        </w:pBdr>
        <w:tabs>
          <w:tab w:val="left" w:pos="360"/>
        </w:tabs>
        <w:spacing w:before="80"/>
        <w:ind w:left="0" w:firstLine="0"/>
        <w:rPr>
          <w:b/>
          <w:bCs/>
        </w:rPr>
      </w:pPr>
      <w:r>
        <w:rPr>
          <w:b/>
          <w:bCs/>
        </w:rPr>
        <w:t>Provide estimates of the hour burden of the collection of information.</w:t>
      </w:r>
    </w:p>
    <w:p w:rsidR="00D55703" w14:paraId="33180A0A" w14:textId="77777777">
      <w:pPr>
        <w:pBdr>
          <w:top w:val="nil"/>
          <w:left w:val="nil"/>
          <w:bottom w:val="nil"/>
          <w:right w:val="nil"/>
          <w:between w:val="nil"/>
        </w:pBdr>
        <w:tabs>
          <w:tab w:val="left" w:pos="360"/>
        </w:tabs>
        <w:spacing w:before="80"/>
        <w:ind w:left="400"/>
        <w:rPr>
          <w:b/>
          <w:bCs/>
        </w:rPr>
      </w:pPr>
    </w:p>
    <w:p w:rsidR="00D55703" w14:paraId="3C460031" w14:textId="77777777">
      <w:pPr>
        <w:spacing w:before="197"/>
      </w:pPr>
      <w:r>
        <w:t xml:space="preserve">Estimate in hours of the burden of the </w:t>
      </w:r>
      <w:r>
        <w:t>collection of information:</w:t>
      </w:r>
    </w:p>
    <w:p w:rsidR="00D55703" w14:paraId="64823A7B" w14:textId="77777777">
      <w:pPr>
        <w:spacing w:before="197"/>
      </w:pPr>
    </w:p>
    <w:p w:rsidR="00D55703" w14:paraId="6C366D94" w14:textId="77777777">
      <w:pPr>
        <w:spacing w:line="259" w:lineRule="auto"/>
        <w:ind w:hanging="43"/>
        <w:jc w:val="center"/>
        <w:rPr>
          <w:b/>
          <w:bCs/>
        </w:rPr>
      </w:pPr>
    </w:p>
    <w:tbl>
      <w:tblPr>
        <w:tblStyle w:val="a"/>
        <w:tblW w:w="13785" w:type="dxa"/>
        <w:tblInd w:w="-140" w:type="dxa"/>
        <w:tblLayout w:type="fixed"/>
        <w:tblLook w:val="0400"/>
      </w:tblPr>
      <w:tblGrid>
        <w:gridCol w:w="3345"/>
        <w:gridCol w:w="1800"/>
        <w:gridCol w:w="1140"/>
        <w:gridCol w:w="1275"/>
        <w:gridCol w:w="1170"/>
        <w:gridCol w:w="1035"/>
        <w:gridCol w:w="1140"/>
        <w:gridCol w:w="1365"/>
        <w:gridCol w:w="1515"/>
      </w:tblGrid>
      <w:tr w14:paraId="3BABA7FD" w14:textId="77777777">
        <w:tblPrEx>
          <w:tblW w:w="13785" w:type="dxa"/>
          <w:tblInd w:w="-140" w:type="dxa"/>
          <w:tblLayout w:type="fixed"/>
          <w:tblLook w:val="0400"/>
        </w:tblPrEx>
        <w:trPr>
          <w:trHeight w:val="1365"/>
        </w:trPr>
        <w:tc>
          <w:tcPr>
            <w:tcW w:w="3345"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D55703" w14:paraId="7F16B85A" w14:textId="77777777">
            <w:pPr>
              <w:widowControl/>
              <w:jc w:val="center"/>
              <w:rPr>
                <w:rFonts w:ascii="Calibri" w:eastAsia="Calibri" w:hAnsi="Calibri" w:cs="Calibri"/>
                <w:b/>
                <w:bCs/>
                <w:sz w:val="16"/>
                <w:szCs w:val="16"/>
              </w:rPr>
            </w:pPr>
            <w:r>
              <w:rPr>
                <w:rFonts w:ascii="Calibri" w:eastAsia="Calibri" w:hAnsi="Calibri" w:cs="Calibri"/>
                <w:b/>
                <w:bCs/>
                <w:sz w:val="16"/>
                <w:szCs w:val="16"/>
              </w:rPr>
              <w:t>Information Collection</w:t>
            </w:r>
          </w:p>
        </w:tc>
        <w:tc>
          <w:tcPr>
            <w:tcW w:w="1800" w:type="dxa"/>
            <w:tcBorders>
              <w:top w:val="single" w:sz="8" w:space="0" w:color="000000"/>
              <w:left w:val="nil"/>
              <w:bottom w:val="single" w:sz="8" w:space="0" w:color="000000"/>
              <w:right w:val="single" w:sz="8" w:space="0" w:color="000000"/>
            </w:tcBorders>
            <w:shd w:val="clear" w:color="auto" w:fill="BDD7EE"/>
            <w:vAlign w:val="center"/>
          </w:tcPr>
          <w:p w:rsidR="00D55703" w14:paraId="25AB62FC" w14:textId="77777777">
            <w:pPr>
              <w:widowControl/>
              <w:jc w:val="center"/>
              <w:rPr>
                <w:rFonts w:ascii="Calibri" w:eastAsia="Calibri" w:hAnsi="Calibri" w:cs="Calibri"/>
                <w:b/>
                <w:bCs/>
                <w:sz w:val="16"/>
                <w:szCs w:val="16"/>
              </w:rPr>
            </w:pPr>
            <w:r>
              <w:rPr>
                <w:rFonts w:ascii="Calibri" w:eastAsia="Calibri" w:hAnsi="Calibri" w:cs="Calibri"/>
                <w:b/>
                <w:bCs/>
                <w:sz w:val="16"/>
                <w:szCs w:val="16"/>
              </w:rPr>
              <w:t xml:space="preserve">Type of </w:t>
            </w:r>
            <w:r>
              <w:rPr>
                <w:rFonts w:ascii="Calibri" w:eastAsia="Calibri" w:hAnsi="Calibri" w:cs="Calibri"/>
                <w:b/>
                <w:bCs/>
                <w:sz w:val="16"/>
                <w:szCs w:val="16"/>
              </w:rPr>
              <w:t>Respondent (e.g., Occupational Title)</w:t>
            </w:r>
          </w:p>
        </w:tc>
        <w:tc>
          <w:tcPr>
            <w:tcW w:w="1140" w:type="dxa"/>
            <w:tcBorders>
              <w:top w:val="single" w:sz="8" w:space="0" w:color="000000"/>
              <w:left w:val="nil"/>
              <w:bottom w:val="single" w:sz="8" w:space="0" w:color="000000"/>
              <w:right w:val="single" w:sz="8" w:space="0" w:color="000000"/>
            </w:tcBorders>
            <w:shd w:val="clear" w:color="auto" w:fill="BDD7EE"/>
            <w:vAlign w:val="center"/>
          </w:tcPr>
          <w:p w:rsidR="00D55703" w14:paraId="3B0134FD" w14:textId="77777777">
            <w:pPr>
              <w:widowControl/>
              <w:jc w:val="center"/>
              <w:rPr>
                <w:rFonts w:ascii="Calibri" w:eastAsia="Calibri" w:hAnsi="Calibri" w:cs="Calibri"/>
                <w:b/>
                <w:bCs/>
                <w:sz w:val="16"/>
                <w:szCs w:val="16"/>
              </w:rPr>
            </w:pPr>
            <w:r>
              <w:rPr>
                <w:rFonts w:ascii="Calibri" w:eastAsia="Calibri" w:hAnsi="Calibri" w:cs="Calibri"/>
                <w:b/>
                <w:bCs/>
                <w:sz w:val="16"/>
                <w:szCs w:val="16"/>
              </w:rPr>
              <w:t># of Respondents/year</w:t>
            </w:r>
            <w:r>
              <w:rPr>
                <w:rFonts w:ascii="Calibri" w:eastAsia="Calibri" w:hAnsi="Calibri" w:cs="Calibri"/>
                <w:b/>
                <w:bCs/>
                <w:sz w:val="16"/>
                <w:szCs w:val="16"/>
              </w:rPr>
              <w:br/>
              <w:t>(a)</w:t>
            </w:r>
          </w:p>
        </w:tc>
        <w:tc>
          <w:tcPr>
            <w:tcW w:w="1275" w:type="dxa"/>
            <w:tcBorders>
              <w:top w:val="single" w:sz="8" w:space="0" w:color="000000"/>
              <w:left w:val="nil"/>
              <w:bottom w:val="single" w:sz="8" w:space="0" w:color="000000"/>
              <w:right w:val="single" w:sz="8" w:space="0" w:color="000000"/>
            </w:tcBorders>
            <w:shd w:val="clear" w:color="auto" w:fill="BDD7EE"/>
            <w:vAlign w:val="center"/>
          </w:tcPr>
          <w:p w:rsidR="00D55703" w14:paraId="385AA6C7" w14:textId="77777777">
            <w:pPr>
              <w:widowControl/>
              <w:jc w:val="center"/>
              <w:rPr>
                <w:rFonts w:ascii="Calibri" w:eastAsia="Calibri" w:hAnsi="Calibri" w:cs="Calibri"/>
                <w:b/>
                <w:bCs/>
                <w:sz w:val="16"/>
                <w:szCs w:val="16"/>
              </w:rPr>
            </w:pPr>
            <w:r>
              <w:rPr>
                <w:rFonts w:ascii="Calibri" w:eastAsia="Calibri" w:hAnsi="Calibri" w:cs="Calibri"/>
                <w:b/>
                <w:bCs/>
                <w:sz w:val="16"/>
                <w:szCs w:val="16"/>
              </w:rPr>
              <w:t>Annual # of Responses / Respondent</w:t>
            </w:r>
            <w:r>
              <w:rPr>
                <w:rFonts w:ascii="Calibri" w:eastAsia="Calibri" w:hAnsi="Calibri" w:cs="Calibri"/>
                <w:b/>
                <w:bCs/>
                <w:sz w:val="16"/>
                <w:szCs w:val="16"/>
              </w:rPr>
              <w:br/>
              <w:t>(b)</w:t>
            </w:r>
          </w:p>
        </w:tc>
        <w:tc>
          <w:tcPr>
            <w:tcW w:w="1170" w:type="dxa"/>
            <w:tcBorders>
              <w:top w:val="single" w:sz="8" w:space="0" w:color="000000"/>
              <w:left w:val="nil"/>
              <w:bottom w:val="single" w:sz="8" w:space="0" w:color="000000"/>
              <w:right w:val="single" w:sz="8" w:space="0" w:color="000000"/>
            </w:tcBorders>
            <w:shd w:val="clear" w:color="auto" w:fill="BDD7EE"/>
            <w:vAlign w:val="center"/>
          </w:tcPr>
          <w:p w:rsidR="00D55703" w14:paraId="08BCE41B" w14:textId="77777777">
            <w:pPr>
              <w:widowControl/>
              <w:jc w:val="center"/>
              <w:rPr>
                <w:rFonts w:ascii="Calibri" w:eastAsia="Calibri" w:hAnsi="Calibri" w:cs="Calibri"/>
                <w:b/>
                <w:bCs/>
                <w:sz w:val="16"/>
                <w:szCs w:val="16"/>
              </w:rPr>
            </w:pPr>
            <w:r>
              <w:rPr>
                <w:rFonts w:ascii="Calibri" w:eastAsia="Calibri" w:hAnsi="Calibri" w:cs="Calibri"/>
                <w:b/>
                <w:bCs/>
                <w:sz w:val="16"/>
                <w:szCs w:val="16"/>
              </w:rPr>
              <w:t xml:space="preserve"> Total # of Annual Responses</w:t>
            </w:r>
            <w:r>
              <w:rPr>
                <w:rFonts w:ascii="Calibri" w:eastAsia="Calibri" w:hAnsi="Calibri" w:cs="Calibri"/>
                <w:b/>
                <w:bCs/>
                <w:sz w:val="16"/>
                <w:szCs w:val="16"/>
              </w:rPr>
              <w:br/>
              <w:t>(c) = (a) x (b)</w:t>
            </w:r>
          </w:p>
        </w:tc>
        <w:tc>
          <w:tcPr>
            <w:tcW w:w="1035" w:type="dxa"/>
            <w:tcBorders>
              <w:top w:val="single" w:sz="8" w:space="0" w:color="000000"/>
              <w:left w:val="nil"/>
              <w:bottom w:val="single" w:sz="8" w:space="0" w:color="000000"/>
              <w:right w:val="single" w:sz="8" w:space="0" w:color="000000"/>
            </w:tcBorders>
            <w:shd w:val="clear" w:color="auto" w:fill="BDD7EE"/>
            <w:vAlign w:val="center"/>
          </w:tcPr>
          <w:p w:rsidR="00D55703" w14:paraId="5187A20B" w14:textId="77777777">
            <w:pPr>
              <w:widowControl/>
              <w:jc w:val="center"/>
              <w:rPr>
                <w:rFonts w:ascii="Calibri" w:eastAsia="Calibri" w:hAnsi="Calibri" w:cs="Calibri"/>
                <w:b/>
                <w:bCs/>
                <w:sz w:val="16"/>
                <w:szCs w:val="16"/>
              </w:rPr>
            </w:pPr>
            <w:r>
              <w:rPr>
                <w:rFonts w:ascii="Calibri" w:eastAsia="Calibri" w:hAnsi="Calibri" w:cs="Calibri"/>
                <w:b/>
                <w:bCs/>
                <w:sz w:val="16"/>
                <w:szCs w:val="16"/>
              </w:rPr>
              <w:t xml:space="preserve">Burden </w:t>
            </w:r>
            <w:r>
              <w:rPr>
                <w:rFonts w:ascii="Calibri" w:eastAsia="Calibri" w:hAnsi="Calibri" w:cs="Calibri"/>
                <w:b/>
                <w:bCs/>
                <w:sz w:val="16"/>
                <w:szCs w:val="16"/>
              </w:rPr>
              <w:t>Hrs</w:t>
            </w:r>
            <w:r>
              <w:rPr>
                <w:rFonts w:ascii="Calibri" w:eastAsia="Calibri" w:hAnsi="Calibri" w:cs="Calibri"/>
                <w:b/>
                <w:bCs/>
                <w:sz w:val="16"/>
                <w:szCs w:val="16"/>
              </w:rPr>
              <w:t xml:space="preserve"> / Response</w:t>
            </w:r>
            <w:r>
              <w:rPr>
                <w:rFonts w:ascii="Calibri" w:eastAsia="Calibri" w:hAnsi="Calibri" w:cs="Calibri"/>
                <w:b/>
                <w:bCs/>
                <w:sz w:val="16"/>
                <w:szCs w:val="16"/>
              </w:rPr>
              <w:br/>
              <w:t>(d)</w:t>
            </w:r>
          </w:p>
        </w:tc>
        <w:tc>
          <w:tcPr>
            <w:tcW w:w="1140" w:type="dxa"/>
            <w:tcBorders>
              <w:top w:val="single" w:sz="8" w:space="0" w:color="000000"/>
              <w:left w:val="nil"/>
              <w:bottom w:val="single" w:sz="8" w:space="0" w:color="000000"/>
              <w:right w:val="single" w:sz="8" w:space="0" w:color="000000"/>
            </w:tcBorders>
            <w:shd w:val="clear" w:color="auto" w:fill="BDD7EE"/>
            <w:vAlign w:val="center"/>
          </w:tcPr>
          <w:p w:rsidR="00D55703" w14:paraId="5B606FB6" w14:textId="69699138">
            <w:pPr>
              <w:widowControl/>
              <w:jc w:val="center"/>
              <w:rPr>
                <w:rFonts w:ascii="Calibri" w:eastAsia="Calibri" w:hAnsi="Calibri" w:cs="Calibri"/>
                <w:b/>
                <w:bCs/>
                <w:sz w:val="16"/>
                <w:szCs w:val="16"/>
              </w:rPr>
            </w:pPr>
            <w:r>
              <w:rPr>
                <w:rFonts w:ascii="Calibri" w:eastAsia="Calibri" w:hAnsi="Calibri" w:cs="Calibri"/>
                <w:b/>
                <w:bCs/>
                <w:sz w:val="16"/>
                <w:szCs w:val="16"/>
              </w:rPr>
              <w:t xml:space="preserve">Total Annual Burden </w:t>
            </w:r>
            <w:r>
              <w:rPr>
                <w:rFonts w:ascii="Calibri" w:eastAsia="Calibri" w:hAnsi="Calibri" w:cs="Calibri"/>
                <w:b/>
                <w:bCs/>
                <w:sz w:val="16"/>
                <w:szCs w:val="16"/>
              </w:rPr>
              <w:t>Hrs</w:t>
            </w:r>
            <w:r>
              <w:rPr>
                <w:rFonts w:ascii="Calibri" w:eastAsia="Calibri" w:hAnsi="Calibri" w:cs="Calibri"/>
                <w:b/>
                <w:bCs/>
                <w:sz w:val="16"/>
                <w:szCs w:val="16"/>
              </w:rPr>
              <w:br/>
              <w:t>(</w:t>
            </w:r>
            <w:r w:rsidR="0042350D">
              <w:rPr>
                <w:rFonts w:ascii="Calibri" w:eastAsia="Calibri" w:hAnsi="Calibri" w:cs="Calibri"/>
                <w:b/>
                <w:bCs/>
                <w:sz w:val="16"/>
                <w:szCs w:val="16"/>
              </w:rPr>
              <w:t>e) =</w:t>
            </w:r>
            <w:r>
              <w:rPr>
                <w:rFonts w:ascii="Calibri" w:eastAsia="Calibri" w:hAnsi="Calibri" w:cs="Calibri"/>
                <w:b/>
                <w:bCs/>
                <w:sz w:val="16"/>
                <w:szCs w:val="16"/>
              </w:rPr>
              <w:t xml:space="preserve"> (c) x (d)</w:t>
            </w:r>
          </w:p>
        </w:tc>
        <w:tc>
          <w:tcPr>
            <w:tcW w:w="1365" w:type="dxa"/>
            <w:tcBorders>
              <w:top w:val="single" w:sz="8" w:space="0" w:color="000000"/>
              <w:left w:val="nil"/>
              <w:bottom w:val="single" w:sz="8" w:space="0" w:color="000000"/>
              <w:right w:val="single" w:sz="8" w:space="0" w:color="000000"/>
            </w:tcBorders>
            <w:shd w:val="clear" w:color="auto" w:fill="BDD7EE"/>
            <w:vAlign w:val="center"/>
          </w:tcPr>
          <w:p w:rsidR="00D55703" w14:paraId="1DAA92A7" w14:textId="13B01AFF">
            <w:pPr>
              <w:widowControl/>
              <w:jc w:val="center"/>
              <w:rPr>
                <w:rFonts w:ascii="Calibri" w:eastAsia="Calibri" w:hAnsi="Calibri" w:cs="Calibri"/>
                <w:b/>
                <w:bCs/>
                <w:sz w:val="16"/>
                <w:szCs w:val="16"/>
              </w:rPr>
            </w:pPr>
            <w:r>
              <w:rPr>
                <w:rFonts w:ascii="Calibri" w:eastAsia="Calibri" w:hAnsi="Calibri" w:cs="Calibri"/>
                <w:b/>
                <w:bCs/>
                <w:sz w:val="16"/>
                <w:szCs w:val="16"/>
              </w:rPr>
              <w:t xml:space="preserve">Hourly Wage </w:t>
            </w:r>
            <w:r w:rsidR="0042350D">
              <w:rPr>
                <w:rFonts w:ascii="Calibri" w:eastAsia="Calibri" w:hAnsi="Calibri" w:cs="Calibri"/>
                <w:b/>
                <w:bCs/>
                <w:sz w:val="16"/>
                <w:szCs w:val="16"/>
              </w:rPr>
              <w:t>Rate (</w:t>
            </w:r>
            <w:r>
              <w:rPr>
                <w:rFonts w:ascii="Calibri" w:eastAsia="Calibri" w:hAnsi="Calibri" w:cs="Calibri"/>
                <w:b/>
                <w:bCs/>
                <w:sz w:val="16"/>
                <w:szCs w:val="16"/>
              </w:rPr>
              <w:t xml:space="preserve">for Type of </w:t>
            </w:r>
            <w:r>
              <w:rPr>
                <w:rFonts w:ascii="Calibri" w:eastAsia="Calibri" w:hAnsi="Calibri" w:cs="Calibri"/>
                <w:b/>
                <w:bCs/>
                <w:sz w:val="16"/>
                <w:szCs w:val="16"/>
              </w:rPr>
              <w:t>Respondent)</w:t>
            </w:r>
            <w:r>
              <w:rPr>
                <w:rFonts w:ascii="Calibri" w:eastAsia="Calibri" w:hAnsi="Calibri" w:cs="Calibri"/>
                <w:b/>
                <w:bCs/>
                <w:sz w:val="16"/>
                <w:szCs w:val="16"/>
              </w:rPr>
              <w:br/>
              <w:t>(f)</w:t>
            </w:r>
          </w:p>
        </w:tc>
        <w:tc>
          <w:tcPr>
            <w:tcW w:w="1515" w:type="dxa"/>
            <w:tcBorders>
              <w:top w:val="single" w:sz="8" w:space="0" w:color="000000"/>
              <w:left w:val="nil"/>
              <w:bottom w:val="single" w:sz="8" w:space="0" w:color="000000"/>
              <w:right w:val="single" w:sz="8" w:space="0" w:color="000000"/>
            </w:tcBorders>
            <w:shd w:val="clear" w:color="auto" w:fill="BDD7EE"/>
            <w:vAlign w:val="center"/>
          </w:tcPr>
          <w:p w:rsidR="00D55703" w14:paraId="33C8DBF9" w14:textId="77777777">
            <w:pPr>
              <w:widowControl/>
              <w:ind w:right="-30"/>
              <w:jc w:val="center"/>
              <w:rPr>
                <w:rFonts w:ascii="Calibri" w:eastAsia="Calibri" w:hAnsi="Calibri" w:cs="Calibri"/>
                <w:b/>
                <w:bCs/>
                <w:sz w:val="16"/>
                <w:szCs w:val="16"/>
              </w:rPr>
            </w:pPr>
            <w:r>
              <w:rPr>
                <w:rFonts w:ascii="Calibri" w:eastAsia="Calibri" w:hAnsi="Calibri" w:cs="Calibri"/>
                <w:b/>
                <w:bCs/>
                <w:sz w:val="16"/>
                <w:szCs w:val="16"/>
              </w:rPr>
              <w:t>Total Annual Wage Burden Costs</w:t>
            </w:r>
            <w:r>
              <w:rPr>
                <w:rFonts w:ascii="Calibri" w:eastAsia="Calibri" w:hAnsi="Calibri" w:cs="Calibri"/>
                <w:b/>
                <w:bCs/>
                <w:sz w:val="16"/>
                <w:szCs w:val="16"/>
              </w:rPr>
              <w:br/>
              <w:t>(g) = (e) x (f)</w:t>
            </w:r>
          </w:p>
        </w:tc>
      </w:tr>
      <w:tr w14:paraId="50C01EAA" w14:textId="77777777">
        <w:tblPrEx>
          <w:tblW w:w="13785" w:type="dxa"/>
          <w:tblInd w:w="-140" w:type="dxa"/>
          <w:tblLayout w:type="fixed"/>
          <w:tblLook w:val="0400"/>
        </w:tblPrEx>
        <w:trPr>
          <w:trHeight w:val="300"/>
        </w:trPr>
        <w:tc>
          <w:tcPr>
            <w:tcW w:w="3345" w:type="dxa"/>
            <w:tcBorders>
              <w:top w:val="nil"/>
              <w:left w:val="single" w:sz="8" w:space="0" w:color="000000"/>
              <w:bottom w:val="single" w:sz="4" w:space="0" w:color="000000"/>
              <w:right w:val="single" w:sz="4" w:space="0" w:color="000000"/>
            </w:tcBorders>
            <w:vAlign w:val="center"/>
          </w:tcPr>
          <w:p w:rsidR="00D55703" w14:paraId="43586828" w14:textId="69F757D2">
            <w:pPr>
              <w:widowControl/>
              <w:jc w:val="center"/>
              <w:rPr>
                <w:sz w:val="20"/>
                <w:szCs w:val="20"/>
              </w:rPr>
            </w:pPr>
            <w:r w:rsidRPr="006E660B">
              <w:rPr>
                <w:sz w:val="20"/>
                <w:szCs w:val="20"/>
              </w:rPr>
              <w:t>Statement of Financial Interests, Regional Fishery Management Councils</w:t>
            </w:r>
          </w:p>
        </w:tc>
        <w:tc>
          <w:tcPr>
            <w:tcW w:w="1800" w:type="dxa"/>
            <w:tcBorders>
              <w:top w:val="nil"/>
              <w:left w:val="nil"/>
              <w:bottom w:val="single" w:sz="4" w:space="0" w:color="000000"/>
              <w:right w:val="single" w:sz="4" w:space="0" w:color="000000"/>
            </w:tcBorders>
            <w:vAlign w:val="center"/>
          </w:tcPr>
          <w:p w:rsidR="00D55703" w14:paraId="31A098CE" w14:textId="77777777">
            <w:pPr>
              <w:widowControl/>
              <w:jc w:val="center"/>
              <w:rPr>
                <w:sz w:val="20"/>
                <w:szCs w:val="20"/>
              </w:rPr>
            </w:pPr>
            <w:r>
              <w:rPr>
                <w:sz w:val="20"/>
                <w:szCs w:val="20"/>
              </w:rPr>
              <w:t>Regional Fishery Management Council Member</w:t>
            </w:r>
          </w:p>
        </w:tc>
        <w:tc>
          <w:tcPr>
            <w:tcW w:w="1140" w:type="dxa"/>
            <w:tcBorders>
              <w:top w:val="nil"/>
              <w:left w:val="nil"/>
              <w:bottom w:val="single" w:sz="4" w:space="0" w:color="000000"/>
              <w:right w:val="single" w:sz="4" w:space="0" w:color="000000"/>
            </w:tcBorders>
            <w:vAlign w:val="center"/>
          </w:tcPr>
          <w:p w:rsidR="00D55703" w14:paraId="7912DB3E" w14:textId="77777777">
            <w:pPr>
              <w:widowControl/>
              <w:jc w:val="center"/>
              <w:rPr>
                <w:sz w:val="20"/>
                <w:szCs w:val="20"/>
              </w:rPr>
            </w:pPr>
            <w:r>
              <w:rPr>
                <w:sz w:val="20"/>
                <w:szCs w:val="20"/>
              </w:rPr>
              <w:t>330</w:t>
            </w:r>
          </w:p>
        </w:tc>
        <w:tc>
          <w:tcPr>
            <w:tcW w:w="1275" w:type="dxa"/>
            <w:tcBorders>
              <w:top w:val="nil"/>
              <w:left w:val="nil"/>
              <w:bottom w:val="single" w:sz="4" w:space="0" w:color="000000"/>
              <w:right w:val="single" w:sz="4" w:space="0" w:color="000000"/>
            </w:tcBorders>
            <w:vAlign w:val="center"/>
          </w:tcPr>
          <w:p w:rsidR="00D55703" w14:paraId="6371D381" w14:textId="77777777">
            <w:pPr>
              <w:widowControl/>
              <w:jc w:val="center"/>
              <w:rPr>
                <w:sz w:val="20"/>
                <w:szCs w:val="20"/>
              </w:rPr>
            </w:pPr>
            <w:r>
              <w:rPr>
                <w:sz w:val="20"/>
                <w:szCs w:val="20"/>
              </w:rPr>
              <w:t>1</w:t>
            </w:r>
          </w:p>
        </w:tc>
        <w:tc>
          <w:tcPr>
            <w:tcW w:w="1170" w:type="dxa"/>
            <w:tcBorders>
              <w:top w:val="nil"/>
              <w:left w:val="nil"/>
              <w:bottom w:val="single" w:sz="4" w:space="0" w:color="000000"/>
              <w:right w:val="single" w:sz="4" w:space="0" w:color="000000"/>
            </w:tcBorders>
            <w:vAlign w:val="center"/>
          </w:tcPr>
          <w:p w:rsidR="00D55703" w14:paraId="20CBF0FA" w14:textId="77777777">
            <w:pPr>
              <w:widowControl/>
              <w:jc w:val="center"/>
              <w:rPr>
                <w:sz w:val="20"/>
                <w:szCs w:val="20"/>
              </w:rPr>
            </w:pPr>
            <w:r>
              <w:rPr>
                <w:sz w:val="20"/>
                <w:szCs w:val="20"/>
              </w:rPr>
              <w:t>330</w:t>
            </w:r>
          </w:p>
        </w:tc>
        <w:tc>
          <w:tcPr>
            <w:tcW w:w="1035" w:type="dxa"/>
            <w:tcBorders>
              <w:top w:val="nil"/>
              <w:left w:val="nil"/>
              <w:bottom w:val="single" w:sz="4" w:space="0" w:color="000000"/>
              <w:right w:val="single" w:sz="4" w:space="0" w:color="000000"/>
            </w:tcBorders>
            <w:vAlign w:val="center"/>
          </w:tcPr>
          <w:p w:rsidR="00D55703" w14:paraId="4AE87CFD" w14:textId="77777777">
            <w:pPr>
              <w:widowControl/>
              <w:jc w:val="center"/>
              <w:rPr>
                <w:sz w:val="20"/>
                <w:szCs w:val="20"/>
              </w:rPr>
            </w:pPr>
            <w:r>
              <w:rPr>
                <w:sz w:val="20"/>
                <w:szCs w:val="20"/>
              </w:rPr>
              <w:t>.75</w:t>
            </w:r>
          </w:p>
        </w:tc>
        <w:tc>
          <w:tcPr>
            <w:tcW w:w="1140" w:type="dxa"/>
            <w:tcBorders>
              <w:top w:val="nil"/>
              <w:left w:val="nil"/>
              <w:bottom w:val="single" w:sz="4" w:space="0" w:color="000000"/>
              <w:right w:val="single" w:sz="4" w:space="0" w:color="000000"/>
            </w:tcBorders>
            <w:vAlign w:val="center"/>
          </w:tcPr>
          <w:p w:rsidR="00D55703" w14:paraId="540FCB67" w14:textId="710CCDE3">
            <w:pPr>
              <w:widowControl/>
              <w:jc w:val="center"/>
              <w:rPr>
                <w:sz w:val="20"/>
                <w:szCs w:val="20"/>
              </w:rPr>
            </w:pPr>
            <w:r>
              <w:rPr>
                <w:sz w:val="20"/>
                <w:szCs w:val="20"/>
              </w:rPr>
              <w:t>248</w:t>
            </w:r>
          </w:p>
        </w:tc>
        <w:tc>
          <w:tcPr>
            <w:tcW w:w="1365" w:type="dxa"/>
            <w:tcBorders>
              <w:top w:val="nil"/>
              <w:left w:val="nil"/>
              <w:bottom w:val="single" w:sz="4" w:space="0" w:color="000000"/>
              <w:right w:val="single" w:sz="4" w:space="0" w:color="000000"/>
            </w:tcBorders>
            <w:vAlign w:val="center"/>
          </w:tcPr>
          <w:p w:rsidR="00D55703" w14:paraId="7CFB11EB" w14:textId="77777777">
            <w:pPr>
              <w:widowControl/>
              <w:jc w:val="center"/>
              <w:rPr>
                <w:sz w:val="20"/>
                <w:szCs w:val="20"/>
              </w:rPr>
            </w:pPr>
            <w:r>
              <w:rPr>
                <w:sz w:val="20"/>
                <w:szCs w:val="20"/>
              </w:rPr>
              <w:t>$78.24</w:t>
            </w:r>
            <w:r>
              <w:rPr>
                <w:sz w:val="20"/>
                <w:szCs w:val="20"/>
                <w:vertAlign w:val="superscript"/>
              </w:rPr>
              <w:t>1</w:t>
            </w:r>
          </w:p>
        </w:tc>
        <w:tc>
          <w:tcPr>
            <w:tcW w:w="1515" w:type="dxa"/>
            <w:tcBorders>
              <w:top w:val="nil"/>
              <w:left w:val="nil"/>
              <w:bottom w:val="single" w:sz="4" w:space="0" w:color="000000"/>
              <w:right w:val="single" w:sz="8" w:space="0" w:color="000000"/>
            </w:tcBorders>
            <w:vAlign w:val="center"/>
          </w:tcPr>
          <w:p w:rsidR="00D55703" w14:paraId="46EB6CF7" w14:textId="1A86C19A">
            <w:pPr>
              <w:widowControl/>
              <w:jc w:val="center"/>
              <w:rPr>
                <w:sz w:val="20"/>
                <w:szCs w:val="20"/>
              </w:rPr>
            </w:pPr>
            <w:r>
              <w:rPr>
                <w:sz w:val="20"/>
                <w:szCs w:val="20"/>
              </w:rPr>
              <w:t>$19,</w:t>
            </w:r>
            <w:r w:rsidR="006E660B">
              <w:rPr>
                <w:sz w:val="20"/>
                <w:szCs w:val="20"/>
              </w:rPr>
              <w:t>403.52</w:t>
            </w:r>
          </w:p>
        </w:tc>
      </w:tr>
      <w:tr w14:paraId="0E2B7604" w14:textId="77777777">
        <w:tblPrEx>
          <w:tblW w:w="13785" w:type="dxa"/>
          <w:tblInd w:w="-140" w:type="dxa"/>
          <w:tblLayout w:type="fixed"/>
          <w:tblLook w:val="0400"/>
        </w:tblPrEx>
        <w:trPr>
          <w:trHeight w:val="615"/>
        </w:trPr>
        <w:tc>
          <w:tcPr>
            <w:tcW w:w="3345" w:type="dxa"/>
            <w:tcBorders>
              <w:top w:val="nil"/>
              <w:left w:val="single" w:sz="8" w:space="0" w:color="000000"/>
              <w:bottom w:val="single" w:sz="8" w:space="0" w:color="000000"/>
              <w:right w:val="single" w:sz="8" w:space="0" w:color="000000"/>
            </w:tcBorders>
            <w:shd w:val="clear" w:color="auto" w:fill="DDEBF7"/>
            <w:vAlign w:val="bottom"/>
          </w:tcPr>
          <w:p w:rsidR="00D55703" w14:paraId="755F8FC7" w14:textId="77777777">
            <w:pPr>
              <w:widowControl/>
              <w:rPr>
                <w:rFonts w:ascii="Calibri" w:eastAsia="Calibri" w:hAnsi="Calibri" w:cs="Calibri"/>
                <w:b/>
                <w:bCs/>
              </w:rPr>
            </w:pPr>
            <w:r>
              <w:rPr>
                <w:rFonts w:ascii="Calibri" w:eastAsia="Calibri" w:hAnsi="Calibri" w:cs="Calibri"/>
                <w:b/>
                <w:bCs/>
              </w:rPr>
              <w:t>Totals</w:t>
            </w:r>
          </w:p>
        </w:tc>
        <w:tc>
          <w:tcPr>
            <w:tcW w:w="1800" w:type="dxa"/>
            <w:tcBorders>
              <w:top w:val="nil"/>
              <w:left w:val="nil"/>
              <w:bottom w:val="single" w:sz="8" w:space="0" w:color="000000"/>
              <w:right w:val="single" w:sz="8" w:space="0" w:color="000000"/>
            </w:tcBorders>
            <w:shd w:val="clear" w:color="auto" w:fill="000000"/>
            <w:vAlign w:val="bottom"/>
          </w:tcPr>
          <w:p w:rsidR="00D55703" w14:paraId="6E1BBCA7" w14:textId="77777777">
            <w:pPr>
              <w:widowControl/>
              <w:rPr>
                <w:rFonts w:ascii="Calibri" w:eastAsia="Calibri" w:hAnsi="Calibri" w:cs="Calibri"/>
                <w:b/>
                <w:bCs/>
              </w:rPr>
            </w:pPr>
            <w:r>
              <w:rPr>
                <w:rFonts w:ascii="Calibri" w:eastAsia="Calibri" w:hAnsi="Calibri" w:cs="Calibri"/>
                <w:b/>
                <w:bCs/>
              </w:rPr>
              <w:t> </w:t>
            </w:r>
          </w:p>
        </w:tc>
        <w:tc>
          <w:tcPr>
            <w:tcW w:w="1140" w:type="dxa"/>
            <w:tcBorders>
              <w:top w:val="nil"/>
              <w:left w:val="nil"/>
              <w:bottom w:val="single" w:sz="8" w:space="0" w:color="000000"/>
              <w:right w:val="single" w:sz="8" w:space="0" w:color="000000"/>
            </w:tcBorders>
            <w:shd w:val="clear" w:color="auto" w:fill="000000"/>
            <w:vAlign w:val="bottom"/>
          </w:tcPr>
          <w:p w:rsidR="00D55703" w14:paraId="39213A25" w14:textId="77777777">
            <w:pPr>
              <w:widowControl/>
              <w:rPr>
                <w:rFonts w:ascii="Calibri" w:eastAsia="Calibri" w:hAnsi="Calibri" w:cs="Calibri"/>
                <w:b/>
                <w:bCs/>
              </w:rPr>
            </w:pPr>
            <w:r>
              <w:rPr>
                <w:rFonts w:ascii="Calibri" w:eastAsia="Calibri" w:hAnsi="Calibri" w:cs="Calibri"/>
                <w:b/>
                <w:bCs/>
              </w:rPr>
              <w:t> </w:t>
            </w:r>
          </w:p>
        </w:tc>
        <w:tc>
          <w:tcPr>
            <w:tcW w:w="1275" w:type="dxa"/>
            <w:tcBorders>
              <w:top w:val="nil"/>
              <w:left w:val="nil"/>
              <w:bottom w:val="single" w:sz="8" w:space="0" w:color="000000"/>
              <w:right w:val="single" w:sz="8" w:space="0" w:color="000000"/>
            </w:tcBorders>
            <w:shd w:val="clear" w:color="auto" w:fill="000000"/>
            <w:vAlign w:val="bottom"/>
          </w:tcPr>
          <w:p w:rsidR="00D55703" w14:paraId="4AC07170" w14:textId="77777777">
            <w:pPr>
              <w:widowControl/>
              <w:rPr>
                <w:rFonts w:ascii="Calibri" w:eastAsia="Calibri" w:hAnsi="Calibri" w:cs="Calibri"/>
                <w:b/>
                <w:bCs/>
              </w:rPr>
            </w:pPr>
            <w:r>
              <w:rPr>
                <w:rFonts w:ascii="Calibri" w:eastAsia="Calibri" w:hAnsi="Calibri" w:cs="Calibri"/>
                <w:b/>
                <w:bCs/>
              </w:rPr>
              <w:t> </w:t>
            </w:r>
          </w:p>
        </w:tc>
        <w:tc>
          <w:tcPr>
            <w:tcW w:w="1170" w:type="dxa"/>
            <w:tcBorders>
              <w:top w:val="nil"/>
              <w:left w:val="nil"/>
              <w:bottom w:val="single" w:sz="8" w:space="0" w:color="000000"/>
              <w:right w:val="single" w:sz="8" w:space="0" w:color="000000"/>
            </w:tcBorders>
            <w:shd w:val="clear" w:color="auto" w:fill="DDEBF7"/>
            <w:vAlign w:val="center"/>
          </w:tcPr>
          <w:p w:rsidR="00D55703" w14:paraId="53CCA0EA" w14:textId="77777777">
            <w:pPr>
              <w:widowControl/>
              <w:jc w:val="center"/>
              <w:rPr>
                <w:rFonts w:ascii="Calibri" w:eastAsia="Calibri" w:hAnsi="Calibri" w:cs="Calibri"/>
                <w:b/>
                <w:bCs/>
              </w:rPr>
            </w:pPr>
            <w:r>
              <w:rPr>
                <w:rFonts w:ascii="Calibri" w:eastAsia="Calibri" w:hAnsi="Calibri" w:cs="Calibri"/>
                <w:b/>
                <w:bCs/>
              </w:rPr>
              <w:t> 330</w:t>
            </w:r>
          </w:p>
        </w:tc>
        <w:tc>
          <w:tcPr>
            <w:tcW w:w="1035" w:type="dxa"/>
            <w:tcBorders>
              <w:top w:val="nil"/>
              <w:left w:val="nil"/>
              <w:bottom w:val="single" w:sz="8" w:space="0" w:color="000000"/>
              <w:right w:val="single" w:sz="8" w:space="0" w:color="000000"/>
            </w:tcBorders>
            <w:shd w:val="clear" w:color="auto" w:fill="000000"/>
            <w:vAlign w:val="center"/>
          </w:tcPr>
          <w:p w:rsidR="00D55703" w14:paraId="6C4618EE" w14:textId="77777777">
            <w:pPr>
              <w:widowControl/>
              <w:jc w:val="center"/>
              <w:rPr>
                <w:rFonts w:ascii="Calibri" w:eastAsia="Calibri" w:hAnsi="Calibri" w:cs="Calibri"/>
                <w:b/>
                <w:bCs/>
              </w:rPr>
            </w:pPr>
            <w:r>
              <w:rPr>
                <w:rFonts w:ascii="Calibri" w:eastAsia="Calibri" w:hAnsi="Calibri" w:cs="Calibri"/>
                <w:b/>
                <w:bCs/>
              </w:rPr>
              <w:t> </w:t>
            </w:r>
          </w:p>
        </w:tc>
        <w:tc>
          <w:tcPr>
            <w:tcW w:w="1140" w:type="dxa"/>
            <w:tcBorders>
              <w:top w:val="nil"/>
              <w:left w:val="nil"/>
              <w:bottom w:val="single" w:sz="8" w:space="0" w:color="000000"/>
              <w:right w:val="single" w:sz="8" w:space="0" w:color="000000"/>
            </w:tcBorders>
            <w:shd w:val="clear" w:color="auto" w:fill="DDEBF7"/>
            <w:vAlign w:val="center"/>
          </w:tcPr>
          <w:p w:rsidR="00D55703" w14:paraId="58376031" w14:textId="252FE433">
            <w:pPr>
              <w:widowControl/>
              <w:jc w:val="center"/>
              <w:rPr>
                <w:rFonts w:ascii="Calibri" w:eastAsia="Calibri" w:hAnsi="Calibri" w:cs="Calibri"/>
                <w:b/>
                <w:bCs/>
              </w:rPr>
            </w:pPr>
            <w:r>
              <w:rPr>
                <w:rFonts w:ascii="Calibri" w:eastAsia="Calibri" w:hAnsi="Calibri" w:cs="Calibri"/>
                <w:b/>
                <w:bCs/>
              </w:rPr>
              <w:t>248</w:t>
            </w:r>
          </w:p>
        </w:tc>
        <w:tc>
          <w:tcPr>
            <w:tcW w:w="1365" w:type="dxa"/>
            <w:tcBorders>
              <w:top w:val="nil"/>
              <w:left w:val="nil"/>
              <w:bottom w:val="single" w:sz="8" w:space="0" w:color="000000"/>
              <w:right w:val="single" w:sz="8" w:space="0" w:color="000000"/>
            </w:tcBorders>
            <w:shd w:val="clear" w:color="auto" w:fill="000000"/>
            <w:vAlign w:val="center"/>
          </w:tcPr>
          <w:p w:rsidR="00D55703" w14:paraId="5F7209D8" w14:textId="77777777">
            <w:pPr>
              <w:widowControl/>
              <w:jc w:val="center"/>
              <w:rPr>
                <w:rFonts w:ascii="Calibri" w:eastAsia="Calibri" w:hAnsi="Calibri" w:cs="Calibri"/>
                <w:b/>
                <w:bCs/>
              </w:rPr>
            </w:pPr>
            <w:r>
              <w:rPr>
                <w:rFonts w:ascii="Calibri" w:eastAsia="Calibri" w:hAnsi="Calibri" w:cs="Calibri"/>
                <w:b/>
                <w:bCs/>
              </w:rPr>
              <w:t> </w:t>
            </w:r>
          </w:p>
        </w:tc>
        <w:tc>
          <w:tcPr>
            <w:tcW w:w="1515" w:type="dxa"/>
            <w:tcBorders>
              <w:top w:val="nil"/>
              <w:left w:val="nil"/>
              <w:bottom w:val="single" w:sz="8" w:space="0" w:color="000000"/>
              <w:right w:val="single" w:sz="8" w:space="0" w:color="000000"/>
            </w:tcBorders>
            <w:shd w:val="clear" w:color="auto" w:fill="DDEBF7"/>
            <w:vAlign w:val="center"/>
          </w:tcPr>
          <w:p w:rsidR="00D55703" w14:paraId="34F09FB3" w14:textId="1C7FEC93">
            <w:pPr>
              <w:widowControl/>
              <w:jc w:val="center"/>
              <w:rPr>
                <w:rFonts w:ascii="Calibri" w:eastAsia="Calibri" w:hAnsi="Calibri" w:cs="Calibri"/>
                <w:b/>
                <w:bCs/>
              </w:rPr>
            </w:pPr>
            <w:r>
              <w:rPr>
                <w:rFonts w:ascii="Calibri" w:eastAsia="Calibri" w:hAnsi="Calibri" w:cs="Calibri"/>
                <w:b/>
                <w:bCs/>
              </w:rPr>
              <w:t>19,</w:t>
            </w:r>
            <w:r w:rsidR="006E660B">
              <w:rPr>
                <w:rFonts w:ascii="Calibri" w:eastAsia="Calibri" w:hAnsi="Calibri" w:cs="Calibri"/>
                <w:b/>
                <w:bCs/>
              </w:rPr>
              <w:t>403.52</w:t>
            </w:r>
          </w:p>
        </w:tc>
      </w:tr>
    </w:tbl>
    <w:p w:rsidR="00D55703" w14:paraId="345B1EB7" w14:textId="77777777">
      <w:r>
        <w:rPr>
          <w:sz w:val="20"/>
          <w:szCs w:val="20"/>
          <w:vertAlign w:val="superscript"/>
        </w:rPr>
        <w:t xml:space="preserve">1 </w:t>
      </w:r>
      <w:r>
        <w:rPr>
          <w:sz w:val="20"/>
          <w:szCs w:val="20"/>
        </w:rPr>
        <w:t xml:space="preserve">Equivalent to GS-15 step 1 averaged over the 8 Council localities </w:t>
      </w:r>
    </w:p>
    <w:p w:rsidR="00D55703" w14:paraId="629802AB" w14:textId="77777777">
      <w:pPr>
        <w:spacing w:line="259" w:lineRule="auto"/>
        <w:ind w:hanging="43"/>
        <w:rPr>
          <w:b/>
          <w:bCs/>
        </w:rPr>
      </w:pPr>
    </w:p>
    <w:p w:rsidR="00930C88" w14:paraId="52874CEA" w14:textId="77777777">
      <w:pPr>
        <w:spacing w:line="259" w:lineRule="auto"/>
        <w:ind w:hanging="43"/>
        <w:rPr>
          <w:b/>
          <w:bCs/>
        </w:rPr>
      </w:pPr>
    </w:p>
    <w:p w:rsidR="00930C88" w14:paraId="26B63337" w14:textId="77777777">
      <w:pPr>
        <w:spacing w:line="259" w:lineRule="auto"/>
        <w:ind w:hanging="43"/>
        <w:rPr>
          <w:b/>
          <w:bCs/>
        </w:rPr>
        <w:sectPr w:rsidSect="00442349">
          <w:pgSz w:w="15840" w:h="12240" w:orient="landscape"/>
          <w:pgMar w:top="900" w:right="1080" w:bottom="1200" w:left="1080" w:header="0" w:footer="714" w:gutter="0"/>
          <w:cols w:space="720"/>
        </w:sectPr>
      </w:pPr>
    </w:p>
    <w:p w:rsidR="00D55703" w14:paraId="0611F134" w14:textId="77777777">
      <w:pPr>
        <w:numPr>
          <w:ilvl w:val="0"/>
          <w:numId w:val="1"/>
        </w:numPr>
        <w:pBdr>
          <w:top w:val="nil"/>
          <w:left w:val="nil"/>
          <w:bottom w:val="nil"/>
          <w:right w:val="nil"/>
          <w:between w:val="nil"/>
        </w:pBdr>
        <w:tabs>
          <w:tab w:val="left" w:pos="360"/>
        </w:tabs>
        <w:spacing w:before="80"/>
        <w:ind w:left="0" w:firstLine="0"/>
        <w:rPr>
          <w:b/>
          <w:bCs/>
        </w:rPr>
      </w:pPr>
      <w:r>
        <w:rPr>
          <w:b/>
          <w:bCs/>
        </w:rPr>
        <w:t xml:space="preserve">Provide an estimate for the total annual cost burden to respondents or record keepers resulting from the collection of information. (Do not include the </w:t>
      </w:r>
      <w:r>
        <w:rPr>
          <w:b/>
          <w:bCs/>
        </w:rPr>
        <w:t>cost of any hour burden already reflected on the burden worksheet).</w:t>
      </w:r>
    </w:p>
    <w:p w:rsidR="00D55703" w14:paraId="795EFBDA" w14:textId="77777777"/>
    <w:p w:rsidR="00D55703" w14:paraId="4BF0E197" w14:textId="77777777">
      <w:r>
        <w:t>There are no capital costs or operating and maintenance costs associated with this information collection.</w:t>
      </w:r>
    </w:p>
    <w:p w:rsidR="00D55703" w14:paraId="730B4062" w14:textId="77777777"/>
    <w:p w:rsidR="00D55703" w14:paraId="11B1EA56" w14:textId="77777777">
      <w:pPr>
        <w:numPr>
          <w:ilvl w:val="0"/>
          <w:numId w:val="1"/>
        </w:numPr>
        <w:pBdr>
          <w:top w:val="nil"/>
          <w:left w:val="nil"/>
          <w:bottom w:val="nil"/>
          <w:right w:val="nil"/>
          <w:between w:val="nil"/>
        </w:pBdr>
        <w:tabs>
          <w:tab w:val="left" w:pos="360"/>
        </w:tabs>
        <w:spacing w:before="80"/>
        <w:ind w:left="0" w:firstLine="0"/>
        <w:rPr>
          <w:b/>
          <w:bCs/>
        </w:rPr>
      </w:pPr>
      <w:r>
        <w:rPr>
          <w:b/>
          <w:bCs/>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D55703" w14:paraId="7177AD19" w14:textId="680304C8">
      <w:pPr>
        <w:spacing w:before="240" w:after="240" w:line="259" w:lineRule="auto"/>
      </w:pPr>
      <w:r>
        <w:t xml:space="preserve">Federal costs for this collection are attributed to the review, validation, and storage of the Statement of Financial Interests forms. When a form is submitted, a NOAA Fisheries employee or supported contractor (typically at a </w:t>
      </w:r>
      <w:r w:rsidR="00233FF3">
        <w:t>Commerce Alternative Personnel System (</w:t>
      </w:r>
      <w:r>
        <w:t>CAPS</w:t>
      </w:r>
      <w:r w:rsidR="00233FF3">
        <w:t>)</w:t>
      </w:r>
      <w:r>
        <w:t xml:space="preserve"> ZP-III or ZP-IV level) reviews the disclosure for completeness and potential conflicts of interest. Regional Counsel and Regional Administrators then review any identified conflicts to determine if a voting recusal is necessary. Additionally, Council staff coordinate the public posting of these forms.</w:t>
      </w:r>
    </w:p>
    <w:p w:rsidR="00233FF3" w14:paraId="3A39CD9D" w14:textId="61377740">
      <w:pPr>
        <w:spacing w:before="240" w:after="240" w:line="259" w:lineRule="auto"/>
        <w:rPr>
          <w:b/>
          <w:bCs/>
        </w:rPr>
      </w:pPr>
      <w:r>
        <w:t xml:space="preserve">The Office of Personnel Management (OPM) </w:t>
      </w:r>
      <w:hyperlink r:id="rId21" w:history="1">
        <w:r w:rsidRPr="00233FF3">
          <w:rPr>
            <w:rStyle w:val="Hyperlink"/>
          </w:rPr>
          <w:t>General Schedule</w:t>
        </w:r>
      </w:hyperlink>
      <w:r>
        <w:rPr>
          <w:rStyle w:val="FootnoteReference"/>
        </w:rPr>
        <w:footnoteReference w:id="11"/>
      </w:r>
      <w:r>
        <w:t xml:space="preserve"> for the Rest of U.S. locality was used to determine the base salary.  The Rest of U.S. locality was used as the Regional Council members or nominees are geographically dispersed.  Step 5 was used as the median salary and a multiplier of 1.5 was applied to calculate the loaded salary.</w:t>
      </w:r>
    </w:p>
    <w:p w:rsidR="00D55703" w14:paraId="17387957" w14:textId="77777777">
      <w:pPr>
        <w:spacing w:before="9" w:after="1"/>
        <w:rPr>
          <w:b/>
          <w:bCs/>
        </w:rPr>
      </w:pPr>
    </w:p>
    <w:tbl>
      <w:tblPr>
        <w:tblStyle w:val="a0"/>
        <w:tblW w:w="8910" w:type="dxa"/>
        <w:tblInd w:w="0" w:type="dxa"/>
        <w:tblLayout w:type="fixed"/>
        <w:tblLook w:val="0400"/>
      </w:tblPr>
      <w:tblGrid>
        <w:gridCol w:w="2280"/>
        <w:gridCol w:w="1310"/>
        <w:gridCol w:w="1420"/>
        <w:gridCol w:w="1110"/>
        <w:gridCol w:w="1245"/>
        <w:gridCol w:w="1545"/>
      </w:tblGrid>
      <w:tr w14:paraId="6AC7224A" w14:textId="77777777" w:rsidTr="00233FF3">
        <w:tblPrEx>
          <w:tblW w:w="8910" w:type="dxa"/>
          <w:tblInd w:w="0" w:type="dxa"/>
          <w:tblLayout w:type="fixed"/>
          <w:tblLook w:val="0400"/>
        </w:tblPrEx>
        <w:trPr>
          <w:trHeight w:val="450"/>
        </w:trPr>
        <w:tc>
          <w:tcPr>
            <w:tcW w:w="228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D55703" w:rsidRPr="00233FF3" w:rsidP="00233FF3" w14:paraId="6C93CFC0" w14:textId="77777777">
            <w:pPr>
              <w:widowControl/>
              <w:jc w:val="center"/>
              <w:rPr>
                <w:rFonts w:eastAsia="Calibri" w:asciiTheme="majorHAnsi" w:hAnsiTheme="majorHAnsi" w:cstheme="majorHAnsi"/>
                <w:b/>
                <w:bCs/>
                <w:sz w:val="20"/>
                <w:szCs w:val="20"/>
              </w:rPr>
            </w:pPr>
            <w:r w:rsidRPr="00233FF3">
              <w:rPr>
                <w:rFonts w:eastAsia="Calibri" w:asciiTheme="majorHAnsi" w:hAnsiTheme="majorHAnsi" w:cstheme="majorHAnsi"/>
                <w:b/>
                <w:bCs/>
                <w:sz w:val="20"/>
                <w:szCs w:val="20"/>
              </w:rPr>
              <w:t>Cost Descriptions</w:t>
            </w:r>
          </w:p>
        </w:tc>
        <w:tc>
          <w:tcPr>
            <w:tcW w:w="131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D55703" w:rsidRPr="00233FF3" w:rsidP="00233FF3" w14:paraId="7D95EE16" w14:textId="77777777">
            <w:pPr>
              <w:widowControl/>
              <w:jc w:val="center"/>
              <w:rPr>
                <w:rFonts w:eastAsia="Calibri" w:asciiTheme="majorHAnsi" w:hAnsiTheme="majorHAnsi" w:cstheme="majorHAnsi"/>
                <w:b/>
                <w:bCs/>
                <w:sz w:val="20"/>
                <w:szCs w:val="20"/>
              </w:rPr>
            </w:pPr>
            <w:r w:rsidRPr="00233FF3">
              <w:rPr>
                <w:rFonts w:eastAsia="Calibri" w:asciiTheme="majorHAnsi" w:hAnsiTheme="majorHAnsi" w:cstheme="majorHAnsi"/>
                <w:b/>
                <w:bCs/>
                <w:sz w:val="20"/>
                <w:szCs w:val="20"/>
              </w:rPr>
              <w:t>Grade/Step</w:t>
            </w:r>
          </w:p>
        </w:tc>
        <w:tc>
          <w:tcPr>
            <w:tcW w:w="142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D55703" w:rsidRPr="00233FF3" w:rsidP="00233FF3" w14:paraId="7BDBAD36" w14:textId="77777777">
            <w:pPr>
              <w:widowControl/>
              <w:jc w:val="center"/>
              <w:rPr>
                <w:rFonts w:eastAsia="Calibri" w:asciiTheme="majorHAnsi" w:hAnsiTheme="majorHAnsi" w:cstheme="majorHAnsi"/>
                <w:b/>
                <w:bCs/>
                <w:sz w:val="20"/>
                <w:szCs w:val="20"/>
              </w:rPr>
            </w:pPr>
            <w:r w:rsidRPr="00233FF3">
              <w:rPr>
                <w:rFonts w:eastAsia="Calibri" w:asciiTheme="majorHAnsi" w:hAnsiTheme="majorHAnsi" w:cstheme="majorHAnsi"/>
                <w:b/>
                <w:bCs/>
                <w:sz w:val="20"/>
                <w:szCs w:val="20"/>
              </w:rPr>
              <w:t>Loaded Salary /Cost</w:t>
            </w:r>
          </w:p>
        </w:tc>
        <w:tc>
          <w:tcPr>
            <w:tcW w:w="111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D55703" w:rsidRPr="00233FF3" w:rsidP="00233FF3" w14:paraId="3590EE1F" w14:textId="77777777">
            <w:pPr>
              <w:widowControl/>
              <w:jc w:val="center"/>
              <w:rPr>
                <w:rFonts w:eastAsia="Calibri" w:asciiTheme="majorHAnsi" w:hAnsiTheme="majorHAnsi" w:cstheme="majorHAnsi"/>
                <w:b/>
                <w:bCs/>
                <w:sz w:val="20"/>
                <w:szCs w:val="20"/>
              </w:rPr>
            </w:pPr>
            <w:r w:rsidRPr="00233FF3">
              <w:rPr>
                <w:rFonts w:eastAsia="Calibri" w:asciiTheme="majorHAnsi" w:hAnsiTheme="majorHAnsi" w:cstheme="majorHAnsi"/>
                <w:b/>
                <w:bCs/>
                <w:sz w:val="20"/>
                <w:szCs w:val="20"/>
              </w:rPr>
              <w:t>% of Effort</w:t>
            </w:r>
          </w:p>
        </w:tc>
        <w:tc>
          <w:tcPr>
            <w:tcW w:w="1245"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D55703" w:rsidRPr="00233FF3" w:rsidP="00233FF3" w14:paraId="140BFEB2" w14:textId="77777777">
            <w:pPr>
              <w:widowControl/>
              <w:jc w:val="center"/>
              <w:rPr>
                <w:rFonts w:eastAsia="Calibri" w:asciiTheme="majorHAnsi" w:hAnsiTheme="majorHAnsi" w:cstheme="majorHAnsi"/>
                <w:b/>
                <w:bCs/>
                <w:sz w:val="20"/>
                <w:szCs w:val="20"/>
              </w:rPr>
            </w:pPr>
            <w:r w:rsidRPr="00233FF3">
              <w:rPr>
                <w:rFonts w:eastAsia="Calibri" w:asciiTheme="majorHAnsi" w:hAnsiTheme="majorHAnsi" w:cstheme="majorHAnsi"/>
                <w:b/>
                <w:bCs/>
                <w:sz w:val="20"/>
                <w:szCs w:val="20"/>
              </w:rPr>
              <w:t>Fringe (if Applicable)</w:t>
            </w:r>
          </w:p>
        </w:tc>
        <w:tc>
          <w:tcPr>
            <w:tcW w:w="1545"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D55703" w:rsidRPr="00233FF3" w:rsidP="00233FF3" w14:paraId="2B36A791" w14:textId="77777777">
            <w:pPr>
              <w:widowControl/>
              <w:jc w:val="center"/>
              <w:rPr>
                <w:rFonts w:eastAsia="Calibri" w:asciiTheme="majorHAnsi" w:hAnsiTheme="majorHAnsi" w:cstheme="majorHAnsi"/>
                <w:b/>
                <w:bCs/>
                <w:sz w:val="20"/>
                <w:szCs w:val="20"/>
              </w:rPr>
            </w:pPr>
            <w:r w:rsidRPr="00233FF3">
              <w:rPr>
                <w:rFonts w:eastAsia="Calibri" w:asciiTheme="majorHAnsi" w:hAnsiTheme="majorHAnsi" w:cstheme="majorHAnsi"/>
                <w:b/>
                <w:bCs/>
                <w:sz w:val="20"/>
                <w:szCs w:val="20"/>
              </w:rPr>
              <w:t>Total Cost to Government</w:t>
            </w:r>
          </w:p>
        </w:tc>
      </w:tr>
      <w:tr w14:paraId="2BA46677" w14:textId="77777777" w:rsidTr="00233FF3">
        <w:tblPrEx>
          <w:tblW w:w="8910" w:type="dxa"/>
          <w:tblInd w:w="0" w:type="dxa"/>
          <w:tblLayout w:type="fixed"/>
          <w:tblLook w:val="0400"/>
        </w:tblPrEx>
        <w:trPr>
          <w:trHeight w:val="465"/>
        </w:trPr>
        <w:tc>
          <w:tcPr>
            <w:tcW w:w="2280" w:type="dxa"/>
            <w:tcBorders>
              <w:top w:val="single" w:sz="4" w:space="0" w:color="000000"/>
              <w:left w:val="single" w:sz="8" w:space="0" w:color="000000"/>
              <w:bottom w:val="single" w:sz="4" w:space="0" w:color="000000"/>
              <w:right w:val="single" w:sz="8" w:space="0" w:color="000000"/>
            </w:tcBorders>
            <w:vAlign w:val="center"/>
          </w:tcPr>
          <w:p w:rsidR="00D55703" w:rsidRPr="00233FF3" w:rsidP="00233FF3" w14:paraId="747B6F0F" w14:textId="77777777">
            <w:pPr>
              <w:widowControl/>
              <w:jc w:val="center"/>
              <w:rPr>
                <w:rFonts w:eastAsia="Arial" w:asciiTheme="majorHAnsi" w:hAnsiTheme="majorHAnsi" w:cstheme="majorHAnsi"/>
                <w:b/>
                <w:bCs/>
                <w:sz w:val="20"/>
                <w:szCs w:val="20"/>
              </w:rPr>
            </w:pPr>
            <w:r w:rsidRPr="00233FF3">
              <w:rPr>
                <w:rFonts w:eastAsia="Arial" w:asciiTheme="majorHAnsi" w:hAnsiTheme="majorHAnsi" w:cstheme="majorHAnsi"/>
                <w:b/>
                <w:bCs/>
                <w:sz w:val="20"/>
                <w:szCs w:val="20"/>
              </w:rPr>
              <w:t>Federal Oversight</w:t>
            </w:r>
          </w:p>
        </w:tc>
        <w:tc>
          <w:tcPr>
            <w:tcW w:w="1310" w:type="dxa"/>
            <w:tcBorders>
              <w:top w:val="single" w:sz="4" w:space="0" w:color="000000"/>
              <w:left w:val="nil"/>
              <w:bottom w:val="single" w:sz="4" w:space="0" w:color="000000"/>
              <w:right w:val="single" w:sz="4" w:space="0" w:color="000000"/>
            </w:tcBorders>
            <w:vAlign w:val="center"/>
          </w:tcPr>
          <w:p w:rsidR="00D55703" w:rsidRPr="00233FF3" w:rsidP="00233FF3" w14:paraId="3E608E28"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GS-15/5</w:t>
            </w:r>
          </w:p>
        </w:tc>
        <w:tc>
          <w:tcPr>
            <w:tcW w:w="1420" w:type="dxa"/>
            <w:tcBorders>
              <w:top w:val="single" w:sz="4" w:space="0" w:color="000000"/>
              <w:left w:val="nil"/>
              <w:bottom w:val="single" w:sz="4" w:space="0" w:color="000000"/>
              <w:right w:val="single" w:sz="4" w:space="0" w:color="000000"/>
            </w:tcBorders>
            <w:vAlign w:val="center"/>
          </w:tcPr>
          <w:p w:rsidR="00D55703" w:rsidRPr="00233FF3" w:rsidP="00233FF3" w14:paraId="31EE7367"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$251,508</w:t>
            </w:r>
          </w:p>
          <w:p w:rsidR="00233FF3" w:rsidRPr="00233FF3" w:rsidP="00233FF3" w14:paraId="193A6A2D" w14:textId="586FE49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($120.92/</w:t>
            </w:r>
            <w:r w:rsidRPr="00233FF3">
              <w:rPr>
                <w:rFonts w:eastAsia="Arial" w:asciiTheme="majorHAnsi" w:hAnsiTheme="majorHAnsi" w:cstheme="majorHAnsi"/>
                <w:sz w:val="20"/>
                <w:szCs w:val="20"/>
              </w:rPr>
              <w:t>hr</w:t>
            </w:r>
            <w:r w:rsidRPr="00233FF3">
              <w:rPr>
                <w:rFonts w:eastAsia="Arial" w:asciiTheme="majorHAnsi" w:hAnsiTheme="majorHAnsi" w:cstheme="majorHAnsi"/>
                <w:sz w:val="20"/>
                <w:szCs w:val="20"/>
              </w:rPr>
              <w:t>)</w:t>
            </w:r>
          </w:p>
        </w:tc>
        <w:tc>
          <w:tcPr>
            <w:tcW w:w="1110" w:type="dxa"/>
            <w:tcBorders>
              <w:top w:val="single" w:sz="4" w:space="0" w:color="000000"/>
              <w:left w:val="nil"/>
              <w:bottom w:val="single" w:sz="4" w:space="0" w:color="000000"/>
              <w:right w:val="single" w:sz="4" w:space="0" w:color="000000"/>
            </w:tcBorders>
            <w:vAlign w:val="center"/>
          </w:tcPr>
          <w:p w:rsidR="00D55703" w:rsidRPr="00233FF3" w:rsidP="00233FF3" w14:paraId="71080B6C"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10 hours</w:t>
            </w:r>
          </w:p>
        </w:tc>
        <w:tc>
          <w:tcPr>
            <w:tcW w:w="1245" w:type="dxa"/>
            <w:tcBorders>
              <w:top w:val="single" w:sz="4" w:space="0" w:color="000000"/>
              <w:left w:val="nil"/>
              <w:bottom w:val="single" w:sz="4" w:space="0" w:color="000000"/>
              <w:right w:val="single" w:sz="4" w:space="0" w:color="000000"/>
            </w:tcBorders>
            <w:shd w:val="clear" w:color="auto" w:fill="808080"/>
            <w:vAlign w:val="center"/>
          </w:tcPr>
          <w:p w:rsidR="00D55703" w:rsidRPr="00233FF3" w:rsidP="00233FF3" w14:paraId="5CAB2E96"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545" w:type="dxa"/>
            <w:tcBorders>
              <w:top w:val="single" w:sz="4" w:space="0" w:color="000000"/>
              <w:left w:val="nil"/>
              <w:bottom w:val="single" w:sz="4" w:space="0" w:color="000000"/>
              <w:right w:val="single" w:sz="8" w:space="0" w:color="000000"/>
            </w:tcBorders>
            <w:vAlign w:val="center"/>
          </w:tcPr>
          <w:p w:rsidR="00D55703" w:rsidRPr="00233FF3" w:rsidP="00233FF3" w14:paraId="2E27102D" w14:textId="37DB84DD">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$1</w:t>
            </w:r>
            <w:r w:rsidRPr="00233FF3" w:rsidR="00D90971">
              <w:rPr>
                <w:rFonts w:eastAsia="Arial" w:asciiTheme="majorHAnsi" w:hAnsiTheme="majorHAnsi" w:cstheme="majorHAnsi"/>
                <w:sz w:val="20"/>
                <w:szCs w:val="20"/>
              </w:rPr>
              <w:t>,</w:t>
            </w:r>
            <w:r w:rsidRPr="00233FF3" w:rsidR="00233FF3">
              <w:rPr>
                <w:rFonts w:eastAsia="Arial" w:asciiTheme="majorHAnsi" w:hAnsiTheme="majorHAnsi" w:cstheme="majorHAnsi"/>
                <w:sz w:val="20"/>
                <w:szCs w:val="20"/>
              </w:rPr>
              <w:t>209</w:t>
            </w:r>
          </w:p>
        </w:tc>
      </w:tr>
      <w:tr w14:paraId="342DDFFC" w14:textId="77777777" w:rsidTr="00233FF3">
        <w:tblPrEx>
          <w:tblW w:w="8910" w:type="dxa"/>
          <w:tblInd w:w="0" w:type="dxa"/>
          <w:tblLayout w:type="fixed"/>
          <w:tblLook w:val="0400"/>
        </w:tblPrEx>
        <w:trPr>
          <w:trHeight w:val="300"/>
        </w:trPr>
        <w:tc>
          <w:tcPr>
            <w:tcW w:w="2280" w:type="dxa"/>
            <w:tcBorders>
              <w:top w:val="single" w:sz="4" w:space="0" w:color="000000"/>
              <w:left w:val="single" w:sz="8" w:space="0" w:color="000000"/>
              <w:bottom w:val="single" w:sz="4" w:space="0" w:color="000000"/>
              <w:right w:val="single" w:sz="8" w:space="0" w:color="000000"/>
            </w:tcBorders>
            <w:vAlign w:val="center"/>
          </w:tcPr>
          <w:p w:rsidR="00D55703" w:rsidRPr="00233FF3" w:rsidP="00233FF3" w14:paraId="5CFBAE15"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Other Federal Positions</w:t>
            </w:r>
          </w:p>
        </w:tc>
        <w:tc>
          <w:tcPr>
            <w:tcW w:w="1310" w:type="dxa"/>
            <w:tcBorders>
              <w:top w:val="nil"/>
              <w:left w:val="nil"/>
              <w:bottom w:val="single" w:sz="4" w:space="0" w:color="000000"/>
              <w:right w:val="single" w:sz="4" w:space="0" w:color="000000"/>
            </w:tcBorders>
            <w:vAlign w:val="center"/>
          </w:tcPr>
          <w:p w:rsidR="00D55703" w:rsidRPr="00233FF3" w:rsidP="00233FF3" w14:paraId="3E524714"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GS-11/5</w:t>
            </w:r>
          </w:p>
        </w:tc>
        <w:tc>
          <w:tcPr>
            <w:tcW w:w="1420" w:type="dxa"/>
            <w:tcBorders>
              <w:top w:val="nil"/>
              <w:left w:val="nil"/>
              <w:bottom w:val="single" w:sz="4" w:space="0" w:color="000000"/>
              <w:right w:val="single" w:sz="4" w:space="0" w:color="000000"/>
            </w:tcBorders>
            <w:vAlign w:val="center"/>
          </w:tcPr>
          <w:p w:rsidR="00233FF3" w:rsidRPr="00233FF3" w:rsidP="00233FF3" w14:paraId="355F9F17"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$126,957</w:t>
            </w:r>
          </w:p>
          <w:p w:rsidR="00D55703" w:rsidRPr="00233FF3" w:rsidP="00233FF3" w14:paraId="757D8FDF" w14:textId="00BC51B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($61.04/</w:t>
            </w:r>
            <w:r w:rsidRPr="00233FF3">
              <w:rPr>
                <w:rFonts w:eastAsia="Arial" w:asciiTheme="majorHAnsi" w:hAnsiTheme="majorHAnsi" w:cstheme="majorHAnsi"/>
                <w:sz w:val="20"/>
                <w:szCs w:val="20"/>
              </w:rPr>
              <w:t>hr</w:t>
            </w:r>
            <w:r w:rsidRPr="00233FF3">
              <w:rPr>
                <w:rFonts w:eastAsia="Arial" w:asciiTheme="majorHAnsi" w:hAnsiTheme="majorHAnsi" w:cstheme="majorHAnsi"/>
                <w:sz w:val="20"/>
                <w:szCs w:val="20"/>
              </w:rPr>
              <w:t>)</w:t>
            </w:r>
          </w:p>
        </w:tc>
        <w:tc>
          <w:tcPr>
            <w:tcW w:w="1110" w:type="dxa"/>
            <w:tcBorders>
              <w:top w:val="nil"/>
              <w:left w:val="nil"/>
              <w:bottom w:val="single" w:sz="4" w:space="0" w:color="000000"/>
              <w:right w:val="single" w:sz="4" w:space="0" w:color="000000"/>
            </w:tcBorders>
            <w:vAlign w:val="center"/>
          </w:tcPr>
          <w:p w:rsidR="00D55703" w:rsidRPr="00233FF3" w:rsidP="00233FF3" w14:paraId="6D055465"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xml:space="preserve">30 </w:t>
            </w:r>
            <w:r w:rsidRPr="00233FF3">
              <w:rPr>
                <w:rFonts w:eastAsia="Arial" w:asciiTheme="majorHAnsi" w:hAnsiTheme="majorHAnsi" w:cstheme="majorHAnsi"/>
                <w:sz w:val="20"/>
                <w:szCs w:val="20"/>
              </w:rPr>
              <w:t>hours</w:t>
            </w:r>
          </w:p>
        </w:tc>
        <w:tc>
          <w:tcPr>
            <w:tcW w:w="1245" w:type="dxa"/>
            <w:tcBorders>
              <w:top w:val="nil"/>
              <w:left w:val="nil"/>
              <w:bottom w:val="single" w:sz="4" w:space="0" w:color="000000"/>
              <w:right w:val="single" w:sz="4" w:space="0" w:color="000000"/>
            </w:tcBorders>
            <w:shd w:val="clear" w:color="auto" w:fill="808080"/>
            <w:vAlign w:val="center"/>
          </w:tcPr>
          <w:p w:rsidR="00D55703" w:rsidRPr="00233FF3" w:rsidP="00233FF3" w14:paraId="0083A699"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545" w:type="dxa"/>
            <w:tcBorders>
              <w:top w:val="nil"/>
              <w:left w:val="nil"/>
              <w:bottom w:val="single" w:sz="4" w:space="0" w:color="000000"/>
              <w:right w:val="single" w:sz="8" w:space="0" w:color="000000"/>
            </w:tcBorders>
            <w:vAlign w:val="center"/>
          </w:tcPr>
          <w:p w:rsidR="00D55703" w:rsidRPr="00233FF3" w:rsidP="00233FF3" w14:paraId="559AF174" w14:textId="0F16288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$1</w:t>
            </w:r>
            <w:r w:rsidRPr="00233FF3" w:rsidR="00D90971">
              <w:rPr>
                <w:rFonts w:eastAsia="Arial" w:asciiTheme="majorHAnsi" w:hAnsiTheme="majorHAnsi" w:cstheme="majorHAnsi"/>
                <w:sz w:val="20"/>
                <w:szCs w:val="20"/>
              </w:rPr>
              <w:t>,</w:t>
            </w:r>
            <w:r w:rsidRPr="00233FF3" w:rsidR="00233FF3">
              <w:rPr>
                <w:rFonts w:eastAsia="Arial" w:asciiTheme="majorHAnsi" w:hAnsiTheme="majorHAnsi" w:cstheme="majorHAnsi"/>
                <w:sz w:val="20"/>
                <w:szCs w:val="20"/>
              </w:rPr>
              <w:t>831</w:t>
            </w:r>
          </w:p>
        </w:tc>
      </w:tr>
      <w:tr w14:paraId="066A5606" w14:textId="77777777" w:rsidTr="00233FF3">
        <w:tblPrEx>
          <w:tblW w:w="8910" w:type="dxa"/>
          <w:tblInd w:w="0" w:type="dxa"/>
          <w:tblLayout w:type="fixed"/>
          <w:tblLook w:val="0400"/>
        </w:tblPrEx>
        <w:trPr>
          <w:trHeight w:val="300"/>
        </w:trPr>
        <w:tc>
          <w:tcPr>
            <w:tcW w:w="2280" w:type="dxa"/>
            <w:tcBorders>
              <w:top w:val="single" w:sz="4" w:space="0" w:color="000000"/>
              <w:left w:val="single" w:sz="8" w:space="0" w:color="000000"/>
              <w:bottom w:val="single" w:sz="4" w:space="0" w:color="000000"/>
              <w:right w:val="single" w:sz="8" w:space="0" w:color="000000"/>
            </w:tcBorders>
            <w:vAlign w:val="center"/>
          </w:tcPr>
          <w:p w:rsidR="00D55703" w:rsidRPr="00233FF3" w:rsidP="00233FF3" w14:paraId="5EF69A9D"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310" w:type="dxa"/>
            <w:tcBorders>
              <w:top w:val="nil"/>
              <w:left w:val="nil"/>
              <w:bottom w:val="single" w:sz="4" w:space="0" w:color="000000"/>
              <w:right w:val="single" w:sz="4" w:space="0" w:color="000000"/>
            </w:tcBorders>
            <w:vAlign w:val="center"/>
          </w:tcPr>
          <w:p w:rsidR="00D55703" w:rsidRPr="00233FF3" w:rsidP="00233FF3" w14:paraId="35967199"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420" w:type="dxa"/>
            <w:tcBorders>
              <w:top w:val="nil"/>
              <w:left w:val="nil"/>
              <w:bottom w:val="single" w:sz="4" w:space="0" w:color="000000"/>
              <w:right w:val="single" w:sz="4" w:space="0" w:color="000000"/>
            </w:tcBorders>
            <w:vAlign w:val="center"/>
          </w:tcPr>
          <w:p w:rsidR="00D55703" w:rsidRPr="00233FF3" w:rsidP="00233FF3" w14:paraId="6790B805"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110" w:type="dxa"/>
            <w:tcBorders>
              <w:top w:val="nil"/>
              <w:left w:val="nil"/>
              <w:bottom w:val="single" w:sz="4" w:space="0" w:color="000000"/>
              <w:right w:val="single" w:sz="4" w:space="0" w:color="000000"/>
            </w:tcBorders>
            <w:vAlign w:val="center"/>
          </w:tcPr>
          <w:p w:rsidR="00D55703" w:rsidRPr="00233FF3" w:rsidP="00233FF3" w14:paraId="35F095EC"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245" w:type="dxa"/>
            <w:tcBorders>
              <w:top w:val="nil"/>
              <w:left w:val="nil"/>
              <w:bottom w:val="single" w:sz="4" w:space="0" w:color="000000"/>
              <w:right w:val="single" w:sz="4" w:space="0" w:color="000000"/>
            </w:tcBorders>
            <w:shd w:val="clear" w:color="auto" w:fill="808080"/>
            <w:vAlign w:val="center"/>
          </w:tcPr>
          <w:p w:rsidR="00D55703" w:rsidRPr="00233FF3" w:rsidP="00233FF3" w14:paraId="69B44D1B"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545" w:type="dxa"/>
            <w:tcBorders>
              <w:top w:val="nil"/>
              <w:left w:val="nil"/>
              <w:bottom w:val="single" w:sz="4" w:space="0" w:color="000000"/>
              <w:right w:val="single" w:sz="8" w:space="0" w:color="000000"/>
            </w:tcBorders>
            <w:vAlign w:val="center"/>
          </w:tcPr>
          <w:p w:rsidR="00D55703" w:rsidRPr="00233FF3" w:rsidP="00233FF3" w14:paraId="44FF04DC"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r>
      <w:tr w14:paraId="68F8A7B7" w14:textId="77777777" w:rsidTr="00233FF3">
        <w:tblPrEx>
          <w:tblW w:w="8910" w:type="dxa"/>
          <w:tblInd w:w="0" w:type="dxa"/>
          <w:tblLayout w:type="fixed"/>
          <w:tblLook w:val="0400"/>
        </w:tblPrEx>
        <w:trPr>
          <w:trHeight w:val="300"/>
        </w:trPr>
        <w:tc>
          <w:tcPr>
            <w:tcW w:w="2280" w:type="dxa"/>
            <w:tcBorders>
              <w:top w:val="single" w:sz="4" w:space="0" w:color="000000"/>
              <w:left w:val="single" w:sz="8" w:space="0" w:color="000000"/>
              <w:bottom w:val="single" w:sz="4" w:space="0" w:color="000000"/>
              <w:right w:val="single" w:sz="8" w:space="0" w:color="000000"/>
            </w:tcBorders>
            <w:vAlign w:val="center"/>
          </w:tcPr>
          <w:p w:rsidR="00D55703" w:rsidRPr="00233FF3" w:rsidP="00233FF3" w14:paraId="3872DF73"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310" w:type="dxa"/>
            <w:tcBorders>
              <w:top w:val="nil"/>
              <w:left w:val="nil"/>
              <w:bottom w:val="single" w:sz="4" w:space="0" w:color="000000"/>
              <w:right w:val="single" w:sz="4" w:space="0" w:color="000000"/>
            </w:tcBorders>
            <w:vAlign w:val="center"/>
          </w:tcPr>
          <w:p w:rsidR="00D55703" w:rsidRPr="00233FF3" w:rsidP="00233FF3" w14:paraId="29F30C41"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420" w:type="dxa"/>
            <w:tcBorders>
              <w:top w:val="nil"/>
              <w:left w:val="nil"/>
              <w:bottom w:val="single" w:sz="4" w:space="0" w:color="000000"/>
              <w:right w:val="single" w:sz="4" w:space="0" w:color="000000"/>
            </w:tcBorders>
            <w:vAlign w:val="center"/>
          </w:tcPr>
          <w:p w:rsidR="00D55703" w:rsidRPr="00233FF3" w:rsidP="00233FF3" w14:paraId="6C29EC68"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110" w:type="dxa"/>
            <w:tcBorders>
              <w:top w:val="nil"/>
              <w:left w:val="nil"/>
              <w:bottom w:val="single" w:sz="4" w:space="0" w:color="000000"/>
              <w:right w:val="single" w:sz="4" w:space="0" w:color="000000"/>
            </w:tcBorders>
            <w:vAlign w:val="center"/>
          </w:tcPr>
          <w:p w:rsidR="00D55703" w:rsidRPr="00233FF3" w:rsidP="00233FF3" w14:paraId="1F5F46F9"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245" w:type="dxa"/>
            <w:tcBorders>
              <w:top w:val="nil"/>
              <w:left w:val="nil"/>
              <w:bottom w:val="single" w:sz="4" w:space="0" w:color="000000"/>
              <w:right w:val="single" w:sz="4" w:space="0" w:color="000000"/>
            </w:tcBorders>
            <w:shd w:val="clear" w:color="auto" w:fill="808080"/>
            <w:vAlign w:val="center"/>
          </w:tcPr>
          <w:p w:rsidR="00D55703" w:rsidRPr="00233FF3" w:rsidP="00233FF3" w14:paraId="2532753B"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545" w:type="dxa"/>
            <w:tcBorders>
              <w:top w:val="nil"/>
              <w:left w:val="nil"/>
              <w:bottom w:val="single" w:sz="4" w:space="0" w:color="000000"/>
              <w:right w:val="single" w:sz="8" w:space="0" w:color="000000"/>
            </w:tcBorders>
            <w:vAlign w:val="center"/>
          </w:tcPr>
          <w:p w:rsidR="00D55703" w:rsidRPr="00233FF3" w:rsidP="00233FF3" w14:paraId="1BC829CF"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r>
      <w:tr w14:paraId="04B2034C" w14:textId="77777777" w:rsidTr="00233FF3">
        <w:tblPrEx>
          <w:tblW w:w="8910" w:type="dxa"/>
          <w:tblInd w:w="0" w:type="dxa"/>
          <w:tblLayout w:type="fixed"/>
          <w:tblLook w:val="0400"/>
        </w:tblPrEx>
        <w:trPr>
          <w:trHeight w:val="465"/>
        </w:trPr>
        <w:tc>
          <w:tcPr>
            <w:tcW w:w="2280" w:type="dxa"/>
            <w:tcBorders>
              <w:top w:val="single" w:sz="4" w:space="0" w:color="000000"/>
              <w:left w:val="single" w:sz="8" w:space="0" w:color="000000"/>
              <w:bottom w:val="single" w:sz="4" w:space="0" w:color="000000"/>
              <w:right w:val="single" w:sz="8" w:space="0" w:color="000000"/>
            </w:tcBorders>
            <w:vAlign w:val="center"/>
          </w:tcPr>
          <w:p w:rsidR="00D55703" w:rsidRPr="00233FF3" w:rsidP="00233FF3" w14:paraId="2646F631" w14:textId="77777777">
            <w:pPr>
              <w:widowControl/>
              <w:jc w:val="center"/>
              <w:rPr>
                <w:rFonts w:eastAsia="Arial" w:asciiTheme="majorHAnsi" w:hAnsiTheme="majorHAnsi" w:cstheme="majorHAnsi"/>
                <w:b/>
                <w:bCs/>
                <w:sz w:val="20"/>
                <w:szCs w:val="20"/>
              </w:rPr>
            </w:pPr>
            <w:r w:rsidRPr="00233FF3">
              <w:rPr>
                <w:rFonts w:eastAsia="Arial" w:asciiTheme="majorHAnsi" w:hAnsiTheme="majorHAnsi" w:cstheme="majorHAnsi"/>
                <w:b/>
                <w:bCs/>
                <w:sz w:val="20"/>
                <w:szCs w:val="20"/>
              </w:rPr>
              <w:t>Contractor Cost</w:t>
            </w:r>
          </w:p>
        </w:tc>
        <w:tc>
          <w:tcPr>
            <w:tcW w:w="1310" w:type="dxa"/>
            <w:tcBorders>
              <w:top w:val="nil"/>
              <w:left w:val="nil"/>
              <w:bottom w:val="single" w:sz="4" w:space="0" w:color="000000"/>
              <w:right w:val="single" w:sz="4" w:space="0" w:color="000000"/>
            </w:tcBorders>
            <w:shd w:val="clear" w:color="auto" w:fill="808080"/>
            <w:vAlign w:val="center"/>
          </w:tcPr>
          <w:p w:rsidR="00D55703" w:rsidRPr="00233FF3" w:rsidP="00233FF3" w14:paraId="0B5F800F"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420" w:type="dxa"/>
            <w:tcBorders>
              <w:top w:val="nil"/>
              <w:left w:val="nil"/>
              <w:bottom w:val="single" w:sz="4" w:space="0" w:color="000000"/>
              <w:right w:val="single" w:sz="4" w:space="0" w:color="000000"/>
            </w:tcBorders>
            <w:vAlign w:val="center"/>
          </w:tcPr>
          <w:p w:rsidR="00D55703" w:rsidRPr="00233FF3" w:rsidP="00233FF3" w14:paraId="69C07326" w14:textId="0FB60A1E">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r w:rsidRPr="00233FF3" w:rsidR="00233FF3">
              <w:rPr>
                <w:rFonts w:eastAsia="Arial" w:asciiTheme="majorHAnsi" w:hAnsiTheme="majorHAnsi" w:cstheme="majorHAnsi"/>
                <w:sz w:val="20"/>
                <w:szCs w:val="20"/>
              </w:rPr>
              <w:t>$</w:t>
            </w:r>
            <w:r w:rsidRPr="00233FF3">
              <w:rPr>
                <w:rFonts w:eastAsia="Arial" w:asciiTheme="majorHAnsi" w:hAnsiTheme="majorHAnsi" w:cstheme="majorHAnsi"/>
                <w:sz w:val="20"/>
                <w:szCs w:val="20"/>
              </w:rPr>
              <w:t>36.45</w:t>
            </w:r>
            <w:r w:rsidRPr="00233FF3" w:rsidR="00233FF3">
              <w:rPr>
                <w:rFonts w:eastAsia="Arial" w:asciiTheme="majorHAnsi" w:hAnsiTheme="majorHAnsi" w:cstheme="majorHAnsi"/>
                <w:sz w:val="20"/>
                <w:szCs w:val="20"/>
              </w:rPr>
              <w:t>/</w:t>
            </w:r>
            <w:r w:rsidRPr="00233FF3" w:rsidR="00233FF3">
              <w:rPr>
                <w:rFonts w:eastAsia="Arial" w:asciiTheme="majorHAnsi" w:hAnsiTheme="majorHAnsi" w:cstheme="majorHAnsi"/>
                <w:sz w:val="20"/>
                <w:szCs w:val="20"/>
              </w:rPr>
              <w:t>hr</w:t>
            </w:r>
          </w:p>
        </w:tc>
        <w:tc>
          <w:tcPr>
            <w:tcW w:w="1110" w:type="dxa"/>
            <w:tcBorders>
              <w:top w:val="nil"/>
              <w:left w:val="nil"/>
              <w:bottom w:val="single" w:sz="4" w:space="0" w:color="000000"/>
              <w:right w:val="single" w:sz="4" w:space="0" w:color="000000"/>
            </w:tcBorders>
            <w:vAlign w:val="center"/>
          </w:tcPr>
          <w:p w:rsidR="00D55703" w:rsidRPr="00233FF3" w:rsidP="00233FF3" w14:paraId="170E5F62"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15 hours</w:t>
            </w:r>
          </w:p>
        </w:tc>
        <w:tc>
          <w:tcPr>
            <w:tcW w:w="1245" w:type="dxa"/>
            <w:tcBorders>
              <w:top w:val="nil"/>
              <w:left w:val="nil"/>
              <w:bottom w:val="single" w:sz="4" w:space="0" w:color="000000"/>
              <w:right w:val="single" w:sz="4" w:space="0" w:color="000000"/>
            </w:tcBorders>
            <w:vAlign w:val="center"/>
          </w:tcPr>
          <w:p w:rsidR="00D55703" w:rsidRPr="00233FF3" w:rsidP="00233FF3" w14:paraId="1D6DFFA1"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545" w:type="dxa"/>
            <w:tcBorders>
              <w:top w:val="nil"/>
              <w:left w:val="nil"/>
              <w:bottom w:val="single" w:sz="4" w:space="0" w:color="000000"/>
              <w:right w:val="single" w:sz="8" w:space="0" w:color="000000"/>
            </w:tcBorders>
            <w:vAlign w:val="center"/>
          </w:tcPr>
          <w:p w:rsidR="00D55703" w:rsidRPr="00233FF3" w:rsidP="00233FF3" w14:paraId="1FF492D7" w14:textId="37E141F0">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r w:rsidRPr="00233FF3" w:rsidR="00CF3FCC">
              <w:rPr>
                <w:rFonts w:eastAsia="Arial" w:asciiTheme="majorHAnsi" w:hAnsiTheme="majorHAnsi" w:cstheme="majorHAnsi"/>
                <w:sz w:val="20"/>
                <w:szCs w:val="20"/>
              </w:rPr>
              <w:t>$</w:t>
            </w:r>
            <w:r w:rsidRPr="00233FF3" w:rsidR="00233FF3">
              <w:rPr>
                <w:rFonts w:eastAsia="Arial" w:asciiTheme="majorHAnsi" w:hAnsiTheme="majorHAnsi" w:cstheme="majorHAnsi"/>
                <w:sz w:val="20"/>
                <w:szCs w:val="20"/>
              </w:rPr>
              <w:t>547</w:t>
            </w:r>
          </w:p>
        </w:tc>
      </w:tr>
      <w:tr w14:paraId="7706EA8E" w14:textId="77777777" w:rsidTr="00233FF3">
        <w:tblPrEx>
          <w:tblW w:w="8910" w:type="dxa"/>
          <w:tblInd w:w="0" w:type="dxa"/>
          <w:tblLayout w:type="fixed"/>
          <w:tblLook w:val="0400"/>
        </w:tblPrEx>
        <w:trPr>
          <w:trHeight w:val="300"/>
        </w:trPr>
        <w:tc>
          <w:tcPr>
            <w:tcW w:w="2280" w:type="dxa"/>
            <w:tcBorders>
              <w:top w:val="single" w:sz="4" w:space="0" w:color="000000"/>
              <w:left w:val="single" w:sz="8" w:space="0" w:color="000000"/>
              <w:bottom w:val="single" w:sz="4" w:space="0" w:color="000000"/>
              <w:right w:val="single" w:sz="8" w:space="0" w:color="000000"/>
            </w:tcBorders>
            <w:vAlign w:val="center"/>
          </w:tcPr>
          <w:p w:rsidR="00D55703" w:rsidRPr="00233FF3" w:rsidP="00233FF3" w14:paraId="3C352F22"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310" w:type="dxa"/>
            <w:tcBorders>
              <w:top w:val="nil"/>
              <w:left w:val="nil"/>
              <w:bottom w:val="single" w:sz="4" w:space="0" w:color="000000"/>
              <w:right w:val="single" w:sz="4" w:space="0" w:color="000000"/>
            </w:tcBorders>
            <w:vAlign w:val="center"/>
          </w:tcPr>
          <w:p w:rsidR="00D55703" w:rsidRPr="00233FF3" w:rsidP="00233FF3" w14:paraId="5F5E11DA"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420" w:type="dxa"/>
            <w:tcBorders>
              <w:top w:val="nil"/>
              <w:left w:val="nil"/>
              <w:bottom w:val="single" w:sz="4" w:space="0" w:color="000000"/>
              <w:right w:val="single" w:sz="4" w:space="0" w:color="000000"/>
            </w:tcBorders>
            <w:vAlign w:val="center"/>
          </w:tcPr>
          <w:p w:rsidR="00D55703" w:rsidRPr="00233FF3" w:rsidP="00233FF3" w14:paraId="36DFC49E"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110" w:type="dxa"/>
            <w:tcBorders>
              <w:top w:val="nil"/>
              <w:left w:val="nil"/>
              <w:bottom w:val="single" w:sz="4" w:space="0" w:color="000000"/>
              <w:right w:val="single" w:sz="4" w:space="0" w:color="000000"/>
            </w:tcBorders>
            <w:vAlign w:val="center"/>
          </w:tcPr>
          <w:p w:rsidR="00D55703" w:rsidRPr="00233FF3" w:rsidP="00233FF3" w14:paraId="4186B4DE"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245" w:type="dxa"/>
            <w:tcBorders>
              <w:top w:val="nil"/>
              <w:left w:val="nil"/>
              <w:bottom w:val="single" w:sz="4" w:space="0" w:color="000000"/>
              <w:right w:val="single" w:sz="4" w:space="0" w:color="000000"/>
            </w:tcBorders>
            <w:vAlign w:val="center"/>
          </w:tcPr>
          <w:p w:rsidR="00D55703" w:rsidRPr="00233FF3" w:rsidP="00233FF3" w14:paraId="67D58FD3"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545" w:type="dxa"/>
            <w:tcBorders>
              <w:top w:val="nil"/>
              <w:left w:val="nil"/>
              <w:bottom w:val="single" w:sz="4" w:space="0" w:color="000000"/>
              <w:right w:val="single" w:sz="8" w:space="0" w:color="000000"/>
            </w:tcBorders>
            <w:vAlign w:val="center"/>
          </w:tcPr>
          <w:p w:rsidR="00D55703" w:rsidRPr="00233FF3" w:rsidP="00233FF3" w14:paraId="06FB7011"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r>
      <w:tr w14:paraId="7498F625" w14:textId="77777777" w:rsidTr="00233FF3">
        <w:tblPrEx>
          <w:tblW w:w="8910" w:type="dxa"/>
          <w:tblInd w:w="0" w:type="dxa"/>
          <w:tblLayout w:type="fixed"/>
          <w:tblLook w:val="0400"/>
        </w:tblPrEx>
        <w:trPr>
          <w:trHeight w:val="300"/>
        </w:trPr>
        <w:tc>
          <w:tcPr>
            <w:tcW w:w="2280" w:type="dxa"/>
            <w:tcBorders>
              <w:top w:val="single" w:sz="4" w:space="0" w:color="000000"/>
              <w:left w:val="single" w:sz="8" w:space="0" w:color="000000"/>
              <w:bottom w:val="single" w:sz="4" w:space="0" w:color="000000"/>
              <w:right w:val="single" w:sz="8" w:space="0" w:color="000000"/>
            </w:tcBorders>
            <w:vAlign w:val="center"/>
          </w:tcPr>
          <w:p w:rsidR="00D55703" w:rsidRPr="00233FF3" w:rsidP="00233FF3" w14:paraId="5F613422"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310" w:type="dxa"/>
            <w:tcBorders>
              <w:top w:val="nil"/>
              <w:left w:val="nil"/>
              <w:bottom w:val="single" w:sz="4" w:space="0" w:color="000000"/>
              <w:right w:val="single" w:sz="4" w:space="0" w:color="000000"/>
            </w:tcBorders>
            <w:vAlign w:val="center"/>
          </w:tcPr>
          <w:p w:rsidR="00D55703" w:rsidRPr="00233FF3" w:rsidP="00233FF3" w14:paraId="2F19E195"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420" w:type="dxa"/>
            <w:tcBorders>
              <w:top w:val="nil"/>
              <w:left w:val="nil"/>
              <w:bottom w:val="single" w:sz="4" w:space="0" w:color="000000"/>
              <w:right w:val="single" w:sz="4" w:space="0" w:color="000000"/>
            </w:tcBorders>
            <w:vAlign w:val="center"/>
          </w:tcPr>
          <w:p w:rsidR="00D55703" w:rsidRPr="00233FF3" w:rsidP="00233FF3" w14:paraId="0EEFD3D2"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110" w:type="dxa"/>
            <w:tcBorders>
              <w:top w:val="nil"/>
              <w:left w:val="nil"/>
              <w:bottom w:val="single" w:sz="4" w:space="0" w:color="000000"/>
              <w:right w:val="single" w:sz="4" w:space="0" w:color="000000"/>
            </w:tcBorders>
            <w:vAlign w:val="center"/>
          </w:tcPr>
          <w:p w:rsidR="00D55703" w:rsidRPr="00233FF3" w:rsidP="00233FF3" w14:paraId="219DC5BB"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245" w:type="dxa"/>
            <w:tcBorders>
              <w:top w:val="nil"/>
              <w:left w:val="nil"/>
              <w:bottom w:val="single" w:sz="4" w:space="0" w:color="000000"/>
              <w:right w:val="single" w:sz="4" w:space="0" w:color="000000"/>
            </w:tcBorders>
            <w:vAlign w:val="center"/>
          </w:tcPr>
          <w:p w:rsidR="00D55703" w:rsidRPr="00233FF3" w:rsidP="00233FF3" w14:paraId="3CB75161"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545" w:type="dxa"/>
            <w:tcBorders>
              <w:top w:val="nil"/>
              <w:left w:val="nil"/>
              <w:bottom w:val="single" w:sz="4" w:space="0" w:color="000000"/>
              <w:right w:val="single" w:sz="8" w:space="0" w:color="000000"/>
            </w:tcBorders>
            <w:vAlign w:val="center"/>
          </w:tcPr>
          <w:p w:rsidR="00D55703" w:rsidRPr="00233FF3" w:rsidP="00233FF3" w14:paraId="5FB9C3CA"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r>
      <w:tr w14:paraId="59544CCE" w14:textId="77777777" w:rsidTr="00233FF3">
        <w:tblPrEx>
          <w:tblW w:w="8910" w:type="dxa"/>
          <w:tblInd w:w="0" w:type="dxa"/>
          <w:tblLayout w:type="fixed"/>
          <w:tblLook w:val="0400"/>
        </w:tblPrEx>
        <w:trPr>
          <w:trHeight w:val="300"/>
        </w:trPr>
        <w:tc>
          <w:tcPr>
            <w:tcW w:w="2280" w:type="dxa"/>
            <w:tcBorders>
              <w:top w:val="single" w:sz="4" w:space="0" w:color="000000"/>
              <w:left w:val="single" w:sz="8" w:space="0" w:color="000000"/>
              <w:bottom w:val="single" w:sz="4" w:space="0" w:color="000000"/>
              <w:right w:val="single" w:sz="8" w:space="0" w:color="000000"/>
            </w:tcBorders>
            <w:vAlign w:val="center"/>
          </w:tcPr>
          <w:p w:rsidR="00D55703" w:rsidRPr="00233FF3" w:rsidP="00233FF3" w14:paraId="2B27DA83" w14:textId="77777777">
            <w:pPr>
              <w:widowControl/>
              <w:jc w:val="center"/>
              <w:rPr>
                <w:rFonts w:eastAsia="Arial" w:asciiTheme="majorHAnsi" w:hAnsiTheme="majorHAnsi" w:cstheme="majorHAnsi"/>
                <w:b/>
                <w:bCs/>
                <w:sz w:val="20"/>
                <w:szCs w:val="20"/>
              </w:rPr>
            </w:pPr>
            <w:r w:rsidRPr="00233FF3">
              <w:rPr>
                <w:rFonts w:eastAsia="Arial" w:asciiTheme="majorHAnsi" w:hAnsiTheme="majorHAnsi" w:cstheme="majorHAnsi"/>
                <w:b/>
                <w:bCs/>
                <w:sz w:val="20"/>
                <w:szCs w:val="20"/>
              </w:rPr>
              <w:t>Travel</w:t>
            </w:r>
          </w:p>
        </w:tc>
        <w:tc>
          <w:tcPr>
            <w:tcW w:w="1310" w:type="dxa"/>
            <w:tcBorders>
              <w:top w:val="nil"/>
              <w:left w:val="nil"/>
              <w:bottom w:val="single" w:sz="4" w:space="0" w:color="000000"/>
              <w:right w:val="single" w:sz="4" w:space="0" w:color="000000"/>
            </w:tcBorders>
            <w:shd w:val="clear" w:color="auto" w:fill="808080"/>
            <w:vAlign w:val="center"/>
          </w:tcPr>
          <w:p w:rsidR="00D55703" w:rsidRPr="00233FF3" w:rsidP="00233FF3" w14:paraId="32F68AD0"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420" w:type="dxa"/>
            <w:tcBorders>
              <w:top w:val="nil"/>
              <w:left w:val="nil"/>
              <w:bottom w:val="single" w:sz="4" w:space="0" w:color="000000"/>
              <w:right w:val="single" w:sz="4" w:space="0" w:color="000000"/>
            </w:tcBorders>
            <w:shd w:val="clear" w:color="auto" w:fill="808080"/>
            <w:vAlign w:val="center"/>
          </w:tcPr>
          <w:p w:rsidR="00D55703" w:rsidRPr="00233FF3" w:rsidP="00233FF3" w14:paraId="37382262"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110" w:type="dxa"/>
            <w:tcBorders>
              <w:top w:val="nil"/>
              <w:left w:val="nil"/>
              <w:bottom w:val="single" w:sz="4" w:space="0" w:color="000000"/>
              <w:right w:val="single" w:sz="4" w:space="0" w:color="000000"/>
            </w:tcBorders>
            <w:shd w:val="clear" w:color="auto" w:fill="808080"/>
            <w:vAlign w:val="center"/>
          </w:tcPr>
          <w:p w:rsidR="00D55703" w:rsidRPr="00233FF3" w:rsidP="00233FF3" w14:paraId="7F8BD4C0"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245" w:type="dxa"/>
            <w:tcBorders>
              <w:top w:val="nil"/>
              <w:left w:val="nil"/>
              <w:bottom w:val="single" w:sz="4" w:space="0" w:color="000000"/>
              <w:right w:val="single" w:sz="4" w:space="0" w:color="000000"/>
            </w:tcBorders>
            <w:shd w:val="clear" w:color="auto" w:fill="808080"/>
            <w:vAlign w:val="center"/>
          </w:tcPr>
          <w:p w:rsidR="00D55703" w:rsidRPr="00233FF3" w:rsidP="00233FF3" w14:paraId="326DD112"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545" w:type="dxa"/>
            <w:tcBorders>
              <w:top w:val="nil"/>
              <w:left w:val="nil"/>
              <w:bottom w:val="single" w:sz="4" w:space="0" w:color="000000"/>
              <w:right w:val="single" w:sz="8" w:space="0" w:color="000000"/>
            </w:tcBorders>
            <w:vAlign w:val="center"/>
          </w:tcPr>
          <w:p w:rsidR="00D55703" w:rsidRPr="00233FF3" w:rsidP="00233FF3" w14:paraId="39FA7B2D"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r>
      <w:tr w14:paraId="75697D93" w14:textId="77777777" w:rsidTr="00233FF3">
        <w:tblPrEx>
          <w:tblW w:w="8910" w:type="dxa"/>
          <w:tblInd w:w="0" w:type="dxa"/>
          <w:tblLayout w:type="fixed"/>
          <w:tblLook w:val="0400"/>
        </w:tblPrEx>
        <w:trPr>
          <w:trHeight w:val="525"/>
        </w:trPr>
        <w:tc>
          <w:tcPr>
            <w:tcW w:w="2280" w:type="dxa"/>
            <w:tcBorders>
              <w:top w:val="single" w:sz="4" w:space="0" w:color="000000"/>
              <w:left w:val="single" w:sz="8" w:space="0" w:color="000000"/>
              <w:bottom w:val="single" w:sz="8" w:space="0" w:color="000000"/>
              <w:right w:val="single" w:sz="8" w:space="0" w:color="000000"/>
            </w:tcBorders>
            <w:vAlign w:val="center"/>
          </w:tcPr>
          <w:p w:rsidR="00D55703" w:rsidRPr="00233FF3" w:rsidP="00233FF3" w14:paraId="1213646A" w14:textId="77777777">
            <w:pPr>
              <w:widowControl/>
              <w:jc w:val="center"/>
              <w:rPr>
                <w:rFonts w:eastAsia="Arial" w:asciiTheme="majorHAnsi" w:hAnsiTheme="majorHAnsi" w:cstheme="majorHAnsi"/>
                <w:b/>
                <w:bCs/>
                <w:sz w:val="20"/>
                <w:szCs w:val="20"/>
              </w:rPr>
            </w:pPr>
            <w:r w:rsidRPr="00233FF3">
              <w:rPr>
                <w:rFonts w:eastAsia="Arial" w:asciiTheme="majorHAnsi" w:hAnsiTheme="majorHAnsi" w:cstheme="majorHAnsi"/>
                <w:b/>
                <w:bCs/>
                <w:sz w:val="20"/>
                <w:szCs w:val="20"/>
              </w:rPr>
              <w:t xml:space="preserve">Other Costs: </w:t>
            </w:r>
          </w:p>
        </w:tc>
        <w:tc>
          <w:tcPr>
            <w:tcW w:w="1310" w:type="dxa"/>
            <w:tcBorders>
              <w:top w:val="nil"/>
              <w:left w:val="nil"/>
              <w:bottom w:val="single" w:sz="4" w:space="0" w:color="000000"/>
              <w:right w:val="single" w:sz="4" w:space="0" w:color="000000"/>
            </w:tcBorders>
            <w:shd w:val="clear" w:color="auto" w:fill="808080"/>
            <w:vAlign w:val="center"/>
          </w:tcPr>
          <w:p w:rsidR="00D55703" w:rsidRPr="00233FF3" w:rsidP="00233FF3" w14:paraId="0CFFE75D"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420" w:type="dxa"/>
            <w:tcBorders>
              <w:top w:val="nil"/>
              <w:left w:val="nil"/>
              <w:bottom w:val="single" w:sz="4" w:space="0" w:color="000000"/>
              <w:right w:val="single" w:sz="4" w:space="0" w:color="000000"/>
            </w:tcBorders>
            <w:shd w:val="clear" w:color="auto" w:fill="808080"/>
            <w:vAlign w:val="center"/>
          </w:tcPr>
          <w:p w:rsidR="00D55703" w:rsidRPr="00233FF3" w:rsidP="00233FF3" w14:paraId="505B9EBF"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110" w:type="dxa"/>
            <w:tcBorders>
              <w:top w:val="nil"/>
              <w:left w:val="nil"/>
              <w:bottom w:val="single" w:sz="4" w:space="0" w:color="000000"/>
              <w:right w:val="single" w:sz="4" w:space="0" w:color="000000"/>
            </w:tcBorders>
            <w:shd w:val="clear" w:color="auto" w:fill="808080"/>
            <w:vAlign w:val="center"/>
          </w:tcPr>
          <w:p w:rsidR="00D55703" w:rsidRPr="00233FF3" w:rsidP="00233FF3" w14:paraId="65E5D58F"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245" w:type="dxa"/>
            <w:tcBorders>
              <w:top w:val="nil"/>
              <w:left w:val="nil"/>
              <w:bottom w:val="single" w:sz="4" w:space="0" w:color="000000"/>
              <w:right w:val="single" w:sz="4" w:space="0" w:color="000000"/>
            </w:tcBorders>
            <w:shd w:val="clear" w:color="auto" w:fill="808080"/>
            <w:vAlign w:val="center"/>
          </w:tcPr>
          <w:p w:rsidR="00D55703" w:rsidRPr="00233FF3" w:rsidP="00233FF3" w14:paraId="3D3EB66D"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545" w:type="dxa"/>
            <w:tcBorders>
              <w:top w:val="nil"/>
              <w:left w:val="nil"/>
              <w:bottom w:val="single" w:sz="4" w:space="0" w:color="000000"/>
              <w:right w:val="single" w:sz="8" w:space="0" w:color="000000"/>
            </w:tcBorders>
            <w:vAlign w:val="center"/>
          </w:tcPr>
          <w:p w:rsidR="00D55703" w:rsidRPr="00233FF3" w:rsidP="00233FF3" w14:paraId="29E94785"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r>
      <w:tr w14:paraId="3519BB38" w14:textId="77777777" w:rsidTr="00233FF3">
        <w:tblPrEx>
          <w:tblW w:w="8910" w:type="dxa"/>
          <w:tblInd w:w="0" w:type="dxa"/>
          <w:tblLayout w:type="fixed"/>
          <w:tblLook w:val="0400"/>
        </w:tblPrEx>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DDEBF7"/>
            <w:vAlign w:val="center"/>
          </w:tcPr>
          <w:p w:rsidR="00D55703" w:rsidRPr="00233FF3" w:rsidP="00233FF3" w14:paraId="6B035C72" w14:textId="77777777">
            <w:pPr>
              <w:widowControl/>
              <w:jc w:val="center"/>
              <w:rPr>
                <w:rFonts w:eastAsia="Arial" w:asciiTheme="majorHAnsi" w:hAnsiTheme="majorHAnsi" w:cstheme="majorHAnsi"/>
                <w:b/>
                <w:bCs/>
                <w:sz w:val="20"/>
                <w:szCs w:val="20"/>
              </w:rPr>
            </w:pPr>
            <w:r w:rsidRPr="00233FF3">
              <w:rPr>
                <w:rFonts w:eastAsia="Arial" w:asciiTheme="majorHAnsi" w:hAnsiTheme="majorHAnsi" w:cstheme="majorHAnsi"/>
                <w:b/>
                <w:bCs/>
                <w:sz w:val="20"/>
                <w:szCs w:val="20"/>
              </w:rPr>
              <w:t>TOTAL</w:t>
            </w:r>
          </w:p>
        </w:tc>
        <w:tc>
          <w:tcPr>
            <w:tcW w:w="1310" w:type="dxa"/>
            <w:tcBorders>
              <w:top w:val="single" w:sz="8" w:space="0" w:color="000000"/>
              <w:left w:val="nil"/>
              <w:bottom w:val="single" w:sz="8" w:space="0" w:color="000000"/>
              <w:right w:val="single" w:sz="8" w:space="0" w:color="000000"/>
            </w:tcBorders>
            <w:shd w:val="clear" w:color="auto" w:fill="808080"/>
            <w:vAlign w:val="center"/>
          </w:tcPr>
          <w:p w:rsidR="00D55703" w:rsidRPr="00233FF3" w:rsidP="00233FF3" w14:paraId="7AFE7EEA"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420" w:type="dxa"/>
            <w:tcBorders>
              <w:top w:val="single" w:sz="8" w:space="0" w:color="000000"/>
              <w:left w:val="nil"/>
              <w:bottom w:val="single" w:sz="8" w:space="0" w:color="000000"/>
              <w:right w:val="single" w:sz="8" w:space="0" w:color="000000"/>
            </w:tcBorders>
            <w:shd w:val="clear" w:color="auto" w:fill="808080"/>
            <w:vAlign w:val="center"/>
          </w:tcPr>
          <w:p w:rsidR="00D55703" w:rsidRPr="00233FF3" w:rsidP="00233FF3" w14:paraId="1057E0CE"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110" w:type="dxa"/>
            <w:tcBorders>
              <w:top w:val="single" w:sz="8" w:space="0" w:color="000000"/>
              <w:left w:val="nil"/>
              <w:bottom w:val="single" w:sz="8" w:space="0" w:color="000000"/>
              <w:right w:val="single" w:sz="8" w:space="0" w:color="000000"/>
            </w:tcBorders>
            <w:shd w:val="clear" w:color="auto" w:fill="757171"/>
            <w:vAlign w:val="center"/>
          </w:tcPr>
          <w:p w:rsidR="00D55703" w:rsidRPr="00233FF3" w:rsidP="00233FF3" w14:paraId="1657F3D0" w14:textId="77777777">
            <w:pPr>
              <w:widowControl/>
              <w:jc w:val="center"/>
              <w:rPr>
                <w:rFonts w:eastAsia="Arial" w:asciiTheme="majorHAnsi" w:hAnsiTheme="majorHAnsi" w:cstheme="majorHAnsi"/>
                <w:sz w:val="20"/>
                <w:szCs w:val="20"/>
              </w:rPr>
            </w:pPr>
            <w:r w:rsidRPr="00233FF3">
              <w:rPr>
                <w:rFonts w:eastAsia="Arial" w:asciiTheme="majorHAnsi" w:hAnsiTheme="majorHAnsi" w:cstheme="majorHAnsi"/>
                <w:sz w:val="20"/>
                <w:szCs w:val="20"/>
              </w:rPr>
              <w:t> </w:t>
            </w:r>
          </w:p>
        </w:tc>
        <w:tc>
          <w:tcPr>
            <w:tcW w:w="1245" w:type="dxa"/>
            <w:tcBorders>
              <w:top w:val="single" w:sz="8" w:space="0" w:color="000000"/>
              <w:left w:val="nil"/>
              <w:bottom w:val="single" w:sz="8" w:space="0" w:color="000000"/>
              <w:right w:val="single" w:sz="8" w:space="0" w:color="000000"/>
            </w:tcBorders>
            <w:shd w:val="clear" w:color="auto" w:fill="DDEBF7"/>
            <w:vAlign w:val="center"/>
          </w:tcPr>
          <w:p w:rsidR="00D55703" w:rsidRPr="00233FF3" w:rsidP="00233FF3" w14:paraId="47313626" w14:textId="77777777">
            <w:pPr>
              <w:widowControl/>
              <w:jc w:val="center"/>
              <w:rPr>
                <w:rFonts w:eastAsia="Arial" w:asciiTheme="majorHAnsi" w:hAnsiTheme="majorHAnsi" w:cstheme="majorHAnsi"/>
                <w:b/>
                <w:bCs/>
                <w:sz w:val="20"/>
                <w:szCs w:val="20"/>
              </w:rPr>
            </w:pPr>
            <w:r w:rsidRPr="00233FF3">
              <w:rPr>
                <w:rFonts w:eastAsia="Arial" w:asciiTheme="majorHAnsi" w:hAnsiTheme="majorHAnsi" w:cstheme="majorHAnsi"/>
                <w:b/>
                <w:bCs/>
                <w:sz w:val="20"/>
                <w:szCs w:val="20"/>
              </w:rPr>
              <w:t> </w:t>
            </w:r>
          </w:p>
        </w:tc>
        <w:tc>
          <w:tcPr>
            <w:tcW w:w="1545" w:type="dxa"/>
            <w:tcBorders>
              <w:top w:val="single" w:sz="8" w:space="0" w:color="000000"/>
              <w:left w:val="nil"/>
              <w:bottom w:val="single" w:sz="8" w:space="0" w:color="000000"/>
              <w:right w:val="single" w:sz="8" w:space="0" w:color="000000"/>
            </w:tcBorders>
            <w:shd w:val="clear" w:color="auto" w:fill="DDEBF7"/>
            <w:vAlign w:val="center"/>
          </w:tcPr>
          <w:p w:rsidR="00D55703" w:rsidRPr="00233FF3" w:rsidP="00233FF3" w14:paraId="45F72380" w14:textId="7BBFFA1A">
            <w:pPr>
              <w:widowControl/>
              <w:jc w:val="center"/>
              <w:rPr>
                <w:rFonts w:eastAsia="Arial" w:asciiTheme="majorHAnsi" w:hAnsiTheme="majorHAnsi" w:cstheme="majorHAnsi"/>
                <w:b/>
                <w:bCs/>
                <w:sz w:val="20"/>
                <w:szCs w:val="20"/>
              </w:rPr>
            </w:pPr>
            <w:r w:rsidRPr="00233FF3">
              <w:rPr>
                <w:rFonts w:eastAsia="Arial" w:asciiTheme="majorHAnsi" w:hAnsiTheme="majorHAnsi" w:cstheme="majorHAnsi"/>
                <w:b/>
                <w:bCs/>
                <w:sz w:val="20"/>
                <w:szCs w:val="20"/>
              </w:rPr>
              <w:t>$3,</w:t>
            </w:r>
            <w:r w:rsidRPr="00233FF3" w:rsidR="00233FF3">
              <w:rPr>
                <w:rFonts w:eastAsia="Arial" w:asciiTheme="majorHAnsi" w:hAnsiTheme="majorHAnsi" w:cstheme="majorHAnsi"/>
                <w:b/>
                <w:bCs/>
                <w:sz w:val="20"/>
                <w:szCs w:val="20"/>
              </w:rPr>
              <w:t>587</w:t>
            </w:r>
          </w:p>
        </w:tc>
      </w:tr>
    </w:tbl>
    <w:p w:rsidR="00D55703" w14:paraId="4D174332" w14:textId="77777777">
      <w:pPr>
        <w:spacing w:before="9" w:after="1"/>
        <w:rPr>
          <w:b/>
          <w:bCs/>
        </w:rPr>
      </w:pPr>
    </w:p>
    <w:p w:rsidR="00233FF3" w14:paraId="40FD1B54" w14:textId="77777777">
      <w:pPr>
        <w:spacing w:before="9" w:after="1"/>
        <w:rPr>
          <w:b/>
          <w:bCs/>
        </w:rPr>
      </w:pPr>
    </w:p>
    <w:p w:rsidR="00D55703" w14:paraId="1079B527" w14:textId="77777777">
      <w:pPr>
        <w:numPr>
          <w:ilvl w:val="0"/>
          <w:numId w:val="1"/>
        </w:numPr>
        <w:pBdr>
          <w:top w:val="nil"/>
          <w:left w:val="nil"/>
          <w:bottom w:val="nil"/>
          <w:right w:val="nil"/>
          <w:between w:val="nil"/>
        </w:pBdr>
        <w:tabs>
          <w:tab w:val="left" w:pos="360"/>
        </w:tabs>
        <w:spacing w:before="80"/>
        <w:ind w:left="0" w:firstLine="0"/>
        <w:rPr>
          <w:b/>
          <w:bCs/>
        </w:rPr>
      </w:pPr>
      <w:r>
        <w:rPr>
          <w:b/>
          <w:bCs/>
        </w:rPr>
        <w:t xml:space="preserve">Explain the reasons for any program changes or </w:t>
      </w:r>
      <w:r>
        <w:rPr>
          <w:b/>
          <w:bCs/>
        </w:rPr>
        <w:t>adjustments reported in ROCIS.</w:t>
      </w:r>
    </w:p>
    <w:p w:rsidR="00D55703" w14:paraId="2827406F" w14:textId="2E9E4D9A">
      <w:pPr>
        <w:spacing w:before="161"/>
      </w:pPr>
      <w:r>
        <w:t xml:space="preserve">There </w:t>
      </w:r>
      <w:r w:rsidR="00FF2683">
        <w:t>have been</w:t>
      </w:r>
      <w:r>
        <w:t xml:space="preserve"> no changes to the information collection since the last OMB approval.</w:t>
      </w:r>
    </w:p>
    <w:p w:rsidR="00FF2683" w14:paraId="1CD1BF93" w14:textId="77777777">
      <w:pPr>
        <w:spacing w:before="161"/>
      </w:pPr>
    </w:p>
    <w:p w:rsidR="00D55703" w14:paraId="31BFC22D" w14:textId="77777777">
      <w:pPr>
        <w:numPr>
          <w:ilvl w:val="0"/>
          <w:numId w:val="1"/>
        </w:numPr>
        <w:pBdr>
          <w:top w:val="nil"/>
          <w:left w:val="nil"/>
          <w:bottom w:val="nil"/>
          <w:right w:val="nil"/>
          <w:between w:val="nil"/>
        </w:pBdr>
        <w:tabs>
          <w:tab w:val="left" w:pos="360"/>
        </w:tabs>
        <w:spacing w:before="80"/>
        <w:ind w:left="0" w:firstLine="0"/>
        <w:rPr>
          <w:b/>
          <w:bCs/>
        </w:rPr>
      </w:pPr>
      <w:r>
        <w:rPr>
          <w:b/>
          <w:bCs/>
        </w:rPr>
        <w:t xml:space="preserve">For collections of information whose results will be published, outline plans for tabulation and publication. Address any complex analytical techniques that will be used. Provide the time schedule for the </w:t>
      </w:r>
      <w:r>
        <w:rPr>
          <w:b/>
          <w:bCs/>
        </w:rPr>
        <w:t>entire project, including beginning and ending dates of the collection of information, completion of report, publication dates, and other actions.</w:t>
      </w:r>
    </w:p>
    <w:p w:rsidR="00D55703" w14:paraId="2489190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442349" w:rsidP="00442349" w14:paraId="5651C240" w14:textId="77777777">
      <w:pPr>
        <w:spacing w:before="161"/>
      </w:pPr>
      <w:r>
        <w:t xml:space="preserve">NOAA Fisheries will retain control over the information and safeguard it from improper access, modification, and destruction, consistent with NOAA standards for confidentiality, privacy, and electronic information.  The information collection is designed to yield data that meet all applicable information quality guidelines. Prior to dissemination, the information will be subjected to quality control measures and a pre-dissemination review per </w:t>
      </w:r>
      <w:hyperlink r:id="rId22">
        <w:r>
          <w:rPr>
            <w:u w:val="single"/>
          </w:rPr>
          <w:t>Section 515 of Public Law 106-554</w:t>
        </w:r>
      </w:hyperlink>
      <w:r>
        <w:t>. See response to Question 10 of this Supporting Statement for more information on confidentiality and privacy.</w:t>
      </w:r>
    </w:p>
    <w:p w:rsidR="00442349" w:rsidP="00442349" w14:paraId="2B371730" w14:textId="77777777">
      <w:pPr>
        <w:spacing w:before="161"/>
        <w:rPr>
          <w:b/>
          <w:bCs/>
        </w:rPr>
      </w:pPr>
    </w:p>
    <w:p w:rsidR="00D55703" w14:paraId="3A91215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The Councils publish current Statement of Financial Interests forms on the Council websites. No analysis is done. </w:t>
      </w:r>
    </w:p>
    <w:p w:rsidR="00D55703" w14:paraId="6CB8E89C" w14:textId="77777777">
      <w:pPr>
        <w:pBdr>
          <w:top w:val="nil"/>
          <w:left w:val="nil"/>
          <w:bottom w:val="nil"/>
          <w:right w:val="nil"/>
          <w:between w:val="nil"/>
        </w:pBdr>
        <w:spacing w:before="160"/>
      </w:pPr>
    </w:p>
    <w:p w:rsidR="00D55703" w14:paraId="0CC098FE" w14:textId="77777777">
      <w:pPr>
        <w:numPr>
          <w:ilvl w:val="0"/>
          <w:numId w:val="1"/>
        </w:numPr>
        <w:pBdr>
          <w:top w:val="nil"/>
          <w:left w:val="nil"/>
          <w:bottom w:val="nil"/>
          <w:right w:val="nil"/>
          <w:between w:val="nil"/>
        </w:pBdr>
        <w:tabs>
          <w:tab w:val="left" w:pos="360"/>
        </w:tabs>
        <w:spacing w:before="80"/>
        <w:ind w:left="0" w:firstLine="0"/>
        <w:rPr>
          <w:b/>
          <w:bCs/>
        </w:rPr>
      </w:pPr>
      <w:r>
        <w:rPr>
          <w:b/>
          <w:bCs/>
        </w:rPr>
        <w:t>If seeking approval to not display the expiration date for OMB approval of the information collection, explain the reasons that display would be inappropriate.</w:t>
      </w:r>
    </w:p>
    <w:p w:rsidR="00D55703" w14:paraId="53BA068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D55703" w14:paraId="7D9386E0" w14:textId="3F9768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B66E4E">
        <w:t>The agency plans to display the expiration date for OMB approval of the information collection on all instruments.</w:t>
      </w:r>
    </w:p>
    <w:p w:rsidR="00B66E4E" w14:paraId="198A42B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D55703" w14:paraId="1FAA438D" w14:textId="77777777">
      <w:pPr>
        <w:numPr>
          <w:ilvl w:val="0"/>
          <w:numId w:val="1"/>
        </w:numPr>
        <w:pBdr>
          <w:top w:val="nil"/>
          <w:left w:val="nil"/>
          <w:bottom w:val="nil"/>
          <w:right w:val="nil"/>
          <w:between w:val="nil"/>
        </w:pBdr>
        <w:tabs>
          <w:tab w:val="left" w:pos="360"/>
        </w:tabs>
        <w:spacing w:before="80"/>
        <w:ind w:left="0" w:firstLine="0"/>
        <w:rPr>
          <w:b/>
          <w:bCs/>
        </w:rPr>
      </w:pPr>
      <w:r>
        <w:rPr>
          <w:b/>
          <w:bCs/>
        </w:rPr>
        <w:t>Explain each exception to the certification statement identified in “Certification for Paperwork Reduction Act Submissions."</w:t>
      </w:r>
    </w:p>
    <w:p w:rsidR="00D55703" w14:paraId="61EE3B95" w14:textId="77777777"/>
    <w:p w:rsidR="00D55703" w14:paraId="0B70A849" w14:textId="77777777">
      <w:r>
        <w:t xml:space="preserve">There are no exceptions for compliance with provisions in the certification statement. The agency certifies compliance with </w:t>
      </w:r>
      <w:hyperlink r:id="rId23">
        <w:r>
          <w:rPr>
            <w:color w:val="0563C1"/>
            <w:u w:val="single"/>
          </w:rPr>
          <w:t>5 CFR 1320.9</w:t>
        </w:r>
      </w:hyperlink>
      <w:hyperlink r:id="rId23">
        <w:r>
          <w:rPr>
            <w:color w:val="0563C1"/>
          </w:rPr>
          <w:t xml:space="preserve"> </w:t>
        </w:r>
      </w:hyperlink>
      <w:r>
        <w:t xml:space="preserve">and the related provisions of </w:t>
      </w:r>
      <w:hyperlink r:id="rId24">
        <w:r>
          <w:rPr>
            <w:color w:val="0563C1"/>
            <w:u w:val="single"/>
          </w:rPr>
          <w:t>5 CFR</w:t>
        </w:r>
      </w:hyperlink>
      <w:r>
        <w:rPr>
          <w:color w:val="0563C1"/>
        </w:rPr>
        <w:t xml:space="preserve"> </w:t>
      </w:r>
      <w:hyperlink r:id="rId24">
        <w:r>
          <w:rPr>
            <w:color w:val="0563C1"/>
            <w:u w:val="single"/>
          </w:rPr>
          <w:t>1320.8(b)(3)</w:t>
        </w:r>
      </w:hyperlink>
      <w:r>
        <w:t>.</w:t>
      </w:r>
    </w:p>
    <w:p w:rsidR="00D55703" w14:paraId="7BF4B43C" w14:textId="77777777">
      <w:pPr>
        <w:spacing w:before="221" w:line="259" w:lineRule="auto"/>
        <w:jc w:val="both"/>
        <w:rPr>
          <w:b/>
          <w:bCs/>
        </w:rPr>
      </w:pPr>
      <w:bookmarkStart w:id="0" w:name="_heading=h.gjdgxs" w:colFirst="0" w:colLast="0"/>
      <w:bookmarkEnd w:id="0"/>
    </w:p>
    <w:sectPr w:rsidSect="00233FF3">
      <w:pgSz w:w="12240" w:h="15840"/>
      <w:pgMar w:top="1170" w:right="1080" w:bottom="1200" w:left="1080" w:header="0" w:footer="7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BFBB5FE-95F7-471D-BCDC-736F470ED364}"/>
  </w:font>
  <w:font w:name="Calibri">
    <w:panose1 w:val="020F0502020204030204"/>
    <w:charset w:val="00"/>
    <w:family w:val="swiss"/>
    <w:pitch w:val="variable"/>
    <w:sig w:usb0="E4002EFF" w:usb1="C200247B" w:usb2="00000009" w:usb3="00000000" w:csb0="000001FF" w:csb1="00000000"/>
    <w:embedRegular r:id="rId2" w:fontKey="{89D2F8EA-D7B9-4427-B894-67220694B5F1}"/>
    <w:embedBold r:id="rId3" w:fontKey="{35431D4A-000C-4871-922E-36B9E26215A6}"/>
  </w:font>
  <w:font w:name="Cambria">
    <w:panose1 w:val="02040503050406030204"/>
    <w:charset w:val="00"/>
    <w:family w:val="roman"/>
    <w:pitch w:val="variable"/>
    <w:sig w:usb0="E00006FF" w:usb1="420024FF" w:usb2="02000000" w:usb3="00000000" w:csb0="0000019F" w:csb1="00000000"/>
    <w:embedRegular r:id="rId4" w:fontKey="{5349201A-508B-43A7-91EC-C5FD228556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55703" w14:paraId="20CF3D4C"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2C43A5" w14:paraId="78F8BD7D" w14:textId="77777777">
      <w:r>
        <w:separator/>
      </w:r>
    </w:p>
  </w:footnote>
  <w:footnote w:type="continuationSeparator" w:id="1">
    <w:p w:rsidR="002C43A5" w14:paraId="1681A990" w14:textId="77777777">
      <w:r>
        <w:continuationSeparator/>
      </w:r>
    </w:p>
  </w:footnote>
  <w:footnote w:id="2">
    <w:p w:rsidR="005C4243" w:rsidRPr="005C4243" w14:paraId="400ADA04" w14:textId="5CBCA6D2">
      <w:pPr>
        <w:pStyle w:val="FootnoteText"/>
        <w:rPr>
          <w:lang w:val="en-US"/>
        </w:rPr>
      </w:pPr>
      <w:r>
        <w:rPr>
          <w:rStyle w:val="FootnoteReference"/>
        </w:rPr>
        <w:footnoteRef/>
      </w:r>
      <w:r>
        <w:t xml:space="preserve"> </w:t>
      </w:r>
      <w:r w:rsidRPr="005C4243">
        <w:t>https://www.fisheries.noaa.gov/s3//dam-migration/msa-amended-2007.pdf</w:t>
      </w:r>
    </w:p>
  </w:footnote>
  <w:footnote w:id="3">
    <w:p w:rsidR="005C4243" w:rsidRPr="005C4243" w14:paraId="27D64FBB" w14:textId="2C93BAAA">
      <w:pPr>
        <w:pStyle w:val="FootnoteText"/>
        <w:rPr>
          <w:lang w:val="en-US"/>
        </w:rPr>
      </w:pPr>
      <w:r>
        <w:rPr>
          <w:rStyle w:val="FootnoteReference"/>
        </w:rPr>
        <w:footnoteRef/>
      </w:r>
      <w:r>
        <w:t xml:space="preserve"> </w:t>
      </w:r>
      <w:r w:rsidRPr="005C4243">
        <w:t>https://www.ecfr.gov/current/title-50/chapter-VI/part-600/subpart-C/section-600.235</w:t>
      </w:r>
    </w:p>
  </w:footnote>
  <w:footnote w:id="4">
    <w:p w:rsidR="005C4243" w:rsidRPr="005C4243" w14:paraId="7C9E4EB2" w14:textId="21D5A61D">
      <w:pPr>
        <w:pStyle w:val="FootnoteText"/>
        <w:rPr>
          <w:lang w:val="en-US"/>
        </w:rPr>
      </w:pPr>
      <w:r>
        <w:rPr>
          <w:rStyle w:val="FootnoteReference"/>
        </w:rPr>
        <w:footnoteRef/>
      </w:r>
      <w:r>
        <w:t xml:space="preserve"> </w:t>
      </w:r>
      <w:r w:rsidRPr="005C4243">
        <w:t>https://media.fisheries.noaa.gov/2021-11/NMFS%20PD%2001-116_final%20revised.pdf</w:t>
      </w:r>
    </w:p>
  </w:footnote>
  <w:footnote w:id="5">
    <w:p w:rsidR="00442349" w:rsidRPr="00442349" w14:paraId="5535ADAB" w14:textId="617A816A">
      <w:pPr>
        <w:pStyle w:val="FootnoteText"/>
        <w:rPr>
          <w:lang w:val="en-US"/>
        </w:rPr>
      </w:pPr>
      <w:r>
        <w:rPr>
          <w:rStyle w:val="FootnoteReference"/>
        </w:rPr>
        <w:footnoteRef/>
      </w:r>
      <w:r>
        <w:t xml:space="preserve"> </w:t>
      </w:r>
      <w:r w:rsidRPr="00442349">
        <w:t>https://media.fisheries.noaa.gov/2021-10/PD%2001-116-01_final%20for%20Denit%20signature_KD.pdf</w:t>
      </w:r>
    </w:p>
  </w:footnote>
  <w:footnote w:id="6">
    <w:p w:rsidR="00442349" w:rsidRPr="00442349" w14:paraId="0691E9CF" w14:textId="0702E889">
      <w:pPr>
        <w:pStyle w:val="FootnoteText"/>
        <w:rPr>
          <w:lang w:val="en-US"/>
        </w:rPr>
      </w:pPr>
      <w:r>
        <w:rPr>
          <w:rStyle w:val="FootnoteReference"/>
        </w:rPr>
        <w:footnoteRef/>
      </w:r>
      <w:r>
        <w:t xml:space="preserve"> </w:t>
      </w:r>
      <w:r w:rsidRPr="00442349">
        <w:t>https://councils.fisheries.noaa.gov/</w:t>
      </w:r>
    </w:p>
  </w:footnote>
  <w:footnote w:id="7">
    <w:p w:rsidR="00442349" w:rsidRPr="00442349" w14:paraId="242751CD" w14:textId="1FA212D1">
      <w:pPr>
        <w:pStyle w:val="FootnoteText"/>
        <w:rPr>
          <w:lang w:val="en-US"/>
        </w:rPr>
      </w:pPr>
      <w:r>
        <w:rPr>
          <w:rStyle w:val="FootnoteReference"/>
        </w:rPr>
        <w:footnoteRef/>
      </w:r>
      <w:r>
        <w:t xml:space="preserve"> </w:t>
      </w:r>
      <w:r w:rsidRPr="00442349">
        <w:t>https://www.govinfo.gov/content/pkg/USCODE-2012-title18/html/USCODE-2012-title18-partI-chap11-sec208.htm</w:t>
      </w:r>
    </w:p>
  </w:footnote>
  <w:footnote w:id="8">
    <w:p w:rsidR="000B2E7A" w:rsidRPr="000B2E7A" w14:paraId="1E24B9C5" w14:textId="52998A56">
      <w:pPr>
        <w:pStyle w:val="FootnoteText"/>
        <w:rPr>
          <w:lang w:val="en-US"/>
        </w:rPr>
      </w:pPr>
      <w:r>
        <w:rPr>
          <w:rStyle w:val="FootnoteReference"/>
        </w:rPr>
        <w:footnoteRef/>
      </w:r>
      <w:r>
        <w:t xml:space="preserve"> </w:t>
      </w:r>
      <w:r w:rsidRPr="000B2E7A">
        <w:t>https://www.commerce.gov/node/4946</w:t>
      </w:r>
    </w:p>
  </w:footnote>
  <w:footnote w:id="9">
    <w:p w:rsidR="000B2E7A" w:rsidRPr="000B2E7A" w14:paraId="68C85593" w14:textId="61175071">
      <w:pPr>
        <w:pStyle w:val="FootnoteText"/>
        <w:rPr>
          <w:lang w:val="en-US"/>
        </w:rPr>
      </w:pPr>
      <w:r>
        <w:rPr>
          <w:rStyle w:val="FootnoteReference"/>
        </w:rPr>
        <w:footnoteRef/>
      </w:r>
      <w:r>
        <w:t xml:space="preserve"> </w:t>
      </w:r>
      <w:r w:rsidRPr="000B2E7A">
        <w:t>https://www.commerce.gov/node/4987</w:t>
      </w:r>
    </w:p>
  </w:footnote>
  <w:footnote w:id="10">
    <w:p w:rsidR="002C43A5" w:rsidRPr="002C43A5" w14:paraId="16016667" w14:textId="57F2C658">
      <w:pPr>
        <w:pStyle w:val="FootnoteText"/>
        <w:rPr>
          <w:lang w:val="en-US"/>
        </w:rPr>
      </w:pPr>
      <w:r>
        <w:rPr>
          <w:rStyle w:val="FootnoteReference"/>
        </w:rPr>
        <w:footnoteRef/>
      </w:r>
      <w:r>
        <w:t xml:space="preserve"> </w:t>
      </w:r>
      <w:r w:rsidRPr="002C43A5">
        <w:t>https://www.commerce.gov/sites/default/files/2025-10/NOAA4000%20PIA%20FY25%20SAOP%20Approved.pdf</w:t>
      </w:r>
    </w:p>
  </w:footnote>
  <w:footnote w:id="11">
    <w:p w:rsidR="00233FF3" w:rsidRPr="00233FF3" w14:paraId="27E6ACFD" w14:textId="08CE26E8">
      <w:pPr>
        <w:pStyle w:val="FootnoteText"/>
        <w:rPr>
          <w:lang w:val="en-US"/>
        </w:rPr>
      </w:pPr>
      <w:r>
        <w:rPr>
          <w:rStyle w:val="FootnoteReference"/>
        </w:rPr>
        <w:footnoteRef/>
      </w:r>
      <w:r>
        <w:t xml:space="preserve"> </w:t>
      </w:r>
      <w:r w:rsidRPr="00233FF3">
        <w:t>https://www.opm.gov/policy-data-oversight/pay-leave/salaries-wages/salary-tables/pdf/2026/RUS.pdf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55703" w14:paraId="6B704945"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6A0D4FBE"/>
    <w:multiLevelType w:val="multilevel"/>
    <w:tmpl w:val="50C0385A"/>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num w:numId="1" w16cid:durableId="1201938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703"/>
    <w:rsid w:val="000B2E7A"/>
    <w:rsid w:val="00233FF3"/>
    <w:rsid w:val="0024320B"/>
    <w:rsid w:val="002C43A5"/>
    <w:rsid w:val="00400BD6"/>
    <w:rsid w:val="0042350D"/>
    <w:rsid w:val="00441552"/>
    <w:rsid w:val="00442349"/>
    <w:rsid w:val="005C4243"/>
    <w:rsid w:val="00645C8A"/>
    <w:rsid w:val="006E660B"/>
    <w:rsid w:val="007512C7"/>
    <w:rsid w:val="007A4BCA"/>
    <w:rsid w:val="008C7336"/>
    <w:rsid w:val="00930C88"/>
    <w:rsid w:val="00B66E4E"/>
    <w:rsid w:val="00CF3FCC"/>
    <w:rsid w:val="00D55703"/>
    <w:rsid w:val="00D90971"/>
    <w:rsid w:val="00E92F2D"/>
    <w:rsid w:val="00EF7363"/>
    <w:rsid w:val="00F66AA9"/>
    <w:rsid w:val="00FF268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D863EB4"/>
  <w15:docId w15:val="{91B77677-F040-4AE7-AE0C-AFB8919FB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CellMar>
        <w:top w:w="0" w:type="dxa"/>
        <w:left w:w="115" w:type="dxa"/>
        <w:bottom w:w="0" w:type="dxa"/>
        <w:right w:w="115" w:type="dxa"/>
      </w:tblCellMar>
    </w:tblPr>
  </w:style>
  <w:style w:type="table" w:customStyle="1" w:styleId="a0">
    <w:name w:val="a0"/>
    <w:basedOn w:val="TableNormal0"/>
    <w:tblPr>
      <w:tblStyleRowBandSize w:val="1"/>
      <w:tblStyleColBandSize w:val="1"/>
      <w:tblCellMar>
        <w:top w:w="0" w:type="dxa"/>
        <w:left w:w="115" w:type="dxa"/>
        <w:bottom w:w="0" w:type="dxa"/>
        <w:right w:w="115" w:type="dxa"/>
      </w:tblCellMar>
    </w:tblPr>
  </w:style>
  <w:style w:type="table" w:customStyle="1" w:styleId="a1">
    <w:name w:val="a1"/>
    <w:basedOn w:val="TableNormal0"/>
    <w:tblPr>
      <w:tblStyleRowBandSize w:val="1"/>
      <w:tblStyleColBandSize w:val="1"/>
      <w:tblCellMar>
        <w:top w:w="0" w:type="dxa"/>
        <w:left w:w="115" w:type="dxa"/>
        <w:bottom w:w="0" w:type="dxa"/>
        <w:right w:w="115" w:type="dxa"/>
      </w:tblCellMar>
    </w:tblPr>
  </w:style>
  <w:style w:type="table" w:customStyle="1" w:styleId="a2">
    <w:name w:val="a2"/>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233FF3"/>
    <w:rPr>
      <w:color w:val="0000FF" w:themeColor="hyperlink"/>
      <w:u w:val="single"/>
    </w:rPr>
  </w:style>
  <w:style w:type="character" w:styleId="UnresolvedMention">
    <w:name w:val="Unresolved Mention"/>
    <w:basedOn w:val="DefaultParagraphFont"/>
    <w:uiPriority w:val="99"/>
    <w:semiHidden/>
    <w:unhideWhenUsed/>
    <w:rsid w:val="00233FF3"/>
    <w:rPr>
      <w:color w:val="605E5C"/>
      <w:shd w:val="clear" w:color="auto" w:fill="E1DFDD"/>
    </w:rPr>
  </w:style>
  <w:style w:type="paragraph" w:styleId="FootnoteText">
    <w:name w:val="footnote text"/>
    <w:basedOn w:val="Normal"/>
    <w:link w:val="FootnoteTextChar"/>
    <w:uiPriority w:val="99"/>
    <w:semiHidden/>
    <w:unhideWhenUsed/>
    <w:rsid w:val="00233FF3"/>
    <w:rPr>
      <w:sz w:val="20"/>
      <w:szCs w:val="20"/>
    </w:rPr>
  </w:style>
  <w:style w:type="character" w:customStyle="1" w:styleId="FootnoteTextChar">
    <w:name w:val="Footnote Text Char"/>
    <w:basedOn w:val="DefaultParagraphFont"/>
    <w:link w:val="FootnoteText"/>
    <w:uiPriority w:val="99"/>
    <w:semiHidden/>
    <w:rsid w:val="00233FF3"/>
    <w:rPr>
      <w:sz w:val="20"/>
      <w:szCs w:val="20"/>
    </w:rPr>
  </w:style>
  <w:style w:type="character" w:styleId="FootnoteReference">
    <w:name w:val="footnote reference"/>
    <w:basedOn w:val="DefaultParagraphFont"/>
    <w:uiPriority w:val="99"/>
    <w:semiHidden/>
    <w:unhideWhenUsed/>
    <w:rsid w:val="00233FF3"/>
    <w:rPr>
      <w:vertAlign w:val="superscript"/>
    </w:rPr>
  </w:style>
  <w:style w:type="character" w:styleId="FollowedHyperlink">
    <w:name w:val="FollowedHyperlink"/>
    <w:basedOn w:val="DefaultParagraphFont"/>
    <w:uiPriority w:val="99"/>
    <w:semiHidden/>
    <w:unhideWhenUsed/>
    <w:rsid w:val="005C42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media.fisheries.noaa.gov/2021-11/NMFS%20PD%2001-116_final%20revised.pdf" TargetMode="External" /><Relationship Id="rId11" Type="http://schemas.openxmlformats.org/officeDocument/2006/relationships/hyperlink" Target="https://media.fisheries.noaa.gov/2021-10/PD%2001-116-01_final%20for%20Denit%20signature_KD.pdf" TargetMode="External" /><Relationship Id="rId12" Type="http://schemas.openxmlformats.org/officeDocument/2006/relationships/hyperlink" Target="https://www.fisheries.noaa.gov/national/laws-policies/policy-directive-system" TargetMode="External" /><Relationship Id="rId13" Type="http://schemas.openxmlformats.org/officeDocument/2006/relationships/hyperlink" Target="https://www.fisheries.noaa.gov/national/partners/council-reports-congress" TargetMode="External" /><Relationship Id="rId14" Type="http://schemas.openxmlformats.org/officeDocument/2006/relationships/hyperlink" Target="https://councils.fisheries.noaa.gov/" TargetMode="External" /><Relationship Id="rId15" Type="http://schemas.openxmlformats.org/officeDocument/2006/relationships/hyperlink" Target="http://www.gpo.gov/fdsys/pkg/USCODE-2012-title18/html/USCODE-2012-title18-partI-chap11-sec208.htm" TargetMode="External" /><Relationship Id="rId16" Type="http://schemas.openxmlformats.org/officeDocument/2006/relationships/hyperlink" Target="https://www.commerce.gov/node/4946" TargetMode="External" /><Relationship Id="rId17" Type="http://schemas.openxmlformats.org/officeDocument/2006/relationships/hyperlink" Target="https://www.commerce.gov/node/4987" TargetMode="External" /><Relationship Id="rId18" Type="http://schemas.openxmlformats.org/officeDocument/2006/relationships/hyperlink" Target="https://www.commerce.gov/sites/default/files/2025-10/NOAA4000%20PIA%20FY25%20SAOP%20Approved.pdf" TargetMode="External" /><Relationship Id="rId19" Type="http://schemas.openxmlformats.org/officeDocument/2006/relationships/header" Target="header1.xml" /><Relationship Id="rId2" Type="http://schemas.openxmlformats.org/officeDocument/2006/relationships/settings" Target="settings.xml" /><Relationship Id="rId20" Type="http://schemas.openxmlformats.org/officeDocument/2006/relationships/footer" Target="footer1.xml" /><Relationship Id="rId21" Type="http://schemas.openxmlformats.org/officeDocument/2006/relationships/hyperlink" Target="https://www.opm.gov/policy-data-oversight/pay-leave/salaries-wages/salary-tables/pdf/2026/RUS.pdf" TargetMode="External" /><Relationship Id="rId22" Type="http://schemas.openxmlformats.org/officeDocument/2006/relationships/hyperlink" Target="https://www.fws.gov/informationquality/section515.html" TargetMode="External" /><Relationship Id="rId23" Type="http://schemas.openxmlformats.org/officeDocument/2006/relationships/hyperlink" Target="http://www.gpo.gov/fdsys/pkg/CFR-2014-title5-vol3/pdf/CFR-2014-title5-vol3-sec1320-9.pdf" TargetMode="External" /><Relationship Id="rId24" Type="http://schemas.openxmlformats.org/officeDocument/2006/relationships/hyperlink" Target="http://www.gpo.gov/fdsys/pkg/CFR-2014-title5-vol3/pdf/CFR-2014-title5-vol3-sec1320-8.pdf" TargetMode="Externa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s://www.fisheries.noaa.gov/s3/dam-migration/msa-amended-2007.pdf" TargetMode="External" /><Relationship Id="rId8" Type="http://schemas.openxmlformats.org/officeDocument/2006/relationships/hyperlink" Target="https://www.ecfr.gov/current/title-50/chapter-VI/part-600/subpart-C/section-600.235" TargetMode="External" /><Relationship Id="rId9" Type="http://schemas.openxmlformats.org/officeDocument/2006/relationships/hyperlink" Target="https://www.fisheries.noaa.gov/national/partners/financial-disclosure-statements"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y4rtKIY2d+ZBT2wvaWpxxL75BA==">CgMxLjAyCGguZ2pkZ3hzOABqNgoUc3VnZ2VzdC43dGhheGpwN3BzdTYSHkVyaW4gU2NobmV0dGxlciAtIE5PQUEgRmVkZXJhbGo2ChRzdWdnZXN0LjQ0ZHpxdmgxYmlocxIeRXJpbiBTY2huZXR0bGVyIC0gTk9BQSBGZWRlcmFsajYKFHN1Z2dlc3QucDM4bjEyZnZqcHAwEh5FcmluIFNjaG5ldHRsZXIgLSBOT0FBIEZlZGVyYWxqNgoUc3VnZ2VzdC5kMHVmYXJrc2xpdHQSHkVyaW4gU2NobmV0dGxlciAtIE5PQUEgRmVkZXJhbGo2ChRzdWdnZXN0Lm55aWlsdGxwazNydxIeRXJpbiBTY2huZXR0bGVyIC0gTk9BQSBGZWRlcmFsciExSXFiU1RBSDl5dmttWjU1LXByZTA2M1VpQlVDZFczNE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78642C-E14B-4C8B-ADBF-F23643339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2659</Words>
  <Characters>15158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NOAA Fisheries - HQ</Company>
  <LinksUpToDate>false</LinksUpToDate>
  <CharactersWithSpaces>17782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6</cp:revision>
  <dcterms:created xsi:type="dcterms:W3CDTF">2026-06-23T13:22:00Z</dcterms:created>
  <dcterms:modified xsi:type="dcterms:W3CDTF">2026-06-23T16:42:00Z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2020-05-06T00:00:00Z</vt:lpwstr>
  </property>
  <property fmtid="{D5CDD505-2E9C-101B-9397-08002B2CF9AE}" pid="3" name="Creator">
    <vt:lpwstr>Acrobat PDFMaker 17 for Word</vt:lpwstr>
  </property>
  <property fmtid="{D5CDD505-2E9C-101B-9397-08002B2CF9AE}" pid="4" name="LastSaved">
    <vt:lpwstr>2020-05-07T00:00:00Z</vt:lpwstr>
  </property>
</Properties>
</file>