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DE3" w:rsidRPr="00691DE3" w:rsidP="00691DE3" w14:paraId="6C605ADD" w14:textId="1E015E45">
      <w:pPr>
        <w:pStyle w:val="NoSpacing"/>
        <w:jc w:val="center"/>
        <w:rPr>
          <w:rFonts w:ascii="Arial" w:hAnsi="Arial" w:cs="Arial"/>
          <w:b/>
          <w:bCs/>
          <w:sz w:val="24"/>
          <w:szCs w:val="24"/>
        </w:rPr>
      </w:pPr>
      <w:r w:rsidRPr="00691DE3">
        <w:rPr>
          <w:rFonts w:ascii="Arial" w:hAnsi="Arial" w:cs="Arial"/>
          <w:b/>
          <w:bCs/>
          <w:sz w:val="24"/>
          <w:szCs w:val="24"/>
        </w:rPr>
        <w:t>JUSTIFICATION FOR NONMATERIAL</w:t>
      </w:r>
      <w:r w:rsidR="00FC7817">
        <w:rPr>
          <w:rFonts w:ascii="Arial" w:hAnsi="Arial" w:cs="Arial"/>
          <w:b/>
          <w:bCs/>
          <w:sz w:val="24"/>
          <w:szCs w:val="24"/>
        </w:rPr>
        <w:t>/</w:t>
      </w:r>
      <w:r w:rsidRPr="00691DE3">
        <w:rPr>
          <w:rFonts w:ascii="Arial" w:hAnsi="Arial" w:cs="Arial"/>
          <w:b/>
          <w:bCs/>
          <w:sz w:val="24"/>
          <w:szCs w:val="24"/>
        </w:rPr>
        <w:t>NONSUBSTANTIVE CHANGE</w:t>
      </w:r>
    </w:p>
    <w:p w:rsidR="006C65D5" w:rsidRPr="006C65D5" w:rsidP="006C65D5" w14:paraId="63647F62" w14:textId="77777777">
      <w:pPr>
        <w:pStyle w:val="NoSpacing"/>
        <w:jc w:val="center"/>
        <w:rPr>
          <w:rFonts w:ascii="Arial" w:hAnsi="Arial" w:cs="Arial"/>
          <w:b/>
          <w:bCs/>
          <w:sz w:val="24"/>
          <w:szCs w:val="24"/>
        </w:rPr>
      </w:pPr>
      <w:r w:rsidRPr="006C65D5">
        <w:rPr>
          <w:rFonts w:ascii="Arial" w:hAnsi="Arial" w:cs="Arial"/>
          <w:b/>
          <w:bCs/>
          <w:sz w:val="24"/>
          <w:szCs w:val="24"/>
        </w:rPr>
        <w:t>Rules for Patent Maintenance Fees</w:t>
      </w:r>
    </w:p>
    <w:p w:rsidR="00691DE3" w:rsidRPr="00691DE3" w:rsidP="00691DE3" w14:paraId="33E5D7BA" w14:textId="30D1744A">
      <w:pPr>
        <w:pStyle w:val="NoSpacing"/>
        <w:jc w:val="center"/>
        <w:rPr>
          <w:rFonts w:ascii="Arial" w:hAnsi="Arial" w:cs="Arial"/>
          <w:b/>
          <w:bCs/>
          <w:sz w:val="24"/>
          <w:szCs w:val="24"/>
        </w:rPr>
      </w:pPr>
      <w:r w:rsidRPr="00691DE3">
        <w:rPr>
          <w:rFonts w:ascii="Arial" w:hAnsi="Arial" w:cs="Arial"/>
          <w:b/>
          <w:bCs/>
          <w:sz w:val="24"/>
          <w:szCs w:val="24"/>
        </w:rPr>
        <w:t>OMB Control Number 0651-00</w:t>
      </w:r>
      <w:r w:rsidR="00B4335F">
        <w:rPr>
          <w:rFonts w:ascii="Arial" w:hAnsi="Arial" w:cs="Arial"/>
          <w:b/>
          <w:bCs/>
          <w:sz w:val="24"/>
          <w:szCs w:val="24"/>
        </w:rPr>
        <w:t>16</w:t>
      </w:r>
    </w:p>
    <w:p w:rsidR="00691DE3" w:rsidRPr="00691DE3" w:rsidP="00691DE3" w14:paraId="1391C74D" w14:textId="77777777">
      <w:pPr>
        <w:pStyle w:val="NoSpacing"/>
        <w:rPr>
          <w:rFonts w:ascii="Arial" w:hAnsi="Arial" w:cs="Arial"/>
          <w:sz w:val="24"/>
          <w:szCs w:val="24"/>
        </w:rPr>
      </w:pPr>
    </w:p>
    <w:p w:rsidR="00691DE3" w:rsidRPr="00691DE3" w:rsidP="00691DE3" w14:paraId="5A978872" w14:textId="77777777">
      <w:pPr>
        <w:pStyle w:val="NoSpacing"/>
        <w:jc w:val="both"/>
        <w:rPr>
          <w:rFonts w:ascii="Arial" w:hAnsi="Arial" w:cs="Arial"/>
          <w:sz w:val="24"/>
          <w:szCs w:val="24"/>
          <w:u w:val="single"/>
        </w:rPr>
      </w:pPr>
      <w:r w:rsidRPr="00691DE3">
        <w:rPr>
          <w:rFonts w:ascii="Arial" w:hAnsi="Arial" w:cs="Arial"/>
          <w:sz w:val="24"/>
          <w:szCs w:val="24"/>
          <w:u w:val="single"/>
        </w:rPr>
        <w:t>Background</w:t>
      </w:r>
    </w:p>
    <w:p w:rsidR="00691DE3" w:rsidRPr="00691DE3" w:rsidP="00691DE3" w14:paraId="025A7574" w14:textId="77777777">
      <w:pPr>
        <w:pStyle w:val="NoSpacing"/>
        <w:jc w:val="both"/>
        <w:rPr>
          <w:rFonts w:ascii="Arial" w:hAnsi="Arial" w:cs="Arial"/>
          <w:sz w:val="24"/>
          <w:szCs w:val="24"/>
          <w:u w:val="single"/>
        </w:rPr>
      </w:pPr>
    </w:p>
    <w:p w:rsidR="00935DB1" w:rsidRPr="00935DB1" w:rsidP="00935DB1" w14:paraId="5F43E944" w14:textId="1392FF41">
      <w:pPr>
        <w:pStyle w:val="NoSpacing"/>
        <w:jc w:val="both"/>
        <w:rPr>
          <w:rFonts w:ascii="Arial" w:hAnsi="Arial"/>
          <w:sz w:val="24"/>
        </w:rPr>
      </w:pPr>
      <w:r w:rsidRPr="00935DB1">
        <w:rPr>
          <w:rFonts w:ascii="Arial" w:hAnsi="Arial"/>
          <w:sz w:val="24"/>
        </w:rPr>
        <w:t>Under 35 U.S.C. 41 and 37 §§</w:t>
      </w:r>
      <w:r>
        <w:rPr>
          <w:rFonts w:ascii="Arial" w:hAnsi="Arial"/>
          <w:sz w:val="24"/>
        </w:rPr>
        <w:t xml:space="preserve"> </w:t>
      </w:r>
      <w:r w:rsidRPr="00935DB1">
        <w:rPr>
          <w:rFonts w:ascii="Arial" w:hAnsi="Arial"/>
          <w:sz w:val="24"/>
        </w:rPr>
        <w:t xml:space="preserve">CFR 1.20(e)-(h), 1.362, 1.366, 1.377, and 1.378, the United States Patent and Trademark Office (USPTO) charges fees for maintaining in force all patents based on applications filed on or after December 12, 1980, except for plant and design patents. Furthermore, maintenance fees are required for a reissue patent unless the patent being reissued did not require maintenance fees. Payment of these maintenance fees is due at </w:t>
      </w:r>
      <w:bookmarkStart w:id="0" w:name="_Hlk164949425"/>
      <w:r w:rsidRPr="00935DB1">
        <w:rPr>
          <w:rFonts w:ascii="Arial" w:hAnsi="Arial"/>
          <w:sz w:val="24"/>
        </w:rPr>
        <w:t xml:space="preserve">3-1/2, 7-1/2, and 11-1/2 </w:t>
      </w:r>
      <w:bookmarkEnd w:id="0"/>
      <w:r w:rsidRPr="00935DB1">
        <w:rPr>
          <w:rFonts w:ascii="Arial" w:hAnsi="Arial"/>
          <w:sz w:val="24"/>
        </w:rPr>
        <w:t>years after the date the patent was granted. See section 2504 of the Manual of Patent Examining Procedure (MPEP) (9th Edition, Rev. 07.2022, February 2023) for more information.</w:t>
      </w:r>
    </w:p>
    <w:p w:rsidR="00935DB1" w:rsidRPr="00935DB1" w:rsidP="006D77E9" w14:paraId="4B58CD97" w14:textId="77777777">
      <w:pPr>
        <w:pStyle w:val="NoSpacing"/>
        <w:jc w:val="both"/>
        <w:rPr>
          <w:rFonts w:ascii="Arial" w:hAnsi="Arial"/>
          <w:sz w:val="24"/>
        </w:rPr>
      </w:pPr>
    </w:p>
    <w:p w:rsidR="006D77E9" w:rsidRPr="006D77E9" w:rsidP="006D77E9" w14:paraId="4CEBD11A" w14:textId="2887EA5F">
      <w:pPr>
        <w:pStyle w:val="NoSpacing"/>
        <w:jc w:val="both"/>
        <w:rPr>
          <w:rFonts w:ascii="Arial" w:hAnsi="Arial"/>
          <w:sz w:val="24"/>
        </w:rPr>
      </w:pPr>
      <w:r w:rsidRPr="006D77E9">
        <w:rPr>
          <w:rFonts w:ascii="Arial" w:hAnsi="Arial"/>
          <w:sz w:val="24"/>
        </w:rPr>
        <w:t xml:space="preserve">If the USPTO does not receive payment of the appropriate maintenance fee and any applicable surcharge within a grace period of six months following each of the above due dates (at 4, 8, or 12 years after the date of grant), the patent will expire at that time. After a patent expires, it is no longer enforceable. Payments of maintenance fees that are submitted during the 6-month grace period before patent expiration must include the appropriate surcharge as indicated by 37 CFR </w:t>
      </w:r>
      <w:r w:rsidRPr="00935DB1">
        <w:rPr>
          <w:rFonts w:ascii="Arial" w:hAnsi="Arial"/>
          <w:sz w:val="24"/>
        </w:rPr>
        <w:t>§</w:t>
      </w:r>
      <w:r>
        <w:rPr>
          <w:rFonts w:ascii="Arial" w:hAnsi="Arial"/>
          <w:sz w:val="24"/>
        </w:rPr>
        <w:t xml:space="preserve"> </w:t>
      </w:r>
      <w:r w:rsidRPr="006D77E9">
        <w:rPr>
          <w:rFonts w:ascii="Arial" w:hAnsi="Arial"/>
          <w:sz w:val="24"/>
        </w:rPr>
        <w:t>1.20(h). Submissions of maintenance fee payments and surcharges must include the relevant patent number and the corresponding United States application number in order to identify the correct patent and ensure proper crediting of the fee being paid. See MPEP 2506, 2510, and 2515 for more information.</w:t>
      </w:r>
    </w:p>
    <w:p w:rsidR="006D77E9" w:rsidRPr="006D77E9" w:rsidP="006D77E9" w14:paraId="0DC1A10C" w14:textId="77777777">
      <w:pPr>
        <w:pStyle w:val="NoSpacing"/>
        <w:jc w:val="both"/>
        <w:rPr>
          <w:rFonts w:ascii="Arial" w:hAnsi="Arial"/>
          <w:sz w:val="24"/>
        </w:rPr>
      </w:pPr>
    </w:p>
    <w:p w:rsidR="006D77E9" w:rsidRPr="006D77E9" w:rsidP="006D77E9" w14:paraId="584C1197" w14:textId="64F9A440">
      <w:pPr>
        <w:pStyle w:val="NoSpacing"/>
        <w:jc w:val="both"/>
        <w:rPr>
          <w:rFonts w:ascii="Arial" w:hAnsi="Arial"/>
          <w:sz w:val="24"/>
        </w:rPr>
      </w:pPr>
      <w:r w:rsidRPr="006D77E9">
        <w:rPr>
          <w:rFonts w:ascii="Arial" w:hAnsi="Arial"/>
          <w:sz w:val="24"/>
        </w:rPr>
        <w:t>If the USPTO refuses to accept and record a maintenance fee payment that was submitted prior to the expiration of a patent, the patentee may petition the Director to accept and record the maintenance fee under 37 CFR</w:t>
      </w:r>
      <w:r>
        <w:rPr>
          <w:rFonts w:ascii="Arial" w:hAnsi="Arial"/>
          <w:sz w:val="24"/>
        </w:rPr>
        <w:t xml:space="preserve"> </w:t>
      </w:r>
      <w:r w:rsidRPr="00935DB1">
        <w:rPr>
          <w:rFonts w:ascii="Arial" w:hAnsi="Arial"/>
          <w:sz w:val="24"/>
        </w:rPr>
        <w:t>§</w:t>
      </w:r>
      <w:r w:rsidRPr="006D77E9">
        <w:rPr>
          <w:rFonts w:ascii="Arial" w:hAnsi="Arial"/>
          <w:sz w:val="24"/>
        </w:rPr>
        <w:t xml:space="preserve"> 1.377. This petition must be accompanied by the fee indicated in 37 CFR</w:t>
      </w:r>
      <w:r>
        <w:rPr>
          <w:rFonts w:ascii="Arial" w:hAnsi="Arial"/>
          <w:sz w:val="24"/>
        </w:rPr>
        <w:t xml:space="preserve"> </w:t>
      </w:r>
      <w:r w:rsidRPr="00935DB1">
        <w:rPr>
          <w:rFonts w:ascii="Arial" w:hAnsi="Arial"/>
          <w:sz w:val="24"/>
        </w:rPr>
        <w:t>§</w:t>
      </w:r>
      <w:r w:rsidRPr="006D77E9">
        <w:rPr>
          <w:rFonts w:ascii="Arial" w:hAnsi="Arial"/>
          <w:sz w:val="24"/>
        </w:rPr>
        <w:t xml:space="preserve"> 1.17(g), which may be refunded if it is determined that the refusal to accept the maintenance fee was due to an error by the USPTO.</w:t>
      </w:r>
    </w:p>
    <w:p w:rsidR="006D77E9" w:rsidRPr="006D77E9" w:rsidP="006D77E9" w14:paraId="794BAB96" w14:textId="77777777">
      <w:pPr>
        <w:pStyle w:val="NoSpacing"/>
        <w:jc w:val="both"/>
        <w:rPr>
          <w:rFonts w:ascii="Arial" w:hAnsi="Arial"/>
          <w:sz w:val="24"/>
        </w:rPr>
      </w:pPr>
    </w:p>
    <w:p w:rsidR="006D77E9" w:rsidRPr="006D77E9" w:rsidP="006D77E9" w14:paraId="6702A29C" w14:textId="3603FAC7">
      <w:pPr>
        <w:pStyle w:val="NoSpacing"/>
        <w:jc w:val="both"/>
        <w:rPr>
          <w:rFonts w:ascii="Arial" w:hAnsi="Arial"/>
          <w:sz w:val="24"/>
        </w:rPr>
      </w:pPr>
      <w:r w:rsidRPr="006D77E9">
        <w:rPr>
          <w:rFonts w:ascii="Arial" w:hAnsi="Arial"/>
          <w:sz w:val="24"/>
        </w:rPr>
        <w:t xml:space="preserve">If a patent has expired due to nonpayment of a maintenance fee, the patentee may petition the Director to accept a delayed payment of the maintenance fee under 37 CFR </w:t>
      </w:r>
      <w:r w:rsidRPr="00935DB1">
        <w:rPr>
          <w:rFonts w:ascii="Arial" w:hAnsi="Arial"/>
          <w:sz w:val="24"/>
        </w:rPr>
        <w:t>§</w:t>
      </w:r>
      <w:r>
        <w:rPr>
          <w:rFonts w:ascii="Arial" w:hAnsi="Arial"/>
          <w:sz w:val="24"/>
        </w:rPr>
        <w:t xml:space="preserve"> </w:t>
      </w:r>
      <w:r w:rsidRPr="006D77E9">
        <w:rPr>
          <w:rFonts w:ascii="Arial" w:hAnsi="Arial"/>
          <w:sz w:val="24"/>
        </w:rPr>
        <w:t>1.378(b). The Director may accept the payment of a maintenance fee after the expiration of the patent if the petitioner shows to the satisfaction of the Director that the delay in payment was unintentional. Petitions to accept unintentionally delayed payment must also be accompanied by the required maintenance fee and the petition fee as set forth in 37 CFR</w:t>
      </w:r>
      <w:r>
        <w:rPr>
          <w:rFonts w:ascii="Arial" w:hAnsi="Arial"/>
          <w:sz w:val="24"/>
        </w:rPr>
        <w:t xml:space="preserve"> </w:t>
      </w:r>
      <w:r w:rsidRPr="00935DB1">
        <w:rPr>
          <w:rFonts w:ascii="Arial" w:hAnsi="Arial"/>
          <w:sz w:val="24"/>
        </w:rPr>
        <w:t>§</w:t>
      </w:r>
      <w:r w:rsidRPr="006D77E9">
        <w:rPr>
          <w:rFonts w:ascii="Arial" w:hAnsi="Arial"/>
          <w:sz w:val="24"/>
        </w:rPr>
        <w:t xml:space="preserve"> 1.17(m). If the Director accepts the maintenance fee payment upon petition, then the patent is reinstated. If the USPTO denies a petition to accept delayed payment of a maintenance fee in an expired patent, the patentee may petition the Director to reconsider that decision under 37 CFR </w:t>
      </w:r>
      <w:r w:rsidRPr="00935DB1">
        <w:rPr>
          <w:rFonts w:ascii="Arial" w:hAnsi="Arial"/>
          <w:sz w:val="24"/>
        </w:rPr>
        <w:t>§</w:t>
      </w:r>
      <w:r>
        <w:rPr>
          <w:rFonts w:ascii="Arial" w:hAnsi="Arial"/>
          <w:sz w:val="24"/>
        </w:rPr>
        <w:t xml:space="preserve"> </w:t>
      </w:r>
      <w:r w:rsidRPr="006D77E9">
        <w:rPr>
          <w:rFonts w:ascii="Arial" w:hAnsi="Arial"/>
          <w:sz w:val="24"/>
        </w:rPr>
        <w:t>1.378(d).</w:t>
      </w:r>
    </w:p>
    <w:p w:rsidR="006D77E9" w:rsidRPr="006D77E9" w:rsidP="006D77E9" w14:paraId="6B252418" w14:textId="77777777">
      <w:pPr>
        <w:pStyle w:val="NoSpacing"/>
        <w:jc w:val="both"/>
        <w:rPr>
          <w:rFonts w:ascii="Arial" w:hAnsi="Arial"/>
          <w:sz w:val="24"/>
        </w:rPr>
      </w:pPr>
    </w:p>
    <w:p w:rsidR="00935DB1" w:rsidRPr="00935DB1" w:rsidP="006D77E9" w14:paraId="6410DE2A" w14:textId="2D072E88">
      <w:pPr>
        <w:pStyle w:val="NoSpacing"/>
        <w:jc w:val="both"/>
        <w:rPr>
          <w:rFonts w:ascii="Arial" w:hAnsi="Arial"/>
          <w:sz w:val="24"/>
        </w:rPr>
      </w:pPr>
      <w:r w:rsidRPr="006D77E9">
        <w:rPr>
          <w:rFonts w:ascii="Arial" w:hAnsi="Arial"/>
          <w:sz w:val="24"/>
        </w:rPr>
        <w:t xml:space="preserve">This information collection covers maintenance fee petition information, including the electronic interface and form provided by the USPTO to assist the public with </w:t>
      </w:r>
      <w:r w:rsidRPr="006D77E9">
        <w:rPr>
          <w:rFonts w:ascii="Arial" w:hAnsi="Arial"/>
          <w:sz w:val="24"/>
        </w:rPr>
        <w:t xml:space="preserve">maintenance fee petitions. To pay a maintenance fee after patent expiration, the maintenance fee payment and the petition fee, as set forth in 37 CFR </w:t>
      </w:r>
      <w:r w:rsidRPr="00935DB1">
        <w:rPr>
          <w:rFonts w:ascii="Arial" w:hAnsi="Arial"/>
          <w:sz w:val="24"/>
        </w:rPr>
        <w:t>§</w:t>
      </w:r>
      <w:r>
        <w:rPr>
          <w:rFonts w:ascii="Arial" w:hAnsi="Arial"/>
          <w:sz w:val="24"/>
        </w:rPr>
        <w:t xml:space="preserve"> </w:t>
      </w:r>
      <w:r w:rsidRPr="006D77E9">
        <w:rPr>
          <w:rFonts w:ascii="Arial" w:hAnsi="Arial"/>
          <w:sz w:val="24"/>
        </w:rPr>
        <w:t xml:space="preserve">1.17(m), must be filed together with a petition to accept an unintentionally delayed payment of the maintenance fee in an expired patent under 37 CFR </w:t>
      </w:r>
      <w:r w:rsidRPr="00935DB1">
        <w:rPr>
          <w:rFonts w:ascii="Arial" w:hAnsi="Arial"/>
          <w:sz w:val="24"/>
        </w:rPr>
        <w:t>§</w:t>
      </w:r>
      <w:r>
        <w:rPr>
          <w:rFonts w:ascii="Arial" w:hAnsi="Arial"/>
          <w:sz w:val="24"/>
        </w:rPr>
        <w:t xml:space="preserve"> </w:t>
      </w:r>
      <w:r w:rsidRPr="006D77E9">
        <w:rPr>
          <w:rFonts w:ascii="Arial" w:hAnsi="Arial"/>
          <w:sz w:val="24"/>
        </w:rPr>
        <w:t>1.378(b). The USPTO offers two different versions of the form for petitions to accept unintentionally delayed payments of maintenance fees: a web-based ePetition and form PTO/SB/66 (a fillable PDF). The USPTO recommends the use of the web-based ePetition. The USPTO does not offer forms for the petitions to review the refusal to accept the payment of a maintenance fee prior to the expiration of the patent under 37 CFR</w:t>
      </w:r>
      <w:r>
        <w:rPr>
          <w:rFonts w:ascii="Arial" w:hAnsi="Arial"/>
          <w:sz w:val="24"/>
        </w:rPr>
        <w:t xml:space="preserve"> </w:t>
      </w:r>
      <w:r w:rsidRPr="00935DB1">
        <w:rPr>
          <w:rFonts w:ascii="Arial" w:hAnsi="Arial"/>
          <w:sz w:val="24"/>
        </w:rPr>
        <w:t>§</w:t>
      </w:r>
      <w:r w:rsidRPr="006D77E9">
        <w:rPr>
          <w:rFonts w:ascii="Arial" w:hAnsi="Arial"/>
          <w:sz w:val="24"/>
        </w:rPr>
        <w:t xml:space="preserve"> 1.377 or the petitions for the reconsideration of decisions on petitions refusing to accept the delayed payment of a maintenance fee in an expired patent under 37 CFR</w:t>
      </w:r>
      <w:r>
        <w:rPr>
          <w:rFonts w:ascii="Arial" w:hAnsi="Arial"/>
          <w:sz w:val="24"/>
        </w:rPr>
        <w:t xml:space="preserve"> </w:t>
      </w:r>
      <w:r w:rsidRPr="00935DB1">
        <w:rPr>
          <w:rFonts w:ascii="Arial" w:hAnsi="Arial"/>
          <w:sz w:val="24"/>
        </w:rPr>
        <w:t>§</w:t>
      </w:r>
      <w:r w:rsidRPr="006D77E9">
        <w:rPr>
          <w:rFonts w:ascii="Arial" w:hAnsi="Arial"/>
          <w:sz w:val="24"/>
        </w:rPr>
        <w:t xml:space="preserve"> 1.378(d). </w:t>
      </w:r>
    </w:p>
    <w:p w:rsidR="00727004" w:rsidP="00691DE3" w14:paraId="3101119E" w14:textId="77777777">
      <w:pPr>
        <w:pStyle w:val="NoSpacing"/>
        <w:rPr>
          <w:rFonts w:ascii="Arial" w:eastAsia="Arial" w:hAnsi="Arial" w:cs="Arial"/>
          <w:sz w:val="24"/>
          <w:szCs w:val="24"/>
        </w:rPr>
      </w:pPr>
    </w:p>
    <w:p w:rsidR="00634DDA" w:rsidRPr="00AA28CD" w:rsidP="00691DE3" w14:paraId="1CB7610C" w14:textId="220D5AD6">
      <w:pPr>
        <w:pStyle w:val="NoSpacing"/>
        <w:rPr>
          <w:rFonts w:ascii="Arial" w:eastAsia="Arial" w:hAnsi="Arial" w:cs="Arial"/>
          <w:sz w:val="24"/>
          <w:szCs w:val="24"/>
          <w:u w:val="single"/>
        </w:rPr>
      </w:pPr>
      <w:r w:rsidRPr="00AA28CD">
        <w:rPr>
          <w:rFonts w:ascii="Arial" w:eastAsia="Arial" w:hAnsi="Arial" w:cs="Arial"/>
          <w:sz w:val="24"/>
          <w:szCs w:val="24"/>
          <w:u w:val="single"/>
        </w:rPr>
        <w:t>Rulemaking</w:t>
      </w:r>
      <w:r w:rsidRPr="00AA28CD" w:rsidR="00D347F4">
        <w:rPr>
          <w:rFonts w:ascii="Arial" w:eastAsia="Arial" w:hAnsi="Arial" w:cs="Arial"/>
          <w:sz w:val="24"/>
          <w:szCs w:val="24"/>
          <w:u w:val="single"/>
        </w:rPr>
        <w:t xml:space="preserve"> 0651-AD</w:t>
      </w:r>
      <w:r w:rsidRPr="00AA28CD" w:rsidR="001D5742">
        <w:rPr>
          <w:rFonts w:ascii="Arial" w:eastAsia="Arial" w:hAnsi="Arial" w:cs="Arial"/>
          <w:sz w:val="24"/>
          <w:szCs w:val="24"/>
          <w:u w:val="single"/>
        </w:rPr>
        <w:t>92</w:t>
      </w:r>
    </w:p>
    <w:p w:rsidR="00AA28CD" w:rsidP="00691DE3" w14:paraId="102EC773" w14:textId="77777777">
      <w:pPr>
        <w:pStyle w:val="NoSpacing"/>
        <w:rPr>
          <w:rFonts w:ascii="Arial" w:eastAsia="Arial" w:hAnsi="Arial" w:cs="Arial"/>
          <w:sz w:val="24"/>
          <w:szCs w:val="24"/>
        </w:rPr>
      </w:pPr>
    </w:p>
    <w:p w:rsidR="00AA28CD" w:rsidP="00131965" w14:paraId="28622EA1" w14:textId="325B3300">
      <w:pPr>
        <w:pStyle w:val="NoSpacing"/>
        <w:jc w:val="both"/>
        <w:rPr>
          <w:rFonts w:ascii="Arial" w:eastAsia="Arial" w:hAnsi="Arial" w:cs="Arial"/>
          <w:sz w:val="24"/>
          <w:szCs w:val="24"/>
        </w:rPr>
      </w:pPr>
      <w:r>
        <w:rPr>
          <w:rFonts w:ascii="Arial" w:eastAsia="Arial" w:hAnsi="Arial" w:cs="Arial"/>
          <w:sz w:val="24"/>
          <w:szCs w:val="24"/>
        </w:rPr>
        <w:t xml:space="preserve">In </w:t>
      </w:r>
      <w:r w:rsidR="00131965">
        <w:rPr>
          <w:rFonts w:ascii="Arial" w:eastAsia="Arial" w:hAnsi="Arial" w:cs="Arial"/>
          <w:sz w:val="24"/>
          <w:szCs w:val="24"/>
        </w:rPr>
        <w:t>RIN 0651-AD92 (</w:t>
      </w:r>
      <w:r w:rsidRPr="00DB6301" w:rsidR="00DB6301">
        <w:rPr>
          <w:rFonts w:ascii="Arial" w:eastAsia="Arial" w:hAnsi="Arial" w:cs="Arial"/>
          <w:sz w:val="24"/>
          <w:szCs w:val="24"/>
        </w:rPr>
        <w:t>Conditions for Additional Information and Fee in Petitions Filed in Patent Applications and Patents Based on Unintentional Dela</w:t>
      </w:r>
      <w:r>
        <w:rPr>
          <w:rFonts w:ascii="Arial" w:eastAsia="Arial" w:hAnsi="Arial" w:cs="Arial"/>
          <w:sz w:val="24"/>
          <w:szCs w:val="24"/>
        </w:rPr>
        <w:t>y)</w:t>
      </w:r>
      <w:r w:rsidR="00265D4D">
        <w:rPr>
          <w:rFonts w:ascii="Arial" w:eastAsia="Arial" w:hAnsi="Arial" w:cs="Arial"/>
          <w:sz w:val="24"/>
          <w:szCs w:val="24"/>
        </w:rPr>
        <w:t xml:space="preserve"> </w:t>
      </w:r>
      <w:r w:rsidR="00265D4D">
        <w:rPr>
          <w:rFonts w:ascii="Arial" w:eastAsia="Arial" w:hAnsi="Arial" w:cs="Arial"/>
          <w:sz w:val="24"/>
          <w:szCs w:val="24"/>
        </w:rPr>
        <w:t>published on June 24, 2026,</w:t>
      </w:r>
      <w:r>
        <w:rPr>
          <w:rStyle w:val="FootnoteReference"/>
          <w:rFonts w:ascii="Arial" w:eastAsia="Arial" w:hAnsi="Arial" w:cs="Arial"/>
          <w:sz w:val="24"/>
          <w:szCs w:val="24"/>
        </w:rPr>
        <w:footnoteReference w:id="3"/>
      </w:r>
      <w:r w:rsidRPr="00DB6301" w:rsidR="00DB6301">
        <w:rPr>
          <w:rFonts w:ascii="Arial" w:eastAsia="Arial" w:hAnsi="Arial" w:cs="Arial"/>
          <w:sz w:val="24"/>
          <w:szCs w:val="24"/>
        </w:rPr>
        <w:t xml:space="preserve"> </w:t>
      </w:r>
      <w:r w:rsidR="00DB6301">
        <w:rPr>
          <w:rFonts w:ascii="Arial" w:eastAsia="Arial" w:hAnsi="Arial" w:cs="Arial"/>
          <w:sz w:val="24"/>
          <w:szCs w:val="24"/>
        </w:rPr>
        <w:t>t</w:t>
      </w:r>
      <w:r w:rsidRPr="00134315" w:rsidR="00134315">
        <w:rPr>
          <w:rFonts w:ascii="Arial" w:eastAsia="Arial" w:hAnsi="Arial" w:cs="Arial"/>
          <w:sz w:val="24"/>
          <w:szCs w:val="24"/>
        </w:rPr>
        <w:t>he United States Patent and Trademark Office (USPTO)</w:t>
      </w:r>
      <w:r w:rsidR="00265D4D">
        <w:rPr>
          <w:rFonts w:ascii="Arial" w:eastAsia="Arial" w:hAnsi="Arial" w:cs="Arial"/>
          <w:sz w:val="24"/>
          <w:szCs w:val="24"/>
        </w:rPr>
        <w:t xml:space="preserve"> </w:t>
      </w:r>
      <w:r w:rsidRPr="00134315" w:rsidR="00134315">
        <w:rPr>
          <w:rFonts w:ascii="Arial" w:eastAsia="Arial" w:hAnsi="Arial" w:cs="Arial"/>
          <w:sz w:val="24"/>
          <w:szCs w:val="24"/>
        </w:rPr>
        <w:t>is requiring additional information whenever the delay in taking certain actions in patent applications and patents is more than one year, instead of requiring additional information whenever the delay was more than two years. This action is being taken to increase certainty and predictability concerning patent rights, and to encourage the timely filing of grantable petitions to revive applications, accept delayed maintenance fee payments, accept delayed priority or benefit claims, and seek relief from time limits in connection with international design applications. In addition, the USPTO is changing the conditions for when the corresponding petition fee is required.</w:t>
      </w:r>
    </w:p>
    <w:p w:rsidR="00F336C4" w:rsidP="00131965" w14:paraId="43E48099" w14:textId="77777777">
      <w:pPr>
        <w:pStyle w:val="NoSpacing"/>
        <w:jc w:val="both"/>
        <w:rPr>
          <w:rFonts w:ascii="Arial" w:eastAsia="Arial" w:hAnsi="Arial" w:cs="Arial"/>
          <w:sz w:val="24"/>
          <w:szCs w:val="24"/>
        </w:rPr>
      </w:pPr>
    </w:p>
    <w:p w:rsidR="00F336C4" w:rsidRPr="004417A9" w:rsidP="00C22DC8" w14:paraId="452D6753" w14:textId="6E1560AA">
      <w:pPr>
        <w:pStyle w:val="NoSpacing"/>
        <w:jc w:val="both"/>
        <w:rPr>
          <w:rFonts w:ascii="Arial" w:hAnsi="Arial"/>
          <w:sz w:val="24"/>
        </w:rPr>
      </w:pPr>
      <w:r w:rsidRPr="00935DB1">
        <w:rPr>
          <w:rFonts w:ascii="Arial" w:hAnsi="Arial"/>
          <w:sz w:val="24"/>
        </w:rPr>
        <w:t>In support of RIN 0651-AD</w:t>
      </w:r>
      <w:r w:rsidR="00C26332">
        <w:rPr>
          <w:rFonts w:ascii="Arial" w:hAnsi="Arial"/>
          <w:sz w:val="24"/>
        </w:rPr>
        <w:t>92</w:t>
      </w:r>
      <w:r w:rsidRPr="00935DB1">
        <w:rPr>
          <w:rFonts w:ascii="Arial" w:hAnsi="Arial"/>
          <w:sz w:val="24"/>
        </w:rPr>
        <w:t xml:space="preserve"> </w:t>
      </w:r>
      <w:r w:rsidR="00C26332">
        <w:rPr>
          <w:rFonts w:ascii="Arial" w:hAnsi="Arial"/>
          <w:sz w:val="24"/>
        </w:rPr>
        <w:t>,</w:t>
      </w:r>
      <w:r w:rsidRPr="00935DB1">
        <w:rPr>
          <w:rFonts w:ascii="Arial" w:hAnsi="Arial"/>
          <w:sz w:val="24"/>
        </w:rPr>
        <w:t xml:space="preserve">the USPTO is </w:t>
      </w:r>
      <w:r w:rsidR="00C26332">
        <w:rPr>
          <w:rFonts w:ascii="Arial" w:hAnsi="Arial"/>
          <w:sz w:val="24"/>
        </w:rPr>
        <w:t xml:space="preserve">adjusting the </w:t>
      </w:r>
      <w:r w:rsidR="00A23E6A">
        <w:rPr>
          <w:rFonts w:ascii="Arial" w:hAnsi="Arial"/>
          <w:sz w:val="24"/>
        </w:rPr>
        <w:t>estimated annual b</w:t>
      </w:r>
      <w:r w:rsidR="00C26332">
        <w:rPr>
          <w:rFonts w:ascii="Arial" w:hAnsi="Arial"/>
          <w:sz w:val="24"/>
        </w:rPr>
        <w:t>urden hours</w:t>
      </w:r>
      <w:r w:rsidRPr="00935DB1">
        <w:rPr>
          <w:rFonts w:ascii="Arial" w:hAnsi="Arial"/>
          <w:sz w:val="24"/>
        </w:rPr>
        <w:t xml:space="preserve"> </w:t>
      </w:r>
      <w:r w:rsidR="00A23E6A">
        <w:rPr>
          <w:rFonts w:ascii="Arial" w:hAnsi="Arial"/>
          <w:sz w:val="24"/>
        </w:rPr>
        <w:t xml:space="preserve">and </w:t>
      </w:r>
      <w:r w:rsidR="00EE6FD1">
        <w:rPr>
          <w:rFonts w:ascii="Arial" w:hAnsi="Arial"/>
          <w:sz w:val="24"/>
        </w:rPr>
        <w:t>non-hour costs</w:t>
      </w:r>
      <w:r w:rsidRPr="00935DB1">
        <w:rPr>
          <w:rFonts w:ascii="Arial" w:hAnsi="Arial"/>
          <w:sz w:val="24"/>
        </w:rPr>
        <w:t xml:space="preserve"> in this information collection.</w:t>
      </w:r>
      <w:r w:rsidR="00426B47">
        <w:rPr>
          <w:rFonts w:ascii="Arial" w:hAnsi="Arial"/>
          <w:sz w:val="24"/>
        </w:rPr>
        <w:t xml:space="preserve"> </w:t>
      </w:r>
      <w:r w:rsidR="00941C42">
        <w:rPr>
          <w:rFonts w:ascii="Arial" w:hAnsi="Arial"/>
          <w:sz w:val="24"/>
        </w:rPr>
        <w:t xml:space="preserve">The Rule </w:t>
      </w:r>
      <w:r w:rsidR="006C1C7A">
        <w:rPr>
          <w:rFonts w:ascii="Arial" w:hAnsi="Arial"/>
          <w:sz w:val="24"/>
        </w:rPr>
        <w:t>increases the estimated time for response for Item 1 (</w:t>
      </w:r>
      <w:r w:rsidRPr="006C1C7A" w:rsidR="006C1C7A">
        <w:rPr>
          <w:rFonts w:ascii="Arial" w:hAnsi="Arial"/>
          <w:sz w:val="24"/>
        </w:rPr>
        <w:t xml:space="preserve">Petition to Accept Unintentionally Delayed Payment of Maintenance Fee in an Expired Patent (37 CFR </w:t>
      </w:r>
      <w:r w:rsidRPr="00935DB1" w:rsidR="006C1C7A">
        <w:rPr>
          <w:rFonts w:ascii="Arial" w:hAnsi="Arial"/>
          <w:sz w:val="24"/>
        </w:rPr>
        <w:t>§</w:t>
      </w:r>
      <w:r w:rsidRPr="006C1C7A" w:rsidR="006C1C7A">
        <w:rPr>
          <w:rFonts w:ascii="Arial" w:hAnsi="Arial"/>
          <w:sz w:val="24"/>
        </w:rPr>
        <w:t>1.378(b))</w:t>
      </w:r>
      <w:r w:rsidR="005A41DC">
        <w:rPr>
          <w:rFonts w:ascii="Arial" w:hAnsi="Arial"/>
          <w:sz w:val="24"/>
        </w:rPr>
        <w:t xml:space="preserve">) from 1 hour to 2.75 hours. Additionally, the Rule changes the </w:t>
      </w:r>
      <w:r w:rsidR="0011299E">
        <w:rPr>
          <w:rFonts w:ascii="Arial" w:hAnsi="Arial"/>
          <w:sz w:val="24"/>
        </w:rPr>
        <w:t xml:space="preserve">estimated </w:t>
      </w:r>
      <w:r w:rsidR="005A41DC">
        <w:rPr>
          <w:rFonts w:ascii="Arial" w:hAnsi="Arial"/>
          <w:sz w:val="24"/>
        </w:rPr>
        <w:t xml:space="preserve">number of </w:t>
      </w:r>
      <w:r w:rsidR="0011299E">
        <w:rPr>
          <w:rFonts w:ascii="Arial" w:hAnsi="Arial"/>
          <w:sz w:val="24"/>
        </w:rPr>
        <w:t>fees paid</w:t>
      </w:r>
      <w:r w:rsidR="005A41DC">
        <w:rPr>
          <w:rFonts w:ascii="Arial" w:hAnsi="Arial"/>
          <w:sz w:val="24"/>
        </w:rPr>
        <w:t xml:space="preserve"> </w:t>
      </w:r>
      <w:r w:rsidR="00C22DC8">
        <w:rPr>
          <w:rFonts w:ascii="Arial" w:hAnsi="Arial"/>
          <w:sz w:val="24"/>
        </w:rPr>
        <w:t>associated with this item.</w:t>
      </w:r>
    </w:p>
    <w:p w:rsidR="00634DDA" w:rsidP="00691DE3" w14:paraId="6583FCA9" w14:textId="77777777">
      <w:pPr>
        <w:pStyle w:val="NoSpacing"/>
        <w:rPr>
          <w:rFonts w:ascii="Arial" w:hAnsi="Arial" w:cs="Arial"/>
          <w:sz w:val="24"/>
          <w:szCs w:val="24"/>
          <w:u w:val="single"/>
        </w:rPr>
      </w:pPr>
    </w:p>
    <w:p w:rsidR="00566A9A" w:rsidRPr="00566A9A" w:rsidP="00566A9A" w14:paraId="436E706F"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u w:val="single"/>
        </w:rPr>
        <w:t>Itemized Changes</w:t>
      </w:r>
      <w:r w:rsidRPr="00566A9A">
        <w:rPr>
          <w:rFonts w:ascii="Arial" w:eastAsia="Times New Roman" w:hAnsi="Arial" w:cs="Arial"/>
          <w:sz w:val="24"/>
          <w:szCs w:val="24"/>
        </w:rPr>
        <w:t> </w:t>
      </w:r>
    </w:p>
    <w:p w:rsidR="00566A9A" w:rsidRPr="00566A9A" w:rsidP="00566A9A" w14:paraId="7EDC29C3"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566A9A" w:rsidRPr="00566A9A" w:rsidP="00566A9A" w14:paraId="5F3B1D11" w14:textId="5DBA6BB6">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1: Changes in </w:t>
      </w:r>
      <w:r w:rsidR="00EE6FD1">
        <w:rPr>
          <w:rFonts w:ascii="Arial" w:eastAsia="Times New Roman" w:hAnsi="Arial" w:cs="Arial"/>
          <w:b/>
          <w:bCs/>
          <w:sz w:val="20"/>
          <w:szCs w:val="20"/>
        </w:rPr>
        <w:t>Hourly Burden</w:t>
      </w:r>
      <w:r w:rsidRPr="00566A9A">
        <w:rPr>
          <w:rFonts w:ascii="Arial" w:eastAsia="Times New Roman" w:hAnsi="Arial" w:cs="Arial"/>
          <w:sz w:val="20"/>
          <w:szCs w:val="20"/>
        </w:rPr>
        <w:t>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5"/>
        <w:gridCol w:w="5400"/>
        <w:gridCol w:w="1170"/>
        <w:gridCol w:w="1080"/>
        <w:gridCol w:w="1130"/>
      </w:tblGrid>
      <w:tr w14:paraId="649925A1" w14:textId="77777777" w:rsidTr="00475DFA">
        <w:tblPrEx>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25"/>
        </w:trPr>
        <w:tc>
          <w:tcPr>
            <w:tcW w:w="535" w:type="dxa"/>
            <w:shd w:val="clear" w:color="auto" w:fill="BDD6EE" w:themeFill="accent1" w:themeFillTint="66"/>
            <w:hideMark/>
          </w:tcPr>
          <w:p w:rsidR="00566A9A" w:rsidRPr="00566A9A" w:rsidP="00566A9A" w14:paraId="79D6FF7F" w14:textId="77777777">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Item No.</w:t>
            </w:r>
            <w:r w:rsidRPr="00566A9A">
              <w:rPr>
                <w:rFonts w:ascii="Arial" w:eastAsia="Times New Roman" w:hAnsi="Arial" w:cs="Arial"/>
                <w:sz w:val="16"/>
                <w:szCs w:val="16"/>
              </w:rPr>
              <w:t> </w:t>
            </w:r>
          </w:p>
        </w:tc>
        <w:tc>
          <w:tcPr>
            <w:tcW w:w="5400" w:type="dxa"/>
            <w:shd w:val="clear" w:color="auto" w:fill="BDD6EE" w:themeFill="accent1" w:themeFillTint="66"/>
            <w:hideMark/>
          </w:tcPr>
          <w:p w:rsidR="00566A9A" w:rsidRPr="00566A9A" w:rsidP="00566A9A" w14:paraId="4814A1AC" w14:textId="77777777">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170" w:type="dxa"/>
            <w:shd w:val="clear" w:color="auto" w:fill="BDD6EE" w:themeFill="accent1" w:themeFillTint="66"/>
            <w:hideMark/>
          </w:tcPr>
          <w:p w:rsidR="00566A9A" w:rsidRPr="00566A9A" w:rsidP="00566A9A" w14:paraId="5A8B2B1C" w14:textId="12D9397F">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 xml:space="preserve">Current </w:t>
            </w:r>
            <w:r w:rsidRPr="00C81C69" w:rsidR="00F22D91">
              <w:rPr>
                <w:rFonts w:ascii="Arial" w:eastAsia="Times New Roman" w:hAnsi="Arial" w:cs="Arial"/>
                <w:b/>
                <w:bCs/>
                <w:sz w:val="16"/>
                <w:szCs w:val="16"/>
              </w:rPr>
              <w:t xml:space="preserve">Annual Hourly </w:t>
            </w:r>
            <w:r w:rsidRPr="00C81C69" w:rsidR="00686CB1">
              <w:rPr>
                <w:rFonts w:ascii="Arial" w:eastAsia="Times New Roman" w:hAnsi="Arial" w:cs="Arial"/>
                <w:b/>
                <w:bCs/>
                <w:sz w:val="16"/>
                <w:szCs w:val="16"/>
              </w:rPr>
              <w:t>Burden</w:t>
            </w:r>
            <w:r w:rsidRPr="00566A9A">
              <w:rPr>
                <w:rFonts w:ascii="Arial" w:eastAsia="Times New Roman" w:hAnsi="Arial" w:cs="Arial"/>
                <w:sz w:val="16"/>
                <w:szCs w:val="16"/>
              </w:rPr>
              <w:t> </w:t>
            </w:r>
          </w:p>
        </w:tc>
        <w:tc>
          <w:tcPr>
            <w:tcW w:w="1080" w:type="dxa"/>
            <w:shd w:val="clear" w:color="auto" w:fill="BDD6EE" w:themeFill="accent1" w:themeFillTint="66"/>
            <w:hideMark/>
          </w:tcPr>
          <w:p w:rsidR="00566A9A" w:rsidRPr="00566A9A" w:rsidP="00C81C69" w14:paraId="643DF5EC" w14:textId="476BDEA1">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 xml:space="preserve">New </w:t>
            </w:r>
            <w:r w:rsidRPr="00C81C69" w:rsidR="00F22D91">
              <w:rPr>
                <w:rFonts w:ascii="Arial" w:eastAsia="Times New Roman" w:hAnsi="Arial" w:cs="Arial"/>
                <w:b/>
                <w:bCs/>
                <w:sz w:val="16"/>
                <w:szCs w:val="16"/>
              </w:rPr>
              <w:t xml:space="preserve">Annual Hourly </w:t>
            </w:r>
            <w:r w:rsidRPr="00C81C69" w:rsidR="00686CB1">
              <w:rPr>
                <w:rFonts w:ascii="Arial" w:eastAsia="Times New Roman" w:hAnsi="Arial" w:cs="Arial"/>
                <w:b/>
                <w:bCs/>
                <w:sz w:val="16"/>
                <w:szCs w:val="16"/>
              </w:rPr>
              <w:t>Burden</w:t>
            </w:r>
            <w:r w:rsidRPr="00566A9A">
              <w:rPr>
                <w:rFonts w:ascii="Arial" w:eastAsia="Times New Roman" w:hAnsi="Arial" w:cs="Arial"/>
                <w:b/>
                <w:bCs/>
                <w:sz w:val="16"/>
                <w:szCs w:val="16"/>
              </w:rPr>
              <w:t> </w:t>
            </w:r>
            <w:r w:rsidRPr="00566A9A">
              <w:rPr>
                <w:rFonts w:ascii="Arial" w:eastAsia="Times New Roman" w:hAnsi="Arial" w:cs="Arial"/>
                <w:sz w:val="16"/>
                <w:szCs w:val="16"/>
              </w:rPr>
              <w:t> </w:t>
            </w:r>
          </w:p>
        </w:tc>
        <w:tc>
          <w:tcPr>
            <w:tcW w:w="1130" w:type="dxa"/>
            <w:shd w:val="clear" w:color="auto" w:fill="BDD6EE" w:themeFill="accent1" w:themeFillTint="66"/>
            <w:hideMark/>
          </w:tcPr>
          <w:p w:rsidR="00566A9A" w:rsidRPr="00566A9A" w:rsidP="00F22D91" w14:paraId="642E705A" w14:textId="3E49AB80">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Change in</w:t>
            </w:r>
            <w:r w:rsidRPr="00C81C69" w:rsidR="00F22D91">
              <w:rPr>
                <w:rFonts w:ascii="Arial" w:eastAsia="Times New Roman" w:hAnsi="Arial" w:cs="Arial"/>
                <w:b/>
                <w:bCs/>
                <w:sz w:val="16"/>
                <w:szCs w:val="16"/>
              </w:rPr>
              <w:t xml:space="preserve"> Annual Hourly </w:t>
            </w:r>
            <w:r w:rsidRPr="00566A9A">
              <w:rPr>
                <w:rFonts w:ascii="Arial" w:eastAsia="Times New Roman" w:hAnsi="Arial" w:cs="Arial"/>
                <w:b/>
                <w:bCs/>
                <w:sz w:val="16"/>
                <w:szCs w:val="16"/>
              </w:rPr>
              <w:t xml:space="preserve"> </w:t>
            </w:r>
            <w:r w:rsidRPr="00C81C69" w:rsidR="00686CB1">
              <w:rPr>
                <w:rFonts w:ascii="Arial" w:eastAsia="Times New Roman" w:hAnsi="Arial" w:cs="Arial"/>
                <w:b/>
                <w:bCs/>
                <w:sz w:val="16"/>
                <w:szCs w:val="16"/>
              </w:rPr>
              <w:t>Burden</w:t>
            </w:r>
            <w:r w:rsidRPr="00566A9A">
              <w:rPr>
                <w:rFonts w:ascii="Arial" w:eastAsia="Times New Roman" w:hAnsi="Arial" w:cs="Arial"/>
                <w:sz w:val="16"/>
                <w:szCs w:val="16"/>
              </w:rPr>
              <w:t>  </w:t>
            </w:r>
          </w:p>
        </w:tc>
      </w:tr>
      <w:tr w14:paraId="6BE492BA" w14:textId="77777777" w:rsidTr="00475DFA">
        <w:tblPrEx>
          <w:tblW w:w="9315" w:type="dxa"/>
          <w:tblCellMar>
            <w:left w:w="0" w:type="dxa"/>
            <w:right w:w="0" w:type="dxa"/>
          </w:tblCellMar>
          <w:tblLook w:val="04A0"/>
        </w:tblPrEx>
        <w:trPr>
          <w:trHeight w:val="480"/>
        </w:trPr>
        <w:tc>
          <w:tcPr>
            <w:tcW w:w="535" w:type="dxa"/>
            <w:shd w:val="clear" w:color="auto" w:fill="auto"/>
            <w:vAlign w:val="center"/>
            <w:hideMark/>
          </w:tcPr>
          <w:p w:rsidR="00566A9A" w:rsidRPr="00566A9A" w:rsidP="00566A9A" w14:paraId="624571C5" w14:textId="44258C0C">
            <w:pPr>
              <w:spacing w:after="0" w:line="240" w:lineRule="auto"/>
              <w:jc w:val="center"/>
              <w:textAlignment w:val="baseline"/>
              <w:rPr>
                <w:rFonts w:ascii="Times New Roman" w:eastAsia="Times New Roman" w:hAnsi="Times New Roman" w:cs="Times New Roman"/>
                <w:sz w:val="16"/>
                <w:szCs w:val="16"/>
              </w:rPr>
            </w:pPr>
            <w:r w:rsidRPr="00C81C69">
              <w:rPr>
                <w:rFonts w:ascii="Arial" w:eastAsia="Times New Roman" w:hAnsi="Arial" w:cs="Arial"/>
                <w:b/>
                <w:bCs/>
                <w:sz w:val="16"/>
                <w:szCs w:val="16"/>
              </w:rPr>
              <w:t>1</w:t>
            </w:r>
          </w:p>
        </w:tc>
        <w:tc>
          <w:tcPr>
            <w:tcW w:w="5400" w:type="dxa"/>
            <w:shd w:val="clear" w:color="auto" w:fill="auto"/>
            <w:vAlign w:val="center"/>
            <w:hideMark/>
          </w:tcPr>
          <w:p w:rsidR="00566A9A" w:rsidRPr="00566A9A" w:rsidP="00566A9A" w14:paraId="1D2A7C11" w14:textId="3153429D">
            <w:pPr>
              <w:spacing w:after="0" w:line="240" w:lineRule="auto"/>
              <w:ind w:left="73"/>
              <w:textAlignment w:val="baseline"/>
              <w:rPr>
                <w:rFonts w:ascii="Times New Roman" w:eastAsia="Times New Roman" w:hAnsi="Times New Roman" w:cs="Times New Roman"/>
                <w:sz w:val="16"/>
                <w:szCs w:val="16"/>
              </w:rPr>
            </w:pPr>
            <w:r w:rsidRPr="00C81C69">
              <w:rPr>
                <w:rFonts w:ascii="Arial" w:eastAsia="Times New Roman" w:hAnsi="Arial" w:cs="Arial"/>
                <w:sz w:val="16"/>
                <w:szCs w:val="16"/>
              </w:rPr>
              <w:t>Petition to Accept Unintentionally Delayed Payment of Maintenance Fee in an Expired Patent (37 CFR</w:t>
            </w:r>
            <w:r w:rsidRPr="00C81C69" w:rsidR="00690339">
              <w:rPr>
                <w:rFonts w:ascii="Arial" w:eastAsia="Times New Roman" w:hAnsi="Arial" w:cs="Arial"/>
                <w:sz w:val="16"/>
                <w:szCs w:val="16"/>
              </w:rPr>
              <w:t xml:space="preserve"> §</w:t>
            </w:r>
            <w:r w:rsidRPr="00C81C69">
              <w:rPr>
                <w:rFonts w:ascii="Arial" w:eastAsia="Times New Roman" w:hAnsi="Arial" w:cs="Arial"/>
                <w:sz w:val="16"/>
                <w:szCs w:val="16"/>
              </w:rPr>
              <w:t xml:space="preserve"> 1.378(b))</w:t>
            </w:r>
            <w:r w:rsidRPr="00566A9A">
              <w:rPr>
                <w:rFonts w:ascii="Arial" w:eastAsia="Times New Roman" w:hAnsi="Arial" w:cs="Arial"/>
                <w:sz w:val="16"/>
                <w:szCs w:val="16"/>
              </w:rPr>
              <w:t>  </w:t>
            </w:r>
          </w:p>
        </w:tc>
        <w:tc>
          <w:tcPr>
            <w:tcW w:w="1170" w:type="dxa"/>
            <w:shd w:val="clear" w:color="auto" w:fill="auto"/>
            <w:vAlign w:val="center"/>
            <w:hideMark/>
          </w:tcPr>
          <w:p w:rsidR="00566A9A" w:rsidRPr="00566A9A" w:rsidP="00566A9A" w14:paraId="01E6686E" w14:textId="74CA5E15">
            <w:pPr>
              <w:spacing w:after="0" w:line="240" w:lineRule="auto"/>
              <w:jc w:val="right"/>
              <w:textAlignment w:val="baseline"/>
              <w:rPr>
                <w:rFonts w:ascii="Times New Roman" w:eastAsia="Times New Roman" w:hAnsi="Times New Roman" w:cs="Times New Roman"/>
                <w:sz w:val="16"/>
                <w:szCs w:val="16"/>
              </w:rPr>
            </w:pPr>
            <w:r w:rsidRPr="00C81C69">
              <w:rPr>
                <w:rFonts w:ascii="Arial" w:eastAsia="Times New Roman" w:hAnsi="Arial" w:cs="Arial"/>
                <w:sz w:val="16"/>
                <w:szCs w:val="16"/>
              </w:rPr>
              <w:t>2,500</w:t>
            </w:r>
            <w:r w:rsidRPr="00566A9A">
              <w:rPr>
                <w:rFonts w:ascii="Arial" w:eastAsia="Times New Roman" w:hAnsi="Arial" w:cs="Arial"/>
                <w:sz w:val="16"/>
                <w:szCs w:val="16"/>
              </w:rPr>
              <w:t> </w:t>
            </w:r>
          </w:p>
        </w:tc>
        <w:tc>
          <w:tcPr>
            <w:tcW w:w="1080" w:type="dxa"/>
            <w:shd w:val="clear" w:color="auto" w:fill="auto"/>
            <w:vAlign w:val="center"/>
            <w:hideMark/>
          </w:tcPr>
          <w:p w:rsidR="00566A9A" w:rsidRPr="00566A9A" w:rsidP="00566A9A" w14:paraId="7F40E5AD" w14:textId="37F17CF8">
            <w:pPr>
              <w:spacing w:after="0" w:line="240" w:lineRule="auto"/>
              <w:jc w:val="right"/>
              <w:textAlignment w:val="baseline"/>
              <w:rPr>
                <w:rFonts w:ascii="Times New Roman" w:eastAsia="Times New Roman" w:hAnsi="Times New Roman" w:cs="Times New Roman"/>
                <w:sz w:val="16"/>
                <w:szCs w:val="16"/>
              </w:rPr>
            </w:pPr>
            <w:r w:rsidRPr="00C81C69">
              <w:rPr>
                <w:rFonts w:ascii="Arial" w:eastAsia="Times New Roman" w:hAnsi="Arial" w:cs="Arial"/>
                <w:sz w:val="16"/>
                <w:szCs w:val="16"/>
              </w:rPr>
              <w:t>6,875</w:t>
            </w:r>
            <w:r w:rsidRPr="00566A9A">
              <w:rPr>
                <w:rFonts w:ascii="Arial" w:eastAsia="Times New Roman" w:hAnsi="Arial" w:cs="Arial"/>
                <w:sz w:val="16"/>
                <w:szCs w:val="16"/>
              </w:rPr>
              <w:t> </w:t>
            </w:r>
          </w:p>
        </w:tc>
        <w:tc>
          <w:tcPr>
            <w:tcW w:w="1130" w:type="dxa"/>
            <w:shd w:val="clear" w:color="auto" w:fill="auto"/>
            <w:vAlign w:val="center"/>
            <w:hideMark/>
          </w:tcPr>
          <w:p w:rsidR="00566A9A" w:rsidRPr="00566A9A" w:rsidP="00566A9A" w14:paraId="77B81402" w14:textId="4A3FCBEF">
            <w:pPr>
              <w:spacing w:after="0" w:line="240" w:lineRule="auto"/>
              <w:jc w:val="right"/>
              <w:textAlignment w:val="baseline"/>
              <w:rPr>
                <w:rFonts w:ascii="Times New Roman" w:eastAsia="Times New Roman" w:hAnsi="Times New Roman" w:cs="Times New Roman"/>
                <w:sz w:val="16"/>
                <w:szCs w:val="16"/>
              </w:rPr>
            </w:pPr>
            <w:r w:rsidRPr="00566A9A">
              <w:rPr>
                <w:rFonts w:ascii="Arial" w:eastAsia="Times New Roman" w:hAnsi="Arial" w:cs="Arial"/>
                <w:sz w:val="16"/>
                <w:szCs w:val="16"/>
              </w:rPr>
              <w:t>+</w:t>
            </w:r>
            <w:r w:rsidRPr="00C81C69" w:rsidR="009079B0">
              <w:rPr>
                <w:rFonts w:ascii="Arial" w:eastAsia="Times New Roman" w:hAnsi="Arial" w:cs="Arial"/>
                <w:sz w:val="16"/>
                <w:szCs w:val="16"/>
              </w:rPr>
              <w:t>4,375</w:t>
            </w:r>
            <w:r w:rsidRPr="00566A9A">
              <w:rPr>
                <w:rFonts w:ascii="Arial" w:eastAsia="Times New Roman" w:hAnsi="Arial" w:cs="Arial"/>
                <w:sz w:val="16"/>
                <w:szCs w:val="16"/>
              </w:rPr>
              <w:t> </w:t>
            </w:r>
          </w:p>
        </w:tc>
      </w:tr>
    </w:tbl>
    <w:p w:rsidR="00566A9A" w:rsidRPr="00566A9A" w:rsidP="00566A9A" w14:paraId="001A9D5B"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566A9A" w:rsidRPr="00566A9A" w:rsidP="00566A9A" w14:paraId="18135A71" w14:textId="1DE0CD94">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2: Changes in </w:t>
      </w:r>
      <w:r w:rsidR="00CF755D">
        <w:rPr>
          <w:rFonts w:ascii="Arial" w:eastAsia="Times New Roman" w:hAnsi="Arial" w:cs="Arial"/>
          <w:b/>
          <w:bCs/>
          <w:sz w:val="20"/>
          <w:szCs w:val="20"/>
        </w:rPr>
        <w:t xml:space="preserve">Fee </w:t>
      </w:r>
      <w:r w:rsidR="00F7715D">
        <w:rPr>
          <w:rFonts w:ascii="Arial" w:eastAsia="Times New Roman" w:hAnsi="Arial" w:cs="Arial"/>
          <w:b/>
          <w:bCs/>
          <w:sz w:val="20"/>
          <w:szCs w:val="20"/>
        </w:rPr>
        <w:t>Res</w:t>
      </w:r>
      <w:r w:rsidR="0013696D">
        <w:rPr>
          <w:rFonts w:ascii="Arial" w:eastAsia="Times New Roman" w:hAnsi="Arial" w:cs="Arial"/>
          <w:b/>
          <w:bCs/>
          <w:sz w:val="20"/>
          <w:szCs w:val="20"/>
        </w:rPr>
        <w:t>ponses</w:t>
      </w:r>
      <w:r w:rsidRPr="00566A9A">
        <w:rPr>
          <w:rFonts w:ascii="Arial" w:eastAsia="Times New Roman" w:hAnsi="Arial" w:cs="Arial"/>
          <w:sz w:val="20"/>
          <w:szCs w:val="20"/>
        </w:rPr>
        <w: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5"/>
        <w:gridCol w:w="520"/>
        <w:gridCol w:w="660"/>
        <w:gridCol w:w="4689"/>
        <w:gridCol w:w="1040"/>
        <w:gridCol w:w="996"/>
        <w:gridCol w:w="1010"/>
      </w:tblGrid>
      <w:tr w14:paraId="279D487E" w14:textId="77777777" w:rsidTr="00C673D1">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0"/>
        </w:trPr>
        <w:tc>
          <w:tcPr>
            <w:tcW w:w="435" w:type="dxa"/>
            <w:shd w:val="clear" w:color="auto" w:fill="BDD6EE" w:themeFill="accent1" w:themeFillTint="66"/>
            <w:hideMark/>
          </w:tcPr>
          <w:p w:rsidR="00C673D1" w:rsidRPr="00566A9A" w:rsidP="00585D1F" w14:paraId="3981653D" w14:textId="61CA9AA3">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 No.</w:t>
            </w:r>
          </w:p>
        </w:tc>
        <w:tc>
          <w:tcPr>
            <w:tcW w:w="520" w:type="dxa"/>
            <w:shd w:val="clear" w:color="auto" w:fill="BDD6EE" w:themeFill="accent1" w:themeFillTint="66"/>
          </w:tcPr>
          <w:p w:rsidR="00C673D1" w:rsidRPr="00C81C69" w:rsidP="00566A9A" w14:paraId="7E062995" w14:textId="74473E02">
            <w:pPr>
              <w:spacing w:after="0" w:line="240" w:lineRule="auto"/>
              <w:jc w:val="center"/>
              <w:textAlignment w:val="baseline"/>
              <w:rPr>
                <w:rFonts w:ascii="Arial" w:eastAsia="Times New Roman" w:hAnsi="Arial" w:cs="Arial"/>
                <w:b/>
                <w:bCs/>
                <w:sz w:val="16"/>
                <w:szCs w:val="16"/>
              </w:rPr>
            </w:pPr>
            <w:r w:rsidRPr="00C81C69">
              <w:rPr>
                <w:rFonts w:ascii="Arial" w:eastAsia="Times New Roman" w:hAnsi="Arial" w:cs="Arial"/>
                <w:b/>
                <w:bCs/>
                <w:sz w:val="16"/>
                <w:szCs w:val="16"/>
              </w:rPr>
              <w:t>Fee Code</w:t>
            </w:r>
          </w:p>
        </w:tc>
        <w:tc>
          <w:tcPr>
            <w:tcW w:w="660" w:type="dxa"/>
            <w:shd w:val="clear" w:color="auto" w:fill="BDD6EE" w:themeFill="accent1" w:themeFillTint="66"/>
          </w:tcPr>
          <w:p w:rsidR="00C673D1" w:rsidRPr="00566A9A" w:rsidP="00566A9A" w14:paraId="5BEE15B3" w14:textId="7B7CEE2F">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Fee Amount</w:t>
            </w:r>
          </w:p>
        </w:tc>
        <w:tc>
          <w:tcPr>
            <w:tcW w:w="4689" w:type="dxa"/>
            <w:shd w:val="clear" w:color="auto" w:fill="BDD6EE" w:themeFill="accent1" w:themeFillTint="66"/>
            <w:hideMark/>
          </w:tcPr>
          <w:p w:rsidR="00C673D1" w:rsidRPr="00566A9A" w:rsidP="00566A9A" w14:paraId="3415A23E" w14:textId="29C3E9D3">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040" w:type="dxa"/>
            <w:shd w:val="clear" w:color="auto" w:fill="BDD6EE" w:themeFill="accent1" w:themeFillTint="66"/>
            <w:hideMark/>
          </w:tcPr>
          <w:p w:rsidR="00C673D1" w:rsidP="00F7715D" w14:paraId="693DB1BC" w14:textId="77777777">
            <w:pPr>
              <w:spacing w:after="0" w:line="240" w:lineRule="auto"/>
              <w:jc w:val="center"/>
              <w:textAlignment w:val="baseline"/>
              <w:rPr>
                <w:rFonts w:ascii="Arial" w:eastAsia="Times New Roman" w:hAnsi="Arial" w:cs="Arial"/>
                <w:b/>
                <w:bCs/>
                <w:sz w:val="16"/>
                <w:szCs w:val="16"/>
              </w:rPr>
            </w:pPr>
            <w:r w:rsidRPr="00566A9A">
              <w:rPr>
                <w:rFonts w:ascii="Arial" w:eastAsia="Times New Roman" w:hAnsi="Arial" w:cs="Arial"/>
                <w:b/>
                <w:bCs/>
                <w:sz w:val="16"/>
                <w:szCs w:val="16"/>
              </w:rPr>
              <w:t xml:space="preserve">Current </w:t>
            </w:r>
            <w:r>
              <w:rPr>
                <w:rFonts w:ascii="Arial" w:eastAsia="Times New Roman" w:hAnsi="Arial" w:cs="Arial"/>
                <w:b/>
                <w:bCs/>
                <w:sz w:val="16"/>
                <w:szCs w:val="16"/>
              </w:rPr>
              <w:t>Annual Fee</w:t>
            </w:r>
          </w:p>
          <w:p w:rsidR="00C673D1" w:rsidRPr="00566A9A" w:rsidP="00F7715D" w14:paraId="77BABFF4" w14:textId="1CF11EF7">
            <w:pPr>
              <w:spacing w:after="0" w:line="240" w:lineRule="auto"/>
              <w:jc w:val="center"/>
              <w:textAlignment w:val="baseline"/>
              <w:rPr>
                <w:rFonts w:ascii="Arial" w:eastAsia="Times New Roman" w:hAnsi="Arial" w:cs="Arial"/>
                <w:sz w:val="16"/>
                <w:szCs w:val="16"/>
              </w:rPr>
            </w:pPr>
            <w:r>
              <w:rPr>
                <w:rFonts w:ascii="Arial" w:eastAsia="Times New Roman" w:hAnsi="Arial" w:cs="Arial"/>
                <w:b/>
                <w:bCs/>
                <w:sz w:val="16"/>
                <w:szCs w:val="16"/>
              </w:rPr>
              <w:t>Responses</w:t>
            </w:r>
            <w:r w:rsidRPr="00566A9A">
              <w:rPr>
                <w:rFonts w:ascii="Arial" w:eastAsia="Times New Roman" w:hAnsi="Arial" w:cs="Arial"/>
                <w:sz w:val="16"/>
                <w:szCs w:val="16"/>
              </w:rPr>
              <w:t> </w:t>
            </w:r>
          </w:p>
        </w:tc>
        <w:tc>
          <w:tcPr>
            <w:tcW w:w="996" w:type="dxa"/>
            <w:shd w:val="clear" w:color="auto" w:fill="BDD6EE" w:themeFill="accent1" w:themeFillTint="66"/>
            <w:hideMark/>
          </w:tcPr>
          <w:p w:rsidR="00C673D1" w:rsidRPr="00566A9A" w:rsidP="00F7715D" w14:paraId="37CD0741" w14:textId="12AF86F1">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 xml:space="preserve">New </w:t>
            </w:r>
            <w:r>
              <w:rPr>
                <w:rFonts w:ascii="Arial" w:eastAsia="Times New Roman" w:hAnsi="Arial" w:cs="Arial"/>
                <w:b/>
                <w:bCs/>
                <w:sz w:val="16"/>
                <w:szCs w:val="16"/>
              </w:rPr>
              <w:t>Annual Fee Responses</w:t>
            </w:r>
            <w:r w:rsidRPr="00566A9A">
              <w:rPr>
                <w:rFonts w:ascii="Arial" w:eastAsia="Times New Roman" w:hAnsi="Arial" w:cs="Arial"/>
                <w:sz w:val="16"/>
                <w:szCs w:val="16"/>
              </w:rPr>
              <w:t> </w:t>
            </w:r>
          </w:p>
        </w:tc>
        <w:tc>
          <w:tcPr>
            <w:tcW w:w="1010" w:type="dxa"/>
            <w:shd w:val="clear" w:color="auto" w:fill="BDD6EE" w:themeFill="accent1" w:themeFillTint="66"/>
            <w:hideMark/>
          </w:tcPr>
          <w:p w:rsidR="00C673D1" w:rsidRPr="00566A9A" w:rsidP="00566A9A" w14:paraId="4F9C0EE5" w14:textId="604780F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 xml:space="preserve">Change in </w:t>
            </w:r>
            <w:r>
              <w:rPr>
                <w:rFonts w:ascii="Arial" w:eastAsia="Times New Roman" w:hAnsi="Arial" w:cs="Arial"/>
                <w:b/>
                <w:bCs/>
                <w:sz w:val="16"/>
                <w:szCs w:val="16"/>
              </w:rPr>
              <w:t>Annual Fee Responses</w:t>
            </w:r>
          </w:p>
          <w:p w:rsidR="00C673D1" w:rsidRPr="00566A9A" w:rsidP="00566A9A" w14:paraId="30F44F91" w14:textId="7777777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sz w:val="16"/>
                <w:szCs w:val="16"/>
              </w:rPr>
              <w:t> </w:t>
            </w:r>
          </w:p>
        </w:tc>
      </w:tr>
      <w:tr w14:paraId="6BEC0624" w14:textId="77777777" w:rsidTr="002C69C3">
        <w:tblPrEx>
          <w:tblW w:w="9350" w:type="dxa"/>
          <w:tblCellMar>
            <w:left w:w="0" w:type="dxa"/>
            <w:right w:w="0" w:type="dxa"/>
          </w:tblCellMar>
          <w:tblLook w:val="04A0"/>
        </w:tblPrEx>
        <w:trPr>
          <w:trHeight w:val="480"/>
        </w:trPr>
        <w:tc>
          <w:tcPr>
            <w:tcW w:w="435" w:type="dxa"/>
            <w:shd w:val="clear" w:color="auto" w:fill="auto"/>
            <w:vAlign w:val="center"/>
            <w:hideMark/>
          </w:tcPr>
          <w:p w:rsidR="00D755DF" w:rsidRPr="00566A9A" w:rsidP="00D755DF" w14:paraId="57F2C2F1" w14:textId="0178B3DB">
            <w:pPr>
              <w:spacing w:after="0" w:line="240" w:lineRule="auto"/>
              <w:jc w:val="center"/>
              <w:textAlignment w:val="baseline"/>
              <w:rPr>
                <w:rFonts w:ascii="Arial" w:eastAsia="Times New Roman" w:hAnsi="Arial" w:cs="Arial"/>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5EC07079" w14:textId="0E987975">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1558</w:t>
            </w:r>
          </w:p>
        </w:tc>
        <w:tc>
          <w:tcPr>
            <w:tcW w:w="660" w:type="dxa"/>
            <w:vAlign w:val="center"/>
          </w:tcPr>
          <w:p w:rsidR="00D755DF" w:rsidRPr="00C81C69" w:rsidP="00D755DF" w14:paraId="09009631" w14:textId="399A986F">
            <w:pPr>
              <w:spacing w:after="0" w:line="240" w:lineRule="auto"/>
              <w:jc w:val="center"/>
              <w:textAlignment w:val="baseline"/>
              <w:rPr>
                <w:rFonts w:ascii="Arial" w:hAnsi="Arial" w:cs="Arial"/>
                <w:sz w:val="16"/>
                <w:szCs w:val="16"/>
              </w:rPr>
            </w:pPr>
            <w:r>
              <w:rPr>
                <w:rFonts w:ascii="Arial" w:hAnsi="Arial" w:cs="Arial"/>
                <w:sz w:val="16"/>
                <w:szCs w:val="16"/>
              </w:rPr>
              <w:t>$2,260</w:t>
            </w:r>
          </w:p>
        </w:tc>
        <w:tc>
          <w:tcPr>
            <w:tcW w:w="4689" w:type="dxa"/>
            <w:shd w:val="clear" w:color="auto" w:fill="auto"/>
            <w:vAlign w:val="center"/>
            <w:hideMark/>
          </w:tcPr>
          <w:p w:rsidR="00D755DF" w:rsidRPr="00566A9A" w:rsidP="00D755DF" w14:paraId="172D8819" w14:textId="08B7A9FA">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 xml:space="preserve">Petition to Accept Unintentionally Delayed Payment of Maintenance Fee in an Expired Patent (37 CFR </w:t>
            </w:r>
            <w:r w:rsidRPr="00C81C69">
              <w:rPr>
                <w:rFonts w:ascii="Arial" w:eastAsia="Times New Roman" w:hAnsi="Arial" w:cs="Arial"/>
                <w:sz w:val="16"/>
                <w:szCs w:val="16"/>
              </w:rPr>
              <w:t>§</w:t>
            </w:r>
            <w:r w:rsidRPr="00C81C69">
              <w:rPr>
                <w:rFonts w:ascii="Arial" w:hAnsi="Arial" w:cs="Arial"/>
                <w:sz w:val="16"/>
                <w:szCs w:val="16"/>
              </w:rPr>
              <w:t xml:space="preserve"> 1.378(b)) - delay less than or equal to two years (undiscounted entity)</w:t>
            </w:r>
          </w:p>
        </w:tc>
        <w:tc>
          <w:tcPr>
            <w:tcW w:w="1040" w:type="dxa"/>
            <w:shd w:val="clear" w:color="auto" w:fill="auto"/>
            <w:vAlign w:val="center"/>
            <w:hideMark/>
          </w:tcPr>
          <w:p w:rsidR="00D755DF" w:rsidRPr="00566A9A" w:rsidP="00D755DF" w14:paraId="48CAD3D0" w14:textId="207FC2C0">
            <w:pPr>
              <w:spacing w:after="0" w:line="240" w:lineRule="auto"/>
              <w:ind w:right="33"/>
              <w:jc w:val="right"/>
              <w:textAlignment w:val="baseline"/>
              <w:rPr>
                <w:rFonts w:ascii="Arial" w:eastAsia="Times New Roman" w:hAnsi="Arial" w:cs="Arial"/>
                <w:sz w:val="16"/>
                <w:szCs w:val="16"/>
              </w:rPr>
            </w:pPr>
            <w:r w:rsidRPr="00C81C69">
              <w:rPr>
                <w:rFonts w:ascii="Arial" w:hAnsi="Arial" w:cs="Arial"/>
                <w:color w:val="000000"/>
                <w:sz w:val="16"/>
                <w:szCs w:val="16"/>
              </w:rPr>
              <w:t>530</w:t>
            </w:r>
          </w:p>
        </w:tc>
        <w:tc>
          <w:tcPr>
            <w:tcW w:w="996" w:type="dxa"/>
            <w:shd w:val="clear" w:color="auto" w:fill="auto"/>
            <w:vAlign w:val="center"/>
            <w:hideMark/>
          </w:tcPr>
          <w:p w:rsidR="00D755DF" w:rsidRPr="00566A9A" w:rsidP="00D755DF" w14:paraId="282CBD43" w14:textId="162D6227">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141</w:t>
            </w:r>
            <w:r w:rsidRPr="00566A9A">
              <w:rPr>
                <w:rFonts w:ascii="Arial" w:eastAsia="Times New Roman" w:hAnsi="Arial" w:cs="Arial"/>
                <w:sz w:val="16"/>
                <w:szCs w:val="16"/>
              </w:rPr>
              <w:t> </w:t>
            </w:r>
          </w:p>
        </w:tc>
        <w:tc>
          <w:tcPr>
            <w:tcW w:w="1010" w:type="dxa"/>
            <w:shd w:val="clear" w:color="auto" w:fill="auto"/>
            <w:vAlign w:val="center"/>
            <w:hideMark/>
          </w:tcPr>
          <w:p w:rsidR="00D755DF" w:rsidRPr="00566A9A" w:rsidP="00D755DF" w14:paraId="57657FFE" w14:textId="40379BC4">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-389</w:t>
            </w:r>
            <w:r w:rsidRPr="00566A9A">
              <w:rPr>
                <w:rFonts w:ascii="Arial" w:eastAsia="Times New Roman" w:hAnsi="Arial" w:cs="Arial"/>
                <w:sz w:val="16"/>
                <w:szCs w:val="16"/>
              </w:rPr>
              <w:t> </w:t>
            </w:r>
          </w:p>
        </w:tc>
      </w:tr>
      <w:tr w14:paraId="245E7A49"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D755DF" w:rsidRPr="00C81C69" w:rsidP="00D755DF" w14:paraId="1E7E5193" w14:textId="73C589A3">
            <w:pPr>
              <w:spacing w:after="0" w:line="240" w:lineRule="auto"/>
              <w:jc w:val="center"/>
              <w:textAlignment w:val="baseline"/>
              <w:rPr>
                <w:rFonts w:ascii="Arial" w:eastAsia="Times New Roman" w:hAnsi="Arial" w:cs="Arial"/>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6F0C3DAE" w14:textId="7C3E1BB6">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2558</w:t>
            </w:r>
          </w:p>
        </w:tc>
        <w:tc>
          <w:tcPr>
            <w:tcW w:w="660" w:type="dxa"/>
            <w:vAlign w:val="center"/>
          </w:tcPr>
          <w:p w:rsidR="00D755DF" w:rsidRPr="00C81C69" w:rsidP="00D755DF" w14:paraId="44C12590" w14:textId="7AD69F2E">
            <w:pPr>
              <w:spacing w:after="0" w:line="240" w:lineRule="auto"/>
              <w:jc w:val="center"/>
              <w:textAlignment w:val="baseline"/>
              <w:rPr>
                <w:rFonts w:ascii="Arial" w:hAnsi="Arial" w:cs="Arial"/>
                <w:sz w:val="16"/>
                <w:szCs w:val="16"/>
              </w:rPr>
            </w:pPr>
            <w:r>
              <w:rPr>
                <w:rFonts w:ascii="Arial" w:hAnsi="Arial" w:cs="Arial"/>
                <w:sz w:val="16"/>
                <w:szCs w:val="16"/>
              </w:rPr>
              <w:t>$904</w:t>
            </w:r>
          </w:p>
        </w:tc>
        <w:tc>
          <w:tcPr>
            <w:tcW w:w="4689" w:type="dxa"/>
            <w:shd w:val="clear" w:color="auto" w:fill="auto"/>
            <w:vAlign w:val="center"/>
          </w:tcPr>
          <w:p w:rsidR="00D755DF" w:rsidRPr="00C81C69" w:rsidP="00D755DF" w14:paraId="43A72EC7" w14:textId="4E343AD0">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 xml:space="preserve">Petition to Accept Unintentionally Delayed Payment of Maintenance Fee in an Expired Patent (37 CFR </w:t>
            </w:r>
            <w:r w:rsidRPr="00C81C69">
              <w:rPr>
                <w:rFonts w:ascii="Arial" w:eastAsia="Times New Roman" w:hAnsi="Arial" w:cs="Arial"/>
                <w:sz w:val="16"/>
                <w:szCs w:val="16"/>
              </w:rPr>
              <w:t>§</w:t>
            </w:r>
            <w:r w:rsidRPr="00C81C69">
              <w:rPr>
                <w:rFonts w:ascii="Arial" w:hAnsi="Arial" w:cs="Arial"/>
                <w:sz w:val="16"/>
                <w:szCs w:val="16"/>
              </w:rPr>
              <w:t xml:space="preserve"> 1.378(b)) - delay less than or equal to two years (small entity)</w:t>
            </w:r>
          </w:p>
        </w:tc>
        <w:tc>
          <w:tcPr>
            <w:tcW w:w="1040" w:type="dxa"/>
            <w:shd w:val="clear" w:color="auto" w:fill="auto"/>
            <w:vAlign w:val="center"/>
          </w:tcPr>
          <w:p w:rsidR="00D755DF" w:rsidRPr="00C81C69" w:rsidP="00D755DF" w14:paraId="7FBA57CA" w14:textId="393AC07D">
            <w:pPr>
              <w:spacing w:after="0" w:line="240" w:lineRule="auto"/>
              <w:ind w:right="33"/>
              <w:jc w:val="right"/>
              <w:textAlignment w:val="baseline"/>
              <w:rPr>
                <w:rFonts w:ascii="Arial" w:eastAsia="Times New Roman" w:hAnsi="Arial" w:cs="Arial"/>
                <w:sz w:val="16"/>
                <w:szCs w:val="16"/>
              </w:rPr>
            </w:pPr>
            <w:r w:rsidRPr="00C81C69">
              <w:rPr>
                <w:rFonts w:ascii="Arial" w:hAnsi="Arial" w:cs="Arial"/>
                <w:color w:val="000000"/>
                <w:sz w:val="16"/>
                <w:szCs w:val="16"/>
              </w:rPr>
              <w:t>1,515</w:t>
            </w:r>
          </w:p>
        </w:tc>
        <w:tc>
          <w:tcPr>
            <w:tcW w:w="996" w:type="dxa"/>
            <w:shd w:val="clear" w:color="auto" w:fill="auto"/>
            <w:vAlign w:val="center"/>
          </w:tcPr>
          <w:p w:rsidR="00D755DF" w:rsidRPr="00C81C69" w:rsidP="00D755DF" w14:paraId="2AC6D5DF" w14:textId="4A458EDD">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613</w:t>
            </w:r>
            <w:r w:rsidRPr="00566A9A">
              <w:rPr>
                <w:rFonts w:ascii="Arial" w:eastAsia="Times New Roman" w:hAnsi="Arial" w:cs="Arial"/>
                <w:sz w:val="16"/>
                <w:szCs w:val="16"/>
              </w:rPr>
              <w:t> </w:t>
            </w:r>
          </w:p>
        </w:tc>
        <w:tc>
          <w:tcPr>
            <w:tcW w:w="1010" w:type="dxa"/>
            <w:shd w:val="clear" w:color="auto" w:fill="auto"/>
            <w:vAlign w:val="center"/>
          </w:tcPr>
          <w:p w:rsidR="00D755DF" w:rsidRPr="00C81C69" w:rsidP="00D755DF" w14:paraId="29079EA9" w14:textId="63B8F89B">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-902</w:t>
            </w:r>
            <w:r w:rsidRPr="00566A9A">
              <w:rPr>
                <w:rFonts w:ascii="Arial" w:eastAsia="Times New Roman" w:hAnsi="Arial" w:cs="Arial"/>
                <w:sz w:val="16"/>
                <w:szCs w:val="16"/>
              </w:rPr>
              <w:t> </w:t>
            </w:r>
          </w:p>
        </w:tc>
      </w:tr>
      <w:tr w14:paraId="483E61E0"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D755DF" w:rsidRPr="00C81C69" w:rsidP="00D755DF" w14:paraId="1BBDD5F0" w14:textId="7D60CD16">
            <w:pPr>
              <w:spacing w:after="0" w:line="240" w:lineRule="auto"/>
              <w:jc w:val="center"/>
              <w:textAlignment w:val="baseline"/>
              <w:rPr>
                <w:rFonts w:ascii="Arial" w:eastAsia="Times New Roman" w:hAnsi="Arial" w:cs="Arial"/>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5CC5127B" w14:textId="05A8C234">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3558</w:t>
            </w:r>
          </w:p>
        </w:tc>
        <w:tc>
          <w:tcPr>
            <w:tcW w:w="660" w:type="dxa"/>
            <w:vAlign w:val="center"/>
          </w:tcPr>
          <w:p w:rsidR="00D755DF" w:rsidRPr="00C81C69" w:rsidP="00D755DF" w14:paraId="1F81DB88" w14:textId="16A5A525">
            <w:pPr>
              <w:spacing w:after="0" w:line="240" w:lineRule="auto"/>
              <w:jc w:val="center"/>
              <w:textAlignment w:val="baseline"/>
              <w:rPr>
                <w:rFonts w:ascii="Arial" w:hAnsi="Arial" w:cs="Arial"/>
                <w:sz w:val="16"/>
                <w:szCs w:val="16"/>
              </w:rPr>
            </w:pPr>
            <w:r>
              <w:rPr>
                <w:rFonts w:ascii="Arial" w:hAnsi="Arial" w:cs="Arial"/>
                <w:sz w:val="16"/>
                <w:szCs w:val="16"/>
              </w:rPr>
              <w:t>$452</w:t>
            </w:r>
          </w:p>
        </w:tc>
        <w:tc>
          <w:tcPr>
            <w:tcW w:w="4689" w:type="dxa"/>
            <w:shd w:val="clear" w:color="auto" w:fill="auto"/>
            <w:vAlign w:val="center"/>
          </w:tcPr>
          <w:p w:rsidR="00D755DF" w:rsidRPr="00C81C69" w:rsidP="00D755DF" w14:paraId="0F62DEAA" w14:textId="15775EF0">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 xml:space="preserve">Petition to Accept Unintentionally Delayed Payment of Maintenance Fee in an Expired Patent (37 CFR </w:t>
            </w:r>
            <w:r w:rsidRPr="00C81C69">
              <w:rPr>
                <w:rFonts w:ascii="Arial" w:eastAsia="Times New Roman" w:hAnsi="Arial" w:cs="Arial"/>
                <w:sz w:val="16"/>
                <w:szCs w:val="16"/>
              </w:rPr>
              <w:t xml:space="preserve">§ </w:t>
            </w:r>
            <w:r w:rsidRPr="00C81C69">
              <w:rPr>
                <w:rFonts w:ascii="Arial" w:hAnsi="Arial" w:cs="Arial"/>
                <w:sz w:val="16"/>
                <w:szCs w:val="16"/>
              </w:rPr>
              <w:t>1.378(b)) - delay less than or equal to two years (micro entity)</w:t>
            </w:r>
          </w:p>
        </w:tc>
        <w:tc>
          <w:tcPr>
            <w:tcW w:w="1040" w:type="dxa"/>
            <w:shd w:val="clear" w:color="auto" w:fill="auto"/>
            <w:vAlign w:val="center"/>
          </w:tcPr>
          <w:p w:rsidR="00D755DF" w:rsidRPr="00C81C69" w:rsidP="00D755DF" w14:paraId="5F04DB66" w14:textId="32F33C6B">
            <w:pPr>
              <w:spacing w:after="0" w:line="240" w:lineRule="auto"/>
              <w:ind w:right="33"/>
              <w:jc w:val="right"/>
              <w:textAlignment w:val="baseline"/>
              <w:rPr>
                <w:rFonts w:ascii="Arial" w:eastAsia="Times New Roman" w:hAnsi="Arial" w:cs="Arial"/>
                <w:sz w:val="16"/>
                <w:szCs w:val="16"/>
              </w:rPr>
            </w:pPr>
            <w:r w:rsidRPr="00C81C69">
              <w:rPr>
                <w:rFonts w:ascii="Arial" w:hAnsi="Arial" w:cs="Arial"/>
                <w:color w:val="000000"/>
                <w:sz w:val="16"/>
                <w:szCs w:val="16"/>
              </w:rPr>
              <w:t>455</w:t>
            </w:r>
          </w:p>
        </w:tc>
        <w:tc>
          <w:tcPr>
            <w:tcW w:w="996" w:type="dxa"/>
            <w:shd w:val="clear" w:color="auto" w:fill="auto"/>
            <w:vAlign w:val="center"/>
          </w:tcPr>
          <w:p w:rsidR="00D755DF" w:rsidRPr="00C81C69" w:rsidP="00D755DF" w14:paraId="5861C85F" w14:textId="607CE52D">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189</w:t>
            </w:r>
            <w:r w:rsidRPr="00566A9A">
              <w:rPr>
                <w:rFonts w:ascii="Arial" w:eastAsia="Times New Roman" w:hAnsi="Arial" w:cs="Arial"/>
                <w:sz w:val="16"/>
                <w:szCs w:val="16"/>
              </w:rPr>
              <w:t> </w:t>
            </w:r>
          </w:p>
        </w:tc>
        <w:tc>
          <w:tcPr>
            <w:tcW w:w="1010" w:type="dxa"/>
            <w:shd w:val="clear" w:color="auto" w:fill="auto"/>
            <w:vAlign w:val="center"/>
          </w:tcPr>
          <w:p w:rsidR="00D755DF" w:rsidRPr="00C81C69" w:rsidP="00D755DF" w14:paraId="3A50C911" w14:textId="37F3A664">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-266</w:t>
            </w:r>
            <w:r w:rsidRPr="00566A9A">
              <w:rPr>
                <w:rFonts w:ascii="Arial" w:eastAsia="Times New Roman" w:hAnsi="Arial" w:cs="Arial"/>
                <w:sz w:val="16"/>
                <w:szCs w:val="16"/>
              </w:rPr>
              <w:t> </w:t>
            </w:r>
          </w:p>
        </w:tc>
      </w:tr>
      <w:tr w14:paraId="5807E2CC"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D755DF" w:rsidRPr="00C81C69" w:rsidP="00D755DF" w14:paraId="52D25B2B" w14:textId="403D9F60">
            <w:pPr>
              <w:spacing w:after="0" w:line="240" w:lineRule="auto"/>
              <w:jc w:val="center"/>
              <w:textAlignment w:val="baseline"/>
              <w:rPr>
                <w:rFonts w:ascii="Arial" w:eastAsia="Times New Roman" w:hAnsi="Arial" w:cs="Arial"/>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6B00749C" w14:textId="62B50704">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1560</w:t>
            </w:r>
          </w:p>
        </w:tc>
        <w:tc>
          <w:tcPr>
            <w:tcW w:w="660" w:type="dxa"/>
            <w:vAlign w:val="center"/>
          </w:tcPr>
          <w:p w:rsidR="00D755DF" w:rsidRPr="00C81C69" w:rsidP="00D755DF" w14:paraId="2F9E0BFE" w14:textId="6BBD329D">
            <w:pPr>
              <w:spacing w:after="0" w:line="240" w:lineRule="auto"/>
              <w:jc w:val="center"/>
              <w:textAlignment w:val="baseline"/>
              <w:rPr>
                <w:rFonts w:ascii="Arial" w:hAnsi="Arial" w:cs="Arial"/>
                <w:sz w:val="16"/>
                <w:szCs w:val="16"/>
              </w:rPr>
            </w:pPr>
            <w:r>
              <w:rPr>
                <w:rFonts w:ascii="Arial" w:hAnsi="Arial" w:cs="Arial"/>
                <w:sz w:val="16"/>
                <w:szCs w:val="16"/>
              </w:rPr>
              <w:t>$3,000</w:t>
            </w:r>
          </w:p>
        </w:tc>
        <w:tc>
          <w:tcPr>
            <w:tcW w:w="4689" w:type="dxa"/>
            <w:shd w:val="clear" w:color="auto" w:fill="auto"/>
            <w:vAlign w:val="center"/>
          </w:tcPr>
          <w:p w:rsidR="00D755DF" w:rsidRPr="00C81C69" w:rsidP="00D755DF" w14:paraId="0B866568" w14:textId="31128C53">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Petition for the delayed payment of the fee for maintaining a patent in force, delay greater than two years (undiscounted entity)</w:t>
            </w:r>
          </w:p>
        </w:tc>
        <w:tc>
          <w:tcPr>
            <w:tcW w:w="1040" w:type="dxa"/>
            <w:shd w:val="clear" w:color="auto" w:fill="auto"/>
            <w:vAlign w:val="center"/>
          </w:tcPr>
          <w:p w:rsidR="00D755DF" w:rsidRPr="00C81C69" w:rsidP="00D755DF" w14:paraId="3DED0D70" w14:textId="12BB18DC">
            <w:pPr>
              <w:spacing w:after="0" w:line="240" w:lineRule="auto"/>
              <w:ind w:right="33"/>
              <w:jc w:val="right"/>
              <w:textAlignment w:val="baseline"/>
              <w:rPr>
                <w:rFonts w:ascii="Arial" w:eastAsia="Times New Roman" w:hAnsi="Arial" w:cs="Arial"/>
                <w:sz w:val="16"/>
                <w:szCs w:val="16"/>
              </w:rPr>
            </w:pPr>
            <w:r w:rsidRPr="00C81C69">
              <w:rPr>
                <w:rFonts w:ascii="Arial" w:hAnsi="Arial" w:cs="Arial"/>
                <w:color w:val="000000"/>
                <w:sz w:val="16"/>
                <w:szCs w:val="16"/>
              </w:rPr>
              <w:t>25</w:t>
            </w:r>
          </w:p>
        </w:tc>
        <w:tc>
          <w:tcPr>
            <w:tcW w:w="996" w:type="dxa"/>
            <w:shd w:val="clear" w:color="auto" w:fill="auto"/>
            <w:vAlign w:val="center"/>
          </w:tcPr>
          <w:p w:rsidR="00D755DF" w:rsidRPr="00C81C69" w:rsidP="00D755DF" w14:paraId="4A29668A" w14:textId="2CFEBC2D">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251</w:t>
            </w:r>
            <w:r w:rsidRPr="00566A9A">
              <w:rPr>
                <w:rFonts w:ascii="Arial" w:eastAsia="Times New Roman" w:hAnsi="Arial" w:cs="Arial"/>
                <w:sz w:val="16"/>
                <w:szCs w:val="16"/>
              </w:rPr>
              <w:t> </w:t>
            </w:r>
          </w:p>
        </w:tc>
        <w:tc>
          <w:tcPr>
            <w:tcW w:w="1010" w:type="dxa"/>
            <w:shd w:val="clear" w:color="auto" w:fill="auto"/>
            <w:vAlign w:val="center"/>
          </w:tcPr>
          <w:p w:rsidR="00D755DF" w:rsidRPr="00C81C69" w:rsidP="00D755DF" w14:paraId="314FA8B5" w14:textId="60C664C3">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Pr>
                <w:rFonts w:ascii="Arial" w:eastAsia="Times New Roman" w:hAnsi="Arial" w:cs="Arial"/>
                <w:sz w:val="16"/>
                <w:szCs w:val="16"/>
              </w:rPr>
              <w:t>226</w:t>
            </w:r>
            <w:r w:rsidRPr="00566A9A">
              <w:rPr>
                <w:rFonts w:ascii="Arial" w:eastAsia="Times New Roman" w:hAnsi="Arial" w:cs="Arial"/>
                <w:sz w:val="16"/>
                <w:szCs w:val="16"/>
              </w:rPr>
              <w:t> </w:t>
            </w:r>
          </w:p>
        </w:tc>
      </w:tr>
      <w:tr w14:paraId="50B0B167" w14:textId="77777777" w:rsidTr="002C69C3">
        <w:tblPrEx>
          <w:tblW w:w="9350" w:type="dxa"/>
          <w:tblCellMar>
            <w:left w:w="0" w:type="dxa"/>
            <w:right w:w="0" w:type="dxa"/>
          </w:tblCellMar>
          <w:tblLook w:val="04A0"/>
        </w:tblPrEx>
        <w:trPr>
          <w:trHeight w:val="480"/>
        </w:trPr>
        <w:tc>
          <w:tcPr>
            <w:tcW w:w="435" w:type="dxa"/>
            <w:shd w:val="clear" w:color="auto" w:fill="auto"/>
            <w:vAlign w:val="center"/>
          </w:tcPr>
          <w:p w:rsidR="00D755DF" w:rsidRPr="00C81C69" w:rsidP="00D755DF" w14:paraId="607E8FF0" w14:textId="7C0D9F67">
            <w:pPr>
              <w:spacing w:after="0" w:line="240" w:lineRule="auto"/>
              <w:jc w:val="center"/>
              <w:textAlignment w:val="baseline"/>
              <w:rPr>
                <w:rFonts w:ascii="Arial" w:eastAsia="Times New Roman" w:hAnsi="Arial" w:cs="Arial"/>
                <w:b/>
                <w:bCs/>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7264DB7A" w14:textId="4D65D466">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2560</w:t>
            </w:r>
          </w:p>
        </w:tc>
        <w:tc>
          <w:tcPr>
            <w:tcW w:w="660" w:type="dxa"/>
            <w:vAlign w:val="center"/>
          </w:tcPr>
          <w:p w:rsidR="00D755DF" w:rsidRPr="00C81C69" w:rsidP="00D755DF" w14:paraId="34769806" w14:textId="544B9763">
            <w:pPr>
              <w:spacing w:after="0" w:line="240" w:lineRule="auto"/>
              <w:jc w:val="center"/>
              <w:textAlignment w:val="baseline"/>
              <w:rPr>
                <w:rFonts w:ascii="Arial" w:hAnsi="Arial" w:cs="Arial"/>
                <w:sz w:val="16"/>
                <w:szCs w:val="16"/>
              </w:rPr>
            </w:pPr>
            <w:r>
              <w:rPr>
                <w:rFonts w:ascii="Arial" w:hAnsi="Arial" w:cs="Arial"/>
                <w:sz w:val="16"/>
                <w:szCs w:val="16"/>
              </w:rPr>
              <w:t>$1,200</w:t>
            </w:r>
          </w:p>
        </w:tc>
        <w:tc>
          <w:tcPr>
            <w:tcW w:w="4689" w:type="dxa"/>
            <w:shd w:val="clear" w:color="auto" w:fill="auto"/>
            <w:vAlign w:val="center"/>
          </w:tcPr>
          <w:p w:rsidR="00D755DF" w:rsidRPr="00C81C69" w:rsidP="00D755DF" w14:paraId="2244C9BD" w14:textId="11DBB334">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Petition for the delayed payment of the fee for maintaining a patent in force, delay greater than two years (small entity)</w:t>
            </w:r>
          </w:p>
        </w:tc>
        <w:tc>
          <w:tcPr>
            <w:tcW w:w="1040" w:type="dxa"/>
            <w:shd w:val="clear" w:color="auto" w:fill="auto"/>
            <w:vAlign w:val="center"/>
          </w:tcPr>
          <w:p w:rsidR="00D755DF" w:rsidRPr="00C81C69" w:rsidP="00D755DF" w14:paraId="43FC1939" w14:textId="7E5181A1">
            <w:pPr>
              <w:spacing w:after="0" w:line="240" w:lineRule="auto"/>
              <w:ind w:right="33"/>
              <w:jc w:val="right"/>
              <w:textAlignment w:val="baseline"/>
              <w:rPr>
                <w:rFonts w:ascii="Arial" w:eastAsia="Times New Roman" w:hAnsi="Arial" w:cs="Arial"/>
                <w:sz w:val="16"/>
                <w:szCs w:val="16"/>
              </w:rPr>
            </w:pPr>
            <w:r w:rsidRPr="00C81C69">
              <w:rPr>
                <w:rFonts w:ascii="Arial" w:hAnsi="Arial" w:cs="Arial"/>
                <w:color w:val="000000"/>
                <w:sz w:val="16"/>
                <w:szCs w:val="16"/>
              </w:rPr>
              <w:t>77</w:t>
            </w:r>
          </w:p>
        </w:tc>
        <w:tc>
          <w:tcPr>
            <w:tcW w:w="996" w:type="dxa"/>
            <w:shd w:val="clear" w:color="auto" w:fill="auto"/>
            <w:vAlign w:val="center"/>
          </w:tcPr>
          <w:p w:rsidR="00D755DF" w:rsidRPr="00C81C69" w:rsidP="00D755DF" w14:paraId="39607713" w14:textId="2E6B4714">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1,090</w:t>
            </w:r>
            <w:r w:rsidRPr="00566A9A">
              <w:rPr>
                <w:rFonts w:ascii="Arial" w:eastAsia="Times New Roman" w:hAnsi="Arial" w:cs="Arial"/>
                <w:sz w:val="16"/>
                <w:szCs w:val="16"/>
              </w:rPr>
              <w:t> </w:t>
            </w:r>
          </w:p>
        </w:tc>
        <w:tc>
          <w:tcPr>
            <w:tcW w:w="1010" w:type="dxa"/>
            <w:shd w:val="clear" w:color="auto" w:fill="auto"/>
            <w:vAlign w:val="center"/>
          </w:tcPr>
          <w:p w:rsidR="00D755DF" w:rsidRPr="00C81C69" w:rsidP="00D755DF" w14:paraId="44C4E5CD" w14:textId="41571CDB">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Pr>
                <w:rFonts w:ascii="Arial" w:eastAsia="Times New Roman" w:hAnsi="Arial" w:cs="Arial"/>
                <w:sz w:val="16"/>
                <w:szCs w:val="16"/>
              </w:rPr>
              <w:t>1,013</w:t>
            </w:r>
            <w:r w:rsidRPr="00566A9A">
              <w:rPr>
                <w:rFonts w:ascii="Arial" w:eastAsia="Times New Roman" w:hAnsi="Arial" w:cs="Arial"/>
                <w:sz w:val="16"/>
                <w:szCs w:val="16"/>
              </w:rPr>
              <w:t> </w:t>
            </w:r>
          </w:p>
        </w:tc>
      </w:tr>
      <w:tr w14:paraId="3CAFE915" w14:textId="77777777" w:rsidTr="002C69C3">
        <w:tblPrEx>
          <w:tblW w:w="9350" w:type="dxa"/>
          <w:tblCellMar>
            <w:left w:w="0" w:type="dxa"/>
            <w:right w:w="0" w:type="dxa"/>
          </w:tblCellMar>
          <w:tblLook w:val="04A0"/>
        </w:tblPrEx>
        <w:trPr>
          <w:trHeight w:val="630"/>
        </w:trPr>
        <w:tc>
          <w:tcPr>
            <w:tcW w:w="435" w:type="dxa"/>
            <w:shd w:val="clear" w:color="auto" w:fill="auto"/>
            <w:vAlign w:val="center"/>
            <w:hideMark/>
          </w:tcPr>
          <w:p w:rsidR="00D755DF" w:rsidRPr="00566A9A" w:rsidP="00D755DF" w14:paraId="58B48F3C" w14:textId="01D414A8">
            <w:pPr>
              <w:spacing w:after="0" w:line="240" w:lineRule="auto"/>
              <w:jc w:val="center"/>
              <w:textAlignment w:val="baseline"/>
              <w:rPr>
                <w:rFonts w:ascii="Arial" w:eastAsia="Times New Roman" w:hAnsi="Arial" w:cs="Arial"/>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27F3C1EC" w14:textId="43210BE0">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3560</w:t>
            </w:r>
          </w:p>
        </w:tc>
        <w:tc>
          <w:tcPr>
            <w:tcW w:w="660" w:type="dxa"/>
            <w:vAlign w:val="center"/>
          </w:tcPr>
          <w:p w:rsidR="00D755DF" w:rsidRPr="00C81C69" w:rsidP="00D755DF" w14:paraId="41F17D52" w14:textId="72FB8F99">
            <w:pPr>
              <w:spacing w:after="0" w:line="240" w:lineRule="auto"/>
              <w:jc w:val="center"/>
              <w:textAlignment w:val="baseline"/>
              <w:rPr>
                <w:rFonts w:ascii="Arial" w:hAnsi="Arial" w:cs="Arial"/>
                <w:sz w:val="16"/>
                <w:szCs w:val="16"/>
              </w:rPr>
            </w:pPr>
            <w:r>
              <w:rPr>
                <w:rFonts w:ascii="Arial" w:hAnsi="Arial" w:cs="Arial"/>
                <w:sz w:val="16"/>
                <w:szCs w:val="16"/>
              </w:rPr>
              <w:t>$600</w:t>
            </w:r>
          </w:p>
        </w:tc>
        <w:tc>
          <w:tcPr>
            <w:tcW w:w="4689" w:type="dxa"/>
            <w:shd w:val="clear" w:color="auto" w:fill="auto"/>
            <w:vAlign w:val="center"/>
            <w:hideMark/>
          </w:tcPr>
          <w:p w:rsidR="00D755DF" w:rsidRPr="00566A9A" w:rsidP="00D755DF" w14:paraId="21E7C9E4" w14:textId="7E6348EC">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Petition for the delayed payment of the fee for maintaining a patent in force, delay greater than two years (micro entity)</w:t>
            </w:r>
          </w:p>
        </w:tc>
        <w:tc>
          <w:tcPr>
            <w:tcW w:w="1040" w:type="dxa"/>
            <w:shd w:val="clear" w:color="auto" w:fill="auto"/>
            <w:vAlign w:val="center"/>
            <w:hideMark/>
          </w:tcPr>
          <w:p w:rsidR="00D755DF" w:rsidRPr="00566A9A" w:rsidP="00D755DF" w14:paraId="5438E22E" w14:textId="14C753CE">
            <w:pPr>
              <w:spacing w:after="0" w:line="240" w:lineRule="auto"/>
              <w:ind w:right="33"/>
              <w:jc w:val="right"/>
              <w:textAlignment w:val="baseline"/>
              <w:rPr>
                <w:rFonts w:ascii="Arial" w:eastAsia="Times New Roman" w:hAnsi="Arial" w:cs="Arial"/>
                <w:sz w:val="16"/>
                <w:szCs w:val="16"/>
              </w:rPr>
            </w:pPr>
            <w:r w:rsidRPr="00C81C69">
              <w:rPr>
                <w:rFonts w:ascii="Arial" w:hAnsi="Arial" w:cs="Arial"/>
                <w:color w:val="000000"/>
                <w:sz w:val="16"/>
                <w:szCs w:val="16"/>
              </w:rPr>
              <w:t>17</w:t>
            </w:r>
          </w:p>
        </w:tc>
        <w:tc>
          <w:tcPr>
            <w:tcW w:w="996" w:type="dxa"/>
            <w:shd w:val="clear" w:color="auto" w:fill="auto"/>
            <w:vAlign w:val="center"/>
            <w:hideMark/>
          </w:tcPr>
          <w:p w:rsidR="00D755DF" w:rsidRPr="00566A9A" w:rsidP="00D755DF" w14:paraId="2549DAF3" w14:textId="0ACA83FC">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335</w:t>
            </w:r>
            <w:r w:rsidRPr="00566A9A">
              <w:rPr>
                <w:rFonts w:ascii="Arial" w:eastAsia="Times New Roman" w:hAnsi="Arial" w:cs="Arial"/>
                <w:sz w:val="16"/>
                <w:szCs w:val="16"/>
              </w:rPr>
              <w:t> </w:t>
            </w:r>
          </w:p>
        </w:tc>
        <w:tc>
          <w:tcPr>
            <w:tcW w:w="1010" w:type="dxa"/>
            <w:shd w:val="clear" w:color="auto" w:fill="auto"/>
            <w:vAlign w:val="center"/>
            <w:hideMark/>
          </w:tcPr>
          <w:p w:rsidR="00D755DF" w:rsidRPr="00566A9A" w:rsidP="00D755DF" w14:paraId="1D6166C2" w14:textId="4130676E">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Pr>
                <w:rFonts w:ascii="Arial" w:eastAsia="Times New Roman" w:hAnsi="Arial" w:cs="Arial"/>
                <w:sz w:val="16"/>
                <w:szCs w:val="16"/>
              </w:rPr>
              <w:t>318</w:t>
            </w:r>
            <w:r w:rsidRPr="00566A9A">
              <w:rPr>
                <w:rFonts w:ascii="Arial" w:eastAsia="Times New Roman" w:hAnsi="Arial" w:cs="Arial"/>
                <w:sz w:val="16"/>
                <w:szCs w:val="16"/>
              </w:rPr>
              <w:t> </w:t>
            </w:r>
          </w:p>
        </w:tc>
      </w:tr>
      <w:tr w14:paraId="17D4A6A2" w14:textId="77777777" w:rsidTr="00C673D1">
        <w:tblPrEx>
          <w:tblW w:w="9350" w:type="dxa"/>
          <w:tblCellMar>
            <w:left w:w="0" w:type="dxa"/>
            <w:right w:w="0" w:type="dxa"/>
          </w:tblCellMar>
          <w:tblLook w:val="04A0"/>
        </w:tblPrEx>
        <w:trPr>
          <w:trHeight w:val="300"/>
        </w:trPr>
        <w:tc>
          <w:tcPr>
            <w:tcW w:w="435" w:type="dxa"/>
            <w:shd w:val="clear" w:color="auto" w:fill="auto"/>
            <w:hideMark/>
          </w:tcPr>
          <w:p w:rsidR="00C673D1" w:rsidRPr="00566A9A" w:rsidP="00566A9A" w14:paraId="438DA4D8" w14:textId="77777777">
            <w:pPr>
              <w:spacing w:after="0" w:line="240" w:lineRule="auto"/>
              <w:textAlignment w:val="baseline"/>
              <w:rPr>
                <w:rFonts w:ascii="Arial" w:eastAsia="Times New Roman" w:hAnsi="Arial" w:cs="Arial"/>
                <w:sz w:val="16"/>
                <w:szCs w:val="16"/>
              </w:rPr>
            </w:pPr>
            <w:r w:rsidRPr="00566A9A">
              <w:rPr>
                <w:rFonts w:ascii="Arial" w:eastAsia="Times New Roman" w:hAnsi="Arial" w:cs="Arial"/>
                <w:sz w:val="16"/>
                <w:szCs w:val="16"/>
              </w:rPr>
              <w:t> </w:t>
            </w:r>
          </w:p>
        </w:tc>
        <w:tc>
          <w:tcPr>
            <w:tcW w:w="520" w:type="dxa"/>
          </w:tcPr>
          <w:p w:rsidR="00C673D1" w:rsidRPr="00C81C69" w:rsidP="00566A9A" w14:paraId="5F99002F" w14:textId="77777777">
            <w:pPr>
              <w:spacing w:after="0" w:line="240" w:lineRule="auto"/>
              <w:ind w:left="73"/>
              <w:textAlignment w:val="baseline"/>
              <w:rPr>
                <w:rFonts w:ascii="Arial" w:eastAsia="Times New Roman" w:hAnsi="Arial" w:cs="Arial"/>
                <w:b/>
                <w:bCs/>
                <w:sz w:val="16"/>
                <w:szCs w:val="16"/>
              </w:rPr>
            </w:pPr>
          </w:p>
        </w:tc>
        <w:tc>
          <w:tcPr>
            <w:tcW w:w="660" w:type="dxa"/>
          </w:tcPr>
          <w:p w:rsidR="00C673D1" w:rsidRPr="00566A9A" w:rsidP="00566A9A" w14:paraId="5F257833" w14:textId="77777777">
            <w:pPr>
              <w:spacing w:after="0" w:line="240" w:lineRule="auto"/>
              <w:ind w:left="73"/>
              <w:textAlignment w:val="baseline"/>
              <w:rPr>
                <w:rFonts w:ascii="Arial" w:eastAsia="Times New Roman" w:hAnsi="Arial" w:cs="Arial"/>
                <w:b/>
                <w:bCs/>
                <w:sz w:val="16"/>
                <w:szCs w:val="16"/>
              </w:rPr>
            </w:pPr>
          </w:p>
        </w:tc>
        <w:tc>
          <w:tcPr>
            <w:tcW w:w="4689" w:type="dxa"/>
            <w:shd w:val="clear" w:color="auto" w:fill="auto"/>
            <w:vAlign w:val="center"/>
            <w:hideMark/>
          </w:tcPr>
          <w:p w:rsidR="00C673D1" w:rsidRPr="00566A9A" w:rsidP="00566A9A" w14:paraId="2BF9C09F" w14:textId="7A1051F7">
            <w:pPr>
              <w:spacing w:after="0" w:line="240" w:lineRule="auto"/>
              <w:ind w:left="73"/>
              <w:textAlignment w:val="baseline"/>
              <w:rPr>
                <w:rFonts w:ascii="Arial" w:eastAsia="Times New Roman" w:hAnsi="Arial" w:cs="Arial"/>
                <w:sz w:val="16"/>
                <w:szCs w:val="16"/>
              </w:rPr>
            </w:pPr>
            <w:r w:rsidRPr="00566A9A">
              <w:rPr>
                <w:rFonts w:ascii="Arial" w:eastAsia="Times New Roman" w:hAnsi="Arial" w:cs="Arial"/>
                <w:b/>
                <w:bCs/>
                <w:sz w:val="16"/>
                <w:szCs w:val="16"/>
              </w:rPr>
              <w:t>Totals</w:t>
            </w:r>
            <w:r w:rsidRPr="00566A9A">
              <w:rPr>
                <w:rFonts w:ascii="Arial" w:eastAsia="Times New Roman" w:hAnsi="Arial" w:cs="Arial"/>
                <w:sz w:val="16"/>
                <w:szCs w:val="16"/>
              </w:rPr>
              <w:t> </w:t>
            </w:r>
          </w:p>
        </w:tc>
        <w:tc>
          <w:tcPr>
            <w:tcW w:w="1040" w:type="dxa"/>
            <w:shd w:val="clear" w:color="auto" w:fill="auto"/>
            <w:vAlign w:val="center"/>
            <w:hideMark/>
          </w:tcPr>
          <w:p w:rsidR="00C673D1" w:rsidRPr="00566A9A" w:rsidP="00566A9A" w14:paraId="275F588C" w14:textId="49818E23">
            <w:pPr>
              <w:spacing w:after="0" w:line="240" w:lineRule="auto"/>
              <w:jc w:val="right"/>
              <w:textAlignment w:val="baseline"/>
              <w:rPr>
                <w:rFonts w:ascii="Arial" w:eastAsia="Times New Roman" w:hAnsi="Arial" w:cs="Arial"/>
                <w:sz w:val="16"/>
                <w:szCs w:val="16"/>
              </w:rPr>
            </w:pPr>
            <w:r w:rsidRPr="00857235">
              <w:rPr>
                <w:rFonts w:ascii="Arial" w:eastAsia="Times New Roman" w:hAnsi="Arial" w:cs="Arial"/>
                <w:b/>
                <w:bCs/>
                <w:sz w:val="16"/>
                <w:szCs w:val="16"/>
              </w:rPr>
              <w:t>2,619</w:t>
            </w:r>
            <w:r w:rsidRPr="00566A9A">
              <w:rPr>
                <w:rFonts w:ascii="Arial" w:eastAsia="Times New Roman" w:hAnsi="Arial" w:cs="Arial"/>
                <w:sz w:val="16"/>
                <w:szCs w:val="16"/>
              </w:rPr>
              <w:t> </w:t>
            </w:r>
          </w:p>
        </w:tc>
        <w:tc>
          <w:tcPr>
            <w:tcW w:w="996" w:type="dxa"/>
            <w:shd w:val="clear" w:color="auto" w:fill="auto"/>
            <w:vAlign w:val="center"/>
            <w:hideMark/>
          </w:tcPr>
          <w:p w:rsidR="00C673D1" w:rsidRPr="00566A9A" w:rsidP="00566A9A" w14:paraId="0FD4C2F6" w14:textId="4AC0DF28">
            <w:pPr>
              <w:spacing w:after="0" w:line="240" w:lineRule="auto"/>
              <w:jc w:val="right"/>
              <w:textAlignment w:val="baseline"/>
              <w:rPr>
                <w:rFonts w:ascii="Arial" w:eastAsia="Times New Roman" w:hAnsi="Arial" w:cs="Arial"/>
                <w:sz w:val="16"/>
                <w:szCs w:val="16"/>
              </w:rPr>
            </w:pPr>
            <w:r w:rsidRPr="009D2EE4">
              <w:rPr>
                <w:rFonts w:ascii="Arial" w:eastAsia="Times New Roman" w:hAnsi="Arial" w:cs="Arial"/>
                <w:b/>
                <w:bCs/>
                <w:sz w:val="16"/>
                <w:szCs w:val="16"/>
              </w:rPr>
              <w:t>2,619</w:t>
            </w:r>
            <w:r w:rsidRPr="00566A9A">
              <w:rPr>
                <w:rFonts w:ascii="Arial" w:eastAsia="Times New Roman" w:hAnsi="Arial" w:cs="Arial"/>
                <w:sz w:val="16"/>
                <w:szCs w:val="16"/>
              </w:rPr>
              <w:t> </w:t>
            </w:r>
          </w:p>
        </w:tc>
        <w:tc>
          <w:tcPr>
            <w:tcW w:w="1010" w:type="dxa"/>
            <w:shd w:val="clear" w:color="auto" w:fill="auto"/>
            <w:vAlign w:val="center"/>
            <w:hideMark/>
          </w:tcPr>
          <w:p w:rsidR="00C673D1" w:rsidRPr="00566A9A" w:rsidP="00566A9A" w14:paraId="70481182" w14:textId="3FA3AD67">
            <w:pPr>
              <w:spacing w:after="0" w:line="240" w:lineRule="auto"/>
              <w:jc w:val="right"/>
              <w:textAlignment w:val="baseline"/>
              <w:rPr>
                <w:rFonts w:ascii="Arial" w:eastAsia="Times New Roman" w:hAnsi="Arial" w:cs="Arial"/>
                <w:sz w:val="16"/>
                <w:szCs w:val="16"/>
              </w:rPr>
            </w:pPr>
            <w:r w:rsidRPr="00C81C69">
              <w:rPr>
                <w:rFonts w:ascii="Arial" w:eastAsia="Times New Roman" w:hAnsi="Arial" w:cs="Arial"/>
                <w:b/>
                <w:bCs/>
                <w:sz w:val="16"/>
                <w:szCs w:val="16"/>
              </w:rPr>
              <w:t>+</w:t>
            </w:r>
            <w:r>
              <w:rPr>
                <w:rFonts w:ascii="Arial" w:eastAsia="Times New Roman" w:hAnsi="Arial" w:cs="Arial"/>
                <w:b/>
                <w:bCs/>
                <w:sz w:val="16"/>
                <w:szCs w:val="16"/>
              </w:rPr>
              <w:t>0</w:t>
            </w:r>
            <w:r w:rsidRPr="00566A9A">
              <w:rPr>
                <w:rFonts w:ascii="Arial" w:eastAsia="Times New Roman" w:hAnsi="Arial" w:cs="Arial"/>
                <w:sz w:val="16"/>
                <w:szCs w:val="16"/>
              </w:rPr>
              <w:t> </w:t>
            </w:r>
          </w:p>
        </w:tc>
      </w:tr>
    </w:tbl>
    <w:p w:rsidR="00566A9A" w:rsidRPr="00566A9A" w:rsidP="00566A9A" w14:paraId="540958D0"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CF755D" w:rsidRPr="00566A9A" w:rsidP="00CF755D" w14:paraId="0C9ABF43" w14:textId="2B94BD55">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w:t>
      </w:r>
      <w:r>
        <w:rPr>
          <w:rFonts w:ascii="Arial" w:eastAsia="Times New Roman" w:hAnsi="Arial" w:cs="Arial"/>
          <w:b/>
          <w:bCs/>
          <w:sz w:val="20"/>
          <w:szCs w:val="20"/>
        </w:rPr>
        <w:t>3</w:t>
      </w:r>
      <w:r w:rsidRPr="00566A9A">
        <w:rPr>
          <w:rFonts w:ascii="Arial" w:eastAsia="Times New Roman" w:hAnsi="Arial" w:cs="Arial"/>
          <w:b/>
          <w:bCs/>
          <w:sz w:val="20"/>
          <w:szCs w:val="20"/>
        </w:rPr>
        <w:t>: Changes in </w:t>
      </w:r>
      <w:r w:rsidR="0013696D">
        <w:rPr>
          <w:rFonts w:ascii="Arial" w:eastAsia="Times New Roman" w:hAnsi="Arial" w:cs="Arial"/>
          <w:b/>
          <w:bCs/>
          <w:sz w:val="20"/>
          <w:szCs w:val="20"/>
        </w:rPr>
        <w:t xml:space="preserve">Non-hour </w:t>
      </w:r>
      <w:r w:rsidR="00061C46">
        <w:rPr>
          <w:rFonts w:ascii="Arial" w:eastAsia="Times New Roman" w:hAnsi="Arial" w:cs="Arial"/>
          <w:b/>
          <w:bCs/>
          <w:sz w:val="20"/>
          <w:szCs w:val="20"/>
        </w:rPr>
        <w:t>Cost</w:t>
      </w:r>
      <w:r w:rsidRPr="00566A9A">
        <w:rPr>
          <w:rFonts w:ascii="Arial" w:eastAsia="Times New Roman" w:hAnsi="Arial" w:cs="Arial"/>
          <w:sz w:val="20"/>
          <w:szCs w:val="20"/>
        </w:rPr>
        <w: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7"/>
        <w:gridCol w:w="520"/>
        <w:gridCol w:w="658"/>
        <w:gridCol w:w="4679"/>
        <w:gridCol w:w="1013"/>
        <w:gridCol w:w="959"/>
        <w:gridCol w:w="1084"/>
      </w:tblGrid>
      <w:tr w14:paraId="5A541467" w14:textId="77777777" w:rsidTr="00C673D1">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0"/>
        </w:trPr>
        <w:tc>
          <w:tcPr>
            <w:tcW w:w="437" w:type="dxa"/>
            <w:shd w:val="clear" w:color="auto" w:fill="BDD6EE" w:themeFill="accent1" w:themeFillTint="66"/>
            <w:hideMark/>
          </w:tcPr>
          <w:p w:rsidR="00C673D1" w:rsidRPr="00566A9A" w:rsidP="00A52B02" w14:paraId="27A83499" w14:textId="7777777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 No.</w:t>
            </w:r>
            <w:r w:rsidRPr="00566A9A">
              <w:rPr>
                <w:rFonts w:ascii="Arial" w:eastAsia="Times New Roman" w:hAnsi="Arial" w:cs="Arial"/>
                <w:sz w:val="16"/>
                <w:szCs w:val="16"/>
              </w:rPr>
              <w:t> </w:t>
            </w:r>
          </w:p>
        </w:tc>
        <w:tc>
          <w:tcPr>
            <w:tcW w:w="520" w:type="dxa"/>
            <w:shd w:val="clear" w:color="auto" w:fill="BDD6EE" w:themeFill="accent1" w:themeFillTint="66"/>
          </w:tcPr>
          <w:p w:rsidR="00C673D1" w:rsidRPr="00C81C69" w:rsidP="00D75E55" w14:paraId="1E2BAC03" w14:textId="1D39DC70">
            <w:pPr>
              <w:spacing w:after="0" w:line="240" w:lineRule="auto"/>
              <w:jc w:val="center"/>
              <w:textAlignment w:val="baseline"/>
              <w:rPr>
                <w:rFonts w:ascii="Arial" w:eastAsia="Times New Roman" w:hAnsi="Arial" w:cs="Arial"/>
                <w:b/>
                <w:bCs/>
                <w:sz w:val="16"/>
                <w:szCs w:val="16"/>
              </w:rPr>
            </w:pPr>
            <w:r w:rsidRPr="00C81C69">
              <w:rPr>
                <w:rFonts w:ascii="Arial" w:eastAsia="Times New Roman" w:hAnsi="Arial" w:cs="Arial"/>
                <w:b/>
                <w:bCs/>
                <w:sz w:val="16"/>
                <w:szCs w:val="16"/>
              </w:rPr>
              <w:t>Fee Code</w:t>
            </w:r>
          </w:p>
        </w:tc>
        <w:tc>
          <w:tcPr>
            <w:tcW w:w="658" w:type="dxa"/>
            <w:shd w:val="clear" w:color="auto" w:fill="BDD6EE" w:themeFill="accent1" w:themeFillTint="66"/>
          </w:tcPr>
          <w:p w:rsidR="00C673D1" w:rsidRPr="00566A9A" w:rsidP="00A52B02" w14:paraId="31386398" w14:textId="04EF31CF">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Fee Amount</w:t>
            </w:r>
          </w:p>
        </w:tc>
        <w:tc>
          <w:tcPr>
            <w:tcW w:w="4679" w:type="dxa"/>
            <w:shd w:val="clear" w:color="auto" w:fill="BDD6EE" w:themeFill="accent1" w:themeFillTint="66"/>
            <w:hideMark/>
          </w:tcPr>
          <w:p w:rsidR="00C673D1" w:rsidRPr="00566A9A" w:rsidP="00A52B02" w14:paraId="7AF6A174" w14:textId="680209A1">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013" w:type="dxa"/>
            <w:shd w:val="clear" w:color="auto" w:fill="BDD6EE" w:themeFill="accent1" w:themeFillTint="66"/>
            <w:hideMark/>
          </w:tcPr>
          <w:p w:rsidR="00C673D1" w:rsidRPr="00C81C69" w:rsidP="008C7DDB" w14:paraId="6D76A1EB" w14:textId="77777777">
            <w:pPr>
              <w:pStyle w:val="NoSpacing"/>
              <w:ind w:right="21"/>
              <w:jc w:val="center"/>
              <w:rPr>
                <w:rFonts w:ascii="Arial" w:hAnsi="Arial" w:cs="Arial"/>
                <w:b/>
                <w:sz w:val="16"/>
                <w:szCs w:val="16"/>
              </w:rPr>
            </w:pPr>
            <w:r w:rsidRPr="00C81C69">
              <w:rPr>
                <w:rFonts w:ascii="Arial" w:hAnsi="Arial" w:cs="Arial"/>
                <w:b/>
                <w:sz w:val="16"/>
                <w:szCs w:val="16"/>
              </w:rPr>
              <w:t>Current Cost</w:t>
            </w:r>
          </w:p>
          <w:p w:rsidR="00C673D1" w:rsidP="00A52B02" w14:paraId="525EC9A3" w14:textId="77777777">
            <w:pPr>
              <w:spacing w:after="0" w:line="240" w:lineRule="auto"/>
              <w:jc w:val="center"/>
              <w:textAlignment w:val="baseline"/>
              <w:rPr>
                <w:rFonts w:ascii="Arial" w:hAnsi="Arial" w:cs="Arial"/>
                <w:b/>
                <w:sz w:val="16"/>
                <w:szCs w:val="16"/>
              </w:rPr>
            </w:pPr>
          </w:p>
          <w:p w:rsidR="00C673D1" w:rsidRPr="00566A9A" w:rsidP="00A52B02" w14:paraId="350EDD4A" w14:textId="63B92F77">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(a)</w:t>
            </w:r>
          </w:p>
        </w:tc>
        <w:tc>
          <w:tcPr>
            <w:tcW w:w="959" w:type="dxa"/>
            <w:shd w:val="clear" w:color="auto" w:fill="BDD6EE" w:themeFill="accent1" w:themeFillTint="66"/>
            <w:hideMark/>
          </w:tcPr>
          <w:p w:rsidR="00C673D1" w:rsidRPr="00C81C69" w:rsidP="00A52B02" w14:paraId="2B5DA702" w14:textId="77777777">
            <w:pPr>
              <w:pStyle w:val="NoSpacing"/>
              <w:jc w:val="center"/>
              <w:rPr>
                <w:rFonts w:ascii="Arial" w:hAnsi="Arial" w:cs="Arial"/>
                <w:b/>
                <w:sz w:val="16"/>
                <w:szCs w:val="16"/>
              </w:rPr>
            </w:pPr>
            <w:r w:rsidRPr="00C81C69">
              <w:rPr>
                <w:rFonts w:ascii="Arial" w:hAnsi="Arial" w:cs="Arial"/>
                <w:b/>
                <w:sz w:val="16"/>
                <w:szCs w:val="16"/>
              </w:rPr>
              <w:t>New Cost</w:t>
            </w:r>
          </w:p>
          <w:p w:rsidR="00C673D1" w:rsidP="00A52B02" w14:paraId="4CE0B629" w14:textId="77777777">
            <w:pPr>
              <w:spacing w:after="0" w:line="240" w:lineRule="auto"/>
              <w:jc w:val="center"/>
              <w:textAlignment w:val="baseline"/>
              <w:rPr>
                <w:rFonts w:ascii="Arial" w:hAnsi="Arial" w:cs="Arial"/>
                <w:b/>
                <w:sz w:val="16"/>
                <w:szCs w:val="16"/>
              </w:rPr>
            </w:pPr>
          </w:p>
          <w:p w:rsidR="00C673D1" w:rsidRPr="00566A9A" w:rsidP="00A52B02" w14:paraId="02E53BB0" w14:textId="7BAD92AB">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(b)</w:t>
            </w:r>
          </w:p>
        </w:tc>
        <w:tc>
          <w:tcPr>
            <w:tcW w:w="1084" w:type="dxa"/>
            <w:shd w:val="clear" w:color="auto" w:fill="BDD6EE" w:themeFill="accent1" w:themeFillTint="66"/>
            <w:hideMark/>
          </w:tcPr>
          <w:p w:rsidR="00C673D1" w:rsidRPr="00C81C69" w:rsidP="00A52B02" w14:paraId="086D79B4" w14:textId="77777777">
            <w:pPr>
              <w:pStyle w:val="NoSpacing"/>
              <w:jc w:val="center"/>
              <w:rPr>
                <w:rFonts w:ascii="Arial" w:hAnsi="Arial" w:cs="Arial"/>
                <w:b/>
                <w:sz w:val="16"/>
                <w:szCs w:val="16"/>
              </w:rPr>
            </w:pPr>
            <w:r w:rsidRPr="00C81C69">
              <w:rPr>
                <w:rFonts w:ascii="Arial" w:hAnsi="Arial" w:cs="Arial"/>
                <w:b/>
                <w:sz w:val="16"/>
                <w:szCs w:val="16"/>
              </w:rPr>
              <w:t>Change in Non-hour Cost Burden</w:t>
            </w:r>
          </w:p>
          <w:p w:rsidR="00C673D1" w:rsidRPr="00566A9A" w:rsidP="00A52B02" w14:paraId="4D26889F" w14:textId="6AE2AFA7">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(b) – (a) = (c)</w:t>
            </w:r>
          </w:p>
        </w:tc>
      </w:tr>
      <w:tr w14:paraId="0F4C41D1" w14:textId="77777777" w:rsidTr="001B0DEC">
        <w:tblPrEx>
          <w:tblW w:w="9350" w:type="dxa"/>
          <w:tblCellMar>
            <w:left w:w="0" w:type="dxa"/>
            <w:right w:w="0" w:type="dxa"/>
          </w:tblCellMar>
          <w:tblLook w:val="04A0"/>
        </w:tblPrEx>
        <w:trPr>
          <w:trHeight w:val="480"/>
        </w:trPr>
        <w:tc>
          <w:tcPr>
            <w:tcW w:w="437" w:type="dxa"/>
            <w:shd w:val="clear" w:color="auto" w:fill="auto"/>
            <w:vAlign w:val="center"/>
            <w:hideMark/>
          </w:tcPr>
          <w:p w:rsidR="00D755DF" w:rsidRPr="00566A9A" w:rsidP="00D755DF" w14:paraId="669F88AF" w14:textId="12C871B7">
            <w:pPr>
              <w:spacing w:after="0" w:line="240" w:lineRule="auto"/>
              <w:jc w:val="center"/>
              <w:textAlignment w:val="baseline"/>
              <w:rPr>
                <w:rFonts w:ascii="Arial" w:eastAsia="Times New Roman" w:hAnsi="Arial" w:cs="Arial"/>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5F1D37B6" w14:textId="2EBF3A5F">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1558</w:t>
            </w:r>
          </w:p>
        </w:tc>
        <w:tc>
          <w:tcPr>
            <w:tcW w:w="658" w:type="dxa"/>
            <w:vAlign w:val="center"/>
          </w:tcPr>
          <w:p w:rsidR="00D755DF" w:rsidRPr="00C81C69" w:rsidP="00D755DF" w14:paraId="6D51FCDE" w14:textId="50C7C2A1">
            <w:pPr>
              <w:spacing w:after="0" w:line="240" w:lineRule="auto"/>
              <w:jc w:val="center"/>
              <w:textAlignment w:val="baseline"/>
              <w:rPr>
                <w:rFonts w:ascii="Arial" w:hAnsi="Arial" w:cs="Arial"/>
                <w:sz w:val="16"/>
                <w:szCs w:val="16"/>
              </w:rPr>
            </w:pPr>
            <w:r>
              <w:rPr>
                <w:rFonts w:ascii="Arial" w:hAnsi="Arial" w:cs="Arial"/>
                <w:sz w:val="16"/>
                <w:szCs w:val="16"/>
              </w:rPr>
              <w:t>$2,260</w:t>
            </w:r>
          </w:p>
        </w:tc>
        <w:tc>
          <w:tcPr>
            <w:tcW w:w="4679" w:type="dxa"/>
            <w:shd w:val="clear" w:color="auto" w:fill="auto"/>
            <w:vAlign w:val="center"/>
            <w:hideMark/>
          </w:tcPr>
          <w:p w:rsidR="00D755DF" w:rsidRPr="00566A9A" w:rsidP="00D755DF" w14:paraId="114B968A" w14:textId="1C43BA62">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 xml:space="preserve">Petition to Accept Unintentionally Delayed Payment of Maintenance Fee in an Expired Patent (37 CFR </w:t>
            </w:r>
            <w:r w:rsidRPr="00C81C69">
              <w:rPr>
                <w:rFonts w:ascii="Arial" w:eastAsia="Times New Roman" w:hAnsi="Arial" w:cs="Arial"/>
                <w:sz w:val="16"/>
                <w:szCs w:val="16"/>
              </w:rPr>
              <w:t xml:space="preserve">§ </w:t>
            </w:r>
            <w:r w:rsidRPr="00C81C69">
              <w:rPr>
                <w:rFonts w:ascii="Arial" w:hAnsi="Arial" w:cs="Arial"/>
                <w:sz w:val="16"/>
                <w:szCs w:val="16"/>
              </w:rPr>
              <w:t>1.378(b)) - delay less than or equal to two years (undiscounted entity)</w:t>
            </w:r>
          </w:p>
        </w:tc>
        <w:tc>
          <w:tcPr>
            <w:tcW w:w="1013" w:type="dxa"/>
            <w:shd w:val="clear" w:color="auto" w:fill="auto"/>
            <w:vAlign w:val="center"/>
            <w:hideMark/>
          </w:tcPr>
          <w:p w:rsidR="00D755DF" w:rsidRPr="00566A9A" w:rsidP="00D755DF" w14:paraId="1BDAF45E" w14:textId="27717DBA">
            <w:pPr>
              <w:spacing w:after="0" w:line="240" w:lineRule="auto"/>
              <w:ind w:right="21"/>
              <w:jc w:val="right"/>
              <w:textAlignment w:val="baseline"/>
              <w:rPr>
                <w:rFonts w:ascii="Arial" w:eastAsia="Times New Roman" w:hAnsi="Arial" w:cs="Arial"/>
                <w:sz w:val="16"/>
                <w:szCs w:val="16"/>
              </w:rPr>
            </w:pPr>
            <w:r w:rsidRPr="00C81C69">
              <w:rPr>
                <w:rFonts w:ascii="Arial" w:hAnsi="Arial" w:cs="Arial"/>
                <w:color w:val="000000"/>
                <w:sz w:val="16"/>
                <w:szCs w:val="16"/>
              </w:rPr>
              <w:t>$1,197,800</w:t>
            </w:r>
          </w:p>
        </w:tc>
        <w:tc>
          <w:tcPr>
            <w:tcW w:w="959" w:type="dxa"/>
            <w:shd w:val="clear" w:color="auto" w:fill="auto"/>
            <w:vAlign w:val="center"/>
            <w:hideMark/>
          </w:tcPr>
          <w:p w:rsidR="00D755DF" w:rsidRPr="00566A9A" w:rsidP="00D755DF" w14:paraId="39DD7185" w14:textId="733A23F8">
            <w:pPr>
              <w:spacing w:after="0" w:line="240" w:lineRule="auto"/>
              <w:ind w:right="54"/>
              <w:jc w:val="right"/>
              <w:textAlignment w:val="baseline"/>
              <w:rPr>
                <w:rFonts w:ascii="Arial" w:eastAsia="Times New Roman" w:hAnsi="Arial" w:cs="Arial"/>
                <w:sz w:val="16"/>
                <w:szCs w:val="16"/>
              </w:rPr>
            </w:pPr>
            <w:r w:rsidRPr="00EB4F93">
              <w:rPr>
                <w:rFonts w:ascii="Arial" w:hAnsi="Arial" w:cs="Arial"/>
                <w:sz w:val="16"/>
                <w:szCs w:val="16"/>
              </w:rPr>
              <w:t xml:space="preserve"> $318,660 </w:t>
            </w:r>
          </w:p>
        </w:tc>
        <w:tc>
          <w:tcPr>
            <w:tcW w:w="1084" w:type="dxa"/>
            <w:shd w:val="clear" w:color="auto" w:fill="auto"/>
            <w:vAlign w:val="center"/>
            <w:hideMark/>
          </w:tcPr>
          <w:p w:rsidR="00D755DF" w:rsidRPr="00566A9A" w:rsidP="00D755DF" w14:paraId="7F58DE11" w14:textId="6321731D">
            <w:pPr>
              <w:spacing w:after="0" w:line="240" w:lineRule="auto"/>
              <w:ind w:right="78"/>
              <w:jc w:val="right"/>
              <w:textAlignment w:val="baseline"/>
              <w:rPr>
                <w:rFonts w:ascii="Arial" w:eastAsia="Times New Roman" w:hAnsi="Arial" w:cs="Arial"/>
                <w:sz w:val="16"/>
                <w:szCs w:val="16"/>
              </w:rPr>
            </w:pPr>
            <w:r w:rsidRPr="00EA7D71">
              <w:rPr>
                <w:rFonts w:ascii="Arial" w:hAnsi="Arial" w:cs="Arial"/>
                <w:color w:val="000000"/>
                <w:sz w:val="16"/>
                <w:szCs w:val="16"/>
              </w:rPr>
              <w:t xml:space="preserve"> </w:t>
            </w:r>
            <w:r>
              <w:rPr>
                <w:rFonts w:ascii="Arial" w:hAnsi="Arial" w:cs="Arial"/>
                <w:color w:val="000000"/>
                <w:sz w:val="16"/>
                <w:szCs w:val="16"/>
              </w:rPr>
              <w:t>-</w:t>
            </w:r>
            <w:r w:rsidRPr="00EA7D71">
              <w:rPr>
                <w:rFonts w:ascii="Arial" w:hAnsi="Arial" w:cs="Arial"/>
                <w:color w:val="000000"/>
                <w:sz w:val="16"/>
                <w:szCs w:val="16"/>
              </w:rPr>
              <w:t>$879,140</w:t>
            </w:r>
          </w:p>
        </w:tc>
      </w:tr>
      <w:tr w14:paraId="237117D5" w14:textId="77777777" w:rsidTr="001B0DEC">
        <w:tblPrEx>
          <w:tblW w:w="9350" w:type="dxa"/>
          <w:tblCellMar>
            <w:left w:w="0" w:type="dxa"/>
            <w:right w:w="0" w:type="dxa"/>
          </w:tblCellMar>
          <w:tblLook w:val="04A0"/>
        </w:tblPrEx>
        <w:trPr>
          <w:trHeight w:val="480"/>
        </w:trPr>
        <w:tc>
          <w:tcPr>
            <w:tcW w:w="437" w:type="dxa"/>
            <w:shd w:val="clear" w:color="auto" w:fill="auto"/>
            <w:vAlign w:val="center"/>
          </w:tcPr>
          <w:p w:rsidR="00D755DF" w:rsidRPr="00C81C69" w:rsidP="00D755DF" w14:paraId="31C2EE64" w14:textId="33EE3BEC">
            <w:pPr>
              <w:spacing w:after="0" w:line="240" w:lineRule="auto"/>
              <w:jc w:val="center"/>
              <w:textAlignment w:val="baseline"/>
              <w:rPr>
                <w:rFonts w:ascii="Arial" w:eastAsia="Times New Roman" w:hAnsi="Arial" w:cs="Arial"/>
                <w:b/>
                <w:bCs/>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2563167B" w14:textId="557DACB7">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2558</w:t>
            </w:r>
          </w:p>
        </w:tc>
        <w:tc>
          <w:tcPr>
            <w:tcW w:w="658" w:type="dxa"/>
            <w:vAlign w:val="center"/>
          </w:tcPr>
          <w:p w:rsidR="00D755DF" w:rsidRPr="00C81C69" w:rsidP="00D755DF" w14:paraId="743FA20D" w14:textId="1A8280FE">
            <w:pPr>
              <w:spacing w:after="0" w:line="240" w:lineRule="auto"/>
              <w:ind w:left="28"/>
              <w:jc w:val="center"/>
              <w:textAlignment w:val="baseline"/>
              <w:rPr>
                <w:rFonts w:ascii="Arial" w:hAnsi="Arial" w:cs="Arial"/>
                <w:sz w:val="16"/>
                <w:szCs w:val="16"/>
              </w:rPr>
            </w:pPr>
            <w:r>
              <w:rPr>
                <w:rFonts w:ascii="Arial" w:hAnsi="Arial" w:cs="Arial"/>
                <w:sz w:val="16"/>
                <w:szCs w:val="16"/>
              </w:rPr>
              <w:t>$904</w:t>
            </w:r>
          </w:p>
        </w:tc>
        <w:tc>
          <w:tcPr>
            <w:tcW w:w="4679" w:type="dxa"/>
            <w:shd w:val="clear" w:color="auto" w:fill="auto"/>
            <w:vAlign w:val="center"/>
          </w:tcPr>
          <w:p w:rsidR="00D755DF" w:rsidRPr="00C81C69" w:rsidP="00D755DF" w14:paraId="1E4048B9" w14:textId="46C0F9E5">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 xml:space="preserve">Petition to Accept Unintentionally Delayed Payment of Maintenance Fee in an Expired Patent (37 CFR </w:t>
            </w:r>
            <w:r w:rsidRPr="00C81C69">
              <w:rPr>
                <w:rFonts w:ascii="Arial" w:eastAsia="Times New Roman" w:hAnsi="Arial" w:cs="Arial"/>
                <w:sz w:val="16"/>
                <w:szCs w:val="16"/>
              </w:rPr>
              <w:t xml:space="preserve">§ </w:t>
            </w:r>
            <w:r w:rsidRPr="00C81C69">
              <w:rPr>
                <w:rFonts w:ascii="Arial" w:hAnsi="Arial" w:cs="Arial"/>
                <w:sz w:val="16"/>
                <w:szCs w:val="16"/>
              </w:rPr>
              <w:t>1.378(b)) - delay less than or equal to two years (small entity)</w:t>
            </w:r>
          </w:p>
        </w:tc>
        <w:tc>
          <w:tcPr>
            <w:tcW w:w="1013" w:type="dxa"/>
            <w:shd w:val="clear" w:color="auto" w:fill="auto"/>
            <w:vAlign w:val="center"/>
          </w:tcPr>
          <w:p w:rsidR="00D755DF" w:rsidRPr="00C81C69" w:rsidP="00D755DF" w14:paraId="2332A53E" w14:textId="06BC7F19">
            <w:pPr>
              <w:spacing w:after="0" w:line="240" w:lineRule="auto"/>
              <w:ind w:right="21"/>
              <w:jc w:val="right"/>
              <w:textAlignment w:val="baseline"/>
              <w:rPr>
                <w:rFonts w:ascii="Arial" w:eastAsia="Times New Roman" w:hAnsi="Arial" w:cs="Arial"/>
                <w:sz w:val="16"/>
                <w:szCs w:val="16"/>
              </w:rPr>
            </w:pPr>
            <w:r w:rsidRPr="00C81C69">
              <w:rPr>
                <w:rFonts w:ascii="Arial" w:hAnsi="Arial" w:cs="Arial"/>
                <w:color w:val="000000"/>
                <w:sz w:val="16"/>
                <w:szCs w:val="16"/>
              </w:rPr>
              <w:t>$1,369,560</w:t>
            </w:r>
          </w:p>
        </w:tc>
        <w:tc>
          <w:tcPr>
            <w:tcW w:w="959" w:type="dxa"/>
            <w:shd w:val="clear" w:color="auto" w:fill="auto"/>
            <w:vAlign w:val="center"/>
          </w:tcPr>
          <w:p w:rsidR="00D755DF" w:rsidRPr="00EB4F93" w:rsidP="00D755DF" w14:paraId="68FA12AA" w14:textId="7035107D">
            <w:pPr>
              <w:spacing w:after="0" w:line="240" w:lineRule="auto"/>
              <w:ind w:right="54"/>
              <w:jc w:val="right"/>
              <w:textAlignment w:val="baseline"/>
              <w:rPr>
                <w:rFonts w:ascii="Arial" w:eastAsia="Times New Roman" w:hAnsi="Arial" w:cs="Arial"/>
                <w:sz w:val="16"/>
                <w:szCs w:val="16"/>
              </w:rPr>
            </w:pPr>
            <w:r w:rsidRPr="00EB4F93">
              <w:rPr>
                <w:rFonts w:ascii="Arial" w:hAnsi="Arial" w:cs="Arial"/>
                <w:sz w:val="16"/>
                <w:szCs w:val="16"/>
              </w:rPr>
              <w:t xml:space="preserve"> $554,152 </w:t>
            </w:r>
          </w:p>
        </w:tc>
        <w:tc>
          <w:tcPr>
            <w:tcW w:w="1084" w:type="dxa"/>
            <w:shd w:val="clear" w:color="auto" w:fill="auto"/>
            <w:vAlign w:val="center"/>
          </w:tcPr>
          <w:p w:rsidR="00D755DF" w:rsidRPr="00EA7D71" w:rsidP="00D755DF" w14:paraId="5CAAE71C" w14:textId="48400F4E">
            <w:pPr>
              <w:spacing w:after="0" w:line="240" w:lineRule="auto"/>
              <w:ind w:right="78"/>
              <w:jc w:val="right"/>
              <w:textAlignment w:val="baseline"/>
              <w:rPr>
                <w:rFonts w:ascii="Arial" w:eastAsia="Times New Roman" w:hAnsi="Arial" w:cs="Arial"/>
                <w:sz w:val="16"/>
                <w:szCs w:val="16"/>
              </w:rPr>
            </w:pPr>
            <w:r w:rsidRPr="00EA7D71">
              <w:rPr>
                <w:rFonts w:ascii="Arial" w:hAnsi="Arial" w:cs="Arial"/>
                <w:color w:val="000000"/>
                <w:sz w:val="16"/>
                <w:szCs w:val="16"/>
              </w:rPr>
              <w:t xml:space="preserve"> </w:t>
            </w:r>
            <w:r>
              <w:rPr>
                <w:rFonts w:ascii="Arial" w:hAnsi="Arial" w:cs="Arial"/>
                <w:color w:val="000000"/>
                <w:sz w:val="16"/>
                <w:szCs w:val="16"/>
              </w:rPr>
              <w:t>-</w:t>
            </w:r>
            <w:r w:rsidRPr="00EA7D71">
              <w:rPr>
                <w:rFonts w:ascii="Arial" w:hAnsi="Arial" w:cs="Arial"/>
                <w:color w:val="000000"/>
                <w:sz w:val="16"/>
                <w:szCs w:val="16"/>
              </w:rPr>
              <w:t>$815,408</w:t>
            </w:r>
          </w:p>
        </w:tc>
      </w:tr>
      <w:tr w14:paraId="072480C6" w14:textId="77777777" w:rsidTr="001B0DEC">
        <w:tblPrEx>
          <w:tblW w:w="9350" w:type="dxa"/>
          <w:tblCellMar>
            <w:left w:w="0" w:type="dxa"/>
            <w:right w:w="0" w:type="dxa"/>
          </w:tblCellMar>
          <w:tblLook w:val="04A0"/>
        </w:tblPrEx>
        <w:trPr>
          <w:trHeight w:val="480"/>
        </w:trPr>
        <w:tc>
          <w:tcPr>
            <w:tcW w:w="437" w:type="dxa"/>
            <w:shd w:val="clear" w:color="auto" w:fill="auto"/>
            <w:vAlign w:val="center"/>
          </w:tcPr>
          <w:p w:rsidR="00D755DF" w:rsidRPr="00C81C69" w:rsidP="00D755DF" w14:paraId="3B737CFA" w14:textId="04AE8D6D">
            <w:pPr>
              <w:spacing w:after="0" w:line="240" w:lineRule="auto"/>
              <w:jc w:val="center"/>
              <w:textAlignment w:val="baseline"/>
              <w:rPr>
                <w:rFonts w:ascii="Arial" w:eastAsia="Times New Roman" w:hAnsi="Arial" w:cs="Arial"/>
                <w:b/>
                <w:bCs/>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21F4DF93" w14:textId="37744944">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3558</w:t>
            </w:r>
          </w:p>
        </w:tc>
        <w:tc>
          <w:tcPr>
            <w:tcW w:w="658" w:type="dxa"/>
            <w:vAlign w:val="center"/>
          </w:tcPr>
          <w:p w:rsidR="00D755DF" w:rsidRPr="00C81C69" w:rsidP="00D755DF" w14:paraId="07E64E16" w14:textId="1B9B5655">
            <w:pPr>
              <w:spacing w:after="0" w:line="240" w:lineRule="auto"/>
              <w:ind w:left="28"/>
              <w:jc w:val="center"/>
              <w:textAlignment w:val="baseline"/>
              <w:rPr>
                <w:rFonts w:ascii="Arial" w:hAnsi="Arial" w:cs="Arial"/>
                <w:sz w:val="16"/>
                <w:szCs w:val="16"/>
              </w:rPr>
            </w:pPr>
            <w:r>
              <w:rPr>
                <w:rFonts w:ascii="Arial" w:hAnsi="Arial" w:cs="Arial"/>
                <w:sz w:val="16"/>
                <w:szCs w:val="16"/>
              </w:rPr>
              <w:t>$452</w:t>
            </w:r>
          </w:p>
        </w:tc>
        <w:tc>
          <w:tcPr>
            <w:tcW w:w="4679" w:type="dxa"/>
            <w:shd w:val="clear" w:color="auto" w:fill="auto"/>
            <w:vAlign w:val="center"/>
          </w:tcPr>
          <w:p w:rsidR="00D755DF" w:rsidRPr="00C81C69" w:rsidP="00D755DF" w14:paraId="588E4727" w14:textId="7018F119">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 xml:space="preserve">Petition to Accept Unintentionally Delayed Payment of Maintenance Fee in an Expired Patent (37 CFR </w:t>
            </w:r>
            <w:r w:rsidRPr="00C81C69">
              <w:rPr>
                <w:rFonts w:ascii="Arial" w:eastAsia="Times New Roman" w:hAnsi="Arial" w:cs="Arial"/>
                <w:sz w:val="16"/>
                <w:szCs w:val="16"/>
              </w:rPr>
              <w:t xml:space="preserve">§ </w:t>
            </w:r>
            <w:r w:rsidRPr="00C81C69">
              <w:rPr>
                <w:rFonts w:ascii="Arial" w:hAnsi="Arial" w:cs="Arial"/>
                <w:sz w:val="16"/>
                <w:szCs w:val="16"/>
              </w:rPr>
              <w:t>1.378(b)) - delay less than or equal to two years (micro entity)</w:t>
            </w:r>
          </w:p>
        </w:tc>
        <w:tc>
          <w:tcPr>
            <w:tcW w:w="1013" w:type="dxa"/>
            <w:shd w:val="clear" w:color="auto" w:fill="auto"/>
            <w:vAlign w:val="center"/>
          </w:tcPr>
          <w:p w:rsidR="00D755DF" w:rsidRPr="00C81C69" w:rsidP="00D755DF" w14:paraId="654C962E" w14:textId="17A78B28">
            <w:pPr>
              <w:spacing w:after="0" w:line="240" w:lineRule="auto"/>
              <w:ind w:right="21"/>
              <w:jc w:val="right"/>
              <w:textAlignment w:val="baseline"/>
              <w:rPr>
                <w:rFonts w:ascii="Arial" w:eastAsia="Times New Roman" w:hAnsi="Arial" w:cs="Arial"/>
                <w:sz w:val="16"/>
                <w:szCs w:val="16"/>
              </w:rPr>
            </w:pPr>
            <w:r w:rsidRPr="00C81C69">
              <w:rPr>
                <w:rFonts w:ascii="Arial" w:hAnsi="Arial" w:cs="Arial"/>
                <w:color w:val="000000"/>
                <w:sz w:val="16"/>
                <w:szCs w:val="16"/>
              </w:rPr>
              <w:t>$205,660</w:t>
            </w:r>
          </w:p>
        </w:tc>
        <w:tc>
          <w:tcPr>
            <w:tcW w:w="959" w:type="dxa"/>
            <w:shd w:val="clear" w:color="auto" w:fill="auto"/>
            <w:vAlign w:val="center"/>
          </w:tcPr>
          <w:p w:rsidR="00D755DF" w:rsidRPr="00EB4F93" w:rsidP="00D755DF" w14:paraId="462A5BF2" w14:textId="6068890E">
            <w:pPr>
              <w:spacing w:after="0" w:line="240" w:lineRule="auto"/>
              <w:ind w:right="54"/>
              <w:jc w:val="right"/>
              <w:textAlignment w:val="baseline"/>
              <w:rPr>
                <w:rFonts w:ascii="Arial" w:eastAsia="Times New Roman" w:hAnsi="Arial" w:cs="Arial"/>
                <w:sz w:val="16"/>
                <w:szCs w:val="16"/>
              </w:rPr>
            </w:pPr>
            <w:r w:rsidRPr="00EB4F93">
              <w:rPr>
                <w:rFonts w:ascii="Arial" w:hAnsi="Arial" w:cs="Arial"/>
                <w:sz w:val="16"/>
                <w:szCs w:val="16"/>
              </w:rPr>
              <w:t xml:space="preserve"> $85,428 </w:t>
            </w:r>
          </w:p>
        </w:tc>
        <w:tc>
          <w:tcPr>
            <w:tcW w:w="1084" w:type="dxa"/>
            <w:shd w:val="clear" w:color="auto" w:fill="auto"/>
            <w:vAlign w:val="center"/>
          </w:tcPr>
          <w:p w:rsidR="00D755DF" w:rsidRPr="00EA7D71" w:rsidP="00D755DF" w14:paraId="621628B5" w14:textId="172C0C3B">
            <w:pPr>
              <w:spacing w:after="0" w:line="240" w:lineRule="auto"/>
              <w:ind w:right="78"/>
              <w:jc w:val="right"/>
              <w:textAlignment w:val="baseline"/>
              <w:rPr>
                <w:rFonts w:ascii="Arial" w:eastAsia="Times New Roman" w:hAnsi="Arial" w:cs="Arial"/>
                <w:sz w:val="16"/>
                <w:szCs w:val="16"/>
              </w:rPr>
            </w:pPr>
            <w:r w:rsidRPr="00EA7D71">
              <w:rPr>
                <w:rFonts w:ascii="Arial" w:hAnsi="Arial" w:cs="Arial"/>
                <w:color w:val="000000"/>
                <w:sz w:val="16"/>
                <w:szCs w:val="16"/>
              </w:rPr>
              <w:t xml:space="preserve"> </w:t>
            </w:r>
            <w:r>
              <w:rPr>
                <w:rFonts w:ascii="Arial" w:hAnsi="Arial" w:cs="Arial"/>
                <w:color w:val="000000"/>
                <w:sz w:val="16"/>
                <w:szCs w:val="16"/>
              </w:rPr>
              <w:t>-</w:t>
            </w:r>
            <w:r w:rsidRPr="00EA7D71">
              <w:rPr>
                <w:rFonts w:ascii="Arial" w:hAnsi="Arial" w:cs="Arial"/>
                <w:color w:val="000000"/>
                <w:sz w:val="16"/>
                <w:szCs w:val="16"/>
              </w:rPr>
              <w:t>$120,232</w:t>
            </w:r>
          </w:p>
        </w:tc>
      </w:tr>
      <w:tr w14:paraId="1C568AD2" w14:textId="77777777" w:rsidTr="001B0DEC">
        <w:tblPrEx>
          <w:tblW w:w="9350" w:type="dxa"/>
          <w:tblCellMar>
            <w:left w:w="0" w:type="dxa"/>
            <w:right w:w="0" w:type="dxa"/>
          </w:tblCellMar>
          <w:tblLook w:val="04A0"/>
        </w:tblPrEx>
        <w:trPr>
          <w:trHeight w:val="480"/>
        </w:trPr>
        <w:tc>
          <w:tcPr>
            <w:tcW w:w="437" w:type="dxa"/>
            <w:shd w:val="clear" w:color="auto" w:fill="auto"/>
            <w:vAlign w:val="center"/>
          </w:tcPr>
          <w:p w:rsidR="00D755DF" w:rsidRPr="00C81C69" w:rsidP="00D755DF" w14:paraId="48908660" w14:textId="7A38A3E8">
            <w:pPr>
              <w:spacing w:after="0" w:line="240" w:lineRule="auto"/>
              <w:jc w:val="center"/>
              <w:textAlignment w:val="baseline"/>
              <w:rPr>
                <w:rFonts w:ascii="Arial" w:eastAsia="Times New Roman" w:hAnsi="Arial" w:cs="Arial"/>
                <w:b/>
                <w:bCs/>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572229DD" w14:textId="75DD7ACC">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1560</w:t>
            </w:r>
          </w:p>
        </w:tc>
        <w:tc>
          <w:tcPr>
            <w:tcW w:w="658" w:type="dxa"/>
            <w:vAlign w:val="center"/>
          </w:tcPr>
          <w:p w:rsidR="00D755DF" w:rsidRPr="00C81C69" w:rsidP="00D755DF" w14:paraId="640A765A" w14:textId="314BCE5A">
            <w:pPr>
              <w:spacing w:after="0" w:line="240" w:lineRule="auto"/>
              <w:ind w:left="28"/>
              <w:jc w:val="center"/>
              <w:textAlignment w:val="baseline"/>
              <w:rPr>
                <w:rFonts w:ascii="Arial" w:hAnsi="Arial" w:cs="Arial"/>
                <w:sz w:val="16"/>
                <w:szCs w:val="16"/>
              </w:rPr>
            </w:pPr>
            <w:r>
              <w:rPr>
                <w:rFonts w:ascii="Arial" w:hAnsi="Arial" w:cs="Arial"/>
                <w:sz w:val="16"/>
                <w:szCs w:val="16"/>
              </w:rPr>
              <w:t>$3,000</w:t>
            </w:r>
          </w:p>
        </w:tc>
        <w:tc>
          <w:tcPr>
            <w:tcW w:w="4679" w:type="dxa"/>
            <w:shd w:val="clear" w:color="auto" w:fill="auto"/>
            <w:vAlign w:val="center"/>
          </w:tcPr>
          <w:p w:rsidR="00D755DF" w:rsidRPr="00C81C69" w:rsidP="00D755DF" w14:paraId="6B7FE1F2" w14:textId="72DEAFC8">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Petition for the delayed payment of the fee for maintaining a patent in force, delay greater than two years (undiscounted entity)</w:t>
            </w:r>
          </w:p>
        </w:tc>
        <w:tc>
          <w:tcPr>
            <w:tcW w:w="1013" w:type="dxa"/>
            <w:shd w:val="clear" w:color="auto" w:fill="auto"/>
            <w:vAlign w:val="center"/>
          </w:tcPr>
          <w:p w:rsidR="00D755DF" w:rsidRPr="00C81C69" w:rsidP="00D755DF" w14:paraId="240BEF49" w14:textId="3154E10E">
            <w:pPr>
              <w:spacing w:after="0" w:line="240" w:lineRule="auto"/>
              <w:ind w:right="21"/>
              <w:jc w:val="right"/>
              <w:textAlignment w:val="baseline"/>
              <w:rPr>
                <w:rFonts w:ascii="Arial" w:eastAsia="Times New Roman" w:hAnsi="Arial" w:cs="Arial"/>
                <w:sz w:val="16"/>
                <w:szCs w:val="16"/>
              </w:rPr>
            </w:pPr>
            <w:r w:rsidRPr="00C81C69">
              <w:rPr>
                <w:rFonts w:ascii="Arial" w:hAnsi="Arial" w:cs="Arial"/>
                <w:color w:val="000000"/>
                <w:sz w:val="16"/>
                <w:szCs w:val="16"/>
              </w:rPr>
              <w:t>$75,000</w:t>
            </w:r>
          </w:p>
        </w:tc>
        <w:tc>
          <w:tcPr>
            <w:tcW w:w="959" w:type="dxa"/>
            <w:shd w:val="clear" w:color="auto" w:fill="auto"/>
            <w:vAlign w:val="center"/>
          </w:tcPr>
          <w:p w:rsidR="00D755DF" w:rsidRPr="00EB4F93" w:rsidP="00D755DF" w14:paraId="78E78C6C" w14:textId="416EC67B">
            <w:pPr>
              <w:spacing w:after="0" w:line="240" w:lineRule="auto"/>
              <w:ind w:right="54"/>
              <w:jc w:val="right"/>
              <w:textAlignment w:val="baseline"/>
              <w:rPr>
                <w:rFonts w:ascii="Arial" w:eastAsia="Times New Roman" w:hAnsi="Arial" w:cs="Arial"/>
                <w:sz w:val="16"/>
                <w:szCs w:val="16"/>
              </w:rPr>
            </w:pPr>
            <w:r w:rsidRPr="00EB4F93">
              <w:rPr>
                <w:rFonts w:ascii="Arial" w:hAnsi="Arial" w:cs="Arial"/>
                <w:sz w:val="16"/>
                <w:szCs w:val="16"/>
              </w:rPr>
              <w:t xml:space="preserve"> $753,000 </w:t>
            </w:r>
          </w:p>
        </w:tc>
        <w:tc>
          <w:tcPr>
            <w:tcW w:w="1084" w:type="dxa"/>
            <w:shd w:val="clear" w:color="auto" w:fill="auto"/>
            <w:vAlign w:val="center"/>
          </w:tcPr>
          <w:p w:rsidR="00D755DF" w:rsidRPr="00EA7D71" w:rsidP="00D755DF" w14:paraId="66030152" w14:textId="03621BED">
            <w:pPr>
              <w:spacing w:after="0" w:line="240" w:lineRule="auto"/>
              <w:ind w:right="78"/>
              <w:jc w:val="right"/>
              <w:textAlignment w:val="baseline"/>
              <w:rPr>
                <w:rFonts w:ascii="Arial" w:eastAsia="Times New Roman" w:hAnsi="Arial" w:cs="Arial"/>
                <w:sz w:val="16"/>
                <w:szCs w:val="16"/>
              </w:rPr>
            </w:pPr>
            <w:r w:rsidRPr="00EA7D71">
              <w:rPr>
                <w:rFonts w:ascii="Arial" w:hAnsi="Arial" w:cs="Arial"/>
                <w:color w:val="000000"/>
                <w:sz w:val="16"/>
                <w:szCs w:val="16"/>
              </w:rPr>
              <w:t xml:space="preserve"> </w:t>
            </w:r>
            <w:r>
              <w:rPr>
                <w:rFonts w:ascii="Arial" w:hAnsi="Arial" w:cs="Arial"/>
                <w:color w:val="000000"/>
                <w:sz w:val="16"/>
                <w:szCs w:val="16"/>
              </w:rPr>
              <w:t>+</w:t>
            </w:r>
            <w:r w:rsidRPr="00EA7D71">
              <w:rPr>
                <w:rFonts w:ascii="Arial" w:hAnsi="Arial" w:cs="Arial"/>
                <w:color w:val="000000"/>
                <w:sz w:val="16"/>
                <w:szCs w:val="16"/>
              </w:rPr>
              <w:t xml:space="preserve">$678,000 </w:t>
            </w:r>
          </w:p>
        </w:tc>
      </w:tr>
      <w:tr w14:paraId="062536B2" w14:textId="77777777" w:rsidTr="001B0DEC">
        <w:tblPrEx>
          <w:tblW w:w="9350" w:type="dxa"/>
          <w:tblCellMar>
            <w:left w:w="0" w:type="dxa"/>
            <w:right w:w="0" w:type="dxa"/>
          </w:tblCellMar>
          <w:tblLook w:val="04A0"/>
        </w:tblPrEx>
        <w:trPr>
          <w:trHeight w:val="480"/>
        </w:trPr>
        <w:tc>
          <w:tcPr>
            <w:tcW w:w="437" w:type="dxa"/>
            <w:shd w:val="clear" w:color="auto" w:fill="auto"/>
            <w:vAlign w:val="center"/>
          </w:tcPr>
          <w:p w:rsidR="00D755DF" w:rsidRPr="00C81C69" w:rsidP="00D755DF" w14:paraId="1D56F3DE" w14:textId="16B44ABB">
            <w:pPr>
              <w:spacing w:after="0" w:line="240" w:lineRule="auto"/>
              <w:jc w:val="center"/>
              <w:textAlignment w:val="baseline"/>
              <w:rPr>
                <w:rFonts w:ascii="Arial" w:eastAsia="Times New Roman" w:hAnsi="Arial" w:cs="Arial"/>
                <w:b/>
                <w:bCs/>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2C9412EC" w14:textId="47953D4C">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2560</w:t>
            </w:r>
          </w:p>
        </w:tc>
        <w:tc>
          <w:tcPr>
            <w:tcW w:w="658" w:type="dxa"/>
            <w:vAlign w:val="center"/>
          </w:tcPr>
          <w:p w:rsidR="00D755DF" w:rsidRPr="00C81C69" w:rsidP="00D755DF" w14:paraId="266499E9" w14:textId="44381382">
            <w:pPr>
              <w:spacing w:after="0" w:line="240" w:lineRule="auto"/>
              <w:ind w:left="28"/>
              <w:jc w:val="center"/>
              <w:textAlignment w:val="baseline"/>
              <w:rPr>
                <w:rFonts w:ascii="Arial" w:hAnsi="Arial" w:cs="Arial"/>
                <w:sz w:val="16"/>
                <w:szCs w:val="16"/>
              </w:rPr>
            </w:pPr>
            <w:r>
              <w:rPr>
                <w:rFonts w:ascii="Arial" w:hAnsi="Arial" w:cs="Arial"/>
                <w:sz w:val="16"/>
                <w:szCs w:val="16"/>
              </w:rPr>
              <w:t>$1,200</w:t>
            </w:r>
          </w:p>
        </w:tc>
        <w:tc>
          <w:tcPr>
            <w:tcW w:w="4679" w:type="dxa"/>
            <w:shd w:val="clear" w:color="auto" w:fill="auto"/>
            <w:vAlign w:val="center"/>
          </w:tcPr>
          <w:p w:rsidR="00D755DF" w:rsidRPr="00C81C69" w:rsidP="00D755DF" w14:paraId="2BD6505C" w14:textId="6B6BECB4">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Petition for the delayed payment of the fee for maintaining a patent in force, delay greater than two years (small entity)</w:t>
            </w:r>
          </w:p>
        </w:tc>
        <w:tc>
          <w:tcPr>
            <w:tcW w:w="1013" w:type="dxa"/>
            <w:shd w:val="clear" w:color="auto" w:fill="auto"/>
            <w:vAlign w:val="center"/>
          </w:tcPr>
          <w:p w:rsidR="00D755DF" w:rsidRPr="00C81C69" w:rsidP="00D755DF" w14:paraId="57D5A28D" w14:textId="68D0D0DC">
            <w:pPr>
              <w:spacing w:after="0" w:line="240" w:lineRule="auto"/>
              <w:ind w:right="21"/>
              <w:jc w:val="right"/>
              <w:textAlignment w:val="baseline"/>
              <w:rPr>
                <w:rFonts w:ascii="Arial" w:eastAsia="Times New Roman" w:hAnsi="Arial" w:cs="Arial"/>
                <w:sz w:val="16"/>
                <w:szCs w:val="16"/>
              </w:rPr>
            </w:pPr>
            <w:r w:rsidRPr="00C81C69">
              <w:rPr>
                <w:rFonts w:ascii="Arial" w:hAnsi="Arial" w:cs="Arial"/>
                <w:color w:val="000000"/>
                <w:sz w:val="16"/>
                <w:szCs w:val="16"/>
              </w:rPr>
              <w:t>$92,400</w:t>
            </w:r>
          </w:p>
        </w:tc>
        <w:tc>
          <w:tcPr>
            <w:tcW w:w="959" w:type="dxa"/>
            <w:shd w:val="clear" w:color="auto" w:fill="auto"/>
            <w:vAlign w:val="center"/>
          </w:tcPr>
          <w:p w:rsidR="00D755DF" w:rsidRPr="00EB4F93" w:rsidP="00D755DF" w14:paraId="39C9DFDA" w14:textId="7B896D88">
            <w:pPr>
              <w:spacing w:after="0" w:line="240" w:lineRule="auto"/>
              <w:ind w:right="54"/>
              <w:jc w:val="right"/>
              <w:textAlignment w:val="baseline"/>
              <w:rPr>
                <w:rFonts w:ascii="Arial" w:eastAsia="Times New Roman" w:hAnsi="Arial" w:cs="Arial"/>
                <w:sz w:val="16"/>
                <w:szCs w:val="16"/>
              </w:rPr>
            </w:pPr>
            <w:r w:rsidRPr="00EB4F93">
              <w:rPr>
                <w:rFonts w:ascii="Arial" w:hAnsi="Arial" w:cs="Arial"/>
                <w:sz w:val="16"/>
                <w:szCs w:val="16"/>
              </w:rPr>
              <w:t xml:space="preserve"> $1,308,000 </w:t>
            </w:r>
          </w:p>
        </w:tc>
        <w:tc>
          <w:tcPr>
            <w:tcW w:w="1084" w:type="dxa"/>
            <w:shd w:val="clear" w:color="auto" w:fill="auto"/>
            <w:vAlign w:val="center"/>
          </w:tcPr>
          <w:p w:rsidR="00D755DF" w:rsidRPr="00EA7D71" w:rsidP="00D755DF" w14:paraId="109D85DD" w14:textId="1843DF2E">
            <w:pPr>
              <w:spacing w:after="0" w:line="240" w:lineRule="auto"/>
              <w:ind w:right="78"/>
              <w:jc w:val="right"/>
              <w:textAlignment w:val="baseline"/>
              <w:rPr>
                <w:rFonts w:ascii="Arial" w:eastAsia="Times New Roman" w:hAnsi="Arial" w:cs="Arial"/>
                <w:sz w:val="16"/>
                <w:szCs w:val="16"/>
              </w:rPr>
            </w:pPr>
            <w:r>
              <w:rPr>
                <w:rFonts w:ascii="Arial" w:hAnsi="Arial" w:cs="Arial"/>
                <w:color w:val="000000"/>
                <w:sz w:val="16"/>
                <w:szCs w:val="16"/>
              </w:rPr>
              <w:t>+</w:t>
            </w:r>
            <w:r w:rsidRPr="00EA7D71">
              <w:rPr>
                <w:rFonts w:ascii="Arial" w:hAnsi="Arial" w:cs="Arial"/>
                <w:color w:val="000000"/>
                <w:sz w:val="16"/>
                <w:szCs w:val="16"/>
              </w:rPr>
              <w:t xml:space="preserve">$1,215,600 </w:t>
            </w:r>
          </w:p>
        </w:tc>
      </w:tr>
      <w:tr w14:paraId="776C4384" w14:textId="77777777" w:rsidTr="001B0DEC">
        <w:tblPrEx>
          <w:tblW w:w="9350" w:type="dxa"/>
          <w:tblCellMar>
            <w:left w:w="0" w:type="dxa"/>
            <w:right w:w="0" w:type="dxa"/>
          </w:tblCellMar>
          <w:tblLook w:val="04A0"/>
        </w:tblPrEx>
        <w:trPr>
          <w:trHeight w:val="480"/>
        </w:trPr>
        <w:tc>
          <w:tcPr>
            <w:tcW w:w="437" w:type="dxa"/>
            <w:shd w:val="clear" w:color="auto" w:fill="auto"/>
            <w:vAlign w:val="center"/>
          </w:tcPr>
          <w:p w:rsidR="00D755DF" w:rsidRPr="00C81C69" w:rsidP="00D755DF" w14:paraId="2A5E07A0" w14:textId="302D336B">
            <w:pPr>
              <w:spacing w:after="0" w:line="240" w:lineRule="auto"/>
              <w:jc w:val="center"/>
              <w:textAlignment w:val="baseline"/>
              <w:rPr>
                <w:rFonts w:ascii="Arial" w:eastAsia="Times New Roman" w:hAnsi="Arial" w:cs="Arial"/>
                <w:b/>
                <w:bCs/>
                <w:sz w:val="16"/>
                <w:szCs w:val="16"/>
              </w:rPr>
            </w:pPr>
            <w:r w:rsidRPr="00C81C69">
              <w:rPr>
                <w:rFonts w:ascii="Arial" w:hAnsi="Arial" w:cs="Arial"/>
                <w:b/>
                <w:bCs/>
                <w:color w:val="000000"/>
                <w:sz w:val="16"/>
                <w:szCs w:val="16"/>
              </w:rPr>
              <w:t>1</w:t>
            </w:r>
          </w:p>
        </w:tc>
        <w:tc>
          <w:tcPr>
            <w:tcW w:w="520" w:type="dxa"/>
            <w:vAlign w:val="center"/>
          </w:tcPr>
          <w:p w:rsidR="00D755DF" w:rsidRPr="00C81C69" w:rsidP="00D755DF" w14:paraId="33E877CE" w14:textId="3BB24C2F">
            <w:pPr>
              <w:spacing w:after="0" w:line="240" w:lineRule="auto"/>
              <w:jc w:val="center"/>
              <w:textAlignment w:val="baseline"/>
              <w:rPr>
                <w:rFonts w:ascii="Arial" w:eastAsia="Times New Roman" w:hAnsi="Arial" w:cs="Arial"/>
                <w:sz w:val="16"/>
                <w:szCs w:val="16"/>
              </w:rPr>
            </w:pPr>
            <w:r w:rsidRPr="00C81C69">
              <w:rPr>
                <w:rFonts w:ascii="Arial" w:hAnsi="Arial" w:cs="Arial"/>
                <w:sz w:val="16"/>
                <w:szCs w:val="16"/>
              </w:rPr>
              <w:t>3560</w:t>
            </w:r>
          </w:p>
        </w:tc>
        <w:tc>
          <w:tcPr>
            <w:tcW w:w="658" w:type="dxa"/>
            <w:vAlign w:val="center"/>
          </w:tcPr>
          <w:p w:rsidR="00D755DF" w:rsidRPr="00C81C69" w:rsidP="00D755DF" w14:paraId="6D21C4CA" w14:textId="365140A3">
            <w:pPr>
              <w:spacing w:after="0" w:line="240" w:lineRule="auto"/>
              <w:ind w:left="28"/>
              <w:jc w:val="center"/>
              <w:textAlignment w:val="baseline"/>
              <w:rPr>
                <w:rFonts w:ascii="Arial" w:hAnsi="Arial" w:cs="Arial"/>
                <w:sz w:val="16"/>
                <w:szCs w:val="16"/>
              </w:rPr>
            </w:pPr>
            <w:r>
              <w:rPr>
                <w:rFonts w:ascii="Arial" w:hAnsi="Arial" w:cs="Arial"/>
                <w:sz w:val="16"/>
                <w:szCs w:val="16"/>
              </w:rPr>
              <w:t>$600</w:t>
            </w:r>
          </w:p>
        </w:tc>
        <w:tc>
          <w:tcPr>
            <w:tcW w:w="4679" w:type="dxa"/>
            <w:shd w:val="clear" w:color="auto" w:fill="auto"/>
            <w:vAlign w:val="center"/>
          </w:tcPr>
          <w:p w:rsidR="00D755DF" w:rsidRPr="00C81C69" w:rsidP="00D755DF" w14:paraId="745759F1" w14:textId="44C8F9BE">
            <w:pPr>
              <w:spacing w:after="0" w:line="240" w:lineRule="auto"/>
              <w:ind w:left="73"/>
              <w:textAlignment w:val="baseline"/>
              <w:rPr>
                <w:rFonts w:ascii="Arial" w:eastAsia="Times New Roman" w:hAnsi="Arial" w:cs="Arial"/>
                <w:sz w:val="16"/>
                <w:szCs w:val="16"/>
              </w:rPr>
            </w:pPr>
            <w:r w:rsidRPr="00C81C69">
              <w:rPr>
                <w:rFonts w:ascii="Arial" w:hAnsi="Arial" w:cs="Arial"/>
                <w:sz w:val="16"/>
                <w:szCs w:val="16"/>
              </w:rPr>
              <w:t>Petition for the delayed payment of the fee for maintaining a patent in force, delay greater than two years (micro entity)</w:t>
            </w:r>
          </w:p>
        </w:tc>
        <w:tc>
          <w:tcPr>
            <w:tcW w:w="1013" w:type="dxa"/>
            <w:shd w:val="clear" w:color="auto" w:fill="auto"/>
            <w:vAlign w:val="center"/>
          </w:tcPr>
          <w:p w:rsidR="00D755DF" w:rsidRPr="00C81C69" w:rsidP="00D755DF" w14:paraId="56226411" w14:textId="6F01B45E">
            <w:pPr>
              <w:spacing w:after="0" w:line="240" w:lineRule="auto"/>
              <w:ind w:right="21"/>
              <w:jc w:val="right"/>
              <w:textAlignment w:val="baseline"/>
              <w:rPr>
                <w:rFonts w:ascii="Arial" w:eastAsia="Times New Roman" w:hAnsi="Arial" w:cs="Arial"/>
                <w:sz w:val="16"/>
                <w:szCs w:val="16"/>
              </w:rPr>
            </w:pPr>
            <w:r w:rsidRPr="00C81C69">
              <w:rPr>
                <w:rFonts w:ascii="Arial" w:hAnsi="Arial" w:cs="Arial"/>
                <w:color w:val="000000"/>
                <w:sz w:val="16"/>
                <w:szCs w:val="16"/>
              </w:rPr>
              <w:t>$10,200</w:t>
            </w:r>
          </w:p>
        </w:tc>
        <w:tc>
          <w:tcPr>
            <w:tcW w:w="959" w:type="dxa"/>
            <w:shd w:val="clear" w:color="auto" w:fill="auto"/>
            <w:vAlign w:val="center"/>
          </w:tcPr>
          <w:p w:rsidR="00D755DF" w:rsidRPr="00EB4F93" w:rsidP="00D755DF" w14:paraId="0065C136" w14:textId="2FD3BDF9">
            <w:pPr>
              <w:spacing w:after="0" w:line="240" w:lineRule="auto"/>
              <w:ind w:right="54"/>
              <w:jc w:val="right"/>
              <w:textAlignment w:val="baseline"/>
              <w:rPr>
                <w:rFonts w:ascii="Arial" w:eastAsia="Times New Roman" w:hAnsi="Arial" w:cs="Arial"/>
                <w:sz w:val="16"/>
                <w:szCs w:val="16"/>
              </w:rPr>
            </w:pPr>
            <w:r w:rsidRPr="00EB4F93">
              <w:rPr>
                <w:rFonts w:ascii="Arial" w:hAnsi="Arial" w:cs="Arial"/>
                <w:sz w:val="16"/>
                <w:szCs w:val="16"/>
              </w:rPr>
              <w:t xml:space="preserve"> $201,000 </w:t>
            </w:r>
          </w:p>
        </w:tc>
        <w:tc>
          <w:tcPr>
            <w:tcW w:w="1084" w:type="dxa"/>
            <w:shd w:val="clear" w:color="auto" w:fill="auto"/>
            <w:vAlign w:val="center"/>
          </w:tcPr>
          <w:p w:rsidR="00D755DF" w:rsidRPr="00EA7D71" w:rsidP="00D755DF" w14:paraId="5AB1F0B5" w14:textId="08A6D0D1">
            <w:pPr>
              <w:spacing w:after="0" w:line="240" w:lineRule="auto"/>
              <w:ind w:right="78"/>
              <w:jc w:val="right"/>
              <w:textAlignment w:val="baseline"/>
              <w:rPr>
                <w:rFonts w:ascii="Arial" w:eastAsia="Times New Roman" w:hAnsi="Arial" w:cs="Arial"/>
                <w:sz w:val="16"/>
                <w:szCs w:val="16"/>
              </w:rPr>
            </w:pPr>
            <w:r w:rsidRPr="00EA7D71">
              <w:rPr>
                <w:rFonts w:ascii="Arial" w:hAnsi="Arial" w:cs="Arial"/>
                <w:color w:val="000000"/>
                <w:sz w:val="16"/>
                <w:szCs w:val="16"/>
              </w:rPr>
              <w:t xml:space="preserve"> </w:t>
            </w:r>
            <w:r>
              <w:rPr>
                <w:rFonts w:ascii="Arial" w:hAnsi="Arial" w:cs="Arial"/>
                <w:color w:val="000000"/>
                <w:sz w:val="16"/>
                <w:szCs w:val="16"/>
              </w:rPr>
              <w:t>+</w:t>
            </w:r>
            <w:r w:rsidRPr="00EA7D71">
              <w:rPr>
                <w:rFonts w:ascii="Arial" w:hAnsi="Arial" w:cs="Arial"/>
                <w:color w:val="000000"/>
                <w:sz w:val="16"/>
                <w:szCs w:val="16"/>
              </w:rPr>
              <w:t xml:space="preserve">$190,800 </w:t>
            </w:r>
          </w:p>
        </w:tc>
      </w:tr>
      <w:tr w14:paraId="562274F1" w14:textId="77777777" w:rsidTr="00C673D1">
        <w:tblPrEx>
          <w:tblW w:w="9350" w:type="dxa"/>
          <w:tblCellMar>
            <w:left w:w="0" w:type="dxa"/>
            <w:right w:w="0" w:type="dxa"/>
          </w:tblCellMar>
          <w:tblLook w:val="04A0"/>
        </w:tblPrEx>
        <w:trPr>
          <w:trHeight w:val="300"/>
        </w:trPr>
        <w:tc>
          <w:tcPr>
            <w:tcW w:w="437" w:type="dxa"/>
            <w:shd w:val="clear" w:color="auto" w:fill="auto"/>
            <w:hideMark/>
          </w:tcPr>
          <w:p w:rsidR="00C673D1" w:rsidRPr="00566A9A" w:rsidP="00EA7D71" w14:paraId="39EE24AD" w14:textId="77777777">
            <w:pPr>
              <w:spacing w:after="0" w:line="240" w:lineRule="auto"/>
              <w:textAlignment w:val="baseline"/>
              <w:rPr>
                <w:rFonts w:ascii="Arial" w:eastAsia="Times New Roman" w:hAnsi="Arial" w:cs="Arial"/>
                <w:sz w:val="16"/>
                <w:szCs w:val="16"/>
              </w:rPr>
            </w:pPr>
            <w:r w:rsidRPr="00566A9A">
              <w:rPr>
                <w:rFonts w:ascii="Arial" w:eastAsia="Times New Roman" w:hAnsi="Arial" w:cs="Arial"/>
                <w:sz w:val="16"/>
                <w:szCs w:val="16"/>
              </w:rPr>
              <w:t> </w:t>
            </w:r>
          </w:p>
        </w:tc>
        <w:tc>
          <w:tcPr>
            <w:tcW w:w="520" w:type="dxa"/>
          </w:tcPr>
          <w:p w:rsidR="00C673D1" w:rsidRPr="00C81C69" w:rsidP="00EA7D71" w14:paraId="11877979" w14:textId="77777777">
            <w:pPr>
              <w:spacing w:after="0" w:line="240" w:lineRule="auto"/>
              <w:ind w:left="73"/>
              <w:textAlignment w:val="baseline"/>
              <w:rPr>
                <w:rFonts w:ascii="Arial" w:eastAsia="Times New Roman" w:hAnsi="Arial" w:cs="Arial"/>
                <w:b/>
                <w:bCs/>
                <w:sz w:val="16"/>
                <w:szCs w:val="16"/>
              </w:rPr>
            </w:pPr>
          </w:p>
        </w:tc>
        <w:tc>
          <w:tcPr>
            <w:tcW w:w="658" w:type="dxa"/>
          </w:tcPr>
          <w:p w:rsidR="00C673D1" w:rsidRPr="00566A9A" w:rsidP="00EA7D71" w14:paraId="50F650E2" w14:textId="77777777">
            <w:pPr>
              <w:spacing w:after="0" w:line="240" w:lineRule="auto"/>
              <w:ind w:left="73"/>
              <w:textAlignment w:val="baseline"/>
              <w:rPr>
                <w:rFonts w:ascii="Arial" w:eastAsia="Times New Roman" w:hAnsi="Arial" w:cs="Arial"/>
                <w:b/>
                <w:bCs/>
                <w:sz w:val="16"/>
                <w:szCs w:val="16"/>
              </w:rPr>
            </w:pPr>
          </w:p>
        </w:tc>
        <w:tc>
          <w:tcPr>
            <w:tcW w:w="4679" w:type="dxa"/>
            <w:shd w:val="clear" w:color="auto" w:fill="auto"/>
            <w:vAlign w:val="center"/>
            <w:hideMark/>
          </w:tcPr>
          <w:p w:rsidR="00C673D1" w:rsidRPr="00566A9A" w:rsidP="00EA7D71" w14:paraId="0001E2B5" w14:textId="6BEBD279">
            <w:pPr>
              <w:spacing w:after="0" w:line="240" w:lineRule="auto"/>
              <w:ind w:left="73"/>
              <w:textAlignment w:val="baseline"/>
              <w:rPr>
                <w:rFonts w:ascii="Arial" w:eastAsia="Times New Roman" w:hAnsi="Arial" w:cs="Arial"/>
                <w:sz w:val="16"/>
                <w:szCs w:val="16"/>
              </w:rPr>
            </w:pPr>
            <w:r w:rsidRPr="00566A9A">
              <w:rPr>
                <w:rFonts w:ascii="Arial" w:eastAsia="Times New Roman" w:hAnsi="Arial" w:cs="Arial"/>
                <w:b/>
                <w:bCs/>
                <w:sz w:val="16"/>
                <w:szCs w:val="16"/>
              </w:rPr>
              <w:t>Totals</w:t>
            </w:r>
            <w:r w:rsidRPr="00566A9A">
              <w:rPr>
                <w:rFonts w:ascii="Arial" w:eastAsia="Times New Roman" w:hAnsi="Arial" w:cs="Arial"/>
                <w:sz w:val="16"/>
                <w:szCs w:val="16"/>
              </w:rPr>
              <w:t> </w:t>
            </w:r>
          </w:p>
        </w:tc>
        <w:tc>
          <w:tcPr>
            <w:tcW w:w="1013" w:type="dxa"/>
            <w:shd w:val="clear" w:color="auto" w:fill="auto"/>
            <w:vAlign w:val="center"/>
            <w:hideMark/>
          </w:tcPr>
          <w:p w:rsidR="00C673D1" w:rsidRPr="00566A9A" w:rsidP="00EA7D71" w14:paraId="6362F5C5" w14:textId="7E09964C">
            <w:pPr>
              <w:spacing w:after="0" w:line="240" w:lineRule="auto"/>
              <w:jc w:val="right"/>
              <w:textAlignment w:val="baseline"/>
              <w:rPr>
                <w:rFonts w:ascii="Arial" w:eastAsia="Times New Roman" w:hAnsi="Arial" w:cs="Arial"/>
                <w:sz w:val="16"/>
                <w:szCs w:val="16"/>
              </w:rPr>
            </w:pPr>
            <w:r w:rsidRPr="00C81C69">
              <w:rPr>
                <w:rFonts w:ascii="Arial" w:hAnsi="Arial" w:cs="Arial"/>
                <w:b/>
                <w:sz w:val="16"/>
                <w:szCs w:val="16"/>
              </w:rPr>
              <w:t>$</w:t>
            </w:r>
            <w:r w:rsidRPr="003D65C8">
              <w:rPr>
                <w:rFonts w:ascii="Arial" w:hAnsi="Arial" w:cs="Arial"/>
                <w:b/>
                <w:sz w:val="16"/>
                <w:szCs w:val="16"/>
              </w:rPr>
              <w:t>2,950,620</w:t>
            </w:r>
            <w:r w:rsidRPr="00566A9A">
              <w:rPr>
                <w:rFonts w:ascii="Arial" w:eastAsia="Times New Roman" w:hAnsi="Arial" w:cs="Arial"/>
                <w:sz w:val="16"/>
                <w:szCs w:val="16"/>
              </w:rPr>
              <w:t> </w:t>
            </w:r>
          </w:p>
        </w:tc>
        <w:tc>
          <w:tcPr>
            <w:tcW w:w="959" w:type="dxa"/>
            <w:shd w:val="clear" w:color="auto" w:fill="auto"/>
            <w:vAlign w:val="center"/>
            <w:hideMark/>
          </w:tcPr>
          <w:p w:rsidR="00C673D1" w:rsidRPr="00566A9A" w:rsidP="00EA7D71" w14:paraId="667B735D" w14:textId="4E8A1C7C">
            <w:pPr>
              <w:spacing w:after="0" w:line="240" w:lineRule="auto"/>
              <w:ind w:right="54"/>
              <w:jc w:val="right"/>
              <w:textAlignment w:val="baseline"/>
              <w:rPr>
                <w:rFonts w:ascii="Arial" w:eastAsia="Times New Roman" w:hAnsi="Arial" w:cs="Arial"/>
                <w:b/>
                <w:bCs/>
                <w:sz w:val="16"/>
                <w:szCs w:val="16"/>
              </w:rPr>
            </w:pPr>
            <w:r w:rsidRPr="00EB4F93">
              <w:rPr>
                <w:rFonts w:ascii="Arial" w:hAnsi="Arial" w:cs="Arial"/>
                <w:sz w:val="16"/>
                <w:szCs w:val="16"/>
              </w:rPr>
              <w:t xml:space="preserve"> </w:t>
            </w:r>
            <w:r w:rsidRPr="00EB4F93">
              <w:rPr>
                <w:rFonts w:ascii="Arial" w:hAnsi="Arial" w:cs="Arial"/>
                <w:b/>
                <w:bCs/>
                <w:sz w:val="16"/>
                <w:szCs w:val="16"/>
              </w:rPr>
              <w:t xml:space="preserve">$3,220,240 </w:t>
            </w:r>
          </w:p>
        </w:tc>
        <w:tc>
          <w:tcPr>
            <w:tcW w:w="1084" w:type="dxa"/>
            <w:shd w:val="clear" w:color="auto" w:fill="auto"/>
            <w:vAlign w:val="center"/>
            <w:hideMark/>
          </w:tcPr>
          <w:p w:rsidR="00C673D1" w:rsidRPr="00566A9A" w:rsidP="00EA7D71" w14:paraId="29059499" w14:textId="44AFBC50">
            <w:pPr>
              <w:spacing w:after="0" w:line="240" w:lineRule="auto"/>
              <w:ind w:right="78"/>
              <w:jc w:val="right"/>
              <w:textAlignment w:val="baseline"/>
              <w:rPr>
                <w:rFonts w:ascii="Arial" w:eastAsia="Times New Roman" w:hAnsi="Arial" w:cs="Arial"/>
                <w:sz w:val="16"/>
                <w:szCs w:val="16"/>
              </w:rPr>
            </w:pPr>
            <w:r w:rsidRPr="00EA7D71">
              <w:rPr>
                <w:rFonts w:ascii="Arial" w:hAnsi="Arial" w:cs="Arial"/>
                <w:b/>
                <w:bCs/>
                <w:color w:val="000000"/>
                <w:sz w:val="16"/>
                <w:szCs w:val="16"/>
              </w:rPr>
              <w:t xml:space="preserve"> </w:t>
            </w:r>
            <w:r>
              <w:rPr>
                <w:rFonts w:ascii="Arial" w:hAnsi="Arial" w:cs="Arial"/>
                <w:b/>
                <w:bCs/>
                <w:color w:val="000000"/>
                <w:sz w:val="16"/>
                <w:szCs w:val="16"/>
              </w:rPr>
              <w:t>+</w:t>
            </w:r>
            <w:r w:rsidRPr="00EA7D71">
              <w:rPr>
                <w:rFonts w:ascii="Arial" w:hAnsi="Arial" w:cs="Arial"/>
                <w:b/>
                <w:bCs/>
                <w:color w:val="000000"/>
                <w:sz w:val="16"/>
                <w:szCs w:val="16"/>
              </w:rPr>
              <w:t xml:space="preserve">$269,620 </w:t>
            </w:r>
          </w:p>
        </w:tc>
      </w:tr>
    </w:tbl>
    <w:p w:rsidR="00CA665F" w:rsidP="00691DE3" w14:paraId="5751F5E1" w14:textId="77777777">
      <w:pPr>
        <w:pStyle w:val="NoSpacing"/>
        <w:rPr>
          <w:rFonts w:ascii="Arial" w:hAnsi="Arial" w:cs="Arial"/>
          <w:sz w:val="24"/>
          <w:szCs w:val="24"/>
          <w:u w:val="single"/>
        </w:rPr>
      </w:pPr>
    </w:p>
    <w:p w:rsidR="00627EF4" w:rsidP="00691DE3" w14:paraId="79E75DBC" w14:textId="18D4A66B">
      <w:pPr>
        <w:pStyle w:val="NoSpacing"/>
        <w:rPr>
          <w:rFonts w:ascii="Arial" w:hAnsi="Arial" w:cs="Arial"/>
          <w:sz w:val="24"/>
          <w:szCs w:val="24"/>
        </w:rPr>
      </w:pPr>
      <w:r>
        <w:rPr>
          <w:rFonts w:ascii="Arial" w:hAnsi="Arial" w:cs="Arial"/>
          <w:sz w:val="24"/>
          <w:szCs w:val="24"/>
          <w:u w:val="single"/>
        </w:rPr>
        <w:t>Summary of Changes</w:t>
      </w:r>
    </w:p>
    <w:p w:rsidR="00627EF4" w:rsidP="00691DE3" w14:paraId="2FDC06E9" w14:textId="77777777">
      <w:pPr>
        <w:pStyle w:val="NoSpacing"/>
        <w:rPr>
          <w:rFonts w:ascii="Arial" w:hAnsi="Arial" w:cs="Arial"/>
          <w:sz w:val="24"/>
          <w:szCs w:val="24"/>
        </w:rPr>
      </w:pPr>
    </w:p>
    <w:p w:rsidR="002A575E" w:rsidRPr="006004C0" w:rsidP="002A575E" w14:paraId="355DCBCE" w14:textId="071166BD">
      <w:pPr>
        <w:pStyle w:val="NoSpacing"/>
        <w:jc w:val="both"/>
        <w:rPr>
          <w:rFonts w:ascii="Arial" w:hAnsi="Arial" w:cs="Arial"/>
          <w:sz w:val="24"/>
          <w:szCs w:val="24"/>
        </w:rPr>
      </w:pPr>
      <w:r w:rsidRPr="006004C0">
        <w:rPr>
          <w:rFonts w:ascii="Arial" w:hAnsi="Arial" w:cs="Arial"/>
          <w:sz w:val="24"/>
          <w:szCs w:val="24"/>
        </w:rPr>
        <w:t>The aforementioned rulemaking</w:t>
      </w:r>
      <w:r>
        <w:rPr>
          <w:rFonts w:ascii="Arial" w:hAnsi="Arial" w:cs="Arial"/>
          <w:sz w:val="24"/>
          <w:szCs w:val="24"/>
        </w:rPr>
        <w:t xml:space="preserve"> </w:t>
      </w:r>
      <w:r w:rsidRPr="006004C0">
        <w:rPr>
          <w:rFonts w:ascii="Arial" w:hAnsi="Arial" w:cs="Arial"/>
          <w:sz w:val="24"/>
          <w:szCs w:val="24"/>
        </w:rPr>
        <w:t>result</w:t>
      </w:r>
      <w:r>
        <w:rPr>
          <w:rFonts w:ascii="Arial" w:hAnsi="Arial" w:cs="Arial"/>
          <w:sz w:val="24"/>
          <w:szCs w:val="24"/>
        </w:rPr>
        <w:t>s</w:t>
      </w:r>
      <w:r w:rsidRPr="006004C0">
        <w:rPr>
          <w:rFonts w:ascii="Arial" w:hAnsi="Arial" w:cs="Arial"/>
          <w:sz w:val="24"/>
          <w:szCs w:val="24"/>
        </w:rPr>
        <w:t xml:space="preserve"> in the </w:t>
      </w:r>
      <w:r>
        <w:rPr>
          <w:rFonts w:ascii="Arial" w:hAnsi="Arial" w:cs="Arial"/>
          <w:sz w:val="24"/>
          <w:szCs w:val="24"/>
        </w:rPr>
        <w:t xml:space="preserve">increase of </w:t>
      </w:r>
      <w:r w:rsidRPr="00411A34" w:rsidR="00411A34">
        <w:rPr>
          <w:rFonts w:ascii="Arial" w:hAnsi="Arial" w:cs="Arial"/>
          <w:sz w:val="24"/>
          <w:szCs w:val="24"/>
        </w:rPr>
        <w:t>4,375</w:t>
      </w:r>
      <w:r w:rsidR="00067DCB">
        <w:rPr>
          <w:rFonts w:ascii="Arial" w:hAnsi="Arial" w:cs="Arial"/>
          <w:sz w:val="24"/>
          <w:szCs w:val="24"/>
        </w:rPr>
        <w:t xml:space="preserve"> </w:t>
      </w:r>
      <w:r w:rsidR="001767FD">
        <w:rPr>
          <w:rFonts w:ascii="Arial" w:hAnsi="Arial" w:cs="Arial"/>
          <w:sz w:val="24"/>
          <w:szCs w:val="24"/>
        </w:rPr>
        <w:t xml:space="preserve">annual </w:t>
      </w:r>
      <w:r w:rsidR="00067DCB">
        <w:rPr>
          <w:rFonts w:ascii="Arial" w:hAnsi="Arial" w:cs="Arial"/>
          <w:sz w:val="24"/>
          <w:szCs w:val="24"/>
        </w:rPr>
        <w:t xml:space="preserve">burden hours and </w:t>
      </w:r>
      <w:r>
        <w:rPr>
          <w:rFonts w:ascii="Arial" w:hAnsi="Arial" w:cs="Arial"/>
          <w:sz w:val="24"/>
          <w:szCs w:val="24"/>
        </w:rPr>
        <w:t>$</w:t>
      </w:r>
      <w:r w:rsidRPr="00411A34" w:rsidR="00411A34">
        <w:rPr>
          <w:rFonts w:ascii="Arial" w:hAnsi="Arial" w:cs="Arial"/>
          <w:sz w:val="24"/>
          <w:szCs w:val="24"/>
        </w:rPr>
        <w:t>269,620</w:t>
      </w:r>
      <w:r>
        <w:rPr>
          <w:rFonts w:ascii="Arial" w:hAnsi="Arial" w:cs="Arial"/>
          <w:sz w:val="24"/>
          <w:szCs w:val="24"/>
        </w:rPr>
        <w:t xml:space="preserve"> </w:t>
      </w:r>
      <w:r w:rsidRPr="006004C0">
        <w:rPr>
          <w:rFonts w:ascii="Arial" w:hAnsi="Arial" w:cs="Arial"/>
          <w:sz w:val="24"/>
          <w:szCs w:val="24"/>
        </w:rPr>
        <w:t>in annual non-hourly costs to collection 0651-</w:t>
      </w:r>
      <w:r>
        <w:rPr>
          <w:rFonts w:ascii="Arial" w:hAnsi="Arial" w:cs="Arial"/>
          <w:sz w:val="24"/>
          <w:szCs w:val="24"/>
        </w:rPr>
        <w:t>0016.</w:t>
      </w:r>
    </w:p>
    <w:p w:rsidR="00627EF4" w:rsidP="00691DE3" w14:paraId="7E7E936A" w14:textId="77777777">
      <w:pPr>
        <w:pStyle w:val="NoSpacing"/>
        <w:rPr>
          <w:rFonts w:ascii="Arial" w:hAnsi="Arial" w:cs="Arial"/>
          <w:sz w:val="24"/>
          <w:szCs w:val="24"/>
        </w:rPr>
      </w:pPr>
    </w:p>
    <w:p w:rsidR="00627EF4" w:rsidP="00691DE3" w14:paraId="303CEFBA" w14:textId="27DF8D84">
      <w:pPr>
        <w:pStyle w:val="NoSpacing"/>
        <w:rPr>
          <w:rFonts w:ascii="Arial" w:hAnsi="Arial" w:cs="Arial"/>
          <w:sz w:val="24"/>
          <w:szCs w:val="24"/>
        </w:rPr>
      </w:pPr>
      <w:r>
        <w:rPr>
          <w:rFonts w:ascii="Arial" w:hAnsi="Arial" w:cs="Arial"/>
          <w:sz w:val="24"/>
          <w:szCs w:val="24"/>
          <w:u w:val="single"/>
        </w:rPr>
        <w:t>Changes in Burden</w:t>
      </w:r>
    </w:p>
    <w:p w:rsidR="00627EF4" w:rsidP="00691DE3" w14:paraId="55CD65FE" w14:textId="7777777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426AE64D" w14:textId="77777777" w:rsidTr="001905A8">
        <w:tblPrEx>
          <w:tblW w:w="0" w:type="auto"/>
          <w:tblLook w:val="04A0"/>
        </w:tblPrEx>
        <w:tc>
          <w:tcPr>
            <w:tcW w:w="3235" w:type="dxa"/>
            <w:shd w:val="clear" w:color="auto" w:fill="BDD6EE" w:themeFill="accent1" w:themeFillTint="66"/>
            <w:vAlign w:val="center"/>
          </w:tcPr>
          <w:p w:rsidR="00627EF4" w:rsidRPr="00E5228C" w14:paraId="18AEAD44" w14:textId="77777777">
            <w:pPr>
              <w:pStyle w:val="NoSpacing"/>
              <w:jc w:val="center"/>
              <w:rPr>
                <w:rFonts w:ascii="Arial" w:hAnsi="Arial" w:cs="Arial"/>
                <w:b/>
                <w:sz w:val="16"/>
                <w:szCs w:val="16"/>
              </w:rPr>
            </w:pPr>
            <w:r w:rsidRPr="00E5228C">
              <w:rPr>
                <w:rFonts w:ascii="Arial" w:hAnsi="Arial" w:cs="Arial"/>
                <w:b/>
                <w:sz w:val="16"/>
                <w:szCs w:val="16"/>
              </w:rPr>
              <w:t>Burden Type</w:t>
            </w:r>
          </w:p>
        </w:tc>
        <w:tc>
          <w:tcPr>
            <w:tcW w:w="2070" w:type="dxa"/>
            <w:shd w:val="clear" w:color="auto" w:fill="BDD6EE" w:themeFill="accent1" w:themeFillTint="66"/>
            <w:vAlign w:val="center"/>
          </w:tcPr>
          <w:p w:rsidR="00627EF4" w:rsidRPr="00E5228C" w14:paraId="0039D8AF" w14:textId="77777777">
            <w:pPr>
              <w:pStyle w:val="NoSpacing"/>
              <w:jc w:val="center"/>
              <w:rPr>
                <w:rFonts w:ascii="Arial" w:hAnsi="Arial" w:cs="Arial"/>
                <w:b/>
                <w:sz w:val="16"/>
                <w:szCs w:val="16"/>
              </w:rPr>
            </w:pPr>
            <w:r w:rsidRPr="00E5228C">
              <w:rPr>
                <w:rFonts w:ascii="Arial" w:hAnsi="Arial" w:cs="Arial"/>
                <w:b/>
                <w:sz w:val="16"/>
                <w:szCs w:val="16"/>
              </w:rPr>
              <w:t>Currently Approved</w:t>
            </w:r>
          </w:p>
        </w:tc>
        <w:tc>
          <w:tcPr>
            <w:tcW w:w="1980" w:type="dxa"/>
            <w:shd w:val="clear" w:color="auto" w:fill="BDD6EE" w:themeFill="accent1" w:themeFillTint="66"/>
            <w:vAlign w:val="center"/>
          </w:tcPr>
          <w:p w:rsidR="00627EF4" w:rsidRPr="00E5228C" w14:paraId="463A4FEC" w14:textId="77777777">
            <w:pPr>
              <w:pStyle w:val="NoSpacing"/>
              <w:jc w:val="center"/>
              <w:rPr>
                <w:rFonts w:ascii="Arial" w:hAnsi="Arial" w:cs="Arial"/>
                <w:b/>
                <w:sz w:val="16"/>
                <w:szCs w:val="16"/>
              </w:rPr>
            </w:pPr>
            <w:r w:rsidRPr="00E5228C">
              <w:rPr>
                <w:rFonts w:ascii="Arial" w:hAnsi="Arial" w:cs="Arial"/>
                <w:b/>
                <w:sz w:val="16"/>
                <w:szCs w:val="16"/>
              </w:rPr>
              <w:t>Proposed Change</w:t>
            </w:r>
          </w:p>
        </w:tc>
        <w:tc>
          <w:tcPr>
            <w:tcW w:w="2065" w:type="dxa"/>
            <w:shd w:val="clear" w:color="auto" w:fill="BDD6EE" w:themeFill="accent1" w:themeFillTint="66"/>
            <w:vAlign w:val="center"/>
          </w:tcPr>
          <w:p w:rsidR="00627EF4" w:rsidRPr="00E5228C" w14:paraId="4618D9DE" w14:textId="77777777">
            <w:pPr>
              <w:pStyle w:val="NoSpacing"/>
              <w:jc w:val="center"/>
              <w:rPr>
                <w:rFonts w:ascii="Arial" w:hAnsi="Arial" w:cs="Arial"/>
                <w:b/>
                <w:sz w:val="16"/>
                <w:szCs w:val="16"/>
              </w:rPr>
            </w:pPr>
            <w:r w:rsidRPr="00E5228C">
              <w:rPr>
                <w:rFonts w:ascii="Arial" w:hAnsi="Arial" w:cs="Arial"/>
                <w:b/>
                <w:sz w:val="16"/>
                <w:szCs w:val="16"/>
              </w:rPr>
              <w:t>New Estimate</w:t>
            </w:r>
          </w:p>
        </w:tc>
      </w:tr>
      <w:tr w14:paraId="5AD72C44" w14:textId="77777777" w:rsidTr="001905A8">
        <w:tblPrEx>
          <w:tblW w:w="0" w:type="auto"/>
          <w:tblLook w:val="04A0"/>
        </w:tblPrEx>
        <w:tc>
          <w:tcPr>
            <w:tcW w:w="3235" w:type="dxa"/>
          </w:tcPr>
          <w:p w:rsidR="00627EF4" w:rsidRPr="00E5228C" w14:paraId="1A11EAD9" w14:textId="77777777">
            <w:pPr>
              <w:pStyle w:val="NoSpacing"/>
              <w:rPr>
                <w:rFonts w:ascii="Arial" w:hAnsi="Arial" w:cs="Arial"/>
                <w:bCs/>
                <w:sz w:val="16"/>
                <w:szCs w:val="16"/>
              </w:rPr>
            </w:pPr>
            <w:r w:rsidRPr="00E5228C">
              <w:rPr>
                <w:rFonts w:ascii="Arial" w:hAnsi="Arial" w:cs="Arial"/>
                <w:sz w:val="16"/>
                <w:szCs w:val="16"/>
              </w:rPr>
              <w:t>Annual Number of Responses</w:t>
            </w:r>
          </w:p>
        </w:tc>
        <w:tc>
          <w:tcPr>
            <w:tcW w:w="2070" w:type="dxa"/>
            <w:vAlign w:val="center"/>
          </w:tcPr>
          <w:p w:rsidR="00627EF4" w:rsidRPr="00E5228C" w14:paraId="3C6B3643" w14:textId="08701D89">
            <w:pPr>
              <w:pStyle w:val="NoSpacing"/>
              <w:jc w:val="right"/>
              <w:rPr>
                <w:rFonts w:ascii="Arial" w:hAnsi="Arial" w:cs="Arial"/>
                <w:bCs/>
                <w:sz w:val="16"/>
                <w:szCs w:val="16"/>
              </w:rPr>
            </w:pPr>
            <w:r w:rsidRPr="00E5228C">
              <w:rPr>
                <w:rFonts w:ascii="Arial" w:hAnsi="Arial" w:cs="Arial"/>
                <w:bCs/>
                <w:sz w:val="16"/>
                <w:szCs w:val="16"/>
              </w:rPr>
              <w:t>2,616</w:t>
            </w:r>
          </w:p>
        </w:tc>
        <w:tc>
          <w:tcPr>
            <w:tcW w:w="1980" w:type="dxa"/>
            <w:vAlign w:val="center"/>
          </w:tcPr>
          <w:p w:rsidR="00627EF4" w:rsidRPr="00E5228C" w14:paraId="780D815A" w14:textId="1D369DAC">
            <w:pPr>
              <w:pStyle w:val="NoSpacing"/>
              <w:jc w:val="right"/>
              <w:rPr>
                <w:rFonts w:ascii="Arial" w:hAnsi="Arial" w:cs="Arial"/>
                <w:bCs/>
                <w:sz w:val="16"/>
                <w:szCs w:val="16"/>
              </w:rPr>
            </w:pPr>
            <w:r w:rsidRPr="00E5228C">
              <w:rPr>
                <w:rFonts w:ascii="Arial" w:hAnsi="Arial" w:cs="Arial"/>
                <w:bCs/>
                <w:sz w:val="16"/>
                <w:szCs w:val="16"/>
              </w:rPr>
              <w:t>0</w:t>
            </w:r>
          </w:p>
        </w:tc>
        <w:tc>
          <w:tcPr>
            <w:tcW w:w="2065" w:type="dxa"/>
            <w:vAlign w:val="center"/>
          </w:tcPr>
          <w:p w:rsidR="00627EF4" w:rsidRPr="00E5228C" w14:paraId="392851CE" w14:textId="149B15A5">
            <w:pPr>
              <w:pStyle w:val="NoSpacing"/>
              <w:jc w:val="right"/>
              <w:rPr>
                <w:rFonts w:ascii="Arial" w:hAnsi="Arial" w:cs="Arial"/>
                <w:bCs/>
                <w:sz w:val="16"/>
                <w:szCs w:val="16"/>
              </w:rPr>
            </w:pPr>
            <w:r w:rsidRPr="00E5228C">
              <w:rPr>
                <w:rFonts w:ascii="Arial" w:hAnsi="Arial" w:cs="Arial"/>
                <w:bCs/>
                <w:sz w:val="16"/>
                <w:szCs w:val="16"/>
              </w:rPr>
              <w:t>2,616</w:t>
            </w:r>
          </w:p>
        </w:tc>
      </w:tr>
      <w:tr w14:paraId="61F1E201" w14:textId="77777777" w:rsidTr="001905A8">
        <w:tblPrEx>
          <w:tblW w:w="0" w:type="auto"/>
          <w:tblLook w:val="04A0"/>
        </w:tblPrEx>
        <w:tc>
          <w:tcPr>
            <w:tcW w:w="3235" w:type="dxa"/>
          </w:tcPr>
          <w:p w:rsidR="00627EF4" w:rsidRPr="00E5228C" w14:paraId="0BCA2424" w14:textId="77777777">
            <w:pPr>
              <w:pStyle w:val="NoSpacing"/>
              <w:rPr>
                <w:rFonts w:ascii="Arial" w:hAnsi="Arial" w:cs="Arial"/>
                <w:b/>
                <w:sz w:val="16"/>
                <w:szCs w:val="16"/>
              </w:rPr>
            </w:pPr>
            <w:r w:rsidRPr="00E5228C">
              <w:rPr>
                <w:rFonts w:ascii="Arial" w:hAnsi="Arial" w:cs="Arial"/>
                <w:sz w:val="16"/>
                <w:szCs w:val="16"/>
              </w:rPr>
              <w:t>Annual Time Burden (Hr)</w:t>
            </w:r>
          </w:p>
        </w:tc>
        <w:tc>
          <w:tcPr>
            <w:tcW w:w="2070" w:type="dxa"/>
            <w:vAlign w:val="center"/>
          </w:tcPr>
          <w:p w:rsidR="00627EF4" w:rsidRPr="00E5228C" w14:paraId="64D94115" w14:textId="18ECDC82">
            <w:pPr>
              <w:pStyle w:val="NoSpacing"/>
              <w:jc w:val="right"/>
              <w:rPr>
                <w:rFonts w:ascii="Arial" w:hAnsi="Arial" w:cs="Arial"/>
                <w:bCs/>
                <w:sz w:val="16"/>
                <w:szCs w:val="16"/>
              </w:rPr>
            </w:pPr>
            <w:r w:rsidRPr="00E5228C">
              <w:rPr>
                <w:rFonts w:ascii="Arial" w:hAnsi="Arial" w:cs="Arial"/>
                <w:bCs/>
                <w:sz w:val="16"/>
                <w:szCs w:val="16"/>
              </w:rPr>
              <w:t>3,424</w:t>
            </w:r>
          </w:p>
        </w:tc>
        <w:tc>
          <w:tcPr>
            <w:tcW w:w="1980" w:type="dxa"/>
            <w:vAlign w:val="center"/>
          </w:tcPr>
          <w:p w:rsidR="00627EF4" w:rsidRPr="00E5228C" w14:paraId="7DA2B1D2" w14:textId="0C919BB4">
            <w:pPr>
              <w:pStyle w:val="NoSpacing"/>
              <w:jc w:val="right"/>
              <w:rPr>
                <w:rFonts w:ascii="Arial" w:hAnsi="Arial" w:cs="Arial"/>
                <w:bCs/>
                <w:sz w:val="16"/>
                <w:szCs w:val="16"/>
              </w:rPr>
            </w:pPr>
            <w:r w:rsidRPr="00E5228C">
              <w:rPr>
                <w:rFonts w:ascii="Arial" w:hAnsi="Arial" w:cs="Arial"/>
                <w:bCs/>
                <w:sz w:val="16"/>
                <w:szCs w:val="16"/>
              </w:rPr>
              <w:t>+4,375</w:t>
            </w:r>
          </w:p>
        </w:tc>
        <w:tc>
          <w:tcPr>
            <w:tcW w:w="2065" w:type="dxa"/>
            <w:vAlign w:val="center"/>
          </w:tcPr>
          <w:p w:rsidR="00627EF4" w:rsidRPr="00E5228C" w14:paraId="658CB468" w14:textId="0699C6C8">
            <w:pPr>
              <w:pStyle w:val="NoSpacing"/>
              <w:jc w:val="right"/>
              <w:rPr>
                <w:rFonts w:ascii="Arial" w:hAnsi="Arial" w:cs="Arial"/>
                <w:bCs/>
                <w:sz w:val="16"/>
                <w:szCs w:val="16"/>
              </w:rPr>
            </w:pPr>
            <w:r w:rsidRPr="00E5228C">
              <w:rPr>
                <w:rFonts w:ascii="Arial" w:hAnsi="Arial" w:cs="Arial"/>
                <w:bCs/>
                <w:sz w:val="16"/>
                <w:szCs w:val="16"/>
              </w:rPr>
              <w:t>7,799</w:t>
            </w:r>
          </w:p>
        </w:tc>
      </w:tr>
      <w:tr w14:paraId="2369D13E" w14:textId="77777777" w:rsidTr="001905A8">
        <w:tblPrEx>
          <w:tblW w:w="0" w:type="auto"/>
          <w:tblLook w:val="04A0"/>
        </w:tblPrEx>
        <w:tc>
          <w:tcPr>
            <w:tcW w:w="3235" w:type="dxa"/>
          </w:tcPr>
          <w:p w:rsidR="00627EF4" w:rsidRPr="00E5228C" w14:paraId="1778339B" w14:textId="77777777">
            <w:pPr>
              <w:pStyle w:val="NoSpacing"/>
              <w:rPr>
                <w:rFonts w:ascii="Arial" w:hAnsi="Arial" w:cs="Arial"/>
                <w:sz w:val="16"/>
                <w:szCs w:val="16"/>
              </w:rPr>
            </w:pPr>
            <w:r w:rsidRPr="00E5228C">
              <w:rPr>
                <w:rFonts w:ascii="Arial" w:hAnsi="Arial" w:cs="Arial"/>
                <w:sz w:val="16"/>
                <w:szCs w:val="16"/>
              </w:rPr>
              <w:t>Annual Non-Hour Cost Burden ($)</w:t>
            </w:r>
          </w:p>
        </w:tc>
        <w:tc>
          <w:tcPr>
            <w:tcW w:w="2070" w:type="dxa"/>
            <w:vAlign w:val="center"/>
          </w:tcPr>
          <w:p w:rsidR="00627EF4" w:rsidRPr="00E5228C" w:rsidP="003C098A" w14:paraId="796082B8" w14:textId="0F7C896F">
            <w:pPr>
              <w:pStyle w:val="NoSpacing"/>
              <w:jc w:val="right"/>
              <w:rPr>
                <w:rFonts w:ascii="Arial" w:hAnsi="Arial" w:cs="Arial"/>
                <w:sz w:val="16"/>
                <w:szCs w:val="16"/>
              </w:rPr>
            </w:pPr>
            <w:r w:rsidRPr="00E5228C">
              <w:rPr>
                <w:rFonts w:ascii="Arial" w:hAnsi="Arial" w:cs="Arial"/>
                <w:sz w:val="16"/>
                <w:szCs w:val="16"/>
              </w:rPr>
              <w:t>2,951,260</w:t>
            </w:r>
          </w:p>
        </w:tc>
        <w:tc>
          <w:tcPr>
            <w:tcW w:w="1980" w:type="dxa"/>
            <w:vAlign w:val="center"/>
          </w:tcPr>
          <w:p w:rsidR="00627EF4" w:rsidRPr="00E5228C" w14:paraId="0683BCA4" w14:textId="3E86CE4D">
            <w:pPr>
              <w:pStyle w:val="NoSpacing"/>
              <w:jc w:val="right"/>
              <w:rPr>
                <w:rFonts w:ascii="Arial" w:hAnsi="Arial" w:cs="Arial"/>
                <w:sz w:val="16"/>
                <w:szCs w:val="16"/>
              </w:rPr>
            </w:pPr>
            <w:r w:rsidRPr="00E5228C">
              <w:rPr>
                <w:rFonts w:ascii="Arial" w:hAnsi="Arial" w:cs="Arial"/>
                <w:sz w:val="16"/>
                <w:szCs w:val="16"/>
              </w:rPr>
              <w:t>+269,620</w:t>
            </w:r>
          </w:p>
        </w:tc>
        <w:tc>
          <w:tcPr>
            <w:tcW w:w="2065" w:type="dxa"/>
            <w:vAlign w:val="center"/>
          </w:tcPr>
          <w:p w:rsidR="00627EF4" w:rsidRPr="00E5228C" w14:paraId="06E8935B" w14:textId="5CFB6B7F">
            <w:pPr>
              <w:pStyle w:val="NoSpacing"/>
              <w:jc w:val="right"/>
              <w:rPr>
                <w:rFonts w:ascii="Arial" w:hAnsi="Arial" w:cs="Arial"/>
                <w:sz w:val="16"/>
                <w:szCs w:val="16"/>
              </w:rPr>
            </w:pPr>
            <w:r w:rsidRPr="00E5228C">
              <w:rPr>
                <w:rFonts w:ascii="Arial" w:hAnsi="Arial" w:cs="Arial"/>
                <w:sz w:val="16"/>
                <w:szCs w:val="16"/>
              </w:rPr>
              <w:t>3,220,880</w:t>
            </w:r>
          </w:p>
        </w:tc>
      </w:tr>
    </w:tbl>
    <w:p w:rsidR="00627EF4" w:rsidP="00691DE3" w14:paraId="69F8E3FF" w14:textId="77777777">
      <w:pPr>
        <w:pStyle w:val="NoSpacing"/>
        <w:rPr>
          <w:rFonts w:ascii="Arial" w:hAnsi="Arial" w:cs="Arial"/>
          <w:sz w:val="24"/>
          <w:szCs w:val="24"/>
        </w:rPr>
      </w:pPr>
    </w:p>
    <w:p w:rsidR="00627EF4" w:rsidP="00691DE3" w14:paraId="20F3222B" w14:textId="7B56C9F0">
      <w:pPr>
        <w:pStyle w:val="NoSpacing"/>
        <w:rPr>
          <w:rFonts w:ascii="Arial" w:hAnsi="Arial" w:cs="Arial"/>
          <w:sz w:val="24"/>
          <w:szCs w:val="24"/>
        </w:rPr>
      </w:pPr>
      <w:r>
        <w:rPr>
          <w:rFonts w:ascii="Arial" w:hAnsi="Arial" w:cs="Arial"/>
          <w:sz w:val="24"/>
          <w:szCs w:val="24"/>
        </w:rPr>
        <w:t>0651-00</w:t>
      </w:r>
      <w:r w:rsidR="005E5850">
        <w:rPr>
          <w:rFonts w:ascii="Arial" w:hAnsi="Arial" w:cs="Arial"/>
          <w:sz w:val="24"/>
          <w:szCs w:val="24"/>
        </w:rPr>
        <w:t>16</w:t>
      </w:r>
      <w:r>
        <w:rPr>
          <w:rFonts w:ascii="Arial" w:hAnsi="Arial" w:cs="Arial"/>
          <w:sz w:val="24"/>
          <w:szCs w:val="24"/>
        </w:rPr>
        <w:t>’s revised burden is as follows:</w:t>
      </w:r>
    </w:p>
    <w:p w:rsidR="00627EF4" w:rsidP="00691DE3" w14:paraId="369239D2" w14:textId="77777777">
      <w:pPr>
        <w:pStyle w:val="NoSpacing"/>
        <w:rPr>
          <w:rFonts w:ascii="Arial" w:hAnsi="Arial" w:cs="Arial"/>
          <w:sz w:val="24"/>
          <w:szCs w:val="24"/>
        </w:rPr>
      </w:pPr>
    </w:p>
    <w:p w:rsidR="00627EF4" w:rsidP="00627EF4" w14:paraId="606C837B" w14:textId="1B95145F">
      <w:pPr>
        <w:pStyle w:val="NoSpacing"/>
        <w:numPr>
          <w:ilvl w:val="0"/>
          <w:numId w:val="29"/>
        </w:numPr>
        <w:rPr>
          <w:rFonts w:ascii="Arial" w:hAnsi="Arial" w:cs="Arial"/>
          <w:sz w:val="24"/>
          <w:szCs w:val="24"/>
        </w:rPr>
      </w:pPr>
      <w:r w:rsidRPr="005E5850">
        <w:rPr>
          <w:rFonts w:ascii="Arial" w:hAnsi="Arial" w:cs="Arial"/>
          <w:sz w:val="24"/>
          <w:szCs w:val="24"/>
        </w:rPr>
        <w:t>2,616</w:t>
      </w:r>
      <w:r>
        <w:rPr>
          <w:rFonts w:ascii="Arial" w:hAnsi="Arial" w:cs="Arial"/>
          <w:sz w:val="24"/>
          <w:szCs w:val="24"/>
        </w:rPr>
        <w:t xml:space="preserve"> annual responses</w:t>
      </w:r>
      <w:r>
        <w:rPr>
          <w:rFonts w:ascii="Arial" w:hAnsi="Arial" w:cs="Arial"/>
          <w:sz w:val="24"/>
          <w:szCs w:val="24"/>
        </w:rPr>
        <w:t xml:space="preserve"> (unchanged)</w:t>
      </w:r>
      <w:r>
        <w:rPr>
          <w:rFonts w:ascii="Arial" w:hAnsi="Arial" w:cs="Arial"/>
          <w:sz w:val="24"/>
          <w:szCs w:val="24"/>
        </w:rPr>
        <w:t xml:space="preserve"> </w:t>
      </w:r>
    </w:p>
    <w:p w:rsidR="00627EF4" w:rsidP="00627EF4" w14:paraId="6DD4FD72" w14:textId="64CB91CC">
      <w:pPr>
        <w:pStyle w:val="NoSpacing"/>
        <w:numPr>
          <w:ilvl w:val="0"/>
          <w:numId w:val="29"/>
        </w:numPr>
        <w:rPr>
          <w:rFonts w:ascii="Arial" w:hAnsi="Arial" w:cs="Arial"/>
          <w:sz w:val="24"/>
          <w:szCs w:val="24"/>
        </w:rPr>
      </w:pPr>
      <w:r w:rsidRPr="00E5228C">
        <w:rPr>
          <w:rFonts w:ascii="Arial" w:hAnsi="Arial" w:cs="Arial"/>
          <w:sz w:val="24"/>
          <w:szCs w:val="24"/>
        </w:rPr>
        <w:t>7,799</w:t>
      </w:r>
      <w:r>
        <w:rPr>
          <w:rFonts w:ascii="Arial" w:hAnsi="Arial" w:cs="Arial"/>
          <w:sz w:val="24"/>
          <w:szCs w:val="24"/>
        </w:rPr>
        <w:t xml:space="preserve"> annual hourly burden</w:t>
      </w:r>
    </w:p>
    <w:p w:rsidR="00627EF4" w:rsidRPr="00627EF4" w:rsidP="00627EF4" w14:paraId="33514976" w14:textId="633B8D9B">
      <w:pPr>
        <w:pStyle w:val="NoSpacing"/>
        <w:numPr>
          <w:ilvl w:val="0"/>
          <w:numId w:val="29"/>
        </w:numPr>
        <w:rPr>
          <w:rFonts w:ascii="Arial" w:hAnsi="Arial" w:cs="Arial"/>
          <w:sz w:val="24"/>
          <w:szCs w:val="24"/>
        </w:rPr>
      </w:pPr>
      <w:r>
        <w:rPr>
          <w:rFonts w:ascii="Arial" w:hAnsi="Arial" w:cs="Arial"/>
          <w:sz w:val="24"/>
          <w:szCs w:val="24"/>
        </w:rPr>
        <w:t>$</w:t>
      </w:r>
      <w:r w:rsidRPr="00E5228C" w:rsidR="00E5228C">
        <w:rPr>
          <w:rFonts w:ascii="Arial" w:hAnsi="Arial" w:cs="Arial"/>
          <w:sz w:val="24"/>
          <w:szCs w:val="24"/>
        </w:rPr>
        <w:t>3,220,880</w:t>
      </w:r>
      <w:r>
        <w:rPr>
          <w:rFonts w:ascii="Arial" w:hAnsi="Arial" w:cs="Arial"/>
          <w:sz w:val="24"/>
          <w:szCs w:val="24"/>
        </w:rPr>
        <w:t xml:space="preserve"> in annual non-hourly burden costs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2D99" w:rsidP="00691DE3" w14:paraId="7D765879" w14:textId="77777777">
      <w:pPr>
        <w:spacing w:after="0" w:line="240" w:lineRule="auto"/>
      </w:pPr>
      <w:r>
        <w:separator/>
      </w:r>
    </w:p>
  </w:footnote>
  <w:footnote w:type="continuationSeparator" w:id="1">
    <w:p w:rsidR="00A22D99" w:rsidP="00691DE3" w14:paraId="1F2E932D" w14:textId="77777777">
      <w:pPr>
        <w:spacing w:after="0" w:line="240" w:lineRule="auto"/>
      </w:pPr>
      <w:r>
        <w:continuationSeparator/>
      </w:r>
    </w:p>
  </w:footnote>
  <w:footnote w:type="continuationNotice" w:id="2">
    <w:p w:rsidR="00A22D99" w14:paraId="610C31F3" w14:textId="77777777">
      <w:pPr>
        <w:spacing w:after="0" w:line="240" w:lineRule="auto"/>
      </w:pPr>
    </w:p>
  </w:footnote>
  <w:footnote w:id="3">
    <w:p w:rsidR="00B94642" w:rsidRPr="00B94642" w14:paraId="6FC05107" w14:textId="7B121D61">
      <w:pPr>
        <w:pStyle w:val="FootnoteText"/>
        <w:rPr>
          <w:rFonts w:ascii="Arial" w:hAnsi="Arial" w:cs="Arial"/>
        </w:rPr>
      </w:pPr>
      <w:r w:rsidRPr="00B94642">
        <w:rPr>
          <w:rStyle w:val="FootnoteReference"/>
          <w:rFonts w:ascii="Arial" w:hAnsi="Arial" w:cs="Arial"/>
          <w:sz w:val="16"/>
          <w:szCs w:val="14"/>
        </w:rPr>
        <w:footnoteRef/>
      </w:r>
      <w:r w:rsidRPr="00B94642">
        <w:rPr>
          <w:rFonts w:ascii="Arial" w:hAnsi="Arial" w:cs="Arial"/>
          <w:sz w:val="16"/>
          <w:szCs w:val="14"/>
        </w:rPr>
        <w:t xml:space="preserve"> </w:t>
      </w:r>
      <w:hyperlink r:id="rId1" w:history="1">
        <w:r w:rsidRPr="00B94642">
          <w:rPr>
            <w:rStyle w:val="Hyperlink"/>
            <w:rFonts w:ascii="Arial" w:hAnsi="Arial" w:cs="Arial"/>
            <w:sz w:val="16"/>
            <w:szCs w:val="14"/>
          </w:rPr>
          <w:t>https://www.govinfo.gov/content/pkg/FR-2026-06-24/pdf/2026-12717.pdf</w:t>
        </w:r>
      </w:hyperlink>
      <w:r w:rsidRPr="00B94642">
        <w:rPr>
          <w:rFonts w:ascii="Arial" w:hAnsi="Arial" w:cs="Arial"/>
          <w:sz w:val="16"/>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5C271B"/>
    <w:multiLevelType w:val="hybridMultilevel"/>
    <w:tmpl w:val="26B6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F8F1FA0"/>
    <w:multiLevelType w:val="hybridMultilevel"/>
    <w:tmpl w:val="478073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4A5519C"/>
    <w:multiLevelType w:val="hybridMultilevel"/>
    <w:tmpl w:val="4672F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204093834">
    <w:abstractNumId w:val="21"/>
  </w:num>
  <w:num w:numId="2" w16cid:durableId="4213704">
    <w:abstractNumId w:val="13"/>
  </w:num>
  <w:num w:numId="3" w16cid:durableId="1876772127">
    <w:abstractNumId w:val="10"/>
  </w:num>
  <w:num w:numId="4" w16cid:durableId="32391308">
    <w:abstractNumId w:val="24"/>
  </w:num>
  <w:num w:numId="5" w16cid:durableId="1856840902">
    <w:abstractNumId w:val="14"/>
  </w:num>
  <w:num w:numId="6" w16cid:durableId="819073863">
    <w:abstractNumId w:val="17"/>
  </w:num>
  <w:num w:numId="7" w16cid:durableId="443154985">
    <w:abstractNumId w:val="20"/>
  </w:num>
  <w:num w:numId="8" w16cid:durableId="1133601118">
    <w:abstractNumId w:val="9"/>
  </w:num>
  <w:num w:numId="9" w16cid:durableId="157308815">
    <w:abstractNumId w:val="7"/>
  </w:num>
  <w:num w:numId="10" w16cid:durableId="1956136333">
    <w:abstractNumId w:val="6"/>
  </w:num>
  <w:num w:numId="11" w16cid:durableId="1266380873">
    <w:abstractNumId w:val="5"/>
  </w:num>
  <w:num w:numId="12" w16cid:durableId="531654705">
    <w:abstractNumId w:val="4"/>
  </w:num>
  <w:num w:numId="13" w16cid:durableId="2039693334">
    <w:abstractNumId w:val="8"/>
  </w:num>
  <w:num w:numId="14" w16cid:durableId="1716588269">
    <w:abstractNumId w:val="3"/>
  </w:num>
  <w:num w:numId="15" w16cid:durableId="1617642093">
    <w:abstractNumId w:val="2"/>
  </w:num>
  <w:num w:numId="16" w16cid:durableId="1184593841">
    <w:abstractNumId w:val="1"/>
  </w:num>
  <w:num w:numId="17" w16cid:durableId="1870533631">
    <w:abstractNumId w:val="0"/>
  </w:num>
  <w:num w:numId="18" w16cid:durableId="334891349">
    <w:abstractNumId w:val="15"/>
  </w:num>
  <w:num w:numId="19" w16cid:durableId="1613585176">
    <w:abstractNumId w:val="16"/>
  </w:num>
  <w:num w:numId="20" w16cid:durableId="1091193860">
    <w:abstractNumId w:val="22"/>
  </w:num>
  <w:num w:numId="21" w16cid:durableId="1517377858">
    <w:abstractNumId w:val="19"/>
  </w:num>
  <w:num w:numId="22" w16cid:durableId="1715735670">
    <w:abstractNumId w:val="12"/>
  </w:num>
  <w:num w:numId="23" w16cid:durableId="1593778119">
    <w:abstractNumId w:val="25"/>
  </w:num>
  <w:num w:numId="24" w16cid:durableId="824588639">
    <w:abstractNumId w:val="26"/>
  </w:num>
  <w:num w:numId="25" w16cid:durableId="1548566821">
    <w:abstractNumId w:val="18"/>
  </w:num>
  <w:num w:numId="26" w16cid:durableId="1343507817">
    <w:abstractNumId w:val="11"/>
  </w:num>
  <w:num w:numId="27" w16cid:durableId="1247108664">
    <w:abstractNumId w:val="18"/>
  </w:num>
  <w:num w:numId="28" w16cid:durableId="304504325">
    <w:abstractNumId w:val="11"/>
  </w:num>
  <w:num w:numId="29" w16cid:durableId="190594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3"/>
    <w:rsid w:val="00036FEF"/>
    <w:rsid w:val="00041AB6"/>
    <w:rsid w:val="00054578"/>
    <w:rsid w:val="00061479"/>
    <w:rsid w:val="00061C46"/>
    <w:rsid w:val="00067DCB"/>
    <w:rsid w:val="0007784E"/>
    <w:rsid w:val="00082297"/>
    <w:rsid w:val="00083746"/>
    <w:rsid w:val="00093FCE"/>
    <w:rsid w:val="000A7538"/>
    <w:rsid w:val="000E183A"/>
    <w:rsid w:val="0011299E"/>
    <w:rsid w:val="001245B9"/>
    <w:rsid w:val="00131965"/>
    <w:rsid w:val="00134315"/>
    <w:rsid w:val="0013696D"/>
    <w:rsid w:val="00137E35"/>
    <w:rsid w:val="00143201"/>
    <w:rsid w:val="00144385"/>
    <w:rsid w:val="00153D83"/>
    <w:rsid w:val="001767FD"/>
    <w:rsid w:val="00184F9A"/>
    <w:rsid w:val="0018608A"/>
    <w:rsid w:val="00187966"/>
    <w:rsid w:val="001905A8"/>
    <w:rsid w:val="001A60B9"/>
    <w:rsid w:val="001C57C7"/>
    <w:rsid w:val="001D0E79"/>
    <w:rsid w:val="001D5742"/>
    <w:rsid w:val="001D6D6A"/>
    <w:rsid w:val="0022163C"/>
    <w:rsid w:val="00265D4D"/>
    <w:rsid w:val="00274213"/>
    <w:rsid w:val="002A542B"/>
    <w:rsid w:val="002A575E"/>
    <w:rsid w:val="002B2A9A"/>
    <w:rsid w:val="002B4064"/>
    <w:rsid w:val="00316B4B"/>
    <w:rsid w:val="003226D3"/>
    <w:rsid w:val="00381032"/>
    <w:rsid w:val="003C098A"/>
    <w:rsid w:val="003D65C8"/>
    <w:rsid w:val="00401231"/>
    <w:rsid w:val="00411A34"/>
    <w:rsid w:val="00426B47"/>
    <w:rsid w:val="004417A9"/>
    <w:rsid w:val="0045455A"/>
    <w:rsid w:val="0046656E"/>
    <w:rsid w:val="00475DFA"/>
    <w:rsid w:val="004F0558"/>
    <w:rsid w:val="00512BC9"/>
    <w:rsid w:val="00555D33"/>
    <w:rsid w:val="00566A9A"/>
    <w:rsid w:val="00576918"/>
    <w:rsid w:val="00585D1F"/>
    <w:rsid w:val="005A41DC"/>
    <w:rsid w:val="005B0363"/>
    <w:rsid w:val="005B0EC6"/>
    <w:rsid w:val="005C348C"/>
    <w:rsid w:val="005E5850"/>
    <w:rsid w:val="006004C0"/>
    <w:rsid w:val="00622AE4"/>
    <w:rsid w:val="00627EF4"/>
    <w:rsid w:val="0063031A"/>
    <w:rsid w:val="006340E3"/>
    <w:rsid w:val="00634DDA"/>
    <w:rsid w:val="00645252"/>
    <w:rsid w:val="00651FAE"/>
    <w:rsid w:val="00677A12"/>
    <w:rsid w:val="00686CB1"/>
    <w:rsid w:val="00690339"/>
    <w:rsid w:val="00691DE3"/>
    <w:rsid w:val="006A32AD"/>
    <w:rsid w:val="006C1C7A"/>
    <w:rsid w:val="006C65D5"/>
    <w:rsid w:val="006D3D74"/>
    <w:rsid w:val="006D77E9"/>
    <w:rsid w:val="006E3D59"/>
    <w:rsid w:val="00704168"/>
    <w:rsid w:val="0070416F"/>
    <w:rsid w:val="00704667"/>
    <w:rsid w:val="00705A20"/>
    <w:rsid w:val="00727004"/>
    <w:rsid w:val="00727548"/>
    <w:rsid w:val="0075190A"/>
    <w:rsid w:val="00762122"/>
    <w:rsid w:val="007762A8"/>
    <w:rsid w:val="00784E38"/>
    <w:rsid w:val="00791F68"/>
    <w:rsid w:val="007A402E"/>
    <w:rsid w:val="007A6BCA"/>
    <w:rsid w:val="007E6681"/>
    <w:rsid w:val="008041A1"/>
    <w:rsid w:val="00824C9D"/>
    <w:rsid w:val="008328FC"/>
    <w:rsid w:val="0083569A"/>
    <w:rsid w:val="008378E1"/>
    <w:rsid w:val="008479CA"/>
    <w:rsid w:val="00852B2D"/>
    <w:rsid w:val="00857235"/>
    <w:rsid w:val="00885CD4"/>
    <w:rsid w:val="0089630A"/>
    <w:rsid w:val="008A29E0"/>
    <w:rsid w:val="008B0C87"/>
    <w:rsid w:val="008C7DDB"/>
    <w:rsid w:val="008D3B18"/>
    <w:rsid w:val="008D6FDB"/>
    <w:rsid w:val="009079B0"/>
    <w:rsid w:val="00914BFB"/>
    <w:rsid w:val="009207FC"/>
    <w:rsid w:val="00935DB1"/>
    <w:rsid w:val="00941C42"/>
    <w:rsid w:val="0094473E"/>
    <w:rsid w:val="009514E1"/>
    <w:rsid w:val="009837B5"/>
    <w:rsid w:val="009A31C6"/>
    <w:rsid w:val="009C2B22"/>
    <w:rsid w:val="009D2EE4"/>
    <w:rsid w:val="009F0B06"/>
    <w:rsid w:val="00A22D99"/>
    <w:rsid w:val="00A23E6A"/>
    <w:rsid w:val="00A32D37"/>
    <w:rsid w:val="00A52B02"/>
    <w:rsid w:val="00A9204E"/>
    <w:rsid w:val="00AA28CD"/>
    <w:rsid w:val="00AA3D9A"/>
    <w:rsid w:val="00AA5243"/>
    <w:rsid w:val="00AA6072"/>
    <w:rsid w:val="00AF2218"/>
    <w:rsid w:val="00AF3F4F"/>
    <w:rsid w:val="00B025F2"/>
    <w:rsid w:val="00B20E18"/>
    <w:rsid w:val="00B4335F"/>
    <w:rsid w:val="00B47FDB"/>
    <w:rsid w:val="00B64AB0"/>
    <w:rsid w:val="00B6785B"/>
    <w:rsid w:val="00B7306B"/>
    <w:rsid w:val="00B94642"/>
    <w:rsid w:val="00BA5EB1"/>
    <w:rsid w:val="00BA6B7F"/>
    <w:rsid w:val="00C22DC8"/>
    <w:rsid w:val="00C26332"/>
    <w:rsid w:val="00C36B72"/>
    <w:rsid w:val="00C673D1"/>
    <w:rsid w:val="00C77DCB"/>
    <w:rsid w:val="00C81C69"/>
    <w:rsid w:val="00C86CD1"/>
    <w:rsid w:val="00CA665F"/>
    <w:rsid w:val="00CF755D"/>
    <w:rsid w:val="00D05D8C"/>
    <w:rsid w:val="00D347F4"/>
    <w:rsid w:val="00D41572"/>
    <w:rsid w:val="00D67951"/>
    <w:rsid w:val="00D73A3E"/>
    <w:rsid w:val="00D755DF"/>
    <w:rsid w:val="00D75E55"/>
    <w:rsid w:val="00D8234B"/>
    <w:rsid w:val="00DB1C10"/>
    <w:rsid w:val="00DB6301"/>
    <w:rsid w:val="00DE523F"/>
    <w:rsid w:val="00DF551D"/>
    <w:rsid w:val="00E1009B"/>
    <w:rsid w:val="00E10211"/>
    <w:rsid w:val="00E2203D"/>
    <w:rsid w:val="00E378D7"/>
    <w:rsid w:val="00E47297"/>
    <w:rsid w:val="00E5228C"/>
    <w:rsid w:val="00E80F29"/>
    <w:rsid w:val="00E9658E"/>
    <w:rsid w:val="00EA6003"/>
    <w:rsid w:val="00EA7D71"/>
    <w:rsid w:val="00EB4F93"/>
    <w:rsid w:val="00EB5A10"/>
    <w:rsid w:val="00EB623B"/>
    <w:rsid w:val="00EC517E"/>
    <w:rsid w:val="00EE6FD1"/>
    <w:rsid w:val="00EE7729"/>
    <w:rsid w:val="00F22D91"/>
    <w:rsid w:val="00F336C4"/>
    <w:rsid w:val="00F41245"/>
    <w:rsid w:val="00F502D1"/>
    <w:rsid w:val="00F504F5"/>
    <w:rsid w:val="00F64374"/>
    <w:rsid w:val="00F7715D"/>
    <w:rsid w:val="00F81FF3"/>
    <w:rsid w:val="00FA3918"/>
    <w:rsid w:val="00FB0AA9"/>
    <w:rsid w:val="00FC7817"/>
    <w:rsid w:val="00FD34B2"/>
    <w:rsid w:val="00FD7E06"/>
    <w:rsid w:val="00FF6C50"/>
    <w:rsid w:val="2DB58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885A4"/>
  <w15:chartTrackingRefBased/>
  <w15:docId w15:val="{8620B9E5-CF51-4F3E-96CD-FF108315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E3"/>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91DE3"/>
  </w:style>
  <w:style w:type="character" w:styleId="FootnoteReference">
    <w:name w:val="footnote reference"/>
    <w:basedOn w:val="DefaultParagraphFont"/>
    <w:uiPriority w:val="99"/>
    <w:unhideWhenUsed/>
    <w:rsid w:val="00691DE3"/>
    <w:rPr>
      <w:vertAlign w:val="superscript"/>
    </w:rPr>
  </w:style>
  <w:style w:type="character" w:styleId="UnresolvedMention">
    <w:name w:val="Unresolved Mention"/>
    <w:basedOn w:val="DefaultParagraphFont"/>
    <w:uiPriority w:val="99"/>
    <w:semiHidden/>
    <w:unhideWhenUsed/>
    <w:rsid w:val="00691DE3"/>
    <w:rPr>
      <w:color w:val="605E5C"/>
      <w:shd w:val="clear" w:color="auto" w:fill="E1DFDD"/>
    </w:rPr>
  </w:style>
  <w:style w:type="table" w:styleId="TableGrid">
    <w:name w:val="Table Grid"/>
    <w:basedOn w:val="TableNormal"/>
    <w:uiPriority w:val="39"/>
    <w:rsid w:val="0069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27EF4"/>
    <w:pPr>
      <w:ind w:left="720"/>
      <w:contextualSpacing/>
    </w:pPr>
  </w:style>
  <w:style w:type="paragraph" w:styleId="Revision">
    <w:name w:val="Revision"/>
    <w:hidden/>
    <w:uiPriority w:val="99"/>
    <w:semiHidden/>
    <w:rsid w:val="0088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6-06-24/pdf/2026-12717.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C3CE2-16B1-441F-AA3B-DFCD03DBFB58}">
  <ds:schemaRefs>
    <ds:schemaRef ds:uri="http://schemas.openxmlformats.org/officeDocument/2006/bibliography"/>
  </ds:schemaRefs>
</ds:datastoreItem>
</file>

<file path=customXml/itemProps2.xml><?xml version="1.0" encoding="utf-8"?>
<ds:datastoreItem xmlns:ds="http://schemas.openxmlformats.org/officeDocument/2006/customXml" ds:itemID="{D7727E3D-E968-495D-A56A-56AABE46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customXml/itemProps4.xml><?xml version="1.0" encoding="utf-8"?>
<ds:datastoreItem xmlns:ds="http://schemas.openxmlformats.org/officeDocument/2006/customXml" ds:itemID="{2149EAD6-BA39-4E93-9B86-CE903281D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1291</TotalTime>
  <Pages>4</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92</cp:revision>
  <dcterms:created xsi:type="dcterms:W3CDTF">2026-05-05T17:45:00Z</dcterms:created>
  <dcterms:modified xsi:type="dcterms:W3CDTF">2026-06-24T14:02:00Z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