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8119AF" w:rsidRPr="00086643" w14:paraId="03A9312B" w14:textId="3B29FEF9">
      <w:pPr>
        <w:jc w:val="center"/>
        <w:rPr>
          <w:b/>
          <w:sz w:val="56"/>
          <w:szCs w:val="56"/>
        </w:rPr>
      </w:pPr>
      <w:r w:rsidRPr="00086643">
        <w:rPr>
          <w:rFonts w:cstheme="minorHAnsi"/>
          <w:b/>
          <w:sz w:val="56"/>
          <w:szCs w:val="56"/>
        </w:rPr>
        <w:t xml:space="preserve">Voluntary Consensus Standards Recognition Program for Regenerative Medicine Therapies </w:t>
      </w:r>
    </w:p>
    <w:p w:rsidR="009D2FB3" w:rsidRPr="00132BB6" w:rsidP="009D2FB3" w14:paraId="0CCFE91C" w14:textId="77777777">
      <w:pPr>
        <w:widowControl w:val="0"/>
        <w:pBdr>
          <w:bottom w:val="single" w:sz="6" w:space="1" w:color="auto"/>
        </w:pBdr>
        <w:jc w:val="center"/>
        <w:rPr>
          <w:rFonts w:eastAsia="Calibri"/>
          <w:b/>
        </w:rPr>
      </w:pPr>
    </w:p>
    <w:p w:rsidR="009D2FB3" w:rsidRPr="0097743F" w:rsidP="009D2FB3" w14:paraId="1F2E8A46" w14:textId="77777777">
      <w:pPr>
        <w:widowControl w:val="0"/>
        <w:jc w:val="center"/>
        <w:rPr>
          <w:rFonts w:eastAsia="Calibri"/>
          <w:b/>
        </w:rPr>
      </w:pPr>
    </w:p>
    <w:p w:rsidR="008119AF" w:rsidRPr="00BA28CC" w:rsidP="00BA28CC" w14:paraId="4CBC0FD4" w14:textId="063D4A4C">
      <w:pPr>
        <w:jc w:val="center"/>
        <w:rPr>
          <w:b/>
          <w:sz w:val="56"/>
          <w:szCs w:val="56"/>
        </w:rPr>
      </w:pPr>
      <w:r w:rsidRPr="009D2FB3">
        <w:rPr>
          <w:b/>
          <w:sz w:val="56"/>
          <w:szCs w:val="56"/>
        </w:rPr>
        <w:t>Guidance</w:t>
      </w:r>
      <w:bookmarkStart w:id="0" w:name="_Toc132520479"/>
      <w:r w:rsidRPr="009D2FB3">
        <w:rPr>
          <w:b/>
          <w:sz w:val="56"/>
          <w:szCs w:val="56"/>
        </w:rPr>
        <w:t xml:space="preserve"> for Industry</w:t>
      </w:r>
      <w:bookmarkEnd w:id="0"/>
      <w:r w:rsidR="00844ECB">
        <w:rPr>
          <w:b/>
          <w:sz w:val="56"/>
          <w:szCs w:val="56"/>
        </w:rPr>
        <w:t xml:space="preserve"> </w:t>
      </w:r>
    </w:p>
    <w:p w:rsidR="009D2FB3" w14:paraId="65B81560" w14:textId="77777777">
      <w:pPr>
        <w:jc w:val="center"/>
        <w:rPr>
          <w:b/>
        </w:rPr>
      </w:pPr>
    </w:p>
    <w:p w:rsidR="009D2FB3" w:rsidRPr="009D2FB3" w14:paraId="6218EA26" w14:textId="77777777">
      <w:pPr>
        <w:jc w:val="center"/>
        <w:rPr>
          <w:b/>
        </w:rPr>
      </w:pPr>
    </w:p>
    <w:p w:rsidR="008119AF" w14:paraId="373C6669" w14:textId="77777777"/>
    <w:p w:rsidR="008119AF" w14:paraId="6FB0CF05" w14:textId="3C5E6CFB"/>
    <w:p w:rsidR="00AE4050" w14:paraId="63250183" w14:textId="77777777"/>
    <w:p w:rsidR="008264BA" w14:paraId="6D464296" w14:textId="77777777"/>
    <w:p w:rsidR="008264BA" w14:paraId="1F591879" w14:textId="77777777"/>
    <w:p w:rsidR="008264BA" w14:paraId="55050836" w14:textId="77777777"/>
    <w:p w:rsidR="008264BA" w14:paraId="7D6F4E44" w14:textId="77777777"/>
    <w:p w:rsidR="00AE4050" w14:paraId="7B78B3CA" w14:textId="380BE8D4"/>
    <w:p w:rsidR="008119AF" w14:paraId="229F9641" w14:textId="77777777"/>
    <w:p w:rsidR="008119AF" w14:paraId="5F5413A7" w14:textId="0993E84F">
      <w:pPr>
        <w:tabs>
          <w:tab w:val="left" w:pos="1440"/>
        </w:tabs>
        <w:rPr>
          <w:szCs w:val="56"/>
        </w:rPr>
      </w:pPr>
      <w:r>
        <w:rPr>
          <w:szCs w:val="56"/>
        </w:rPr>
        <w:t>Additional copies of this guidance are available from the Office of Communication, Outreach and Development (OCOD), 10903 New Hampshire Ave., Bldg. 71, Rm. 3128, Silver Spring, MD 20993-0002, or by callin</w:t>
      </w:r>
      <w:r w:rsidR="00DD1CE3">
        <w:rPr>
          <w:szCs w:val="56"/>
        </w:rPr>
        <w:t>g 1-800-835-4709 or 240-402-8010</w:t>
      </w:r>
      <w:r>
        <w:rPr>
          <w:szCs w:val="56"/>
        </w:rPr>
        <w:t xml:space="preserve">, or email </w:t>
      </w:r>
      <w:hyperlink r:id="rId9" w:history="1">
        <w:r w:rsidRPr="00D70947">
          <w:rPr>
            <w:rStyle w:val="Hyperlink"/>
          </w:rPr>
          <w:t>ocod@fda.hhs.gov</w:t>
        </w:r>
      </w:hyperlink>
      <w:r w:rsidRPr="00D70947">
        <w:t>,</w:t>
      </w:r>
      <w:r>
        <w:rPr>
          <w:szCs w:val="56"/>
        </w:rPr>
        <w:t xml:space="preserve"> or from the Internet at </w:t>
      </w:r>
      <w:hyperlink r:id="rId10" w:history="1">
        <w:r w:rsidRPr="00244AF8" w:rsidR="00275593">
          <w:rPr>
            <w:rStyle w:val="Hyperlink"/>
          </w:rPr>
          <w:t>https://www.fda.gov/vaccines-blood-biologics/guidance-compliance-regulatory-information-biologics/biologics-guidances</w:t>
        </w:r>
      </w:hyperlink>
      <w:r>
        <w:rPr>
          <w:szCs w:val="56"/>
        </w:rPr>
        <w:t>.</w:t>
      </w:r>
    </w:p>
    <w:p w:rsidR="008119AF" w14:paraId="3782D7EB" w14:textId="77777777">
      <w:pPr>
        <w:tabs>
          <w:tab w:val="left" w:pos="1440"/>
        </w:tabs>
        <w:rPr>
          <w:szCs w:val="56"/>
        </w:rPr>
      </w:pPr>
    </w:p>
    <w:p w:rsidR="008119AF" w14:paraId="31A21B94" w14:textId="77777777">
      <w:pPr>
        <w:rPr>
          <w:szCs w:val="56"/>
        </w:rPr>
      </w:pPr>
      <w:r>
        <w:rPr>
          <w:szCs w:val="56"/>
        </w:rPr>
        <w:t>For questions on the content of this guidance, contact OCOD at the phone numbers or email address listed above.</w:t>
      </w:r>
    </w:p>
    <w:p w:rsidR="009D2FB3" w14:paraId="57C95D04" w14:textId="77777777">
      <w:pPr>
        <w:rPr>
          <w:szCs w:val="56"/>
        </w:rPr>
      </w:pPr>
    </w:p>
    <w:p w:rsidR="009D2FB3" w14:paraId="63024582" w14:textId="77777777">
      <w:pPr>
        <w:rPr>
          <w:szCs w:val="56"/>
        </w:rPr>
      </w:pPr>
    </w:p>
    <w:p w:rsidR="008119AF" w14:paraId="69316B02" w14:textId="22F2AB88">
      <w:pPr>
        <w:rPr>
          <w:szCs w:val="56"/>
        </w:rPr>
      </w:pPr>
    </w:p>
    <w:p w:rsidR="00AE4050" w14:paraId="52AB506E" w14:textId="77777777">
      <w:pPr>
        <w:rPr>
          <w:szCs w:val="56"/>
        </w:rPr>
      </w:pPr>
    </w:p>
    <w:p w:rsidR="00AE4050" w14:paraId="4925BA58" w14:textId="2278A222">
      <w:pPr>
        <w:rPr>
          <w:szCs w:val="56"/>
        </w:rPr>
      </w:pPr>
    </w:p>
    <w:p w:rsidR="00AE4050" w14:paraId="08F0AF1F" w14:textId="0F90F55C">
      <w:pPr>
        <w:rPr>
          <w:szCs w:val="56"/>
        </w:rPr>
      </w:pPr>
    </w:p>
    <w:p w:rsidR="00AE4050" w14:paraId="47217B33" w14:textId="77777777">
      <w:pPr>
        <w:rPr>
          <w:szCs w:val="56"/>
        </w:rPr>
      </w:pPr>
    </w:p>
    <w:p w:rsidR="008119AF" w14:paraId="27E32350" w14:textId="77777777">
      <w:pPr>
        <w:jc w:val="right"/>
        <w:rPr>
          <w:b/>
          <w:szCs w:val="56"/>
        </w:rPr>
      </w:pPr>
      <w:smartTag w:uri="urn:schemas-microsoft-com:office:smarttags" w:element="place">
        <w:smartTag w:uri="urn:schemas-microsoft-com:office:smarttags" w:element="country-region">
          <w:r>
            <w:rPr>
              <w:b/>
              <w:szCs w:val="56"/>
            </w:rPr>
            <w:t>U.S.</w:t>
          </w:r>
        </w:smartTag>
      </w:smartTag>
      <w:r>
        <w:rPr>
          <w:b/>
          <w:szCs w:val="56"/>
        </w:rPr>
        <w:t xml:space="preserve"> Department of Health and Human Services</w:t>
      </w:r>
    </w:p>
    <w:p w:rsidR="008119AF" w14:paraId="4FCE8A01" w14:textId="77777777">
      <w:pPr>
        <w:jc w:val="right"/>
        <w:rPr>
          <w:b/>
          <w:szCs w:val="56"/>
        </w:rPr>
      </w:pPr>
      <w:r>
        <w:rPr>
          <w:b/>
          <w:szCs w:val="56"/>
        </w:rPr>
        <w:t>Food and Drug Administration</w:t>
      </w:r>
    </w:p>
    <w:p w:rsidR="008119AF" w14:paraId="41912F51" w14:textId="77777777">
      <w:pPr>
        <w:jc w:val="right"/>
        <w:rPr>
          <w:b/>
          <w:szCs w:val="56"/>
        </w:rPr>
      </w:pPr>
      <w:r>
        <w:rPr>
          <w:b/>
          <w:szCs w:val="56"/>
        </w:rPr>
        <w:t>Center for Biologics Evaluation and Research</w:t>
      </w:r>
    </w:p>
    <w:p w:rsidR="008119AF" w14:paraId="79D0FFED" w14:textId="25A59F89">
      <w:pPr>
        <w:jc w:val="right"/>
        <w:rPr>
          <w:b/>
          <w:szCs w:val="56"/>
        </w:rPr>
      </w:pPr>
      <w:r>
        <w:rPr>
          <w:b/>
          <w:szCs w:val="56"/>
        </w:rPr>
        <w:t xml:space="preserve">XXXX </w:t>
      </w:r>
      <w:r w:rsidR="001D769E">
        <w:rPr>
          <w:b/>
          <w:szCs w:val="56"/>
        </w:rPr>
        <w:t>202</w:t>
      </w:r>
      <w:r w:rsidR="00CA735F">
        <w:rPr>
          <w:b/>
          <w:szCs w:val="56"/>
        </w:rPr>
        <w:t>3</w:t>
      </w:r>
    </w:p>
    <w:p w:rsidR="008119AF" w14:paraId="22DDF8D2" w14:textId="77777777">
      <w:pPr>
        <w:rPr>
          <w:b/>
          <w:szCs w:val="56"/>
        </w:rPr>
      </w:pPr>
    </w:p>
    <w:p w:rsidR="00282D97" w14:paraId="523C792B" w14:textId="77777777">
      <w:pPr>
        <w:rPr>
          <w:b/>
          <w:szCs w:val="56"/>
        </w:rPr>
      </w:pPr>
    </w:p>
    <w:p w:rsidR="00003CD6" w:rsidRPr="00A550EE" w:rsidP="00C92ED7" w14:paraId="3069D8CB" w14:textId="5D97CFC0">
      <w:pPr>
        <w:pStyle w:val="NormalWeb"/>
        <w:spacing w:before="0" w:beforeAutospacing="0" w:after="0" w:afterAutospacing="0"/>
        <w:jc w:val="center"/>
        <w:rPr>
          <w:color w:val="000000"/>
        </w:rPr>
      </w:pPr>
      <w:r w:rsidRPr="00A550EE">
        <w:rPr>
          <w:color w:val="000000"/>
        </w:rPr>
        <w:t xml:space="preserve">OMB control number: </w:t>
      </w:r>
      <w:r w:rsidRPr="00A550EE">
        <w:rPr>
          <w:color w:val="000000"/>
        </w:rPr>
        <w:t>0910-0338</w:t>
      </w:r>
    </w:p>
    <w:p w:rsidR="00282D97" w:rsidRPr="00A550EE" w:rsidP="00C92ED7" w14:paraId="50184BAD" w14:textId="5F3FDF64">
      <w:pPr>
        <w:pStyle w:val="NormalWeb"/>
        <w:spacing w:before="0" w:beforeAutospacing="0" w:after="0" w:afterAutospacing="0"/>
        <w:jc w:val="center"/>
        <w:rPr>
          <w:color w:val="000000"/>
        </w:rPr>
      </w:pPr>
      <w:r w:rsidRPr="00A550EE">
        <w:rPr>
          <w:color w:val="000000"/>
        </w:rPr>
        <w:t>Current expiration date available at https://www.reginfo.gov.</w:t>
      </w:r>
    </w:p>
    <w:p w:rsidR="00282D97" w:rsidRPr="00A550EE" w:rsidP="00C92ED7" w14:paraId="4F1BF979" w14:textId="795F4FE0">
      <w:pPr>
        <w:pStyle w:val="NormalWeb"/>
        <w:spacing w:before="0" w:beforeAutospacing="0" w:after="0" w:afterAutospacing="0"/>
        <w:jc w:val="center"/>
        <w:rPr>
          <w:color w:val="000000"/>
        </w:rPr>
      </w:pPr>
      <w:r w:rsidRPr="00A550EE">
        <w:rPr>
          <w:color w:val="000000"/>
        </w:rPr>
        <w:t xml:space="preserve">See additional PRA statement in Section </w:t>
      </w:r>
      <w:r w:rsidR="00771CA7">
        <w:rPr>
          <w:color w:val="000000"/>
        </w:rPr>
        <w:t>VIII</w:t>
      </w:r>
      <w:r w:rsidRPr="00A550EE">
        <w:rPr>
          <w:color w:val="000000"/>
        </w:rPr>
        <w:t xml:space="preserve"> of this guidance.</w:t>
      </w:r>
    </w:p>
    <w:p w:rsidR="00282D97" w14:paraId="61F72E91" w14:textId="75014600">
      <w:pPr>
        <w:rPr>
          <w:b/>
          <w:szCs w:val="56"/>
        </w:rPr>
        <w:sectPr>
          <w:headerReference w:type="default" r:id="rId11"/>
          <w:pgSz w:w="12240" w:h="15840" w:code="1"/>
          <w:pgMar w:top="1440" w:right="1440" w:bottom="1440" w:left="1440" w:header="720" w:footer="720" w:gutter="0"/>
          <w:cols w:space="720"/>
          <w:titlePg/>
          <w:docGrid w:linePitch="360"/>
        </w:sectPr>
      </w:pPr>
    </w:p>
    <w:p w:rsidR="008119AF" w14:paraId="62C25A19" w14:textId="77777777">
      <w:pPr>
        <w:jc w:val="center"/>
        <w:rPr>
          <w:b/>
          <w:sz w:val="28"/>
          <w:szCs w:val="28"/>
        </w:rPr>
      </w:pPr>
      <w:r>
        <w:rPr>
          <w:b/>
          <w:sz w:val="28"/>
          <w:szCs w:val="28"/>
        </w:rPr>
        <w:t>Table of Contents</w:t>
      </w:r>
    </w:p>
    <w:p w:rsidR="008119AF" w14:paraId="550760B9" w14:textId="77777777">
      <w:pPr>
        <w:rPr>
          <w:b/>
          <w:szCs w:val="56"/>
        </w:rPr>
      </w:pPr>
    </w:p>
    <w:p w:rsidR="006669E0" w14:paraId="1BECF6ED" w14:textId="21DB614D">
      <w:pPr>
        <w:pStyle w:val="TOC1"/>
        <w:rPr>
          <w:rFonts w:asciiTheme="minorHAnsi" w:hAnsiTheme="minorHAnsi" w:cstheme="minorBidi"/>
          <w:b w:val="0"/>
          <w:caps w:val="0"/>
          <w:sz w:val="22"/>
          <w:szCs w:val="22"/>
        </w:rPr>
      </w:pPr>
      <w:r>
        <w:fldChar w:fldCharType="begin"/>
      </w:r>
      <w:r>
        <w:instrText xml:space="preserve"> TOC \o "1-1" \h \z \t "Heading 2,2,Heading 3,3" </w:instrText>
      </w:r>
      <w:r>
        <w:fldChar w:fldCharType="separate"/>
      </w:r>
      <w:hyperlink w:anchor="_Toc136850423" w:history="1">
        <w:r w:rsidRPr="00605FDD">
          <w:rPr>
            <w:rStyle w:val="Hyperlink"/>
          </w:rPr>
          <w:t>I.</w:t>
        </w:r>
        <w:r>
          <w:rPr>
            <w:rFonts w:asciiTheme="minorHAnsi" w:hAnsiTheme="minorHAnsi" w:cstheme="minorBidi"/>
            <w:b w:val="0"/>
            <w:caps w:val="0"/>
            <w:sz w:val="22"/>
            <w:szCs w:val="22"/>
          </w:rPr>
          <w:tab/>
        </w:r>
        <w:r w:rsidRPr="00605FDD">
          <w:rPr>
            <w:rStyle w:val="Hyperlink"/>
          </w:rPr>
          <w:t>INTRODUCTION</w:t>
        </w:r>
        <w:r>
          <w:rPr>
            <w:webHidden/>
          </w:rPr>
          <w:tab/>
        </w:r>
        <w:r>
          <w:rPr>
            <w:webHidden/>
          </w:rPr>
          <w:fldChar w:fldCharType="begin"/>
        </w:r>
        <w:r>
          <w:rPr>
            <w:webHidden/>
          </w:rPr>
          <w:instrText xml:space="preserve"> PAGEREF _Toc136850423 \h </w:instrText>
        </w:r>
        <w:r>
          <w:rPr>
            <w:webHidden/>
          </w:rPr>
          <w:fldChar w:fldCharType="separate"/>
        </w:r>
        <w:r>
          <w:rPr>
            <w:webHidden/>
          </w:rPr>
          <w:t>1</w:t>
        </w:r>
        <w:r>
          <w:rPr>
            <w:webHidden/>
          </w:rPr>
          <w:fldChar w:fldCharType="end"/>
        </w:r>
      </w:hyperlink>
    </w:p>
    <w:p w:rsidR="006669E0" w14:paraId="6CC9A6F4" w14:textId="13436478">
      <w:pPr>
        <w:pStyle w:val="TOC1"/>
        <w:rPr>
          <w:rFonts w:asciiTheme="minorHAnsi" w:hAnsiTheme="minorHAnsi" w:cstheme="minorBidi"/>
          <w:b w:val="0"/>
          <w:caps w:val="0"/>
          <w:sz w:val="22"/>
          <w:szCs w:val="22"/>
        </w:rPr>
      </w:pPr>
      <w:hyperlink w:anchor="_Toc136850424" w:history="1">
        <w:r w:rsidRPr="00605FDD">
          <w:rPr>
            <w:rStyle w:val="Hyperlink"/>
          </w:rPr>
          <w:t>II.</w:t>
        </w:r>
        <w:r>
          <w:rPr>
            <w:rFonts w:asciiTheme="minorHAnsi" w:hAnsiTheme="minorHAnsi" w:cstheme="minorBidi"/>
            <w:b w:val="0"/>
            <w:caps w:val="0"/>
            <w:sz w:val="22"/>
            <w:szCs w:val="22"/>
          </w:rPr>
          <w:tab/>
        </w:r>
        <w:r w:rsidRPr="00605FDD">
          <w:rPr>
            <w:rStyle w:val="Hyperlink"/>
          </w:rPr>
          <w:t>BACKGROUND</w:t>
        </w:r>
        <w:r>
          <w:rPr>
            <w:webHidden/>
          </w:rPr>
          <w:tab/>
        </w:r>
        <w:r>
          <w:rPr>
            <w:webHidden/>
          </w:rPr>
          <w:fldChar w:fldCharType="begin"/>
        </w:r>
        <w:r>
          <w:rPr>
            <w:webHidden/>
          </w:rPr>
          <w:instrText xml:space="preserve"> PAGEREF _Toc136850424 \h </w:instrText>
        </w:r>
        <w:r>
          <w:rPr>
            <w:webHidden/>
          </w:rPr>
          <w:fldChar w:fldCharType="separate"/>
        </w:r>
        <w:r>
          <w:rPr>
            <w:webHidden/>
          </w:rPr>
          <w:t>2</w:t>
        </w:r>
        <w:r>
          <w:rPr>
            <w:webHidden/>
          </w:rPr>
          <w:fldChar w:fldCharType="end"/>
        </w:r>
      </w:hyperlink>
    </w:p>
    <w:p w:rsidR="006669E0" w14:paraId="0F16DC13" w14:textId="74C4A8B8">
      <w:pPr>
        <w:pStyle w:val="TOC1"/>
        <w:rPr>
          <w:rFonts w:asciiTheme="minorHAnsi" w:hAnsiTheme="minorHAnsi" w:cstheme="minorBidi"/>
          <w:b w:val="0"/>
          <w:caps w:val="0"/>
          <w:sz w:val="22"/>
          <w:szCs w:val="22"/>
        </w:rPr>
      </w:pPr>
      <w:hyperlink w:anchor="_Toc136850425" w:history="1">
        <w:r w:rsidRPr="00605FDD">
          <w:rPr>
            <w:rStyle w:val="Hyperlink"/>
          </w:rPr>
          <w:t>III.</w:t>
        </w:r>
        <w:r>
          <w:rPr>
            <w:rFonts w:asciiTheme="minorHAnsi" w:hAnsiTheme="minorHAnsi" w:cstheme="minorBidi"/>
            <w:b w:val="0"/>
            <w:caps w:val="0"/>
            <w:sz w:val="22"/>
            <w:szCs w:val="22"/>
          </w:rPr>
          <w:tab/>
        </w:r>
        <w:r w:rsidRPr="00605FDD">
          <w:rPr>
            <w:rStyle w:val="Hyperlink"/>
          </w:rPr>
          <w:t>SCOPE</w:t>
        </w:r>
        <w:r>
          <w:rPr>
            <w:webHidden/>
          </w:rPr>
          <w:tab/>
        </w:r>
        <w:r>
          <w:rPr>
            <w:webHidden/>
          </w:rPr>
          <w:fldChar w:fldCharType="begin"/>
        </w:r>
        <w:r>
          <w:rPr>
            <w:webHidden/>
          </w:rPr>
          <w:instrText xml:space="preserve"> PAGEREF _Toc136850425 \h </w:instrText>
        </w:r>
        <w:r>
          <w:rPr>
            <w:webHidden/>
          </w:rPr>
          <w:fldChar w:fldCharType="separate"/>
        </w:r>
        <w:r>
          <w:rPr>
            <w:webHidden/>
          </w:rPr>
          <w:t>4</w:t>
        </w:r>
        <w:r>
          <w:rPr>
            <w:webHidden/>
          </w:rPr>
          <w:fldChar w:fldCharType="end"/>
        </w:r>
      </w:hyperlink>
    </w:p>
    <w:p w:rsidR="006669E0" w14:paraId="7B057B12" w14:textId="2EF354BA">
      <w:pPr>
        <w:pStyle w:val="TOC1"/>
        <w:rPr>
          <w:rFonts w:asciiTheme="minorHAnsi" w:hAnsiTheme="minorHAnsi" w:cstheme="minorBidi"/>
          <w:b w:val="0"/>
          <w:caps w:val="0"/>
          <w:sz w:val="22"/>
          <w:szCs w:val="22"/>
        </w:rPr>
      </w:pPr>
      <w:hyperlink w:anchor="_Toc136850426" w:history="1">
        <w:r w:rsidRPr="00605FDD">
          <w:rPr>
            <w:rStyle w:val="Hyperlink"/>
          </w:rPr>
          <w:t>IV.</w:t>
        </w:r>
        <w:r>
          <w:rPr>
            <w:rFonts w:asciiTheme="minorHAnsi" w:hAnsiTheme="minorHAnsi" w:cstheme="minorBidi"/>
            <w:b w:val="0"/>
            <w:caps w:val="0"/>
            <w:sz w:val="22"/>
            <w:szCs w:val="22"/>
          </w:rPr>
          <w:tab/>
        </w:r>
        <w:r w:rsidRPr="00605FDD">
          <w:rPr>
            <w:rStyle w:val="Hyperlink"/>
          </w:rPr>
          <w:t>Purpose of the Program</w:t>
        </w:r>
        <w:r>
          <w:rPr>
            <w:webHidden/>
          </w:rPr>
          <w:tab/>
        </w:r>
        <w:r>
          <w:rPr>
            <w:webHidden/>
          </w:rPr>
          <w:fldChar w:fldCharType="begin"/>
        </w:r>
        <w:r>
          <w:rPr>
            <w:webHidden/>
          </w:rPr>
          <w:instrText xml:space="preserve"> PAGEREF _Toc136850426 \h </w:instrText>
        </w:r>
        <w:r>
          <w:rPr>
            <w:webHidden/>
          </w:rPr>
          <w:fldChar w:fldCharType="separate"/>
        </w:r>
        <w:r>
          <w:rPr>
            <w:webHidden/>
          </w:rPr>
          <w:t>5</w:t>
        </w:r>
        <w:r>
          <w:rPr>
            <w:webHidden/>
          </w:rPr>
          <w:fldChar w:fldCharType="end"/>
        </w:r>
      </w:hyperlink>
    </w:p>
    <w:p w:rsidR="006669E0" w14:paraId="1C4F6E42" w14:textId="45C05177">
      <w:pPr>
        <w:pStyle w:val="TOC1"/>
        <w:rPr>
          <w:rFonts w:asciiTheme="minorHAnsi" w:hAnsiTheme="minorHAnsi" w:cstheme="minorBidi"/>
          <w:b w:val="0"/>
          <w:caps w:val="0"/>
          <w:sz w:val="22"/>
          <w:szCs w:val="22"/>
        </w:rPr>
      </w:pPr>
      <w:hyperlink w:anchor="_Toc136850427" w:history="1">
        <w:r w:rsidRPr="00605FDD">
          <w:rPr>
            <w:rStyle w:val="Hyperlink"/>
          </w:rPr>
          <w:t>V.</w:t>
        </w:r>
        <w:r>
          <w:rPr>
            <w:rFonts w:asciiTheme="minorHAnsi" w:hAnsiTheme="minorHAnsi" w:cstheme="minorBidi"/>
            <w:b w:val="0"/>
            <w:caps w:val="0"/>
            <w:sz w:val="22"/>
            <w:szCs w:val="22"/>
          </w:rPr>
          <w:tab/>
        </w:r>
        <w:r w:rsidRPr="00605FDD">
          <w:rPr>
            <w:rStyle w:val="Hyperlink"/>
          </w:rPr>
          <w:t>procedures for evaluating VCS for Recognition in THE SRP-RMT</w:t>
        </w:r>
        <w:r>
          <w:rPr>
            <w:webHidden/>
          </w:rPr>
          <w:tab/>
        </w:r>
        <w:r>
          <w:rPr>
            <w:webHidden/>
          </w:rPr>
          <w:fldChar w:fldCharType="begin"/>
        </w:r>
        <w:r>
          <w:rPr>
            <w:webHidden/>
          </w:rPr>
          <w:instrText xml:space="preserve"> PAGEREF _Toc136850427 \h </w:instrText>
        </w:r>
        <w:r>
          <w:rPr>
            <w:webHidden/>
          </w:rPr>
          <w:fldChar w:fldCharType="separate"/>
        </w:r>
        <w:r>
          <w:rPr>
            <w:webHidden/>
          </w:rPr>
          <w:t>5</w:t>
        </w:r>
        <w:r>
          <w:rPr>
            <w:webHidden/>
          </w:rPr>
          <w:fldChar w:fldCharType="end"/>
        </w:r>
      </w:hyperlink>
    </w:p>
    <w:p w:rsidR="006669E0" w14:paraId="2E459240" w14:textId="0D2EF53C">
      <w:pPr>
        <w:pStyle w:val="TOC1"/>
        <w:rPr>
          <w:rFonts w:asciiTheme="minorHAnsi" w:hAnsiTheme="minorHAnsi" w:cstheme="minorBidi"/>
          <w:b w:val="0"/>
          <w:caps w:val="0"/>
          <w:sz w:val="22"/>
          <w:szCs w:val="22"/>
        </w:rPr>
      </w:pPr>
      <w:hyperlink w:anchor="_Toc136850428" w:history="1">
        <w:r w:rsidRPr="00605FDD">
          <w:rPr>
            <w:rStyle w:val="Hyperlink"/>
          </w:rPr>
          <w:t>VI.</w:t>
        </w:r>
        <w:r>
          <w:rPr>
            <w:rFonts w:asciiTheme="minorHAnsi" w:hAnsiTheme="minorHAnsi" w:cstheme="minorBidi"/>
            <w:b w:val="0"/>
            <w:caps w:val="0"/>
            <w:sz w:val="22"/>
            <w:szCs w:val="22"/>
          </w:rPr>
          <w:tab/>
        </w:r>
        <w:r w:rsidRPr="00605FDD">
          <w:rPr>
            <w:rStyle w:val="Hyperlink"/>
          </w:rPr>
          <w:t>Documenting the use of a standard recognized by cber under the SRP-RMT in a regulatory submission</w:t>
        </w:r>
        <w:r>
          <w:rPr>
            <w:webHidden/>
          </w:rPr>
          <w:tab/>
        </w:r>
        <w:r>
          <w:rPr>
            <w:webHidden/>
          </w:rPr>
          <w:fldChar w:fldCharType="begin"/>
        </w:r>
        <w:r>
          <w:rPr>
            <w:webHidden/>
          </w:rPr>
          <w:instrText xml:space="preserve"> PAGEREF _Toc136850428 \h </w:instrText>
        </w:r>
        <w:r>
          <w:rPr>
            <w:webHidden/>
          </w:rPr>
          <w:fldChar w:fldCharType="separate"/>
        </w:r>
        <w:r>
          <w:rPr>
            <w:webHidden/>
          </w:rPr>
          <w:t>6</w:t>
        </w:r>
        <w:r>
          <w:rPr>
            <w:webHidden/>
          </w:rPr>
          <w:fldChar w:fldCharType="end"/>
        </w:r>
      </w:hyperlink>
    </w:p>
    <w:p w:rsidR="006669E0" w14:paraId="3E086489" w14:textId="369B44F7">
      <w:pPr>
        <w:pStyle w:val="TOC1"/>
        <w:rPr>
          <w:rFonts w:asciiTheme="minorHAnsi" w:hAnsiTheme="minorHAnsi" w:cstheme="minorBidi"/>
          <w:b w:val="0"/>
          <w:caps w:val="0"/>
          <w:sz w:val="22"/>
          <w:szCs w:val="22"/>
        </w:rPr>
      </w:pPr>
      <w:hyperlink w:anchor="_Toc136850429" w:history="1">
        <w:r w:rsidRPr="00605FDD">
          <w:rPr>
            <w:rStyle w:val="Hyperlink"/>
          </w:rPr>
          <w:t>VII.</w:t>
        </w:r>
        <w:r>
          <w:rPr>
            <w:rFonts w:asciiTheme="minorHAnsi" w:hAnsiTheme="minorHAnsi" w:cstheme="minorBidi"/>
            <w:b w:val="0"/>
            <w:caps w:val="0"/>
            <w:sz w:val="22"/>
            <w:szCs w:val="22"/>
          </w:rPr>
          <w:tab/>
        </w:r>
        <w:r w:rsidRPr="00605FDD">
          <w:rPr>
            <w:rStyle w:val="Hyperlink"/>
          </w:rPr>
          <w:t>Questions and answers</w:t>
        </w:r>
        <w:r>
          <w:rPr>
            <w:webHidden/>
          </w:rPr>
          <w:tab/>
        </w:r>
        <w:r>
          <w:rPr>
            <w:webHidden/>
          </w:rPr>
          <w:fldChar w:fldCharType="begin"/>
        </w:r>
        <w:r>
          <w:rPr>
            <w:webHidden/>
          </w:rPr>
          <w:instrText xml:space="preserve"> PAGEREF _Toc136850429 \h </w:instrText>
        </w:r>
        <w:r>
          <w:rPr>
            <w:webHidden/>
          </w:rPr>
          <w:fldChar w:fldCharType="separate"/>
        </w:r>
        <w:r>
          <w:rPr>
            <w:webHidden/>
          </w:rPr>
          <w:t>7</w:t>
        </w:r>
        <w:r>
          <w:rPr>
            <w:webHidden/>
          </w:rPr>
          <w:fldChar w:fldCharType="end"/>
        </w:r>
      </w:hyperlink>
    </w:p>
    <w:p w:rsidR="006669E0" w14:paraId="6305B9F4" w14:textId="76120DC5">
      <w:pPr>
        <w:pStyle w:val="TOC1"/>
        <w:rPr>
          <w:rFonts w:asciiTheme="minorHAnsi" w:hAnsiTheme="minorHAnsi" w:cstheme="minorBidi"/>
          <w:b w:val="0"/>
          <w:caps w:val="0"/>
          <w:sz w:val="22"/>
          <w:szCs w:val="22"/>
        </w:rPr>
      </w:pPr>
      <w:hyperlink w:anchor="_Toc136850430" w:history="1">
        <w:r w:rsidRPr="00605FDD">
          <w:rPr>
            <w:rStyle w:val="Hyperlink"/>
          </w:rPr>
          <w:t>VIII.</w:t>
        </w:r>
        <w:r>
          <w:rPr>
            <w:rFonts w:asciiTheme="minorHAnsi" w:hAnsiTheme="minorHAnsi" w:cstheme="minorBidi"/>
            <w:b w:val="0"/>
            <w:caps w:val="0"/>
            <w:sz w:val="22"/>
            <w:szCs w:val="22"/>
          </w:rPr>
          <w:tab/>
        </w:r>
        <w:r w:rsidRPr="00605FDD">
          <w:rPr>
            <w:rStyle w:val="Hyperlink"/>
            <w:spacing w:val="-1"/>
          </w:rPr>
          <w:t>PAPERWORK</w:t>
        </w:r>
        <w:r w:rsidRPr="00605FDD">
          <w:rPr>
            <w:rStyle w:val="Hyperlink"/>
            <w:spacing w:val="-2"/>
          </w:rPr>
          <w:t xml:space="preserve"> </w:t>
        </w:r>
        <w:r w:rsidRPr="00605FDD">
          <w:rPr>
            <w:rStyle w:val="Hyperlink"/>
          </w:rPr>
          <w:t>REDUCTION</w:t>
        </w:r>
        <w:r w:rsidRPr="00605FDD">
          <w:rPr>
            <w:rStyle w:val="Hyperlink"/>
            <w:spacing w:val="-1"/>
          </w:rPr>
          <w:t xml:space="preserve"> ACT</w:t>
        </w:r>
        <w:r w:rsidRPr="00605FDD">
          <w:rPr>
            <w:rStyle w:val="Hyperlink"/>
          </w:rPr>
          <w:t xml:space="preserve"> OF</w:t>
        </w:r>
        <w:r w:rsidRPr="00605FDD">
          <w:rPr>
            <w:rStyle w:val="Hyperlink"/>
            <w:spacing w:val="-3"/>
          </w:rPr>
          <w:t xml:space="preserve"> </w:t>
        </w:r>
        <w:r w:rsidRPr="00605FDD">
          <w:rPr>
            <w:rStyle w:val="Hyperlink"/>
          </w:rPr>
          <w:t>1995</w:t>
        </w:r>
        <w:r>
          <w:rPr>
            <w:webHidden/>
          </w:rPr>
          <w:tab/>
        </w:r>
        <w:r>
          <w:rPr>
            <w:webHidden/>
          </w:rPr>
          <w:fldChar w:fldCharType="begin"/>
        </w:r>
        <w:r>
          <w:rPr>
            <w:webHidden/>
          </w:rPr>
          <w:instrText xml:space="preserve"> PAGEREF _Toc136850430 \h </w:instrText>
        </w:r>
        <w:r>
          <w:rPr>
            <w:webHidden/>
          </w:rPr>
          <w:fldChar w:fldCharType="separate"/>
        </w:r>
        <w:r>
          <w:rPr>
            <w:webHidden/>
          </w:rPr>
          <w:t>8</w:t>
        </w:r>
        <w:r>
          <w:rPr>
            <w:webHidden/>
          </w:rPr>
          <w:fldChar w:fldCharType="end"/>
        </w:r>
      </w:hyperlink>
    </w:p>
    <w:p w:rsidR="006669E0" w14:paraId="6DBBABD7" w14:textId="1C42ACD4">
      <w:pPr>
        <w:pStyle w:val="TOC1"/>
        <w:rPr>
          <w:rFonts w:asciiTheme="minorHAnsi" w:hAnsiTheme="minorHAnsi" w:cstheme="minorBidi"/>
          <w:b w:val="0"/>
          <w:caps w:val="0"/>
          <w:sz w:val="22"/>
          <w:szCs w:val="22"/>
        </w:rPr>
      </w:pPr>
      <w:hyperlink w:anchor="_Toc136850431" w:history="1">
        <w:r w:rsidRPr="00605FDD">
          <w:rPr>
            <w:rStyle w:val="Hyperlink"/>
          </w:rPr>
          <w:t>IX.</w:t>
        </w:r>
        <w:r>
          <w:rPr>
            <w:rFonts w:asciiTheme="minorHAnsi" w:hAnsiTheme="minorHAnsi" w:cstheme="minorBidi"/>
            <w:b w:val="0"/>
            <w:caps w:val="0"/>
            <w:sz w:val="22"/>
            <w:szCs w:val="22"/>
          </w:rPr>
          <w:tab/>
        </w:r>
        <w:r w:rsidRPr="00605FDD">
          <w:rPr>
            <w:rStyle w:val="Hyperlink"/>
          </w:rPr>
          <w:t>REFERENCES</w:t>
        </w:r>
        <w:r>
          <w:rPr>
            <w:webHidden/>
          </w:rPr>
          <w:tab/>
        </w:r>
        <w:r>
          <w:rPr>
            <w:webHidden/>
          </w:rPr>
          <w:fldChar w:fldCharType="begin"/>
        </w:r>
        <w:r>
          <w:rPr>
            <w:webHidden/>
          </w:rPr>
          <w:instrText xml:space="preserve"> PAGEREF _Toc136850431 \h </w:instrText>
        </w:r>
        <w:r>
          <w:rPr>
            <w:webHidden/>
          </w:rPr>
          <w:fldChar w:fldCharType="separate"/>
        </w:r>
        <w:r>
          <w:rPr>
            <w:webHidden/>
          </w:rPr>
          <w:t>9</w:t>
        </w:r>
        <w:r>
          <w:rPr>
            <w:webHidden/>
          </w:rPr>
          <w:fldChar w:fldCharType="end"/>
        </w:r>
      </w:hyperlink>
    </w:p>
    <w:p w:rsidR="006669E0" w14:paraId="53BC4E04" w14:textId="39E65BBE">
      <w:pPr>
        <w:pStyle w:val="TOC1"/>
        <w:rPr>
          <w:rFonts w:asciiTheme="minorHAnsi" w:hAnsiTheme="minorHAnsi" w:cstheme="minorBidi"/>
          <w:b w:val="0"/>
          <w:caps w:val="0"/>
          <w:sz w:val="22"/>
          <w:szCs w:val="22"/>
        </w:rPr>
      </w:pPr>
      <w:hyperlink w:anchor="_Toc136850432" w:history="1">
        <w:r w:rsidRPr="00605FDD">
          <w:rPr>
            <w:rStyle w:val="Hyperlink"/>
          </w:rPr>
          <w:t>appendices</w:t>
        </w:r>
        <w:r>
          <w:rPr>
            <w:webHidden/>
          </w:rPr>
          <w:tab/>
        </w:r>
        <w:r>
          <w:rPr>
            <w:webHidden/>
          </w:rPr>
          <w:fldChar w:fldCharType="begin"/>
        </w:r>
        <w:r>
          <w:rPr>
            <w:webHidden/>
          </w:rPr>
          <w:instrText xml:space="preserve"> PAGEREF _Toc136850432 \h </w:instrText>
        </w:r>
        <w:r>
          <w:rPr>
            <w:webHidden/>
          </w:rPr>
          <w:fldChar w:fldCharType="separate"/>
        </w:r>
        <w:r>
          <w:rPr>
            <w:webHidden/>
          </w:rPr>
          <w:t>10</w:t>
        </w:r>
        <w:r>
          <w:rPr>
            <w:webHidden/>
          </w:rPr>
          <w:fldChar w:fldCharType="end"/>
        </w:r>
      </w:hyperlink>
    </w:p>
    <w:p w:rsidR="006669E0" w14:paraId="7A09D37B" w14:textId="09E956BA">
      <w:pPr>
        <w:pStyle w:val="TOC2"/>
        <w:tabs>
          <w:tab w:val="right" w:leader="dot" w:pos="9350"/>
        </w:tabs>
        <w:rPr>
          <w:rFonts w:asciiTheme="minorHAnsi" w:eastAsiaTheme="minorEastAsia" w:hAnsiTheme="minorHAnsi" w:cstheme="minorBidi"/>
          <w:b w:val="0"/>
          <w:noProof/>
          <w:sz w:val="22"/>
          <w:szCs w:val="22"/>
        </w:rPr>
      </w:pPr>
      <w:hyperlink w:anchor="_Toc136850433" w:history="1">
        <w:r w:rsidRPr="00605FDD">
          <w:rPr>
            <w:rStyle w:val="Hyperlink"/>
            <w:noProof/>
          </w:rPr>
          <w:t>Appendix 1:  Sample Standards Recognition Summary</w:t>
        </w:r>
        <w:r>
          <w:rPr>
            <w:noProof/>
            <w:webHidden/>
          </w:rPr>
          <w:tab/>
        </w:r>
        <w:r>
          <w:rPr>
            <w:noProof/>
            <w:webHidden/>
          </w:rPr>
          <w:fldChar w:fldCharType="begin"/>
        </w:r>
        <w:r>
          <w:rPr>
            <w:noProof/>
            <w:webHidden/>
          </w:rPr>
          <w:instrText xml:space="preserve"> PAGEREF _Toc136850433 \h </w:instrText>
        </w:r>
        <w:r>
          <w:rPr>
            <w:noProof/>
            <w:webHidden/>
          </w:rPr>
          <w:fldChar w:fldCharType="separate"/>
        </w:r>
        <w:r>
          <w:rPr>
            <w:noProof/>
            <w:webHidden/>
          </w:rPr>
          <w:t>10</w:t>
        </w:r>
        <w:r>
          <w:rPr>
            <w:noProof/>
            <w:webHidden/>
          </w:rPr>
          <w:fldChar w:fldCharType="end"/>
        </w:r>
      </w:hyperlink>
    </w:p>
    <w:p w:rsidR="006669E0" w14:paraId="66030254" w14:textId="3F208D2D">
      <w:pPr>
        <w:pStyle w:val="TOC2"/>
        <w:tabs>
          <w:tab w:val="right" w:leader="dot" w:pos="9350"/>
        </w:tabs>
        <w:rPr>
          <w:rFonts w:asciiTheme="minorHAnsi" w:eastAsiaTheme="minorEastAsia" w:hAnsiTheme="minorHAnsi" w:cstheme="minorBidi"/>
          <w:b w:val="0"/>
          <w:noProof/>
          <w:sz w:val="22"/>
          <w:szCs w:val="22"/>
        </w:rPr>
      </w:pPr>
      <w:hyperlink w:anchor="_Toc136850434" w:history="1">
        <w:r w:rsidRPr="00605FDD">
          <w:rPr>
            <w:rStyle w:val="Hyperlink"/>
            <w:noProof/>
          </w:rPr>
          <w:t>Appendix 2:  Acronyms</w:t>
        </w:r>
        <w:r>
          <w:rPr>
            <w:noProof/>
            <w:webHidden/>
          </w:rPr>
          <w:tab/>
        </w:r>
        <w:r>
          <w:rPr>
            <w:noProof/>
            <w:webHidden/>
          </w:rPr>
          <w:fldChar w:fldCharType="begin"/>
        </w:r>
        <w:r>
          <w:rPr>
            <w:noProof/>
            <w:webHidden/>
          </w:rPr>
          <w:instrText xml:space="preserve"> PAGEREF _Toc136850434 \h </w:instrText>
        </w:r>
        <w:r>
          <w:rPr>
            <w:noProof/>
            <w:webHidden/>
          </w:rPr>
          <w:fldChar w:fldCharType="separate"/>
        </w:r>
        <w:r>
          <w:rPr>
            <w:noProof/>
            <w:webHidden/>
          </w:rPr>
          <w:t>11</w:t>
        </w:r>
        <w:r>
          <w:rPr>
            <w:noProof/>
            <w:webHidden/>
          </w:rPr>
          <w:fldChar w:fldCharType="end"/>
        </w:r>
      </w:hyperlink>
    </w:p>
    <w:p w:rsidR="008119AF" w14:paraId="72B42E2B" w14:textId="1C7D390B">
      <w:pPr>
        <w:rPr>
          <w:b/>
          <w:szCs w:val="56"/>
        </w:rPr>
        <w:sectPr>
          <w:headerReference w:type="even" r:id="rId12"/>
          <w:headerReference w:type="default" r:id="rId13"/>
          <w:footerReference w:type="default" r:id="rId14"/>
          <w:headerReference w:type="first" r:id="rId15"/>
          <w:pgSz w:w="12240" w:h="15840" w:code="1"/>
          <w:pgMar w:top="1440" w:right="1440" w:bottom="1440" w:left="1440" w:header="720" w:footer="720" w:gutter="0"/>
          <w:pgNumType w:fmt="lowerRoman" w:start="1"/>
          <w:cols w:space="720"/>
          <w:docGrid w:linePitch="360"/>
        </w:sectPr>
      </w:pPr>
      <w:r>
        <w:rPr>
          <w:b/>
        </w:rPr>
        <w:fldChar w:fldCharType="end"/>
      </w:r>
    </w:p>
    <w:p w:rsidR="00AE4050" w:rsidP="009D2FB3" w14:paraId="54FBD249" w14:textId="77777777">
      <w:pPr>
        <w:widowControl w:val="0"/>
        <w:pBdr>
          <w:bottom w:val="single" w:sz="6" w:space="1" w:color="auto"/>
        </w:pBdr>
        <w:jc w:val="center"/>
        <w:rPr>
          <w:rFonts w:cstheme="minorHAnsi"/>
          <w:b/>
          <w:sz w:val="32"/>
          <w:szCs w:val="32"/>
        </w:rPr>
      </w:pPr>
      <w:r w:rsidRPr="00086643">
        <w:rPr>
          <w:rFonts w:cstheme="minorHAnsi"/>
          <w:b/>
          <w:sz w:val="32"/>
          <w:szCs w:val="32"/>
        </w:rPr>
        <w:t>Voluntary Consensus Standards Recognition Program for Regenerative Medicine Therapies</w:t>
      </w:r>
    </w:p>
    <w:p w:rsidR="009D2FB3" w:rsidRPr="002C514D" w:rsidP="009D2FB3" w14:paraId="055C11F3" w14:textId="160148AF">
      <w:pPr>
        <w:widowControl w:val="0"/>
        <w:pBdr>
          <w:bottom w:val="single" w:sz="6" w:space="1" w:color="auto"/>
        </w:pBdr>
        <w:jc w:val="center"/>
        <w:rPr>
          <w:rFonts w:eastAsia="Calibri"/>
          <w:bCs/>
        </w:rPr>
      </w:pPr>
    </w:p>
    <w:p w:rsidR="009D2FB3" w:rsidRPr="002C514D" w:rsidP="009D2FB3" w14:paraId="3829412A" w14:textId="77777777">
      <w:pPr>
        <w:widowControl w:val="0"/>
        <w:jc w:val="center"/>
        <w:rPr>
          <w:rFonts w:eastAsia="Calibri"/>
          <w:bCs/>
        </w:rPr>
      </w:pPr>
    </w:p>
    <w:p w:rsidR="009D2FB3" w:rsidRPr="001003CA" w:rsidP="009D2FB3" w14:paraId="21B5B057" w14:textId="0D755B29">
      <w:pPr>
        <w:widowControl w:val="0"/>
        <w:jc w:val="center"/>
        <w:rPr>
          <w:rFonts w:eastAsia="Calibri"/>
          <w:b/>
          <w:sz w:val="32"/>
          <w:szCs w:val="32"/>
        </w:rPr>
      </w:pPr>
      <w:r w:rsidRPr="001003CA">
        <w:rPr>
          <w:rFonts w:eastAsia="Calibri"/>
          <w:b/>
          <w:sz w:val="32"/>
          <w:szCs w:val="32"/>
        </w:rPr>
        <w:t>Guidance for Industry</w:t>
      </w:r>
    </w:p>
    <w:p w:rsidR="009D2FB3" w:rsidP="009D2FB3" w14:paraId="523AC967" w14:textId="336EB844">
      <w:pPr>
        <w:jc w:val="center"/>
      </w:pPr>
    </w:p>
    <w:p w:rsidR="00AE4050" w:rsidP="009D2FB3" w14:paraId="399FCCF7" w14:textId="77777777">
      <w:pPr>
        <w:jc w:val="center"/>
      </w:pPr>
    </w:p>
    <w:p w:rsidR="00641FD0" w:rsidRPr="008C6E2B" w:rsidP="00641FD0" w14:paraId="725FB28E" w14:textId="77777777">
      <w:pPr>
        <w:pBdr>
          <w:top w:val="thinThickLargeGap" w:sz="24" w:space="1" w:color="auto"/>
          <w:left w:val="thinThickLargeGap" w:sz="24" w:space="4" w:color="auto"/>
          <w:bottom w:val="thickThinLargeGap" w:sz="24" w:space="1" w:color="auto"/>
          <w:right w:val="thickThinLargeGap" w:sz="24" w:space="4" w:color="auto"/>
        </w:pBdr>
        <w:rPr>
          <w:i/>
          <w:color w:val="000000"/>
        </w:rPr>
      </w:pPr>
      <w:r w:rsidRPr="008C6E2B">
        <w:rPr>
          <w:i/>
          <w:color w:val="000000"/>
        </w:rPr>
        <w:t>This guidance</w:t>
      </w:r>
      <w:r>
        <w:rPr>
          <w:i/>
          <w:color w:val="000000"/>
        </w:rPr>
        <w:t xml:space="preserve"> </w:t>
      </w:r>
      <w:r w:rsidRPr="008C6E2B">
        <w:rPr>
          <w:i/>
          <w:color w:val="000000"/>
        </w:rPr>
        <w:t>represent</w:t>
      </w:r>
      <w:r>
        <w:rPr>
          <w:i/>
          <w:color w:val="000000"/>
        </w:rPr>
        <w:t>s</w:t>
      </w:r>
      <w:r w:rsidRPr="008C6E2B">
        <w:rPr>
          <w:i/>
          <w:color w:val="000000"/>
        </w:rPr>
        <w:t xml:space="preserve"> the current thinking of the Food and Drug Administration (FDA or Agency) on this topic.  </w:t>
      </w:r>
      <w:r w:rsidRPr="008C6E2B">
        <w:rPr>
          <w:rFonts w:eastAsia="Calibri"/>
          <w:i/>
        </w:rPr>
        <w:t xml:space="preserve">It does not establish any rights for any person and is not binding on FDA or the public.  </w:t>
      </w:r>
      <w:r w:rsidRPr="008C6E2B">
        <w:rPr>
          <w:i/>
          <w:color w:val="000000"/>
        </w:rPr>
        <w:t xml:space="preserve">You can use an alternative approach if it satisfies the requirements of the applicable statutes and regulations.  To discuss an alternative approach, contact the FDA staff responsible for this guidance as listed on the title page. </w:t>
      </w:r>
    </w:p>
    <w:p w:rsidR="00641FD0" w:rsidP="00641FD0" w14:paraId="5C51F7DB" w14:textId="77777777"/>
    <w:p w:rsidR="008119AF" w14:paraId="4B8871A8" w14:textId="77777777"/>
    <w:p w:rsidR="008119AF" w:rsidP="006669E0" w14:paraId="4C7D1153" w14:textId="34A67610">
      <w:pPr>
        <w:pStyle w:val="Heading1"/>
      </w:pPr>
      <w:bookmarkStart w:id="1" w:name="_Toc136850423"/>
      <w:bookmarkStart w:id="2" w:name="_Toc132520480"/>
      <w:bookmarkStart w:id="3" w:name="_Toc132521889"/>
      <w:bookmarkStart w:id="4" w:name="_Toc132521951"/>
      <w:bookmarkStart w:id="5" w:name="_Toc132521964"/>
      <w:bookmarkStart w:id="6" w:name="_Toc132522000"/>
      <w:r w:rsidRPr="00633B9F">
        <w:t>INTRODUCTION</w:t>
      </w:r>
      <w:bookmarkEnd w:id="1"/>
      <w:r w:rsidRPr="00633B9F">
        <w:t xml:space="preserve"> </w:t>
      </w:r>
      <w:bookmarkEnd w:id="2"/>
      <w:bookmarkEnd w:id="3"/>
      <w:bookmarkEnd w:id="4"/>
      <w:bookmarkEnd w:id="5"/>
      <w:bookmarkEnd w:id="6"/>
    </w:p>
    <w:p w:rsidR="008119AF" w14:paraId="750E6814" w14:textId="77777777"/>
    <w:p w:rsidR="00E85831" w:rsidP="00844380" w14:paraId="16621021" w14:textId="763FC541">
      <w:pPr>
        <w:pStyle w:val="NoSpacing"/>
        <w:rPr>
          <w:rFonts w:cs="Times New Roman"/>
          <w:szCs w:val="24"/>
        </w:rPr>
      </w:pPr>
      <w:bookmarkStart w:id="7" w:name="_Hlk43981397"/>
      <w:r w:rsidRPr="00D45B5A">
        <w:rPr>
          <w:rFonts w:cs="Times New Roman"/>
          <w:szCs w:val="24"/>
        </w:rPr>
        <w:t xml:space="preserve">This guidance describes a standards recognition program </w:t>
      </w:r>
      <w:r w:rsidR="00524F64">
        <w:rPr>
          <w:rFonts w:cs="Times New Roman"/>
          <w:szCs w:val="24"/>
        </w:rPr>
        <w:t xml:space="preserve">for regenerative medicine therapies </w:t>
      </w:r>
      <w:r w:rsidR="00890B88">
        <w:rPr>
          <w:rFonts w:cs="Times New Roman"/>
          <w:szCs w:val="24"/>
        </w:rPr>
        <w:t>(SRP</w:t>
      </w:r>
      <w:r w:rsidR="00524F64">
        <w:rPr>
          <w:rFonts w:cs="Times New Roman"/>
          <w:szCs w:val="24"/>
        </w:rPr>
        <w:t>-RMT</w:t>
      </w:r>
      <w:r w:rsidR="00890B88">
        <w:rPr>
          <w:rFonts w:cs="Times New Roman"/>
          <w:szCs w:val="24"/>
        </w:rPr>
        <w:t xml:space="preserve">) </w:t>
      </w:r>
      <w:r w:rsidRPr="00D45B5A">
        <w:rPr>
          <w:rFonts w:cs="Times New Roman"/>
          <w:szCs w:val="24"/>
        </w:rPr>
        <w:t xml:space="preserve">at FDA’s Center for Biologics Evaluation and Research (CBER) designed to identify </w:t>
      </w:r>
      <w:r w:rsidR="00B15686">
        <w:rPr>
          <w:rFonts w:cs="Times New Roman"/>
          <w:szCs w:val="24"/>
        </w:rPr>
        <w:t xml:space="preserve">and recognize </w:t>
      </w:r>
      <w:r w:rsidRPr="00D45B5A">
        <w:rPr>
          <w:rFonts w:cs="Times New Roman"/>
          <w:szCs w:val="24"/>
        </w:rPr>
        <w:t>Voluntary Consensus Standards</w:t>
      </w:r>
      <w:r>
        <w:rPr>
          <w:rStyle w:val="FootnoteReference"/>
          <w:rFonts w:cs="Times New Roman"/>
          <w:szCs w:val="24"/>
        </w:rPr>
        <w:footnoteReference w:id="3"/>
      </w:r>
      <w:r w:rsidRPr="00D45B5A">
        <w:rPr>
          <w:rFonts w:cs="Times New Roman"/>
          <w:szCs w:val="24"/>
        </w:rPr>
        <w:t xml:space="preserve"> (VCS) </w:t>
      </w:r>
      <w:r w:rsidR="006574F3">
        <w:rPr>
          <w:rFonts w:cs="Times New Roman"/>
          <w:szCs w:val="24"/>
        </w:rPr>
        <w:t xml:space="preserve">to facilitate the development and assessment of </w:t>
      </w:r>
      <w:r w:rsidR="00B650D0">
        <w:rPr>
          <w:rFonts w:cs="Times New Roman"/>
          <w:szCs w:val="24"/>
        </w:rPr>
        <w:t>regenerative medicine therapy (</w:t>
      </w:r>
      <w:r w:rsidR="006574F3">
        <w:rPr>
          <w:rFonts w:cs="Times New Roman"/>
          <w:szCs w:val="24"/>
        </w:rPr>
        <w:t>RMT</w:t>
      </w:r>
      <w:r w:rsidR="00B650D0">
        <w:rPr>
          <w:rFonts w:cs="Times New Roman"/>
          <w:szCs w:val="24"/>
        </w:rPr>
        <w:t>)</w:t>
      </w:r>
      <w:r w:rsidR="006574F3">
        <w:rPr>
          <w:rFonts w:cs="Times New Roman"/>
          <w:szCs w:val="24"/>
        </w:rPr>
        <w:t xml:space="preserve"> products regulated by CBER</w:t>
      </w:r>
      <w:r w:rsidR="008850BB">
        <w:rPr>
          <w:rFonts w:cs="Times New Roman"/>
          <w:szCs w:val="24"/>
        </w:rPr>
        <w:t xml:space="preserve"> when such standards are appropriate</w:t>
      </w:r>
      <w:r w:rsidR="006574F3">
        <w:rPr>
          <w:rFonts w:cs="Times New Roman"/>
          <w:szCs w:val="24"/>
        </w:rPr>
        <w:t xml:space="preserve">. </w:t>
      </w:r>
      <w:r w:rsidR="00C33B09">
        <w:rPr>
          <w:rFonts w:cs="Times New Roman"/>
          <w:szCs w:val="24"/>
        </w:rPr>
        <w:t xml:space="preserve"> </w:t>
      </w:r>
      <w:r w:rsidRPr="00243C3A" w:rsidR="00243C3A">
        <w:rPr>
          <w:rFonts w:cs="Times New Roman"/>
          <w:szCs w:val="24"/>
        </w:rPr>
        <w:t>CBER encourages the use of appropriate standards in the development of CBER-regulated products.</w:t>
      </w:r>
      <w:r w:rsidR="00243C3A">
        <w:rPr>
          <w:rFonts w:cs="Times New Roman"/>
          <w:szCs w:val="24"/>
        </w:rPr>
        <w:t xml:space="preserve"> </w:t>
      </w:r>
      <w:r w:rsidR="00C33B09">
        <w:rPr>
          <w:rFonts w:cs="Times New Roman"/>
          <w:szCs w:val="24"/>
        </w:rPr>
        <w:t xml:space="preserve"> </w:t>
      </w:r>
      <w:r w:rsidRPr="00900DAA" w:rsidR="006109A3">
        <w:rPr>
          <w:rFonts w:cs="Times New Roman"/>
          <w:szCs w:val="24"/>
        </w:rPr>
        <w:t>Th</w:t>
      </w:r>
      <w:r w:rsidR="006109A3">
        <w:rPr>
          <w:rFonts w:cs="Times New Roman"/>
          <w:szCs w:val="24"/>
        </w:rPr>
        <w:t xml:space="preserve">e </w:t>
      </w:r>
      <w:r w:rsidRPr="00900DAA" w:rsidR="006109A3">
        <w:rPr>
          <w:rFonts w:cs="Times New Roman"/>
          <w:szCs w:val="24"/>
        </w:rPr>
        <w:t xml:space="preserve">use of recognized VCS </w:t>
      </w:r>
      <w:r w:rsidR="006574F3">
        <w:rPr>
          <w:rFonts w:cs="Times New Roman"/>
          <w:szCs w:val="24"/>
        </w:rPr>
        <w:t xml:space="preserve">can assist </w:t>
      </w:r>
      <w:r w:rsidR="006109A3">
        <w:rPr>
          <w:rFonts w:cs="Times New Roman"/>
          <w:szCs w:val="24"/>
        </w:rPr>
        <w:t xml:space="preserve">stakeholders </w:t>
      </w:r>
      <w:r w:rsidR="006574F3">
        <w:rPr>
          <w:rFonts w:cs="Times New Roman"/>
          <w:szCs w:val="24"/>
        </w:rPr>
        <w:t xml:space="preserve">in more efficiently </w:t>
      </w:r>
      <w:r w:rsidR="006109A3">
        <w:rPr>
          <w:rFonts w:cs="Times New Roman"/>
          <w:szCs w:val="24"/>
        </w:rPr>
        <w:t>meeting regulatory requirements and increasing regulatory predictability for RMT products.</w:t>
      </w:r>
      <w:r w:rsidR="003072D3">
        <w:rPr>
          <w:rFonts w:cs="Times New Roman"/>
          <w:szCs w:val="24"/>
        </w:rPr>
        <w:t xml:space="preserve"> </w:t>
      </w:r>
      <w:r w:rsidR="006109A3">
        <w:rPr>
          <w:rFonts w:cs="Times New Roman"/>
          <w:szCs w:val="24"/>
        </w:rPr>
        <w:t xml:space="preserve"> </w:t>
      </w:r>
      <w:r w:rsidRPr="00D45B5A" w:rsidR="00086643">
        <w:rPr>
          <w:rFonts w:cs="Times New Roman"/>
          <w:szCs w:val="24"/>
        </w:rPr>
        <w:t xml:space="preserve">This </w:t>
      </w:r>
      <w:r w:rsidRPr="00D57AC9" w:rsidR="00086643">
        <w:rPr>
          <w:rFonts w:cs="Times New Roman"/>
          <w:szCs w:val="24"/>
        </w:rPr>
        <w:t xml:space="preserve">program </w:t>
      </w:r>
      <w:r w:rsidR="00FF6416">
        <w:rPr>
          <w:rFonts w:cs="Times New Roman"/>
          <w:szCs w:val="24"/>
        </w:rPr>
        <w:t>is modeled after</w:t>
      </w:r>
      <w:r w:rsidR="006574F3">
        <w:rPr>
          <w:rFonts w:cs="Times New Roman"/>
          <w:szCs w:val="24"/>
        </w:rPr>
        <w:t xml:space="preserve"> </w:t>
      </w:r>
      <w:r w:rsidRPr="00D57AC9" w:rsidR="00086643">
        <w:rPr>
          <w:rFonts w:cs="Times New Roman"/>
          <w:szCs w:val="24"/>
        </w:rPr>
        <w:t>the</w:t>
      </w:r>
      <w:r w:rsidR="00FF6416">
        <w:rPr>
          <w:rFonts w:cs="Times New Roman"/>
          <w:szCs w:val="24"/>
        </w:rPr>
        <w:t xml:space="preserve"> formal</w:t>
      </w:r>
      <w:r w:rsidRPr="00D57AC9" w:rsidR="00086643">
        <w:rPr>
          <w:rFonts w:cs="Times New Roman"/>
          <w:szCs w:val="24"/>
        </w:rPr>
        <w:t xml:space="preserve"> standards</w:t>
      </w:r>
      <w:r w:rsidRPr="00D45B5A" w:rsidR="00086643">
        <w:rPr>
          <w:rFonts w:cs="Times New Roman"/>
          <w:szCs w:val="24"/>
        </w:rPr>
        <w:t xml:space="preserve"> </w:t>
      </w:r>
      <w:r w:rsidR="001E311A">
        <w:rPr>
          <w:rFonts w:cs="Times New Roman"/>
          <w:szCs w:val="24"/>
        </w:rPr>
        <w:t>and conformity assessment</w:t>
      </w:r>
      <w:r w:rsidRPr="00D45B5A" w:rsidR="001E311A">
        <w:rPr>
          <w:rFonts w:cs="Times New Roman"/>
          <w:szCs w:val="24"/>
        </w:rPr>
        <w:t xml:space="preserve"> </w:t>
      </w:r>
      <w:r w:rsidRPr="00D45B5A" w:rsidR="00086643">
        <w:rPr>
          <w:rFonts w:cs="Times New Roman"/>
          <w:szCs w:val="24"/>
        </w:rPr>
        <w:t xml:space="preserve">program </w:t>
      </w:r>
      <w:r w:rsidR="00AD1705">
        <w:rPr>
          <w:rFonts w:cs="Times New Roman"/>
          <w:szCs w:val="24"/>
        </w:rPr>
        <w:t xml:space="preserve">or S-CAP </w:t>
      </w:r>
      <w:r w:rsidRPr="00D45B5A" w:rsidR="00086643">
        <w:rPr>
          <w:rFonts w:cs="Times New Roman"/>
          <w:szCs w:val="24"/>
        </w:rPr>
        <w:t>for medical device</w:t>
      </w:r>
      <w:r w:rsidR="00D45B5A">
        <w:rPr>
          <w:rFonts w:cs="Times New Roman"/>
          <w:szCs w:val="24"/>
        </w:rPr>
        <w:t>s</w:t>
      </w:r>
      <w:r w:rsidR="00282A0A">
        <w:rPr>
          <w:rFonts w:cs="Times New Roman"/>
          <w:szCs w:val="24"/>
        </w:rPr>
        <w:t xml:space="preserve"> (Ref. 1)</w:t>
      </w:r>
      <w:r w:rsidR="00C879AB">
        <w:rPr>
          <w:rFonts w:cs="Times New Roman"/>
          <w:szCs w:val="24"/>
        </w:rPr>
        <w:t>.</w:t>
      </w:r>
      <w:r>
        <w:rPr>
          <w:rStyle w:val="FootnoteReference"/>
          <w:rFonts w:cs="Times New Roman"/>
          <w:szCs w:val="24"/>
        </w:rPr>
        <w:footnoteReference w:id="4"/>
      </w:r>
      <w:r w:rsidR="00907E08">
        <w:rPr>
          <w:rFonts w:cs="Times New Roman"/>
          <w:szCs w:val="24"/>
        </w:rPr>
        <w:t xml:space="preserve"> </w:t>
      </w:r>
    </w:p>
    <w:bookmarkEnd w:id="7"/>
    <w:p w:rsidR="00E85831" w:rsidP="00844380" w14:paraId="784722BA" w14:textId="77777777">
      <w:pPr>
        <w:pStyle w:val="NoSpacing"/>
        <w:rPr>
          <w:rFonts w:cs="Times New Roman"/>
          <w:szCs w:val="24"/>
        </w:rPr>
      </w:pPr>
    </w:p>
    <w:p w:rsidR="00B13F51" w:rsidP="00B13F51" w14:paraId="74B128EC" w14:textId="77777777">
      <w:r w:rsidRPr="00444DFA">
        <w:t xml:space="preserve">In general, FDA’s guidance documents do not establish legally enforceable responsibilities. Instead, guidances describe the Agency’s current thinking on a topic and should be </w:t>
      </w:r>
      <w:r w:rsidRPr="00300C6A">
        <w:t xml:space="preserve">viewed only as recommendations, unless specific regulatory or statutory requirements are cited.  </w:t>
      </w:r>
      <w:r w:rsidRPr="00AE14C5">
        <w:t>The use of the word should in Agency guidances means that something is suggested or recommended, but not required</w:t>
      </w:r>
      <w:r w:rsidRPr="00300C6A">
        <w:t>.</w:t>
      </w:r>
    </w:p>
    <w:p w:rsidR="008119AF" w14:paraId="471E8920" w14:textId="175D23EF">
      <w:bookmarkStart w:id="8" w:name="_Toc132520481"/>
      <w:bookmarkStart w:id="9" w:name="_Toc132521890"/>
      <w:bookmarkStart w:id="10" w:name="_Toc132521952"/>
      <w:bookmarkStart w:id="11" w:name="_Toc132521965"/>
      <w:bookmarkStart w:id="12" w:name="_Toc132522001"/>
    </w:p>
    <w:p w:rsidR="00C33B09" w14:paraId="6B383740" w14:textId="66AC91A0"/>
    <w:p w:rsidR="008119AF" w:rsidP="006669E0" w14:paraId="797F67D7" w14:textId="2BA03907">
      <w:pPr>
        <w:pStyle w:val="Heading1"/>
      </w:pPr>
      <w:bookmarkStart w:id="13" w:name="_Toc136850424"/>
      <w:bookmarkEnd w:id="8"/>
      <w:bookmarkEnd w:id="9"/>
      <w:bookmarkEnd w:id="10"/>
      <w:bookmarkEnd w:id="11"/>
      <w:bookmarkEnd w:id="12"/>
      <w:r w:rsidRPr="00633B9F">
        <w:t>BACKGROUND</w:t>
      </w:r>
      <w:bookmarkEnd w:id="13"/>
      <w:r w:rsidR="00C20EF8">
        <w:t xml:space="preserve"> </w:t>
      </w:r>
    </w:p>
    <w:p w:rsidR="008119AF" w14:paraId="27BF8D6E" w14:textId="0D4EC15F"/>
    <w:p w:rsidR="001E5BB1" w:rsidP="001E5BB1" w14:paraId="4D7C9D43" w14:textId="1C714CCF">
      <w:r w:rsidRPr="009226E3">
        <w:t xml:space="preserve">The Federal </w:t>
      </w:r>
      <w:r w:rsidR="00762EC1">
        <w:t>g</w:t>
      </w:r>
      <w:r w:rsidRPr="009226E3">
        <w:t xml:space="preserve">overnment’s policies on the use of </w:t>
      </w:r>
      <w:r w:rsidR="00E80713">
        <w:t>VC</w:t>
      </w:r>
      <w:r w:rsidR="007309E0">
        <w:t>S</w:t>
      </w:r>
      <w:r w:rsidRPr="009226E3">
        <w:t xml:space="preserve"> are described in the</w:t>
      </w:r>
      <w:r w:rsidRPr="007D5E7F" w:rsidR="007D5E7F">
        <w:t xml:space="preserve"> </w:t>
      </w:r>
      <w:r w:rsidR="007D5E7F">
        <w:t>Office of Management and Budget (OMB)</w:t>
      </w:r>
      <w:r w:rsidRPr="009226E3">
        <w:t xml:space="preserve"> Circular A-119, “Federal Participation in the </w:t>
      </w:r>
      <w:r w:rsidRPr="00B37EF9">
        <w:t>Development and Use of Voluntary Consensus Standards and in Conformity Assessment Activities”</w:t>
      </w:r>
      <w:r w:rsidR="00E7709C">
        <w:t xml:space="preserve"> (Ref. 2).</w:t>
      </w:r>
      <w:r w:rsidRPr="00231B33" w:rsidR="003072D3">
        <w:t xml:space="preserve"> </w:t>
      </w:r>
      <w:r w:rsidRPr="00E7709C">
        <w:t xml:space="preserve"> </w:t>
      </w:r>
      <w:r w:rsidRPr="00B37EF9">
        <w:t>The policies outlined in Circular A-119 were codified in the National Technology Transfer and Advancement Act of 1995 (NTTAA)</w:t>
      </w:r>
      <w:r w:rsidR="00E7709C">
        <w:t xml:space="preserve"> (Ref. 3).</w:t>
      </w:r>
      <w:r w:rsidRPr="00B37EF9" w:rsidR="007C6ECE">
        <w:t xml:space="preserve"> </w:t>
      </w:r>
      <w:r w:rsidR="003072D3">
        <w:t xml:space="preserve"> </w:t>
      </w:r>
      <w:r w:rsidRPr="00B37EF9" w:rsidR="007C6ECE">
        <w:t xml:space="preserve">CBER’s </w:t>
      </w:r>
      <w:r w:rsidR="00DB77B1">
        <w:t>recommendations</w:t>
      </w:r>
      <w:r w:rsidRPr="00B37EF9" w:rsidR="00DB77B1">
        <w:t xml:space="preserve"> </w:t>
      </w:r>
      <w:r w:rsidRPr="00B37EF9" w:rsidR="008866EA">
        <w:t xml:space="preserve">on the use of </w:t>
      </w:r>
      <w:r w:rsidRPr="00B37EF9" w:rsidR="007920AE">
        <w:t xml:space="preserve">standards </w:t>
      </w:r>
      <w:r w:rsidR="00BF35F6">
        <w:t>in product development and control</w:t>
      </w:r>
      <w:r w:rsidR="00D603EE">
        <w:t>,</w:t>
      </w:r>
      <w:r w:rsidR="00BF35F6">
        <w:t xml:space="preserve"> as well as the use of such standards in CBER’s managed review process</w:t>
      </w:r>
      <w:r w:rsidR="00D603EE">
        <w:t>,</w:t>
      </w:r>
      <w:r w:rsidR="00BF35F6">
        <w:t xml:space="preserve"> </w:t>
      </w:r>
      <w:r w:rsidR="006771B8">
        <w:t>are</w:t>
      </w:r>
      <w:r w:rsidRPr="00B37EF9" w:rsidR="007920AE">
        <w:t xml:space="preserve"> described in </w:t>
      </w:r>
      <w:r w:rsidR="00715E9E">
        <w:t xml:space="preserve">a guidance document entitled </w:t>
      </w:r>
      <w:r w:rsidRPr="00B37EF9" w:rsidR="008866EA">
        <w:t>“</w:t>
      </w:r>
      <w:r w:rsidRPr="00B37EF9" w:rsidR="007920AE">
        <w:t>Standards Development and Use of Standards in Regulatory Submissions Reviewed in the Center for Biologics Evaluation and Research</w:t>
      </w:r>
      <w:r w:rsidR="00715E9E">
        <w:t xml:space="preserve">; </w:t>
      </w:r>
      <w:r w:rsidRPr="00B37EF9" w:rsidR="00715E9E">
        <w:t>Guidance for Industry</w:t>
      </w:r>
      <w:r w:rsidRPr="00B37EF9" w:rsidR="008866EA">
        <w:t>”</w:t>
      </w:r>
      <w:r w:rsidRPr="00B37EF9" w:rsidR="007920AE">
        <w:t xml:space="preserve"> March 2019</w:t>
      </w:r>
      <w:r w:rsidR="00E9355B">
        <w:t xml:space="preserve"> (</w:t>
      </w:r>
      <w:r w:rsidRPr="006910F0" w:rsidR="00E9355B">
        <w:t>CBER Standards guidance</w:t>
      </w:r>
      <w:r w:rsidR="00E9355B">
        <w:t>)</w:t>
      </w:r>
      <w:r w:rsidR="00E7709C">
        <w:t xml:space="preserve"> (Ref. 4).</w:t>
      </w:r>
    </w:p>
    <w:p w:rsidR="001E5BB1" w14:paraId="61802D17" w14:textId="77777777"/>
    <w:p w:rsidR="00D87EAD" w:rsidP="00C11246" w14:paraId="41E545FF" w14:textId="2AD62FC2">
      <w:pPr>
        <w:autoSpaceDE w:val="0"/>
        <w:autoSpaceDN w:val="0"/>
        <w:adjustRightInd w:val="0"/>
      </w:pPr>
      <w:r w:rsidRPr="00B37EF9">
        <w:t>Title 3</w:t>
      </w:r>
      <w:r w:rsidR="00212610">
        <w:t>,</w:t>
      </w:r>
      <w:r w:rsidRPr="00B37EF9">
        <w:t xml:space="preserve"> </w:t>
      </w:r>
      <w:r w:rsidR="0072236A">
        <w:t>s</w:t>
      </w:r>
      <w:r w:rsidRPr="00B37EF9">
        <w:t xml:space="preserve">ection 3036 of the </w:t>
      </w:r>
      <w:r w:rsidRPr="00B37EF9" w:rsidR="005E3AA9">
        <w:t>21</w:t>
      </w:r>
      <w:r w:rsidRPr="00B37EF9" w:rsidR="005E3AA9">
        <w:rPr>
          <w:vertAlign w:val="superscript"/>
        </w:rPr>
        <w:t>st</w:t>
      </w:r>
      <w:r w:rsidRPr="00B37EF9" w:rsidR="005E3AA9">
        <w:t xml:space="preserve"> Century </w:t>
      </w:r>
      <w:r w:rsidRPr="00B37EF9">
        <w:t>Cures Act</w:t>
      </w:r>
      <w:r>
        <w:rPr>
          <w:rStyle w:val="FootnoteReference"/>
        </w:rPr>
        <w:footnoteReference w:id="5"/>
      </w:r>
      <w:r w:rsidRPr="00B37EF9">
        <w:t xml:space="preserve"> adds </w:t>
      </w:r>
      <w:r w:rsidR="0072236A">
        <w:t>s</w:t>
      </w:r>
      <w:r w:rsidR="00F7070A">
        <w:t>ection</w:t>
      </w:r>
      <w:r w:rsidRPr="00B37EF9">
        <w:t xml:space="preserve"> 506</w:t>
      </w:r>
      <w:r w:rsidRPr="00B37EF9" w:rsidR="00237D52">
        <w:t>(g)</w:t>
      </w:r>
      <w:r w:rsidRPr="00B37EF9">
        <w:t xml:space="preserve"> to </w:t>
      </w:r>
      <w:bookmarkStart w:id="14" w:name="_Hlk136849852"/>
      <w:r w:rsidRPr="00B37EF9">
        <w:t>the</w:t>
      </w:r>
      <w:r w:rsidRPr="00B37EF9" w:rsidR="00237D52">
        <w:t xml:space="preserve"> </w:t>
      </w:r>
      <w:r w:rsidRPr="00B37EF9">
        <w:t>FD&amp;C Act</w:t>
      </w:r>
      <w:bookmarkEnd w:id="14"/>
      <w:r w:rsidR="00C42950">
        <w:t xml:space="preserve">. </w:t>
      </w:r>
      <w:r w:rsidR="003072D3">
        <w:t xml:space="preserve"> </w:t>
      </w:r>
      <w:r w:rsidR="00C42950">
        <w:t>T</w:t>
      </w:r>
      <w:r w:rsidR="00FF4D00">
        <w:t xml:space="preserve">his </w:t>
      </w:r>
      <w:r w:rsidR="006633E4">
        <w:t>s</w:t>
      </w:r>
      <w:r w:rsidR="00F7070A">
        <w:t>ection</w:t>
      </w:r>
      <w:r w:rsidRPr="000E7FD4" w:rsidR="00FF4D00">
        <w:t xml:space="preserve"> </w:t>
      </w:r>
      <w:r w:rsidRPr="000E7FD4">
        <w:t xml:space="preserve">directs </w:t>
      </w:r>
      <w:r w:rsidR="00D36B00">
        <w:t>FDA</w:t>
      </w:r>
      <w:r w:rsidR="00917E0C">
        <w:t xml:space="preserve">, </w:t>
      </w:r>
      <w:r w:rsidR="00F45898">
        <w:t xml:space="preserve">in consultation with </w:t>
      </w:r>
      <w:r w:rsidR="003A3E29">
        <w:t>the National Institute of Standards and Technology (</w:t>
      </w:r>
      <w:r w:rsidRPr="000E7FD4">
        <w:t>NIST</w:t>
      </w:r>
      <w:r w:rsidR="003A3E29">
        <w:t>)</w:t>
      </w:r>
      <w:r w:rsidRPr="000E7FD4">
        <w:t xml:space="preserve"> and stakeholders</w:t>
      </w:r>
      <w:r w:rsidR="001752D4">
        <w:t>,</w:t>
      </w:r>
      <w:r w:rsidRPr="000E7FD4">
        <w:t xml:space="preserve"> to “facilitate an</w:t>
      </w:r>
      <w:r w:rsidR="00E6799B">
        <w:t xml:space="preserve"> </w:t>
      </w:r>
      <w:r w:rsidRPr="000E7FD4">
        <w:t>effort to coordinate and prioritize the development of standards and consensus definition</w:t>
      </w:r>
      <w:r w:rsidR="00FF4D00">
        <w:t>s</w:t>
      </w:r>
      <w:r w:rsidRPr="000E7FD4">
        <w:t xml:space="preserve"> of</w:t>
      </w:r>
      <w:r w:rsidR="00E6799B">
        <w:t xml:space="preserve"> </w:t>
      </w:r>
      <w:r w:rsidRPr="000E7FD4">
        <w:t>terms, through a public process, to support, through regulatory predictability, the</w:t>
      </w:r>
      <w:r w:rsidR="00E6799B">
        <w:t xml:space="preserve"> </w:t>
      </w:r>
      <w:r w:rsidRPr="000E7FD4">
        <w:t>development, evaluation, and review of regenerative medicine therapies and regenerative</w:t>
      </w:r>
      <w:r w:rsidR="00E6799B">
        <w:t xml:space="preserve"> </w:t>
      </w:r>
      <w:r w:rsidRPr="000E7FD4">
        <w:t>advanced therapies, including with respect to the manufacturing processes and controls of</w:t>
      </w:r>
      <w:r w:rsidR="00E6799B">
        <w:t xml:space="preserve"> </w:t>
      </w:r>
      <w:r w:rsidRPr="000E7FD4">
        <w:t>such products</w:t>
      </w:r>
      <w:r w:rsidR="00E7709C">
        <w:t>.</w:t>
      </w:r>
      <w:r w:rsidRPr="000E7FD4">
        <w:t>”</w:t>
      </w:r>
      <w:r w:rsidR="00E7709C">
        <w:t xml:space="preserve"> (Ref. 5).</w:t>
      </w:r>
    </w:p>
    <w:p w:rsidR="00D87EAD" w:rsidP="00C11246" w14:paraId="0DFFEB7C" w14:textId="77777777">
      <w:pPr>
        <w:autoSpaceDE w:val="0"/>
        <w:autoSpaceDN w:val="0"/>
        <w:adjustRightInd w:val="0"/>
      </w:pPr>
    </w:p>
    <w:p w:rsidR="00D87EAD" w:rsidP="00C11246" w14:paraId="60121507" w14:textId="0453CDF5">
      <w:pPr>
        <w:autoSpaceDE w:val="0"/>
        <w:autoSpaceDN w:val="0"/>
        <w:adjustRightInd w:val="0"/>
      </w:pPr>
      <w:r>
        <w:t xml:space="preserve">RMTs </w:t>
      </w:r>
      <w:r w:rsidRPr="004D49F8">
        <w:t xml:space="preserve">are defined in </w:t>
      </w:r>
      <w:r w:rsidR="0072236A">
        <w:t>s</w:t>
      </w:r>
      <w:r w:rsidR="00F7070A">
        <w:t>ection</w:t>
      </w:r>
      <w:r w:rsidRPr="004D49F8">
        <w:t xml:space="preserve"> 506(g)(8) of the FD&amp;C Act</w:t>
      </w:r>
      <w:r w:rsidR="006771B8">
        <w:t xml:space="preserve"> and</w:t>
      </w:r>
      <w:r w:rsidRPr="004D49F8">
        <w:t xml:space="preserve"> include cell therapies</w:t>
      </w:r>
      <w:r w:rsidRPr="004D49F8" w:rsidR="001D603B">
        <w:t xml:space="preserve"> (allogeneic and autologous)</w:t>
      </w:r>
      <w:r w:rsidRPr="004D49F8">
        <w:t xml:space="preserve">, therapeutic tissue engineering products, human cell and tissue products, and combination products using </w:t>
      </w:r>
      <w:r w:rsidRPr="004D49F8" w:rsidR="001D603B">
        <w:t xml:space="preserve">any such therapies </w:t>
      </w:r>
      <w:r w:rsidR="00585262">
        <w:t xml:space="preserve">or products </w:t>
      </w:r>
      <w:r w:rsidRPr="004D49F8" w:rsidR="001D603B">
        <w:t>except th</w:t>
      </w:r>
      <w:r w:rsidR="006771B8">
        <w:t>o</w:t>
      </w:r>
      <w:r w:rsidRPr="004D49F8" w:rsidR="001D603B">
        <w:t xml:space="preserve">se regulated solely under </w:t>
      </w:r>
      <w:r w:rsidR="00585262">
        <w:t>s</w:t>
      </w:r>
      <w:r w:rsidR="00F7070A">
        <w:t>ection</w:t>
      </w:r>
      <w:r w:rsidRPr="004D49F8" w:rsidR="001D603B">
        <w:t xml:space="preserve"> 361 of the PHS Act (42 U.S.C. 264) and 21 CFR </w:t>
      </w:r>
      <w:r w:rsidR="00585262">
        <w:t>p</w:t>
      </w:r>
      <w:r w:rsidR="00212610">
        <w:t xml:space="preserve">art </w:t>
      </w:r>
      <w:r w:rsidRPr="004D49F8" w:rsidR="001D603B">
        <w:t>1271.</w:t>
      </w:r>
      <w:r w:rsidR="003072D3">
        <w:t xml:space="preserve"> </w:t>
      </w:r>
      <w:r w:rsidRPr="004D49F8" w:rsidR="001D603B">
        <w:t xml:space="preserve"> </w:t>
      </w:r>
      <w:r w:rsidR="00742EDB">
        <w:t>Base</w:t>
      </w:r>
      <w:r w:rsidR="00932D0F">
        <w:t xml:space="preserve">d on </w:t>
      </w:r>
      <w:r w:rsidRPr="004D49F8" w:rsidR="001D603B">
        <w:t xml:space="preserve">FDA’s interpretation of </w:t>
      </w:r>
      <w:r w:rsidR="00585262">
        <w:t>s</w:t>
      </w:r>
      <w:r w:rsidR="00F7070A">
        <w:t>ection</w:t>
      </w:r>
      <w:r w:rsidRPr="004D49F8" w:rsidR="001D603B">
        <w:t xml:space="preserve"> 506(g)</w:t>
      </w:r>
      <w:r w:rsidR="00932D0F">
        <w:t xml:space="preserve">, </w:t>
      </w:r>
      <w:r w:rsidRPr="004D49F8" w:rsidR="001D603B">
        <w:t>human gene therapies</w:t>
      </w:r>
      <w:r w:rsidR="00932D0F">
        <w:t>,</w:t>
      </w:r>
      <w:r w:rsidRPr="004D49F8" w:rsidR="001D603B">
        <w:t xml:space="preserve"> such as genetically modified cells that lead to a sustained effect on cells or tissues</w:t>
      </w:r>
      <w:r w:rsidR="006771B8">
        <w:t xml:space="preserve">, and xenogeneic cell products </w:t>
      </w:r>
      <w:r w:rsidR="00841599">
        <w:t xml:space="preserve">may meet the definition of </w:t>
      </w:r>
      <w:r w:rsidR="006771B8">
        <w:t xml:space="preserve"> RMT products</w:t>
      </w:r>
      <w:r w:rsidR="00E7709C">
        <w:t xml:space="preserve"> (Ref. 6).</w:t>
      </w:r>
    </w:p>
    <w:p w:rsidR="002D7197" w:rsidP="00C11246" w14:paraId="35723EC3" w14:textId="7ADE7CA7">
      <w:pPr>
        <w:autoSpaceDE w:val="0"/>
        <w:autoSpaceDN w:val="0"/>
        <w:adjustRightInd w:val="0"/>
      </w:pPr>
    </w:p>
    <w:p w:rsidR="008524EF" w:rsidP="00FE6B72" w14:paraId="26025832" w14:textId="2B07C40F">
      <w:r>
        <w:t>In accordance with</w:t>
      </w:r>
      <w:r w:rsidR="00A65AF3">
        <w:t xml:space="preserve"> </w:t>
      </w:r>
      <w:r w:rsidR="00EF1ECC">
        <w:t>s</w:t>
      </w:r>
      <w:r w:rsidR="00F7070A">
        <w:t>ection</w:t>
      </w:r>
      <w:r w:rsidR="00A65AF3">
        <w:t xml:space="preserve"> 3036 of the 21</w:t>
      </w:r>
      <w:r w:rsidRPr="008F02FE" w:rsidR="00A65AF3">
        <w:rPr>
          <w:vertAlign w:val="superscript"/>
        </w:rPr>
        <w:t>st</w:t>
      </w:r>
      <w:r w:rsidR="00A65AF3">
        <w:t xml:space="preserve"> Century Cures Act of 2016</w:t>
      </w:r>
      <w:r w:rsidR="001E5BB1">
        <w:t>, facilitation of s</w:t>
      </w:r>
      <w:r w:rsidR="000E7FD4">
        <w:t xml:space="preserve">tandards development </w:t>
      </w:r>
      <w:r w:rsidR="00367DE6">
        <w:t xml:space="preserve">and </w:t>
      </w:r>
      <w:r w:rsidR="001A376A">
        <w:t xml:space="preserve">their use in regulatory submissions are </w:t>
      </w:r>
      <w:r w:rsidR="000E7FD4">
        <w:t xml:space="preserve">ongoing </w:t>
      </w:r>
      <w:r w:rsidR="001A376A">
        <w:t xml:space="preserve">priorities </w:t>
      </w:r>
      <w:r w:rsidR="000E7FD4">
        <w:t xml:space="preserve">in CBER’s effort to promote the development </w:t>
      </w:r>
      <w:r w:rsidR="00FF0E86">
        <w:t xml:space="preserve">and streamline the review </w:t>
      </w:r>
      <w:r w:rsidR="000E7FD4">
        <w:t>of RMT</w:t>
      </w:r>
      <w:r w:rsidR="009A443E">
        <w:t xml:space="preserve"> products</w:t>
      </w:r>
      <w:r w:rsidR="00E6799B">
        <w:t>.</w:t>
      </w:r>
      <w:r w:rsidR="004B4039">
        <w:t xml:space="preserve"> </w:t>
      </w:r>
      <w:r w:rsidR="000E7FD4">
        <w:t xml:space="preserve"> The scientific and manufacturing novelty of many </w:t>
      </w:r>
      <w:r w:rsidR="00AF422B">
        <w:t>RMT</w:t>
      </w:r>
      <w:r w:rsidR="009A443E">
        <w:t xml:space="preserve"> products</w:t>
      </w:r>
      <w:r w:rsidR="000E7FD4">
        <w:t xml:space="preserve"> present unique challenges for meeting regulatory requirements with respect to product testing, </w:t>
      </w:r>
      <w:r w:rsidR="003335BE">
        <w:t xml:space="preserve">product </w:t>
      </w:r>
      <w:r w:rsidR="000E7FD4">
        <w:t>characteri</w:t>
      </w:r>
      <w:r w:rsidR="003335BE">
        <w:t>zation</w:t>
      </w:r>
      <w:r w:rsidR="000E7FD4">
        <w:t xml:space="preserve">, testing methodologies, </w:t>
      </w:r>
      <w:r w:rsidR="003A30B7">
        <w:t>manufacturing processes</w:t>
      </w:r>
      <w:r w:rsidR="000E7FD4">
        <w:t>, product quality,</w:t>
      </w:r>
      <w:r w:rsidR="00E80655">
        <w:t xml:space="preserve"> </w:t>
      </w:r>
      <w:r w:rsidR="009E2695">
        <w:t xml:space="preserve">and </w:t>
      </w:r>
      <w:r w:rsidR="000E7FD4">
        <w:t>specifications.</w:t>
      </w:r>
      <w:r w:rsidR="006A0692">
        <w:t xml:space="preserve"> </w:t>
      </w:r>
      <w:r w:rsidR="009226E3">
        <w:t xml:space="preserve"> Increased development and use </w:t>
      </w:r>
      <w:r w:rsidR="00F95769">
        <w:t>o</w:t>
      </w:r>
      <w:r w:rsidR="009226E3">
        <w:t>f standards ha</w:t>
      </w:r>
      <w:r w:rsidR="00AA028E">
        <w:t>s</w:t>
      </w:r>
      <w:r w:rsidR="009226E3">
        <w:t xml:space="preserve"> the potential to contribute to regulatory predictability and facilitate the overall development of </w:t>
      </w:r>
      <w:r w:rsidR="002A04A4">
        <w:t xml:space="preserve">safe and effective </w:t>
      </w:r>
      <w:r w:rsidR="009226E3">
        <w:t>RMT</w:t>
      </w:r>
      <w:r w:rsidR="009A443E">
        <w:t xml:space="preserve"> products</w:t>
      </w:r>
      <w:r w:rsidR="009226E3">
        <w:t>.</w:t>
      </w:r>
      <w:r w:rsidR="00E80655">
        <w:t xml:space="preserve"> </w:t>
      </w:r>
    </w:p>
    <w:p w:rsidR="00B37EF9" w:rsidRPr="00FE6B72" w:rsidP="00FE6B72" w14:paraId="35FA981A" w14:textId="77777777"/>
    <w:p w:rsidR="002723E7" w:rsidP="002723E7" w14:paraId="5D02C4A4" w14:textId="0E7582D0">
      <w:r w:rsidRPr="00A02FBC">
        <w:t xml:space="preserve">For </w:t>
      </w:r>
      <w:r w:rsidR="00BB460E">
        <w:t xml:space="preserve">the </w:t>
      </w:r>
      <w:r w:rsidRPr="00A02FBC">
        <w:t>purpose of this guidance</w:t>
      </w:r>
      <w:r w:rsidRPr="0042763E" w:rsidR="0042763E">
        <w:rPr>
          <w:sz w:val="23"/>
          <w:szCs w:val="23"/>
        </w:rPr>
        <w:t xml:space="preserve"> </w:t>
      </w:r>
      <w:r w:rsidR="0042763E">
        <w:rPr>
          <w:sz w:val="23"/>
          <w:szCs w:val="23"/>
        </w:rPr>
        <w:t>and as set forth in Circular A-119</w:t>
      </w:r>
      <w:r w:rsidRPr="00A02FBC">
        <w:t xml:space="preserve">, the term </w:t>
      </w:r>
      <w:r w:rsidRPr="008509BD">
        <w:t>“standard” (or “technical standard”)</w:t>
      </w:r>
      <w:r w:rsidRPr="00A02FBC">
        <w:t xml:space="preserve"> includes all of the following: </w:t>
      </w:r>
    </w:p>
    <w:p w:rsidR="00E67CB0" w:rsidP="002723E7" w14:paraId="336DF745" w14:textId="77777777"/>
    <w:p w:rsidR="002723E7" w:rsidP="000E4711" w14:paraId="53395DC0" w14:textId="5FADC22E">
      <w:pPr>
        <w:pStyle w:val="ListParagraph"/>
        <w:numPr>
          <w:ilvl w:val="0"/>
          <w:numId w:val="19"/>
        </w:numPr>
        <w:ind w:left="720"/>
      </w:pPr>
      <w:r>
        <w:t>C</w:t>
      </w:r>
      <w:r w:rsidRPr="00A02FBC" w:rsidR="00A02FBC">
        <w:t xml:space="preserve">ommon and repeated use of rules, conditions, guidelines or characteristics for products or related processes and production methods, and related management systems practices; </w:t>
      </w:r>
    </w:p>
    <w:p w:rsidR="002723E7" w:rsidP="000E4711" w14:paraId="3C63F0F5" w14:textId="38829DF8">
      <w:pPr>
        <w:pStyle w:val="ListParagraph"/>
        <w:numPr>
          <w:ilvl w:val="0"/>
          <w:numId w:val="19"/>
        </w:numPr>
        <w:ind w:left="720"/>
      </w:pPr>
      <w:r>
        <w:t>T</w:t>
      </w:r>
      <w:r w:rsidRPr="00A02FBC" w:rsidR="00A02FBC">
        <w:t xml:space="preserve">he definition of terms; classification of components; delineation of procedures; specification of dimensions, materials, performance, designs, or operations; measurement of quality and quantity in describing materials, processes, products, systems, services, or </w:t>
      </w:r>
      <w:r w:rsidRPr="00A02FBC" w:rsidR="00A02FBC">
        <w:t xml:space="preserve">practices; test methods and sampling procedures; formats for information and communication exchange; or descriptions of fit and measurements of size or strength; and </w:t>
      </w:r>
    </w:p>
    <w:p w:rsidR="00C42950" w:rsidP="008F02FE" w14:paraId="5D53C678" w14:textId="4E8A9E57">
      <w:pPr>
        <w:pStyle w:val="ListParagraph"/>
        <w:numPr>
          <w:ilvl w:val="0"/>
          <w:numId w:val="19"/>
        </w:numPr>
        <w:ind w:left="720"/>
      </w:pPr>
      <w:r>
        <w:t>T</w:t>
      </w:r>
      <w:r w:rsidRPr="00A02FBC" w:rsidR="00A02FBC">
        <w:t>erminology, symbols, packaging, marking or labeling requirements as they apply to a product, process, or production method</w:t>
      </w:r>
      <w:r w:rsidR="00E7709C">
        <w:t xml:space="preserve"> (Ref. 2).</w:t>
      </w:r>
      <w:r>
        <w:t xml:space="preserve"> </w:t>
      </w:r>
    </w:p>
    <w:p w:rsidR="00C42950" w:rsidP="008F02FE" w14:paraId="636AE666" w14:textId="77777777">
      <w:pPr>
        <w:ind w:left="720"/>
      </w:pPr>
    </w:p>
    <w:p w:rsidR="00AC3801" w:rsidP="001E6D61" w14:paraId="34808C5C" w14:textId="63F92FEA">
      <w:r>
        <w:t xml:space="preserve">As used in this guidance, </w:t>
      </w:r>
      <w:r w:rsidR="00BC336C">
        <w:t xml:space="preserve">the term </w:t>
      </w:r>
      <w:r w:rsidR="005F2078">
        <w:t>s</w:t>
      </w:r>
      <w:r w:rsidRPr="00FC5DB4" w:rsidR="00A02FBC">
        <w:t>tandards</w:t>
      </w:r>
      <w:r w:rsidR="005F2078">
        <w:t xml:space="preserve"> refer to</w:t>
      </w:r>
      <w:r w:rsidRPr="00FC5DB4" w:rsidR="00A02FBC">
        <w:t xml:space="preserve"> </w:t>
      </w:r>
      <w:r w:rsidRPr="00FC5DB4" w:rsidR="00D73438">
        <w:t xml:space="preserve">standards developed outside of the </w:t>
      </w:r>
      <w:r w:rsidR="004C669D">
        <w:t>F</w:t>
      </w:r>
      <w:r w:rsidRPr="00FC5DB4" w:rsidR="00D73438">
        <w:t xml:space="preserve">ederal </w:t>
      </w:r>
      <w:r w:rsidR="00762EC1">
        <w:t>g</w:t>
      </w:r>
      <w:r w:rsidRPr="00FC5DB4" w:rsidR="00D73438">
        <w:t xml:space="preserve">overnment. </w:t>
      </w:r>
      <w:r w:rsidR="006A0692">
        <w:t xml:space="preserve"> </w:t>
      </w:r>
      <w:r>
        <w:t>CBER intends to consider recognition of standards developed by VCS bodies</w:t>
      </w:r>
      <w:r>
        <w:rPr>
          <w:rStyle w:val="FootnoteReference"/>
        </w:rPr>
        <w:footnoteReference w:id="6"/>
      </w:r>
      <w:r>
        <w:t xml:space="preserve"> that adhere to the following five elements </w:t>
      </w:r>
      <w:r w:rsidR="0065080E">
        <w:t xml:space="preserve">mentioned </w:t>
      </w:r>
      <w:r>
        <w:t xml:space="preserve">in </w:t>
      </w:r>
      <w:r w:rsidR="0065080E">
        <w:t xml:space="preserve">the revised </w:t>
      </w:r>
      <w:r>
        <w:t>OMB Circular A-119</w:t>
      </w:r>
      <w:r>
        <w:rPr>
          <w:rStyle w:val="FootnoteReference"/>
        </w:rPr>
        <w:footnoteReference w:id="7"/>
      </w:r>
      <w:r>
        <w:t>:</w:t>
      </w:r>
    </w:p>
    <w:p w:rsidR="00B650D0" w:rsidP="001E6D61" w14:paraId="2AC36FC6" w14:textId="77777777"/>
    <w:p w:rsidR="00B650D0" w:rsidP="00B650D0" w14:paraId="0F2FDA1E" w14:textId="1E10E907">
      <w:pPr>
        <w:rPr>
          <w:i/>
        </w:rPr>
      </w:pPr>
      <w:r w:rsidRPr="00D345DD">
        <w:rPr>
          <w:i/>
        </w:rPr>
        <w:t>1.</w:t>
      </w:r>
      <w:r>
        <w:rPr>
          <w:i/>
        </w:rPr>
        <w:tab/>
      </w:r>
      <w:r w:rsidRPr="00D345DD">
        <w:rPr>
          <w:i/>
        </w:rPr>
        <w:t>Openness</w:t>
      </w:r>
    </w:p>
    <w:p w:rsidR="00A12F01" w:rsidRPr="00D345DD" w:rsidP="00B650D0" w14:paraId="4BA2C864" w14:textId="77777777">
      <w:pPr>
        <w:rPr>
          <w:i/>
        </w:rPr>
      </w:pPr>
    </w:p>
    <w:p w:rsidR="00B650D0" w:rsidP="00B650D0" w14:paraId="39CF632D" w14:textId="69B01440">
      <w:r>
        <w:t xml:space="preserve">The procedures or processes for participating in standards development are transparent and open to interested parties. </w:t>
      </w:r>
      <w:r w:rsidR="00C33B09">
        <w:t xml:space="preserve"> </w:t>
      </w:r>
      <w:r>
        <w:t>Such parties are provided “meaningful opportunities to participate in standards deve</w:t>
      </w:r>
      <w:r w:rsidR="0010679D">
        <w:t>l</w:t>
      </w:r>
      <w:r>
        <w:t>opment on a non-discriminatory basis.”</w:t>
      </w:r>
      <w:r>
        <w:rPr>
          <w:rStyle w:val="FootnoteReference"/>
        </w:rPr>
        <w:footnoteReference w:id="8"/>
      </w:r>
      <w:r>
        <w:t xml:space="preserve"> </w:t>
      </w:r>
    </w:p>
    <w:p w:rsidR="00B650D0" w:rsidP="00B650D0" w14:paraId="641C8A9D" w14:textId="77777777"/>
    <w:p w:rsidR="00B650D0" w:rsidP="00B650D0" w14:paraId="35FE9E00" w14:textId="6928935B">
      <w:pPr>
        <w:rPr>
          <w:i/>
        </w:rPr>
      </w:pPr>
      <w:r w:rsidRPr="00D345DD">
        <w:rPr>
          <w:i/>
        </w:rPr>
        <w:t>2.</w:t>
      </w:r>
      <w:r w:rsidRPr="00D345DD">
        <w:rPr>
          <w:i/>
        </w:rPr>
        <w:tab/>
        <w:t>Balance</w:t>
      </w:r>
    </w:p>
    <w:p w:rsidR="00AE4050" w:rsidRPr="00D345DD" w:rsidP="00B650D0" w14:paraId="7D496F0D" w14:textId="77777777">
      <w:pPr>
        <w:rPr>
          <w:i/>
        </w:rPr>
      </w:pPr>
    </w:p>
    <w:p w:rsidR="00B650D0" w:rsidP="00B650D0" w14:paraId="04002E3C" w14:textId="77777777">
      <w:r>
        <w:t>A broad range of stakeholders engage in meaningful involvement in the standards development process of the VCS body, with no single interest dominating the decision making.</w:t>
      </w:r>
    </w:p>
    <w:p w:rsidR="00B650D0" w:rsidP="00B650D0" w14:paraId="15FA6B2C" w14:textId="77777777"/>
    <w:p w:rsidR="00B650D0" w:rsidP="00B650D0" w14:paraId="42EE3360" w14:textId="54A9F402">
      <w:pPr>
        <w:rPr>
          <w:i/>
        </w:rPr>
      </w:pPr>
      <w:r w:rsidRPr="00D345DD">
        <w:rPr>
          <w:i/>
        </w:rPr>
        <w:t>3.</w:t>
      </w:r>
      <w:r w:rsidRPr="00D345DD">
        <w:rPr>
          <w:i/>
        </w:rPr>
        <w:tab/>
        <w:t>Due Process</w:t>
      </w:r>
    </w:p>
    <w:p w:rsidR="00AE4050" w:rsidRPr="00912100" w:rsidP="00B650D0" w14:paraId="3F227CDC" w14:textId="77777777">
      <w:pPr>
        <w:rPr>
          <w:i/>
        </w:rPr>
      </w:pPr>
    </w:p>
    <w:p w:rsidR="00B650D0" w:rsidP="00B650D0" w14:paraId="4735D326" w14:textId="2A8DC7CF">
      <w:r>
        <w:t>The standards development process of the VCS body contains a due process provision where (1) that body’s standards development policies and p</w:t>
      </w:r>
      <w:r w:rsidR="000D3802">
        <w:t>r</w:t>
      </w:r>
      <w:r>
        <w:t xml:space="preserve">ocedures </w:t>
      </w:r>
      <w:r w:rsidR="000D3802">
        <w:t xml:space="preserve">are </w:t>
      </w:r>
      <w:r>
        <w:t xml:space="preserve">documented and </w:t>
      </w:r>
      <w:r>
        <w:t>publically</w:t>
      </w:r>
      <w:r>
        <w:t xml:space="preserve"> available</w:t>
      </w:r>
      <w:r w:rsidR="00A20C51">
        <w:t>,</w:t>
      </w:r>
      <w:r>
        <w:t xml:space="preserve"> (2) all stakeholders </w:t>
      </w:r>
      <w:r w:rsidR="000D3802">
        <w:t xml:space="preserve">are </w:t>
      </w:r>
      <w:r>
        <w:t>provide</w:t>
      </w:r>
      <w:r w:rsidR="000D3802">
        <w:t>d</w:t>
      </w:r>
      <w:r>
        <w:t xml:space="preserve"> adequate notice of that body’s meetings and standards development activities, “sufficient time to review drafts and prepare views and objections, access to views and objections of other participa</w:t>
      </w:r>
      <w:r w:rsidR="00A20C51">
        <w:t>n</w:t>
      </w:r>
      <w:r>
        <w:t xml:space="preserve">ts, and </w:t>
      </w:r>
      <w:r w:rsidR="000D3802">
        <w:t xml:space="preserve">(3) </w:t>
      </w:r>
      <w:r>
        <w:t>a fair and impartial process for resolving conflicting views</w:t>
      </w:r>
      <w:r w:rsidR="00C44C9D">
        <w:t>.</w:t>
      </w:r>
      <w:r>
        <w:t>”</w:t>
      </w:r>
      <w:r>
        <w:rPr>
          <w:rStyle w:val="FootnoteReference"/>
        </w:rPr>
        <w:footnoteReference w:id="9"/>
      </w:r>
    </w:p>
    <w:p w:rsidR="00B650D0" w:rsidP="00B650D0" w14:paraId="76F23A82" w14:textId="77777777"/>
    <w:p w:rsidR="00B650D0" w:rsidP="00B650D0" w14:paraId="45BB8809" w14:textId="1C3709D2">
      <w:pPr>
        <w:rPr>
          <w:i/>
        </w:rPr>
      </w:pPr>
      <w:r w:rsidRPr="00D345DD">
        <w:rPr>
          <w:i/>
        </w:rPr>
        <w:t>4.</w:t>
      </w:r>
      <w:r w:rsidRPr="00D345DD">
        <w:rPr>
          <w:i/>
        </w:rPr>
        <w:tab/>
        <w:t>Appeals Process</w:t>
      </w:r>
    </w:p>
    <w:p w:rsidR="00AE4050" w:rsidRPr="00912100" w:rsidP="00B650D0" w14:paraId="2735FCB0" w14:textId="77777777">
      <w:pPr>
        <w:rPr>
          <w:i/>
        </w:rPr>
      </w:pPr>
    </w:p>
    <w:p w:rsidR="00B650D0" w:rsidP="00B650D0" w14:paraId="34C7E5FC" w14:textId="06808AEB">
      <w:r>
        <w:t>The standards development process of the VCS body contains an appeals provision, which allows that body to impartially handle any procedural appeals.</w:t>
      </w:r>
    </w:p>
    <w:p w:rsidR="00803A76" w:rsidP="00B650D0" w14:paraId="79B467FD" w14:textId="77777777"/>
    <w:p w:rsidR="00803A76" w14:paraId="2F7069EB" w14:textId="77777777">
      <w:pPr>
        <w:rPr>
          <w:i/>
        </w:rPr>
      </w:pPr>
      <w:r>
        <w:rPr>
          <w:i/>
        </w:rPr>
        <w:br w:type="page"/>
      </w:r>
    </w:p>
    <w:p w:rsidR="00B650D0" w:rsidP="00B650D0" w14:paraId="73CECA0A" w14:textId="7F5D0AB3">
      <w:pPr>
        <w:rPr>
          <w:i/>
        </w:rPr>
      </w:pPr>
      <w:r w:rsidRPr="00D345DD">
        <w:rPr>
          <w:i/>
        </w:rPr>
        <w:t>5.</w:t>
      </w:r>
      <w:r w:rsidRPr="00D345DD">
        <w:rPr>
          <w:i/>
        </w:rPr>
        <w:tab/>
        <w:t>Consensus</w:t>
      </w:r>
    </w:p>
    <w:p w:rsidR="00AE4050" w:rsidRPr="00912100" w:rsidP="00B650D0" w14:paraId="7BA809FA" w14:textId="77777777">
      <w:pPr>
        <w:rPr>
          <w:i/>
        </w:rPr>
      </w:pPr>
    </w:p>
    <w:p w:rsidR="00B650D0" w:rsidP="00B650D0" w14:paraId="5F29C523" w14:textId="679B443A">
      <w:r>
        <w:t>During the development of consensus</w:t>
      </w:r>
      <w:r>
        <w:rPr>
          <w:rStyle w:val="FootnoteReference"/>
        </w:rPr>
        <w:footnoteReference w:id="10"/>
      </w:r>
      <w:r>
        <w:t xml:space="preserve"> on standards, comments and objections are considered using fair, impartial, open, and transparent processes.</w:t>
      </w:r>
    </w:p>
    <w:p w:rsidR="00F50866" w:rsidP="00B650D0" w14:paraId="0D2F7173" w14:textId="77777777"/>
    <w:p w:rsidR="00B650D0" w:rsidP="00B650D0" w14:paraId="20EE5276" w14:textId="6F5DE631">
      <w:r>
        <w:t>The policies of OMB Circular A-119 are intended to:</w:t>
      </w:r>
      <w:r w:rsidR="0072236A">
        <w:t xml:space="preserve"> </w:t>
      </w:r>
      <w:r>
        <w:t xml:space="preserve"> (1) encourage Federal agencies to benefit from the expertise of the private sector, (2) promote Federal agency participation in voluntary </w:t>
      </w:r>
      <w:r w:rsidRPr="0058438A">
        <w:t>consensus standards bodies to ensure the creation of standards that are usable by Federal</w:t>
      </w:r>
      <w:r>
        <w:t xml:space="preserve"> agencies, and (3) reduce reliance on Government-unique standards when an existing voluntary standard would suffice. CBER’s program for informal recognition of</w:t>
      </w:r>
      <w:r w:rsidR="00C33B09">
        <w:t xml:space="preserve"> </w:t>
      </w:r>
      <w:r w:rsidR="00682637">
        <w:t>VCS</w:t>
      </w:r>
      <w:r>
        <w:t xml:space="preserve"> is consistent with the policies of OMB Circular A-119</w:t>
      </w:r>
      <w:r w:rsidR="00A16C54">
        <w:t xml:space="preserve"> </w:t>
      </w:r>
      <w:r w:rsidR="00AE4050">
        <w:t>(</w:t>
      </w:r>
      <w:r w:rsidR="00A16C54">
        <w:t>Ref. 2</w:t>
      </w:r>
      <w:r w:rsidR="00AE4050">
        <w:t>)</w:t>
      </w:r>
      <w:r>
        <w:t>.</w:t>
      </w:r>
    </w:p>
    <w:p w:rsidR="00B650D0" w:rsidP="00B650D0" w14:paraId="11B007E3" w14:textId="77777777"/>
    <w:p w:rsidR="00FC5DB4" w:rsidRPr="008E5854" w:rsidP="001E6D61" w14:paraId="4C6C681F" w14:textId="02D5549A">
      <w:pPr>
        <w:rPr>
          <w:i/>
        </w:rPr>
      </w:pPr>
      <w:r w:rsidRPr="00FC5DB4">
        <w:t xml:space="preserve">The use of standards is </w:t>
      </w:r>
      <w:r w:rsidR="002056F6">
        <w:t xml:space="preserve">strictly </w:t>
      </w:r>
      <w:r w:rsidRPr="00FC5DB4">
        <w:t>voluntary unless mandated by statute</w:t>
      </w:r>
      <w:r w:rsidR="005F49E6">
        <w:t xml:space="preserve"> </w:t>
      </w:r>
      <w:r w:rsidR="00BD14BD">
        <w:t>or regulation</w:t>
      </w:r>
      <w:r w:rsidRPr="00FC5DB4">
        <w:t>.</w:t>
      </w:r>
      <w:r w:rsidR="006A0692">
        <w:t xml:space="preserve"> </w:t>
      </w:r>
      <w:r w:rsidRPr="00FC5DB4">
        <w:t xml:space="preserve"> Federal regulatory agencies, such as FDA, are authorized by Congress to promulgate regulations to </w:t>
      </w:r>
      <w:r w:rsidR="00FF2885">
        <w:t>implement</w:t>
      </w:r>
      <w:r w:rsidRPr="00FC5DB4">
        <w:t xml:space="preserve"> legislation enacted by Congress.</w:t>
      </w:r>
      <w:r w:rsidR="006A0692">
        <w:t xml:space="preserve"> </w:t>
      </w:r>
      <w:r w:rsidRPr="00FC5DB4">
        <w:t xml:space="preserve"> Regulations have the force and effect of law and are generally mandatory, setting out specific requirements that regulated products and entities must meet</w:t>
      </w:r>
      <w:r w:rsidR="00E7709C">
        <w:t xml:space="preserve"> (Ref. 4).</w:t>
      </w:r>
      <w:r w:rsidR="002056F6">
        <w:t xml:space="preserve">  </w:t>
      </w:r>
    </w:p>
    <w:p w:rsidR="00FC5DB4" w:rsidP="002C514D" w14:paraId="75E35DBA" w14:textId="77777777">
      <w:pPr>
        <w:ind w:left="810" w:hanging="810"/>
      </w:pPr>
    </w:p>
    <w:p w:rsidR="0084080B" w:rsidP="00A65AF3" w14:paraId="141209EB" w14:textId="60EA9DC4">
      <w:pPr>
        <w:rPr>
          <w:b/>
        </w:rPr>
      </w:pPr>
      <w:r w:rsidRPr="00FC5DB4">
        <w:t>For</w:t>
      </w:r>
      <w:r w:rsidR="00BB460E">
        <w:t xml:space="preserve"> the</w:t>
      </w:r>
      <w:r w:rsidRPr="00FC5DB4">
        <w:t xml:space="preserve"> purpose of this guidance, a </w:t>
      </w:r>
      <w:bookmarkStart w:id="15" w:name="_Hlk43987843"/>
      <w:r w:rsidRPr="005C40DB">
        <w:t xml:space="preserve">Standards Development Organization </w:t>
      </w:r>
      <w:bookmarkEnd w:id="15"/>
      <w:r w:rsidRPr="005C40DB">
        <w:t>(SDO)</w:t>
      </w:r>
      <w:r w:rsidRPr="00FC5DB4">
        <w:t xml:space="preserve"> is an entity that develops or sponsors the development of voluntary standards for use or information by any person involved in the manufacture, distribution, sale, or use of products or services or the legal regulation of such products or services.</w:t>
      </w:r>
      <w:r w:rsidR="006A0692">
        <w:t xml:space="preserve"> </w:t>
      </w:r>
      <w:r w:rsidRPr="00FC5DB4">
        <w:t xml:space="preserve"> This definition includes but is not limited to </w:t>
      </w:r>
      <w:r w:rsidR="00524F64">
        <w:t xml:space="preserve">VCS </w:t>
      </w:r>
      <w:r w:rsidRPr="00FC5DB4">
        <w:t>bodies</w:t>
      </w:r>
      <w:r w:rsidR="00B04F39">
        <w:t>.</w:t>
      </w:r>
      <w:r>
        <w:t xml:space="preserve"> </w:t>
      </w:r>
    </w:p>
    <w:p w:rsidR="00FE6B72" w:rsidP="008F02FE" w14:paraId="26788B3D" w14:textId="67A2E3A0">
      <w:pPr>
        <w:pStyle w:val="ListParagraph"/>
        <w:ind w:left="0"/>
      </w:pPr>
    </w:p>
    <w:p w:rsidR="0072236A" w:rsidP="008F02FE" w14:paraId="6F037080" w14:textId="77777777">
      <w:pPr>
        <w:pStyle w:val="ListParagraph"/>
        <w:ind w:left="0"/>
      </w:pPr>
    </w:p>
    <w:p w:rsidR="0084080B" w:rsidP="006669E0" w14:paraId="32A123C9" w14:textId="0054D67F">
      <w:pPr>
        <w:pStyle w:val="Heading1"/>
      </w:pPr>
      <w:bookmarkStart w:id="16" w:name="_Toc136850425"/>
      <w:r>
        <w:t>SCOPE</w:t>
      </w:r>
      <w:bookmarkEnd w:id="16"/>
    </w:p>
    <w:p w:rsidR="006771B8" w:rsidP="0084080B" w14:paraId="599DA6D7" w14:textId="77777777"/>
    <w:p w:rsidR="0084080B" w:rsidP="0084080B" w14:paraId="3FCCCEDB" w14:textId="468E290A">
      <w:r>
        <w:t xml:space="preserve">This guidance describes </w:t>
      </w:r>
      <w:r w:rsidR="00354F71">
        <w:t xml:space="preserve">a program at </w:t>
      </w:r>
      <w:r>
        <w:t xml:space="preserve">CBER </w:t>
      </w:r>
      <w:r w:rsidR="00354F71">
        <w:t>for recognition of VCS</w:t>
      </w:r>
      <w:r w:rsidR="00A16C54">
        <w:t xml:space="preserve"> </w:t>
      </w:r>
      <w:r w:rsidR="00354F71">
        <w:t xml:space="preserve">relevant to </w:t>
      </w:r>
      <w:r>
        <w:t xml:space="preserve">RMT products regulated in CBER. </w:t>
      </w:r>
      <w:r w:rsidR="006A0692">
        <w:t xml:space="preserve"> </w:t>
      </w:r>
      <w:r>
        <w:t xml:space="preserve">This guidance </w:t>
      </w:r>
      <w:r w:rsidR="007055A7">
        <w:t xml:space="preserve">also </w:t>
      </w:r>
      <w:r>
        <w:t xml:space="preserve">describes how CBER </w:t>
      </w:r>
      <w:r w:rsidR="00F30760">
        <w:t xml:space="preserve">intends to review </w:t>
      </w:r>
      <w:r>
        <w:t>for recognition in the SRP-RMT.</w:t>
      </w:r>
      <w:r w:rsidR="00C33B09">
        <w:t xml:space="preserve">  </w:t>
      </w:r>
      <w:r w:rsidR="008D6AB5">
        <w:t xml:space="preserve">This program will not apply </w:t>
      </w:r>
      <w:r w:rsidR="008D6AB5">
        <w:t>to</w:t>
      </w:r>
      <w:r w:rsidR="00200986">
        <w:t>:</w:t>
      </w:r>
      <w:r w:rsidR="008D6AB5">
        <w:t xml:space="preserve"> statutory and regulatory standards that are legally binding, such as certain provisions of the</w:t>
      </w:r>
      <w:r w:rsidR="006669E0">
        <w:t xml:space="preserve"> </w:t>
      </w:r>
      <w:r w:rsidRPr="006669E0" w:rsidR="006669E0">
        <w:t>FD&amp;C</w:t>
      </w:r>
      <w:r w:rsidR="008D6AB5">
        <w:t xml:space="preserve"> Act (21 U.S.C. 301-</w:t>
      </w:r>
      <w:r w:rsidR="00DB1436">
        <w:t>et seq.</w:t>
      </w:r>
      <w:r w:rsidR="008D6AB5">
        <w:t>)</w:t>
      </w:r>
      <w:r w:rsidR="0042763E">
        <w:t xml:space="preserve"> and </w:t>
      </w:r>
      <w:bookmarkStart w:id="17" w:name="_Hlk136849900"/>
      <w:r w:rsidR="00C43AB9">
        <w:t xml:space="preserve">PHS </w:t>
      </w:r>
      <w:r w:rsidR="0042763E">
        <w:t>Act (42 U.S.C.</w:t>
      </w:r>
      <w:r w:rsidR="0071045E">
        <w:t xml:space="preserve"> </w:t>
      </w:r>
      <w:r w:rsidR="0071045E">
        <w:t>ch.</w:t>
      </w:r>
      <w:r w:rsidR="0071045E">
        <w:t xml:space="preserve"> 6A</w:t>
      </w:r>
      <w:r w:rsidR="00B15686">
        <w:t>)</w:t>
      </w:r>
      <w:bookmarkEnd w:id="17"/>
      <w:r w:rsidR="00200986">
        <w:t xml:space="preserve">; </w:t>
      </w:r>
      <w:r w:rsidR="005252CB">
        <w:t xml:space="preserve">to </w:t>
      </w:r>
      <w:r w:rsidRPr="00900DAA">
        <w:t>standards developed by SDOs</w:t>
      </w:r>
      <w:r>
        <w:t xml:space="preserve"> </w:t>
      </w:r>
      <w:r w:rsidRPr="00900DAA">
        <w:t>that do not follow consensus mechanisms</w:t>
      </w:r>
      <w:r w:rsidR="00200986">
        <w:t xml:space="preserve">; </w:t>
      </w:r>
      <w:r w:rsidRPr="00900DAA">
        <w:t xml:space="preserve">or </w:t>
      </w:r>
      <w:r w:rsidR="00200986">
        <w:t xml:space="preserve">to </w:t>
      </w:r>
      <w:r w:rsidRPr="00900DAA">
        <w:t>electronic data exchange standards</w:t>
      </w:r>
      <w:r w:rsidR="009751FD">
        <w:t xml:space="preserve"> for submissions to CBER</w:t>
      </w:r>
      <w:r w:rsidR="00FE7A71">
        <w:t>.</w:t>
      </w:r>
      <w:r>
        <w:rPr>
          <w:rStyle w:val="FootnoteReference"/>
        </w:rPr>
        <w:footnoteReference w:id="11"/>
      </w:r>
      <w:r w:rsidRPr="006669E0" w:rsidR="006669E0">
        <w:rPr>
          <w:vertAlign w:val="superscript"/>
        </w:rPr>
        <w:t>,</w:t>
      </w:r>
      <w:r>
        <w:rPr>
          <w:rStyle w:val="FootnoteReference"/>
        </w:rPr>
        <w:footnoteReference w:id="12"/>
      </w:r>
    </w:p>
    <w:p w:rsidR="0084080B" w:rsidP="00FE7A71" w14:paraId="5CC24EF9" w14:textId="2871CD03"/>
    <w:p w:rsidR="00FE7A71" w:rsidP="002C514D" w14:paraId="30D2B213" w14:textId="77777777"/>
    <w:p w:rsidR="00AE4050" w14:paraId="6B96FDE8" w14:textId="77777777">
      <w:pPr>
        <w:rPr>
          <w:rFonts w:ascii="Times New Roman Bold" w:hAnsi="Times New Roman Bold" w:cs="Arial"/>
          <w:b/>
          <w:bCs/>
          <w:caps/>
          <w:kern w:val="32"/>
          <w:szCs w:val="32"/>
        </w:rPr>
      </w:pPr>
      <w:r>
        <w:br w:type="page"/>
      </w:r>
    </w:p>
    <w:p w:rsidR="00FE6B72" w:rsidP="006669E0" w14:paraId="2D4E1EA1" w14:textId="0169C3FD">
      <w:pPr>
        <w:pStyle w:val="Heading1"/>
      </w:pPr>
      <w:bookmarkStart w:id="18" w:name="_Toc136850426"/>
      <w:r>
        <w:t>Purpose of the Program</w:t>
      </w:r>
      <w:bookmarkEnd w:id="18"/>
    </w:p>
    <w:p w:rsidR="001245CF" w:rsidP="00AB0427" w14:paraId="12DC7819" w14:textId="77777777">
      <w:pPr>
        <w:pStyle w:val="Default"/>
        <w:rPr>
          <w:sz w:val="23"/>
          <w:szCs w:val="23"/>
        </w:rPr>
      </w:pPr>
      <w:bookmarkStart w:id="19" w:name="_Toc132520486"/>
      <w:bookmarkStart w:id="20" w:name="_Toc132521896"/>
      <w:bookmarkStart w:id="21" w:name="_Toc132521958"/>
      <w:bookmarkStart w:id="22" w:name="_Toc132521971"/>
      <w:bookmarkStart w:id="23" w:name="_Toc132522007"/>
    </w:p>
    <w:p w:rsidR="00FE6B72" w:rsidRPr="00374AE0" w:rsidP="00966580" w14:paraId="5C5CE270" w14:textId="60BD411D">
      <w:pPr>
        <w:pStyle w:val="Default"/>
      </w:pPr>
      <w:r w:rsidRPr="00374AE0">
        <w:t>The use of existing VCS minimizes the need for government-unique standards consistent with the OMB Circular A-119 and the NTTAA</w:t>
      </w:r>
      <w:r w:rsidRPr="00374AE0" w:rsidR="00E7709C">
        <w:t xml:space="preserve"> (Refs. 2 and 3).</w:t>
      </w:r>
      <w:r w:rsidRPr="00374AE0">
        <w:t xml:space="preserve"> </w:t>
      </w:r>
      <w:r w:rsidRPr="00374AE0" w:rsidR="00951F6B">
        <w:t xml:space="preserve"> </w:t>
      </w:r>
      <w:r w:rsidRPr="00374AE0">
        <w:t xml:space="preserve">By leveraging stakeholders’ efforts to develop standards, FDA can eliminate costs to the Federal </w:t>
      </w:r>
      <w:r w:rsidR="0062552F">
        <w:t>g</w:t>
      </w:r>
      <w:r w:rsidRPr="00374AE0">
        <w:t xml:space="preserve">overnment associated with the development of government-unique standards and promote international harmonization of standards that are acceptable to FDA. </w:t>
      </w:r>
      <w:r w:rsidRPr="00374AE0" w:rsidR="00BD5B0D">
        <w:t xml:space="preserve"> </w:t>
      </w:r>
    </w:p>
    <w:bookmarkEnd w:id="19"/>
    <w:bookmarkEnd w:id="20"/>
    <w:bookmarkEnd w:id="21"/>
    <w:bookmarkEnd w:id="22"/>
    <w:bookmarkEnd w:id="23"/>
    <w:p w:rsidR="00AB0427" w:rsidP="00FE6B72" w14:paraId="18B09D04" w14:textId="4A845375"/>
    <w:p w:rsidR="00AB0427" w:rsidRPr="00AB0427" w:rsidP="00AB0427" w14:paraId="16AB145A" w14:textId="60B46016">
      <w:pPr>
        <w:pStyle w:val="Default"/>
      </w:pPr>
      <w:r w:rsidRPr="00AB0427">
        <w:t xml:space="preserve">The SRP-RMT </w:t>
      </w:r>
      <w:r w:rsidR="00DA2B11">
        <w:t>is expected to</w:t>
      </w:r>
      <w:r w:rsidRPr="00AB0427" w:rsidR="00DA2B11">
        <w:t xml:space="preserve"> </w:t>
      </w:r>
      <w:r w:rsidR="00C53FD8">
        <w:t>promote the visibility and use of standards applicable to FDA’s public health mission by</w:t>
      </w:r>
      <w:r w:rsidRPr="00AB0427">
        <w:t>:</w:t>
      </w:r>
    </w:p>
    <w:p w:rsidR="00AB0427" w:rsidRPr="00AB0427" w:rsidP="00AB0427" w14:paraId="098FAA6F" w14:textId="77777777">
      <w:pPr>
        <w:pStyle w:val="Default"/>
      </w:pPr>
    </w:p>
    <w:p w:rsidR="00AB0427" w:rsidP="00AB0427" w14:paraId="3C38828F" w14:textId="5BF4E3FA">
      <w:pPr>
        <w:pStyle w:val="Default"/>
        <w:numPr>
          <w:ilvl w:val="0"/>
          <w:numId w:val="26"/>
        </w:numPr>
      </w:pPr>
      <w:r w:rsidRPr="00AB0427">
        <w:t>Us</w:t>
      </w:r>
      <w:r w:rsidR="0000091B">
        <w:t>ing</w:t>
      </w:r>
      <w:r w:rsidRPr="00AB0427">
        <w:t xml:space="preserve"> Agency expertise to evaluate and recognize voluntary consensus standards related to RMT </w:t>
      </w:r>
      <w:r w:rsidR="00762EC1">
        <w:t xml:space="preserve">products </w:t>
      </w:r>
      <w:r w:rsidRPr="00AB0427">
        <w:t xml:space="preserve">that are potentially useful to industry and CBER staff. </w:t>
      </w:r>
      <w:r w:rsidR="00C33B09">
        <w:t xml:space="preserve"> </w:t>
      </w:r>
      <w:r w:rsidRPr="00AB0427">
        <w:t>Specifically, this process will allow CBER to:</w:t>
      </w:r>
    </w:p>
    <w:p w:rsidR="00AE4050" w:rsidP="002C514D" w14:paraId="73DDD3F3" w14:textId="77777777">
      <w:pPr>
        <w:pStyle w:val="Default"/>
        <w:ind w:left="414"/>
      </w:pPr>
    </w:p>
    <w:p w:rsidR="00904B35" w:rsidP="00904B35" w14:paraId="01267CA5" w14:textId="60B1BBA0">
      <w:pPr>
        <w:pStyle w:val="Default"/>
        <w:numPr>
          <w:ilvl w:val="1"/>
          <w:numId w:val="26"/>
        </w:numPr>
      </w:pPr>
      <w:r>
        <w:t xml:space="preserve">Receive a candidate VCS, </w:t>
      </w:r>
      <w:r w:rsidRPr="00904B35">
        <w:t>with relevant information (e.g., the scope of the standard and the purpose</w:t>
      </w:r>
      <w:r w:rsidR="008227E3">
        <w:t>)</w:t>
      </w:r>
      <w:r w:rsidRPr="00904B35">
        <w:t xml:space="preserve">, from </w:t>
      </w:r>
      <w:r w:rsidR="00C53FD8">
        <w:t xml:space="preserve">FDA staff or external stakeholders </w:t>
      </w:r>
      <w:r w:rsidRPr="00904B35">
        <w:t>for informal recognition.</w:t>
      </w:r>
    </w:p>
    <w:p w:rsidR="00AE4050" w:rsidP="002C514D" w14:paraId="1EDD6E51" w14:textId="77777777">
      <w:pPr>
        <w:pStyle w:val="Default"/>
        <w:ind w:left="1134"/>
      </w:pPr>
    </w:p>
    <w:p w:rsidR="00904B35" w:rsidP="00904B35" w14:paraId="7A0C2403" w14:textId="4F589982">
      <w:pPr>
        <w:pStyle w:val="Default"/>
        <w:numPr>
          <w:ilvl w:val="1"/>
          <w:numId w:val="26"/>
        </w:numPr>
      </w:pPr>
      <w:r w:rsidRPr="00904B35">
        <w:t>Determine whether to recognize a standard in whole or in part following an internal scientific evaluation.</w:t>
      </w:r>
    </w:p>
    <w:p w:rsidR="00AE4050" w:rsidP="002C514D" w14:paraId="05867539" w14:textId="77777777">
      <w:pPr>
        <w:pStyle w:val="ListParagraph"/>
      </w:pPr>
    </w:p>
    <w:p w:rsidR="00904B35" w:rsidP="00904B35" w14:paraId="55619AAE" w14:textId="1505E38D">
      <w:pPr>
        <w:pStyle w:val="Default"/>
        <w:numPr>
          <w:ilvl w:val="1"/>
          <w:numId w:val="26"/>
        </w:numPr>
      </w:pPr>
      <w:r w:rsidRPr="00904B35">
        <w:t xml:space="preserve">List the recognized standards in a publicly searchable database on </w:t>
      </w:r>
      <w:r>
        <w:t>CBER’s</w:t>
      </w:r>
      <w:r w:rsidRPr="00904B35">
        <w:t xml:space="preserve"> website, accompanied by an information sheet describing the scope and the extent of C</w:t>
      </w:r>
      <w:r>
        <w:t>B</w:t>
      </w:r>
      <w:r w:rsidRPr="00904B35">
        <w:t xml:space="preserve">ER’s recognition of that standard and any other relevant information about </w:t>
      </w:r>
      <w:r w:rsidR="00002454">
        <w:t>the standard</w:t>
      </w:r>
      <w:r w:rsidRPr="00904B35">
        <w:t>.</w:t>
      </w:r>
    </w:p>
    <w:p w:rsidR="00AE4050" w:rsidP="002C514D" w14:paraId="2140E659" w14:textId="77777777">
      <w:pPr>
        <w:pStyle w:val="Default"/>
        <w:ind w:left="1134"/>
      </w:pPr>
    </w:p>
    <w:p w:rsidR="00904B35" w:rsidP="00904B35" w14:paraId="6C4647B0" w14:textId="1DF74B1A">
      <w:pPr>
        <w:pStyle w:val="Default"/>
        <w:numPr>
          <w:ilvl w:val="0"/>
          <w:numId w:val="26"/>
        </w:numPr>
      </w:pPr>
      <w:r w:rsidRPr="00904B35">
        <w:t>Provid</w:t>
      </w:r>
      <w:r w:rsidR="0000091B">
        <w:t>ing</w:t>
      </w:r>
      <w:r w:rsidRPr="00904B35">
        <w:t xml:space="preserve"> transparency to industry and other stakeholders regarding C</w:t>
      </w:r>
      <w:r>
        <w:t>B</w:t>
      </w:r>
      <w:r w:rsidRPr="00904B35">
        <w:t>ER’s thinking about a particular method or approach</w:t>
      </w:r>
      <w:r>
        <w:t xml:space="preserve">, thereby increasing regulatory </w:t>
      </w:r>
      <w:r>
        <w:t>predicitability</w:t>
      </w:r>
      <w:r w:rsidR="007176B6">
        <w:t>.</w:t>
      </w:r>
    </w:p>
    <w:p w:rsidR="00AE4050" w:rsidP="002C514D" w14:paraId="38A5C6C1" w14:textId="77777777">
      <w:pPr>
        <w:pStyle w:val="Default"/>
        <w:ind w:left="414"/>
      </w:pPr>
    </w:p>
    <w:p w:rsidR="00AB0427" w:rsidRPr="00AB0427" w:rsidP="00FE6B72" w14:paraId="51828166" w14:textId="77777777"/>
    <w:p w:rsidR="005D5D2D" w14:paraId="6C673ECE" w14:textId="7A10DCFD">
      <w:r w:rsidRPr="00374AE0">
        <w:t xml:space="preserve">CBER encourages the use of appropriate standards in the development of CBER-regulated products.  </w:t>
      </w:r>
      <w:r w:rsidR="00583AD1">
        <w:t>I</w:t>
      </w:r>
      <w:r w:rsidRPr="00374AE0">
        <w:t xml:space="preserve">ncreased use of existing relevant VCS can facilitate product development by reducing the need to develop unique methods for individual products.  </w:t>
      </w:r>
      <w:r w:rsidRPr="00E1075F">
        <w:t xml:space="preserve">In addition, </w:t>
      </w:r>
      <w:r w:rsidR="00C53FD8">
        <w:t>w</w:t>
      </w:r>
      <w:r w:rsidRPr="00911A14" w:rsidR="00C53FD8">
        <w:t xml:space="preserve">hen used appropriately, </w:t>
      </w:r>
      <w:r w:rsidR="00C53FD8">
        <w:t>VCS</w:t>
      </w:r>
      <w:r w:rsidRPr="00911A14" w:rsidR="00C53FD8">
        <w:t xml:space="preserve"> will typically reduce the amount of documentation that a submitter needs to provide and may reduce FDA review time</w:t>
      </w:r>
      <w:r w:rsidR="009F6EFB">
        <w:t>.</w:t>
      </w:r>
    </w:p>
    <w:p w:rsidR="008119AF" w14:paraId="08CD58D5" w14:textId="3308E4BC">
      <w:bookmarkStart w:id="24" w:name="_Toc132522011"/>
    </w:p>
    <w:p w:rsidR="00FE7A71" w14:paraId="17D30BB8" w14:textId="77777777"/>
    <w:p w:rsidR="008119AF" w:rsidP="006669E0" w14:paraId="47D20128" w14:textId="7421EC64">
      <w:pPr>
        <w:pStyle w:val="Heading1"/>
      </w:pPr>
      <w:bookmarkStart w:id="25" w:name="_Toc136850427"/>
      <w:bookmarkEnd w:id="24"/>
      <w:r>
        <w:t>procedures</w:t>
      </w:r>
      <w:r w:rsidR="00614DA2">
        <w:t xml:space="preserve"> for </w:t>
      </w:r>
      <w:r w:rsidR="00DC39E3">
        <w:t>evaluating VCS for</w:t>
      </w:r>
      <w:r w:rsidR="00DC1567">
        <w:t xml:space="preserve"> </w:t>
      </w:r>
      <w:r w:rsidR="00A65AF3">
        <w:t>R</w:t>
      </w:r>
      <w:r w:rsidR="00DC39E3">
        <w:t>ecognition</w:t>
      </w:r>
      <w:r w:rsidR="00DC1567">
        <w:t xml:space="preserve"> in </w:t>
      </w:r>
      <w:r w:rsidR="00D603EE">
        <w:t xml:space="preserve">THE </w:t>
      </w:r>
      <w:r w:rsidR="00DC1567">
        <w:t>SRP-RMT</w:t>
      </w:r>
      <w:bookmarkEnd w:id="25"/>
      <w:r w:rsidR="00A65AF3">
        <w:t xml:space="preserve"> </w:t>
      </w:r>
    </w:p>
    <w:p w:rsidR="00CC4890" w:rsidP="00A12F01" w14:paraId="654C5241" w14:textId="77777777"/>
    <w:p w:rsidR="004A6851" w:rsidP="00A12F01" w14:paraId="60912CF1" w14:textId="41F7ACBC">
      <w:r>
        <w:t xml:space="preserve">Existing published </w:t>
      </w:r>
      <w:r w:rsidR="00964349">
        <w:t>VCS</w:t>
      </w:r>
      <w:r w:rsidRPr="00964349" w:rsidR="00964349">
        <w:t xml:space="preserve"> </w:t>
      </w:r>
      <w:r w:rsidR="00964349">
        <w:t xml:space="preserve">relevant to RMT </w:t>
      </w:r>
      <w:r w:rsidR="00762EC1">
        <w:t xml:space="preserve">products </w:t>
      </w:r>
      <w:r w:rsidRPr="00964349" w:rsidR="00964349">
        <w:t xml:space="preserve">may be identified </w:t>
      </w:r>
      <w:r w:rsidR="00583AD1">
        <w:t xml:space="preserve">internally </w:t>
      </w:r>
      <w:r w:rsidR="00964349">
        <w:t>by</w:t>
      </w:r>
      <w:r w:rsidRPr="00964349" w:rsidR="00964349">
        <w:t xml:space="preserve"> FDA or </w:t>
      </w:r>
      <w:r w:rsidR="00583AD1">
        <w:t xml:space="preserve">externally </w:t>
      </w:r>
      <w:r w:rsidR="00964349">
        <w:t>by</w:t>
      </w:r>
      <w:r w:rsidRPr="00964349" w:rsidR="00964349">
        <w:t xml:space="preserve"> stakeholders </w:t>
      </w:r>
      <w:r w:rsidR="00964349">
        <w:t xml:space="preserve">for evaluation </w:t>
      </w:r>
      <w:r w:rsidR="00002454">
        <w:t xml:space="preserve">and </w:t>
      </w:r>
      <w:r w:rsidR="006B3964">
        <w:t xml:space="preserve">potential </w:t>
      </w:r>
      <w:r w:rsidR="00964349">
        <w:t>recognition in the SRP-RMT</w:t>
      </w:r>
      <w:r w:rsidRPr="00964349" w:rsidR="00964349">
        <w:t xml:space="preserve">.  </w:t>
      </w:r>
      <w:r>
        <w:t>FDA</w:t>
      </w:r>
      <w:r w:rsidR="006118DD">
        <w:t xml:space="preserve"> </w:t>
      </w:r>
      <w:r w:rsidR="00C42482">
        <w:t>s</w:t>
      </w:r>
      <w:r w:rsidR="006118DD">
        <w:t xml:space="preserve">ubject </w:t>
      </w:r>
      <w:r w:rsidR="00C42482">
        <w:t>m</w:t>
      </w:r>
      <w:r w:rsidR="006118DD">
        <w:t xml:space="preserve">atter </w:t>
      </w:r>
      <w:r w:rsidR="00C42482">
        <w:t>e</w:t>
      </w:r>
      <w:r w:rsidR="006118DD">
        <w:t xml:space="preserve">xperts (SMEs) in </w:t>
      </w:r>
      <w:r w:rsidR="00ED16B0">
        <w:t xml:space="preserve">the Office of </w:t>
      </w:r>
      <w:r w:rsidR="003B4969">
        <w:t>Ther</w:t>
      </w:r>
      <w:r w:rsidR="005F1A72">
        <w:t>a</w:t>
      </w:r>
      <w:r w:rsidR="003B4969">
        <w:t>peutic Products</w:t>
      </w:r>
      <w:r w:rsidR="00ED16B0">
        <w:t xml:space="preserve"> (</w:t>
      </w:r>
      <w:r w:rsidR="003B4969">
        <w:t>OTP</w:t>
      </w:r>
      <w:r w:rsidR="00ED16B0">
        <w:t xml:space="preserve">) in </w:t>
      </w:r>
      <w:r w:rsidR="0031235E">
        <w:t>CBER</w:t>
      </w:r>
      <w:r>
        <w:t xml:space="preserve"> </w:t>
      </w:r>
      <w:r w:rsidR="00641D86">
        <w:t xml:space="preserve">generally intend to </w:t>
      </w:r>
      <w:r>
        <w:t>consider multiple factors in assessing the s</w:t>
      </w:r>
      <w:r>
        <w:t>tandard</w:t>
      </w:r>
      <w:r>
        <w:t>, including that:</w:t>
      </w:r>
      <w:r>
        <w:t xml:space="preserve"> </w:t>
      </w:r>
    </w:p>
    <w:p w:rsidR="00712C00" w:rsidP="00A12F01" w14:paraId="50FDF04E" w14:textId="77777777"/>
    <w:p w:rsidR="00A911F0" w:rsidRPr="00680F9A" w:rsidP="000C04B3" w14:paraId="004A21D0" w14:textId="0004399A">
      <w:pPr>
        <w:pStyle w:val="ListParagraph"/>
        <w:numPr>
          <w:ilvl w:val="0"/>
          <w:numId w:val="6"/>
        </w:numPr>
        <w:tabs>
          <w:tab w:val="left" w:pos="1170"/>
        </w:tabs>
        <w:spacing w:line="259" w:lineRule="auto"/>
        <w:ind w:left="810"/>
      </w:pPr>
      <w:r>
        <w:t xml:space="preserve">The </w:t>
      </w:r>
      <w:r w:rsidRPr="00680F9A">
        <w:t>standard</w:t>
      </w:r>
      <w:r>
        <w:t xml:space="preserve"> does not</w:t>
      </w:r>
      <w:r w:rsidRPr="00680F9A">
        <w:t xml:space="preserve"> conflict with </w:t>
      </w:r>
      <w:r w:rsidR="00C42482">
        <w:t xml:space="preserve">the </w:t>
      </w:r>
      <w:r w:rsidRPr="00680F9A">
        <w:t>FD</w:t>
      </w:r>
      <w:r w:rsidR="00C42482">
        <w:t xml:space="preserve">&amp;C </w:t>
      </w:r>
      <w:r w:rsidRPr="00680F9A">
        <w:t>A</w:t>
      </w:r>
      <w:r w:rsidR="00C42482">
        <w:t>ct</w:t>
      </w:r>
      <w:r w:rsidRPr="00680F9A">
        <w:t xml:space="preserve"> </w:t>
      </w:r>
      <w:r>
        <w:t xml:space="preserve">, </w:t>
      </w:r>
      <w:r w:rsidR="00762EC1">
        <w:t xml:space="preserve">the PHS Act, applicable </w:t>
      </w:r>
      <w:r w:rsidRPr="00680F9A">
        <w:t>regulations</w:t>
      </w:r>
      <w:r>
        <w:t>,</w:t>
      </w:r>
      <w:r w:rsidRPr="00680F9A">
        <w:t xml:space="preserve"> or </w:t>
      </w:r>
      <w:r w:rsidR="00762EC1">
        <w:t xml:space="preserve">current </w:t>
      </w:r>
      <w:r w:rsidRPr="00680F9A">
        <w:t>polic</w:t>
      </w:r>
      <w:r w:rsidR="00762EC1">
        <w:t>ies</w:t>
      </w:r>
      <w:r>
        <w:t>;</w:t>
      </w:r>
    </w:p>
    <w:p w:rsidR="004A6851" w:rsidRPr="00680F9A" w:rsidP="000C04B3" w14:paraId="16F8331F" w14:textId="77777777">
      <w:pPr>
        <w:pStyle w:val="ListParagraph"/>
        <w:numPr>
          <w:ilvl w:val="0"/>
          <w:numId w:val="6"/>
        </w:numPr>
        <w:tabs>
          <w:tab w:val="left" w:pos="1170"/>
        </w:tabs>
        <w:spacing w:line="259" w:lineRule="auto"/>
        <w:ind w:left="810"/>
      </w:pPr>
      <w:r>
        <w:t xml:space="preserve">The </w:t>
      </w:r>
      <w:r w:rsidRPr="00680F9A">
        <w:t xml:space="preserve">standard </w:t>
      </w:r>
      <w:r>
        <w:t xml:space="preserve">is </w:t>
      </w:r>
      <w:r w:rsidRPr="00680F9A">
        <w:t>scientifically sound</w:t>
      </w:r>
      <w:r>
        <w:t>;</w:t>
      </w:r>
    </w:p>
    <w:p w:rsidR="004A6851" w:rsidP="000C04B3" w14:paraId="4ACDD9BE" w14:textId="2FA2ADF7">
      <w:pPr>
        <w:pStyle w:val="ListParagraph"/>
        <w:numPr>
          <w:ilvl w:val="0"/>
          <w:numId w:val="6"/>
        </w:numPr>
        <w:tabs>
          <w:tab w:val="left" w:pos="1170"/>
        </w:tabs>
        <w:spacing w:line="259" w:lineRule="auto"/>
        <w:ind w:left="810"/>
      </w:pPr>
      <w:r>
        <w:t xml:space="preserve">The standard can </w:t>
      </w:r>
      <w:r w:rsidRPr="00680F9A">
        <w:t>assist in the assessment of a regulatory submission</w:t>
      </w:r>
      <w:r>
        <w:t xml:space="preserve"> </w:t>
      </w:r>
      <w:r>
        <w:t>for RMT products</w:t>
      </w:r>
      <w:r>
        <w:t>; and</w:t>
      </w:r>
      <w:r w:rsidR="00C33B09">
        <w:t>;</w:t>
      </w:r>
    </w:p>
    <w:p w:rsidR="004A6851" w:rsidP="00A12F01" w14:paraId="1E24D41E" w14:textId="771A58F1">
      <w:pPr>
        <w:pStyle w:val="ListParagraph"/>
        <w:numPr>
          <w:ilvl w:val="0"/>
          <w:numId w:val="6"/>
        </w:numPr>
        <w:tabs>
          <w:tab w:val="left" w:pos="1170"/>
        </w:tabs>
        <w:spacing w:line="259" w:lineRule="auto"/>
        <w:ind w:left="810"/>
      </w:pPr>
      <w:bookmarkStart w:id="26" w:name="_Hlk75761162"/>
      <w:r>
        <w:t xml:space="preserve">Use of the standard </w:t>
      </w:r>
      <w:r w:rsidR="00BC336C">
        <w:t xml:space="preserve">may facilitate the ability of a sponsor </w:t>
      </w:r>
      <w:r w:rsidR="00065D21">
        <w:t xml:space="preserve">to </w:t>
      </w:r>
      <w:r w:rsidR="00BC336C">
        <w:t xml:space="preserve">meet </w:t>
      </w:r>
      <w:r>
        <w:t xml:space="preserve">regulatory </w:t>
      </w:r>
      <w:r w:rsidR="006319E0">
        <w:t xml:space="preserve">requirements </w:t>
      </w:r>
      <w:r>
        <w:t>for RMT products reviewed in CBER.</w:t>
      </w:r>
    </w:p>
    <w:bookmarkEnd w:id="26"/>
    <w:p w:rsidR="00A911F0" w:rsidP="000C04B3" w14:paraId="10DB906F" w14:textId="77777777">
      <w:pPr>
        <w:tabs>
          <w:tab w:val="left" w:pos="1170"/>
        </w:tabs>
        <w:spacing w:line="259" w:lineRule="auto"/>
      </w:pPr>
    </w:p>
    <w:p w:rsidR="00662494" w:rsidP="000C04B3" w14:paraId="6A50A0DE" w14:textId="4B0E8FE0">
      <w:pPr>
        <w:tabs>
          <w:tab w:val="left" w:pos="1170"/>
        </w:tabs>
        <w:spacing w:line="259" w:lineRule="auto"/>
      </w:pPr>
      <w:r>
        <w:t xml:space="preserve">CBER will assign a recognition number to </w:t>
      </w:r>
      <w:r w:rsidR="00940994">
        <w:t>r</w:t>
      </w:r>
      <w:r w:rsidR="000207F3">
        <w:t>ecognized standards</w:t>
      </w:r>
      <w:r w:rsidR="00FE7A71">
        <w:t>.</w:t>
      </w:r>
      <w:r w:rsidR="00C33B09">
        <w:t xml:space="preserve"> </w:t>
      </w:r>
      <w:r w:rsidR="000207F3">
        <w:t xml:space="preserve"> </w:t>
      </w:r>
      <w:r w:rsidRPr="008B6695" w:rsidR="008B6695">
        <w:t xml:space="preserve">The recognition of a standard </w:t>
      </w:r>
      <w:r w:rsidR="00570A7B">
        <w:t>will include</w:t>
      </w:r>
      <w:r w:rsidRPr="008B6695" w:rsidR="008B6695">
        <w:t xml:space="preserve"> a </w:t>
      </w:r>
      <w:r w:rsidR="00B10ADF">
        <w:t>Standard Recognition Summary (SRS)</w:t>
      </w:r>
      <w:r w:rsidRPr="008B6695" w:rsidR="008B6695">
        <w:t>.</w:t>
      </w:r>
      <w:r w:rsidR="008B6695">
        <w:t xml:space="preserve"> </w:t>
      </w:r>
      <w:r w:rsidR="00C33B09">
        <w:t xml:space="preserve"> </w:t>
      </w:r>
      <w:r w:rsidRPr="008B6695" w:rsidR="008B6695">
        <w:t>This</w:t>
      </w:r>
      <w:r w:rsidR="001D769E">
        <w:t xml:space="preserve"> </w:t>
      </w:r>
      <w:r>
        <w:t>SRS</w:t>
      </w:r>
      <w:r w:rsidRPr="008B6695" w:rsidR="008B6695">
        <w:t xml:space="preserve">, developed by </w:t>
      </w:r>
      <w:r w:rsidR="008B6695">
        <w:t>CBER/</w:t>
      </w:r>
      <w:r w:rsidR="003B4969">
        <w:t>OTP</w:t>
      </w:r>
      <w:r w:rsidR="00570A7B">
        <w:t>,</w:t>
      </w:r>
      <w:r w:rsidRPr="008B6695" w:rsidR="008B6695">
        <w:t xml:space="preserve"> is intended to assist </w:t>
      </w:r>
      <w:r w:rsidR="004A258C">
        <w:t>stakeholders</w:t>
      </w:r>
      <w:r w:rsidRPr="008B6695" w:rsidR="008B6695">
        <w:t xml:space="preserve"> should they elect to use standards in their development, manufacturing, or for other purposes. </w:t>
      </w:r>
      <w:r w:rsidR="00C33B09">
        <w:t xml:space="preserve"> </w:t>
      </w:r>
      <w:r w:rsidRPr="008B6695" w:rsidR="008B6695">
        <w:t xml:space="preserve">The </w:t>
      </w:r>
      <w:r w:rsidR="00B10ADF">
        <w:t>SRS</w:t>
      </w:r>
      <w:r w:rsidRPr="008B6695" w:rsidR="008B6695">
        <w:t xml:space="preserve"> includes the standard’s scope and other helpful information.</w:t>
      </w:r>
      <w:r>
        <w:t xml:space="preserve"> </w:t>
      </w:r>
      <w:r w:rsidR="00C33B09">
        <w:t xml:space="preserve"> </w:t>
      </w:r>
      <w:r>
        <w:t>(</w:t>
      </w:r>
      <w:r w:rsidRPr="00A718FC">
        <w:t xml:space="preserve">See Appendix </w:t>
      </w:r>
      <w:r w:rsidR="009975E9">
        <w:t>1</w:t>
      </w:r>
      <w:r>
        <w:t>)</w:t>
      </w:r>
      <w:r w:rsidR="000B276E">
        <w:t>.</w:t>
      </w:r>
    </w:p>
    <w:p w:rsidR="008B6695" w:rsidP="000C04B3" w14:paraId="2F13459F" w14:textId="373CFF7B">
      <w:pPr>
        <w:tabs>
          <w:tab w:val="left" w:pos="1170"/>
        </w:tabs>
        <w:spacing w:line="259" w:lineRule="auto"/>
      </w:pPr>
    </w:p>
    <w:p w:rsidR="004A6851" w:rsidP="00C625E6" w14:paraId="38A9AA04" w14:textId="4FCEB22B">
      <w:r>
        <w:t>FDA intends to maintain a</w:t>
      </w:r>
      <w:r w:rsidRPr="009066BD" w:rsidR="009066BD">
        <w:t xml:space="preserve"> list of VCS</w:t>
      </w:r>
      <w:r>
        <w:t xml:space="preserve"> that have been</w:t>
      </w:r>
      <w:r w:rsidRPr="009066BD" w:rsidR="009066BD">
        <w:t xml:space="preserve"> </w:t>
      </w:r>
      <w:r w:rsidR="00CD7E70">
        <w:t xml:space="preserve">recognized </w:t>
      </w:r>
      <w:r>
        <w:t xml:space="preserve">(either whole or in part) </w:t>
      </w:r>
      <w:r w:rsidR="00CD7E70">
        <w:t>by CBER/</w:t>
      </w:r>
      <w:r w:rsidR="003B4969">
        <w:t>OTP</w:t>
      </w:r>
      <w:r w:rsidR="00CD7E70">
        <w:t xml:space="preserve">) </w:t>
      </w:r>
      <w:r w:rsidRPr="009066BD" w:rsidR="009066BD">
        <w:t xml:space="preserve">on the FDA Regenerative Medicine website at </w:t>
      </w:r>
      <w:hyperlink r:id="rId16" w:history="1">
        <w:r w:rsidRPr="00A20C51" w:rsidR="009066BD">
          <w:rPr>
            <w:rStyle w:val="Hyperlink"/>
          </w:rPr>
          <w:t>https://www.fda.gov/vaccines-blood-biologics/standards-development-regenerative-medicine-therapies</w:t>
        </w:r>
      </w:hyperlink>
      <w:r>
        <w:t>.</w:t>
      </w:r>
      <w:r w:rsidRPr="006973FB">
        <w:t xml:space="preserve"> </w:t>
      </w:r>
      <w:r>
        <w:t xml:space="preserve"> </w:t>
      </w:r>
      <w:r w:rsidR="00B10ADF">
        <w:t>CBER intends to update i</w:t>
      </w:r>
      <w:r>
        <w:t xml:space="preserve">nformation on the website </w:t>
      </w:r>
      <w:r w:rsidR="00CD7E70">
        <w:t>at least twice annually</w:t>
      </w:r>
      <w:r w:rsidR="00662494">
        <w:t>.</w:t>
      </w:r>
      <w:r>
        <w:t xml:space="preserve"> </w:t>
      </w:r>
    </w:p>
    <w:p w:rsidR="008D2A1F" w:rsidP="000C04B3" w14:paraId="3EFBE86B" w14:textId="77777777">
      <w:bookmarkStart w:id="27" w:name="_Toc132520491"/>
      <w:bookmarkStart w:id="28" w:name="_Toc132521901"/>
      <w:bookmarkStart w:id="29" w:name="_Toc132521963"/>
      <w:bookmarkStart w:id="30" w:name="_Toc132521976"/>
      <w:bookmarkStart w:id="31" w:name="_Toc132522012"/>
    </w:p>
    <w:p w:rsidR="008D2A1F" w:rsidP="000C04B3" w14:paraId="60E65021" w14:textId="57CF2E18">
      <w:pPr>
        <w:pStyle w:val="ListParagraph"/>
        <w:ind w:left="0"/>
      </w:pPr>
      <w:r>
        <w:t xml:space="preserve">Any stakeholder </w:t>
      </w:r>
      <w:r w:rsidR="0081712E">
        <w:t>can</w:t>
      </w:r>
      <w:r w:rsidR="004A4519">
        <w:t xml:space="preserve"> </w:t>
      </w:r>
      <w:r w:rsidR="00A65AF3">
        <w:t>request recognition of a specific VC</w:t>
      </w:r>
      <w:r w:rsidR="004D49F8">
        <w:t xml:space="preserve">S by email </w:t>
      </w:r>
      <w:r w:rsidR="00290427">
        <w:t>to SRP</w:t>
      </w:r>
      <w:r w:rsidR="00C910AA">
        <w:t>-</w:t>
      </w:r>
      <w:r w:rsidR="00940994">
        <w:t xml:space="preserve">RMT </w:t>
      </w:r>
      <w:r>
        <w:t xml:space="preserve">by submitting the following information to </w:t>
      </w:r>
      <w:hyperlink r:id="rId17" w:history="1">
        <w:r w:rsidRPr="004D49F8" w:rsidR="004D49F8">
          <w:rPr>
            <w:rStyle w:val="Hyperlink"/>
          </w:rPr>
          <w:t>RMTStandardsRecognition@fda.hhs.gov</w:t>
        </w:r>
      </w:hyperlink>
      <w:r w:rsidR="00BA070E">
        <w:t>:</w:t>
      </w:r>
    </w:p>
    <w:p w:rsidR="00FE7A71" w:rsidP="000C04B3" w14:paraId="42282376" w14:textId="77777777">
      <w:pPr>
        <w:pStyle w:val="ListParagraph"/>
        <w:ind w:left="0"/>
      </w:pPr>
    </w:p>
    <w:p w:rsidR="006A777F" w:rsidP="002C514D" w14:paraId="081B1A0A" w14:textId="7B89F2EB">
      <w:pPr>
        <w:numPr>
          <w:ilvl w:val="0"/>
          <w:numId w:val="5"/>
        </w:numPr>
        <w:tabs>
          <w:tab w:val="clear" w:pos="720"/>
        </w:tabs>
      </w:pPr>
      <w:r>
        <w:t>Name and electronic or mailing address of the requester</w:t>
      </w:r>
      <w:r w:rsidR="00BA070E">
        <w:t>;</w:t>
      </w:r>
    </w:p>
    <w:p w:rsidR="00644B92" w:rsidP="002C514D" w14:paraId="62C0C0B8" w14:textId="626AAC63">
      <w:pPr>
        <w:numPr>
          <w:ilvl w:val="0"/>
          <w:numId w:val="5"/>
        </w:numPr>
        <w:tabs>
          <w:tab w:val="clear" w:pos="720"/>
        </w:tabs>
        <w:spacing w:before="100" w:beforeAutospacing="1" w:after="100" w:afterAutospacing="1"/>
      </w:pPr>
      <w:r>
        <w:t xml:space="preserve">Name of the </w:t>
      </w:r>
      <w:r>
        <w:t>SDO</w:t>
      </w:r>
      <w:r w:rsidR="00BA070E">
        <w:t>;</w:t>
      </w:r>
    </w:p>
    <w:p w:rsidR="006A777F" w:rsidP="002C514D" w14:paraId="12C2A689" w14:textId="38A1FCB4">
      <w:pPr>
        <w:numPr>
          <w:ilvl w:val="0"/>
          <w:numId w:val="5"/>
        </w:numPr>
        <w:tabs>
          <w:tab w:val="clear" w:pos="720"/>
        </w:tabs>
        <w:spacing w:before="100" w:beforeAutospacing="1" w:after="100" w:afterAutospacing="1"/>
      </w:pPr>
      <w:r>
        <w:t xml:space="preserve">Title of the </w:t>
      </w:r>
      <w:r w:rsidR="004A258C">
        <w:t>VCS</w:t>
      </w:r>
      <w:r w:rsidR="00BA070E">
        <w:t>;</w:t>
      </w:r>
    </w:p>
    <w:p w:rsidR="00522960" w:rsidP="002C514D" w14:paraId="39A6023B" w14:textId="766AFB79">
      <w:pPr>
        <w:numPr>
          <w:ilvl w:val="0"/>
          <w:numId w:val="5"/>
        </w:numPr>
        <w:tabs>
          <w:tab w:val="clear" w:pos="720"/>
        </w:tabs>
        <w:spacing w:before="100" w:beforeAutospacing="1" w:after="100" w:afterAutospacing="1"/>
      </w:pPr>
      <w:r>
        <w:t xml:space="preserve">The </w:t>
      </w:r>
      <w:r w:rsidR="004A258C">
        <w:t xml:space="preserve">VCS </w:t>
      </w:r>
      <w:r w:rsidR="006A777F">
        <w:t xml:space="preserve">reference or </w:t>
      </w:r>
      <w:r w:rsidR="00776A08">
        <w:t xml:space="preserve">SDO </w:t>
      </w:r>
      <w:r w:rsidR="006A777F">
        <w:t xml:space="preserve">designation number and </w:t>
      </w:r>
      <w:r w:rsidR="004A258C">
        <w:t xml:space="preserve">publication </w:t>
      </w:r>
      <w:r w:rsidR="006A777F">
        <w:t>date</w:t>
      </w:r>
      <w:r w:rsidR="004B2E52">
        <w:t xml:space="preserve"> (</w:t>
      </w:r>
      <w:r w:rsidR="00644B92">
        <w:t>e.g.</w:t>
      </w:r>
      <w:r w:rsidR="00B204B6">
        <w:t>,</w:t>
      </w:r>
      <w:r w:rsidR="00644B92">
        <w:t xml:space="preserve"> Q1234</w:t>
      </w:r>
      <w:r>
        <w:t>-</w:t>
      </w:r>
      <w:r w:rsidR="00644B92">
        <w:t>2019)</w:t>
      </w:r>
      <w:r w:rsidR="00BA070E">
        <w:t>;</w:t>
      </w:r>
    </w:p>
    <w:p w:rsidR="006A777F" w:rsidP="002C514D" w14:paraId="2FABB7C8" w14:textId="7F13B49C">
      <w:pPr>
        <w:numPr>
          <w:ilvl w:val="0"/>
          <w:numId w:val="5"/>
        </w:numPr>
        <w:tabs>
          <w:tab w:val="clear" w:pos="720"/>
        </w:tabs>
        <w:spacing w:before="100" w:beforeAutospacing="1" w:after="100" w:afterAutospacing="1"/>
      </w:pPr>
      <w:r>
        <w:t xml:space="preserve">Proposed list of products for which </w:t>
      </w:r>
      <w:r w:rsidR="006621E7">
        <w:t>the standard</w:t>
      </w:r>
      <w:r>
        <w:t xml:space="preserve"> </w:t>
      </w:r>
      <w:r w:rsidR="008D2A1F">
        <w:t xml:space="preserve">could </w:t>
      </w:r>
      <w:r>
        <w:t>apply</w:t>
      </w:r>
      <w:r w:rsidRPr="00BB4E57" w:rsidR="00BB4E57">
        <w:t xml:space="preserve"> </w:t>
      </w:r>
      <w:r w:rsidR="00BB4E57">
        <w:t>routinely</w:t>
      </w:r>
      <w:r w:rsidR="00BA070E">
        <w:t>;</w:t>
      </w:r>
    </w:p>
    <w:p w:rsidR="006A777F" w:rsidP="002C514D" w14:paraId="69B648FF" w14:textId="10D513A1">
      <w:pPr>
        <w:numPr>
          <w:ilvl w:val="0"/>
          <w:numId w:val="5"/>
        </w:numPr>
        <w:tabs>
          <w:tab w:val="clear" w:pos="720"/>
        </w:tabs>
        <w:spacing w:before="100" w:beforeAutospacing="1" w:after="100" w:afterAutospacing="1"/>
      </w:pPr>
      <w:r>
        <w:t>Rationale for request</w:t>
      </w:r>
      <w:r w:rsidR="00BA070E">
        <w:t>; and</w:t>
      </w:r>
      <w:r>
        <w:t xml:space="preserve"> </w:t>
      </w:r>
    </w:p>
    <w:p w:rsidR="003905DD" w:rsidP="002C514D" w14:paraId="358A814D" w14:textId="5F916740">
      <w:pPr>
        <w:numPr>
          <w:ilvl w:val="0"/>
          <w:numId w:val="5"/>
        </w:numPr>
        <w:tabs>
          <w:tab w:val="clear" w:pos="720"/>
        </w:tabs>
        <w:ind w:left="702"/>
      </w:pPr>
      <w:r>
        <w:t xml:space="preserve">A brief </w:t>
      </w:r>
      <w:r w:rsidR="00644B92">
        <w:t xml:space="preserve">description </w:t>
      </w:r>
      <w:r>
        <w:t>of the testing</w:t>
      </w:r>
      <w:r w:rsidR="00BB4E57">
        <w:t>,</w:t>
      </w:r>
      <w:r>
        <w:t xml:space="preserve"> performance</w:t>
      </w:r>
      <w:r w:rsidR="00BB4E57">
        <w:t>,</w:t>
      </w:r>
      <w:r>
        <w:t xml:space="preserve"> or other characteristics of the RMT</w:t>
      </w:r>
      <w:r w:rsidR="009A443E">
        <w:t xml:space="preserve"> product</w:t>
      </w:r>
      <w:r>
        <w:t>(s) or process(es) that would be addressed</w:t>
      </w:r>
      <w:r w:rsidR="00631670">
        <w:t xml:space="preserve"> by the proposed standard</w:t>
      </w:r>
      <w:r w:rsidR="00BA070E">
        <w:t>.</w:t>
      </w:r>
    </w:p>
    <w:p w:rsidR="00CC4890" w:rsidP="002C514D" w14:paraId="7872C942" w14:textId="77777777"/>
    <w:p w:rsidR="00B37EF9" w:rsidP="00CC4890" w14:paraId="6832DD83" w14:textId="130F2297">
      <w:r>
        <w:t>CBER</w:t>
      </w:r>
      <w:r w:rsidRPr="0043078A">
        <w:t xml:space="preserve"> </w:t>
      </w:r>
      <w:r w:rsidR="00235B49">
        <w:t xml:space="preserve">intends </w:t>
      </w:r>
      <w:r w:rsidRPr="0043078A">
        <w:t xml:space="preserve">to decide on recognition (complete or partial) or non-recognition </w:t>
      </w:r>
      <w:r w:rsidR="00D46DEF">
        <w:t>with</w:t>
      </w:r>
      <w:r>
        <w:t>in</w:t>
      </w:r>
      <w:r w:rsidRPr="0043078A">
        <w:t xml:space="preserve"> 180 days from the date </w:t>
      </w:r>
      <w:r>
        <w:t xml:space="preserve">the </w:t>
      </w:r>
      <w:r w:rsidRPr="0043078A">
        <w:t xml:space="preserve">request </w:t>
      </w:r>
      <w:r w:rsidR="00235B49">
        <w:t xml:space="preserve">is </w:t>
      </w:r>
      <w:r w:rsidRPr="0043078A">
        <w:t>received</w:t>
      </w:r>
      <w:r w:rsidR="009E7DEC">
        <w:t>, as resources permit</w:t>
      </w:r>
      <w:r w:rsidRPr="0043078A">
        <w:t xml:space="preserve">. </w:t>
      </w:r>
      <w:r w:rsidR="00316E90">
        <w:t xml:space="preserve"> </w:t>
      </w:r>
      <w:r w:rsidR="00A852BE">
        <w:t xml:space="preserve">CBER </w:t>
      </w:r>
      <w:r w:rsidR="001D073B">
        <w:t>intends to</w:t>
      </w:r>
      <w:r w:rsidR="00A852BE">
        <w:t xml:space="preserve"> send to</w:t>
      </w:r>
      <w:r w:rsidRPr="0043078A">
        <w:t xml:space="preserve"> the submitter </w:t>
      </w:r>
      <w:r w:rsidR="00A852BE">
        <w:t xml:space="preserve">a response </w:t>
      </w:r>
      <w:r>
        <w:t>by email acknowledging receipt of the request.</w:t>
      </w:r>
      <w:r w:rsidR="00BC01A2">
        <w:t xml:space="preserve"> </w:t>
      </w:r>
      <w:r w:rsidR="00CC4890">
        <w:t xml:space="preserve"> </w:t>
      </w:r>
      <w:r w:rsidR="005A27E6">
        <w:t xml:space="preserve">CBER </w:t>
      </w:r>
      <w:r w:rsidR="001D073B">
        <w:t xml:space="preserve">intends to </w:t>
      </w:r>
      <w:r w:rsidR="005A27E6">
        <w:t xml:space="preserve">begin to accept requests for recognition of specific standards </w:t>
      </w:r>
      <w:r w:rsidR="00EA6793">
        <w:t>when</w:t>
      </w:r>
      <w:r w:rsidR="005A27E6">
        <w:t xml:space="preserve"> this draft guidance i</w:t>
      </w:r>
      <w:r w:rsidR="00EA6793">
        <w:t>s</w:t>
      </w:r>
      <w:r w:rsidR="005A27E6">
        <w:t xml:space="preserve"> published as </w:t>
      </w:r>
      <w:r w:rsidR="00EA6793">
        <w:t xml:space="preserve">a final guidance. </w:t>
      </w:r>
    </w:p>
    <w:p w:rsidR="00CC4890" w:rsidP="00CC4890" w14:paraId="0457D144" w14:textId="61A778FE"/>
    <w:p w:rsidR="00CC4890" w:rsidP="002C514D" w14:paraId="70D981F6" w14:textId="77777777"/>
    <w:p w:rsidR="00C44C9D" w:rsidRPr="00A203A2" w:rsidP="006669E0" w14:paraId="7FA71B4E" w14:textId="3BFD1EDF">
      <w:pPr>
        <w:pStyle w:val="Heading1"/>
      </w:pPr>
      <w:bookmarkStart w:id="32" w:name="_Toc136850428"/>
      <w:r>
        <w:t xml:space="preserve">Documenting the use of a standard </w:t>
      </w:r>
      <w:r w:rsidR="008D2358">
        <w:t xml:space="preserve">recognized </w:t>
      </w:r>
      <w:r w:rsidR="00235B49">
        <w:t xml:space="preserve">by cber </w:t>
      </w:r>
      <w:r w:rsidR="008D2358">
        <w:t xml:space="preserve">under the SRP-RMT </w:t>
      </w:r>
      <w:r>
        <w:t>in a regulatory submission</w:t>
      </w:r>
      <w:bookmarkEnd w:id="32"/>
    </w:p>
    <w:p w:rsidR="00CC4890" w:rsidP="00C44C9D" w14:paraId="32A13998" w14:textId="77777777"/>
    <w:p w:rsidR="00C44C9D" w:rsidRPr="00A203A2" w:rsidP="00C44C9D" w14:paraId="5A725D62" w14:textId="1CDF03CB">
      <w:r>
        <w:t xml:space="preserve">The documentation of use of a standard is described in the CBER </w:t>
      </w:r>
      <w:r w:rsidR="00235B49">
        <w:t>S</w:t>
      </w:r>
      <w:r>
        <w:t xml:space="preserve">tandards guidance </w:t>
      </w:r>
      <w:r w:rsidR="00BC336C">
        <w:t>(</w:t>
      </w:r>
      <w:r w:rsidR="00022EA4">
        <w:t>R</w:t>
      </w:r>
      <w:r w:rsidR="00BC336C">
        <w:t xml:space="preserve">ef. 4) </w:t>
      </w:r>
      <w:r w:rsidR="00C33B09">
        <w:t xml:space="preserve"> </w:t>
      </w:r>
      <w:r>
        <w:t xml:space="preserve">Briefly, the sponsor should provide the name of the SDO, title and version of the standard. </w:t>
      </w:r>
      <w:r w:rsidR="00C33B09">
        <w:t xml:space="preserve"> </w:t>
      </w:r>
      <w:r>
        <w:t xml:space="preserve">The sponsor should also state if the standard was used as written or describe deviations from </w:t>
      </w:r>
      <w:r w:rsidR="006910F0">
        <w:t xml:space="preserve">the </w:t>
      </w:r>
      <w:r>
        <w:t>standard and the rationale for the deviation.</w:t>
      </w:r>
      <w:r w:rsidR="00E32EBA">
        <w:t xml:space="preserve"> </w:t>
      </w:r>
      <w:r w:rsidR="00C33B09">
        <w:t xml:space="preserve"> </w:t>
      </w:r>
      <w:r w:rsidR="00E32EBA">
        <w:t>When using a standard that has been recognized</w:t>
      </w:r>
      <w:r w:rsidR="006910F0">
        <w:t xml:space="preserve"> by </w:t>
      </w:r>
      <w:r w:rsidR="006910F0">
        <w:t>CBER</w:t>
      </w:r>
      <w:r w:rsidR="00E32EBA">
        <w:t xml:space="preserve">, the sponsor should also provide the recognition number for the specific standard. </w:t>
      </w:r>
      <w:r w:rsidR="00C33B09">
        <w:t xml:space="preserve"> </w:t>
      </w:r>
      <w:r w:rsidR="00E32EBA">
        <w:t>(Note that use of recognized standards is not required.)</w:t>
      </w:r>
    </w:p>
    <w:p w:rsidR="00C44C9D" w:rsidP="00C44C9D" w14:paraId="34B44248" w14:textId="221355E6">
      <w:pPr>
        <w:ind w:left="720"/>
      </w:pPr>
    </w:p>
    <w:p w:rsidR="00AE4050" w:rsidRPr="00B37EF9" w:rsidP="00C44C9D" w14:paraId="5AD31DDD" w14:textId="77777777">
      <w:pPr>
        <w:ind w:left="720"/>
      </w:pPr>
    </w:p>
    <w:p w:rsidR="00B55C78" w:rsidP="006669E0" w14:paraId="3BB5C062" w14:textId="31D49771">
      <w:pPr>
        <w:pStyle w:val="Heading1"/>
      </w:pPr>
      <w:bookmarkStart w:id="33" w:name="_Toc136850429"/>
      <w:r w:rsidRPr="00633B9F">
        <w:t>Questions and answers</w:t>
      </w:r>
      <w:bookmarkEnd w:id="33"/>
      <w:r w:rsidRPr="00633B9F">
        <w:t xml:space="preserve"> </w:t>
      </w:r>
      <w:r>
        <w:t xml:space="preserve"> </w:t>
      </w:r>
    </w:p>
    <w:p w:rsidR="00B55C78" w14:paraId="46A23270" w14:textId="77777777"/>
    <w:p w:rsidR="00644F6B" w:rsidRPr="00644F6B" w:rsidP="008F02FE" w14:paraId="33A9E344" w14:textId="43C28CD0">
      <w:pPr>
        <w:pStyle w:val="ListParagraph"/>
        <w:numPr>
          <w:ilvl w:val="0"/>
          <w:numId w:val="7"/>
        </w:numPr>
        <w:rPr>
          <w:b/>
        </w:rPr>
      </w:pPr>
      <w:r w:rsidRPr="00644F6B">
        <w:rPr>
          <w:b/>
        </w:rPr>
        <w:t>What if I want to use a standard that has not been recognized</w:t>
      </w:r>
      <w:r w:rsidR="006910F0">
        <w:rPr>
          <w:b/>
        </w:rPr>
        <w:t xml:space="preserve"> </w:t>
      </w:r>
      <w:r w:rsidR="006319E0">
        <w:rPr>
          <w:b/>
        </w:rPr>
        <w:t>in the SRP-RMT</w:t>
      </w:r>
      <w:r w:rsidRPr="00644F6B">
        <w:rPr>
          <w:b/>
        </w:rPr>
        <w:t>?</w:t>
      </w:r>
    </w:p>
    <w:p w:rsidR="00AE4050" w:rsidP="008F02FE" w14:paraId="0C732C16" w14:textId="77777777">
      <w:pPr>
        <w:ind w:left="720"/>
      </w:pPr>
    </w:p>
    <w:p w:rsidR="00DC39E3" w:rsidP="008F02FE" w14:paraId="5D56A729" w14:textId="6B288495">
      <w:pPr>
        <w:ind w:left="720"/>
      </w:pPr>
      <w:r>
        <w:t xml:space="preserve">Recognition </w:t>
      </w:r>
      <w:r w:rsidR="00F76D62">
        <w:t xml:space="preserve">in the SRP-RMT </w:t>
      </w:r>
      <w:r>
        <w:t xml:space="preserve">is not required for a </w:t>
      </w:r>
      <w:r w:rsidR="00DB0C62">
        <w:t xml:space="preserve">submitter </w:t>
      </w:r>
      <w:r>
        <w:t xml:space="preserve">to </w:t>
      </w:r>
      <w:r w:rsidR="00EA67DC">
        <w:t>reference</w:t>
      </w:r>
      <w:r>
        <w:t xml:space="preserve"> a standard in a regulatory submission.</w:t>
      </w:r>
      <w:r w:rsidR="00316E90">
        <w:t xml:space="preserve"> </w:t>
      </w:r>
      <w:r w:rsidR="00C33B09">
        <w:t xml:space="preserve"> </w:t>
      </w:r>
      <w:r w:rsidR="00700DB1">
        <w:t>Sponsors</w:t>
      </w:r>
      <w:r>
        <w:t xml:space="preserve"> </w:t>
      </w:r>
      <w:r w:rsidR="005A3FB5">
        <w:t xml:space="preserve">may </w:t>
      </w:r>
      <w:r w:rsidR="003717F1">
        <w:t xml:space="preserve">seek to </w:t>
      </w:r>
      <w:r w:rsidR="005A3FB5">
        <w:t>utilize and reference any standard not recognized in the SRP-RMT in any regulatory submission.</w:t>
      </w:r>
      <w:r w:rsidR="009E7DEC">
        <w:t xml:space="preserve"> </w:t>
      </w:r>
      <w:r w:rsidR="00C33B09">
        <w:t xml:space="preserve"> </w:t>
      </w:r>
      <w:r w:rsidR="00700DB1">
        <w:t>However, the use of recognized and non-recognized standards</w:t>
      </w:r>
      <w:r w:rsidR="00753757">
        <w:t xml:space="preserve"> in a regulatory submission </w:t>
      </w:r>
      <w:r w:rsidR="003221E6">
        <w:t>is</w:t>
      </w:r>
      <w:r w:rsidR="00700DB1">
        <w:t xml:space="preserve"> subject to FDA’s assessment </w:t>
      </w:r>
      <w:r w:rsidR="006910F0">
        <w:t xml:space="preserve">of </w:t>
      </w:r>
      <w:r w:rsidR="00700DB1">
        <w:t>whether the standard is fit for the intended purpose.</w:t>
      </w:r>
    </w:p>
    <w:p w:rsidR="00E345CF" w:rsidP="008F02FE" w14:paraId="6057C48E" w14:textId="77777777">
      <w:pPr>
        <w:ind w:left="720"/>
      </w:pPr>
    </w:p>
    <w:p w:rsidR="00E345CF" w:rsidP="008F02FE" w14:paraId="221C74AC" w14:textId="19A0DB56">
      <w:pPr>
        <w:pStyle w:val="ListParagraph"/>
        <w:numPr>
          <w:ilvl w:val="0"/>
          <w:numId w:val="7"/>
        </w:numPr>
        <w:spacing w:after="160" w:line="259" w:lineRule="auto"/>
        <w:rPr>
          <w:b/>
        </w:rPr>
      </w:pPr>
      <w:r w:rsidRPr="008A4C62">
        <w:rPr>
          <w:b/>
        </w:rPr>
        <w:t xml:space="preserve">What does it mean when </w:t>
      </w:r>
      <w:r w:rsidR="00A718FC">
        <w:rPr>
          <w:b/>
        </w:rPr>
        <w:t>CBER</w:t>
      </w:r>
      <w:r w:rsidRPr="008A4C62">
        <w:rPr>
          <w:b/>
        </w:rPr>
        <w:t xml:space="preserve"> recognizes a </w:t>
      </w:r>
      <w:r w:rsidR="00A060DC">
        <w:rPr>
          <w:b/>
        </w:rPr>
        <w:t>VCS</w:t>
      </w:r>
      <w:r w:rsidR="00776A08">
        <w:rPr>
          <w:b/>
        </w:rPr>
        <w:t>?</w:t>
      </w:r>
    </w:p>
    <w:p w:rsidR="00AE4050" w:rsidP="008F02FE" w14:paraId="02157CE7" w14:textId="77777777">
      <w:pPr>
        <w:pStyle w:val="ListParagraph"/>
      </w:pPr>
    </w:p>
    <w:p w:rsidR="00E345CF" w:rsidRPr="009A501C" w:rsidP="008F02FE" w14:paraId="38B4B257" w14:textId="296AD260">
      <w:pPr>
        <w:pStyle w:val="ListParagraph"/>
      </w:pPr>
      <w:r>
        <w:t>CBER</w:t>
      </w:r>
      <w:r>
        <w:t xml:space="preserve">’s recognition of a </w:t>
      </w:r>
      <w:r w:rsidR="00A060DC">
        <w:t>VCS</w:t>
      </w:r>
      <w:r>
        <w:t xml:space="preserve"> communicate</w:t>
      </w:r>
      <w:r w:rsidR="006910F0">
        <w:t>s</w:t>
      </w:r>
      <w:r>
        <w:t xml:space="preserve"> to FDA staff and external stakeholders that </w:t>
      </w:r>
      <w:r w:rsidR="00B56A0D">
        <w:t xml:space="preserve">FDA has evaluated </w:t>
      </w:r>
      <w:r>
        <w:t xml:space="preserve">a </w:t>
      </w:r>
      <w:r w:rsidR="00A060DC">
        <w:t>VCS</w:t>
      </w:r>
      <w:r w:rsidR="00B56A0D">
        <w:t xml:space="preserve"> </w:t>
      </w:r>
      <w:r w:rsidR="0022261E">
        <w:t>and</w:t>
      </w:r>
      <w:r>
        <w:t xml:space="preserve"> </w:t>
      </w:r>
      <w:r w:rsidR="00911B8E">
        <w:t>ha</w:t>
      </w:r>
      <w:r w:rsidR="009E7381">
        <w:t>s</w:t>
      </w:r>
      <w:r w:rsidR="00911B8E">
        <w:t xml:space="preserve"> </w:t>
      </w:r>
      <w:r w:rsidR="004064CB">
        <w:t xml:space="preserve">generally </w:t>
      </w:r>
      <w:r>
        <w:t xml:space="preserve">found </w:t>
      </w:r>
      <w:r w:rsidR="00911B8E">
        <w:t>it</w:t>
      </w:r>
      <w:r w:rsidR="006910F0">
        <w:t>,</w:t>
      </w:r>
      <w:r w:rsidR="00911B8E">
        <w:t xml:space="preserve"> </w:t>
      </w:r>
      <w:r w:rsidR="006D149D">
        <w:t>in whole or in part</w:t>
      </w:r>
      <w:r w:rsidR="00FF3215">
        <w:t>,</w:t>
      </w:r>
      <w:r w:rsidR="006D149D">
        <w:t xml:space="preserve"> </w:t>
      </w:r>
      <w:r w:rsidR="004064CB">
        <w:t xml:space="preserve">appropriate for the </w:t>
      </w:r>
      <w:r w:rsidR="00F76D62">
        <w:t xml:space="preserve">development and </w:t>
      </w:r>
      <w:r w:rsidR="004064CB">
        <w:t>review of RMT products</w:t>
      </w:r>
      <w:r>
        <w:t xml:space="preserve">. </w:t>
      </w:r>
      <w:r w:rsidR="00E67D7F">
        <w:t xml:space="preserve"> </w:t>
      </w:r>
      <w:r>
        <w:t xml:space="preserve">Even if a </w:t>
      </w:r>
      <w:r w:rsidR="00DB0C62">
        <w:t xml:space="preserve">submitter </w:t>
      </w:r>
      <w:r>
        <w:t xml:space="preserve">decides to use one of </w:t>
      </w:r>
      <w:r w:rsidR="00D7049D">
        <w:t>CBER</w:t>
      </w:r>
      <w:r>
        <w:t xml:space="preserve">’s recognized voluntary standards, </w:t>
      </w:r>
      <w:r w:rsidR="00D7049D">
        <w:t>CBER</w:t>
      </w:r>
      <w:r>
        <w:t xml:space="preserve"> may request that the </w:t>
      </w:r>
      <w:r w:rsidR="001E51C5">
        <w:t xml:space="preserve">submitter </w:t>
      </w:r>
      <w:r>
        <w:t>provide additional information to support an application</w:t>
      </w:r>
      <w:r w:rsidR="00FA0331">
        <w:t xml:space="preserve"> when appropriate</w:t>
      </w:r>
      <w:r>
        <w:t>.</w:t>
      </w:r>
      <w:r w:rsidR="00E67D7F">
        <w:t xml:space="preserve"> </w:t>
      </w:r>
      <w:r>
        <w:t xml:space="preserve"> A</w:t>
      </w:r>
      <w:r w:rsidR="0022261E">
        <w:t>s indicated previously, a</w:t>
      </w:r>
      <w:r>
        <w:t xml:space="preserve">n applicant’s use of such recognized consensus standard is voluntary. </w:t>
      </w:r>
    </w:p>
    <w:p w:rsidR="00B43890" w:rsidP="008F02FE" w14:paraId="6BFC12E6" w14:textId="100EA5CF">
      <w:pPr>
        <w:ind w:left="720"/>
      </w:pPr>
    </w:p>
    <w:p w:rsidR="00E345CF" w:rsidP="008F02FE" w14:paraId="70B0A8EC" w14:textId="4B0B2891">
      <w:pPr>
        <w:pStyle w:val="ListParagraph"/>
        <w:numPr>
          <w:ilvl w:val="0"/>
          <w:numId w:val="7"/>
        </w:numPr>
        <w:spacing w:after="160" w:line="259" w:lineRule="auto"/>
        <w:rPr>
          <w:b/>
        </w:rPr>
      </w:pPr>
      <w:r>
        <w:rPr>
          <w:b/>
        </w:rPr>
        <w:t>Are</w:t>
      </w:r>
      <w:r w:rsidRPr="008A4C62">
        <w:rPr>
          <w:b/>
        </w:rPr>
        <w:t xml:space="preserve"> </w:t>
      </w:r>
      <w:r w:rsidR="00776A08">
        <w:rPr>
          <w:b/>
        </w:rPr>
        <w:t xml:space="preserve">electronic </w:t>
      </w:r>
      <w:r w:rsidRPr="008A4C62">
        <w:rPr>
          <w:b/>
        </w:rPr>
        <w:t xml:space="preserve">data </w:t>
      </w:r>
      <w:r w:rsidR="00776A08">
        <w:rPr>
          <w:b/>
        </w:rPr>
        <w:t xml:space="preserve">exchange </w:t>
      </w:r>
      <w:r w:rsidRPr="008A4C62">
        <w:rPr>
          <w:b/>
        </w:rPr>
        <w:t xml:space="preserve">standards included in this recognition program? </w:t>
      </w:r>
    </w:p>
    <w:p w:rsidR="00AE4050" w:rsidP="00E44ED7" w14:paraId="16C22308" w14:textId="77777777">
      <w:pPr>
        <w:pStyle w:val="ListParagraph"/>
      </w:pPr>
    </w:p>
    <w:p w:rsidR="00E345CF" w:rsidRPr="006319E0" w:rsidP="00E44ED7" w14:paraId="1963113B" w14:textId="2B4BD1F3">
      <w:pPr>
        <w:pStyle w:val="ListParagraph"/>
        <w:rPr>
          <w:vertAlign w:val="superscript"/>
        </w:rPr>
      </w:pPr>
      <w:r>
        <w:t>Electronic d</w:t>
      </w:r>
      <w:r w:rsidRPr="003C0B00">
        <w:t xml:space="preserve">ata </w:t>
      </w:r>
      <w:r>
        <w:t xml:space="preserve">exchange </w:t>
      </w:r>
      <w:r w:rsidRPr="003C0B00">
        <w:t xml:space="preserve">standards </w:t>
      </w:r>
      <w:r w:rsidR="00EB4145">
        <w:t>are</w:t>
      </w:r>
      <w:r w:rsidRPr="003C0B00">
        <w:t xml:space="preserve"> not included in the </w:t>
      </w:r>
      <w:r w:rsidR="00D7049D">
        <w:t>SRP-RMT</w:t>
      </w:r>
      <w:r w:rsidRPr="003C0B00">
        <w:t xml:space="preserve">. </w:t>
      </w:r>
      <w:r w:rsidR="00E67D7F">
        <w:t xml:space="preserve"> </w:t>
      </w:r>
      <w:r w:rsidRPr="003C0B00">
        <w:t xml:space="preserve">These types of standards are outside of the scope of the </w:t>
      </w:r>
      <w:r w:rsidR="00A060DC">
        <w:t>SRP-RMT</w:t>
      </w:r>
      <w:r w:rsidRPr="003C0B00">
        <w:t>.</w:t>
      </w:r>
      <w:r w:rsidR="006319E0">
        <w:rPr>
          <w:vertAlign w:val="superscript"/>
        </w:rPr>
        <w:t>9</w:t>
      </w:r>
    </w:p>
    <w:p w:rsidR="00B43890" w:rsidRPr="00F73695" w:rsidP="008F02FE" w14:paraId="25DB3768" w14:textId="77777777">
      <w:pPr>
        <w:ind w:left="720"/>
      </w:pPr>
    </w:p>
    <w:p w:rsidR="00E345CF" w:rsidP="008F02FE" w14:paraId="65E94AB3" w14:textId="5072C421">
      <w:pPr>
        <w:pStyle w:val="ListParagraph"/>
        <w:numPr>
          <w:ilvl w:val="0"/>
          <w:numId w:val="7"/>
        </w:numPr>
        <w:spacing w:after="160" w:line="259" w:lineRule="auto"/>
        <w:rPr>
          <w:b/>
        </w:rPr>
      </w:pPr>
      <w:r w:rsidRPr="008A4C62">
        <w:rPr>
          <w:b/>
        </w:rPr>
        <w:t xml:space="preserve">How </w:t>
      </w:r>
      <w:r w:rsidR="00C4496A">
        <w:rPr>
          <w:b/>
        </w:rPr>
        <w:t>o</w:t>
      </w:r>
      <w:r w:rsidRPr="008A4C62">
        <w:rPr>
          <w:b/>
        </w:rPr>
        <w:t xml:space="preserve">ften </w:t>
      </w:r>
      <w:r w:rsidR="00C4496A">
        <w:rPr>
          <w:b/>
        </w:rPr>
        <w:t>w</w:t>
      </w:r>
      <w:r w:rsidRPr="008A4C62">
        <w:rPr>
          <w:b/>
        </w:rPr>
        <w:t xml:space="preserve">ill </w:t>
      </w:r>
      <w:r w:rsidR="00776A08">
        <w:rPr>
          <w:b/>
        </w:rPr>
        <w:t xml:space="preserve">VCS </w:t>
      </w:r>
      <w:r w:rsidR="00C4496A">
        <w:rPr>
          <w:b/>
        </w:rPr>
        <w:t>s</w:t>
      </w:r>
      <w:r w:rsidRPr="008A4C62">
        <w:rPr>
          <w:b/>
        </w:rPr>
        <w:t xml:space="preserve">tandards </w:t>
      </w:r>
      <w:r w:rsidR="00C4496A">
        <w:rPr>
          <w:b/>
        </w:rPr>
        <w:t>b</w:t>
      </w:r>
      <w:r w:rsidRPr="008A4C62">
        <w:rPr>
          <w:b/>
        </w:rPr>
        <w:t xml:space="preserve">e </w:t>
      </w:r>
      <w:r w:rsidR="00C4496A">
        <w:rPr>
          <w:b/>
        </w:rPr>
        <w:t>r</w:t>
      </w:r>
      <w:r w:rsidRPr="008A4C62">
        <w:rPr>
          <w:b/>
        </w:rPr>
        <w:t xml:space="preserve">eviewed </w:t>
      </w:r>
      <w:r w:rsidR="00C4496A">
        <w:rPr>
          <w:b/>
        </w:rPr>
        <w:t>f</w:t>
      </w:r>
      <w:r w:rsidRPr="008A4C62">
        <w:rPr>
          <w:b/>
        </w:rPr>
        <w:t xml:space="preserve">or </w:t>
      </w:r>
      <w:r w:rsidR="00C4496A">
        <w:rPr>
          <w:b/>
        </w:rPr>
        <w:t>r</w:t>
      </w:r>
      <w:r w:rsidRPr="008A4C62">
        <w:rPr>
          <w:b/>
        </w:rPr>
        <w:t>ecognition</w:t>
      </w:r>
      <w:r>
        <w:rPr>
          <w:b/>
        </w:rPr>
        <w:t xml:space="preserve"> and where will recognized standards be posted</w:t>
      </w:r>
      <w:r w:rsidRPr="008A4C62">
        <w:rPr>
          <w:b/>
        </w:rPr>
        <w:t xml:space="preserve">? </w:t>
      </w:r>
    </w:p>
    <w:p w:rsidR="00B43890" w:rsidRPr="008A4C62" w:rsidP="008F02FE" w14:paraId="41E39E87" w14:textId="77777777">
      <w:pPr>
        <w:pStyle w:val="ListParagraph"/>
        <w:spacing w:after="160" w:line="259" w:lineRule="auto"/>
        <w:rPr>
          <w:b/>
        </w:rPr>
      </w:pPr>
    </w:p>
    <w:p w:rsidR="00E345CF" w:rsidP="00B7572B" w14:paraId="3DFEF3AE" w14:textId="23E17C0D">
      <w:pPr>
        <w:pStyle w:val="ListParagraph"/>
      </w:pPr>
      <w:r>
        <w:t>FDA</w:t>
      </w:r>
      <w:r w:rsidR="00CE6382">
        <w:t xml:space="preserve"> intends to review v</w:t>
      </w:r>
      <w:r w:rsidR="00717DA3">
        <w:t>oluntary c</w:t>
      </w:r>
      <w:r>
        <w:t xml:space="preserve">onsensus standards for recognition throughout the year. </w:t>
      </w:r>
      <w:r w:rsidR="007B30D3">
        <w:t xml:space="preserve"> </w:t>
      </w:r>
      <w:r w:rsidR="002A32B9">
        <w:t xml:space="preserve">FDA </w:t>
      </w:r>
      <w:r w:rsidR="00A852BE">
        <w:t>intends</w:t>
      </w:r>
      <w:r w:rsidR="002A32B9">
        <w:t xml:space="preserve"> to</w:t>
      </w:r>
      <w:r>
        <w:t xml:space="preserve"> </w:t>
      </w:r>
      <w:r w:rsidR="002A32B9">
        <w:t>update its</w:t>
      </w:r>
      <w:r>
        <w:t xml:space="preserve"> list of recognized consensus standards</w:t>
      </w:r>
      <w:r w:rsidR="002A32B9">
        <w:t xml:space="preserve"> twice a year</w:t>
      </w:r>
      <w:r>
        <w:t xml:space="preserve"> on the </w:t>
      </w:r>
      <w:r w:rsidR="00B04091">
        <w:t>FDA</w:t>
      </w:r>
      <w:r>
        <w:t xml:space="preserve"> </w:t>
      </w:r>
      <w:r w:rsidR="003D2C74">
        <w:t xml:space="preserve">Regenerative Medicine website </w:t>
      </w:r>
      <w:hyperlink r:id="rId18" w:history="1">
        <w:r w:rsidRPr="001170E5" w:rsidR="003D2C74">
          <w:rPr>
            <w:rStyle w:val="Hyperlink"/>
          </w:rPr>
          <w:t>https://www.fda.gov/vaccines-blood-biologics/cellular-gene-therapy-products/framework-regulation-regenerative-medicine-products</w:t>
        </w:r>
      </w:hyperlink>
      <w:r w:rsidR="005A60A1">
        <w:t>.</w:t>
      </w:r>
      <w:r w:rsidR="007B30D3">
        <w:t xml:space="preserve"> </w:t>
      </w:r>
      <w:r w:rsidR="005A60A1">
        <w:t xml:space="preserve"> </w:t>
      </w:r>
      <w:r>
        <w:t xml:space="preserve">Each recognized standard will be accompanied </w:t>
      </w:r>
      <w:r w:rsidR="002977EE">
        <w:t xml:space="preserve">by </w:t>
      </w:r>
      <w:r>
        <w:t>a</w:t>
      </w:r>
      <w:r w:rsidR="00C33B09">
        <w:t>n</w:t>
      </w:r>
      <w:r>
        <w:t xml:space="preserve"> </w:t>
      </w:r>
      <w:r w:rsidR="008074A5">
        <w:t>SRS</w:t>
      </w:r>
      <w:r>
        <w:t>, which outlines the scope</w:t>
      </w:r>
      <w:r w:rsidR="00D961F0">
        <w:t xml:space="preserve"> and extent </w:t>
      </w:r>
      <w:r>
        <w:t>of recognition</w:t>
      </w:r>
      <w:r w:rsidR="005A60A1">
        <w:t xml:space="preserve">. </w:t>
      </w:r>
    </w:p>
    <w:p w:rsidR="00B43890" w:rsidP="008F02FE" w14:paraId="78D726A2" w14:textId="77777777">
      <w:pPr>
        <w:pStyle w:val="ListParagraph"/>
      </w:pPr>
    </w:p>
    <w:p w:rsidR="00E345CF" w:rsidRPr="008A4C62" w:rsidP="008F02FE" w14:paraId="70F21F8B" w14:textId="0620109B">
      <w:pPr>
        <w:pStyle w:val="ListParagraph"/>
        <w:numPr>
          <w:ilvl w:val="0"/>
          <w:numId w:val="7"/>
        </w:numPr>
        <w:spacing w:after="160" w:line="259" w:lineRule="auto"/>
        <w:rPr>
          <w:b/>
        </w:rPr>
      </w:pPr>
      <w:r w:rsidRPr="008A4C62">
        <w:rPr>
          <w:b/>
        </w:rPr>
        <w:t>When</w:t>
      </w:r>
      <w:r w:rsidR="00271D56">
        <w:rPr>
          <w:b/>
        </w:rPr>
        <w:t xml:space="preserve"> a</w:t>
      </w:r>
      <w:r w:rsidR="00776A08">
        <w:rPr>
          <w:b/>
        </w:rPr>
        <w:t>n SRP-RMT</w:t>
      </w:r>
      <w:r w:rsidR="00271D56">
        <w:rPr>
          <w:b/>
        </w:rPr>
        <w:t xml:space="preserve"> recognized</w:t>
      </w:r>
      <w:r w:rsidRPr="008A4C62">
        <w:rPr>
          <w:b/>
        </w:rPr>
        <w:t xml:space="preserve"> standard </w:t>
      </w:r>
      <w:r w:rsidR="00271D56">
        <w:rPr>
          <w:b/>
        </w:rPr>
        <w:t>is</w:t>
      </w:r>
      <w:r w:rsidRPr="008A4C62">
        <w:rPr>
          <w:b/>
        </w:rPr>
        <w:t xml:space="preserve"> updated</w:t>
      </w:r>
      <w:r w:rsidR="00271D56">
        <w:rPr>
          <w:b/>
        </w:rPr>
        <w:t xml:space="preserve"> by an SDO</w:t>
      </w:r>
      <w:r w:rsidRPr="008A4C62">
        <w:rPr>
          <w:b/>
        </w:rPr>
        <w:t xml:space="preserve">, </w:t>
      </w:r>
      <w:r w:rsidR="00271D56">
        <w:rPr>
          <w:b/>
        </w:rPr>
        <w:t>will the updated</w:t>
      </w:r>
      <w:r w:rsidR="00B04091">
        <w:rPr>
          <w:b/>
        </w:rPr>
        <w:t xml:space="preserve"> standard</w:t>
      </w:r>
      <w:r w:rsidRPr="008A4C62">
        <w:rPr>
          <w:b/>
        </w:rPr>
        <w:t xml:space="preserve"> automatically</w:t>
      </w:r>
      <w:r w:rsidR="00271D56">
        <w:rPr>
          <w:b/>
        </w:rPr>
        <w:t xml:space="preserve"> be</w:t>
      </w:r>
      <w:r w:rsidRPr="008A4C62">
        <w:rPr>
          <w:b/>
        </w:rPr>
        <w:t xml:space="preserve"> </w:t>
      </w:r>
      <w:r w:rsidRPr="008A4C62">
        <w:rPr>
          <w:b/>
        </w:rPr>
        <w:t>recognized</w:t>
      </w:r>
      <w:r w:rsidRPr="008A4C62">
        <w:rPr>
          <w:b/>
        </w:rPr>
        <w:t xml:space="preserve"> or will the standard be re-reviewed for recognition? </w:t>
      </w:r>
    </w:p>
    <w:p w:rsidR="00AE4050" w:rsidP="00FC30FE" w14:paraId="0A581D10" w14:textId="77777777">
      <w:pPr>
        <w:pStyle w:val="ListParagraph"/>
      </w:pPr>
    </w:p>
    <w:p w:rsidR="00C211D0" w:rsidP="00FC30FE" w14:paraId="30FC665A" w14:textId="7E547D4E">
      <w:pPr>
        <w:pStyle w:val="ListParagraph"/>
      </w:pPr>
      <w:r w:rsidRPr="008A4C62">
        <w:t xml:space="preserve">Standards are typically reviewed by the SDOs every 5 years to ensure that the standard continues to be relevant and to assess whether the standard needs to be updated because of advances in technology. </w:t>
      </w:r>
      <w:r w:rsidR="00CE7262">
        <w:t xml:space="preserve"> </w:t>
      </w:r>
      <w:r w:rsidRPr="008A4C62">
        <w:t xml:space="preserve">If </w:t>
      </w:r>
      <w:r w:rsidR="00C910AA">
        <w:t>a</w:t>
      </w:r>
      <w:r w:rsidR="00DC1567">
        <w:t>n</w:t>
      </w:r>
      <w:r w:rsidR="00C910AA">
        <w:t xml:space="preserve"> SRP-</w:t>
      </w:r>
      <w:r w:rsidRPr="00B76EB3" w:rsidR="00C910AA">
        <w:t>RMT</w:t>
      </w:r>
      <w:r w:rsidRPr="00B76EB3" w:rsidR="00541F89">
        <w:t xml:space="preserve"> </w:t>
      </w:r>
      <w:r w:rsidRPr="00B76EB3">
        <w:t xml:space="preserve">recognized consensus standard is revised and an updated version is published by an SDO, </w:t>
      </w:r>
      <w:r w:rsidR="002A32B9">
        <w:t>FDA</w:t>
      </w:r>
      <w:r w:rsidRPr="00B76EB3">
        <w:t xml:space="preserve"> will </w:t>
      </w:r>
      <w:r w:rsidR="007B142C">
        <w:t xml:space="preserve">typically </w:t>
      </w:r>
      <w:r w:rsidR="002A32B9">
        <w:t>review it</w:t>
      </w:r>
      <w:r w:rsidRPr="00B76EB3">
        <w:t xml:space="preserve"> using the </w:t>
      </w:r>
      <w:r w:rsidRPr="00B76EB3">
        <w:t xml:space="preserve">internal process and criteria described in </w:t>
      </w:r>
      <w:r w:rsidR="00CE7262">
        <w:t>s</w:t>
      </w:r>
      <w:r w:rsidRPr="00B76EB3">
        <w:t xml:space="preserve">ection </w:t>
      </w:r>
      <w:r w:rsidRPr="00B76EB3" w:rsidR="00807658">
        <w:t>V</w:t>
      </w:r>
      <w:r w:rsidR="00CE7262">
        <w:t xml:space="preserve"> of this guidance</w:t>
      </w:r>
      <w:r w:rsidRPr="00B76EB3" w:rsidR="00807658">
        <w:t xml:space="preserve"> </w:t>
      </w:r>
      <w:r w:rsidRPr="00B76EB3">
        <w:t>to determine</w:t>
      </w:r>
      <w:r>
        <w:t xml:space="preserve"> if the new changes</w:t>
      </w:r>
      <w:r w:rsidR="00541F89">
        <w:t xml:space="preserve"> affect the recognition status in the </w:t>
      </w:r>
      <w:r w:rsidR="00C910AA">
        <w:t>SRP-RMT program.</w:t>
      </w:r>
      <w:r w:rsidR="00CE7262">
        <w:t xml:space="preserve"> </w:t>
      </w:r>
      <w:r w:rsidR="00541F89">
        <w:t xml:space="preserve"> </w:t>
      </w:r>
      <w:r w:rsidR="002A32B9">
        <w:t>Unless and u</w:t>
      </w:r>
      <w:r w:rsidR="00C65441">
        <w:t>ntil the new version is recognized, the earlier version will</w:t>
      </w:r>
      <w:r w:rsidR="00AB1DDF">
        <w:t xml:space="preserve"> generally</w:t>
      </w:r>
      <w:r w:rsidR="00C65441">
        <w:t xml:space="preserve"> remain </w:t>
      </w:r>
      <w:r w:rsidR="00F07581">
        <w:t>recognized in the</w:t>
      </w:r>
      <w:r w:rsidR="00C65441">
        <w:t xml:space="preserve"> SRP</w:t>
      </w:r>
      <w:r w:rsidR="00C910AA">
        <w:t>-RMT</w:t>
      </w:r>
      <w:r w:rsidR="00C65441">
        <w:t>.</w:t>
      </w:r>
    </w:p>
    <w:bookmarkEnd w:id="27"/>
    <w:bookmarkEnd w:id="28"/>
    <w:bookmarkEnd w:id="29"/>
    <w:bookmarkEnd w:id="30"/>
    <w:bookmarkEnd w:id="31"/>
    <w:p w:rsidR="00AE4050" w14:paraId="7C72DA06" w14:textId="77777777"/>
    <w:p w:rsidR="006777D1" w:rsidP="006777D1" w14:paraId="6A89BB68" w14:textId="77777777"/>
    <w:p w:rsidR="00243F7D" w:rsidP="006669E0" w14:paraId="51D7FF69" w14:textId="6E45C1D6">
      <w:pPr>
        <w:pStyle w:val="Heading1"/>
        <w:rPr>
          <w:szCs w:val="96"/>
        </w:rPr>
      </w:pPr>
      <w:bookmarkStart w:id="34" w:name="_Toc31291693"/>
      <w:bookmarkStart w:id="35" w:name="_Toc136850430"/>
      <w:r>
        <w:rPr>
          <w:spacing w:val="-1"/>
        </w:rPr>
        <w:t>PAPERWORK</w:t>
      </w:r>
      <w:r>
        <w:rPr>
          <w:spacing w:val="-2"/>
        </w:rPr>
        <w:t xml:space="preserve"> </w:t>
      </w:r>
      <w:r>
        <w:t>REDUCTION</w:t>
      </w:r>
      <w:r>
        <w:rPr>
          <w:spacing w:val="-1"/>
        </w:rPr>
        <w:t xml:space="preserve"> ACT</w:t>
      </w:r>
      <w:r>
        <w:t xml:space="preserve"> OF</w:t>
      </w:r>
      <w:r>
        <w:rPr>
          <w:spacing w:val="-3"/>
        </w:rPr>
        <w:t xml:space="preserve"> </w:t>
      </w:r>
      <w:r>
        <w:t>1995</w:t>
      </w:r>
      <w:bookmarkEnd w:id="34"/>
      <w:bookmarkEnd w:id="35"/>
    </w:p>
    <w:p w:rsidR="00A461B9" w:rsidRPr="003C523A" w:rsidP="006777D1" w14:paraId="11A1A1FA" w14:textId="666E3157">
      <w:r>
        <w:t xml:space="preserve">  </w:t>
      </w:r>
    </w:p>
    <w:p w:rsidR="00E37771" w:rsidP="00CB22CB" w14:paraId="14435309" w14:textId="38D143BA">
      <w:r>
        <w:t xml:space="preserve">This guidance contains information collection provisions that are subject to review by the Office of Management and Budget (OMB) under the Paperwork Reduction Act of 1995 (44 U.S.C. 3501-3521). The time required to complete this information collection is estimated to average </w:t>
      </w:r>
      <w:r w:rsidR="007D1B2B">
        <w:t>3 hours</w:t>
      </w:r>
      <w:r>
        <w:t xml:space="preserve"> per response, including the time to review instructions, search existing data sources, gather the data needed, and complete and review the information collection. Send comments regarding this burden estimate or suggestions for reducing this burden to: </w:t>
      </w:r>
    </w:p>
    <w:p w:rsidR="00E37771" w:rsidP="00CB22CB" w14:paraId="0DA529C8" w14:textId="77777777"/>
    <w:p w:rsidR="00146EE6" w:rsidP="00146EE6" w14:paraId="5F825EB2" w14:textId="77777777">
      <w:pPr>
        <w:pStyle w:val="BodyText"/>
        <w:ind w:left="840"/>
      </w:pPr>
      <w:r>
        <w:rPr>
          <w:spacing w:val="-1"/>
        </w:rPr>
        <w:t>Food</w:t>
      </w:r>
      <w:r>
        <w:t xml:space="preserve"> </w:t>
      </w:r>
      <w:r>
        <w:rPr>
          <w:spacing w:val="-1"/>
        </w:rPr>
        <w:t>and</w:t>
      </w:r>
      <w:r>
        <w:t xml:space="preserve"> Drug</w:t>
      </w:r>
      <w:r>
        <w:rPr>
          <w:spacing w:val="-3"/>
        </w:rPr>
        <w:t xml:space="preserve"> </w:t>
      </w:r>
      <w:r>
        <w:rPr>
          <w:spacing w:val="-1"/>
        </w:rPr>
        <w:t>Administration</w:t>
      </w:r>
    </w:p>
    <w:p w:rsidR="00146EE6" w:rsidP="00146EE6" w14:paraId="2777ADA1" w14:textId="77777777">
      <w:pPr>
        <w:pStyle w:val="BodyText"/>
        <w:spacing w:before="5"/>
        <w:ind w:left="840" w:right="2279"/>
        <w:rPr>
          <w:spacing w:val="65"/>
        </w:rPr>
      </w:pPr>
      <w:r>
        <w:rPr>
          <w:spacing w:val="-1"/>
        </w:rPr>
        <w:t>Center for</w:t>
      </w:r>
      <w:r>
        <w:rPr>
          <w:spacing w:val="1"/>
        </w:rPr>
        <w:t xml:space="preserve"> </w:t>
      </w:r>
      <w:r>
        <w:rPr>
          <w:spacing w:val="-1"/>
        </w:rPr>
        <w:t>Biologics</w:t>
      </w:r>
      <w:r>
        <w:t xml:space="preserve"> </w:t>
      </w:r>
      <w:r>
        <w:rPr>
          <w:spacing w:val="-1"/>
        </w:rPr>
        <w:t>Evaluation</w:t>
      </w:r>
      <w:r>
        <w:t xml:space="preserve"> </w:t>
      </w:r>
      <w:r>
        <w:rPr>
          <w:spacing w:val="-1"/>
        </w:rPr>
        <w:t>and</w:t>
      </w:r>
      <w:r>
        <w:t xml:space="preserve"> </w:t>
      </w:r>
      <w:r>
        <w:rPr>
          <w:spacing w:val="-1"/>
        </w:rPr>
        <w:t>Research</w:t>
      </w:r>
      <w:r>
        <w:t xml:space="preserve"> </w:t>
      </w:r>
    </w:p>
    <w:p w:rsidR="00267AD2" w:rsidP="00146EE6" w14:paraId="5684CEFE" w14:textId="77777777">
      <w:pPr>
        <w:pStyle w:val="BodyText"/>
        <w:spacing w:before="2"/>
        <w:ind w:left="840"/>
      </w:pPr>
      <w:r>
        <w:t>10903 New Hampshire Ave., Bldg. 71, Rm. 7301</w:t>
      </w:r>
    </w:p>
    <w:p w:rsidR="00B50DCF" w:rsidP="00CB22CB" w14:paraId="045FBC8D" w14:textId="4C2C73A8">
      <w:r>
        <w:t>Silver Spring, MD 20993-0002</w:t>
      </w:r>
    </w:p>
    <w:p w:rsidR="00CB22CB" w:rsidP="00CB22CB" w14:paraId="7028291E" w14:textId="3061AE71"/>
    <w:p w:rsidR="00B6203E" w:rsidP="00CB22CB" w14:paraId="2E6DFAEC" w14:textId="246D4142">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687695" cy="1009650"/>
                <wp:effectExtent l="0" t="0" r="27305" b="1905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687695" cy="1009650"/>
                        </a:xfrm>
                        <a:prstGeom prst="rect">
                          <a:avLst/>
                        </a:prstGeom>
                        <a:solidFill>
                          <a:schemeClr val="lt1"/>
                        </a:solidFill>
                        <a:ln w="19050" cmpd="dbl">
                          <a:solidFill>
                            <a:prstClr val="black"/>
                          </a:solidFill>
                        </a:ln>
                      </wps:spPr>
                      <wps:txbx>
                        <w:txbxContent>
                          <w:p w:rsidR="00EB14D6" w:rsidP="00EB14D6" w14:textId="3089022C">
                            <w:pPr>
                              <w:spacing w:before="12"/>
                              <w:ind w:left="108" w:right="171"/>
                              <w:rPr>
                                <w:spacing w:val="-1"/>
                              </w:rPr>
                            </w:pPr>
                            <w:r>
                              <w:rPr>
                                <w:spacing w:val="-1"/>
                              </w:rPr>
                              <w:t>An</w:t>
                            </w:r>
                            <w:r>
                              <w:t xml:space="preserve"> agency</w:t>
                            </w:r>
                            <w:r>
                              <w:rPr>
                                <w:spacing w:val="-5"/>
                              </w:rPr>
                              <w:t xml:space="preserve"> </w:t>
                            </w:r>
                            <w:r>
                              <w:rPr>
                                <w:spacing w:val="1"/>
                              </w:rPr>
                              <w:t>may</w:t>
                            </w:r>
                            <w:r>
                              <w:rPr>
                                <w:spacing w:val="-5"/>
                              </w:rPr>
                              <w:t xml:space="preserve"> </w:t>
                            </w:r>
                            <w:r>
                              <w:t>not conduct or</w:t>
                            </w:r>
                            <w:r>
                              <w:rPr>
                                <w:spacing w:val="-1"/>
                              </w:rPr>
                              <w:t xml:space="preserve"> sponsor,</w:t>
                            </w:r>
                            <w:r>
                              <w:t xml:space="preserve"> </w:t>
                            </w:r>
                            <w:r>
                              <w:rPr>
                                <w:spacing w:val="-1"/>
                              </w:rPr>
                              <w:t>and</w:t>
                            </w:r>
                            <w:r>
                              <w:t xml:space="preserve"> a</w:t>
                            </w:r>
                            <w:r>
                              <w:rPr>
                                <w:spacing w:val="-1"/>
                              </w:rPr>
                              <w:t xml:space="preserve"> </w:t>
                            </w:r>
                            <w:r>
                              <w:t xml:space="preserve">person is not </w:t>
                            </w:r>
                            <w:r>
                              <w:rPr>
                                <w:spacing w:val="-1"/>
                              </w:rPr>
                              <w:t>required</w:t>
                            </w:r>
                            <w:r>
                              <w:t xml:space="preserve"> to respond to, a</w:t>
                            </w:r>
                            <w:r>
                              <w:rPr>
                                <w:spacing w:val="32"/>
                              </w:rPr>
                              <w:t xml:space="preserve"> </w:t>
                            </w:r>
                            <w:r>
                              <w:rPr>
                                <w:spacing w:val="-1"/>
                              </w:rPr>
                              <w:t>collection</w:t>
                            </w:r>
                            <w:r>
                              <w:t xml:space="preserve"> of</w:t>
                            </w:r>
                            <w:r>
                              <w:rPr>
                                <w:spacing w:val="-1"/>
                              </w:rPr>
                              <w:t xml:space="preserve"> information</w:t>
                            </w:r>
                            <w:r>
                              <w:rPr>
                                <w:spacing w:val="2"/>
                              </w:rPr>
                              <w:t xml:space="preserve"> </w:t>
                            </w:r>
                            <w:r>
                              <w:rPr>
                                <w:spacing w:val="-1"/>
                              </w:rPr>
                              <w:t>unless</w:t>
                            </w:r>
                            <w:r>
                              <w:t xml:space="preserve"> it </w:t>
                            </w:r>
                            <w:r>
                              <w:rPr>
                                <w:spacing w:val="-1"/>
                              </w:rPr>
                              <w:t>displays</w:t>
                            </w:r>
                            <w:r>
                              <w:rPr>
                                <w:spacing w:val="2"/>
                              </w:rPr>
                              <w:t xml:space="preserve"> </w:t>
                            </w:r>
                            <w:r>
                              <w:t>a</w:t>
                            </w:r>
                            <w:r>
                              <w:rPr>
                                <w:spacing w:val="-1"/>
                              </w:rPr>
                              <w:t xml:space="preserve"> </w:t>
                            </w:r>
                            <w:r>
                              <w:t>currently</w:t>
                            </w:r>
                            <w:r>
                              <w:rPr>
                                <w:spacing w:val="-5"/>
                              </w:rPr>
                              <w:t xml:space="preserve"> </w:t>
                            </w:r>
                            <w:r>
                              <w:rPr>
                                <w:spacing w:val="-1"/>
                              </w:rPr>
                              <w:t>valid</w:t>
                            </w:r>
                            <w:r>
                              <w:t xml:space="preserve"> </w:t>
                            </w:r>
                            <w:r>
                              <w:rPr>
                                <w:spacing w:val="-1"/>
                              </w:rPr>
                              <w:t>OMB</w:t>
                            </w:r>
                            <w:r>
                              <w:t xml:space="preserve"> </w:t>
                            </w:r>
                            <w:r>
                              <w:rPr>
                                <w:spacing w:val="-1"/>
                              </w:rPr>
                              <w:t>control</w:t>
                            </w:r>
                            <w:r>
                              <w:t xml:space="preserve"> </w:t>
                            </w:r>
                            <w:r>
                              <w:rPr>
                                <w:spacing w:val="-1"/>
                              </w:rPr>
                              <w:t>number.</w:t>
                            </w:r>
                            <w:r>
                              <w:rPr>
                                <w:spacing w:val="60"/>
                              </w:rPr>
                              <w:t xml:space="preserve"> </w:t>
                            </w:r>
                            <w:r>
                              <w:rPr>
                                <w:spacing w:val="-1"/>
                              </w:rPr>
                              <w:t>The</w:t>
                            </w:r>
                            <w:r>
                              <w:rPr>
                                <w:spacing w:val="79"/>
                              </w:rPr>
                              <w:t xml:space="preserve"> </w:t>
                            </w:r>
                            <w:r>
                              <w:rPr>
                                <w:spacing w:val="-1"/>
                              </w:rPr>
                              <w:t>OMB</w:t>
                            </w:r>
                            <w:r>
                              <w:rPr>
                                <w:spacing w:val="-2"/>
                              </w:rPr>
                              <w:t xml:space="preserve"> </w:t>
                            </w:r>
                            <w:r>
                              <w:rPr>
                                <w:spacing w:val="-1"/>
                              </w:rPr>
                              <w:t>control</w:t>
                            </w:r>
                            <w:r>
                              <w:t xml:space="preserve"> </w:t>
                            </w:r>
                            <w:r>
                              <w:rPr>
                                <w:spacing w:val="-1"/>
                              </w:rPr>
                              <w:t>number for</w:t>
                            </w:r>
                            <w:r>
                              <w:rPr>
                                <w:spacing w:val="1"/>
                              </w:rPr>
                              <w:t xml:space="preserve"> </w:t>
                            </w:r>
                            <w:r>
                              <w:t xml:space="preserve">this </w:t>
                            </w:r>
                            <w:r>
                              <w:rPr>
                                <w:spacing w:val="-1"/>
                              </w:rPr>
                              <w:t>information</w:t>
                            </w:r>
                            <w:r>
                              <w:t xml:space="preserve"> </w:t>
                            </w:r>
                            <w:r>
                              <w:rPr>
                                <w:spacing w:val="-1"/>
                              </w:rPr>
                              <w:t>collection</w:t>
                            </w:r>
                            <w:r>
                              <w:t xml:space="preserve"> is </w:t>
                            </w:r>
                            <w:r>
                              <w:rPr>
                                <w:spacing w:val="-1"/>
                              </w:rPr>
                              <w:t>0910-0</w:t>
                            </w:r>
                            <w:r w:rsidR="00C566D3">
                              <w:rPr>
                                <w:spacing w:val="-1"/>
                              </w:rPr>
                              <w:t>338.</w:t>
                            </w:r>
                            <w:r>
                              <w:t xml:space="preserve"> </w:t>
                            </w:r>
                            <w:r w:rsidR="00C566D3">
                              <w:rPr>
                                <w:spacing w:val="-1"/>
                              </w:rPr>
                              <w:t xml:space="preserve">To </w:t>
                            </w:r>
                            <w:r>
                              <w:rPr>
                                <w:spacing w:val="-1"/>
                              </w:rPr>
                              <w:t xml:space="preserve">find the current expiration date, search for this OMB control number at </w:t>
                            </w:r>
                            <w:hyperlink r:id="rId19" w:history="1">
                              <w:r>
                                <w:rPr>
                                  <w:rStyle w:val="Hyperlink"/>
                                  <w:spacing w:val="-1"/>
                                </w:rPr>
                                <w:t>https://www.reginfo.gov</w:t>
                              </w:r>
                            </w:hyperlink>
                            <w:r>
                              <w:rPr>
                                <w:spacing w:val="-1"/>
                              </w:rPr>
                              <w:t>).</w:t>
                            </w:r>
                          </w:p>
                          <w:p w:rsidR="00EB14D6" w:rsidP="00EB14D6" w14:textId="77777777">
                            <w:pPr>
                              <w:rPr>
                                <w:rFonts w:asciiTheme="minorHAnsi"/>
                                <w:sz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5" type="#_x0000_t202" style="width:447.85pt;height:79.5pt;margin-top:-0.05pt;margin-left:0;mso-height-percent:0;mso-height-relative:margin;mso-width-percent:0;mso-width-relative:page;mso-wrap-distance-bottom:0;mso-wrap-distance-left:9pt;mso-wrap-distance-right:9pt;mso-wrap-distance-top:0;mso-wrap-style:square;position:absolute;visibility:visible;v-text-anchor:top;z-index:251659264" fillcolor="white" strokeweight="1.5pt">
                <v:stroke linestyle="thinThin"/>
                <v:textbox>
                  <w:txbxContent>
                    <w:p w:rsidR="00EB14D6" w:rsidP="00EB14D6" w14:paraId="0C4EA4D3" w14:textId="3089022C">
                      <w:pPr>
                        <w:spacing w:before="12"/>
                        <w:ind w:left="108" w:right="171"/>
                        <w:rPr>
                          <w:spacing w:val="-1"/>
                        </w:rPr>
                      </w:pPr>
                      <w:r>
                        <w:rPr>
                          <w:spacing w:val="-1"/>
                        </w:rPr>
                        <w:t>An</w:t>
                      </w:r>
                      <w:r>
                        <w:t xml:space="preserve"> agency</w:t>
                      </w:r>
                      <w:r>
                        <w:rPr>
                          <w:spacing w:val="-5"/>
                        </w:rPr>
                        <w:t xml:space="preserve"> </w:t>
                      </w:r>
                      <w:r>
                        <w:rPr>
                          <w:spacing w:val="1"/>
                        </w:rPr>
                        <w:t>may</w:t>
                      </w:r>
                      <w:r>
                        <w:rPr>
                          <w:spacing w:val="-5"/>
                        </w:rPr>
                        <w:t xml:space="preserve"> </w:t>
                      </w:r>
                      <w:r>
                        <w:t>not conduct or</w:t>
                      </w:r>
                      <w:r>
                        <w:rPr>
                          <w:spacing w:val="-1"/>
                        </w:rPr>
                        <w:t xml:space="preserve"> sponsor,</w:t>
                      </w:r>
                      <w:r>
                        <w:t xml:space="preserve"> </w:t>
                      </w:r>
                      <w:r>
                        <w:rPr>
                          <w:spacing w:val="-1"/>
                        </w:rPr>
                        <w:t>and</w:t>
                      </w:r>
                      <w:r>
                        <w:t xml:space="preserve"> a</w:t>
                      </w:r>
                      <w:r>
                        <w:rPr>
                          <w:spacing w:val="-1"/>
                        </w:rPr>
                        <w:t xml:space="preserve"> </w:t>
                      </w:r>
                      <w:r>
                        <w:t xml:space="preserve">person is not </w:t>
                      </w:r>
                      <w:r>
                        <w:rPr>
                          <w:spacing w:val="-1"/>
                        </w:rPr>
                        <w:t>required</w:t>
                      </w:r>
                      <w:r>
                        <w:t xml:space="preserve"> to respond to, a</w:t>
                      </w:r>
                      <w:r>
                        <w:rPr>
                          <w:spacing w:val="32"/>
                        </w:rPr>
                        <w:t xml:space="preserve"> </w:t>
                      </w:r>
                      <w:r>
                        <w:rPr>
                          <w:spacing w:val="-1"/>
                        </w:rPr>
                        <w:t>collection</w:t>
                      </w:r>
                      <w:r>
                        <w:t xml:space="preserve"> of</w:t>
                      </w:r>
                      <w:r>
                        <w:rPr>
                          <w:spacing w:val="-1"/>
                        </w:rPr>
                        <w:t xml:space="preserve"> information</w:t>
                      </w:r>
                      <w:r>
                        <w:rPr>
                          <w:spacing w:val="2"/>
                        </w:rPr>
                        <w:t xml:space="preserve"> </w:t>
                      </w:r>
                      <w:r>
                        <w:rPr>
                          <w:spacing w:val="-1"/>
                        </w:rPr>
                        <w:t>unless</w:t>
                      </w:r>
                      <w:r>
                        <w:t xml:space="preserve"> it </w:t>
                      </w:r>
                      <w:r>
                        <w:rPr>
                          <w:spacing w:val="-1"/>
                        </w:rPr>
                        <w:t>displays</w:t>
                      </w:r>
                      <w:r>
                        <w:rPr>
                          <w:spacing w:val="2"/>
                        </w:rPr>
                        <w:t xml:space="preserve"> </w:t>
                      </w:r>
                      <w:r>
                        <w:t>a</w:t>
                      </w:r>
                      <w:r>
                        <w:rPr>
                          <w:spacing w:val="-1"/>
                        </w:rPr>
                        <w:t xml:space="preserve"> </w:t>
                      </w:r>
                      <w:r>
                        <w:t>currently</w:t>
                      </w:r>
                      <w:r>
                        <w:rPr>
                          <w:spacing w:val="-5"/>
                        </w:rPr>
                        <w:t xml:space="preserve"> </w:t>
                      </w:r>
                      <w:r>
                        <w:rPr>
                          <w:spacing w:val="-1"/>
                        </w:rPr>
                        <w:t>valid</w:t>
                      </w:r>
                      <w:r>
                        <w:t xml:space="preserve"> </w:t>
                      </w:r>
                      <w:r>
                        <w:rPr>
                          <w:spacing w:val="-1"/>
                        </w:rPr>
                        <w:t>OMB</w:t>
                      </w:r>
                      <w:r>
                        <w:t xml:space="preserve"> </w:t>
                      </w:r>
                      <w:r>
                        <w:rPr>
                          <w:spacing w:val="-1"/>
                        </w:rPr>
                        <w:t>control</w:t>
                      </w:r>
                      <w:r>
                        <w:t xml:space="preserve"> </w:t>
                      </w:r>
                      <w:r>
                        <w:rPr>
                          <w:spacing w:val="-1"/>
                        </w:rPr>
                        <w:t>number.</w:t>
                      </w:r>
                      <w:r>
                        <w:rPr>
                          <w:spacing w:val="60"/>
                        </w:rPr>
                        <w:t xml:space="preserve"> </w:t>
                      </w:r>
                      <w:r>
                        <w:rPr>
                          <w:spacing w:val="-1"/>
                        </w:rPr>
                        <w:t>The</w:t>
                      </w:r>
                      <w:r>
                        <w:rPr>
                          <w:spacing w:val="79"/>
                        </w:rPr>
                        <w:t xml:space="preserve"> </w:t>
                      </w:r>
                      <w:r>
                        <w:rPr>
                          <w:spacing w:val="-1"/>
                        </w:rPr>
                        <w:t>OMB</w:t>
                      </w:r>
                      <w:r>
                        <w:rPr>
                          <w:spacing w:val="-2"/>
                        </w:rPr>
                        <w:t xml:space="preserve"> </w:t>
                      </w:r>
                      <w:r>
                        <w:rPr>
                          <w:spacing w:val="-1"/>
                        </w:rPr>
                        <w:t>control</w:t>
                      </w:r>
                      <w:r>
                        <w:t xml:space="preserve"> </w:t>
                      </w:r>
                      <w:r>
                        <w:rPr>
                          <w:spacing w:val="-1"/>
                        </w:rPr>
                        <w:t>number for</w:t>
                      </w:r>
                      <w:r>
                        <w:rPr>
                          <w:spacing w:val="1"/>
                        </w:rPr>
                        <w:t xml:space="preserve"> </w:t>
                      </w:r>
                      <w:r>
                        <w:t xml:space="preserve">this </w:t>
                      </w:r>
                      <w:r>
                        <w:rPr>
                          <w:spacing w:val="-1"/>
                        </w:rPr>
                        <w:t>information</w:t>
                      </w:r>
                      <w:r>
                        <w:t xml:space="preserve"> </w:t>
                      </w:r>
                      <w:r>
                        <w:rPr>
                          <w:spacing w:val="-1"/>
                        </w:rPr>
                        <w:t>collection</w:t>
                      </w:r>
                      <w:r>
                        <w:t xml:space="preserve"> is </w:t>
                      </w:r>
                      <w:r>
                        <w:rPr>
                          <w:spacing w:val="-1"/>
                        </w:rPr>
                        <w:t>0910-0</w:t>
                      </w:r>
                      <w:r w:rsidR="00C566D3">
                        <w:rPr>
                          <w:spacing w:val="-1"/>
                        </w:rPr>
                        <w:t>338.</w:t>
                      </w:r>
                      <w:r>
                        <w:t xml:space="preserve"> </w:t>
                      </w:r>
                      <w:r w:rsidR="00C566D3">
                        <w:rPr>
                          <w:spacing w:val="-1"/>
                        </w:rPr>
                        <w:t xml:space="preserve">To </w:t>
                      </w:r>
                      <w:r>
                        <w:rPr>
                          <w:spacing w:val="-1"/>
                        </w:rPr>
                        <w:t xml:space="preserve">find the current expiration date, search for this OMB control number at </w:t>
                      </w:r>
                      <w:hyperlink r:id="rId19" w:history="1">
                        <w:r>
                          <w:rPr>
                            <w:rStyle w:val="Hyperlink"/>
                            <w:spacing w:val="-1"/>
                          </w:rPr>
                          <w:t>https://www.reginfo.gov</w:t>
                        </w:r>
                      </w:hyperlink>
                      <w:r>
                        <w:rPr>
                          <w:spacing w:val="-1"/>
                        </w:rPr>
                        <w:t>).</w:t>
                      </w:r>
                    </w:p>
                    <w:p w:rsidR="00EB14D6" w:rsidP="00EB14D6" w14:paraId="4015E9BA" w14:textId="77777777">
                      <w:pPr>
                        <w:rPr>
                          <w:rFonts w:asciiTheme="minorHAnsi"/>
                          <w:sz w:val="22"/>
                        </w:rPr>
                      </w:pPr>
                    </w:p>
                  </w:txbxContent>
                </v:textbox>
              </v:shape>
            </w:pict>
          </mc:Fallback>
        </mc:AlternateContent>
      </w:r>
    </w:p>
    <w:p w:rsidR="00EB14D6" w:rsidP="00CB22CB" w14:paraId="0A0944D5" w14:textId="20A244EC"/>
    <w:p w:rsidR="00EB14D6" w:rsidP="00CB22CB" w14:paraId="0C3AC54A" w14:textId="45AF5A29"/>
    <w:p w:rsidR="00EB14D6" w:rsidP="00CB22CB" w14:paraId="7322AC29" w14:textId="143395DC"/>
    <w:p w:rsidR="00EB14D6" w:rsidP="00CB22CB" w14:paraId="1A08E13B" w14:textId="61B552C6"/>
    <w:p w:rsidR="00EB14D6" w:rsidP="00CB22CB" w14:paraId="04355491" w14:textId="0CFA01F7"/>
    <w:p w:rsidR="00EB14D6" w:rsidP="00CB22CB" w14:paraId="6E2A188D" w14:textId="77777777"/>
    <w:p w:rsidR="007E19DB" w:rsidP="00CB22CB" w14:paraId="17B4C7B5" w14:textId="6CEE8A48">
      <w:pPr>
        <w:rPr>
          <w:rFonts w:ascii="Times New Roman Bold" w:hAnsi="Times New Roman Bold" w:cs="Arial"/>
          <w:b/>
          <w:bCs/>
          <w:caps/>
          <w:kern w:val="32"/>
          <w:szCs w:val="32"/>
        </w:rPr>
      </w:pPr>
      <w:r>
        <w:br w:type="page"/>
      </w:r>
    </w:p>
    <w:p w:rsidR="009975E9" w:rsidP="006669E0" w14:paraId="0258CE33" w14:textId="0AA93076">
      <w:pPr>
        <w:pStyle w:val="Heading1"/>
      </w:pPr>
      <w:bookmarkStart w:id="36" w:name="_Toc136850431"/>
      <w:r>
        <w:t>REFERENCES</w:t>
      </w:r>
      <w:bookmarkEnd w:id="36"/>
      <w:r>
        <w:t xml:space="preserve"> </w:t>
      </w:r>
    </w:p>
    <w:p w:rsidR="009975E9" w:rsidP="009975E9" w14:paraId="23EB3067" w14:textId="77777777"/>
    <w:p w:rsidR="009975E9" w:rsidRPr="003C523A" w:rsidP="002C514D" w14:paraId="10ACA9E7" w14:textId="77777777">
      <w:pPr>
        <w:numPr>
          <w:ilvl w:val="0"/>
          <w:numId w:val="2"/>
        </w:numPr>
        <w:tabs>
          <w:tab w:val="clear" w:pos="360"/>
          <w:tab w:val="num" w:pos="720"/>
        </w:tabs>
        <w:ind w:left="720" w:hanging="720"/>
      </w:pPr>
      <w:r w:rsidRPr="003C523A">
        <w:t>Appropriate Use of Voluntary Consensus Standards in Premarket Submissions for Medical Devices</w:t>
      </w:r>
      <w:r>
        <w:t xml:space="preserve">; </w:t>
      </w:r>
      <w:r w:rsidRPr="003C523A">
        <w:t xml:space="preserve">Guidance for Industry and Staff, </w:t>
      </w:r>
      <w:r>
        <w:t xml:space="preserve">September </w:t>
      </w:r>
      <w:r w:rsidRPr="003C523A">
        <w:t>2018</w:t>
      </w:r>
      <w:r>
        <w:t>,</w:t>
      </w:r>
      <w:r w:rsidRPr="003C523A">
        <w:t xml:space="preserve"> </w:t>
      </w:r>
      <w:hyperlink r:id="rId20" w:history="1">
        <w:r w:rsidRPr="003C523A">
          <w:rPr>
            <w:rStyle w:val="Hyperlink"/>
          </w:rPr>
          <w:t>https://www.fda.gov/media/71983/download</w:t>
        </w:r>
      </w:hyperlink>
      <w:r>
        <w:t>.</w:t>
      </w:r>
      <w:r>
        <w:br/>
      </w:r>
    </w:p>
    <w:p w:rsidR="009975E9" w:rsidRPr="003C523A" w:rsidP="002C514D" w14:paraId="4AFEBC2A" w14:textId="77777777">
      <w:pPr>
        <w:pStyle w:val="ListParagraph"/>
        <w:numPr>
          <w:ilvl w:val="0"/>
          <w:numId w:val="2"/>
        </w:numPr>
        <w:tabs>
          <w:tab w:val="clear" w:pos="360"/>
          <w:tab w:val="num" w:pos="810"/>
        </w:tabs>
        <w:ind w:left="720" w:hanging="720"/>
      </w:pPr>
      <w:r w:rsidRPr="003C523A">
        <w:t xml:space="preserve">OMB Circular A -119: Federal Participation in the Development and Use of Voluntary Consensus Standards and in Conformity Assessment Activities, January 2016, </w:t>
      </w:r>
      <w:hyperlink r:id="rId21" w:history="1">
        <w:r w:rsidRPr="00A72ED4">
          <w:rPr>
            <w:rStyle w:val="Hyperlink"/>
          </w:rPr>
          <w:t>https://obamawhitehouse.archives.gov/sites/default/files/omb/inforeg/revised_circular_a-119_as_of_1_22.pdf</w:t>
        </w:r>
      </w:hyperlink>
      <w:r>
        <w:t>.</w:t>
      </w:r>
      <w:r>
        <w:br/>
      </w:r>
    </w:p>
    <w:p w:rsidR="009975E9" w:rsidRPr="003C523A" w:rsidP="002C514D" w14:paraId="29856868" w14:textId="77777777">
      <w:pPr>
        <w:pStyle w:val="ListParagraph"/>
        <w:numPr>
          <w:ilvl w:val="0"/>
          <w:numId w:val="2"/>
        </w:numPr>
        <w:tabs>
          <w:tab w:val="clear" w:pos="360"/>
          <w:tab w:val="num" w:pos="810"/>
        </w:tabs>
        <w:ind w:left="720" w:hanging="720"/>
      </w:pPr>
      <w:r w:rsidRPr="003C523A">
        <w:t xml:space="preserve">National Technology Transfer and Advancement Act of 1995. Pub. L. 104-113, March 1996, Including Amendment by Pub. L. 107-107, </w:t>
      </w:r>
      <w:r>
        <w:t>Section</w:t>
      </w:r>
      <w:r w:rsidRPr="003C523A">
        <w:t xml:space="preserve"> 1115, December 2001, </w:t>
      </w:r>
      <w:hyperlink r:id="rId22" w:history="1">
        <w:r w:rsidRPr="00A72ED4">
          <w:rPr>
            <w:rStyle w:val="Hyperlink"/>
          </w:rPr>
          <w:t>https://www.nist.gov/standardsgov/national-technology-transfer-and-advancement-act-1995</w:t>
        </w:r>
      </w:hyperlink>
      <w:r>
        <w:t>.</w:t>
      </w:r>
      <w:r>
        <w:br/>
      </w:r>
    </w:p>
    <w:p w:rsidR="009975E9" w:rsidP="002C514D" w14:paraId="7E032CC1" w14:textId="77777777">
      <w:pPr>
        <w:numPr>
          <w:ilvl w:val="0"/>
          <w:numId w:val="2"/>
        </w:numPr>
        <w:tabs>
          <w:tab w:val="clear" w:pos="360"/>
          <w:tab w:val="num" w:pos="810"/>
        </w:tabs>
        <w:ind w:left="720" w:hanging="720"/>
      </w:pPr>
      <w:r>
        <w:t xml:space="preserve">Standards Development and the Use of Standards in Regulatory Submissions Reviewed in the Center for Biologics Evaluation and Research; Guidance for Industry, March 2019, </w:t>
      </w:r>
      <w:hyperlink r:id="rId23" w:history="1">
        <w:r w:rsidRPr="0093529C">
          <w:rPr>
            <w:rStyle w:val="Hyperlink"/>
          </w:rPr>
          <w:t>https://www.fda.gov/media/124694/download</w:t>
        </w:r>
      </w:hyperlink>
      <w:r>
        <w:t>.</w:t>
      </w:r>
    </w:p>
    <w:p w:rsidR="009975E9" w:rsidP="002C514D" w14:paraId="5AD8D32F" w14:textId="77777777">
      <w:pPr>
        <w:ind w:left="720" w:hanging="720"/>
      </w:pPr>
    </w:p>
    <w:p w:rsidR="009975E9" w:rsidRPr="003C523A" w:rsidP="002C514D" w14:paraId="4B2AA1A4" w14:textId="77777777">
      <w:pPr>
        <w:pStyle w:val="ListParagraph"/>
        <w:numPr>
          <w:ilvl w:val="0"/>
          <w:numId w:val="2"/>
        </w:numPr>
        <w:tabs>
          <w:tab w:val="clear" w:pos="360"/>
          <w:tab w:val="num" w:pos="810"/>
        </w:tabs>
        <w:ind w:left="720" w:hanging="720"/>
      </w:pPr>
      <w:r w:rsidRPr="003C523A">
        <w:t>21</w:t>
      </w:r>
      <w:r w:rsidRPr="003C523A">
        <w:rPr>
          <w:vertAlign w:val="superscript"/>
        </w:rPr>
        <w:t>st</w:t>
      </w:r>
      <w:r w:rsidRPr="003C523A">
        <w:t xml:space="preserve"> Century Cures Act of 2016</w:t>
      </w:r>
      <w:r>
        <w:t xml:space="preserve"> (Pub. L. 114-225),</w:t>
      </w:r>
      <w:r w:rsidRPr="003C523A">
        <w:t xml:space="preserve"> </w:t>
      </w:r>
      <w:hyperlink r:id="rId24" w:history="1">
        <w:r w:rsidRPr="004B2454">
          <w:rPr>
            <w:rStyle w:val="Hyperlink"/>
          </w:rPr>
          <w:t>https://www.congress.gov/114/plaws/publ255/PLAW-114publ255.pdf</w:t>
        </w:r>
      </w:hyperlink>
      <w:r>
        <w:t>.</w:t>
      </w:r>
      <w:r>
        <w:br/>
      </w:r>
    </w:p>
    <w:p w:rsidR="009975E9" w:rsidRPr="003C523A" w:rsidP="002C514D" w14:paraId="3D87FC2D" w14:textId="77777777">
      <w:pPr>
        <w:numPr>
          <w:ilvl w:val="0"/>
          <w:numId w:val="2"/>
        </w:numPr>
        <w:tabs>
          <w:tab w:val="clear" w:pos="360"/>
          <w:tab w:val="num" w:pos="810"/>
        </w:tabs>
        <w:ind w:left="720" w:hanging="720"/>
      </w:pPr>
      <w:r>
        <w:t xml:space="preserve">Expedited Programs for Regenerative Medicine Therapies for Serious Conditions; Guidance for Industry, February 2019, </w:t>
      </w:r>
      <w:hyperlink r:id="rId25" w:history="1">
        <w:r w:rsidRPr="00A72ED4">
          <w:rPr>
            <w:rStyle w:val="Hyperlink"/>
          </w:rPr>
          <w:t>https://www.fda.gov/media/120267/download</w:t>
        </w:r>
      </w:hyperlink>
      <w:r>
        <w:t>.</w:t>
      </w:r>
    </w:p>
    <w:p w:rsidR="00CE7262" w14:paraId="0196F6B9" w14:textId="77777777">
      <w:pPr>
        <w:rPr>
          <w:rFonts w:ascii="Times New Roman Bold" w:hAnsi="Times New Roman Bold"/>
          <w:b/>
          <w:bCs/>
          <w:caps/>
          <w:kern w:val="32"/>
          <w:szCs w:val="20"/>
        </w:rPr>
      </w:pPr>
      <w:r>
        <w:br w:type="page"/>
      </w:r>
    </w:p>
    <w:p w:rsidR="006E63EE" w:rsidP="006669E0" w14:paraId="37B420EB" w14:textId="5A5975CE">
      <w:pPr>
        <w:pStyle w:val="StyleHeading1TimesNewRoman12ptLeft0Hanging05"/>
      </w:pPr>
      <w:bookmarkStart w:id="37" w:name="_Toc136850432"/>
      <w:r w:rsidRPr="003C523A">
        <w:t>appendi</w:t>
      </w:r>
      <w:r w:rsidR="00862736">
        <w:t>ces</w:t>
      </w:r>
      <w:bookmarkEnd w:id="37"/>
    </w:p>
    <w:p w:rsidR="00FF60A2" w:rsidRPr="00C211D0" w:rsidP="00A93F7F" w14:paraId="43AB0A52" w14:textId="793496DA">
      <w:pPr>
        <w:ind w:left="720"/>
        <w:rPr>
          <w:rFonts w:ascii="Times New Roman Bold" w:hAnsi="Times New Roman Bold"/>
          <w:b/>
          <w:bCs/>
          <w:caps/>
          <w:kern w:val="32"/>
          <w:szCs w:val="20"/>
        </w:rPr>
      </w:pPr>
    </w:p>
    <w:p w:rsidR="005B1C22" w:rsidP="005424FD" w14:paraId="1F728D5E" w14:textId="261D8242">
      <w:pPr>
        <w:pStyle w:val="Heading2"/>
        <w:spacing w:before="0" w:after="0"/>
        <w:rPr>
          <w:rFonts w:ascii="Times New Roman" w:hAnsi="Times New Roman" w:cs="Times New Roman"/>
          <w:i/>
          <w:szCs w:val="24"/>
        </w:rPr>
      </w:pPr>
      <w:bookmarkStart w:id="38" w:name="_Toc75760363"/>
      <w:bookmarkStart w:id="39" w:name="_Toc136850433"/>
      <w:r>
        <w:rPr>
          <w:rFonts w:ascii="Times New Roman" w:hAnsi="Times New Roman" w:cs="Times New Roman"/>
          <w:szCs w:val="24"/>
        </w:rPr>
        <w:t xml:space="preserve">Appendix </w:t>
      </w:r>
      <w:r w:rsidR="00022EA4">
        <w:rPr>
          <w:rFonts w:ascii="Times New Roman" w:hAnsi="Times New Roman" w:cs="Times New Roman"/>
          <w:szCs w:val="24"/>
        </w:rPr>
        <w:t>1:  Sample</w:t>
      </w:r>
      <w:bookmarkEnd w:id="38"/>
      <w:r w:rsidR="001E1219">
        <w:rPr>
          <w:rFonts w:ascii="Times New Roman" w:hAnsi="Times New Roman" w:cs="Times New Roman"/>
          <w:szCs w:val="24"/>
        </w:rPr>
        <w:t xml:space="preserve"> Standards Recognition Summary</w:t>
      </w:r>
      <w:bookmarkEnd w:id="39"/>
    </w:p>
    <w:p w:rsidR="004A1F7F" w:rsidP="002C514D" w14:paraId="7408DDAB" w14:textId="132CCD3A"/>
    <w:p w:rsidR="004A1F7F" w:rsidRPr="005B1C22" w:rsidP="00AD11FE" w14:paraId="34D3D2D5" w14:textId="77777777">
      <w:pPr>
        <w:ind w:firstLine="360"/>
        <w:jc w:val="center"/>
        <w:rPr>
          <w:b/>
        </w:rPr>
      </w:pPr>
      <w:r w:rsidRPr="005B1C22">
        <w:rPr>
          <w:b/>
        </w:rPr>
        <w:t>CBER-Recognized Standards for Regenerative Medicine Therapies</w:t>
      </w:r>
    </w:p>
    <w:p w:rsidR="005D5D2D" w:rsidP="005D5D2D" w14:paraId="128BD626" w14:textId="2E7236CD">
      <w:pPr>
        <w:jc w:val="center"/>
        <w:rPr>
          <w:b/>
        </w:rPr>
      </w:pPr>
      <w:r>
        <w:rPr>
          <w:b/>
        </w:rPr>
        <w:t>Standards Recognition Summar</w:t>
      </w:r>
      <w:r>
        <w:rPr>
          <w:b/>
        </w:rPr>
        <w:t>y</w:t>
      </w:r>
      <w:r w:rsidR="00BC336C">
        <w:rPr>
          <w:b/>
        </w:rPr>
        <w:t xml:space="preserve"> (SRS)</w:t>
      </w:r>
    </w:p>
    <w:p w:rsidR="002A1EA8" w:rsidP="00966580" w14:paraId="0140F50C" w14:textId="360E227A">
      <w:pPr>
        <w:jc w:val="center"/>
        <w:rPr>
          <w:b/>
        </w:rPr>
      </w:pPr>
    </w:p>
    <w:p w:rsidR="004A1F7F" w:rsidRPr="002A1EA8" w:rsidP="00B37EF9" w14:paraId="7B66D0EC" w14:textId="5CD27F56">
      <w:pPr>
        <w:ind w:left="720"/>
      </w:pPr>
      <w:r w:rsidRPr="002A1EA8">
        <w:rPr>
          <w:b/>
        </w:rPr>
        <w:t>Recognition Number</w:t>
      </w:r>
      <w:r w:rsidRPr="002A1EA8">
        <w:t xml:space="preserve"> (CBER Assigned)</w:t>
      </w:r>
      <w:r w:rsidRPr="002A1EA8">
        <w:tab/>
      </w:r>
      <w:r w:rsidRPr="002A1EA8">
        <w:tab/>
      </w:r>
      <w:r w:rsidRPr="002A1EA8">
        <w:tab/>
      </w:r>
      <w:r w:rsidRPr="002A1EA8">
        <w:rPr>
          <w:b/>
        </w:rPr>
        <w:t xml:space="preserve">Date of Recognition: </w:t>
      </w:r>
    </w:p>
    <w:p w:rsidR="004A1F7F" w:rsidRPr="002A1EA8" w:rsidP="00B37EF9" w14:paraId="3269F1C2" w14:textId="77777777">
      <w:pPr>
        <w:ind w:left="720"/>
      </w:pPr>
      <w:r w:rsidRPr="002A1EA8">
        <w:rPr>
          <w:b/>
        </w:rPr>
        <w:t>Standard Information</w:t>
      </w:r>
      <w:r w:rsidRPr="002A1EA8">
        <w:t xml:space="preserve"> </w:t>
      </w:r>
    </w:p>
    <w:p w:rsidR="004A1F7F" w:rsidRPr="002A1EA8" w:rsidP="00B37EF9" w14:paraId="256C7B6A" w14:textId="53DA5478">
      <w:pPr>
        <w:pStyle w:val="NoSpacing"/>
        <w:ind w:left="720"/>
        <w:rPr>
          <w:rFonts w:cs="Times New Roman"/>
          <w:szCs w:val="24"/>
        </w:rPr>
      </w:pPr>
      <w:r w:rsidRPr="002A1EA8">
        <w:rPr>
          <w:rFonts w:cs="Times New Roman"/>
          <w:szCs w:val="24"/>
        </w:rPr>
        <w:t xml:space="preserve">ISO XXXX, Edition </w:t>
      </w:r>
      <w:r w:rsidR="00522447">
        <w:rPr>
          <w:rFonts w:cs="Times New Roman"/>
          <w:szCs w:val="24"/>
        </w:rPr>
        <w:t>YEAR</w:t>
      </w:r>
    </w:p>
    <w:p w:rsidR="004A1F7F" w:rsidRPr="002A1EA8" w:rsidP="00B37EF9" w14:paraId="4DC7667A" w14:textId="77777777">
      <w:pPr>
        <w:pStyle w:val="NoSpacing"/>
        <w:ind w:left="720"/>
        <w:rPr>
          <w:rFonts w:cs="Times New Roman"/>
          <w:szCs w:val="24"/>
        </w:rPr>
      </w:pPr>
      <w:r w:rsidRPr="002A1EA8">
        <w:rPr>
          <w:rFonts w:cs="Times New Roman"/>
          <w:szCs w:val="24"/>
        </w:rPr>
        <w:t>Title of Standard</w:t>
      </w:r>
    </w:p>
    <w:p w:rsidR="004A1F7F" w:rsidRPr="002A1EA8" w:rsidP="00B37EF9" w14:paraId="75B32F68" w14:textId="77777777">
      <w:pPr>
        <w:pStyle w:val="NoSpacing"/>
        <w:ind w:left="720"/>
        <w:rPr>
          <w:rFonts w:cs="Times New Roman"/>
          <w:szCs w:val="24"/>
        </w:rPr>
      </w:pPr>
    </w:p>
    <w:p w:rsidR="004A1F7F" w:rsidRPr="002A1EA8" w:rsidP="00B37EF9" w14:paraId="762EA7DB" w14:textId="77777777">
      <w:pPr>
        <w:pStyle w:val="NoSpacing"/>
        <w:ind w:left="720"/>
        <w:rPr>
          <w:rFonts w:cs="Times New Roman"/>
          <w:b/>
          <w:szCs w:val="24"/>
        </w:rPr>
      </w:pPr>
      <w:r w:rsidRPr="002A1EA8">
        <w:rPr>
          <w:rFonts w:cs="Times New Roman"/>
          <w:b/>
          <w:szCs w:val="24"/>
        </w:rPr>
        <w:t>Scope/Abstract</w:t>
      </w:r>
    </w:p>
    <w:p w:rsidR="004A1F7F" w:rsidRPr="002A1EA8" w:rsidP="00B37EF9" w14:paraId="76EA7F28" w14:textId="77777777">
      <w:pPr>
        <w:pStyle w:val="NoSpacing"/>
        <w:ind w:left="720"/>
        <w:rPr>
          <w:rFonts w:cs="Times New Roman"/>
          <w:szCs w:val="24"/>
        </w:rPr>
      </w:pPr>
    </w:p>
    <w:p w:rsidR="004A1F7F" w:rsidRPr="002A1EA8" w:rsidP="00B37EF9" w14:paraId="1D1D1273" w14:textId="77777777">
      <w:pPr>
        <w:pStyle w:val="NoSpacing"/>
        <w:ind w:left="720"/>
        <w:rPr>
          <w:rFonts w:cs="Times New Roman"/>
          <w:b/>
          <w:szCs w:val="24"/>
        </w:rPr>
      </w:pPr>
      <w:r w:rsidRPr="002A1EA8">
        <w:rPr>
          <w:rFonts w:cs="Times New Roman"/>
          <w:b/>
          <w:szCs w:val="24"/>
        </w:rPr>
        <w:t>Extent of Recognition (Full or Partial)</w:t>
      </w:r>
    </w:p>
    <w:p w:rsidR="004A1F7F" w:rsidRPr="002A1EA8" w:rsidP="00B37EF9" w14:paraId="7F59956C" w14:textId="19E0C944">
      <w:pPr>
        <w:pStyle w:val="NoSpacing"/>
        <w:ind w:left="720"/>
        <w:rPr>
          <w:rFonts w:cs="Times New Roman"/>
          <w:szCs w:val="24"/>
        </w:rPr>
      </w:pPr>
      <w:r w:rsidRPr="002A1EA8">
        <w:rPr>
          <w:rFonts w:cs="Times New Roman"/>
          <w:szCs w:val="24"/>
        </w:rPr>
        <w:t xml:space="preserve">(For partial recognition CBER </w:t>
      </w:r>
      <w:r w:rsidR="003743DB">
        <w:rPr>
          <w:rFonts w:cs="Times New Roman"/>
          <w:szCs w:val="24"/>
        </w:rPr>
        <w:t>intends to</w:t>
      </w:r>
      <w:r w:rsidRPr="002A1EA8" w:rsidR="003743DB">
        <w:rPr>
          <w:rFonts w:cs="Times New Roman"/>
          <w:szCs w:val="24"/>
        </w:rPr>
        <w:t xml:space="preserve"> </w:t>
      </w:r>
      <w:r w:rsidRPr="002A1EA8">
        <w:rPr>
          <w:rFonts w:cs="Times New Roman"/>
          <w:szCs w:val="24"/>
        </w:rPr>
        <w:t>identify the parts of the standard that are not recognized.)</w:t>
      </w:r>
    </w:p>
    <w:p w:rsidR="004A1F7F" w:rsidRPr="002A1EA8" w:rsidP="00B37EF9" w14:paraId="2AC653A9" w14:textId="77777777">
      <w:pPr>
        <w:pStyle w:val="NoSpacing"/>
        <w:ind w:left="720"/>
        <w:rPr>
          <w:rFonts w:cs="Times New Roman"/>
          <w:szCs w:val="24"/>
        </w:rPr>
      </w:pPr>
    </w:p>
    <w:p w:rsidR="004A1F7F" w:rsidRPr="002A1EA8" w:rsidP="00B37EF9" w14:paraId="158444F3" w14:textId="77777777">
      <w:pPr>
        <w:pStyle w:val="NoSpacing"/>
        <w:ind w:left="720"/>
        <w:rPr>
          <w:rFonts w:cs="Times New Roman"/>
          <w:b/>
          <w:szCs w:val="24"/>
        </w:rPr>
      </w:pPr>
      <w:r w:rsidRPr="002A1EA8">
        <w:rPr>
          <w:rFonts w:cs="Times New Roman"/>
          <w:b/>
          <w:szCs w:val="24"/>
        </w:rPr>
        <w:t>Rationale for Recognition</w:t>
      </w:r>
    </w:p>
    <w:p w:rsidR="004A1F7F" w:rsidRPr="002A1EA8" w:rsidP="00966580" w14:paraId="11929A4B" w14:textId="79E76425">
      <w:pPr>
        <w:pStyle w:val="NoSpacing"/>
        <w:ind w:left="720"/>
        <w:rPr>
          <w:rFonts w:cs="Times New Roman"/>
          <w:i/>
          <w:szCs w:val="24"/>
        </w:rPr>
      </w:pPr>
      <w:r>
        <w:rPr>
          <w:rFonts w:cs="Times New Roman"/>
          <w:i/>
          <w:szCs w:val="24"/>
        </w:rPr>
        <w:t>(</w:t>
      </w:r>
      <w:r w:rsidRPr="002A1EA8">
        <w:rPr>
          <w:rFonts w:cs="Times New Roman"/>
          <w:i/>
          <w:szCs w:val="24"/>
        </w:rPr>
        <w:t>Ex. This standard is relevant to the characterization of CAR T cells and supports existing regulatory policy</w:t>
      </w:r>
      <w:r w:rsidR="005A6C29">
        <w:rPr>
          <w:rFonts w:cs="Times New Roman"/>
          <w:i/>
          <w:szCs w:val="24"/>
        </w:rPr>
        <w:t>, name of guidance document or Federal Register notice, etc</w:t>
      </w:r>
      <w:r w:rsidR="00727C42">
        <w:rPr>
          <w:rFonts w:cs="Times New Roman"/>
          <w:i/>
          <w:szCs w:val="24"/>
        </w:rPr>
        <w:t>.</w:t>
      </w:r>
      <w:r>
        <w:rPr>
          <w:rFonts w:cs="Times New Roman"/>
          <w:i/>
          <w:szCs w:val="24"/>
        </w:rPr>
        <w:t>)</w:t>
      </w:r>
    </w:p>
    <w:p w:rsidR="004A1F7F" w:rsidRPr="002A1EA8" w:rsidP="00966580" w14:paraId="1CB8132F" w14:textId="060ACCDC">
      <w:pPr>
        <w:pStyle w:val="NoSpacing"/>
        <w:rPr>
          <w:rFonts w:cs="Times New Roman"/>
          <w:i/>
          <w:szCs w:val="24"/>
        </w:rPr>
      </w:pPr>
    </w:p>
    <w:p w:rsidR="004A1F7F" w:rsidRPr="002A1EA8" w:rsidP="00B37EF9" w14:paraId="5CC4C565" w14:textId="77777777">
      <w:pPr>
        <w:pStyle w:val="NoSpacing"/>
        <w:ind w:left="720"/>
        <w:rPr>
          <w:rFonts w:cs="Times New Roman"/>
          <w:b/>
          <w:szCs w:val="24"/>
        </w:rPr>
      </w:pPr>
      <w:r w:rsidRPr="002A1EA8">
        <w:rPr>
          <w:rFonts w:cs="Times New Roman"/>
          <w:b/>
          <w:szCs w:val="24"/>
        </w:rPr>
        <w:t>Standards Development Organization</w:t>
      </w:r>
    </w:p>
    <w:p w:rsidR="00C64E91" w:rsidP="00B37EF9" w14:paraId="03D58CEF" w14:textId="069C4696">
      <w:pPr>
        <w:pStyle w:val="NoSpacing"/>
        <w:ind w:left="720"/>
        <w:rPr>
          <w:rFonts w:cs="Times New Roman"/>
          <w:i/>
          <w:szCs w:val="24"/>
        </w:rPr>
      </w:pPr>
      <w:r w:rsidRPr="002A1EA8">
        <w:rPr>
          <w:rFonts w:cs="Times New Roman"/>
          <w:i/>
          <w:szCs w:val="24"/>
        </w:rPr>
        <w:t>(Ex. ISO International Organization for Standardization)</w:t>
      </w:r>
      <w:r w:rsidRPr="002A1EA8">
        <w:rPr>
          <w:rFonts w:cs="Times New Roman"/>
          <w:i/>
          <w:szCs w:val="24"/>
        </w:rPr>
        <w:tab/>
      </w:r>
      <w:r w:rsidRPr="002A1EA8">
        <w:rPr>
          <w:rFonts w:cs="Times New Roman"/>
          <w:i/>
          <w:szCs w:val="24"/>
        </w:rPr>
        <w:tab/>
      </w:r>
      <w:r w:rsidRPr="002A1EA8">
        <w:rPr>
          <w:rFonts w:cs="Times New Roman"/>
          <w:i/>
          <w:szCs w:val="24"/>
        </w:rPr>
        <w:tab/>
      </w:r>
      <w:hyperlink r:id="rId26" w:history="1">
        <w:r w:rsidRPr="00621C01">
          <w:rPr>
            <w:rStyle w:val="Hyperlink"/>
            <w:rFonts w:cs="Times New Roman"/>
            <w:i/>
            <w:szCs w:val="24"/>
          </w:rPr>
          <w:t>https://www.iso.org</w:t>
        </w:r>
      </w:hyperlink>
    </w:p>
    <w:p w:rsidR="00C64E91" w14:paraId="071B58F4" w14:textId="77777777">
      <w:pPr>
        <w:rPr>
          <w:rFonts w:eastAsiaTheme="minorHAnsi"/>
          <w:i/>
        </w:rPr>
      </w:pPr>
      <w:r>
        <w:rPr>
          <w:i/>
        </w:rPr>
        <w:br w:type="page"/>
      </w:r>
    </w:p>
    <w:p w:rsidR="00C64E91" w:rsidRPr="00133FA4" w:rsidP="002C514D" w14:paraId="0884B8E3" w14:textId="747DB89D">
      <w:pPr>
        <w:pStyle w:val="Heading2"/>
      </w:pPr>
      <w:bookmarkStart w:id="40" w:name="_Toc136850434"/>
      <w:r w:rsidRPr="00133FA4">
        <w:t xml:space="preserve">Appendix </w:t>
      </w:r>
      <w:r w:rsidRPr="00133FA4" w:rsidR="00022EA4">
        <w:t xml:space="preserve">2:  </w:t>
      </w:r>
      <w:r w:rsidRPr="00133FA4">
        <w:t>Acronyms</w:t>
      </w:r>
      <w:bookmarkEnd w:id="40"/>
      <w:r w:rsidRPr="00133FA4">
        <w:t xml:space="preserve"> </w:t>
      </w:r>
    </w:p>
    <w:p w:rsidR="00C64E91" w:rsidP="00C64E91" w14:paraId="27D31A25" w14:textId="4FEC8347">
      <w:pPr>
        <w:pStyle w:val="NoSpacing"/>
        <w:ind w:left="720"/>
        <w:rPr>
          <w:rFonts w:cs="Times New Roman"/>
          <w:b/>
          <w:szCs w:val="24"/>
        </w:rPr>
      </w:pPr>
    </w:p>
    <w:p w:rsidR="00C64E91" w:rsidP="00A93F7F" w14:paraId="7658AB56" w14:textId="7DF459C2">
      <w:pPr>
        <w:pStyle w:val="ListParagraph"/>
        <w:numPr>
          <w:ilvl w:val="0"/>
          <w:numId w:val="24"/>
        </w:numPr>
        <w:spacing w:after="160" w:line="480" w:lineRule="auto"/>
      </w:pPr>
      <w:r>
        <w:t>SRP</w:t>
      </w:r>
      <w:r w:rsidR="00BD6F2E">
        <w:t>-</w:t>
      </w:r>
      <w:r>
        <w:t>RMT: Standards Recognition Program for Regenerative Medicine Therapies</w:t>
      </w:r>
    </w:p>
    <w:p w:rsidR="00C64E91" w:rsidP="00A93F7F" w14:paraId="42B20C2F" w14:textId="77777777">
      <w:pPr>
        <w:pStyle w:val="ListParagraph"/>
        <w:numPr>
          <w:ilvl w:val="0"/>
          <w:numId w:val="24"/>
        </w:numPr>
        <w:spacing w:after="160" w:line="480" w:lineRule="auto"/>
      </w:pPr>
      <w:r>
        <w:t>CBER: Center for Biologics Evaluation and Research</w:t>
      </w:r>
    </w:p>
    <w:p w:rsidR="00243C3A" w:rsidP="00A93F7F" w14:paraId="081C06F6" w14:textId="77777777">
      <w:pPr>
        <w:pStyle w:val="ListParagraph"/>
        <w:numPr>
          <w:ilvl w:val="0"/>
          <w:numId w:val="24"/>
        </w:numPr>
        <w:spacing w:after="160" w:line="480" w:lineRule="auto"/>
      </w:pPr>
      <w:r>
        <w:t xml:space="preserve">VCS:  </w:t>
      </w:r>
      <w:r w:rsidR="004036A3">
        <w:t>V</w:t>
      </w:r>
      <w:r>
        <w:t xml:space="preserve">oluntary </w:t>
      </w:r>
      <w:r w:rsidR="004036A3">
        <w:t>C</w:t>
      </w:r>
      <w:r>
        <w:t xml:space="preserve">onsensus </w:t>
      </w:r>
      <w:r w:rsidR="004036A3">
        <w:t>S</w:t>
      </w:r>
      <w:r>
        <w:t>tandards</w:t>
      </w:r>
    </w:p>
    <w:p w:rsidR="00C64E91" w:rsidP="00A93F7F" w14:paraId="438A5059" w14:textId="6761D3FC">
      <w:pPr>
        <w:pStyle w:val="ListParagraph"/>
        <w:numPr>
          <w:ilvl w:val="0"/>
          <w:numId w:val="24"/>
        </w:numPr>
        <w:spacing w:after="160" w:line="480" w:lineRule="auto"/>
      </w:pPr>
      <w:r>
        <w:t>RMT: Regenerative Medicine Therapy</w:t>
      </w:r>
    </w:p>
    <w:p w:rsidR="00C64E91" w:rsidP="00A93F7F" w14:paraId="2C39480A" w14:textId="6300F871">
      <w:pPr>
        <w:pStyle w:val="ListParagraph"/>
        <w:numPr>
          <w:ilvl w:val="0"/>
          <w:numId w:val="24"/>
        </w:numPr>
        <w:spacing w:after="160" w:line="480" w:lineRule="auto"/>
      </w:pPr>
      <w:r>
        <w:t>OTP</w:t>
      </w:r>
      <w:r>
        <w:t xml:space="preserve">: Office </w:t>
      </w:r>
      <w:r>
        <w:t>of Therapeutic Products</w:t>
      </w:r>
      <w:r>
        <w:t xml:space="preserve"> </w:t>
      </w:r>
    </w:p>
    <w:p w:rsidR="00C64E91" w14:paraId="2C8D7C14" w14:textId="0F48B241">
      <w:pPr>
        <w:pStyle w:val="ListParagraph"/>
        <w:numPr>
          <w:ilvl w:val="0"/>
          <w:numId w:val="24"/>
        </w:numPr>
        <w:spacing w:after="160" w:line="480" w:lineRule="auto"/>
      </w:pPr>
      <w:r>
        <w:t>CDRH: Center for Devices and Radiological Health</w:t>
      </w:r>
    </w:p>
    <w:p w:rsidR="00C862CE" w:rsidP="00A93F7F" w14:paraId="72EB1431" w14:textId="2D71BD06">
      <w:pPr>
        <w:pStyle w:val="ListParagraph"/>
        <w:numPr>
          <w:ilvl w:val="0"/>
          <w:numId w:val="24"/>
        </w:numPr>
        <w:spacing w:after="160" w:line="480" w:lineRule="auto"/>
      </w:pPr>
      <w:r>
        <w:t>S-CAP: Standards and Conformity Assessment Program</w:t>
      </w:r>
    </w:p>
    <w:p w:rsidR="00C64E91" w:rsidP="00A93F7F" w14:paraId="4ADDD9F1" w14:textId="5F9605F4">
      <w:pPr>
        <w:pStyle w:val="ListParagraph"/>
        <w:numPr>
          <w:ilvl w:val="0"/>
          <w:numId w:val="24"/>
        </w:numPr>
        <w:spacing w:after="160" w:line="480" w:lineRule="auto"/>
      </w:pPr>
      <w:r>
        <w:t>FD&amp;C Act: Federal Food, Drug, and Cosmetic Act</w:t>
      </w:r>
    </w:p>
    <w:p w:rsidR="00C64E91" w:rsidP="00A93F7F" w14:paraId="3BFEC1C0" w14:textId="36D574AB">
      <w:pPr>
        <w:pStyle w:val="ListParagraph"/>
        <w:numPr>
          <w:ilvl w:val="0"/>
          <w:numId w:val="24"/>
        </w:numPr>
        <w:spacing w:after="160" w:line="480" w:lineRule="auto"/>
      </w:pPr>
      <w:r>
        <w:t>PHS</w:t>
      </w:r>
      <w:r w:rsidR="00DA6EDB">
        <w:t xml:space="preserve"> Act</w:t>
      </w:r>
      <w:r w:rsidR="00FC44F6">
        <w:t xml:space="preserve">: Public Health Service </w:t>
      </w:r>
      <w:r w:rsidR="00DA6EDB">
        <w:t>Act</w:t>
      </w:r>
    </w:p>
    <w:p w:rsidR="00C64E91" w:rsidP="00A93F7F" w14:paraId="375BBC5D" w14:textId="77777777">
      <w:pPr>
        <w:pStyle w:val="ListParagraph"/>
        <w:numPr>
          <w:ilvl w:val="0"/>
          <w:numId w:val="24"/>
        </w:numPr>
        <w:spacing w:after="160" w:line="480" w:lineRule="auto"/>
      </w:pPr>
      <w:r>
        <w:t xml:space="preserve">CFR: Code of Federal Regulations </w:t>
      </w:r>
    </w:p>
    <w:p w:rsidR="00C64E91" w:rsidP="00A93F7F" w14:paraId="55561EEA" w14:textId="77777777">
      <w:pPr>
        <w:pStyle w:val="ListParagraph"/>
        <w:numPr>
          <w:ilvl w:val="0"/>
          <w:numId w:val="24"/>
        </w:numPr>
        <w:spacing w:after="160" w:line="480" w:lineRule="auto"/>
      </w:pPr>
      <w:r>
        <w:t>OMB: Office of Management and Budget</w:t>
      </w:r>
    </w:p>
    <w:p w:rsidR="00C64E91" w:rsidP="00A93F7F" w14:paraId="63ECDCC2" w14:textId="77777777">
      <w:pPr>
        <w:pStyle w:val="ListParagraph"/>
        <w:numPr>
          <w:ilvl w:val="0"/>
          <w:numId w:val="24"/>
        </w:numPr>
        <w:spacing w:after="160" w:line="480" w:lineRule="auto"/>
      </w:pPr>
      <w:r>
        <w:t>NTTAA: National Technology Transfer and Advancement Act of 1995</w:t>
      </w:r>
    </w:p>
    <w:p w:rsidR="00C64E91" w:rsidP="00A93F7F" w14:paraId="10DDF1F2" w14:textId="77777777">
      <w:pPr>
        <w:pStyle w:val="ListParagraph"/>
        <w:numPr>
          <w:ilvl w:val="0"/>
          <w:numId w:val="24"/>
        </w:numPr>
        <w:spacing w:after="160" w:line="480" w:lineRule="auto"/>
      </w:pPr>
      <w:r>
        <w:t>NIST: National Institute for Standards and Technology</w:t>
      </w:r>
    </w:p>
    <w:p w:rsidR="00C64E91" w:rsidP="00A93F7F" w14:paraId="2D9780DF" w14:textId="77777777">
      <w:pPr>
        <w:pStyle w:val="ListParagraph"/>
        <w:numPr>
          <w:ilvl w:val="0"/>
          <w:numId w:val="24"/>
        </w:numPr>
        <w:spacing w:after="160" w:line="480" w:lineRule="auto"/>
      </w:pPr>
      <w:r>
        <w:t xml:space="preserve">SDO: Standards Development Organization </w:t>
      </w:r>
    </w:p>
    <w:p w:rsidR="00C64E91" w:rsidP="00A93F7F" w14:paraId="7A37E286" w14:textId="4BC0B1BE">
      <w:pPr>
        <w:pStyle w:val="ListParagraph"/>
        <w:numPr>
          <w:ilvl w:val="0"/>
          <w:numId w:val="24"/>
        </w:numPr>
        <w:spacing w:after="160" w:line="480" w:lineRule="auto"/>
      </w:pPr>
      <w:r>
        <w:t>SME: Subject Matter Expert</w:t>
      </w:r>
    </w:p>
    <w:p w:rsidR="00C64E91" w:rsidP="00A93F7F" w14:paraId="4CFA3806" w14:textId="77777777">
      <w:pPr>
        <w:pStyle w:val="ListParagraph"/>
        <w:numPr>
          <w:ilvl w:val="0"/>
          <w:numId w:val="24"/>
        </w:numPr>
        <w:spacing w:after="160" w:line="480" w:lineRule="auto"/>
      </w:pPr>
      <w:r>
        <w:t>U.S.: United States</w:t>
      </w:r>
    </w:p>
    <w:p w:rsidR="00C64E91" w:rsidP="00A93F7F" w14:paraId="36441612" w14:textId="2F0E5000">
      <w:pPr>
        <w:pStyle w:val="ListParagraph"/>
        <w:numPr>
          <w:ilvl w:val="0"/>
          <w:numId w:val="24"/>
        </w:numPr>
        <w:spacing w:after="160" w:line="480" w:lineRule="auto"/>
      </w:pPr>
      <w:r>
        <w:t>S</w:t>
      </w:r>
      <w:r w:rsidR="005A6C29">
        <w:t>RS: Standard Recognition Summary</w:t>
      </w:r>
    </w:p>
    <w:p w:rsidR="00C64E91" w:rsidP="00A93F7F" w14:paraId="6D0F8CD9" w14:textId="77777777">
      <w:pPr>
        <w:pStyle w:val="ListParagraph"/>
        <w:numPr>
          <w:ilvl w:val="0"/>
          <w:numId w:val="24"/>
        </w:numPr>
        <w:spacing w:after="160" w:line="480" w:lineRule="auto"/>
      </w:pPr>
      <w:r>
        <w:t>USP: United States Pharmacopeia</w:t>
      </w:r>
    </w:p>
    <w:p w:rsidR="00C64E91" w:rsidP="00A93F7F" w14:paraId="089B58A5" w14:textId="77777777">
      <w:pPr>
        <w:pStyle w:val="ListParagraph"/>
        <w:numPr>
          <w:ilvl w:val="0"/>
          <w:numId w:val="24"/>
        </w:numPr>
        <w:spacing w:before="240" w:after="160" w:line="480" w:lineRule="auto"/>
      </w:pPr>
      <w:r>
        <w:t>WHO: World Health Organization</w:t>
      </w:r>
    </w:p>
    <w:p w:rsidR="0067581B" w:rsidP="002C514D" w14:paraId="39E7A776" w14:textId="531FE797"/>
    <w:p w:rsidR="004A1F7F" w:rsidRPr="005424FD" w:rsidP="005424FD" w14:paraId="77CAFB53" w14:textId="798CE2CC">
      <w:pPr>
        <w:rPr>
          <w:rFonts w:ascii="Times New Roman Bold" w:hAnsi="Times New Roman Bold"/>
          <w:b/>
          <w:bCs/>
          <w:caps/>
          <w:kern w:val="32"/>
          <w:szCs w:val="20"/>
        </w:rPr>
      </w:pPr>
    </w:p>
    <w:sectPr>
      <w:headerReference w:type="even" r:id="rId27"/>
      <w:footerReference w:type="default" r:id="rId28"/>
      <w:headerReference w:type="first" r:id="rId29"/>
      <w:pgSz w:w="12240" w:h="15840" w:code="1"/>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Bold">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6FE05E60"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7EFE5547"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3C1D" w14:paraId="6D0BC385" w14:textId="77777777">
      <w:r>
        <w:separator/>
      </w:r>
    </w:p>
  </w:footnote>
  <w:footnote w:type="continuationSeparator" w:id="1">
    <w:p w:rsidR="002A3C1D" w14:paraId="23425534" w14:textId="77777777">
      <w:r>
        <w:continuationSeparator/>
      </w:r>
    </w:p>
  </w:footnote>
  <w:footnote w:type="continuationNotice" w:id="2">
    <w:p w:rsidR="002A3C1D" w14:paraId="12974279" w14:textId="77777777"/>
  </w:footnote>
  <w:footnote w:id="3">
    <w:p w:rsidR="000F184A" w:rsidP="000F184A" w14:paraId="35774544" w14:textId="77777777">
      <w:pPr>
        <w:pStyle w:val="Default"/>
        <w:rPr>
          <w:sz w:val="20"/>
          <w:szCs w:val="20"/>
        </w:rPr>
      </w:pPr>
      <w:r>
        <w:rPr>
          <w:rStyle w:val="FootnoteReference"/>
        </w:rPr>
        <w:footnoteRef/>
      </w:r>
      <w:r>
        <w:t xml:space="preserve"> </w:t>
      </w:r>
      <w:r>
        <w:rPr>
          <w:sz w:val="20"/>
          <w:szCs w:val="20"/>
        </w:rPr>
        <w:t xml:space="preserve">In this guidance, the phrase </w:t>
      </w:r>
      <w:r>
        <w:rPr>
          <w:i/>
          <w:iCs/>
          <w:sz w:val="20"/>
          <w:szCs w:val="20"/>
        </w:rPr>
        <w:t xml:space="preserve">voluntary consensus standard </w:t>
      </w:r>
      <w:r>
        <w:rPr>
          <w:sz w:val="20"/>
          <w:szCs w:val="20"/>
        </w:rPr>
        <w:t xml:space="preserve">refers to </w:t>
      </w:r>
    </w:p>
    <w:p w:rsidR="000F184A" w:rsidP="000F184A" w14:paraId="6B3DBEAC" w14:textId="09F426B8">
      <w:pPr>
        <w:pStyle w:val="Default"/>
        <w:ind w:left="720"/>
        <w:rPr>
          <w:sz w:val="20"/>
          <w:szCs w:val="20"/>
        </w:rPr>
      </w:pPr>
      <w:r>
        <w:rPr>
          <w:sz w:val="20"/>
          <w:szCs w:val="20"/>
        </w:rPr>
        <w:t xml:space="preserve">a standard that is developed or adopted by domestic </w:t>
      </w:r>
      <w:r w:rsidRPr="00987498">
        <w:rPr>
          <w:sz w:val="20"/>
          <w:szCs w:val="20"/>
        </w:rPr>
        <w:t>and</w:t>
      </w:r>
      <w:r>
        <w:rPr>
          <w:sz w:val="20"/>
          <w:szCs w:val="20"/>
        </w:rPr>
        <w:t xml:space="preserve"> international voluntary consensus standards bodies . . . . These bodies often have . . . policies that include provisions requiring that owners of relevant patented technology incorporated into a standard make that intellectual property available to implementers of the standard on non-discriminatory and royalty-free or reasonable royalty terms.</w:t>
      </w:r>
    </w:p>
    <w:p w:rsidR="000F184A" w:rsidRPr="0065080E" w:rsidP="0065080E" w14:paraId="7C893370" w14:textId="363A6685">
      <w:pPr>
        <w:pStyle w:val="Default"/>
        <w:rPr>
          <w:sz w:val="20"/>
          <w:szCs w:val="20"/>
        </w:rPr>
      </w:pPr>
      <w:r>
        <w:rPr>
          <w:sz w:val="20"/>
          <w:szCs w:val="20"/>
        </w:rPr>
        <w:t xml:space="preserve">(See Ref. 2 at 16) </w:t>
      </w:r>
    </w:p>
  </w:footnote>
  <w:footnote w:id="4">
    <w:p w:rsidR="003314BE" w:rsidP="00FF4BEB" w14:paraId="313EBC74" w14:textId="369D78F5">
      <w:pPr>
        <w:pStyle w:val="FootnoteText"/>
      </w:pPr>
      <w:r w:rsidRPr="00987498">
        <w:rPr>
          <w:rStyle w:val="FootnoteReference"/>
        </w:rPr>
        <w:footnoteRef/>
      </w:r>
      <w:r w:rsidRPr="00987498">
        <w:t xml:space="preserve"> FDA has a formal recognition program for device standards under the Food and Drug Administration Modernization Act of 1997. </w:t>
      </w:r>
      <w:r w:rsidRPr="00987498" w:rsidR="00C33B09">
        <w:t xml:space="preserve"> </w:t>
      </w:r>
      <w:r w:rsidRPr="00987498">
        <w:t xml:space="preserve">Public Law 105-115. </w:t>
      </w:r>
      <w:r w:rsidRPr="00987498" w:rsidR="00C33B09">
        <w:t xml:space="preserve"> </w:t>
      </w:r>
      <w:r w:rsidRPr="00987498">
        <w:t xml:space="preserve">Under the device standards </w:t>
      </w:r>
      <w:r w:rsidRPr="00987498" w:rsidR="008D1081">
        <w:t>recogni</w:t>
      </w:r>
      <w:r w:rsidR="008D1081">
        <w:t>tion</w:t>
      </w:r>
      <w:r w:rsidRPr="00987498" w:rsidR="008D1081">
        <w:t xml:space="preserve"> </w:t>
      </w:r>
      <w:r w:rsidRPr="00987498">
        <w:t xml:space="preserve">program, the term “recognize” refers to FDA’s formal identification of a standard </w:t>
      </w:r>
      <w:r w:rsidR="00EA3E00">
        <w:t>under section 514(c ) of the Federal Food</w:t>
      </w:r>
      <w:r w:rsidR="001811F5">
        <w:t xml:space="preserve">, Drug, and Cosmetic (FD&amp;C) Act </w:t>
      </w:r>
      <w:r w:rsidRPr="00987498">
        <w:t>after the determination that the standard is appropriate to meet relevant requirements in the FD&amp;C Act, Public Health Service (PHS) Act, and Title 21 of the Code of Federal Regulations (21 CFR).</w:t>
      </w:r>
      <w:r w:rsidRPr="0006302A" w:rsidR="0006302A">
        <w:rPr>
          <w:sz w:val="23"/>
          <w:szCs w:val="23"/>
        </w:rPr>
        <w:t xml:space="preserve"> </w:t>
      </w:r>
    </w:p>
  </w:footnote>
  <w:footnote w:id="5">
    <w:p w:rsidR="003314BE" w14:paraId="073F9E64" w14:textId="68173136">
      <w:pPr>
        <w:pStyle w:val="FootnoteText"/>
      </w:pPr>
      <w:r>
        <w:rPr>
          <w:rStyle w:val="FootnoteReference"/>
        </w:rPr>
        <w:footnoteRef/>
      </w:r>
      <w:r>
        <w:t xml:space="preserve"> </w:t>
      </w:r>
      <w:r w:rsidRPr="00E57DE3">
        <w:t>Pub. L. 114-25</w:t>
      </w:r>
      <w:r w:rsidRPr="005F5C98">
        <w:t>5.</w:t>
      </w:r>
    </w:p>
  </w:footnote>
  <w:footnote w:id="6">
    <w:p w:rsidR="003314BE" w:rsidRPr="0065080E" w:rsidP="0065080E" w14:paraId="0F946A11" w14:textId="0606CF21">
      <w:pPr>
        <w:pStyle w:val="NoSpacing"/>
        <w:rPr>
          <w:sz w:val="20"/>
          <w:szCs w:val="20"/>
        </w:rPr>
      </w:pPr>
      <w:r>
        <w:rPr>
          <w:rStyle w:val="FootnoteReference"/>
        </w:rPr>
        <w:footnoteRef/>
      </w:r>
      <w:r>
        <w:t xml:space="preserve"> </w:t>
      </w:r>
      <w:r w:rsidRPr="0065080E" w:rsidR="0065080E">
        <w:rPr>
          <w:i/>
          <w:iCs/>
          <w:sz w:val="20"/>
          <w:szCs w:val="20"/>
        </w:rPr>
        <w:t xml:space="preserve">Voluntary consensus standards bodies </w:t>
      </w:r>
      <w:r w:rsidRPr="0065080E" w:rsidR="0065080E">
        <w:rPr>
          <w:sz w:val="20"/>
          <w:szCs w:val="20"/>
        </w:rPr>
        <w:t>refer to any “association, organization, or technical society that plans, develops, establishes, or coordinates voluntary consensus standards using a voluntary consensus standards development process that includes [specific] attributes or elements.”</w:t>
      </w:r>
      <w:r w:rsidR="00C33B09">
        <w:rPr>
          <w:sz w:val="20"/>
          <w:szCs w:val="20"/>
        </w:rPr>
        <w:t xml:space="preserve"> </w:t>
      </w:r>
      <w:r w:rsidRPr="0065080E" w:rsidR="0065080E">
        <w:rPr>
          <w:sz w:val="20"/>
          <w:szCs w:val="20"/>
        </w:rPr>
        <w:t xml:space="preserve"> </w:t>
      </w:r>
      <w:r w:rsidR="0065080E">
        <w:rPr>
          <w:sz w:val="20"/>
          <w:szCs w:val="20"/>
        </w:rPr>
        <w:t>(See Ref. 2)</w:t>
      </w:r>
      <w:r w:rsidRPr="0065080E" w:rsidR="0065080E">
        <w:rPr>
          <w:sz w:val="20"/>
          <w:szCs w:val="20"/>
        </w:rPr>
        <w:t xml:space="preserve"> </w:t>
      </w:r>
      <w:r w:rsidRPr="0065080E">
        <w:rPr>
          <w:sz w:val="20"/>
          <w:szCs w:val="20"/>
        </w:rPr>
        <w:t xml:space="preserve">VCS </w:t>
      </w:r>
      <w:r w:rsidR="0065080E">
        <w:rPr>
          <w:sz w:val="20"/>
          <w:szCs w:val="20"/>
        </w:rPr>
        <w:t xml:space="preserve">are defined as </w:t>
      </w:r>
      <w:r w:rsidRPr="0065080E">
        <w:rPr>
          <w:sz w:val="20"/>
          <w:szCs w:val="20"/>
        </w:rPr>
        <w:t xml:space="preserve">bodies as having policies that include provisions requiring that owners of relevant patented technology incorporated into a standard make that intellectual property available to implementers of the standard on non-discriminatory and royalty-free or reasonable royalty terms. </w:t>
      </w:r>
      <w:r w:rsidR="0065080E">
        <w:rPr>
          <w:sz w:val="20"/>
          <w:szCs w:val="20"/>
        </w:rPr>
        <w:t>Id.</w:t>
      </w:r>
    </w:p>
  </w:footnote>
  <w:footnote w:id="7">
    <w:p w:rsidR="003314BE" w:rsidP="0065080E" w14:paraId="6DE7B827" w14:textId="4E44E354">
      <w:pPr>
        <w:pStyle w:val="NoSpacing"/>
      </w:pPr>
      <w:r w:rsidRPr="0065080E">
        <w:rPr>
          <w:rStyle w:val="FootnoteReference"/>
          <w:sz w:val="20"/>
          <w:szCs w:val="20"/>
        </w:rPr>
        <w:footnoteRef/>
      </w:r>
      <w:r w:rsidRPr="0065080E">
        <w:rPr>
          <w:sz w:val="20"/>
          <w:szCs w:val="20"/>
        </w:rPr>
        <w:t xml:space="preserve"> OMB Circular A-119 defines consensus as a “</w:t>
      </w:r>
      <w:r w:rsidRPr="0017736A">
        <w:rPr>
          <w:sz w:val="20"/>
          <w:szCs w:val="20"/>
        </w:rPr>
        <w:t>general agreement</w:t>
      </w:r>
      <w:r w:rsidRPr="0065080E">
        <w:rPr>
          <w:sz w:val="20"/>
          <w:szCs w:val="20"/>
        </w:rPr>
        <w:t>, but not necessarily unanimity”.</w:t>
      </w:r>
      <w:r w:rsidR="00C33B09">
        <w:rPr>
          <w:sz w:val="20"/>
          <w:szCs w:val="20"/>
        </w:rPr>
        <w:t xml:space="preserve"> </w:t>
      </w:r>
      <w:r w:rsidRPr="0065080E">
        <w:rPr>
          <w:sz w:val="20"/>
          <w:szCs w:val="20"/>
        </w:rPr>
        <w:t xml:space="preserve"> (See Ref. 2)</w:t>
      </w:r>
    </w:p>
  </w:footnote>
  <w:footnote w:id="8">
    <w:p w:rsidR="003314BE" w14:paraId="34031802" w14:textId="26E20507">
      <w:pPr>
        <w:pStyle w:val="FootnoteText"/>
      </w:pPr>
      <w:r>
        <w:rPr>
          <w:rStyle w:val="FootnoteReference"/>
        </w:rPr>
        <w:footnoteRef/>
      </w:r>
      <w:r>
        <w:t xml:space="preserve"> Id.</w:t>
      </w:r>
    </w:p>
  </w:footnote>
  <w:footnote w:id="9">
    <w:p w:rsidR="003314BE" w14:paraId="4C18B58C" w14:textId="0E94E6D8">
      <w:pPr>
        <w:pStyle w:val="FootnoteText"/>
      </w:pPr>
      <w:r>
        <w:rPr>
          <w:rStyle w:val="FootnoteReference"/>
        </w:rPr>
        <w:footnoteRef/>
      </w:r>
      <w:r>
        <w:t xml:space="preserve"> Id.</w:t>
      </w:r>
    </w:p>
  </w:footnote>
  <w:footnote w:id="10">
    <w:p w:rsidR="003314BE" w14:paraId="4A95479A" w14:textId="56361250">
      <w:pPr>
        <w:pStyle w:val="FootnoteText"/>
      </w:pPr>
      <w:r>
        <w:rPr>
          <w:rStyle w:val="FootnoteReference"/>
        </w:rPr>
        <w:footnoteRef/>
      </w:r>
      <w:r>
        <w:t xml:space="preserve"> The revised OMB Circular A-119 defines </w:t>
      </w:r>
      <w:r>
        <w:rPr>
          <w:i/>
          <w:iCs/>
        </w:rPr>
        <w:t xml:space="preserve">consensus </w:t>
      </w:r>
      <w:r>
        <w:t>as a “</w:t>
      </w:r>
      <w:r w:rsidRPr="00B7572B">
        <w:t>general agreement,</w:t>
      </w:r>
      <w:r>
        <w:t xml:space="preserve"> but not necessarily unanimity.” OMB Circular A-119 Revised</w:t>
      </w:r>
      <w:r w:rsidR="00C33B09">
        <w:t xml:space="preserve">. </w:t>
      </w:r>
      <w:r>
        <w:t xml:space="preserve"> See footnote 3.</w:t>
      </w:r>
    </w:p>
  </w:footnote>
  <w:footnote w:id="11">
    <w:p w:rsidR="003314BE" w:rsidRPr="00A852BE" w:rsidP="0062552F" w14:paraId="5F1C6AF3" w14:textId="4CC08337">
      <w:pPr>
        <w:pStyle w:val="Default"/>
        <w:rPr>
          <w:sz w:val="18"/>
          <w:szCs w:val="18"/>
        </w:rPr>
      </w:pPr>
      <w:r w:rsidRPr="00A852BE">
        <w:rPr>
          <w:rStyle w:val="FootnoteReference"/>
          <w:sz w:val="20"/>
          <w:szCs w:val="20"/>
        </w:rPr>
        <w:footnoteRef/>
      </w:r>
      <w:r w:rsidRPr="00A852BE">
        <w:rPr>
          <w:sz w:val="20"/>
          <w:szCs w:val="20"/>
        </w:rPr>
        <w:t xml:space="preserve"> </w:t>
      </w:r>
      <w:r w:rsidRPr="00FE7A71">
        <w:rPr>
          <w:sz w:val="20"/>
          <w:szCs w:val="20"/>
        </w:rPr>
        <w:t>Electronic data exchange standards for submissions to CBER can be found in the FDA Data Standards Catalog.</w:t>
      </w:r>
      <w:r w:rsidRPr="002C514D" w:rsidR="0062552F">
        <w:rPr>
          <w:sz w:val="20"/>
          <w:szCs w:val="20"/>
        </w:rPr>
        <w:t xml:space="preserve">  </w:t>
      </w:r>
      <w:r w:rsidRPr="002C514D" w:rsidR="00DD0DB6">
        <w:rPr>
          <w:sz w:val="20"/>
          <w:szCs w:val="20"/>
        </w:rPr>
        <w:t>For more information, see the FDA Data Standards Catalog, available at the FDA Resources for Data Standards website:</w:t>
      </w:r>
      <w:r w:rsidR="00FE7A71">
        <w:rPr>
          <w:sz w:val="20"/>
          <w:szCs w:val="20"/>
        </w:rPr>
        <w:t xml:space="preserve"> </w:t>
      </w:r>
      <w:r w:rsidRPr="00A852BE" w:rsidR="00DD0DB6">
        <w:rPr>
          <w:sz w:val="18"/>
          <w:szCs w:val="18"/>
        </w:rPr>
        <w:t xml:space="preserve"> </w:t>
      </w:r>
      <w:hyperlink r:id="rId1" w:history="1">
        <w:r w:rsidRPr="00C62BFB" w:rsidR="00FC30FE">
          <w:rPr>
            <w:rStyle w:val="Hyperlink"/>
            <w:sz w:val="18"/>
            <w:szCs w:val="18"/>
          </w:rPr>
          <w:t>https://www.fda.gov/ForIndustry/DataStandards/default.htm</w:t>
        </w:r>
      </w:hyperlink>
      <w:r w:rsidRPr="00A852BE" w:rsidR="00DD0DB6">
        <w:rPr>
          <w:sz w:val="18"/>
          <w:szCs w:val="18"/>
        </w:rPr>
        <w:t xml:space="preserve">. </w:t>
      </w:r>
    </w:p>
  </w:footnote>
  <w:footnote w:id="12">
    <w:p w:rsidR="003314BE" w14:paraId="69B10987" w14:textId="1669E99B">
      <w:pPr>
        <w:pStyle w:val="FootnoteText"/>
      </w:pPr>
      <w:r>
        <w:rPr>
          <w:rStyle w:val="FootnoteReference"/>
        </w:rPr>
        <w:footnoteRef/>
      </w:r>
      <w:r>
        <w:t xml:space="preserve"> The program also does not apply to non-recognized standards that product sponsors and applicants are seeking to use in regulatory submissions.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4CB570F3" w14:textId="3ED20261">
    <w:pPr>
      <w:pStyle w:val="Header"/>
      <w:jc w:val="center"/>
      <w:rPr>
        <w:b/>
      </w:rPr>
    </w:pPr>
    <w:r>
      <w:rPr>
        <w:b/>
      </w:rPr>
      <w:t>Contains Nonbinding Recommendations</w:t>
    </w:r>
  </w:p>
  <w:p w:rsidR="003314BE" w14:paraId="67BAE73A" w14:textId="77777777">
    <w:pPr>
      <w:pStyle w:val="Header"/>
      <w:jc w:val="center"/>
      <w:rPr>
        <w:b/>
      </w:rPr>
    </w:pPr>
  </w:p>
  <w:p w:rsidR="003314BE" w14:paraId="08458AD1" w14:textId="77777777">
    <w:pPr>
      <w:pStyle w:val="Header"/>
      <w:jc w:val="center"/>
      <w:rPr>
        <w:i/>
      </w:rPr>
    </w:pPr>
    <w:r>
      <w:rPr>
        <w:i/>
      </w:rPr>
      <w:t>Draft – Not for Implementation</w:t>
    </w:r>
  </w:p>
  <w:p w:rsidR="003314BE" w14:paraId="6EEB393B"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02D7C923" w14:textId="621DAD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3FA4" w:rsidP="00133FA4" w14:paraId="088B0EE8" w14:textId="77777777">
    <w:pPr>
      <w:pStyle w:val="Header"/>
      <w:jc w:val="center"/>
      <w:rPr>
        <w:b/>
      </w:rPr>
    </w:pPr>
    <w:r>
      <w:rPr>
        <w:b/>
      </w:rPr>
      <w:t>Contains Nonbinding Recommendations</w:t>
    </w:r>
  </w:p>
  <w:p w:rsidR="003314BE" w:rsidP="00CA735F" w14:paraId="19998408" w14:textId="27A59D69">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23923299" w14:textId="19B224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6E31D23F" w14:textId="395F55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14BE" w14:paraId="57595FD1" w14:textId="17948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C0E2C"/>
    <w:multiLevelType w:val="hybridMultilevel"/>
    <w:tmpl w:val="5A1C5C70"/>
    <w:lvl w:ilvl="0">
      <w:start w:val="1"/>
      <w:numFmt w:val="upperRoman"/>
      <w:lvlText w:val="%1."/>
      <w:lvlJc w:val="left"/>
      <w:pPr>
        <w:tabs>
          <w:tab w:val="num" w:pos="720"/>
        </w:tabs>
        <w:ind w:left="720" w:hanging="720"/>
      </w:pPr>
      <w:rPr>
        <w:rFonts w:ascii="Times New Roman Bold" w:hAnsi="Times New Roman Bold" w:hint="default"/>
        <w:b/>
        <w:i w:val="0"/>
        <w:caps/>
        <w:sz w:val="24"/>
      </w:rPr>
    </w:lvl>
    <w:lvl w:ilvl="1">
      <w:start w:val="1"/>
      <w:numFmt w:val="lowerLetter"/>
      <w:lvlText w:val="%2."/>
      <w:lvlJc w:val="left"/>
      <w:pPr>
        <w:tabs>
          <w:tab w:val="num" w:pos="1440"/>
        </w:tabs>
        <w:ind w:left="1440" w:hanging="360"/>
      </w:pPr>
      <w:rPr>
        <w:b/>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7283934"/>
    <w:multiLevelType w:val="hybridMultilevel"/>
    <w:tmpl w:val="787A4B3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7F4391C"/>
    <w:multiLevelType w:val="hybridMultilevel"/>
    <w:tmpl w:val="ECA413B2"/>
    <w:lvl w:ilvl="0">
      <w:start w:val="9"/>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166169D"/>
    <w:multiLevelType w:val="hybridMultilevel"/>
    <w:tmpl w:val="7386683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28A5FB1"/>
    <w:multiLevelType w:val="hybridMultilevel"/>
    <w:tmpl w:val="8CC4AFA4"/>
    <w:lvl w:ilvl="0">
      <w:start w:val="2"/>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49A7D28"/>
    <w:multiLevelType w:val="hybridMultilevel"/>
    <w:tmpl w:val="8BE2D98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52F67D4"/>
    <w:multiLevelType w:val="hybridMultilevel"/>
    <w:tmpl w:val="F3C2F70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1A334686"/>
    <w:multiLevelType w:val="hybridMultilevel"/>
    <w:tmpl w:val="F7541C76"/>
    <w:lvl w:ilvl="0">
      <w:start w:val="1"/>
      <w:numFmt w:val="upperLetter"/>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4DC4457"/>
    <w:multiLevelType w:val="hybridMultilevel"/>
    <w:tmpl w:val="05D4E3E6"/>
    <w:lvl w:ilvl="0">
      <w:start w:val="8"/>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0C5C34"/>
    <w:multiLevelType w:val="hybridMultilevel"/>
    <w:tmpl w:val="FF7CF99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2E7F0CC8"/>
    <w:multiLevelType w:val="hybridMultilevel"/>
    <w:tmpl w:val="423EBA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0B7741"/>
    <w:multiLevelType w:val="hybridMultilevel"/>
    <w:tmpl w:val="F9EA34BA"/>
    <w:lvl w:ilvl="0">
      <w:start w:val="1"/>
      <w:numFmt w:val="upperLetter"/>
      <w:lvlText w:val="%1."/>
      <w:lvlJc w:val="left"/>
      <w:pPr>
        <w:tabs>
          <w:tab w:val="num" w:pos="2520"/>
        </w:tabs>
        <w:ind w:left="2520" w:hanging="720"/>
      </w:pPr>
      <w:rPr>
        <w:rFonts w:hint="default"/>
        <w:b/>
      </w:rPr>
    </w:lvl>
    <w:lvl w:ilvl="1">
      <w:start w:val="1"/>
      <w:numFmt w:val="decimal"/>
      <w:lvlText w:val="%2."/>
      <w:lvlJc w:val="left"/>
      <w:pPr>
        <w:tabs>
          <w:tab w:val="num" w:pos="3240"/>
        </w:tabs>
        <w:ind w:left="3240" w:hanging="720"/>
      </w:pPr>
      <w:rPr>
        <w:rFonts w:hint="default"/>
      </w:rPr>
    </w:lvl>
    <w:lvl w:ilvl="2">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2">
    <w:nsid w:val="31CB6E27"/>
    <w:multiLevelType w:val="hybridMultilevel"/>
    <w:tmpl w:val="89842FA6"/>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31E02B69"/>
    <w:multiLevelType w:val="hybridMultilevel"/>
    <w:tmpl w:val="730E4E4E"/>
    <w:lvl w:ilvl="0">
      <w:start w:val="1"/>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BFE46DF"/>
    <w:multiLevelType w:val="hybridMultilevel"/>
    <w:tmpl w:val="8F985D46"/>
    <w:lvl w:ilvl="0">
      <w:start w:val="8"/>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DAC27D6"/>
    <w:multiLevelType w:val="hybridMultilevel"/>
    <w:tmpl w:val="F40893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0D562AA"/>
    <w:multiLevelType w:val="hybridMultilevel"/>
    <w:tmpl w:val="70E80CF2"/>
    <w:lvl w:ilvl="0">
      <w:start w:val="1"/>
      <w:numFmt w:val="upperRoman"/>
      <w:pStyle w:val="Heading1"/>
      <w:lvlText w:val="%1."/>
      <w:lvlJc w:val="left"/>
      <w:pPr>
        <w:ind w:left="720" w:hanging="360"/>
      </w:pPr>
      <w:rPr>
        <w:rFonts w:ascii="Times New Roman Bold" w:hAnsi="Times New Roman Bold"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5951688"/>
    <w:multiLevelType w:val="hybridMultilevel"/>
    <w:tmpl w:val="2DB040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8634411"/>
    <w:multiLevelType w:val="hybridMultilevel"/>
    <w:tmpl w:val="120834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E8F1BFB"/>
    <w:multiLevelType w:val="hybridMultilevel"/>
    <w:tmpl w:val="240AE5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0D23FA0"/>
    <w:multiLevelType w:val="hybridMultilevel"/>
    <w:tmpl w:val="4E0CA12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543C54C6"/>
    <w:multiLevelType w:val="hybridMultilevel"/>
    <w:tmpl w:val="0344AA38"/>
    <w:lvl w:ilvl="0">
      <w:start w:val="1"/>
      <w:numFmt w:val="decimal"/>
      <w:lvlText w:val="%1."/>
      <w:lvlJc w:val="left"/>
      <w:pPr>
        <w:ind w:left="180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AA24C2E"/>
    <w:multiLevelType w:val="hybridMultilevel"/>
    <w:tmpl w:val="87180C54"/>
    <w:lvl w:ilvl="0">
      <w:start w:val="1"/>
      <w:numFmt w:val="bullet"/>
      <w:lvlText w:val=""/>
      <w:lvlJc w:val="left"/>
      <w:pPr>
        <w:ind w:left="1620" w:hanging="360"/>
      </w:pPr>
      <w:rPr>
        <w:rFonts w:ascii="Symbol" w:hAnsi="Symbo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3">
    <w:nsid w:val="5C4E5536"/>
    <w:multiLevelType w:val="multilevel"/>
    <w:tmpl w:val="02B2D390"/>
    <w:lvl w:ilvl="0">
      <w:start w:val="3"/>
      <w:numFmt w:val="upperRoman"/>
      <w:lvlText w:val="%1."/>
      <w:lvlJc w:val="righ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669C36C0"/>
    <w:multiLevelType w:val="hybridMultilevel"/>
    <w:tmpl w:val="E788D13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5">
    <w:nsid w:val="6B3F1497"/>
    <w:multiLevelType w:val="hybridMultilevel"/>
    <w:tmpl w:val="27DA400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717612B4"/>
    <w:multiLevelType w:val="hybridMultilevel"/>
    <w:tmpl w:val="0F6E57B4"/>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28534D3"/>
    <w:multiLevelType w:val="hybridMultilevel"/>
    <w:tmpl w:val="7A349FB8"/>
    <w:lvl w:ilvl="0">
      <w:start w:val="1"/>
      <w:numFmt w:val="bullet"/>
      <w:lvlText w:val=""/>
      <w:lvlJc w:val="left"/>
      <w:pPr>
        <w:ind w:left="774" w:hanging="360"/>
      </w:pPr>
      <w:rPr>
        <w:rFonts w:ascii="Symbol" w:hAnsi="Symbol" w:hint="default"/>
      </w:rPr>
    </w:lvl>
    <w:lvl w:ilvl="1">
      <w:start w:val="1"/>
      <w:numFmt w:val="bullet"/>
      <w:lvlText w:val="o"/>
      <w:lvlJc w:val="left"/>
      <w:pPr>
        <w:ind w:left="1494" w:hanging="360"/>
      </w:pPr>
      <w:rPr>
        <w:rFonts w:ascii="Courier New" w:hAnsi="Courier New" w:cs="Courier New" w:hint="default"/>
      </w:rPr>
    </w:lvl>
    <w:lvl w:ilvl="2" w:tentative="1">
      <w:start w:val="1"/>
      <w:numFmt w:val="bullet"/>
      <w:lvlText w:val=""/>
      <w:lvlJc w:val="left"/>
      <w:pPr>
        <w:ind w:left="2214" w:hanging="360"/>
      </w:pPr>
      <w:rPr>
        <w:rFonts w:ascii="Wingdings" w:hAnsi="Wingdings" w:hint="default"/>
      </w:rPr>
    </w:lvl>
    <w:lvl w:ilvl="3" w:tentative="1">
      <w:start w:val="1"/>
      <w:numFmt w:val="bullet"/>
      <w:lvlText w:val=""/>
      <w:lvlJc w:val="left"/>
      <w:pPr>
        <w:ind w:left="2934" w:hanging="360"/>
      </w:pPr>
      <w:rPr>
        <w:rFonts w:ascii="Symbol" w:hAnsi="Symbol" w:hint="default"/>
      </w:rPr>
    </w:lvl>
    <w:lvl w:ilvl="4" w:tentative="1">
      <w:start w:val="1"/>
      <w:numFmt w:val="bullet"/>
      <w:lvlText w:val="o"/>
      <w:lvlJc w:val="left"/>
      <w:pPr>
        <w:ind w:left="3654" w:hanging="360"/>
      </w:pPr>
      <w:rPr>
        <w:rFonts w:ascii="Courier New" w:hAnsi="Courier New" w:cs="Courier New" w:hint="default"/>
      </w:rPr>
    </w:lvl>
    <w:lvl w:ilvl="5" w:tentative="1">
      <w:start w:val="1"/>
      <w:numFmt w:val="bullet"/>
      <w:lvlText w:val=""/>
      <w:lvlJc w:val="left"/>
      <w:pPr>
        <w:ind w:left="4374" w:hanging="360"/>
      </w:pPr>
      <w:rPr>
        <w:rFonts w:ascii="Wingdings" w:hAnsi="Wingdings" w:hint="default"/>
      </w:rPr>
    </w:lvl>
    <w:lvl w:ilvl="6" w:tentative="1">
      <w:start w:val="1"/>
      <w:numFmt w:val="bullet"/>
      <w:lvlText w:val=""/>
      <w:lvlJc w:val="left"/>
      <w:pPr>
        <w:ind w:left="5094" w:hanging="360"/>
      </w:pPr>
      <w:rPr>
        <w:rFonts w:ascii="Symbol" w:hAnsi="Symbol" w:hint="default"/>
      </w:rPr>
    </w:lvl>
    <w:lvl w:ilvl="7" w:tentative="1">
      <w:start w:val="1"/>
      <w:numFmt w:val="bullet"/>
      <w:lvlText w:val="o"/>
      <w:lvlJc w:val="left"/>
      <w:pPr>
        <w:ind w:left="5814" w:hanging="360"/>
      </w:pPr>
      <w:rPr>
        <w:rFonts w:ascii="Courier New" w:hAnsi="Courier New" w:cs="Courier New" w:hint="default"/>
      </w:rPr>
    </w:lvl>
    <w:lvl w:ilvl="8" w:tentative="1">
      <w:start w:val="1"/>
      <w:numFmt w:val="bullet"/>
      <w:lvlText w:val=""/>
      <w:lvlJc w:val="left"/>
      <w:pPr>
        <w:ind w:left="6534" w:hanging="360"/>
      </w:pPr>
      <w:rPr>
        <w:rFonts w:ascii="Wingdings" w:hAnsi="Wingdings" w:hint="default"/>
      </w:rPr>
    </w:lvl>
  </w:abstractNum>
  <w:abstractNum w:abstractNumId="28">
    <w:nsid w:val="7B7103A8"/>
    <w:multiLevelType w:val="multilevel"/>
    <w:tmpl w:val="C21E8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0650637">
    <w:abstractNumId w:val="11"/>
  </w:num>
  <w:num w:numId="2" w16cid:durableId="2120906931">
    <w:abstractNumId w:val="12"/>
  </w:num>
  <w:num w:numId="3" w16cid:durableId="1065763746">
    <w:abstractNumId w:val="0"/>
  </w:num>
  <w:num w:numId="4" w16cid:durableId="2115517107">
    <w:abstractNumId w:val="21"/>
  </w:num>
  <w:num w:numId="5" w16cid:durableId="212154321">
    <w:abstractNumId w:val="28"/>
  </w:num>
  <w:num w:numId="6" w16cid:durableId="1582372985">
    <w:abstractNumId w:val="19"/>
  </w:num>
  <w:num w:numId="7" w16cid:durableId="480929379">
    <w:abstractNumId w:val="5"/>
  </w:num>
  <w:num w:numId="8" w16cid:durableId="708921384">
    <w:abstractNumId w:val="17"/>
  </w:num>
  <w:num w:numId="9" w16cid:durableId="33384295">
    <w:abstractNumId w:val="24"/>
  </w:num>
  <w:num w:numId="10" w16cid:durableId="1567571037">
    <w:abstractNumId w:val="25"/>
  </w:num>
  <w:num w:numId="11" w16cid:durableId="1708263567">
    <w:abstractNumId w:val="26"/>
  </w:num>
  <w:num w:numId="12" w16cid:durableId="734937009">
    <w:abstractNumId w:val="7"/>
  </w:num>
  <w:num w:numId="13" w16cid:durableId="256913549">
    <w:abstractNumId w:val="22"/>
  </w:num>
  <w:num w:numId="14" w16cid:durableId="1052535427">
    <w:abstractNumId w:val="1"/>
  </w:num>
  <w:num w:numId="15" w16cid:durableId="1771385835">
    <w:abstractNumId w:val="6"/>
  </w:num>
  <w:num w:numId="16" w16cid:durableId="439572158">
    <w:abstractNumId w:val="8"/>
  </w:num>
  <w:num w:numId="17" w16cid:durableId="1172375154">
    <w:abstractNumId w:val="20"/>
  </w:num>
  <w:num w:numId="18" w16cid:durableId="1875804100">
    <w:abstractNumId w:val="15"/>
  </w:num>
  <w:num w:numId="19" w16cid:durableId="1361391801">
    <w:abstractNumId w:val="9"/>
  </w:num>
  <w:num w:numId="20" w16cid:durableId="1244990098">
    <w:abstractNumId w:val="3"/>
  </w:num>
  <w:num w:numId="21" w16cid:durableId="978338741">
    <w:abstractNumId w:val="13"/>
  </w:num>
  <w:num w:numId="22" w16cid:durableId="1025522208">
    <w:abstractNumId w:val="23"/>
  </w:num>
  <w:num w:numId="23" w16cid:durableId="1468010611">
    <w:abstractNumId w:val="2"/>
  </w:num>
  <w:num w:numId="24" w16cid:durableId="16083573">
    <w:abstractNumId w:val="18"/>
  </w:num>
  <w:num w:numId="25" w16cid:durableId="420368867">
    <w:abstractNumId w:val="10"/>
  </w:num>
  <w:num w:numId="26" w16cid:durableId="2140686014">
    <w:abstractNumId w:val="27"/>
  </w:num>
  <w:num w:numId="27" w16cid:durableId="10374577">
    <w:abstractNumId w:val="14"/>
  </w:num>
  <w:num w:numId="28" w16cid:durableId="1385060723">
    <w:abstractNumId w:val="4"/>
  </w:num>
  <w:num w:numId="29" w16cid:durableId="142645809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rawingGridHorizontalSpacing w:val="120"/>
  <w:displayHorizontalDrawingGridEvery w:val="2"/>
  <w:displayVerticalDrawingGridEvery w:val="2"/>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CE3"/>
    <w:rsid w:val="0000091B"/>
    <w:rsid w:val="00002454"/>
    <w:rsid w:val="00003CD6"/>
    <w:rsid w:val="0000540C"/>
    <w:rsid w:val="00005902"/>
    <w:rsid w:val="00006EE8"/>
    <w:rsid w:val="00006F86"/>
    <w:rsid w:val="00007C3D"/>
    <w:rsid w:val="000100FF"/>
    <w:rsid w:val="000103CF"/>
    <w:rsid w:val="0001186C"/>
    <w:rsid w:val="00011F89"/>
    <w:rsid w:val="0001208B"/>
    <w:rsid w:val="00012405"/>
    <w:rsid w:val="00013F99"/>
    <w:rsid w:val="00016AB3"/>
    <w:rsid w:val="00017964"/>
    <w:rsid w:val="000200A4"/>
    <w:rsid w:val="000207F3"/>
    <w:rsid w:val="00020F63"/>
    <w:rsid w:val="00022EA4"/>
    <w:rsid w:val="0002373F"/>
    <w:rsid w:val="00025733"/>
    <w:rsid w:val="0002580B"/>
    <w:rsid w:val="00030C7D"/>
    <w:rsid w:val="00031BF9"/>
    <w:rsid w:val="00032927"/>
    <w:rsid w:val="00033594"/>
    <w:rsid w:val="00033CEA"/>
    <w:rsid w:val="000359CC"/>
    <w:rsid w:val="000369FD"/>
    <w:rsid w:val="00042BC1"/>
    <w:rsid w:val="00043D4C"/>
    <w:rsid w:val="00050F5D"/>
    <w:rsid w:val="000515BE"/>
    <w:rsid w:val="00052320"/>
    <w:rsid w:val="00052782"/>
    <w:rsid w:val="00052B5C"/>
    <w:rsid w:val="00052C1E"/>
    <w:rsid w:val="00052C81"/>
    <w:rsid w:val="00054AB2"/>
    <w:rsid w:val="00056D05"/>
    <w:rsid w:val="00061287"/>
    <w:rsid w:val="0006302A"/>
    <w:rsid w:val="000656B0"/>
    <w:rsid w:val="00065D21"/>
    <w:rsid w:val="000661D3"/>
    <w:rsid w:val="000749A0"/>
    <w:rsid w:val="0007731C"/>
    <w:rsid w:val="0008078C"/>
    <w:rsid w:val="00081DFB"/>
    <w:rsid w:val="00082D63"/>
    <w:rsid w:val="00083ABA"/>
    <w:rsid w:val="00086643"/>
    <w:rsid w:val="0008719B"/>
    <w:rsid w:val="00087FE5"/>
    <w:rsid w:val="00090258"/>
    <w:rsid w:val="00090B80"/>
    <w:rsid w:val="000922AD"/>
    <w:rsid w:val="000929BA"/>
    <w:rsid w:val="0009573C"/>
    <w:rsid w:val="00095A23"/>
    <w:rsid w:val="0009767D"/>
    <w:rsid w:val="00097891"/>
    <w:rsid w:val="000A034B"/>
    <w:rsid w:val="000A2023"/>
    <w:rsid w:val="000A2CD0"/>
    <w:rsid w:val="000A371E"/>
    <w:rsid w:val="000A4E16"/>
    <w:rsid w:val="000A5F11"/>
    <w:rsid w:val="000B1E0F"/>
    <w:rsid w:val="000B276E"/>
    <w:rsid w:val="000B50C6"/>
    <w:rsid w:val="000B5936"/>
    <w:rsid w:val="000B5AE1"/>
    <w:rsid w:val="000C04B3"/>
    <w:rsid w:val="000C0D8B"/>
    <w:rsid w:val="000C1482"/>
    <w:rsid w:val="000C1D72"/>
    <w:rsid w:val="000C22E1"/>
    <w:rsid w:val="000C4BEE"/>
    <w:rsid w:val="000C65D8"/>
    <w:rsid w:val="000D1BC9"/>
    <w:rsid w:val="000D343F"/>
    <w:rsid w:val="000D3802"/>
    <w:rsid w:val="000D3927"/>
    <w:rsid w:val="000D47E1"/>
    <w:rsid w:val="000D4A14"/>
    <w:rsid w:val="000D5803"/>
    <w:rsid w:val="000D5C13"/>
    <w:rsid w:val="000E2EF7"/>
    <w:rsid w:val="000E4711"/>
    <w:rsid w:val="000E7FD4"/>
    <w:rsid w:val="000F184A"/>
    <w:rsid w:val="000F2169"/>
    <w:rsid w:val="000F2888"/>
    <w:rsid w:val="000F6813"/>
    <w:rsid w:val="001003CA"/>
    <w:rsid w:val="00100F14"/>
    <w:rsid w:val="0010451B"/>
    <w:rsid w:val="001052C4"/>
    <w:rsid w:val="0010616F"/>
    <w:rsid w:val="0010679D"/>
    <w:rsid w:val="00112305"/>
    <w:rsid w:val="0011442A"/>
    <w:rsid w:val="00116686"/>
    <w:rsid w:val="001170E5"/>
    <w:rsid w:val="0012073F"/>
    <w:rsid w:val="00120C2D"/>
    <w:rsid w:val="001245CF"/>
    <w:rsid w:val="00124AE8"/>
    <w:rsid w:val="00125338"/>
    <w:rsid w:val="0012557D"/>
    <w:rsid w:val="00130CE9"/>
    <w:rsid w:val="00132BB6"/>
    <w:rsid w:val="00133FA4"/>
    <w:rsid w:val="00136C6F"/>
    <w:rsid w:val="00145404"/>
    <w:rsid w:val="00145C96"/>
    <w:rsid w:val="00146000"/>
    <w:rsid w:val="001461D1"/>
    <w:rsid w:val="001469BC"/>
    <w:rsid w:val="00146D49"/>
    <w:rsid w:val="00146EE6"/>
    <w:rsid w:val="00150764"/>
    <w:rsid w:val="00153322"/>
    <w:rsid w:val="00154730"/>
    <w:rsid w:val="00155319"/>
    <w:rsid w:val="00156975"/>
    <w:rsid w:val="00163566"/>
    <w:rsid w:val="0016421D"/>
    <w:rsid w:val="00164731"/>
    <w:rsid w:val="00165DE8"/>
    <w:rsid w:val="00170B2A"/>
    <w:rsid w:val="0017188F"/>
    <w:rsid w:val="001752D4"/>
    <w:rsid w:val="00175D3C"/>
    <w:rsid w:val="00175EDB"/>
    <w:rsid w:val="0017736A"/>
    <w:rsid w:val="001811F5"/>
    <w:rsid w:val="0018422C"/>
    <w:rsid w:val="00186EF6"/>
    <w:rsid w:val="00191CE8"/>
    <w:rsid w:val="00192300"/>
    <w:rsid w:val="00196891"/>
    <w:rsid w:val="001A06B1"/>
    <w:rsid w:val="001A0F97"/>
    <w:rsid w:val="001A376A"/>
    <w:rsid w:val="001A3851"/>
    <w:rsid w:val="001A4A93"/>
    <w:rsid w:val="001A6F43"/>
    <w:rsid w:val="001A7279"/>
    <w:rsid w:val="001B0035"/>
    <w:rsid w:val="001B15AA"/>
    <w:rsid w:val="001B1BD6"/>
    <w:rsid w:val="001B430F"/>
    <w:rsid w:val="001B5440"/>
    <w:rsid w:val="001B56D3"/>
    <w:rsid w:val="001B691D"/>
    <w:rsid w:val="001C5DDF"/>
    <w:rsid w:val="001C5F9F"/>
    <w:rsid w:val="001C6C12"/>
    <w:rsid w:val="001C7B2B"/>
    <w:rsid w:val="001D073B"/>
    <w:rsid w:val="001D0DB0"/>
    <w:rsid w:val="001D3F49"/>
    <w:rsid w:val="001D4544"/>
    <w:rsid w:val="001D5354"/>
    <w:rsid w:val="001D603B"/>
    <w:rsid w:val="001D769E"/>
    <w:rsid w:val="001E1219"/>
    <w:rsid w:val="001E28DE"/>
    <w:rsid w:val="001E2E16"/>
    <w:rsid w:val="001E311A"/>
    <w:rsid w:val="001E3B9E"/>
    <w:rsid w:val="001E51C5"/>
    <w:rsid w:val="001E5BB1"/>
    <w:rsid w:val="001E6D61"/>
    <w:rsid w:val="001F01E1"/>
    <w:rsid w:val="001F430D"/>
    <w:rsid w:val="00200986"/>
    <w:rsid w:val="002056F6"/>
    <w:rsid w:val="00206424"/>
    <w:rsid w:val="0020690F"/>
    <w:rsid w:val="00211AFA"/>
    <w:rsid w:val="00212610"/>
    <w:rsid w:val="002138E8"/>
    <w:rsid w:val="002145CA"/>
    <w:rsid w:val="0021539A"/>
    <w:rsid w:val="0022261E"/>
    <w:rsid w:val="002231A5"/>
    <w:rsid w:val="002239F7"/>
    <w:rsid w:val="00223F59"/>
    <w:rsid w:val="00224200"/>
    <w:rsid w:val="0022657A"/>
    <w:rsid w:val="00231B33"/>
    <w:rsid w:val="00231F72"/>
    <w:rsid w:val="00235669"/>
    <w:rsid w:val="00235B49"/>
    <w:rsid w:val="0023603D"/>
    <w:rsid w:val="00236DA1"/>
    <w:rsid w:val="00237D52"/>
    <w:rsid w:val="00240581"/>
    <w:rsid w:val="00240E86"/>
    <w:rsid w:val="00243C3A"/>
    <w:rsid w:val="00243F53"/>
    <w:rsid w:val="00243F7D"/>
    <w:rsid w:val="00244303"/>
    <w:rsid w:val="00244AF8"/>
    <w:rsid w:val="00246B26"/>
    <w:rsid w:val="002474DC"/>
    <w:rsid w:val="0025105D"/>
    <w:rsid w:val="00251E64"/>
    <w:rsid w:val="00253F71"/>
    <w:rsid w:val="00257A09"/>
    <w:rsid w:val="00260FED"/>
    <w:rsid w:val="00261382"/>
    <w:rsid w:val="00262212"/>
    <w:rsid w:val="00265025"/>
    <w:rsid w:val="00265823"/>
    <w:rsid w:val="00265973"/>
    <w:rsid w:val="00265D13"/>
    <w:rsid w:val="00266414"/>
    <w:rsid w:val="00266D45"/>
    <w:rsid w:val="00267124"/>
    <w:rsid w:val="00267AD2"/>
    <w:rsid w:val="002706AF"/>
    <w:rsid w:val="002706E3"/>
    <w:rsid w:val="00271D56"/>
    <w:rsid w:val="002723E7"/>
    <w:rsid w:val="00273036"/>
    <w:rsid w:val="0027310D"/>
    <w:rsid w:val="002734EE"/>
    <w:rsid w:val="00275593"/>
    <w:rsid w:val="00275BC1"/>
    <w:rsid w:val="002778C1"/>
    <w:rsid w:val="0028013B"/>
    <w:rsid w:val="00282A0A"/>
    <w:rsid w:val="00282D97"/>
    <w:rsid w:val="00284FA4"/>
    <w:rsid w:val="002866BF"/>
    <w:rsid w:val="0028736C"/>
    <w:rsid w:val="00290427"/>
    <w:rsid w:val="00291ECC"/>
    <w:rsid w:val="00291F7B"/>
    <w:rsid w:val="0029276C"/>
    <w:rsid w:val="00294D5E"/>
    <w:rsid w:val="002977EE"/>
    <w:rsid w:val="002A04A4"/>
    <w:rsid w:val="002A0AA4"/>
    <w:rsid w:val="002A0DF4"/>
    <w:rsid w:val="002A1EA8"/>
    <w:rsid w:val="002A2EDE"/>
    <w:rsid w:val="002A32B9"/>
    <w:rsid w:val="002A34CA"/>
    <w:rsid w:val="002A3C1D"/>
    <w:rsid w:val="002A63DF"/>
    <w:rsid w:val="002B042B"/>
    <w:rsid w:val="002B06D3"/>
    <w:rsid w:val="002B1A1F"/>
    <w:rsid w:val="002B79E8"/>
    <w:rsid w:val="002B7EDF"/>
    <w:rsid w:val="002C2313"/>
    <w:rsid w:val="002C514D"/>
    <w:rsid w:val="002C7026"/>
    <w:rsid w:val="002D3791"/>
    <w:rsid w:val="002D3ECF"/>
    <w:rsid w:val="002D5D78"/>
    <w:rsid w:val="002D6D16"/>
    <w:rsid w:val="002D7197"/>
    <w:rsid w:val="002D7E71"/>
    <w:rsid w:val="002E04A9"/>
    <w:rsid w:val="002E08DD"/>
    <w:rsid w:val="002E1829"/>
    <w:rsid w:val="002E2B71"/>
    <w:rsid w:val="002E5B39"/>
    <w:rsid w:val="002E6120"/>
    <w:rsid w:val="002E732D"/>
    <w:rsid w:val="002E7437"/>
    <w:rsid w:val="002F1F53"/>
    <w:rsid w:val="002F4473"/>
    <w:rsid w:val="002F4BCF"/>
    <w:rsid w:val="002F4FFB"/>
    <w:rsid w:val="002F7A32"/>
    <w:rsid w:val="002F7B80"/>
    <w:rsid w:val="003008C0"/>
    <w:rsid w:val="00300C6A"/>
    <w:rsid w:val="00302D27"/>
    <w:rsid w:val="003045C4"/>
    <w:rsid w:val="003072D3"/>
    <w:rsid w:val="00307418"/>
    <w:rsid w:val="00310151"/>
    <w:rsid w:val="003101FA"/>
    <w:rsid w:val="003110E3"/>
    <w:rsid w:val="0031178D"/>
    <w:rsid w:val="00311D62"/>
    <w:rsid w:val="0031235E"/>
    <w:rsid w:val="0031238B"/>
    <w:rsid w:val="00313F26"/>
    <w:rsid w:val="00313F71"/>
    <w:rsid w:val="003142E6"/>
    <w:rsid w:val="003159DD"/>
    <w:rsid w:val="00316E90"/>
    <w:rsid w:val="003170DF"/>
    <w:rsid w:val="00317F64"/>
    <w:rsid w:val="003221E6"/>
    <w:rsid w:val="00322694"/>
    <w:rsid w:val="00323BFD"/>
    <w:rsid w:val="003244A7"/>
    <w:rsid w:val="00324AF4"/>
    <w:rsid w:val="0032668E"/>
    <w:rsid w:val="003314BE"/>
    <w:rsid w:val="00331A77"/>
    <w:rsid w:val="00332004"/>
    <w:rsid w:val="003332BA"/>
    <w:rsid w:val="003335BE"/>
    <w:rsid w:val="00335296"/>
    <w:rsid w:val="00335589"/>
    <w:rsid w:val="00336E63"/>
    <w:rsid w:val="00337100"/>
    <w:rsid w:val="003415F8"/>
    <w:rsid w:val="00341A3E"/>
    <w:rsid w:val="0034479A"/>
    <w:rsid w:val="0034498B"/>
    <w:rsid w:val="00344A70"/>
    <w:rsid w:val="0034525E"/>
    <w:rsid w:val="00346704"/>
    <w:rsid w:val="00347380"/>
    <w:rsid w:val="0035022C"/>
    <w:rsid w:val="0035108A"/>
    <w:rsid w:val="00352EED"/>
    <w:rsid w:val="00354F71"/>
    <w:rsid w:val="003551C1"/>
    <w:rsid w:val="0035568C"/>
    <w:rsid w:val="003572B9"/>
    <w:rsid w:val="00357714"/>
    <w:rsid w:val="0036033E"/>
    <w:rsid w:val="0036074F"/>
    <w:rsid w:val="00362EDA"/>
    <w:rsid w:val="00365D21"/>
    <w:rsid w:val="00366141"/>
    <w:rsid w:val="00366D27"/>
    <w:rsid w:val="003671C1"/>
    <w:rsid w:val="003677CF"/>
    <w:rsid w:val="00367DE6"/>
    <w:rsid w:val="003717F1"/>
    <w:rsid w:val="00373CDE"/>
    <w:rsid w:val="003743DB"/>
    <w:rsid w:val="00374AE0"/>
    <w:rsid w:val="00375314"/>
    <w:rsid w:val="0037592E"/>
    <w:rsid w:val="003760FD"/>
    <w:rsid w:val="00381E79"/>
    <w:rsid w:val="00383C35"/>
    <w:rsid w:val="0038415A"/>
    <w:rsid w:val="0038704F"/>
    <w:rsid w:val="00390242"/>
    <w:rsid w:val="003905DD"/>
    <w:rsid w:val="003913DD"/>
    <w:rsid w:val="00391738"/>
    <w:rsid w:val="00391EC1"/>
    <w:rsid w:val="0039259E"/>
    <w:rsid w:val="003952B8"/>
    <w:rsid w:val="0039596E"/>
    <w:rsid w:val="00395AED"/>
    <w:rsid w:val="00397537"/>
    <w:rsid w:val="003A0DBC"/>
    <w:rsid w:val="003A2A3F"/>
    <w:rsid w:val="003A30B7"/>
    <w:rsid w:val="003A3E29"/>
    <w:rsid w:val="003A3F0E"/>
    <w:rsid w:val="003A49A7"/>
    <w:rsid w:val="003A5784"/>
    <w:rsid w:val="003B0725"/>
    <w:rsid w:val="003B0BBA"/>
    <w:rsid w:val="003B2589"/>
    <w:rsid w:val="003B4158"/>
    <w:rsid w:val="003B4969"/>
    <w:rsid w:val="003B79EC"/>
    <w:rsid w:val="003B7CE6"/>
    <w:rsid w:val="003C0B00"/>
    <w:rsid w:val="003C265B"/>
    <w:rsid w:val="003C3E60"/>
    <w:rsid w:val="003C523A"/>
    <w:rsid w:val="003C6550"/>
    <w:rsid w:val="003C65CA"/>
    <w:rsid w:val="003C7F3C"/>
    <w:rsid w:val="003D0E72"/>
    <w:rsid w:val="003D2C74"/>
    <w:rsid w:val="003D3175"/>
    <w:rsid w:val="003D5A3D"/>
    <w:rsid w:val="003D6BCB"/>
    <w:rsid w:val="003D7E13"/>
    <w:rsid w:val="003E2654"/>
    <w:rsid w:val="003E27B9"/>
    <w:rsid w:val="003E51D4"/>
    <w:rsid w:val="003E58FF"/>
    <w:rsid w:val="003E59FF"/>
    <w:rsid w:val="003F53CC"/>
    <w:rsid w:val="003F7582"/>
    <w:rsid w:val="004036A3"/>
    <w:rsid w:val="004042EF"/>
    <w:rsid w:val="0040617D"/>
    <w:rsid w:val="004064CB"/>
    <w:rsid w:val="00407F77"/>
    <w:rsid w:val="00410781"/>
    <w:rsid w:val="0041577A"/>
    <w:rsid w:val="004163BD"/>
    <w:rsid w:val="00416719"/>
    <w:rsid w:val="004170C0"/>
    <w:rsid w:val="00417E1A"/>
    <w:rsid w:val="00420176"/>
    <w:rsid w:val="004204B3"/>
    <w:rsid w:val="0042363D"/>
    <w:rsid w:val="00423C5C"/>
    <w:rsid w:val="0042499D"/>
    <w:rsid w:val="0042763E"/>
    <w:rsid w:val="0043078A"/>
    <w:rsid w:val="00430E45"/>
    <w:rsid w:val="00430F1D"/>
    <w:rsid w:val="00433E72"/>
    <w:rsid w:val="004346F1"/>
    <w:rsid w:val="00435BC8"/>
    <w:rsid w:val="00436A5C"/>
    <w:rsid w:val="0043745C"/>
    <w:rsid w:val="00443879"/>
    <w:rsid w:val="00444DFA"/>
    <w:rsid w:val="00446583"/>
    <w:rsid w:val="00452A22"/>
    <w:rsid w:val="00454E45"/>
    <w:rsid w:val="0045580A"/>
    <w:rsid w:val="004567D5"/>
    <w:rsid w:val="00457CA1"/>
    <w:rsid w:val="0046162A"/>
    <w:rsid w:val="00462675"/>
    <w:rsid w:val="00462CA7"/>
    <w:rsid w:val="004662D7"/>
    <w:rsid w:val="004674EB"/>
    <w:rsid w:val="00467A24"/>
    <w:rsid w:val="00470695"/>
    <w:rsid w:val="00470C57"/>
    <w:rsid w:val="00471A52"/>
    <w:rsid w:val="0047357F"/>
    <w:rsid w:val="00473CB4"/>
    <w:rsid w:val="00473FE4"/>
    <w:rsid w:val="004746E4"/>
    <w:rsid w:val="00480741"/>
    <w:rsid w:val="0048075D"/>
    <w:rsid w:val="004816C3"/>
    <w:rsid w:val="00481CEA"/>
    <w:rsid w:val="004833B3"/>
    <w:rsid w:val="0049157E"/>
    <w:rsid w:val="00491BB8"/>
    <w:rsid w:val="00492020"/>
    <w:rsid w:val="004939FF"/>
    <w:rsid w:val="00495746"/>
    <w:rsid w:val="00496E71"/>
    <w:rsid w:val="004A190D"/>
    <w:rsid w:val="004A1F7F"/>
    <w:rsid w:val="004A258C"/>
    <w:rsid w:val="004A31F7"/>
    <w:rsid w:val="004A338A"/>
    <w:rsid w:val="004A4519"/>
    <w:rsid w:val="004A4D5C"/>
    <w:rsid w:val="004A521B"/>
    <w:rsid w:val="004A558D"/>
    <w:rsid w:val="004A6851"/>
    <w:rsid w:val="004A7E04"/>
    <w:rsid w:val="004B10F7"/>
    <w:rsid w:val="004B1F55"/>
    <w:rsid w:val="004B2454"/>
    <w:rsid w:val="004B2E52"/>
    <w:rsid w:val="004B34C5"/>
    <w:rsid w:val="004B3D52"/>
    <w:rsid w:val="004B4039"/>
    <w:rsid w:val="004B4047"/>
    <w:rsid w:val="004B71B9"/>
    <w:rsid w:val="004B7B4E"/>
    <w:rsid w:val="004C0E0C"/>
    <w:rsid w:val="004C0E1E"/>
    <w:rsid w:val="004C1390"/>
    <w:rsid w:val="004C3751"/>
    <w:rsid w:val="004C4818"/>
    <w:rsid w:val="004C669D"/>
    <w:rsid w:val="004D0961"/>
    <w:rsid w:val="004D13E3"/>
    <w:rsid w:val="004D1726"/>
    <w:rsid w:val="004D49F8"/>
    <w:rsid w:val="004D524F"/>
    <w:rsid w:val="004D6B8B"/>
    <w:rsid w:val="004D6EF2"/>
    <w:rsid w:val="004E1B61"/>
    <w:rsid w:val="004E1F24"/>
    <w:rsid w:val="004E2565"/>
    <w:rsid w:val="004E3278"/>
    <w:rsid w:val="004E6D7F"/>
    <w:rsid w:val="004F1720"/>
    <w:rsid w:val="004F206E"/>
    <w:rsid w:val="004F2E07"/>
    <w:rsid w:val="004F5D18"/>
    <w:rsid w:val="004F6A94"/>
    <w:rsid w:val="004F6BE3"/>
    <w:rsid w:val="004F7FBD"/>
    <w:rsid w:val="00500A9F"/>
    <w:rsid w:val="00501393"/>
    <w:rsid w:val="00503CA9"/>
    <w:rsid w:val="00506E96"/>
    <w:rsid w:val="00507C75"/>
    <w:rsid w:val="005105E4"/>
    <w:rsid w:val="00512708"/>
    <w:rsid w:val="00514774"/>
    <w:rsid w:val="00517308"/>
    <w:rsid w:val="00517B61"/>
    <w:rsid w:val="00522447"/>
    <w:rsid w:val="00522960"/>
    <w:rsid w:val="00522BB0"/>
    <w:rsid w:val="00524904"/>
    <w:rsid w:val="00524F64"/>
    <w:rsid w:val="005252CB"/>
    <w:rsid w:val="0052535D"/>
    <w:rsid w:val="005273BA"/>
    <w:rsid w:val="00532344"/>
    <w:rsid w:val="00532F7E"/>
    <w:rsid w:val="00535282"/>
    <w:rsid w:val="00535C8D"/>
    <w:rsid w:val="00541E9A"/>
    <w:rsid w:val="00541F89"/>
    <w:rsid w:val="005424FD"/>
    <w:rsid w:val="00542747"/>
    <w:rsid w:val="0054288F"/>
    <w:rsid w:val="00547A6D"/>
    <w:rsid w:val="00553777"/>
    <w:rsid w:val="0055682E"/>
    <w:rsid w:val="00560AF5"/>
    <w:rsid w:val="005612C7"/>
    <w:rsid w:val="005648AC"/>
    <w:rsid w:val="005654B6"/>
    <w:rsid w:val="0056554B"/>
    <w:rsid w:val="00570A7B"/>
    <w:rsid w:val="0057141B"/>
    <w:rsid w:val="00572836"/>
    <w:rsid w:val="00573515"/>
    <w:rsid w:val="00575391"/>
    <w:rsid w:val="00576949"/>
    <w:rsid w:val="00577551"/>
    <w:rsid w:val="0058006C"/>
    <w:rsid w:val="005816F8"/>
    <w:rsid w:val="00583AD1"/>
    <w:rsid w:val="0058438A"/>
    <w:rsid w:val="005843F8"/>
    <w:rsid w:val="00585262"/>
    <w:rsid w:val="00585984"/>
    <w:rsid w:val="005905E2"/>
    <w:rsid w:val="0059441D"/>
    <w:rsid w:val="00594F39"/>
    <w:rsid w:val="00597699"/>
    <w:rsid w:val="005A0EC1"/>
    <w:rsid w:val="005A200D"/>
    <w:rsid w:val="005A27E6"/>
    <w:rsid w:val="005A2F66"/>
    <w:rsid w:val="005A321F"/>
    <w:rsid w:val="005A333E"/>
    <w:rsid w:val="005A3FB5"/>
    <w:rsid w:val="005A54CB"/>
    <w:rsid w:val="005A5511"/>
    <w:rsid w:val="005A583F"/>
    <w:rsid w:val="005A5EA5"/>
    <w:rsid w:val="005A60A1"/>
    <w:rsid w:val="005A6C29"/>
    <w:rsid w:val="005A795F"/>
    <w:rsid w:val="005B0B17"/>
    <w:rsid w:val="005B1072"/>
    <w:rsid w:val="005B1858"/>
    <w:rsid w:val="005B1C22"/>
    <w:rsid w:val="005B1EBE"/>
    <w:rsid w:val="005B5159"/>
    <w:rsid w:val="005B76DA"/>
    <w:rsid w:val="005C040C"/>
    <w:rsid w:val="005C290C"/>
    <w:rsid w:val="005C30F9"/>
    <w:rsid w:val="005C3133"/>
    <w:rsid w:val="005C3716"/>
    <w:rsid w:val="005C40DB"/>
    <w:rsid w:val="005C71B4"/>
    <w:rsid w:val="005D0975"/>
    <w:rsid w:val="005D0E20"/>
    <w:rsid w:val="005D10F2"/>
    <w:rsid w:val="005D1BCD"/>
    <w:rsid w:val="005D2045"/>
    <w:rsid w:val="005D20AD"/>
    <w:rsid w:val="005D3689"/>
    <w:rsid w:val="005D36C6"/>
    <w:rsid w:val="005D3FFB"/>
    <w:rsid w:val="005D5D2D"/>
    <w:rsid w:val="005E2685"/>
    <w:rsid w:val="005E3AA9"/>
    <w:rsid w:val="005E4124"/>
    <w:rsid w:val="005E651C"/>
    <w:rsid w:val="005F092C"/>
    <w:rsid w:val="005F1A72"/>
    <w:rsid w:val="005F2078"/>
    <w:rsid w:val="005F246B"/>
    <w:rsid w:val="005F26F4"/>
    <w:rsid w:val="005F2DB1"/>
    <w:rsid w:val="005F49E6"/>
    <w:rsid w:val="005F5C98"/>
    <w:rsid w:val="005F7943"/>
    <w:rsid w:val="005F79B3"/>
    <w:rsid w:val="006005D9"/>
    <w:rsid w:val="00600C24"/>
    <w:rsid w:val="00600E07"/>
    <w:rsid w:val="0060370F"/>
    <w:rsid w:val="00604473"/>
    <w:rsid w:val="00604840"/>
    <w:rsid w:val="00605FDD"/>
    <w:rsid w:val="00607F7A"/>
    <w:rsid w:val="006109A3"/>
    <w:rsid w:val="00610C7B"/>
    <w:rsid w:val="006110D2"/>
    <w:rsid w:val="006118DD"/>
    <w:rsid w:val="00611D63"/>
    <w:rsid w:val="00611DFB"/>
    <w:rsid w:val="00613D8A"/>
    <w:rsid w:val="00614DA2"/>
    <w:rsid w:val="006156CD"/>
    <w:rsid w:val="00621C01"/>
    <w:rsid w:val="00622A11"/>
    <w:rsid w:val="0062552F"/>
    <w:rsid w:val="006267C9"/>
    <w:rsid w:val="006273BB"/>
    <w:rsid w:val="006312F8"/>
    <w:rsid w:val="006314D2"/>
    <w:rsid w:val="00631670"/>
    <w:rsid w:val="006319E0"/>
    <w:rsid w:val="006338CD"/>
    <w:rsid w:val="00633B9F"/>
    <w:rsid w:val="00634604"/>
    <w:rsid w:val="006403DD"/>
    <w:rsid w:val="0064058F"/>
    <w:rsid w:val="00640F90"/>
    <w:rsid w:val="00641D86"/>
    <w:rsid w:val="00641FD0"/>
    <w:rsid w:val="00644B92"/>
    <w:rsid w:val="00644F6B"/>
    <w:rsid w:val="00647382"/>
    <w:rsid w:val="006479A2"/>
    <w:rsid w:val="00650333"/>
    <w:rsid w:val="00650777"/>
    <w:rsid w:val="0065080E"/>
    <w:rsid w:val="006523DA"/>
    <w:rsid w:val="00654726"/>
    <w:rsid w:val="006574F3"/>
    <w:rsid w:val="00657868"/>
    <w:rsid w:val="006621E7"/>
    <w:rsid w:val="00662478"/>
    <w:rsid w:val="00662494"/>
    <w:rsid w:val="006633E4"/>
    <w:rsid w:val="00665DA5"/>
    <w:rsid w:val="006669E0"/>
    <w:rsid w:val="00667E35"/>
    <w:rsid w:val="00671AAE"/>
    <w:rsid w:val="006731D8"/>
    <w:rsid w:val="0067581B"/>
    <w:rsid w:val="00675ABD"/>
    <w:rsid w:val="006764B0"/>
    <w:rsid w:val="006771B8"/>
    <w:rsid w:val="006777D1"/>
    <w:rsid w:val="00677B24"/>
    <w:rsid w:val="006801D2"/>
    <w:rsid w:val="00680EDF"/>
    <w:rsid w:val="00680F9A"/>
    <w:rsid w:val="00681A35"/>
    <w:rsid w:val="00682637"/>
    <w:rsid w:val="00682649"/>
    <w:rsid w:val="00685671"/>
    <w:rsid w:val="00687E49"/>
    <w:rsid w:val="006910F0"/>
    <w:rsid w:val="00691B83"/>
    <w:rsid w:val="006951FB"/>
    <w:rsid w:val="00695797"/>
    <w:rsid w:val="00696470"/>
    <w:rsid w:val="006973FB"/>
    <w:rsid w:val="00697678"/>
    <w:rsid w:val="006A0692"/>
    <w:rsid w:val="006A0AB3"/>
    <w:rsid w:val="006A101D"/>
    <w:rsid w:val="006A2171"/>
    <w:rsid w:val="006A2E81"/>
    <w:rsid w:val="006A31E0"/>
    <w:rsid w:val="006A777F"/>
    <w:rsid w:val="006A7E0B"/>
    <w:rsid w:val="006B3964"/>
    <w:rsid w:val="006B413C"/>
    <w:rsid w:val="006B6CBA"/>
    <w:rsid w:val="006B7710"/>
    <w:rsid w:val="006C5BED"/>
    <w:rsid w:val="006D1391"/>
    <w:rsid w:val="006D149D"/>
    <w:rsid w:val="006D1BCE"/>
    <w:rsid w:val="006D1D23"/>
    <w:rsid w:val="006D6BCE"/>
    <w:rsid w:val="006E054F"/>
    <w:rsid w:val="006E0639"/>
    <w:rsid w:val="006E27D6"/>
    <w:rsid w:val="006E321E"/>
    <w:rsid w:val="006E4239"/>
    <w:rsid w:val="006E63EE"/>
    <w:rsid w:val="006F064F"/>
    <w:rsid w:val="006F2141"/>
    <w:rsid w:val="006F37DA"/>
    <w:rsid w:val="006F4C5B"/>
    <w:rsid w:val="00700DB1"/>
    <w:rsid w:val="007035E3"/>
    <w:rsid w:val="007055A7"/>
    <w:rsid w:val="007068D2"/>
    <w:rsid w:val="00706EA9"/>
    <w:rsid w:val="007077D3"/>
    <w:rsid w:val="007102DF"/>
    <w:rsid w:val="0071045E"/>
    <w:rsid w:val="00710798"/>
    <w:rsid w:val="0071298F"/>
    <w:rsid w:val="00712C00"/>
    <w:rsid w:val="00714BAC"/>
    <w:rsid w:val="00714DBE"/>
    <w:rsid w:val="007159D3"/>
    <w:rsid w:val="00715E9E"/>
    <w:rsid w:val="007176B6"/>
    <w:rsid w:val="00717BE9"/>
    <w:rsid w:val="00717D79"/>
    <w:rsid w:val="00717DA3"/>
    <w:rsid w:val="00720612"/>
    <w:rsid w:val="0072236A"/>
    <w:rsid w:val="007246D0"/>
    <w:rsid w:val="007252DD"/>
    <w:rsid w:val="00727C42"/>
    <w:rsid w:val="00727D27"/>
    <w:rsid w:val="007309E0"/>
    <w:rsid w:val="007314B8"/>
    <w:rsid w:val="00731E02"/>
    <w:rsid w:val="00733D10"/>
    <w:rsid w:val="00734A3B"/>
    <w:rsid w:val="00735126"/>
    <w:rsid w:val="00736B66"/>
    <w:rsid w:val="0074253A"/>
    <w:rsid w:val="00742EDB"/>
    <w:rsid w:val="007449E1"/>
    <w:rsid w:val="00745A6D"/>
    <w:rsid w:val="00747D93"/>
    <w:rsid w:val="00751630"/>
    <w:rsid w:val="00753757"/>
    <w:rsid w:val="00754F92"/>
    <w:rsid w:val="00755347"/>
    <w:rsid w:val="00755398"/>
    <w:rsid w:val="0075643F"/>
    <w:rsid w:val="00756B47"/>
    <w:rsid w:val="00757CA6"/>
    <w:rsid w:val="007619DD"/>
    <w:rsid w:val="00762EC1"/>
    <w:rsid w:val="007651F4"/>
    <w:rsid w:val="00765CA4"/>
    <w:rsid w:val="00766B81"/>
    <w:rsid w:val="007678A1"/>
    <w:rsid w:val="00770121"/>
    <w:rsid w:val="0077075C"/>
    <w:rsid w:val="00771137"/>
    <w:rsid w:val="00771CA7"/>
    <w:rsid w:val="0077283D"/>
    <w:rsid w:val="00772C0B"/>
    <w:rsid w:val="007731A4"/>
    <w:rsid w:val="007747CD"/>
    <w:rsid w:val="00774C6B"/>
    <w:rsid w:val="00776A08"/>
    <w:rsid w:val="00781BD4"/>
    <w:rsid w:val="007847CE"/>
    <w:rsid w:val="00785E09"/>
    <w:rsid w:val="0078639D"/>
    <w:rsid w:val="007863BE"/>
    <w:rsid w:val="007865D2"/>
    <w:rsid w:val="007912BA"/>
    <w:rsid w:val="00791AEF"/>
    <w:rsid w:val="007920AE"/>
    <w:rsid w:val="00796113"/>
    <w:rsid w:val="007A0544"/>
    <w:rsid w:val="007A0F91"/>
    <w:rsid w:val="007A183B"/>
    <w:rsid w:val="007A29BD"/>
    <w:rsid w:val="007A2D6C"/>
    <w:rsid w:val="007A3D0B"/>
    <w:rsid w:val="007A60C5"/>
    <w:rsid w:val="007B142C"/>
    <w:rsid w:val="007B204B"/>
    <w:rsid w:val="007B2FA6"/>
    <w:rsid w:val="007B30D3"/>
    <w:rsid w:val="007B5B08"/>
    <w:rsid w:val="007B5C9A"/>
    <w:rsid w:val="007B6347"/>
    <w:rsid w:val="007B7B21"/>
    <w:rsid w:val="007C47C1"/>
    <w:rsid w:val="007C4BC4"/>
    <w:rsid w:val="007C538B"/>
    <w:rsid w:val="007C64FA"/>
    <w:rsid w:val="007C6ECE"/>
    <w:rsid w:val="007C7003"/>
    <w:rsid w:val="007C7763"/>
    <w:rsid w:val="007D1B2B"/>
    <w:rsid w:val="007D43CE"/>
    <w:rsid w:val="007D4E7F"/>
    <w:rsid w:val="007D5E7F"/>
    <w:rsid w:val="007D7331"/>
    <w:rsid w:val="007E00B2"/>
    <w:rsid w:val="007E1740"/>
    <w:rsid w:val="007E19DB"/>
    <w:rsid w:val="007E1ED8"/>
    <w:rsid w:val="007E645B"/>
    <w:rsid w:val="007E7498"/>
    <w:rsid w:val="007E7C7C"/>
    <w:rsid w:val="007F1BD8"/>
    <w:rsid w:val="007F30E3"/>
    <w:rsid w:val="007F546C"/>
    <w:rsid w:val="007F62B6"/>
    <w:rsid w:val="007F63C6"/>
    <w:rsid w:val="007F729F"/>
    <w:rsid w:val="00801015"/>
    <w:rsid w:val="008017DA"/>
    <w:rsid w:val="00803A76"/>
    <w:rsid w:val="00804A7E"/>
    <w:rsid w:val="008065D1"/>
    <w:rsid w:val="0080697C"/>
    <w:rsid w:val="00806EB5"/>
    <w:rsid w:val="008074A5"/>
    <w:rsid w:val="00807658"/>
    <w:rsid w:val="00807AF3"/>
    <w:rsid w:val="008119AF"/>
    <w:rsid w:val="00811A39"/>
    <w:rsid w:val="00814AC3"/>
    <w:rsid w:val="008170A4"/>
    <w:rsid w:val="0081712E"/>
    <w:rsid w:val="008178E9"/>
    <w:rsid w:val="00820A73"/>
    <w:rsid w:val="008227E3"/>
    <w:rsid w:val="00823351"/>
    <w:rsid w:val="00823AB4"/>
    <w:rsid w:val="00823F90"/>
    <w:rsid w:val="00825003"/>
    <w:rsid w:val="008264BA"/>
    <w:rsid w:val="00830FBF"/>
    <w:rsid w:val="008312C5"/>
    <w:rsid w:val="0083451E"/>
    <w:rsid w:val="00834764"/>
    <w:rsid w:val="008355CB"/>
    <w:rsid w:val="00835C2C"/>
    <w:rsid w:val="008361C9"/>
    <w:rsid w:val="00840255"/>
    <w:rsid w:val="0084080B"/>
    <w:rsid w:val="00841599"/>
    <w:rsid w:val="00841EC8"/>
    <w:rsid w:val="00842E97"/>
    <w:rsid w:val="00844380"/>
    <w:rsid w:val="00844ECB"/>
    <w:rsid w:val="00845316"/>
    <w:rsid w:val="008509BD"/>
    <w:rsid w:val="008510EC"/>
    <w:rsid w:val="008524EF"/>
    <w:rsid w:val="008543CC"/>
    <w:rsid w:val="008544E1"/>
    <w:rsid w:val="00860B13"/>
    <w:rsid w:val="00861AEF"/>
    <w:rsid w:val="00861F09"/>
    <w:rsid w:val="00862736"/>
    <w:rsid w:val="00862878"/>
    <w:rsid w:val="008675AE"/>
    <w:rsid w:val="008678DF"/>
    <w:rsid w:val="00867BCD"/>
    <w:rsid w:val="00871D9B"/>
    <w:rsid w:val="00872CE3"/>
    <w:rsid w:val="00873A11"/>
    <w:rsid w:val="00874E90"/>
    <w:rsid w:val="008758D1"/>
    <w:rsid w:val="00876E75"/>
    <w:rsid w:val="008809A2"/>
    <w:rsid w:val="00883564"/>
    <w:rsid w:val="00884693"/>
    <w:rsid w:val="008850BB"/>
    <w:rsid w:val="008858FA"/>
    <w:rsid w:val="00885FB8"/>
    <w:rsid w:val="008866EA"/>
    <w:rsid w:val="00890B88"/>
    <w:rsid w:val="00891B07"/>
    <w:rsid w:val="00893D13"/>
    <w:rsid w:val="00895F35"/>
    <w:rsid w:val="008960C6"/>
    <w:rsid w:val="008A0415"/>
    <w:rsid w:val="008A0433"/>
    <w:rsid w:val="008A1A0A"/>
    <w:rsid w:val="008A2889"/>
    <w:rsid w:val="008A4ADA"/>
    <w:rsid w:val="008A4C62"/>
    <w:rsid w:val="008A4FA7"/>
    <w:rsid w:val="008B1179"/>
    <w:rsid w:val="008B4CE4"/>
    <w:rsid w:val="008B5601"/>
    <w:rsid w:val="008B59FD"/>
    <w:rsid w:val="008B5E00"/>
    <w:rsid w:val="008B6695"/>
    <w:rsid w:val="008B6F31"/>
    <w:rsid w:val="008B74A6"/>
    <w:rsid w:val="008B7EC7"/>
    <w:rsid w:val="008B7F2B"/>
    <w:rsid w:val="008B7FAA"/>
    <w:rsid w:val="008C0849"/>
    <w:rsid w:val="008C0D78"/>
    <w:rsid w:val="008C4120"/>
    <w:rsid w:val="008C41A3"/>
    <w:rsid w:val="008C5120"/>
    <w:rsid w:val="008C5126"/>
    <w:rsid w:val="008C5CC3"/>
    <w:rsid w:val="008C60B8"/>
    <w:rsid w:val="008C6E2B"/>
    <w:rsid w:val="008D0124"/>
    <w:rsid w:val="008D040C"/>
    <w:rsid w:val="008D0D60"/>
    <w:rsid w:val="008D1081"/>
    <w:rsid w:val="008D1BAC"/>
    <w:rsid w:val="008D2358"/>
    <w:rsid w:val="008D2A1F"/>
    <w:rsid w:val="008D6AB5"/>
    <w:rsid w:val="008D73BE"/>
    <w:rsid w:val="008D78EF"/>
    <w:rsid w:val="008E0375"/>
    <w:rsid w:val="008E29D0"/>
    <w:rsid w:val="008E2AE4"/>
    <w:rsid w:val="008E3DF0"/>
    <w:rsid w:val="008E525B"/>
    <w:rsid w:val="008E5854"/>
    <w:rsid w:val="008F02FE"/>
    <w:rsid w:val="008F1A35"/>
    <w:rsid w:val="008F505E"/>
    <w:rsid w:val="008F5396"/>
    <w:rsid w:val="008F60AB"/>
    <w:rsid w:val="008F63DB"/>
    <w:rsid w:val="008F665B"/>
    <w:rsid w:val="00900DAA"/>
    <w:rsid w:val="00904B35"/>
    <w:rsid w:val="009066BD"/>
    <w:rsid w:val="00907E08"/>
    <w:rsid w:val="00911A14"/>
    <w:rsid w:val="00911B8E"/>
    <w:rsid w:val="00912100"/>
    <w:rsid w:val="0091287F"/>
    <w:rsid w:val="0091322D"/>
    <w:rsid w:val="0091465C"/>
    <w:rsid w:val="00914702"/>
    <w:rsid w:val="009152B1"/>
    <w:rsid w:val="00917E0C"/>
    <w:rsid w:val="00920B58"/>
    <w:rsid w:val="00922603"/>
    <w:rsid w:val="009226E3"/>
    <w:rsid w:val="00927688"/>
    <w:rsid w:val="00930625"/>
    <w:rsid w:val="00932D0F"/>
    <w:rsid w:val="00933E60"/>
    <w:rsid w:val="0093529C"/>
    <w:rsid w:val="00935B5D"/>
    <w:rsid w:val="009402A8"/>
    <w:rsid w:val="00940412"/>
    <w:rsid w:val="00940994"/>
    <w:rsid w:val="00940B3E"/>
    <w:rsid w:val="00941F92"/>
    <w:rsid w:val="00941F99"/>
    <w:rsid w:val="00942B6B"/>
    <w:rsid w:val="00943303"/>
    <w:rsid w:val="009435B9"/>
    <w:rsid w:val="009440AF"/>
    <w:rsid w:val="0094504C"/>
    <w:rsid w:val="00945242"/>
    <w:rsid w:val="0094686A"/>
    <w:rsid w:val="00947FC2"/>
    <w:rsid w:val="00951F6B"/>
    <w:rsid w:val="0095422C"/>
    <w:rsid w:val="00956A6F"/>
    <w:rsid w:val="009573C8"/>
    <w:rsid w:val="009622DA"/>
    <w:rsid w:val="0096433F"/>
    <w:rsid w:val="00964349"/>
    <w:rsid w:val="009657A1"/>
    <w:rsid w:val="00966580"/>
    <w:rsid w:val="00971383"/>
    <w:rsid w:val="009751FD"/>
    <w:rsid w:val="00975EE2"/>
    <w:rsid w:val="0097670F"/>
    <w:rsid w:val="00976A23"/>
    <w:rsid w:val="0097714F"/>
    <w:rsid w:val="0097743F"/>
    <w:rsid w:val="0098234C"/>
    <w:rsid w:val="00983C30"/>
    <w:rsid w:val="00984E97"/>
    <w:rsid w:val="00987498"/>
    <w:rsid w:val="009876EB"/>
    <w:rsid w:val="00992E71"/>
    <w:rsid w:val="00996BF8"/>
    <w:rsid w:val="009975E9"/>
    <w:rsid w:val="009978F4"/>
    <w:rsid w:val="009A12CA"/>
    <w:rsid w:val="009A19D3"/>
    <w:rsid w:val="009A443E"/>
    <w:rsid w:val="009A501C"/>
    <w:rsid w:val="009A78D8"/>
    <w:rsid w:val="009A7C42"/>
    <w:rsid w:val="009A7CFC"/>
    <w:rsid w:val="009B2E2C"/>
    <w:rsid w:val="009B2F9A"/>
    <w:rsid w:val="009B3EC9"/>
    <w:rsid w:val="009B4D6F"/>
    <w:rsid w:val="009B52F1"/>
    <w:rsid w:val="009B5F5E"/>
    <w:rsid w:val="009B6BE0"/>
    <w:rsid w:val="009C014D"/>
    <w:rsid w:val="009C0692"/>
    <w:rsid w:val="009C370A"/>
    <w:rsid w:val="009C3972"/>
    <w:rsid w:val="009C41A5"/>
    <w:rsid w:val="009D009C"/>
    <w:rsid w:val="009D0497"/>
    <w:rsid w:val="009D0F8A"/>
    <w:rsid w:val="009D2898"/>
    <w:rsid w:val="009D2FB3"/>
    <w:rsid w:val="009D3D81"/>
    <w:rsid w:val="009D3DAE"/>
    <w:rsid w:val="009D4453"/>
    <w:rsid w:val="009D5F82"/>
    <w:rsid w:val="009E05C7"/>
    <w:rsid w:val="009E2301"/>
    <w:rsid w:val="009E2338"/>
    <w:rsid w:val="009E2695"/>
    <w:rsid w:val="009E3B89"/>
    <w:rsid w:val="009E4A0D"/>
    <w:rsid w:val="009E59DD"/>
    <w:rsid w:val="009E7252"/>
    <w:rsid w:val="009E7381"/>
    <w:rsid w:val="009E7665"/>
    <w:rsid w:val="009E7DC2"/>
    <w:rsid w:val="009E7DEC"/>
    <w:rsid w:val="009F536F"/>
    <w:rsid w:val="009F6EFB"/>
    <w:rsid w:val="009F6FF4"/>
    <w:rsid w:val="009F77B6"/>
    <w:rsid w:val="00A0105B"/>
    <w:rsid w:val="00A02FBC"/>
    <w:rsid w:val="00A0364A"/>
    <w:rsid w:val="00A060DC"/>
    <w:rsid w:val="00A06C49"/>
    <w:rsid w:val="00A073A2"/>
    <w:rsid w:val="00A11BF6"/>
    <w:rsid w:val="00A12E65"/>
    <w:rsid w:val="00A12F01"/>
    <w:rsid w:val="00A13326"/>
    <w:rsid w:val="00A136D5"/>
    <w:rsid w:val="00A138CD"/>
    <w:rsid w:val="00A147E9"/>
    <w:rsid w:val="00A1532B"/>
    <w:rsid w:val="00A15D35"/>
    <w:rsid w:val="00A16C54"/>
    <w:rsid w:val="00A201EB"/>
    <w:rsid w:val="00A203A2"/>
    <w:rsid w:val="00A20C51"/>
    <w:rsid w:val="00A22E08"/>
    <w:rsid w:val="00A25789"/>
    <w:rsid w:val="00A257D3"/>
    <w:rsid w:val="00A25CC0"/>
    <w:rsid w:val="00A311D9"/>
    <w:rsid w:val="00A34C8B"/>
    <w:rsid w:val="00A36A01"/>
    <w:rsid w:val="00A41464"/>
    <w:rsid w:val="00A41512"/>
    <w:rsid w:val="00A42B86"/>
    <w:rsid w:val="00A44DE3"/>
    <w:rsid w:val="00A45834"/>
    <w:rsid w:val="00A461B9"/>
    <w:rsid w:val="00A52995"/>
    <w:rsid w:val="00A550EE"/>
    <w:rsid w:val="00A557E9"/>
    <w:rsid w:val="00A614AB"/>
    <w:rsid w:val="00A61FA9"/>
    <w:rsid w:val="00A620D5"/>
    <w:rsid w:val="00A62D1E"/>
    <w:rsid w:val="00A64939"/>
    <w:rsid w:val="00A65AF3"/>
    <w:rsid w:val="00A718FC"/>
    <w:rsid w:val="00A72ED4"/>
    <w:rsid w:val="00A750F4"/>
    <w:rsid w:val="00A80C96"/>
    <w:rsid w:val="00A82D9F"/>
    <w:rsid w:val="00A83C28"/>
    <w:rsid w:val="00A852BE"/>
    <w:rsid w:val="00A853D8"/>
    <w:rsid w:val="00A911F0"/>
    <w:rsid w:val="00A932A3"/>
    <w:rsid w:val="00A93F7F"/>
    <w:rsid w:val="00A942EB"/>
    <w:rsid w:val="00A94974"/>
    <w:rsid w:val="00AA028E"/>
    <w:rsid w:val="00AA28F7"/>
    <w:rsid w:val="00AA34CC"/>
    <w:rsid w:val="00AA4424"/>
    <w:rsid w:val="00AA5EB3"/>
    <w:rsid w:val="00AA7F3A"/>
    <w:rsid w:val="00AB01A5"/>
    <w:rsid w:val="00AB0427"/>
    <w:rsid w:val="00AB0FB3"/>
    <w:rsid w:val="00AB1DDF"/>
    <w:rsid w:val="00AB246C"/>
    <w:rsid w:val="00AB332A"/>
    <w:rsid w:val="00AB33DE"/>
    <w:rsid w:val="00AB36BA"/>
    <w:rsid w:val="00AB6714"/>
    <w:rsid w:val="00AC1597"/>
    <w:rsid w:val="00AC165A"/>
    <w:rsid w:val="00AC2C78"/>
    <w:rsid w:val="00AC310F"/>
    <w:rsid w:val="00AC3801"/>
    <w:rsid w:val="00AC3C9F"/>
    <w:rsid w:val="00AC41D1"/>
    <w:rsid w:val="00AC52B0"/>
    <w:rsid w:val="00AD0EA8"/>
    <w:rsid w:val="00AD11FE"/>
    <w:rsid w:val="00AD1705"/>
    <w:rsid w:val="00AD1B46"/>
    <w:rsid w:val="00AD3276"/>
    <w:rsid w:val="00AD33AB"/>
    <w:rsid w:val="00AD3E07"/>
    <w:rsid w:val="00AE14C5"/>
    <w:rsid w:val="00AE193F"/>
    <w:rsid w:val="00AE2BA7"/>
    <w:rsid w:val="00AE4050"/>
    <w:rsid w:val="00AE5439"/>
    <w:rsid w:val="00AE6BF1"/>
    <w:rsid w:val="00AE72EA"/>
    <w:rsid w:val="00AF2066"/>
    <w:rsid w:val="00AF369B"/>
    <w:rsid w:val="00AF422B"/>
    <w:rsid w:val="00AF42A0"/>
    <w:rsid w:val="00AF4D42"/>
    <w:rsid w:val="00AF65A7"/>
    <w:rsid w:val="00AF67F6"/>
    <w:rsid w:val="00AF731F"/>
    <w:rsid w:val="00AF7451"/>
    <w:rsid w:val="00B0013C"/>
    <w:rsid w:val="00B0059D"/>
    <w:rsid w:val="00B030A8"/>
    <w:rsid w:val="00B03DE0"/>
    <w:rsid w:val="00B04091"/>
    <w:rsid w:val="00B0480D"/>
    <w:rsid w:val="00B04A25"/>
    <w:rsid w:val="00B04E87"/>
    <w:rsid w:val="00B04F39"/>
    <w:rsid w:val="00B10ADF"/>
    <w:rsid w:val="00B1193A"/>
    <w:rsid w:val="00B12023"/>
    <w:rsid w:val="00B13203"/>
    <w:rsid w:val="00B137D8"/>
    <w:rsid w:val="00B13C01"/>
    <w:rsid w:val="00B13F51"/>
    <w:rsid w:val="00B150FF"/>
    <w:rsid w:val="00B15686"/>
    <w:rsid w:val="00B15AA9"/>
    <w:rsid w:val="00B204B6"/>
    <w:rsid w:val="00B258B6"/>
    <w:rsid w:val="00B265B8"/>
    <w:rsid w:val="00B2674A"/>
    <w:rsid w:val="00B305BF"/>
    <w:rsid w:val="00B31E35"/>
    <w:rsid w:val="00B31F81"/>
    <w:rsid w:val="00B320F7"/>
    <w:rsid w:val="00B36548"/>
    <w:rsid w:val="00B37EF9"/>
    <w:rsid w:val="00B43890"/>
    <w:rsid w:val="00B4686C"/>
    <w:rsid w:val="00B46D78"/>
    <w:rsid w:val="00B46FFE"/>
    <w:rsid w:val="00B50247"/>
    <w:rsid w:val="00B50DCF"/>
    <w:rsid w:val="00B523FB"/>
    <w:rsid w:val="00B54998"/>
    <w:rsid w:val="00B55C78"/>
    <w:rsid w:val="00B56A0D"/>
    <w:rsid w:val="00B610FC"/>
    <w:rsid w:val="00B61152"/>
    <w:rsid w:val="00B6203E"/>
    <w:rsid w:val="00B63FCD"/>
    <w:rsid w:val="00B650D0"/>
    <w:rsid w:val="00B664B9"/>
    <w:rsid w:val="00B7000E"/>
    <w:rsid w:val="00B71B1A"/>
    <w:rsid w:val="00B7572B"/>
    <w:rsid w:val="00B76EB3"/>
    <w:rsid w:val="00B776E8"/>
    <w:rsid w:val="00B82DBB"/>
    <w:rsid w:val="00B84DFC"/>
    <w:rsid w:val="00B853F9"/>
    <w:rsid w:val="00B87BAF"/>
    <w:rsid w:val="00B87E0F"/>
    <w:rsid w:val="00B90587"/>
    <w:rsid w:val="00B91A65"/>
    <w:rsid w:val="00B94FCE"/>
    <w:rsid w:val="00B95F27"/>
    <w:rsid w:val="00B96AA1"/>
    <w:rsid w:val="00B97162"/>
    <w:rsid w:val="00BA070E"/>
    <w:rsid w:val="00BA1014"/>
    <w:rsid w:val="00BA117C"/>
    <w:rsid w:val="00BA278C"/>
    <w:rsid w:val="00BA28CC"/>
    <w:rsid w:val="00BA3121"/>
    <w:rsid w:val="00BA3A6E"/>
    <w:rsid w:val="00BA5EE2"/>
    <w:rsid w:val="00BA6083"/>
    <w:rsid w:val="00BB1604"/>
    <w:rsid w:val="00BB2C8C"/>
    <w:rsid w:val="00BB33DD"/>
    <w:rsid w:val="00BB460E"/>
    <w:rsid w:val="00BB4E57"/>
    <w:rsid w:val="00BB4FDD"/>
    <w:rsid w:val="00BB52B2"/>
    <w:rsid w:val="00BB5901"/>
    <w:rsid w:val="00BB6E5A"/>
    <w:rsid w:val="00BC01A2"/>
    <w:rsid w:val="00BC2E98"/>
    <w:rsid w:val="00BC322A"/>
    <w:rsid w:val="00BC336C"/>
    <w:rsid w:val="00BC7AEB"/>
    <w:rsid w:val="00BD14BD"/>
    <w:rsid w:val="00BD534A"/>
    <w:rsid w:val="00BD5B0D"/>
    <w:rsid w:val="00BD6F2E"/>
    <w:rsid w:val="00BE1949"/>
    <w:rsid w:val="00BE1A6D"/>
    <w:rsid w:val="00BE1E7B"/>
    <w:rsid w:val="00BE4D69"/>
    <w:rsid w:val="00BE7DC1"/>
    <w:rsid w:val="00BF0682"/>
    <w:rsid w:val="00BF23BD"/>
    <w:rsid w:val="00BF2946"/>
    <w:rsid w:val="00BF35F6"/>
    <w:rsid w:val="00BF59C5"/>
    <w:rsid w:val="00BF6304"/>
    <w:rsid w:val="00BF6CB3"/>
    <w:rsid w:val="00C0025F"/>
    <w:rsid w:val="00C01B37"/>
    <w:rsid w:val="00C0203F"/>
    <w:rsid w:val="00C02A4A"/>
    <w:rsid w:val="00C02E33"/>
    <w:rsid w:val="00C03729"/>
    <w:rsid w:val="00C03F9E"/>
    <w:rsid w:val="00C04770"/>
    <w:rsid w:val="00C11246"/>
    <w:rsid w:val="00C14A92"/>
    <w:rsid w:val="00C206E2"/>
    <w:rsid w:val="00C20EF8"/>
    <w:rsid w:val="00C211D0"/>
    <w:rsid w:val="00C2127D"/>
    <w:rsid w:val="00C23DBE"/>
    <w:rsid w:val="00C26429"/>
    <w:rsid w:val="00C30A34"/>
    <w:rsid w:val="00C327B3"/>
    <w:rsid w:val="00C33B09"/>
    <w:rsid w:val="00C4114C"/>
    <w:rsid w:val="00C41199"/>
    <w:rsid w:val="00C41DC6"/>
    <w:rsid w:val="00C42482"/>
    <w:rsid w:val="00C42950"/>
    <w:rsid w:val="00C43AB9"/>
    <w:rsid w:val="00C43B48"/>
    <w:rsid w:val="00C4496A"/>
    <w:rsid w:val="00C44C9D"/>
    <w:rsid w:val="00C44FD0"/>
    <w:rsid w:val="00C45A84"/>
    <w:rsid w:val="00C46B23"/>
    <w:rsid w:val="00C474CE"/>
    <w:rsid w:val="00C507A2"/>
    <w:rsid w:val="00C5115C"/>
    <w:rsid w:val="00C5175E"/>
    <w:rsid w:val="00C51A47"/>
    <w:rsid w:val="00C5239B"/>
    <w:rsid w:val="00C53B69"/>
    <w:rsid w:val="00C53FD8"/>
    <w:rsid w:val="00C543E8"/>
    <w:rsid w:val="00C55AD6"/>
    <w:rsid w:val="00C55D14"/>
    <w:rsid w:val="00C566D3"/>
    <w:rsid w:val="00C56965"/>
    <w:rsid w:val="00C57F11"/>
    <w:rsid w:val="00C607A6"/>
    <w:rsid w:val="00C607EC"/>
    <w:rsid w:val="00C610CA"/>
    <w:rsid w:val="00C625E6"/>
    <w:rsid w:val="00C62BFB"/>
    <w:rsid w:val="00C64E91"/>
    <w:rsid w:val="00C65441"/>
    <w:rsid w:val="00C65723"/>
    <w:rsid w:val="00C705D9"/>
    <w:rsid w:val="00C7140B"/>
    <w:rsid w:val="00C74197"/>
    <w:rsid w:val="00C75AEB"/>
    <w:rsid w:val="00C765F3"/>
    <w:rsid w:val="00C76B85"/>
    <w:rsid w:val="00C771CA"/>
    <w:rsid w:val="00C80B3F"/>
    <w:rsid w:val="00C810F9"/>
    <w:rsid w:val="00C81A87"/>
    <w:rsid w:val="00C8279A"/>
    <w:rsid w:val="00C844EE"/>
    <w:rsid w:val="00C862CE"/>
    <w:rsid w:val="00C86F1E"/>
    <w:rsid w:val="00C879AB"/>
    <w:rsid w:val="00C910AA"/>
    <w:rsid w:val="00C92ED7"/>
    <w:rsid w:val="00C93385"/>
    <w:rsid w:val="00C9344A"/>
    <w:rsid w:val="00C9404C"/>
    <w:rsid w:val="00C96D4F"/>
    <w:rsid w:val="00C97842"/>
    <w:rsid w:val="00CA1AC3"/>
    <w:rsid w:val="00CA1B87"/>
    <w:rsid w:val="00CA2812"/>
    <w:rsid w:val="00CA52DD"/>
    <w:rsid w:val="00CA5319"/>
    <w:rsid w:val="00CA71F6"/>
    <w:rsid w:val="00CA735F"/>
    <w:rsid w:val="00CA78D6"/>
    <w:rsid w:val="00CB111F"/>
    <w:rsid w:val="00CB22CB"/>
    <w:rsid w:val="00CB4A72"/>
    <w:rsid w:val="00CB62CC"/>
    <w:rsid w:val="00CB7660"/>
    <w:rsid w:val="00CB7D48"/>
    <w:rsid w:val="00CC0227"/>
    <w:rsid w:val="00CC215B"/>
    <w:rsid w:val="00CC23E7"/>
    <w:rsid w:val="00CC2BB9"/>
    <w:rsid w:val="00CC4890"/>
    <w:rsid w:val="00CC5BC4"/>
    <w:rsid w:val="00CD41E9"/>
    <w:rsid w:val="00CD4883"/>
    <w:rsid w:val="00CD67A6"/>
    <w:rsid w:val="00CD6877"/>
    <w:rsid w:val="00CD7E70"/>
    <w:rsid w:val="00CE3228"/>
    <w:rsid w:val="00CE4390"/>
    <w:rsid w:val="00CE6382"/>
    <w:rsid w:val="00CE7262"/>
    <w:rsid w:val="00CF0276"/>
    <w:rsid w:val="00CF0C09"/>
    <w:rsid w:val="00CF4104"/>
    <w:rsid w:val="00CF5B41"/>
    <w:rsid w:val="00CF6922"/>
    <w:rsid w:val="00CF790E"/>
    <w:rsid w:val="00D001D0"/>
    <w:rsid w:val="00D00764"/>
    <w:rsid w:val="00D01432"/>
    <w:rsid w:val="00D018A6"/>
    <w:rsid w:val="00D020BE"/>
    <w:rsid w:val="00D04CED"/>
    <w:rsid w:val="00D05779"/>
    <w:rsid w:val="00D12DDF"/>
    <w:rsid w:val="00D12DFD"/>
    <w:rsid w:val="00D13B10"/>
    <w:rsid w:val="00D15228"/>
    <w:rsid w:val="00D15A80"/>
    <w:rsid w:val="00D17C23"/>
    <w:rsid w:val="00D20971"/>
    <w:rsid w:val="00D21408"/>
    <w:rsid w:val="00D2275E"/>
    <w:rsid w:val="00D22E47"/>
    <w:rsid w:val="00D231A8"/>
    <w:rsid w:val="00D245F2"/>
    <w:rsid w:val="00D2571D"/>
    <w:rsid w:val="00D2729B"/>
    <w:rsid w:val="00D27602"/>
    <w:rsid w:val="00D27D5D"/>
    <w:rsid w:val="00D31518"/>
    <w:rsid w:val="00D3308A"/>
    <w:rsid w:val="00D345DD"/>
    <w:rsid w:val="00D36493"/>
    <w:rsid w:val="00D36B00"/>
    <w:rsid w:val="00D36F2D"/>
    <w:rsid w:val="00D40306"/>
    <w:rsid w:val="00D41E11"/>
    <w:rsid w:val="00D42F23"/>
    <w:rsid w:val="00D4490C"/>
    <w:rsid w:val="00D45B5A"/>
    <w:rsid w:val="00D468B0"/>
    <w:rsid w:val="00D46DEF"/>
    <w:rsid w:val="00D51725"/>
    <w:rsid w:val="00D5218F"/>
    <w:rsid w:val="00D52A2A"/>
    <w:rsid w:val="00D53799"/>
    <w:rsid w:val="00D5631C"/>
    <w:rsid w:val="00D57AC9"/>
    <w:rsid w:val="00D603EE"/>
    <w:rsid w:val="00D6133B"/>
    <w:rsid w:val="00D61F49"/>
    <w:rsid w:val="00D6335B"/>
    <w:rsid w:val="00D635FE"/>
    <w:rsid w:val="00D6775E"/>
    <w:rsid w:val="00D7049D"/>
    <w:rsid w:val="00D70947"/>
    <w:rsid w:val="00D71AF8"/>
    <w:rsid w:val="00D73438"/>
    <w:rsid w:val="00D77ADE"/>
    <w:rsid w:val="00D81359"/>
    <w:rsid w:val="00D81DCC"/>
    <w:rsid w:val="00D84CD7"/>
    <w:rsid w:val="00D87EAD"/>
    <w:rsid w:val="00D90C10"/>
    <w:rsid w:val="00D91598"/>
    <w:rsid w:val="00D91E0B"/>
    <w:rsid w:val="00D93968"/>
    <w:rsid w:val="00D961F0"/>
    <w:rsid w:val="00D9675E"/>
    <w:rsid w:val="00DA16F5"/>
    <w:rsid w:val="00DA2B11"/>
    <w:rsid w:val="00DA391D"/>
    <w:rsid w:val="00DA6EDB"/>
    <w:rsid w:val="00DB0C62"/>
    <w:rsid w:val="00DB10DE"/>
    <w:rsid w:val="00DB1187"/>
    <w:rsid w:val="00DB1436"/>
    <w:rsid w:val="00DB1756"/>
    <w:rsid w:val="00DB422D"/>
    <w:rsid w:val="00DB6A0E"/>
    <w:rsid w:val="00DB722D"/>
    <w:rsid w:val="00DB77B1"/>
    <w:rsid w:val="00DC11DB"/>
    <w:rsid w:val="00DC1567"/>
    <w:rsid w:val="00DC1577"/>
    <w:rsid w:val="00DC28AD"/>
    <w:rsid w:val="00DC3142"/>
    <w:rsid w:val="00DC39E3"/>
    <w:rsid w:val="00DD0DB6"/>
    <w:rsid w:val="00DD1CE3"/>
    <w:rsid w:val="00DD265A"/>
    <w:rsid w:val="00DD26C0"/>
    <w:rsid w:val="00DD51CF"/>
    <w:rsid w:val="00DD6148"/>
    <w:rsid w:val="00DE2E86"/>
    <w:rsid w:val="00DE5D00"/>
    <w:rsid w:val="00DE6E13"/>
    <w:rsid w:val="00DF03F8"/>
    <w:rsid w:val="00DF0751"/>
    <w:rsid w:val="00DF31CF"/>
    <w:rsid w:val="00DF4C69"/>
    <w:rsid w:val="00DF61F0"/>
    <w:rsid w:val="00DF761F"/>
    <w:rsid w:val="00E00537"/>
    <w:rsid w:val="00E0171C"/>
    <w:rsid w:val="00E023B3"/>
    <w:rsid w:val="00E04B78"/>
    <w:rsid w:val="00E04CEC"/>
    <w:rsid w:val="00E05A90"/>
    <w:rsid w:val="00E06FAD"/>
    <w:rsid w:val="00E072F0"/>
    <w:rsid w:val="00E1075F"/>
    <w:rsid w:val="00E11507"/>
    <w:rsid w:val="00E168B3"/>
    <w:rsid w:val="00E17D4B"/>
    <w:rsid w:val="00E2121A"/>
    <w:rsid w:val="00E212E7"/>
    <w:rsid w:val="00E22251"/>
    <w:rsid w:val="00E22B0E"/>
    <w:rsid w:val="00E23704"/>
    <w:rsid w:val="00E24900"/>
    <w:rsid w:val="00E25B29"/>
    <w:rsid w:val="00E27877"/>
    <w:rsid w:val="00E32EBA"/>
    <w:rsid w:val="00E33D9E"/>
    <w:rsid w:val="00E345CF"/>
    <w:rsid w:val="00E37771"/>
    <w:rsid w:val="00E418C2"/>
    <w:rsid w:val="00E438C1"/>
    <w:rsid w:val="00E44ED7"/>
    <w:rsid w:val="00E458ED"/>
    <w:rsid w:val="00E47473"/>
    <w:rsid w:val="00E51B23"/>
    <w:rsid w:val="00E5215F"/>
    <w:rsid w:val="00E53158"/>
    <w:rsid w:val="00E535A2"/>
    <w:rsid w:val="00E53AD5"/>
    <w:rsid w:val="00E57547"/>
    <w:rsid w:val="00E57DE3"/>
    <w:rsid w:val="00E62348"/>
    <w:rsid w:val="00E65698"/>
    <w:rsid w:val="00E6799B"/>
    <w:rsid w:val="00E67CB0"/>
    <w:rsid w:val="00E67D7F"/>
    <w:rsid w:val="00E70510"/>
    <w:rsid w:val="00E710BE"/>
    <w:rsid w:val="00E74A8E"/>
    <w:rsid w:val="00E756D2"/>
    <w:rsid w:val="00E76DBB"/>
    <w:rsid w:val="00E7709C"/>
    <w:rsid w:val="00E805CE"/>
    <w:rsid w:val="00E80655"/>
    <w:rsid w:val="00E80713"/>
    <w:rsid w:val="00E813B5"/>
    <w:rsid w:val="00E81B16"/>
    <w:rsid w:val="00E821AC"/>
    <w:rsid w:val="00E85831"/>
    <w:rsid w:val="00E86A10"/>
    <w:rsid w:val="00E86CC2"/>
    <w:rsid w:val="00E87F20"/>
    <w:rsid w:val="00E9355B"/>
    <w:rsid w:val="00E9662B"/>
    <w:rsid w:val="00E96DD2"/>
    <w:rsid w:val="00EA1042"/>
    <w:rsid w:val="00EA10E7"/>
    <w:rsid w:val="00EA3D9F"/>
    <w:rsid w:val="00EA3E00"/>
    <w:rsid w:val="00EA4A42"/>
    <w:rsid w:val="00EA548E"/>
    <w:rsid w:val="00EA6075"/>
    <w:rsid w:val="00EA6793"/>
    <w:rsid w:val="00EA67DC"/>
    <w:rsid w:val="00EA6B74"/>
    <w:rsid w:val="00EA7633"/>
    <w:rsid w:val="00EB14D6"/>
    <w:rsid w:val="00EB2C89"/>
    <w:rsid w:val="00EB3595"/>
    <w:rsid w:val="00EB4145"/>
    <w:rsid w:val="00EB440F"/>
    <w:rsid w:val="00EB58AF"/>
    <w:rsid w:val="00EB5BC0"/>
    <w:rsid w:val="00EC0545"/>
    <w:rsid w:val="00EC4513"/>
    <w:rsid w:val="00EC63E7"/>
    <w:rsid w:val="00EC6C39"/>
    <w:rsid w:val="00EC7C77"/>
    <w:rsid w:val="00ED16B0"/>
    <w:rsid w:val="00ED2B91"/>
    <w:rsid w:val="00ED4AE5"/>
    <w:rsid w:val="00ED4F53"/>
    <w:rsid w:val="00ED6445"/>
    <w:rsid w:val="00ED647A"/>
    <w:rsid w:val="00ED7852"/>
    <w:rsid w:val="00EE346F"/>
    <w:rsid w:val="00EE4C53"/>
    <w:rsid w:val="00EE6A06"/>
    <w:rsid w:val="00EE6FE5"/>
    <w:rsid w:val="00EF1B2A"/>
    <w:rsid w:val="00EF1ECC"/>
    <w:rsid w:val="00EF2273"/>
    <w:rsid w:val="00EF35EC"/>
    <w:rsid w:val="00EF37C6"/>
    <w:rsid w:val="00EF427A"/>
    <w:rsid w:val="00EF45B2"/>
    <w:rsid w:val="00EF5A25"/>
    <w:rsid w:val="00EF61D6"/>
    <w:rsid w:val="00EF7210"/>
    <w:rsid w:val="00F00464"/>
    <w:rsid w:val="00F01358"/>
    <w:rsid w:val="00F04A74"/>
    <w:rsid w:val="00F05726"/>
    <w:rsid w:val="00F07581"/>
    <w:rsid w:val="00F1382B"/>
    <w:rsid w:val="00F15A28"/>
    <w:rsid w:val="00F17813"/>
    <w:rsid w:val="00F17FBE"/>
    <w:rsid w:val="00F21460"/>
    <w:rsid w:val="00F237B0"/>
    <w:rsid w:val="00F30760"/>
    <w:rsid w:val="00F30DCA"/>
    <w:rsid w:val="00F32EE9"/>
    <w:rsid w:val="00F348A5"/>
    <w:rsid w:val="00F44925"/>
    <w:rsid w:val="00F44B6C"/>
    <w:rsid w:val="00F45898"/>
    <w:rsid w:val="00F46E13"/>
    <w:rsid w:val="00F5012E"/>
    <w:rsid w:val="00F50866"/>
    <w:rsid w:val="00F52B90"/>
    <w:rsid w:val="00F5456B"/>
    <w:rsid w:val="00F563C5"/>
    <w:rsid w:val="00F654DB"/>
    <w:rsid w:val="00F675A7"/>
    <w:rsid w:val="00F7070A"/>
    <w:rsid w:val="00F72237"/>
    <w:rsid w:val="00F72FA0"/>
    <w:rsid w:val="00F73695"/>
    <w:rsid w:val="00F7599D"/>
    <w:rsid w:val="00F76746"/>
    <w:rsid w:val="00F76D62"/>
    <w:rsid w:val="00F773E8"/>
    <w:rsid w:val="00F8039F"/>
    <w:rsid w:val="00F803F4"/>
    <w:rsid w:val="00F808AD"/>
    <w:rsid w:val="00F80C9F"/>
    <w:rsid w:val="00F80EAB"/>
    <w:rsid w:val="00F81267"/>
    <w:rsid w:val="00F8315B"/>
    <w:rsid w:val="00F91DAC"/>
    <w:rsid w:val="00F9287C"/>
    <w:rsid w:val="00F92C1B"/>
    <w:rsid w:val="00F93A88"/>
    <w:rsid w:val="00F942AF"/>
    <w:rsid w:val="00F95769"/>
    <w:rsid w:val="00F96F24"/>
    <w:rsid w:val="00FA0331"/>
    <w:rsid w:val="00FA2178"/>
    <w:rsid w:val="00FA42D4"/>
    <w:rsid w:val="00FA5154"/>
    <w:rsid w:val="00FA5C41"/>
    <w:rsid w:val="00FB2E8B"/>
    <w:rsid w:val="00FB3215"/>
    <w:rsid w:val="00FB5B8C"/>
    <w:rsid w:val="00FB6681"/>
    <w:rsid w:val="00FB7C90"/>
    <w:rsid w:val="00FC212A"/>
    <w:rsid w:val="00FC30FE"/>
    <w:rsid w:val="00FC349A"/>
    <w:rsid w:val="00FC3864"/>
    <w:rsid w:val="00FC440F"/>
    <w:rsid w:val="00FC44F6"/>
    <w:rsid w:val="00FC532F"/>
    <w:rsid w:val="00FC5DB4"/>
    <w:rsid w:val="00FC615D"/>
    <w:rsid w:val="00FD0197"/>
    <w:rsid w:val="00FD3188"/>
    <w:rsid w:val="00FD5B85"/>
    <w:rsid w:val="00FD5D07"/>
    <w:rsid w:val="00FD648A"/>
    <w:rsid w:val="00FE0B12"/>
    <w:rsid w:val="00FE26E3"/>
    <w:rsid w:val="00FE2D84"/>
    <w:rsid w:val="00FE6B72"/>
    <w:rsid w:val="00FE7868"/>
    <w:rsid w:val="00FE7A71"/>
    <w:rsid w:val="00FE7C09"/>
    <w:rsid w:val="00FF0E86"/>
    <w:rsid w:val="00FF11DA"/>
    <w:rsid w:val="00FF190E"/>
    <w:rsid w:val="00FF1C21"/>
    <w:rsid w:val="00FF25E9"/>
    <w:rsid w:val="00FF2885"/>
    <w:rsid w:val="00FF3215"/>
    <w:rsid w:val="00FF49D3"/>
    <w:rsid w:val="00FF4BEB"/>
    <w:rsid w:val="00FF4D00"/>
    <w:rsid w:val="00FF60A2"/>
    <w:rsid w:val="00FF6416"/>
    <w:rsid w:val="00FF78B0"/>
    <w:rsid w:val="00FF794D"/>
  </w:rsids>
  <w:docVars>
    <w:docVar w:name="EN.InstantFormat" w:val="&lt;ENInstantFormat&gt;&lt;Enabled&gt;1&lt;/Enabled&gt;&lt;ScanUnformatted&gt;1&lt;/ScanUnformatted&gt;&lt;ScanChanges&gt;1&lt;/ScanChanges&gt;&lt;Suspended&gt;1&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atwf2d6ew20re9dzoxw5sedepzdp99ew2p&quot;&gt;My EndNote Library_help Copy&lt;record-ids&gt;&lt;item&gt;84&lt;/item&gt;&lt;/record-ids&gt;&lt;/item&gt;&lt;/Libraries&gt;"/>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86EA278"/>
  <w15:docId w15:val="{6DEDA4C7-13E0-4A4E-8E5A-1C9AADF5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autoRedefine/>
    <w:qFormat/>
    <w:rsid w:val="006669E0"/>
    <w:pPr>
      <w:keepNext/>
      <w:numPr>
        <w:numId w:val="29"/>
      </w:numPr>
      <w:ind w:hanging="720"/>
      <w:outlineLvl w:val="0"/>
    </w:pPr>
    <w:rPr>
      <w:rFonts w:ascii="Times New Roman Bold" w:hAnsi="Times New Roman Bold" w:cs="Arial"/>
      <w:b/>
      <w:bCs/>
      <w:caps/>
      <w:kern w:val="32"/>
      <w:szCs w:val="32"/>
    </w:rPr>
  </w:style>
  <w:style w:type="paragraph" w:styleId="Heading2">
    <w:name w:val="heading 2"/>
    <w:basedOn w:val="Normal"/>
    <w:next w:val="Normal"/>
    <w:autoRedefine/>
    <w:qFormat/>
    <w:rsid w:val="00133FA4"/>
    <w:pPr>
      <w:keepNext/>
      <w:spacing w:before="240" w:after="60"/>
      <w:outlineLvl w:val="1"/>
    </w:pPr>
    <w:rPr>
      <w:rFonts w:ascii="Times New Roman Bold" w:hAnsi="Times New Roman Bold" w:cs="Arial"/>
      <w:b/>
      <w:bCs/>
      <w:iCs/>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cs="Tahoma"/>
      <w:sz w:val="20"/>
      <w:szCs w:val="20"/>
    </w:rPr>
  </w:style>
  <w:style w:type="character" w:styleId="Hyperlink">
    <w:name w:val="Hyperlink"/>
    <w:uiPriority w:val="99"/>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OC1">
    <w:name w:val="toc 1"/>
    <w:basedOn w:val="Normal"/>
    <w:next w:val="Normal"/>
    <w:autoRedefine/>
    <w:uiPriority w:val="39"/>
    <w:rsid w:val="007E19DB"/>
    <w:pPr>
      <w:tabs>
        <w:tab w:val="left" w:pos="720"/>
        <w:tab w:val="right" w:leader="dot" w:pos="9350"/>
      </w:tabs>
      <w:spacing w:before="120" w:after="120"/>
      <w:ind w:left="720" w:hanging="720"/>
    </w:pPr>
    <w:rPr>
      <w:rFonts w:ascii="Times New Roman Bold" w:hAnsi="Times New Roman Bold" w:eastAsiaTheme="minorEastAsia"/>
      <w:b/>
      <w:caps/>
      <w:noProof/>
    </w:rPr>
  </w:style>
  <w:style w:type="paragraph" w:styleId="TOC2">
    <w:name w:val="toc 2"/>
    <w:basedOn w:val="Normal"/>
    <w:next w:val="Normal"/>
    <w:autoRedefine/>
    <w:uiPriority w:val="39"/>
    <w:pPr>
      <w:ind w:left="1440" w:hanging="720"/>
    </w:pPr>
    <w:rPr>
      <w:b/>
    </w:rPr>
  </w:style>
  <w:style w:type="paragraph" w:styleId="TOC3">
    <w:name w:val="toc 3"/>
    <w:basedOn w:val="Normal"/>
    <w:next w:val="Normal"/>
    <w:autoRedefine/>
    <w:semiHidden/>
    <w:pPr>
      <w:ind w:left="1800" w:hanging="720"/>
    </w:pPr>
  </w:style>
  <w:style w:type="paragraph" w:customStyle="1" w:styleId="StyleHeading2TimesNewRoman12ptNotItalicBefore0pt">
    <w:name w:val="Style Heading 2 + Times New Roman 12 pt Not Italic Before:  0 pt..."/>
    <w:basedOn w:val="Heading2"/>
    <w:pPr>
      <w:spacing w:before="0" w:after="0"/>
      <w:ind w:left="720" w:hanging="720"/>
    </w:pPr>
    <w:rPr>
      <w:rFonts w:ascii="Times New Roman" w:hAnsi="Times New Roman" w:cs="Times New Roman"/>
      <w:i/>
      <w:iCs w:val="0"/>
      <w:szCs w:val="20"/>
    </w:rPr>
  </w:style>
  <w:style w:type="paragraph" w:styleId="BalloonText">
    <w:name w:val="Balloon Text"/>
    <w:basedOn w:val="Normal"/>
    <w:semiHidden/>
    <w:rPr>
      <w:rFonts w:ascii="Tahoma" w:hAnsi="Tahoma" w:cs="Tahoma"/>
      <w:sz w:val="16"/>
      <w:szCs w:val="16"/>
    </w:rPr>
  </w:style>
  <w:style w:type="paragraph" w:customStyle="1" w:styleId="StyleHeading1TimesNewRoman12ptLeft0Hanging05">
    <w:name w:val="Style Heading 1 + Times New Roman 12 pt Left:  0&quot; Hanging:  0.5&quot;..."/>
    <w:basedOn w:val="Heading1"/>
    <w:autoRedefine/>
    <w:rsid w:val="002C514D"/>
    <w:pPr>
      <w:numPr>
        <w:numId w:val="0"/>
      </w:numPr>
      <w:tabs>
        <w:tab w:val="left" w:pos="0"/>
        <w:tab w:val="left" w:pos="720"/>
      </w:tabs>
    </w:pPr>
    <w:rPr>
      <w:rFonts w:cs="Times New Roman"/>
      <w:szCs w:val="20"/>
    </w:rPr>
  </w:style>
  <w:style w:type="character" w:styleId="FollowedHyperlink">
    <w:name w:val="FollowedHyperlink"/>
    <w:basedOn w:val="DefaultParagraphFont"/>
    <w:semiHidden/>
    <w:unhideWhenUsed/>
    <w:rsid w:val="00AF42A0"/>
    <w:rPr>
      <w:color w:val="800080" w:themeColor="followedHyperlink"/>
      <w:u w:val="single"/>
    </w:rPr>
  </w:style>
  <w:style w:type="paragraph" w:styleId="NoSpacing">
    <w:name w:val="No Spacing"/>
    <w:uiPriority w:val="1"/>
    <w:qFormat/>
    <w:rsid w:val="004A6851"/>
    <w:rPr>
      <w:rFonts w:eastAsiaTheme="minorHAnsi" w:cstheme="minorBidi"/>
      <w:sz w:val="24"/>
      <w:szCs w:val="22"/>
    </w:rPr>
  </w:style>
  <w:style w:type="paragraph" w:styleId="ListParagraph">
    <w:name w:val="List Paragraph"/>
    <w:basedOn w:val="Normal"/>
    <w:uiPriority w:val="34"/>
    <w:qFormat/>
    <w:rsid w:val="00A25789"/>
    <w:pPr>
      <w:ind w:left="720"/>
      <w:contextualSpacing/>
    </w:pPr>
  </w:style>
  <w:style w:type="paragraph" w:customStyle="1" w:styleId="Default">
    <w:name w:val="Default"/>
    <w:rsid w:val="00FC5DB4"/>
    <w:pPr>
      <w:autoSpaceDE w:val="0"/>
      <w:autoSpaceDN w:val="0"/>
      <w:adjustRightInd w:val="0"/>
    </w:pPr>
    <w:rPr>
      <w:color w:val="000000"/>
      <w:sz w:val="24"/>
      <w:szCs w:val="24"/>
    </w:rPr>
  </w:style>
  <w:style w:type="table" w:styleId="TableGrid">
    <w:name w:val="Table Grid"/>
    <w:basedOn w:val="TableNormal"/>
    <w:rsid w:val="00D27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77F"/>
    <w:pPr>
      <w:spacing w:before="100" w:beforeAutospacing="1" w:after="100" w:afterAutospacing="1"/>
    </w:pPr>
  </w:style>
  <w:style w:type="character" w:styleId="UnresolvedMention">
    <w:name w:val="Unresolved Mention"/>
    <w:basedOn w:val="DefaultParagraphFont"/>
    <w:uiPriority w:val="99"/>
    <w:semiHidden/>
    <w:unhideWhenUsed/>
    <w:rsid w:val="006A777F"/>
    <w:rPr>
      <w:color w:val="605E5C"/>
      <w:shd w:val="clear" w:color="auto" w:fill="E1DFDD"/>
    </w:rPr>
  </w:style>
  <w:style w:type="character" w:styleId="CommentReference">
    <w:name w:val="annotation reference"/>
    <w:basedOn w:val="DefaultParagraphFont"/>
    <w:uiPriority w:val="99"/>
    <w:semiHidden/>
    <w:unhideWhenUsed/>
    <w:rsid w:val="00E345CF"/>
    <w:rPr>
      <w:sz w:val="16"/>
      <w:szCs w:val="16"/>
    </w:rPr>
  </w:style>
  <w:style w:type="paragraph" w:styleId="CommentText">
    <w:name w:val="annotation text"/>
    <w:basedOn w:val="Normal"/>
    <w:link w:val="CommentTextChar"/>
    <w:uiPriority w:val="99"/>
    <w:unhideWhenUsed/>
    <w:rsid w:val="00E345CF"/>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345CF"/>
    <w:rPr>
      <w:rFonts w:asciiTheme="minorHAnsi" w:eastAsiaTheme="minorHAnsi" w:hAnsiTheme="minorHAnsi" w:cstheme="minorBidi"/>
    </w:rPr>
  </w:style>
  <w:style w:type="paragraph" w:styleId="CommentSubject">
    <w:name w:val="annotation subject"/>
    <w:basedOn w:val="CommentText"/>
    <w:next w:val="CommentText"/>
    <w:link w:val="CommentSubjectChar"/>
    <w:semiHidden/>
    <w:unhideWhenUsed/>
    <w:rsid w:val="005A54CB"/>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5A54CB"/>
    <w:rPr>
      <w:rFonts w:asciiTheme="minorHAnsi" w:eastAsiaTheme="minorHAnsi" w:hAnsiTheme="minorHAnsi" w:cstheme="minorBidi"/>
      <w:b/>
      <w:bCs/>
    </w:rPr>
  </w:style>
  <w:style w:type="paragraph" w:styleId="FootnoteText">
    <w:name w:val="footnote text"/>
    <w:basedOn w:val="Normal"/>
    <w:link w:val="FootnoteTextChar"/>
    <w:semiHidden/>
    <w:unhideWhenUsed/>
    <w:rsid w:val="0043078A"/>
    <w:rPr>
      <w:sz w:val="20"/>
      <w:szCs w:val="20"/>
    </w:rPr>
  </w:style>
  <w:style w:type="character" w:customStyle="1" w:styleId="FootnoteTextChar">
    <w:name w:val="Footnote Text Char"/>
    <w:basedOn w:val="DefaultParagraphFont"/>
    <w:link w:val="FootnoteText"/>
    <w:semiHidden/>
    <w:rsid w:val="0043078A"/>
  </w:style>
  <w:style w:type="character" w:styleId="FootnoteReference">
    <w:name w:val="footnote reference"/>
    <w:basedOn w:val="DefaultParagraphFont"/>
    <w:semiHidden/>
    <w:unhideWhenUsed/>
    <w:rsid w:val="0043078A"/>
    <w:rPr>
      <w:vertAlign w:val="superscript"/>
    </w:rPr>
  </w:style>
  <w:style w:type="paragraph" w:styleId="Revision">
    <w:name w:val="Revision"/>
    <w:hidden/>
    <w:uiPriority w:val="99"/>
    <w:semiHidden/>
    <w:rsid w:val="00917E0C"/>
    <w:rPr>
      <w:sz w:val="24"/>
      <w:szCs w:val="24"/>
    </w:rPr>
  </w:style>
  <w:style w:type="character" w:styleId="Emphasis">
    <w:name w:val="Emphasis"/>
    <w:basedOn w:val="DefaultParagraphFont"/>
    <w:qFormat/>
    <w:rsid w:val="00A203A2"/>
    <w:rPr>
      <w:i/>
      <w:iCs/>
    </w:rPr>
  </w:style>
  <w:style w:type="paragraph" w:styleId="BodyText">
    <w:name w:val="Body Text"/>
    <w:basedOn w:val="Normal"/>
    <w:link w:val="BodyTextChar"/>
    <w:uiPriority w:val="1"/>
    <w:semiHidden/>
    <w:unhideWhenUsed/>
    <w:qFormat/>
    <w:rsid w:val="00B50DCF"/>
    <w:pPr>
      <w:widowControl w:val="0"/>
      <w:ind w:left="120"/>
    </w:pPr>
    <w:rPr>
      <w:rFonts w:cstheme="minorBidi"/>
    </w:rPr>
  </w:style>
  <w:style w:type="character" w:customStyle="1" w:styleId="BodyTextChar">
    <w:name w:val="Body Text Char"/>
    <w:basedOn w:val="DefaultParagraphFont"/>
    <w:link w:val="BodyText"/>
    <w:uiPriority w:val="1"/>
    <w:semiHidden/>
    <w:rsid w:val="00B50DCF"/>
    <w:rPr>
      <w:rFonts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da.gov/vaccines-blood-biologics/guidance-compliance-regulatory-information-biologics/biologics-guidances"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footer" Target="footer1.xml" /><Relationship Id="rId15" Type="http://schemas.openxmlformats.org/officeDocument/2006/relationships/header" Target="header4.xml" /><Relationship Id="rId16" Type="http://schemas.openxmlformats.org/officeDocument/2006/relationships/hyperlink" Target="https://www.fda.gov/vaccines-blood-biologics/standards-development-regenerative-medicine-therapies" TargetMode="External" /><Relationship Id="rId17" Type="http://schemas.openxmlformats.org/officeDocument/2006/relationships/hyperlink" Target="mailto:RMTStandardsRecognition@fda.hhs.gov" TargetMode="External" /><Relationship Id="rId18" Type="http://schemas.openxmlformats.org/officeDocument/2006/relationships/hyperlink" Target="https://www.fda.gov/vaccines-blood-biologics/cellular-gene-therapy-products/framework-regulation-regenerative-medicine-products" TargetMode="External" /><Relationship Id="rId19" Type="http://schemas.openxmlformats.org/officeDocument/2006/relationships/hyperlink" Target="https://www.reginfo.gov" TargetMode="External" /><Relationship Id="rId2" Type="http://schemas.openxmlformats.org/officeDocument/2006/relationships/settings" Target="settings.xml" /><Relationship Id="rId20" Type="http://schemas.openxmlformats.org/officeDocument/2006/relationships/hyperlink" Target="https://www.fda.gov/media/71983/download" TargetMode="External" /><Relationship Id="rId21" Type="http://schemas.openxmlformats.org/officeDocument/2006/relationships/hyperlink" Target="https://obamawhitehouse.archives.gov/sites/default/files/omb/inforeg/revised_circular_a-119_as_of_1_22.pdf" TargetMode="External" /><Relationship Id="rId22" Type="http://schemas.openxmlformats.org/officeDocument/2006/relationships/hyperlink" Target="https://www.nist.gov/standardsgov/national-technology-transfer-and-advancement-act-1995" TargetMode="External" /><Relationship Id="rId23" Type="http://schemas.openxmlformats.org/officeDocument/2006/relationships/hyperlink" Target="https://www.fda.gov/media/124694/download" TargetMode="External" /><Relationship Id="rId24" Type="http://schemas.openxmlformats.org/officeDocument/2006/relationships/hyperlink" Target="https://www.congress.gov/114/plaws/publ255/PLAW-114publ255.pdf" TargetMode="External" /><Relationship Id="rId25" Type="http://schemas.openxmlformats.org/officeDocument/2006/relationships/hyperlink" Target="https://www.fda.gov/media/120267/download" TargetMode="External" /><Relationship Id="rId26" Type="http://schemas.openxmlformats.org/officeDocument/2006/relationships/hyperlink" Target="https://www.iso.org" TargetMode="External" /><Relationship Id="rId27" Type="http://schemas.openxmlformats.org/officeDocument/2006/relationships/header" Target="header5.xml" /><Relationship Id="rId28" Type="http://schemas.openxmlformats.org/officeDocument/2006/relationships/footer" Target="footer2.xml" /><Relationship Id="rId29" Type="http://schemas.openxmlformats.org/officeDocument/2006/relationships/header" Target="header6.xml" /><Relationship Id="rId3" Type="http://schemas.openxmlformats.org/officeDocument/2006/relationships/webSettings" Target="webSettings.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ocod@fda.hhs.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da.gov/ForIndustry/DataStandards/defaul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860251BF23344B85DA887C56E22D29" ma:contentTypeVersion="5" ma:contentTypeDescription="Create a new document." ma:contentTypeScope="" ma:versionID="8441df91b0b4977231655dc23c5ed1da">
  <xsd:schema xmlns:xsd="http://www.w3.org/2001/XMLSchema" xmlns:xs="http://www.w3.org/2001/XMLSchema" xmlns:p="http://schemas.microsoft.com/office/2006/metadata/properties" xmlns:ns2="9ebe2ac1-b52f-4552-bf6a-2082716c726b" xmlns:ns3="7eefbe0b-3e06-4179-b900-279a32c25b3f" targetNamespace="http://schemas.microsoft.com/office/2006/metadata/properties" ma:root="true" ma:fieldsID="7500ad600bed8c44df39170f8919335e" ns2:_="" ns3:_="">
    <xsd:import namespace="9ebe2ac1-b52f-4552-bf6a-2082716c726b"/>
    <xsd:import namespace="7eefbe0b-3e06-4179-b900-279a32c25b3f"/>
    <xsd:element name="properties">
      <xsd:complexType>
        <xsd:sequence>
          <xsd:element name="documentManagement">
            <xsd:complexType>
              <xsd:all>
                <xsd:element ref="ns2:MediaServiceMetadata" minOccurs="0"/>
                <xsd:element ref="ns2:MediaServiceFastMetadata" minOccurs="0"/>
                <xsd:element ref="ns2:Date_x0020_Publishe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e2ac1-b52f-4552-bf6a-2082716c7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_x0020_Published" ma:index="10" nillable="true" ma:displayName="Date Issued" ma:description="Month and Year" ma:format="Dropdown" ma:internalName="Date_x0020_Publish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fbe0b-3e06-4179-b900-279a32c25b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shed xmlns="9ebe2ac1-b52f-4552-bf6a-2082716c726b">April 2022</Date_x0020_Published>
  </documentManagement>
</p:properties>
</file>

<file path=customXml/itemProps1.xml><?xml version="1.0" encoding="utf-8"?>
<ds:datastoreItem xmlns:ds="http://schemas.openxmlformats.org/officeDocument/2006/customXml" ds:itemID="{AC662F11-515E-4965-8FC7-8EF2A791007D}">
  <ds:schemaRefs>
    <ds:schemaRef ds:uri="http://schemas.microsoft.com/sharepoint/v3/contenttype/forms"/>
  </ds:schemaRefs>
</ds:datastoreItem>
</file>

<file path=customXml/itemProps2.xml><?xml version="1.0" encoding="utf-8"?>
<ds:datastoreItem xmlns:ds="http://schemas.openxmlformats.org/officeDocument/2006/customXml" ds:itemID="{9EBD984A-E3EB-400E-8341-385E8689854E}">
  <ds:schemaRefs>
    <ds:schemaRef ds:uri="http://schemas.openxmlformats.org/officeDocument/2006/bibliography"/>
  </ds:schemaRefs>
</ds:datastoreItem>
</file>

<file path=customXml/itemProps3.xml><?xml version="1.0" encoding="utf-8"?>
<ds:datastoreItem xmlns:ds="http://schemas.openxmlformats.org/officeDocument/2006/customXml" ds:itemID="{847FE7CD-03B3-4E3F-A388-01759AF1C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be2ac1-b52f-4552-bf6a-2082716c726b"/>
    <ds:schemaRef ds:uri="7eefbe0b-3e06-4179-b900-279a32c25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458485-B64D-43EF-AAF3-BA5A667D718B}">
  <ds:schemaRefs>
    <ds:schemaRef ds:uri="http://schemas.microsoft.com/office/2006/metadata/properties"/>
    <ds:schemaRef ds:uri="http://schemas.microsoft.com/office/infopath/2007/PartnerControls"/>
    <ds:schemaRef ds:uri="9ebe2ac1-b52f-4552-bf6a-2082716c726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3057</Words>
  <Characters>20002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SOPP 8002 Appendix 2 - Draft Guidance.doc</vt:lpstr>
    </vt:vector>
  </TitlesOfParts>
  <Company>US FDA</Company>
  <LinksUpToDate>false</LinksUpToDate>
  <CharactersWithSpaces>23013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SOPP 8002 Appendix 2 - Draft Guidance.doc</dc:title>
  <dc:subject>Issued: 9-2009</dc:subject>
  <dc:creator>Pope, Pamela (Black)</dc:creator>
  <cp:keywords>SOPP 8002 Appendix 2 - Draft Guidance</cp:keywords>
  <cp:lastModifiedBy>Bean, Domini</cp:lastModifiedBy>
  <cp:revision>2</cp:revision>
  <cp:lastPrinted>2023-05-31T16:27:00Z</cp:lastPrinted>
  <dcterms:created xsi:type="dcterms:W3CDTF">2023-08-30T12:16:00Z</dcterms:created>
  <dcterms:modified xsi:type="dcterms:W3CDTF">2023-08-30T12:16:00Z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0x01010098860251BF23344B85DA887C56E22D29</vt:lpwstr>
  </property>
  <property fmtid="{D5CDD505-2E9C-101B-9397-08002B2CF9AE}" pid="3" name="Language">
    <vt:lpwstr>English</vt:lpwstr>
  </property>
  <property fmtid="{D5CDD505-2E9C-101B-9397-08002B2CF9AE}" pid="4" name="_dlc_DocIdItemGuid">
    <vt:lpwstr>a5bd0be3-6043-4580-8302-6b221abfdb2a</vt:lpwstr>
  </property>
</Properties>
</file>