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D76CA" w:rsidP="003D6333" w14:paraId="1CB208B5" w14:textId="77777777">
      <w:pPr>
        <w:pStyle w:val="BodyText"/>
        <w:spacing w:after="0"/>
        <w:jc w:val="center"/>
      </w:pPr>
    </w:p>
    <w:p w:rsidR="00E10D46" w:rsidP="003D6333" w14:paraId="7504D0A8" w14:textId="77777777">
      <w:pPr>
        <w:pStyle w:val="BodyText"/>
        <w:spacing w:after="0"/>
        <w:jc w:val="center"/>
      </w:pPr>
    </w:p>
    <w:p w:rsidR="00045271" w:rsidRPr="00D3396C" w:rsidP="003D6333" w14:paraId="54C5B31E" w14:textId="77777777">
      <w:pPr>
        <w:pStyle w:val="BodyText"/>
        <w:spacing w:after="0"/>
        <w:jc w:val="center"/>
      </w:pPr>
      <w:r w:rsidRPr="00D3396C">
        <w:t>BIOLOGICS LICENSE APPLICATIONS</w:t>
      </w:r>
      <w:r w:rsidR="000F4757">
        <w:t xml:space="preserve"> – </w:t>
      </w:r>
    </w:p>
    <w:p w:rsidR="00357C8A" w:rsidRPr="00D3396C" w:rsidP="003D6333" w14:paraId="3F7569EE" w14:textId="77777777">
      <w:pPr>
        <w:pStyle w:val="BodyText"/>
        <w:spacing w:after="0"/>
        <w:jc w:val="center"/>
      </w:pPr>
      <w:r w:rsidRPr="00D3396C">
        <w:t>PROCEDURES &amp; REQUIREMENTS</w:t>
      </w:r>
    </w:p>
    <w:p w:rsidR="00E21E06" w:rsidP="003D6333" w14:paraId="166D95BF" w14:textId="77777777">
      <w:pPr>
        <w:jc w:val="center"/>
        <w:rPr>
          <w:rFonts w:eastAsia="Calibri"/>
        </w:rPr>
      </w:pPr>
    </w:p>
    <w:p w:rsidR="00357C8A" w:rsidRPr="00045271" w:rsidP="003D6333" w14:paraId="05168267" w14:textId="3425915F">
      <w:pPr>
        <w:jc w:val="center"/>
        <w:rPr>
          <w:rFonts w:eastAsia="Calibri"/>
        </w:rPr>
      </w:pPr>
      <w:r w:rsidRPr="00045271">
        <w:rPr>
          <w:rFonts w:eastAsia="Calibri"/>
          <w:u w:val="single"/>
        </w:rPr>
        <w:t>OMB Control No. 0910-</w:t>
      </w:r>
      <w:r w:rsidRPr="00045271" w:rsidR="00E21E06">
        <w:rPr>
          <w:rFonts w:eastAsia="Calibri"/>
          <w:u w:val="single"/>
        </w:rPr>
        <w:t>0338</w:t>
      </w:r>
      <w:r w:rsidR="00045271">
        <w:rPr>
          <w:rFonts w:eastAsia="Calibri"/>
        </w:rPr>
        <w:t xml:space="preserve"> </w:t>
      </w:r>
      <w:r w:rsidR="008463BF">
        <w:rPr>
          <w:rFonts w:eastAsia="Calibri"/>
        </w:rPr>
        <w:t xml:space="preserve"> - Extension</w:t>
      </w:r>
    </w:p>
    <w:p w:rsidR="00357C8A" w:rsidP="003D6333" w14:paraId="4B955DDE" w14:textId="77777777">
      <w:pPr>
        <w:jc w:val="center"/>
        <w:rPr>
          <w:rFonts w:eastAsia="Calibri"/>
        </w:rPr>
      </w:pPr>
    </w:p>
    <w:p w:rsidR="00357C8A" w:rsidP="003D6333" w14:paraId="3C3EED2F" w14:textId="77777777">
      <w:pPr>
        <w:rPr>
          <w:rFonts w:eastAsia="Calibri"/>
        </w:rPr>
      </w:pPr>
      <w:r w:rsidRPr="00357C8A">
        <w:rPr>
          <w:rFonts w:eastAsia="Calibri"/>
        </w:rPr>
        <w:t>SUPPORTING STATEMENT</w:t>
      </w:r>
      <w:r w:rsidR="00033F4F">
        <w:rPr>
          <w:rFonts w:eastAsia="Calibri"/>
        </w:rPr>
        <w:t xml:space="preserve"> </w:t>
      </w:r>
      <w:r w:rsidRPr="00357C8A">
        <w:rPr>
          <w:rFonts w:eastAsia="Calibri"/>
          <w:b/>
        </w:rPr>
        <w:t>Part A</w:t>
      </w:r>
      <w:r w:rsidR="00033F4F">
        <w:rPr>
          <w:rFonts w:eastAsia="Calibri"/>
          <w:b/>
        </w:rPr>
        <w:t xml:space="preserve"> – </w:t>
      </w:r>
      <w:r w:rsidRPr="00357C8A">
        <w:rPr>
          <w:rFonts w:eastAsia="Calibri"/>
          <w:b/>
        </w:rPr>
        <w:t>Justification</w:t>
      </w:r>
      <w:r w:rsidRPr="00357C8A">
        <w:rPr>
          <w:rFonts w:eastAsia="Calibri"/>
        </w:rPr>
        <w:t>:</w:t>
      </w:r>
    </w:p>
    <w:p w:rsidR="000D79CC" w:rsidRPr="00357C8A" w:rsidP="003D6333" w14:paraId="551DEE41" w14:textId="77777777">
      <w:pPr>
        <w:rPr>
          <w:rFonts w:eastAsia="Calibri"/>
        </w:rPr>
      </w:pPr>
    </w:p>
    <w:p w:rsidR="00357C8A" w:rsidRPr="00357C8A" w:rsidP="003D6333" w14:paraId="784A06B5" w14:textId="77777777">
      <w:pPr>
        <w:numPr>
          <w:ilvl w:val="0"/>
          <w:numId w:val="6"/>
        </w:numPr>
        <w:spacing w:after="240"/>
        <w:rPr>
          <w:rFonts w:eastAsia="Calibri"/>
        </w:rPr>
      </w:pPr>
      <w:r w:rsidRPr="00357C8A">
        <w:rPr>
          <w:rFonts w:eastAsia="Calibri"/>
          <w:u w:val="single"/>
        </w:rPr>
        <w:t>Circumstances Making the Collection of Information Necessary</w:t>
      </w:r>
    </w:p>
    <w:p w:rsidR="00FE2BDC" w:rsidP="003D6333" w14:paraId="4AF03874" w14:textId="77777777">
      <w:pPr>
        <w:widowControl w:val="0"/>
        <w:spacing w:after="240"/>
        <w:rPr>
          <w:color w:val="000000"/>
        </w:rPr>
      </w:pPr>
      <w:r>
        <w:t xml:space="preserve">This information collection </w:t>
      </w:r>
      <w:r w:rsidR="003168F1">
        <w:t xml:space="preserve">helps </w:t>
      </w:r>
      <w:r>
        <w:t>support</w:t>
      </w:r>
      <w:r w:rsidR="003168F1">
        <w:t xml:space="preserve"> implementation of statutory and regulatory requirements </w:t>
      </w:r>
      <w:r w:rsidR="00AC2A50">
        <w:t>under the Public Health Service Act (PHS</w:t>
      </w:r>
      <w:r w:rsidR="0077514E">
        <w:t>)</w:t>
      </w:r>
      <w:r w:rsidR="00A55BC1">
        <w:t xml:space="preserve"> and </w:t>
      </w:r>
      <w:r w:rsidR="00995662">
        <w:t>the Federal Food, Drug, and Cosmetic Act (FD&amp;C Act)</w:t>
      </w:r>
      <w:r w:rsidRPr="00D54575" w:rsidR="00D54575">
        <w:t xml:space="preserve"> that govern biologics </w:t>
      </w:r>
      <w:r w:rsidR="0011139A">
        <w:t xml:space="preserve">product </w:t>
      </w:r>
      <w:r w:rsidRPr="00D54575" w:rsidR="00D54575">
        <w:t>licensing</w:t>
      </w:r>
      <w:r w:rsidR="0087265E">
        <w:t xml:space="preserve">.  </w:t>
      </w:r>
      <w:r w:rsidR="00F86662">
        <w:t xml:space="preserve">The </w:t>
      </w:r>
      <w:r w:rsidRPr="00E21E06" w:rsidR="00614A35">
        <w:rPr>
          <w:rFonts w:eastAsia="Calibri"/>
        </w:rPr>
        <w:t xml:space="preserve">Food and Drug Administration (FDA) </w:t>
      </w:r>
      <w:r w:rsidR="00F86662">
        <w:rPr>
          <w:rFonts w:eastAsia="Calibri"/>
        </w:rPr>
        <w:t xml:space="preserve">has promulgated regulations </w:t>
      </w:r>
      <w:r w:rsidR="001E5ED3">
        <w:rPr>
          <w:rFonts w:eastAsia="Calibri"/>
        </w:rPr>
        <w:t>in 21 CFR parts 60</w:t>
      </w:r>
      <w:r w:rsidR="00D368FB">
        <w:rPr>
          <w:rFonts w:eastAsia="Calibri"/>
        </w:rPr>
        <w:t>0</w:t>
      </w:r>
      <w:r w:rsidR="001E5ED3">
        <w:rPr>
          <w:rFonts w:eastAsia="Calibri"/>
        </w:rPr>
        <w:t>-680</w:t>
      </w:r>
      <w:r w:rsidR="00C27FF6">
        <w:rPr>
          <w:rFonts w:eastAsia="Calibri"/>
        </w:rPr>
        <w:t xml:space="preserve"> </w:t>
      </w:r>
      <w:r w:rsidR="006855F8">
        <w:t>set</w:t>
      </w:r>
      <w:r w:rsidR="003F07C4">
        <w:t>ting</w:t>
      </w:r>
      <w:r w:rsidR="006855F8">
        <w:t xml:space="preserve"> forth</w:t>
      </w:r>
      <w:r w:rsidR="00D54575">
        <w:t xml:space="preserve"> applicable</w:t>
      </w:r>
      <w:r w:rsidR="00A55BC1">
        <w:t xml:space="preserve"> </w:t>
      </w:r>
      <w:r w:rsidR="003E39BA">
        <w:t xml:space="preserve">standards and </w:t>
      </w:r>
      <w:r w:rsidR="00A55BC1">
        <w:t xml:space="preserve">procedures </w:t>
      </w:r>
      <w:r w:rsidR="002676F8">
        <w:t xml:space="preserve">that </w:t>
      </w:r>
      <w:r w:rsidR="00A2333C">
        <w:rPr>
          <w:color w:val="000000"/>
        </w:rPr>
        <w:t xml:space="preserve">include </w:t>
      </w:r>
      <w:r w:rsidR="002676F8">
        <w:rPr>
          <w:color w:val="000000"/>
        </w:rPr>
        <w:t xml:space="preserve">associated </w:t>
      </w:r>
      <w:r w:rsidR="00A2333C">
        <w:rPr>
          <w:color w:val="000000"/>
        </w:rPr>
        <w:t xml:space="preserve">reporting, recordkeeping, and </w:t>
      </w:r>
      <w:r w:rsidR="00840149">
        <w:rPr>
          <w:color w:val="000000"/>
        </w:rPr>
        <w:t>-</w:t>
      </w:r>
      <w:r w:rsidR="00A2333C">
        <w:rPr>
          <w:color w:val="000000"/>
        </w:rPr>
        <w:t xml:space="preserve">disclosure requirements.  Respondents to the information collection are persons or entities who </w:t>
      </w:r>
      <w:r w:rsidRPr="004F48E2" w:rsidR="00A2333C">
        <w:rPr>
          <w:color w:val="000000"/>
        </w:rPr>
        <w:t xml:space="preserve">engage in manufacture </w:t>
      </w:r>
      <w:r w:rsidR="00A2333C">
        <w:rPr>
          <w:color w:val="000000"/>
        </w:rPr>
        <w:t>of biologics products.</w:t>
      </w:r>
      <w:r w:rsidR="00EC1D7B">
        <w:rPr>
          <w:color w:val="000000"/>
        </w:rPr>
        <w:t xml:space="preserve">  </w:t>
      </w:r>
      <w:r w:rsidR="005C72E5">
        <w:rPr>
          <w:color w:val="000000"/>
        </w:rPr>
        <w:t xml:space="preserve">We </w:t>
      </w:r>
      <w:r w:rsidR="008D7520">
        <w:rPr>
          <w:color w:val="000000"/>
        </w:rPr>
        <w:t xml:space="preserve">provide information on our website at </w:t>
      </w:r>
      <w:hyperlink r:id="rId4" w:history="1">
        <w:r w:rsidRPr="00C913AE">
          <w:rPr>
            <w:rStyle w:val="Hyperlink"/>
          </w:rPr>
          <w:t>https://www.fda.gov/vaccines-blood-biologics/development-approval-process-cber/biologics-license-applications-bla-process-cber</w:t>
        </w:r>
      </w:hyperlink>
      <w:r w:rsidRPr="00C913AE">
        <w:rPr>
          <w:color w:val="000000"/>
        </w:rPr>
        <w:t xml:space="preserve"> </w:t>
      </w:r>
      <w:r w:rsidR="00A2333C">
        <w:rPr>
          <w:color w:val="000000"/>
        </w:rPr>
        <w:t xml:space="preserve">regarding </w:t>
      </w:r>
      <w:r w:rsidR="00EC1D7B">
        <w:rPr>
          <w:color w:val="000000"/>
        </w:rPr>
        <w:t>biologics license applications (</w:t>
      </w:r>
      <w:r w:rsidR="00A2333C">
        <w:rPr>
          <w:color w:val="000000"/>
        </w:rPr>
        <w:t>BLAs</w:t>
      </w:r>
      <w:r w:rsidR="00EC1D7B">
        <w:rPr>
          <w:color w:val="000000"/>
        </w:rPr>
        <w:t>)</w:t>
      </w:r>
      <w:r w:rsidRPr="00C913AE">
        <w:rPr>
          <w:color w:val="000000"/>
        </w:rPr>
        <w:t xml:space="preserve">, including </w:t>
      </w:r>
      <w:r>
        <w:rPr>
          <w:color w:val="000000"/>
        </w:rPr>
        <w:t xml:space="preserve">available </w:t>
      </w:r>
      <w:r w:rsidR="00C52A16">
        <w:rPr>
          <w:color w:val="000000"/>
        </w:rPr>
        <w:t>a</w:t>
      </w:r>
      <w:r w:rsidRPr="00C913AE">
        <w:rPr>
          <w:color w:val="000000"/>
        </w:rPr>
        <w:t>gency resources.</w:t>
      </w:r>
    </w:p>
    <w:p w:rsidR="00FB60EC" w:rsidP="003D6333" w14:paraId="7CB286CA" w14:textId="334DEDB3">
      <w:pPr>
        <w:widowControl w:val="0"/>
        <w:spacing w:after="240"/>
        <w:rPr>
          <w:color w:val="000000"/>
        </w:rPr>
      </w:pPr>
      <w:r>
        <w:rPr>
          <w:color w:val="000000"/>
        </w:rPr>
        <w:t xml:space="preserve">Regulations in 21 CFR part </w:t>
      </w:r>
      <w:r w:rsidR="00C309C3">
        <w:rPr>
          <w:color w:val="000000"/>
        </w:rPr>
        <w:t>600</w:t>
      </w:r>
      <w:r w:rsidR="0091251B">
        <w:rPr>
          <w:color w:val="000000"/>
        </w:rPr>
        <w:t>, subparts</w:t>
      </w:r>
      <w:r w:rsidR="00561A07">
        <w:rPr>
          <w:color w:val="000000"/>
        </w:rPr>
        <w:t xml:space="preserve"> A through C (21 CFR 600-</w:t>
      </w:r>
      <w:r w:rsidR="00832CA9">
        <w:rPr>
          <w:color w:val="000000"/>
        </w:rPr>
        <w:t>600.21</w:t>
      </w:r>
      <w:r w:rsidR="00BF6328">
        <w:rPr>
          <w:color w:val="000000"/>
        </w:rPr>
        <w:t>)</w:t>
      </w:r>
      <w:r w:rsidR="00561A07">
        <w:rPr>
          <w:color w:val="000000"/>
        </w:rPr>
        <w:t>,</w:t>
      </w:r>
      <w:r w:rsidR="00C309C3">
        <w:rPr>
          <w:color w:val="000000"/>
        </w:rPr>
        <w:t xml:space="preserve"> and </w:t>
      </w:r>
      <w:r w:rsidR="00561A07">
        <w:rPr>
          <w:color w:val="000000"/>
        </w:rPr>
        <w:t xml:space="preserve">regulations </w:t>
      </w:r>
      <w:r w:rsidR="00C309C3">
        <w:rPr>
          <w:color w:val="000000"/>
        </w:rPr>
        <w:t xml:space="preserve">in 21 CFR </w:t>
      </w:r>
      <w:r>
        <w:rPr>
          <w:color w:val="000000"/>
        </w:rPr>
        <w:t>601</w:t>
      </w:r>
      <w:r w:rsidR="006A138E">
        <w:rPr>
          <w:color w:val="000000"/>
        </w:rPr>
        <w:t>, subpart A</w:t>
      </w:r>
      <w:r w:rsidR="000B625E">
        <w:rPr>
          <w:color w:val="000000"/>
        </w:rPr>
        <w:t xml:space="preserve"> (</w:t>
      </w:r>
      <w:r w:rsidR="00505785">
        <w:rPr>
          <w:color w:val="000000"/>
        </w:rPr>
        <w:t xml:space="preserve">21 CFR </w:t>
      </w:r>
      <w:r w:rsidR="00822086">
        <w:rPr>
          <w:color w:val="000000"/>
        </w:rPr>
        <w:t xml:space="preserve">601.2 – </w:t>
      </w:r>
      <w:r w:rsidR="00505785">
        <w:rPr>
          <w:color w:val="000000"/>
        </w:rPr>
        <w:t xml:space="preserve">21 CFR </w:t>
      </w:r>
      <w:r w:rsidR="00822086">
        <w:rPr>
          <w:color w:val="000000"/>
        </w:rPr>
        <w:t>601.</w:t>
      </w:r>
      <w:r w:rsidR="00505785">
        <w:rPr>
          <w:color w:val="000000"/>
        </w:rPr>
        <w:t>9)</w:t>
      </w:r>
      <w:r w:rsidR="00AB205F">
        <w:rPr>
          <w:color w:val="000000"/>
        </w:rPr>
        <w:t xml:space="preserve"> cover</w:t>
      </w:r>
      <w:r w:rsidR="000F09E5">
        <w:rPr>
          <w:color w:val="000000"/>
        </w:rPr>
        <w:t xml:space="preserve"> general provisions </w:t>
      </w:r>
      <w:r w:rsidR="005347D7">
        <w:rPr>
          <w:color w:val="000000"/>
        </w:rPr>
        <w:t xml:space="preserve">and </w:t>
      </w:r>
      <w:r w:rsidR="0010223D">
        <w:rPr>
          <w:color w:val="000000"/>
        </w:rPr>
        <w:t>prescrib</w:t>
      </w:r>
      <w:r w:rsidR="005347D7">
        <w:rPr>
          <w:color w:val="000000"/>
        </w:rPr>
        <w:t>e</w:t>
      </w:r>
      <w:r w:rsidR="0010223D">
        <w:rPr>
          <w:color w:val="000000"/>
        </w:rPr>
        <w:t xml:space="preserve"> </w:t>
      </w:r>
      <w:r w:rsidR="005D4365">
        <w:rPr>
          <w:color w:val="000000"/>
        </w:rPr>
        <w:t xml:space="preserve">requisite </w:t>
      </w:r>
      <w:r>
        <w:rPr>
          <w:color w:val="000000"/>
        </w:rPr>
        <w:t>content and format elements</w:t>
      </w:r>
      <w:r w:rsidR="0010223D">
        <w:rPr>
          <w:color w:val="000000"/>
        </w:rPr>
        <w:t xml:space="preserve"> for applications</w:t>
      </w:r>
      <w:r>
        <w:rPr>
          <w:color w:val="000000"/>
        </w:rPr>
        <w:t xml:space="preserve">.  </w:t>
      </w:r>
      <w:r w:rsidR="00360F05">
        <w:rPr>
          <w:color w:val="000000"/>
        </w:rPr>
        <w:t xml:space="preserve">Regulations in 21 CFR part 601, subpart C </w:t>
      </w:r>
      <w:r w:rsidR="00505785">
        <w:rPr>
          <w:color w:val="000000"/>
        </w:rPr>
        <w:t xml:space="preserve">(21 </w:t>
      </w:r>
      <w:r w:rsidR="007D261C">
        <w:rPr>
          <w:color w:val="000000"/>
        </w:rPr>
        <w:t xml:space="preserve">CFR 601.12 – 21 CFR 601.29) </w:t>
      </w:r>
      <w:r w:rsidR="00360F05">
        <w:rPr>
          <w:color w:val="000000"/>
        </w:rPr>
        <w:t>pert</w:t>
      </w:r>
      <w:r w:rsidR="00DF6B29">
        <w:rPr>
          <w:color w:val="000000"/>
        </w:rPr>
        <w:t>ain to BLA changes</w:t>
      </w:r>
      <w:r w:rsidR="00A54358">
        <w:rPr>
          <w:color w:val="000000"/>
        </w:rPr>
        <w:t xml:space="preserve">; the </w:t>
      </w:r>
      <w:r w:rsidR="00DF6B29">
        <w:rPr>
          <w:color w:val="000000"/>
        </w:rPr>
        <w:t>electronic submission of information</w:t>
      </w:r>
      <w:r w:rsidR="00A54358">
        <w:rPr>
          <w:color w:val="000000"/>
        </w:rPr>
        <w:t xml:space="preserve">; the </w:t>
      </w:r>
      <w:r>
        <w:rPr>
          <w:color w:val="000000"/>
        </w:rPr>
        <w:t>suspension, revocation, and reissuance of BLAs</w:t>
      </w:r>
      <w:r w:rsidR="00B06B9D">
        <w:rPr>
          <w:color w:val="000000"/>
        </w:rPr>
        <w:t xml:space="preserve">; and also provide for the </w:t>
      </w:r>
      <w:r w:rsidR="00B32783">
        <w:rPr>
          <w:color w:val="000000"/>
        </w:rPr>
        <w:t xml:space="preserve">availability of guidance documents </w:t>
      </w:r>
      <w:r w:rsidR="00FF465A">
        <w:rPr>
          <w:color w:val="000000"/>
        </w:rPr>
        <w:t xml:space="preserve">by FDA </w:t>
      </w:r>
      <w:r w:rsidR="00B32783">
        <w:rPr>
          <w:color w:val="000000"/>
        </w:rPr>
        <w:t xml:space="preserve">to assist respondents </w:t>
      </w:r>
      <w:r w:rsidR="0074750D">
        <w:rPr>
          <w:color w:val="000000"/>
        </w:rPr>
        <w:t xml:space="preserve">in </w:t>
      </w:r>
      <w:r w:rsidR="00B32783">
        <w:rPr>
          <w:color w:val="000000"/>
        </w:rPr>
        <w:t>compl</w:t>
      </w:r>
      <w:r w:rsidR="0074750D">
        <w:rPr>
          <w:color w:val="000000"/>
        </w:rPr>
        <w:t>ying with</w:t>
      </w:r>
      <w:r w:rsidR="00656F0D">
        <w:rPr>
          <w:color w:val="000000"/>
        </w:rPr>
        <w:t xml:space="preserve"> applicable</w:t>
      </w:r>
      <w:r w:rsidR="0074750D">
        <w:rPr>
          <w:color w:val="000000"/>
        </w:rPr>
        <w:t xml:space="preserve"> requirements</w:t>
      </w:r>
      <w:r w:rsidR="00131F53">
        <w:rPr>
          <w:color w:val="000000"/>
        </w:rPr>
        <w:t xml:space="preserve"> </w:t>
      </w:r>
      <w:r w:rsidR="00FF465A">
        <w:rPr>
          <w:color w:val="000000"/>
        </w:rPr>
        <w:t>(</w:t>
      </w:r>
      <w:r w:rsidR="00131F53">
        <w:rPr>
          <w:color w:val="000000"/>
        </w:rPr>
        <w:t xml:space="preserve">21 CFR </w:t>
      </w:r>
      <w:r w:rsidR="00B06B9D">
        <w:rPr>
          <w:color w:val="000000"/>
        </w:rPr>
        <w:t>601.29</w:t>
      </w:r>
      <w:r w:rsidR="00FF465A">
        <w:rPr>
          <w:color w:val="000000"/>
        </w:rPr>
        <w:t>)</w:t>
      </w:r>
      <w:r w:rsidR="00B06B9D">
        <w:rPr>
          <w:color w:val="000000"/>
        </w:rPr>
        <w:t>.</w:t>
      </w:r>
      <w:r w:rsidR="00865A74">
        <w:rPr>
          <w:color w:val="000000"/>
        </w:rPr>
        <w:t xml:space="preserve">  Regulations in 21 CFR 601, subparts D and E, respectively, establish requirements appli</w:t>
      </w:r>
      <w:r w:rsidR="00162FB5">
        <w:rPr>
          <w:color w:val="000000"/>
        </w:rPr>
        <w:t xml:space="preserve">cable to diagnostic radiopharmaceuticals and </w:t>
      </w:r>
      <w:r w:rsidR="001816B2">
        <w:rPr>
          <w:color w:val="000000"/>
        </w:rPr>
        <w:t xml:space="preserve">for the </w:t>
      </w:r>
      <w:r w:rsidR="00162FB5">
        <w:rPr>
          <w:color w:val="000000"/>
        </w:rPr>
        <w:t>accelerated approval of biological products for serious or life-threatening illnesses.</w:t>
      </w:r>
      <w:r w:rsidR="00C92AC8">
        <w:rPr>
          <w:color w:val="000000"/>
        </w:rPr>
        <w:t xml:space="preserve">  The confidentiality of information </w:t>
      </w:r>
      <w:r w:rsidR="00AF5E35">
        <w:rPr>
          <w:color w:val="000000"/>
        </w:rPr>
        <w:t xml:space="preserve">submitted to FDA </w:t>
      </w:r>
      <w:r w:rsidR="00C92AC8">
        <w:rPr>
          <w:color w:val="000000"/>
        </w:rPr>
        <w:t>is covered in 21 CFR 601, subpart F (601.50-60</w:t>
      </w:r>
      <w:r w:rsidR="004B305F">
        <w:rPr>
          <w:color w:val="000000"/>
        </w:rPr>
        <w:t>1.51)</w:t>
      </w:r>
      <w:r w:rsidR="009D1807">
        <w:rPr>
          <w:color w:val="000000"/>
        </w:rPr>
        <w:t>.</w:t>
      </w:r>
      <w:r w:rsidR="007530D8">
        <w:rPr>
          <w:color w:val="000000"/>
        </w:rPr>
        <w:t xml:space="preserve">  </w:t>
      </w:r>
      <w:r w:rsidR="009D1807">
        <w:rPr>
          <w:color w:val="000000"/>
        </w:rPr>
        <w:t xml:space="preserve">Finally, the regulations </w:t>
      </w:r>
      <w:r w:rsidR="0087310B">
        <w:rPr>
          <w:color w:val="000000"/>
        </w:rPr>
        <w:t xml:space="preserve">also provide for the approval of biological products when human efficacy studies are not </w:t>
      </w:r>
      <w:r w:rsidR="00CB1A1E">
        <w:rPr>
          <w:color w:val="000000"/>
        </w:rPr>
        <w:t xml:space="preserve">ethical or feasible (21 CFR 601, subpart </w:t>
      </w:r>
      <w:r w:rsidR="005B3DD2">
        <w:rPr>
          <w:color w:val="000000"/>
        </w:rPr>
        <w:t>H).</w:t>
      </w:r>
      <w:r w:rsidR="003C79BC">
        <w:rPr>
          <w:color w:val="000000"/>
        </w:rPr>
        <w:t xml:space="preserve">  Finally, r</w:t>
      </w:r>
      <w:r w:rsidRPr="00E86EC4" w:rsidR="00E86EC4">
        <w:rPr>
          <w:color w:val="000000"/>
        </w:rPr>
        <w:t xml:space="preserve">egulations in 21 CFR parts 610-680 establish both general and specific </w:t>
      </w:r>
      <w:r w:rsidR="00821066">
        <w:rPr>
          <w:color w:val="000000"/>
        </w:rPr>
        <w:t xml:space="preserve">standards applicable to all </w:t>
      </w:r>
      <w:r w:rsidRPr="00E86EC4" w:rsidR="00E86EC4">
        <w:rPr>
          <w:color w:val="000000"/>
        </w:rPr>
        <w:t>biological products</w:t>
      </w:r>
      <w:r w:rsidR="00BE1B78">
        <w:rPr>
          <w:color w:val="000000"/>
        </w:rPr>
        <w:t>.</w:t>
      </w:r>
      <w:r w:rsidR="00840149">
        <w:t xml:space="preserve">  </w:t>
      </w:r>
      <w:r w:rsidR="00F56F93">
        <w:t xml:space="preserve">The information collection also includes </w:t>
      </w:r>
      <w:r w:rsidRPr="00840149" w:rsidR="00840149">
        <w:rPr>
          <w:color w:val="000000"/>
        </w:rPr>
        <w:t>labeling provisions pertaining to exceptions or alternatives to the labeling of products in the Strategic National Stockpile (SNS),</w:t>
      </w:r>
      <w:r w:rsidR="00735CFE">
        <w:rPr>
          <w:color w:val="000000"/>
        </w:rPr>
        <w:t xml:space="preserve"> established</w:t>
      </w:r>
      <w:r w:rsidRPr="00840149" w:rsidR="00840149">
        <w:rPr>
          <w:color w:val="000000"/>
        </w:rPr>
        <w:t xml:space="preserve"> in 21 CFR</w:t>
      </w:r>
      <w:r w:rsidR="00840149">
        <w:rPr>
          <w:color w:val="000000"/>
        </w:rPr>
        <w:t xml:space="preserve"> 610.28.</w:t>
      </w:r>
    </w:p>
    <w:p w:rsidR="00BE1B78" w:rsidP="003D6333" w14:paraId="67E9EC9D" w14:textId="77777777">
      <w:pPr>
        <w:widowControl w:val="0"/>
        <w:spacing w:after="240"/>
        <w:rPr>
          <w:color w:val="000000"/>
        </w:rPr>
      </w:pPr>
      <w:r>
        <w:rPr>
          <w:color w:val="000000"/>
        </w:rPr>
        <w:t>We include the following</w:t>
      </w:r>
      <w:r w:rsidR="00580729">
        <w:rPr>
          <w:color w:val="000000"/>
        </w:rPr>
        <w:t xml:space="preserve"> instruments</w:t>
      </w:r>
      <w:r w:rsidR="00624393">
        <w:rPr>
          <w:color w:val="000000"/>
        </w:rPr>
        <w:t xml:space="preserve">, </w:t>
      </w:r>
      <w:r w:rsidR="0044778B">
        <w:rPr>
          <w:color w:val="000000"/>
        </w:rPr>
        <w:t xml:space="preserve">which </w:t>
      </w:r>
      <w:r w:rsidR="00C75AFB">
        <w:rPr>
          <w:color w:val="000000"/>
        </w:rPr>
        <w:t xml:space="preserve">are </w:t>
      </w:r>
      <w:r>
        <w:rPr>
          <w:color w:val="000000"/>
        </w:rPr>
        <w:t xml:space="preserve">also </w:t>
      </w:r>
      <w:r w:rsidR="00624393">
        <w:rPr>
          <w:color w:val="000000"/>
        </w:rPr>
        <w:t>approved for use in other</w:t>
      </w:r>
      <w:r>
        <w:rPr>
          <w:color w:val="000000"/>
        </w:rPr>
        <w:t xml:space="preserve"> information collections</w:t>
      </w:r>
      <w:r w:rsidR="00C75AFB">
        <w:rPr>
          <w:color w:val="000000"/>
        </w:rPr>
        <w:t xml:space="preserve"> (OMB control nos. 0910-0001</w:t>
      </w:r>
      <w:r w:rsidR="004B4A1E">
        <w:rPr>
          <w:color w:val="000000"/>
        </w:rPr>
        <w:t xml:space="preserve"> (applications to market a new drug) and </w:t>
      </w:r>
      <w:r w:rsidR="00C75AFB">
        <w:rPr>
          <w:color w:val="000000"/>
        </w:rPr>
        <w:t xml:space="preserve">0910-0014 (investigational </w:t>
      </w:r>
      <w:r w:rsidR="004B4A1E">
        <w:rPr>
          <w:color w:val="000000"/>
        </w:rPr>
        <w:t>drugs)</w:t>
      </w:r>
      <w:r>
        <w:rPr>
          <w:color w:val="000000"/>
        </w:rPr>
        <w:t>:</w:t>
      </w:r>
    </w:p>
    <w:p w:rsidR="00E10D46" w14:paraId="14273F58" w14:textId="77777777">
      <w:pPr>
        <w:rPr>
          <w:i/>
          <w:iCs/>
        </w:rPr>
      </w:pPr>
      <w:r>
        <w:rPr>
          <w:i/>
          <w:iCs/>
        </w:rPr>
        <w:br w:type="page"/>
      </w:r>
    </w:p>
    <w:p w:rsidR="00B565E9" w:rsidP="003D6333" w14:paraId="40B5D38F" w14:textId="77777777">
      <w:pPr>
        <w:pStyle w:val="BodyTextIndent"/>
        <w:spacing w:after="240"/>
        <w:ind w:left="0" w:firstLine="720"/>
      </w:pPr>
      <w:r w:rsidRPr="00D94511">
        <w:rPr>
          <w:i/>
          <w:iCs/>
        </w:rPr>
        <w:t>Forms</w:t>
      </w:r>
      <w:r>
        <w:t>.</w:t>
      </w:r>
    </w:p>
    <w:p w:rsidR="00B37575" w:rsidP="00FE620C" w14:paraId="1A81DE75" w14:textId="77777777">
      <w:pPr>
        <w:pStyle w:val="BodyTextIndent"/>
        <w:numPr>
          <w:ilvl w:val="0"/>
          <w:numId w:val="11"/>
        </w:numPr>
        <w:spacing w:after="240"/>
      </w:pPr>
      <w:r w:rsidRPr="00960B61">
        <w:rPr>
          <w:b/>
          <w:bCs/>
        </w:rPr>
        <w:t>Form FDA 356h</w:t>
      </w:r>
      <w:r>
        <w:t xml:space="preserve">, </w:t>
      </w:r>
      <w:r w:rsidRPr="00CA6BC6">
        <w:rPr>
          <w:i/>
          <w:iCs/>
        </w:rPr>
        <w:t>Application to Market a New or Abbreviated New Drug or Biologic for Human Use</w:t>
      </w:r>
      <w:r w:rsidR="00FE620C">
        <w:t xml:space="preserve"> </w:t>
      </w:r>
      <w:r w:rsidR="00B3396C">
        <w:t xml:space="preserve"> </w:t>
      </w:r>
    </w:p>
    <w:p w:rsidR="00B565E9" w:rsidRPr="00B37575" w:rsidP="00FE620C" w14:paraId="033FE940" w14:textId="77777777">
      <w:pPr>
        <w:pStyle w:val="BodyTextIndent"/>
        <w:numPr>
          <w:ilvl w:val="0"/>
          <w:numId w:val="11"/>
        </w:numPr>
        <w:spacing w:after="240"/>
      </w:pPr>
      <w:r w:rsidRPr="00960B61">
        <w:rPr>
          <w:b/>
          <w:bCs/>
          <w:color w:val="000000"/>
        </w:rPr>
        <w:t>Form FDA 2252</w:t>
      </w:r>
      <w:r>
        <w:rPr>
          <w:color w:val="000000"/>
        </w:rPr>
        <w:t xml:space="preserve">, </w:t>
      </w:r>
      <w:r w:rsidRPr="007B5607">
        <w:rPr>
          <w:i/>
          <w:iCs/>
          <w:color w:val="000000"/>
        </w:rPr>
        <w:t>Transmittal of Annual Report for Drugs and Biologics for Human Use</w:t>
      </w:r>
      <w:r w:rsidR="002360EB">
        <w:rPr>
          <w:color w:val="000000"/>
        </w:rPr>
        <w:t>;</w:t>
      </w:r>
    </w:p>
    <w:p w:rsidR="00B565E9" w:rsidRPr="00FE620C" w:rsidP="00FE620C" w14:paraId="45E3FF50" w14:textId="77777777">
      <w:pPr>
        <w:pStyle w:val="ListParagraph"/>
        <w:widowControl w:val="0"/>
        <w:numPr>
          <w:ilvl w:val="0"/>
          <w:numId w:val="11"/>
        </w:numPr>
        <w:spacing w:after="240"/>
        <w:rPr>
          <w:color w:val="000000"/>
        </w:rPr>
      </w:pPr>
      <w:r w:rsidRPr="00960B61">
        <w:rPr>
          <w:b/>
          <w:bCs/>
          <w:color w:val="000000"/>
        </w:rPr>
        <w:t>Form FDA 2253</w:t>
      </w:r>
      <w:r w:rsidRPr="00FE620C">
        <w:rPr>
          <w:color w:val="000000"/>
        </w:rPr>
        <w:t xml:space="preserve">, </w:t>
      </w:r>
      <w:r w:rsidRPr="00FE620C">
        <w:rPr>
          <w:i/>
          <w:iCs/>
          <w:color w:val="000000"/>
        </w:rPr>
        <w:t>Transmittal of Advertisements and Promotional Labeling for Drugs and Biologics for Human Use</w:t>
      </w:r>
      <w:r w:rsidRPr="00FE620C" w:rsidR="002360EB">
        <w:rPr>
          <w:color w:val="000000"/>
        </w:rPr>
        <w:t>; and</w:t>
      </w:r>
    </w:p>
    <w:p w:rsidR="002360EB" w:rsidRPr="00FE620C" w:rsidP="00FE620C" w14:paraId="56C66958" w14:textId="77777777">
      <w:pPr>
        <w:pStyle w:val="ListParagraph"/>
        <w:widowControl w:val="0"/>
        <w:numPr>
          <w:ilvl w:val="0"/>
          <w:numId w:val="11"/>
        </w:numPr>
        <w:spacing w:after="240"/>
        <w:rPr>
          <w:color w:val="000000"/>
        </w:rPr>
      </w:pPr>
      <w:r w:rsidRPr="00960B61">
        <w:rPr>
          <w:b/>
          <w:bCs/>
          <w:color w:val="000000"/>
        </w:rPr>
        <w:t>Form FDA 3674</w:t>
      </w:r>
      <w:r w:rsidRPr="00FE620C">
        <w:rPr>
          <w:color w:val="000000"/>
        </w:rPr>
        <w:t xml:space="preserve">, </w:t>
      </w:r>
      <w:r w:rsidRPr="00FE620C">
        <w:rPr>
          <w:i/>
          <w:iCs/>
          <w:color w:val="000000"/>
        </w:rPr>
        <w:t>Certificate of Compliance Under 42 U.S.C. 282(j)(5)(B), with Requirements of ClinicalTrials.gov Data Bank.</w:t>
      </w:r>
    </w:p>
    <w:p w:rsidR="00044923" w:rsidRPr="00044923" w:rsidP="00044923" w14:paraId="46ABDCB5" w14:textId="77777777">
      <w:pPr>
        <w:pStyle w:val="ListParagraph"/>
        <w:widowControl w:val="0"/>
        <w:numPr>
          <w:ilvl w:val="0"/>
          <w:numId w:val="13"/>
        </w:numPr>
        <w:spacing w:after="240"/>
        <w:rPr>
          <w:color w:val="000000"/>
        </w:rPr>
      </w:pPr>
      <w:r w:rsidRPr="00044923">
        <w:rPr>
          <w:b/>
          <w:bCs/>
          <w:color w:val="000000"/>
        </w:rPr>
        <w:t>Form FDA 3988</w:t>
      </w:r>
      <w:r w:rsidRPr="00044923">
        <w:rPr>
          <w:color w:val="000000"/>
        </w:rPr>
        <w:t xml:space="preserve"> entitled, “</w:t>
      </w:r>
      <w:r w:rsidRPr="00044923">
        <w:rPr>
          <w:i/>
          <w:iCs/>
          <w:color w:val="000000"/>
        </w:rPr>
        <w:t>Transmittal of PMR/PMC Submissions for Drugs and Biological Products</w:t>
      </w:r>
      <w:r w:rsidRPr="00044923">
        <w:rPr>
          <w:color w:val="000000"/>
        </w:rPr>
        <w:t xml:space="preserve">”; and </w:t>
      </w:r>
    </w:p>
    <w:p w:rsidR="00044923" w:rsidRPr="00044923" w:rsidP="00044923" w14:paraId="4A3ED4BC" w14:textId="77777777">
      <w:pPr>
        <w:pStyle w:val="ListParagraph"/>
        <w:widowControl w:val="0"/>
        <w:numPr>
          <w:ilvl w:val="0"/>
          <w:numId w:val="13"/>
        </w:numPr>
        <w:spacing w:after="240"/>
        <w:rPr>
          <w:color w:val="000000"/>
        </w:rPr>
      </w:pPr>
      <w:r w:rsidRPr="00044923">
        <w:rPr>
          <w:b/>
          <w:bCs/>
          <w:color w:val="000000"/>
        </w:rPr>
        <w:t>Form FDA 3989</w:t>
      </w:r>
      <w:r w:rsidRPr="00044923">
        <w:rPr>
          <w:color w:val="000000"/>
        </w:rPr>
        <w:t xml:space="preserve"> entitled, “</w:t>
      </w:r>
      <w:r w:rsidRPr="00044923">
        <w:rPr>
          <w:i/>
          <w:iCs/>
          <w:color w:val="000000"/>
        </w:rPr>
        <w:t>PMR/PMC Annual Status Report for Drugs and Biological Products.</w:t>
      </w:r>
      <w:r w:rsidRPr="00044923">
        <w:rPr>
          <w:color w:val="000000"/>
        </w:rPr>
        <w:t>”</w:t>
      </w:r>
      <w:r w:rsidRPr="00044923" w:rsidR="00261EA6">
        <w:rPr>
          <w:color w:val="000000"/>
        </w:rPr>
        <w:t xml:space="preserve">  </w:t>
      </w:r>
    </w:p>
    <w:p w:rsidR="00BF7BE4" w:rsidP="003D6333" w14:paraId="677406FD" w14:textId="77777777">
      <w:pPr>
        <w:widowControl w:val="0"/>
        <w:spacing w:after="240"/>
        <w:rPr>
          <w:color w:val="000000"/>
        </w:rPr>
      </w:pPr>
      <w:r>
        <w:rPr>
          <w:color w:val="000000"/>
        </w:rPr>
        <w:t>S</w:t>
      </w:r>
      <w:r w:rsidRPr="00BC6F71">
        <w:rPr>
          <w:color w:val="000000"/>
        </w:rPr>
        <w:t xml:space="preserve">ection 506B </w:t>
      </w:r>
      <w:r>
        <w:rPr>
          <w:color w:val="000000"/>
        </w:rPr>
        <w:t>of the FD&amp;C Act</w:t>
      </w:r>
      <w:r w:rsidRPr="00BC6F71">
        <w:rPr>
          <w:color w:val="000000"/>
        </w:rPr>
        <w:t xml:space="preserve"> (21 U.S.C. 356b)</w:t>
      </w:r>
      <w:r>
        <w:rPr>
          <w:color w:val="000000"/>
        </w:rPr>
        <w:t xml:space="preserve">, and implementing regulations in 21 CFR parts </w:t>
      </w:r>
      <w:r w:rsidRPr="001C7D11">
        <w:rPr>
          <w:color w:val="000000"/>
        </w:rPr>
        <w:t>314.81, 312.20 and 601.70</w:t>
      </w:r>
      <w:r>
        <w:rPr>
          <w:color w:val="000000"/>
        </w:rPr>
        <w:t xml:space="preserve">, provide for the submission of postmarket study reports (PMRs), requiring </w:t>
      </w:r>
      <w:r w:rsidRPr="00BC6F71">
        <w:rPr>
          <w:color w:val="000000"/>
        </w:rPr>
        <w:t>sponsors of approved drugs and biological products to report to FDA annually on the progress of their postmarketing study commitments (PMCs), includ</w:t>
      </w:r>
      <w:r>
        <w:rPr>
          <w:color w:val="000000"/>
        </w:rPr>
        <w:t>ing reports on</w:t>
      </w:r>
      <w:r w:rsidRPr="00BC6F71">
        <w:rPr>
          <w:color w:val="000000"/>
        </w:rPr>
        <w:t xml:space="preserve"> required studies</w:t>
      </w:r>
      <w:r>
        <w:rPr>
          <w:color w:val="000000"/>
        </w:rPr>
        <w:t xml:space="preserve">, </w:t>
      </w:r>
      <w:r w:rsidRPr="00BC6F71">
        <w:rPr>
          <w:color w:val="000000"/>
        </w:rPr>
        <w:t>clinical trials</w:t>
      </w:r>
      <w:r>
        <w:rPr>
          <w:color w:val="000000"/>
        </w:rPr>
        <w:t xml:space="preserve">, and </w:t>
      </w:r>
      <w:r w:rsidRPr="00BC6F71">
        <w:rPr>
          <w:color w:val="000000"/>
        </w:rPr>
        <w:t xml:space="preserve">agreed upon commitments.  Under section 506B(b) and (c), FDA is required to track these PMCs and report on them annually in the </w:t>
      </w:r>
      <w:r w:rsidRPr="00AD306B">
        <w:rPr>
          <w:i/>
          <w:iCs/>
          <w:color w:val="000000"/>
        </w:rPr>
        <w:t>Federal Register</w:t>
      </w:r>
      <w:r w:rsidRPr="00BC6F71">
        <w:rPr>
          <w:color w:val="000000"/>
        </w:rPr>
        <w:t>.</w:t>
      </w:r>
      <w:r w:rsidR="00366C22">
        <w:rPr>
          <w:color w:val="000000"/>
        </w:rPr>
        <w:t xml:space="preserve">  The forms are also intended for use </w:t>
      </w:r>
      <w:r w:rsidR="004B4A1E">
        <w:rPr>
          <w:color w:val="000000"/>
        </w:rPr>
        <w:t xml:space="preserve">in </w:t>
      </w:r>
      <w:r w:rsidR="003A7175">
        <w:rPr>
          <w:color w:val="000000"/>
        </w:rPr>
        <w:t>OMB control nos. 0910-0001 and 0910-0014.</w:t>
      </w:r>
    </w:p>
    <w:p w:rsidR="00B565E9" w:rsidP="003D6333" w14:paraId="693CF7D1" w14:textId="77777777">
      <w:pPr>
        <w:pStyle w:val="BodyTextIndent"/>
        <w:spacing w:after="240"/>
        <w:ind w:left="0" w:firstLine="720"/>
        <w:rPr>
          <w:color w:val="000000"/>
        </w:rPr>
      </w:pPr>
      <w:r w:rsidRPr="00517331">
        <w:rPr>
          <w:i/>
          <w:iCs/>
          <w:color w:val="000000"/>
        </w:rPr>
        <w:t>Cover Sheets</w:t>
      </w:r>
    </w:p>
    <w:p w:rsidR="00B565E9" w:rsidRPr="002133FD" w:rsidP="003D6333" w14:paraId="62FBF9F2" w14:textId="77777777">
      <w:pPr>
        <w:pStyle w:val="BodyTextIndent"/>
        <w:spacing w:after="240"/>
        <w:ind w:left="0"/>
      </w:pPr>
      <w:r>
        <w:tab/>
        <w:t xml:space="preserve">As provided for under </w:t>
      </w:r>
      <w:r w:rsidR="00517331">
        <w:t xml:space="preserve">21 CFR </w:t>
      </w:r>
      <w:r>
        <w:t>part 601.2(a), we utilize cover sheets, so denoted for purposes of identifying specific content information within a given application.</w:t>
      </w:r>
    </w:p>
    <w:p w:rsidR="00D6662E" w:rsidP="00D6662E" w14:paraId="1B212989" w14:textId="59AF62CD">
      <w:pPr>
        <w:ind w:firstLine="720"/>
        <w:contextualSpacing/>
        <w:rPr>
          <w:color w:val="000000" w:themeColor="text1"/>
        </w:rPr>
      </w:pPr>
      <w:r w:rsidRPr="00BF54EC">
        <w:rPr>
          <w:i/>
          <w:iCs/>
          <w:color w:val="000000" w:themeColor="text1"/>
        </w:rPr>
        <w:t>Guidance Documents</w:t>
      </w:r>
    </w:p>
    <w:p w:rsidR="00D6662E" w:rsidRPr="00D6662E" w:rsidP="00D6662E" w14:paraId="08D6C865" w14:textId="77777777">
      <w:pPr>
        <w:ind w:firstLine="720"/>
        <w:contextualSpacing/>
        <w:rPr>
          <w:color w:val="000000" w:themeColor="text1"/>
        </w:rPr>
      </w:pPr>
    </w:p>
    <w:p w:rsidR="007106E3" w:rsidP="007106E3" w14:paraId="1AE548B2" w14:textId="77777777">
      <w:pPr>
        <w:ind w:firstLine="720"/>
        <w:contextualSpacing/>
        <w:rPr>
          <w:color w:val="000000" w:themeColor="text1"/>
        </w:rPr>
      </w:pPr>
      <w:r w:rsidRPr="00BF54EC">
        <w:rPr>
          <w:color w:val="000000" w:themeColor="text1"/>
        </w:rPr>
        <w:t>Agency regulations in 21 CFR 601.29 complement our Good Guidance Practice regulations in 21 CFR 10.115 by providing for the issuance of guidance documents to assist respondents with applicable requirements in 21 CFR part 601.  We have issued the following guidance documents to assist respondents with activities covered by the information collection:</w:t>
      </w:r>
    </w:p>
    <w:p w:rsidR="00D6662E" w:rsidRPr="00BF54EC" w:rsidP="007106E3" w14:paraId="51899A6B" w14:textId="77777777">
      <w:pPr>
        <w:ind w:firstLine="720"/>
        <w:contextualSpacing/>
        <w:rPr>
          <w:color w:val="000000" w:themeColor="text1"/>
        </w:rPr>
      </w:pPr>
    </w:p>
    <w:p w:rsidR="007106E3" w:rsidRPr="00597725" w:rsidP="00597725" w14:paraId="6922A716" w14:textId="77777777">
      <w:pPr>
        <w:pStyle w:val="ListParagraph"/>
        <w:numPr>
          <w:ilvl w:val="0"/>
          <w:numId w:val="15"/>
        </w:numPr>
        <w:contextualSpacing/>
        <w:rPr>
          <w:color w:val="000000" w:themeColor="text1"/>
        </w:rPr>
      </w:pPr>
      <w:r w:rsidRPr="00597725">
        <w:rPr>
          <w:color w:val="000000" w:themeColor="text1"/>
        </w:rPr>
        <w:t>The guidance document “</w:t>
      </w:r>
      <w:r w:rsidRPr="00597725">
        <w:rPr>
          <w:i/>
          <w:iCs/>
          <w:color w:val="000000" w:themeColor="text1"/>
        </w:rPr>
        <w:t>Cooperative Manufacturing Arrangements for Licensed Biologics</w:t>
      </w:r>
      <w:r w:rsidRPr="00597725">
        <w:rPr>
          <w:color w:val="000000" w:themeColor="text1"/>
        </w:rPr>
        <w:t xml:space="preserve">,” (November 2008), available at </w:t>
      </w:r>
      <w:hyperlink r:id="rId5" w:history="1">
        <w:r w:rsidRPr="00597725">
          <w:rPr>
            <w:color w:val="0000FF"/>
            <w:u w:val="single"/>
          </w:rPr>
          <w:t>https://www.fda.gov/regulatory-information/search-fda-guidance-documents/cooperative-manufacturing-arrangements-licensed-biologics</w:t>
        </w:r>
      </w:hyperlink>
      <w:r w:rsidRPr="00597725">
        <w:rPr>
          <w:color w:val="000000" w:themeColor="text1"/>
        </w:rPr>
        <w:t xml:space="preserve">, discusses strategies for meeting an increased need for flexible manufacturing arrangements.  Since cooperative manufacturing arrangements can take a considerable amount of time to develop, the guidance is intended to be useful for </w:t>
      </w:r>
      <w:r w:rsidRPr="00597725">
        <w:rPr>
          <w:color w:val="000000" w:themeColor="text1"/>
        </w:rPr>
        <w:t>planning purposes in the early phases of product development. Many companies that perform only limited aspects of manufacturing processes are interested in sharing or contracting parts of manufacturing in order to facilitate product development and manufacturing flexibility.  The guidance document discusses recommended communication between licensed manufacturers and contract manufacturers regarding changes to production and facilities, results of tests and investigations regarding the product, types of products manufactured in the contract facility, and standard operating procedures.  We believe that the information collection provisions in the guidance do not create a new burden for respondents but incorporate reporting and recordkeeping provisions that are part of usual and customary business practices.</w:t>
      </w:r>
    </w:p>
    <w:p w:rsidR="00D6662E" w:rsidRPr="00BF54EC" w:rsidP="00597725" w14:paraId="439451C2" w14:textId="77777777">
      <w:pPr>
        <w:contextualSpacing/>
        <w:rPr>
          <w:color w:val="000000" w:themeColor="text1"/>
        </w:rPr>
      </w:pPr>
    </w:p>
    <w:p w:rsidR="007106E3" w:rsidRPr="00597725" w:rsidP="00597725" w14:paraId="7170D4D6" w14:textId="77777777">
      <w:pPr>
        <w:pStyle w:val="ListParagraph"/>
        <w:numPr>
          <w:ilvl w:val="0"/>
          <w:numId w:val="15"/>
        </w:numPr>
        <w:contextualSpacing/>
        <w:rPr>
          <w:color w:val="000000" w:themeColor="text1"/>
        </w:rPr>
      </w:pPr>
      <w:r w:rsidRPr="00597725">
        <w:rPr>
          <w:color w:val="000000" w:themeColor="text1"/>
        </w:rPr>
        <w:t>The guidance document entitled, “</w:t>
      </w:r>
      <w:r w:rsidRPr="0030045D">
        <w:rPr>
          <w:i/>
          <w:iCs/>
          <w:color w:val="000000" w:themeColor="text1"/>
        </w:rPr>
        <w:t>Voluntary Consensus Standards Recognition Program for Regenerative Medicine Therapies</w:t>
      </w:r>
      <w:r w:rsidRPr="00597725">
        <w:rPr>
          <w:color w:val="000000" w:themeColor="text1"/>
        </w:rPr>
        <w:t xml:space="preserve">” (October 2023), describes a standards recognition program for regenerative medicine therapies (SRP-RMT) designed to identify and recognize Voluntary Consensus Standards (VCS) to facilitate the development and assessment of regenerative medicine therapy (RMT) products when such standards are appropriate.  The guidance document also explains that any interested party may request recognition of a VCS.  The guidance document is available for download from our website at </w:t>
      </w:r>
      <w:hyperlink r:id="rId6" w:history="1">
        <w:r w:rsidRPr="00597725">
          <w:rPr>
            <w:color w:val="0000FF"/>
            <w:u w:val="single"/>
          </w:rPr>
          <w:t>https://www.fda.gov/regulatory-information/search-fda-guidance-documents/voluntary-consensus-standards-recognition-program-regenerative-medicine-therapies</w:t>
        </w:r>
      </w:hyperlink>
      <w:r w:rsidRPr="00597725">
        <w:rPr>
          <w:color w:val="000000" w:themeColor="text1"/>
        </w:rPr>
        <w:t xml:space="preserve">. </w:t>
      </w:r>
    </w:p>
    <w:p w:rsidR="00735CFE" w:rsidP="00735CFE" w14:paraId="263941B7" w14:textId="77777777">
      <w:pPr>
        <w:rPr>
          <w:rFonts w:eastAsia="Calibri"/>
        </w:rPr>
      </w:pPr>
    </w:p>
    <w:p w:rsidR="00562270" w:rsidRPr="00FE1D20" w:rsidP="003D6333" w14:paraId="413E1169" w14:textId="5F53E8A7">
      <w:pPr>
        <w:spacing w:after="240"/>
        <w:rPr>
          <w:color w:val="000000"/>
        </w:rPr>
      </w:pPr>
      <w:r>
        <w:rPr>
          <w:rFonts w:eastAsia="Calibri"/>
        </w:rPr>
        <w:t>We</w:t>
      </w:r>
      <w:r w:rsidRPr="00E21E06" w:rsidR="00E21E06">
        <w:rPr>
          <w:rFonts w:eastAsia="Calibri"/>
        </w:rPr>
        <w:t xml:space="preserve"> therefore </w:t>
      </w:r>
      <w:r w:rsidR="00087F67">
        <w:rPr>
          <w:rFonts w:eastAsia="Calibri"/>
        </w:rPr>
        <w:t xml:space="preserve">request </w:t>
      </w:r>
      <w:r w:rsidRPr="00E21E06" w:rsidR="00E21E06">
        <w:rPr>
          <w:rFonts w:eastAsia="Calibri"/>
        </w:rPr>
        <w:t xml:space="preserve">OMB approval of the </w:t>
      </w:r>
      <w:r w:rsidR="00FE1D20">
        <w:rPr>
          <w:rFonts w:eastAsia="Calibri"/>
        </w:rPr>
        <w:t>information collection</w:t>
      </w:r>
      <w:r w:rsidR="00087F67">
        <w:rPr>
          <w:rFonts w:eastAsia="Calibri"/>
        </w:rPr>
        <w:t>s</w:t>
      </w:r>
      <w:r w:rsidR="00FE1D20">
        <w:rPr>
          <w:rFonts w:eastAsia="Calibri"/>
        </w:rPr>
        <w:t xml:space="preserve"> associated with </w:t>
      </w:r>
      <w:r w:rsidR="00087F67">
        <w:rPr>
          <w:rFonts w:eastAsia="Calibri"/>
        </w:rPr>
        <w:t xml:space="preserve">BLAs, including </w:t>
      </w:r>
      <w:r w:rsidR="00E10DC8">
        <w:rPr>
          <w:rFonts w:eastAsia="Calibri"/>
        </w:rPr>
        <w:t xml:space="preserve">the referenced </w:t>
      </w:r>
      <w:r w:rsidR="00087F67">
        <w:rPr>
          <w:rFonts w:eastAsia="Calibri"/>
        </w:rPr>
        <w:t>agency</w:t>
      </w:r>
      <w:r w:rsidR="00366C22">
        <w:rPr>
          <w:rFonts w:eastAsia="Calibri"/>
        </w:rPr>
        <w:t xml:space="preserve"> forms and </w:t>
      </w:r>
      <w:r w:rsidR="0065264F">
        <w:rPr>
          <w:rFonts w:eastAsia="Calibri"/>
        </w:rPr>
        <w:t xml:space="preserve">the </w:t>
      </w:r>
      <w:r w:rsidR="00366C22">
        <w:rPr>
          <w:rFonts w:eastAsia="Calibri"/>
        </w:rPr>
        <w:t>associated guidance</w:t>
      </w:r>
      <w:r w:rsidR="00735CFE">
        <w:rPr>
          <w:rFonts w:eastAsia="Calibri"/>
        </w:rPr>
        <w:t xml:space="preserve">, as </w:t>
      </w:r>
      <w:r w:rsidR="00366C22">
        <w:rPr>
          <w:rFonts w:eastAsia="Calibri"/>
        </w:rPr>
        <w:t>discussed in this supporting statement.</w:t>
      </w:r>
    </w:p>
    <w:p w:rsidR="00357C8A" w:rsidRPr="00357C8A" w:rsidP="003D6333" w14:paraId="052ECF0D" w14:textId="77777777">
      <w:pPr>
        <w:numPr>
          <w:ilvl w:val="0"/>
          <w:numId w:val="6"/>
        </w:numPr>
        <w:spacing w:after="200"/>
        <w:rPr>
          <w:rFonts w:eastAsia="Calibri"/>
          <w:u w:val="single"/>
        </w:rPr>
      </w:pPr>
      <w:r w:rsidRPr="002A4168">
        <w:rPr>
          <w:rFonts w:eastAsia="Calibri"/>
          <w:u w:val="single"/>
        </w:rPr>
        <w:t>Purpose and Use of the</w:t>
      </w:r>
      <w:r w:rsidRPr="00357C8A">
        <w:rPr>
          <w:rFonts w:eastAsia="Calibri"/>
          <w:u w:val="single"/>
        </w:rPr>
        <w:t xml:space="preserve"> Information Collection </w:t>
      </w:r>
    </w:p>
    <w:p w:rsidR="00E21E06" w:rsidP="003D6333" w14:paraId="6FC9DA65" w14:textId="77777777">
      <w:pPr>
        <w:rPr>
          <w:rFonts w:eastAsia="Calibri"/>
        </w:rPr>
      </w:pPr>
      <w:r>
        <w:rPr>
          <w:rFonts w:eastAsia="Calibri"/>
        </w:rPr>
        <w:t xml:space="preserve">The information collection </w:t>
      </w:r>
      <w:r w:rsidR="008B4C17">
        <w:rPr>
          <w:rFonts w:eastAsia="Calibri"/>
        </w:rPr>
        <w:t xml:space="preserve">helps fulfill FDA’s mandate to promote and protect the public health.  </w:t>
      </w:r>
      <w:r w:rsidR="007E6D63">
        <w:rPr>
          <w:rFonts w:eastAsia="Calibri"/>
        </w:rPr>
        <w:t xml:space="preserve">Biological product sponsors and biological products not in </w:t>
      </w:r>
      <w:r w:rsidR="009C1FCD">
        <w:rPr>
          <w:rFonts w:eastAsia="Calibri"/>
        </w:rPr>
        <w:t xml:space="preserve">compliance </w:t>
      </w:r>
      <w:r w:rsidR="00E75D83">
        <w:rPr>
          <w:rFonts w:eastAsia="Calibri"/>
        </w:rPr>
        <w:t>with applicable requirements may be subject to enforcement action</w:t>
      </w:r>
      <w:r w:rsidR="009C1FCD">
        <w:rPr>
          <w:rFonts w:eastAsia="Calibri"/>
        </w:rPr>
        <w:t xml:space="preserve"> by the agency.</w:t>
      </w:r>
    </w:p>
    <w:p w:rsidR="00870548" w:rsidP="003D6333" w14:paraId="2DCC4922" w14:textId="77777777">
      <w:pPr>
        <w:rPr>
          <w:rFonts w:eastAsia="Calibri"/>
        </w:rPr>
      </w:pPr>
    </w:p>
    <w:p w:rsidR="00357C8A" w:rsidRPr="00E21E06" w:rsidP="003D6333" w14:paraId="111E5B52" w14:textId="77777777">
      <w:pPr>
        <w:numPr>
          <w:ilvl w:val="0"/>
          <w:numId w:val="6"/>
        </w:numPr>
        <w:rPr>
          <w:rFonts w:eastAsia="Calibri"/>
          <w:u w:val="single"/>
        </w:rPr>
      </w:pPr>
      <w:r w:rsidRPr="00E21E06">
        <w:rPr>
          <w:rFonts w:eastAsia="Calibri"/>
          <w:u w:val="single"/>
        </w:rPr>
        <w:t>Use of Improved Information Technology and Burden Reduction</w:t>
      </w:r>
    </w:p>
    <w:p w:rsidR="00870548" w:rsidP="003D6333" w14:paraId="54A21495" w14:textId="77777777">
      <w:pPr>
        <w:rPr>
          <w:rFonts w:eastAsia="Calibri"/>
        </w:rPr>
      </w:pPr>
    </w:p>
    <w:p w:rsidR="00C55836" w:rsidP="003D6333" w14:paraId="68FC7005" w14:textId="0F09A58F">
      <w:pPr>
        <w:rPr>
          <w:rFonts w:eastAsia="Calibri"/>
        </w:rPr>
      </w:pPr>
      <w:r>
        <w:rPr>
          <w:rFonts w:eastAsia="Calibri"/>
        </w:rPr>
        <w:t>We have developed and</w:t>
      </w:r>
      <w:r w:rsidR="001125BD">
        <w:rPr>
          <w:rFonts w:eastAsia="Calibri"/>
        </w:rPr>
        <w:t xml:space="preserve"> continue to</w:t>
      </w:r>
      <w:r>
        <w:rPr>
          <w:rFonts w:eastAsia="Calibri"/>
        </w:rPr>
        <w:t xml:space="preserve"> maintain the FDA-</w:t>
      </w:r>
      <w:r w:rsidRPr="00065F0A" w:rsidR="00065F0A">
        <w:rPr>
          <w:rFonts w:eastAsia="Calibri"/>
        </w:rPr>
        <w:t>Electronic Submissions Gateway (ESG) for accepting electronic regulatory submissions</w:t>
      </w:r>
      <w:r w:rsidR="007E1B20">
        <w:rPr>
          <w:rFonts w:eastAsia="Calibri"/>
        </w:rPr>
        <w:t>, including BLAs and associated information</w:t>
      </w:r>
      <w:r w:rsidRPr="00065F0A" w:rsidR="00065F0A">
        <w:rPr>
          <w:rFonts w:eastAsia="Calibri"/>
        </w:rPr>
        <w:t>. The FDA ESG is a highly scalable, easily available, high performance and secure exchange point for FDA and its partners to transact a variety of documents and submissions over industry-standard protocols.</w:t>
      </w:r>
      <w:r w:rsidR="008A2EBB">
        <w:rPr>
          <w:rFonts w:eastAsia="Calibri"/>
        </w:rPr>
        <w:t xml:space="preserve">    </w:t>
      </w:r>
      <w:r w:rsidRPr="00065F0A" w:rsidR="00065F0A">
        <w:rPr>
          <w:rFonts w:eastAsia="Calibri"/>
        </w:rPr>
        <w:t>The FDA ESG enables the secure submission of premarket and postmarket regulatory information for review</w:t>
      </w:r>
      <w:r w:rsidR="006D3E87">
        <w:rPr>
          <w:rFonts w:eastAsia="Calibri"/>
        </w:rPr>
        <w:t xml:space="preserve">, </w:t>
      </w:r>
      <w:r w:rsidRPr="00065F0A" w:rsidR="00065F0A">
        <w:rPr>
          <w:rFonts w:eastAsia="Calibri"/>
        </w:rPr>
        <w:t>functioning as a single point of entry for receiving and processing all electronic submissions in a highly secure environment.</w:t>
      </w:r>
      <w:r w:rsidR="00A92442">
        <w:rPr>
          <w:rFonts w:eastAsia="Calibri"/>
        </w:rPr>
        <w:t xml:space="preserve">  </w:t>
      </w:r>
      <w:r w:rsidRPr="00065F0A" w:rsidR="00065F0A">
        <w:rPr>
          <w:rFonts w:eastAsia="Calibri"/>
        </w:rPr>
        <w:t>The FDA ESG complies with secure Hypertext Transfer Protocol (HTTP) messaging standards and uses digital certificates for secure communication.</w:t>
      </w:r>
      <w:r w:rsidR="00A1689C">
        <w:rPr>
          <w:rFonts w:eastAsia="Calibri"/>
        </w:rPr>
        <w:t xml:space="preserve">  </w:t>
      </w:r>
      <w:r w:rsidRPr="00065F0A" w:rsidR="00065F0A">
        <w:rPr>
          <w:rFonts w:eastAsia="Calibri"/>
        </w:rPr>
        <w:t>The electronic submission process encompasses the receipt, acknowledgment of receipt (to the sender), routing and notification (to a receiving Center or Office) of the delivery of an electronic submission</w:t>
      </w:r>
      <w:r w:rsidR="00870591">
        <w:rPr>
          <w:rFonts w:eastAsia="Calibri"/>
        </w:rPr>
        <w:t>.</w:t>
      </w:r>
    </w:p>
    <w:p w:rsidR="00C55836" w:rsidP="003D6333" w14:paraId="37624C21" w14:textId="77777777">
      <w:pPr>
        <w:rPr>
          <w:rFonts w:eastAsia="Calibri"/>
        </w:rPr>
      </w:pPr>
    </w:p>
    <w:p w:rsidR="00A1689C" w:rsidP="003D6333" w14:paraId="510F5F6F" w14:textId="77777777">
      <w:pPr>
        <w:rPr>
          <w:rFonts w:eastAsia="Calibri"/>
        </w:rPr>
      </w:pPr>
      <w:r>
        <w:rPr>
          <w:rFonts w:eastAsia="Calibri"/>
        </w:rPr>
        <w:t xml:space="preserve">We are </w:t>
      </w:r>
      <w:r w:rsidRPr="00E21E06" w:rsidR="00E21E06">
        <w:rPr>
          <w:rFonts w:eastAsia="Calibri"/>
        </w:rPr>
        <w:t>not aware of any other improved technology to reduce the burden.</w:t>
      </w:r>
      <w:r w:rsidRPr="006D3E87" w:rsidR="006D3E87">
        <w:t xml:space="preserve"> </w:t>
      </w:r>
      <w:r w:rsidRPr="006D3E87" w:rsidR="006D3E87">
        <w:rPr>
          <w:rFonts w:eastAsia="Calibri"/>
        </w:rPr>
        <w:t xml:space="preserve">We have issued agency guidance regarding technical specifications </w:t>
      </w:r>
      <w:r>
        <w:rPr>
          <w:rFonts w:eastAsia="Calibri"/>
        </w:rPr>
        <w:t xml:space="preserve">applicable to </w:t>
      </w:r>
      <w:r w:rsidRPr="006D3E87" w:rsidR="006D3E87">
        <w:rPr>
          <w:rFonts w:eastAsia="Calibri"/>
        </w:rPr>
        <w:t>certain submissions</w:t>
      </w:r>
      <w:r w:rsidR="00CB3E55">
        <w:rPr>
          <w:rFonts w:eastAsia="Calibri"/>
        </w:rPr>
        <w:t>, consistent with our Good Guidance Practice regulations in 21 CFR</w:t>
      </w:r>
      <w:r w:rsidR="0089394D">
        <w:rPr>
          <w:rFonts w:eastAsia="Calibri"/>
        </w:rPr>
        <w:t xml:space="preserve"> 10.115, which provides for public comment at any time</w:t>
      </w:r>
      <w:r w:rsidRPr="006D3E87" w:rsidR="006D3E87">
        <w:rPr>
          <w:rFonts w:eastAsia="Calibri"/>
        </w:rPr>
        <w:t>.</w:t>
      </w:r>
      <w:r>
        <w:rPr>
          <w:rFonts w:eastAsia="Calibri"/>
        </w:rPr>
        <w:t xml:space="preserve">  A</w:t>
      </w:r>
      <w:r w:rsidR="00097352">
        <w:rPr>
          <w:rFonts w:eastAsia="Calibri"/>
        </w:rPr>
        <w:t>lso, a</w:t>
      </w:r>
      <w:r>
        <w:rPr>
          <w:rFonts w:eastAsia="Calibri"/>
        </w:rPr>
        <w:t>gency regulations pertaining to electronic records and electronic signatures are found in 21 CFR part 11, with corresponding information collection activities approved in OMB control no. 0910-0303</w:t>
      </w:r>
      <w:r w:rsidR="00D54BB3">
        <w:rPr>
          <w:rFonts w:eastAsia="Calibri"/>
        </w:rPr>
        <w:t>.</w:t>
      </w:r>
    </w:p>
    <w:p w:rsidR="00870548" w:rsidP="003D6333" w14:paraId="55CD102C" w14:textId="77777777">
      <w:pPr>
        <w:rPr>
          <w:rFonts w:eastAsia="Calibri"/>
        </w:rPr>
      </w:pPr>
    </w:p>
    <w:p w:rsidR="00357C8A" w:rsidRPr="00E21E06" w:rsidP="003D6333" w14:paraId="36F24293" w14:textId="77777777">
      <w:pPr>
        <w:numPr>
          <w:ilvl w:val="0"/>
          <w:numId w:val="6"/>
        </w:numPr>
        <w:spacing w:after="200"/>
        <w:rPr>
          <w:rFonts w:eastAsia="Calibri"/>
        </w:rPr>
      </w:pPr>
      <w:r w:rsidRPr="00E21E06">
        <w:rPr>
          <w:rFonts w:eastAsia="Calibri"/>
          <w:u w:val="single"/>
        </w:rPr>
        <w:t xml:space="preserve">Efforts to Identify Duplication and Use of Similar Information </w:t>
      </w:r>
    </w:p>
    <w:p w:rsidR="00357C8A" w:rsidRPr="00E21E06" w:rsidP="003D6333" w14:paraId="06F0CC09" w14:textId="77777777">
      <w:pPr>
        <w:spacing w:after="200"/>
      </w:pPr>
      <w:bookmarkStart w:id="0" w:name="_Hlk124791115"/>
      <w:r w:rsidRPr="00E21E06">
        <w:t>We are unaware of duplicative information collection.</w:t>
      </w:r>
      <w:r w:rsidR="00C55836">
        <w:t xml:space="preserve">  </w:t>
      </w:r>
      <w:r w:rsidR="00BE1D45">
        <w:t xml:space="preserve">We acknowledge </w:t>
      </w:r>
      <w:r w:rsidR="00494CC6">
        <w:t xml:space="preserve">that </w:t>
      </w:r>
      <w:r w:rsidR="009D4CCF">
        <w:t xml:space="preserve">general </w:t>
      </w:r>
      <w:r w:rsidR="00D950DE">
        <w:t xml:space="preserve">provisions </w:t>
      </w:r>
      <w:r w:rsidR="00B717DA">
        <w:t xml:space="preserve">of </w:t>
      </w:r>
      <w:r w:rsidR="00D950DE">
        <w:t xml:space="preserve">21 CFR part 600 </w:t>
      </w:r>
      <w:r w:rsidR="00494CC6">
        <w:t xml:space="preserve">may </w:t>
      </w:r>
      <w:r w:rsidR="00032A5D">
        <w:t xml:space="preserve">have applicability in </w:t>
      </w:r>
      <w:r w:rsidR="005A62C5">
        <w:t>other</w:t>
      </w:r>
      <w:r w:rsidR="00BC7397">
        <w:t xml:space="preserve"> </w:t>
      </w:r>
      <w:r w:rsidR="003A6543">
        <w:t xml:space="preserve">currently approved </w:t>
      </w:r>
      <w:r w:rsidR="00BC7397">
        <w:t>information collection</w:t>
      </w:r>
      <w:r w:rsidR="00494CC6">
        <w:t>s</w:t>
      </w:r>
      <w:r w:rsidR="0072529C">
        <w:t xml:space="preserve"> </w:t>
      </w:r>
      <w:r w:rsidR="00EE556D">
        <w:t xml:space="preserve">noting, for example, </w:t>
      </w:r>
      <w:r w:rsidR="00AE1D0C">
        <w:t xml:space="preserve">that information collection pertaining to </w:t>
      </w:r>
      <w:r w:rsidR="00B03AD6">
        <w:t>records and postmarket reporting</w:t>
      </w:r>
      <w:r w:rsidR="008E6E4A">
        <w:t xml:space="preserve"> for biologic products is </w:t>
      </w:r>
      <w:r w:rsidR="00BC7397">
        <w:t>currently approved</w:t>
      </w:r>
      <w:r w:rsidR="00E73C12">
        <w:t xml:space="preserve"> </w:t>
      </w:r>
      <w:r w:rsidR="008E6E4A">
        <w:t xml:space="preserve">in </w:t>
      </w:r>
      <w:r w:rsidR="00E73C12">
        <w:t xml:space="preserve">control no. </w:t>
      </w:r>
      <w:r w:rsidR="00FF4E6B">
        <w:t>0910-</w:t>
      </w:r>
      <w:r w:rsidR="007C07AC">
        <w:t>0308</w:t>
      </w:r>
      <w:r w:rsidR="008E6E4A">
        <w:t xml:space="preserve">; information collection pertaining to </w:t>
      </w:r>
      <w:r w:rsidR="00C640E1">
        <w:t>a</w:t>
      </w:r>
      <w:r w:rsidR="006F4414">
        <w:t xml:space="preserve">dverse </w:t>
      </w:r>
      <w:r w:rsidR="00C640E1">
        <w:t>e</w:t>
      </w:r>
      <w:r w:rsidR="006F4414">
        <w:t xml:space="preserve">vent </w:t>
      </w:r>
      <w:r w:rsidR="00C640E1">
        <w:t>r</w:t>
      </w:r>
      <w:r w:rsidR="006F4414">
        <w:t>eporting</w:t>
      </w:r>
      <w:r w:rsidR="00D22BD6">
        <w:t xml:space="preserve"> generally</w:t>
      </w:r>
      <w:r w:rsidR="006F4414">
        <w:t xml:space="preserve"> and FDA’s MedWatch Program (consumer reporting)</w:t>
      </w:r>
      <w:r w:rsidR="008E6E4A">
        <w:t xml:space="preserve"> is currently approved in control no. 0910-0</w:t>
      </w:r>
      <w:r w:rsidR="00DD07BD">
        <w:t xml:space="preserve">291; information collection pertaining to postmarket adverse drug experience reporting </w:t>
      </w:r>
      <w:r w:rsidR="00912008">
        <w:t xml:space="preserve">is approved in control no. </w:t>
      </w:r>
      <w:r w:rsidR="003F3B6E">
        <w:t>0910-0230</w:t>
      </w:r>
      <w:r w:rsidR="00C640E1">
        <w:t xml:space="preserve"> (postmarket adverse drug experience reporting); and </w:t>
      </w:r>
      <w:r w:rsidR="00D22BD6">
        <w:t xml:space="preserve">potentially other approved collections established for </w:t>
      </w:r>
      <w:r w:rsidR="006F63A4">
        <w:t>information collection associated with the adverse experience of any FDA-regulated product.</w:t>
      </w:r>
    </w:p>
    <w:bookmarkEnd w:id="0"/>
    <w:p w:rsidR="00357C8A" w:rsidRPr="00E21E06" w:rsidP="003D6333" w14:paraId="5ED02572" w14:textId="77777777">
      <w:pPr>
        <w:numPr>
          <w:ilvl w:val="0"/>
          <w:numId w:val="6"/>
        </w:numPr>
        <w:spacing w:after="200"/>
        <w:rPr>
          <w:rFonts w:eastAsia="Calibri"/>
        </w:rPr>
      </w:pPr>
      <w:r w:rsidRPr="00E21E06">
        <w:rPr>
          <w:rFonts w:eastAsia="Calibri"/>
          <w:u w:val="single"/>
        </w:rPr>
        <w:t>Impact on Small Businesses or Other Small Entities</w:t>
      </w:r>
    </w:p>
    <w:p w:rsidR="00357C8A" w:rsidRPr="00E21E06" w:rsidP="003D6333" w14:paraId="72397EBF" w14:textId="77777777">
      <w:pPr>
        <w:spacing w:after="200"/>
        <w:rPr>
          <w:rFonts w:eastAsia="Calibri"/>
        </w:rPr>
      </w:pPr>
      <w:r>
        <w:rPr>
          <w:rFonts w:eastAsia="Calibri"/>
        </w:rPr>
        <w:t>We do not believe the information collection imposes undue burden on small entities</w:t>
      </w:r>
      <w:r w:rsidRPr="00870548" w:rsidR="00870548">
        <w:rPr>
          <w:rFonts w:eastAsia="Calibri"/>
        </w:rPr>
        <w:t>.</w:t>
      </w:r>
    </w:p>
    <w:p w:rsidR="00357C8A" w:rsidRPr="00E21E06" w:rsidP="003D6333" w14:paraId="22C05AA7" w14:textId="77777777">
      <w:pPr>
        <w:numPr>
          <w:ilvl w:val="0"/>
          <w:numId w:val="6"/>
        </w:numPr>
        <w:spacing w:after="200"/>
        <w:rPr>
          <w:rFonts w:eastAsia="Calibri"/>
          <w:u w:val="single"/>
        </w:rPr>
      </w:pPr>
      <w:r w:rsidRPr="00E21E06">
        <w:rPr>
          <w:rFonts w:eastAsia="Calibri"/>
          <w:u w:val="single"/>
        </w:rPr>
        <w:t>Consequences of Collecting the Information Less Frequently</w:t>
      </w:r>
    </w:p>
    <w:p w:rsidR="00562270" w:rsidP="003D6333" w14:paraId="4862767C" w14:textId="77777777">
      <w:pPr>
        <w:spacing w:after="200"/>
        <w:rPr>
          <w:rFonts w:eastAsia="Calibri"/>
        </w:rPr>
      </w:pPr>
      <w:r>
        <w:rPr>
          <w:rFonts w:eastAsia="Calibri"/>
        </w:rPr>
        <w:t xml:space="preserve">The information collection schedule is consistent with statutory and regulatory requirements. </w:t>
      </w:r>
      <w:r w:rsidRPr="00870548" w:rsidR="00870548">
        <w:rPr>
          <w:rFonts w:eastAsia="Calibri"/>
        </w:rPr>
        <w:t>There are no technical or legal obstacles to reducing the burden.</w:t>
      </w:r>
    </w:p>
    <w:p w:rsidR="00357C8A" w:rsidRPr="00E21E06" w:rsidP="003D6333" w14:paraId="04684745" w14:textId="77777777">
      <w:pPr>
        <w:numPr>
          <w:ilvl w:val="0"/>
          <w:numId w:val="6"/>
        </w:numPr>
        <w:spacing w:after="200"/>
        <w:rPr>
          <w:rFonts w:eastAsia="Calibri"/>
        </w:rPr>
      </w:pPr>
      <w:r w:rsidRPr="00E21E06">
        <w:rPr>
          <w:rFonts w:eastAsia="Calibri"/>
          <w:u w:val="single"/>
        </w:rPr>
        <w:t>Special Circumstances Relating to the Guidelines of 5 CFR 1320.5</w:t>
      </w:r>
    </w:p>
    <w:p w:rsidR="00870548" w:rsidP="003D6333" w14:paraId="2F82DBD6" w14:textId="77777777">
      <w:pPr>
        <w:spacing w:after="200"/>
        <w:rPr>
          <w:rFonts w:eastAsia="Calibri"/>
        </w:rPr>
      </w:pPr>
      <w:r w:rsidRPr="00870548">
        <w:rPr>
          <w:rFonts w:eastAsia="Calibri"/>
        </w:rPr>
        <w:t>An applicant may be required to submit to FDA proprietary trade secret or other confidential information when submitting a license application, change to an approved application, or an annual report. FDA protects confidential information received from manufacturers to the extent permitted by law. In addition, certain changes to an approved application are required to be submitted each time a change is made. This information is necessary for FDA to ensure that the proposed changes do not have an adverse effect on the strength, quality, purity, or potency as they may relate to the safety and effectiveness of a product.</w:t>
      </w:r>
    </w:p>
    <w:p w:rsidR="00357C8A" w:rsidRPr="00E21E06" w:rsidP="003D6333" w14:paraId="4A387C4E" w14:textId="77777777">
      <w:pPr>
        <w:numPr>
          <w:ilvl w:val="0"/>
          <w:numId w:val="6"/>
        </w:numPr>
        <w:spacing w:after="200"/>
        <w:rPr>
          <w:rFonts w:eastAsia="Calibri"/>
        </w:rPr>
      </w:pPr>
      <w:r w:rsidRPr="00E21E06">
        <w:rPr>
          <w:rFonts w:eastAsia="Calibri"/>
          <w:u w:val="single"/>
        </w:rPr>
        <w:t>Comments in Response to the Federal Register Notice and Efforts to Consult Outside the Agency</w:t>
      </w:r>
    </w:p>
    <w:p w:rsidR="00357C8A" w:rsidRPr="00E21E06" w:rsidP="003D6333" w14:paraId="740594D3" w14:textId="755E0978">
      <w:pPr>
        <w:spacing w:after="200"/>
        <w:rPr>
          <w:rFonts w:eastAsia="Calibri"/>
        </w:rPr>
      </w:pPr>
      <w:r w:rsidRPr="00870548">
        <w:rPr>
          <w:rFonts w:eastAsia="Calibri"/>
        </w:rPr>
        <w:t xml:space="preserve">In accordance with 5 CFR 1320.8(d), FDA published a 60-day notice for public comment in the </w:t>
      </w:r>
      <w:r w:rsidRPr="00E21E06" w:rsidR="00DC24DC">
        <w:rPr>
          <w:rFonts w:eastAsia="Calibri"/>
          <w:i/>
        </w:rPr>
        <w:t>Federal Register</w:t>
      </w:r>
      <w:r w:rsidRPr="00E21E06" w:rsidR="00DC24DC">
        <w:rPr>
          <w:rFonts w:eastAsia="Calibri"/>
        </w:rPr>
        <w:t xml:space="preserve"> of</w:t>
      </w:r>
      <w:r w:rsidR="00CC78AA">
        <w:rPr>
          <w:rFonts w:eastAsia="Calibri"/>
        </w:rPr>
        <w:t xml:space="preserve"> July 6, 2026 (91 FR 41406)</w:t>
      </w:r>
      <w:r w:rsidRPr="00870548">
        <w:rPr>
          <w:rFonts w:eastAsia="Calibri"/>
        </w:rPr>
        <w:t xml:space="preserve">. </w:t>
      </w:r>
      <w:r w:rsidR="00DC24DC">
        <w:rPr>
          <w:rFonts w:eastAsia="Calibri"/>
        </w:rPr>
        <w:t xml:space="preserve"> </w:t>
      </w:r>
      <w:r w:rsidRPr="00870548">
        <w:rPr>
          <w:rFonts w:eastAsia="Calibri"/>
        </w:rPr>
        <w:t>No comments were received.</w:t>
      </w:r>
    </w:p>
    <w:p w:rsidR="00FF56EB" w14:paraId="677129BE" w14:textId="77777777">
      <w:pPr>
        <w:rPr>
          <w:rFonts w:eastAsia="Calibri"/>
          <w:u w:val="single"/>
        </w:rPr>
      </w:pPr>
      <w:r>
        <w:rPr>
          <w:rFonts w:eastAsia="Calibri"/>
          <w:u w:val="single"/>
        </w:rPr>
        <w:br w:type="page"/>
      </w:r>
    </w:p>
    <w:p w:rsidR="00357C8A" w:rsidRPr="00E21E06" w:rsidP="003D6333" w14:paraId="152B505A" w14:textId="35E68460">
      <w:pPr>
        <w:numPr>
          <w:ilvl w:val="0"/>
          <w:numId w:val="6"/>
        </w:numPr>
        <w:spacing w:after="200"/>
        <w:rPr>
          <w:rFonts w:eastAsia="Calibri"/>
        </w:rPr>
      </w:pPr>
      <w:r w:rsidRPr="00E21E06">
        <w:rPr>
          <w:rFonts w:eastAsia="Calibri"/>
          <w:u w:val="single"/>
        </w:rPr>
        <w:t>Explanation of Any Payment or Gift to Respondents</w:t>
      </w:r>
    </w:p>
    <w:p w:rsidR="00357C8A" w:rsidRPr="00DC24DC" w:rsidP="003D6333" w14:paraId="39B63D2D" w14:textId="77777777">
      <w:pPr>
        <w:spacing w:after="200"/>
        <w:rPr>
          <w:rFonts w:eastAsia="Calibri"/>
          <w:iCs/>
        </w:rPr>
      </w:pPr>
      <w:r w:rsidRPr="00E21E06">
        <w:rPr>
          <w:rFonts w:eastAsia="Calibri"/>
        </w:rPr>
        <w:t>There are no incentives, payments or gifts associated with this information collection</w:t>
      </w:r>
      <w:r w:rsidR="00DC24DC">
        <w:rPr>
          <w:rFonts w:eastAsia="Calibri"/>
        </w:rPr>
        <w:t>.</w:t>
      </w:r>
    </w:p>
    <w:p w:rsidR="00E148E2" w:rsidRPr="001F3738" w:rsidP="003D6333" w14:paraId="1F55AED5" w14:textId="77777777">
      <w:pPr>
        <w:numPr>
          <w:ilvl w:val="0"/>
          <w:numId w:val="6"/>
        </w:numPr>
        <w:spacing w:after="200"/>
        <w:rPr>
          <w:rFonts w:eastAsia="Calibri"/>
        </w:rPr>
      </w:pPr>
      <w:r w:rsidRPr="00E21E06">
        <w:rPr>
          <w:rFonts w:eastAsia="Calibri"/>
          <w:u w:val="single"/>
        </w:rPr>
        <w:t>Assurance of Confidentiality Provided to Respondents</w:t>
      </w:r>
    </w:p>
    <w:p w:rsidR="001F3738" w:rsidP="003D6333" w14:paraId="3520DFCC" w14:textId="77777777">
      <w:pPr>
        <w:rPr>
          <w:rFonts w:eastAsia="Calibri"/>
        </w:rPr>
      </w:pPr>
      <w:r w:rsidRPr="0020337B">
        <w:rPr>
          <w:rFonts w:eastAsia="Calibri"/>
          <w:i/>
          <w:iCs/>
        </w:rPr>
        <w:t>The Privacy Act of 1974</w:t>
      </w:r>
      <w:r>
        <w:rPr>
          <w:rFonts w:eastAsia="Calibri"/>
        </w:rPr>
        <w:t xml:space="preserve"> </w:t>
      </w:r>
    </w:p>
    <w:p w:rsidR="001F3738" w:rsidP="003D6333" w14:paraId="49365459" w14:textId="77777777">
      <w:pPr>
        <w:rPr>
          <w:rFonts w:eastAsia="Calibri"/>
        </w:rPr>
      </w:pPr>
    </w:p>
    <w:p w:rsidR="00DC24DC" w:rsidRPr="001F3738" w:rsidP="003D6333" w14:paraId="444EBFDC" w14:textId="26303F9C">
      <w:pPr>
        <w:rPr>
          <w:rFonts w:eastAsia="Calibri"/>
          <w:i/>
          <w:iCs/>
        </w:rPr>
      </w:pPr>
      <w:r w:rsidRPr="00DC24DC">
        <w:rPr>
          <w:rFonts w:eastAsia="Calibri"/>
        </w:rPr>
        <w:t xml:space="preserve">In preparing this </w:t>
      </w:r>
      <w:r w:rsidR="00E148E2">
        <w:rPr>
          <w:rFonts w:eastAsia="Calibri"/>
        </w:rPr>
        <w:t>s</w:t>
      </w:r>
      <w:r w:rsidRPr="00DC24DC">
        <w:rPr>
          <w:rFonts w:eastAsia="Calibri"/>
        </w:rPr>
        <w:t xml:space="preserve">upporting </w:t>
      </w:r>
      <w:r w:rsidR="00E148E2">
        <w:rPr>
          <w:rFonts w:eastAsia="Calibri"/>
        </w:rPr>
        <w:t>s</w:t>
      </w:r>
      <w:r w:rsidRPr="00DC24DC">
        <w:rPr>
          <w:rFonts w:eastAsia="Calibri"/>
        </w:rPr>
        <w:t>tatement, we consulted our Privacy Office to ensure appropriate identification and handling of information collected.</w:t>
      </w:r>
      <w:r w:rsidR="00E148E2">
        <w:rPr>
          <w:rFonts w:eastAsia="Calibri"/>
        </w:rPr>
        <w:t xml:space="preserve">  Although this </w:t>
      </w:r>
      <w:r w:rsidRPr="00DC24DC">
        <w:rPr>
          <w:rFonts w:eastAsia="Calibri"/>
        </w:rPr>
        <w:t>ICR collects personally identifiable information (PII)</w:t>
      </w:r>
      <w:r w:rsidR="00E148E2">
        <w:rPr>
          <w:rFonts w:eastAsia="Calibri"/>
        </w:rPr>
        <w:t xml:space="preserve">, it </w:t>
      </w:r>
      <w:r w:rsidRPr="00DC24DC">
        <w:rPr>
          <w:rFonts w:eastAsia="Calibri"/>
        </w:rPr>
        <w:t>is collected in the context of the subject individuals’ professional capacity and the FDA-related work perform</w:t>
      </w:r>
      <w:r w:rsidR="0035297A">
        <w:rPr>
          <w:rFonts w:eastAsia="Calibri"/>
        </w:rPr>
        <w:t>ed</w:t>
      </w:r>
      <w:r w:rsidRPr="00DC24DC">
        <w:rPr>
          <w:rFonts w:eastAsia="Calibri"/>
        </w:rPr>
        <w:t xml:space="preserve"> for their employer (e.g., point of contact at a regulated entity).</w:t>
      </w:r>
      <w:r w:rsidR="00D34BE7">
        <w:rPr>
          <w:rFonts w:eastAsia="Calibri"/>
        </w:rPr>
        <w:t xml:space="preserve">  The </w:t>
      </w:r>
      <w:r w:rsidR="00125521">
        <w:rPr>
          <w:rFonts w:eastAsia="Calibri"/>
        </w:rPr>
        <w:t xml:space="preserve">PII </w:t>
      </w:r>
      <w:r w:rsidR="00871BD2">
        <w:rPr>
          <w:rFonts w:eastAsia="Calibri"/>
        </w:rPr>
        <w:t>is</w:t>
      </w:r>
      <w:r w:rsidR="00D93A39">
        <w:rPr>
          <w:rFonts w:eastAsia="Calibri"/>
        </w:rPr>
        <w:t xml:space="preserve"> collected</w:t>
      </w:r>
      <w:r w:rsidRPr="00DC24DC">
        <w:rPr>
          <w:rFonts w:eastAsia="Calibri"/>
        </w:rPr>
        <w:t xml:space="preserve"> </w:t>
      </w:r>
      <w:r w:rsidR="00D93A39">
        <w:rPr>
          <w:rFonts w:eastAsia="Calibri"/>
        </w:rPr>
        <w:t xml:space="preserve">using </w:t>
      </w:r>
      <w:r w:rsidRPr="00DC24DC">
        <w:rPr>
          <w:rFonts w:eastAsia="Calibri"/>
        </w:rPr>
        <w:t>the Electronic Submission Gateway</w:t>
      </w:r>
      <w:r w:rsidR="00871BD2">
        <w:rPr>
          <w:rFonts w:eastAsia="Calibri"/>
        </w:rPr>
        <w:t xml:space="preserve"> </w:t>
      </w:r>
      <w:r w:rsidR="00D93A39">
        <w:rPr>
          <w:rFonts w:eastAsia="Calibri"/>
        </w:rPr>
        <w:t xml:space="preserve">through </w:t>
      </w:r>
      <w:r w:rsidR="00871BD2">
        <w:rPr>
          <w:rFonts w:eastAsia="Calibri"/>
        </w:rPr>
        <w:t xml:space="preserve">which users must </w:t>
      </w:r>
      <w:r w:rsidR="001132BD">
        <w:rPr>
          <w:rFonts w:eastAsia="Calibri"/>
        </w:rPr>
        <w:t xml:space="preserve">establish and </w:t>
      </w:r>
      <w:r w:rsidR="00D93A39">
        <w:rPr>
          <w:rFonts w:eastAsia="Calibri"/>
        </w:rPr>
        <w:t xml:space="preserve">maintain a </w:t>
      </w:r>
      <w:r w:rsidRPr="00DC24DC">
        <w:rPr>
          <w:rFonts w:eastAsia="Calibri"/>
        </w:rPr>
        <w:t>username and password.</w:t>
      </w:r>
      <w:r w:rsidR="00D34BE7">
        <w:rPr>
          <w:rFonts w:eastAsia="Calibri"/>
        </w:rPr>
        <w:t xml:space="preserve">  We have </w:t>
      </w:r>
      <w:r w:rsidRPr="00DC24DC" w:rsidR="002867BE">
        <w:rPr>
          <w:rFonts w:eastAsia="Calibri"/>
        </w:rPr>
        <w:t>determined,</w:t>
      </w:r>
      <w:r w:rsidR="007C63F1">
        <w:rPr>
          <w:rFonts w:eastAsia="Calibri"/>
        </w:rPr>
        <w:t xml:space="preserve"> however,</w:t>
      </w:r>
      <w:r w:rsidRPr="00DC24DC">
        <w:rPr>
          <w:rFonts w:eastAsia="Calibri"/>
        </w:rPr>
        <w:t xml:space="preserve"> that although PII is collected, the collection is not subject to the Privacy Act of 1974 and the particular notice and other requirements of the </w:t>
      </w:r>
      <w:r w:rsidR="007C63F1">
        <w:rPr>
          <w:rFonts w:eastAsia="Calibri"/>
        </w:rPr>
        <w:t xml:space="preserve">Privacy </w:t>
      </w:r>
      <w:r w:rsidRPr="00DC24DC">
        <w:rPr>
          <w:rFonts w:eastAsia="Calibri"/>
        </w:rPr>
        <w:t>Act do not apply.</w:t>
      </w:r>
      <w:r w:rsidR="007C63F1">
        <w:rPr>
          <w:rFonts w:eastAsia="Calibri"/>
        </w:rPr>
        <w:t xml:space="preserve">  </w:t>
      </w:r>
      <w:r w:rsidRPr="00DC24DC">
        <w:rPr>
          <w:rFonts w:eastAsia="Calibri"/>
        </w:rPr>
        <w:t>Specifically, FDA does not use name or any other personal identifier to retrieve records from the information collected.</w:t>
      </w:r>
      <w:r w:rsidR="007C63F1">
        <w:rPr>
          <w:rFonts w:eastAsia="Calibri"/>
        </w:rPr>
        <w:t xml:space="preserve">  </w:t>
      </w:r>
      <w:r w:rsidRPr="00DC24DC">
        <w:rPr>
          <w:rFonts w:eastAsia="Calibri"/>
        </w:rPr>
        <w:t>Through appropriate form and webpage design, FDA limited submission fields and minimized the PII collected to protect the privacy of the individuals.</w:t>
      </w:r>
    </w:p>
    <w:p w:rsidR="007C63F1" w:rsidP="003D6333" w14:paraId="1C23397C" w14:textId="77777777">
      <w:pPr>
        <w:rPr>
          <w:rFonts w:eastAsia="Calibri"/>
        </w:rPr>
      </w:pPr>
    </w:p>
    <w:p w:rsidR="007C63F1" w:rsidRPr="007C63F1" w:rsidP="003D6333" w14:paraId="0E61065E" w14:textId="77777777">
      <w:pPr>
        <w:rPr>
          <w:rFonts w:eastAsia="Calibri"/>
          <w:i/>
          <w:iCs/>
        </w:rPr>
      </w:pPr>
      <w:r w:rsidRPr="007C63F1">
        <w:rPr>
          <w:rFonts w:eastAsia="Calibri"/>
          <w:i/>
          <w:iCs/>
        </w:rPr>
        <w:t>The Freedom of Information Act</w:t>
      </w:r>
    </w:p>
    <w:p w:rsidR="00DC24DC" w:rsidRPr="00DC24DC" w:rsidP="003D6333" w14:paraId="3B3E0017" w14:textId="77777777">
      <w:pPr>
        <w:rPr>
          <w:rFonts w:eastAsia="Calibri"/>
        </w:rPr>
      </w:pPr>
    </w:p>
    <w:p w:rsidR="00562270" w:rsidRPr="00E21E06" w:rsidP="003D6333" w14:paraId="5496582F" w14:textId="77777777">
      <w:pPr>
        <w:rPr>
          <w:rFonts w:eastAsia="Calibri"/>
        </w:rPr>
      </w:pPr>
      <w:r w:rsidRPr="00DC24DC">
        <w:rPr>
          <w:rFonts w:eastAsia="Calibri"/>
        </w:rPr>
        <w:t>Under the Freedom of Information Act (FOIA) (5 U.S.C. 552), the public has broad access to government documents. However, FOIA provides certain exemptions from mandatory public disclosure of government records (5 U.S.C. 552(b)(1-9)).</w:t>
      </w:r>
      <w:r w:rsidR="007C63F1">
        <w:rPr>
          <w:rFonts w:eastAsia="Calibri"/>
        </w:rPr>
        <w:t xml:space="preserve">  </w:t>
      </w:r>
      <w:r w:rsidRPr="00DC24DC">
        <w:rPr>
          <w:rFonts w:eastAsia="Calibri"/>
        </w:rPr>
        <w:t>FDA will make the fullest possible disclosure of records to the public, consistent with the rights of individuals to privacy, the property rights of persons in trade and confidential commercial or financial information.</w:t>
      </w:r>
    </w:p>
    <w:p w:rsidR="001075D3" w:rsidRPr="00E21E06" w:rsidP="003D6333" w14:paraId="26C1D725" w14:textId="77777777">
      <w:pPr>
        <w:ind w:left="720"/>
      </w:pPr>
    </w:p>
    <w:p w:rsidR="00357C8A" w:rsidRPr="00E21E06" w:rsidP="003D6333" w14:paraId="756778A3" w14:textId="77777777">
      <w:pPr>
        <w:numPr>
          <w:ilvl w:val="0"/>
          <w:numId w:val="6"/>
        </w:numPr>
        <w:spacing w:after="200"/>
        <w:rPr>
          <w:rFonts w:eastAsia="Calibri"/>
        </w:rPr>
      </w:pPr>
      <w:r w:rsidRPr="00E21E06">
        <w:rPr>
          <w:rFonts w:eastAsia="Calibri"/>
          <w:u w:val="single"/>
        </w:rPr>
        <w:t>Justification for Sensitive Questions</w:t>
      </w:r>
    </w:p>
    <w:p w:rsidR="00357C8A" w:rsidRPr="00DC24DC" w:rsidP="003D6333" w14:paraId="1D8BE906" w14:textId="77777777">
      <w:pPr>
        <w:spacing w:after="200"/>
        <w:rPr>
          <w:rFonts w:eastAsia="Calibri"/>
          <w:iCs/>
        </w:rPr>
      </w:pPr>
      <w:r w:rsidRPr="00DC24DC">
        <w:rPr>
          <w:rFonts w:eastAsia="Calibri"/>
          <w:iCs/>
        </w:rPr>
        <w:t>The collection of information does not involve sensitive questions.</w:t>
      </w:r>
    </w:p>
    <w:p w:rsidR="00357C8A" w:rsidRPr="00E21E06" w:rsidP="003D6333" w14:paraId="1B773C8F" w14:textId="77777777">
      <w:pPr>
        <w:numPr>
          <w:ilvl w:val="0"/>
          <w:numId w:val="6"/>
        </w:numPr>
        <w:spacing w:after="200"/>
        <w:rPr>
          <w:rFonts w:eastAsia="Calibri"/>
          <w:u w:val="single"/>
        </w:rPr>
      </w:pPr>
      <w:r w:rsidRPr="00E21E06">
        <w:rPr>
          <w:rFonts w:eastAsia="Calibri"/>
          <w:u w:val="single"/>
        </w:rPr>
        <w:t>Estimates of Annualized Burden Hours and Cost</w:t>
      </w:r>
    </w:p>
    <w:p w:rsidR="000C25E3" w:rsidP="000C25E3" w14:paraId="728EC06F" w14:textId="02B94E94">
      <w:pPr>
        <w:pStyle w:val="BodyText"/>
        <w:spacing w:before="69"/>
        <w:rPr>
          <w:color w:val="000000"/>
        </w:rPr>
      </w:pPr>
      <w:r w:rsidRPr="007135AD">
        <w:rPr>
          <w:i/>
          <w:iCs/>
          <w:spacing w:val="-1"/>
        </w:rPr>
        <w:t>Description of Respondents:</w:t>
      </w:r>
      <w:r>
        <w:rPr>
          <w:spacing w:val="-1"/>
        </w:rPr>
        <w:t xml:space="preserve">  </w:t>
      </w:r>
      <w:r>
        <w:rPr>
          <w:color w:val="000000"/>
        </w:rPr>
        <w:t xml:space="preserve">Respondents to the information collection are </w:t>
      </w:r>
      <w:r w:rsidRPr="00877F33">
        <w:rPr>
          <w:color w:val="000000"/>
        </w:rPr>
        <w:t>licensed manufacturers</w:t>
      </w:r>
      <w:r>
        <w:rPr>
          <w:color w:val="000000"/>
        </w:rPr>
        <w:t xml:space="preserve"> of biological products.  Based on </w:t>
      </w:r>
      <w:r w:rsidR="002527A9">
        <w:rPr>
          <w:color w:val="000000"/>
        </w:rPr>
        <w:t xml:space="preserve">agency data, </w:t>
      </w:r>
      <w:r>
        <w:rPr>
          <w:color w:val="000000"/>
        </w:rPr>
        <w:t xml:space="preserve">we estimate there </w:t>
      </w:r>
      <w:r w:rsidR="002527A9">
        <w:rPr>
          <w:color w:val="000000"/>
        </w:rPr>
        <w:t xml:space="preserve">are </w:t>
      </w:r>
      <w:r>
        <w:rPr>
          <w:bCs/>
          <w:color w:val="000000"/>
        </w:rPr>
        <w:t>371 respondents</w:t>
      </w:r>
      <w:r w:rsidR="002527A9">
        <w:rPr>
          <w:bCs/>
          <w:color w:val="000000"/>
        </w:rPr>
        <w:t xml:space="preserve"> to the information collection</w:t>
      </w:r>
      <w:r>
        <w:rPr>
          <w:bCs/>
          <w:color w:val="000000"/>
        </w:rPr>
        <w:t>.</w:t>
      </w:r>
    </w:p>
    <w:p w:rsidR="00FF56EB" w14:paraId="7A9F6FB9" w14:textId="77777777">
      <w:pPr>
        <w:rPr>
          <w:rFonts w:eastAsia="Calibri"/>
          <w:i/>
          <w:iCs/>
        </w:rPr>
      </w:pPr>
      <w:r>
        <w:rPr>
          <w:rFonts w:eastAsia="Calibri"/>
          <w:i/>
          <w:iCs/>
        </w:rPr>
        <w:br w:type="page"/>
      </w:r>
    </w:p>
    <w:p w:rsidR="00DC24DC" w:rsidRPr="00A6078E" w:rsidP="00A6078E" w14:paraId="675B31D7" w14:textId="7B5B5A2D">
      <w:pPr>
        <w:pStyle w:val="BodyText"/>
        <w:spacing w:before="69"/>
        <w:ind w:firstLine="720"/>
        <w:rPr>
          <w:color w:val="000000"/>
        </w:rPr>
      </w:pPr>
      <w:r w:rsidRPr="007C63F1">
        <w:rPr>
          <w:rFonts w:eastAsia="Calibri"/>
          <w:i/>
          <w:iCs/>
        </w:rPr>
        <w:t>12a.  Annualized Hour Burden Estimate</w:t>
      </w:r>
    </w:p>
    <w:tbl>
      <w:tblPr>
        <w:tblW w:w="9810" w:type="dxa"/>
        <w:tblInd w:w="-9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tblPr>
      <w:tblGrid>
        <w:gridCol w:w="3330"/>
        <w:gridCol w:w="720"/>
        <w:gridCol w:w="1260"/>
        <w:gridCol w:w="1350"/>
        <w:gridCol w:w="1080"/>
        <w:gridCol w:w="1080"/>
        <w:gridCol w:w="990"/>
      </w:tblGrid>
      <w:tr w14:paraId="4F14A67D" w14:textId="77777777" w:rsidTr="00AB5971">
        <w:tblPrEx>
          <w:tblW w:w="9810" w:type="dxa"/>
          <w:tblInd w:w="-90"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tblPrEx>
        <w:trPr>
          <w:cantSplit/>
        </w:trPr>
        <w:tc>
          <w:tcPr>
            <w:tcW w:w="9810" w:type="dxa"/>
            <w:gridSpan w:val="7"/>
            <w:tcBorders>
              <w:top w:val="nil"/>
              <w:left w:val="nil"/>
              <w:bottom w:val="single" w:sz="8" w:space="0" w:color="000000"/>
              <w:right w:val="nil"/>
            </w:tcBorders>
          </w:tcPr>
          <w:p w:rsidR="00E07E01" w:rsidRPr="00E07E01" w:rsidP="00E07E01" w14:paraId="1225CC20" w14:textId="77777777">
            <w:pPr>
              <w:widowControl w:val="0"/>
              <w:contextualSpacing/>
              <w:jc w:val="center"/>
              <w:rPr>
                <w:color w:val="000000"/>
                <w:sz w:val="20"/>
                <w:szCs w:val="20"/>
              </w:rPr>
            </w:pPr>
            <w:r w:rsidRPr="00E07E01">
              <w:rPr>
                <w:color w:val="000000"/>
                <w:sz w:val="20"/>
                <w:szCs w:val="20"/>
              </w:rPr>
              <w:t>Table 1.--Estimated Annual Reporting Burden</w:t>
            </w:r>
            <w:r w:rsidRPr="00E07E01">
              <w:rPr>
                <w:color w:val="000000"/>
                <w:sz w:val="20"/>
                <w:szCs w:val="20"/>
                <w:vertAlign w:val="superscript"/>
              </w:rPr>
              <w:t>1</w:t>
            </w:r>
          </w:p>
        </w:tc>
      </w:tr>
      <w:tr w14:paraId="195D0140"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6643F275" w14:textId="77777777">
            <w:pPr>
              <w:widowControl w:val="0"/>
              <w:contextualSpacing/>
              <w:jc w:val="center"/>
              <w:rPr>
                <w:color w:val="000000"/>
                <w:sz w:val="20"/>
                <w:szCs w:val="20"/>
              </w:rPr>
            </w:pPr>
            <w:r w:rsidRPr="00E07E01">
              <w:rPr>
                <w:color w:val="000000"/>
                <w:sz w:val="20"/>
                <w:szCs w:val="20"/>
              </w:rPr>
              <w:t>21 CFR Subchapter F:  Biologics or Other Authority; Information Collection Activity</w:t>
            </w:r>
          </w:p>
        </w:tc>
        <w:tc>
          <w:tcPr>
            <w:tcW w:w="72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57B965AB" w14:textId="77777777">
            <w:pPr>
              <w:widowControl w:val="0"/>
              <w:contextualSpacing/>
              <w:jc w:val="center"/>
              <w:rPr>
                <w:color w:val="000000"/>
                <w:sz w:val="20"/>
                <w:szCs w:val="20"/>
              </w:rPr>
            </w:pPr>
            <w:r w:rsidRPr="00E07E01">
              <w:rPr>
                <w:color w:val="000000"/>
                <w:sz w:val="20"/>
                <w:szCs w:val="20"/>
              </w:rPr>
              <w:t>Form FDA No.</w:t>
            </w:r>
          </w:p>
        </w:tc>
        <w:tc>
          <w:tcPr>
            <w:tcW w:w="126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7E7E31ED" w14:textId="77777777">
            <w:pPr>
              <w:widowControl w:val="0"/>
              <w:contextualSpacing/>
              <w:jc w:val="center"/>
              <w:rPr>
                <w:color w:val="000000"/>
                <w:sz w:val="20"/>
                <w:szCs w:val="20"/>
              </w:rPr>
            </w:pPr>
            <w:r w:rsidRPr="00E07E01">
              <w:rPr>
                <w:color w:val="000000"/>
                <w:sz w:val="20"/>
                <w:szCs w:val="20"/>
              </w:rPr>
              <w:t>No. of Respondents</w:t>
            </w:r>
          </w:p>
        </w:tc>
        <w:tc>
          <w:tcPr>
            <w:tcW w:w="135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4A4E4503" w14:textId="77777777">
            <w:pPr>
              <w:widowControl w:val="0"/>
              <w:contextualSpacing/>
              <w:jc w:val="center"/>
              <w:rPr>
                <w:color w:val="000000"/>
                <w:sz w:val="20"/>
                <w:szCs w:val="20"/>
              </w:rPr>
            </w:pPr>
            <w:r w:rsidRPr="00E07E01">
              <w:rPr>
                <w:color w:val="000000"/>
                <w:sz w:val="20"/>
                <w:szCs w:val="20"/>
              </w:rPr>
              <w:t>No. of Responses per Respondent</w:t>
            </w:r>
          </w:p>
        </w:tc>
        <w:tc>
          <w:tcPr>
            <w:tcW w:w="108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37BA5DEE" w14:textId="77777777">
            <w:pPr>
              <w:widowControl w:val="0"/>
              <w:contextualSpacing/>
              <w:jc w:val="center"/>
              <w:rPr>
                <w:color w:val="000000"/>
                <w:sz w:val="20"/>
                <w:szCs w:val="20"/>
              </w:rPr>
            </w:pPr>
            <w:r w:rsidRPr="00E07E01">
              <w:rPr>
                <w:color w:val="000000"/>
                <w:sz w:val="20"/>
                <w:szCs w:val="20"/>
              </w:rPr>
              <w:t>Total Annual Responses</w:t>
            </w:r>
          </w:p>
        </w:tc>
        <w:tc>
          <w:tcPr>
            <w:tcW w:w="108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03B24523" w14:textId="77777777">
            <w:pPr>
              <w:widowControl w:val="0"/>
              <w:contextualSpacing/>
              <w:jc w:val="center"/>
              <w:rPr>
                <w:color w:val="000000"/>
                <w:sz w:val="20"/>
                <w:szCs w:val="20"/>
              </w:rPr>
            </w:pPr>
            <w:r w:rsidRPr="00E07E01">
              <w:rPr>
                <w:color w:val="000000"/>
                <w:sz w:val="20"/>
                <w:szCs w:val="20"/>
              </w:rPr>
              <w:t>Average Burden per Response</w:t>
            </w:r>
          </w:p>
        </w:tc>
        <w:tc>
          <w:tcPr>
            <w:tcW w:w="990" w:type="dxa"/>
            <w:tcBorders>
              <w:top w:val="single" w:sz="8" w:space="0" w:color="000000"/>
              <w:left w:val="single" w:sz="7" w:space="0" w:color="000000"/>
              <w:bottom w:val="single" w:sz="7" w:space="0" w:color="000000"/>
              <w:right w:val="single" w:sz="7" w:space="0" w:color="000000"/>
            </w:tcBorders>
            <w:vAlign w:val="bottom"/>
          </w:tcPr>
          <w:p w:rsidR="00E07E01" w:rsidRPr="00E07E01" w:rsidP="00E07E01" w14:paraId="691302BD" w14:textId="77777777">
            <w:pPr>
              <w:widowControl w:val="0"/>
              <w:contextualSpacing/>
              <w:jc w:val="center"/>
              <w:rPr>
                <w:sz w:val="20"/>
                <w:szCs w:val="20"/>
              </w:rPr>
            </w:pPr>
            <w:r w:rsidRPr="00E07E01">
              <w:rPr>
                <w:color w:val="000000"/>
                <w:sz w:val="20"/>
                <w:szCs w:val="20"/>
              </w:rPr>
              <w:t>Total Hours</w:t>
            </w:r>
            <w:r w:rsidRPr="00E07E01">
              <w:rPr>
                <w:sz w:val="20"/>
                <w:szCs w:val="20"/>
                <w:vertAlign w:val="superscript"/>
              </w:rPr>
              <w:t>2</w:t>
            </w:r>
          </w:p>
        </w:tc>
      </w:tr>
      <w:tr w14:paraId="600030BF"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2005C001" w14:textId="74095C98">
            <w:pPr>
              <w:widowControl w:val="0"/>
              <w:contextualSpacing/>
              <w:rPr>
                <w:color w:val="000000"/>
                <w:sz w:val="20"/>
                <w:szCs w:val="20"/>
              </w:rPr>
            </w:pPr>
            <w:r w:rsidRPr="00E07E01">
              <w:rPr>
                <w:color w:val="000000"/>
                <w:sz w:val="20"/>
                <w:szCs w:val="20"/>
              </w:rPr>
              <w:t xml:space="preserve">Parts 601 (§§ 601.2-601.95); applications and </w:t>
            </w:r>
            <w:r w:rsidR="0017221D">
              <w:rPr>
                <w:color w:val="000000"/>
                <w:sz w:val="20"/>
                <w:szCs w:val="20"/>
              </w:rPr>
              <w:t>supplements</w:t>
            </w:r>
            <w:r w:rsidRPr="00E07E01">
              <w:rPr>
                <w:color w:val="000000"/>
                <w:sz w:val="20"/>
                <w:szCs w:val="20"/>
              </w:rPr>
              <w:t xml:space="preserve">, including applicable labeling standards in part 610 (610.15, 610.65) </w:t>
            </w:r>
            <w:r w:rsidR="0017221D">
              <w:rPr>
                <w:color w:val="000000"/>
                <w:sz w:val="20"/>
                <w:szCs w:val="20"/>
              </w:rPr>
              <w:t>and requests for samples</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17A3B258" w14:textId="77777777">
            <w:pPr>
              <w:widowControl w:val="0"/>
              <w:contextualSpacing/>
              <w:jc w:val="right"/>
              <w:rPr>
                <w:color w:val="000000"/>
                <w:sz w:val="20"/>
                <w:szCs w:val="20"/>
              </w:rPr>
            </w:pPr>
            <w:r w:rsidRPr="00E07E01">
              <w:rPr>
                <w:color w:val="000000"/>
                <w:sz w:val="20"/>
                <w:szCs w:val="20"/>
              </w:rPr>
              <w:t>356h</w:t>
            </w: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7DFD947C" w14:textId="77777777">
            <w:pPr>
              <w:widowControl w:val="0"/>
              <w:contextualSpacing/>
              <w:jc w:val="right"/>
              <w:rPr>
                <w:color w:val="000000"/>
                <w:sz w:val="20"/>
                <w:szCs w:val="20"/>
              </w:rPr>
            </w:pPr>
            <w:r w:rsidRPr="00E07E01">
              <w:rPr>
                <w:color w:val="000000"/>
                <w:sz w:val="20"/>
                <w:szCs w:val="20"/>
              </w:rPr>
              <w:t>371</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043653EF" w14:textId="77777777">
            <w:pPr>
              <w:widowControl w:val="0"/>
              <w:contextualSpacing/>
              <w:jc w:val="right"/>
              <w:rPr>
                <w:color w:val="000000"/>
                <w:sz w:val="20"/>
                <w:szCs w:val="20"/>
              </w:rPr>
            </w:pPr>
            <w:r w:rsidRPr="00E07E01">
              <w:rPr>
                <w:color w:val="000000"/>
                <w:sz w:val="20"/>
                <w:szCs w:val="20"/>
              </w:rPr>
              <w:t>177.40</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333EA71B" w14:textId="77777777">
            <w:pPr>
              <w:widowControl w:val="0"/>
              <w:contextualSpacing/>
              <w:jc w:val="right"/>
              <w:rPr>
                <w:color w:val="000000"/>
                <w:sz w:val="20"/>
                <w:szCs w:val="20"/>
              </w:rPr>
            </w:pPr>
            <w:r w:rsidRPr="00E07E01">
              <w:rPr>
                <w:color w:val="000000"/>
                <w:sz w:val="20"/>
                <w:szCs w:val="20"/>
              </w:rPr>
              <w:t>65,814</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059D81E4" w14:textId="77777777">
            <w:pPr>
              <w:widowControl w:val="0"/>
              <w:contextualSpacing/>
              <w:jc w:val="right"/>
              <w:rPr>
                <w:color w:val="000000"/>
                <w:sz w:val="20"/>
                <w:szCs w:val="20"/>
              </w:rPr>
            </w:pPr>
            <w:r w:rsidRPr="00E07E01">
              <w:rPr>
                <w:color w:val="000000"/>
                <w:sz w:val="20"/>
                <w:szCs w:val="20"/>
              </w:rPr>
              <w:t>~12.35</w:t>
            </w: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068CBB75" w14:textId="77777777">
            <w:pPr>
              <w:widowControl w:val="0"/>
              <w:contextualSpacing/>
              <w:jc w:val="right"/>
              <w:rPr>
                <w:color w:val="000000"/>
                <w:sz w:val="20"/>
                <w:szCs w:val="20"/>
              </w:rPr>
            </w:pPr>
            <w:r w:rsidRPr="00E07E01">
              <w:rPr>
                <w:color w:val="000000"/>
                <w:sz w:val="20"/>
                <w:szCs w:val="20"/>
              </w:rPr>
              <w:t>812,607</w:t>
            </w:r>
          </w:p>
        </w:tc>
      </w:tr>
      <w:tr w14:paraId="6C0CCCC6"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025B06E7" w14:textId="77777777">
            <w:pPr>
              <w:widowControl w:val="0"/>
              <w:contextualSpacing/>
              <w:rPr>
                <w:color w:val="000000"/>
                <w:sz w:val="20"/>
                <w:szCs w:val="20"/>
              </w:rPr>
            </w:pPr>
            <w:r w:rsidRPr="00E07E01">
              <w:rPr>
                <w:color w:val="000000"/>
                <w:sz w:val="20"/>
                <w:szCs w:val="20"/>
              </w:rPr>
              <w:t>601.12; Changes to an approved application</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79247487" w14:textId="77777777">
            <w:pPr>
              <w:contextualSpacing/>
              <w:jc w:val="right"/>
              <w:outlineLvl w:val="1"/>
              <w:rPr>
                <w:sz w:val="20"/>
                <w:szCs w:val="20"/>
              </w:rPr>
            </w:pPr>
            <w:r w:rsidRPr="00E07E01">
              <w:rPr>
                <w:color w:val="000000"/>
                <w:sz w:val="20"/>
                <w:szCs w:val="20"/>
              </w:rPr>
              <w:t>356h</w:t>
            </w: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06974A1F" w14:textId="77777777">
            <w:pPr>
              <w:widowControl w:val="0"/>
              <w:contextualSpacing/>
              <w:jc w:val="right"/>
              <w:rPr>
                <w:color w:val="000000"/>
                <w:sz w:val="20"/>
                <w:szCs w:val="20"/>
              </w:rPr>
            </w:pPr>
            <w:r w:rsidRPr="00E07E01">
              <w:rPr>
                <w:color w:val="000000"/>
                <w:sz w:val="20"/>
                <w:szCs w:val="20"/>
              </w:rPr>
              <w:t>170</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75034107" w14:textId="77777777">
            <w:pPr>
              <w:widowControl w:val="0"/>
              <w:contextualSpacing/>
              <w:jc w:val="right"/>
              <w:rPr>
                <w:color w:val="000000"/>
                <w:sz w:val="20"/>
                <w:szCs w:val="20"/>
              </w:rPr>
            </w:pPr>
            <w:r w:rsidRPr="00E07E01">
              <w:rPr>
                <w:color w:val="000000"/>
                <w:sz w:val="20"/>
                <w:szCs w:val="20"/>
              </w:rPr>
              <w:t>27.888</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18E2AB79" w14:textId="77777777">
            <w:pPr>
              <w:widowControl w:val="0"/>
              <w:contextualSpacing/>
              <w:jc w:val="right"/>
              <w:rPr>
                <w:color w:val="000000"/>
                <w:sz w:val="20"/>
                <w:szCs w:val="20"/>
              </w:rPr>
            </w:pPr>
            <w:r w:rsidRPr="00E07E01">
              <w:rPr>
                <w:color w:val="000000"/>
                <w:sz w:val="20"/>
                <w:szCs w:val="20"/>
              </w:rPr>
              <w:t>4,741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4AD8F33C" w14:textId="77777777">
            <w:pPr>
              <w:widowControl w:val="0"/>
              <w:contextualSpacing/>
              <w:jc w:val="right"/>
              <w:rPr>
                <w:color w:val="000000"/>
                <w:sz w:val="20"/>
                <w:szCs w:val="20"/>
              </w:rPr>
            </w:pPr>
            <w:r w:rsidRPr="00E07E01">
              <w:rPr>
                <w:color w:val="000000"/>
                <w:sz w:val="20"/>
                <w:szCs w:val="20"/>
              </w:rPr>
              <w:t>10</w:t>
            </w: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7FF81A10" w14:textId="77777777">
            <w:pPr>
              <w:widowControl w:val="0"/>
              <w:contextualSpacing/>
              <w:jc w:val="right"/>
              <w:rPr>
                <w:color w:val="000000"/>
                <w:sz w:val="20"/>
                <w:szCs w:val="20"/>
              </w:rPr>
            </w:pPr>
            <w:r w:rsidRPr="00E07E01">
              <w:rPr>
                <w:color w:val="000000"/>
                <w:sz w:val="20"/>
                <w:szCs w:val="20"/>
              </w:rPr>
              <w:t>47,410</w:t>
            </w:r>
          </w:p>
        </w:tc>
      </w:tr>
      <w:tr w14:paraId="4EB7EA91"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4218B699" w14:textId="77777777">
            <w:pPr>
              <w:widowControl w:val="0"/>
              <w:contextualSpacing/>
              <w:rPr>
                <w:color w:val="000000"/>
                <w:sz w:val="20"/>
                <w:szCs w:val="20"/>
              </w:rPr>
            </w:pPr>
            <w:r w:rsidRPr="00E07E01">
              <w:rPr>
                <w:color w:val="000000"/>
                <w:sz w:val="20"/>
                <w:szCs w:val="20"/>
              </w:rPr>
              <w:t>Guidance documents issued in accordance with 601.29:</w:t>
            </w:r>
          </w:p>
          <w:p w:rsidR="00E07E01" w:rsidRPr="00E07E01" w:rsidP="00E07E01" w14:paraId="4921F05C" w14:textId="77777777">
            <w:pPr>
              <w:widowControl w:val="0"/>
              <w:numPr>
                <w:ilvl w:val="0"/>
                <w:numId w:val="16"/>
              </w:numPr>
              <w:contextualSpacing/>
              <w:rPr>
                <w:color w:val="000000"/>
                <w:sz w:val="20"/>
                <w:szCs w:val="20"/>
              </w:rPr>
            </w:pPr>
            <w:r w:rsidRPr="00E07E01">
              <w:rPr>
                <w:color w:val="000000"/>
                <w:sz w:val="20"/>
                <w:szCs w:val="20"/>
              </w:rPr>
              <w:t>Cooperative Manufacturing Agreements</w:t>
            </w:r>
          </w:p>
          <w:p w:rsidR="00E07E01" w:rsidRPr="00E07E01" w:rsidP="00E07E01" w14:paraId="360EDF07" w14:textId="77777777">
            <w:pPr>
              <w:widowControl w:val="0"/>
              <w:numPr>
                <w:ilvl w:val="0"/>
                <w:numId w:val="16"/>
              </w:numPr>
              <w:contextualSpacing/>
              <w:rPr>
                <w:color w:val="000000"/>
                <w:sz w:val="20"/>
                <w:szCs w:val="20"/>
              </w:rPr>
            </w:pPr>
            <w:r w:rsidRPr="00E07E01">
              <w:rPr>
                <w:color w:val="000000"/>
                <w:sz w:val="20"/>
                <w:szCs w:val="20"/>
              </w:rPr>
              <w:t>Voluntary Consensus Standard Programs</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738ECEB4" w14:textId="77777777">
            <w:pPr>
              <w:contextualSpacing/>
              <w:jc w:val="right"/>
              <w:outlineLvl w:val="1"/>
              <w:rPr>
                <w:sz w:val="20"/>
                <w:szCs w:val="20"/>
              </w:rPr>
            </w:pPr>
            <w:r w:rsidRPr="00E07E01">
              <w:rPr>
                <w:sz w:val="20"/>
                <w:szCs w:val="20"/>
              </w:rPr>
              <w:t>NA</w:t>
            </w: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489CD450" w14:textId="77777777">
            <w:pPr>
              <w:widowControl w:val="0"/>
              <w:contextualSpacing/>
              <w:jc w:val="right"/>
              <w:rPr>
                <w:color w:val="000000"/>
                <w:sz w:val="20"/>
                <w:szCs w:val="20"/>
              </w:rPr>
            </w:pPr>
            <w:r w:rsidRPr="00E07E01">
              <w:rPr>
                <w:color w:val="000000"/>
                <w:sz w:val="20"/>
                <w:szCs w:val="20"/>
              </w:rPr>
              <w:t>9</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4389E3E5" w14:textId="77777777">
            <w:pPr>
              <w:widowControl w:val="0"/>
              <w:contextualSpacing/>
              <w:jc w:val="right"/>
              <w:rPr>
                <w:color w:val="000000"/>
                <w:sz w:val="20"/>
                <w:szCs w:val="20"/>
              </w:rPr>
            </w:pPr>
            <w:r w:rsidRPr="00E07E01">
              <w:rPr>
                <w:color w:val="000000"/>
                <w:sz w:val="20"/>
                <w:szCs w:val="20"/>
              </w:rPr>
              <w:t>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1BF89213" w14:textId="77777777">
            <w:pPr>
              <w:widowControl w:val="0"/>
              <w:contextualSpacing/>
              <w:jc w:val="right"/>
              <w:rPr>
                <w:color w:val="000000"/>
                <w:sz w:val="20"/>
                <w:szCs w:val="20"/>
              </w:rPr>
            </w:pPr>
            <w:r w:rsidRPr="00E07E01">
              <w:rPr>
                <w:color w:val="000000"/>
                <w:sz w:val="20"/>
                <w:szCs w:val="20"/>
              </w:rPr>
              <w:t>9</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2A089A20" w14:textId="77777777">
            <w:pPr>
              <w:widowControl w:val="0"/>
              <w:contextualSpacing/>
              <w:jc w:val="right"/>
              <w:rPr>
                <w:color w:val="000000"/>
                <w:sz w:val="20"/>
                <w:szCs w:val="20"/>
              </w:rPr>
            </w:pPr>
            <w:r w:rsidRPr="00E07E01">
              <w:rPr>
                <w:color w:val="000000"/>
                <w:sz w:val="20"/>
                <w:szCs w:val="20"/>
              </w:rPr>
              <w:t>3</w:t>
            </w: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270D9272" w14:textId="77777777">
            <w:pPr>
              <w:widowControl w:val="0"/>
              <w:contextualSpacing/>
              <w:jc w:val="right"/>
              <w:rPr>
                <w:color w:val="000000"/>
                <w:sz w:val="20"/>
                <w:szCs w:val="20"/>
              </w:rPr>
            </w:pPr>
            <w:r w:rsidRPr="00E07E01">
              <w:rPr>
                <w:color w:val="000000"/>
                <w:sz w:val="20"/>
                <w:szCs w:val="20"/>
              </w:rPr>
              <w:t>27</w:t>
            </w:r>
          </w:p>
        </w:tc>
      </w:tr>
      <w:tr w14:paraId="7FA72562"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00AE9DA3" w14:textId="77777777">
            <w:pPr>
              <w:widowControl w:val="0"/>
              <w:contextualSpacing/>
              <w:rPr>
                <w:color w:val="000000"/>
                <w:sz w:val="20"/>
                <w:szCs w:val="20"/>
              </w:rPr>
            </w:pPr>
            <w:r w:rsidRPr="00E07E01">
              <w:rPr>
                <w:color w:val="000000"/>
                <w:sz w:val="20"/>
                <w:szCs w:val="20"/>
              </w:rPr>
              <w:t>610.15(d); Request for exceptions or alternatives to the regulation for constituent materials</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45E22B57" w14:textId="77777777">
            <w:pPr>
              <w:contextualSpacing/>
              <w:jc w:val="right"/>
              <w:outlineLvl w:val="1"/>
              <w:rPr>
                <w:sz w:val="20"/>
                <w:szCs w:val="20"/>
              </w:rPr>
            </w:pPr>
            <w:r w:rsidRPr="00E07E01">
              <w:rPr>
                <w:sz w:val="20"/>
                <w:szCs w:val="20"/>
              </w:rPr>
              <w:t>NA</w:t>
            </w: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10A57A22" w14:textId="77777777">
            <w:pPr>
              <w:widowControl w:val="0"/>
              <w:contextualSpacing/>
              <w:jc w:val="right"/>
              <w:rPr>
                <w:color w:val="000000"/>
                <w:sz w:val="20"/>
                <w:szCs w:val="20"/>
              </w:rPr>
            </w:pPr>
            <w:r w:rsidRPr="00E07E01">
              <w:rPr>
                <w:color w:val="000000"/>
                <w:sz w:val="20"/>
                <w:szCs w:val="20"/>
              </w:rPr>
              <w:t>1</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374B1AE8" w14:textId="77777777">
            <w:pPr>
              <w:widowControl w:val="0"/>
              <w:contextualSpacing/>
              <w:jc w:val="right"/>
              <w:rPr>
                <w:color w:val="000000"/>
                <w:sz w:val="20"/>
                <w:szCs w:val="20"/>
              </w:rPr>
            </w:pPr>
            <w:r w:rsidRPr="00E07E01">
              <w:rPr>
                <w:color w:val="000000"/>
                <w:sz w:val="20"/>
                <w:szCs w:val="20"/>
              </w:rPr>
              <w:t>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575404BB" w14:textId="77777777">
            <w:pPr>
              <w:widowControl w:val="0"/>
              <w:contextualSpacing/>
              <w:jc w:val="right"/>
              <w:rPr>
                <w:color w:val="000000"/>
                <w:sz w:val="20"/>
                <w:szCs w:val="20"/>
              </w:rPr>
            </w:pPr>
            <w:r w:rsidRPr="00E07E01">
              <w:rPr>
                <w:color w:val="000000"/>
                <w:sz w:val="20"/>
                <w:szCs w:val="20"/>
              </w:rPr>
              <w:t>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4D465A97" w14:textId="77777777">
            <w:pPr>
              <w:widowControl w:val="0"/>
              <w:contextualSpacing/>
              <w:jc w:val="right"/>
              <w:rPr>
                <w:color w:val="000000"/>
                <w:sz w:val="20"/>
                <w:szCs w:val="20"/>
              </w:rPr>
            </w:pPr>
            <w:r w:rsidRPr="00E07E01">
              <w:rPr>
                <w:color w:val="000000"/>
                <w:sz w:val="20"/>
                <w:szCs w:val="20"/>
              </w:rPr>
              <w:t>1</w:t>
            </w: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1F0E38D6" w14:textId="77777777">
            <w:pPr>
              <w:widowControl w:val="0"/>
              <w:contextualSpacing/>
              <w:jc w:val="right"/>
              <w:rPr>
                <w:color w:val="000000"/>
                <w:sz w:val="20"/>
                <w:szCs w:val="20"/>
              </w:rPr>
            </w:pPr>
            <w:r w:rsidRPr="00E07E01">
              <w:rPr>
                <w:color w:val="000000"/>
                <w:sz w:val="20"/>
                <w:szCs w:val="20"/>
              </w:rPr>
              <w:t>1</w:t>
            </w:r>
          </w:p>
        </w:tc>
      </w:tr>
      <w:tr w14:paraId="05324CF8"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4A5210EB" w14:textId="77777777">
            <w:pPr>
              <w:widowControl w:val="0"/>
              <w:contextualSpacing/>
              <w:rPr>
                <w:sz w:val="20"/>
                <w:szCs w:val="20"/>
              </w:rPr>
            </w:pPr>
            <w:r w:rsidRPr="00E07E01">
              <w:rPr>
                <w:sz w:val="20"/>
                <w:szCs w:val="20"/>
              </w:rPr>
              <w:t>Part 680 (§§ 680.1-680.3); additional standards</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495FEC00" w14:textId="77777777">
            <w:pPr>
              <w:widowControl w:val="0"/>
              <w:contextualSpacing/>
              <w:jc w:val="right"/>
              <w:rPr>
                <w:color w:val="000000"/>
                <w:sz w:val="20"/>
                <w:szCs w:val="20"/>
              </w:rPr>
            </w:pPr>
            <w:r w:rsidRPr="00E07E01">
              <w:rPr>
                <w:color w:val="000000"/>
                <w:sz w:val="20"/>
                <w:szCs w:val="20"/>
              </w:rPr>
              <w:t>NA</w:t>
            </w: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7FED93AA" w14:textId="77777777">
            <w:pPr>
              <w:widowControl w:val="0"/>
              <w:contextualSpacing/>
              <w:jc w:val="right"/>
              <w:rPr>
                <w:color w:val="000000"/>
                <w:sz w:val="20"/>
                <w:szCs w:val="20"/>
              </w:rPr>
            </w:pPr>
            <w:r w:rsidRPr="00E07E01">
              <w:rPr>
                <w:color w:val="000000"/>
                <w:sz w:val="20"/>
                <w:szCs w:val="20"/>
              </w:rPr>
              <w:t>10</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5846CE87" w14:textId="77777777">
            <w:pPr>
              <w:widowControl w:val="0"/>
              <w:contextualSpacing/>
              <w:jc w:val="right"/>
              <w:rPr>
                <w:color w:val="000000"/>
                <w:sz w:val="20"/>
                <w:szCs w:val="20"/>
              </w:rPr>
            </w:pPr>
            <w:r w:rsidRPr="00E07E01">
              <w:rPr>
                <w:color w:val="000000"/>
                <w:sz w:val="20"/>
                <w:szCs w:val="20"/>
              </w:rPr>
              <w:t>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2F6DEEEE" w14:textId="77777777">
            <w:pPr>
              <w:widowControl w:val="0"/>
              <w:contextualSpacing/>
              <w:jc w:val="right"/>
              <w:rPr>
                <w:color w:val="000000"/>
                <w:sz w:val="20"/>
                <w:szCs w:val="20"/>
              </w:rPr>
            </w:pPr>
            <w:r w:rsidRPr="00E07E01">
              <w:rPr>
                <w:color w:val="000000"/>
                <w:sz w:val="20"/>
                <w:szCs w:val="20"/>
              </w:rPr>
              <w:t>10</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2773EACB" w14:textId="77777777">
            <w:pPr>
              <w:widowControl w:val="0"/>
              <w:contextualSpacing/>
              <w:jc w:val="right"/>
              <w:rPr>
                <w:color w:val="000000"/>
                <w:sz w:val="20"/>
                <w:szCs w:val="20"/>
              </w:rPr>
            </w:pPr>
            <w:r w:rsidRPr="00E07E01">
              <w:rPr>
                <w:color w:val="000000"/>
                <w:sz w:val="20"/>
                <w:szCs w:val="20"/>
              </w:rPr>
              <w:t>2</w:t>
            </w: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2503286B" w14:textId="77777777">
            <w:pPr>
              <w:widowControl w:val="0"/>
              <w:contextualSpacing/>
              <w:jc w:val="right"/>
              <w:rPr>
                <w:color w:val="000000"/>
                <w:sz w:val="20"/>
                <w:szCs w:val="20"/>
              </w:rPr>
            </w:pPr>
            <w:r w:rsidRPr="00E07E01">
              <w:rPr>
                <w:color w:val="000000"/>
                <w:sz w:val="20"/>
                <w:szCs w:val="20"/>
              </w:rPr>
              <w:t>20</w:t>
            </w:r>
          </w:p>
        </w:tc>
      </w:tr>
      <w:tr w14:paraId="2F8E66F5"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75BF6D21" w14:textId="77777777">
            <w:pPr>
              <w:widowControl w:val="0"/>
              <w:contextualSpacing/>
              <w:rPr>
                <w:color w:val="000000"/>
                <w:sz w:val="20"/>
                <w:szCs w:val="20"/>
              </w:rPr>
            </w:pPr>
            <w:r w:rsidRPr="00E07E01">
              <w:rPr>
                <w:sz w:val="20"/>
                <w:szCs w:val="20"/>
              </w:rPr>
              <w:t>Section 402(j)(5)(B) of the PHS Act (42 U.S.C.); Certification to accompany biological product applications</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4BCA7D2E" w14:textId="77777777">
            <w:pPr>
              <w:widowControl w:val="0"/>
              <w:contextualSpacing/>
              <w:jc w:val="right"/>
              <w:rPr>
                <w:color w:val="000000"/>
                <w:sz w:val="20"/>
                <w:szCs w:val="20"/>
              </w:rPr>
            </w:pPr>
            <w:r w:rsidRPr="00E07E01">
              <w:rPr>
                <w:color w:val="000000"/>
                <w:sz w:val="20"/>
                <w:szCs w:val="20"/>
              </w:rPr>
              <w:t>3674</w:t>
            </w: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323120A8" w14:textId="77777777">
            <w:pPr>
              <w:widowControl w:val="0"/>
              <w:contextualSpacing/>
              <w:jc w:val="right"/>
              <w:rPr>
                <w:color w:val="000000"/>
                <w:sz w:val="20"/>
                <w:szCs w:val="20"/>
              </w:rPr>
            </w:pPr>
            <w:r w:rsidRPr="00E07E01">
              <w:rPr>
                <w:color w:val="000000"/>
                <w:sz w:val="20"/>
                <w:szCs w:val="20"/>
              </w:rPr>
              <w:t>371</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21BEA9CB" w14:textId="77777777">
            <w:pPr>
              <w:widowControl w:val="0"/>
              <w:contextualSpacing/>
              <w:jc w:val="right"/>
              <w:rPr>
                <w:color w:val="000000"/>
                <w:sz w:val="20"/>
                <w:szCs w:val="20"/>
              </w:rPr>
            </w:pPr>
            <w:r w:rsidRPr="00E07E01">
              <w:rPr>
                <w:color w:val="000000"/>
                <w:sz w:val="20"/>
                <w:szCs w:val="20"/>
              </w:rPr>
              <w:t>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2A84A5A4" w14:textId="77777777">
            <w:pPr>
              <w:widowControl w:val="0"/>
              <w:contextualSpacing/>
              <w:jc w:val="right"/>
              <w:rPr>
                <w:color w:val="000000"/>
                <w:sz w:val="20"/>
                <w:szCs w:val="20"/>
              </w:rPr>
            </w:pPr>
            <w:r w:rsidRPr="00E07E01">
              <w:rPr>
                <w:color w:val="000000"/>
                <w:sz w:val="20"/>
                <w:szCs w:val="20"/>
              </w:rPr>
              <w:t>371</w:t>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3DD356B3" w14:textId="77777777">
            <w:pPr>
              <w:widowControl w:val="0"/>
              <w:contextualSpacing/>
              <w:jc w:val="right"/>
              <w:rPr>
                <w:color w:val="000000"/>
                <w:sz w:val="20"/>
                <w:szCs w:val="20"/>
              </w:rPr>
            </w:pPr>
            <w:r w:rsidRPr="00E07E01">
              <w:rPr>
                <w:color w:val="000000"/>
                <w:sz w:val="20"/>
                <w:szCs w:val="20"/>
              </w:rPr>
              <w:t>0.28</w:t>
            </w:r>
          </w:p>
          <w:p w:rsidR="00E07E01" w:rsidRPr="00E07E01" w:rsidP="00E07E01" w14:paraId="6FB1EDDC" w14:textId="77777777">
            <w:pPr>
              <w:widowControl w:val="0"/>
              <w:contextualSpacing/>
              <w:jc w:val="right"/>
              <w:rPr>
                <w:color w:val="000000"/>
                <w:sz w:val="20"/>
                <w:szCs w:val="20"/>
              </w:rPr>
            </w:pPr>
            <w:r w:rsidRPr="00E07E01">
              <w:rPr>
                <w:color w:val="000000"/>
                <w:sz w:val="20"/>
                <w:szCs w:val="20"/>
              </w:rPr>
              <w:t>(17 minutes)</w:t>
            </w: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17FF1326" w14:textId="77777777">
            <w:pPr>
              <w:widowControl w:val="0"/>
              <w:contextualSpacing/>
              <w:jc w:val="right"/>
              <w:rPr>
                <w:color w:val="000000"/>
                <w:sz w:val="20"/>
                <w:szCs w:val="20"/>
              </w:rPr>
            </w:pPr>
            <w:r w:rsidRPr="00E07E01">
              <w:rPr>
                <w:color w:val="000000"/>
                <w:sz w:val="20"/>
                <w:szCs w:val="20"/>
              </w:rPr>
              <w:t>105</w:t>
            </w:r>
          </w:p>
        </w:tc>
      </w:tr>
      <w:tr w14:paraId="051D0DBD" w14:textId="77777777" w:rsidTr="00AB5971">
        <w:tblPrEx>
          <w:tblW w:w="9810" w:type="dxa"/>
          <w:tblInd w:w="-90" w:type="dxa"/>
          <w:tblLayout w:type="fixed"/>
          <w:tblCellMar>
            <w:left w:w="101" w:type="dxa"/>
            <w:right w:w="101" w:type="dxa"/>
          </w:tblCellMar>
          <w:tblLook w:val="0000"/>
        </w:tblPrEx>
        <w:trPr>
          <w:cantSplit/>
        </w:trPr>
        <w:tc>
          <w:tcPr>
            <w:tcW w:w="3330" w:type="dxa"/>
            <w:tcBorders>
              <w:top w:val="single" w:sz="7" w:space="0" w:color="000000"/>
              <w:left w:val="single" w:sz="7" w:space="0" w:color="000000"/>
              <w:bottom w:val="single" w:sz="7" w:space="0" w:color="000000"/>
              <w:right w:val="single" w:sz="7" w:space="0" w:color="000000"/>
            </w:tcBorders>
            <w:vAlign w:val="bottom"/>
          </w:tcPr>
          <w:p w:rsidR="00E07E01" w:rsidRPr="00E07E01" w:rsidP="00E07E01" w14:paraId="051089CB" w14:textId="77777777">
            <w:pPr>
              <w:widowControl w:val="0"/>
              <w:contextualSpacing/>
              <w:rPr>
                <w:sz w:val="20"/>
                <w:szCs w:val="20"/>
              </w:rPr>
            </w:pPr>
            <w:r w:rsidRPr="00E07E01">
              <w:rPr>
                <w:sz w:val="20"/>
                <w:szCs w:val="20"/>
              </w:rPr>
              <w:t>TOTAL</w:t>
            </w:r>
          </w:p>
        </w:tc>
        <w:tc>
          <w:tcPr>
            <w:tcW w:w="720" w:type="dxa"/>
            <w:tcBorders>
              <w:top w:val="single" w:sz="7" w:space="0" w:color="000000"/>
              <w:left w:val="single" w:sz="7" w:space="0" w:color="000000"/>
              <w:bottom w:val="single" w:sz="7" w:space="0" w:color="000000"/>
              <w:right w:val="single" w:sz="7" w:space="0" w:color="000000"/>
            </w:tcBorders>
          </w:tcPr>
          <w:p w:rsidR="00E07E01" w:rsidRPr="00E07E01" w:rsidP="00E07E01" w14:paraId="6682DA7B" w14:textId="77777777">
            <w:pPr>
              <w:widowControl w:val="0"/>
              <w:contextualSpacing/>
              <w:jc w:val="center"/>
              <w:rPr>
                <w:color w:val="000000"/>
                <w:sz w:val="20"/>
                <w:szCs w:val="20"/>
              </w:rPr>
            </w:pPr>
          </w:p>
        </w:tc>
        <w:tc>
          <w:tcPr>
            <w:tcW w:w="1260" w:type="dxa"/>
            <w:tcBorders>
              <w:top w:val="single" w:sz="7" w:space="0" w:color="000000"/>
              <w:left w:val="single" w:sz="7" w:space="0" w:color="000000"/>
              <w:bottom w:val="single" w:sz="7" w:space="0" w:color="000000"/>
              <w:right w:val="single" w:sz="7" w:space="0" w:color="000000"/>
            </w:tcBorders>
          </w:tcPr>
          <w:p w:rsidR="00E07E01" w:rsidRPr="00E07E01" w:rsidP="00E07E01" w14:paraId="45048131" w14:textId="77777777">
            <w:pPr>
              <w:widowControl w:val="0"/>
              <w:contextualSpacing/>
              <w:jc w:val="right"/>
              <w:rPr>
                <w:color w:val="000000"/>
                <w:sz w:val="20"/>
                <w:szCs w:val="20"/>
              </w:rPr>
            </w:pPr>
            <w:r w:rsidRPr="00E07E01">
              <w:rPr>
                <w:color w:val="000000"/>
                <w:sz w:val="20"/>
                <w:szCs w:val="20"/>
              </w:rPr>
              <w:t>371</w:t>
            </w:r>
          </w:p>
        </w:tc>
        <w:tc>
          <w:tcPr>
            <w:tcW w:w="1350" w:type="dxa"/>
            <w:tcBorders>
              <w:top w:val="single" w:sz="7" w:space="0" w:color="000000"/>
              <w:left w:val="single" w:sz="7" w:space="0" w:color="000000"/>
              <w:bottom w:val="single" w:sz="7" w:space="0" w:color="000000"/>
              <w:right w:val="single" w:sz="7" w:space="0" w:color="000000"/>
            </w:tcBorders>
          </w:tcPr>
          <w:p w:rsidR="00E07E01" w:rsidRPr="00E07E01" w:rsidP="00E07E01" w14:paraId="58DD0CD7" w14:textId="77777777">
            <w:pPr>
              <w:widowControl w:val="0"/>
              <w:contextualSpacing/>
              <w:jc w:val="right"/>
              <w:rPr>
                <w:color w:val="000000"/>
                <w:sz w:val="20"/>
                <w:szCs w:val="20"/>
              </w:rPr>
            </w:pP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33427E5B" w14:textId="77777777">
            <w:pPr>
              <w:widowControl w:val="0"/>
              <w:contextualSpacing/>
              <w:jc w:val="right"/>
              <w:rPr>
                <w:color w:val="000000"/>
                <w:sz w:val="20"/>
                <w:szCs w:val="20"/>
              </w:rPr>
            </w:pPr>
            <w:r w:rsidRPr="00E07E01">
              <w:rPr>
                <w:color w:val="000000"/>
                <w:sz w:val="20"/>
                <w:szCs w:val="20"/>
              </w:rPr>
              <w:fldChar w:fldCharType="begin"/>
            </w:r>
            <w:r w:rsidRPr="00E07E01">
              <w:rPr>
                <w:color w:val="000000"/>
                <w:sz w:val="20"/>
                <w:szCs w:val="20"/>
              </w:rPr>
              <w:instrText xml:space="preserve"> =SUM(ABOVE) </w:instrText>
            </w:r>
            <w:r w:rsidRPr="00E07E01">
              <w:rPr>
                <w:color w:val="000000"/>
                <w:sz w:val="20"/>
                <w:szCs w:val="20"/>
              </w:rPr>
              <w:fldChar w:fldCharType="separate"/>
            </w:r>
            <w:r w:rsidRPr="00E07E01">
              <w:rPr>
                <w:noProof/>
                <w:color w:val="000000"/>
                <w:sz w:val="20"/>
                <w:szCs w:val="20"/>
              </w:rPr>
              <w:t>70,946</w:t>
            </w:r>
            <w:r w:rsidRPr="00E07E01">
              <w:rPr>
                <w:color w:val="000000"/>
                <w:sz w:val="20"/>
                <w:szCs w:val="20"/>
              </w:rPr>
              <w:fldChar w:fldCharType="end"/>
            </w:r>
          </w:p>
        </w:tc>
        <w:tc>
          <w:tcPr>
            <w:tcW w:w="1080" w:type="dxa"/>
            <w:tcBorders>
              <w:top w:val="single" w:sz="7" w:space="0" w:color="000000"/>
              <w:left w:val="single" w:sz="7" w:space="0" w:color="000000"/>
              <w:bottom w:val="single" w:sz="7" w:space="0" w:color="000000"/>
              <w:right w:val="single" w:sz="7" w:space="0" w:color="000000"/>
            </w:tcBorders>
          </w:tcPr>
          <w:p w:rsidR="00E07E01" w:rsidRPr="00E07E01" w:rsidP="00E07E01" w14:paraId="18F63244" w14:textId="77777777">
            <w:pPr>
              <w:widowControl w:val="0"/>
              <w:contextualSpacing/>
              <w:jc w:val="right"/>
              <w:rPr>
                <w:color w:val="000000"/>
                <w:sz w:val="20"/>
                <w:szCs w:val="20"/>
              </w:rPr>
            </w:pPr>
          </w:p>
        </w:tc>
        <w:tc>
          <w:tcPr>
            <w:tcW w:w="990" w:type="dxa"/>
            <w:tcBorders>
              <w:top w:val="single" w:sz="7" w:space="0" w:color="000000"/>
              <w:left w:val="single" w:sz="7" w:space="0" w:color="000000"/>
              <w:bottom w:val="single" w:sz="7" w:space="0" w:color="000000"/>
              <w:right w:val="single" w:sz="7" w:space="0" w:color="000000"/>
            </w:tcBorders>
          </w:tcPr>
          <w:p w:rsidR="00E07E01" w:rsidRPr="00E07E01" w:rsidP="00E07E01" w14:paraId="37F31FF0" w14:textId="77777777">
            <w:pPr>
              <w:widowControl w:val="0"/>
              <w:contextualSpacing/>
              <w:jc w:val="right"/>
              <w:rPr>
                <w:color w:val="000000"/>
                <w:sz w:val="20"/>
                <w:szCs w:val="20"/>
              </w:rPr>
            </w:pPr>
            <w:r w:rsidRPr="00E07E01">
              <w:rPr>
                <w:color w:val="000000"/>
                <w:sz w:val="20"/>
                <w:szCs w:val="20"/>
              </w:rPr>
              <w:fldChar w:fldCharType="begin"/>
            </w:r>
            <w:r w:rsidRPr="00E07E01">
              <w:rPr>
                <w:color w:val="000000"/>
                <w:sz w:val="20"/>
                <w:szCs w:val="20"/>
              </w:rPr>
              <w:instrText xml:space="preserve"> =SUM(ABOVE) </w:instrText>
            </w:r>
            <w:r w:rsidRPr="00E07E01">
              <w:rPr>
                <w:color w:val="000000"/>
                <w:sz w:val="20"/>
                <w:szCs w:val="20"/>
              </w:rPr>
              <w:fldChar w:fldCharType="separate"/>
            </w:r>
            <w:r w:rsidRPr="00E07E01">
              <w:rPr>
                <w:noProof/>
                <w:color w:val="000000"/>
                <w:sz w:val="20"/>
                <w:szCs w:val="20"/>
              </w:rPr>
              <w:t>860,170</w:t>
            </w:r>
            <w:r w:rsidRPr="00E07E01">
              <w:rPr>
                <w:color w:val="000000"/>
                <w:sz w:val="20"/>
                <w:szCs w:val="20"/>
              </w:rPr>
              <w:fldChar w:fldCharType="end"/>
            </w:r>
          </w:p>
        </w:tc>
      </w:tr>
    </w:tbl>
    <w:p w:rsidR="00E07E01" w:rsidRPr="00E07E01" w:rsidP="00E07E01" w14:paraId="46A4AD14" w14:textId="77777777">
      <w:pPr>
        <w:widowControl w:val="0"/>
        <w:contextualSpacing/>
        <w:rPr>
          <w:color w:val="000000"/>
          <w:sz w:val="18"/>
          <w:szCs w:val="18"/>
        </w:rPr>
      </w:pPr>
      <w:r w:rsidRPr="00E07E01">
        <w:rPr>
          <w:color w:val="000000"/>
          <w:sz w:val="18"/>
          <w:szCs w:val="18"/>
          <w:vertAlign w:val="superscript"/>
        </w:rPr>
        <w:t>1</w:t>
      </w:r>
      <w:r w:rsidRPr="00E07E01">
        <w:rPr>
          <w:color w:val="000000"/>
          <w:sz w:val="18"/>
          <w:szCs w:val="18"/>
        </w:rPr>
        <w:t xml:space="preserve"> There are no capital costs or operating and maintenance costs associated with this collection of information. </w:t>
      </w:r>
    </w:p>
    <w:p w:rsidR="00A6078E" w:rsidRPr="00E07E01" w:rsidP="00E07E01" w14:paraId="7F8AE77C" w14:textId="3690B28E">
      <w:pPr>
        <w:rPr>
          <w:rFonts w:eastAsia="Calibri"/>
        </w:rPr>
      </w:pPr>
      <w:r w:rsidRPr="00E07E01">
        <w:rPr>
          <w:sz w:val="18"/>
          <w:szCs w:val="18"/>
          <w:vertAlign w:val="superscript"/>
        </w:rPr>
        <w:t xml:space="preserve">2 </w:t>
      </w:r>
      <w:r w:rsidRPr="00E07E01">
        <w:rPr>
          <w:sz w:val="18"/>
          <w:szCs w:val="18"/>
        </w:rPr>
        <w:t>The numbers in this column have been rounded</w:t>
      </w:r>
      <w:r w:rsidRPr="00E07E01">
        <w:rPr>
          <w:sz w:val="20"/>
          <w:szCs w:val="20"/>
        </w:rPr>
        <w:t>.</w:t>
      </w:r>
    </w:p>
    <w:p w:rsidR="00A6078E" w:rsidP="000C1F41" w14:paraId="307E5B08" w14:textId="77777777">
      <w:pPr>
        <w:rPr>
          <w:rFonts w:eastAsia="Calibri"/>
          <w:i/>
          <w:iCs/>
        </w:rPr>
      </w:pPr>
    </w:p>
    <w:p w:rsidR="00474574" w:rsidRPr="00474574" w:rsidP="00474574" w14:paraId="6D4E873C" w14:textId="77777777">
      <w:pPr>
        <w:rPr>
          <w:rFonts w:eastAsia="Calibri"/>
        </w:rPr>
      </w:pPr>
      <w:r w:rsidRPr="00474574">
        <w:rPr>
          <w:rFonts w:eastAsia="Calibri"/>
        </w:rPr>
        <w:t xml:space="preserve">Noting that 5 CFR 1320.3(m) defines a recordkeeping requirement to include the reporting to the Federal government regarding such records, we have characterized the submission tasks reflected in Table 1 as reporting burden, assuming that respondents retain records in support of the respective submissions.  </w:t>
      </w:r>
    </w:p>
    <w:p w:rsidR="00474574" w:rsidRPr="00474574" w:rsidP="000C1F41" w14:paraId="5D0AAD54" w14:textId="77777777">
      <w:pPr>
        <w:rPr>
          <w:rFonts w:eastAsia="Calibri"/>
        </w:rPr>
      </w:pP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60"/>
        <w:gridCol w:w="1260"/>
        <w:gridCol w:w="1530"/>
        <w:gridCol w:w="1260"/>
        <w:gridCol w:w="1350"/>
        <w:gridCol w:w="1260"/>
      </w:tblGrid>
      <w:tr w14:paraId="6C4495A9" w14:textId="77777777" w:rsidTr="00AB5971">
        <w:tblPrEx>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c>
          <w:tcPr>
            <w:tcW w:w="9720" w:type="dxa"/>
            <w:gridSpan w:val="6"/>
            <w:tcBorders>
              <w:top w:val="nil"/>
              <w:left w:val="nil"/>
              <w:right w:val="nil"/>
            </w:tcBorders>
          </w:tcPr>
          <w:p w:rsidR="00EC1E61" w:rsidRPr="00EC1E61" w:rsidP="00EC1E61" w14:paraId="5F0F628D" w14:textId="77777777">
            <w:pPr>
              <w:widowControl w:val="0"/>
              <w:contextualSpacing/>
              <w:jc w:val="center"/>
              <w:rPr>
                <w:color w:val="000000"/>
                <w:sz w:val="20"/>
                <w:szCs w:val="20"/>
                <w:vertAlign w:val="superscript"/>
              </w:rPr>
            </w:pPr>
            <w:r w:rsidRPr="00EC1E61">
              <w:rPr>
                <w:color w:val="000000"/>
                <w:sz w:val="20"/>
                <w:szCs w:val="20"/>
              </w:rPr>
              <w:t>Table 2.--Estimated Annual Third-Party Disclosure Burden</w:t>
            </w:r>
            <w:r w:rsidRPr="00EC1E61">
              <w:rPr>
                <w:color w:val="000000"/>
                <w:sz w:val="20"/>
                <w:szCs w:val="20"/>
                <w:vertAlign w:val="superscript"/>
              </w:rPr>
              <w:t>1</w:t>
            </w:r>
          </w:p>
        </w:tc>
      </w:tr>
      <w:tr w14:paraId="269CDB52" w14:textId="77777777" w:rsidTr="00AB5971">
        <w:tblPrEx>
          <w:tblW w:w="9720" w:type="dxa"/>
          <w:tblLook w:val="0000"/>
        </w:tblPrEx>
        <w:tc>
          <w:tcPr>
            <w:tcW w:w="3060" w:type="dxa"/>
            <w:vAlign w:val="bottom"/>
          </w:tcPr>
          <w:p w:rsidR="00EC1E61" w:rsidRPr="00EC1E61" w:rsidP="00EC1E61" w14:paraId="1E2E6E75" w14:textId="77777777">
            <w:pPr>
              <w:widowControl w:val="0"/>
              <w:contextualSpacing/>
              <w:jc w:val="center"/>
              <w:rPr>
                <w:color w:val="000000"/>
                <w:sz w:val="20"/>
                <w:szCs w:val="20"/>
              </w:rPr>
            </w:pPr>
            <w:r w:rsidRPr="00EC1E61">
              <w:rPr>
                <w:color w:val="000000"/>
                <w:sz w:val="20"/>
                <w:szCs w:val="20"/>
              </w:rPr>
              <w:t>21 CFR Section; Activity</w:t>
            </w:r>
          </w:p>
        </w:tc>
        <w:tc>
          <w:tcPr>
            <w:tcW w:w="1260" w:type="dxa"/>
            <w:vAlign w:val="bottom"/>
          </w:tcPr>
          <w:p w:rsidR="00EC1E61" w:rsidRPr="00EC1E61" w:rsidP="00EC1E61" w14:paraId="76502DEE" w14:textId="77777777">
            <w:pPr>
              <w:widowControl w:val="0"/>
              <w:contextualSpacing/>
              <w:jc w:val="center"/>
              <w:rPr>
                <w:color w:val="000000"/>
                <w:sz w:val="20"/>
                <w:szCs w:val="20"/>
              </w:rPr>
            </w:pPr>
            <w:r w:rsidRPr="00EC1E61">
              <w:rPr>
                <w:color w:val="000000"/>
                <w:sz w:val="20"/>
                <w:szCs w:val="20"/>
              </w:rPr>
              <w:t>No. of Respondents</w:t>
            </w:r>
          </w:p>
        </w:tc>
        <w:tc>
          <w:tcPr>
            <w:tcW w:w="1530" w:type="dxa"/>
            <w:vAlign w:val="bottom"/>
          </w:tcPr>
          <w:p w:rsidR="00EC1E61" w:rsidRPr="00EC1E61" w:rsidP="00EC1E61" w14:paraId="7CFF02D6" w14:textId="77777777">
            <w:pPr>
              <w:widowControl w:val="0"/>
              <w:contextualSpacing/>
              <w:jc w:val="center"/>
              <w:rPr>
                <w:color w:val="000000"/>
                <w:sz w:val="20"/>
                <w:szCs w:val="20"/>
              </w:rPr>
            </w:pPr>
            <w:r w:rsidRPr="00EC1E61">
              <w:rPr>
                <w:color w:val="000000"/>
                <w:sz w:val="20"/>
                <w:szCs w:val="20"/>
              </w:rPr>
              <w:t>No. of Disclosures per Respondent</w:t>
            </w:r>
          </w:p>
        </w:tc>
        <w:tc>
          <w:tcPr>
            <w:tcW w:w="1260" w:type="dxa"/>
            <w:vAlign w:val="bottom"/>
          </w:tcPr>
          <w:p w:rsidR="00EC1E61" w:rsidRPr="00EC1E61" w:rsidP="00EC1E61" w14:paraId="5E1CC3DA" w14:textId="77777777">
            <w:pPr>
              <w:widowControl w:val="0"/>
              <w:contextualSpacing/>
              <w:jc w:val="center"/>
              <w:rPr>
                <w:color w:val="000000"/>
                <w:sz w:val="20"/>
                <w:szCs w:val="20"/>
              </w:rPr>
            </w:pPr>
            <w:r w:rsidRPr="00EC1E61">
              <w:rPr>
                <w:color w:val="000000"/>
                <w:sz w:val="20"/>
                <w:szCs w:val="20"/>
              </w:rPr>
              <w:t>Total Annual Disclosures</w:t>
            </w:r>
          </w:p>
        </w:tc>
        <w:tc>
          <w:tcPr>
            <w:tcW w:w="1350" w:type="dxa"/>
            <w:vAlign w:val="bottom"/>
          </w:tcPr>
          <w:p w:rsidR="00EC1E61" w:rsidRPr="00EC1E61" w:rsidP="00EC1E61" w14:paraId="109262A2" w14:textId="77777777">
            <w:pPr>
              <w:widowControl w:val="0"/>
              <w:contextualSpacing/>
              <w:jc w:val="center"/>
              <w:rPr>
                <w:color w:val="000000"/>
                <w:sz w:val="20"/>
                <w:szCs w:val="20"/>
              </w:rPr>
            </w:pPr>
            <w:r w:rsidRPr="00EC1E61">
              <w:rPr>
                <w:color w:val="000000"/>
                <w:sz w:val="20"/>
                <w:szCs w:val="20"/>
              </w:rPr>
              <w:t>Average Burden per Disclosure</w:t>
            </w:r>
          </w:p>
        </w:tc>
        <w:tc>
          <w:tcPr>
            <w:tcW w:w="1260" w:type="dxa"/>
            <w:vAlign w:val="bottom"/>
          </w:tcPr>
          <w:p w:rsidR="00EC1E61" w:rsidRPr="00EC1E61" w:rsidP="00EC1E61" w14:paraId="5ADE8B8F" w14:textId="77777777">
            <w:pPr>
              <w:widowControl w:val="0"/>
              <w:contextualSpacing/>
              <w:jc w:val="center"/>
              <w:rPr>
                <w:color w:val="000000"/>
                <w:sz w:val="20"/>
                <w:szCs w:val="20"/>
              </w:rPr>
            </w:pPr>
            <w:r w:rsidRPr="00EC1E61">
              <w:rPr>
                <w:color w:val="000000"/>
                <w:sz w:val="20"/>
                <w:szCs w:val="20"/>
              </w:rPr>
              <w:t>Total Hours</w:t>
            </w:r>
            <w:r w:rsidRPr="00EC1E61">
              <w:rPr>
                <w:sz w:val="20"/>
                <w:szCs w:val="20"/>
                <w:vertAlign w:val="superscript"/>
              </w:rPr>
              <w:t>2</w:t>
            </w:r>
          </w:p>
        </w:tc>
      </w:tr>
      <w:tr w14:paraId="25BF6A2E" w14:textId="77777777" w:rsidTr="00AB5971">
        <w:tblPrEx>
          <w:tblW w:w="9720" w:type="dxa"/>
          <w:tblLook w:val="0000"/>
        </w:tblPrEx>
        <w:tc>
          <w:tcPr>
            <w:tcW w:w="3060" w:type="dxa"/>
          </w:tcPr>
          <w:p w:rsidR="00EC1E61" w:rsidRPr="00EC1E61" w:rsidP="00EC1E61" w14:paraId="6A96A19E" w14:textId="77777777">
            <w:pPr>
              <w:widowControl w:val="0"/>
              <w:contextualSpacing/>
              <w:rPr>
                <w:color w:val="000000"/>
                <w:sz w:val="20"/>
                <w:szCs w:val="20"/>
              </w:rPr>
            </w:pPr>
            <w:r w:rsidRPr="00EC1E61">
              <w:rPr>
                <w:color w:val="000000"/>
                <w:sz w:val="20"/>
                <w:szCs w:val="20"/>
              </w:rPr>
              <w:t>601.6(a); Requirement to notify selling agents and distributors upon suspension of license</w:t>
            </w:r>
          </w:p>
        </w:tc>
        <w:tc>
          <w:tcPr>
            <w:tcW w:w="1260" w:type="dxa"/>
          </w:tcPr>
          <w:p w:rsidR="00EC1E61" w:rsidRPr="00EC1E61" w:rsidP="00EC1E61" w14:paraId="2FC31985" w14:textId="77777777">
            <w:pPr>
              <w:widowControl w:val="0"/>
              <w:contextualSpacing/>
              <w:jc w:val="right"/>
              <w:rPr>
                <w:color w:val="000000"/>
                <w:sz w:val="20"/>
                <w:szCs w:val="20"/>
              </w:rPr>
            </w:pPr>
            <w:r w:rsidRPr="00EC1E61">
              <w:rPr>
                <w:color w:val="000000"/>
                <w:sz w:val="20"/>
                <w:szCs w:val="20"/>
              </w:rPr>
              <w:t>1</w:t>
            </w:r>
          </w:p>
        </w:tc>
        <w:tc>
          <w:tcPr>
            <w:tcW w:w="1530" w:type="dxa"/>
          </w:tcPr>
          <w:p w:rsidR="00EC1E61" w:rsidRPr="00EC1E61" w:rsidP="00EC1E61" w14:paraId="6AB6C51A" w14:textId="77777777">
            <w:pPr>
              <w:widowControl w:val="0"/>
              <w:contextualSpacing/>
              <w:jc w:val="right"/>
              <w:rPr>
                <w:color w:val="000000"/>
                <w:sz w:val="20"/>
                <w:szCs w:val="20"/>
              </w:rPr>
            </w:pPr>
            <w:r w:rsidRPr="00EC1E61">
              <w:rPr>
                <w:color w:val="000000"/>
                <w:sz w:val="20"/>
                <w:szCs w:val="20"/>
              </w:rPr>
              <w:t>20</w:t>
            </w:r>
          </w:p>
        </w:tc>
        <w:tc>
          <w:tcPr>
            <w:tcW w:w="1260" w:type="dxa"/>
          </w:tcPr>
          <w:p w:rsidR="00EC1E61" w:rsidRPr="00EC1E61" w:rsidP="00EC1E61" w14:paraId="00B462B9" w14:textId="77777777">
            <w:pPr>
              <w:widowControl w:val="0"/>
              <w:contextualSpacing/>
              <w:jc w:val="right"/>
              <w:rPr>
                <w:color w:val="000000"/>
                <w:sz w:val="20"/>
                <w:szCs w:val="20"/>
              </w:rPr>
            </w:pPr>
            <w:r w:rsidRPr="00EC1E61">
              <w:rPr>
                <w:color w:val="000000"/>
                <w:sz w:val="20"/>
                <w:szCs w:val="20"/>
              </w:rPr>
              <w:t>20</w:t>
            </w:r>
          </w:p>
        </w:tc>
        <w:tc>
          <w:tcPr>
            <w:tcW w:w="1350" w:type="dxa"/>
          </w:tcPr>
          <w:p w:rsidR="00EC1E61" w:rsidRPr="00EC1E61" w:rsidP="00EC1E61" w14:paraId="233BF261" w14:textId="77777777">
            <w:pPr>
              <w:widowControl w:val="0"/>
              <w:contextualSpacing/>
              <w:jc w:val="right"/>
              <w:rPr>
                <w:color w:val="000000"/>
                <w:sz w:val="20"/>
                <w:szCs w:val="20"/>
              </w:rPr>
            </w:pPr>
            <w:r w:rsidRPr="00EC1E61">
              <w:rPr>
                <w:color w:val="000000"/>
                <w:sz w:val="20"/>
                <w:szCs w:val="20"/>
              </w:rPr>
              <w:t xml:space="preserve">0.33 </w:t>
            </w:r>
          </w:p>
          <w:p w:rsidR="00EC1E61" w:rsidRPr="00EC1E61" w:rsidP="00EC1E61" w14:paraId="4DCE3C4B" w14:textId="77777777">
            <w:pPr>
              <w:widowControl w:val="0"/>
              <w:contextualSpacing/>
              <w:jc w:val="right"/>
              <w:rPr>
                <w:color w:val="000000"/>
                <w:sz w:val="20"/>
                <w:szCs w:val="20"/>
              </w:rPr>
            </w:pPr>
            <w:r w:rsidRPr="00EC1E61">
              <w:rPr>
                <w:color w:val="000000"/>
                <w:sz w:val="20"/>
                <w:szCs w:val="20"/>
              </w:rPr>
              <w:t>(20 minutes)</w:t>
            </w:r>
          </w:p>
        </w:tc>
        <w:tc>
          <w:tcPr>
            <w:tcW w:w="1260" w:type="dxa"/>
          </w:tcPr>
          <w:p w:rsidR="00EC1E61" w:rsidRPr="00EC1E61" w:rsidP="00EC1E61" w14:paraId="7BEBF268" w14:textId="77777777">
            <w:pPr>
              <w:widowControl w:val="0"/>
              <w:contextualSpacing/>
              <w:jc w:val="right"/>
              <w:rPr>
                <w:color w:val="000000"/>
                <w:sz w:val="20"/>
                <w:szCs w:val="20"/>
              </w:rPr>
            </w:pPr>
            <w:r w:rsidRPr="00EC1E61">
              <w:rPr>
                <w:color w:val="000000"/>
                <w:sz w:val="20"/>
                <w:szCs w:val="20"/>
              </w:rPr>
              <w:t>7</w:t>
            </w:r>
          </w:p>
        </w:tc>
      </w:tr>
    </w:tbl>
    <w:p w:rsidR="00EC1E61" w:rsidRPr="00EC1E61" w:rsidP="00EC1E61" w14:paraId="3B593DDA" w14:textId="77777777">
      <w:pPr>
        <w:widowControl w:val="0"/>
        <w:contextualSpacing/>
        <w:rPr>
          <w:color w:val="000000"/>
          <w:sz w:val="18"/>
          <w:szCs w:val="18"/>
        </w:rPr>
      </w:pPr>
      <w:r w:rsidRPr="00EC1E61">
        <w:rPr>
          <w:color w:val="000000"/>
          <w:sz w:val="18"/>
          <w:szCs w:val="18"/>
          <w:vertAlign w:val="superscript"/>
        </w:rPr>
        <w:t>1</w:t>
      </w:r>
      <w:r w:rsidRPr="00EC1E61">
        <w:rPr>
          <w:color w:val="000000"/>
          <w:sz w:val="18"/>
          <w:szCs w:val="18"/>
        </w:rPr>
        <w:t xml:space="preserve"> There are no capital costs or operating and maintenance costs associated with this collection of information.</w:t>
      </w:r>
    </w:p>
    <w:p w:rsidR="00EC1E61" w:rsidRPr="00EC1E61" w:rsidP="00EC1E61" w14:paraId="69A6B78C" w14:textId="77777777">
      <w:pPr>
        <w:widowControl w:val="0"/>
        <w:contextualSpacing/>
        <w:rPr>
          <w:sz w:val="20"/>
          <w:szCs w:val="20"/>
        </w:rPr>
      </w:pPr>
      <w:r w:rsidRPr="00EC1E61">
        <w:rPr>
          <w:sz w:val="18"/>
          <w:szCs w:val="18"/>
          <w:vertAlign w:val="superscript"/>
        </w:rPr>
        <w:t xml:space="preserve">2  </w:t>
      </w:r>
      <w:r w:rsidRPr="00EC1E61">
        <w:rPr>
          <w:sz w:val="18"/>
          <w:szCs w:val="18"/>
        </w:rPr>
        <w:t>The number in this column has been rounded to the nearest whole number</w:t>
      </w:r>
      <w:r w:rsidRPr="00EC1E61">
        <w:rPr>
          <w:sz w:val="20"/>
          <w:szCs w:val="20"/>
        </w:rPr>
        <w:t xml:space="preserve">.  </w:t>
      </w:r>
    </w:p>
    <w:p w:rsidR="00A6078E" w:rsidP="000C1F41" w14:paraId="41BCA164" w14:textId="77777777">
      <w:pPr>
        <w:rPr>
          <w:rFonts w:eastAsia="Calibri"/>
        </w:rPr>
      </w:pPr>
    </w:p>
    <w:p w:rsidR="00DA02EC" w:rsidRPr="00DA02EC" w:rsidP="00DA02EC" w14:paraId="35FC1966" w14:textId="3786DC3E">
      <w:pPr>
        <w:rPr>
          <w:rFonts w:eastAsia="Calibri"/>
        </w:rPr>
      </w:pPr>
      <w:r w:rsidRPr="00DA02EC">
        <w:rPr>
          <w:rFonts w:eastAsia="Calibri"/>
        </w:rPr>
        <w:t>Based on our experience with the information collection, we account for disclosures under 21 CFR 601.6(a) distinctly, as reflected above in Table 2.  Again, FDA assumes that respondents subject to regulatory requirements in 21 CFR 601.6 will retain corresponding records.</w:t>
      </w:r>
    </w:p>
    <w:p w:rsidR="00A6078E" w:rsidP="000C1F41" w14:paraId="0634F222" w14:textId="77777777">
      <w:pPr>
        <w:rPr>
          <w:rFonts w:eastAsia="Calibri"/>
          <w:i/>
          <w:iCs/>
        </w:rPr>
      </w:pPr>
    </w:p>
    <w:p w:rsidR="00357C8A" w:rsidP="00A6078E" w14:paraId="1E2D7F9A" w14:textId="061CFD2F">
      <w:pPr>
        <w:ind w:firstLine="720"/>
        <w:rPr>
          <w:rFonts w:eastAsia="Calibri"/>
          <w:i/>
          <w:iCs/>
        </w:rPr>
      </w:pPr>
      <w:r w:rsidRPr="000C1F41">
        <w:rPr>
          <w:rFonts w:eastAsia="Calibri"/>
          <w:i/>
          <w:iCs/>
        </w:rPr>
        <w:t>12b.  Annualized Cost Burden Estimate</w:t>
      </w:r>
    </w:p>
    <w:p w:rsidR="00873148" w:rsidRPr="000C1F41" w:rsidP="000C1F41" w14:paraId="5284F0DD" w14:textId="77777777">
      <w:pPr>
        <w:rPr>
          <w:rFonts w:eastAsia="Calibri"/>
          <w:i/>
          <w:iCs/>
        </w:rPr>
      </w:pPr>
    </w:p>
    <w:tbl>
      <w:tblPr>
        <w:tblpPr w:leftFromText="180" w:rightFromText="180" w:vertAnchor="text" w:tblpX="-9" w:tblpY="1"/>
        <w:tblOverlap w:val="never"/>
        <w:tblW w:w="9711" w:type="dxa"/>
        <w:tblLayout w:type="fixed"/>
        <w:tblCellMar>
          <w:left w:w="0" w:type="dxa"/>
          <w:right w:w="0" w:type="dxa"/>
        </w:tblCellMar>
        <w:tblLook w:val="01E0"/>
      </w:tblPr>
      <w:tblGrid>
        <w:gridCol w:w="2550"/>
        <w:gridCol w:w="2250"/>
        <w:gridCol w:w="2340"/>
        <w:gridCol w:w="2571"/>
      </w:tblGrid>
      <w:tr w14:paraId="7252C4F1" w14:textId="77777777" w:rsidTr="00AD128C">
        <w:tblPrEx>
          <w:tblW w:w="9711" w:type="dxa"/>
          <w:tblLayout w:type="fixed"/>
          <w:tblCellMar>
            <w:left w:w="0" w:type="dxa"/>
            <w:right w:w="0" w:type="dxa"/>
          </w:tblCellMar>
          <w:tblLook w:val="01E0"/>
        </w:tblPrEx>
        <w:trPr>
          <w:trHeight w:hRule="exact" w:val="425"/>
        </w:trPr>
        <w:tc>
          <w:tcPr>
            <w:tcW w:w="2550" w:type="dxa"/>
            <w:tcBorders>
              <w:top w:val="single" w:sz="7" w:space="0" w:color="000000"/>
              <w:left w:val="single" w:sz="7" w:space="0" w:color="000000"/>
              <w:bottom w:val="single" w:sz="13" w:space="0" w:color="000000"/>
              <w:right w:val="single" w:sz="7" w:space="0" w:color="000000"/>
            </w:tcBorders>
          </w:tcPr>
          <w:p w:rsidR="002D28B7" w:rsidRPr="008E1517" w:rsidP="0054465A" w14:paraId="511937C9" w14:textId="77777777">
            <w:pPr>
              <w:pStyle w:val="TableParagraph"/>
              <w:rPr>
                <w:rFonts w:ascii="Times New Roman" w:eastAsia="Times New Roman" w:hAnsi="Times New Roman"/>
                <w:sz w:val="20"/>
                <w:szCs w:val="20"/>
              </w:rPr>
            </w:pPr>
            <w:r w:rsidRPr="008E1517">
              <w:rPr>
                <w:rFonts w:ascii="Times New Roman"/>
                <w:sz w:val="20"/>
                <w:szCs w:val="20"/>
              </w:rPr>
              <w:t>Activity</w:t>
            </w:r>
          </w:p>
        </w:tc>
        <w:tc>
          <w:tcPr>
            <w:tcW w:w="2250" w:type="dxa"/>
            <w:tcBorders>
              <w:top w:val="single" w:sz="7" w:space="0" w:color="000000"/>
              <w:left w:val="single" w:sz="7" w:space="0" w:color="000000"/>
              <w:bottom w:val="single" w:sz="13" w:space="0" w:color="000000"/>
              <w:right w:val="single" w:sz="7" w:space="0" w:color="000000"/>
            </w:tcBorders>
          </w:tcPr>
          <w:p w:rsidR="002D28B7" w:rsidRPr="008E1517" w:rsidP="0054465A" w14:paraId="4F7DEA44" w14:textId="77777777">
            <w:pPr>
              <w:pStyle w:val="TableParagraph"/>
              <w:rPr>
                <w:rFonts w:ascii="Times New Roman" w:eastAsia="Times New Roman" w:hAnsi="Times New Roman"/>
                <w:sz w:val="20"/>
                <w:szCs w:val="20"/>
              </w:rPr>
            </w:pPr>
            <w:r w:rsidRPr="008E1517">
              <w:rPr>
                <w:rFonts w:ascii="Times New Roman"/>
                <w:sz w:val="20"/>
                <w:szCs w:val="20"/>
              </w:rPr>
              <w:t>Total</w:t>
            </w:r>
            <w:r w:rsidRPr="008E1517">
              <w:rPr>
                <w:rFonts w:ascii="Times New Roman"/>
                <w:spacing w:val="-1"/>
                <w:sz w:val="20"/>
                <w:szCs w:val="20"/>
              </w:rPr>
              <w:t xml:space="preserve"> Burden </w:t>
            </w:r>
            <w:r w:rsidRPr="008E1517">
              <w:rPr>
                <w:rFonts w:ascii="Times New Roman"/>
                <w:sz w:val="20"/>
                <w:szCs w:val="20"/>
              </w:rPr>
              <w:t>Hours</w:t>
            </w:r>
          </w:p>
        </w:tc>
        <w:tc>
          <w:tcPr>
            <w:tcW w:w="2340" w:type="dxa"/>
            <w:tcBorders>
              <w:top w:val="single" w:sz="7" w:space="0" w:color="000000"/>
              <w:left w:val="single" w:sz="7" w:space="0" w:color="000000"/>
              <w:bottom w:val="single" w:sz="13" w:space="0" w:color="000000"/>
              <w:right w:val="single" w:sz="7" w:space="0" w:color="000000"/>
            </w:tcBorders>
          </w:tcPr>
          <w:p w:rsidR="002D28B7" w:rsidRPr="008E1517" w:rsidP="0054465A" w14:paraId="2C912126" w14:textId="77777777">
            <w:pPr>
              <w:pStyle w:val="TableParagraph"/>
              <w:rPr>
                <w:rFonts w:ascii="Times New Roman" w:eastAsia="Times New Roman" w:hAnsi="Times New Roman"/>
                <w:sz w:val="20"/>
                <w:szCs w:val="20"/>
              </w:rPr>
            </w:pPr>
            <w:r w:rsidRPr="008E1517">
              <w:rPr>
                <w:rFonts w:ascii="Times New Roman"/>
                <w:sz w:val="20"/>
                <w:szCs w:val="20"/>
              </w:rPr>
              <w:t>Hourly</w:t>
            </w:r>
            <w:r w:rsidRPr="008E1517">
              <w:rPr>
                <w:rFonts w:ascii="Times New Roman"/>
                <w:spacing w:val="-1"/>
                <w:sz w:val="20"/>
                <w:szCs w:val="20"/>
              </w:rPr>
              <w:t xml:space="preserve"> Wage </w:t>
            </w:r>
            <w:r w:rsidRPr="008E1517">
              <w:rPr>
                <w:rFonts w:ascii="Times New Roman"/>
                <w:sz w:val="20"/>
                <w:szCs w:val="20"/>
              </w:rPr>
              <w:t>Rate</w:t>
            </w:r>
          </w:p>
        </w:tc>
        <w:tc>
          <w:tcPr>
            <w:tcW w:w="2571" w:type="dxa"/>
            <w:tcBorders>
              <w:top w:val="single" w:sz="7" w:space="0" w:color="000000"/>
              <w:left w:val="single" w:sz="7" w:space="0" w:color="000000"/>
              <w:bottom w:val="single" w:sz="13" w:space="0" w:color="000000"/>
              <w:right w:val="single" w:sz="7" w:space="0" w:color="000000"/>
            </w:tcBorders>
          </w:tcPr>
          <w:p w:rsidR="002D28B7" w:rsidRPr="008E1517" w:rsidP="0054465A" w14:paraId="56B17E9A" w14:textId="77777777">
            <w:pPr>
              <w:pStyle w:val="TableParagraph"/>
              <w:rPr>
                <w:rFonts w:ascii="Times New Roman" w:eastAsia="Times New Roman" w:hAnsi="Times New Roman"/>
                <w:sz w:val="20"/>
                <w:szCs w:val="20"/>
              </w:rPr>
            </w:pPr>
            <w:r w:rsidRPr="008E1517">
              <w:rPr>
                <w:rFonts w:ascii="Times New Roman"/>
                <w:sz w:val="20"/>
                <w:szCs w:val="20"/>
              </w:rPr>
              <w:t>Total</w:t>
            </w:r>
            <w:r w:rsidRPr="008E1517">
              <w:rPr>
                <w:rFonts w:ascii="Times New Roman"/>
                <w:spacing w:val="-1"/>
                <w:sz w:val="20"/>
                <w:szCs w:val="20"/>
              </w:rPr>
              <w:t xml:space="preserve"> </w:t>
            </w:r>
            <w:r w:rsidRPr="008E1517">
              <w:rPr>
                <w:rFonts w:ascii="Times New Roman"/>
                <w:sz w:val="20"/>
                <w:szCs w:val="20"/>
              </w:rPr>
              <w:t>Cost</w:t>
            </w:r>
          </w:p>
        </w:tc>
      </w:tr>
      <w:tr w14:paraId="609E95C1" w14:textId="77777777" w:rsidTr="00AD128C">
        <w:tblPrEx>
          <w:tblW w:w="9711" w:type="dxa"/>
          <w:tblLayout w:type="fixed"/>
          <w:tblCellMar>
            <w:left w:w="0" w:type="dxa"/>
            <w:right w:w="0" w:type="dxa"/>
          </w:tblCellMar>
          <w:tblLook w:val="01E0"/>
        </w:tblPrEx>
        <w:trPr>
          <w:cantSplit/>
          <w:trHeight w:hRule="exact" w:val="505"/>
        </w:trPr>
        <w:tc>
          <w:tcPr>
            <w:tcW w:w="2550" w:type="dxa"/>
            <w:tcBorders>
              <w:top w:val="single" w:sz="13" w:space="0" w:color="000000"/>
              <w:left w:val="single" w:sz="7" w:space="0" w:color="000000"/>
              <w:bottom w:val="single" w:sz="5" w:space="0" w:color="000000"/>
              <w:right w:val="single" w:sz="7" w:space="0" w:color="000000"/>
            </w:tcBorders>
          </w:tcPr>
          <w:p w:rsidR="002D28B7" w:rsidP="0054465A" w14:paraId="104E0D1C" w14:textId="77777777">
            <w:pPr>
              <w:pStyle w:val="TableParagraph"/>
              <w:rPr>
                <w:rFonts w:ascii="Times New Roman" w:eastAsia="Times New Roman" w:hAnsi="Times New Roman"/>
                <w:sz w:val="20"/>
                <w:szCs w:val="20"/>
              </w:rPr>
            </w:pPr>
            <w:r>
              <w:rPr>
                <w:rFonts w:ascii="Times New Roman" w:eastAsia="Times New Roman" w:hAnsi="Times New Roman"/>
                <w:sz w:val="20"/>
                <w:szCs w:val="20"/>
              </w:rPr>
              <w:t>Recordkeeping (including reporting)</w:t>
            </w:r>
          </w:p>
          <w:p w:rsidR="00AD128C" w:rsidRPr="008E1517" w:rsidP="0054465A" w14:paraId="6C5A3A13" w14:textId="7CF398E3">
            <w:pPr>
              <w:pStyle w:val="TableParagraph"/>
              <w:rPr>
                <w:rFonts w:ascii="Times New Roman" w:eastAsia="Times New Roman" w:hAnsi="Times New Roman"/>
                <w:sz w:val="20"/>
                <w:szCs w:val="20"/>
              </w:rPr>
            </w:pPr>
          </w:p>
        </w:tc>
        <w:tc>
          <w:tcPr>
            <w:tcW w:w="2250" w:type="dxa"/>
            <w:tcBorders>
              <w:top w:val="single" w:sz="13" w:space="0" w:color="000000"/>
              <w:left w:val="single" w:sz="7" w:space="0" w:color="000000"/>
              <w:bottom w:val="single" w:sz="5" w:space="0" w:color="000000"/>
              <w:right w:val="single" w:sz="7" w:space="0" w:color="000000"/>
            </w:tcBorders>
          </w:tcPr>
          <w:p w:rsidR="002D28B7" w:rsidRPr="008E1517" w:rsidP="0054465A" w14:paraId="5C72D3BA" w14:textId="64A0C11A">
            <w:pPr>
              <w:pStyle w:val="TableParagraph"/>
              <w:jc w:val="right"/>
              <w:rPr>
                <w:rFonts w:ascii="Times New Roman" w:eastAsia="Times New Roman" w:hAnsi="Times New Roman"/>
                <w:sz w:val="20"/>
                <w:szCs w:val="20"/>
              </w:rPr>
            </w:pPr>
            <w:r>
              <w:rPr>
                <w:rFonts w:ascii="Times New Roman" w:eastAsia="Times New Roman" w:hAnsi="Times New Roman"/>
                <w:sz w:val="20"/>
                <w:szCs w:val="20"/>
              </w:rPr>
              <w:t>8</w:t>
            </w:r>
            <w:r w:rsidR="00AB5971">
              <w:rPr>
                <w:rFonts w:ascii="Times New Roman" w:eastAsia="Times New Roman" w:hAnsi="Times New Roman"/>
                <w:sz w:val="20"/>
                <w:szCs w:val="20"/>
              </w:rPr>
              <w:t>60,170</w:t>
            </w:r>
          </w:p>
        </w:tc>
        <w:tc>
          <w:tcPr>
            <w:tcW w:w="2340" w:type="dxa"/>
            <w:tcBorders>
              <w:top w:val="single" w:sz="13" w:space="0" w:color="000000"/>
              <w:left w:val="single" w:sz="7" w:space="0" w:color="000000"/>
              <w:bottom w:val="single" w:sz="5" w:space="0" w:color="000000"/>
              <w:right w:val="single" w:sz="7" w:space="0" w:color="000000"/>
            </w:tcBorders>
          </w:tcPr>
          <w:p w:rsidR="002D28B7" w:rsidRPr="008E1517" w:rsidP="0054465A" w14:paraId="3C3164E8" w14:textId="77777777">
            <w:pPr>
              <w:pStyle w:val="TableParagraph"/>
              <w:jc w:val="right"/>
              <w:rPr>
                <w:rFonts w:ascii="Times New Roman" w:eastAsia="Times New Roman" w:hAnsi="Times New Roman"/>
                <w:sz w:val="20"/>
                <w:szCs w:val="20"/>
              </w:rPr>
            </w:pPr>
            <w:r w:rsidRPr="008E1517">
              <w:rPr>
                <w:rFonts w:ascii="Times New Roman"/>
                <w:spacing w:val="-1"/>
                <w:sz w:val="20"/>
                <w:szCs w:val="20"/>
              </w:rPr>
              <w:t>$58</w:t>
            </w:r>
          </w:p>
        </w:tc>
        <w:tc>
          <w:tcPr>
            <w:tcW w:w="2571" w:type="dxa"/>
            <w:tcBorders>
              <w:top w:val="single" w:sz="13" w:space="0" w:color="000000"/>
              <w:left w:val="single" w:sz="7" w:space="0" w:color="000000"/>
              <w:bottom w:val="single" w:sz="5" w:space="0" w:color="000000"/>
              <w:right w:val="single" w:sz="7" w:space="0" w:color="000000"/>
            </w:tcBorders>
          </w:tcPr>
          <w:p w:rsidR="002D28B7" w:rsidRPr="008E1517" w:rsidP="0054465A" w14:paraId="4DF8E60E" w14:textId="797B0E4D">
            <w:pPr>
              <w:pStyle w:val="TableParagraph"/>
              <w:jc w:val="right"/>
              <w:rPr>
                <w:rFonts w:ascii="Times New Roman" w:eastAsia="Times New Roman" w:hAnsi="Times New Roman"/>
                <w:sz w:val="20"/>
                <w:szCs w:val="20"/>
              </w:rPr>
            </w:pPr>
            <w:r>
              <w:rPr>
                <w:rFonts w:ascii="Times New Roman" w:eastAsia="Times New Roman" w:hAnsi="Times New Roman"/>
                <w:sz w:val="20"/>
                <w:szCs w:val="20"/>
              </w:rPr>
              <w:t>$</w:t>
            </w:r>
            <w:r w:rsidRPr="003C5F31" w:rsidR="003C5F31">
              <w:rPr>
                <w:rFonts w:ascii="Times New Roman" w:eastAsia="Times New Roman" w:hAnsi="Times New Roman"/>
                <w:sz w:val="20"/>
                <w:szCs w:val="20"/>
              </w:rPr>
              <w:t>4</w:t>
            </w:r>
            <w:r w:rsidR="00110F0B">
              <w:rPr>
                <w:rFonts w:ascii="Times New Roman" w:eastAsia="Times New Roman" w:hAnsi="Times New Roman"/>
                <w:sz w:val="20"/>
                <w:szCs w:val="20"/>
              </w:rPr>
              <w:t>9,889,860</w:t>
            </w:r>
          </w:p>
        </w:tc>
      </w:tr>
      <w:tr w14:paraId="23EA0469" w14:textId="77777777" w:rsidTr="00AD128C">
        <w:tblPrEx>
          <w:tblW w:w="9711" w:type="dxa"/>
          <w:tblLayout w:type="fixed"/>
          <w:tblCellMar>
            <w:left w:w="0" w:type="dxa"/>
            <w:right w:w="0" w:type="dxa"/>
          </w:tblCellMar>
          <w:tblLook w:val="01E0"/>
        </w:tblPrEx>
        <w:trPr>
          <w:trHeight w:hRule="exact" w:val="521"/>
        </w:trPr>
        <w:tc>
          <w:tcPr>
            <w:tcW w:w="2550" w:type="dxa"/>
            <w:tcBorders>
              <w:top w:val="single" w:sz="5" w:space="0" w:color="000000"/>
              <w:left w:val="single" w:sz="7" w:space="0" w:color="000000"/>
              <w:bottom w:val="single" w:sz="5" w:space="0" w:color="000000"/>
              <w:right w:val="single" w:sz="7" w:space="0" w:color="000000"/>
            </w:tcBorders>
          </w:tcPr>
          <w:p w:rsidR="002D28B7" w:rsidRPr="008E1517" w:rsidP="0054465A" w14:paraId="3EE3F1D1" w14:textId="7CAC2148">
            <w:pPr>
              <w:pStyle w:val="TableParagraph"/>
              <w:rPr>
                <w:rFonts w:ascii="Times New Roman" w:eastAsia="Times New Roman" w:hAnsi="Times New Roman"/>
                <w:sz w:val="20"/>
                <w:szCs w:val="20"/>
              </w:rPr>
            </w:pPr>
            <w:r w:rsidRPr="008E1517">
              <w:rPr>
                <w:rFonts w:ascii="Times New Roman"/>
                <w:sz w:val="20"/>
                <w:szCs w:val="20"/>
              </w:rPr>
              <w:t>Disclosure</w:t>
            </w:r>
          </w:p>
        </w:tc>
        <w:tc>
          <w:tcPr>
            <w:tcW w:w="2250" w:type="dxa"/>
            <w:tcBorders>
              <w:top w:val="single" w:sz="5" w:space="0" w:color="000000"/>
              <w:left w:val="single" w:sz="7" w:space="0" w:color="000000"/>
              <w:bottom w:val="single" w:sz="5" w:space="0" w:color="000000"/>
              <w:right w:val="single" w:sz="7" w:space="0" w:color="000000"/>
            </w:tcBorders>
          </w:tcPr>
          <w:p w:rsidR="002D28B7" w:rsidRPr="008E1517" w:rsidP="0054465A" w14:paraId="49C0BD8F" w14:textId="77777777">
            <w:pPr>
              <w:pStyle w:val="TableParagraph"/>
              <w:jc w:val="right"/>
              <w:rPr>
                <w:rFonts w:ascii="Times New Roman" w:eastAsia="Times New Roman" w:hAnsi="Times New Roman"/>
                <w:sz w:val="20"/>
                <w:szCs w:val="20"/>
              </w:rPr>
            </w:pPr>
            <w:r w:rsidRPr="008E1517">
              <w:rPr>
                <w:rFonts w:ascii="Times New Roman"/>
                <w:sz w:val="20"/>
                <w:szCs w:val="20"/>
              </w:rPr>
              <w:t>7</w:t>
            </w:r>
          </w:p>
        </w:tc>
        <w:tc>
          <w:tcPr>
            <w:tcW w:w="2340" w:type="dxa"/>
            <w:tcBorders>
              <w:top w:val="single" w:sz="5" w:space="0" w:color="000000"/>
              <w:left w:val="single" w:sz="7" w:space="0" w:color="000000"/>
              <w:bottom w:val="single" w:sz="5" w:space="0" w:color="000000"/>
              <w:right w:val="single" w:sz="7" w:space="0" w:color="000000"/>
            </w:tcBorders>
          </w:tcPr>
          <w:p w:rsidR="002D28B7" w:rsidRPr="008E1517" w:rsidP="0054465A" w14:paraId="0235009A" w14:textId="77777777">
            <w:pPr>
              <w:pStyle w:val="TableParagraph"/>
              <w:jc w:val="right"/>
              <w:rPr>
                <w:rFonts w:ascii="Times New Roman" w:eastAsia="Times New Roman" w:hAnsi="Times New Roman"/>
                <w:sz w:val="20"/>
                <w:szCs w:val="20"/>
              </w:rPr>
            </w:pPr>
            <w:r w:rsidRPr="008E1517">
              <w:rPr>
                <w:rFonts w:ascii="Times New Roman"/>
                <w:sz w:val="20"/>
                <w:szCs w:val="20"/>
              </w:rPr>
              <w:t>$96</w:t>
            </w:r>
          </w:p>
        </w:tc>
        <w:tc>
          <w:tcPr>
            <w:tcW w:w="2571" w:type="dxa"/>
            <w:tcBorders>
              <w:top w:val="single" w:sz="5" w:space="0" w:color="000000"/>
              <w:left w:val="single" w:sz="7" w:space="0" w:color="000000"/>
              <w:bottom w:val="single" w:sz="5" w:space="0" w:color="000000"/>
              <w:right w:val="single" w:sz="7" w:space="0" w:color="000000"/>
            </w:tcBorders>
          </w:tcPr>
          <w:p w:rsidR="002D28B7" w:rsidRPr="008E1517" w:rsidP="0054465A" w14:paraId="4664CBC4" w14:textId="77777777">
            <w:pPr>
              <w:pStyle w:val="TableParagraph"/>
              <w:jc w:val="right"/>
              <w:rPr>
                <w:rFonts w:ascii="Times New Roman" w:eastAsia="Times New Roman" w:hAnsi="Times New Roman"/>
                <w:sz w:val="20"/>
                <w:szCs w:val="20"/>
              </w:rPr>
            </w:pPr>
            <w:r w:rsidRPr="008E1517">
              <w:rPr>
                <w:rFonts w:ascii="Times New Roman"/>
                <w:sz w:val="20"/>
                <w:szCs w:val="20"/>
              </w:rPr>
              <w:t>$672</w:t>
            </w:r>
          </w:p>
        </w:tc>
      </w:tr>
    </w:tbl>
    <w:p w:rsidR="002D28B7" w:rsidRPr="002A4168" w:rsidP="003D6333" w14:paraId="63B7F155" w14:textId="77777777">
      <w:pPr>
        <w:spacing w:before="6"/>
      </w:pPr>
    </w:p>
    <w:p w:rsidR="002D28B7" w:rsidRPr="00731A7F" w:rsidP="003D6333" w14:paraId="22B224C5" w14:textId="77777777">
      <w:pPr>
        <w:pStyle w:val="BodyText"/>
        <w:spacing w:before="69"/>
        <w:ind w:right="214"/>
      </w:pPr>
      <w:r w:rsidRPr="00731A7F">
        <w:t>We assume</w:t>
      </w:r>
      <w:r w:rsidRPr="00731A7F" w:rsidR="00731A7F">
        <w:t xml:space="preserve"> wage rates for </w:t>
      </w:r>
      <w:r w:rsidRPr="00731A7F">
        <w:t>a regulatory affairs specialist</w:t>
      </w:r>
      <w:r w:rsidRPr="00731A7F" w:rsidR="00731A7F">
        <w:t xml:space="preserve"> (</w:t>
      </w:r>
      <w:r w:rsidRPr="00731A7F">
        <w:t>$58/hour</w:t>
      </w:r>
      <w:r w:rsidRPr="00731A7F" w:rsidR="00731A7F">
        <w:t>)</w:t>
      </w:r>
      <w:r w:rsidRPr="00731A7F">
        <w:t xml:space="preserve">, who would be responsible for filling out the form, and preparing an application, supplement, </w:t>
      </w:r>
      <w:r w:rsidRPr="00731A7F" w:rsidR="00614A35">
        <w:t>postmarketing</w:t>
      </w:r>
      <w:r w:rsidRPr="00731A7F">
        <w:t xml:space="preserve"> report, or other similar submission</w:t>
      </w:r>
      <w:r w:rsidR="00995D3F">
        <w:t>; and a medical</w:t>
      </w:r>
      <w:r w:rsidRPr="00731A7F">
        <w:t xml:space="preserve"> director</w:t>
      </w:r>
      <w:r w:rsidR="00995D3F">
        <w:t xml:space="preserve"> (</w:t>
      </w:r>
      <w:r w:rsidRPr="00731A7F">
        <w:t>$96/hour</w:t>
      </w:r>
      <w:r w:rsidR="00D65A78">
        <w:t>),</w:t>
      </w:r>
      <w:r w:rsidRPr="00731A7F">
        <w:t xml:space="preserve"> who would be responsible for preparing notification to FDA of discontinuance of a product</w:t>
      </w:r>
      <w:r w:rsidR="00081BA1">
        <w:t>.</w:t>
      </w:r>
    </w:p>
    <w:p w:rsidR="00357C8A" w:rsidRPr="00731A7F" w:rsidP="003D6333" w14:paraId="273959B5" w14:textId="77777777">
      <w:pPr>
        <w:rPr>
          <w:rFonts w:eastAsia="Calibri"/>
        </w:rPr>
      </w:pPr>
    </w:p>
    <w:p w:rsidR="00357C8A" w:rsidRPr="00E21E06" w:rsidP="003D6333" w14:paraId="5E333ACF" w14:textId="77777777">
      <w:pPr>
        <w:numPr>
          <w:ilvl w:val="0"/>
          <w:numId w:val="6"/>
        </w:numPr>
        <w:spacing w:after="200"/>
        <w:rPr>
          <w:rFonts w:eastAsia="Calibri"/>
        </w:rPr>
      </w:pPr>
      <w:r w:rsidRPr="00E21E06">
        <w:rPr>
          <w:rFonts w:eastAsia="Calibri"/>
          <w:u w:val="single"/>
        </w:rPr>
        <w:t xml:space="preserve">Estimates of Other Total Annual Costs </w:t>
      </w:r>
      <w:r w:rsidRPr="00E21E06" w:rsidR="00590E90">
        <w:rPr>
          <w:rFonts w:eastAsia="Calibri"/>
          <w:u w:val="single"/>
        </w:rPr>
        <w:t xml:space="preserve">to Respondents/Recordkeepers or </w:t>
      </w:r>
      <w:r w:rsidRPr="00E21E06">
        <w:rPr>
          <w:rFonts w:eastAsia="Calibri"/>
          <w:u w:val="single"/>
        </w:rPr>
        <w:t xml:space="preserve">Capital Costs </w:t>
      </w:r>
    </w:p>
    <w:p w:rsidR="002D28B7" w:rsidP="003D6333" w14:paraId="6E641108" w14:textId="77777777">
      <w:pPr>
        <w:spacing w:after="200"/>
        <w:rPr>
          <w:rFonts w:eastAsia="Calibri"/>
        </w:rPr>
      </w:pPr>
      <w:r w:rsidRPr="002D28B7">
        <w:rPr>
          <w:rFonts w:eastAsia="Calibri"/>
        </w:rPr>
        <w:t>There are no capital costs or operating and maintenance costs associated with this collection of information.</w:t>
      </w:r>
    </w:p>
    <w:p w:rsidR="00357C8A" w:rsidRPr="00E21E06" w:rsidP="00D67328" w14:paraId="0FEE4716" w14:textId="77777777">
      <w:pPr>
        <w:rPr>
          <w:rFonts w:eastAsia="Calibri"/>
          <w:u w:val="single"/>
        </w:rPr>
      </w:pPr>
      <w:r w:rsidRPr="00D67328">
        <w:rPr>
          <w:rFonts w:eastAsia="Calibri"/>
        </w:rPr>
        <w:t xml:space="preserve">14.  </w:t>
      </w:r>
      <w:r w:rsidRPr="00E21E06">
        <w:rPr>
          <w:rFonts w:eastAsia="Calibri"/>
          <w:u w:val="single"/>
        </w:rPr>
        <w:t>Annualized Cost to the Federal Government</w:t>
      </w:r>
    </w:p>
    <w:p w:rsidR="00AB2581" w:rsidP="00AB2581" w14:paraId="4329CF1D" w14:textId="77777777">
      <w:pPr>
        <w:pStyle w:val="BodyText"/>
        <w:spacing w:after="0"/>
        <w:ind w:firstLine="11"/>
      </w:pPr>
    </w:p>
    <w:p w:rsidR="002D28B7" w:rsidRPr="00AB2581" w:rsidP="000D76CA" w14:paraId="35FB6740" w14:textId="77777777">
      <w:pPr>
        <w:pStyle w:val="BodyText"/>
        <w:spacing w:after="0"/>
        <w:ind w:firstLine="14"/>
      </w:pPr>
      <w:r>
        <w:t xml:space="preserve">Assuming </w:t>
      </w:r>
      <w:r w:rsidRPr="00AB2581" w:rsidR="00065FAD">
        <w:t xml:space="preserve">the allocation of </w:t>
      </w:r>
      <w:r w:rsidR="00796B68">
        <w:t xml:space="preserve">145 </w:t>
      </w:r>
      <w:r w:rsidRPr="00AB2581">
        <w:t>full-time equivalent</w:t>
      </w:r>
      <w:r w:rsidRPr="00AB2581" w:rsidR="00065FAD">
        <w:t>s (FTEs) to</w:t>
      </w:r>
      <w:r>
        <w:t xml:space="preserve"> administration of the information collection</w:t>
      </w:r>
      <w:r w:rsidR="008142BC">
        <w:t xml:space="preserve"> and </w:t>
      </w:r>
      <w:r w:rsidRPr="00AB2581" w:rsidR="00AB2581">
        <w:t xml:space="preserve">an </w:t>
      </w:r>
      <w:r w:rsidRPr="00AB2581">
        <w:t xml:space="preserve">average annual salary </w:t>
      </w:r>
      <w:r w:rsidRPr="00AB2581" w:rsidR="00AB2581">
        <w:t xml:space="preserve">per FTE of </w:t>
      </w:r>
      <w:r w:rsidRPr="00AB2581">
        <w:t>$143,658</w:t>
      </w:r>
      <w:r w:rsidR="00D67328">
        <w:t xml:space="preserve"> to include benefits but no </w:t>
      </w:r>
      <w:r w:rsidRPr="00AB2581">
        <w:t>overhead costs</w:t>
      </w:r>
      <w:r w:rsidR="008142BC">
        <w:t>, we calculate the cost to the Federal government as follows:</w:t>
      </w:r>
    </w:p>
    <w:p w:rsidR="001F3738" w:rsidRPr="00AB2581" w:rsidP="000D76CA" w14:paraId="08B4C251" w14:textId="77777777">
      <w:pPr>
        <w:pStyle w:val="BodyText"/>
        <w:spacing w:after="0"/>
        <w:ind w:firstLine="14"/>
        <w:rPr>
          <w:sz w:val="28"/>
          <w:szCs w:val="28"/>
        </w:rPr>
      </w:pPr>
    </w:p>
    <w:tbl>
      <w:tblPr>
        <w:tblW w:w="9630" w:type="dxa"/>
        <w:tblInd w:w="-9" w:type="dxa"/>
        <w:tblLayout w:type="fixed"/>
        <w:tblCellMar>
          <w:left w:w="0" w:type="dxa"/>
          <w:right w:w="0" w:type="dxa"/>
        </w:tblCellMar>
        <w:tblLook w:val="01E0"/>
      </w:tblPr>
      <w:tblGrid>
        <w:gridCol w:w="3000"/>
        <w:gridCol w:w="1800"/>
        <w:gridCol w:w="2790"/>
        <w:gridCol w:w="2040"/>
      </w:tblGrid>
      <w:tr w14:paraId="63A4B27B" w14:textId="77777777" w:rsidTr="00216357">
        <w:tblPrEx>
          <w:tblW w:w="9630" w:type="dxa"/>
          <w:tblInd w:w="-9" w:type="dxa"/>
          <w:tblLayout w:type="fixed"/>
          <w:tblCellMar>
            <w:left w:w="0" w:type="dxa"/>
            <w:right w:w="0" w:type="dxa"/>
          </w:tblCellMar>
          <w:tblLook w:val="01E0"/>
        </w:tblPrEx>
        <w:trPr>
          <w:trHeight w:hRule="exact" w:val="574"/>
        </w:trPr>
        <w:tc>
          <w:tcPr>
            <w:tcW w:w="3000" w:type="dxa"/>
            <w:tcBorders>
              <w:top w:val="single" w:sz="7" w:space="0" w:color="000000"/>
              <w:left w:val="single" w:sz="7" w:space="0" w:color="000000"/>
              <w:bottom w:val="single" w:sz="13" w:space="0" w:color="000000"/>
              <w:right w:val="single" w:sz="7" w:space="0" w:color="000000"/>
            </w:tcBorders>
          </w:tcPr>
          <w:p w:rsidR="002D28B7" w:rsidRPr="009340A8" w:rsidP="0037328C" w14:paraId="198F5C85" w14:textId="77777777">
            <w:pPr>
              <w:pStyle w:val="TableParagraph"/>
              <w:jc w:val="center"/>
              <w:rPr>
                <w:rFonts w:ascii="Times New Roman" w:eastAsia="Times New Roman" w:hAnsi="Times New Roman"/>
              </w:rPr>
            </w:pPr>
            <w:r w:rsidRPr="009340A8">
              <w:rPr>
                <w:rFonts w:ascii="Times New Roman"/>
                <w:spacing w:val="-1"/>
              </w:rPr>
              <w:t>Activity</w:t>
            </w:r>
          </w:p>
        </w:tc>
        <w:tc>
          <w:tcPr>
            <w:tcW w:w="1800" w:type="dxa"/>
            <w:tcBorders>
              <w:top w:val="single" w:sz="7" w:space="0" w:color="000000"/>
              <w:left w:val="single" w:sz="7" w:space="0" w:color="000000"/>
              <w:bottom w:val="single" w:sz="13" w:space="0" w:color="000000"/>
              <w:right w:val="single" w:sz="7" w:space="0" w:color="000000"/>
            </w:tcBorders>
          </w:tcPr>
          <w:p w:rsidR="002D28B7" w:rsidRPr="009340A8" w:rsidP="0037328C" w14:paraId="2BDD0B8C" w14:textId="77777777">
            <w:pPr>
              <w:pStyle w:val="TableParagraph"/>
              <w:ind w:hanging="1"/>
              <w:jc w:val="center"/>
              <w:rPr>
                <w:rFonts w:ascii="Times New Roman" w:eastAsia="Times New Roman" w:hAnsi="Times New Roman"/>
              </w:rPr>
            </w:pPr>
            <w:r w:rsidRPr="009340A8">
              <w:rPr>
                <w:rFonts w:ascii="Times New Roman"/>
                <w:spacing w:val="-1"/>
              </w:rPr>
              <w:t>Number of</w:t>
            </w:r>
            <w:r w:rsidRPr="009340A8">
              <w:rPr>
                <w:rFonts w:ascii="Times New Roman"/>
                <w:spacing w:val="23"/>
              </w:rPr>
              <w:t xml:space="preserve"> </w:t>
            </w:r>
            <w:r w:rsidRPr="009340A8">
              <w:rPr>
                <w:rFonts w:ascii="Times New Roman"/>
                <w:spacing w:val="-1"/>
              </w:rPr>
              <w:t>FTEs</w:t>
            </w:r>
          </w:p>
        </w:tc>
        <w:tc>
          <w:tcPr>
            <w:tcW w:w="2790" w:type="dxa"/>
            <w:tcBorders>
              <w:top w:val="single" w:sz="7" w:space="0" w:color="000000"/>
              <w:left w:val="single" w:sz="7" w:space="0" w:color="000000"/>
              <w:bottom w:val="single" w:sz="13" w:space="0" w:color="000000"/>
              <w:right w:val="single" w:sz="7" w:space="0" w:color="000000"/>
            </w:tcBorders>
          </w:tcPr>
          <w:p w:rsidR="002D28B7" w:rsidRPr="009340A8" w:rsidP="0037328C" w14:paraId="5A10BA4C" w14:textId="77777777">
            <w:pPr>
              <w:pStyle w:val="TableParagraph"/>
              <w:jc w:val="center"/>
              <w:rPr>
                <w:rFonts w:ascii="Times New Roman" w:eastAsia="Times New Roman" w:hAnsi="Times New Roman"/>
              </w:rPr>
            </w:pPr>
            <w:r w:rsidRPr="009340A8">
              <w:rPr>
                <w:rFonts w:ascii="Times New Roman"/>
              </w:rPr>
              <w:t xml:space="preserve">Average Annual </w:t>
            </w:r>
            <w:r w:rsidRPr="009340A8">
              <w:rPr>
                <w:rFonts w:ascii="Times New Roman"/>
                <w:spacing w:val="-1"/>
              </w:rPr>
              <w:t>Reviewer</w:t>
            </w:r>
            <w:r w:rsidRPr="009340A8">
              <w:rPr>
                <w:rFonts w:ascii="Times New Roman"/>
                <w:spacing w:val="26"/>
              </w:rPr>
              <w:t xml:space="preserve"> </w:t>
            </w:r>
            <w:r w:rsidRPr="009340A8">
              <w:rPr>
                <w:rFonts w:ascii="Times New Roman"/>
              </w:rPr>
              <w:t>Salary</w:t>
            </w:r>
          </w:p>
        </w:tc>
        <w:tc>
          <w:tcPr>
            <w:tcW w:w="2040" w:type="dxa"/>
            <w:tcBorders>
              <w:top w:val="single" w:sz="7" w:space="0" w:color="000000"/>
              <w:left w:val="single" w:sz="7" w:space="0" w:color="000000"/>
              <w:bottom w:val="single" w:sz="13" w:space="0" w:color="000000"/>
              <w:right w:val="single" w:sz="7" w:space="0" w:color="000000"/>
            </w:tcBorders>
          </w:tcPr>
          <w:p w:rsidR="002D28B7" w:rsidRPr="009340A8" w:rsidP="0037328C" w14:paraId="4EC7D78A" w14:textId="77777777">
            <w:pPr>
              <w:pStyle w:val="TableParagraph"/>
              <w:jc w:val="center"/>
              <w:rPr>
                <w:rFonts w:ascii="Times New Roman" w:eastAsia="Times New Roman" w:hAnsi="Times New Roman"/>
              </w:rPr>
            </w:pPr>
            <w:r w:rsidRPr="009340A8">
              <w:rPr>
                <w:rFonts w:ascii="Times New Roman"/>
              </w:rPr>
              <w:t>Total Cost</w:t>
            </w:r>
          </w:p>
        </w:tc>
      </w:tr>
      <w:tr w14:paraId="0D63CB29" w14:textId="77777777" w:rsidTr="00FC2723">
        <w:tblPrEx>
          <w:tblW w:w="9630" w:type="dxa"/>
          <w:tblInd w:w="-9" w:type="dxa"/>
          <w:tblLayout w:type="fixed"/>
          <w:tblCellMar>
            <w:left w:w="0" w:type="dxa"/>
            <w:right w:w="0" w:type="dxa"/>
          </w:tblCellMar>
          <w:tblLook w:val="01E0"/>
        </w:tblPrEx>
        <w:trPr>
          <w:trHeight w:hRule="exact" w:val="446"/>
        </w:trPr>
        <w:tc>
          <w:tcPr>
            <w:tcW w:w="3000" w:type="dxa"/>
            <w:tcBorders>
              <w:top w:val="single" w:sz="13" w:space="0" w:color="000000"/>
              <w:left w:val="single" w:sz="7" w:space="0" w:color="000000"/>
              <w:bottom w:val="single" w:sz="5" w:space="0" w:color="000000"/>
              <w:right w:val="single" w:sz="7" w:space="0" w:color="000000"/>
            </w:tcBorders>
          </w:tcPr>
          <w:p w:rsidR="002D28B7" w:rsidRPr="009340A8" w:rsidP="0037328C" w14:paraId="4060015C" w14:textId="77777777">
            <w:pPr>
              <w:pStyle w:val="TableParagraph"/>
              <w:rPr>
                <w:rFonts w:ascii="Times New Roman" w:eastAsia="Times New Roman" w:hAnsi="Times New Roman"/>
              </w:rPr>
            </w:pPr>
            <w:r w:rsidRPr="009340A8">
              <w:rPr>
                <w:rFonts w:ascii="Times New Roman"/>
                <w:spacing w:val="-1"/>
              </w:rPr>
              <w:t>Application/Supplement</w:t>
            </w:r>
            <w:r w:rsidRPr="009340A8">
              <w:rPr>
                <w:rFonts w:ascii="Times New Roman"/>
                <w:spacing w:val="40"/>
              </w:rPr>
              <w:t xml:space="preserve"> </w:t>
            </w:r>
            <w:r w:rsidRPr="009340A8">
              <w:rPr>
                <w:rFonts w:ascii="Times New Roman"/>
              </w:rPr>
              <w:t>Review</w:t>
            </w:r>
          </w:p>
        </w:tc>
        <w:tc>
          <w:tcPr>
            <w:tcW w:w="1800" w:type="dxa"/>
            <w:tcBorders>
              <w:top w:val="single" w:sz="13" w:space="0" w:color="000000"/>
              <w:left w:val="single" w:sz="7" w:space="0" w:color="000000"/>
              <w:bottom w:val="single" w:sz="5" w:space="0" w:color="000000"/>
              <w:right w:val="single" w:sz="7" w:space="0" w:color="000000"/>
            </w:tcBorders>
          </w:tcPr>
          <w:p w:rsidR="002D28B7" w:rsidRPr="009340A8" w:rsidP="0037328C" w14:paraId="3E20F6BF" w14:textId="77777777">
            <w:pPr>
              <w:pStyle w:val="TableParagraph"/>
              <w:jc w:val="right"/>
              <w:rPr>
                <w:rFonts w:ascii="Times New Roman" w:eastAsia="Times New Roman" w:hAnsi="Times New Roman"/>
              </w:rPr>
            </w:pPr>
            <w:r w:rsidRPr="009340A8">
              <w:rPr>
                <w:rFonts w:ascii="Times New Roman"/>
              </w:rPr>
              <w:t>103</w:t>
            </w:r>
          </w:p>
        </w:tc>
        <w:tc>
          <w:tcPr>
            <w:tcW w:w="2790" w:type="dxa"/>
            <w:tcBorders>
              <w:top w:val="single" w:sz="13" w:space="0" w:color="000000"/>
              <w:left w:val="single" w:sz="7" w:space="0" w:color="000000"/>
              <w:bottom w:val="single" w:sz="5" w:space="0" w:color="000000"/>
              <w:right w:val="single" w:sz="7" w:space="0" w:color="000000"/>
            </w:tcBorders>
          </w:tcPr>
          <w:p w:rsidR="002D28B7" w:rsidRPr="009340A8" w:rsidP="0037328C" w14:paraId="11A6CC70" w14:textId="77777777">
            <w:pPr>
              <w:pStyle w:val="TableParagraph"/>
              <w:jc w:val="right"/>
              <w:rPr>
                <w:rFonts w:ascii="Times New Roman" w:eastAsia="Times New Roman" w:hAnsi="Times New Roman"/>
              </w:rPr>
            </w:pPr>
            <w:r w:rsidRPr="009340A8">
              <w:rPr>
                <w:rFonts w:ascii="Times New Roman"/>
              </w:rPr>
              <w:t>$143,658</w:t>
            </w:r>
          </w:p>
        </w:tc>
        <w:tc>
          <w:tcPr>
            <w:tcW w:w="2040" w:type="dxa"/>
            <w:tcBorders>
              <w:top w:val="single" w:sz="13" w:space="0" w:color="000000"/>
              <w:left w:val="single" w:sz="7" w:space="0" w:color="000000"/>
              <w:bottom w:val="single" w:sz="5" w:space="0" w:color="000000"/>
              <w:right w:val="single" w:sz="7" w:space="0" w:color="000000"/>
            </w:tcBorders>
          </w:tcPr>
          <w:p w:rsidR="002D28B7" w:rsidRPr="009340A8" w:rsidP="0037328C" w14:paraId="46FDB05D" w14:textId="77777777">
            <w:pPr>
              <w:pStyle w:val="TableParagraph"/>
              <w:jc w:val="right"/>
              <w:rPr>
                <w:rFonts w:ascii="Times New Roman" w:eastAsia="Times New Roman" w:hAnsi="Times New Roman"/>
              </w:rPr>
            </w:pPr>
            <w:r w:rsidRPr="009340A8">
              <w:rPr>
                <w:rFonts w:ascii="Times New Roman"/>
              </w:rPr>
              <w:t>$14,796,774</w:t>
            </w:r>
          </w:p>
        </w:tc>
      </w:tr>
      <w:tr w14:paraId="7739763C" w14:textId="77777777" w:rsidTr="00216357">
        <w:tblPrEx>
          <w:tblW w:w="9630" w:type="dxa"/>
          <w:tblInd w:w="-9" w:type="dxa"/>
          <w:tblLayout w:type="fixed"/>
          <w:tblCellMar>
            <w:left w:w="0" w:type="dxa"/>
            <w:right w:w="0" w:type="dxa"/>
          </w:tblCellMar>
          <w:tblLook w:val="01E0"/>
        </w:tblPrEx>
        <w:trPr>
          <w:trHeight w:hRule="exact" w:val="413"/>
        </w:trPr>
        <w:tc>
          <w:tcPr>
            <w:tcW w:w="3000" w:type="dxa"/>
            <w:tcBorders>
              <w:top w:val="single" w:sz="5" w:space="0" w:color="000000"/>
              <w:left w:val="single" w:sz="7" w:space="0" w:color="000000"/>
              <w:bottom w:val="single" w:sz="5" w:space="0" w:color="000000"/>
              <w:right w:val="single" w:sz="7" w:space="0" w:color="000000"/>
            </w:tcBorders>
          </w:tcPr>
          <w:p w:rsidR="002D28B7" w:rsidRPr="009340A8" w:rsidP="0037328C" w14:paraId="4875A289" w14:textId="77777777">
            <w:pPr>
              <w:pStyle w:val="TableParagraph"/>
              <w:rPr>
                <w:rFonts w:ascii="Times New Roman" w:eastAsia="Times New Roman" w:hAnsi="Times New Roman"/>
              </w:rPr>
            </w:pPr>
            <w:r w:rsidRPr="009340A8">
              <w:rPr>
                <w:rFonts w:ascii="Times New Roman"/>
              </w:rPr>
              <w:t>License Processing</w:t>
            </w:r>
          </w:p>
        </w:tc>
        <w:tc>
          <w:tcPr>
            <w:tcW w:w="1800" w:type="dxa"/>
            <w:tcBorders>
              <w:top w:val="single" w:sz="5" w:space="0" w:color="000000"/>
              <w:left w:val="single" w:sz="7" w:space="0" w:color="000000"/>
              <w:bottom w:val="single" w:sz="5" w:space="0" w:color="000000"/>
              <w:right w:val="single" w:sz="7" w:space="0" w:color="000000"/>
            </w:tcBorders>
          </w:tcPr>
          <w:p w:rsidR="002D28B7" w:rsidRPr="009340A8" w:rsidP="0037328C" w14:paraId="63E935EA" w14:textId="77777777">
            <w:pPr>
              <w:pStyle w:val="TableParagraph"/>
              <w:jc w:val="right"/>
              <w:rPr>
                <w:rFonts w:ascii="Times New Roman" w:eastAsia="Times New Roman" w:hAnsi="Times New Roman"/>
              </w:rPr>
            </w:pPr>
            <w:r w:rsidRPr="009340A8">
              <w:rPr>
                <w:rFonts w:ascii="Times New Roman"/>
              </w:rPr>
              <w:t>36</w:t>
            </w:r>
          </w:p>
        </w:tc>
        <w:tc>
          <w:tcPr>
            <w:tcW w:w="2790" w:type="dxa"/>
            <w:tcBorders>
              <w:top w:val="single" w:sz="5" w:space="0" w:color="000000"/>
              <w:left w:val="single" w:sz="7" w:space="0" w:color="000000"/>
              <w:bottom w:val="single" w:sz="5" w:space="0" w:color="000000"/>
              <w:right w:val="single" w:sz="7" w:space="0" w:color="000000"/>
            </w:tcBorders>
          </w:tcPr>
          <w:p w:rsidR="002D28B7" w:rsidRPr="009340A8" w:rsidP="0037328C" w14:paraId="04C62B2D" w14:textId="77777777">
            <w:pPr>
              <w:pStyle w:val="TableParagraph"/>
              <w:jc w:val="right"/>
              <w:rPr>
                <w:rFonts w:ascii="Times New Roman" w:eastAsia="Times New Roman" w:hAnsi="Times New Roman"/>
              </w:rPr>
            </w:pPr>
            <w:r w:rsidRPr="009340A8">
              <w:rPr>
                <w:rFonts w:ascii="Times New Roman"/>
              </w:rPr>
              <w:t>$143,658</w:t>
            </w:r>
          </w:p>
        </w:tc>
        <w:tc>
          <w:tcPr>
            <w:tcW w:w="2040" w:type="dxa"/>
            <w:tcBorders>
              <w:top w:val="single" w:sz="5" w:space="0" w:color="000000"/>
              <w:left w:val="single" w:sz="7" w:space="0" w:color="000000"/>
              <w:bottom w:val="single" w:sz="5" w:space="0" w:color="000000"/>
              <w:right w:val="single" w:sz="7" w:space="0" w:color="000000"/>
            </w:tcBorders>
          </w:tcPr>
          <w:p w:rsidR="002D28B7" w:rsidRPr="009340A8" w:rsidP="0037328C" w14:paraId="417316AB" w14:textId="77777777">
            <w:pPr>
              <w:pStyle w:val="TableParagraph"/>
              <w:jc w:val="right"/>
              <w:rPr>
                <w:rFonts w:ascii="Times New Roman" w:eastAsia="Times New Roman" w:hAnsi="Times New Roman"/>
              </w:rPr>
            </w:pPr>
            <w:r w:rsidRPr="009340A8">
              <w:rPr>
                <w:rFonts w:ascii="Times New Roman"/>
              </w:rPr>
              <w:t>$5,171,688</w:t>
            </w:r>
          </w:p>
        </w:tc>
      </w:tr>
      <w:tr w14:paraId="613F62FE" w14:textId="77777777" w:rsidTr="00216357">
        <w:tblPrEx>
          <w:tblW w:w="9630" w:type="dxa"/>
          <w:tblInd w:w="-9" w:type="dxa"/>
          <w:tblLayout w:type="fixed"/>
          <w:tblCellMar>
            <w:left w:w="0" w:type="dxa"/>
            <w:right w:w="0" w:type="dxa"/>
          </w:tblCellMar>
          <w:tblLook w:val="01E0"/>
        </w:tblPrEx>
        <w:trPr>
          <w:trHeight w:hRule="exact" w:val="563"/>
        </w:trPr>
        <w:tc>
          <w:tcPr>
            <w:tcW w:w="3000" w:type="dxa"/>
            <w:tcBorders>
              <w:top w:val="single" w:sz="5" w:space="0" w:color="000000"/>
              <w:left w:val="single" w:sz="7" w:space="0" w:color="000000"/>
              <w:bottom w:val="single" w:sz="5" w:space="0" w:color="000000"/>
              <w:right w:val="single" w:sz="7" w:space="0" w:color="000000"/>
            </w:tcBorders>
          </w:tcPr>
          <w:p w:rsidR="002D28B7" w:rsidRPr="009340A8" w:rsidP="0037328C" w14:paraId="7279CD03" w14:textId="77777777">
            <w:pPr>
              <w:pStyle w:val="TableParagraph"/>
              <w:rPr>
                <w:rFonts w:ascii="Times New Roman" w:eastAsia="Times New Roman" w:hAnsi="Times New Roman"/>
              </w:rPr>
            </w:pPr>
            <w:r w:rsidRPr="009340A8">
              <w:rPr>
                <w:rFonts w:ascii="Times New Roman"/>
                <w:spacing w:val="-1"/>
              </w:rPr>
              <w:t>Advertisement/Promotional</w:t>
            </w:r>
            <w:r w:rsidRPr="009340A8">
              <w:rPr>
                <w:rFonts w:ascii="Times New Roman"/>
                <w:spacing w:val="43"/>
              </w:rPr>
              <w:t xml:space="preserve"> </w:t>
            </w:r>
            <w:r w:rsidRPr="009340A8">
              <w:rPr>
                <w:rFonts w:ascii="Times New Roman"/>
              </w:rPr>
              <w:t>Labeling</w:t>
            </w:r>
          </w:p>
        </w:tc>
        <w:tc>
          <w:tcPr>
            <w:tcW w:w="1800" w:type="dxa"/>
            <w:tcBorders>
              <w:top w:val="single" w:sz="5" w:space="0" w:color="000000"/>
              <w:left w:val="single" w:sz="7" w:space="0" w:color="000000"/>
              <w:bottom w:val="single" w:sz="5" w:space="0" w:color="000000"/>
              <w:right w:val="single" w:sz="7" w:space="0" w:color="000000"/>
            </w:tcBorders>
          </w:tcPr>
          <w:p w:rsidR="002D28B7" w:rsidRPr="009340A8" w:rsidP="0037328C" w14:paraId="45BAD79D" w14:textId="77777777">
            <w:pPr>
              <w:pStyle w:val="TableParagraph"/>
              <w:jc w:val="right"/>
              <w:rPr>
                <w:rFonts w:ascii="Times New Roman" w:eastAsia="Times New Roman" w:hAnsi="Times New Roman"/>
              </w:rPr>
            </w:pPr>
            <w:r w:rsidRPr="009340A8">
              <w:rPr>
                <w:rFonts w:ascii="Times New Roman"/>
              </w:rPr>
              <w:t>5</w:t>
            </w:r>
          </w:p>
        </w:tc>
        <w:tc>
          <w:tcPr>
            <w:tcW w:w="2790" w:type="dxa"/>
            <w:tcBorders>
              <w:top w:val="single" w:sz="5" w:space="0" w:color="000000"/>
              <w:left w:val="single" w:sz="7" w:space="0" w:color="000000"/>
              <w:bottom w:val="single" w:sz="5" w:space="0" w:color="000000"/>
              <w:right w:val="single" w:sz="7" w:space="0" w:color="000000"/>
            </w:tcBorders>
          </w:tcPr>
          <w:p w:rsidR="002D28B7" w:rsidRPr="009340A8" w:rsidP="0037328C" w14:paraId="2BEE6EB0" w14:textId="77777777">
            <w:pPr>
              <w:pStyle w:val="TableParagraph"/>
              <w:jc w:val="right"/>
              <w:rPr>
                <w:rFonts w:ascii="Times New Roman" w:eastAsia="Times New Roman" w:hAnsi="Times New Roman"/>
              </w:rPr>
            </w:pPr>
            <w:r w:rsidRPr="009340A8">
              <w:rPr>
                <w:rFonts w:ascii="Times New Roman"/>
              </w:rPr>
              <w:t>$143,658</w:t>
            </w:r>
          </w:p>
        </w:tc>
        <w:tc>
          <w:tcPr>
            <w:tcW w:w="2040" w:type="dxa"/>
            <w:tcBorders>
              <w:top w:val="single" w:sz="5" w:space="0" w:color="000000"/>
              <w:left w:val="single" w:sz="7" w:space="0" w:color="000000"/>
              <w:bottom w:val="single" w:sz="5" w:space="0" w:color="000000"/>
              <w:right w:val="single" w:sz="7" w:space="0" w:color="000000"/>
            </w:tcBorders>
          </w:tcPr>
          <w:p w:rsidR="002D28B7" w:rsidRPr="009340A8" w:rsidP="0037328C" w14:paraId="751928CE" w14:textId="77777777">
            <w:pPr>
              <w:pStyle w:val="TableParagraph"/>
              <w:jc w:val="right"/>
              <w:rPr>
                <w:rFonts w:ascii="Times New Roman" w:eastAsia="Times New Roman" w:hAnsi="Times New Roman"/>
              </w:rPr>
            </w:pPr>
            <w:r w:rsidRPr="009340A8">
              <w:rPr>
                <w:rFonts w:ascii="Times New Roman"/>
              </w:rPr>
              <w:t>$718,290</w:t>
            </w:r>
          </w:p>
        </w:tc>
      </w:tr>
      <w:tr w14:paraId="48946BAF" w14:textId="77777777" w:rsidTr="00FC2723">
        <w:tblPrEx>
          <w:tblW w:w="9630" w:type="dxa"/>
          <w:tblInd w:w="-9" w:type="dxa"/>
          <w:tblLayout w:type="fixed"/>
          <w:tblCellMar>
            <w:left w:w="0" w:type="dxa"/>
            <w:right w:w="0" w:type="dxa"/>
          </w:tblCellMar>
          <w:tblLook w:val="01E0"/>
        </w:tblPrEx>
        <w:trPr>
          <w:trHeight w:hRule="exact" w:val="408"/>
        </w:trPr>
        <w:tc>
          <w:tcPr>
            <w:tcW w:w="3000" w:type="dxa"/>
            <w:tcBorders>
              <w:top w:val="single" w:sz="5" w:space="0" w:color="000000"/>
              <w:left w:val="single" w:sz="7" w:space="0" w:color="000000"/>
              <w:bottom w:val="single" w:sz="5" w:space="0" w:color="000000"/>
              <w:right w:val="single" w:sz="7" w:space="0" w:color="000000"/>
            </w:tcBorders>
          </w:tcPr>
          <w:p w:rsidR="002D28B7" w:rsidRPr="009340A8" w:rsidP="0037328C" w14:paraId="57C5835D" w14:textId="77777777">
            <w:pPr>
              <w:pStyle w:val="TableParagraph"/>
              <w:rPr>
                <w:rFonts w:ascii="Times New Roman" w:eastAsia="Times New Roman" w:hAnsi="Times New Roman"/>
              </w:rPr>
            </w:pPr>
            <w:r w:rsidRPr="009340A8">
              <w:rPr>
                <w:rFonts w:ascii="Times New Roman"/>
              </w:rPr>
              <w:t>Review P</w:t>
            </w:r>
            <w:r w:rsidRPr="009340A8" w:rsidR="005E1863">
              <w:rPr>
                <w:rFonts w:ascii="Times New Roman"/>
              </w:rPr>
              <w:t>ostmarketing</w:t>
            </w:r>
            <w:r w:rsidRPr="009340A8">
              <w:rPr>
                <w:rFonts w:ascii="Times New Roman"/>
              </w:rPr>
              <w:t xml:space="preserve"> Report</w:t>
            </w:r>
          </w:p>
        </w:tc>
        <w:tc>
          <w:tcPr>
            <w:tcW w:w="1800" w:type="dxa"/>
            <w:tcBorders>
              <w:top w:val="single" w:sz="5" w:space="0" w:color="000000"/>
              <w:left w:val="single" w:sz="7" w:space="0" w:color="000000"/>
              <w:bottom w:val="single" w:sz="5" w:space="0" w:color="000000"/>
              <w:right w:val="single" w:sz="7" w:space="0" w:color="000000"/>
            </w:tcBorders>
          </w:tcPr>
          <w:p w:rsidR="002D28B7" w:rsidRPr="009340A8" w:rsidP="0037328C" w14:paraId="4F4D5F80" w14:textId="77777777">
            <w:pPr>
              <w:pStyle w:val="TableParagraph"/>
              <w:jc w:val="right"/>
              <w:rPr>
                <w:rFonts w:ascii="Times New Roman" w:eastAsia="Times New Roman" w:hAnsi="Times New Roman"/>
              </w:rPr>
            </w:pPr>
            <w:r>
              <w:rPr>
                <w:rFonts w:ascii="Times New Roman"/>
              </w:rPr>
              <w:t>1</w:t>
            </w:r>
          </w:p>
        </w:tc>
        <w:tc>
          <w:tcPr>
            <w:tcW w:w="2790" w:type="dxa"/>
            <w:tcBorders>
              <w:top w:val="single" w:sz="5" w:space="0" w:color="000000"/>
              <w:left w:val="single" w:sz="7" w:space="0" w:color="000000"/>
              <w:bottom w:val="single" w:sz="5" w:space="0" w:color="000000"/>
              <w:right w:val="single" w:sz="7" w:space="0" w:color="000000"/>
            </w:tcBorders>
          </w:tcPr>
          <w:p w:rsidR="002D28B7" w:rsidRPr="009340A8" w:rsidP="0037328C" w14:paraId="66558DBC" w14:textId="77777777">
            <w:pPr>
              <w:pStyle w:val="TableParagraph"/>
              <w:jc w:val="right"/>
              <w:rPr>
                <w:rFonts w:ascii="Times New Roman" w:eastAsia="Times New Roman" w:hAnsi="Times New Roman"/>
              </w:rPr>
            </w:pPr>
            <w:r w:rsidRPr="009340A8">
              <w:rPr>
                <w:rFonts w:ascii="Times New Roman"/>
              </w:rPr>
              <w:t>$143,658</w:t>
            </w:r>
          </w:p>
        </w:tc>
        <w:tc>
          <w:tcPr>
            <w:tcW w:w="2040" w:type="dxa"/>
            <w:tcBorders>
              <w:top w:val="single" w:sz="5" w:space="0" w:color="000000"/>
              <w:left w:val="single" w:sz="7" w:space="0" w:color="000000"/>
              <w:bottom w:val="single" w:sz="5" w:space="0" w:color="000000"/>
              <w:right w:val="single" w:sz="7" w:space="0" w:color="000000"/>
            </w:tcBorders>
          </w:tcPr>
          <w:p w:rsidR="002D28B7" w:rsidRPr="009340A8" w:rsidP="0037328C" w14:paraId="7B2B5623" w14:textId="77777777">
            <w:pPr>
              <w:pStyle w:val="TableParagraph"/>
              <w:jc w:val="right"/>
              <w:rPr>
                <w:rFonts w:ascii="Times New Roman" w:eastAsia="Times New Roman" w:hAnsi="Times New Roman"/>
              </w:rPr>
            </w:pPr>
            <w:r w:rsidRPr="009340A8">
              <w:rPr>
                <w:rFonts w:ascii="Times New Roman"/>
              </w:rPr>
              <w:t>$143,658</w:t>
            </w:r>
          </w:p>
        </w:tc>
      </w:tr>
      <w:tr w14:paraId="29C4259A" w14:textId="77777777" w:rsidTr="00FC2723">
        <w:tblPrEx>
          <w:tblW w:w="9630" w:type="dxa"/>
          <w:tblInd w:w="-9" w:type="dxa"/>
          <w:tblLayout w:type="fixed"/>
          <w:tblCellMar>
            <w:left w:w="0" w:type="dxa"/>
            <w:right w:w="0" w:type="dxa"/>
          </w:tblCellMar>
          <w:tblLook w:val="01E0"/>
        </w:tblPrEx>
        <w:trPr>
          <w:trHeight w:hRule="exact" w:val="309"/>
        </w:trPr>
        <w:tc>
          <w:tcPr>
            <w:tcW w:w="3000" w:type="dxa"/>
            <w:tcBorders>
              <w:top w:val="single" w:sz="5" w:space="0" w:color="000000"/>
              <w:left w:val="single" w:sz="7" w:space="0" w:color="000000"/>
              <w:bottom w:val="single" w:sz="5" w:space="0" w:color="000000"/>
              <w:right w:val="single" w:sz="7" w:space="0" w:color="000000"/>
            </w:tcBorders>
          </w:tcPr>
          <w:p w:rsidR="00216357" w:rsidRPr="009340A8" w:rsidP="0037328C" w14:paraId="00F3F2DE" w14:textId="77777777">
            <w:pPr>
              <w:pStyle w:val="TableParagraph"/>
              <w:rPr>
                <w:rFonts w:ascii="Times New Roman"/>
              </w:rPr>
            </w:pPr>
            <w:r w:rsidRPr="009340A8">
              <w:rPr>
                <w:rFonts w:ascii="Times New Roman"/>
              </w:rPr>
              <w:t>TOTAL</w:t>
            </w:r>
          </w:p>
        </w:tc>
        <w:tc>
          <w:tcPr>
            <w:tcW w:w="1800" w:type="dxa"/>
            <w:tcBorders>
              <w:top w:val="single" w:sz="5" w:space="0" w:color="000000"/>
              <w:left w:val="single" w:sz="7" w:space="0" w:color="000000"/>
              <w:bottom w:val="single" w:sz="5" w:space="0" w:color="000000"/>
              <w:right w:val="single" w:sz="7" w:space="0" w:color="000000"/>
            </w:tcBorders>
          </w:tcPr>
          <w:p w:rsidR="00216357" w:rsidRPr="009340A8" w:rsidP="0037328C" w14:paraId="29B8DD68" w14:textId="77777777">
            <w:pPr>
              <w:pStyle w:val="TableParagraph"/>
              <w:jc w:val="right"/>
              <w:rPr>
                <w:rFonts w:ascii="Times New Roman"/>
              </w:rPr>
            </w:pPr>
            <w:r w:rsidRPr="009340A8">
              <w:rPr>
                <w:rFonts w:ascii="Times New Roman"/>
              </w:rPr>
              <w:fldChar w:fldCharType="begin"/>
            </w:r>
            <w:r w:rsidRPr="009340A8">
              <w:rPr>
                <w:rFonts w:ascii="Times New Roman"/>
              </w:rPr>
              <w:instrText xml:space="preserve"> =SUM(ABOVE) </w:instrText>
            </w:r>
            <w:r w:rsidRPr="009340A8">
              <w:rPr>
                <w:rFonts w:ascii="Times New Roman"/>
              </w:rPr>
              <w:fldChar w:fldCharType="separate"/>
            </w:r>
            <w:r w:rsidRPr="009340A8">
              <w:rPr>
                <w:rFonts w:ascii="Times New Roman"/>
                <w:noProof/>
              </w:rPr>
              <w:t>145</w:t>
            </w:r>
            <w:r w:rsidRPr="009340A8">
              <w:rPr>
                <w:rFonts w:ascii="Times New Roman"/>
              </w:rPr>
              <w:fldChar w:fldCharType="end"/>
            </w:r>
          </w:p>
        </w:tc>
        <w:tc>
          <w:tcPr>
            <w:tcW w:w="2790" w:type="dxa"/>
            <w:tcBorders>
              <w:top w:val="single" w:sz="5" w:space="0" w:color="000000"/>
              <w:left w:val="single" w:sz="7" w:space="0" w:color="000000"/>
              <w:bottom w:val="single" w:sz="5" w:space="0" w:color="000000"/>
              <w:right w:val="single" w:sz="7" w:space="0" w:color="000000"/>
            </w:tcBorders>
          </w:tcPr>
          <w:p w:rsidR="00216357" w:rsidRPr="009340A8" w:rsidP="0037328C" w14:paraId="34129F72" w14:textId="77777777">
            <w:pPr>
              <w:pStyle w:val="TableParagraph"/>
              <w:jc w:val="right"/>
              <w:rPr>
                <w:rFonts w:ascii="Times New Roman"/>
              </w:rPr>
            </w:pPr>
          </w:p>
        </w:tc>
        <w:tc>
          <w:tcPr>
            <w:tcW w:w="2040" w:type="dxa"/>
            <w:tcBorders>
              <w:top w:val="single" w:sz="5" w:space="0" w:color="000000"/>
              <w:left w:val="single" w:sz="7" w:space="0" w:color="000000"/>
              <w:bottom w:val="single" w:sz="5" w:space="0" w:color="000000"/>
              <w:right w:val="single" w:sz="7" w:space="0" w:color="000000"/>
            </w:tcBorders>
          </w:tcPr>
          <w:p w:rsidR="00216357" w:rsidRPr="009340A8" w:rsidP="0037328C" w14:paraId="497BB463" w14:textId="77777777">
            <w:pPr>
              <w:pStyle w:val="TableParagraph"/>
              <w:jc w:val="right"/>
              <w:rPr>
                <w:rFonts w:ascii="Times New Roman"/>
              </w:rPr>
            </w:pPr>
            <w:r w:rsidRPr="009340A8">
              <w:rPr>
                <w:rFonts w:ascii="Times New Roman"/>
              </w:rPr>
              <w:fldChar w:fldCharType="begin"/>
            </w:r>
            <w:r w:rsidRPr="009340A8">
              <w:rPr>
                <w:rFonts w:ascii="Times New Roman"/>
              </w:rPr>
              <w:instrText xml:space="preserve"> =SUM(ABOVE) \# "$#,##0.;($#,##0.)" </w:instrText>
            </w:r>
            <w:r w:rsidRPr="009340A8">
              <w:rPr>
                <w:rFonts w:ascii="Times New Roman"/>
              </w:rPr>
              <w:fldChar w:fldCharType="separate"/>
            </w:r>
            <w:r w:rsidRPr="009340A8">
              <w:rPr>
                <w:rFonts w:ascii="Times New Roman"/>
                <w:noProof/>
              </w:rPr>
              <w:t>$20,830,410.</w:t>
            </w:r>
            <w:r w:rsidRPr="009340A8">
              <w:rPr>
                <w:rFonts w:ascii="Times New Roman"/>
              </w:rPr>
              <w:fldChar w:fldCharType="end"/>
            </w:r>
          </w:p>
        </w:tc>
      </w:tr>
    </w:tbl>
    <w:p w:rsidR="00357C8A" w:rsidRPr="00E21E06" w:rsidP="003D6333" w14:paraId="64E348D4" w14:textId="77777777">
      <w:pPr>
        <w:rPr>
          <w:rFonts w:eastAsia="Calibri"/>
        </w:rPr>
      </w:pPr>
    </w:p>
    <w:p w:rsidR="00357C8A" w:rsidRPr="00E21E06" w:rsidP="00D67328" w14:paraId="7E6DDC95" w14:textId="77777777">
      <w:pPr>
        <w:numPr>
          <w:ilvl w:val="0"/>
          <w:numId w:val="12"/>
        </w:numPr>
        <w:spacing w:after="200"/>
        <w:rPr>
          <w:rFonts w:eastAsia="Calibri"/>
          <w:u w:val="single"/>
        </w:rPr>
      </w:pPr>
      <w:r w:rsidRPr="00E21E06">
        <w:rPr>
          <w:rFonts w:eastAsia="Calibri"/>
          <w:u w:val="single"/>
        </w:rPr>
        <w:t>Explanation for Program Changes or Adjustments</w:t>
      </w:r>
    </w:p>
    <w:p w:rsidR="00357C8A" w:rsidRPr="002D28B7" w:rsidP="003D6333" w14:paraId="57B42BBA" w14:textId="06BB7BB6">
      <w:pPr>
        <w:spacing w:after="200"/>
      </w:pPr>
      <w:r>
        <w:t>There have been no program changes</w:t>
      </w:r>
      <w:r w:rsidR="00047C55">
        <w:t xml:space="preserve"> to the information collection</w:t>
      </w:r>
      <w:r w:rsidR="00721CA8">
        <w:t>.  At the same time</w:t>
      </w:r>
      <w:r w:rsidR="00774195">
        <w:t>, burden previous</w:t>
      </w:r>
      <w:r w:rsidR="007E1C4A">
        <w:t>ly</w:t>
      </w:r>
      <w:r w:rsidR="00774195">
        <w:t xml:space="preserve"> captured in control no. 0910-0206</w:t>
      </w:r>
      <w:r w:rsidRPr="00262441" w:rsidR="00262441">
        <w:t xml:space="preserve"> </w:t>
      </w:r>
      <w:r w:rsidR="007E1C4A">
        <w:t xml:space="preserve">regarding the </w:t>
      </w:r>
      <w:r w:rsidR="009920F3">
        <w:t xml:space="preserve">collection of samples </w:t>
      </w:r>
      <w:r w:rsidR="00721CA8">
        <w:t xml:space="preserve">and </w:t>
      </w:r>
      <w:r w:rsidR="00EA48C6">
        <w:t>now in</w:t>
      </w:r>
      <w:r w:rsidR="00801843">
        <w:t xml:space="preserve">corporated into </w:t>
      </w:r>
      <w:r w:rsidR="00694E1C">
        <w:t>IC element</w:t>
      </w:r>
      <w:r w:rsidR="00DF51AB">
        <w:t>s</w:t>
      </w:r>
      <w:r w:rsidR="00694E1C">
        <w:t xml:space="preserve"> # 1 (</w:t>
      </w:r>
      <w:r w:rsidRPr="00721850" w:rsidR="004F3ECE">
        <w:rPr>
          <w:i/>
          <w:iCs/>
        </w:rPr>
        <w:t>Applications a</w:t>
      </w:r>
      <w:r w:rsidRPr="00721850" w:rsidR="00A61C8B">
        <w:rPr>
          <w:i/>
          <w:iCs/>
        </w:rPr>
        <w:t>nd supplements, including labeling and requests for samples</w:t>
      </w:r>
      <w:r w:rsidR="00721850">
        <w:t>)</w:t>
      </w:r>
      <w:r w:rsidR="007061FA">
        <w:t xml:space="preserve"> </w:t>
      </w:r>
      <w:r w:rsidR="00DF51AB">
        <w:t xml:space="preserve">and # </w:t>
      </w:r>
      <w:r w:rsidR="00B45003">
        <w:t>5 (</w:t>
      </w:r>
      <w:r w:rsidRPr="00F70BA8" w:rsidR="00B45003">
        <w:rPr>
          <w:i/>
          <w:iCs/>
        </w:rPr>
        <w:t>Part 6</w:t>
      </w:r>
      <w:r w:rsidR="00F70BA8">
        <w:rPr>
          <w:i/>
          <w:iCs/>
        </w:rPr>
        <w:t>8</w:t>
      </w:r>
      <w:r w:rsidRPr="00F70BA8" w:rsidR="00B45003">
        <w:rPr>
          <w:i/>
          <w:iCs/>
        </w:rPr>
        <w:t>0; additional standards</w:t>
      </w:r>
      <w:r w:rsidR="00F70BA8">
        <w:t xml:space="preserve">) </w:t>
      </w:r>
      <w:r w:rsidR="007061FA">
        <w:t>t</w:t>
      </w:r>
      <w:r w:rsidR="00AF2B25">
        <w:t>ogether with nominal flu</w:t>
      </w:r>
      <w:r w:rsidR="003B2A8D">
        <w:t>ct</w:t>
      </w:r>
      <w:r w:rsidR="00AF2B25">
        <w:t xml:space="preserve">uations </w:t>
      </w:r>
      <w:r w:rsidR="007061FA">
        <w:t xml:space="preserve">in </w:t>
      </w:r>
      <w:r w:rsidR="00AF2B25">
        <w:t>submission activity over the past three years</w:t>
      </w:r>
      <w:r w:rsidR="00F642D6">
        <w:t xml:space="preserve"> </w:t>
      </w:r>
      <w:r w:rsidR="00AF2B25">
        <w:t xml:space="preserve">shows a </w:t>
      </w:r>
      <w:r w:rsidRPr="00262441" w:rsidR="00262441">
        <w:t>decrease of 2,168 responses and an increase of 29,133 burden hours annually.</w:t>
      </w:r>
    </w:p>
    <w:p w:rsidR="00357C8A" w:rsidRPr="00E21E06" w:rsidP="00D67328" w14:paraId="35FE521E" w14:textId="77777777">
      <w:pPr>
        <w:numPr>
          <w:ilvl w:val="0"/>
          <w:numId w:val="12"/>
        </w:numPr>
        <w:spacing w:after="200"/>
        <w:rPr>
          <w:rFonts w:eastAsia="Calibri"/>
          <w:u w:val="single"/>
        </w:rPr>
      </w:pPr>
      <w:r w:rsidRPr="00E21E06">
        <w:rPr>
          <w:rFonts w:eastAsia="Calibri"/>
          <w:u w:val="single"/>
        </w:rPr>
        <w:t>Plans for Tabulation and Publication and Project Time Schedule</w:t>
      </w:r>
    </w:p>
    <w:p w:rsidR="00357C8A" w:rsidRPr="00E21E06" w:rsidP="003D6333" w14:paraId="78A110AD" w14:textId="77777777">
      <w:pPr>
        <w:spacing w:after="200"/>
        <w:rPr>
          <w:rFonts w:eastAsia="Calibri"/>
        </w:rPr>
      </w:pPr>
      <w:r w:rsidRPr="00E21E06">
        <w:rPr>
          <w:rFonts w:eastAsia="Calibri"/>
        </w:rPr>
        <w:t>Th</w:t>
      </w:r>
      <w:r w:rsidR="00340B06">
        <w:rPr>
          <w:rFonts w:eastAsia="Calibri"/>
        </w:rPr>
        <w:t>e</w:t>
      </w:r>
      <w:r w:rsidRPr="00E21E06">
        <w:rPr>
          <w:rFonts w:eastAsia="Calibri"/>
        </w:rPr>
        <w:t xml:space="preserve"> information collected will not be published or tabulated</w:t>
      </w:r>
      <w:r w:rsidR="00340B06">
        <w:rPr>
          <w:rFonts w:eastAsia="Calibri"/>
        </w:rPr>
        <w:t>.</w:t>
      </w:r>
    </w:p>
    <w:p w:rsidR="00357C8A" w:rsidRPr="00E21E06" w:rsidP="00D67328" w14:paraId="5609BD80" w14:textId="77777777">
      <w:pPr>
        <w:numPr>
          <w:ilvl w:val="0"/>
          <w:numId w:val="12"/>
        </w:numPr>
        <w:spacing w:after="200"/>
        <w:rPr>
          <w:rFonts w:eastAsia="Calibri"/>
          <w:u w:val="single"/>
        </w:rPr>
      </w:pPr>
      <w:r w:rsidRPr="00E21E06">
        <w:rPr>
          <w:rFonts w:eastAsia="Calibri"/>
          <w:u w:val="single"/>
        </w:rPr>
        <w:t>Reason(s) Display of OMB Expiration Date is Inappropriate</w:t>
      </w:r>
    </w:p>
    <w:p w:rsidR="00357C8A" w:rsidRPr="00E21E06" w:rsidP="003D6333" w14:paraId="4EB7ACB1" w14:textId="77777777">
      <w:pPr>
        <w:spacing w:after="200"/>
        <w:rPr>
          <w:rFonts w:eastAsia="Calibri"/>
        </w:rPr>
      </w:pPr>
      <w:r>
        <w:rPr>
          <w:rFonts w:eastAsia="Calibri"/>
        </w:rPr>
        <w:t xml:space="preserve">Display of the </w:t>
      </w:r>
      <w:r w:rsidRPr="00E21E06">
        <w:rPr>
          <w:rFonts w:eastAsia="Calibri"/>
        </w:rPr>
        <w:t xml:space="preserve">OMB </w:t>
      </w:r>
      <w:r>
        <w:rPr>
          <w:rFonts w:eastAsia="Calibri"/>
        </w:rPr>
        <w:t>expiration date</w:t>
      </w:r>
      <w:r w:rsidR="00C317C6">
        <w:rPr>
          <w:rFonts w:eastAsia="Calibri"/>
        </w:rPr>
        <w:t xml:space="preserve"> is appropriate.</w:t>
      </w:r>
    </w:p>
    <w:p w:rsidR="00357C8A" w:rsidRPr="00E21E06" w:rsidP="00D67328" w14:paraId="7768F04B" w14:textId="6FA6165C">
      <w:pPr>
        <w:numPr>
          <w:ilvl w:val="0"/>
          <w:numId w:val="12"/>
        </w:numPr>
        <w:spacing w:after="200"/>
        <w:rPr>
          <w:rFonts w:eastAsia="Calibri"/>
          <w:u w:val="single"/>
        </w:rPr>
      </w:pPr>
      <w:r w:rsidRPr="00E21E06">
        <w:rPr>
          <w:rFonts w:eastAsia="Calibri"/>
          <w:u w:val="single"/>
        </w:rPr>
        <w:t>Exceptions to Certification for Paperwork Reduction Act Submissions</w:t>
      </w:r>
    </w:p>
    <w:p w:rsidR="00EE5390" w:rsidRPr="00CA434D" w:rsidP="00CA434D" w14:paraId="0FD75FF7" w14:textId="77777777">
      <w:pPr>
        <w:spacing w:after="200"/>
        <w:rPr>
          <w:rFonts w:eastAsia="Calibri"/>
        </w:rPr>
      </w:pPr>
      <w:r w:rsidRPr="00E21E06">
        <w:rPr>
          <w:rFonts w:eastAsia="Calibri"/>
        </w:rPr>
        <w:t>There are no exceptions to the certification.</w:t>
      </w:r>
    </w:p>
    <w:sectPr w:rsidSect="003D6333">
      <w:headerReference w:type="default" r:id="rId7"/>
      <w:footerReference w:type="even" r:id="rId8"/>
      <w:footerReference w:type="default" r:id="rId9"/>
      <w:headerReference w:type="first" r:id="rId10"/>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1E95AFC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63DE5" w14:paraId="6F840C9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63DE5" w:rsidP="003F3DF5" w14:paraId="4A2F09F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7FFD">
      <w:rPr>
        <w:rStyle w:val="PageNumber"/>
        <w:noProof/>
      </w:rPr>
      <w:t>7</w:t>
    </w:r>
    <w:r>
      <w:rPr>
        <w:rStyle w:val="PageNumber"/>
      </w:rPr>
      <w:fldChar w:fldCharType="end"/>
    </w:r>
  </w:p>
  <w:p w:rsidR="00E63DE5" w14:paraId="099D399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2801" w:rsidP="00A42801" w14:paraId="12CE798B" w14:textId="77777777">
    <w:pPr>
      <w:pStyle w:val="Header"/>
      <w:ind w:left="-810" w:firstLine="90"/>
    </w:pPr>
    <w:r>
      <w:rPr>
        <w:noProof/>
      </w:rPr>
      <w:drawing>
        <wp:inline distT="0" distB="0" distL="0" distR="0">
          <wp:extent cx="2426970" cy="5021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6970" cy="502132"/>
                  </a:xfrm>
                  <a:prstGeom prst="rect">
                    <a:avLst/>
                  </a:prstGeom>
                </pic:spPr>
              </pic:pic>
            </a:graphicData>
          </a:graphic>
        </wp:inline>
      </w:drawing>
    </w:r>
  </w:p>
  <w:p w:rsidR="00A42801" w:rsidP="00A42801" w14:paraId="161992DB" w14:textId="77777777">
    <w:pPr>
      <w:pStyle w:val="Header"/>
      <w:ind w:left="-810" w:firstLine="90"/>
    </w:pPr>
  </w:p>
  <w:p w:rsidR="00A42801" w:rsidP="00A42801" w14:paraId="6E23885D" w14:textId="77777777">
    <w:pPr>
      <w:pStyle w:val="Header"/>
      <w:ind w:left="-810" w:firstLine="9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2801" w:rsidP="00A42801" w14:paraId="0A4D7D70" w14:textId="77777777">
    <w:pPr>
      <w:pStyle w:val="Header"/>
      <w:ind w:left="-630"/>
    </w:pPr>
    <w:r>
      <w:rPr>
        <w:noProof/>
      </w:rPr>
      <w:drawing>
        <wp:inline distT="0" distB="0" distL="0" distR="0">
          <wp:extent cx="2426970" cy="5021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6970" cy="502132"/>
                  </a:xfrm>
                  <a:prstGeom prst="rect">
                    <a:avLst/>
                  </a:prstGeom>
                </pic:spPr>
              </pic:pic>
            </a:graphicData>
          </a:graphic>
        </wp:inline>
      </w:drawing>
    </w:r>
  </w:p>
  <w:p w:rsidR="00A42801" w:rsidP="00A42801" w14:paraId="59D1F20D" w14:textId="77777777">
    <w:pPr>
      <w:pStyle w:val="Header"/>
      <w:ind w:left="-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86E49"/>
    <w:multiLevelType w:val="hybridMultilevel"/>
    <w:tmpl w:val="7222EF12"/>
    <w:lvl w:ilvl="0">
      <w:start w:val="1"/>
      <w:numFmt w:val="decimal"/>
      <w:lvlText w:val="%1."/>
      <w:lvlJc w:val="left"/>
      <w:pPr>
        <w:ind w:left="120" w:hanging="301"/>
      </w:pPr>
      <w:rPr>
        <w:rFonts w:ascii="Times New Roman" w:eastAsia="Times New Roman" w:hAnsi="Times New Roman" w:hint="default"/>
        <w:sz w:val="24"/>
        <w:szCs w:val="24"/>
      </w:rPr>
    </w:lvl>
    <w:lvl w:ilvl="1">
      <w:start w:val="1"/>
      <w:numFmt w:val="bullet"/>
      <w:lvlText w:val="•"/>
      <w:lvlJc w:val="left"/>
      <w:pPr>
        <w:ind w:left="1062" w:hanging="301"/>
      </w:pPr>
      <w:rPr>
        <w:rFonts w:hint="default"/>
      </w:rPr>
    </w:lvl>
    <w:lvl w:ilvl="2">
      <w:start w:val="1"/>
      <w:numFmt w:val="bullet"/>
      <w:lvlText w:val="•"/>
      <w:lvlJc w:val="left"/>
      <w:pPr>
        <w:ind w:left="2004" w:hanging="301"/>
      </w:pPr>
      <w:rPr>
        <w:rFonts w:hint="default"/>
      </w:rPr>
    </w:lvl>
    <w:lvl w:ilvl="3">
      <w:start w:val="1"/>
      <w:numFmt w:val="bullet"/>
      <w:lvlText w:val="•"/>
      <w:lvlJc w:val="left"/>
      <w:pPr>
        <w:ind w:left="2946" w:hanging="301"/>
      </w:pPr>
      <w:rPr>
        <w:rFonts w:hint="default"/>
      </w:rPr>
    </w:lvl>
    <w:lvl w:ilvl="4">
      <w:start w:val="1"/>
      <w:numFmt w:val="bullet"/>
      <w:lvlText w:val="•"/>
      <w:lvlJc w:val="left"/>
      <w:pPr>
        <w:ind w:left="3888" w:hanging="301"/>
      </w:pPr>
      <w:rPr>
        <w:rFonts w:hint="default"/>
      </w:rPr>
    </w:lvl>
    <w:lvl w:ilvl="5">
      <w:start w:val="1"/>
      <w:numFmt w:val="bullet"/>
      <w:lvlText w:val="•"/>
      <w:lvlJc w:val="left"/>
      <w:pPr>
        <w:ind w:left="4830" w:hanging="301"/>
      </w:pPr>
      <w:rPr>
        <w:rFonts w:hint="default"/>
      </w:rPr>
    </w:lvl>
    <w:lvl w:ilvl="6">
      <w:start w:val="1"/>
      <w:numFmt w:val="bullet"/>
      <w:lvlText w:val="•"/>
      <w:lvlJc w:val="left"/>
      <w:pPr>
        <w:ind w:left="5772" w:hanging="301"/>
      </w:pPr>
      <w:rPr>
        <w:rFonts w:hint="default"/>
      </w:rPr>
    </w:lvl>
    <w:lvl w:ilvl="7">
      <w:start w:val="1"/>
      <w:numFmt w:val="bullet"/>
      <w:lvlText w:val="•"/>
      <w:lvlJc w:val="left"/>
      <w:pPr>
        <w:ind w:left="6714" w:hanging="301"/>
      </w:pPr>
      <w:rPr>
        <w:rFonts w:hint="default"/>
      </w:rPr>
    </w:lvl>
    <w:lvl w:ilvl="8">
      <w:start w:val="1"/>
      <w:numFmt w:val="bullet"/>
      <w:lvlText w:val="•"/>
      <w:lvlJc w:val="left"/>
      <w:pPr>
        <w:ind w:left="7656" w:hanging="301"/>
      </w:pPr>
      <w:rPr>
        <w:rFonts w:hint="default"/>
      </w:rPr>
    </w:lvl>
  </w:abstractNum>
  <w:abstractNum w:abstractNumId="1">
    <w:nsid w:val="0B5567B5"/>
    <w:multiLevelType w:val="hybridMultilevel"/>
    <w:tmpl w:val="9116875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D5647D5"/>
    <w:multiLevelType w:val="hybridMultilevel"/>
    <w:tmpl w:val="E26018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7B65BAA"/>
    <w:multiLevelType w:val="hybridMultilevel"/>
    <w:tmpl w:val="A5E844D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1B507DAF"/>
    <w:multiLevelType w:val="hybridMultilevel"/>
    <w:tmpl w:val="5F744CAC"/>
    <w:lvl w:ilvl="0">
      <w:start w:val="1"/>
      <w:numFmt w:val="bullet"/>
      <w:lvlText w:val="o"/>
      <w:lvlJc w:val="left"/>
      <w:pPr>
        <w:ind w:left="720" w:hanging="360"/>
      </w:pPr>
      <w:rPr>
        <w:rFonts w:ascii="Courier New" w:hAnsi="Courier New"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5">
    <w:nsid w:val="2E135D78"/>
    <w:multiLevelType w:val="hybridMultilevel"/>
    <w:tmpl w:val="FA1A42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697060B"/>
    <w:multiLevelType w:val="hybridMultilevel"/>
    <w:tmpl w:val="2668DA52"/>
    <w:lvl w:ilvl="0">
      <w:start w:val="15"/>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BEE557C"/>
    <w:multiLevelType w:val="hybridMultilevel"/>
    <w:tmpl w:val="B024C990"/>
    <w:lvl w:ilvl="0">
      <w:start w:val="1"/>
      <w:numFmt w:val="decimal"/>
      <w:lvlText w:val="%1."/>
      <w:lvlJc w:val="left"/>
      <w:pPr>
        <w:ind w:left="360" w:hanging="360"/>
      </w:pPr>
    </w:lvl>
    <w:lvl w:ilvl="1">
      <w:start w:val="1"/>
      <w:numFmt w:val="lowerLetter"/>
      <w:lvlText w:val="%2."/>
      <w:lvlJc w:val="left"/>
      <w:pPr>
        <w:ind w:left="1080" w:hanging="360"/>
      </w:pPr>
      <w:rPr>
        <w:i w:val="0"/>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51C66BF9"/>
    <w:multiLevelType w:val="hybridMultilevel"/>
    <w:tmpl w:val="046877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9BB14D1"/>
    <w:multiLevelType w:val="hybridMultilevel"/>
    <w:tmpl w:val="A4CEDE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64F7136C"/>
    <w:multiLevelType w:val="hybridMultilevel"/>
    <w:tmpl w:val="9E2472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77E205F"/>
    <w:multiLevelType w:val="hybridMultilevel"/>
    <w:tmpl w:val="237EE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DC55C4D"/>
    <w:multiLevelType w:val="hybridMultilevel"/>
    <w:tmpl w:val="8F8A4D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704B3A7E"/>
    <w:multiLevelType w:val="hybridMultilevel"/>
    <w:tmpl w:val="F0964A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A5A208E"/>
    <w:multiLevelType w:val="hybridMultilevel"/>
    <w:tmpl w:val="4AA4EDD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7E57322E"/>
    <w:multiLevelType w:val="hybridMultilevel"/>
    <w:tmpl w:val="7A70BB5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85689155">
    <w:abstractNumId w:val="12"/>
  </w:num>
  <w:num w:numId="2" w16cid:durableId="547227468">
    <w:abstractNumId w:val="3"/>
  </w:num>
  <w:num w:numId="3" w16cid:durableId="431319087">
    <w:abstractNumId w:val="13"/>
  </w:num>
  <w:num w:numId="4" w16cid:durableId="1860466149">
    <w:abstractNumId w:val="7"/>
  </w:num>
  <w:num w:numId="5" w16cid:durableId="1664552316">
    <w:abstractNumId w:val="14"/>
  </w:num>
  <w:num w:numId="6" w16cid:durableId="5596729">
    <w:abstractNumId w:val="1"/>
  </w:num>
  <w:num w:numId="7" w16cid:durableId="1646617260">
    <w:abstractNumId w:val="4"/>
  </w:num>
  <w:num w:numId="8" w16cid:durableId="1892110202">
    <w:abstractNumId w:val="8"/>
  </w:num>
  <w:num w:numId="9" w16cid:durableId="952979546">
    <w:abstractNumId w:val="0"/>
  </w:num>
  <w:num w:numId="10" w16cid:durableId="1568540124">
    <w:abstractNumId w:val="11"/>
  </w:num>
  <w:num w:numId="11" w16cid:durableId="1420566953">
    <w:abstractNumId w:val="15"/>
  </w:num>
  <w:num w:numId="12" w16cid:durableId="310906590">
    <w:abstractNumId w:val="6"/>
  </w:num>
  <w:num w:numId="13" w16cid:durableId="1643147217">
    <w:abstractNumId w:val="2"/>
  </w:num>
  <w:num w:numId="14" w16cid:durableId="1631864481">
    <w:abstractNumId w:val="9"/>
  </w:num>
  <w:num w:numId="15" w16cid:durableId="257755720">
    <w:abstractNumId w:val="5"/>
  </w:num>
  <w:num w:numId="16" w16cid:durableId="178114776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oNotDisplayPageBoundarie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38"/>
    <w:rsid w:val="000161E3"/>
    <w:rsid w:val="00031A2C"/>
    <w:rsid w:val="00032A5D"/>
    <w:rsid w:val="00033F4F"/>
    <w:rsid w:val="00037F9B"/>
    <w:rsid w:val="00042B93"/>
    <w:rsid w:val="00042FAA"/>
    <w:rsid w:val="00043C7F"/>
    <w:rsid w:val="00044923"/>
    <w:rsid w:val="00045271"/>
    <w:rsid w:val="000467A8"/>
    <w:rsid w:val="00047C55"/>
    <w:rsid w:val="00047C99"/>
    <w:rsid w:val="00060E2A"/>
    <w:rsid w:val="0006452E"/>
    <w:rsid w:val="0006570F"/>
    <w:rsid w:val="00065F0A"/>
    <w:rsid w:val="00065FAD"/>
    <w:rsid w:val="00075378"/>
    <w:rsid w:val="00075DE8"/>
    <w:rsid w:val="00080EF7"/>
    <w:rsid w:val="00081BA1"/>
    <w:rsid w:val="00087439"/>
    <w:rsid w:val="00087F67"/>
    <w:rsid w:val="00097352"/>
    <w:rsid w:val="000A0FA3"/>
    <w:rsid w:val="000B625E"/>
    <w:rsid w:val="000B663D"/>
    <w:rsid w:val="000C1260"/>
    <w:rsid w:val="000C1F41"/>
    <w:rsid w:val="000C25E3"/>
    <w:rsid w:val="000C344A"/>
    <w:rsid w:val="000C560C"/>
    <w:rsid w:val="000D080B"/>
    <w:rsid w:val="000D48FD"/>
    <w:rsid w:val="000D755E"/>
    <w:rsid w:val="000D76CA"/>
    <w:rsid w:val="000D79CC"/>
    <w:rsid w:val="000E1C64"/>
    <w:rsid w:val="000F09E5"/>
    <w:rsid w:val="000F42CC"/>
    <w:rsid w:val="000F4757"/>
    <w:rsid w:val="000F65E3"/>
    <w:rsid w:val="000F7119"/>
    <w:rsid w:val="00100739"/>
    <w:rsid w:val="001019BF"/>
    <w:rsid w:val="0010223D"/>
    <w:rsid w:val="0010493E"/>
    <w:rsid w:val="001075D3"/>
    <w:rsid w:val="00107885"/>
    <w:rsid w:val="00110F0B"/>
    <w:rsid w:val="0011139A"/>
    <w:rsid w:val="001125BD"/>
    <w:rsid w:val="001132BD"/>
    <w:rsid w:val="00114FC4"/>
    <w:rsid w:val="0012329C"/>
    <w:rsid w:val="00125521"/>
    <w:rsid w:val="00126C5A"/>
    <w:rsid w:val="00131F53"/>
    <w:rsid w:val="00134FA7"/>
    <w:rsid w:val="00137950"/>
    <w:rsid w:val="0014542B"/>
    <w:rsid w:val="00152F29"/>
    <w:rsid w:val="00153251"/>
    <w:rsid w:val="00156D1C"/>
    <w:rsid w:val="00162FB5"/>
    <w:rsid w:val="001717E0"/>
    <w:rsid w:val="0017221D"/>
    <w:rsid w:val="00174D54"/>
    <w:rsid w:val="0017702C"/>
    <w:rsid w:val="00177212"/>
    <w:rsid w:val="001777A8"/>
    <w:rsid w:val="00177978"/>
    <w:rsid w:val="001816B2"/>
    <w:rsid w:val="00185270"/>
    <w:rsid w:val="00194DB4"/>
    <w:rsid w:val="00197C19"/>
    <w:rsid w:val="001A3B5A"/>
    <w:rsid w:val="001A458C"/>
    <w:rsid w:val="001B049B"/>
    <w:rsid w:val="001B1512"/>
    <w:rsid w:val="001B7CE9"/>
    <w:rsid w:val="001C7D11"/>
    <w:rsid w:val="001D495A"/>
    <w:rsid w:val="001E244C"/>
    <w:rsid w:val="001E302A"/>
    <w:rsid w:val="001E5ED3"/>
    <w:rsid w:val="001F0A1E"/>
    <w:rsid w:val="001F1437"/>
    <w:rsid w:val="001F3738"/>
    <w:rsid w:val="0020337B"/>
    <w:rsid w:val="002065CA"/>
    <w:rsid w:val="00206799"/>
    <w:rsid w:val="002074FE"/>
    <w:rsid w:val="002133FD"/>
    <w:rsid w:val="00216357"/>
    <w:rsid w:val="00220556"/>
    <w:rsid w:val="0022425B"/>
    <w:rsid w:val="002259EF"/>
    <w:rsid w:val="00225DCB"/>
    <w:rsid w:val="002360EB"/>
    <w:rsid w:val="00236559"/>
    <w:rsid w:val="002421BB"/>
    <w:rsid w:val="00242ED1"/>
    <w:rsid w:val="002444BB"/>
    <w:rsid w:val="002527A9"/>
    <w:rsid w:val="00254069"/>
    <w:rsid w:val="002565B2"/>
    <w:rsid w:val="00261EA6"/>
    <w:rsid w:val="00262441"/>
    <w:rsid w:val="002636F7"/>
    <w:rsid w:val="002676F8"/>
    <w:rsid w:val="00270748"/>
    <w:rsid w:val="002734E5"/>
    <w:rsid w:val="002746DB"/>
    <w:rsid w:val="00276CEE"/>
    <w:rsid w:val="00280CAF"/>
    <w:rsid w:val="00281075"/>
    <w:rsid w:val="00282F09"/>
    <w:rsid w:val="002867BE"/>
    <w:rsid w:val="00291810"/>
    <w:rsid w:val="00294AF8"/>
    <w:rsid w:val="00294D62"/>
    <w:rsid w:val="00294F44"/>
    <w:rsid w:val="00297532"/>
    <w:rsid w:val="00297FFD"/>
    <w:rsid w:val="002A1210"/>
    <w:rsid w:val="002A1745"/>
    <w:rsid w:val="002A4168"/>
    <w:rsid w:val="002A47D2"/>
    <w:rsid w:val="002A7FB5"/>
    <w:rsid w:val="002B2074"/>
    <w:rsid w:val="002B6D6B"/>
    <w:rsid w:val="002C35D0"/>
    <w:rsid w:val="002C4B44"/>
    <w:rsid w:val="002D14D8"/>
    <w:rsid w:val="002D28B7"/>
    <w:rsid w:val="002D4799"/>
    <w:rsid w:val="002E3FA4"/>
    <w:rsid w:val="002E53A5"/>
    <w:rsid w:val="002E64B8"/>
    <w:rsid w:val="002E6834"/>
    <w:rsid w:val="002F12C0"/>
    <w:rsid w:val="0030045D"/>
    <w:rsid w:val="003024ED"/>
    <w:rsid w:val="003113FF"/>
    <w:rsid w:val="00312622"/>
    <w:rsid w:val="003168F1"/>
    <w:rsid w:val="0032277F"/>
    <w:rsid w:val="00331283"/>
    <w:rsid w:val="0033266C"/>
    <w:rsid w:val="00336B69"/>
    <w:rsid w:val="00340B06"/>
    <w:rsid w:val="00342C9E"/>
    <w:rsid w:val="0034302B"/>
    <w:rsid w:val="00350523"/>
    <w:rsid w:val="00351224"/>
    <w:rsid w:val="0035189D"/>
    <w:rsid w:val="0035297A"/>
    <w:rsid w:val="00355B62"/>
    <w:rsid w:val="00357C8A"/>
    <w:rsid w:val="00360F05"/>
    <w:rsid w:val="003637C1"/>
    <w:rsid w:val="00366C22"/>
    <w:rsid w:val="003707ED"/>
    <w:rsid w:val="003712E7"/>
    <w:rsid w:val="0037328C"/>
    <w:rsid w:val="003740BC"/>
    <w:rsid w:val="0037456B"/>
    <w:rsid w:val="00374945"/>
    <w:rsid w:val="0037796B"/>
    <w:rsid w:val="003801A3"/>
    <w:rsid w:val="0038147C"/>
    <w:rsid w:val="003839D4"/>
    <w:rsid w:val="00383D90"/>
    <w:rsid w:val="00384DD3"/>
    <w:rsid w:val="00384FB5"/>
    <w:rsid w:val="003870AE"/>
    <w:rsid w:val="003A1A27"/>
    <w:rsid w:val="003A2AE8"/>
    <w:rsid w:val="003A50CC"/>
    <w:rsid w:val="003A547F"/>
    <w:rsid w:val="003A6543"/>
    <w:rsid w:val="003A7175"/>
    <w:rsid w:val="003B1C8B"/>
    <w:rsid w:val="003B2A8D"/>
    <w:rsid w:val="003B42B3"/>
    <w:rsid w:val="003B6384"/>
    <w:rsid w:val="003C0FE2"/>
    <w:rsid w:val="003C4EBB"/>
    <w:rsid w:val="003C5AB4"/>
    <w:rsid w:val="003C5F31"/>
    <w:rsid w:val="003C79BC"/>
    <w:rsid w:val="003D1531"/>
    <w:rsid w:val="003D23DD"/>
    <w:rsid w:val="003D5547"/>
    <w:rsid w:val="003D6333"/>
    <w:rsid w:val="003E39BA"/>
    <w:rsid w:val="003E4EC6"/>
    <w:rsid w:val="003E527E"/>
    <w:rsid w:val="003E52DC"/>
    <w:rsid w:val="003E553E"/>
    <w:rsid w:val="003E7078"/>
    <w:rsid w:val="003F07C4"/>
    <w:rsid w:val="003F21C6"/>
    <w:rsid w:val="003F3916"/>
    <w:rsid w:val="003F3B6E"/>
    <w:rsid w:val="003F3DF5"/>
    <w:rsid w:val="003F73B8"/>
    <w:rsid w:val="0040297E"/>
    <w:rsid w:val="004055E8"/>
    <w:rsid w:val="00411D11"/>
    <w:rsid w:val="00414494"/>
    <w:rsid w:val="00415E23"/>
    <w:rsid w:val="0041670D"/>
    <w:rsid w:val="0041799E"/>
    <w:rsid w:val="004211B6"/>
    <w:rsid w:val="00423272"/>
    <w:rsid w:val="00423456"/>
    <w:rsid w:val="00423525"/>
    <w:rsid w:val="00424061"/>
    <w:rsid w:val="00424745"/>
    <w:rsid w:val="0044048C"/>
    <w:rsid w:val="00442A3C"/>
    <w:rsid w:val="00443969"/>
    <w:rsid w:val="0044519E"/>
    <w:rsid w:val="0044778B"/>
    <w:rsid w:val="00447D74"/>
    <w:rsid w:val="00450A74"/>
    <w:rsid w:val="004531B7"/>
    <w:rsid w:val="004546BF"/>
    <w:rsid w:val="00463E0C"/>
    <w:rsid w:val="00465350"/>
    <w:rsid w:val="00474574"/>
    <w:rsid w:val="00476B91"/>
    <w:rsid w:val="004814AC"/>
    <w:rsid w:val="004846BF"/>
    <w:rsid w:val="00485A42"/>
    <w:rsid w:val="00494912"/>
    <w:rsid w:val="00494CC6"/>
    <w:rsid w:val="00497210"/>
    <w:rsid w:val="004A0DD8"/>
    <w:rsid w:val="004A3A27"/>
    <w:rsid w:val="004A4999"/>
    <w:rsid w:val="004A5323"/>
    <w:rsid w:val="004A5A99"/>
    <w:rsid w:val="004B305F"/>
    <w:rsid w:val="004B4A1E"/>
    <w:rsid w:val="004C6979"/>
    <w:rsid w:val="004D13A2"/>
    <w:rsid w:val="004D3E7A"/>
    <w:rsid w:val="004E30DA"/>
    <w:rsid w:val="004F3ECE"/>
    <w:rsid w:val="004F48E2"/>
    <w:rsid w:val="004F4938"/>
    <w:rsid w:val="004F594B"/>
    <w:rsid w:val="004F61E1"/>
    <w:rsid w:val="00505785"/>
    <w:rsid w:val="00510E73"/>
    <w:rsid w:val="00511086"/>
    <w:rsid w:val="00515B06"/>
    <w:rsid w:val="00517331"/>
    <w:rsid w:val="0053380B"/>
    <w:rsid w:val="005347D7"/>
    <w:rsid w:val="00542142"/>
    <w:rsid w:val="00543194"/>
    <w:rsid w:val="00544138"/>
    <w:rsid w:val="0054465A"/>
    <w:rsid w:val="005521CF"/>
    <w:rsid w:val="00554E34"/>
    <w:rsid w:val="00557B0F"/>
    <w:rsid w:val="00557CB4"/>
    <w:rsid w:val="005604CF"/>
    <w:rsid w:val="00561A07"/>
    <w:rsid w:val="00561F54"/>
    <w:rsid w:val="00562224"/>
    <w:rsid w:val="00562270"/>
    <w:rsid w:val="00565648"/>
    <w:rsid w:val="00574154"/>
    <w:rsid w:val="00580729"/>
    <w:rsid w:val="00584583"/>
    <w:rsid w:val="00584F97"/>
    <w:rsid w:val="00590E90"/>
    <w:rsid w:val="00590EEB"/>
    <w:rsid w:val="00597725"/>
    <w:rsid w:val="005A2609"/>
    <w:rsid w:val="005A4099"/>
    <w:rsid w:val="005A62C5"/>
    <w:rsid w:val="005A6B78"/>
    <w:rsid w:val="005B3DD2"/>
    <w:rsid w:val="005C269F"/>
    <w:rsid w:val="005C38B2"/>
    <w:rsid w:val="005C45AA"/>
    <w:rsid w:val="005C5029"/>
    <w:rsid w:val="005C55C2"/>
    <w:rsid w:val="005C71CA"/>
    <w:rsid w:val="005C72E5"/>
    <w:rsid w:val="005C745C"/>
    <w:rsid w:val="005D23E8"/>
    <w:rsid w:val="005D4365"/>
    <w:rsid w:val="005D4DF5"/>
    <w:rsid w:val="005D7C6C"/>
    <w:rsid w:val="005E1863"/>
    <w:rsid w:val="005E42BA"/>
    <w:rsid w:val="00602EDD"/>
    <w:rsid w:val="00611D6B"/>
    <w:rsid w:val="00614A35"/>
    <w:rsid w:val="00621A86"/>
    <w:rsid w:val="00624393"/>
    <w:rsid w:val="00625CFD"/>
    <w:rsid w:val="006326EC"/>
    <w:rsid w:val="00645F94"/>
    <w:rsid w:val="0065264F"/>
    <w:rsid w:val="006549EA"/>
    <w:rsid w:val="006552AF"/>
    <w:rsid w:val="00656F0D"/>
    <w:rsid w:val="00662029"/>
    <w:rsid w:val="00663A42"/>
    <w:rsid w:val="006641C7"/>
    <w:rsid w:val="006705EA"/>
    <w:rsid w:val="00670BE2"/>
    <w:rsid w:val="00674B4A"/>
    <w:rsid w:val="006855F8"/>
    <w:rsid w:val="006916D9"/>
    <w:rsid w:val="00692D45"/>
    <w:rsid w:val="00694E1C"/>
    <w:rsid w:val="006A0E05"/>
    <w:rsid w:val="006A138E"/>
    <w:rsid w:val="006A26C6"/>
    <w:rsid w:val="006A465A"/>
    <w:rsid w:val="006A7D5D"/>
    <w:rsid w:val="006C0C6A"/>
    <w:rsid w:val="006C3791"/>
    <w:rsid w:val="006C4166"/>
    <w:rsid w:val="006C4B89"/>
    <w:rsid w:val="006C726F"/>
    <w:rsid w:val="006D0C12"/>
    <w:rsid w:val="006D3E87"/>
    <w:rsid w:val="006D4407"/>
    <w:rsid w:val="006D5D57"/>
    <w:rsid w:val="006E2538"/>
    <w:rsid w:val="006E2791"/>
    <w:rsid w:val="006E302F"/>
    <w:rsid w:val="006E5386"/>
    <w:rsid w:val="006F4414"/>
    <w:rsid w:val="006F4D6D"/>
    <w:rsid w:val="006F4FE8"/>
    <w:rsid w:val="006F63A4"/>
    <w:rsid w:val="00705086"/>
    <w:rsid w:val="00705C5E"/>
    <w:rsid w:val="007061FA"/>
    <w:rsid w:val="007106E3"/>
    <w:rsid w:val="007135AD"/>
    <w:rsid w:val="00721850"/>
    <w:rsid w:val="00721CA8"/>
    <w:rsid w:val="00722001"/>
    <w:rsid w:val="0072529C"/>
    <w:rsid w:val="00725DE3"/>
    <w:rsid w:val="00727B39"/>
    <w:rsid w:val="00731A7F"/>
    <w:rsid w:val="00735CFE"/>
    <w:rsid w:val="007369CC"/>
    <w:rsid w:val="00744525"/>
    <w:rsid w:val="0074750D"/>
    <w:rsid w:val="007503EA"/>
    <w:rsid w:val="00751E66"/>
    <w:rsid w:val="007530D8"/>
    <w:rsid w:val="00754497"/>
    <w:rsid w:val="007557E3"/>
    <w:rsid w:val="00764A39"/>
    <w:rsid w:val="007651FF"/>
    <w:rsid w:val="00773201"/>
    <w:rsid w:val="00774195"/>
    <w:rsid w:val="0077514E"/>
    <w:rsid w:val="00787C39"/>
    <w:rsid w:val="007915D0"/>
    <w:rsid w:val="00792947"/>
    <w:rsid w:val="00795DF3"/>
    <w:rsid w:val="00796B68"/>
    <w:rsid w:val="007A092C"/>
    <w:rsid w:val="007A373C"/>
    <w:rsid w:val="007A6E52"/>
    <w:rsid w:val="007A73CA"/>
    <w:rsid w:val="007B225C"/>
    <w:rsid w:val="007B5607"/>
    <w:rsid w:val="007C07AC"/>
    <w:rsid w:val="007C63F1"/>
    <w:rsid w:val="007C75B1"/>
    <w:rsid w:val="007D261C"/>
    <w:rsid w:val="007D3DFC"/>
    <w:rsid w:val="007D7B63"/>
    <w:rsid w:val="007E1B20"/>
    <w:rsid w:val="007E1C4A"/>
    <w:rsid w:val="007E2F07"/>
    <w:rsid w:val="007E59A8"/>
    <w:rsid w:val="007E6D63"/>
    <w:rsid w:val="00800297"/>
    <w:rsid w:val="00801843"/>
    <w:rsid w:val="0080776D"/>
    <w:rsid w:val="00810145"/>
    <w:rsid w:val="00810754"/>
    <w:rsid w:val="008108FA"/>
    <w:rsid w:val="00810A16"/>
    <w:rsid w:val="00810FF1"/>
    <w:rsid w:val="008142BC"/>
    <w:rsid w:val="00821066"/>
    <w:rsid w:val="00822086"/>
    <w:rsid w:val="00822336"/>
    <w:rsid w:val="00822DE4"/>
    <w:rsid w:val="00823DFA"/>
    <w:rsid w:val="00824DE0"/>
    <w:rsid w:val="008329F5"/>
    <w:rsid w:val="00832CA9"/>
    <w:rsid w:val="00840149"/>
    <w:rsid w:val="00842778"/>
    <w:rsid w:val="00842DB7"/>
    <w:rsid w:val="00843113"/>
    <w:rsid w:val="00843752"/>
    <w:rsid w:val="0084479F"/>
    <w:rsid w:val="008463BF"/>
    <w:rsid w:val="00854A40"/>
    <w:rsid w:val="0085725E"/>
    <w:rsid w:val="00865A74"/>
    <w:rsid w:val="00870548"/>
    <w:rsid w:val="00870591"/>
    <w:rsid w:val="00871BD2"/>
    <w:rsid w:val="0087265E"/>
    <w:rsid w:val="0087310B"/>
    <w:rsid w:val="00873148"/>
    <w:rsid w:val="00873D4F"/>
    <w:rsid w:val="0087509F"/>
    <w:rsid w:val="00877F33"/>
    <w:rsid w:val="008834E7"/>
    <w:rsid w:val="00885B09"/>
    <w:rsid w:val="00890C90"/>
    <w:rsid w:val="00892400"/>
    <w:rsid w:val="00892AA7"/>
    <w:rsid w:val="0089370F"/>
    <w:rsid w:val="0089394D"/>
    <w:rsid w:val="008A209D"/>
    <w:rsid w:val="008A22BB"/>
    <w:rsid w:val="008A2EBB"/>
    <w:rsid w:val="008A6307"/>
    <w:rsid w:val="008B0125"/>
    <w:rsid w:val="008B035D"/>
    <w:rsid w:val="008B0E29"/>
    <w:rsid w:val="008B0EFA"/>
    <w:rsid w:val="008B30AB"/>
    <w:rsid w:val="008B4C17"/>
    <w:rsid w:val="008C3BB8"/>
    <w:rsid w:val="008C4B65"/>
    <w:rsid w:val="008D2803"/>
    <w:rsid w:val="008D5FA2"/>
    <w:rsid w:val="008D6D3B"/>
    <w:rsid w:val="008D7520"/>
    <w:rsid w:val="008E1517"/>
    <w:rsid w:val="008E5F55"/>
    <w:rsid w:val="008E6E4A"/>
    <w:rsid w:val="008F2470"/>
    <w:rsid w:val="008F4877"/>
    <w:rsid w:val="008F5C69"/>
    <w:rsid w:val="0090041E"/>
    <w:rsid w:val="009009E7"/>
    <w:rsid w:val="00904D9B"/>
    <w:rsid w:val="00905DEF"/>
    <w:rsid w:val="00906056"/>
    <w:rsid w:val="00912008"/>
    <w:rsid w:val="009122AE"/>
    <w:rsid w:val="0091251B"/>
    <w:rsid w:val="00913B43"/>
    <w:rsid w:val="009142BD"/>
    <w:rsid w:val="00915B70"/>
    <w:rsid w:val="00921BD9"/>
    <w:rsid w:val="00930203"/>
    <w:rsid w:val="009311D2"/>
    <w:rsid w:val="009311E6"/>
    <w:rsid w:val="00931275"/>
    <w:rsid w:val="00932A58"/>
    <w:rsid w:val="009340A8"/>
    <w:rsid w:val="00936AC7"/>
    <w:rsid w:val="00947761"/>
    <w:rsid w:val="00953B64"/>
    <w:rsid w:val="009541A6"/>
    <w:rsid w:val="0095430C"/>
    <w:rsid w:val="00960B61"/>
    <w:rsid w:val="009646A7"/>
    <w:rsid w:val="00970A88"/>
    <w:rsid w:val="009804A6"/>
    <w:rsid w:val="009818A1"/>
    <w:rsid w:val="009920F3"/>
    <w:rsid w:val="00992380"/>
    <w:rsid w:val="00995662"/>
    <w:rsid w:val="00995D3F"/>
    <w:rsid w:val="009A1674"/>
    <w:rsid w:val="009A7CCC"/>
    <w:rsid w:val="009B2462"/>
    <w:rsid w:val="009B38BE"/>
    <w:rsid w:val="009B4DF2"/>
    <w:rsid w:val="009C1FCD"/>
    <w:rsid w:val="009C6079"/>
    <w:rsid w:val="009C684F"/>
    <w:rsid w:val="009D074C"/>
    <w:rsid w:val="009D1807"/>
    <w:rsid w:val="009D2B2D"/>
    <w:rsid w:val="009D4CCF"/>
    <w:rsid w:val="009D53AB"/>
    <w:rsid w:val="009D5E8B"/>
    <w:rsid w:val="009D6E73"/>
    <w:rsid w:val="009F0DE8"/>
    <w:rsid w:val="009F0F62"/>
    <w:rsid w:val="009F1F1D"/>
    <w:rsid w:val="009F2B4F"/>
    <w:rsid w:val="009F3C63"/>
    <w:rsid w:val="009F58A5"/>
    <w:rsid w:val="009F66B5"/>
    <w:rsid w:val="009F7F54"/>
    <w:rsid w:val="00A02F10"/>
    <w:rsid w:val="00A1060C"/>
    <w:rsid w:val="00A16221"/>
    <w:rsid w:val="00A1689C"/>
    <w:rsid w:val="00A20A7D"/>
    <w:rsid w:val="00A2333C"/>
    <w:rsid w:val="00A23604"/>
    <w:rsid w:val="00A24A7F"/>
    <w:rsid w:val="00A31E97"/>
    <w:rsid w:val="00A35D42"/>
    <w:rsid w:val="00A404A7"/>
    <w:rsid w:val="00A42801"/>
    <w:rsid w:val="00A4551B"/>
    <w:rsid w:val="00A46CCF"/>
    <w:rsid w:val="00A506DE"/>
    <w:rsid w:val="00A53451"/>
    <w:rsid w:val="00A5369C"/>
    <w:rsid w:val="00A54358"/>
    <w:rsid w:val="00A55BC1"/>
    <w:rsid w:val="00A6078E"/>
    <w:rsid w:val="00A61C8B"/>
    <w:rsid w:val="00A62276"/>
    <w:rsid w:val="00A630C2"/>
    <w:rsid w:val="00A64569"/>
    <w:rsid w:val="00A70426"/>
    <w:rsid w:val="00A707CC"/>
    <w:rsid w:val="00A71410"/>
    <w:rsid w:val="00A91E9A"/>
    <w:rsid w:val="00A92442"/>
    <w:rsid w:val="00A93ED9"/>
    <w:rsid w:val="00A96221"/>
    <w:rsid w:val="00AB09E5"/>
    <w:rsid w:val="00AB205F"/>
    <w:rsid w:val="00AB2581"/>
    <w:rsid w:val="00AB5971"/>
    <w:rsid w:val="00AC2A50"/>
    <w:rsid w:val="00AC2DBB"/>
    <w:rsid w:val="00AC5043"/>
    <w:rsid w:val="00AC6A99"/>
    <w:rsid w:val="00AD0CAA"/>
    <w:rsid w:val="00AD128C"/>
    <w:rsid w:val="00AD306B"/>
    <w:rsid w:val="00AD6048"/>
    <w:rsid w:val="00AE144D"/>
    <w:rsid w:val="00AE1D0C"/>
    <w:rsid w:val="00AE72DE"/>
    <w:rsid w:val="00AF0A45"/>
    <w:rsid w:val="00AF2B25"/>
    <w:rsid w:val="00AF5E35"/>
    <w:rsid w:val="00B03AD6"/>
    <w:rsid w:val="00B044FA"/>
    <w:rsid w:val="00B055EF"/>
    <w:rsid w:val="00B06B5B"/>
    <w:rsid w:val="00B06B9D"/>
    <w:rsid w:val="00B07441"/>
    <w:rsid w:val="00B232D6"/>
    <w:rsid w:val="00B23769"/>
    <w:rsid w:val="00B24DB5"/>
    <w:rsid w:val="00B27168"/>
    <w:rsid w:val="00B32783"/>
    <w:rsid w:val="00B32D4F"/>
    <w:rsid w:val="00B3396C"/>
    <w:rsid w:val="00B37575"/>
    <w:rsid w:val="00B37984"/>
    <w:rsid w:val="00B41789"/>
    <w:rsid w:val="00B45003"/>
    <w:rsid w:val="00B5180E"/>
    <w:rsid w:val="00B5539F"/>
    <w:rsid w:val="00B565E9"/>
    <w:rsid w:val="00B717DA"/>
    <w:rsid w:val="00B739B6"/>
    <w:rsid w:val="00B81808"/>
    <w:rsid w:val="00B86DFA"/>
    <w:rsid w:val="00B936D0"/>
    <w:rsid w:val="00B960BD"/>
    <w:rsid w:val="00BA3D37"/>
    <w:rsid w:val="00BB15FB"/>
    <w:rsid w:val="00BC16CB"/>
    <w:rsid w:val="00BC53E4"/>
    <w:rsid w:val="00BC6F71"/>
    <w:rsid w:val="00BC7397"/>
    <w:rsid w:val="00BD2916"/>
    <w:rsid w:val="00BD3D5B"/>
    <w:rsid w:val="00BE0638"/>
    <w:rsid w:val="00BE1B78"/>
    <w:rsid w:val="00BE1D45"/>
    <w:rsid w:val="00BE3600"/>
    <w:rsid w:val="00BF3823"/>
    <w:rsid w:val="00BF4AC0"/>
    <w:rsid w:val="00BF54EC"/>
    <w:rsid w:val="00BF6328"/>
    <w:rsid w:val="00BF7BE4"/>
    <w:rsid w:val="00C01F6F"/>
    <w:rsid w:val="00C041EA"/>
    <w:rsid w:val="00C13BBD"/>
    <w:rsid w:val="00C14990"/>
    <w:rsid w:val="00C149AB"/>
    <w:rsid w:val="00C14D2B"/>
    <w:rsid w:val="00C16929"/>
    <w:rsid w:val="00C20690"/>
    <w:rsid w:val="00C21918"/>
    <w:rsid w:val="00C21CEC"/>
    <w:rsid w:val="00C230BC"/>
    <w:rsid w:val="00C259DF"/>
    <w:rsid w:val="00C25D06"/>
    <w:rsid w:val="00C27FF6"/>
    <w:rsid w:val="00C309C3"/>
    <w:rsid w:val="00C317C6"/>
    <w:rsid w:val="00C36020"/>
    <w:rsid w:val="00C40694"/>
    <w:rsid w:val="00C40A0D"/>
    <w:rsid w:val="00C44BFB"/>
    <w:rsid w:val="00C479BF"/>
    <w:rsid w:val="00C5124B"/>
    <w:rsid w:val="00C52A16"/>
    <w:rsid w:val="00C545B1"/>
    <w:rsid w:val="00C55836"/>
    <w:rsid w:val="00C55AE5"/>
    <w:rsid w:val="00C640E1"/>
    <w:rsid w:val="00C70542"/>
    <w:rsid w:val="00C75AFB"/>
    <w:rsid w:val="00C75CBF"/>
    <w:rsid w:val="00C77AEC"/>
    <w:rsid w:val="00C836B6"/>
    <w:rsid w:val="00C913AE"/>
    <w:rsid w:val="00C92AC8"/>
    <w:rsid w:val="00C96A38"/>
    <w:rsid w:val="00CA434D"/>
    <w:rsid w:val="00CA6868"/>
    <w:rsid w:val="00CA6BC6"/>
    <w:rsid w:val="00CB1A1E"/>
    <w:rsid w:val="00CB2D33"/>
    <w:rsid w:val="00CB3E55"/>
    <w:rsid w:val="00CB7389"/>
    <w:rsid w:val="00CB7A7C"/>
    <w:rsid w:val="00CC0ADC"/>
    <w:rsid w:val="00CC2100"/>
    <w:rsid w:val="00CC2894"/>
    <w:rsid w:val="00CC78AA"/>
    <w:rsid w:val="00CD2C05"/>
    <w:rsid w:val="00CD77C3"/>
    <w:rsid w:val="00CE112C"/>
    <w:rsid w:val="00CE7D75"/>
    <w:rsid w:val="00CF1D5D"/>
    <w:rsid w:val="00CF55D4"/>
    <w:rsid w:val="00D00FD3"/>
    <w:rsid w:val="00D0402C"/>
    <w:rsid w:val="00D106D5"/>
    <w:rsid w:val="00D14D67"/>
    <w:rsid w:val="00D154E6"/>
    <w:rsid w:val="00D22BD6"/>
    <w:rsid w:val="00D3396C"/>
    <w:rsid w:val="00D34BE7"/>
    <w:rsid w:val="00D368FB"/>
    <w:rsid w:val="00D43424"/>
    <w:rsid w:val="00D45D35"/>
    <w:rsid w:val="00D50F1C"/>
    <w:rsid w:val="00D54575"/>
    <w:rsid w:val="00D54BB3"/>
    <w:rsid w:val="00D608DA"/>
    <w:rsid w:val="00D65A78"/>
    <w:rsid w:val="00D6662E"/>
    <w:rsid w:val="00D67328"/>
    <w:rsid w:val="00D730BF"/>
    <w:rsid w:val="00D852F4"/>
    <w:rsid w:val="00D87E4E"/>
    <w:rsid w:val="00D93A39"/>
    <w:rsid w:val="00D94511"/>
    <w:rsid w:val="00D950DE"/>
    <w:rsid w:val="00D966DC"/>
    <w:rsid w:val="00D97214"/>
    <w:rsid w:val="00DA02EC"/>
    <w:rsid w:val="00DA592C"/>
    <w:rsid w:val="00DA69F3"/>
    <w:rsid w:val="00DA7C2B"/>
    <w:rsid w:val="00DB1110"/>
    <w:rsid w:val="00DB1F91"/>
    <w:rsid w:val="00DB2F14"/>
    <w:rsid w:val="00DB3730"/>
    <w:rsid w:val="00DB6565"/>
    <w:rsid w:val="00DC0728"/>
    <w:rsid w:val="00DC22D6"/>
    <w:rsid w:val="00DC24DC"/>
    <w:rsid w:val="00DC371B"/>
    <w:rsid w:val="00DC3788"/>
    <w:rsid w:val="00DC76C7"/>
    <w:rsid w:val="00DD07BD"/>
    <w:rsid w:val="00DD09F5"/>
    <w:rsid w:val="00DD0E02"/>
    <w:rsid w:val="00DD4201"/>
    <w:rsid w:val="00DD5E9F"/>
    <w:rsid w:val="00DE41E4"/>
    <w:rsid w:val="00DE5711"/>
    <w:rsid w:val="00DF2EB3"/>
    <w:rsid w:val="00DF3977"/>
    <w:rsid w:val="00DF51AB"/>
    <w:rsid w:val="00DF6B29"/>
    <w:rsid w:val="00E00EA0"/>
    <w:rsid w:val="00E021CB"/>
    <w:rsid w:val="00E06C36"/>
    <w:rsid w:val="00E079D5"/>
    <w:rsid w:val="00E07E01"/>
    <w:rsid w:val="00E10D46"/>
    <w:rsid w:val="00E10DC8"/>
    <w:rsid w:val="00E10EE3"/>
    <w:rsid w:val="00E138F1"/>
    <w:rsid w:val="00E148E2"/>
    <w:rsid w:val="00E21E06"/>
    <w:rsid w:val="00E224BB"/>
    <w:rsid w:val="00E22A4E"/>
    <w:rsid w:val="00E2309D"/>
    <w:rsid w:val="00E25C59"/>
    <w:rsid w:val="00E26758"/>
    <w:rsid w:val="00E4357B"/>
    <w:rsid w:val="00E443A7"/>
    <w:rsid w:val="00E45904"/>
    <w:rsid w:val="00E57140"/>
    <w:rsid w:val="00E63DE5"/>
    <w:rsid w:val="00E647AF"/>
    <w:rsid w:val="00E647C7"/>
    <w:rsid w:val="00E65A37"/>
    <w:rsid w:val="00E65EF7"/>
    <w:rsid w:val="00E67C15"/>
    <w:rsid w:val="00E73C12"/>
    <w:rsid w:val="00E75D83"/>
    <w:rsid w:val="00E77B48"/>
    <w:rsid w:val="00E857FB"/>
    <w:rsid w:val="00E86B65"/>
    <w:rsid w:val="00E86EC4"/>
    <w:rsid w:val="00E90EC2"/>
    <w:rsid w:val="00E91799"/>
    <w:rsid w:val="00E97DF8"/>
    <w:rsid w:val="00EA21FE"/>
    <w:rsid w:val="00EA309C"/>
    <w:rsid w:val="00EA34E3"/>
    <w:rsid w:val="00EA48C6"/>
    <w:rsid w:val="00EB249E"/>
    <w:rsid w:val="00EB4808"/>
    <w:rsid w:val="00EB4DDA"/>
    <w:rsid w:val="00EB7538"/>
    <w:rsid w:val="00EC1868"/>
    <w:rsid w:val="00EC1D7B"/>
    <w:rsid w:val="00EC1E61"/>
    <w:rsid w:val="00ED496A"/>
    <w:rsid w:val="00ED5F74"/>
    <w:rsid w:val="00EE5390"/>
    <w:rsid w:val="00EE53E8"/>
    <w:rsid w:val="00EE556D"/>
    <w:rsid w:val="00EE6468"/>
    <w:rsid w:val="00EF43CB"/>
    <w:rsid w:val="00F03C52"/>
    <w:rsid w:val="00F1299B"/>
    <w:rsid w:val="00F13F7F"/>
    <w:rsid w:val="00F207A4"/>
    <w:rsid w:val="00F25173"/>
    <w:rsid w:val="00F26481"/>
    <w:rsid w:val="00F355AC"/>
    <w:rsid w:val="00F40CF7"/>
    <w:rsid w:val="00F44194"/>
    <w:rsid w:val="00F4432F"/>
    <w:rsid w:val="00F46ABE"/>
    <w:rsid w:val="00F51D42"/>
    <w:rsid w:val="00F56F93"/>
    <w:rsid w:val="00F57DA3"/>
    <w:rsid w:val="00F642D6"/>
    <w:rsid w:val="00F66640"/>
    <w:rsid w:val="00F70BA8"/>
    <w:rsid w:val="00F71A5A"/>
    <w:rsid w:val="00F73A1A"/>
    <w:rsid w:val="00F75437"/>
    <w:rsid w:val="00F75F1D"/>
    <w:rsid w:val="00F769E0"/>
    <w:rsid w:val="00F801D9"/>
    <w:rsid w:val="00F80F97"/>
    <w:rsid w:val="00F862B1"/>
    <w:rsid w:val="00F86662"/>
    <w:rsid w:val="00F966B7"/>
    <w:rsid w:val="00FA4A46"/>
    <w:rsid w:val="00FA75FE"/>
    <w:rsid w:val="00FB1032"/>
    <w:rsid w:val="00FB1391"/>
    <w:rsid w:val="00FB39BC"/>
    <w:rsid w:val="00FB60EC"/>
    <w:rsid w:val="00FB6A53"/>
    <w:rsid w:val="00FC11CA"/>
    <w:rsid w:val="00FC2723"/>
    <w:rsid w:val="00FC65AC"/>
    <w:rsid w:val="00FC6BDE"/>
    <w:rsid w:val="00FE1D20"/>
    <w:rsid w:val="00FE2BDC"/>
    <w:rsid w:val="00FE33CA"/>
    <w:rsid w:val="00FE620C"/>
    <w:rsid w:val="00FF465A"/>
    <w:rsid w:val="00FF4E6B"/>
    <w:rsid w:val="00FF56EB"/>
    <w:rsid w:val="00FF61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DB0F41E"/>
  <w15:chartTrackingRefBased/>
  <w15:docId w15:val="{A8433652-A89D-4D5A-B8BD-7737E880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46CCF"/>
    <w:rPr>
      <w:sz w:val="24"/>
      <w:szCs w:val="24"/>
    </w:rPr>
  </w:style>
  <w:style w:type="paragraph" w:styleId="Heading2">
    <w:name w:val="heading 2"/>
    <w:basedOn w:val="Normal"/>
    <w:next w:val="Normal"/>
    <w:link w:val="Heading2Char"/>
    <w:qFormat/>
    <w:rsid w:val="00DC24DC"/>
    <w:pPr>
      <w:keepNext/>
      <w:spacing w:line="480" w:lineRule="auto"/>
      <w:outlineLvl w:val="1"/>
    </w:pPr>
    <w:rPr>
      <w:rFonts w:ascii="Courier" w:hAnsi="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B7538"/>
    <w:pPr>
      <w:spacing w:before="100" w:beforeAutospacing="1" w:after="100" w:afterAutospacing="1"/>
    </w:pPr>
  </w:style>
  <w:style w:type="paragraph" w:styleId="BodyText2">
    <w:name w:val="Body Text 2"/>
    <w:basedOn w:val="Normal"/>
    <w:rsid w:val="00CD77C3"/>
    <w:rPr>
      <w:szCs w:val="20"/>
    </w:rPr>
  </w:style>
  <w:style w:type="paragraph" w:styleId="BodyTextIndent">
    <w:name w:val="Body Text Indent"/>
    <w:basedOn w:val="Normal"/>
    <w:rsid w:val="00CD77C3"/>
    <w:pPr>
      <w:spacing w:after="120"/>
      <w:ind w:left="360"/>
    </w:pPr>
  </w:style>
  <w:style w:type="paragraph" w:styleId="BodyTextIndent2">
    <w:name w:val="Body Text Indent 2"/>
    <w:basedOn w:val="Normal"/>
    <w:rsid w:val="00CD77C3"/>
    <w:pPr>
      <w:spacing w:after="120" w:line="480" w:lineRule="auto"/>
      <w:ind w:left="360"/>
    </w:pPr>
  </w:style>
  <w:style w:type="character" w:styleId="HTMLAcronym">
    <w:name w:val="HTML Acronym"/>
    <w:basedOn w:val="DefaultParagraphFont"/>
    <w:rsid w:val="00A35D42"/>
  </w:style>
  <w:style w:type="paragraph" w:styleId="HTMLTopofForm">
    <w:name w:val="HTML Top of Form"/>
    <w:basedOn w:val="Normal"/>
    <w:next w:val="Normal"/>
    <w:hidden/>
    <w:rsid w:val="00584583"/>
    <w:pPr>
      <w:pBdr>
        <w:bottom w:val="single" w:sz="6" w:space="1" w:color="auto"/>
      </w:pBdr>
      <w:jc w:val="center"/>
    </w:pPr>
    <w:rPr>
      <w:rFonts w:ascii="Arial" w:hAnsi="Arial" w:cs="Arial"/>
      <w:vanish/>
      <w:sz w:val="16"/>
      <w:szCs w:val="16"/>
    </w:rPr>
  </w:style>
  <w:style w:type="paragraph" w:styleId="HTMLBottomofForm">
    <w:name w:val="HTML Bottom of Form"/>
    <w:basedOn w:val="Normal"/>
    <w:next w:val="Normal"/>
    <w:hidden/>
    <w:rsid w:val="00584583"/>
    <w:pPr>
      <w:pBdr>
        <w:top w:val="single" w:sz="6" w:space="1" w:color="auto"/>
      </w:pBdr>
      <w:jc w:val="center"/>
    </w:pPr>
    <w:rPr>
      <w:rFonts w:ascii="Arial" w:hAnsi="Arial" w:cs="Arial"/>
      <w:vanish/>
      <w:sz w:val="16"/>
      <w:szCs w:val="16"/>
    </w:rPr>
  </w:style>
  <w:style w:type="paragraph" w:styleId="BalloonText">
    <w:name w:val="Balloon Text"/>
    <w:basedOn w:val="Normal"/>
    <w:link w:val="BalloonTextChar"/>
    <w:uiPriority w:val="99"/>
    <w:semiHidden/>
    <w:rsid w:val="00254069"/>
    <w:rPr>
      <w:rFonts w:ascii="Tahoma" w:hAnsi="Tahoma" w:cs="Tahoma"/>
      <w:sz w:val="16"/>
      <w:szCs w:val="16"/>
    </w:rPr>
  </w:style>
  <w:style w:type="table" w:styleId="TableGrid">
    <w:name w:val="Table Grid"/>
    <w:basedOn w:val="TableNormal"/>
    <w:rsid w:val="009F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11D6B"/>
    <w:pPr>
      <w:tabs>
        <w:tab w:val="center" w:pos="4320"/>
        <w:tab w:val="right" w:pos="8640"/>
      </w:tabs>
    </w:pPr>
  </w:style>
  <w:style w:type="character" w:styleId="PageNumber">
    <w:name w:val="page number"/>
    <w:basedOn w:val="DefaultParagraphFont"/>
    <w:rsid w:val="00611D6B"/>
  </w:style>
  <w:style w:type="paragraph" w:styleId="ListParagraph">
    <w:name w:val="List Paragraph"/>
    <w:basedOn w:val="Normal"/>
    <w:uiPriority w:val="1"/>
    <w:qFormat/>
    <w:rsid w:val="009D6E73"/>
    <w:pPr>
      <w:ind w:left="720"/>
    </w:pPr>
  </w:style>
  <w:style w:type="character" w:styleId="Hyperlink">
    <w:name w:val="Hyperlink"/>
    <w:rsid w:val="0010493E"/>
    <w:rPr>
      <w:color w:val="0563C1"/>
      <w:u w:val="single"/>
    </w:rPr>
  </w:style>
  <w:style w:type="character" w:styleId="UnresolvedMention">
    <w:name w:val="Unresolved Mention"/>
    <w:uiPriority w:val="99"/>
    <w:semiHidden/>
    <w:unhideWhenUsed/>
    <w:rsid w:val="0010493E"/>
    <w:rPr>
      <w:color w:val="605E5C"/>
      <w:shd w:val="clear" w:color="auto" w:fill="E1DFDD"/>
    </w:rPr>
  </w:style>
  <w:style w:type="character" w:styleId="FollowedHyperlink">
    <w:name w:val="FollowedHyperlink"/>
    <w:rsid w:val="00A506DE"/>
    <w:rPr>
      <w:color w:val="954F72"/>
      <w:u w:val="single"/>
    </w:rPr>
  </w:style>
  <w:style w:type="paragraph" w:customStyle="1" w:styleId="Default">
    <w:name w:val="Default"/>
    <w:rsid w:val="00A506DE"/>
    <w:pPr>
      <w:autoSpaceDE w:val="0"/>
      <w:autoSpaceDN w:val="0"/>
      <w:adjustRightInd w:val="0"/>
    </w:pPr>
    <w:rPr>
      <w:color w:val="000000"/>
      <w:sz w:val="24"/>
      <w:szCs w:val="24"/>
    </w:rPr>
  </w:style>
  <w:style w:type="paragraph" w:styleId="Header">
    <w:name w:val="header"/>
    <w:basedOn w:val="Normal"/>
    <w:link w:val="HeaderChar"/>
    <w:uiPriority w:val="99"/>
    <w:rsid w:val="003C0FE2"/>
    <w:pPr>
      <w:tabs>
        <w:tab w:val="center" w:pos="4680"/>
        <w:tab w:val="right" w:pos="9360"/>
      </w:tabs>
    </w:pPr>
  </w:style>
  <w:style w:type="character" w:customStyle="1" w:styleId="HeaderChar">
    <w:name w:val="Header Char"/>
    <w:link w:val="Header"/>
    <w:uiPriority w:val="99"/>
    <w:rsid w:val="003C0FE2"/>
    <w:rPr>
      <w:sz w:val="24"/>
      <w:szCs w:val="24"/>
    </w:rPr>
  </w:style>
  <w:style w:type="paragraph" w:styleId="BodyText">
    <w:name w:val="Body Text"/>
    <w:basedOn w:val="Normal"/>
    <w:link w:val="BodyTextChar"/>
    <w:uiPriority w:val="1"/>
    <w:qFormat/>
    <w:rsid w:val="00E21E06"/>
    <w:pPr>
      <w:spacing w:after="120"/>
    </w:pPr>
  </w:style>
  <w:style w:type="character" w:customStyle="1" w:styleId="BodyTextChar">
    <w:name w:val="Body Text Char"/>
    <w:link w:val="BodyText"/>
    <w:rsid w:val="00E21E06"/>
    <w:rPr>
      <w:sz w:val="24"/>
      <w:szCs w:val="24"/>
    </w:rPr>
  </w:style>
  <w:style w:type="character" w:customStyle="1" w:styleId="Heading2Char">
    <w:name w:val="Heading 2 Char"/>
    <w:link w:val="Heading2"/>
    <w:rsid w:val="00DC24DC"/>
    <w:rPr>
      <w:rFonts w:ascii="Courier" w:hAnsi="Courier"/>
      <w:sz w:val="24"/>
    </w:rPr>
  </w:style>
  <w:style w:type="paragraph" w:customStyle="1" w:styleId="TableParagraph">
    <w:name w:val="Table Paragraph"/>
    <w:basedOn w:val="Normal"/>
    <w:uiPriority w:val="1"/>
    <w:qFormat/>
    <w:rsid w:val="00EE5390"/>
    <w:pPr>
      <w:widowControl w:val="0"/>
    </w:pPr>
    <w:rPr>
      <w:rFonts w:ascii="Calibri" w:eastAsia="Calibri" w:hAnsi="Calibri"/>
      <w:sz w:val="22"/>
      <w:szCs w:val="22"/>
    </w:rPr>
  </w:style>
  <w:style w:type="character" w:customStyle="1" w:styleId="BalloonTextChar">
    <w:name w:val="Balloon Text Char"/>
    <w:link w:val="BalloonText"/>
    <w:uiPriority w:val="99"/>
    <w:semiHidden/>
    <w:rsid w:val="00EE5390"/>
    <w:rPr>
      <w:rFonts w:ascii="Tahoma" w:hAnsi="Tahoma" w:cs="Tahoma"/>
      <w:sz w:val="16"/>
      <w:szCs w:val="16"/>
    </w:rPr>
  </w:style>
  <w:style w:type="character" w:customStyle="1" w:styleId="FooterChar">
    <w:name w:val="Footer Char"/>
    <w:link w:val="Footer"/>
    <w:uiPriority w:val="99"/>
    <w:rsid w:val="00EE5390"/>
    <w:rPr>
      <w:sz w:val="24"/>
      <w:szCs w:val="24"/>
    </w:rPr>
  </w:style>
  <w:style w:type="character" w:styleId="CommentReference">
    <w:name w:val="annotation reference"/>
    <w:rsid w:val="00562270"/>
    <w:rPr>
      <w:sz w:val="16"/>
      <w:szCs w:val="16"/>
    </w:rPr>
  </w:style>
  <w:style w:type="paragraph" w:styleId="CommentText">
    <w:name w:val="annotation text"/>
    <w:basedOn w:val="Normal"/>
    <w:link w:val="CommentTextChar"/>
    <w:rsid w:val="00562270"/>
    <w:rPr>
      <w:sz w:val="20"/>
      <w:szCs w:val="20"/>
    </w:rPr>
  </w:style>
  <w:style w:type="character" w:customStyle="1" w:styleId="CommentTextChar">
    <w:name w:val="Comment Text Char"/>
    <w:basedOn w:val="DefaultParagraphFont"/>
    <w:link w:val="CommentText"/>
    <w:rsid w:val="00562270"/>
  </w:style>
  <w:style w:type="paragraph" w:styleId="CommentSubject">
    <w:name w:val="annotation subject"/>
    <w:basedOn w:val="CommentText"/>
    <w:next w:val="CommentText"/>
    <w:link w:val="CommentSubjectChar"/>
    <w:rsid w:val="00562270"/>
    <w:rPr>
      <w:b/>
      <w:bCs/>
    </w:rPr>
  </w:style>
  <w:style w:type="character" w:customStyle="1" w:styleId="CommentSubjectChar">
    <w:name w:val="Comment Subject Char"/>
    <w:link w:val="CommentSubject"/>
    <w:rsid w:val="00562270"/>
    <w:rPr>
      <w:b/>
      <w:bCs/>
    </w:rPr>
  </w:style>
  <w:style w:type="paragraph" w:styleId="HTMLPreformatted">
    <w:name w:val="HTML Preformatted"/>
    <w:basedOn w:val="Normal"/>
    <w:link w:val="HTMLPreformattedChar"/>
    <w:unhideWhenUsed/>
    <w:rsid w:val="00B565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rsid w:val="00B565E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da.gov/vaccines-blood-biologics/development-approval-process-cber/biologics-license-applications-bla-process-cber" TargetMode="External" /><Relationship Id="rId5" Type="http://schemas.openxmlformats.org/officeDocument/2006/relationships/hyperlink" Target="https://www.fda.gov/regulatory-information/search-fda-guidance-documents/cooperative-manufacturing-arrangements-licensed-biologics" TargetMode="External" /><Relationship Id="rId6" Type="http://schemas.openxmlformats.org/officeDocument/2006/relationships/hyperlink" Target="https://www.fda.gov/regulatory-information/search-fda-guidance-documents/voluntary-consensus-standards-recognition-program-regenerative-medicine-therapies"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21</TotalTime>
  <Pages>8</Pages>
  <Words>2671</Words>
  <Characters>15230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Bean, Domini</cp:lastModifiedBy>
  <cp:revision>10</cp:revision>
  <dcterms:created xsi:type="dcterms:W3CDTF">2026-10-15T15:03:00Z</dcterms:created>
  <dcterms:modified xsi:type="dcterms:W3CDTF">2026-10-15T17:34:00Z</dcterms:modified>
</cp:coreProperties>
</file>