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F6B74" w:rsidRPr="00485E0D" w:rsidP="00485E0D" w14:paraId="2F3CFE30" w14:textId="77777777">
      <w:pPr>
        <w:jc w:val="center"/>
      </w:pPr>
      <w:r w:rsidRPr="00485E0D">
        <w:t>UNITED STATES FOOD &amp; DRUG ADMINISTRATION</w:t>
      </w:r>
    </w:p>
    <w:p w:rsidR="00485E0D" w:rsidP="00485E0D" w14:paraId="0339476D" w14:textId="77777777">
      <w:pPr>
        <w:jc w:val="center"/>
      </w:pPr>
    </w:p>
    <w:p w:rsidR="009F2675" w:rsidRPr="00485E0D" w:rsidP="00485E0D" w14:paraId="43158875" w14:textId="61CC0A88">
      <w:pPr>
        <w:jc w:val="center"/>
      </w:pPr>
      <w:r w:rsidRPr="00485E0D">
        <w:t xml:space="preserve">Reporting of Biological Product Deviations </w:t>
      </w:r>
      <w:r w:rsidRPr="00485E0D" w:rsidR="00F82D4E">
        <w:t>and</w:t>
      </w:r>
      <w:r w:rsidRPr="00485E0D">
        <w:t xml:space="preserve"> Human Cells, Tissues, </w:t>
      </w:r>
      <w:r w:rsidRPr="00485E0D" w:rsidR="00F82D4E">
        <w:t>and</w:t>
      </w:r>
      <w:r w:rsidRPr="00485E0D">
        <w:t xml:space="preserve"> Cellular and Tissue-Based Product Deviations</w:t>
      </w:r>
      <w:r w:rsidRPr="00485E0D" w:rsidR="00C309E0">
        <w:t xml:space="preserve"> in Manufacturing</w:t>
      </w:r>
    </w:p>
    <w:p w:rsidR="00493086" w:rsidRPr="00485E0D" w:rsidP="00485E0D" w14:paraId="285CA0B7" w14:textId="77777777"/>
    <w:p w:rsidR="00493086" w:rsidRPr="00485E0D" w:rsidP="00485E0D" w14:paraId="048E4D86" w14:textId="1559DB23">
      <w:pPr>
        <w:jc w:val="center"/>
      </w:pPr>
      <w:r w:rsidRPr="008A0980">
        <w:rPr>
          <w:u w:val="single"/>
        </w:rPr>
        <w:t>OMB Control No. 0910-0458</w:t>
      </w:r>
      <w:r w:rsidR="00E2712C">
        <w:t xml:space="preserve"> – </w:t>
      </w:r>
      <w:r w:rsidR="001D2F7E">
        <w:t>Reinstatement without change</w:t>
      </w:r>
    </w:p>
    <w:p w:rsidR="00121F8B" w:rsidRPr="00485E0D" w:rsidP="00485E0D" w14:paraId="6240B444" w14:textId="77777777"/>
    <w:p w:rsidR="007B030C" w:rsidRPr="00485E0D" w:rsidP="00485E0D" w14:paraId="16CF9817" w14:textId="673F67D0">
      <w:r w:rsidRPr="00485E0D">
        <w:t>SUPPO</w:t>
      </w:r>
      <w:r w:rsidRPr="00485E0D" w:rsidR="00AE2462">
        <w:t>R</w:t>
      </w:r>
      <w:r w:rsidRPr="00485E0D">
        <w:t>TING STATEMENT</w:t>
      </w:r>
      <w:r w:rsidR="008A0980">
        <w:t xml:space="preserve"> </w:t>
      </w:r>
      <w:r w:rsidRPr="008A0980" w:rsidR="009F6B74">
        <w:rPr>
          <w:b/>
          <w:bCs/>
        </w:rPr>
        <w:t>Part A</w:t>
      </w:r>
      <w:r w:rsidRPr="008A0980" w:rsidR="008A0980">
        <w:rPr>
          <w:b/>
          <w:bCs/>
        </w:rPr>
        <w:t xml:space="preserve"> – </w:t>
      </w:r>
      <w:r w:rsidRPr="008A0980">
        <w:rPr>
          <w:b/>
          <w:bCs/>
        </w:rPr>
        <w:t>Justification</w:t>
      </w:r>
      <w:r w:rsidR="008A0980">
        <w:t>:</w:t>
      </w:r>
    </w:p>
    <w:p w:rsidR="007B030C" w:rsidRPr="00485E0D" w:rsidP="00485E0D" w14:paraId="350A5E82" w14:textId="77777777"/>
    <w:p w:rsidR="007B030C" w:rsidRPr="00485E0D" w:rsidP="00485E0D" w14:paraId="69D864E2" w14:textId="35A33FBD">
      <w:r>
        <w:t xml:space="preserve">1.  </w:t>
      </w:r>
      <w:r w:rsidRPr="00DD6225">
        <w:rPr>
          <w:u w:val="single"/>
        </w:rPr>
        <w:t>Circumstances Making the Collection of Information Necessary</w:t>
      </w:r>
    </w:p>
    <w:p w:rsidR="00DD6225" w:rsidP="00485E0D" w14:paraId="2511E4F2" w14:textId="77777777"/>
    <w:p w:rsidR="008E29CF" w:rsidRPr="00485E0D" w:rsidP="00485E0D" w14:paraId="7DE47726" w14:textId="2C23A915">
      <w:r w:rsidRPr="00485E0D">
        <w:t xml:space="preserve">This information collection </w:t>
      </w:r>
      <w:r w:rsidRPr="00485E0D" w:rsidR="00FE10DA">
        <w:t xml:space="preserve">supports </w:t>
      </w:r>
      <w:r w:rsidRPr="00485E0D">
        <w:t>certain biological product</w:t>
      </w:r>
      <w:r w:rsidRPr="00485E0D" w:rsidR="001D0A12">
        <w:t xml:space="preserve"> reporting</w:t>
      </w:r>
      <w:r w:rsidRPr="00485E0D">
        <w:t>.</w:t>
      </w:r>
      <w:r w:rsidRPr="00485E0D" w:rsidR="001D0A12">
        <w:t xml:space="preserve">  The </w:t>
      </w:r>
      <w:r w:rsidRPr="00485E0D" w:rsidR="00A17096">
        <w:t xml:space="preserve">FDA has established </w:t>
      </w:r>
      <w:r w:rsidRPr="00485E0D" w:rsidR="001C2951">
        <w:t xml:space="preserve">implementing </w:t>
      </w:r>
      <w:r w:rsidRPr="00485E0D" w:rsidR="008B0261">
        <w:t>r</w:t>
      </w:r>
      <w:r w:rsidRPr="00485E0D" w:rsidR="00A17096">
        <w:t>egulations in 21 CFR</w:t>
      </w:r>
      <w:r w:rsidRPr="00485E0D" w:rsidR="001D0A12">
        <w:t xml:space="preserve"> </w:t>
      </w:r>
      <w:r w:rsidRPr="00485E0D" w:rsidR="00A3049C">
        <w:t>p</w:t>
      </w:r>
      <w:r w:rsidRPr="00485E0D" w:rsidR="007B030C">
        <w:t>arts 211, 606, and 820</w:t>
      </w:r>
      <w:r w:rsidRPr="00485E0D" w:rsidR="00986248">
        <w:t>,</w:t>
      </w:r>
      <w:r w:rsidRPr="00485E0D" w:rsidR="008B0261">
        <w:t xml:space="preserve"> </w:t>
      </w:r>
      <w:r w:rsidRPr="00485E0D" w:rsidR="00A17096">
        <w:t xml:space="preserve">as well as </w:t>
      </w:r>
      <w:r w:rsidRPr="00485E0D" w:rsidR="00727F8F">
        <w:t>current good tissue practice (</w:t>
      </w:r>
      <w:r w:rsidRPr="00485E0D" w:rsidR="007B030C">
        <w:t>CGTP</w:t>
      </w:r>
      <w:r w:rsidRPr="00485E0D" w:rsidR="00727F8F">
        <w:t>)</w:t>
      </w:r>
      <w:r w:rsidRPr="00485E0D" w:rsidR="007B030C">
        <w:t xml:space="preserve"> regulations</w:t>
      </w:r>
      <w:r w:rsidRPr="00485E0D" w:rsidR="001C2951">
        <w:t xml:space="preserve"> in </w:t>
      </w:r>
      <w:r w:rsidRPr="00485E0D" w:rsidR="007B030C">
        <w:t xml:space="preserve">21 CFR </w:t>
      </w:r>
      <w:r w:rsidRPr="00485E0D" w:rsidR="00A3049C">
        <w:t>p</w:t>
      </w:r>
      <w:r w:rsidRPr="00485E0D" w:rsidR="007B030C">
        <w:t>art 1271</w:t>
      </w:r>
      <w:r w:rsidRPr="00485E0D" w:rsidR="001C2951">
        <w:t>,</w:t>
      </w:r>
      <w:r w:rsidRPr="00485E0D" w:rsidR="00A17096">
        <w:t xml:space="preserve"> that</w:t>
      </w:r>
      <w:r w:rsidRPr="00485E0D" w:rsidR="00564270">
        <w:t xml:space="preserve"> </w:t>
      </w:r>
      <w:r w:rsidRPr="00485E0D" w:rsidR="00FA2AC1">
        <w:t>prescribe</w:t>
      </w:r>
      <w:r w:rsidRPr="00485E0D" w:rsidR="00282232">
        <w:t xml:space="preserve"> certain reporting requirements</w:t>
      </w:r>
      <w:r w:rsidRPr="00485E0D" w:rsidR="00A17096">
        <w:t>.</w:t>
      </w:r>
      <w:r w:rsidRPr="00485E0D" w:rsidR="00564270">
        <w:t xml:space="preserve">  </w:t>
      </w:r>
      <w:r w:rsidRPr="00485E0D" w:rsidR="004F69FE">
        <w:t>Specifically, m</w:t>
      </w:r>
      <w:r w:rsidRPr="00485E0D" w:rsidR="00564270">
        <w:t xml:space="preserve">anufacturers who </w:t>
      </w:r>
      <w:r w:rsidRPr="00485E0D" w:rsidR="00CC1908">
        <w:t>hold</w:t>
      </w:r>
      <w:r w:rsidRPr="00485E0D" w:rsidR="000A16C3">
        <w:t xml:space="preserve"> </w:t>
      </w:r>
      <w:r w:rsidRPr="00485E0D" w:rsidR="00564270">
        <w:t xml:space="preserve">a </w:t>
      </w:r>
      <w:r w:rsidRPr="00485E0D" w:rsidR="00CC1908">
        <w:t>biological product license and ha</w:t>
      </w:r>
      <w:r w:rsidRPr="00485E0D" w:rsidR="00564270">
        <w:t>ve</w:t>
      </w:r>
      <w:r w:rsidRPr="00485E0D" w:rsidR="00CC1908">
        <w:t xml:space="preserve"> control over</w:t>
      </w:r>
      <w:r w:rsidRPr="00485E0D" w:rsidR="00564270">
        <w:t xml:space="preserve"> a</w:t>
      </w:r>
      <w:r w:rsidRPr="00485E0D" w:rsidR="00CC1908">
        <w:t xml:space="preserve"> product when a deviation or unexpected event associated with </w:t>
      </w:r>
      <w:r w:rsidRPr="00485E0D" w:rsidR="00564270">
        <w:t xml:space="preserve">its </w:t>
      </w:r>
      <w:r w:rsidRPr="00485E0D" w:rsidR="00CC1908">
        <w:t xml:space="preserve">manufacturing </w:t>
      </w:r>
      <w:r w:rsidRPr="00485E0D" w:rsidR="009E19B9">
        <w:t>occurs</w:t>
      </w:r>
      <w:r w:rsidRPr="00485E0D" w:rsidR="00CC1908">
        <w:t xml:space="preserve"> </w:t>
      </w:r>
      <w:r w:rsidRPr="00485E0D" w:rsidR="00564270">
        <w:t xml:space="preserve">must </w:t>
      </w:r>
      <w:r w:rsidRPr="00485E0D" w:rsidR="00CC1908">
        <w:t>submit Biological Product Deviation Reports (BPDR</w:t>
      </w:r>
      <w:r w:rsidRPr="00485E0D" w:rsidR="003D3B6E">
        <w:t>s</w:t>
      </w:r>
      <w:r w:rsidRPr="00485E0D" w:rsidR="00CC1908">
        <w:t xml:space="preserve">) to FDA </w:t>
      </w:r>
      <w:r w:rsidRPr="00485E0D" w:rsidR="00F33ECC">
        <w:t xml:space="preserve">within a prescribed time schedule and in accordance with </w:t>
      </w:r>
      <w:r w:rsidRPr="00485E0D" w:rsidR="008B0F44">
        <w:t xml:space="preserve">established criteria.  </w:t>
      </w:r>
      <w:r w:rsidRPr="00485E0D" w:rsidR="00502893">
        <w:t>We maintain resource information on our website</w:t>
      </w:r>
      <w:r w:rsidRPr="00485E0D" w:rsidR="008B0F44">
        <w:t>, including the guidance document entitl</w:t>
      </w:r>
      <w:r w:rsidRPr="00485E0D" w:rsidR="000D4818">
        <w:t>ed, “</w:t>
      </w:r>
      <w:hyperlink r:id="rId5" w:tooltip="Biological Product Deviation Reporting for Licensed Manufacturers of Biological Products Other than Blood and Blood Components" w:history="1">
        <w:r w:rsidRPr="00485E0D" w:rsidR="00A7402A">
          <w:rPr>
            <w:rStyle w:val="Hyperlink"/>
          </w:rPr>
          <w:t>Biological Product Deviation Reporting for Licensed Manufacturers of Biological Products Other than Blood and Blood Component</w:t>
        </w:r>
        <w:r w:rsidRPr="00485E0D" w:rsidR="000D4818">
          <w:rPr>
            <w:rStyle w:val="Hyperlink"/>
          </w:rPr>
          <w:t>s</w:t>
        </w:r>
      </w:hyperlink>
      <w:r w:rsidRPr="00485E0D" w:rsidR="00473D5D">
        <w:t xml:space="preserve">” (October 2006), </w:t>
      </w:r>
      <w:r w:rsidRPr="00485E0D" w:rsidR="003A58B1">
        <w:t>to help respondents understand the applicable statutory and regulatory requirements.</w:t>
      </w:r>
      <w:r w:rsidRPr="00485E0D" w:rsidR="00A73B09">
        <w:t xml:space="preserve">  </w:t>
      </w:r>
      <w:r w:rsidRPr="00485E0D" w:rsidR="00ED4C3D">
        <w:t xml:space="preserve">We have also developed </w:t>
      </w:r>
      <w:r w:rsidRPr="00485E0D">
        <w:t>Forms FDA 3486 and 3486A (</w:t>
      </w:r>
      <w:r w:rsidRPr="0091009D">
        <w:rPr>
          <w:i/>
          <w:iCs/>
        </w:rPr>
        <w:t>Biological Product Deviation</w:t>
      </w:r>
      <w:r w:rsidRPr="00485E0D">
        <w:t xml:space="preserve"> Report and </w:t>
      </w:r>
      <w:r w:rsidR="0091009D">
        <w:t xml:space="preserve">a </w:t>
      </w:r>
      <w:r w:rsidRPr="00485E0D" w:rsidR="00483A08">
        <w:t>w</w:t>
      </w:r>
      <w:r w:rsidRPr="00485E0D">
        <w:t>eb-based Addendum)</w:t>
      </w:r>
      <w:r w:rsidRPr="00485E0D" w:rsidR="009009B4">
        <w:t xml:space="preserve"> </w:t>
      </w:r>
      <w:r w:rsidRPr="00485E0D" w:rsidR="000D136E">
        <w:t xml:space="preserve">for submitting </w:t>
      </w:r>
      <w:r w:rsidRPr="00485E0D" w:rsidR="00A73B09">
        <w:t xml:space="preserve">the </w:t>
      </w:r>
      <w:r w:rsidRPr="00485E0D" w:rsidR="00032D88">
        <w:t>data elements required under the applicable regulations.</w:t>
      </w:r>
      <w:r w:rsidR="0091009D">
        <w:t xml:space="preserve">   The fo</w:t>
      </w:r>
      <w:r w:rsidR="00506EEF">
        <w:t>rms are completed and submitted electronically, although paper-based forms may be utilized in certain circumstances.</w:t>
      </w:r>
    </w:p>
    <w:p w:rsidR="009F6614" w:rsidP="00485E0D" w14:paraId="1210556F" w14:textId="77777777"/>
    <w:p w:rsidR="007B030C" w:rsidRPr="00485E0D" w:rsidP="00485E0D" w14:paraId="7EF89FF2" w14:textId="5EFFB003">
      <w:r w:rsidRPr="00485E0D">
        <w:t xml:space="preserve">We </w:t>
      </w:r>
      <w:r w:rsidRPr="00485E0D" w:rsidR="006A62C5">
        <w:t>therefore</w:t>
      </w:r>
      <w:r w:rsidRPr="00485E0D" w:rsidR="00282232">
        <w:t xml:space="preserve"> request </w:t>
      </w:r>
      <w:r w:rsidRPr="00485E0D" w:rsidR="002569CB">
        <w:t xml:space="preserve">an extension of </w:t>
      </w:r>
      <w:r w:rsidRPr="00485E0D">
        <w:t xml:space="preserve">approval for the information collection provisions discussed in this supporting statement and found in </w:t>
      </w:r>
      <w:r w:rsidRPr="00485E0D" w:rsidR="00282232">
        <w:t xml:space="preserve">applicable </w:t>
      </w:r>
      <w:r w:rsidRPr="00485E0D">
        <w:t>Forms FDA 3486 and FDA 3486A.</w:t>
      </w:r>
    </w:p>
    <w:p w:rsidR="006F6E41" w:rsidRPr="00485E0D" w:rsidP="00485E0D" w14:paraId="734CF7E6" w14:textId="6ACF1DB3"/>
    <w:p w:rsidR="007B030C" w:rsidRPr="00485E0D" w:rsidP="00485E0D" w14:paraId="72BAEF34" w14:textId="117B076B">
      <w:r w:rsidRPr="00485E0D">
        <w:t>2.</w:t>
      </w:r>
      <w:r w:rsidR="00E2712C">
        <w:t xml:space="preserve">  </w:t>
      </w:r>
      <w:r w:rsidRPr="00E2712C">
        <w:rPr>
          <w:u w:val="single"/>
        </w:rPr>
        <w:t>Purpose and Use of the Information Collection</w:t>
      </w:r>
    </w:p>
    <w:p w:rsidR="00E2712C" w:rsidP="00485E0D" w14:paraId="01387BDC" w14:textId="77777777"/>
    <w:p w:rsidR="007B030C" w:rsidRPr="00485E0D" w:rsidP="00485E0D" w14:paraId="6E69425D" w14:textId="37D854C3">
      <w:r w:rsidRPr="00485E0D">
        <w:t>Establishments manufacturing biological products</w:t>
      </w:r>
      <w:r w:rsidRPr="00485E0D" w:rsidR="00BE649E">
        <w:t xml:space="preserve"> </w:t>
      </w:r>
      <w:r w:rsidRPr="00485E0D">
        <w:t>must comply with applicable CGMP regulations</w:t>
      </w:r>
      <w:r w:rsidRPr="00485E0D" w:rsidR="00BE649E">
        <w:t xml:space="preserve"> or may be subject to regulatory action</w:t>
      </w:r>
      <w:r w:rsidRPr="00485E0D">
        <w:t xml:space="preserve">.  Reporting of BPDs and HCT/P deviations also enables FDA to identify areas in which further regulation or guidance is needed to assist </w:t>
      </w:r>
      <w:r w:rsidRPr="00485E0D" w:rsidR="00D4261D">
        <w:t xml:space="preserve">in </w:t>
      </w:r>
      <w:r w:rsidRPr="00485E0D">
        <w:t>decreasing the occurrence of these events.</w:t>
      </w:r>
    </w:p>
    <w:p w:rsidR="007B030C" w:rsidRPr="00485E0D" w:rsidP="00485E0D" w14:paraId="5723E6EA" w14:textId="77777777"/>
    <w:p w:rsidR="007B030C" w:rsidRPr="00485E0D" w:rsidP="00485E0D" w14:paraId="175E8609" w14:textId="155CF760">
      <w:r w:rsidRPr="00485E0D">
        <w:t>3.</w:t>
      </w:r>
      <w:r w:rsidR="00E2712C">
        <w:t xml:space="preserve">  </w:t>
      </w:r>
      <w:r w:rsidRPr="00E2712C">
        <w:rPr>
          <w:u w:val="single"/>
        </w:rPr>
        <w:t>Use of Improved Information Technology and Burden Reduction</w:t>
      </w:r>
    </w:p>
    <w:p w:rsidR="00E2712C" w:rsidP="00485E0D" w14:paraId="2A437EBB" w14:textId="77777777"/>
    <w:p w:rsidR="00225EC8" w:rsidRPr="00485E0D" w:rsidP="00485E0D" w14:paraId="5B67FEBC" w14:textId="2A8ACF67">
      <w:r w:rsidRPr="00485E0D">
        <w:t xml:space="preserve">To facilitate prompt processing of all incoming BPDRs, </w:t>
      </w:r>
      <w:r w:rsidRPr="00485E0D" w:rsidR="00725628">
        <w:t xml:space="preserve">we </w:t>
      </w:r>
      <w:r w:rsidRPr="00485E0D">
        <w:t xml:space="preserve">recommend </w:t>
      </w:r>
      <w:r w:rsidRPr="00485E0D" w:rsidR="00D6684E">
        <w:t xml:space="preserve">using </w:t>
      </w:r>
      <w:r w:rsidRPr="00485E0D">
        <w:t>FDA Form 3486.</w:t>
      </w:r>
      <w:r w:rsidRPr="00485E0D" w:rsidR="00D6684E">
        <w:t xml:space="preserve">  </w:t>
      </w:r>
      <w:r w:rsidRPr="00485E0D" w:rsidR="00FE10DA">
        <w:t>We provide g</w:t>
      </w:r>
      <w:r w:rsidRPr="00485E0D" w:rsidR="0005058D">
        <w:t xml:space="preserve">eneral instructions on our website at </w:t>
      </w:r>
      <w:hyperlink r:id="rId6" w:anchor="General%20Recommendations%20for%20Completing%20CDER-Regulated%20Biological%20Product%20Deviation%20Report" w:history="1">
        <w:r w:rsidRPr="00485E0D">
          <w:rPr>
            <w:rStyle w:val="Hyperlink"/>
          </w:rPr>
          <w:t>General Recommendations for Completing CDER-Regulated Biological Product Deviation Report</w:t>
        </w:r>
      </w:hyperlink>
      <w:r w:rsidRPr="00485E0D">
        <w:t> (BPDR) and </w:t>
      </w:r>
      <w:hyperlink r:id="rId6" w:anchor="General%20Instructions%20for%20Form%20FDA%203486" w:history="1">
        <w:r w:rsidRPr="00485E0D">
          <w:rPr>
            <w:rStyle w:val="Hyperlink"/>
          </w:rPr>
          <w:t>General Instructions for Form FDA 3486</w:t>
        </w:r>
      </w:hyperlink>
      <w:r w:rsidRPr="00485E0D">
        <w:t>.</w:t>
      </w:r>
      <w:r w:rsidRPr="00485E0D" w:rsidR="00792C67">
        <w:t xml:space="preserve">  </w:t>
      </w:r>
      <w:r w:rsidRPr="00485E0D">
        <w:t xml:space="preserve">Though the electronic form is strongly encouraged, </w:t>
      </w:r>
      <w:r w:rsidRPr="00485E0D" w:rsidR="00792C67">
        <w:t xml:space="preserve">we also communicate that </w:t>
      </w:r>
      <w:r w:rsidRPr="00485E0D">
        <w:t>the form can be mailed to:</w:t>
      </w:r>
    </w:p>
    <w:p w:rsidR="00E2712C" w:rsidP="00485E0D" w14:paraId="0DDF7D17" w14:textId="77777777"/>
    <w:p w:rsidR="00706344" w14:paraId="5B2A8181" w14:textId="77777777">
      <w:r>
        <w:br w:type="page"/>
      </w:r>
    </w:p>
    <w:p w:rsidR="007B030C" w:rsidRPr="00485E0D" w:rsidP="00485E0D" w14:paraId="2048D7BF" w14:textId="7482DB78">
      <w:r w:rsidRPr="00485E0D">
        <w:t>Food and Drug Administration, CDER</w:t>
      </w:r>
      <w:r w:rsidRPr="00485E0D">
        <w:br/>
        <w:t>Office of Pharmaceutical Quality</w:t>
      </w:r>
      <w:r w:rsidRPr="00485E0D">
        <w:br/>
        <w:t>Office of Quality Surveillance</w:t>
      </w:r>
      <w:r w:rsidRPr="00485E0D">
        <w:br/>
        <w:t>Attn: CDER DQRS Reports – BPDR Assessment</w:t>
      </w:r>
      <w:r w:rsidRPr="00485E0D">
        <w:br/>
        <w:t>10903 New Hampshire Ave. Bldg. 75, Rm 6654</w:t>
      </w:r>
      <w:r w:rsidRPr="00485E0D">
        <w:br/>
        <w:t>Silver Spring, MD 20993-0002</w:t>
      </w:r>
    </w:p>
    <w:p w:rsidR="007B030C" w:rsidRPr="00485E0D" w:rsidP="00485E0D" w14:paraId="254857CE" w14:textId="77777777"/>
    <w:p w:rsidR="00D35F78" w:rsidRPr="00485E0D" w:rsidP="00485E0D" w14:paraId="2EBB7EA7" w14:textId="77777777">
      <w:r w:rsidRPr="00485E0D">
        <w:t xml:space="preserve">4.  </w:t>
      </w:r>
      <w:r w:rsidRPr="00E2712C">
        <w:rPr>
          <w:u w:val="single"/>
        </w:rPr>
        <w:t>Efforts to Identify Duplication and Use of Similar Information</w:t>
      </w:r>
    </w:p>
    <w:p w:rsidR="00D35F78" w:rsidRPr="00485E0D" w:rsidP="00485E0D" w14:paraId="31B2D0B3" w14:textId="77777777"/>
    <w:p w:rsidR="007B030C" w:rsidRPr="00485E0D" w:rsidP="00485E0D" w14:paraId="3441F0AD" w14:textId="5946154E">
      <w:r w:rsidRPr="00485E0D">
        <w:t>We are unaware of duplicative information collection.</w:t>
      </w:r>
      <w:r w:rsidRPr="00485E0D" w:rsidR="00D35F78">
        <w:t xml:space="preserve">  Although FDA has established information </w:t>
      </w:r>
      <w:r w:rsidRPr="00485E0D" w:rsidR="00DA1EA5">
        <w:t xml:space="preserve">collection </w:t>
      </w:r>
      <w:r w:rsidRPr="00485E0D" w:rsidR="00D35F78">
        <w:t>requests supporting regulations in part 211 (21 CFR 211 currently approved under OMB Control No. 0910-0139); part 600 (21 CFR 600, currently approved under OMB Control No. 0910-</w:t>
      </w:r>
      <w:r w:rsidRPr="00485E0D" w:rsidR="0075270C">
        <w:t>0308</w:t>
      </w:r>
      <w:r w:rsidRPr="00485E0D" w:rsidR="00D35F78">
        <w:t>); and part 127</w:t>
      </w:r>
      <w:r w:rsidRPr="00485E0D" w:rsidR="00D96536">
        <w:t>1</w:t>
      </w:r>
      <w:r w:rsidRPr="00485E0D" w:rsidR="00D35F78">
        <w:t xml:space="preserve"> (21 CFR 1271, currently approved under OMB Control No. 0910-0453); this information collection specifically supports reporting associated with biological product deviations as described </w:t>
      </w:r>
      <w:r w:rsidRPr="00485E0D" w:rsidR="00D96536">
        <w:t>in the applicable regulations and included in our burden analysis at Question 12.</w:t>
      </w:r>
    </w:p>
    <w:p w:rsidR="007B030C" w:rsidRPr="00485E0D" w:rsidP="00485E0D" w14:paraId="60BAD950" w14:textId="77777777"/>
    <w:p w:rsidR="007B030C" w:rsidRPr="00485E0D" w:rsidP="00485E0D" w14:paraId="7B2FC24D" w14:textId="4C5AB8FE">
      <w:r w:rsidRPr="00485E0D">
        <w:t xml:space="preserve">5.  </w:t>
      </w:r>
      <w:r w:rsidRPr="00E2712C">
        <w:rPr>
          <w:u w:val="single"/>
        </w:rPr>
        <w:t>Impact on Small Businesses or Other Small Entities</w:t>
      </w:r>
    </w:p>
    <w:p w:rsidR="00E2712C" w:rsidP="00485E0D" w14:paraId="7C6CD17F" w14:textId="77777777"/>
    <w:p w:rsidR="007B030C" w:rsidRPr="00485E0D" w:rsidP="00485E0D" w14:paraId="50C2BDA1" w14:textId="475508D6">
      <w:r>
        <w:t>T</w:t>
      </w:r>
      <w:r w:rsidRPr="00485E0D" w:rsidR="00792C67">
        <w:t>he information collection poses no undue burden on small entities.</w:t>
      </w:r>
    </w:p>
    <w:p w:rsidR="007B030C" w:rsidRPr="00485E0D" w:rsidP="00485E0D" w14:paraId="59F19BAF" w14:textId="77777777"/>
    <w:p w:rsidR="007B030C" w:rsidRPr="00485E0D" w:rsidP="00485E0D" w14:paraId="24EE6C61" w14:textId="77777777">
      <w:r w:rsidRPr="00485E0D">
        <w:t xml:space="preserve">6.  </w:t>
      </w:r>
      <w:r w:rsidRPr="00E2712C">
        <w:rPr>
          <w:u w:val="single"/>
        </w:rPr>
        <w:t>Consequences of Collecting the Information Less Frequently</w:t>
      </w:r>
    </w:p>
    <w:p w:rsidR="00E2712C" w:rsidP="00485E0D" w14:paraId="641EE287" w14:textId="77777777"/>
    <w:p w:rsidR="007B030C" w:rsidRPr="00485E0D" w:rsidP="00485E0D" w14:paraId="1D531790" w14:textId="2440C6FF">
      <w:r w:rsidRPr="00485E0D">
        <w:t>The information collection schedule is consistent with statutory and regulatory requirements.  There are no technical or legal obstacles to reducing the burden.</w:t>
      </w:r>
    </w:p>
    <w:p w:rsidR="007B030C" w:rsidRPr="00485E0D" w:rsidP="00485E0D" w14:paraId="17BBA2A4" w14:textId="77777777"/>
    <w:p w:rsidR="007B030C" w:rsidRPr="00485E0D" w:rsidP="00485E0D" w14:paraId="145B3151" w14:textId="77777777">
      <w:r w:rsidRPr="00485E0D">
        <w:t xml:space="preserve">7.  </w:t>
      </w:r>
      <w:r w:rsidRPr="00E2712C">
        <w:rPr>
          <w:u w:val="single"/>
        </w:rPr>
        <w:t>Special Circumstances Relating to the Guidelines of 5 CFR 1320.5</w:t>
      </w:r>
    </w:p>
    <w:p w:rsidR="00E2712C" w:rsidP="00485E0D" w14:paraId="66782372" w14:textId="77777777"/>
    <w:p w:rsidR="007B030C" w:rsidRPr="00485E0D" w:rsidP="00485E0D" w14:paraId="01EA9925" w14:textId="0FE5303C">
      <w:r w:rsidRPr="00485E0D">
        <w:t>Reporting may occur more frequently than quarterly, as necessary to comply with statutory requirements governing the protection of the public health as it pertains to certain biological products..</w:t>
      </w:r>
    </w:p>
    <w:p w:rsidR="007B030C" w:rsidRPr="00485E0D" w:rsidP="00485E0D" w14:paraId="2001CCE0" w14:textId="77777777"/>
    <w:p w:rsidR="007B030C" w:rsidRPr="00485E0D" w:rsidP="00485E0D" w14:paraId="001D7C35" w14:textId="77777777">
      <w:r w:rsidRPr="00485E0D">
        <w:t xml:space="preserve">8.  </w:t>
      </w:r>
      <w:r w:rsidRPr="00E2712C">
        <w:rPr>
          <w:u w:val="single"/>
        </w:rPr>
        <w:t>Comments in Response to the Federal Register Notice and Efforts to Consult Outside the Agency</w:t>
      </w:r>
    </w:p>
    <w:p w:rsidR="007B030C" w:rsidRPr="00485E0D" w:rsidP="00485E0D" w14:paraId="0632A4AC" w14:textId="77777777"/>
    <w:p w:rsidR="00245941" w:rsidRPr="00485E0D" w:rsidP="00B656E1" w14:paraId="198E439E" w14:textId="3D543AEE">
      <w:r w:rsidRPr="00485E0D">
        <w:t xml:space="preserve">In accordance with 5 CFR 1320.8(d), FDA published a 60-day notice for public comment in the </w:t>
      </w:r>
      <w:r w:rsidRPr="00E2712C" w:rsidR="00CB6D93">
        <w:rPr>
          <w:i/>
          <w:iCs/>
        </w:rPr>
        <w:t>F</w:t>
      </w:r>
      <w:r w:rsidRPr="00E2712C" w:rsidR="00F02FDA">
        <w:rPr>
          <w:i/>
          <w:iCs/>
        </w:rPr>
        <w:t>ederal Register</w:t>
      </w:r>
      <w:r w:rsidRPr="00485E0D" w:rsidR="00CB6D93">
        <w:t xml:space="preserve"> </w:t>
      </w:r>
      <w:r w:rsidRPr="005430C2" w:rsidR="005430C2">
        <w:t>of February 25, 2026 (91 FR 9287), FDA published a 60-day notice requesting public comment on the proposed collection of information.  One comment raised concerns about the long-term safety of amniotic membrane-based products and whether additional toxicological information, including long-term carcinogenicity, should be considered</w:t>
      </w:r>
      <w:r w:rsidR="00B656E1">
        <w:t>, as discussed in related agency guidance.  No adjustments were made upon considering the comment.</w:t>
      </w:r>
    </w:p>
    <w:p w:rsidR="007B030C" w:rsidRPr="00485E0D" w:rsidP="00485E0D" w14:paraId="4857D4AC" w14:textId="1FC4CD3A">
      <w:r w:rsidRPr="00485E0D">
        <w:t xml:space="preserve"> </w:t>
      </w:r>
    </w:p>
    <w:p w:rsidR="007B030C" w:rsidRPr="00485E0D" w:rsidP="00485E0D" w14:paraId="6C86B3D5" w14:textId="77777777">
      <w:r w:rsidRPr="00485E0D">
        <w:t xml:space="preserve">9.  </w:t>
      </w:r>
      <w:r w:rsidRPr="00E2712C">
        <w:rPr>
          <w:u w:val="single"/>
        </w:rPr>
        <w:t>Explanation of Any Payment or Gift to Respondents</w:t>
      </w:r>
    </w:p>
    <w:p w:rsidR="007B030C" w:rsidRPr="00485E0D" w:rsidP="00485E0D" w14:paraId="06ADDB0F" w14:textId="77777777"/>
    <w:p w:rsidR="007B030C" w:rsidRPr="00485E0D" w:rsidP="00485E0D" w14:paraId="56B9787C" w14:textId="77777777">
      <w:r w:rsidRPr="00485E0D">
        <w:t>No payment or gift is provided to respondents.</w:t>
      </w:r>
    </w:p>
    <w:p w:rsidR="007B030C" w:rsidRPr="00485E0D" w:rsidP="00485E0D" w14:paraId="24500311" w14:textId="77777777"/>
    <w:p w:rsidR="007B030C" w:rsidRPr="00485E0D" w:rsidP="00485E0D" w14:paraId="2C926ABC" w14:textId="29F4A85A">
      <w:r w:rsidRPr="00485E0D">
        <w:t xml:space="preserve">10.  </w:t>
      </w:r>
      <w:r w:rsidRPr="00E2712C">
        <w:rPr>
          <w:u w:val="single"/>
        </w:rPr>
        <w:t>Assurance of Confidentiality Provided to Respondents</w:t>
      </w:r>
    </w:p>
    <w:p w:rsidR="007B030C" w:rsidRPr="00485E0D" w:rsidP="00485E0D" w14:paraId="081573AF" w14:textId="77777777"/>
    <w:p w:rsidR="000D1DE3" w:rsidRPr="00E2712C" w:rsidP="00485E0D" w14:paraId="4C433128" w14:textId="77777777">
      <w:pPr>
        <w:rPr>
          <w:i/>
          <w:iCs/>
        </w:rPr>
      </w:pPr>
      <w:r w:rsidRPr="00E2712C">
        <w:rPr>
          <w:i/>
          <w:iCs/>
        </w:rPr>
        <w:t>The Privacy Act of 1974</w:t>
      </w:r>
    </w:p>
    <w:p w:rsidR="000D1DE3" w:rsidRPr="00485E0D" w:rsidP="00485E0D" w14:paraId="48C1B28F" w14:textId="77777777"/>
    <w:p w:rsidR="000D1DE3" w:rsidRPr="00485E0D" w:rsidP="00485E0D" w14:paraId="49EBE86C" w14:textId="4D8EE1A9">
      <w:r w:rsidRPr="00485E0D">
        <w:t xml:space="preserve">In preparing this supporting statement, we consulted with our Privacy Office to ensure appropriate handling of information collected.  </w:t>
      </w:r>
      <w:r w:rsidRPr="00485E0D" w:rsidR="00205609">
        <w:t>T</w:t>
      </w:r>
      <w:r w:rsidRPr="00485E0D">
        <w:t>he ICR collects personally identifiable information (PII), the PII in the context of the subject individuals’ professional capacity and the FDA-related work perform</w:t>
      </w:r>
      <w:r w:rsidRPr="00485E0D" w:rsidR="00FC2335">
        <w:t>ed</w:t>
      </w:r>
      <w:r w:rsidRPr="00485E0D">
        <w:t xml:space="preserve"> for their employer (e.g., point of contact at a regulated entity).  The PII submitted via Form FDA 3486 (Biological Product Deviation Report) is name, telephone number, and email.  The PII submitted via Form FDA 3486A (Addendum) is name, address, telephone number, and email.  Both forms are accessed using FDA Unified Registration and Listing System (FURLS) which collects account ID/username, password, name, address, mailing address, telephone number, fax </w:t>
      </w:r>
      <w:r w:rsidRPr="00485E0D" w:rsidR="00232C88">
        <w:t>number,</w:t>
      </w:r>
      <w:r w:rsidRPr="00485E0D">
        <w:t xml:space="preserve"> email address for account set up.</w:t>
      </w:r>
      <w:r w:rsidRPr="00485E0D" w:rsidR="00FC2335">
        <w:t xml:space="preserve">  We have </w:t>
      </w:r>
      <w:r w:rsidRPr="00485E0D">
        <w:t>determined that</w:t>
      </w:r>
      <w:r w:rsidRPr="00485E0D" w:rsidR="00B77169">
        <w:t>,</w:t>
      </w:r>
      <w:r w:rsidRPr="00485E0D">
        <w:t xml:space="preserve"> although PII is collected, the collection is not subject to the Privacy Act of 1974 and the particular notice and other requirements of the </w:t>
      </w:r>
      <w:r w:rsidRPr="00485E0D" w:rsidR="00B77169">
        <w:t xml:space="preserve">Privacy </w:t>
      </w:r>
      <w:r w:rsidRPr="00485E0D">
        <w:t>Act do not apply.  Specifically, FDA does not use name or any other personal identifier to retrieve records from the information collected.  Through appropriate form design, FDA limit</w:t>
      </w:r>
      <w:r w:rsidRPr="00485E0D" w:rsidR="00B77169">
        <w:t>s</w:t>
      </w:r>
      <w:r w:rsidRPr="00485E0D">
        <w:t xml:space="preserve"> submission fields and minimize</w:t>
      </w:r>
      <w:r w:rsidRPr="00485E0D" w:rsidR="00111DBF">
        <w:t>s</w:t>
      </w:r>
      <w:r w:rsidRPr="00485E0D">
        <w:t xml:space="preserve"> the PII collected to protect the privacy of the individuals.</w:t>
      </w:r>
    </w:p>
    <w:p w:rsidR="000D1DE3" w:rsidRPr="00485E0D" w:rsidP="00485E0D" w14:paraId="41E99B33" w14:textId="77777777"/>
    <w:p w:rsidR="002A1B3B" w:rsidRPr="002A1B3B" w:rsidP="002A1B3B" w14:paraId="26B82516" w14:textId="38B74AA8">
      <w:pPr>
        <w:rPr>
          <w:i/>
          <w:iCs/>
        </w:rPr>
      </w:pPr>
      <w:r w:rsidRPr="00E2712C">
        <w:rPr>
          <w:i/>
          <w:iCs/>
        </w:rPr>
        <w:t>The Freedom of Information Act</w:t>
      </w:r>
    </w:p>
    <w:p w:rsidR="002A1B3B" w:rsidP="002A1B3B" w14:paraId="2CF49E9B" w14:textId="77777777">
      <w:pPr>
        <w:rPr>
          <w:rFonts w:ascii="TimesNewRomanPSMT" w:hAnsi="TimesNewRomanPSMT" w:cs="TimesNewRomanPSMT"/>
        </w:rPr>
      </w:pPr>
    </w:p>
    <w:p w:rsidR="002A1B3B" w:rsidRPr="00485E0D" w:rsidP="002A1B3B" w14:paraId="247B3BF6" w14:textId="4885B818">
      <w:r>
        <w:rPr>
          <w:rFonts w:ascii="TimesNewRomanPSMT" w:hAnsi="TimesNewRomanPSMT" w:cs="TimesNewRomanPSMT"/>
        </w:rPr>
        <w:t>Under the Freedom of Information Act (FOIA) (5 U.S.C. 552), the public has broad access to government documents.</w:t>
      </w:r>
      <w:r w:rsidR="00F92EB5">
        <w:rPr>
          <w:rFonts w:ascii="TimesNewRomanPSMT" w:hAnsi="TimesNewRomanPSMT" w:cs="TimesNewRomanPSMT"/>
        </w:rPr>
        <w:t xml:space="preserve">  </w:t>
      </w:r>
      <w:r>
        <w:rPr>
          <w:rFonts w:ascii="TimesNewRomanPSMT" w:hAnsi="TimesNewRomanPSMT" w:cs="TimesNewRomanPSMT"/>
        </w:rPr>
        <w:t>However, FOIA provides certain exemptions from mandatory public disclosure of government records (5 U.S.C. 552(b)(1-9)). FDA will make the fullest possible disclosure of records to the public, consistent with the rights of individuals to privacy, the property rights of persons in trade and confidential commercial or financial information</w:t>
      </w:r>
    </w:p>
    <w:p w:rsidR="00A86BA0" w:rsidRPr="00485E0D" w:rsidP="00485E0D" w14:paraId="4286376D" w14:textId="77777777"/>
    <w:p w:rsidR="007B030C" w:rsidRPr="00485E0D" w:rsidP="00485E0D" w14:paraId="448CDBA1" w14:textId="45FF8540">
      <w:r w:rsidRPr="00485E0D">
        <w:t>11</w:t>
      </w:r>
      <w:r w:rsidRPr="00485E0D" w:rsidR="00AF47DC">
        <w:t>.</w:t>
      </w:r>
      <w:r w:rsidR="009E7BBA">
        <w:t xml:space="preserve">  </w:t>
      </w:r>
      <w:r w:rsidRPr="009E7BBA">
        <w:rPr>
          <w:u w:val="single"/>
        </w:rPr>
        <w:t>Justification for Sensitive Questions</w:t>
      </w:r>
    </w:p>
    <w:p w:rsidR="007B030C" w:rsidRPr="00485E0D" w:rsidP="00485E0D" w14:paraId="6AD287FA" w14:textId="77777777"/>
    <w:p w:rsidR="007B030C" w:rsidRPr="00485E0D" w:rsidP="00485E0D" w14:paraId="29B76F84" w14:textId="77777777">
      <w:r w:rsidRPr="00485E0D">
        <w:t>No questions of a sensitive nature are included in the information collection.</w:t>
      </w:r>
    </w:p>
    <w:p w:rsidR="007B030C" w:rsidRPr="00485E0D" w:rsidP="00485E0D" w14:paraId="7D3DF1CB" w14:textId="77777777"/>
    <w:p w:rsidR="007B030C" w:rsidRPr="00485E0D" w:rsidP="00485E0D" w14:paraId="4C71E697" w14:textId="4F816952">
      <w:r w:rsidRPr="00485E0D">
        <w:t>12.</w:t>
      </w:r>
      <w:r w:rsidR="009E7BBA">
        <w:t xml:space="preserve">  </w:t>
      </w:r>
      <w:r w:rsidRPr="009E7BBA">
        <w:rPr>
          <w:u w:val="single"/>
        </w:rPr>
        <w:t>Estimates of Annualized Burden Hours and Costs</w:t>
      </w:r>
    </w:p>
    <w:p w:rsidR="007B030C" w:rsidRPr="00485E0D" w:rsidP="00485E0D" w14:paraId="48A813C9" w14:textId="77777777"/>
    <w:p w:rsidR="00855A1D" w:rsidP="00485E0D" w14:paraId="23E7A6F6" w14:textId="045EB334">
      <w:pPr>
        <w:rPr>
          <w:i/>
          <w:iCs/>
        </w:rPr>
      </w:pPr>
      <w:r>
        <w:tab/>
      </w:r>
      <w:r w:rsidRPr="007E5802">
        <w:rPr>
          <w:i/>
          <w:iCs/>
        </w:rPr>
        <w:t>12a. Annualized Hour Burden Estimate</w:t>
      </w:r>
    </w:p>
    <w:p w:rsidR="009B6181" w:rsidP="00485E0D" w14:paraId="61801BCB" w14:textId="77777777"/>
    <w:p w:rsidR="00871064" w:rsidRPr="00871064" w:rsidP="00871064" w14:paraId="606FF076" w14:textId="77777777">
      <w:r>
        <w:tab/>
      </w:r>
      <w:r w:rsidRPr="00871064">
        <w:t xml:space="preserve">Respondents to this collection of information are (1) licensed manufacturers of biological products other than human blood and blood components, (2) licensed manufacturers of blood and blood components including Source Plasma, (3) unlicensed registered blood establishments, (4) transfusion services, and (5) establishments that manufacture non-reproductive HCT/Ps regulated solely under section 361 of the PHS Act as described in § 1271.10.  The number of respondents and total annual responses are based on the BPD reports and HCT/P deviation reports FDA received in fiscal year (FY) 2024.  The number of licensed manufacturers and total annual responses under § 600.14 include the estimates for BPD reports submitted to both CBER and CDER.  Based on the information from industry, the estimated average time to complete a deviation report is 2 hours, which includes a minimal one-time burden to create a user account for those reports submitted electronically.  The availability of the standardized report form, </w:t>
      </w:r>
      <w:r w:rsidRPr="00871064">
        <w:t>Form FDA 3486, and the ability to submit this report electronically to CBER (CDER does not currently accept electronic filings) further streamlines the report submission process.</w:t>
      </w:r>
    </w:p>
    <w:p w:rsidR="00871064" w:rsidRPr="00871064" w:rsidP="00485E0D" w14:paraId="5A8223DE" w14:textId="4168D09C"/>
    <w:p w:rsidR="00855A1D" w:rsidRPr="00855A1D" w:rsidP="00855A1D" w14:paraId="54DFE811" w14:textId="77777777">
      <w:pPr>
        <w:contextualSpacing/>
        <w:jc w:val="center"/>
        <w:rPr>
          <w:sz w:val="20"/>
          <w:szCs w:val="20"/>
        </w:rPr>
      </w:pPr>
      <w:r w:rsidRPr="00855A1D">
        <w:rPr>
          <w:sz w:val="20"/>
          <w:szCs w:val="20"/>
        </w:rPr>
        <w:t>Estimated Annual Reporting Burden</w:t>
      </w:r>
      <w:r w:rsidRPr="00855A1D">
        <w:rPr>
          <w:sz w:val="20"/>
          <w:szCs w:val="20"/>
          <w:vertAlign w:val="superscript"/>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03"/>
        <w:gridCol w:w="1002"/>
        <w:gridCol w:w="1277"/>
        <w:gridCol w:w="1423"/>
        <w:gridCol w:w="1170"/>
        <w:gridCol w:w="1123"/>
        <w:gridCol w:w="812"/>
      </w:tblGrid>
      <w:tr w14:paraId="059E3B70" w14:textId="77777777" w:rsidTr="009B6181">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cantSplit/>
          <w:tblHeader/>
        </w:trPr>
        <w:tc>
          <w:tcPr>
            <w:tcW w:w="2503" w:type="dxa"/>
            <w:shd w:val="clear" w:color="auto" w:fill="F2F2F2" w:themeFill="background1" w:themeFillShade="F2"/>
          </w:tcPr>
          <w:p w:rsidR="00855A1D" w:rsidRPr="00855A1D" w:rsidP="00855A1D" w14:paraId="2CD6C0D3" w14:textId="77777777">
            <w:pPr>
              <w:spacing w:after="55"/>
              <w:jc w:val="center"/>
              <w:rPr>
                <w:sz w:val="20"/>
                <w:szCs w:val="20"/>
              </w:rPr>
            </w:pPr>
            <w:r w:rsidRPr="00855A1D">
              <w:rPr>
                <w:sz w:val="20"/>
                <w:szCs w:val="20"/>
              </w:rPr>
              <w:t>21 CFR Section</w:t>
            </w:r>
          </w:p>
        </w:tc>
        <w:tc>
          <w:tcPr>
            <w:tcW w:w="1002" w:type="dxa"/>
            <w:shd w:val="clear" w:color="auto" w:fill="F2F2F2" w:themeFill="background1" w:themeFillShade="F2"/>
          </w:tcPr>
          <w:p w:rsidR="00855A1D" w:rsidRPr="00855A1D" w:rsidP="009B6181" w14:paraId="45B020AA" w14:textId="405A48F4">
            <w:pPr>
              <w:spacing w:after="55"/>
              <w:rPr>
                <w:sz w:val="20"/>
                <w:szCs w:val="20"/>
              </w:rPr>
            </w:pPr>
            <w:r w:rsidRPr="00855A1D">
              <w:rPr>
                <w:sz w:val="20"/>
                <w:szCs w:val="20"/>
              </w:rPr>
              <w:t>Form Number</w:t>
            </w:r>
          </w:p>
        </w:tc>
        <w:tc>
          <w:tcPr>
            <w:tcW w:w="1277" w:type="dxa"/>
            <w:shd w:val="clear" w:color="auto" w:fill="F2F2F2" w:themeFill="background1" w:themeFillShade="F2"/>
          </w:tcPr>
          <w:p w:rsidR="00855A1D" w:rsidRPr="00855A1D" w:rsidP="00855A1D" w14:paraId="10E1F493" w14:textId="77777777">
            <w:pPr>
              <w:spacing w:after="55"/>
              <w:jc w:val="center"/>
              <w:rPr>
                <w:sz w:val="20"/>
                <w:szCs w:val="20"/>
              </w:rPr>
            </w:pPr>
            <w:r w:rsidRPr="00855A1D">
              <w:rPr>
                <w:sz w:val="20"/>
                <w:szCs w:val="20"/>
              </w:rPr>
              <w:t>No. of Respondents</w:t>
            </w:r>
          </w:p>
        </w:tc>
        <w:tc>
          <w:tcPr>
            <w:tcW w:w="1423" w:type="dxa"/>
            <w:shd w:val="clear" w:color="auto" w:fill="F2F2F2" w:themeFill="background1" w:themeFillShade="F2"/>
          </w:tcPr>
          <w:p w:rsidR="00855A1D" w:rsidRPr="00855A1D" w:rsidP="00855A1D" w14:paraId="47706493" w14:textId="77777777">
            <w:pPr>
              <w:spacing w:after="55"/>
              <w:jc w:val="center"/>
              <w:rPr>
                <w:sz w:val="20"/>
                <w:szCs w:val="20"/>
              </w:rPr>
            </w:pPr>
            <w:r w:rsidRPr="00855A1D">
              <w:rPr>
                <w:sz w:val="20"/>
                <w:szCs w:val="20"/>
              </w:rPr>
              <w:t>No. of Responses per Respondent</w:t>
            </w:r>
          </w:p>
        </w:tc>
        <w:tc>
          <w:tcPr>
            <w:tcW w:w="1170" w:type="dxa"/>
            <w:shd w:val="clear" w:color="auto" w:fill="F2F2F2" w:themeFill="background1" w:themeFillShade="F2"/>
          </w:tcPr>
          <w:p w:rsidR="00855A1D" w:rsidRPr="00855A1D" w:rsidP="00855A1D" w14:paraId="3DCF2595" w14:textId="77777777">
            <w:pPr>
              <w:spacing w:after="55"/>
              <w:jc w:val="center"/>
              <w:rPr>
                <w:sz w:val="20"/>
                <w:szCs w:val="20"/>
              </w:rPr>
            </w:pPr>
            <w:r w:rsidRPr="00855A1D">
              <w:rPr>
                <w:sz w:val="20"/>
                <w:szCs w:val="20"/>
              </w:rPr>
              <w:t>Total Annual Responses</w:t>
            </w:r>
          </w:p>
        </w:tc>
        <w:tc>
          <w:tcPr>
            <w:tcW w:w="1123" w:type="dxa"/>
            <w:shd w:val="clear" w:color="auto" w:fill="F2F2F2" w:themeFill="background1" w:themeFillShade="F2"/>
          </w:tcPr>
          <w:p w:rsidR="00855A1D" w:rsidRPr="00855A1D" w:rsidP="00855A1D" w14:paraId="4EE19839" w14:textId="77777777">
            <w:pPr>
              <w:spacing w:after="55"/>
              <w:jc w:val="center"/>
              <w:rPr>
                <w:sz w:val="20"/>
                <w:szCs w:val="20"/>
              </w:rPr>
            </w:pPr>
            <w:r w:rsidRPr="00855A1D">
              <w:rPr>
                <w:sz w:val="20"/>
                <w:szCs w:val="20"/>
              </w:rPr>
              <w:t>Average Burden per Response</w:t>
            </w:r>
          </w:p>
        </w:tc>
        <w:tc>
          <w:tcPr>
            <w:tcW w:w="812" w:type="dxa"/>
            <w:shd w:val="clear" w:color="auto" w:fill="F2F2F2" w:themeFill="background1" w:themeFillShade="F2"/>
          </w:tcPr>
          <w:p w:rsidR="00855A1D" w:rsidRPr="00855A1D" w:rsidP="00855A1D" w14:paraId="3F99AD68" w14:textId="77777777">
            <w:pPr>
              <w:spacing w:after="55"/>
              <w:jc w:val="center"/>
              <w:rPr>
                <w:sz w:val="20"/>
                <w:szCs w:val="20"/>
              </w:rPr>
            </w:pPr>
            <w:r w:rsidRPr="00855A1D">
              <w:rPr>
                <w:sz w:val="20"/>
                <w:szCs w:val="20"/>
              </w:rPr>
              <w:t>Total Hours</w:t>
            </w:r>
          </w:p>
        </w:tc>
      </w:tr>
      <w:tr w14:paraId="44459C01" w14:textId="77777777" w:rsidTr="009B6181">
        <w:tblPrEx>
          <w:tblW w:w="0" w:type="auto"/>
          <w:tblLayout w:type="fixed"/>
          <w:tblLook w:val="04A0"/>
        </w:tblPrEx>
        <w:trPr>
          <w:cantSplit/>
        </w:trPr>
        <w:tc>
          <w:tcPr>
            <w:tcW w:w="2503" w:type="dxa"/>
            <w:shd w:val="clear" w:color="auto" w:fill="auto"/>
          </w:tcPr>
          <w:p w:rsidR="00855A1D" w:rsidRPr="00855A1D" w:rsidP="00855A1D" w14:paraId="225AE432" w14:textId="77777777">
            <w:pPr>
              <w:spacing w:after="74"/>
              <w:rPr>
                <w:sz w:val="20"/>
                <w:szCs w:val="20"/>
              </w:rPr>
            </w:pPr>
            <w:r w:rsidRPr="00855A1D">
              <w:rPr>
                <w:sz w:val="20"/>
                <w:szCs w:val="20"/>
              </w:rPr>
              <w:t>600.14 Reporting of product deviations by licensed manufacturers</w:t>
            </w:r>
          </w:p>
        </w:tc>
        <w:tc>
          <w:tcPr>
            <w:tcW w:w="1002" w:type="dxa"/>
            <w:shd w:val="clear" w:color="auto" w:fill="auto"/>
            <w:vAlign w:val="center"/>
          </w:tcPr>
          <w:p w:rsidR="00855A1D" w:rsidRPr="00855A1D" w:rsidP="009B6181" w14:paraId="13F127F6" w14:textId="77777777">
            <w:pPr>
              <w:jc w:val="right"/>
              <w:rPr>
                <w:sz w:val="20"/>
                <w:szCs w:val="20"/>
              </w:rPr>
            </w:pPr>
            <w:r w:rsidRPr="00855A1D">
              <w:rPr>
                <w:sz w:val="20"/>
                <w:szCs w:val="20"/>
              </w:rPr>
              <w:t>3486</w:t>
            </w:r>
          </w:p>
        </w:tc>
        <w:tc>
          <w:tcPr>
            <w:tcW w:w="1277" w:type="dxa"/>
            <w:shd w:val="clear" w:color="auto" w:fill="auto"/>
            <w:vAlign w:val="center"/>
          </w:tcPr>
          <w:p w:rsidR="00855A1D" w:rsidRPr="00855A1D" w:rsidP="009B6181" w14:paraId="2596BB05" w14:textId="77777777">
            <w:pPr>
              <w:spacing w:after="74"/>
              <w:jc w:val="right"/>
              <w:rPr>
                <w:sz w:val="20"/>
                <w:szCs w:val="20"/>
              </w:rPr>
            </w:pPr>
            <w:r w:rsidRPr="00855A1D">
              <w:rPr>
                <w:sz w:val="20"/>
                <w:szCs w:val="20"/>
              </w:rPr>
              <w:t>70</w:t>
            </w:r>
          </w:p>
        </w:tc>
        <w:tc>
          <w:tcPr>
            <w:tcW w:w="1423" w:type="dxa"/>
            <w:shd w:val="clear" w:color="auto" w:fill="auto"/>
            <w:vAlign w:val="center"/>
          </w:tcPr>
          <w:p w:rsidR="00855A1D" w:rsidRPr="00855A1D" w:rsidP="009B6181" w14:paraId="22918091" w14:textId="77777777">
            <w:pPr>
              <w:spacing w:after="74"/>
              <w:jc w:val="right"/>
              <w:rPr>
                <w:sz w:val="20"/>
                <w:szCs w:val="20"/>
              </w:rPr>
            </w:pPr>
            <w:r w:rsidRPr="00855A1D">
              <w:rPr>
                <w:sz w:val="20"/>
                <w:szCs w:val="20"/>
              </w:rPr>
              <w:t>7.186</w:t>
            </w:r>
          </w:p>
        </w:tc>
        <w:tc>
          <w:tcPr>
            <w:tcW w:w="1170" w:type="dxa"/>
            <w:shd w:val="clear" w:color="auto" w:fill="auto"/>
            <w:vAlign w:val="center"/>
          </w:tcPr>
          <w:p w:rsidR="00855A1D" w:rsidRPr="00855A1D" w:rsidP="009B6181" w14:paraId="42FDF4AC" w14:textId="77777777">
            <w:pPr>
              <w:spacing w:after="74"/>
              <w:jc w:val="right"/>
              <w:rPr>
                <w:sz w:val="20"/>
                <w:szCs w:val="20"/>
              </w:rPr>
            </w:pPr>
            <w:r w:rsidRPr="00855A1D">
              <w:rPr>
                <w:sz w:val="20"/>
                <w:szCs w:val="20"/>
              </w:rPr>
              <w:t>503</w:t>
            </w:r>
          </w:p>
        </w:tc>
        <w:tc>
          <w:tcPr>
            <w:tcW w:w="1123" w:type="dxa"/>
            <w:shd w:val="clear" w:color="auto" w:fill="auto"/>
            <w:vAlign w:val="center"/>
          </w:tcPr>
          <w:p w:rsidR="00855A1D" w:rsidRPr="00855A1D" w:rsidP="009B6181" w14:paraId="23A03497" w14:textId="77777777">
            <w:pPr>
              <w:spacing w:after="74"/>
              <w:jc w:val="right"/>
              <w:rPr>
                <w:sz w:val="20"/>
                <w:szCs w:val="20"/>
              </w:rPr>
            </w:pPr>
            <w:r w:rsidRPr="00855A1D">
              <w:rPr>
                <w:sz w:val="20"/>
                <w:szCs w:val="20"/>
              </w:rPr>
              <w:t>2.0</w:t>
            </w:r>
          </w:p>
        </w:tc>
        <w:tc>
          <w:tcPr>
            <w:tcW w:w="812" w:type="dxa"/>
            <w:shd w:val="clear" w:color="auto" w:fill="auto"/>
            <w:vAlign w:val="center"/>
          </w:tcPr>
          <w:p w:rsidR="00855A1D" w:rsidRPr="00855A1D" w:rsidP="009B6181" w14:paraId="540E50FB" w14:textId="77777777">
            <w:pPr>
              <w:spacing w:after="74"/>
              <w:jc w:val="right"/>
              <w:rPr>
                <w:sz w:val="20"/>
                <w:szCs w:val="20"/>
              </w:rPr>
            </w:pPr>
            <w:r w:rsidRPr="00855A1D">
              <w:rPr>
                <w:sz w:val="20"/>
                <w:szCs w:val="20"/>
              </w:rPr>
              <w:t>1,006</w:t>
            </w:r>
          </w:p>
        </w:tc>
      </w:tr>
      <w:tr w14:paraId="58631697" w14:textId="77777777" w:rsidTr="009B6181">
        <w:tblPrEx>
          <w:tblW w:w="0" w:type="auto"/>
          <w:tblLayout w:type="fixed"/>
          <w:tblLook w:val="04A0"/>
        </w:tblPrEx>
        <w:trPr>
          <w:cantSplit/>
        </w:trPr>
        <w:tc>
          <w:tcPr>
            <w:tcW w:w="2503" w:type="dxa"/>
            <w:shd w:val="clear" w:color="auto" w:fill="auto"/>
          </w:tcPr>
          <w:p w:rsidR="00855A1D" w:rsidRPr="00855A1D" w:rsidP="00855A1D" w14:paraId="3D7E9EA4" w14:textId="77777777">
            <w:pPr>
              <w:rPr>
                <w:sz w:val="20"/>
                <w:szCs w:val="20"/>
              </w:rPr>
            </w:pPr>
            <w:r w:rsidRPr="00855A1D">
              <w:rPr>
                <w:sz w:val="20"/>
                <w:szCs w:val="20"/>
              </w:rPr>
              <w:t>606.171 Reporting of product deviations by licensed manufacturers, unlicensed registered blood establishments and transfusion services</w:t>
            </w:r>
            <w:r w:rsidRPr="00855A1D">
              <w:rPr>
                <w:sz w:val="20"/>
                <w:szCs w:val="20"/>
                <w:vertAlign w:val="superscript"/>
              </w:rPr>
              <w:t xml:space="preserve"> </w:t>
            </w:r>
          </w:p>
        </w:tc>
        <w:tc>
          <w:tcPr>
            <w:tcW w:w="1002" w:type="dxa"/>
            <w:shd w:val="clear" w:color="auto" w:fill="auto"/>
            <w:vAlign w:val="center"/>
          </w:tcPr>
          <w:p w:rsidR="00855A1D" w:rsidRPr="00855A1D" w:rsidP="009B6181" w14:paraId="3D98CFF9" w14:textId="77777777">
            <w:pPr>
              <w:jc w:val="right"/>
              <w:rPr>
                <w:sz w:val="20"/>
                <w:szCs w:val="20"/>
              </w:rPr>
            </w:pPr>
            <w:r w:rsidRPr="00855A1D">
              <w:rPr>
                <w:sz w:val="20"/>
                <w:szCs w:val="20"/>
              </w:rPr>
              <w:t>3486</w:t>
            </w:r>
          </w:p>
        </w:tc>
        <w:tc>
          <w:tcPr>
            <w:tcW w:w="1277" w:type="dxa"/>
            <w:shd w:val="clear" w:color="auto" w:fill="auto"/>
            <w:vAlign w:val="center"/>
          </w:tcPr>
          <w:p w:rsidR="00855A1D" w:rsidRPr="00855A1D" w:rsidP="009B6181" w14:paraId="2A6F477E" w14:textId="77777777">
            <w:pPr>
              <w:jc w:val="right"/>
              <w:rPr>
                <w:sz w:val="20"/>
                <w:szCs w:val="20"/>
              </w:rPr>
            </w:pPr>
            <w:r w:rsidRPr="00855A1D">
              <w:rPr>
                <w:sz w:val="20"/>
                <w:szCs w:val="20"/>
              </w:rPr>
              <w:t>2,455</w:t>
            </w:r>
          </w:p>
        </w:tc>
        <w:tc>
          <w:tcPr>
            <w:tcW w:w="1423" w:type="dxa"/>
            <w:shd w:val="clear" w:color="auto" w:fill="auto"/>
            <w:vAlign w:val="center"/>
          </w:tcPr>
          <w:p w:rsidR="00855A1D" w:rsidRPr="00855A1D" w:rsidP="009B6181" w14:paraId="0A1683EB" w14:textId="77777777">
            <w:pPr>
              <w:spacing w:after="74"/>
              <w:jc w:val="right"/>
              <w:rPr>
                <w:sz w:val="20"/>
                <w:szCs w:val="20"/>
              </w:rPr>
            </w:pPr>
            <w:r w:rsidRPr="00855A1D">
              <w:rPr>
                <w:sz w:val="20"/>
                <w:szCs w:val="20"/>
              </w:rPr>
              <w:t>6.630</w:t>
            </w:r>
          </w:p>
        </w:tc>
        <w:tc>
          <w:tcPr>
            <w:tcW w:w="1170" w:type="dxa"/>
            <w:shd w:val="clear" w:color="auto" w:fill="auto"/>
            <w:vAlign w:val="center"/>
          </w:tcPr>
          <w:p w:rsidR="00855A1D" w:rsidRPr="00855A1D" w:rsidP="009B6181" w14:paraId="1CCF8B5D" w14:textId="77777777">
            <w:pPr>
              <w:spacing w:after="74"/>
              <w:jc w:val="right"/>
              <w:rPr>
                <w:sz w:val="20"/>
                <w:szCs w:val="20"/>
              </w:rPr>
            </w:pPr>
            <w:r w:rsidRPr="00855A1D">
              <w:rPr>
                <w:sz w:val="20"/>
                <w:szCs w:val="20"/>
              </w:rPr>
              <w:t>16,277</w:t>
            </w:r>
          </w:p>
        </w:tc>
        <w:tc>
          <w:tcPr>
            <w:tcW w:w="1123" w:type="dxa"/>
            <w:shd w:val="clear" w:color="auto" w:fill="auto"/>
            <w:vAlign w:val="center"/>
          </w:tcPr>
          <w:p w:rsidR="00855A1D" w:rsidRPr="00855A1D" w:rsidP="009B6181" w14:paraId="61224314" w14:textId="77777777">
            <w:pPr>
              <w:spacing w:after="74"/>
              <w:jc w:val="right"/>
              <w:rPr>
                <w:sz w:val="20"/>
                <w:szCs w:val="20"/>
              </w:rPr>
            </w:pPr>
            <w:r w:rsidRPr="00855A1D">
              <w:rPr>
                <w:sz w:val="20"/>
                <w:szCs w:val="20"/>
              </w:rPr>
              <w:t>2.0</w:t>
            </w:r>
          </w:p>
        </w:tc>
        <w:tc>
          <w:tcPr>
            <w:tcW w:w="812" w:type="dxa"/>
            <w:shd w:val="clear" w:color="auto" w:fill="auto"/>
            <w:vAlign w:val="center"/>
          </w:tcPr>
          <w:p w:rsidR="00855A1D" w:rsidRPr="00855A1D" w:rsidP="009B6181" w14:paraId="7A743D5D" w14:textId="77777777">
            <w:pPr>
              <w:spacing w:after="74"/>
              <w:jc w:val="right"/>
              <w:rPr>
                <w:sz w:val="20"/>
                <w:szCs w:val="20"/>
              </w:rPr>
            </w:pPr>
            <w:r w:rsidRPr="00855A1D">
              <w:rPr>
                <w:sz w:val="20"/>
                <w:szCs w:val="20"/>
              </w:rPr>
              <w:t>32,554</w:t>
            </w:r>
          </w:p>
        </w:tc>
      </w:tr>
      <w:tr w14:paraId="4B400D26" w14:textId="77777777" w:rsidTr="009B6181">
        <w:tblPrEx>
          <w:tblW w:w="0" w:type="auto"/>
          <w:tblLayout w:type="fixed"/>
          <w:tblLook w:val="04A0"/>
        </w:tblPrEx>
        <w:trPr>
          <w:cantSplit/>
        </w:trPr>
        <w:tc>
          <w:tcPr>
            <w:tcW w:w="2503" w:type="dxa"/>
            <w:shd w:val="clear" w:color="auto" w:fill="auto"/>
          </w:tcPr>
          <w:p w:rsidR="00855A1D" w:rsidRPr="00855A1D" w:rsidP="00855A1D" w14:paraId="6C6677CB" w14:textId="77777777">
            <w:pPr>
              <w:rPr>
                <w:sz w:val="20"/>
                <w:szCs w:val="20"/>
              </w:rPr>
            </w:pPr>
            <w:r w:rsidRPr="00855A1D">
              <w:rPr>
                <w:sz w:val="20"/>
                <w:szCs w:val="20"/>
              </w:rPr>
              <w:t xml:space="preserve">1271.350(b) Reporting requirements (human cells tissues and cellular and tissue-based products) </w:t>
            </w:r>
          </w:p>
        </w:tc>
        <w:tc>
          <w:tcPr>
            <w:tcW w:w="1002" w:type="dxa"/>
            <w:shd w:val="clear" w:color="auto" w:fill="auto"/>
            <w:vAlign w:val="center"/>
          </w:tcPr>
          <w:p w:rsidR="00855A1D" w:rsidRPr="00855A1D" w:rsidP="009B6181" w14:paraId="320E97E4" w14:textId="77777777">
            <w:pPr>
              <w:jc w:val="right"/>
              <w:rPr>
                <w:sz w:val="20"/>
                <w:szCs w:val="20"/>
              </w:rPr>
            </w:pPr>
            <w:r w:rsidRPr="00855A1D">
              <w:rPr>
                <w:sz w:val="20"/>
                <w:szCs w:val="20"/>
              </w:rPr>
              <w:t>3486</w:t>
            </w:r>
          </w:p>
        </w:tc>
        <w:tc>
          <w:tcPr>
            <w:tcW w:w="1277" w:type="dxa"/>
            <w:shd w:val="clear" w:color="auto" w:fill="auto"/>
            <w:vAlign w:val="center"/>
          </w:tcPr>
          <w:p w:rsidR="00855A1D" w:rsidRPr="00855A1D" w:rsidP="009B6181" w14:paraId="74E5C417" w14:textId="77777777">
            <w:pPr>
              <w:jc w:val="right"/>
              <w:rPr>
                <w:sz w:val="20"/>
                <w:szCs w:val="20"/>
              </w:rPr>
            </w:pPr>
            <w:r w:rsidRPr="00855A1D">
              <w:rPr>
                <w:sz w:val="20"/>
                <w:szCs w:val="20"/>
              </w:rPr>
              <w:t>86</w:t>
            </w:r>
          </w:p>
        </w:tc>
        <w:tc>
          <w:tcPr>
            <w:tcW w:w="1423" w:type="dxa"/>
            <w:shd w:val="clear" w:color="auto" w:fill="auto"/>
            <w:vAlign w:val="center"/>
          </w:tcPr>
          <w:p w:rsidR="00855A1D" w:rsidRPr="00855A1D" w:rsidP="009B6181" w14:paraId="2DA0A463" w14:textId="77777777">
            <w:pPr>
              <w:spacing w:after="74"/>
              <w:ind w:left="-22" w:firstLine="22"/>
              <w:jc w:val="right"/>
              <w:rPr>
                <w:sz w:val="20"/>
                <w:szCs w:val="20"/>
              </w:rPr>
            </w:pPr>
            <w:r w:rsidRPr="00855A1D">
              <w:rPr>
                <w:sz w:val="20"/>
                <w:szCs w:val="20"/>
              </w:rPr>
              <w:t>2.465</w:t>
            </w:r>
          </w:p>
        </w:tc>
        <w:tc>
          <w:tcPr>
            <w:tcW w:w="1170" w:type="dxa"/>
            <w:shd w:val="clear" w:color="auto" w:fill="auto"/>
            <w:vAlign w:val="center"/>
          </w:tcPr>
          <w:p w:rsidR="00855A1D" w:rsidRPr="00855A1D" w:rsidP="009B6181" w14:paraId="06CF3186" w14:textId="77777777">
            <w:pPr>
              <w:spacing w:after="74"/>
              <w:jc w:val="right"/>
              <w:rPr>
                <w:sz w:val="20"/>
                <w:szCs w:val="20"/>
              </w:rPr>
            </w:pPr>
            <w:r w:rsidRPr="00855A1D">
              <w:rPr>
                <w:sz w:val="20"/>
                <w:szCs w:val="20"/>
              </w:rPr>
              <w:t>212</w:t>
            </w:r>
          </w:p>
        </w:tc>
        <w:tc>
          <w:tcPr>
            <w:tcW w:w="1123" w:type="dxa"/>
            <w:shd w:val="clear" w:color="auto" w:fill="auto"/>
            <w:vAlign w:val="center"/>
          </w:tcPr>
          <w:p w:rsidR="00855A1D" w:rsidRPr="00855A1D" w:rsidP="009B6181" w14:paraId="55ABA710" w14:textId="77777777">
            <w:pPr>
              <w:spacing w:after="74"/>
              <w:jc w:val="right"/>
              <w:rPr>
                <w:sz w:val="20"/>
                <w:szCs w:val="20"/>
              </w:rPr>
            </w:pPr>
            <w:r w:rsidRPr="00855A1D">
              <w:rPr>
                <w:sz w:val="20"/>
                <w:szCs w:val="20"/>
              </w:rPr>
              <w:t>2.0</w:t>
            </w:r>
          </w:p>
        </w:tc>
        <w:tc>
          <w:tcPr>
            <w:tcW w:w="812" w:type="dxa"/>
            <w:shd w:val="clear" w:color="auto" w:fill="auto"/>
            <w:vAlign w:val="center"/>
          </w:tcPr>
          <w:p w:rsidR="00855A1D" w:rsidRPr="00855A1D" w:rsidP="009B6181" w14:paraId="3534F24C" w14:textId="77777777">
            <w:pPr>
              <w:spacing w:after="74"/>
              <w:jc w:val="right"/>
              <w:rPr>
                <w:sz w:val="20"/>
                <w:szCs w:val="20"/>
              </w:rPr>
            </w:pPr>
            <w:r w:rsidRPr="00855A1D">
              <w:rPr>
                <w:sz w:val="20"/>
                <w:szCs w:val="20"/>
              </w:rPr>
              <w:t>424</w:t>
            </w:r>
          </w:p>
        </w:tc>
      </w:tr>
      <w:tr w14:paraId="32DB0545" w14:textId="77777777" w:rsidTr="009B6181">
        <w:tblPrEx>
          <w:tblW w:w="0" w:type="auto"/>
          <w:tblLayout w:type="fixed"/>
          <w:tblLook w:val="04A0"/>
        </w:tblPrEx>
        <w:trPr>
          <w:cantSplit/>
        </w:trPr>
        <w:tc>
          <w:tcPr>
            <w:tcW w:w="2503" w:type="dxa"/>
            <w:shd w:val="clear" w:color="auto" w:fill="auto"/>
          </w:tcPr>
          <w:p w:rsidR="00855A1D" w:rsidRPr="00855A1D" w:rsidP="00855A1D" w14:paraId="734545D7" w14:textId="77777777">
            <w:pPr>
              <w:rPr>
                <w:sz w:val="20"/>
                <w:szCs w:val="20"/>
              </w:rPr>
            </w:pPr>
            <w:r w:rsidRPr="00855A1D">
              <w:rPr>
                <w:sz w:val="20"/>
                <w:szCs w:val="20"/>
              </w:rPr>
              <w:t>1271.350(b) CBER addendum report</w:t>
            </w:r>
          </w:p>
          <w:p w:rsidR="00855A1D" w:rsidRPr="00855A1D" w:rsidP="00855A1D" w14:paraId="43953D8B" w14:textId="77777777">
            <w:pPr>
              <w:rPr>
                <w:sz w:val="20"/>
                <w:szCs w:val="20"/>
              </w:rPr>
            </w:pPr>
          </w:p>
        </w:tc>
        <w:tc>
          <w:tcPr>
            <w:tcW w:w="1002" w:type="dxa"/>
            <w:shd w:val="clear" w:color="auto" w:fill="auto"/>
            <w:vAlign w:val="center"/>
          </w:tcPr>
          <w:p w:rsidR="00855A1D" w:rsidRPr="00855A1D" w:rsidP="009B6181" w14:paraId="4F66E1D3" w14:textId="77777777">
            <w:pPr>
              <w:jc w:val="right"/>
              <w:rPr>
                <w:sz w:val="20"/>
                <w:szCs w:val="20"/>
              </w:rPr>
            </w:pPr>
            <w:r w:rsidRPr="00855A1D">
              <w:rPr>
                <w:sz w:val="20"/>
                <w:szCs w:val="20"/>
              </w:rPr>
              <w:t>3486A</w:t>
            </w:r>
            <w:r w:rsidRPr="00855A1D">
              <w:rPr>
                <w:sz w:val="20"/>
                <w:szCs w:val="20"/>
                <w:vertAlign w:val="superscript"/>
              </w:rPr>
              <w:t>2</w:t>
            </w:r>
          </w:p>
        </w:tc>
        <w:tc>
          <w:tcPr>
            <w:tcW w:w="1277" w:type="dxa"/>
            <w:shd w:val="clear" w:color="auto" w:fill="auto"/>
            <w:vAlign w:val="center"/>
          </w:tcPr>
          <w:p w:rsidR="00855A1D" w:rsidRPr="00855A1D" w:rsidP="009B6181" w14:paraId="38F23DCF" w14:textId="77777777">
            <w:pPr>
              <w:jc w:val="right"/>
              <w:rPr>
                <w:sz w:val="20"/>
                <w:szCs w:val="20"/>
              </w:rPr>
            </w:pPr>
            <w:r w:rsidRPr="00855A1D">
              <w:rPr>
                <w:sz w:val="20"/>
                <w:szCs w:val="20"/>
              </w:rPr>
              <w:t>127</w:t>
            </w:r>
          </w:p>
        </w:tc>
        <w:tc>
          <w:tcPr>
            <w:tcW w:w="1423" w:type="dxa"/>
            <w:shd w:val="clear" w:color="auto" w:fill="auto"/>
            <w:vAlign w:val="center"/>
          </w:tcPr>
          <w:p w:rsidR="00855A1D" w:rsidRPr="00855A1D" w:rsidP="009B6181" w14:paraId="403A0617" w14:textId="77777777">
            <w:pPr>
              <w:tabs>
                <w:tab w:val="left" w:pos="482"/>
              </w:tabs>
              <w:spacing w:after="74"/>
              <w:jc w:val="right"/>
              <w:rPr>
                <w:sz w:val="20"/>
                <w:szCs w:val="20"/>
              </w:rPr>
            </w:pPr>
            <w:r w:rsidRPr="00855A1D">
              <w:rPr>
                <w:sz w:val="20"/>
                <w:szCs w:val="20"/>
              </w:rPr>
              <w:t>6.50</w:t>
            </w:r>
          </w:p>
        </w:tc>
        <w:tc>
          <w:tcPr>
            <w:tcW w:w="1170" w:type="dxa"/>
            <w:shd w:val="clear" w:color="auto" w:fill="auto"/>
            <w:vAlign w:val="center"/>
          </w:tcPr>
          <w:p w:rsidR="00855A1D" w:rsidRPr="00855A1D" w:rsidP="009B6181" w14:paraId="0D087CAC" w14:textId="77777777">
            <w:pPr>
              <w:tabs>
                <w:tab w:val="left" w:pos="512"/>
                <w:tab w:val="left" w:pos="647"/>
              </w:tabs>
              <w:spacing w:after="74"/>
              <w:jc w:val="right"/>
              <w:rPr>
                <w:sz w:val="20"/>
                <w:szCs w:val="20"/>
                <w:vertAlign w:val="superscript"/>
              </w:rPr>
            </w:pPr>
            <w:r w:rsidRPr="00855A1D">
              <w:rPr>
                <w:sz w:val="20"/>
                <w:szCs w:val="20"/>
              </w:rPr>
              <w:t>826</w:t>
            </w:r>
          </w:p>
        </w:tc>
        <w:tc>
          <w:tcPr>
            <w:tcW w:w="1123" w:type="dxa"/>
            <w:shd w:val="clear" w:color="auto" w:fill="auto"/>
            <w:vAlign w:val="center"/>
          </w:tcPr>
          <w:p w:rsidR="00855A1D" w:rsidRPr="00855A1D" w:rsidP="009B6181" w14:paraId="19A37D92" w14:textId="77777777">
            <w:pPr>
              <w:spacing w:after="74"/>
              <w:jc w:val="right"/>
              <w:rPr>
                <w:sz w:val="20"/>
                <w:szCs w:val="20"/>
              </w:rPr>
            </w:pPr>
            <w:r w:rsidRPr="00855A1D">
              <w:rPr>
                <w:sz w:val="20"/>
                <w:szCs w:val="20"/>
              </w:rPr>
              <w:t>0.25</w:t>
            </w:r>
          </w:p>
        </w:tc>
        <w:tc>
          <w:tcPr>
            <w:tcW w:w="812" w:type="dxa"/>
            <w:shd w:val="clear" w:color="auto" w:fill="auto"/>
            <w:vAlign w:val="center"/>
          </w:tcPr>
          <w:p w:rsidR="00855A1D" w:rsidRPr="00855A1D" w:rsidP="009B6181" w14:paraId="30150E86" w14:textId="77777777">
            <w:pPr>
              <w:spacing w:after="74"/>
              <w:jc w:val="right"/>
              <w:rPr>
                <w:sz w:val="20"/>
                <w:szCs w:val="20"/>
              </w:rPr>
            </w:pPr>
            <w:r w:rsidRPr="00855A1D">
              <w:rPr>
                <w:sz w:val="20"/>
                <w:szCs w:val="20"/>
              </w:rPr>
              <w:t>207</w:t>
            </w:r>
          </w:p>
        </w:tc>
      </w:tr>
      <w:tr w14:paraId="1511E844" w14:textId="77777777" w:rsidTr="009B6181">
        <w:tblPrEx>
          <w:tblW w:w="0" w:type="auto"/>
          <w:tblLayout w:type="fixed"/>
          <w:tblLook w:val="04A0"/>
        </w:tblPrEx>
        <w:trPr>
          <w:cantSplit/>
        </w:trPr>
        <w:tc>
          <w:tcPr>
            <w:tcW w:w="2503" w:type="dxa"/>
            <w:shd w:val="clear" w:color="auto" w:fill="auto"/>
            <w:vAlign w:val="center"/>
          </w:tcPr>
          <w:p w:rsidR="00855A1D" w:rsidRPr="00855A1D" w:rsidP="00855A1D" w14:paraId="1765F2B3" w14:textId="77777777">
            <w:pPr>
              <w:rPr>
                <w:sz w:val="20"/>
                <w:szCs w:val="20"/>
              </w:rPr>
            </w:pPr>
            <w:r w:rsidRPr="00855A1D">
              <w:rPr>
                <w:sz w:val="20"/>
                <w:szCs w:val="20"/>
              </w:rPr>
              <w:t>Total</w:t>
            </w:r>
          </w:p>
          <w:p w:rsidR="00855A1D" w:rsidRPr="00855A1D" w:rsidP="00855A1D" w14:paraId="3D1C6D35" w14:textId="77777777">
            <w:pPr>
              <w:rPr>
                <w:sz w:val="20"/>
                <w:szCs w:val="20"/>
              </w:rPr>
            </w:pPr>
          </w:p>
        </w:tc>
        <w:tc>
          <w:tcPr>
            <w:tcW w:w="1002" w:type="dxa"/>
            <w:shd w:val="clear" w:color="auto" w:fill="auto"/>
          </w:tcPr>
          <w:p w:rsidR="00855A1D" w:rsidRPr="00855A1D" w:rsidP="009B6181" w14:paraId="06965C3B" w14:textId="77777777">
            <w:pPr>
              <w:jc w:val="right"/>
              <w:rPr>
                <w:sz w:val="20"/>
                <w:szCs w:val="20"/>
              </w:rPr>
            </w:pPr>
          </w:p>
        </w:tc>
        <w:tc>
          <w:tcPr>
            <w:tcW w:w="1277" w:type="dxa"/>
            <w:shd w:val="clear" w:color="auto" w:fill="auto"/>
          </w:tcPr>
          <w:p w:rsidR="00855A1D" w:rsidRPr="00855A1D" w:rsidP="009B6181" w14:paraId="515CEBF8" w14:textId="77777777">
            <w:pPr>
              <w:jc w:val="right"/>
              <w:rPr>
                <w:sz w:val="20"/>
                <w:szCs w:val="20"/>
              </w:rPr>
            </w:pPr>
          </w:p>
        </w:tc>
        <w:tc>
          <w:tcPr>
            <w:tcW w:w="1423" w:type="dxa"/>
            <w:shd w:val="clear" w:color="auto" w:fill="auto"/>
          </w:tcPr>
          <w:p w:rsidR="00855A1D" w:rsidRPr="00855A1D" w:rsidP="009B6181" w14:paraId="74D56D32" w14:textId="77777777">
            <w:pPr>
              <w:jc w:val="right"/>
              <w:rPr>
                <w:sz w:val="20"/>
                <w:szCs w:val="20"/>
              </w:rPr>
            </w:pPr>
          </w:p>
        </w:tc>
        <w:tc>
          <w:tcPr>
            <w:tcW w:w="1170" w:type="dxa"/>
            <w:shd w:val="clear" w:color="auto" w:fill="auto"/>
            <w:vAlign w:val="center"/>
          </w:tcPr>
          <w:p w:rsidR="00855A1D" w:rsidRPr="00855A1D" w:rsidP="009B6181" w14:paraId="3ACB0AC7" w14:textId="77777777">
            <w:pPr>
              <w:jc w:val="right"/>
              <w:rPr>
                <w:sz w:val="20"/>
                <w:szCs w:val="20"/>
              </w:rPr>
            </w:pPr>
            <w:r w:rsidRPr="00855A1D">
              <w:rPr>
                <w:sz w:val="20"/>
                <w:szCs w:val="20"/>
              </w:rPr>
              <w:t>17,818</w:t>
            </w:r>
          </w:p>
        </w:tc>
        <w:tc>
          <w:tcPr>
            <w:tcW w:w="1123" w:type="dxa"/>
            <w:shd w:val="clear" w:color="auto" w:fill="auto"/>
          </w:tcPr>
          <w:p w:rsidR="00855A1D" w:rsidRPr="00855A1D" w:rsidP="009B6181" w14:paraId="1A6958A0" w14:textId="77777777">
            <w:pPr>
              <w:jc w:val="right"/>
              <w:rPr>
                <w:sz w:val="20"/>
                <w:szCs w:val="20"/>
              </w:rPr>
            </w:pPr>
          </w:p>
        </w:tc>
        <w:tc>
          <w:tcPr>
            <w:tcW w:w="812" w:type="dxa"/>
            <w:shd w:val="clear" w:color="auto" w:fill="auto"/>
            <w:vAlign w:val="center"/>
          </w:tcPr>
          <w:p w:rsidR="00855A1D" w:rsidRPr="00855A1D" w:rsidP="009B6181" w14:paraId="5679ADEB" w14:textId="77777777">
            <w:pPr>
              <w:jc w:val="right"/>
              <w:rPr>
                <w:sz w:val="20"/>
                <w:szCs w:val="20"/>
              </w:rPr>
            </w:pPr>
            <w:r w:rsidRPr="00855A1D">
              <w:rPr>
                <w:sz w:val="20"/>
                <w:szCs w:val="20"/>
              </w:rPr>
              <w:t>34,191</w:t>
            </w:r>
          </w:p>
        </w:tc>
      </w:tr>
    </w:tbl>
    <w:p w:rsidR="00855A1D" w:rsidRPr="00855A1D" w:rsidP="00443566" w14:paraId="6B082EA6" w14:textId="77777777">
      <w:pPr>
        <w:rPr>
          <w:sz w:val="20"/>
          <w:szCs w:val="20"/>
        </w:rPr>
      </w:pPr>
      <w:r w:rsidRPr="00855A1D">
        <w:rPr>
          <w:sz w:val="20"/>
          <w:szCs w:val="20"/>
          <w:vertAlign w:val="superscript"/>
        </w:rPr>
        <w:t xml:space="preserve">1 </w:t>
      </w:r>
      <w:r w:rsidRPr="00855A1D">
        <w:rPr>
          <w:sz w:val="20"/>
          <w:szCs w:val="20"/>
        </w:rPr>
        <w:t>There are no capital costs or operating and maintenance costs associated with this collection of information.</w:t>
      </w:r>
    </w:p>
    <w:p w:rsidR="00855A1D" w:rsidRPr="00855A1D" w:rsidP="00443566" w14:paraId="33F28E1E" w14:textId="77777777">
      <w:pPr>
        <w:tabs>
          <w:tab w:val="left" w:pos="5580"/>
          <w:tab w:val="left" w:pos="5670"/>
          <w:tab w:val="left" w:pos="6480"/>
        </w:tabs>
        <w:rPr>
          <w:sz w:val="20"/>
          <w:szCs w:val="20"/>
        </w:rPr>
      </w:pPr>
      <w:r w:rsidRPr="00855A1D">
        <w:rPr>
          <w:sz w:val="20"/>
          <w:szCs w:val="20"/>
          <w:vertAlign w:val="superscript"/>
        </w:rPr>
        <w:t xml:space="preserve">2 </w:t>
      </w:r>
      <w:r w:rsidRPr="00855A1D">
        <w:rPr>
          <w:sz w:val="20"/>
          <w:szCs w:val="20"/>
        </w:rPr>
        <w:t xml:space="preserve">Five percent of the number of respondents </w:t>
      </w:r>
      <w:r w:rsidRPr="00855A1D">
        <w:rPr>
          <w:sz w:val="20"/>
          <w:szCs w:val="20"/>
        </w:rPr>
        <w:t>(</w:t>
      </w:r>
      <w:r w:rsidRPr="00855A1D">
        <w:rPr>
          <w:sz w:val="20"/>
          <w:szCs w:val="20"/>
        </w:rPr>
        <w:t>(2,455 + 86) × 0.05 = 127).</w:t>
      </w:r>
    </w:p>
    <w:p w:rsidR="000D014B" w:rsidP="00485E0D" w14:paraId="60C8B164" w14:textId="77777777"/>
    <w:p w:rsidR="009D3955" w:rsidRPr="00485E0D" w:rsidP="00485E0D" w14:paraId="0AD22650" w14:textId="39A096DF">
      <w:r w:rsidRPr="00485E0D">
        <w:t>Activities such as investigating, changing standard operating procedures or processes, and follow</w:t>
      </w:r>
      <w:r w:rsidRPr="00485E0D" w:rsidR="00CB7F20">
        <w:t xml:space="preserve"> </w:t>
      </w:r>
      <w:r w:rsidRPr="00485E0D">
        <w:t>up are currently required under 21 CFR parts 211 (approved under OMB control number 0910-0139), 606 (approved under OMB control number 0910-0116), 820 (approve</w:t>
      </w:r>
      <w:r w:rsidRPr="00485E0D" w:rsidR="00D523B4">
        <w:t>d</w:t>
      </w:r>
      <w:r w:rsidRPr="00485E0D">
        <w:t xml:space="preserve"> under OMB control number 0910-0073), and 1271 (approved under OMB control number 0910-0543) and, therefore, are not included in the burden calculation for the separate requirement of submitting a deviation report to FDA</w:t>
      </w:r>
      <w:r w:rsidR="00AD093A">
        <w:t xml:space="preserve">.  To determine reports submitted using Form FDA 3486A, we </w:t>
      </w:r>
      <w:r w:rsidR="00346FD3">
        <w:t>calculate t</w:t>
      </w:r>
      <w:r w:rsidRPr="00485E0D" w:rsidR="007A3CD2">
        <w:t xml:space="preserve">hree percent </w:t>
      </w:r>
      <w:r w:rsidR="00346FD3">
        <w:t xml:space="preserve">(3%) </w:t>
      </w:r>
      <w:r w:rsidRPr="00485E0D" w:rsidR="007A3CD2">
        <w:t xml:space="preserve">of the number of respondents (2,008+103+80) x 0.03 = 66) and </w:t>
      </w:r>
      <w:r w:rsidR="00CF3BBF">
        <w:t>assume 15 minutes is required for each submission.</w:t>
      </w:r>
    </w:p>
    <w:p w:rsidR="009D3955" w:rsidRPr="00485E0D" w:rsidP="00485E0D" w14:paraId="1EF646E6" w14:textId="77777777"/>
    <w:p w:rsidR="007B030C" w:rsidRPr="009123BB" w:rsidP="00485E0D" w14:paraId="0DB9EF5F" w14:textId="2E74301E">
      <w:pPr>
        <w:rPr>
          <w:i/>
          <w:iCs/>
        </w:rPr>
      </w:pPr>
      <w:r>
        <w:tab/>
      </w:r>
      <w:r w:rsidRPr="009123BB">
        <w:rPr>
          <w:i/>
          <w:iCs/>
        </w:rPr>
        <w:t>12b.  Annualized Cost Burden Estimate</w:t>
      </w:r>
    </w:p>
    <w:p w:rsidR="007B030C" w:rsidRPr="00485E0D" w:rsidP="00485E0D" w14:paraId="3120C875" w14:textId="77777777"/>
    <w:p w:rsidR="007B030C" w:rsidRPr="00485E0D" w:rsidP="00485E0D" w14:paraId="51B70C24" w14:textId="57F02FF6">
      <w:r>
        <w:t xml:space="preserve">We </w:t>
      </w:r>
      <w:r w:rsidRPr="00485E0D">
        <w:t>estimate</w:t>
      </w:r>
      <w:r>
        <w:t xml:space="preserve"> an</w:t>
      </w:r>
      <w:r w:rsidRPr="00485E0D">
        <w:t xml:space="preserve"> annualized cost </w:t>
      </w:r>
      <w:r w:rsidR="00232C88">
        <w:t xml:space="preserve">to </w:t>
      </w:r>
      <w:r w:rsidRPr="00485E0D">
        <w:t xml:space="preserve">respondents </w:t>
      </w:r>
      <w:r>
        <w:t xml:space="preserve">of </w:t>
      </w:r>
      <w:r w:rsidRPr="00485E0D">
        <w:t>$</w:t>
      </w:r>
      <w:r w:rsidRPr="00485E0D" w:rsidR="00E950FF">
        <w:t>1,478,925</w:t>
      </w:r>
      <w:r w:rsidRPr="00485E0D">
        <w:t>, as reflected below:</w:t>
      </w:r>
    </w:p>
    <w:p w:rsidR="007B030C" w:rsidRPr="00485E0D" w:rsidP="00485E0D" w14:paraId="7659A089" w14:textId="77777777"/>
    <w:tbl>
      <w:tblPr>
        <w:tblW w:w="9180" w:type="dxa"/>
        <w:tblInd w:w="-5" w:type="dxa"/>
        <w:tblLayout w:type="fixed"/>
        <w:tblCellMar>
          <w:left w:w="0" w:type="dxa"/>
          <w:right w:w="0" w:type="dxa"/>
        </w:tblCellMar>
        <w:tblLook w:val="0000"/>
      </w:tblPr>
      <w:tblGrid>
        <w:gridCol w:w="2334"/>
        <w:gridCol w:w="2214"/>
        <w:gridCol w:w="2214"/>
        <w:gridCol w:w="2418"/>
      </w:tblGrid>
      <w:tr w14:paraId="6C10DEBF" w14:textId="77777777" w:rsidTr="003109F9">
        <w:tblPrEx>
          <w:tblW w:w="9180" w:type="dxa"/>
          <w:tblInd w:w="-5" w:type="dxa"/>
          <w:tblLayout w:type="fixed"/>
          <w:tblCellMar>
            <w:left w:w="0" w:type="dxa"/>
            <w:right w:w="0" w:type="dxa"/>
          </w:tblCellMar>
          <w:tblLook w:val="0000"/>
        </w:tblPrEx>
        <w:trPr>
          <w:trHeight w:hRule="exact" w:val="289"/>
        </w:trPr>
        <w:tc>
          <w:tcPr>
            <w:tcW w:w="2334" w:type="dxa"/>
            <w:tcBorders>
              <w:top w:val="single" w:sz="4" w:space="0" w:color="000000"/>
              <w:left w:val="single" w:sz="4" w:space="0" w:color="000000"/>
              <w:bottom w:val="single" w:sz="4" w:space="0" w:color="000000"/>
              <w:right w:val="single" w:sz="4" w:space="0" w:color="000000"/>
            </w:tcBorders>
          </w:tcPr>
          <w:p w:rsidR="007B030C" w:rsidRPr="003109F9" w:rsidP="00485E0D" w14:paraId="67709157" w14:textId="77777777">
            <w:pPr>
              <w:rPr>
                <w:sz w:val="22"/>
                <w:szCs w:val="22"/>
              </w:rPr>
            </w:pPr>
            <w:r w:rsidRPr="003109F9">
              <w:rPr>
                <w:sz w:val="22"/>
                <w:szCs w:val="22"/>
              </w:rPr>
              <w:t>Activity</w:t>
            </w:r>
          </w:p>
        </w:tc>
        <w:tc>
          <w:tcPr>
            <w:tcW w:w="2214" w:type="dxa"/>
            <w:tcBorders>
              <w:top w:val="single" w:sz="4" w:space="0" w:color="000000"/>
              <w:left w:val="single" w:sz="4" w:space="0" w:color="000000"/>
              <w:bottom w:val="single" w:sz="4" w:space="0" w:color="000000"/>
              <w:right w:val="single" w:sz="4" w:space="0" w:color="000000"/>
            </w:tcBorders>
          </w:tcPr>
          <w:p w:rsidR="007B030C" w:rsidRPr="003109F9" w:rsidP="00485E0D" w14:paraId="6484B442" w14:textId="77777777">
            <w:pPr>
              <w:rPr>
                <w:sz w:val="22"/>
                <w:szCs w:val="22"/>
              </w:rPr>
            </w:pPr>
            <w:r w:rsidRPr="003109F9">
              <w:rPr>
                <w:sz w:val="22"/>
                <w:szCs w:val="22"/>
              </w:rPr>
              <w:t>Total Burden Hours</w:t>
            </w:r>
          </w:p>
        </w:tc>
        <w:tc>
          <w:tcPr>
            <w:tcW w:w="2214" w:type="dxa"/>
            <w:tcBorders>
              <w:top w:val="single" w:sz="4" w:space="0" w:color="000000"/>
              <w:left w:val="single" w:sz="4" w:space="0" w:color="000000"/>
              <w:bottom w:val="single" w:sz="4" w:space="0" w:color="000000"/>
              <w:right w:val="single" w:sz="4" w:space="0" w:color="000000"/>
            </w:tcBorders>
          </w:tcPr>
          <w:p w:rsidR="007B030C" w:rsidRPr="003109F9" w:rsidP="00485E0D" w14:paraId="52043944" w14:textId="77777777">
            <w:pPr>
              <w:rPr>
                <w:sz w:val="22"/>
                <w:szCs w:val="22"/>
              </w:rPr>
            </w:pPr>
            <w:r w:rsidRPr="003109F9">
              <w:rPr>
                <w:sz w:val="22"/>
                <w:szCs w:val="22"/>
              </w:rPr>
              <w:t>Hourly Wage Rate</w:t>
            </w:r>
          </w:p>
        </w:tc>
        <w:tc>
          <w:tcPr>
            <w:tcW w:w="2418" w:type="dxa"/>
            <w:tcBorders>
              <w:top w:val="single" w:sz="4" w:space="0" w:color="000000"/>
              <w:left w:val="single" w:sz="4" w:space="0" w:color="000000"/>
              <w:bottom w:val="single" w:sz="4" w:space="0" w:color="000000"/>
              <w:right w:val="single" w:sz="4" w:space="0" w:color="000000"/>
            </w:tcBorders>
          </w:tcPr>
          <w:p w:rsidR="007B030C" w:rsidRPr="003109F9" w:rsidP="00485E0D" w14:paraId="0715D81F" w14:textId="77777777">
            <w:pPr>
              <w:rPr>
                <w:sz w:val="22"/>
                <w:szCs w:val="22"/>
              </w:rPr>
            </w:pPr>
            <w:r w:rsidRPr="003109F9">
              <w:rPr>
                <w:sz w:val="22"/>
                <w:szCs w:val="22"/>
              </w:rPr>
              <w:t>Total Cost</w:t>
            </w:r>
          </w:p>
        </w:tc>
      </w:tr>
      <w:tr w14:paraId="05AD2FB0" w14:textId="77777777" w:rsidTr="003109F9">
        <w:tblPrEx>
          <w:tblW w:w="9180" w:type="dxa"/>
          <w:tblInd w:w="-5" w:type="dxa"/>
          <w:tblLayout w:type="fixed"/>
          <w:tblCellMar>
            <w:left w:w="0" w:type="dxa"/>
            <w:right w:w="0" w:type="dxa"/>
          </w:tblCellMar>
          <w:tblLook w:val="0000"/>
        </w:tblPrEx>
        <w:trPr>
          <w:trHeight w:hRule="exact" w:val="289"/>
        </w:trPr>
        <w:tc>
          <w:tcPr>
            <w:tcW w:w="2334" w:type="dxa"/>
            <w:tcBorders>
              <w:top w:val="single" w:sz="4" w:space="0" w:color="000000"/>
              <w:left w:val="single" w:sz="4" w:space="0" w:color="000000"/>
              <w:bottom w:val="single" w:sz="4" w:space="0" w:color="000000"/>
              <w:right w:val="single" w:sz="4" w:space="0" w:color="000000"/>
            </w:tcBorders>
          </w:tcPr>
          <w:p w:rsidR="007B030C" w:rsidRPr="003109F9" w:rsidP="00485E0D" w14:paraId="5E3E3C26" w14:textId="77777777">
            <w:pPr>
              <w:rPr>
                <w:sz w:val="22"/>
                <w:szCs w:val="22"/>
              </w:rPr>
            </w:pPr>
            <w:r w:rsidRPr="003109F9">
              <w:rPr>
                <w:sz w:val="22"/>
                <w:szCs w:val="22"/>
              </w:rPr>
              <w:t>Reporting</w:t>
            </w:r>
          </w:p>
        </w:tc>
        <w:tc>
          <w:tcPr>
            <w:tcW w:w="2214" w:type="dxa"/>
            <w:tcBorders>
              <w:top w:val="single" w:sz="4" w:space="0" w:color="000000"/>
              <w:left w:val="single" w:sz="4" w:space="0" w:color="000000"/>
              <w:bottom w:val="single" w:sz="4" w:space="0" w:color="000000"/>
              <w:right w:val="single" w:sz="4" w:space="0" w:color="000000"/>
            </w:tcBorders>
          </w:tcPr>
          <w:p w:rsidR="007B030C" w:rsidRPr="003109F9" w:rsidP="00485E0D" w14:paraId="149653E6" w14:textId="636420E3">
            <w:pPr>
              <w:rPr>
                <w:sz w:val="22"/>
                <w:szCs w:val="22"/>
              </w:rPr>
            </w:pPr>
            <w:r w:rsidRPr="003109F9">
              <w:rPr>
                <w:sz w:val="22"/>
                <w:szCs w:val="22"/>
              </w:rPr>
              <w:t>34,191</w:t>
            </w:r>
          </w:p>
        </w:tc>
        <w:tc>
          <w:tcPr>
            <w:tcW w:w="2214" w:type="dxa"/>
            <w:tcBorders>
              <w:top w:val="single" w:sz="4" w:space="0" w:color="000000"/>
              <w:left w:val="single" w:sz="4" w:space="0" w:color="000000"/>
              <w:bottom w:val="single" w:sz="4" w:space="0" w:color="000000"/>
              <w:right w:val="single" w:sz="4" w:space="0" w:color="000000"/>
            </w:tcBorders>
          </w:tcPr>
          <w:p w:rsidR="007B030C" w:rsidRPr="003109F9" w:rsidP="00485E0D" w14:paraId="661D6D14" w14:textId="6B6937D5">
            <w:pPr>
              <w:rPr>
                <w:sz w:val="22"/>
                <w:szCs w:val="22"/>
              </w:rPr>
            </w:pPr>
            <w:r w:rsidRPr="003109F9">
              <w:rPr>
                <w:sz w:val="22"/>
                <w:szCs w:val="22"/>
              </w:rPr>
              <w:t>$</w:t>
            </w:r>
            <w:r w:rsidRPr="003109F9" w:rsidR="00E950FF">
              <w:rPr>
                <w:sz w:val="22"/>
                <w:szCs w:val="22"/>
              </w:rPr>
              <w:t>50</w:t>
            </w:r>
          </w:p>
        </w:tc>
        <w:tc>
          <w:tcPr>
            <w:tcW w:w="2418" w:type="dxa"/>
            <w:tcBorders>
              <w:top w:val="single" w:sz="4" w:space="0" w:color="000000"/>
              <w:left w:val="single" w:sz="4" w:space="0" w:color="000000"/>
              <w:bottom w:val="single" w:sz="4" w:space="0" w:color="000000"/>
              <w:right w:val="single" w:sz="4" w:space="0" w:color="000000"/>
            </w:tcBorders>
          </w:tcPr>
          <w:p w:rsidR="007B030C" w:rsidRPr="003109F9" w:rsidP="00485E0D" w14:paraId="11EE7FE5" w14:textId="0D5BFACC">
            <w:pPr>
              <w:rPr>
                <w:sz w:val="22"/>
                <w:szCs w:val="22"/>
              </w:rPr>
            </w:pPr>
            <w:r w:rsidRPr="003109F9">
              <w:rPr>
                <w:sz w:val="22"/>
                <w:szCs w:val="22"/>
              </w:rPr>
              <w:t>$</w:t>
            </w:r>
            <w:r w:rsidRPr="003109F9" w:rsidR="00E950FF">
              <w:rPr>
                <w:sz w:val="22"/>
                <w:szCs w:val="22"/>
              </w:rPr>
              <w:t>1,</w:t>
            </w:r>
            <w:r w:rsidRPr="003109F9" w:rsidR="0056663B">
              <w:rPr>
                <w:sz w:val="22"/>
                <w:szCs w:val="22"/>
              </w:rPr>
              <w:t>70</w:t>
            </w:r>
            <w:r w:rsidRPr="003109F9" w:rsidR="002F2270">
              <w:rPr>
                <w:sz w:val="22"/>
                <w:szCs w:val="22"/>
              </w:rPr>
              <w:t>9,550</w:t>
            </w:r>
          </w:p>
        </w:tc>
      </w:tr>
    </w:tbl>
    <w:p w:rsidR="007B030C" w:rsidRPr="00485E0D" w:rsidP="00485E0D" w14:paraId="600B2EF4" w14:textId="77777777"/>
    <w:p w:rsidR="007B030C" w:rsidRPr="00485E0D" w:rsidP="00485E0D" w14:paraId="28153370" w14:textId="443260AA">
      <w:r>
        <w:t xml:space="preserve">Out </w:t>
      </w:r>
      <w:r w:rsidRPr="00485E0D">
        <w:t xml:space="preserve">estimated cost </w:t>
      </w:r>
      <w:r w:rsidR="00E619F2">
        <w:t xml:space="preserve">assumes </w:t>
      </w:r>
      <w:r w:rsidRPr="00485E0D">
        <w:t>a pay rate of $</w:t>
      </w:r>
      <w:r w:rsidRPr="00485E0D" w:rsidR="00E950FF">
        <w:t>50</w:t>
      </w:r>
      <w:r w:rsidRPr="00485E0D">
        <w:t xml:space="preserve"> per hour for a mid-level professional who has the training and skills to handle the various reporting requirements.  This salary estimate includes benefits but no overhead costs.  There should not be any additional costs of investigating BPDs and HCT/P deviations or keeping records of them, since these activities are already required under other sections in 21 CFR Parts 211, 606, 820, and 1271.</w:t>
      </w:r>
    </w:p>
    <w:p w:rsidR="007B030C" w:rsidRPr="00485E0D" w:rsidP="00485E0D" w14:paraId="50631FA3" w14:textId="77777777"/>
    <w:p w:rsidR="007B030C" w:rsidRPr="00485E0D" w:rsidP="00485E0D" w14:paraId="05C182CA" w14:textId="5BB331A6">
      <w:r w:rsidRPr="00485E0D">
        <w:t xml:space="preserve">13.  </w:t>
      </w:r>
      <w:r w:rsidRPr="009E7BBA">
        <w:rPr>
          <w:u w:val="single"/>
        </w:rPr>
        <w:t>Estimates of Other Total Annual Costs to Respondents and/or Recordkeepers/Capital Costs</w:t>
      </w:r>
    </w:p>
    <w:p w:rsidR="007B030C" w:rsidRPr="00485E0D" w:rsidP="00485E0D" w14:paraId="6BC3394D" w14:textId="77777777"/>
    <w:p w:rsidR="007B030C" w:rsidRPr="00485E0D" w:rsidP="00485E0D" w14:paraId="3B7A2879" w14:textId="77777777">
      <w:r w:rsidRPr="00485E0D">
        <w:t>There are no capital costs or operating and maintenance costs associated with this collection of information.</w:t>
      </w:r>
    </w:p>
    <w:p w:rsidR="007B030C" w:rsidRPr="00485E0D" w:rsidP="00485E0D" w14:paraId="586F7A34" w14:textId="77777777"/>
    <w:p w:rsidR="007B030C" w:rsidRPr="00485E0D" w:rsidP="00485E0D" w14:paraId="47B00B56" w14:textId="77777777">
      <w:r w:rsidRPr="00485E0D">
        <w:t xml:space="preserve">14.  </w:t>
      </w:r>
      <w:r w:rsidRPr="00E619F2">
        <w:rPr>
          <w:u w:val="single"/>
        </w:rPr>
        <w:t>Annualized Cost to the Federal Government</w:t>
      </w:r>
    </w:p>
    <w:p w:rsidR="007B030C" w:rsidRPr="00485E0D" w:rsidP="00485E0D" w14:paraId="47AFB20A" w14:textId="77777777"/>
    <w:p w:rsidR="007B030C" w:rsidRPr="00485E0D" w:rsidP="00485E0D" w14:paraId="7197804F" w14:textId="0D6808B2">
      <w:r>
        <w:t xml:space="preserve">We </w:t>
      </w:r>
      <w:r w:rsidRPr="00485E0D">
        <w:t>estimate</w:t>
      </w:r>
      <w:r>
        <w:t xml:space="preserve"> an</w:t>
      </w:r>
      <w:r w:rsidRPr="00485E0D">
        <w:t xml:space="preserve"> annualized cost to FDA </w:t>
      </w:r>
      <w:r>
        <w:t xml:space="preserve">of </w:t>
      </w:r>
      <w:r w:rsidRPr="00485E0D">
        <w:t>$</w:t>
      </w:r>
      <w:r w:rsidR="009D480A">
        <w:t>285</w:t>
      </w:r>
      <w:r w:rsidR="00A94FAE">
        <w:t>,460.56</w:t>
      </w:r>
      <w:r w:rsidR="00C63E4D">
        <w:t xml:space="preserve">.  </w:t>
      </w:r>
      <w:r w:rsidR="00B97510">
        <w:t>Using the total number of annual submiss</w:t>
      </w:r>
      <w:r w:rsidR="00446C7A">
        <w:t>ions (15,176)</w:t>
      </w:r>
      <w:r w:rsidR="00527D08">
        <w:t>,</w:t>
      </w:r>
      <w:r w:rsidR="00446C7A">
        <w:t xml:space="preserve"> and </w:t>
      </w:r>
      <w:r w:rsidR="00F94BA0">
        <w:t>assuming 20 minutes</w:t>
      </w:r>
      <w:r w:rsidR="00B27F8D">
        <w:t xml:space="preserve"> per submission for </w:t>
      </w:r>
      <w:r w:rsidRPr="00485E0D">
        <w:t>reviewing, assessing, and recording information</w:t>
      </w:r>
      <w:r w:rsidR="00446C7A">
        <w:t xml:space="preserve">, we </w:t>
      </w:r>
      <w:r w:rsidR="00527D08">
        <w:t xml:space="preserve">factored </w:t>
      </w:r>
      <w:r w:rsidR="00446C7A">
        <w:t xml:space="preserve">these figures </w:t>
      </w:r>
      <w:r w:rsidRPr="00485E0D">
        <w:t xml:space="preserve">by </w:t>
      </w:r>
      <w:r w:rsidR="00B27F8D">
        <w:t xml:space="preserve">an </w:t>
      </w:r>
      <w:r w:rsidRPr="00485E0D">
        <w:t xml:space="preserve">average </w:t>
      </w:r>
      <w:r w:rsidRPr="00485E0D" w:rsidR="00B7198F">
        <w:t xml:space="preserve">hourly </w:t>
      </w:r>
      <w:r w:rsidRPr="00485E0D">
        <w:t>pay rate of $5</w:t>
      </w:r>
      <w:r w:rsidRPr="00485E0D" w:rsidR="005B6A12">
        <w:t>7</w:t>
      </w:r>
      <w:r w:rsidRPr="00485E0D" w:rsidR="0098563F">
        <w:t>.00</w:t>
      </w:r>
      <w:r w:rsidR="00432F99">
        <w:t>, representing</w:t>
      </w:r>
      <w:r w:rsidRPr="00485E0D">
        <w:t xml:space="preserve"> </w:t>
      </w:r>
      <w:r w:rsidR="00432F99">
        <w:t xml:space="preserve">pay for </w:t>
      </w:r>
      <w:r w:rsidRPr="00485E0D" w:rsidR="00B7198F">
        <w:t>a</w:t>
      </w:r>
      <w:r w:rsidRPr="00485E0D" w:rsidR="00FC3572">
        <w:t xml:space="preserve">n </w:t>
      </w:r>
      <w:r w:rsidRPr="00485E0D" w:rsidR="002C7744">
        <w:t>employee at the</w:t>
      </w:r>
      <w:r w:rsidRPr="00485E0D" w:rsidR="00B7198F">
        <w:t xml:space="preserve"> </w:t>
      </w:r>
      <w:r w:rsidRPr="00485E0D">
        <w:t xml:space="preserve">GS/13-5 </w:t>
      </w:r>
      <w:r w:rsidRPr="00485E0D" w:rsidR="002C7744">
        <w:t xml:space="preserve">level in the </w:t>
      </w:r>
      <w:r w:rsidRPr="00485E0D">
        <w:t>Washington DC/Metro Area.</w:t>
      </w:r>
    </w:p>
    <w:p w:rsidR="007B030C" w:rsidRPr="00485E0D" w:rsidP="00485E0D" w14:paraId="5C223DA6" w14:textId="77777777"/>
    <w:p w:rsidR="007B030C" w:rsidRPr="00485E0D" w:rsidP="00485E0D" w14:paraId="28A3F953" w14:textId="3265B904">
      <w:r w:rsidRPr="00485E0D">
        <w:t xml:space="preserve">15.  </w:t>
      </w:r>
      <w:r w:rsidRPr="00432F99">
        <w:rPr>
          <w:u w:val="single"/>
        </w:rPr>
        <w:t>Explanation for Program Changes or Adjustments</w:t>
      </w:r>
    </w:p>
    <w:p w:rsidR="00432F99" w:rsidP="00485E0D" w14:paraId="4BA17182" w14:textId="77777777"/>
    <w:p w:rsidR="007B030C" w:rsidRPr="00485E0D" w:rsidP="00485E0D" w14:paraId="6E914F57" w14:textId="208F2341"/>
    <w:p w:rsidR="007B030C" w:rsidRPr="00485E0D" w:rsidP="00485E0D" w14:paraId="579DA820" w14:textId="77777777">
      <w:r w:rsidRPr="00485E0D">
        <w:t xml:space="preserve">16.  </w:t>
      </w:r>
      <w:r w:rsidRPr="00432F99">
        <w:rPr>
          <w:u w:val="single"/>
        </w:rPr>
        <w:t>Plans for Tabulation and Publication and Project Time Schedule</w:t>
      </w:r>
    </w:p>
    <w:p w:rsidR="007B030C" w:rsidRPr="00485E0D" w:rsidP="00485E0D" w14:paraId="5647C6A4" w14:textId="77777777"/>
    <w:p w:rsidR="007B030C" w:rsidRPr="00485E0D" w:rsidP="00485E0D" w14:paraId="1A9C5474" w14:textId="77777777">
      <w:r w:rsidRPr="00485E0D">
        <w:t>Information collected will not be tabulated or published.</w:t>
      </w:r>
    </w:p>
    <w:p w:rsidR="007B030C" w:rsidRPr="00485E0D" w:rsidP="00485E0D" w14:paraId="7A609591" w14:textId="77777777"/>
    <w:p w:rsidR="007B030C" w:rsidRPr="00485E0D" w:rsidP="00485E0D" w14:paraId="6656DB0D" w14:textId="77777777">
      <w:r w:rsidRPr="00485E0D">
        <w:t xml:space="preserve">17.  </w:t>
      </w:r>
      <w:r w:rsidRPr="00432F99">
        <w:rPr>
          <w:u w:val="single"/>
        </w:rPr>
        <w:t>Reason(s) Display of OMB Expiration Date is Inappropriate</w:t>
      </w:r>
    </w:p>
    <w:p w:rsidR="00432F99" w:rsidP="00485E0D" w14:paraId="16B282E8" w14:textId="5954B846"/>
    <w:p w:rsidR="007B030C" w:rsidRPr="00485E0D" w:rsidP="00485E0D" w14:paraId="0534C0BE" w14:textId="0BAA1349">
      <w:r w:rsidRPr="00485E0D">
        <w:t xml:space="preserve">Display of OMB </w:t>
      </w:r>
      <w:r w:rsidRPr="00485E0D" w:rsidR="00E71321">
        <w:t>e</w:t>
      </w:r>
      <w:r w:rsidRPr="00485E0D">
        <w:t>xpiration date is appropriate.</w:t>
      </w:r>
    </w:p>
    <w:p w:rsidR="007B030C" w:rsidRPr="00485E0D" w:rsidP="00485E0D" w14:paraId="5B6C1754" w14:textId="77777777"/>
    <w:p w:rsidR="007B030C" w:rsidRPr="00485E0D" w:rsidP="00485E0D" w14:paraId="5CC7E055" w14:textId="28FB2645">
      <w:r w:rsidRPr="00485E0D">
        <w:t xml:space="preserve">18.  </w:t>
      </w:r>
      <w:r w:rsidRPr="00432F99">
        <w:rPr>
          <w:u w:val="single"/>
        </w:rPr>
        <w:t>Exceptions to Certification for Paperwor</w:t>
      </w:r>
      <w:r w:rsidR="00E90B21">
        <w:rPr>
          <w:u w:val="single"/>
        </w:rPr>
        <w:t>k</w:t>
      </w:r>
      <w:r w:rsidRPr="00432F99">
        <w:rPr>
          <w:u w:val="single"/>
        </w:rPr>
        <w:t xml:space="preserve"> Reduction Act Submissions</w:t>
      </w:r>
    </w:p>
    <w:p w:rsidR="007B030C" w:rsidRPr="00485E0D" w:rsidP="00485E0D" w14:paraId="7AF60F84" w14:textId="77777777"/>
    <w:p w:rsidR="007B030C" w:rsidRPr="00485E0D" w:rsidP="00485E0D" w14:paraId="4CBE37B5" w14:textId="77777777">
      <w:r w:rsidRPr="00485E0D">
        <w:t>There are no exceptions to the certification.</w:t>
      </w:r>
    </w:p>
    <w:p w:rsidR="006A5EEE" w:rsidRPr="00485E0D" w:rsidP="00485E0D" w14:paraId="386C053A" w14:textId="77777777"/>
    <w:sectPr w:rsidSect="00A73B09">
      <w:footerReference w:type="default" r:id="rId7"/>
      <w:type w:val="continuous"/>
      <w:pgSz w:w="12240" w:h="15840"/>
      <w:pgMar w:top="1440" w:right="1440" w:bottom="1440" w:left="1440" w:header="720" w:footer="720" w:gutter="0"/>
      <w:cols w:space="720" w:equalWidth="0">
        <w:col w:w="9320" w:space="0"/>
      </w:cols>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5701595"/>
      <w:docPartObj>
        <w:docPartGallery w:val="Page Numbers (Bottom of Page)"/>
        <w:docPartUnique/>
      </w:docPartObj>
    </w:sdtPr>
    <w:sdtEndPr>
      <w:rPr>
        <w:noProof/>
      </w:rPr>
    </w:sdtEndPr>
    <w:sdtContent>
      <w:p w:rsidR="00D32166" w14:paraId="5250B6CD"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D32166" w14:paraId="7D81C1D7"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688A4F13"/>
    <w:multiLevelType w:val="hybridMultilevel"/>
    <w:tmpl w:val="9F225EAE"/>
    <w:lvl w:ilvl="0">
      <w:start w:val="1"/>
      <w:numFmt w:val="decimal"/>
      <w:lvlText w:val="%1."/>
      <w:lvlJc w:val="left"/>
      <w:pPr>
        <w:ind w:left="463" w:hanging="360"/>
      </w:pPr>
      <w:rPr>
        <w:rFonts w:hint="default"/>
      </w:rPr>
    </w:lvl>
    <w:lvl w:ilvl="1" w:tentative="1">
      <w:start w:val="1"/>
      <w:numFmt w:val="lowerLetter"/>
      <w:lvlText w:val="%2."/>
      <w:lvlJc w:val="left"/>
      <w:pPr>
        <w:ind w:left="1183" w:hanging="360"/>
      </w:pPr>
    </w:lvl>
    <w:lvl w:ilvl="2" w:tentative="1">
      <w:start w:val="1"/>
      <w:numFmt w:val="lowerRoman"/>
      <w:lvlText w:val="%3."/>
      <w:lvlJc w:val="right"/>
      <w:pPr>
        <w:ind w:left="1903" w:hanging="180"/>
      </w:pPr>
    </w:lvl>
    <w:lvl w:ilvl="3" w:tentative="1">
      <w:start w:val="1"/>
      <w:numFmt w:val="decimal"/>
      <w:lvlText w:val="%4."/>
      <w:lvlJc w:val="left"/>
      <w:pPr>
        <w:ind w:left="2623" w:hanging="360"/>
      </w:pPr>
    </w:lvl>
    <w:lvl w:ilvl="4" w:tentative="1">
      <w:start w:val="1"/>
      <w:numFmt w:val="lowerLetter"/>
      <w:lvlText w:val="%5."/>
      <w:lvlJc w:val="left"/>
      <w:pPr>
        <w:ind w:left="3343" w:hanging="360"/>
      </w:pPr>
    </w:lvl>
    <w:lvl w:ilvl="5" w:tentative="1">
      <w:start w:val="1"/>
      <w:numFmt w:val="lowerRoman"/>
      <w:lvlText w:val="%6."/>
      <w:lvlJc w:val="right"/>
      <w:pPr>
        <w:ind w:left="4063" w:hanging="180"/>
      </w:pPr>
    </w:lvl>
    <w:lvl w:ilvl="6" w:tentative="1">
      <w:start w:val="1"/>
      <w:numFmt w:val="decimal"/>
      <w:lvlText w:val="%7."/>
      <w:lvlJc w:val="left"/>
      <w:pPr>
        <w:ind w:left="4783" w:hanging="360"/>
      </w:pPr>
    </w:lvl>
    <w:lvl w:ilvl="7" w:tentative="1">
      <w:start w:val="1"/>
      <w:numFmt w:val="lowerLetter"/>
      <w:lvlText w:val="%8."/>
      <w:lvlJc w:val="left"/>
      <w:pPr>
        <w:ind w:left="5503" w:hanging="360"/>
      </w:pPr>
    </w:lvl>
    <w:lvl w:ilvl="8" w:tentative="1">
      <w:start w:val="1"/>
      <w:numFmt w:val="lowerRoman"/>
      <w:lvlText w:val="%9."/>
      <w:lvlJc w:val="right"/>
      <w:pPr>
        <w:ind w:left="6223" w:hanging="180"/>
      </w:pPr>
    </w:lvl>
  </w:abstractNum>
  <w:num w:numId="1" w16cid:durableId="2090808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NotDisplayPageBoundaries/>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30C"/>
    <w:rsid w:val="00010CCE"/>
    <w:rsid w:val="00032D88"/>
    <w:rsid w:val="00035EE7"/>
    <w:rsid w:val="00044DAB"/>
    <w:rsid w:val="0005058D"/>
    <w:rsid w:val="000A16C3"/>
    <w:rsid w:val="000A7AC9"/>
    <w:rsid w:val="000B47AE"/>
    <w:rsid w:val="000C3870"/>
    <w:rsid w:val="000D014B"/>
    <w:rsid w:val="000D136E"/>
    <w:rsid w:val="000D1DE3"/>
    <w:rsid w:val="000D4818"/>
    <w:rsid w:val="000E0D63"/>
    <w:rsid w:val="001036C6"/>
    <w:rsid w:val="00111DBF"/>
    <w:rsid w:val="00121F8B"/>
    <w:rsid w:val="00134F8B"/>
    <w:rsid w:val="0013632B"/>
    <w:rsid w:val="001640B5"/>
    <w:rsid w:val="001736C2"/>
    <w:rsid w:val="001A12DF"/>
    <w:rsid w:val="001A2FC0"/>
    <w:rsid w:val="001C2951"/>
    <w:rsid w:val="001D0A12"/>
    <w:rsid w:val="001D2F7E"/>
    <w:rsid w:val="001D750F"/>
    <w:rsid w:val="001E2879"/>
    <w:rsid w:val="001F43A7"/>
    <w:rsid w:val="002005AE"/>
    <w:rsid w:val="0020374D"/>
    <w:rsid w:val="00205609"/>
    <w:rsid w:val="00225EC8"/>
    <w:rsid w:val="0023098C"/>
    <w:rsid w:val="00232C88"/>
    <w:rsid w:val="00245941"/>
    <w:rsid w:val="00247505"/>
    <w:rsid w:val="00251348"/>
    <w:rsid w:val="002569CB"/>
    <w:rsid w:val="00270D51"/>
    <w:rsid w:val="00282232"/>
    <w:rsid w:val="00292ABE"/>
    <w:rsid w:val="002A1B3B"/>
    <w:rsid w:val="002A27D2"/>
    <w:rsid w:val="002A6AE9"/>
    <w:rsid w:val="002C7744"/>
    <w:rsid w:val="002E01CE"/>
    <w:rsid w:val="002E248F"/>
    <w:rsid w:val="002E598D"/>
    <w:rsid w:val="002F2270"/>
    <w:rsid w:val="00301AC8"/>
    <w:rsid w:val="003109F9"/>
    <w:rsid w:val="00320FF4"/>
    <w:rsid w:val="00335188"/>
    <w:rsid w:val="00335BB7"/>
    <w:rsid w:val="00346FD3"/>
    <w:rsid w:val="003510AA"/>
    <w:rsid w:val="00375176"/>
    <w:rsid w:val="003A58B1"/>
    <w:rsid w:val="003B18E8"/>
    <w:rsid w:val="003D3B6E"/>
    <w:rsid w:val="003E121C"/>
    <w:rsid w:val="004030F9"/>
    <w:rsid w:val="00404D95"/>
    <w:rsid w:val="00407537"/>
    <w:rsid w:val="00412307"/>
    <w:rsid w:val="0041442F"/>
    <w:rsid w:val="004246A3"/>
    <w:rsid w:val="00425217"/>
    <w:rsid w:val="00432F99"/>
    <w:rsid w:val="00443566"/>
    <w:rsid w:val="00446C7A"/>
    <w:rsid w:val="00461802"/>
    <w:rsid w:val="00473D5D"/>
    <w:rsid w:val="004826B8"/>
    <w:rsid w:val="00483A08"/>
    <w:rsid w:val="00485E0D"/>
    <w:rsid w:val="00493086"/>
    <w:rsid w:val="004A7FD5"/>
    <w:rsid w:val="004B731D"/>
    <w:rsid w:val="004F4D41"/>
    <w:rsid w:val="004F69FE"/>
    <w:rsid w:val="00502893"/>
    <w:rsid w:val="00506EEF"/>
    <w:rsid w:val="00527D08"/>
    <w:rsid w:val="005430C2"/>
    <w:rsid w:val="00564270"/>
    <w:rsid w:val="0056663B"/>
    <w:rsid w:val="00566E97"/>
    <w:rsid w:val="0059128E"/>
    <w:rsid w:val="005A4881"/>
    <w:rsid w:val="005A5E5C"/>
    <w:rsid w:val="005B6A12"/>
    <w:rsid w:val="005C6072"/>
    <w:rsid w:val="005C6C78"/>
    <w:rsid w:val="005D2CA6"/>
    <w:rsid w:val="005D6590"/>
    <w:rsid w:val="005D7693"/>
    <w:rsid w:val="005E207F"/>
    <w:rsid w:val="00605A4D"/>
    <w:rsid w:val="00605D4C"/>
    <w:rsid w:val="00630816"/>
    <w:rsid w:val="0063230A"/>
    <w:rsid w:val="00656F25"/>
    <w:rsid w:val="00671354"/>
    <w:rsid w:val="00675E79"/>
    <w:rsid w:val="00690880"/>
    <w:rsid w:val="006913DA"/>
    <w:rsid w:val="006A017F"/>
    <w:rsid w:val="006A1189"/>
    <w:rsid w:val="006A57B8"/>
    <w:rsid w:val="006A5EEE"/>
    <w:rsid w:val="006A62C5"/>
    <w:rsid w:val="006B038E"/>
    <w:rsid w:val="006B3D47"/>
    <w:rsid w:val="006B6B00"/>
    <w:rsid w:val="006F6E41"/>
    <w:rsid w:val="00703A93"/>
    <w:rsid w:val="00706344"/>
    <w:rsid w:val="007108D4"/>
    <w:rsid w:val="00711CFF"/>
    <w:rsid w:val="00712411"/>
    <w:rsid w:val="00712826"/>
    <w:rsid w:val="00713A6D"/>
    <w:rsid w:val="00725628"/>
    <w:rsid w:val="00725844"/>
    <w:rsid w:val="00727F8F"/>
    <w:rsid w:val="0075270C"/>
    <w:rsid w:val="00753C86"/>
    <w:rsid w:val="00777D59"/>
    <w:rsid w:val="00790E1D"/>
    <w:rsid w:val="00792C67"/>
    <w:rsid w:val="007A3CD2"/>
    <w:rsid w:val="007A5C82"/>
    <w:rsid w:val="007A70C6"/>
    <w:rsid w:val="007B030C"/>
    <w:rsid w:val="007E5802"/>
    <w:rsid w:val="007F45A2"/>
    <w:rsid w:val="007F601C"/>
    <w:rsid w:val="00801AAD"/>
    <w:rsid w:val="008207F2"/>
    <w:rsid w:val="00820FAC"/>
    <w:rsid w:val="00822718"/>
    <w:rsid w:val="00822C18"/>
    <w:rsid w:val="00827D0A"/>
    <w:rsid w:val="00841CDA"/>
    <w:rsid w:val="00843FDE"/>
    <w:rsid w:val="00855A1D"/>
    <w:rsid w:val="00863D86"/>
    <w:rsid w:val="00871064"/>
    <w:rsid w:val="00886D6D"/>
    <w:rsid w:val="008A0980"/>
    <w:rsid w:val="008A2428"/>
    <w:rsid w:val="008B0261"/>
    <w:rsid w:val="008B0E9C"/>
    <w:rsid w:val="008B0F44"/>
    <w:rsid w:val="008B792E"/>
    <w:rsid w:val="008E29CF"/>
    <w:rsid w:val="009009B4"/>
    <w:rsid w:val="00900E32"/>
    <w:rsid w:val="0091009D"/>
    <w:rsid w:val="00910B41"/>
    <w:rsid w:val="009123BB"/>
    <w:rsid w:val="00915826"/>
    <w:rsid w:val="009174DF"/>
    <w:rsid w:val="00934290"/>
    <w:rsid w:val="0093633F"/>
    <w:rsid w:val="009519AE"/>
    <w:rsid w:val="009523EF"/>
    <w:rsid w:val="00960C6C"/>
    <w:rsid w:val="0098563F"/>
    <w:rsid w:val="00986248"/>
    <w:rsid w:val="009A0DE7"/>
    <w:rsid w:val="009B6181"/>
    <w:rsid w:val="009C12D4"/>
    <w:rsid w:val="009D3955"/>
    <w:rsid w:val="009D39A6"/>
    <w:rsid w:val="009D480A"/>
    <w:rsid w:val="009D7F1F"/>
    <w:rsid w:val="009E19B9"/>
    <w:rsid w:val="009E7BBA"/>
    <w:rsid w:val="009F2675"/>
    <w:rsid w:val="009F6614"/>
    <w:rsid w:val="009F6B74"/>
    <w:rsid w:val="00A01708"/>
    <w:rsid w:val="00A109AF"/>
    <w:rsid w:val="00A16C14"/>
    <w:rsid w:val="00A17096"/>
    <w:rsid w:val="00A3049C"/>
    <w:rsid w:val="00A46446"/>
    <w:rsid w:val="00A60609"/>
    <w:rsid w:val="00A73B09"/>
    <w:rsid w:val="00A7402A"/>
    <w:rsid w:val="00A76F96"/>
    <w:rsid w:val="00A81892"/>
    <w:rsid w:val="00A81B60"/>
    <w:rsid w:val="00A86BA0"/>
    <w:rsid w:val="00A9313E"/>
    <w:rsid w:val="00A94FAE"/>
    <w:rsid w:val="00AD093A"/>
    <w:rsid w:val="00AD1EDC"/>
    <w:rsid w:val="00AD61A3"/>
    <w:rsid w:val="00AE2462"/>
    <w:rsid w:val="00AE7D0E"/>
    <w:rsid w:val="00AF0161"/>
    <w:rsid w:val="00AF1115"/>
    <w:rsid w:val="00AF1591"/>
    <w:rsid w:val="00AF3A9A"/>
    <w:rsid w:val="00AF47DC"/>
    <w:rsid w:val="00B27F8D"/>
    <w:rsid w:val="00B3706B"/>
    <w:rsid w:val="00B40342"/>
    <w:rsid w:val="00B41C9E"/>
    <w:rsid w:val="00B424BE"/>
    <w:rsid w:val="00B656E1"/>
    <w:rsid w:val="00B67FDC"/>
    <w:rsid w:val="00B7198F"/>
    <w:rsid w:val="00B77169"/>
    <w:rsid w:val="00B97510"/>
    <w:rsid w:val="00BA6E1A"/>
    <w:rsid w:val="00BC4CB1"/>
    <w:rsid w:val="00BC5EB8"/>
    <w:rsid w:val="00BC6445"/>
    <w:rsid w:val="00BD41B2"/>
    <w:rsid w:val="00BD6D73"/>
    <w:rsid w:val="00BE1423"/>
    <w:rsid w:val="00BE649E"/>
    <w:rsid w:val="00C309E0"/>
    <w:rsid w:val="00C34E3F"/>
    <w:rsid w:val="00C42FAB"/>
    <w:rsid w:val="00C63E4D"/>
    <w:rsid w:val="00C6507B"/>
    <w:rsid w:val="00C77C53"/>
    <w:rsid w:val="00C90737"/>
    <w:rsid w:val="00C977A9"/>
    <w:rsid w:val="00CB6D93"/>
    <w:rsid w:val="00CB7F20"/>
    <w:rsid w:val="00CC1908"/>
    <w:rsid w:val="00CD0999"/>
    <w:rsid w:val="00CD2EA8"/>
    <w:rsid w:val="00CD3A85"/>
    <w:rsid w:val="00CD4FB1"/>
    <w:rsid w:val="00CF072A"/>
    <w:rsid w:val="00CF311C"/>
    <w:rsid w:val="00CF3BBF"/>
    <w:rsid w:val="00CF6F2B"/>
    <w:rsid w:val="00D00B30"/>
    <w:rsid w:val="00D32166"/>
    <w:rsid w:val="00D35F78"/>
    <w:rsid w:val="00D37DF6"/>
    <w:rsid w:val="00D4261D"/>
    <w:rsid w:val="00D468BF"/>
    <w:rsid w:val="00D523B4"/>
    <w:rsid w:val="00D53374"/>
    <w:rsid w:val="00D566F3"/>
    <w:rsid w:val="00D6684E"/>
    <w:rsid w:val="00D76C45"/>
    <w:rsid w:val="00D8310A"/>
    <w:rsid w:val="00D86131"/>
    <w:rsid w:val="00D874DB"/>
    <w:rsid w:val="00D96536"/>
    <w:rsid w:val="00DA1EA5"/>
    <w:rsid w:val="00DA60AB"/>
    <w:rsid w:val="00DD215D"/>
    <w:rsid w:val="00DD6225"/>
    <w:rsid w:val="00DD6725"/>
    <w:rsid w:val="00DD6853"/>
    <w:rsid w:val="00DD69FA"/>
    <w:rsid w:val="00DD73E3"/>
    <w:rsid w:val="00DE72C4"/>
    <w:rsid w:val="00DF1E8A"/>
    <w:rsid w:val="00E0249A"/>
    <w:rsid w:val="00E03633"/>
    <w:rsid w:val="00E042B3"/>
    <w:rsid w:val="00E217BC"/>
    <w:rsid w:val="00E2712C"/>
    <w:rsid w:val="00E301EC"/>
    <w:rsid w:val="00E33264"/>
    <w:rsid w:val="00E46027"/>
    <w:rsid w:val="00E47432"/>
    <w:rsid w:val="00E619F2"/>
    <w:rsid w:val="00E640D2"/>
    <w:rsid w:val="00E71321"/>
    <w:rsid w:val="00E81C9B"/>
    <w:rsid w:val="00E90B21"/>
    <w:rsid w:val="00E9504E"/>
    <w:rsid w:val="00E950FF"/>
    <w:rsid w:val="00EB4EE6"/>
    <w:rsid w:val="00EB7FA8"/>
    <w:rsid w:val="00ED4C3D"/>
    <w:rsid w:val="00EE2B22"/>
    <w:rsid w:val="00EE5E79"/>
    <w:rsid w:val="00EF1895"/>
    <w:rsid w:val="00F02AEE"/>
    <w:rsid w:val="00F02FDA"/>
    <w:rsid w:val="00F2661E"/>
    <w:rsid w:val="00F3233D"/>
    <w:rsid w:val="00F3298C"/>
    <w:rsid w:val="00F33ECC"/>
    <w:rsid w:val="00F50BE5"/>
    <w:rsid w:val="00F7237F"/>
    <w:rsid w:val="00F820E3"/>
    <w:rsid w:val="00F82D4E"/>
    <w:rsid w:val="00F8575F"/>
    <w:rsid w:val="00F92EB5"/>
    <w:rsid w:val="00F94BA0"/>
    <w:rsid w:val="00FA2AC1"/>
    <w:rsid w:val="00FC2335"/>
    <w:rsid w:val="00FC3572"/>
    <w:rsid w:val="00FD12DE"/>
    <w:rsid w:val="00FE10DA"/>
    <w:rsid w:val="00FF12C5"/>
    <w:rsid w:val="00FF569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62D2C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1F8B"/>
    <w:pPr>
      <w:ind w:left="720"/>
      <w:contextualSpacing/>
    </w:pPr>
  </w:style>
  <w:style w:type="paragraph" w:styleId="Header">
    <w:name w:val="header"/>
    <w:basedOn w:val="Normal"/>
    <w:link w:val="HeaderChar"/>
    <w:unhideWhenUsed/>
    <w:rsid w:val="00D32166"/>
    <w:pPr>
      <w:tabs>
        <w:tab w:val="center" w:pos="4680"/>
        <w:tab w:val="right" w:pos="9360"/>
      </w:tabs>
    </w:pPr>
  </w:style>
  <w:style w:type="character" w:customStyle="1" w:styleId="HeaderChar">
    <w:name w:val="Header Char"/>
    <w:basedOn w:val="DefaultParagraphFont"/>
    <w:link w:val="Header"/>
    <w:rsid w:val="00D32166"/>
    <w:rPr>
      <w:sz w:val="24"/>
      <w:szCs w:val="24"/>
    </w:rPr>
  </w:style>
  <w:style w:type="paragraph" w:styleId="Footer">
    <w:name w:val="footer"/>
    <w:basedOn w:val="Normal"/>
    <w:link w:val="FooterChar"/>
    <w:uiPriority w:val="99"/>
    <w:unhideWhenUsed/>
    <w:rsid w:val="00D32166"/>
    <w:pPr>
      <w:tabs>
        <w:tab w:val="center" w:pos="4680"/>
        <w:tab w:val="right" w:pos="9360"/>
      </w:tabs>
    </w:pPr>
  </w:style>
  <w:style w:type="character" w:customStyle="1" w:styleId="FooterChar">
    <w:name w:val="Footer Char"/>
    <w:basedOn w:val="DefaultParagraphFont"/>
    <w:link w:val="Footer"/>
    <w:uiPriority w:val="99"/>
    <w:rsid w:val="00D32166"/>
    <w:rPr>
      <w:sz w:val="24"/>
      <w:szCs w:val="24"/>
    </w:rPr>
  </w:style>
  <w:style w:type="paragraph" w:styleId="BalloonText">
    <w:name w:val="Balloon Text"/>
    <w:basedOn w:val="Normal"/>
    <w:link w:val="BalloonTextChar"/>
    <w:rsid w:val="006B3D47"/>
    <w:rPr>
      <w:rFonts w:ascii="Segoe UI" w:hAnsi="Segoe UI" w:cs="Segoe UI"/>
      <w:sz w:val="18"/>
      <w:szCs w:val="18"/>
    </w:rPr>
  </w:style>
  <w:style w:type="character" w:customStyle="1" w:styleId="BalloonTextChar">
    <w:name w:val="Balloon Text Char"/>
    <w:basedOn w:val="DefaultParagraphFont"/>
    <w:link w:val="BalloonText"/>
    <w:rsid w:val="006B3D47"/>
    <w:rPr>
      <w:rFonts w:ascii="Segoe UI" w:hAnsi="Segoe UI" w:cs="Segoe UI"/>
      <w:sz w:val="18"/>
      <w:szCs w:val="18"/>
    </w:rPr>
  </w:style>
  <w:style w:type="character" w:styleId="Hyperlink">
    <w:name w:val="Hyperlink"/>
    <w:basedOn w:val="DefaultParagraphFont"/>
    <w:unhideWhenUsed/>
    <w:rsid w:val="00F02FDA"/>
    <w:rPr>
      <w:color w:val="0000FF" w:themeColor="hyperlink"/>
      <w:u w:val="single"/>
    </w:rPr>
  </w:style>
  <w:style w:type="character" w:styleId="UnresolvedMention">
    <w:name w:val="Unresolved Mention"/>
    <w:basedOn w:val="DefaultParagraphFont"/>
    <w:uiPriority w:val="99"/>
    <w:semiHidden/>
    <w:unhideWhenUsed/>
    <w:rsid w:val="00F02FDA"/>
    <w:rPr>
      <w:color w:val="605E5C"/>
      <w:shd w:val="clear" w:color="auto" w:fill="E1DFDD"/>
    </w:rPr>
  </w:style>
  <w:style w:type="character" w:styleId="CommentReference">
    <w:name w:val="annotation reference"/>
    <w:basedOn w:val="DefaultParagraphFont"/>
    <w:semiHidden/>
    <w:unhideWhenUsed/>
    <w:rsid w:val="00DA60AB"/>
    <w:rPr>
      <w:sz w:val="16"/>
      <w:szCs w:val="16"/>
    </w:rPr>
  </w:style>
  <w:style w:type="paragraph" w:styleId="CommentText">
    <w:name w:val="annotation text"/>
    <w:basedOn w:val="Normal"/>
    <w:link w:val="CommentTextChar"/>
    <w:semiHidden/>
    <w:unhideWhenUsed/>
    <w:rsid w:val="00DA60AB"/>
    <w:rPr>
      <w:sz w:val="20"/>
      <w:szCs w:val="20"/>
    </w:rPr>
  </w:style>
  <w:style w:type="character" w:customStyle="1" w:styleId="CommentTextChar">
    <w:name w:val="Comment Text Char"/>
    <w:basedOn w:val="DefaultParagraphFont"/>
    <w:link w:val="CommentText"/>
    <w:semiHidden/>
    <w:rsid w:val="00DA60AB"/>
  </w:style>
  <w:style w:type="paragraph" w:styleId="CommentSubject">
    <w:name w:val="annotation subject"/>
    <w:basedOn w:val="CommentText"/>
    <w:next w:val="CommentText"/>
    <w:link w:val="CommentSubjectChar"/>
    <w:semiHidden/>
    <w:unhideWhenUsed/>
    <w:rsid w:val="00DA60AB"/>
    <w:rPr>
      <w:b/>
      <w:bCs/>
    </w:rPr>
  </w:style>
  <w:style w:type="character" w:customStyle="1" w:styleId="CommentSubjectChar">
    <w:name w:val="Comment Subject Char"/>
    <w:basedOn w:val="CommentTextChar"/>
    <w:link w:val="CommentSubject"/>
    <w:semiHidden/>
    <w:rsid w:val="00DA60AB"/>
    <w:rPr>
      <w:b/>
      <w:bCs/>
    </w:rPr>
  </w:style>
  <w:style w:type="paragraph" w:customStyle="1" w:styleId="indent-2">
    <w:name w:val="indent-2"/>
    <w:basedOn w:val="Normal"/>
    <w:rsid w:val="008A2428"/>
    <w:pPr>
      <w:spacing w:before="100" w:beforeAutospacing="1" w:after="100" w:afterAutospacing="1"/>
    </w:pPr>
  </w:style>
  <w:style w:type="paragraph" w:customStyle="1" w:styleId="indent-3">
    <w:name w:val="indent-3"/>
    <w:basedOn w:val="Normal"/>
    <w:rsid w:val="008A2428"/>
    <w:pPr>
      <w:spacing w:before="100" w:beforeAutospacing="1" w:after="100" w:afterAutospacing="1"/>
    </w:pPr>
  </w:style>
  <w:style w:type="character" w:customStyle="1" w:styleId="paragraph-hierarchy">
    <w:name w:val="paragraph-hierarchy"/>
    <w:basedOn w:val="DefaultParagraphFont"/>
    <w:rsid w:val="008A2428"/>
  </w:style>
  <w:style w:type="character" w:customStyle="1" w:styleId="paren">
    <w:name w:val="paren"/>
    <w:basedOn w:val="DefaultParagraphFont"/>
    <w:rsid w:val="008A2428"/>
  </w:style>
  <w:style w:type="paragraph" w:styleId="NormalWeb">
    <w:name w:val="Normal (Web)"/>
    <w:basedOn w:val="Normal"/>
    <w:semiHidden/>
    <w:unhideWhenUsed/>
    <w:rsid w:val="00225EC8"/>
  </w:style>
  <w:style w:type="character" w:styleId="FollowedHyperlink">
    <w:name w:val="FollowedHyperlink"/>
    <w:basedOn w:val="DefaultParagraphFont"/>
    <w:semiHidden/>
    <w:unhideWhenUsed/>
    <w:rsid w:val="00473D5D"/>
    <w:rPr>
      <w:color w:val="800080" w:themeColor="followedHyperlink"/>
      <w:u w:val="single"/>
    </w:rPr>
  </w:style>
  <w:style w:type="paragraph" w:styleId="BodyText3">
    <w:name w:val="Body Text 3"/>
    <w:basedOn w:val="Normal"/>
    <w:link w:val="BodyText3Char"/>
    <w:rsid w:val="009D7F1F"/>
    <w:pPr>
      <w:spacing w:after="120"/>
    </w:pPr>
    <w:rPr>
      <w:sz w:val="16"/>
      <w:szCs w:val="16"/>
    </w:rPr>
  </w:style>
  <w:style w:type="character" w:customStyle="1" w:styleId="BodyText3Char">
    <w:name w:val="Body Text 3 Char"/>
    <w:basedOn w:val="DefaultParagraphFont"/>
    <w:link w:val="BodyText3"/>
    <w:rsid w:val="009D7F1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fda.gov/media/76309/download" TargetMode="External" /><Relationship Id="rId6" Type="http://schemas.openxmlformats.org/officeDocument/2006/relationships/hyperlink" Target="https://www.fda.gov/about-fda/center-drug-evaluation-and-research-cder/cder-biological-product-deviations" TargetMode="Externa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F4EDF-2C73-4487-B869-316663239E27}">
  <ds:schemaRefs>
    <ds:schemaRef ds:uri="http://schemas.openxmlformats.org/officeDocument/2006/bibliography"/>
  </ds:schemaRefs>
</ds:datastoreItem>
</file>

<file path=docMetadata/LabelInfo.xml><?xml version="1.0" encoding="utf-8"?>
<clbl:labelList xmlns:clbl="http://schemas.microsoft.com/office/2020/mipLabelMetadata">
  <clbl:label id="{ec5e5a7a-e5c2-40a5-a786-0194463cad57}" enabled="1" method="Standard" siteId="{7d2fdb41-339c-4257-87f2-a665730b31fc}"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1624</Words>
  <Characters>10228</Characters>
  <Application>Microsoft Office Word</Application>
  <DocSecurity>0</DocSecurity>
  <Lines>85</Lines>
  <Paragraphs>23</Paragraphs>
  <ScaleCrop>false</ScaleCrop>
  <Company/>
  <LinksUpToDate>false</LinksUpToDate>
  <CharactersWithSpaces>11829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2026-09-21T13:49:00Z</dcterms:created>
  <dcterms:modified xsi:type="dcterms:W3CDTF">2026-09-21T13:50:00Z</dcterms:modified>
</cp:coreProperties>
</file>