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03054" w:rsidRPr="00022A54" w:rsidP="00B47B1C" w14:paraId="30394E2D" w14:textId="77777777">
      <w:pPr>
        <w:jc w:val="center"/>
        <w:rPr>
          <w:b/>
        </w:rPr>
      </w:pPr>
    </w:p>
    <w:p w:rsidR="00662F81" w:rsidP="00960673" w14:paraId="361A4756" w14:textId="5FA69FDC">
      <w:pPr>
        <w:jc w:val="center"/>
        <w:rPr>
          <w:b/>
        </w:rPr>
      </w:pPr>
      <w:r w:rsidRPr="00022A54">
        <w:rPr>
          <w:b/>
        </w:rPr>
        <w:t>Generic Clearance</w:t>
      </w:r>
      <w:r w:rsidR="00330F92">
        <w:rPr>
          <w:b/>
        </w:rPr>
        <w:t xml:space="preserve"> for </w:t>
      </w:r>
      <w:r w:rsidR="00960673">
        <w:rPr>
          <w:b/>
        </w:rPr>
        <w:t>the Collection of Qualitative Feedback on Agency Service Delivery</w:t>
      </w:r>
    </w:p>
    <w:p w:rsidR="009E3AC6" w:rsidP="00B47B1C" w14:paraId="292F8097" w14:textId="77777777">
      <w:pPr>
        <w:jc w:val="center"/>
        <w:rPr>
          <w:b/>
        </w:rPr>
      </w:pPr>
      <w:r>
        <w:rPr>
          <w:b/>
        </w:rPr>
        <w:t>Extension</w:t>
      </w:r>
    </w:p>
    <w:p w:rsidR="009E3AC6" w:rsidRPr="00022A54" w:rsidP="00B47B1C" w14:paraId="1E64EC3C" w14:textId="33AE86D3">
      <w:pPr>
        <w:jc w:val="center"/>
        <w:rPr>
          <w:b/>
        </w:rPr>
      </w:pPr>
      <w:r>
        <w:rPr>
          <w:b/>
        </w:rPr>
        <w:t>0920-1</w:t>
      </w:r>
      <w:r w:rsidR="00960673">
        <w:rPr>
          <w:b/>
        </w:rPr>
        <w:t>027</w:t>
      </w:r>
    </w:p>
    <w:p w:rsidR="00662F81" w:rsidRPr="00022A54" w:rsidP="00B47B1C" w14:paraId="20C7894C" w14:textId="77777777"/>
    <w:p w:rsidR="00BB2B5A" w:rsidP="00662F81" w14:paraId="1E6B175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Cs/>
          <w:color w:val="000000"/>
        </w:rPr>
      </w:pPr>
    </w:p>
    <w:p w:rsidR="00BB2B5A" w:rsidP="00662F81" w14:paraId="01C9F03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Cs/>
          <w:color w:val="000000"/>
        </w:rPr>
      </w:pPr>
    </w:p>
    <w:p w:rsidR="00662F81" w:rsidRPr="00BB2B5A" w:rsidP="00662F81" w14:paraId="21EAF7BC" w14:textId="0D6BF60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Cs/>
          <w:color w:val="000000"/>
        </w:rPr>
      </w:pPr>
      <w:r w:rsidRPr="00BB2B5A">
        <w:rPr>
          <w:rFonts w:ascii="Times New Roman" w:hAnsi="Times New Roman"/>
          <w:bCs/>
          <w:color w:val="000000"/>
        </w:rPr>
        <w:t>Supporting Statement A</w:t>
      </w:r>
    </w:p>
    <w:p w:rsidR="00F03054" w:rsidRPr="00022A54" w:rsidP="00B47B1C" w14:paraId="71A039CD" w14:textId="77777777">
      <w:pPr>
        <w:jc w:val="center"/>
        <w:rPr>
          <w:lang w:val="fr-FR"/>
        </w:rPr>
      </w:pPr>
    </w:p>
    <w:p w:rsidR="00F03054" w:rsidRPr="00022A54" w:rsidP="00B47B1C" w14:paraId="2AD652DA" w14:textId="77777777">
      <w:pPr>
        <w:jc w:val="center"/>
        <w:rPr>
          <w:lang w:val="fr-FR"/>
        </w:rPr>
      </w:pPr>
    </w:p>
    <w:p w:rsidR="00F03054" w:rsidRPr="00022A54" w:rsidP="00B47B1C" w14:paraId="7B3545E4" w14:textId="602250CA">
      <w:pPr>
        <w:jc w:val="center"/>
        <w:rPr>
          <w:lang w:val="fr-FR"/>
        </w:rPr>
      </w:pPr>
      <w:r>
        <w:rPr>
          <w:lang w:val="fr-FR"/>
        </w:rPr>
        <w:t>April 15, 2026</w:t>
      </w:r>
    </w:p>
    <w:p w:rsidR="00F03054" w:rsidRPr="00022A54" w:rsidP="00B47B1C" w14:paraId="45C72DB8" w14:textId="77777777">
      <w:pPr>
        <w:jc w:val="center"/>
        <w:rPr>
          <w:lang w:val="fr-FR"/>
        </w:rPr>
      </w:pPr>
    </w:p>
    <w:p w:rsidR="00F03054" w:rsidRPr="00022A54" w:rsidP="00B47B1C" w14:paraId="0531C949" w14:textId="77777777">
      <w:pPr>
        <w:jc w:val="center"/>
        <w:rPr>
          <w:lang w:val="fr-FR"/>
        </w:rPr>
      </w:pPr>
    </w:p>
    <w:p w:rsidR="00F03054" w:rsidP="00B47B1C" w14:paraId="62039609" w14:textId="77777777">
      <w:pPr>
        <w:jc w:val="center"/>
        <w:rPr>
          <w:lang w:val="fr-FR"/>
        </w:rPr>
      </w:pPr>
    </w:p>
    <w:p w:rsidR="00BB2B5A" w:rsidP="00B47B1C" w14:paraId="0BAB6675" w14:textId="77777777">
      <w:pPr>
        <w:jc w:val="center"/>
        <w:rPr>
          <w:lang w:val="fr-FR"/>
        </w:rPr>
      </w:pPr>
    </w:p>
    <w:p w:rsidR="00BB2B5A" w:rsidP="00B47B1C" w14:paraId="40D68816" w14:textId="77777777">
      <w:pPr>
        <w:jc w:val="center"/>
        <w:rPr>
          <w:lang w:val="fr-FR"/>
        </w:rPr>
      </w:pPr>
    </w:p>
    <w:p w:rsidR="00BB2B5A" w:rsidP="00B47B1C" w14:paraId="199A47F5" w14:textId="77777777">
      <w:pPr>
        <w:jc w:val="center"/>
        <w:rPr>
          <w:lang w:val="fr-FR"/>
        </w:rPr>
      </w:pPr>
    </w:p>
    <w:p w:rsidR="00BB2B5A" w:rsidP="00B47B1C" w14:paraId="4CF69A5D" w14:textId="77777777">
      <w:pPr>
        <w:jc w:val="center"/>
        <w:rPr>
          <w:lang w:val="fr-FR"/>
        </w:rPr>
      </w:pPr>
    </w:p>
    <w:p w:rsidR="00BB2B5A" w:rsidP="00B47B1C" w14:paraId="51151A26" w14:textId="77777777">
      <w:pPr>
        <w:jc w:val="center"/>
        <w:rPr>
          <w:lang w:val="fr-FR"/>
        </w:rPr>
      </w:pPr>
    </w:p>
    <w:p w:rsidR="00BB2B5A" w:rsidRPr="00022A54" w:rsidP="00B47B1C" w14:paraId="57DF76BD" w14:textId="77777777">
      <w:pPr>
        <w:jc w:val="center"/>
        <w:rPr>
          <w:lang w:val="fr-FR"/>
        </w:rPr>
      </w:pPr>
    </w:p>
    <w:p w:rsidR="00F03054" w:rsidRPr="00022A54" w:rsidP="00B47B1C" w14:paraId="3E9FD107" w14:textId="77777777">
      <w:pPr>
        <w:jc w:val="center"/>
        <w:rPr>
          <w:lang w:val="fr-FR"/>
        </w:rPr>
      </w:pPr>
    </w:p>
    <w:p w:rsidR="00662F81" w:rsidRPr="00022A54" w:rsidP="00B47B1C" w14:paraId="1422D9C1" w14:textId="77777777">
      <w:pPr>
        <w:jc w:val="center"/>
        <w:rPr>
          <w:lang w:val="fr-FR"/>
        </w:rPr>
      </w:pPr>
      <w:r w:rsidRPr="00022A54">
        <w:rPr>
          <w:lang w:val="fr-FR"/>
        </w:rPr>
        <w:t>Contact Information:</w:t>
      </w:r>
    </w:p>
    <w:p w:rsidR="00662F81" w:rsidRPr="00022A54" w:rsidP="00B47B1C" w14:paraId="18087D49" w14:textId="77777777">
      <w:pPr>
        <w:jc w:val="center"/>
        <w:rPr>
          <w:lang w:val="fr-FR"/>
        </w:rPr>
      </w:pPr>
    </w:p>
    <w:p w:rsidR="00C6416D" w:rsidP="00AD3B70" w14:paraId="18BB0787" w14:textId="15144F51">
      <w:pPr>
        <w:spacing w:after="60"/>
        <w:jc w:val="center"/>
      </w:pPr>
      <w:r>
        <w:t>Aisha N. Cody, MPA, CHES</w:t>
      </w:r>
    </w:p>
    <w:p w:rsidR="00960673" w:rsidP="00AD3B70" w14:paraId="7F6DDB6F" w14:textId="77777777">
      <w:pPr>
        <w:spacing w:after="60"/>
        <w:jc w:val="center"/>
      </w:pPr>
      <w:r>
        <w:t>O</w:t>
      </w:r>
      <w:r w:rsidR="00CA572A">
        <w:t xml:space="preserve">ffice of </w:t>
      </w:r>
      <w:r>
        <w:t xml:space="preserve">the Associate Director for </w:t>
      </w:r>
      <w:r>
        <w:t>S</w:t>
      </w:r>
      <w:r w:rsidR="00CA572A">
        <w:t>cience</w:t>
      </w:r>
      <w:r w:rsidR="009F4FD7">
        <w:t xml:space="preserve"> (O</w:t>
      </w:r>
      <w:r>
        <w:t>AD</w:t>
      </w:r>
      <w:r w:rsidR="009F4FD7">
        <w:t>S)</w:t>
      </w:r>
    </w:p>
    <w:p w:rsidR="00C6416D" w:rsidP="00AD3B70" w14:paraId="1476D213" w14:textId="16595CC8">
      <w:pPr>
        <w:spacing w:after="60"/>
        <w:jc w:val="center"/>
      </w:pPr>
      <w:r>
        <w:t>National Center for HIV, Viral Hepatitis, STD, and TB Prevention (NCHHSTP)</w:t>
      </w:r>
      <w:r w:rsidR="00CA572A">
        <w:t xml:space="preserve"> </w:t>
      </w:r>
    </w:p>
    <w:p w:rsidR="00662F81" w:rsidP="00AD3B70" w14:paraId="2D65D5C8" w14:textId="77777777">
      <w:pPr>
        <w:spacing w:after="60"/>
        <w:jc w:val="center"/>
      </w:pPr>
      <w:r>
        <w:t>Centers for Disease Control and Prevention (</w:t>
      </w:r>
      <w:r w:rsidRPr="00022A54">
        <w:t>CDC</w:t>
      </w:r>
      <w:r>
        <w:t>)</w:t>
      </w:r>
    </w:p>
    <w:p w:rsidR="00330F92" w:rsidP="009B493D" w14:paraId="36C719F2" w14:textId="77777777">
      <w:pPr>
        <w:spacing w:after="60"/>
      </w:pPr>
    </w:p>
    <w:p w:rsidR="00C6416D" w:rsidRPr="00022A54" w:rsidP="00AD3B70" w14:paraId="0F3B2CE9" w14:textId="77777777">
      <w:pPr>
        <w:spacing w:after="60"/>
        <w:jc w:val="center"/>
      </w:pPr>
      <w:r>
        <w:br w:type="page"/>
      </w:r>
    </w:p>
    <w:p w:rsidR="000B3F98" w:rsidRPr="00FC301A" w:rsidP="00FC301A" w14:paraId="6C36B1D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FC301A">
        <w:rPr>
          <w:rFonts w:ascii="Times New Roman" w:hAnsi="Times New Roman"/>
          <w:b/>
        </w:rPr>
        <w:t>Table of Contents</w:t>
      </w:r>
    </w:p>
    <w:p w:rsidR="000B3F98" w:rsidRPr="00FC301A" w:rsidP="000B3F98" w14:paraId="09529FF1" w14:textId="77777777">
      <w:pPr>
        <w:rPr>
          <w:b/>
        </w:rPr>
      </w:pPr>
      <w:r w:rsidRPr="00FC301A">
        <w:rPr>
          <w:b/>
        </w:rPr>
        <w:t>Section</w:t>
      </w:r>
      <w:r w:rsidRPr="00FC301A">
        <w:rPr>
          <w:b/>
        </w:rPr>
        <w:tab/>
      </w:r>
    </w:p>
    <w:p w:rsidR="000B3F98" w:rsidRPr="00FC301A" w:rsidP="000B3F98" w14:paraId="41CE91A1" w14:textId="77777777">
      <w:pPr>
        <w:rPr>
          <w:b/>
        </w:rPr>
      </w:pPr>
      <w:r w:rsidRPr="00FC301A">
        <w:rPr>
          <w:b/>
        </w:rPr>
        <w:t>A.</w:t>
      </w:r>
      <w:r w:rsidRPr="00FC301A">
        <w:rPr>
          <w:b/>
        </w:rPr>
        <w:tab/>
        <w:t>Justification</w:t>
      </w:r>
    </w:p>
    <w:p w:rsidR="00AD3B70" w:rsidRPr="00951BC8" w:rsidP="00B06EB4" w14:paraId="2CB5A65B" w14:textId="77777777">
      <w:pPr>
        <w:numPr>
          <w:ilvl w:val="0"/>
          <w:numId w:val="38"/>
        </w:numPr>
        <w:spacing w:after="0"/>
        <w:rPr>
          <w:bCs/>
        </w:rPr>
      </w:pPr>
      <w:r w:rsidRPr="00951BC8">
        <w:rPr>
          <w:bCs/>
        </w:rPr>
        <w:t>Circumstances Making the Collection of Information Necessary</w:t>
      </w:r>
    </w:p>
    <w:p w:rsidR="00AD3B70" w:rsidRPr="00951BC8" w:rsidP="00B06EB4" w14:paraId="4FBBB4DE" w14:textId="77777777">
      <w:pPr>
        <w:numPr>
          <w:ilvl w:val="0"/>
          <w:numId w:val="38"/>
        </w:numPr>
        <w:spacing w:after="0"/>
        <w:rPr>
          <w:bCs/>
        </w:rPr>
      </w:pPr>
      <w:r w:rsidRPr="00951BC8">
        <w:rPr>
          <w:bCs/>
        </w:rPr>
        <w:t>Purpose and Use of the Information Collection</w:t>
      </w:r>
    </w:p>
    <w:p w:rsidR="00AD3B70" w:rsidRPr="00951BC8" w:rsidP="00B06EB4" w14:paraId="6F16913F" w14:textId="77777777">
      <w:pPr>
        <w:numPr>
          <w:ilvl w:val="0"/>
          <w:numId w:val="38"/>
        </w:numPr>
        <w:spacing w:after="0"/>
        <w:rPr>
          <w:bCs/>
        </w:rPr>
      </w:pPr>
      <w:r w:rsidRPr="00951BC8">
        <w:rPr>
          <w:bCs/>
        </w:rPr>
        <w:t>Use of Improved Information Technology and Burden Reduction</w:t>
      </w:r>
    </w:p>
    <w:p w:rsidR="00AD3B70" w:rsidRPr="00951BC8" w:rsidP="00B06EB4" w14:paraId="4FCF0D9B" w14:textId="77777777">
      <w:pPr>
        <w:numPr>
          <w:ilvl w:val="0"/>
          <w:numId w:val="38"/>
        </w:numPr>
        <w:spacing w:after="0"/>
        <w:rPr>
          <w:bCs/>
        </w:rPr>
      </w:pPr>
      <w:r w:rsidRPr="00951BC8">
        <w:rPr>
          <w:bCs/>
        </w:rPr>
        <w:t>Efforts to Identify Duplication and Use of Similar Information</w:t>
      </w:r>
    </w:p>
    <w:p w:rsidR="00AD3B70" w:rsidRPr="00951BC8" w:rsidP="00B06EB4" w14:paraId="5549C68E" w14:textId="77777777">
      <w:pPr>
        <w:numPr>
          <w:ilvl w:val="0"/>
          <w:numId w:val="38"/>
        </w:numPr>
        <w:spacing w:after="0"/>
        <w:rPr>
          <w:bCs/>
        </w:rPr>
      </w:pPr>
      <w:r w:rsidRPr="00951BC8">
        <w:rPr>
          <w:bCs/>
        </w:rPr>
        <w:t>Impact on Small Businesses or Other Small Entities</w:t>
      </w:r>
    </w:p>
    <w:p w:rsidR="00AD3B70" w:rsidRPr="00951BC8" w:rsidP="00B06EB4" w14:paraId="0A5307DC" w14:textId="77777777">
      <w:pPr>
        <w:numPr>
          <w:ilvl w:val="0"/>
          <w:numId w:val="38"/>
        </w:numPr>
        <w:spacing w:after="0"/>
        <w:rPr>
          <w:bCs/>
        </w:rPr>
      </w:pPr>
      <w:r w:rsidRPr="00951BC8">
        <w:rPr>
          <w:bCs/>
        </w:rPr>
        <w:t>Consequences of Collecting the Information Less Frequently</w:t>
      </w:r>
    </w:p>
    <w:p w:rsidR="00AD3B70" w:rsidRPr="00951BC8" w:rsidP="00B06EB4" w14:paraId="2E614755" w14:textId="77777777">
      <w:pPr>
        <w:numPr>
          <w:ilvl w:val="0"/>
          <w:numId w:val="38"/>
        </w:numPr>
        <w:spacing w:after="0"/>
        <w:rPr>
          <w:bCs/>
        </w:rPr>
      </w:pPr>
      <w:r w:rsidRPr="00951BC8">
        <w:rPr>
          <w:bCs/>
        </w:rPr>
        <w:t>Special Circumstances Relating to the Guidelines of 5 CFR 1320.5</w:t>
      </w:r>
    </w:p>
    <w:p w:rsidR="00AD3B70" w:rsidRPr="00951BC8" w:rsidP="00B06EB4" w14:paraId="64FA5B7F" w14:textId="77777777">
      <w:pPr>
        <w:numPr>
          <w:ilvl w:val="0"/>
          <w:numId w:val="38"/>
        </w:numPr>
        <w:spacing w:after="0"/>
        <w:rPr>
          <w:bCs/>
        </w:rPr>
      </w:pPr>
      <w:r w:rsidRPr="00951BC8">
        <w:rPr>
          <w:bCs/>
        </w:rPr>
        <w:t>Comments in Response to the Federal Register Notice and Efforts to Consult Outside the Agency</w:t>
      </w:r>
    </w:p>
    <w:p w:rsidR="00AD3B70" w:rsidRPr="00951BC8" w:rsidP="00B06EB4" w14:paraId="73950C3F" w14:textId="77777777">
      <w:pPr>
        <w:numPr>
          <w:ilvl w:val="0"/>
          <w:numId w:val="38"/>
        </w:numPr>
        <w:spacing w:after="0"/>
        <w:rPr>
          <w:bCs/>
        </w:rPr>
      </w:pPr>
      <w:r w:rsidRPr="00951BC8">
        <w:rPr>
          <w:bCs/>
        </w:rPr>
        <w:t>Explanation of Any Payment or Gift to Respondents</w:t>
      </w:r>
    </w:p>
    <w:p w:rsidR="00AD3B70" w:rsidRPr="00951BC8" w:rsidP="00B06EB4" w14:paraId="3803C96B" w14:textId="77777777">
      <w:pPr>
        <w:numPr>
          <w:ilvl w:val="0"/>
          <w:numId w:val="38"/>
        </w:numPr>
        <w:spacing w:after="0"/>
        <w:rPr>
          <w:bCs/>
        </w:rPr>
      </w:pPr>
      <w:r w:rsidRPr="00951BC8">
        <w:rPr>
          <w:bCs/>
        </w:rPr>
        <w:t xml:space="preserve">Protection of the Privacy and Confidentiality of Information Provided </w:t>
      </w:r>
      <w:r w:rsidR="00C6416D">
        <w:rPr>
          <w:bCs/>
        </w:rPr>
        <w:t>to</w:t>
      </w:r>
      <w:r w:rsidRPr="00951BC8">
        <w:rPr>
          <w:bCs/>
        </w:rPr>
        <w:t xml:space="preserve"> Respondents</w:t>
      </w:r>
    </w:p>
    <w:p w:rsidR="00AD3B70" w:rsidRPr="00951BC8" w:rsidP="00B06EB4" w14:paraId="0452E385" w14:textId="77777777">
      <w:pPr>
        <w:numPr>
          <w:ilvl w:val="0"/>
          <w:numId w:val="38"/>
        </w:numPr>
        <w:spacing w:after="0"/>
        <w:rPr>
          <w:bCs/>
        </w:rPr>
      </w:pPr>
      <w:r w:rsidRPr="00951BC8">
        <w:rPr>
          <w:bCs/>
        </w:rPr>
        <w:t>Institutional Review Board (IRB) and Justification for Sensitive Questions</w:t>
      </w:r>
    </w:p>
    <w:p w:rsidR="00AD3B70" w:rsidRPr="00951BC8" w:rsidP="00B06EB4" w14:paraId="7AEF0A07" w14:textId="77777777">
      <w:pPr>
        <w:numPr>
          <w:ilvl w:val="0"/>
          <w:numId w:val="38"/>
        </w:numPr>
        <w:spacing w:after="0"/>
        <w:rPr>
          <w:bCs/>
        </w:rPr>
      </w:pPr>
      <w:r w:rsidRPr="00951BC8">
        <w:rPr>
          <w:bCs/>
        </w:rPr>
        <w:t>Estimates of Annualized Burden Hours and Costs</w:t>
      </w:r>
    </w:p>
    <w:p w:rsidR="00AD3B70" w:rsidRPr="00951BC8" w:rsidP="00B06EB4" w14:paraId="3F60AEE5" w14:textId="77777777">
      <w:pPr>
        <w:numPr>
          <w:ilvl w:val="0"/>
          <w:numId w:val="38"/>
        </w:numPr>
        <w:spacing w:after="0"/>
        <w:rPr>
          <w:bCs/>
        </w:rPr>
      </w:pPr>
      <w:r w:rsidRPr="00951BC8">
        <w:rPr>
          <w:bCs/>
        </w:rPr>
        <w:t>Estimates of Other Total Annual Cost Burden to Respondents and Record Keepers</w:t>
      </w:r>
    </w:p>
    <w:p w:rsidR="00AD3B70" w:rsidRPr="00951BC8" w:rsidP="00B06EB4" w14:paraId="7B2266DF" w14:textId="77777777">
      <w:pPr>
        <w:numPr>
          <w:ilvl w:val="0"/>
          <w:numId w:val="38"/>
        </w:numPr>
        <w:spacing w:after="0"/>
        <w:rPr>
          <w:bCs/>
        </w:rPr>
      </w:pPr>
      <w:r w:rsidRPr="00951BC8">
        <w:rPr>
          <w:bCs/>
        </w:rPr>
        <w:t>Annualized Cost to the Federal Government</w:t>
      </w:r>
    </w:p>
    <w:p w:rsidR="00AD3B70" w:rsidRPr="00951BC8" w:rsidP="00B06EB4" w14:paraId="71D1777D" w14:textId="77777777">
      <w:pPr>
        <w:numPr>
          <w:ilvl w:val="0"/>
          <w:numId w:val="38"/>
        </w:numPr>
        <w:spacing w:after="0"/>
        <w:rPr>
          <w:bCs/>
        </w:rPr>
      </w:pPr>
      <w:r w:rsidRPr="00951BC8">
        <w:rPr>
          <w:bCs/>
        </w:rPr>
        <w:t>Explanation for Program Changes or Adjustments</w:t>
      </w:r>
    </w:p>
    <w:p w:rsidR="00AD3B70" w:rsidRPr="00951BC8" w:rsidP="00B06EB4" w14:paraId="0BE1E7A1" w14:textId="77777777">
      <w:pPr>
        <w:numPr>
          <w:ilvl w:val="0"/>
          <w:numId w:val="38"/>
        </w:numPr>
        <w:spacing w:after="0"/>
        <w:rPr>
          <w:bCs/>
        </w:rPr>
      </w:pPr>
      <w:r w:rsidRPr="00951BC8">
        <w:rPr>
          <w:bCs/>
        </w:rPr>
        <w:t>Plans for Tabulation and Publication and Project Time Schedule</w:t>
      </w:r>
    </w:p>
    <w:p w:rsidR="00AD3B70" w:rsidRPr="00951BC8" w:rsidP="00B06EB4" w14:paraId="747FD0A5" w14:textId="77777777">
      <w:pPr>
        <w:numPr>
          <w:ilvl w:val="0"/>
          <w:numId w:val="38"/>
        </w:numPr>
        <w:spacing w:after="0"/>
        <w:rPr>
          <w:bCs/>
        </w:rPr>
      </w:pPr>
      <w:r w:rsidRPr="00951BC8">
        <w:rPr>
          <w:bCs/>
        </w:rPr>
        <w:t>Reason(s) Display of OMB Expiration Date is Inappropriate</w:t>
      </w:r>
    </w:p>
    <w:p w:rsidR="00AD3B70" w:rsidRPr="00951BC8" w:rsidP="00B06EB4" w14:paraId="66743CE1" w14:textId="77777777">
      <w:pPr>
        <w:numPr>
          <w:ilvl w:val="0"/>
          <w:numId w:val="38"/>
        </w:numPr>
        <w:spacing w:after="0"/>
        <w:rPr>
          <w:bCs/>
        </w:rPr>
      </w:pPr>
      <w:r w:rsidRPr="00951BC8">
        <w:rPr>
          <w:bCs/>
        </w:rPr>
        <w:t>Exceptions to Certification for Paperwork Reduction Act Submissions</w:t>
      </w:r>
    </w:p>
    <w:p w:rsidR="000B3F98" w:rsidRPr="00022A54" w:rsidP="00AD3B70" w14:paraId="14507628" w14:textId="77777777">
      <w:pPr>
        <w:spacing w:after="0"/>
      </w:pPr>
      <w:r w:rsidRPr="00022A54">
        <w:fldChar w:fldCharType="begin"/>
      </w:r>
      <w:r w:rsidRPr="00022A54">
        <w:instrText xml:space="preserve"> TOC \t "Exhibit Title,5" </w:instrText>
      </w:r>
      <w:r w:rsidRPr="00022A54">
        <w:fldChar w:fldCharType="separate"/>
      </w:r>
    </w:p>
    <w:p w:rsidR="00465034" w:rsidRPr="007272EC" w:rsidP="00AD3B70" w14:paraId="6DD19E04" w14:textId="77777777">
      <w:pPr>
        <w:spacing w:after="0"/>
        <w:rPr>
          <w:b/>
        </w:rPr>
      </w:pPr>
      <w:r w:rsidRPr="007272EC">
        <w:rPr>
          <w:b/>
        </w:rPr>
        <w:t>Attachments</w:t>
      </w:r>
      <w:r w:rsidRPr="007272EC">
        <w:rPr>
          <w:b/>
        </w:rPr>
        <w:tab/>
      </w:r>
      <w:r w:rsidRPr="007272EC">
        <w:rPr>
          <w:b/>
        </w:rPr>
        <w:tab/>
      </w:r>
    </w:p>
    <w:p w:rsidR="00465034" w:rsidRPr="00022A54" w:rsidP="00AD3B70" w14:paraId="1DA7F638" w14:textId="77777777">
      <w:pPr>
        <w:spacing w:after="0"/>
      </w:pPr>
    </w:p>
    <w:p w:rsidR="00465034" w:rsidP="00AD3B70" w14:paraId="4F9D7213" w14:textId="208EAAFD">
      <w:pPr>
        <w:spacing w:after="0"/>
      </w:pPr>
      <w:r w:rsidRPr="00022A54">
        <w:t>Att 1</w:t>
      </w:r>
      <w:r w:rsidR="003B5283">
        <w:t>a</w:t>
      </w:r>
      <w:r w:rsidRPr="00022A54">
        <w:tab/>
        <w:t>Authorizing Legislation</w:t>
      </w:r>
    </w:p>
    <w:p w:rsidR="003B5283" w:rsidRPr="00022A54" w:rsidP="00AD3B70" w14:paraId="3C90E543" w14:textId="63471A57">
      <w:pPr>
        <w:spacing w:after="0"/>
      </w:pPr>
      <w:r>
        <w:t>Att 1b Authorizing Legislation</w:t>
      </w:r>
    </w:p>
    <w:p w:rsidR="00465034" w:rsidP="00AD3B70" w14:paraId="662E116D" w14:textId="77777777">
      <w:pPr>
        <w:spacing w:after="0"/>
      </w:pPr>
      <w:r w:rsidRPr="00022A54">
        <w:t>Att 2</w:t>
      </w:r>
      <w:r w:rsidRPr="00022A54">
        <w:tab/>
        <w:t>60 D</w:t>
      </w:r>
      <w:r w:rsidR="007272EC">
        <w:t>ay Federal Register Notice</w:t>
      </w:r>
    </w:p>
    <w:p w:rsidR="00465034" w:rsidP="00465034" w14:paraId="105F6A3A" w14:textId="4EEE3727">
      <w:r>
        <w:t>Att 3</w:t>
      </w:r>
      <w:r>
        <w:tab/>
      </w:r>
      <w:r w:rsidR="003B5283">
        <w:t xml:space="preserve">Customer Service </w:t>
      </w:r>
      <w:r w:rsidR="009B493D">
        <w:t>G</w:t>
      </w:r>
      <w:r>
        <w:t xml:space="preserve">enIC </w:t>
      </w:r>
      <w:r w:rsidR="003B5283">
        <w:t>Clearance T</w:t>
      </w:r>
      <w:r>
        <w:t>emplate</w:t>
      </w:r>
    </w:p>
    <w:p w:rsidR="00F61A44" w:rsidRPr="00022A54" w:rsidP="00465034" w14:paraId="377AEE90" w14:textId="77777777">
      <w:r>
        <w:br w:type="page"/>
      </w:r>
    </w:p>
    <w:p w:rsidR="00465034" w:rsidRPr="00022A54" w:rsidP="00465034" w14:paraId="021EECB3" w14:textId="77777777"/>
    <w:p w:rsidR="0092767B" w:rsidP="007272EC" w14:paraId="776B2F18" w14:textId="77777777">
      <w:pPr>
        <w:jc w:val="center"/>
        <w:rPr>
          <w:rFonts w:ascii="Courier New" w:hAnsi="Courier New" w:cs="Courier New"/>
          <w:b/>
        </w:rPr>
      </w:pPr>
      <w:r>
        <w:rPr>
          <w:noProof/>
        </w:rPr>
        <mc:AlternateContent>
          <mc:Choice Requires="wps">
            <w:drawing>
              <wp:anchor distT="0" distB="0" distL="114300" distR="114300" simplePos="0" relativeHeight="251658240" behindDoc="0" locked="0" layoutInCell="1" allowOverlap="1">
                <wp:simplePos x="0" y="0"/>
                <wp:positionH relativeFrom="column">
                  <wp:posOffset>-327660</wp:posOffset>
                </wp:positionH>
                <wp:positionV relativeFrom="paragraph">
                  <wp:posOffset>167005</wp:posOffset>
                </wp:positionV>
                <wp:extent cx="6490335" cy="6523355"/>
                <wp:effectExtent l="0" t="0" r="5715" b="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0335" cy="6523355"/>
                        </a:xfrm>
                        <a:prstGeom prst="rect">
                          <a:avLst/>
                        </a:prstGeom>
                        <a:solidFill>
                          <a:srgbClr val="FFFFFF"/>
                        </a:solidFill>
                        <a:ln w="9525">
                          <a:solidFill>
                            <a:srgbClr val="000000"/>
                          </a:solidFill>
                          <a:miter lim="800000"/>
                          <a:headEnd/>
                          <a:tailEnd/>
                        </a:ln>
                      </wps:spPr>
                      <wps:txbx>
                        <w:txbxContent>
                          <w:p w:rsidR="002F5077" w:rsidRPr="00896231" w:rsidP="00896231" w14:textId="33AE2753">
                            <w:pPr>
                              <w:pStyle w:val="ListParagraph"/>
                              <w:numPr>
                                <w:ilvl w:val="0"/>
                                <w:numId w:val="34"/>
                              </w:numPr>
                              <w:spacing w:before="120"/>
                              <w:contextualSpacing w:val="0"/>
                              <w:rPr>
                                <w:sz w:val="22"/>
                                <w:szCs w:val="22"/>
                              </w:rPr>
                            </w:pPr>
                            <w:r w:rsidRPr="00896231">
                              <w:rPr>
                                <w:sz w:val="22"/>
                                <w:szCs w:val="22"/>
                              </w:rPr>
                              <w:t>The goal of th</w:t>
                            </w:r>
                            <w:r>
                              <w:rPr>
                                <w:sz w:val="22"/>
                                <w:szCs w:val="22"/>
                              </w:rPr>
                              <w:t xml:space="preserve">is </w:t>
                            </w:r>
                            <w:r w:rsidR="00CA572A">
                              <w:rPr>
                                <w:sz w:val="22"/>
                                <w:szCs w:val="22"/>
                              </w:rPr>
                              <w:t xml:space="preserve">extension to the </w:t>
                            </w:r>
                            <w:r>
                              <w:rPr>
                                <w:sz w:val="22"/>
                                <w:szCs w:val="22"/>
                              </w:rPr>
                              <w:t>generic information collection request</w:t>
                            </w:r>
                            <w:r w:rsidRPr="00896231">
                              <w:rPr>
                                <w:sz w:val="22"/>
                                <w:szCs w:val="22"/>
                              </w:rPr>
                              <w:t xml:space="preserve"> is to </w:t>
                            </w:r>
                            <w:r w:rsidRPr="00DF3E75" w:rsidR="00DF3E75">
                              <w:rPr>
                                <w:sz w:val="22"/>
                                <w:szCs w:val="22"/>
                              </w:rPr>
                              <w:t>enable and facilitate the CDC’s collection and internal processing of customer and partner feedback in an efficient, timely manner. This extension request to the Generic Clearance for the Collection of Qualitative Feedback on Agency Service Delivery aligns with CDC’s commitment to improving service delivery.</w:t>
                            </w:r>
                          </w:p>
                          <w:p w:rsidR="002F5077" w:rsidRPr="00896231" w:rsidP="00896231" w14:textId="488C0C08">
                            <w:pPr>
                              <w:pStyle w:val="ListParagraph"/>
                              <w:numPr>
                                <w:ilvl w:val="0"/>
                                <w:numId w:val="34"/>
                              </w:numPr>
                              <w:spacing w:before="120"/>
                              <w:contextualSpacing w:val="0"/>
                              <w:rPr>
                                <w:sz w:val="22"/>
                                <w:szCs w:val="22"/>
                              </w:rPr>
                            </w:pPr>
                            <w:r w:rsidRPr="00DF3E75">
                              <w:rPr>
                                <w:sz w:val="22"/>
                                <w:szCs w:val="22"/>
                              </w:rPr>
                              <w:t xml:space="preserve">The resulting data will be used </w:t>
                            </w:r>
                            <w:bookmarkStart w:id="0" w:name="_Hlk94624119"/>
                            <w:r w:rsidRPr="00DF3E75">
                              <w:rPr>
                                <w:sz w:val="22"/>
                                <w:szCs w:val="22"/>
                              </w:rPr>
                              <w:t xml:space="preserve">to </w:t>
                            </w:r>
                            <w:bookmarkStart w:id="1" w:name="_Hlk219463619"/>
                            <w:r w:rsidRPr="00DF3E75">
                              <w:rPr>
                                <w:sz w:val="22"/>
                                <w:szCs w:val="22"/>
                              </w:rPr>
                              <w:t>monitor and improve the CDC’s agency and Center program delivery</w:t>
                            </w:r>
                            <w:bookmarkEnd w:id="0"/>
                            <w:r w:rsidRPr="00DF3E75">
                              <w:rPr>
                                <w:sz w:val="22"/>
                                <w:szCs w:val="22"/>
                              </w:rPr>
                              <w:t xml:space="preserve">. </w:t>
                            </w:r>
                            <w:bookmarkEnd w:id="1"/>
                            <w:r w:rsidRPr="00896231">
                              <w:rPr>
                                <w:sz w:val="22"/>
                                <w:szCs w:val="22"/>
                              </w:rPr>
                              <w:t xml:space="preserve">The methods used to collect the information will </w:t>
                            </w:r>
                            <w:r>
                              <w:rPr>
                                <w:sz w:val="22"/>
                                <w:szCs w:val="22"/>
                              </w:rPr>
                              <w:t>include</w:t>
                            </w:r>
                            <w:r w:rsidRPr="00896231">
                              <w:rPr>
                                <w:sz w:val="22"/>
                                <w:szCs w:val="22"/>
                              </w:rPr>
                              <w:t xml:space="preserve"> </w:t>
                            </w:r>
                            <w:r>
                              <w:rPr>
                                <w:sz w:val="22"/>
                                <w:szCs w:val="22"/>
                              </w:rPr>
                              <w:t>q</w:t>
                            </w:r>
                            <w:r w:rsidRPr="00896231">
                              <w:rPr>
                                <w:sz w:val="22"/>
                                <w:szCs w:val="22"/>
                              </w:rPr>
                              <w:t>ualitative interview</w:t>
                            </w:r>
                            <w:r>
                              <w:rPr>
                                <w:sz w:val="22"/>
                                <w:szCs w:val="22"/>
                              </w:rPr>
                              <w:t>s</w:t>
                            </w:r>
                            <w:r w:rsidRPr="00896231">
                              <w:rPr>
                                <w:sz w:val="22"/>
                                <w:szCs w:val="22"/>
                              </w:rPr>
                              <w:t xml:space="preserve">, cognitive and in-depth interviews among the consumer clients or the implementers </w:t>
                            </w:r>
                            <w:r w:rsidR="00867875">
                              <w:rPr>
                                <w:sz w:val="22"/>
                                <w:szCs w:val="22"/>
                              </w:rPr>
                              <w:t>–</w:t>
                            </w:r>
                            <w:r w:rsidRPr="00896231">
                              <w:rPr>
                                <w:sz w:val="22"/>
                                <w:szCs w:val="22"/>
                              </w:rPr>
                              <w:t xml:space="preserve"> individual interviews or focus group interviews, methodological research, usability testing of technology-based instruments and materials, field testing of new methodologies and materials and or testing of </w:t>
                            </w:r>
                            <w:r w:rsidRPr="00867875" w:rsidR="00867875">
                              <w:rPr>
                                <w:sz w:val="22"/>
                                <w:szCs w:val="22"/>
                              </w:rPr>
                              <w:t>mental models approach to risk communication</w:t>
                            </w:r>
                            <w:r w:rsidRPr="00896231">
                              <w:rPr>
                                <w:sz w:val="22"/>
                                <w:szCs w:val="22"/>
                              </w:rPr>
                              <w:t xml:space="preserve">. </w:t>
                            </w:r>
                          </w:p>
                          <w:p w:rsidR="002F5077" w:rsidRPr="00896231" w:rsidP="007A3CF4" w14:textId="6B6C0DF8">
                            <w:pPr>
                              <w:pStyle w:val="ListParagraph"/>
                              <w:numPr>
                                <w:ilvl w:val="0"/>
                                <w:numId w:val="34"/>
                              </w:numPr>
                              <w:spacing w:before="120"/>
                              <w:contextualSpacing w:val="0"/>
                              <w:rPr>
                                <w:sz w:val="22"/>
                                <w:szCs w:val="22"/>
                              </w:rPr>
                            </w:pPr>
                            <w:r>
                              <w:rPr>
                                <w:sz w:val="22"/>
                                <w:szCs w:val="22"/>
                              </w:rPr>
                              <w:t xml:space="preserve">Specific populations will vary for each approved Generic IC submission under this Generic Clearance. Broadly, respondents include persons in </w:t>
                            </w:r>
                            <w:r w:rsidRPr="00896231">
                              <w:rPr>
                                <w:sz w:val="22"/>
                                <w:szCs w:val="22"/>
                              </w:rPr>
                              <w:t>the general population</w:t>
                            </w:r>
                            <w:r>
                              <w:rPr>
                                <w:sz w:val="22"/>
                                <w:szCs w:val="22"/>
                              </w:rPr>
                              <w:t xml:space="preserve"> or from specific subpopulations</w:t>
                            </w:r>
                            <w:r w:rsidRPr="00896231">
                              <w:rPr>
                                <w:sz w:val="22"/>
                                <w:szCs w:val="22"/>
                              </w:rPr>
                              <w:t>,</w:t>
                            </w:r>
                            <w:r>
                              <w:rPr>
                                <w:sz w:val="22"/>
                                <w:szCs w:val="22"/>
                              </w:rPr>
                              <w:t xml:space="preserve"> such as </w:t>
                            </w:r>
                            <w:r w:rsidRPr="002C2D2E">
                              <w:rPr>
                                <w:sz w:val="22"/>
                                <w:szCs w:val="22"/>
                              </w:rPr>
                              <w:t>persons with or at risk for certain medical conditions</w:t>
                            </w:r>
                            <w:r>
                              <w:rPr>
                                <w:sz w:val="22"/>
                                <w:szCs w:val="22"/>
                              </w:rPr>
                              <w:t>, adolescents and/or</w:t>
                            </w:r>
                            <w:r w:rsidRPr="00896231">
                              <w:rPr>
                                <w:sz w:val="22"/>
                                <w:szCs w:val="22"/>
                              </w:rPr>
                              <w:t xml:space="preserve"> adults</w:t>
                            </w:r>
                            <w:r>
                              <w:rPr>
                                <w:sz w:val="22"/>
                                <w:szCs w:val="22"/>
                              </w:rPr>
                              <w:t xml:space="preserve">, </w:t>
                            </w:r>
                            <w:r w:rsidR="00867875">
                              <w:rPr>
                                <w:sz w:val="22"/>
                                <w:szCs w:val="22"/>
                              </w:rPr>
                              <w:t xml:space="preserve">persons of minority populations, </w:t>
                            </w:r>
                            <w:r>
                              <w:rPr>
                                <w:sz w:val="22"/>
                                <w:szCs w:val="22"/>
                              </w:rPr>
                              <w:t xml:space="preserve">persons of specific </w:t>
                            </w:r>
                            <w:r w:rsidRPr="00896231">
                              <w:rPr>
                                <w:sz w:val="22"/>
                                <w:szCs w:val="22"/>
                              </w:rPr>
                              <w:t>race</w:t>
                            </w:r>
                            <w:r>
                              <w:rPr>
                                <w:sz w:val="22"/>
                                <w:szCs w:val="22"/>
                              </w:rPr>
                              <w:t>s/ethnicities,</w:t>
                            </w:r>
                            <w:r w:rsidRPr="007A3CF4">
                              <w:t xml:space="preserve"> </w:t>
                            </w:r>
                            <w:r>
                              <w:t xml:space="preserve">and </w:t>
                            </w:r>
                            <w:r w:rsidRPr="007A3CF4">
                              <w:rPr>
                                <w:sz w:val="22"/>
                                <w:szCs w:val="22"/>
                              </w:rPr>
                              <w:t xml:space="preserve">persons residing in rural and/or urban locations, and/or in specific regions or health jurisdictions.  </w:t>
                            </w:r>
                            <w:r w:rsidRPr="00896231">
                              <w:rPr>
                                <w:sz w:val="22"/>
                                <w:szCs w:val="22"/>
                              </w:rPr>
                              <w:t>Other respondents</w:t>
                            </w:r>
                            <w:r>
                              <w:rPr>
                                <w:sz w:val="22"/>
                                <w:szCs w:val="22"/>
                              </w:rPr>
                              <w:t xml:space="preserve"> may</w:t>
                            </w:r>
                            <w:r w:rsidRPr="00896231">
                              <w:rPr>
                                <w:sz w:val="22"/>
                                <w:szCs w:val="22"/>
                              </w:rPr>
                              <w:t xml:space="preserve"> include health care providers, health department personnel and others engaged in </w:t>
                            </w:r>
                            <w:r>
                              <w:rPr>
                                <w:sz w:val="22"/>
                                <w:szCs w:val="22"/>
                              </w:rPr>
                              <w:t xml:space="preserve">public health </w:t>
                            </w:r>
                            <w:r w:rsidRPr="00896231">
                              <w:rPr>
                                <w:sz w:val="22"/>
                                <w:szCs w:val="22"/>
                              </w:rPr>
                              <w:t>activities</w:t>
                            </w:r>
                            <w:r>
                              <w:rPr>
                                <w:sz w:val="22"/>
                                <w:szCs w:val="22"/>
                              </w:rPr>
                              <w:t xml:space="preserve"> promoted by CDC</w:t>
                            </w:r>
                            <w:r w:rsidRPr="00896231">
                              <w:rPr>
                                <w:sz w:val="22"/>
                                <w:szCs w:val="22"/>
                              </w:rPr>
                              <w:t>.</w:t>
                            </w:r>
                            <w:r w:rsidRPr="002C2D2E">
                              <w:t xml:space="preserve"> </w:t>
                            </w:r>
                          </w:p>
                          <w:p w:rsidR="00EE402E" w:rsidRPr="00AF084B" w:rsidP="000B5579" w14:textId="3126DA4D">
                            <w:pPr>
                              <w:pStyle w:val="ListParagraph"/>
                              <w:numPr>
                                <w:ilvl w:val="0"/>
                                <w:numId w:val="34"/>
                              </w:numPr>
                              <w:spacing w:before="120"/>
                              <w:contextualSpacing w:val="0"/>
                            </w:pPr>
                            <w:r w:rsidRPr="00EE402E">
                              <w:rPr>
                                <w:sz w:val="22"/>
                                <w:szCs w:val="22"/>
                              </w:rPr>
                              <w:t xml:space="preserve">While specific methods will vary for each approved GenIC, broad analyses </w:t>
                            </w:r>
                            <w:bookmarkStart w:id="2" w:name="_Hlk220496305"/>
                            <w:r w:rsidRPr="00EE402E">
                              <w:rPr>
                                <w:sz w:val="22"/>
                                <w:szCs w:val="22"/>
                              </w:rPr>
                              <w:t>of the qualitative data will be informed by grounded theory and principles of content analysis, including constant comparative methods. Qualitative data will be coded and grouped by thematic categories.</w:t>
                            </w:r>
                            <w:bookmarkEnd w:id="2"/>
                            <w:r>
                              <w:rPr>
                                <w:sz w:val="22"/>
                                <w:szCs w:val="22"/>
                              </w:rPr>
                              <w:t xml:space="preserve"> </w:t>
                            </w:r>
                            <w:r w:rsidRPr="00EE402E">
                              <w:rPr>
                                <w:sz w:val="22"/>
                                <w:szCs w:val="22"/>
                              </w:rPr>
                              <w:t>Routine customer feedback data will be collected via online surveys, in-person surveys, focus groups, usability testing, customer comment cards, and other observational methods.</w:t>
                            </w:r>
                          </w:p>
                          <w:p w:rsidR="00AF084B" w:rsidRPr="00AF084B" w:rsidP="000B5579" w14:textId="74426E79">
                            <w:pPr>
                              <w:pStyle w:val="ListParagraph"/>
                              <w:numPr>
                                <w:ilvl w:val="0"/>
                                <w:numId w:val="34"/>
                              </w:numPr>
                              <w:spacing w:before="120"/>
                              <w:contextualSpacing w:val="0"/>
                            </w:pPr>
                            <w:r>
                              <w:rPr>
                                <w:sz w:val="22"/>
                                <w:szCs w:val="22"/>
                              </w:rPr>
                              <w:t xml:space="preserve">In addition to submission of the instruments utilized, all collections submitted under this generic pathway will also include a </w:t>
                            </w:r>
                            <w:r w:rsidR="00EE402E">
                              <w:rPr>
                                <w:sz w:val="22"/>
                                <w:szCs w:val="22"/>
                              </w:rPr>
                              <w:t>completed Customer Service GenIC Clearance Template (</w:t>
                            </w:r>
                            <w:r w:rsidRPr="00EE402E" w:rsidR="00EE402E">
                              <w:rPr>
                                <w:b/>
                                <w:bCs/>
                                <w:sz w:val="22"/>
                                <w:szCs w:val="22"/>
                              </w:rPr>
                              <w:t>Att 3</w:t>
                            </w:r>
                            <w:r w:rsidR="00EE402E">
                              <w:rPr>
                                <w:sz w:val="22"/>
                                <w:szCs w:val="22"/>
                              </w:rPr>
                              <w:t xml:space="preserve">), as well as a </w:t>
                            </w:r>
                            <w:r>
                              <w:rPr>
                                <w:sz w:val="22"/>
                                <w:szCs w:val="22"/>
                              </w:rPr>
                              <w:t xml:space="preserve">full </w:t>
                            </w:r>
                            <w:r w:rsidR="00EE402E">
                              <w:rPr>
                                <w:sz w:val="22"/>
                                <w:szCs w:val="22"/>
                              </w:rPr>
                              <w:t>S</w:t>
                            </w:r>
                            <w:r>
                              <w:rPr>
                                <w:sz w:val="22"/>
                                <w:szCs w:val="22"/>
                              </w:rPr>
                              <w:t xml:space="preserve">upporting </w:t>
                            </w:r>
                            <w:r w:rsidR="00EE402E">
                              <w:rPr>
                                <w:sz w:val="22"/>
                                <w:szCs w:val="22"/>
                              </w:rPr>
                              <w:t>S</w:t>
                            </w:r>
                            <w:r>
                              <w:rPr>
                                <w:sz w:val="22"/>
                                <w:szCs w:val="22"/>
                              </w:rPr>
                              <w:t xml:space="preserve">tatement Part A that describes the tool/method/intervention under development, identifies the targeted respondent populations, includes a justification for any incentives offered, assesses </w:t>
                            </w:r>
                            <w:r w:rsidR="00867875">
                              <w:rPr>
                                <w:sz w:val="22"/>
                                <w:szCs w:val="22"/>
                              </w:rPr>
                              <w:t xml:space="preserve">the </w:t>
                            </w:r>
                            <w:r>
                              <w:rPr>
                                <w:sz w:val="22"/>
                                <w:szCs w:val="22"/>
                              </w:rPr>
                              <w:t>applicability of the Privacy Act and includ</w:t>
                            </w:r>
                            <w:r w:rsidR="00867875">
                              <w:rPr>
                                <w:sz w:val="22"/>
                                <w:szCs w:val="22"/>
                              </w:rPr>
                              <w:t>ing</w:t>
                            </w:r>
                            <w:r>
                              <w:rPr>
                                <w:sz w:val="22"/>
                                <w:szCs w:val="22"/>
                              </w:rPr>
                              <w:t xml:space="preserve"> a </w:t>
                            </w:r>
                            <w:r w:rsidR="00867875">
                              <w:rPr>
                                <w:sz w:val="22"/>
                                <w:szCs w:val="22"/>
                              </w:rPr>
                              <w:t xml:space="preserve">comprehensive </w:t>
                            </w:r>
                            <w:r>
                              <w:rPr>
                                <w:sz w:val="22"/>
                                <w:szCs w:val="22"/>
                              </w:rPr>
                              <w:t xml:space="preserve">Privacy Impact Assessment if necessary, and an accompanying Supporting Statement Part B if any statistical methods are employed for sampling or analyses in the study. </w:t>
                            </w:r>
                          </w:p>
                          <w:p w:rsidR="000B5579" w:rsidRPr="00874CD6" w:rsidP="000B5579" w14:textId="77777777">
                            <w:pPr>
                              <w:pStyle w:val="ListParagraph"/>
                              <w:numPr>
                                <w:ilvl w:val="0"/>
                                <w:numId w:val="34"/>
                              </w:numPr>
                              <w:spacing w:before="120"/>
                              <w:contextualSpacing w:val="0"/>
                            </w:pPr>
                            <w:r>
                              <w:t>O</w:t>
                            </w:r>
                            <w:r w:rsidRPr="000B5579">
                              <w:rPr>
                                <w:sz w:val="22"/>
                                <w:szCs w:val="22"/>
                              </w:rPr>
                              <w:t xml:space="preserve">utcomes collected under this generic pathway are intended for internal </w:t>
                            </w:r>
                            <w:r w:rsidR="00AF084B">
                              <w:rPr>
                                <w:sz w:val="22"/>
                                <w:szCs w:val="22"/>
                              </w:rPr>
                              <w:t>CDC/</w:t>
                            </w:r>
                            <w:r w:rsidRPr="000B5579">
                              <w:rPr>
                                <w:sz w:val="22"/>
                                <w:szCs w:val="22"/>
                              </w:rPr>
                              <w:t>ATSDR use only and will not be generalized beyond the scope of each study or to broader populations.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1.05pt;height:513.65pt;margin-top:13.15pt;margin-left:-25.8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2F5077" w:rsidRPr="00896231" w:rsidP="00896231" w14:paraId="4293A5A4" w14:textId="33AE2753">
                      <w:pPr>
                        <w:pStyle w:val="ListParagraph"/>
                        <w:numPr>
                          <w:ilvl w:val="0"/>
                          <w:numId w:val="34"/>
                        </w:numPr>
                        <w:spacing w:before="120"/>
                        <w:contextualSpacing w:val="0"/>
                        <w:rPr>
                          <w:sz w:val="22"/>
                          <w:szCs w:val="22"/>
                        </w:rPr>
                      </w:pPr>
                      <w:r w:rsidRPr="00896231">
                        <w:rPr>
                          <w:sz w:val="22"/>
                          <w:szCs w:val="22"/>
                        </w:rPr>
                        <w:t>The goal of th</w:t>
                      </w:r>
                      <w:r>
                        <w:rPr>
                          <w:sz w:val="22"/>
                          <w:szCs w:val="22"/>
                        </w:rPr>
                        <w:t xml:space="preserve">is </w:t>
                      </w:r>
                      <w:r w:rsidR="00CA572A">
                        <w:rPr>
                          <w:sz w:val="22"/>
                          <w:szCs w:val="22"/>
                        </w:rPr>
                        <w:t xml:space="preserve">extension to the </w:t>
                      </w:r>
                      <w:r>
                        <w:rPr>
                          <w:sz w:val="22"/>
                          <w:szCs w:val="22"/>
                        </w:rPr>
                        <w:t>generic information collection request</w:t>
                      </w:r>
                      <w:r w:rsidRPr="00896231">
                        <w:rPr>
                          <w:sz w:val="22"/>
                          <w:szCs w:val="22"/>
                        </w:rPr>
                        <w:t xml:space="preserve"> is to </w:t>
                      </w:r>
                      <w:r w:rsidRPr="00DF3E75" w:rsidR="00DF3E75">
                        <w:rPr>
                          <w:sz w:val="22"/>
                          <w:szCs w:val="22"/>
                        </w:rPr>
                        <w:t>enable and facilitate the CDC’s collection and internal processing of customer and partner feedback in an efficient, timely manner. This extension request to the Generic Clearance for the Collection of Qualitative Feedback on Agency Service Delivery aligns with CDC’s commitment to improving service delivery.</w:t>
                      </w:r>
                    </w:p>
                    <w:p w:rsidR="002F5077" w:rsidRPr="00896231" w:rsidP="00896231" w14:paraId="67CC1E9A" w14:textId="488C0C08">
                      <w:pPr>
                        <w:pStyle w:val="ListParagraph"/>
                        <w:numPr>
                          <w:ilvl w:val="0"/>
                          <w:numId w:val="34"/>
                        </w:numPr>
                        <w:spacing w:before="120"/>
                        <w:contextualSpacing w:val="0"/>
                        <w:rPr>
                          <w:sz w:val="22"/>
                          <w:szCs w:val="22"/>
                        </w:rPr>
                      </w:pPr>
                      <w:r w:rsidRPr="00DF3E75">
                        <w:rPr>
                          <w:sz w:val="22"/>
                          <w:szCs w:val="22"/>
                        </w:rPr>
                        <w:t xml:space="preserve">The resulting data will be used </w:t>
                      </w:r>
                      <w:bookmarkStart w:id="0" w:name="_Hlk94624119"/>
                      <w:r w:rsidRPr="00DF3E75">
                        <w:rPr>
                          <w:sz w:val="22"/>
                          <w:szCs w:val="22"/>
                        </w:rPr>
                        <w:t xml:space="preserve">to </w:t>
                      </w:r>
                      <w:bookmarkStart w:id="1" w:name="_Hlk219463619"/>
                      <w:r w:rsidRPr="00DF3E75">
                        <w:rPr>
                          <w:sz w:val="22"/>
                          <w:szCs w:val="22"/>
                        </w:rPr>
                        <w:t>monitor and improve the CDC’s agency and Center program delivery</w:t>
                      </w:r>
                      <w:bookmarkEnd w:id="0"/>
                      <w:r w:rsidRPr="00DF3E75">
                        <w:rPr>
                          <w:sz w:val="22"/>
                          <w:szCs w:val="22"/>
                        </w:rPr>
                        <w:t xml:space="preserve">. </w:t>
                      </w:r>
                      <w:bookmarkEnd w:id="1"/>
                      <w:r w:rsidRPr="00896231">
                        <w:rPr>
                          <w:sz w:val="22"/>
                          <w:szCs w:val="22"/>
                        </w:rPr>
                        <w:t xml:space="preserve">The methods used to collect the information will </w:t>
                      </w:r>
                      <w:r>
                        <w:rPr>
                          <w:sz w:val="22"/>
                          <w:szCs w:val="22"/>
                        </w:rPr>
                        <w:t>include</w:t>
                      </w:r>
                      <w:r w:rsidRPr="00896231">
                        <w:rPr>
                          <w:sz w:val="22"/>
                          <w:szCs w:val="22"/>
                        </w:rPr>
                        <w:t xml:space="preserve"> </w:t>
                      </w:r>
                      <w:r>
                        <w:rPr>
                          <w:sz w:val="22"/>
                          <w:szCs w:val="22"/>
                        </w:rPr>
                        <w:t>q</w:t>
                      </w:r>
                      <w:r w:rsidRPr="00896231">
                        <w:rPr>
                          <w:sz w:val="22"/>
                          <w:szCs w:val="22"/>
                        </w:rPr>
                        <w:t>ualitative interview</w:t>
                      </w:r>
                      <w:r>
                        <w:rPr>
                          <w:sz w:val="22"/>
                          <w:szCs w:val="22"/>
                        </w:rPr>
                        <w:t>s</w:t>
                      </w:r>
                      <w:r w:rsidRPr="00896231">
                        <w:rPr>
                          <w:sz w:val="22"/>
                          <w:szCs w:val="22"/>
                        </w:rPr>
                        <w:t xml:space="preserve">, cognitive and in-depth interviews among the consumer clients or the implementers </w:t>
                      </w:r>
                      <w:r w:rsidR="00867875">
                        <w:rPr>
                          <w:sz w:val="22"/>
                          <w:szCs w:val="22"/>
                        </w:rPr>
                        <w:t>–</w:t>
                      </w:r>
                      <w:r w:rsidRPr="00896231">
                        <w:rPr>
                          <w:sz w:val="22"/>
                          <w:szCs w:val="22"/>
                        </w:rPr>
                        <w:t xml:space="preserve"> individual interviews or focus group interviews, methodological research, usability testing of technology-based instruments and materials, field testing of new methodologies and materials and or testing of </w:t>
                      </w:r>
                      <w:r w:rsidRPr="00867875" w:rsidR="00867875">
                        <w:rPr>
                          <w:sz w:val="22"/>
                          <w:szCs w:val="22"/>
                        </w:rPr>
                        <w:t>mental models approach to risk communication</w:t>
                      </w:r>
                      <w:r w:rsidRPr="00896231">
                        <w:rPr>
                          <w:sz w:val="22"/>
                          <w:szCs w:val="22"/>
                        </w:rPr>
                        <w:t xml:space="preserve">. </w:t>
                      </w:r>
                    </w:p>
                    <w:p w:rsidR="002F5077" w:rsidRPr="00896231" w:rsidP="007A3CF4" w14:paraId="1CBEE23F" w14:textId="6B6C0DF8">
                      <w:pPr>
                        <w:pStyle w:val="ListParagraph"/>
                        <w:numPr>
                          <w:ilvl w:val="0"/>
                          <w:numId w:val="34"/>
                        </w:numPr>
                        <w:spacing w:before="120"/>
                        <w:contextualSpacing w:val="0"/>
                        <w:rPr>
                          <w:sz w:val="22"/>
                          <w:szCs w:val="22"/>
                        </w:rPr>
                      </w:pPr>
                      <w:r>
                        <w:rPr>
                          <w:sz w:val="22"/>
                          <w:szCs w:val="22"/>
                        </w:rPr>
                        <w:t xml:space="preserve">Specific populations will vary for each approved Generic IC submission under this Generic Clearance. Broadly, respondents include persons in </w:t>
                      </w:r>
                      <w:r w:rsidRPr="00896231">
                        <w:rPr>
                          <w:sz w:val="22"/>
                          <w:szCs w:val="22"/>
                        </w:rPr>
                        <w:t>the general population</w:t>
                      </w:r>
                      <w:r>
                        <w:rPr>
                          <w:sz w:val="22"/>
                          <w:szCs w:val="22"/>
                        </w:rPr>
                        <w:t xml:space="preserve"> or from specific subpopulations</w:t>
                      </w:r>
                      <w:r w:rsidRPr="00896231">
                        <w:rPr>
                          <w:sz w:val="22"/>
                          <w:szCs w:val="22"/>
                        </w:rPr>
                        <w:t>,</w:t>
                      </w:r>
                      <w:r>
                        <w:rPr>
                          <w:sz w:val="22"/>
                          <w:szCs w:val="22"/>
                        </w:rPr>
                        <w:t xml:space="preserve"> such as </w:t>
                      </w:r>
                      <w:r w:rsidRPr="002C2D2E">
                        <w:rPr>
                          <w:sz w:val="22"/>
                          <w:szCs w:val="22"/>
                        </w:rPr>
                        <w:t>persons with or at risk for certain medical conditions</w:t>
                      </w:r>
                      <w:r>
                        <w:rPr>
                          <w:sz w:val="22"/>
                          <w:szCs w:val="22"/>
                        </w:rPr>
                        <w:t>, adolescents and/or</w:t>
                      </w:r>
                      <w:r w:rsidRPr="00896231">
                        <w:rPr>
                          <w:sz w:val="22"/>
                          <w:szCs w:val="22"/>
                        </w:rPr>
                        <w:t xml:space="preserve"> adults</w:t>
                      </w:r>
                      <w:r>
                        <w:rPr>
                          <w:sz w:val="22"/>
                          <w:szCs w:val="22"/>
                        </w:rPr>
                        <w:t xml:space="preserve">, </w:t>
                      </w:r>
                      <w:r w:rsidR="00867875">
                        <w:rPr>
                          <w:sz w:val="22"/>
                          <w:szCs w:val="22"/>
                        </w:rPr>
                        <w:t xml:space="preserve">persons of minority populations, </w:t>
                      </w:r>
                      <w:r>
                        <w:rPr>
                          <w:sz w:val="22"/>
                          <w:szCs w:val="22"/>
                        </w:rPr>
                        <w:t xml:space="preserve">persons of specific </w:t>
                      </w:r>
                      <w:r w:rsidRPr="00896231">
                        <w:rPr>
                          <w:sz w:val="22"/>
                          <w:szCs w:val="22"/>
                        </w:rPr>
                        <w:t>race</w:t>
                      </w:r>
                      <w:r>
                        <w:rPr>
                          <w:sz w:val="22"/>
                          <w:szCs w:val="22"/>
                        </w:rPr>
                        <w:t>s/ethnicities,</w:t>
                      </w:r>
                      <w:r w:rsidRPr="007A3CF4">
                        <w:t xml:space="preserve"> </w:t>
                      </w:r>
                      <w:r>
                        <w:t xml:space="preserve">and </w:t>
                      </w:r>
                      <w:r w:rsidRPr="007A3CF4">
                        <w:rPr>
                          <w:sz w:val="22"/>
                          <w:szCs w:val="22"/>
                        </w:rPr>
                        <w:t xml:space="preserve">persons residing in rural and/or urban locations, and/or in specific regions or health jurisdictions.  </w:t>
                      </w:r>
                      <w:r w:rsidRPr="00896231">
                        <w:rPr>
                          <w:sz w:val="22"/>
                          <w:szCs w:val="22"/>
                        </w:rPr>
                        <w:t>Other respondents</w:t>
                      </w:r>
                      <w:r>
                        <w:rPr>
                          <w:sz w:val="22"/>
                          <w:szCs w:val="22"/>
                        </w:rPr>
                        <w:t xml:space="preserve"> may</w:t>
                      </w:r>
                      <w:r w:rsidRPr="00896231">
                        <w:rPr>
                          <w:sz w:val="22"/>
                          <w:szCs w:val="22"/>
                        </w:rPr>
                        <w:t xml:space="preserve"> include health care providers, health department personnel and others engaged in </w:t>
                      </w:r>
                      <w:r>
                        <w:rPr>
                          <w:sz w:val="22"/>
                          <w:szCs w:val="22"/>
                        </w:rPr>
                        <w:t xml:space="preserve">public health </w:t>
                      </w:r>
                      <w:r w:rsidRPr="00896231">
                        <w:rPr>
                          <w:sz w:val="22"/>
                          <w:szCs w:val="22"/>
                        </w:rPr>
                        <w:t>activities</w:t>
                      </w:r>
                      <w:r>
                        <w:rPr>
                          <w:sz w:val="22"/>
                          <w:szCs w:val="22"/>
                        </w:rPr>
                        <w:t xml:space="preserve"> promoted by CDC</w:t>
                      </w:r>
                      <w:r w:rsidRPr="00896231">
                        <w:rPr>
                          <w:sz w:val="22"/>
                          <w:szCs w:val="22"/>
                        </w:rPr>
                        <w:t>.</w:t>
                      </w:r>
                      <w:r w:rsidRPr="002C2D2E">
                        <w:t xml:space="preserve"> </w:t>
                      </w:r>
                    </w:p>
                    <w:p w:rsidR="00EE402E" w:rsidRPr="00AF084B" w:rsidP="000B5579" w14:paraId="436A5D44" w14:textId="3126DA4D">
                      <w:pPr>
                        <w:pStyle w:val="ListParagraph"/>
                        <w:numPr>
                          <w:ilvl w:val="0"/>
                          <w:numId w:val="34"/>
                        </w:numPr>
                        <w:spacing w:before="120"/>
                        <w:contextualSpacing w:val="0"/>
                      </w:pPr>
                      <w:r w:rsidRPr="00EE402E">
                        <w:rPr>
                          <w:sz w:val="22"/>
                          <w:szCs w:val="22"/>
                        </w:rPr>
                        <w:t xml:space="preserve">While specific methods will vary for each approved GenIC, broad analyses </w:t>
                      </w:r>
                      <w:bookmarkStart w:id="2" w:name="_Hlk220496305"/>
                      <w:r w:rsidRPr="00EE402E">
                        <w:rPr>
                          <w:sz w:val="22"/>
                          <w:szCs w:val="22"/>
                        </w:rPr>
                        <w:t>of the qualitative data will be informed by grounded theory and principles of content analysis, including constant comparative methods. Qualitative data will be coded and grouped by thematic categories.</w:t>
                      </w:r>
                      <w:bookmarkEnd w:id="2"/>
                      <w:r>
                        <w:rPr>
                          <w:sz w:val="22"/>
                          <w:szCs w:val="22"/>
                        </w:rPr>
                        <w:t xml:space="preserve"> </w:t>
                      </w:r>
                      <w:r w:rsidRPr="00EE402E">
                        <w:rPr>
                          <w:sz w:val="22"/>
                          <w:szCs w:val="22"/>
                        </w:rPr>
                        <w:t>Routine customer feedback data will be collected via online surveys, in-person surveys, focus groups, usability testing, customer comment cards, and other observational methods.</w:t>
                      </w:r>
                    </w:p>
                    <w:p w:rsidR="00AF084B" w:rsidRPr="00AF084B" w:rsidP="000B5579" w14:paraId="5D110F96" w14:textId="74426E79">
                      <w:pPr>
                        <w:pStyle w:val="ListParagraph"/>
                        <w:numPr>
                          <w:ilvl w:val="0"/>
                          <w:numId w:val="34"/>
                        </w:numPr>
                        <w:spacing w:before="120"/>
                        <w:contextualSpacing w:val="0"/>
                      </w:pPr>
                      <w:r>
                        <w:rPr>
                          <w:sz w:val="22"/>
                          <w:szCs w:val="22"/>
                        </w:rPr>
                        <w:t xml:space="preserve">In addition to submission of the instruments utilized, all collections submitted under this generic pathway will also include a </w:t>
                      </w:r>
                      <w:r w:rsidR="00EE402E">
                        <w:rPr>
                          <w:sz w:val="22"/>
                          <w:szCs w:val="22"/>
                        </w:rPr>
                        <w:t>completed Customer Service GenIC Clearance Template (</w:t>
                      </w:r>
                      <w:r w:rsidRPr="00EE402E" w:rsidR="00EE402E">
                        <w:rPr>
                          <w:b/>
                          <w:bCs/>
                          <w:sz w:val="22"/>
                          <w:szCs w:val="22"/>
                        </w:rPr>
                        <w:t>Att 3</w:t>
                      </w:r>
                      <w:r w:rsidR="00EE402E">
                        <w:rPr>
                          <w:sz w:val="22"/>
                          <w:szCs w:val="22"/>
                        </w:rPr>
                        <w:t xml:space="preserve">), as well as a </w:t>
                      </w:r>
                      <w:r>
                        <w:rPr>
                          <w:sz w:val="22"/>
                          <w:szCs w:val="22"/>
                        </w:rPr>
                        <w:t xml:space="preserve">full </w:t>
                      </w:r>
                      <w:r w:rsidR="00EE402E">
                        <w:rPr>
                          <w:sz w:val="22"/>
                          <w:szCs w:val="22"/>
                        </w:rPr>
                        <w:t>S</w:t>
                      </w:r>
                      <w:r>
                        <w:rPr>
                          <w:sz w:val="22"/>
                          <w:szCs w:val="22"/>
                        </w:rPr>
                        <w:t xml:space="preserve">upporting </w:t>
                      </w:r>
                      <w:r w:rsidR="00EE402E">
                        <w:rPr>
                          <w:sz w:val="22"/>
                          <w:szCs w:val="22"/>
                        </w:rPr>
                        <w:t>S</w:t>
                      </w:r>
                      <w:r>
                        <w:rPr>
                          <w:sz w:val="22"/>
                          <w:szCs w:val="22"/>
                        </w:rPr>
                        <w:t xml:space="preserve">tatement Part A that describes the tool/method/intervention under development, identifies the targeted respondent populations, includes a justification for any incentives offered, assesses </w:t>
                      </w:r>
                      <w:r w:rsidR="00867875">
                        <w:rPr>
                          <w:sz w:val="22"/>
                          <w:szCs w:val="22"/>
                        </w:rPr>
                        <w:t xml:space="preserve">the </w:t>
                      </w:r>
                      <w:r>
                        <w:rPr>
                          <w:sz w:val="22"/>
                          <w:szCs w:val="22"/>
                        </w:rPr>
                        <w:t>applicability of the Privacy Act and includ</w:t>
                      </w:r>
                      <w:r w:rsidR="00867875">
                        <w:rPr>
                          <w:sz w:val="22"/>
                          <w:szCs w:val="22"/>
                        </w:rPr>
                        <w:t>ing</w:t>
                      </w:r>
                      <w:r>
                        <w:rPr>
                          <w:sz w:val="22"/>
                          <w:szCs w:val="22"/>
                        </w:rPr>
                        <w:t xml:space="preserve"> a </w:t>
                      </w:r>
                      <w:r w:rsidR="00867875">
                        <w:rPr>
                          <w:sz w:val="22"/>
                          <w:szCs w:val="22"/>
                        </w:rPr>
                        <w:t xml:space="preserve">comprehensive </w:t>
                      </w:r>
                      <w:r>
                        <w:rPr>
                          <w:sz w:val="22"/>
                          <w:szCs w:val="22"/>
                        </w:rPr>
                        <w:t>Privacy Impact Assessment if necessary, and an accompanying Supporting Statement Part B if any statistical methods are employed for sampling or analyses in the study</w:t>
                      </w:r>
                      <w:r>
                        <w:rPr>
                          <w:sz w:val="22"/>
                          <w:szCs w:val="22"/>
                        </w:rPr>
                        <w:t xml:space="preserve">. </w:t>
                      </w:r>
                    </w:p>
                    <w:p w:rsidR="000B5579" w:rsidRPr="00874CD6" w:rsidP="000B5579" w14:paraId="728FDDA8" w14:textId="77777777">
                      <w:pPr>
                        <w:pStyle w:val="ListParagraph"/>
                        <w:numPr>
                          <w:ilvl w:val="0"/>
                          <w:numId w:val="34"/>
                        </w:numPr>
                        <w:spacing w:before="120"/>
                        <w:contextualSpacing w:val="0"/>
                      </w:pPr>
                      <w:r>
                        <w:t>O</w:t>
                      </w:r>
                      <w:r w:rsidRPr="000B5579">
                        <w:rPr>
                          <w:sz w:val="22"/>
                          <w:szCs w:val="22"/>
                        </w:rPr>
                        <w:t xml:space="preserve">utcomes collected under this generic pathway are intended for internal </w:t>
                      </w:r>
                      <w:r w:rsidR="00AF084B">
                        <w:rPr>
                          <w:sz w:val="22"/>
                          <w:szCs w:val="22"/>
                        </w:rPr>
                        <w:t>CDC/</w:t>
                      </w:r>
                      <w:r w:rsidRPr="000B5579">
                        <w:rPr>
                          <w:sz w:val="22"/>
                          <w:szCs w:val="22"/>
                        </w:rPr>
                        <w:t>ATSDR use only and will not be generalized beyond the scope of each study or to broader populations.</w:t>
                      </w:r>
                    </w:p>
                  </w:txbxContent>
                </v:textbox>
              </v:shape>
            </w:pict>
          </mc:Fallback>
        </mc:AlternateContent>
      </w:r>
      <w:r w:rsidRPr="00022A54" w:rsidR="000B3F98">
        <w:fldChar w:fldCharType="end"/>
      </w:r>
    </w:p>
    <w:p w:rsidR="0092767B" w:rsidP="0092767B" w14:paraId="65FAA208" w14:textId="77777777">
      <w:pPr>
        <w:rPr>
          <w:rFonts w:ascii="Courier New" w:hAnsi="Courier New" w:cs="Courier New"/>
          <w:b/>
        </w:rPr>
      </w:pPr>
    </w:p>
    <w:p w:rsidR="0092767B" w:rsidP="0092767B" w14:paraId="5B26F67B" w14:textId="77777777">
      <w:pPr>
        <w:rPr>
          <w:rFonts w:ascii="Courier New" w:hAnsi="Courier New" w:cs="Courier New"/>
          <w:b/>
        </w:rPr>
      </w:pPr>
    </w:p>
    <w:p w:rsidR="0092767B" w:rsidP="0092767B" w14:paraId="00CAA3E8" w14:textId="77777777">
      <w:pPr>
        <w:rPr>
          <w:rFonts w:ascii="Courier New" w:hAnsi="Courier New" w:cs="Courier New"/>
          <w:b/>
        </w:rPr>
      </w:pPr>
    </w:p>
    <w:p w:rsidR="0092767B" w:rsidP="0092767B" w14:paraId="78FE98E0" w14:textId="77777777">
      <w:pPr>
        <w:rPr>
          <w:rFonts w:ascii="Courier New" w:hAnsi="Courier New" w:cs="Courier New"/>
          <w:b/>
        </w:rPr>
      </w:pPr>
    </w:p>
    <w:p w:rsidR="0092767B" w:rsidP="0092767B" w14:paraId="5A3BBFE9" w14:textId="77777777">
      <w:pPr>
        <w:rPr>
          <w:rFonts w:ascii="Courier New" w:hAnsi="Courier New" w:cs="Courier New"/>
          <w:b/>
        </w:rPr>
      </w:pPr>
    </w:p>
    <w:p w:rsidR="0092767B" w:rsidP="0092767B" w14:paraId="413E40A9" w14:textId="77777777">
      <w:pPr>
        <w:rPr>
          <w:rFonts w:ascii="Courier New" w:hAnsi="Courier New" w:cs="Courier New"/>
          <w:b/>
        </w:rPr>
      </w:pPr>
    </w:p>
    <w:p w:rsidR="0092767B" w:rsidP="0092767B" w14:paraId="0C436645" w14:textId="77777777">
      <w:pPr>
        <w:rPr>
          <w:rFonts w:ascii="Courier New" w:hAnsi="Courier New" w:cs="Courier New"/>
          <w:b/>
        </w:rPr>
      </w:pPr>
    </w:p>
    <w:p w:rsidR="0092767B" w:rsidP="0092767B" w14:paraId="10B71480" w14:textId="77777777">
      <w:pPr>
        <w:rPr>
          <w:rFonts w:ascii="Courier New" w:hAnsi="Courier New" w:cs="Courier New"/>
          <w:b/>
        </w:rPr>
      </w:pPr>
    </w:p>
    <w:p w:rsidR="0092767B" w:rsidP="0092767B" w14:paraId="5A9A2526" w14:textId="77777777">
      <w:pPr>
        <w:rPr>
          <w:rFonts w:ascii="Courier New" w:hAnsi="Courier New" w:cs="Courier New"/>
          <w:b/>
        </w:rPr>
      </w:pPr>
    </w:p>
    <w:p w:rsidR="00662F81" w:rsidRPr="00022A54" w:rsidP="00662F81" w14:paraId="66901AEA" w14:textId="77777777">
      <w:pPr>
        <w:tabs>
          <w:tab w:val="left" w:pos="-1440"/>
        </w:tabs>
        <w:ind w:left="720" w:hanging="720"/>
        <w:rPr>
          <w:b/>
          <w:bCs/>
        </w:rPr>
      </w:pPr>
      <w:r>
        <w:rPr>
          <w:b/>
          <w:bCs/>
        </w:rPr>
        <w:br w:type="page"/>
      </w:r>
      <w:r w:rsidRPr="00022A54">
        <w:rPr>
          <w:b/>
          <w:bCs/>
        </w:rPr>
        <w:t>A.</w:t>
      </w:r>
      <w:r w:rsidRPr="00022A54">
        <w:rPr>
          <w:b/>
          <w:bCs/>
        </w:rPr>
        <w:tab/>
        <w:t>JUSTIFICATION</w:t>
      </w:r>
    </w:p>
    <w:p w:rsidR="00662F81" w:rsidRPr="00022A54" w:rsidP="00662F81" w14:paraId="4165635E" w14:textId="77777777">
      <w:pPr>
        <w:tabs>
          <w:tab w:val="left" w:pos="-1440"/>
        </w:tabs>
        <w:ind w:left="720" w:hanging="720"/>
        <w:rPr>
          <w:b/>
          <w:bCs/>
          <w:u w:val="single"/>
        </w:rPr>
      </w:pPr>
      <w:r w:rsidRPr="00022A54">
        <w:rPr>
          <w:b/>
          <w:bCs/>
        </w:rPr>
        <w:t>1</w:t>
      </w:r>
      <w:r w:rsidR="004C5BF8">
        <w:rPr>
          <w:b/>
          <w:bCs/>
        </w:rPr>
        <w:t xml:space="preserve">. </w:t>
      </w:r>
      <w:r w:rsidRPr="00022A54">
        <w:rPr>
          <w:b/>
          <w:bCs/>
        </w:rPr>
        <w:t>Circumstances Making the Collection of Information Necessary</w:t>
      </w:r>
    </w:p>
    <w:p w:rsidR="00800C22" w:rsidP="00D357B4" w14:paraId="00CBA4BF" w14:textId="67DE147D">
      <w:pPr>
        <w:spacing w:after="0"/>
        <w:ind w:left="0" w:firstLine="0"/>
      </w:pPr>
      <w:bookmarkStart w:id="3" w:name="OLE_LINK5"/>
      <w:bookmarkStart w:id="4" w:name="OLE_LINK6"/>
      <w:r w:rsidRPr="00423563">
        <w:t>The Centers for Disease Control and Prevention (CDC), National Center for HIV, Viral Hepatitis, STD, and TB Prevention (NCHHSTP) requests a three-year extension to the previously OMB approved Generic Clearance information collection request (ICR) entitled, “</w:t>
      </w:r>
      <w:r w:rsidRPr="00423563">
        <w:rPr>
          <w:i/>
        </w:rPr>
        <w:t>Generic Clearance for the Collection of Qualitative Feedback on Agency Service Delivery</w:t>
      </w:r>
      <w:r w:rsidRPr="00423563">
        <w:t>” (OMB #: 0920-1027, exp. 06/30/2026).</w:t>
      </w:r>
      <w:r>
        <w:t xml:space="preserve"> </w:t>
      </w:r>
    </w:p>
    <w:p w:rsidR="00423563" w:rsidRPr="00022A54" w:rsidP="00D357B4" w14:paraId="187DE7FF" w14:textId="77777777">
      <w:pPr>
        <w:spacing w:after="0"/>
        <w:ind w:left="0" w:firstLine="0"/>
      </w:pPr>
    </w:p>
    <w:p w:rsidR="003D5E97" w:rsidP="00423563" w14:paraId="384B6880" w14:textId="77777777">
      <w:pPr>
        <w:ind w:left="0" w:firstLine="0"/>
        <w:rPr>
          <w:rFonts w:eastAsiaTheme="minorHAnsi"/>
          <w:bCs/>
          <w:iCs/>
          <w:color w:val="000000"/>
        </w:rPr>
      </w:pPr>
      <w:r w:rsidRPr="00423563">
        <w:t>This information collection is authorized by Section 301 of the Public Health Service Act (42 U.S. Code, Sec. 241(</w:t>
      </w:r>
      <w:r w:rsidRPr="00423563">
        <w:rPr>
          <w:b/>
          <w:bCs/>
        </w:rPr>
        <w:t>Att 1a</w:t>
      </w:r>
      <w:r w:rsidRPr="00423563">
        <w:t>) and Executive Order 12862 (</w:t>
      </w:r>
      <w:r w:rsidRPr="00423563">
        <w:rPr>
          <w:b/>
          <w:bCs/>
        </w:rPr>
        <w:t>Att 1b</w:t>
      </w:r>
      <w:r w:rsidRPr="00423563">
        <w:t xml:space="preserve">). </w:t>
      </w:r>
      <w:r w:rsidRPr="00423563">
        <w:rPr>
          <w:bCs/>
          <w:iCs/>
        </w:rPr>
        <w:t xml:space="preserve">Executive Order 12862 directs Federal agencies to provide service to the public that matches or exceeds the best service available in the private sector. </w:t>
      </w:r>
      <w:bookmarkStart w:id="5" w:name="_Hlk220495053"/>
      <w:r w:rsidRPr="00423563">
        <w:rPr>
          <w:bCs/>
          <w:iCs/>
        </w:rPr>
        <w:t xml:space="preserve">As a means of ensuring our programs are effective and meet our customers’ needs, the CDC/NCHHSTP (hereafter “the Agency”) utilizes this generic clearance to collect qualitative feedback on our service delivery.  For the purposes of this Generic Clearance, qualitative feedback means information that provides useful insights on perceptions and </w:t>
      </w:r>
      <w:r w:rsidRPr="00423563">
        <w:rPr>
          <w:bCs/>
          <w:iCs/>
        </w:rPr>
        <w:t>opinions but</w:t>
      </w:r>
      <w:r w:rsidRPr="00423563">
        <w:rPr>
          <w:bCs/>
          <w:iCs/>
        </w:rPr>
        <w:t xml:space="preserve"> are not statistical surveys yield</w:t>
      </w:r>
      <w:r>
        <w:rPr>
          <w:bCs/>
          <w:iCs/>
        </w:rPr>
        <w:t>ing</w:t>
      </w:r>
      <w:r w:rsidRPr="00423563">
        <w:rPr>
          <w:bCs/>
          <w:iCs/>
        </w:rPr>
        <w:t xml:space="preserve"> quantitative results that can be generalized to the population of study.</w:t>
      </w:r>
      <w:r w:rsidRPr="003D5E97">
        <w:rPr>
          <w:rFonts w:eastAsiaTheme="minorHAnsi"/>
          <w:bCs/>
          <w:iCs/>
          <w:color w:val="000000"/>
        </w:rPr>
        <w:t xml:space="preserve"> </w:t>
      </w:r>
    </w:p>
    <w:p w:rsidR="003D5E97" w:rsidRPr="003D5E97" w:rsidP="003D5E97" w14:paraId="3955435A" w14:textId="0AF18478">
      <w:pPr>
        <w:ind w:left="0" w:firstLine="0"/>
        <w:rPr>
          <w:bCs/>
          <w:iCs/>
        </w:rPr>
      </w:pPr>
      <w:r w:rsidRPr="003D5E97">
        <w:rPr>
          <w:bCs/>
          <w:iCs/>
        </w:rPr>
        <w:t>This collection of information is necessary for the Agency to gather customer and interest holder feedback in an efficient, timely manner, in accordance with our commitment to improving service delivery, enhancing public trust, and prioritizing Gold Standard Science. Qualitative data collected from our customers and partners helps CDC ensure that they have effective, efficient, and satisfying experiences with the Agency’s programs. This feedback provides valuable insights into customer or partner perceptions, experiences and expectations, provides an early warning of service and/or quality issues, and focuses attention on areas where communication, training, or operational adjustments might improve delivery of products or services. These collections are a useful tool in facilitating ongoing, collaborative, actionable communication between the Agency and its customers and interest holders.  Such feedback contributes directly to improving CDC’s program management efforts.</w:t>
      </w:r>
      <w:r>
        <w:rPr>
          <w:bCs/>
          <w:iCs/>
        </w:rPr>
        <w:t xml:space="preserve"> </w:t>
      </w:r>
      <w:r w:rsidRPr="003D5E97">
        <w:rPr>
          <w:bCs/>
          <w:iCs/>
        </w:rPr>
        <w:t>In the previous 3-year approval period, the Center used 3</w:t>
      </w:r>
      <w:r>
        <w:rPr>
          <w:bCs/>
          <w:iCs/>
        </w:rPr>
        <w:t>50</w:t>
      </w:r>
      <w:r w:rsidRPr="003D5E97">
        <w:rPr>
          <w:bCs/>
          <w:iCs/>
        </w:rPr>
        <w:t xml:space="preserve"> burden hours over 8 collection activities. However, we anticipate more robust usage of this mechanism over the next three years due to CDC’s renewed emphasis on public trust and accountability, prioritization of Gold Standard Science, and recommitment to high quality customer and interest holder experiences. </w:t>
      </w:r>
    </w:p>
    <w:p w:rsidR="00423563" w:rsidRPr="00423563" w:rsidP="00423563" w14:paraId="1BB5B6B4" w14:textId="1705A452">
      <w:pPr>
        <w:ind w:left="0" w:firstLine="0"/>
        <w:rPr>
          <w:bCs/>
          <w:iCs/>
        </w:rPr>
      </w:pPr>
    </w:p>
    <w:bookmarkEnd w:id="3"/>
    <w:bookmarkEnd w:id="4"/>
    <w:bookmarkEnd w:id="5"/>
    <w:p w:rsidR="00CA1AF9" w:rsidRPr="00022A54" w:rsidP="00CA1AF9" w14:paraId="6564C4C3" w14:textId="77777777">
      <w:pPr>
        <w:tabs>
          <w:tab w:val="left" w:pos="-1440"/>
        </w:tabs>
        <w:rPr>
          <w:b/>
          <w:bCs/>
        </w:rPr>
      </w:pPr>
      <w:r w:rsidRPr="00022A54">
        <w:rPr>
          <w:b/>
          <w:bCs/>
        </w:rPr>
        <w:t>2.</w:t>
      </w:r>
      <w:r w:rsidRPr="00022A54">
        <w:rPr>
          <w:b/>
          <w:bCs/>
        </w:rPr>
        <w:tab/>
        <w:t>Purpose and Use of Information Collection</w:t>
      </w:r>
      <w:r w:rsidRPr="00022A54" w:rsidR="00726F05">
        <w:rPr>
          <w:b/>
          <w:bCs/>
        </w:rPr>
        <w:t xml:space="preserve">  </w:t>
      </w:r>
    </w:p>
    <w:p w:rsidR="001A7795" w:rsidRPr="001A7795" w:rsidP="001A7795" w14:paraId="6E4E7D37" w14:textId="77777777">
      <w:pPr>
        <w:tabs>
          <w:tab w:val="left" w:pos="-1440"/>
        </w:tabs>
        <w:ind w:left="0" w:firstLine="0"/>
        <w:rPr>
          <w:bCs/>
          <w:iCs/>
        </w:rPr>
      </w:pPr>
      <w:r w:rsidRPr="001A7795">
        <w:rPr>
          <w:bCs/>
          <w:iCs/>
        </w:rPr>
        <w:t xml:space="preserve">As with previous approvals, the Agency will only submit collections for approval under this Generic Clearance meeting the following conditions: </w:t>
      </w:r>
    </w:p>
    <w:p w:rsidR="001A7795" w:rsidRPr="001A7795" w:rsidP="001A7795" w14:paraId="54269101" w14:textId="77777777">
      <w:pPr>
        <w:tabs>
          <w:tab w:val="left" w:pos="-1440"/>
        </w:tabs>
        <w:rPr>
          <w:bCs/>
          <w:iCs/>
        </w:rPr>
      </w:pPr>
    </w:p>
    <w:p w:rsidR="001A7795" w:rsidRPr="001A7795" w:rsidP="001A7795" w14:paraId="6695AE19" w14:textId="77777777">
      <w:pPr>
        <w:numPr>
          <w:ilvl w:val="0"/>
          <w:numId w:val="39"/>
        </w:numPr>
        <w:tabs>
          <w:tab w:val="left" w:pos="-1440"/>
        </w:tabs>
        <w:rPr>
          <w:bCs/>
          <w:iCs/>
        </w:rPr>
      </w:pPr>
      <w:r w:rsidRPr="001A7795">
        <w:rPr>
          <w:bCs/>
          <w:iCs/>
        </w:rPr>
        <w:t>Information gathered is used solely on an internal basis for general service improvement and program management purposes and is not intended for release outside of the agency;</w:t>
      </w:r>
    </w:p>
    <w:p w:rsidR="001A7795" w:rsidRPr="001A7795" w:rsidP="001A7795" w14:paraId="1744F403" w14:textId="77777777">
      <w:pPr>
        <w:numPr>
          <w:ilvl w:val="0"/>
          <w:numId w:val="39"/>
        </w:numPr>
        <w:tabs>
          <w:tab w:val="left" w:pos="-1440"/>
        </w:tabs>
        <w:rPr>
          <w:bCs/>
          <w:iCs/>
        </w:rPr>
      </w:pPr>
      <w:r w:rsidRPr="001A7795">
        <w:rPr>
          <w:bCs/>
          <w:iCs/>
        </w:rPr>
        <w:t>Information gathered will not be used for the purpose of substantially informing influential policy decisions;</w:t>
      </w:r>
    </w:p>
    <w:p w:rsidR="001A7795" w:rsidRPr="001A7795" w:rsidP="001A7795" w14:paraId="4B51E564" w14:textId="77777777">
      <w:pPr>
        <w:numPr>
          <w:ilvl w:val="0"/>
          <w:numId w:val="39"/>
        </w:numPr>
        <w:tabs>
          <w:tab w:val="left" w:pos="-1440"/>
        </w:tabs>
        <w:rPr>
          <w:bCs/>
          <w:iCs/>
        </w:rPr>
      </w:pPr>
      <w:r w:rsidRPr="001A7795">
        <w:rPr>
          <w:bCs/>
          <w:iCs/>
        </w:rPr>
        <w:t xml:space="preserve">Information gathered will yield qualitative information; the collections will not be designed or expected to yield statistically reliable results or used as though the results are generalizable to the population of study;  </w:t>
      </w:r>
    </w:p>
    <w:p w:rsidR="001A7795" w:rsidRPr="001A7795" w:rsidP="001A7795" w14:paraId="1FDA000D" w14:textId="77777777">
      <w:pPr>
        <w:numPr>
          <w:ilvl w:val="0"/>
          <w:numId w:val="39"/>
        </w:numPr>
        <w:tabs>
          <w:tab w:val="left" w:pos="-1440"/>
        </w:tabs>
        <w:rPr>
          <w:bCs/>
          <w:iCs/>
        </w:rPr>
      </w:pPr>
      <w:r w:rsidRPr="001A7795">
        <w:rPr>
          <w:bCs/>
          <w:iCs/>
        </w:rPr>
        <w:t>The collections are voluntary;</w:t>
      </w:r>
    </w:p>
    <w:p w:rsidR="001A7795" w:rsidRPr="001A7795" w:rsidP="001A7795" w14:paraId="0940BA95" w14:textId="77777777">
      <w:pPr>
        <w:numPr>
          <w:ilvl w:val="0"/>
          <w:numId w:val="39"/>
        </w:numPr>
        <w:tabs>
          <w:tab w:val="left" w:pos="-1440"/>
        </w:tabs>
        <w:rPr>
          <w:bCs/>
          <w:iCs/>
        </w:rPr>
      </w:pPr>
      <w:r w:rsidRPr="001A7795">
        <w:rPr>
          <w:bCs/>
          <w:iCs/>
        </w:rPr>
        <w:t>The collections are low burden for respondents (based on considerations of total burden hours, total number of respondents, or burden hours per respondent) and are low-cost for both the respondents and the Federal Government;</w:t>
      </w:r>
    </w:p>
    <w:p w:rsidR="001A7795" w:rsidRPr="001A7795" w:rsidP="001A7795" w14:paraId="1342A107" w14:textId="77777777">
      <w:pPr>
        <w:numPr>
          <w:ilvl w:val="0"/>
          <w:numId w:val="39"/>
        </w:numPr>
        <w:tabs>
          <w:tab w:val="left" w:pos="-1440"/>
        </w:tabs>
        <w:rPr>
          <w:bCs/>
          <w:iCs/>
        </w:rPr>
      </w:pPr>
      <w:r w:rsidRPr="001A7795">
        <w:rPr>
          <w:bCs/>
          <w:iCs/>
        </w:rPr>
        <w:t xml:space="preserve">The collections are non-controversial and do not raise issues of concern to other Federal agencies; </w:t>
      </w:r>
    </w:p>
    <w:p w:rsidR="001A7795" w:rsidRPr="001A7795" w:rsidP="001A7795" w14:paraId="7E28342C" w14:textId="77777777">
      <w:pPr>
        <w:numPr>
          <w:ilvl w:val="0"/>
          <w:numId w:val="39"/>
        </w:numPr>
        <w:tabs>
          <w:tab w:val="left" w:pos="-1440"/>
        </w:tabs>
        <w:rPr>
          <w:bCs/>
          <w:iCs/>
        </w:rPr>
      </w:pPr>
      <w:r w:rsidRPr="001A7795">
        <w:rPr>
          <w:bCs/>
          <w:iCs/>
        </w:rPr>
        <w:t>Any collection is targeted to the solicitation of opinions from respondents who have experience with the program or may have experience with the program in the near future;</w:t>
      </w:r>
    </w:p>
    <w:p w:rsidR="001A7795" w:rsidRPr="001A7795" w:rsidP="001A7795" w14:paraId="676689BF" w14:textId="77777777">
      <w:pPr>
        <w:numPr>
          <w:ilvl w:val="0"/>
          <w:numId w:val="39"/>
        </w:numPr>
        <w:tabs>
          <w:tab w:val="left" w:pos="-1440"/>
        </w:tabs>
        <w:rPr>
          <w:bCs/>
          <w:iCs/>
        </w:rPr>
      </w:pPr>
      <w:r w:rsidRPr="001A7795">
        <w:rPr>
          <w:bCs/>
          <w:iCs/>
        </w:rPr>
        <w:t xml:space="preserve">Except for information needed to provide token of appreciation for focus group or key informant participants and cognitive laboratory studies, personally identifiable information (PII) is collected only to the extent necessary and is not retained. </w:t>
      </w:r>
    </w:p>
    <w:p w:rsidR="001A7795" w:rsidRPr="001A7795" w:rsidP="001A7795" w14:paraId="3E945CC6" w14:textId="29D032B5">
      <w:pPr>
        <w:tabs>
          <w:tab w:val="left" w:pos="-1440"/>
        </w:tabs>
        <w:ind w:left="0" w:firstLine="0"/>
        <w:rPr>
          <w:bCs/>
          <w:iCs/>
        </w:rPr>
      </w:pPr>
      <w:r w:rsidRPr="001A7795">
        <w:rPr>
          <w:bCs/>
          <w:iCs/>
        </w:rPr>
        <w:t>If these conditions are not met, the Agency will submit an information collection request to the Office of Management and Budget (OMB) for approval through the normal Paperwork Reduction Act (PRA) process.</w:t>
      </w:r>
    </w:p>
    <w:p w:rsidR="001A7795" w:rsidRPr="001A7795" w:rsidP="001A7795" w14:paraId="5CB7DD3D" w14:textId="77777777">
      <w:pPr>
        <w:tabs>
          <w:tab w:val="left" w:pos="-1440"/>
        </w:tabs>
        <w:rPr>
          <w:bCs/>
          <w:iCs/>
        </w:rPr>
      </w:pPr>
      <w:r w:rsidRPr="001A7795">
        <w:rPr>
          <w:bCs/>
          <w:iCs/>
        </w:rPr>
        <w:t>Collection types under this Generic Clearance include, but are not limited to:</w:t>
      </w:r>
    </w:p>
    <w:p w:rsidR="001A7795" w:rsidRPr="001A7795" w:rsidP="001A7795" w14:paraId="14AF47AD" w14:textId="77777777">
      <w:pPr>
        <w:numPr>
          <w:ilvl w:val="0"/>
          <w:numId w:val="40"/>
        </w:numPr>
        <w:tabs>
          <w:tab w:val="left" w:pos="-1440"/>
        </w:tabs>
        <w:rPr>
          <w:bCs/>
          <w:iCs/>
        </w:rPr>
      </w:pPr>
      <w:r w:rsidRPr="001A7795">
        <w:rPr>
          <w:bCs/>
          <w:iCs/>
        </w:rPr>
        <w:t>Customer comment cards/complaint forms</w:t>
      </w:r>
    </w:p>
    <w:p w:rsidR="001A7795" w:rsidRPr="001A7795" w:rsidP="001A7795" w14:paraId="235D7B83" w14:textId="77777777">
      <w:pPr>
        <w:numPr>
          <w:ilvl w:val="0"/>
          <w:numId w:val="40"/>
        </w:numPr>
        <w:tabs>
          <w:tab w:val="left" w:pos="-1440"/>
        </w:tabs>
        <w:rPr>
          <w:bCs/>
          <w:iCs/>
        </w:rPr>
      </w:pPr>
      <w:r w:rsidRPr="001A7795">
        <w:rPr>
          <w:bCs/>
          <w:iCs/>
        </w:rPr>
        <w:t>Small discussion groups</w:t>
      </w:r>
    </w:p>
    <w:p w:rsidR="001A7795" w:rsidRPr="001A7795" w:rsidP="001A7795" w14:paraId="545804E4" w14:textId="77777777">
      <w:pPr>
        <w:numPr>
          <w:ilvl w:val="0"/>
          <w:numId w:val="40"/>
        </w:numPr>
        <w:tabs>
          <w:tab w:val="left" w:pos="-1440"/>
        </w:tabs>
        <w:rPr>
          <w:bCs/>
          <w:iCs/>
        </w:rPr>
      </w:pPr>
      <w:r w:rsidRPr="001A7795">
        <w:rPr>
          <w:bCs/>
          <w:iCs/>
        </w:rPr>
        <w:t>Focus Groups of customers, potential customers, delivery partners, or other interest holders</w:t>
      </w:r>
    </w:p>
    <w:p w:rsidR="001A7795" w:rsidRPr="001A7795" w:rsidP="001A7795" w14:paraId="4FC0706D" w14:textId="77777777">
      <w:pPr>
        <w:numPr>
          <w:ilvl w:val="0"/>
          <w:numId w:val="40"/>
        </w:numPr>
        <w:tabs>
          <w:tab w:val="left" w:pos="-1440"/>
        </w:tabs>
        <w:rPr>
          <w:bCs/>
          <w:iCs/>
        </w:rPr>
      </w:pPr>
      <w:r w:rsidRPr="001A7795">
        <w:rPr>
          <w:bCs/>
          <w:iCs/>
        </w:rPr>
        <w:t>Key informant interviews of customers, potential customers, implementing partners, or other interest holders</w:t>
      </w:r>
    </w:p>
    <w:p w:rsidR="001A7795" w:rsidRPr="001A7795" w:rsidP="001A7795" w14:paraId="24A5D805" w14:textId="77777777">
      <w:pPr>
        <w:numPr>
          <w:ilvl w:val="0"/>
          <w:numId w:val="40"/>
        </w:numPr>
        <w:tabs>
          <w:tab w:val="left" w:pos="-1440"/>
        </w:tabs>
        <w:rPr>
          <w:bCs/>
          <w:iCs/>
        </w:rPr>
      </w:pPr>
      <w:r w:rsidRPr="001A7795">
        <w:rPr>
          <w:bCs/>
          <w:iCs/>
        </w:rPr>
        <w:t>Cognitive laboratory studies, such as those used to refine questions or assess usability of a website</w:t>
      </w:r>
    </w:p>
    <w:p w:rsidR="001A7795" w:rsidRPr="001A7795" w:rsidP="001A7795" w14:paraId="095D0A2B" w14:textId="77777777">
      <w:pPr>
        <w:numPr>
          <w:ilvl w:val="0"/>
          <w:numId w:val="40"/>
        </w:numPr>
        <w:tabs>
          <w:tab w:val="left" w:pos="-1440"/>
        </w:tabs>
        <w:rPr>
          <w:bCs/>
          <w:iCs/>
        </w:rPr>
      </w:pPr>
      <w:r w:rsidRPr="001A7795">
        <w:rPr>
          <w:bCs/>
          <w:iCs/>
        </w:rPr>
        <w:t>Qualitative customer satisfaction surveys (e.g., post-transaction surveys; opt-out web surveys)</w:t>
      </w:r>
    </w:p>
    <w:p w:rsidR="001A7795" w:rsidRPr="001A7795" w:rsidP="001A7795" w14:paraId="515BB8A3" w14:textId="77777777">
      <w:pPr>
        <w:numPr>
          <w:ilvl w:val="0"/>
          <w:numId w:val="40"/>
        </w:numPr>
        <w:tabs>
          <w:tab w:val="left" w:pos="-1440"/>
        </w:tabs>
        <w:rPr>
          <w:bCs/>
          <w:iCs/>
        </w:rPr>
      </w:pPr>
      <w:r w:rsidRPr="001A7795">
        <w:rPr>
          <w:bCs/>
          <w:iCs/>
        </w:rPr>
        <w:t>In-person or virtual observation testing (e.g., website or software usability tests)</w:t>
      </w:r>
    </w:p>
    <w:p w:rsidR="001A7795" w:rsidRPr="001A7795" w:rsidP="001A7795" w14:paraId="46C714B7" w14:textId="77777777">
      <w:pPr>
        <w:numPr>
          <w:ilvl w:val="0"/>
          <w:numId w:val="40"/>
        </w:numPr>
        <w:tabs>
          <w:tab w:val="left" w:pos="-1440"/>
        </w:tabs>
        <w:rPr>
          <w:bCs/>
          <w:iCs/>
        </w:rPr>
      </w:pPr>
      <w:r w:rsidRPr="001A7795">
        <w:rPr>
          <w:bCs/>
          <w:iCs/>
        </w:rPr>
        <w:t>Other observational methods (e.g., direct observations, ethnography)</w:t>
      </w:r>
    </w:p>
    <w:p w:rsidR="001A7795" w:rsidP="001A7795" w14:paraId="5E727F9A" w14:textId="77777777">
      <w:pPr>
        <w:tabs>
          <w:tab w:val="left" w:pos="-1440"/>
        </w:tabs>
        <w:ind w:left="0" w:firstLine="0"/>
        <w:rPr>
          <w:bCs/>
          <w:iCs/>
        </w:rPr>
      </w:pPr>
      <w:r w:rsidRPr="001A7795">
        <w:rPr>
          <w:bCs/>
          <w:iCs/>
        </w:rPr>
        <w:t>The Agency has established a manager/managing entity to serve for this generic clearance and will conduct an independent review of each information collection to ensure compliance with the terms of this clearance prior to submitting each collection to OMB.</w:t>
      </w:r>
    </w:p>
    <w:p w:rsidR="001A7795" w:rsidRPr="001A7795" w:rsidP="001A7795" w14:paraId="1AC8F0F2" w14:textId="77777777">
      <w:pPr>
        <w:tabs>
          <w:tab w:val="left" w:pos="-1440"/>
        </w:tabs>
        <w:ind w:left="0" w:firstLine="0"/>
        <w:rPr>
          <w:bCs/>
          <w:iCs/>
        </w:rPr>
      </w:pPr>
    </w:p>
    <w:p w:rsidR="00662F81" w:rsidRPr="00022A54" w:rsidP="00662F81" w14:paraId="4FA2FBB4" w14:textId="77777777">
      <w:pPr>
        <w:tabs>
          <w:tab w:val="left" w:pos="-1440"/>
        </w:tabs>
      </w:pPr>
      <w:r w:rsidRPr="00022A54">
        <w:rPr>
          <w:b/>
          <w:bCs/>
        </w:rPr>
        <w:t>3.</w:t>
      </w:r>
      <w:r w:rsidRPr="00022A54">
        <w:rPr>
          <w:b/>
          <w:bCs/>
        </w:rPr>
        <w:tab/>
        <w:t>Use of Improved Information Technology and Burden Reduction</w:t>
      </w:r>
    </w:p>
    <w:p w:rsidR="00662F81" w:rsidP="00291FB8" w14:paraId="3A9EFBA3" w14:textId="153E187D">
      <w:pPr>
        <w:ind w:left="0" w:firstLine="0"/>
      </w:pPr>
      <w:r>
        <w:t>If appropriate, data collection will occur electronically and/or use online collaboration tools to reduce both Government and respondent burden.</w:t>
      </w:r>
    </w:p>
    <w:p w:rsidR="001A7795" w:rsidRPr="00022A54" w:rsidP="00291FB8" w14:paraId="0D6F43C1" w14:textId="77777777">
      <w:pPr>
        <w:ind w:left="0" w:firstLine="0"/>
      </w:pPr>
    </w:p>
    <w:p w:rsidR="00662F81" w:rsidRPr="00022A54" w:rsidP="00B95A61" w14:paraId="00286E7E" w14:textId="77777777">
      <w:pPr>
        <w:tabs>
          <w:tab w:val="left" w:pos="-1440"/>
        </w:tabs>
      </w:pPr>
      <w:r w:rsidRPr="00022A54">
        <w:rPr>
          <w:b/>
          <w:bCs/>
        </w:rPr>
        <w:t>4.</w:t>
      </w:r>
      <w:r w:rsidRPr="00022A54">
        <w:rPr>
          <w:b/>
          <w:bCs/>
        </w:rPr>
        <w:tab/>
        <w:t>Efforts to Identify Duplication and Use of Similar Information</w:t>
      </w:r>
    </w:p>
    <w:p w:rsidR="00EA0FE9" w:rsidP="00EA0FE9" w14:paraId="5C1C53FB" w14:textId="7B3A504E">
      <w:pPr>
        <w:spacing w:after="0"/>
        <w:ind w:left="0" w:firstLine="0"/>
      </w:pPr>
      <w:bookmarkStart w:id="6" w:name="_Hlk220495003"/>
      <w:r w:rsidRPr="00EA0FE9">
        <w:t xml:space="preserve">This information collection represents </w:t>
      </w:r>
      <w:r w:rsidR="001A7795">
        <w:t>NCHHSTP/CDC’s</w:t>
      </w:r>
      <w:r w:rsidRPr="00EA0FE9">
        <w:t xml:space="preserve"> attempt to gather </w:t>
      </w:r>
      <w:r w:rsidR="001A7795">
        <w:t xml:space="preserve">qualitative </w:t>
      </w:r>
      <w:r w:rsidRPr="00EA0FE9">
        <w:t xml:space="preserve">feedback data on CDC services and programs.  There is currently no information available that can substitute </w:t>
      </w:r>
      <w:r w:rsidRPr="00EA0FE9">
        <w:t>for the responses to the data collection instruments and provide essential program improvement information. No similar data are gathered and/or maintained by the Agency or are available from other sources known to the Agency.</w:t>
      </w:r>
    </w:p>
    <w:p w:rsidR="00EA0FE9" w:rsidRPr="00EA0FE9" w:rsidP="00EA0FE9" w14:paraId="69B00B2E" w14:textId="77777777">
      <w:pPr>
        <w:spacing w:after="0"/>
        <w:ind w:left="0" w:firstLine="0"/>
      </w:pPr>
    </w:p>
    <w:bookmarkEnd w:id="6"/>
    <w:p w:rsidR="00662F81" w:rsidRPr="0090285F" w:rsidP="00B95A61" w14:paraId="2D6BCCE9" w14:textId="77777777">
      <w:pPr>
        <w:tabs>
          <w:tab w:val="left" w:pos="-1440"/>
        </w:tabs>
      </w:pPr>
      <w:r w:rsidRPr="00022A54">
        <w:rPr>
          <w:b/>
          <w:bCs/>
        </w:rPr>
        <w:t>5.</w:t>
      </w:r>
      <w:r w:rsidRPr="00022A54">
        <w:rPr>
          <w:b/>
          <w:bCs/>
        </w:rPr>
        <w:tab/>
      </w:r>
      <w:r w:rsidRPr="0090285F">
        <w:rPr>
          <w:b/>
          <w:bCs/>
        </w:rPr>
        <w:t xml:space="preserve">Impact on Small Businesses </w:t>
      </w:r>
      <w:r w:rsidRPr="0090285F" w:rsidR="006C442F">
        <w:rPr>
          <w:b/>
          <w:bCs/>
        </w:rPr>
        <w:t xml:space="preserve">or </w:t>
      </w:r>
      <w:r w:rsidRPr="0090285F">
        <w:rPr>
          <w:b/>
          <w:bCs/>
        </w:rPr>
        <w:t>Other Small Entities</w:t>
      </w:r>
    </w:p>
    <w:p w:rsidR="000616B4" w:rsidRPr="000616B4" w:rsidP="000616B4" w14:paraId="1BA0E3C8" w14:textId="396C2CC5">
      <w:pPr>
        <w:ind w:left="0" w:firstLine="0"/>
      </w:pPr>
      <w:r w:rsidRPr="00022A54">
        <w:t>Some surveillance or research activities involve data collection from small business (e.g. medical offices) or small governmental entities; therefore, methods and instrument development activities may also be conducted with these groups. If such activities are conducted, these businesses will be approached in the same manner as the individuals we normally recruit</w:t>
      </w:r>
      <w:r w:rsidRPr="00022A54" w:rsidR="00B8394D">
        <w:t>:</w:t>
      </w:r>
      <w:r w:rsidRPr="00022A54">
        <w:t xml:space="preserve"> we will ask the organization to identify the appropriate staff members with whom to conduct the activities.</w:t>
      </w:r>
      <w:r w:rsidR="002E274D">
        <w:t xml:space="preserve"> In some studies, n</w:t>
      </w:r>
      <w:r w:rsidRPr="002E274D" w:rsidR="002E274D">
        <w:t>o small businesses will be involved in th</w:t>
      </w:r>
      <w:r w:rsidR="002E274D">
        <w:t>e</w:t>
      </w:r>
      <w:r w:rsidRPr="002E274D" w:rsidR="002E274D">
        <w:t xml:space="preserve"> data collection</w:t>
      </w:r>
      <w:r w:rsidR="002E274D">
        <w:t xml:space="preserve"> activities</w:t>
      </w:r>
      <w:r w:rsidRPr="002E274D" w:rsidR="002E274D">
        <w:t>.</w:t>
      </w:r>
      <w:r>
        <w:t xml:space="preserve"> The </w:t>
      </w:r>
      <w:r w:rsidRPr="000616B4">
        <w:t>methods used to minimize burden</w:t>
      </w:r>
      <w:r>
        <w:t xml:space="preserve"> </w:t>
      </w:r>
      <w:r w:rsidR="000B3000">
        <w:t>on s</w:t>
      </w:r>
      <w:r w:rsidRPr="000B3000" w:rsidR="000B3000">
        <w:t xml:space="preserve">mall </w:t>
      </w:r>
      <w:r w:rsidR="000B3000">
        <w:t>b</w:t>
      </w:r>
      <w:r w:rsidRPr="000B3000" w:rsidR="000B3000">
        <w:t xml:space="preserve">usinesses or </w:t>
      </w:r>
      <w:r w:rsidR="000B3000">
        <w:t>o</w:t>
      </w:r>
      <w:r w:rsidRPr="000B3000" w:rsidR="000B3000">
        <w:t xml:space="preserve">ther </w:t>
      </w:r>
      <w:r w:rsidR="000B3000">
        <w:t>s</w:t>
      </w:r>
      <w:r w:rsidRPr="000B3000" w:rsidR="000B3000">
        <w:t xml:space="preserve">mall </w:t>
      </w:r>
      <w:r w:rsidR="000B3000">
        <w:t>e</w:t>
      </w:r>
      <w:r w:rsidRPr="000B3000" w:rsidR="000B3000">
        <w:t xml:space="preserve">ntities </w:t>
      </w:r>
      <w:r>
        <w:t xml:space="preserve">will be explained in each study submitted under this </w:t>
      </w:r>
      <w:r w:rsidR="001A7795">
        <w:t>Generic Clearance</w:t>
      </w:r>
      <w:r w:rsidRPr="000616B4">
        <w:t>.</w:t>
      </w:r>
    </w:p>
    <w:p w:rsidR="003A6373" w:rsidRPr="00022A54" w:rsidP="00291FB8" w14:paraId="064F4108" w14:textId="77777777">
      <w:pPr>
        <w:ind w:left="0" w:firstLine="0"/>
      </w:pPr>
    </w:p>
    <w:p w:rsidR="00662F81" w:rsidRPr="00022A54" w:rsidP="00B95A61" w14:paraId="297E8D6D" w14:textId="77777777">
      <w:pPr>
        <w:tabs>
          <w:tab w:val="left" w:pos="-1440"/>
        </w:tabs>
      </w:pPr>
      <w:r w:rsidRPr="00022A54">
        <w:rPr>
          <w:b/>
          <w:bCs/>
        </w:rPr>
        <w:t>6.</w:t>
      </w:r>
      <w:r w:rsidRPr="00022A54">
        <w:rPr>
          <w:b/>
          <w:bCs/>
        </w:rPr>
        <w:tab/>
      </w:r>
      <w:r w:rsidRPr="0016614F">
        <w:rPr>
          <w:b/>
          <w:bCs/>
        </w:rPr>
        <w:t>Consequences of Collecting the Information Less Frequently</w:t>
      </w:r>
    </w:p>
    <w:p w:rsidR="00662F81" w:rsidRPr="00022A54" w:rsidP="005A3B06" w14:paraId="770446F1" w14:textId="79D51A25">
      <w:pPr>
        <w:ind w:left="0" w:firstLine="0"/>
      </w:pPr>
      <w:r>
        <w:t xml:space="preserve">Because this generic clearance covers a wide range of </w:t>
      </w:r>
      <w:r w:rsidR="001A7795">
        <w:t xml:space="preserve">qualitative </w:t>
      </w:r>
      <w:r w:rsidR="00EA0FE9">
        <w:t>customer service and partner feedback</w:t>
      </w:r>
      <w:r>
        <w:t>, e</w:t>
      </w:r>
      <w:r w:rsidRPr="002850AC">
        <w:t xml:space="preserve">ach individual project submitted under this Generic Clearance will clearly define the specific data collection methods and procedures.  Individual data collections will be time-limited, except in the cases of </w:t>
      </w:r>
      <w:r w:rsidR="00EA0FE9">
        <w:t>key informant</w:t>
      </w:r>
      <w:r w:rsidRPr="002850AC">
        <w:t xml:space="preserve"> interviews conducted during </w:t>
      </w:r>
      <w:r w:rsidR="00EA0FE9">
        <w:t xml:space="preserve">usability </w:t>
      </w:r>
      <w:r w:rsidRPr="002850AC">
        <w:t xml:space="preserve">testing of </w:t>
      </w:r>
      <w:r w:rsidR="00EA0FE9">
        <w:t>websites or software</w:t>
      </w:r>
      <w:r w:rsidRPr="002850AC">
        <w:t xml:space="preserve"> where respondents may have to be approached several times on the same or similar </w:t>
      </w:r>
      <w:r w:rsidR="00EA0FE9">
        <w:t>application</w:t>
      </w:r>
      <w:r w:rsidRPr="002850AC">
        <w:t xml:space="preserve"> under </w:t>
      </w:r>
      <w:r w:rsidR="00EA0FE9">
        <w:t>refinement</w:t>
      </w:r>
      <w:r w:rsidRPr="002850AC">
        <w:t xml:space="preserve">. </w:t>
      </w:r>
      <w:r w:rsidRPr="00022A54">
        <w:t>There are no legal obstacles to reducing the burden.</w:t>
      </w:r>
    </w:p>
    <w:p w:rsidR="00384295" w:rsidP="00B95A61" w14:paraId="7A227C2A" w14:textId="77777777">
      <w:pPr>
        <w:tabs>
          <w:tab w:val="left" w:pos="-1440"/>
        </w:tabs>
        <w:rPr>
          <w:b/>
          <w:bCs/>
        </w:rPr>
      </w:pPr>
    </w:p>
    <w:p w:rsidR="00662F81" w:rsidRPr="00022A54" w:rsidP="00B95A61" w14:paraId="180257C3" w14:textId="77777777">
      <w:pPr>
        <w:tabs>
          <w:tab w:val="left" w:pos="-1440"/>
        </w:tabs>
      </w:pPr>
      <w:r w:rsidRPr="00022A54">
        <w:rPr>
          <w:b/>
          <w:bCs/>
        </w:rPr>
        <w:t>7.</w:t>
      </w:r>
      <w:r w:rsidRPr="00022A54">
        <w:rPr>
          <w:b/>
          <w:bCs/>
        </w:rPr>
        <w:tab/>
      </w:r>
      <w:r w:rsidRPr="00DD4C2D">
        <w:rPr>
          <w:b/>
          <w:bCs/>
        </w:rPr>
        <w:t xml:space="preserve">Special Circumstances Relating to </w:t>
      </w:r>
      <w:r w:rsidRPr="00DD4C2D" w:rsidR="006C442F">
        <w:rPr>
          <w:b/>
          <w:bCs/>
        </w:rPr>
        <w:t xml:space="preserve">the </w:t>
      </w:r>
      <w:r w:rsidRPr="00DD4C2D">
        <w:rPr>
          <w:b/>
          <w:bCs/>
        </w:rPr>
        <w:t>Guidelines of 5 CFR 1320.5</w:t>
      </w:r>
    </w:p>
    <w:p w:rsidR="00662F81" w:rsidRPr="00022A54" w:rsidP="00662F81" w14:paraId="2CED9B19" w14:textId="70381E0B">
      <w:r w:rsidRPr="00022A54">
        <w:t>This request fully complies with the regulation 5 CFR 1320.5.</w:t>
      </w:r>
      <w:r w:rsidR="00EA0FE9">
        <w:t xml:space="preserve"> </w:t>
      </w:r>
    </w:p>
    <w:p w:rsidR="00384295" w:rsidP="00AC132E" w14:paraId="3263DDF5" w14:textId="77777777">
      <w:pPr>
        <w:tabs>
          <w:tab w:val="left" w:pos="-1440"/>
        </w:tabs>
        <w:rPr>
          <w:b/>
          <w:bCs/>
        </w:rPr>
      </w:pPr>
    </w:p>
    <w:p w:rsidR="00662F81" w:rsidRPr="00022A54" w:rsidP="00AC132E" w14:paraId="3C46CB9B" w14:textId="77777777">
      <w:pPr>
        <w:tabs>
          <w:tab w:val="left" w:pos="-1440"/>
        </w:tabs>
      </w:pPr>
      <w:r w:rsidRPr="00022A54">
        <w:rPr>
          <w:b/>
          <w:bCs/>
        </w:rPr>
        <w:t>8.</w:t>
      </w:r>
      <w:r w:rsidRPr="00022A54">
        <w:rPr>
          <w:b/>
          <w:bCs/>
        </w:rPr>
        <w:tab/>
      </w:r>
      <w:r w:rsidRPr="00DD4C2D">
        <w:rPr>
          <w:b/>
          <w:bCs/>
        </w:rPr>
        <w:t>Comments in Response to the Federal Register Notice and Efforts to Consult Outside Agencies</w:t>
      </w:r>
      <w:r w:rsidRPr="00022A54">
        <w:rPr>
          <w:b/>
          <w:bCs/>
        </w:rPr>
        <w:t xml:space="preserve"> </w:t>
      </w:r>
    </w:p>
    <w:p w:rsidR="006D23F1" w:rsidP="00291FB8" w14:paraId="02FDDDB7" w14:textId="1321753C">
      <w:pPr>
        <w:tabs>
          <w:tab w:val="left" w:pos="-1440"/>
        </w:tabs>
        <w:ind w:left="0" w:firstLine="0"/>
      </w:pPr>
      <w:r w:rsidRPr="001A7795">
        <w:t xml:space="preserve">In accordance with 5 CFR 1320.8(d), a 60-day notice for public comment was published in the Federal Register Vol. </w:t>
      </w:r>
      <w:r>
        <w:t>91</w:t>
      </w:r>
      <w:r w:rsidRPr="001A7795">
        <w:t>, No. 2</w:t>
      </w:r>
      <w:r>
        <w:t>8</w:t>
      </w:r>
      <w:r w:rsidRPr="001A7795">
        <w:t xml:space="preserve">, February </w:t>
      </w:r>
      <w:r>
        <w:t>11</w:t>
      </w:r>
      <w:r w:rsidRPr="001A7795">
        <w:t>, 202</w:t>
      </w:r>
      <w:r w:rsidR="00B41C65">
        <w:t>6</w:t>
      </w:r>
      <w:r w:rsidRPr="001A7795">
        <w:t xml:space="preserve">, page </w:t>
      </w:r>
      <w:r w:rsidR="00B41C65">
        <w:t>6221</w:t>
      </w:r>
      <w:r w:rsidRPr="001A7795">
        <w:t xml:space="preserve"> </w:t>
      </w:r>
      <w:r w:rsidRPr="00022A54">
        <w:t>(</w:t>
      </w:r>
      <w:r w:rsidRPr="00022A54" w:rsidR="00400FED">
        <w:rPr>
          <w:b/>
        </w:rPr>
        <w:t>Att</w:t>
      </w:r>
      <w:r w:rsidR="009C2C7A">
        <w:rPr>
          <w:b/>
        </w:rPr>
        <w:t xml:space="preserve"> 2</w:t>
      </w:r>
      <w:r w:rsidRPr="00022A54" w:rsidR="00400FED">
        <w:t>)</w:t>
      </w:r>
      <w:r w:rsidR="004E5183">
        <w:t>.</w:t>
      </w:r>
      <w:r w:rsidRPr="00022A54" w:rsidR="00400FED">
        <w:t xml:space="preserve"> </w:t>
      </w:r>
      <w:r w:rsidR="003364FA">
        <w:t>One</w:t>
      </w:r>
      <w:r w:rsidR="002F159A">
        <w:t xml:space="preserve"> </w:t>
      </w:r>
      <w:r w:rsidRPr="00022A54">
        <w:t>public</w:t>
      </w:r>
      <w:r w:rsidR="0044048D">
        <w:t xml:space="preserve"> comment</w:t>
      </w:r>
      <w:r w:rsidR="003364FA">
        <w:t xml:space="preserve"> was</w:t>
      </w:r>
      <w:r w:rsidR="0044048D">
        <w:t xml:space="preserve"> received</w:t>
      </w:r>
      <w:r w:rsidRPr="00022A54">
        <w:t xml:space="preserve">. </w:t>
      </w:r>
    </w:p>
    <w:p w:rsidR="00662F81" w:rsidP="00291FB8" w14:paraId="602F783D" w14:textId="1F893CE2">
      <w:pPr>
        <w:tabs>
          <w:tab w:val="left" w:pos="-1440"/>
        </w:tabs>
        <w:ind w:left="0" w:firstLine="0"/>
      </w:pPr>
      <w:r>
        <w:t xml:space="preserve">This Generic data collection was developed by </w:t>
      </w:r>
      <w:r w:rsidR="00EA0FE9">
        <w:t>NCHHSTP</w:t>
      </w:r>
      <w:r>
        <w:t xml:space="preserve"> as a way to collect </w:t>
      </w:r>
      <w:r w:rsidR="00B41C65">
        <w:t xml:space="preserve">qualitative </w:t>
      </w:r>
      <w:r w:rsidR="00EA0FE9">
        <w:t xml:space="preserve">customer service </w:t>
      </w:r>
      <w:r w:rsidR="00B41C65">
        <w:t xml:space="preserve">and programmatic </w:t>
      </w:r>
      <w:r w:rsidR="00EA0FE9">
        <w:t>feedback</w:t>
      </w:r>
      <w:r>
        <w:t xml:space="preserve"> from its </w:t>
      </w:r>
      <w:r w:rsidR="00EA0FE9">
        <w:t>partners and collaborators.</w:t>
      </w:r>
      <w:r>
        <w:t xml:space="preserve"> As such, there were no consultations outside of CDC.</w:t>
      </w:r>
    </w:p>
    <w:p w:rsidR="00937702" w:rsidP="004B3F6F" w14:paraId="1824B64C" w14:textId="77777777">
      <w:pPr>
        <w:tabs>
          <w:tab w:val="left" w:pos="0"/>
        </w:tabs>
        <w:rPr>
          <w:b/>
          <w:bCs/>
        </w:rPr>
      </w:pPr>
    </w:p>
    <w:p w:rsidR="00662F81" w:rsidRPr="00022A54" w:rsidP="004B3F6F" w14:paraId="53724EEF" w14:textId="77777777">
      <w:pPr>
        <w:tabs>
          <w:tab w:val="left" w:pos="0"/>
        </w:tabs>
      </w:pPr>
      <w:r w:rsidRPr="00022A54">
        <w:rPr>
          <w:b/>
          <w:bCs/>
        </w:rPr>
        <w:t>9.</w:t>
      </w:r>
      <w:r w:rsidRPr="00022A54">
        <w:rPr>
          <w:b/>
          <w:bCs/>
        </w:rPr>
        <w:tab/>
      </w:r>
      <w:r w:rsidRPr="004B3F6F">
        <w:rPr>
          <w:b/>
          <w:bCs/>
        </w:rPr>
        <w:t>Explanation of Any Payment or Gift to Respondents</w:t>
      </w:r>
    </w:p>
    <w:p w:rsidR="00CD3BF7" w:rsidRPr="00022A54" w:rsidP="00291FB8" w14:paraId="634B120B" w14:textId="77777777">
      <w:pPr>
        <w:tabs>
          <w:tab w:val="left" w:pos="0"/>
        </w:tabs>
        <w:ind w:left="0" w:firstLine="0"/>
      </w:pPr>
      <w:r w:rsidRPr="00022A54">
        <w:t xml:space="preserve">A review of survey methodologists and practitioners in October, 1992, The “Symposium on Providing Incentives to Survey Respondents,” sponsored jointly by OMB and the Council of Professional Associations on Federal Statistics (COPAFS), considered a number of incentive-related issues, including the impacts on response rates, biases, and incentive types,  recommended OMB “seriously consider the use of incentives” for surveys that target difficult-to-engage </w:t>
      </w:r>
      <w:r w:rsidRPr="00022A54">
        <w:t xml:space="preserve">respondent populations, surveys that are long or time consuming, surveys with items that are potentially sensitive or require detailed record keeping, surveys for which relatives serve as gatekeepers to respondent access, and surveys that are part of longitudinal panels.”  </w:t>
      </w:r>
    </w:p>
    <w:p w:rsidR="00AA25E3" w:rsidRPr="00022A54" w:rsidP="00291FB8" w14:paraId="52002D6D" w14:textId="77777777">
      <w:pPr>
        <w:tabs>
          <w:tab w:val="left" w:pos="0"/>
        </w:tabs>
        <w:ind w:left="0" w:firstLine="0"/>
      </w:pPr>
      <w:r w:rsidRPr="00022A54">
        <w:t>In many cases incentives will not be necessary, but when they are, incentives will not exceed $40 per hour for such intensive interviews like focus groups and cognitive interviews unless compelling evidence is provided that recruitment is very difficult for a particular subgroup.</w:t>
      </w:r>
    </w:p>
    <w:p w:rsidR="00CD3BF7" w:rsidRPr="00022A54" w:rsidP="00CD3BF7" w14:paraId="6BDB8AFB" w14:textId="77777777">
      <w:pPr>
        <w:tabs>
          <w:tab w:val="left" w:pos="0"/>
        </w:tabs>
      </w:pPr>
      <w:r w:rsidRPr="00022A54">
        <w:t>Tokens of appreciation may be offered in cash or kind for these activities for several reasons:</w:t>
      </w:r>
    </w:p>
    <w:p w:rsidR="00CD3BF7" w:rsidRPr="00022A54" w:rsidP="00CD3BF7" w14:paraId="606FBDF6" w14:textId="77777777">
      <w:pPr>
        <w:pStyle w:val="a"/>
        <w:tabs>
          <w:tab w:val="left" w:pos="0"/>
        </w:tabs>
      </w:pPr>
      <w:r w:rsidRPr="00022A54">
        <w:rPr>
          <w:rFonts w:ascii="Symbol" w:hAnsi="Symbol"/>
        </w:rPr>
        <w:sym w:font="Symbol" w:char="F0B7"/>
      </w:r>
      <w:r w:rsidRPr="00022A54">
        <w:tab/>
        <w:t xml:space="preserve">Eligibility criteria for respondents are usually very specific.  Some of these criteria are determined by the subject matter of the survey or intervention study (e.g., questions or interventions may be relevant only to people with certain health conditions).  The more specific the subject matter, the more difficult it is to recruit eligible respondents; </w:t>
      </w:r>
      <w:r w:rsidRPr="00022A54" w:rsidR="00C651E0">
        <w:t>tokens of appreciation may</w:t>
      </w:r>
      <w:r w:rsidRPr="00022A54">
        <w:t xml:space="preserve"> help to attract them.</w:t>
      </w:r>
    </w:p>
    <w:p w:rsidR="00CD3BF7" w:rsidRPr="00022A54" w:rsidP="00CD3BF7" w14:paraId="39D76D18" w14:textId="77777777">
      <w:pPr>
        <w:pStyle w:val="a"/>
        <w:tabs>
          <w:tab w:val="left" w:pos="0"/>
        </w:tabs>
      </w:pPr>
      <w:r w:rsidRPr="00022A54">
        <w:rPr>
          <w:rFonts w:ascii="Symbol" w:hAnsi="Symbol"/>
        </w:rPr>
        <w:sym w:font="Symbol" w:char="F0B7"/>
      </w:r>
      <w:r w:rsidRPr="00022A54">
        <w:tab/>
        <w:t xml:space="preserve">Qualitative and cognitive interviews require an unusual level of mental effort, as respondents are asked to explain their mental processes as they hear the question, discuss its meaning and point out any ambiguities, and evaluate the acceptability of response options that are provided. </w:t>
      </w:r>
    </w:p>
    <w:p w:rsidR="00CD3BF7" w:rsidRPr="00022A54" w:rsidP="00CD3BF7" w14:paraId="18810CAF" w14:textId="77777777">
      <w:pPr>
        <w:pStyle w:val="a"/>
        <w:tabs>
          <w:tab w:val="left" w:pos="0"/>
        </w:tabs>
      </w:pPr>
      <w:r w:rsidRPr="00022A54">
        <w:rPr>
          <w:rFonts w:ascii="Symbol" w:hAnsi="Symbol"/>
        </w:rPr>
        <w:sym w:font="Symbol" w:char="F0B7"/>
      </w:r>
      <w:r w:rsidRPr="00022A54">
        <w:tab/>
        <w:t xml:space="preserve">Respondents are usually asked to travel to an interview site, which involves transportation and parking expenses.  Many respondents may also incur additional expenses such as leaving their jobs during business hours or making arrangements for child care.  This may be especially true of some key respondents who may be economically disadvantaged but would provide valuable information in the development of these projects. </w:t>
      </w:r>
    </w:p>
    <w:p w:rsidR="00CD3BF7" w:rsidRPr="00022A54" w:rsidP="00CD3BF7" w14:paraId="29D05CAF" w14:textId="77777777">
      <w:pPr>
        <w:pStyle w:val="a"/>
        <w:tabs>
          <w:tab w:val="left" w:pos="0"/>
        </w:tabs>
      </w:pPr>
      <w:r w:rsidRPr="00022A54">
        <w:rPr>
          <w:rFonts w:ascii="Symbol" w:hAnsi="Symbol"/>
        </w:rPr>
        <w:sym w:font="Symbol" w:char="F0B7"/>
      </w:r>
      <w:r w:rsidRPr="00022A54">
        <w:tab/>
        <w:t>Some major metropolitan areas may be highly saturated with other research activities (e.g., academic research initiatives), which typically provide remuneration and may compete for respondents’ time.</w:t>
      </w:r>
    </w:p>
    <w:p w:rsidR="00662F81" w:rsidRPr="00022A54" w:rsidP="00662F81" w14:paraId="39806783" w14:textId="77777777">
      <w:pPr>
        <w:tabs>
          <w:tab w:val="left" w:pos="0"/>
        </w:tabs>
        <w:ind w:left="720" w:hanging="720"/>
      </w:pPr>
      <w:r w:rsidRPr="00022A54">
        <w:rPr>
          <w:b/>
          <w:bCs/>
        </w:rPr>
        <w:t>10.</w:t>
      </w:r>
      <w:r w:rsidRPr="00022A54" w:rsidR="00B07B39">
        <w:rPr>
          <w:b/>
          <w:bCs/>
        </w:rPr>
        <w:t xml:space="preserve"> </w:t>
      </w:r>
      <w:r w:rsidRPr="003F4D22" w:rsidR="00880CE4">
        <w:rPr>
          <w:b/>
          <w:bCs/>
        </w:rPr>
        <w:t>Protection of the Privacy and Confidentiality of Information Provided by Respondents.</w:t>
      </w:r>
    </w:p>
    <w:p w:rsidR="00B41C65" w:rsidRPr="00B41C65" w:rsidP="00B41C65" w14:paraId="213F2D1C" w14:textId="4A4C0DC8">
      <w:pPr>
        <w:spacing w:after="0"/>
        <w:ind w:left="0" w:firstLine="0"/>
        <w:rPr>
          <w:color w:val="000000"/>
        </w:rPr>
      </w:pPr>
      <w:r w:rsidRPr="00B41C65">
        <w:rPr>
          <w:color w:val="000000"/>
        </w:rPr>
        <w:t xml:space="preserve">The NCHHSTP Information Systems Security Officer and Privacy Office will review and assess each </w:t>
      </w:r>
      <w:r>
        <w:rPr>
          <w:color w:val="000000"/>
        </w:rPr>
        <w:t>Generic IC</w:t>
      </w:r>
      <w:r w:rsidRPr="00B41C65">
        <w:rPr>
          <w:color w:val="000000"/>
        </w:rPr>
        <w:t xml:space="preserve"> submitted under this </w:t>
      </w:r>
      <w:r>
        <w:rPr>
          <w:color w:val="000000"/>
        </w:rPr>
        <w:t xml:space="preserve">Generic Clearance </w:t>
      </w:r>
      <w:r w:rsidRPr="00B41C65">
        <w:rPr>
          <w:color w:val="000000"/>
        </w:rPr>
        <w:t>for applicability of 5 U.S.C. § 552a to determine if the Privacy Act does or does not apply to the collection.</w:t>
      </w:r>
    </w:p>
    <w:p w:rsidR="00B41C65" w:rsidRPr="00B41C65" w:rsidP="00B41C65" w14:paraId="0FB255A7" w14:textId="77777777">
      <w:pPr>
        <w:spacing w:after="0"/>
        <w:ind w:left="0" w:firstLine="0"/>
        <w:rPr>
          <w:color w:val="000000"/>
        </w:rPr>
      </w:pPr>
    </w:p>
    <w:p w:rsidR="00B41C65" w:rsidP="00B41C65" w14:paraId="478CB046" w14:textId="77777777">
      <w:pPr>
        <w:spacing w:after="0"/>
        <w:ind w:left="0" w:firstLine="0"/>
        <w:rPr>
          <w:color w:val="000000"/>
        </w:rPr>
      </w:pPr>
      <w:r w:rsidRPr="00B41C65">
        <w:rPr>
          <w:color w:val="000000"/>
        </w:rPr>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B41C65" w:rsidRPr="00B41C65" w:rsidP="00B41C65" w14:paraId="02C4BD57" w14:textId="77777777">
      <w:pPr>
        <w:spacing w:after="0"/>
        <w:ind w:left="0" w:firstLine="0"/>
        <w:rPr>
          <w:color w:val="000000"/>
        </w:rPr>
      </w:pPr>
    </w:p>
    <w:p w:rsidR="00253472" w:rsidP="008D766F" w14:paraId="0E0FE070" w14:textId="3EF6E86B">
      <w:pPr>
        <w:spacing w:after="0"/>
        <w:ind w:left="0" w:firstLine="0"/>
        <w:rPr>
          <w:color w:val="000000"/>
        </w:rPr>
      </w:pPr>
      <w:r>
        <w:rPr>
          <w:color w:val="000000"/>
        </w:rPr>
        <w:t xml:space="preserve">In such cases, when the </w:t>
      </w:r>
      <w:r w:rsidRPr="00022A54">
        <w:rPr>
          <w:color w:val="000000"/>
        </w:rPr>
        <w:t xml:space="preserve">individual data collection activities </w:t>
      </w:r>
      <w:r>
        <w:rPr>
          <w:color w:val="000000"/>
        </w:rPr>
        <w:t>do</w:t>
      </w:r>
      <w:r w:rsidRPr="00022A54">
        <w:rPr>
          <w:color w:val="000000"/>
        </w:rPr>
        <w:t xml:space="preserve"> require respon</w:t>
      </w:r>
      <w:r w:rsidR="009B589D">
        <w:rPr>
          <w:color w:val="000000"/>
        </w:rPr>
        <w:t>dents to provide identifying or</w:t>
      </w:r>
      <w:r w:rsidR="008D766F">
        <w:rPr>
          <w:color w:val="000000"/>
        </w:rPr>
        <w:t xml:space="preserve"> </w:t>
      </w:r>
      <w:r w:rsidRPr="00022A54">
        <w:rPr>
          <w:color w:val="000000"/>
        </w:rPr>
        <w:t>potentially identifying informa</w:t>
      </w:r>
      <w:r>
        <w:rPr>
          <w:color w:val="000000"/>
        </w:rPr>
        <w:t xml:space="preserve">tion to local project staff and/or </w:t>
      </w:r>
      <w:r w:rsidRPr="00022A54">
        <w:rPr>
          <w:color w:val="000000"/>
        </w:rPr>
        <w:t>an</w:t>
      </w:r>
      <w:r w:rsidR="00AF71E8">
        <w:rPr>
          <w:color w:val="000000"/>
        </w:rPr>
        <w:t>swer sensitive questions</w:t>
      </w:r>
      <w:r>
        <w:rPr>
          <w:color w:val="000000"/>
        </w:rPr>
        <w:t>, the</w:t>
      </w:r>
      <w:r w:rsidR="008D766F">
        <w:rPr>
          <w:color w:val="000000"/>
        </w:rPr>
        <w:t xml:space="preserve"> </w:t>
      </w:r>
      <w:r w:rsidRPr="00022A54">
        <w:rPr>
          <w:color w:val="000000"/>
        </w:rPr>
        <w:t>information will be removed from any data sent to CDC, and CDC w</w:t>
      </w:r>
      <w:r w:rsidR="009B589D">
        <w:rPr>
          <w:color w:val="000000"/>
        </w:rPr>
        <w:t>ill, at no time, have access to</w:t>
      </w:r>
      <w:r w:rsidR="008D766F">
        <w:rPr>
          <w:color w:val="000000"/>
        </w:rPr>
        <w:t xml:space="preserve"> </w:t>
      </w:r>
      <w:r w:rsidRPr="00022A54">
        <w:rPr>
          <w:color w:val="000000"/>
        </w:rPr>
        <w:t>any local data that contains identifiers. Local project staff wi</w:t>
      </w:r>
      <w:r w:rsidR="009B589D">
        <w:rPr>
          <w:color w:val="000000"/>
        </w:rPr>
        <w:t>ll verify that any individually</w:t>
      </w:r>
      <w:r w:rsidR="008D766F">
        <w:rPr>
          <w:color w:val="000000"/>
        </w:rPr>
        <w:t xml:space="preserve"> </w:t>
      </w:r>
      <w:r w:rsidRPr="00022A54">
        <w:rPr>
          <w:color w:val="000000"/>
        </w:rPr>
        <w:t>identifiable information that has been collected during the cour</w:t>
      </w:r>
      <w:r w:rsidR="009B589D">
        <w:rPr>
          <w:color w:val="000000"/>
        </w:rPr>
        <w:t>se of their activities has been</w:t>
      </w:r>
      <w:r w:rsidR="008D766F">
        <w:rPr>
          <w:color w:val="000000"/>
        </w:rPr>
        <w:t xml:space="preserve"> </w:t>
      </w:r>
      <w:r w:rsidRPr="00022A54">
        <w:rPr>
          <w:color w:val="000000"/>
        </w:rPr>
        <w:t>removed from information transmitted to or shared with CDC.</w:t>
      </w:r>
    </w:p>
    <w:p w:rsidR="008D766F" w:rsidRPr="00022A54" w:rsidP="008D766F" w14:paraId="1221E5FB" w14:textId="77777777">
      <w:pPr>
        <w:spacing w:after="0"/>
        <w:rPr>
          <w:color w:val="000000"/>
        </w:rPr>
      </w:pPr>
    </w:p>
    <w:p w:rsidR="00E028BB" w:rsidP="008D766F" w14:paraId="398097FD" w14:textId="77777777">
      <w:pPr>
        <w:ind w:left="0" w:firstLine="0"/>
      </w:pPr>
      <w:r>
        <w:t xml:space="preserve">If CDC or its representative is receiving and/or storing personal identifiable information as a part of a specific project, then the Privacy Act may apply and the specific actions required to ensure the </w:t>
      </w:r>
      <w:r w:rsidR="0027378A">
        <w:t>securit</w:t>
      </w:r>
      <w:r>
        <w:t xml:space="preserve">y of that information will be discussed in the documentation </w:t>
      </w:r>
      <w:r w:rsidR="0027378A">
        <w:t xml:space="preserve">for each project </w:t>
      </w:r>
      <w:r>
        <w:t xml:space="preserve">submission. </w:t>
      </w:r>
    </w:p>
    <w:p w:rsidR="00253472" w:rsidRPr="00022A54" w:rsidP="008D766F" w14:paraId="15539B88" w14:textId="77777777">
      <w:pPr>
        <w:ind w:left="0" w:firstLine="0"/>
      </w:pPr>
      <w:r w:rsidRPr="00022A54">
        <w:t xml:space="preserve">Certificates of confidentiality may be sought for individual data collection </w:t>
      </w:r>
      <w:r w:rsidR="00AF71E8">
        <w:t>activities that involve</w:t>
      </w:r>
      <w:r w:rsidR="008D766F">
        <w:t xml:space="preserve"> </w:t>
      </w:r>
      <w:r w:rsidRPr="00022A54">
        <w:t>sensitive and potentially identifiable information at the local project l</w:t>
      </w:r>
      <w:r w:rsidR="00AF71E8">
        <w:t>evel</w:t>
      </w:r>
      <w:r w:rsidR="00C9228B">
        <w:t>.</w:t>
      </w:r>
      <w:r w:rsidR="00942473">
        <w:t xml:space="preserve"> Also, depending on the specifics of the project, the assurance of confidentiality afforded in accordance with Section 308(d) of the Public Health Service Act (42USC242m) and the Confidential Information Protection and Statistical Efficiency Act (PL-107-347) may apply. </w:t>
      </w:r>
    </w:p>
    <w:p w:rsidR="00253472" w:rsidRPr="00022A54" w:rsidP="008D766F" w14:paraId="438262FC" w14:textId="77777777">
      <w:pPr>
        <w:tabs>
          <w:tab w:val="left" w:pos="0"/>
        </w:tabs>
        <w:spacing w:after="0"/>
        <w:ind w:left="0" w:firstLine="0"/>
      </w:pPr>
      <w:r>
        <w:t>As</w:t>
      </w:r>
      <w:r w:rsidRPr="00022A54">
        <w:t xml:space="preserve"> methods and materials may differ between individual proje</w:t>
      </w:r>
      <w:r w:rsidR="00AF71E8">
        <w:t>cts, appropriate human subjects</w:t>
      </w:r>
      <w:r w:rsidR="008D766F">
        <w:t xml:space="preserve"> </w:t>
      </w:r>
      <w:r w:rsidRPr="00022A54">
        <w:t xml:space="preserve">review procedures will be conducted for each project as they are developed. </w:t>
      </w:r>
      <w:r w:rsidR="00AF71E8">
        <w:t xml:space="preserve">Projects </w:t>
      </w:r>
      <w:r>
        <w:t>will acquire</w:t>
      </w:r>
      <w:r w:rsidR="005131F3">
        <w:t xml:space="preserve"> </w:t>
      </w:r>
      <w:r w:rsidR="00AF71E8">
        <w:t>IRB</w:t>
      </w:r>
      <w:r w:rsidR="008D766F">
        <w:t xml:space="preserve"> </w:t>
      </w:r>
      <w:r w:rsidRPr="00022A54">
        <w:t>approval w</w:t>
      </w:r>
      <w:r>
        <w:t>hen appropriate and submit documentation.</w:t>
      </w:r>
      <w:r w:rsidRPr="00022A54">
        <w:t xml:space="preserve"> </w:t>
      </w:r>
    </w:p>
    <w:p w:rsidR="00253472" w:rsidRPr="00022A54" w:rsidP="00253472" w14:paraId="7C1C2852" w14:textId="77777777">
      <w:pPr>
        <w:tabs>
          <w:tab w:val="left" w:pos="0"/>
        </w:tabs>
      </w:pPr>
    </w:p>
    <w:p w:rsidR="00253472" w:rsidRPr="00022A54" w:rsidP="008D766F" w14:paraId="5F43DCA1" w14:textId="77777777">
      <w:pPr>
        <w:tabs>
          <w:tab w:val="left" w:pos="0"/>
        </w:tabs>
        <w:spacing w:after="0"/>
        <w:ind w:left="0" w:firstLine="0"/>
      </w:pPr>
      <w:r w:rsidRPr="00022A54">
        <w:t>Participation in development activities is strictly voluntary. Respo</w:t>
      </w:r>
      <w:r w:rsidR="00AF71E8">
        <w:t>ndents will be provided with an</w:t>
      </w:r>
      <w:r w:rsidR="008D766F">
        <w:t xml:space="preserve"> </w:t>
      </w:r>
      <w:r w:rsidRPr="00022A54">
        <w:t>informed consent form prior to the start of information collect</w:t>
      </w:r>
      <w:r w:rsidR="00AF71E8">
        <w:t>ion, and will be allowed to ask</w:t>
      </w:r>
      <w:r w:rsidR="008D766F">
        <w:t xml:space="preserve"> </w:t>
      </w:r>
      <w:r w:rsidRPr="00022A54">
        <w:t>questions about the project before decidin</w:t>
      </w:r>
      <w:r w:rsidR="008214BF">
        <w:t>g whether to participate or not</w:t>
      </w:r>
      <w:r w:rsidRPr="00022A54">
        <w:t xml:space="preserve">. </w:t>
      </w:r>
      <w:r w:rsidR="008214BF">
        <w:t>These forms</w:t>
      </w:r>
      <w:r w:rsidRPr="00022A54">
        <w:t xml:space="preserve"> will be included in each individual c</w:t>
      </w:r>
      <w:r w:rsidR="00201240">
        <w:t xml:space="preserve">ollection request. </w:t>
      </w:r>
      <w:r w:rsidR="00AF71E8">
        <w:t>The consent</w:t>
      </w:r>
      <w:r w:rsidR="008D766F">
        <w:t xml:space="preserve"> </w:t>
      </w:r>
      <w:r w:rsidRPr="00022A54">
        <w:t>form describes the purpose of the study, specifies specific procedu</w:t>
      </w:r>
      <w:r w:rsidR="00AF71E8">
        <w:t>res that will be conducted, and</w:t>
      </w:r>
      <w:r w:rsidR="008D766F">
        <w:t xml:space="preserve"> </w:t>
      </w:r>
      <w:r w:rsidRPr="00022A54">
        <w:t xml:space="preserve">describes protections for the respondent’s privacy and confidentiality.   </w:t>
      </w:r>
    </w:p>
    <w:p w:rsidR="00253472" w:rsidRPr="00022A54" w:rsidP="00253472" w14:paraId="4973FCA8" w14:textId="77777777">
      <w:pPr>
        <w:tabs>
          <w:tab w:val="left" w:pos="0"/>
        </w:tabs>
      </w:pPr>
    </w:p>
    <w:p w:rsidR="00253472" w:rsidRPr="00022A54" w:rsidP="008D766F" w14:paraId="01B08FA7" w14:textId="77777777">
      <w:pPr>
        <w:tabs>
          <w:tab w:val="left" w:pos="0"/>
        </w:tabs>
        <w:spacing w:after="0"/>
        <w:ind w:left="0" w:firstLine="0"/>
      </w:pPr>
      <w:r w:rsidRPr="00022A54">
        <w:t>On occasion, interviewing respondents about sensitive topics requires that we do not collect personal identifiers at</w:t>
      </w:r>
      <w:r w:rsidR="00AF71E8">
        <w:t xml:space="preserve"> any point. Collection of these</w:t>
      </w:r>
      <w:r w:rsidR="008D766F">
        <w:t xml:space="preserve"> </w:t>
      </w:r>
      <w:r w:rsidRPr="00022A54">
        <w:t>identifiers may place the respondent at risk of potentia</w:t>
      </w:r>
      <w:r w:rsidR="00AF71E8">
        <w:t>l harm resulting from breach of</w:t>
      </w:r>
      <w:r w:rsidR="008D766F">
        <w:t xml:space="preserve"> </w:t>
      </w:r>
      <w:r w:rsidRPr="00022A54">
        <w:t>confidentiality. In these cases, a waiver of documentation of informed</w:t>
      </w:r>
      <w:r w:rsidR="00AF71E8">
        <w:t xml:space="preserve"> consent is requested (i.e., no</w:t>
      </w:r>
      <w:r w:rsidR="008D766F">
        <w:t xml:space="preserve"> </w:t>
      </w:r>
      <w:r w:rsidRPr="00022A54">
        <w:t>respondent signatures on a consent form), but the same consent</w:t>
      </w:r>
      <w:r w:rsidR="00AF71E8">
        <w:t xml:space="preserve"> and confidentiality protection</w:t>
      </w:r>
      <w:r w:rsidR="008D766F">
        <w:t xml:space="preserve"> </w:t>
      </w:r>
      <w:r w:rsidRPr="00022A54">
        <w:t xml:space="preserve">information is still imparted to the respondent.  </w:t>
      </w:r>
    </w:p>
    <w:p w:rsidR="00A05118" w:rsidRPr="00022A54" w:rsidP="00291FB8" w14:paraId="6D83AC3E" w14:textId="77777777">
      <w:pPr>
        <w:ind w:left="0" w:firstLine="0"/>
      </w:pPr>
    </w:p>
    <w:p w:rsidR="00253472" w:rsidRPr="00022A54" w:rsidP="00291FB8" w14:paraId="6F73B7AA" w14:textId="77777777">
      <w:pPr>
        <w:ind w:left="0" w:firstLine="0"/>
      </w:pPr>
      <w:r w:rsidRPr="00022A54">
        <w:t xml:space="preserve">Persons participating in all projects conducted </w:t>
      </w:r>
      <w:r w:rsidR="00591899">
        <w:t xml:space="preserve">or sponsored </w:t>
      </w:r>
      <w:r w:rsidRPr="00022A54">
        <w:t xml:space="preserve">by </w:t>
      </w:r>
      <w:r w:rsidR="00AB6361">
        <w:t>CDC</w:t>
      </w:r>
      <w:r w:rsidRPr="00022A54">
        <w:t xml:space="preserve"> will be informed that their data will be maintained in a </w:t>
      </w:r>
      <w:r w:rsidRPr="00022A54" w:rsidR="002F4EE4">
        <w:t>secure</w:t>
      </w:r>
      <w:r w:rsidRPr="00022A54">
        <w:t xml:space="preserve"> manner, and that the data will only be used for purposes stated in the consent form. Although the identities of respondents may be known to local project personnel who conduct interviews and interact with respondents, data</w:t>
      </w:r>
      <w:r w:rsidR="00AF5A4A">
        <w:t xml:space="preserve"> collected regarding such sensitive topics</w:t>
      </w:r>
      <w:r w:rsidRPr="00022A54">
        <w:t xml:space="preserve"> will not be stored or accessed in a Privacy Act system of records, and the respondents’ identifying information will not be submitted to CDC. Only authorized project staff will be allowed to have access to study information (whether identifiable or not) and all information will be kept in a locked cabinet and/or locked office with limited access.  </w:t>
      </w:r>
    </w:p>
    <w:p w:rsidR="00253472" w:rsidRPr="00022A54" w:rsidP="00291FB8" w14:paraId="4559F051" w14:textId="77777777">
      <w:pPr>
        <w:spacing w:before="120"/>
        <w:ind w:left="0" w:firstLine="0"/>
      </w:pPr>
    </w:p>
    <w:p w:rsidR="006B5057" w:rsidP="006B5057" w14:paraId="26651B22" w14:textId="77777777">
      <w:pPr>
        <w:ind w:left="0" w:firstLine="0"/>
      </w:pPr>
      <w:r>
        <w:t>Information might be collected electronically or on paper (depending on the individual information collection request). Electronic means include handheld devices, com</w:t>
      </w:r>
      <w:r w:rsidR="00AF5A4A">
        <w:t>puter-assisted self-interview (</w:t>
      </w:r>
      <w:r>
        <w:t xml:space="preserve">CASI), </w:t>
      </w:r>
      <w:r w:rsidR="00AF5A4A">
        <w:t xml:space="preserve">audio </w:t>
      </w:r>
      <w:r w:rsidRPr="00AF5A4A" w:rsidR="00AF5A4A">
        <w:t>computer-assisted self-interview (</w:t>
      </w:r>
      <w:r w:rsidR="00AF5A4A">
        <w:t>A</w:t>
      </w:r>
      <w:r w:rsidRPr="00AF5A4A" w:rsidR="00AF5A4A">
        <w:t xml:space="preserve">CASI), </w:t>
      </w:r>
      <w:r>
        <w:t>computer</w:t>
      </w:r>
      <w:r w:rsidR="00AF5A4A">
        <w:t>-</w:t>
      </w:r>
      <w:r>
        <w:t>assisted telephone interview (CATI), web-based surveys, or other point of service collection devices. Paper copies are the common mode for Focus group interviews.</w:t>
      </w:r>
    </w:p>
    <w:p w:rsidR="00253472" w:rsidP="00291FB8" w14:paraId="0FCEBAAD" w14:textId="77777777">
      <w:pPr>
        <w:ind w:left="0" w:firstLine="0"/>
      </w:pPr>
      <w:r w:rsidRPr="00022A54">
        <w:t xml:space="preserve">Electronic data collection and data management systems used for these activities </w:t>
      </w:r>
      <w:r w:rsidR="006B5057">
        <w:t>will</w:t>
      </w:r>
      <w:r w:rsidRPr="00022A54">
        <w:t xml:space="preserve"> comply with the current encryption security standards from National Institute of Standards and Technology (NIST) Federal Information Processing Standards (FIPS), which meet or exceed Advanc</w:t>
      </w:r>
      <w:r w:rsidRPr="00022A54" w:rsidR="004F6688">
        <w:t xml:space="preserve">ed </w:t>
      </w:r>
      <w:r w:rsidRPr="00022A54" w:rsidR="004F6688">
        <w:t>Encryption Standards (AES). Each individual request under this generic clearance will provide adequate descriptions of information systems that will be used in their study.</w:t>
      </w:r>
    </w:p>
    <w:p w:rsidR="006B5057" w:rsidP="006B5057" w14:paraId="08DC31BA" w14:textId="77777777">
      <w:pPr>
        <w:ind w:left="0" w:firstLine="0"/>
      </w:pPr>
      <w:r w:rsidRPr="00D850E0">
        <w:t>If CDC, or its representative</w:t>
      </w:r>
      <w:r>
        <w:t>,</w:t>
      </w:r>
      <w:r w:rsidRPr="00D850E0">
        <w:t xml:space="preserve"> receiv</w:t>
      </w:r>
      <w:r>
        <w:t>es</w:t>
      </w:r>
      <w:r w:rsidRPr="00D850E0">
        <w:t xml:space="preserve"> and</w:t>
      </w:r>
      <w:r>
        <w:t>/</w:t>
      </w:r>
      <w:r w:rsidRPr="00D850E0">
        <w:t>or stor</w:t>
      </w:r>
      <w:r>
        <w:t xml:space="preserve">es </w:t>
      </w:r>
      <w:r w:rsidRPr="00D850E0">
        <w:t>personal identifiable information, then the Privacy Act may</w:t>
      </w:r>
      <w:r>
        <w:t xml:space="preserve"> or may not</w:t>
      </w:r>
      <w:r w:rsidRPr="00D850E0">
        <w:t xml:space="preserve"> apply.</w:t>
      </w:r>
      <w:r>
        <w:t xml:space="preserve"> </w:t>
      </w:r>
      <w:r w:rsidRPr="00D850E0">
        <w:t xml:space="preserve">Each </w:t>
      </w:r>
      <w:r>
        <w:t xml:space="preserve">individual </w:t>
      </w:r>
      <w:r w:rsidRPr="00D850E0">
        <w:t>collection will be evaluated separately.</w:t>
      </w:r>
      <w:r>
        <w:t xml:space="preserve"> Generally all individually identifiable information collected by local partners would be unlinked or stripped from the data base that is submitted to CDC. Web-based methods for survey or intervention delivery may also be evaluated under this generic approval, and may involve the hosting of a website in order to conduct the evaluation. There will be no websites or internet content directed at children under the age of 13. Individual collection requests submitted under this generic approval will describe any web-based material involved. </w:t>
      </w:r>
    </w:p>
    <w:p w:rsidR="002D76E5" w:rsidP="00662F81" w14:paraId="026C6CDD" w14:textId="77777777">
      <w:pPr>
        <w:tabs>
          <w:tab w:val="left" w:pos="0"/>
        </w:tabs>
        <w:ind w:left="720" w:hanging="720"/>
        <w:rPr>
          <w:b/>
          <w:bCs/>
        </w:rPr>
      </w:pPr>
    </w:p>
    <w:p w:rsidR="00662F81" w:rsidRPr="00C56746" w:rsidP="002D76E5" w14:paraId="149907EB" w14:textId="77777777">
      <w:pPr>
        <w:tabs>
          <w:tab w:val="left" w:pos="0"/>
        </w:tabs>
      </w:pPr>
      <w:r w:rsidRPr="00022A54">
        <w:rPr>
          <w:b/>
          <w:bCs/>
        </w:rPr>
        <w:t>11.</w:t>
      </w:r>
      <w:r w:rsidRPr="00022A54">
        <w:rPr>
          <w:b/>
          <w:bCs/>
        </w:rPr>
        <w:tab/>
      </w:r>
      <w:r w:rsidR="00E306D7">
        <w:rPr>
          <w:b/>
          <w:bCs/>
        </w:rPr>
        <w:t xml:space="preserve">Institutional Review Board (IRB) and </w:t>
      </w:r>
      <w:r w:rsidRPr="00C56746">
        <w:rPr>
          <w:b/>
          <w:bCs/>
        </w:rPr>
        <w:t>Justification for Sensitive Questions</w:t>
      </w:r>
    </w:p>
    <w:p w:rsidR="00963C2F" w:rsidP="00291FB8" w14:paraId="4DD18D9A" w14:textId="77777777">
      <w:pPr>
        <w:ind w:left="0" w:firstLine="0"/>
      </w:pPr>
      <w:bookmarkStart w:id="7" w:name="OLE_LINK9"/>
      <w:bookmarkStart w:id="8" w:name="OLE_LINK10"/>
      <w:r>
        <w:t>IRB Approval</w:t>
      </w:r>
    </w:p>
    <w:p w:rsidR="00963C2F" w:rsidP="00291FB8" w14:paraId="7B322582" w14:textId="7B5B2A45">
      <w:pPr>
        <w:ind w:left="0" w:firstLine="0"/>
      </w:pPr>
      <w:r>
        <w:t xml:space="preserve">Generic IC’s submitted </w:t>
      </w:r>
      <w:r w:rsidR="00D40156">
        <w:t>under this Generic Clearance</w:t>
      </w:r>
      <w:r w:rsidR="007855E2">
        <w:t xml:space="preserve"> for the Collection of Qualitative Feedback on Agency Service Delivery</w:t>
      </w:r>
      <w:r w:rsidR="00D40156">
        <w:t xml:space="preserve"> ICR </w:t>
      </w:r>
      <w:r>
        <w:t xml:space="preserve">will not require IRB </w:t>
      </w:r>
      <w:r w:rsidR="00E9661F">
        <w:t>approval but</w:t>
      </w:r>
      <w:r>
        <w:t xml:space="preserve"> will nonetheless be assessed for applicability. If necessary, the appropriate IRB approval will be obtained before commencement of any activity under this Generic Clearance.</w:t>
      </w:r>
      <w:r w:rsidRPr="00FD1EC9" w:rsidR="00FD1EC9">
        <w:t xml:space="preserve"> Projects that need IRB approval will be submitted with a </w:t>
      </w:r>
      <w:r w:rsidR="003A020B">
        <w:t xml:space="preserve">copy of the approval document.  </w:t>
      </w:r>
      <w:r w:rsidRPr="00C41149">
        <w:t xml:space="preserve">If the study has been determined to be exempt </w:t>
      </w:r>
      <w:r w:rsidR="00E34A1B">
        <w:t>from IRB,</w:t>
      </w:r>
      <w:r w:rsidRPr="00C41149">
        <w:t xml:space="preserve"> a copy of the exemption determination</w:t>
      </w:r>
      <w:r w:rsidRPr="007045F7" w:rsidR="007045F7">
        <w:t xml:space="preserve"> </w:t>
      </w:r>
      <w:r w:rsidR="007045F7">
        <w:t xml:space="preserve">will be </w:t>
      </w:r>
      <w:r w:rsidRPr="00C41149" w:rsidR="007045F7">
        <w:t>attached</w:t>
      </w:r>
      <w:r w:rsidR="005F1C86">
        <w:t>. If the appropriate CDC o</w:t>
      </w:r>
      <w:r w:rsidRPr="00C41149">
        <w:t>fficial has determined that the data/ information collection is not research involving human subjects,</w:t>
      </w:r>
      <w:r w:rsidR="007045F7">
        <w:t xml:space="preserve"> the information collection submitted under this generic clearance will</w:t>
      </w:r>
      <w:r w:rsidRPr="00C41149">
        <w:t xml:space="preserve"> state that IRB approval is not required</w:t>
      </w:r>
      <w:r w:rsidR="002003D7">
        <w:t>.</w:t>
      </w:r>
      <w:r w:rsidRPr="00C41149">
        <w:t xml:space="preserve"> </w:t>
      </w:r>
    </w:p>
    <w:p w:rsidR="00963C2F" w:rsidP="00291FB8" w14:paraId="4DD5E0E4" w14:textId="77777777">
      <w:pPr>
        <w:ind w:left="0" w:firstLine="0"/>
      </w:pPr>
      <w:r>
        <w:t>Sensitive Questions</w:t>
      </w:r>
    </w:p>
    <w:p w:rsidR="00253472" w:rsidRPr="00022A54" w:rsidP="00291FB8" w14:paraId="21215DA0" w14:textId="37865A5F">
      <w:pPr>
        <w:ind w:left="0" w:firstLine="0"/>
      </w:pPr>
      <w:r>
        <w:t>Questions of a sensitive nature are not applicable under this Generic Clearance. At times, however, t</w:t>
      </w:r>
      <w:r w:rsidRPr="00022A54">
        <w:t>he diseases that will be covered by th</w:t>
      </w:r>
      <w:r>
        <w:t>ese</w:t>
      </w:r>
      <w:r w:rsidR="006E0BD9">
        <w:t xml:space="preserve"> information collection</w:t>
      </w:r>
      <w:r>
        <w:t>s</w:t>
      </w:r>
      <w:r w:rsidRPr="00022A54">
        <w:t xml:space="preserve"> </w:t>
      </w:r>
      <w:r>
        <w:t xml:space="preserve">may </w:t>
      </w:r>
      <w:r w:rsidRPr="00022A54">
        <w:t xml:space="preserve">involve sexual attitudes and practices, use of illegal substances </w:t>
      </w:r>
      <w:r w:rsidR="002F5077">
        <w:t xml:space="preserve">or </w:t>
      </w:r>
      <w:r w:rsidRPr="00022A54">
        <w:t xml:space="preserve">other matters that are commonly considered private. Race and ethnicity data, as well as diagnoses of medical conditions that may affect employability or insurability may also be viewed as sensitive or even threatening by a portion of respondents. The reasons for collection of sensitive information and their application for the improvement of CDC’s prevention efforts for the specific population sub-group will be addressed in specific requests.  The procedures used to obtain consent and the content of the consent form will also be explained and justified.  In no case will a participant’s social security number be obtained.  </w:t>
      </w:r>
    </w:p>
    <w:bookmarkEnd w:id="7"/>
    <w:bookmarkEnd w:id="8"/>
    <w:p w:rsidR="00E049ED" w:rsidRPr="00022A54" w:rsidP="00E049ED" w14:paraId="181191F4" w14:textId="04C90F9F">
      <w:pPr>
        <w:tabs>
          <w:tab w:val="left" w:pos="0"/>
        </w:tabs>
        <w:spacing w:before="120"/>
        <w:rPr>
          <w:b/>
          <w:bCs/>
        </w:rPr>
      </w:pPr>
      <w:r>
        <w:rPr>
          <w:b/>
          <w:bCs/>
        </w:rPr>
        <w:t xml:space="preserve">12. </w:t>
      </w:r>
      <w:r w:rsidRPr="00022A54">
        <w:rPr>
          <w:b/>
          <w:bCs/>
        </w:rPr>
        <w:t xml:space="preserve">Estimates of Annualized Burden Hours and Costs </w:t>
      </w:r>
    </w:p>
    <w:p w:rsidR="00061916" w:rsidP="002B49B4" w14:paraId="7518F469" w14:textId="17AA76C2">
      <w:pPr>
        <w:ind w:left="0" w:firstLine="0"/>
        <w:rPr>
          <w:snapToGrid w:val="0"/>
        </w:rPr>
      </w:pPr>
      <w:r>
        <w:rPr>
          <w:snapToGrid w:val="0"/>
        </w:rPr>
        <w:t xml:space="preserve">A variety of instruments, platforms, and modalities will be used to collect information from </w:t>
      </w:r>
      <w:r w:rsidR="00F0192D">
        <w:rPr>
          <w:snapToGrid w:val="0"/>
        </w:rPr>
        <w:t>respondents and</w:t>
      </w:r>
      <w:r>
        <w:rPr>
          <w:snapToGrid w:val="0"/>
        </w:rPr>
        <w:t xml:space="preserve"> will vary </w:t>
      </w:r>
      <w:r w:rsidR="006E77FD">
        <w:rPr>
          <w:snapToGrid w:val="0"/>
        </w:rPr>
        <w:t>according to</w:t>
      </w:r>
      <w:r>
        <w:rPr>
          <w:snapToGrid w:val="0"/>
        </w:rPr>
        <w:t xml:space="preserve"> the </w:t>
      </w:r>
      <w:r w:rsidR="00F0192D">
        <w:rPr>
          <w:snapToGrid w:val="0"/>
        </w:rPr>
        <w:t xml:space="preserve">individual Generic IC submission. </w:t>
      </w:r>
      <w:r w:rsidRPr="002B49B4">
        <w:rPr>
          <w:snapToGrid w:val="0"/>
        </w:rPr>
        <w:t xml:space="preserve">The annualized response burden is estimated at </w:t>
      </w:r>
      <w:r w:rsidR="007855E2">
        <w:rPr>
          <w:snapToGrid w:val="0"/>
        </w:rPr>
        <w:t>9</w:t>
      </w:r>
      <w:r w:rsidR="005131F3">
        <w:rPr>
          <w:snapToGrid w:val="0"/>
        </w:rPr>
        <w:t>,</w:t>
      </w:r>
      <w:r w:rsidR="007855E2">
        <w:rPr>
          <w:snapToGrid w:val="0"/>
        </w:rPr>
        <w:t>69</w:t>
      </w:r>
      <w:r w:rsidR="005131F3">
        <w:rPr>
          <w:snapToGrid w:val="0"/>
        </w:rPr>
        <w:t>0</w:t>
      </w:r>
      <w:r w:rsidRPr="002B49B4">
        <w:rPr>
          <w:snapToGrid w:val="0"/>
        </w:rPr>
        <w:t xml:space="preserve"> hours. </w:t>
      </w:r>
    </w:p>
    <w:p w:rsidR="00F0192D" w:rsidP="002B49B4" w14:paraId="5C602D36" w14:textId="77777777">
      <w:pPr>
        <w:ind w:left="0" w:firstLine="0"/>
        <w:rPr>
          <w:snapToGrid w:val="0"/>
        </w:rPr>
      </w:pPr>
    </w:p>
    <w:p w:rsidR="002B49B4" w:rsidRPr="002B49B4" w:rsidP="00352929" w14:paraId="1FE936C5" w14:textId="5BE53164">
      <w:pPr>
        <w:keepNext/>
        <w:keepLines/>
        <w:spacing w:before="120"/>
        <w:ind w:left="1166" w:hanging="446"/>
        <w:rPr>
          <w:b/>
          <w:snapToGrid w:val="0"/>
        </w:rPr>
      </w:pPr>
      <w:r w:rsidRPr="002B49B4">
        <w:rPr>
          <w:b/>
          <w:snapToGrid w:val="0"/>
        </w:rPr>
        <w:t>12.</w:t>
      </w:r>
      <w:r w:rsidR="004E5183">
        <w:rPr>
          <w:b/>
          <w:snapToGrid w:val="0"/>
        </w:rPr>
        <w:t xml:space="preserve">A - </w:t>
      </w:r>
      <w:r w:rsidRPr="0060085C">
        <w:rPr>
          <w:b/>
          <w:snapToGrid w:val="0"/>
          <w:u w:val="single"/>
        </w:rPr>
        <w:t>Annualized Burden Hours</w:t>
      </w:r>
    </w:p>
    <w:tbl>
      <w:tblPr>
        <w:tblW w:w="0" w:type="auto"/>
        <w:tblLayout w:type="fixed"/>
        <w:tblCellMar>
          <w:left w:w="102" w:type="dxa"/>
          <w:right w:w="102" w:type="dxa"/>
        </w:tblCellMar>
        <w:tblLook w:val="0000"/>
      </w:tblPr>
      <w:tblGrid>
        <w:gridCol w:w="2802"/>
        <w:gridCol w:w="1440"/>
        <w:gridCol w:w="1890"/>
        <w:gridCol w:w="1530"/>
        <w:gridCol w:w="1350"/>
      </w:tblGrid>
      <w:tr w14:paraId="07774436" w14:textId="77777777" w:rsidTr="00712FEA">
        <w:tblPrEx>
          <w:tblW w:w="0" w:type="auto"/>
          <w:tblLayout w:type="fixed"/>
          <w:tblCellMar>
            <w:left w:w="102" w:type="dxa"/>
            <w:right w:w="102" w:type="dxa"/>
          </w:tblCellMar>
          <w:tblLook w:val="0000"/>
        </w:tblPrEx>
        <w:trPr>
          <w:trHeight w:val="777"/>
        </w:trPr>
        <w:tc>
          <w:tcPr>
            <w:tcW w:w="2802" w:type="dxa"/>
            <w:tcBorders>
              <w:top w:val="single" w:sz="6" w:space="0" w:color="000000"/>
              <w:left w:val="single" w:sz="6" w:space="0" w:color="000000"/>
              <w:bottom w:val="single" w:sz="6" w:space="0" w:color="FFFFFF"/>
              <w:right w:val="single" w:sz="6" w:space="0" w:color="FFFFFF"/>
            </w:tcBorders>
            <w:vAlign w:val="center"/>
          </w:tcPr>
          <w:p w:rsidR="00F0192D" w:rsidRPr="00F0192D" w:rsidP="00F0192D" w14:paraId="478A2DE9" w14:textId="77777777">
            <w:pPr>
              <w:spacing w:after="0"/>
              <w:ind w:left="0" w:firstLine="0"/>
              <w:jc w:val="center"/>
            </w:pPr>
          </w:p>
          <w:p w:rsidR="00F0192D" w:rsidRPr="00F0192D" w:rsidP="00F0192D" w14:paraId="1B101BB0" w14:textId="77777777">
            <w:pPr>
              <w:tabs>
                <w:tab w:val="left" w:pos="-1080"/>
                <w:tab w:val="left" w:pos="-720"/>
                <w:tab w:val="left" w:pos="0"/>
                <w:tab w:val="left" w:pos="450"/>
                <w:tab w:val="left" w:pos="720"/>
                <w:tab w:val="left" w:pos="2160"/>
              </w:tabs>
              <w:spacing w:after="0"/>
              <w:ind w:left="0" w:firstLine="0"/>
              <w:jc w:val="center"/>
            </w:pPr>
            <w:r w:rsidRPr="00F0192D">
              <w:t>Type of Collection</w:t>
            </w:r>
          </w:p>
        </w:tc>
        <w:tc>
          <w:tcPr>
            <w:tcW w:w="1440" w:type="dxa"/>
            <w:tcBorders>
              <w:top w:val="single" w:sz="6" w:space="0" w:color="000000"/>
              <w:left w:val="single" w:sz="6" w:space="0" w:color="000000"/>
              <w:bottom w:val="single" w:sz="6" w:space="0" w:color="FFFFFF"/>
              <w:right w:val="single" w:sz="6" w:space="0" w:color="FFFFFF"/>
            </w:tcBorders>
            <w:vAlign w:val="center"/>
          </w:tcPr>
          <w:p w:rsidR="00F0192D" w:rsidRPr="00F0192D" w:rsidP="00F0192D" w14:paraId="5402F2D2" w14:textId="77777777">
            <w:pPr>
              <w:spacing w:after="0"/>
              <w:ind w:left="0" w:firstLine="0"/>
              <w:jc w:val="center"/>
            </w:pPr>
          </w:p>
          <w:p w:rsidR="00F0192D" w:rsidRPr="00F0192D" w:rsidP="00F0192D" w14:paraId="102A51DC" w14:textId="77777777">
            <w:pPr>
              <w:tabs>
                <w:tab w:val="left" w:pos="-1080"/>
                <w:tab w:val="left" w:pos="-720"/>
                <w:tab w:val="left" w:pos="0"/>
                <w:tab w:val="left" w:pos="450"/>
                <w:tab w:val="left" w:pos="720"/>
                <w:tab w:val="left" w:pos="2160"/>
              </w:tabs>
              <w:spacing w:after="0"/>
              <w:ind w:left="0" w:firstLine="0"/>
              <w:jc w:val="center"/>
            </w:pPr>
            <w:r w:rsidRPr="00F0192D">
              <w:t>No. of Respondents</w:t>
            </w:r>
          </w:p>
        </w:tc>
        <w:tc>
          <w:tcPr>
            <w:tcW w:w="1890" w:type="dxa"/>
            <w:tcBorders>
              <w:top w:val="single" w:sz="6" w:space="0" w:color="000000"/>
              <w:left w:val="single" w:sz="6" w:space="0" w:color="000000"/>
              <w:bottom w:val="single" w:sz="6" w:space="0" w:color="FFFFFF"/>
              <w:right w:val="single" w:sz="6" w:space="0" w:color="FFFFFF"/>
            </w:tcBorders>
            <w:vAlign w:val="center"/>
          </w:tcPr>
          <w:p w:rsidR="00F0192D" w:rsidRPr="00F0192D" w:rsidP="00F0192D" w14:paraId="42932A28" w14:textId="77777777">
            <w:pPr>
              <w:spacing w:after="0"/>
              <w:ind w:left="0" w:firstLine="0"/>
              <w:jc w:val="center"/>
            </w:pPr>
          </w:p>
          <w:p w:rsidR="00F0192D" w:rsidRPr="00F0192D" w:rsidP="00F0192D" w14:paraId="22C51414" w14:textId="77777777">
            <w:pPr>
              <w:tabs>
                <w:tab w:val="left" w:pos="-1080"/>
                <w:tab w:val="left" w:pos="-720"/>
                <w:tab w:val="left" w:pos="0"/>
                <w:tab w:val="left" w:pos="450"/>
                <w:tab w:val="left" w:pos="720"/>
                <w:tab w:val="left" w:pos="2160"/>
              </w:tabs>
              <w:spacing w:after="0"/>
              <w:ind w:left="0" w:firstLine="0"/>
              <w:jc w:val="center"/>
            </w:pPr>
            <w:r w:rsidRPr="00F0192D">
              <w:t>Annual Frequency per Response</w:t>
            </w:r>
          </w:p>
        </w:tc>
        <w:tc>
          <w:tcPr>
            <w:tcW w:w="1530" w:type="dxa"/>
            <w:tcBorders>
              <w:top w:val="single" w:sz="6" w:space="0" w:color="000000"/>
              <w:left w:val="single" w:sz="6" w:space="0" w:color="000000"/>
              <w:bottom w:val="single" w:sz="6" w:space="0" w:color="FFFFFF"/>
              <w:right w:val="single" w:sz="6" w:space="0" w:color="FFFFFF"/>
            </w:tcBorders>
            <w:vAlign w:val="center"/>
          </w:tcPr>
          <w:p w:rsidR="00F0192D" w:rsidRPr="00F0192D" w:rsidP="00F0192D" w14:paraId="7DA00B0B" w14:textId="77777777">
            <w:pPr>
              <w:spacing w:after="0"/>
              <w:ind w:left="0" w:firstLine="0"/>
              <w:jc w:val="center"/>
            </w:pPr>
          </w:p>
          <w:p w:rsidR="00F0192D" w:rsidRPr="00F0192D" w:rsidP="00F0192D" w14:paraId="7FD4A5A5" w14:textId="77777777">
            <w:pPr>
              <w:tabs>
                <w:tab w:val="left" w:pos="-1080"/>
                <w:tab w:val="left" w:pos="-720"/>
                <w:tab w:val="left" w:pos="0"/>
                <w:tab w:val="left" w:pos="450"/>
                <w:tab w:val="left" w:pos="720"/>
                <w:tab w:val="left" w:pos="2160"/>
              </w:tabs>
              <w:spacing w:after="0"/>
              <w:ind w:left="0" w:firstLine="0"/>
              <w:jc w:val="center"/>
            </w:pPr>
            <w:r w:rsidRPr="00F0192D">
              <w:t>Hours per Response</w:t>
            </w:r>
          </w:p>
        </w:tc>
        <w:tc>
          <w:tcPr>
            <w:tcW w:w="1350" w:type="dxa"/>
            <w:tcBorders>
              <w:top w:val="single" w:sz="6" w:space="0" w:color="000000"/>
              <w:left w:val="single" w:sz="6" w:space="0" w:color="000000"/>
              <w:bottom w:val="single" w:sz="6" w:space="0" w:color="FFFFFF"/>
              <w:right w:val="single" w:sz="6" w:space="0" w:color="000000"/>
            </w:tcBorders>
            <w:vAlign w:val="center"/>
          </w:tcPr>
          <w:p w:rsidR="00F0192D" w:rsidRPr="00F0192D" w:rsidP="00F0192D" w14:paraId="1BE3A680" w14:textId="77777777">
            <w:pPr>
              <w:spacing w:after="0"/>
              <w:ind w:left="0" w:firstLine="0"/>
              <w:jc w:val="center"/>
            </w:pPr>
            <w:r w:rsidRPr="00F0192D">
              <w:t>Total Hours</w:t>
            </w:r>
          </w:p>
        </w:tc>
      </w:tr>
      <w:tr w14:paraId="3236815D" w14:textId="77777777" w:rsidTr="00712FEA">
        <w:tblPrEx>
          <w:tblW w:w="0" w:type="auto"/>
          <w:tblLayout w:type="fixed"/>
          <w:tblCellMar>
            <w:left w:w="102" w:type="dxa"/>
            <w:right w:w="102" w:type="dxa"/>
          </w:tblCellMar>
          <w:tblLook w:val="0000"/>
        </w:tblPrEx>
        <w:trPr>
          <w:trHeight w:val="759"/>
        </w:trPr>
        <w:tc>
          <w:tcPr>
            <w:tcW w:w="2802" w:type="dxa"/>
            <w:tcBorders>
              <w:top w:val="single" w:sz="6" w:space="0" w:color="000000"/>
              <w:left w:val="single" w:sz="6" w:space="0" w:color="000000"/>
              <w:bottom w:val="single" w:sz="6" w:space="0" w:color="000000"/>
              <w:right w:val="single" w:sz="6" w:space="0" w:color="FFFFFF"/>
            </w:tcBorders>
            <w:vAlign w:val="bottom"/>
          </w:tcPr>
          <w:p w:rsidR="00F0192D" w:rsidRPr="00F0192D" w:rsidP="00F0192D" w14:paraId="05807894" w14:textId="77777777">
            <w:pPr>
              <w:tabs>
                <w:tab w:val="left" w:pos="-1080"/>
                <w:tab w:val="left" w:pos="-720"/>
                <w:tab w:val="left" w:pos="0"/>
                <w:tab w:val="left" w:pos="450"/>
                <w:tab w:val="left" w:pos="720"/>
                <w:tab w:val="left" w:pos="2160"/>
              </w:tabs>
              <w:spacing w:after="200" w:line="276" w:lineRule="auto"/>
              <w:ind w:left="0" w:firstLine="0"/>
            </w:pPr>
            <w:r w:rsidRPr="00F0192D">
              <w:t>Online surveys</w:t>
            </w:r>
          </w:p>
        </w:tc>
        <w:tc>
          <w:tcPr>
            <w:tcW w:w="1440" w:type="dxa"/>
            <w:tcBorders>
              <w:top w:val="single" w:sz="6" w:space="0" w:color="000000"/>
              <w:left w:val="single" w:sz="6" w:space="0" w:color="000000"/>
              <w:bottom w:val="single" w:sz="6" w:space="0" w:color="000000"/>
              <w:right w:val="single" w:sz="6" w:space="0" w:color="FFFFFF"/>
            </w:tcBorders>
            <w:vAlign w:val="center"/>
          </w:tcPr>
          <w:p w:rsidR="00F0192D" w:rsidRPr="00F0192D" w:rsidP="00F0192D" w14:paraId="2C9E78A5" w14:textId="568454B0">
            <w:pPr>
              <w:tabs>
                <w:tab w:val="left" w:pos="-1080"/>
                <w:tab w:val="left" w:pos="-720"/>
                <w:tab w:val="left" w:pos="0"/>
                <w:tab w:val="left" w:pos="450"/>
                <w:tab w:val="left" w:pos="720"/>
                <w:tab w:val="left" w:pos="2160"/>
              </w:tabs>
              <w:spacing w:after="0"/>
              <w:ind w:left="0" w:firstLine="0"/>
              <w:jc w:val="center"/>
            </w:pPr>
            <w:r w:rsidRPr="00F0192D">
              <w:t>10</w:t>
            </w:r>
            <w:r w:rsidR="00995D9B">
              <w:t>,</w:t>
            </w:r>
            <w:r w:rsidRPr="00F0192D">
              <w:t>500</w:t>
            </w:r>
          </w:p>
        </w:tc>
        <w:tc>
          <w:tcPr>
            <w:tcW w:w="1890" w:type="dxa"/>
            <w:tcBorders>
              <w:top w:val="single" w:sz="6" w:space="0" w:color="000000"/>
              <w:left w:val="single" w:sz="6" w:space="0" w:color="000000"/>
              <w:bottom w:val="single" w:sz="6" w:space="0" w:color="000000"/>
              <w:right w:val="single" w:sz="6" w:space="0" w:color="FFFFFF"/>
            </w:tcBorders>
            <w:vAlign w:val="center"/>
          </w:tcPr>
          <w:p w:rsidR="00F0192D" w:rsidRPr="00F0192D" w:rsidP="00F0192D" w14:paraId="5687123B" w14:textId="77777777">
            <w:pPr>
              <w:tabs>
                <w:tab w:val="left" w:pos="-1080"/>
                <w:tab w:val="left" w:pos="-720"/>
                <w:tab w:val="left" w:pos="0"/>
                <w:tab w:val="left" w:pos="450"/>
                <w:tab w:val="left" w:pos="720"/>
                <w:tab w:val="left" w:pos="2160"/>
              </w:tabs>
              <w:spacing w:after="0"/>
              <w:ind w:left="0" w:firstLine="0"/>
              <w:jc w:val="center"/>
            </w:pPr>
            <w:r w:rsidRPr="00F0192D">
              <w:t>1</w:t>
            </w:r>
          </w:p>
        </w:tc>
        <w:tc>
          <w:tcPr>
            <w:tcW w:w="1530" w:type="dxa"/>
            <w:tcBorders>
              <w:top w:val="single" w:sz="6" w:space="0" w:color="000000"/>
              <w:left w:val="single" w:sz="6" w:space="0" w:color="000000"/>
              <w:bottom w:val="single" w:sz="6" w:space="0" w:color="000000"/>
              <w:right w:val="single" w:sz="6" w:space="0" w:color="FFFFFF"/>
            </w:tcBorders>
            <w:vAlign w:val="center"/>
          </w:tcPr>
          <w:p w:rsidR="00F0192D" w:rsidRPr="00F0192D" w:rsidP="00F0192D" w14:paraId="16D3356E" w14:textId="77777777">
            <w:pPr>
              <w:tabs>
                <w:tab w:val="left" w:pos="-1080"/>
                <w:tab w:val="left" w:pos="-720"/>
                <w:tab w:val="left" w:pos="0"/>
                <w:tab w:val="left" w:pos="450"/>
                <w:tab w:val="left" w:pos="720"/>
                <w:tab w:val="left" w:pos="2160"/>
              </w:tabs>
              <w:spacing w:after="0"/>
              <w:ind w:left="0" w:firstLine="0"/>
              <w:jc w:val="center"/>
            </w:pPr>
            <w:r w:rsidRPr="00F0192D">
              <w:t>30/60</w:t>
            </w:r>
          </w:p>
        </w:tc>
        <w:tc>
          <w:tcPr>
            <w:tcW w:w="1350" w:type="dxa"/>
            <w:tcBorders>
              <w:top w:val="single" w:sz="6" w:space="0" w:color="000000"/>
              <w:left w:val="single" w:sz="6" w:space="0" w:color="000000"/>
              <w:bottom w:val="single" w:sz="6" w:space="0" w:color="000000"/>
              <w:right w:val="single" w:sz="6" w:space="0" w:color="000000"/>
            </w:tcBorders>
            <w:vAlign w:val="center"/>
          </w:tcPr>
          <w:p w:rsidR="00F0192D" w:rsidRPr="00F0192D" w:rsidP="00F0192D" w14:paraId="3FB58830" w14:textId="2DB1D142">
            <w:pPr>
              <w:tabs>
                <w:tab w:val="left" w:pos="-1080"/>
                <w:tab w:val="left" w:pos="-720"/>
                <w:tab w:val="left" w:pos="0"/>
                <w:tab w:val="left" w:pos="450"/>
                <w:tab w:val="left" w:pos="720"/>
                <w:tab w:val="left" w:pos="2160"/>
              </w:tabs>
              <w:spacing w:after="0"/>
              <w:ind w:left="0" w:firstLine="0"/>
              <w:jc w:val="center"/>
            </w:pPr>
            <w:r w:rsidRPr="00F0192D">
              <w:t>5</w:t>
            </w:r>
            <w:r w:rsidR="00995D9B">
              <w:t>,</w:t>
            </w:r>
            <w:r w:rsidRPr="00F0192D">
              <w:t>250</w:t>
            </w:r>
          </w:p>
        </w:tc>
      </w:tr>
      <w:tr w14:paraId="2F3A676C" w14:textId="77777777" w:rsidTr="00712FEA">
        <w:tblPrEx>
          <w:tblW w:w="0" w:type="auto"/>
          <w:tblLayout w:type="fixed"/>
          <w:tblCellMar>
            <w:left w:w="102" w:type="dxa"/>
            <w:right w:w="102" w:type="dxa"/>
          </w:tblCellMar>
          <w:tblLook w:val="0000"/>
        </w:tblPrEx>
        <w:tc>
          <w:tcPr>
            <w:tcW w:w="2802" w:type="dxa"/>
            <w:tcBorders>
              <w:top w:val="single" w:sz="6" w:space="0" w:color="000000"/>
              <w:left w:val="single" w:sz="6" w:space="0" w:color="000000"/>
              <w:bottom w:val="single" w:sz="6" w:space="0" w:color="000000"/>
              <w:right w:val="single" w:sz="6" w:space="0" w:color="FFFFFF"/>
            </w:tcBorders>
            <w:vAlign w:val="bottom"/>
          </w:tcPr>
          <w:p w:rsidR="00F0192D" w:rsidRPr="00F0192D" w:rsidP="00F0192D" w14:paraId="700DA426" w14:textId="77777777">
            <w:pPr>
              <w:spacing w:after="200" w:line="276" w:lineRule="auto"/>
              <w:ind w:left="0" w:firstLine="0"/>
            </w:pPr>
            <w:r w:rsidRPr="00F0192D">
              <w:t>Discussion Groups</w:t>
            </w:r>
          </w:p>
        </w:tc>
        <w:tc>
          <w:tcPr>
            <w:tcW w:w="1440" w:type="dxa"/>
            <w:tcBorders>
              <w:top w:val="single" w:sz="6" w:space="0" w:color="000000"/>
              <w:left w:val="single" w:sz="6" w:space="0" w:color="000000"/>
              <w:bottom w:val="single" w:sz="6" w:space="0" w:color="000000"/>
              <w:right w:val="single" w:sz="6" w:space="0" w:color="FFFFFF"/>
            </w:tcBorders>
            <w:vAlign w:val="bottom"/>
          </w:tcPr>
          <w:p w:rsidR="00F0192D" w:rsidRPr="00F0192D" w:rsidP="00F0192D" w14:paraId="565F3E10" w14:textId="77777777">
            <w:pPr>
              <w:tabs>
                <w:tab w:val="left" w:pos="-1080"/>
                <w:tab w:val="left" w:pos="-720"/>
                <w:tab w:val="left" w:pos="0"/>
                <w:tab w:val="left" w:pos="450"/>
                <w:tab w:val="left" w:pos="720"/>
                <w:tab w:val="left" w:pos="2160"/>
              </w:tabs>
              <w:spacing w:after="200" w:line="276" w:lineRule="auto"/>
              <w:ind w:left="0" w:firstLine="0"/>
              <w:jc w:val="center"/>
            </w:pPr>
            <w:r w:rsidRPr="00F0192D">
              <w:t>280</w:t>
            </w:r>
          </w:p>
        </w:tc>
        <w:tc>
          <w:tcPr>
            <w:tcW w:w="1890" w:type="dxa"/>
            <w:tcBorders>
              <w:top w:val="single" w:sz="6" w:space="0" w:color="000000"/>
              <w:left w:val="single" w:sz="6" w:space="0" w:color="000000"/>
              <w:bottom w:val="single" w:sz="6" w:space="0" w:color="000000"/>
              <w:right w:val="single" w:sz="6" w:space="0" w:color="FFFFFF"/>
            </w:tcBorders>
            <w:vAlign w:val="bottom"/>
          </w:tcPr>
          <w:p w:rsidR="00F0192D" w:rsidRPr="00F0192D" w:rsidP="00F0192D" w14:paraId="1EDCDA2F" w14:textId="77777777">
            <w:pPr>
              <w:tabs>
                <w:tab w:val="left" w:pos="-1080"/>
                <w:tab w:val="left" w:pos="-720"/>
                <w:tab w:val="left" w:pos="0"/>
                <w:tab w:val="left" w:pos="450"/>
                <w:tab w:val="left" w:pos="720"/>
                <w:tab w:val="left" w:pos="2160"/>
              </w:tabs>
              <w:spacing w:after="200" w:line="276" w:lineRule="auto"/>
              <w:ind w:left="0" w:firstLine="0"/>
              <w:jc w:val="center"/>
            </w:pPr>
            <w:r w:rsidRPr="00F0192D">
              <w:t>1</w:t>
            </w:r>
          </w:p>
        </w:tc>
        <w:tc>
          <w:tcPr>
            <w:tcW w:w="1530" w:type="dxa"/>
            <w:tcBorders>
              <w:top w:val="single" w:sz="6" w:space="0" w:color="000000"/>
              <w:left w:val="single" w:sz="6" w:space="0" w:color="000000"/>
              <w:bottom w:val="single" w:sz="6" w:space="0" w:color="000000"/>
              <w:right w:val="single" w:sz="6" w:space="0" w:color="FFFFFF"/>
            </w:tcBorders>
            <w:vAlign w:val="bottom"/>
          </w:tcPr>
          <w:p w:rsidR="00F0192D" w:rsidRPr="00F0192D" w:rsidP="00F0192D" w14:paraId="19AB05E8" w14:textId="77777777">
            <w:pPr>
              <w:tabs>
                <w:tab w:val="left" w:pos="-1080"/>
                <w:tab w:val="left" w:pos="-720"/>
                <w:tab w:val="left" w:pos="0"/>
                <w:tab w:val="left" w:pos="450"/>
                <w:tab w:val="left" w:pos="720"/>
                <w:tab w:val="left" w:pos="2160"/>
              </w:tabs>
              <w:spacing w:after="200" w:line="276" w:lineRule="auto"/>
              <w:ind w:left="0" w:firstLine="0"/>
              <w:jc w:val="center"/>
            </w:pPr>
            <w:r w:rsidRPr="00F0192D">
              <w:t>2</w:t>
            </w:r>
          </w:p>
        </w:tc>
        <w:tc>
          <w:tcPr>
            <w:tcW w:w="1350" w:type="dxa"/>
            <w:tcBorders>
              <w:top w:val="single" w:sz="6" w:space="0" w:color="000000"/>
              <w:left w:val="single" w:sz="6" w:space="0" w:color="000000"/>
              <w:bottom w:val="single" w:sz="6" w:space="0" w:color="000000"/>
              <w:right w:val="single" w:sz="6" w:space="0" w:color="000000"/>
            </w:tcBorders>
            <w:vAlign w:val="bottom"/>
          </w:tcPr>
          <w:p w:rsidR="00F0192D" w:rsidRPr="00F0192D" w:rsidP="00F0192D" w14:paraId="510E5E09" w14:textId="77777777">
            <w:pPr>
              <w:tabs>
                <w:tab w:val="left" w:pos="-1080"/>
                <w:tab w:val="left" w:pos="-720"/>
                <w:tab w:val="left" w:pos="0"/>
                <w:tab w:val="left" w:pos="450"/>
                <w:tab w:val="left" w:pos="720"/>
                <w:tab w:val="left" w:pos="2160"/>
              </w:tabs>
              <w:spacing w:after="200" w:line="276" w:lineRule="auto"/>
              <w:ind w:left="0" w:firstLine="0"/>
              <w:jc w:val="center"/>
            </w:pPr>
            <w:r w:rsidRPr="00F0192D">
              <w:t>560</w:t>
            </w:r>
          </w:p>
        </w:tc>
      </w:tr>
      <w:tr w14:paraId="20F3D98F" w14:textId="77777777" w:rsidTr="00712FEA">
        <w:tblPrEx>
          <w:tblW w:w="0" w:type="auto"/>
          <w:tblLayout w:type="fixed"/>
          <w:tblCellMar>
            <w:left w:w="102" w:type="dxa"/>
            <w:right w:w="102" w:type="dxa"/>
          </w:tblCellMar>
          <w:tblLook w:val="0000"/>
        </w:tblPrEx>
        <w:tc>
          <w:tcPr>
            <w:tcW w:w="2802" w:type="dxa"/>
            <w:tcBorders>
              <w:top w:val="single" w:sz="6" w:space="0" w:color="000000"/>
              <w:left w:val="single" w:sz="6" w:space="0" w:color="000000"/>
              <w:bottom w:val="single" w:sz="6" w:space="0" w:color="000000"/>
              <w:right w:val="single" w:sz="6" w:space="0" w:color="FFFFFF"/>
            </w:tcBorders>
            <w:vAlign w:val="bottom"/>
          </w:tcPr>
          <w:p w:rsidR="00F0192D" w:rsidRPr="00F0192D" w:rsidP="00F0192D" w14:paraId="6E9E6024" w14:textId="77777777">
            <w:pPr>
              <w:spacing w:after="200" w:line="276" w:lineRule="auto"/>
              <w:ind w:left="0" w:firstLine="0"/>
            </w:pPr>
            <w:r w:rsidRPr="00F0192D">
              <w:t>Focus groups</w:t>
            </w:r>
          </w:p>
        </w:tc>
        <w:tc>
          <w:tcPr>
            <w:tcW w:w="1440" w:type="dxa"/>
            <w:tcBorders>
              <w:top w:val="single" w:sz="6" w:space="0" w:color="000000"/>
              <w:left w:val="single" w:sz="6" w:space="0" w:color="000000"/>
              <w:bottom w:val="single" w:sz="6" w:space="0" w:color="000000"/>
              <w:right w:val="single" w:sz="6" w:space="0" w:color="FFFFFF"/>
            </w:tcBorders>
            <w:vAlign w:val="bottom"/>
          </w:tcPr>
          <w:p w:rsidR="00F0192D" w:rsidRPr="00F0192D" w:rsidP="00F0192D" w14:paraId="4CDB30F9" w14:textId="77777777">
            <w:pPr>
              <w:tabs>
                <w:tab w:val="left" w:pos="-1080"/>
                <w:tab w:val="left" w:pos="-720"/>
                <w:tab w:val="left" w:pos="0"/>
                <w:tab w:val="left" w:pos="450"/>
                <w:tab w:val="left" w:pos="720"/>
                <w:tab w:val="left" w:pos="2160"/>
              </w:tabs>
              <w:spacing w:after="200" w:line="276" w:lineRule="auto"/>
              <w:ind w:left="0" w:firstLine="0"/>
              <w:jc w:val="center"/>
            </w:pPr>
            <w:r w:rsidRPr="00F0192D">
              <w:t>640</w:t>
            </w:r>
          </w:p>
        </w:tc>
        <w:tc>
          <w:tcPr>
            <w:tcW w:w="1890" w:type="dxa"/>
            <w:tcBorders>
              <w:top w:val="single" w:sz="6" w:space="0" w:color="000000"/>
              <w:left w:val="single" w:sz="6" w:space="0" w:color="000000"/>
              <w:bottom w:val="single" w:sz="6" w:space="0" w:color="000000"/>
              <w:right w:val="single" w:sz="6" w:space="0" w:color="FFFFFF"/>
            </w:tcBorders>
            <w:vAlign w:val="bottom"/>
          </w:tcPr>
          <w:p w:rsidR="00F0192D" w:rsidRPr="00F0192D" w:rsidP="00F0192D" w14:paraId="0FF2AFE1" w14:textId="77777777">
            <w:pPr>
              <w:tabs>
                <w:tab w:val="left" w:pos="-1080"/>
                <w:tab w:val="left" w:pos="-720"/>
                <w:tab w:val="left" w:pos="0"/>
                <w:tab w:val="left" w:pos="450"/>
                <w:tab w:val="left" w:pos="720"/>
                <w:tab w:val="left" w:pos="2160"/>
              </w:tabs>
              <w:spacing w:after="200" w:line="276" w:lineRule="auto"/>
              <w:ind w:left="0" w:firstLine="0"/>
              <w:jc w:val="center"/>
            </w:pPr>
            <w:r w:rsidRPr="00F0192D">
              <w:t>1</w:t>
            </w:r>
          </w:p>
        </w:tc>
        <w:tc>
          <w:tcPr>
            <w:tcW w:w="1530" w:type="dxa"/>
            <w:tcBorders>
              <w:top w:val="single" w:sz="6" w:space="0" w:color="000000"/>
              <w:left w:val="single" w:sz="6" w:space="0" w:color="000000"/>
              <w:bottom w:val="single" w:sz="6" w:space="0" w:color="000000"/>
              <w:right w:val="single" w:sz="6" w:space="0" w:color="FFFFFF"/>
            </w:tcBorders>
            <w:vAlign w:val="bottom"/>
          </w:tcPr>
          <w:p w:rsidR="00F0192D" w:rsidRPr="00F0192D" w:rsidP="00F0192D" w14:paraId="6C520208" w14:textId="77777777">
            <w:pPr>
              <w:tabs>
                <w:tab w:val="left" w:pos="-1080"/>
                <w:tab w:val="left" w:pos="-720"/>
                <w:tab w:val="left" w:pos="0"/>
                <w:tab w:val="left" w:pos="450"/>
                <w:tab w:val="left" w:pos="720"/>
                <w:tab w:val="left" w:pos="2160"/>
              </w:tabs>
              <w:spacing w:after="200" w:line="276" w:lineRule="auto"/>
              <w:ind w:left="0" w:firstLine="0"/>
              <w:jc w:val="center"/>
            </w:pPr>
            <w:r w:rsidRPr="00F0192D">
              <w:t>2</w:t>
            </w:r>
          </w:p>
        </w:tc>
        <w:tc>
          <w:tcPr>
            <w:tcW w:w="1350" w:type="dxa"/>
            <w:tcBorders>
              <w:top w:val="single" w:sz="6" w:space="0" w:color="000000"/>
              <w:left w:val="single" w:sz="6" w:space="0" w:color="000000"/>
              <w:bottom w:val="single" w:sz="6" w:space="0" w:color="000000"/>
              <w:right w:val="single" w:sz="6" w:space="0" w:color="000000"/>
            </w:tcBorders>
            <w:vAlign w:val="bottom"/>
          </w:tcPr>
          <w:p w:rsidR="00F0192D" w:rsidRPr="00F0192D" w:rsidP="00F0192D" w14:paraId="2124EF0F" w14:textId="19B5AB58">
            <w:pPr>
              <w:tabs>
                <w:tab w:val="left" w:pos="-1080"/>
                <w:tab w:val="left" w:pos="-720"/>
                <w:tab w:val="left" w:pos="0"/>
                <w:tab w:val="left" w:pos="450"/>
                <w:tab w:val="left" w:pos="720"/>
                <w:tab w:val="left" w:pos="2160"/>
              </w:tabs>
              <w:spacing w:after="200" w:line="276" w:lineRule="auto"/>
              <w:ind w:left="0" w:firstLine="0"/>
              <w:jc w:val="center"/>
            </w:pPr>
            <w:r w:rsidRPr="00F0192D">
              <w:t>1</w:t>
            </w:r>
            <w:r w:rsidR="00995D9B">
              <w:t>,</w:t>
            </w:r>
            <w:r w:rsidRPr="00F0192D">
              <w:t>280</w:t>
            </w:r>
          </w:p>
        </w:tc>
      </w:tr>
      <w:tr w14:paraId="1BCF94DC" w14:textId="77777777" w:rsidTr="00712FEA">
        <w:tblPrEx>
          <w:tblW w:w="0" w:type="auto"/>
          <w:tblLayout w:type="fixed"/>
          <w:tblCellMar>
            <w:left w:w="102" w:type="dxa"/>
            <w:right w:w="102" w:type="dxa"/>
          </w:tblCellMar>
          <w:tblLook w:val="0000"/>
        </w:tblPrEx>
        <w:tc>
          <w:tcPr>
            <w:tcW w:w="2802" w:type="dxa"/>
            <w:tcBorders>
              <w:top w:val="single" w:sz="6" w:space="0" w:color="000000"/>
              <w:left w:val="single" w:sz="6" w:space="0" w:color="000000"/>
              <w:bottom w:val="single" w:sz="6" w:space="0" w:color="000000"/>
              <w:right w:val="single" w:sz="6" w:space="0" w:color="FFFFFF"/>
            </w:tcBorders>
            <w:vAlign w:val="bottom"/>
          </w:tcPr>
          <w:p w:rsidR="00F0192D" w:rsidRPr="00F0192D" w:rsidP="00F0192D" w14:paraId="45EE04E3" w14:textId="77777777">
            <w:pPr>
              <w:spacing w:after="200" w:line="276" w:lineRule="auto"/>
              <w:ind w:left="0" w:firstLine="0"/>
            </w:pPr>
            <w:r w:rsidRPr="00F0192D">
              <w:t>Website/app usability testing</w:t>
            </w:r>
          </w:p>
        </w:tc>
        <w:tc>
          <w:tcPr>
            <w:tcW w:w="1440" w:type="dxa"/>
            <w:tcBorders>
              <w:top w:val="single" w:sz="6" w:space="0" w:color="000000"/>
              <w:left w:val="single" w:sz="6" w:space="0" w:color="000000"/>
              <w:bottom w:val="single" w:sz="6" w:space="0" w:color="000000"/>
              <w:right w:val="single" w:sz="6" w:space="0" w:color="FFFFFF"/>
            </w:tcBorders>
            <w:vAlign w:val="bottom"/>
          </w:tcPr>
          <w:p w:rsidR="00F0192D" w:rsidRPr="00F0192D" w:rsidP="00F0192D" w14:paraId="573E4C4F" w14:textId="2F6FDD35">
            <w:pPr>
              <w:tabs>
                <w:tab w:val="left" w:pos="-1080"/>
                <w:tab w:val="left" w:pos="-720"/>
                <w:tab w:val="left" w:pos="0"/>
                <w:tab w:val="left" w:pos="450"/>
                <w:tab w:val="left" w:pos="720"/>
                <w:tab w:val="left" w:pos="2160"/>
              </w:tabs>
              <w:spacing w:after="200" w:line="276" w:lineRule="auto"/>
              <w:ind w:left="0" w:firstLine="0"/>
              <w:jc w:val="center"/>
            </w:pPr>
            <w:r w:rsidRPr="00F0192D">
              <w:t>2</w:t>
            </w:r>
            <w:r w:rsidR="00995D9B">
              <w:t>,</w:t>
            </w:r>
            <w:r w:rsidRPr="00F0192D">
              <w:t>000</w:t>
            </w:r>
          </w:p>
        </w:tc>
        <w:tc>
          <w:tcPr>
            <w:tcW w:w="1890" w:type="dxa"/>
            <w:tcBorders>
              <w:top w:val="single" w:sz="6" w:space="0" w:color="000000"/>
              <w:left w:val="single" w:sz="6" w:space="0" w:color="000000"/>
              <w:bottom w:val="single" w:sz="6" w:space="0" w:color="000000"/>
              <w:right w:val="single" w:sz="6" w:space="0" w:color="FFFFFF"/>
            </w:tcBorders>
            <w:vAlign w:val="bottom"/>
          </w:tcPr>
          <w:p w:rsidR="00F0192D" w:rsidRPr="00F0192D" w:rsidP="00F0192D" w14:paraId="0C02565B" w14:textId="77777777">
            <w:pPr>
              <w:tabs>
                <w:tab w:val="left" w:pos="-1080"/>
                <w:tab w:val="left" w:pos="-720"/>
                <w:tab w:val="left" w:pos="0"/>
                <w:tab w:val="left" w:pos="450"/>
                <w:tab w:val="left" w:pos="720"/>
                <w:tab w:val="left" w:pos="2160"/>
              </w:tabs>
              <w:spacing w:after="200" w:line="276" w:lineRule="auto"/>
              <w:ind w:left="0" w:firstLine="0"/>
              <w:jc w:val="center"/>
            </w:pPr>
            <w:r w:rsidRPr="00F0192D">
              <w:t>1</w:t>
            </w:r>
          </w:p>
        </w:tc>
        <w:tc>
          <w:tcPr>
            <w:tcW w:w="1530" w:type="dxa"/>
            <w:tcBorders>
              <w:top w:val="single" w:sz="6" w:space="0" w:color="000000"/>
              <w:left w:val="single" w:sz="6" w:space="0" w:color="000000"/>
              <w:bottom w:val="single" w:sz="6" w:space="0" w:color="000000"/>
              <w:right w:val="single" w:sz="6" w:space="0" w:color="FFFFFF"/>
            </w:tcBorders>
            <w:vAlign w:val="bottom"/>
          </w:tcPr>
          <w:p w:rsidR="00F0192D" w:rsidRPr="00F0192D" w:rsidP="00F0192D" w14:paraId="50B7AADD" w14:textId="77777777">
            <w:pPr>
              <w:tabs>
                <w:tab w:val="left" w:pos="-1080"/>
                <w:tab w:val="left" w:pos="-720"/>
                <w:tab w:val="left" w:pos="0"/>
                <w:tab w:val="left" w:pos="450"/>
                <w:tab w:val="left" w:pos="720"/>
                <w:tab w:val="left" w:pos="2160"/>
              </w:tabs>
              <w:spacing w:after="200" w:line="276" w:lineRule="auto"/>
              <w:ind w:left="0" w:firstLine="0"/>
              <w:jc w:val="center"/>
            </w:pPr>
            <w:r w:rsidRPr="00F0192D">
              <w:t>30/60</w:t>
            </w:r>
          </w:p>
        </w:tc>
        <w:tc>
          <w:tcPr>
            <w:tcW w:w="1350" w:type="dxa"/>
            <w:tcBorders>
              <w:top w:val="single" w:sz="6" w:space="0" w:color="000000"/>
              <w:left w:val="single" w:sz="6" w:space="0" w:color="000000"/>
              <w:bottom w:val="single" w:sz="6" w:space="0" w:color="000000"/>
              <w:right w:val="single" w:sz="6" w:space="0" w:color="000000"/>
            </w:tcBorders>
            <w:vAlign w:val="bottom"/>
          </w:tcPr>
          <w:p w:rsidR="00F0192D" w:rsidRPr="00F0192D" w:rsidP="00F0192D" w14:paraId="3122B6E7" w14:textId="697B04B1">
            <w:pPr>
              <w:tabs>
                <w:tab w:val="left" w:pos="-1080"/>
                <w:tab w:val="left" w:pos="-720"/>
                <w:tab w:val="left" w:pos="0"/>
                <w:tab w:val="left" w:pos="450"/>
                <w:tab w:val="left" w:pos="720"/>
                <w:tab w:val="left" w:pos="2160"/>
              </w:tabs>
              <w:spacing w:after="200" w:line="276" w:lineRule="auto"/>
              <w:ind w:left="0" w:firstLine="0"/>
              <w:jc w:val="center"/>
            </w:pPr>
            <w:r w:rsidRPr="00F0192D">
              <w:t>1</w:t>
            </w:r>
            <w:r w:rsidR="00995D9B">
              <w:t>,</w:t>
            </w:r>
            <w:r w:rsidRPr="00F0192D">
              <w:t>000</w:t>
            </w:r>
          </w:p>
        </w:tc>
      </w:tr>
      <w:tr w14:paraId="2D9A2636" w14:textId="77777777" w:rsidTr="00712FEA">
        <w:tblPrEx>
          <w:tblW w:w="0" w:type="auto"/>
          <w:tblLayout w:type="fixed"/>
          <w:tblCellMar>
            <w:left w:w="102" w:type="dxa"/>
            <w:right w:w="102" w:type="dxa"/>
          </w:tblCellMar>
          <w:tblLook w:val="0000"/>
        </w:tblPrEx>
        <w:tc>
          <w:tcPr>
            <w:tcW w:w="2802" w:type="dxa"/>
            <w:tcBorders>
              <w:top w:val="single" w:sz="6" w:space="0" w:color="000000"/>
              <w:left w:val="single" w:sz="6" w:space="0" w:color="000000"/>
              <w:bottom w:val="single" w:sz="6" w:space="0" w:color="000000"/>
              <w:right w:val="single" w:sz="6" w:space="0" w:color="FFFFFF"/>
            </w:tcBorders>
            <w:vAlign w:val="bottom"/>
          </w:tcPr>
          <w:p w:rsidR="00F0192D" w:rsidRPr="00F0192D" w:rsidP="00F0192D" w14:paraId="058E86B4" w14:textId="77777777">
            <w:pPr>
              <w:spacing w:after="200" w:line="276" w:lineRule="auto"/>
              <w:ind w:left="0" w:firstLine="0"/>
            </w:pPr>
            <w:r w:rsidRPr="00F0192D">
              <w:t>Interviews</w:t>
            </w:r>
          </w:p>
        </w:tc>
        <w:tc>
          <w:tcPr>
            <w:tcW w:w="1440" w:type="dxa"/>
            <w:tcBorders>
              <w:top w:val="single" w:sz="6" w:space="0" w:color="000000"/>
              <w:left w:val="single" w:sz="6" w:space="0" w:color="000000"/>
              <w:bottom w:val="single" w:sz="6" w:space="0" w:color="000000"/>
              <w:right w:val="single" w:sz="6" w:space="0" w:color="FFFFFF"/>
            </w:tcBorders>
            <w:vAlign w:val="bottom"/>
          </w:tcPr>
          <w:p w:rsidR="00F0192D" w:rsidRPr="00F0192D" w:rsidP="00F0192D" w14:paraId="47D26582" w14:textId="77777777">
            <w:pPr>
              <w:tabs>
                <w:tab w:val="left" w:pos="-1080"/>
                <w:tab w:val="left" w:pos="-720"/>
                <w:tab w:val="left" w:pos="0"/>
                <w:tab w:val="left" w:pos="450"/>
                <w:tab w:val="left" w:pos="720"/>
                <w:tab w:val="left" w:pos="2160"/>
              </w:tabs>
              <w:spacing w:after="200" w:line="276" w:lineRule="auto"/>
              <w:ind w:left="0" w:firstLine="0"/>
              <w:jc w:val="center"/>
            </w:pPr>
            <w:r w:rsidRPr="00F0192D">
              <w:t>800</w:t>
            </w:r>
          </w:p>
        </w:tc>
        <w:tc>
          <w:tcPr>
            <w:tcW w:w="1890" w:type="dxa"/>
            <w:tcBorders>
              <w:top w:val="single" w:sz="6" w:space="0" w:color="000000"/>
              <w:left w:val="single" w:sz="6" w:space="0" w:color="000000"/>
              <w:bottom w:val="single" w:sz="6" w:space="0" w:color="000000"/>
              <w:right w:val="single" w:sz="6" w:space="0" w:color="FFFFFF"/>
            </w:tcBorders>
            <w:vAlign w:val="bottom"/>
          </w:tcPr>
          <w:p w:rsidR="00F0192D" w:rsidRPr="00F0192D" w:rsidP="00F0192D" w14:paraId="6D8CF5F4" w14:textId="77777777">
            <w:pPr>
              <w:tabs>
                <w:tab w:val="left" w:pos="-1080"/>
                <w:tab w:val="left" w:pos="-720"/>
                <w:tab w:val="left" w:pos="0"/>
                <w:tab w:val="left" w:pos="450"/>
                <w:tab w:val="left" w:pos="720"/>
                <w:tab w:val="left" w:pos="2160"/>
              </w:tabs>
              <w:spacing w:after="200" w:line="276" w:lineRule="auto"/>
              <w:ind w:left="0" w:firstLine="0"/>
              <w:jc w:val="center"/>
            </w:pPr>
            <w:r w:rsidRPr="00F0192D">
              <w:t>1</w:t>
            </w:r>
          </w:p>
        </w:tc>
        <w:tc>
          <w:tcPr>
            <w:tcW w:w="1530" w:type="dxa"/>
            <w:tcBorders>
              <w:top w:val="single" w:sz="6" w:space="0" w:color="000000"/>
              <w:left w:val="single" w:sz="6" w:space="0" w:color="000000"/>
              <w:bottom w:val="single" w:sz="6" w:space="0" w:color="000000"/>
              <w:right w:val="single" w:sz="6" w:space="0" w:color="FFFFFF"/>
            </w:tcBorders>
            <w:vAlign w:val="bottom"/>
          </w:tcPr>
          <w:p w:rsidR="00F0192D" w:rsidRPr="00F0192D" w:rsidP="00F0192D" w14:paraId="53C487A7" w14:textId="77777777">
            <w:pPr>
              <w:tabs>
                <w:tab w:val="left" w:pos="-1080"/>
                <w:tab w:val="left" w:pos="-720"/>
                <w:tab w:val="left" w:pos="0"/>
                <w:tab w:val="left" w:pos="450"/>
                <w:tab w:val="left" w:pos="720"/>
                <w:tab w:val="left" w:pos="2160"/>
              </w:tabs>
              <w:spacing w:after="200" w:line="276" w:lineRule="auto"/>
              <w:ind w:left="0" w:firstLine="0"/>
              <w:jc w:val="center"/>
            </w:pPr>
            <w:r w:rsidRPr="00F0192D">
              <w:t>2</w:t>
            </w:r>
          </w:p>
        </w:tc>
        <w:tc>
          <w:tcPr>
            <w:tcW w:w="1350" w:type="dxa"/>
            <w:tcBorders>
              <w:top w:val="single" w:sz="6" w:space="0" w:color="000000"/>
              <w:left w:val="single" w:sz="6" w:space="0" w:color="000000"/>
              <w:bottom w:val="single" w:sz="6" w:space="0" w:color="000000"/>
              <w:right w:val="single" w:sz="6" w:space="0" w:color="000000"/>
            </w:tcBorders>
            <w:vAlign w:val="bottom"/>
          </w:tcPr>
          <w:p w:rsidR="00F0192D" w:rsidRPr="00F0192D" w:rsidP="00F0192D" w14:paraId="3594EECE" w14:textId="71860B19">
            <w:pPr>
              <w:tabs>
                <w:tab w:val="left" w:pos="-1080"/>
                <w:tab w:val="left" w:pos="-720"/>
                <w:tab w:val="left" w:pos="0"/>
                <w:tab w:val="left" w:pos="450"/>
                <w:tab w:val="left" w:pos="720"/>
                <w:tab w:val="left" w:pos="2160"/>
              </w:tabs>
              <w:spacing w:after="200" w:line="276" w:lineRule="auto"/>
              <w:ind w:left="0" w:firstLine="0"/>
              <w:jc w:val="center"/>
            </w:pPr>
            <w:r w:rsidRPr="00F0192D">
              <w:t>1</w:t>
            </w:r>
            <w:r w:rsidR="00995D9B">
              <w:t>,</w:t>
            </w:r>
            <w:r w:rsidRPr="00F0192D">
              <w:t>600</w:t>
            </w:r>
          </w:p>
        </w:tc>
      </w:tr>
      <w:tr w14:paraId="1BCCBF94" w14:textId="77777777" w:rsidTr="00712FEA">
        <w:tblPrEx>
          <w:tblW w:w="0" w:type="auto"/>
          <w:tblLayout w:type="fixed"/>
          <w:tblCellMar>
            <w:left w:w="102" w:type="dxa"/>
            <w:right w:w="102" w:type="dxa"/>
          </w:tblCellMar>
          <w:tblLook w:val="0000"/>
        </w:tblPrEx>
        <w:tc>
          <w:tcPr>
            <w:tcW w:w="2802" w:type="dxa"/>
            <w:tcBorders>
              <w:top w:val="single" w:sz="6" w:space="0" w:color="000000"/>
              <w:left w:val="single" w:sz="6" w:space="0" w:color="000000"/>
              <w:bottom w:val="single" w:sz="6" w:space="0" w:color="000000"/>
              <w:right w:val="single" w:sz="6" w:space="0" w:color="FFFFFF"/>
            </w:tcBorders>
            <w:vAlign w:val="bottom"/>
          </w:tcPr>
          <w:p w:rsidR="00F0192D" w:rsidRPr="00F0192D" w:rsidP="00F0192D" w14:paraId="0DB8A323" w14:textId="77777777">
            <w:pPr>
              <w:spacing w:after="200" w:line="276" w:lineRule="auto"/>
              <w:ind w:left="0" w:firstLine="0"/>
            </w:pPr>
            <w:r w:rsidRPr="00F0192D">
              <w:t>Totals</w:t>
            </w:r>
          </w:p>
        </w:tc>
        <w:tc>
          <w:tcPr>
            <w:tcW w:w="1440" w:type="dxa"/>
            <w:tcBorders>
              <w:top w:val="single" w:sz="6" w:space="0" w:color="000000"/>
              <w:left w:val="single" w:sz="6" w:space="0" w:color="000000"/>
              <w:bottom w:val="single" w:sz="6" w:space="0" w:color="000000"/>
              <w:right w:val="single" w:sz="6" w:space="0" w:color="FFFFFF"/>
            </w:tcBorders>
            <w:vAlign w:val="bottom"/>
          </w:tcPr>
          <w:p w:rsidR="00F0192D" w:rsidRPr="00F0192D" w:rsidP="00F0192D" w14:paraId="7F572E0F" w14:textId="39D668FD">
            <w:pPr>
              <w:tabs>
                <w:tab w:val="left" w:pos="-1080"/>
                <w:tab w:val="left" w:pos="-720"/>
                <w:tab w:val="left" w:pos="0"/>
                <w:tab w:val="left" w:pos="450"/>
                <w:tab w:val="left" w:pos="720"/>
                <w:tab w:val="left" w:pos="2160"/>
              </w:tabs>
              <w:spacing w:after="200" w:line="276" w:lineRule="auto"/>
              <w:ind w:left="0" w:firstLine="0"/>
              <w:jc w:val="center"/>
            </w:pPr>
            <w:r w:rsidRPr="00F0192D">
              <w:t>14</w:t>
            </w:r>
            <w:r w:rsidR="00995D9B">
              <w:t>,</w:t>
            </w:r>
            <w:r w:rsidRPr="00F0192D">
              <w:t>220</w:t>
            </w:r>
          </w:p>
        </w:tc>
        <w:tc>
          <w:tcPr>
            <w:tcW w:w="1890" w:type="dxa"/>
            <w:tcBorders>
              <w:top w:val="single" w:sz="6" w:space="0" w:color="000000"/>
              <w:left w:val="single" w:sz="6" w:space="0" w:color="000000"/>
              <w:bottom w:val="single" w:sz="6" w:space="0" w:color="000000"/>
              <w:right w:val="single" w:sz="6" w:space="0" w:color="FFFFFF"/>
            </w:tcBorders>
            <w:vAlign w:val="bottom"/>
          </w:tcPr>
          <w:p w:rsidR="00F0192D" w:rsidRPr="00F0192D" w:rsidP="00F0192D" w14:paraId="4E8EE611" w14:textId="77777777">
            <w:pPr>
              <w:tabs>
                <w:tab w:val="left" w:pos="-1080"/>
                <w:tab w:val="left" w:pos="-720"/>
                <w:tab w:val="left" w:pos="0"/>
                <w:tab w:val="left" w:pos="450"/>
                <w:tab w:val="left" w:pos="720"/>
                <w:tab w:val="left" w:pos="2160"/>
              </w:tabs>
              <w:spacing w:after="200" w:line="276" w:lineRule="auto"/>
              <w:ind w:left="0" w:firstLine="0"/>
              <w:jc w:val="center"/>
            </w:pPr>
          </w:p>
        </w:tc>
        <w:tc>
          <w:tcPr>
            <w:tcW w:w="1530" w:type="dxa"/>
            <w:tcBorders>
              <w:top w:val="single" w:sz="6" w:space="0" w:color="000000"/>
              <w:left w:val="single" w:sz="6" w:space="0" w:color="000000"/>
              <w:bottom w:val="single" w:sz="6" w:space="0" w:color="000000"/>
              <w:right w:val="single" w:sz="6" w:space="0" w:color="FFFFFF"/>
            </w:tcBorders>
            <w:vAlign w:val="bottom"/>
          </w:tcPr>
          <w:p w:rsidR="00F0192D" w:rsidRPr="00F0192D" w:rsidP="00F0192D" w14:paraId="5B1CF450" w14:textId="77777777">
            <w:pPr>
              <w:tabs>
                <w:tab w:val="left" w:pos="-1080"/>
                <w:tab w:val="left" w:pos="-720"/>
                <w:tab w:val="left" w:pos="0"/>
                <w:tab w:val="left" w:pos="450"/>
                <w:tab w:val="left" w:pos="720"/>
                <w:tab w:val="left" w:pos="2160"/>
              </w:tabs>
              <w:spacing w:after="200" w:line="276" w:lineRule="auto"/>
              <w:ind w:left="0" w:firstLine="0"/>
              <w:jc w:val="center"/>
            </w:pPr>
          </w:p>
        </w:tc>
        <w:tc>
          <w:tcPr>
            <w:tcW w:w="1350" w:type="dxa"/>
            <w:tcBorders>
              <w:top w:val="single" w:sz="6" w:space="0" w:color="000000"/>
              <w:left w:val="single" w:sz="6" w:space="0" w:color="000000"/>
              <w:bottom w:val="single" w:sz="6" w:space="0" w:color="000000"/>
              <w:right w:val="single" w:sz="6" w:space="0" w:color="000000"/>
            </w:tcBorders>
            <w:vAlign w:val="bottom"/>
          </w:tcPr>
          <w:p w:rsidR="00F0192D" w:rsidRPr="00F0192D" w:rsidP="00F0192D" w14:paraId="00D58E9D" w14:textId="3E64BDE9">
            <w:pPr>
              <w:tabs>
                <w:tab w:val="left" w:pos="-1080"/>
                <w:tab w:val="left" w:pos="-720"/>
                <w:tab w:val="left" w:pos="0"/>
                <w:tab w:val="left" w:pos="450"/>
                <w:tab w:val="left" w:pos="720"/>
                <w:tab w:val="left" w:pos="2160"/>
              </w:tabs>
              <w:spacing w:after="200" w:line="276" w:lineRule="auto"/>
              <w:ind w:left="0" w:firstLine="0"/>
              <w:jc w:val="center"/>
            </w:pPr>
            <w:r w:rsidRPr="00F0192D">
              <w:t>9</w:t>
            </w:r>
            <w:r w:rsidR="00995D9B">
              <w:t>,</w:t>
            </w:r>
            <w:r w:rsidRPr="00F0192D">
              <w:t>690</w:t>
            </w:r>
          </w:p>
        </w:tc>
      </w:tr>
    </w:tbl>
    <w:p w:rsidR="00885576" w:rsidP="00291FB8" w14:paraId="0A026D64" w14:textId="77777777">
      <w:pPr>
        <w:pStyle w:val="BodyText1"/>
        <w:spacing w:line="240" w:lineRule="auto"/>
        <w:ind w:left="0" w:firstLine="0"/>
        <w:rPr>
          <w:b/>
          <w:szCs w:val="24"/>
        </w:rPr>
      </w:pPr>
    </w:p>
    <w:p w:rsidR="00F0192D" w:rsidRPr="00AF4DFF" w:rsidP="00AF4DFF" w14:paraId="3409E32D" w14:textId="78D9DD45">
      <w:pPr>
        <w:tabs>
          <w:tab w:val="left" w:pos="0"/>
        </w:tabs>
        <w:rPr>
          <w:b/>
          <w:bCs/>
        </w:rPr>
      </w:pPr>
      <w:r>
        <w:rPr>
          <w:b/>
          <w:bCs/>
        </w:rPr>
        <w:tab/>
      </w:r>
      <w:r w:rsidRPr="00022A54">
        <w:rPr>
          <w:b/>
          <w:bCs/>
        </w:rPr>
        <w:t xml:space="preserve">12.B </w:t>
      </w:r>
      <w:r w:rsidR="004E5183">
        <w:rPr>
          <w:b/>
          <w:bCs/>
        </w:rPr>
        <w:t xml:space="preserve">- </w:t>
      </w:r>
      <w:r w:rsidRPr="0060085C">
        <w:rPr>
          <w:b/>
          <w:bCs/>
          <w:u w:val="single"/>
        </w:rPr>
        <w:t xml:space="preserve">Annualized </w:t>
      </w:r>
      <w:r w:rsidRPr="0060085C" w:rsidR="004E5183">
        <w:rPr>
          <w:b/>
          <w:bCs/>
          <w:u w:val="single"/>
        </w:rPr>
        <w:t xml:space="preserve">Burden </w:t>
      </w:r>
      <w:r w:rsidRPr="0060085C">
        <w:rPr>
          <w:b/>
          <w:bCs/>
          <w:u w:val="single"/>
        </w:rPr>
        <w:t>Costs</w:t>
      </w:r>
      <w:r w:rsidRPr="00022A54">
        <w:rPr>
          <w:b/>
          <w:bCs/>
        </w:rPr>
        <w:t xml:space="preserve"> </w:t>
      </w:r>
    </w:p>
    <w:p w:rsidR="0060085C" w:rsidRPr="00AF4DFF" w:rsidP="00AF4DFF" w14:paraId="41159781" w14:textId="7461F5FE">
      <w:pPr>
        <w:pStyle w:val="BodyText1"/>
        <w:spacing w:line="240" w:lineRule="auto"/>
        <w:ind w:left="0" w:firstLine="0"/>
      </w:pPr>
      <w:r>
        <w:t xml:space="preserve">Under this Generic Clearance, there are no costs to respondents. Any and all respondent costs will be defined in subsequent Generic IC proposals submitted under this Generic Clearance. All identified respondent costs for each subsequent Generic IC, if any, will align with the HHS Conceptual Framework. As discussed in the introduction to Chapter 4, HHS currently assumes that benefits plus indirect costs equal approximately 100 percent of wages. In other words, multiplying wages by a factor of 2 provides an estimate of the fully loaded wage rate. </w:t>
      </w:r>
    </w:p>
    <w:p w:rsidR="00E049ED" w:rsidRPr="00022A54" w:rsidP="00E049ED" w14:paraId="0B22EF99" w14:textId="2D46201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pPr>
      <w:r w:rsidRPr="00022A54">
        <w:rPr>
          <w:b/>
          <w:bCs/>
        </w:rPr>
        <w:t>13.</w:t>
      </w:r>
      <w:r w:rsidRPr="00022A54">
        <w:rPr>
          <w:b/>
          <w:bCs/>
        </w:rPr>
        <w:tab/>
      </w:r>
      <w:r w:rsidRPr="00022A54">
        <w:rPr>
          <w:b/>
          <w:bCs/>
          <w:u w:val="single"/>
        </w:rPr>
        <w:t>Estimates of Other Total Annual Cost Burden to Respondents and Record Keepers</w:t>
      </w:r>
    </w:p>
    <w:p w:rsidR="0060085C" w:rsidRPr="00022A54" w:rsidP="00AF4DFF" w14:paraId="75BAD348" w14:textId="6D2712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0" w:firstLine="0"/>
      </w:pPr>
      <w:r w:rsidRPr="00022A54">
        <w:t>CDC does not anticipate providing start up or other related costs to private entities.</w:t>
      </w:r>
      <w:r w:rsidR="00AF4DFF">
        <w:t xml:space="preserve"> There have been no costs to respondents or record keepers resulting from this collection of information.</w:t>
      </w:r>
    </w:p>
    <w:p w:rsidR="00E049ED" w:rsidRPr="00022A54" w:rsidP="00E049ED" w14:paraId="1937A71A" w14:textId="15EE81EC">
      <w:pPr>
        <w:tabs>
          <w:tab w:val="left" w:pos="0"/>
        </w:tabs>
      </w:pPr>
      <w:r w:rsidRPr="00022A54">
        <w:rPr>
          <w:b/>
          <w:bCs/>
        </w:rPr>
        <w:t>14</w:t>
      </w:r>
      <w:r w:rsidRPr="00022A54">
        <w:t>.</w:t>
      </w:r>
      <w:r w:rsidRPr="00022A54">
        <w:tab/>
      </w:r>
      <w:r w:rsidRPr="00022A54">
        <w:rPr>
          <w:b/>
          <w:bCs/>
          <w:u w:val="single"/>
        </w:rPr>
        <w:t xml:space="preserve">Annualized Costs to the Government   </w:t>
      </w:r>
    </w:p>
    <w:p w:rsidR="002A2784" w:rsidP="006E3A26" w14:paraId="071240DA" w14:textId="476D4930">
      <w:pPr>
        <w:tabs>
          <w:tab w:val="left" w:pos="4320"/>
          <w:tab w:val="left" w:pos="6120"/>
          <w:tab w:val="right" w:pos="8280"/>
        </w:tabs>
        <w:ind w:left="0" w:firstLine="0"/>
      </w:pPr>
      <w:r w:rsidRPr="00022A54">
        <w:t>Actual annualized costs to the government will vary depending on the specific needs of the individual information collection activity.</w:t>
      </w:r>
      <w:r w:rsidRPr="00022A54" w:rsidR="00C651E0">
        <w:t xml:space="preserve"> </w:t>
      </w:r>
      <w:r w:rsidRPr="00022A54">
        <w:t>Generally, each activity</w:t>
      </w:r>
      <w:r w:rsidRPr="00022A54" w:rsidR="00301939">
        <w:t xml:space="preserve"> will involve participation of </w:t>
      </w:r>
      <w:r w:rsidRPr="00022A54">
        <w:t>at least one CDC project officer (GS-12</w:t>
      </w:r>
      <w:r w:rsidR="0060085C">
        <w:t xml:space="preserve"> or</w:t>
      </w:r>
      <w:r w:rsidRPr="00022A54">
        <w:t xml:space="preserve"> 13 levels) who will be responsible for the project design, obtaining </w:t>
      </w:r>
      <w:r w:rsidR="0060085C">
        <w:t>necessary</w:t>
      </w:r>
      <w:r w:rsidRPr="00022A54">
        <w:t xml:space="preserve"> approvals, providing project oversight, and analysis and dissemination of the results. The CDC project officer will provide remote and onsite technical assistance to the local areas implementing the data collection. Travel may be required to provide this technical assistance.</w:t>
      </w:r>
      <w:r w:rsidRPr="00022A54" w:rsidR="00C651E0">
        <w:t xml:space="preserve"> </w:t>
      </w:r>
      <w:r w:rsidRPr="00022A54">
        <w:t xml:space="preserve">In some cases, a CDC </w:t>
      </w:r>
      <w:r w:rsidR="0060085C">
        <w:t>administrative staff person’s</w:t>
      </w:r>
      <w:r w:rsidRPr="00022A54">
        <w:t xml:space="preserve"> </w:t>
      </w:r>
      <w:r w:rsidRPr="00022A54" w:rsidR="004B468F">
        <w:t>time may also be required</w:t>
      </w:r>
      <w:r w:rsidR="0053096D">
        <w:t xml:space="preserve"> (GS-7 or 9 levels)</w:t>
      </w:r>
      <w:r w:rsidRPr="00022A54" w:rsidR="004B468F">
        <w:t xml:space="preserve">. </w:t>
      </w:r>
      <w:r w:rsidRPr="00DA283A" w:rsidR="00DA283A">
        <w:t xml:space="preserve">All identified </w:t>
      </w:r>
      <w:r w:rsidR="00DA283A">
        <w:t>costs to the government</w:t>
      </w:r>
      <w:r w:rsidRPr="00DA283A" w:rsidR="00DA283A">
        <w:t xml:space="preserve"> for each subsequent Generic IC, if any, will align with the HHS Conceptual Framework. As discussed in the introduction to Chapter 4, HHS currently assumes that benefits plus indirect costs equal approximately 100 percent of wages. In other words, multiplying wages by a factor of 2 provides an estimate of the fully loaded wage rate.</w:t>
      </w:r>
      <w:r w:rsidR="00DA283A">
        <w:t xml:space="preserve"> </w:t>
      </w:r>
      <w:r w:rsidRPr="00DA283A" w:rsidR="00DA283A">
        <w:t>An estimated average cost per individual activity is listed below, but detailed costs will be submitted with each individual collection request.</w:t>
      </w:r>
    </w:p>
    <w:p w:rsidR="00DA283A" w:rsidRPr="00022A54" w:rsidP="006E3A26" w14:paraId="3B9CB294" w14:textId="77777777">
      <w:pPr>
        <w:tabs>
          <w:tab w:val="left" w:pos="4320"/>
          <w:tab w:val="left" w:pos="6120"/>
          <w:tab w:val="right" w:pos="8280"/>
        </w:tabs>
        <w:ind w:left="0" w:firstLine="0"/>
      </w:pPr>
      <w:r w:rsidRPr="00022A54">
        <w:t xml:space="preserve"> </w:t>
      </w:r>
    </w:p>
    <w:tbl>
      <w:tblPr>
        <w:tblW w:w="0" w:type="auto"/>
        <w:tblCellMar>
          <w:left w:w="0" w:type="dxa"/>
          <w:right w:w="0" w:type="dxa"/>
        </w:tblCellMar>
        <w:tblLook w:val="04A0"/>
      </w:tblPr>
      <w:tblGrid>
        <w:gridCol w:w="2088"/>
        <w:gridCol w:w="2452"/>
        <w:gridCol w:w="1048"/>
        <w:gridCol w:w="1416"/>
        <w:gridCol w:w="1190"/>
        <w:gridCol w:w="1416"/>
      </w:tblGrid>
      <w:tr w14:paraId="2E60B309" w14:textId="77777777">
        <w:tblPrEx>
          <w:tblW w:w="0" w:type="auto"/>
          <w:tblCellMar>
            <w:left w:w="0" w:type="dxa"/>
            <w:right w:w="0" w:type="dxa"/>
          </w:tblCellMar>
          <w:tblLook w:val="04A0"/>
        </w:tblPrEx>
        <w:tc>
          <w:tcPr>
            <w:tcW w:w="6246"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A283A" w:rsidRPr="00DA283A" w:rsidP="00DA283A" w14:paraId="057B9CB4" w14:textId="77777777">
            <w:pPr>
              <w:tabs>
                <w:tab w:val="left" w:pos="4320"/>
                <w:tab w:val="left" w:pos="6120"/>
                <w:tab w:val="right" w:pos="8280"/>
              </w:tabs>
              <w:ind w:left="0" w:firstLine="0"/>
              <w:rPr>
                <w:b/>
                <w:bCs/>
              </w:rPr>
            </w:pPr>
            <w:r w:rsidRPr="00DA283A">
              <w:rPr>
                <w:b/>
                <w:bCs/>
              </w:rPr>
              <w:t>Cost Category</w:t>
            </w:r>
          </w:p>
        </w:tc>
        <w:tc>
          <w:tcPr>
            <w:tcW w:w="13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283A" w:rsidRPr="00DA283A" w:rsidP="00DA283A" w14:paraId="72375D0F" w14:textId="77777777">
            <w:pPr>
              <w:tabs>
                <w:tab w:val="left" w:pos="4320"/>
                <w:tab w:val="left" w:pos="6120"/>
                <w:tab w:val="right" w:pos="8280"/>
              </w:tabs>
              <w:ind w:left="0" w:firstLine="0"/>
              <w:rPr>
                <w:b/>
                <w:bCs/>
              </w:rPr>
            </w:pPr>
            <w:r w:rsidRPr="00DA283A">
              <w:t>Estimated Annualized Cost</w:t>
            </w:r>
          </w:p>
        </w:tc>
        <w:tc>
          <w:tcPr>
            <w:tcW w:w="11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283A" w:rsidRPr="00DA283A" w:rsidP="00DA283A" w14:paraId="50FA0714" w14:textId="77777777">
            <w:pPr>
              <w:tabs>
                <w:tab w:val="left" w:pos="4320"/>
                <w:tab w:val="left" w:pos="6120"/>
                <w:tab w:val="right" w:pos="8280"/>
              </w:tabs>
              <w:ind w:left="0" w:firstLine="0"/>
            </w:pPr>
            <w:r w:rsidRPr="00DA283A">
              <w:t>Wage Rate Multiplier</w:t>
            </w:r>
          </w:p>
        </w:tc>
        <w:tc>
          <w:tcPr>
            <w:tcW w:w="13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283A" w:rsidRPr="00DA283A" w:rsidP="00DA283A" w14:paraId="22EE6335" w14:textId="77777777">
            <w:pPr>
              <w:tabs>
                <w:tab w:val="left" w:pos="4320"/>
                <w:tab w:val="left" w:pos="6120"/>
                <w:tab w:val="right" w:pos="8280"/>
              </w:tabs>
              <w:ind w:left="0" w:firstLine="0"/>
            </w:pPr>
            <w:r w:rsidRPr="00DA283A">
              <w:t>Fully Loaded Cost</w:t>
            </w:r>
          </w:p>
        </w:tc>
      </w:tr>
      <w:tr w14:paraId="077EBD08" w14:textId="77777777">
        <w:tblPrEx>
          <w:tblW w:w="0" w:type="auto"/>
          <w:tblCellMar>
            <w:left w:w="0" w:type="dxa"/>
            <w:right w:w="0" w:type="dxa"/>
          </w:tblCellMar>
          <w:tblLook w:val="04A0"/>
        </w:tblPrEx>
        <w:tc>
          <w:tcPr>
            <w:tcW w:w="624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283A" w:rsidRPr="00DA283A" w:rsidP="00DA283A" w14:paraId="4EC11E62" w14:textId="34093468">
            <w:pPr>
              <w:tabs>
                <w:tab w:val="left" w:pos="4320"/>
                <w:tab w:val="left" w:pos="6120"/>
                <w:tab w:val="right" w:pos="8280"/>
              </w:tabs>
              <w:ind w:left="0" w:firstLine="0"/>
            </w:pPr>
            <w:r>
              <w:t>CDC Travel (4 Trips)</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rsidR="00DA283A" w:rsidRPr="00DA283A" w:rsidP="00DA283A" w14:paraId="61B785B1" w14:textId="6AC85D36">
            <w:pPr>
              <w:tabs>
                <w:tab w:val="left" w:pos="4320"/>
                <w:tab w:val="left" w:pos="6120"/>
                <w:tab w:val="right" w:pos="8280"/>
              </w:tabs>
              <w:ind w:left="0" w:firstLine="0"/>
            </w:pPr>
            <w:r w:rsidRPr="00DA283A">
              <w:t>$</w:t>
            </w:r>
            <w:r>
              <w:t>12,500</w:t>
            </w:r>
            <w:r w:rsidRPr="00DA283A">
              <w:t>.00</w:t>
            </w:r>
          </w:p>
        </w:tc>
        <w:tc>
          <w:tcPr>
            <w:tcW w:w="1115" w:type="dxa"/>
            <w:tcBorders>
              <w:top w:val="nil"/>
              <w:left w:val="nil"/>
              <w:bottom w:val="single" w:sz="8" w:space="0" w:color="auto"/>
              <w:right w:val="single" w:sz="8" w:space="0" w:color="auto"/>
            </w:tcBorders>
            <w:tcMar>
              <w:top w:w="0" w:type="dxa"/>
              <w:left w:w="108" w:type="dxa"/>
              <w:bottom w:w="0" w:type="dxa"/>
              <w:right w:w="108" w:type="dxa"/>
            </w:tcMar>
          </w:tcPr>
          <w:p w:rsidR="00DA283A" w:rsidRPr="00DA283A" w:rsidP="00DA283A" w14:paraId="5890CD50" w14:textId="4A751D83">
            <w:pPr>
              <w:tabs>
                <w:tab w:val="left" w:pos="4320"/>
                <w:tab w:val="left" w:pos="6120"/>
                <w:tab w:val="right" w:pos="8280"/>
              </w:tabs>
              <w:ind w:left="0" w:firstLine="0"/>
            </w:pPr>
            <w:r>
              <w:t>--</w:t>
            </w:r>
          </w:p>
        </w:tc>
        <w:tc>
          <w:tcPr>
            <w:tcW w:w="1386" w:type="dxa"/>
            <w:tcBorders>
              <w:top w:val="nil"/>
              <w:left w:val="nil"/>
              <w:bottom w:val="single" w:sz="8" w:space="0" w:color="auto"/>
              <w:right w:val="single" w:sz="8" w:space="0" w:color="auto"/>
            </w:tcBorders>
            <w:tcMar>
              <w:top w:w="0" w:type="dxa"/>
              <w:left w:w="108" w:type="dxa"/>
              <w:bottom w:w="0" w:type="dxa"/>
              <w:right w:w="108" w:type="dxa"/>
            </w:tcMar>
            <w:hideMark/>
          </w:tcPr>
          <w:p w:rsidR="00DA283A" w:rsidRPr="00DA283A" w:rsidP="00DA283A" w14:paraId="46215320" w14:textId="146C2F2A">
            <w:pPr>
              <w:tabs>
                <w:tab w:val="left" w:pos="4320"/>
                <w:tab w:val="left" w:pos="6120"/>
                <w:tab w:val="right" w:pos="8280"/>
              </w:tabs>
              <w:ind w:left="0" w:firstLine="0"/>
            </w:pPr>
            <w:r w:rsidRPr="00DA283A">
              <w:t>$</w:t>
            </w:r>
            <w:r>
              <w:t>12,500</w:t>
            </w:r>
            <w:r w:rsidRPr="00DA283A">
              <w:t>.00</w:t>
            </w:r>
          </w:p>
        </w:tc>
      </w:tr>
      <w:tr w14:paraId="59848C43" w14:textId="77777777">
        <w:tblPrEx>
          <w:tblW w:w="0" w:type="auto"/>
          <w:tblCellMar>
            <w:left w:w="0" w:type="dxa"/>
            <w:right w:w="0" w:type="dxa"/>
          </w:tblCellMar>
          <w:tblLook w:val="04A0"/>
        </w:tblPrEx>
        <w:tc>
          <w:tcPr>
            <w:tcW w:w="624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283A" w:rsidRPr="00DA283A" w:rsidP="00DA283A" w14:paraId="24269D8C" w14:textId="23E218D5">
            <w:pPr>
              <w:tabs>
                <w:tab w:val="left" w:pos="4320"/>
                <w:tab w:val="left" w:pos="6120"/>
                <w:tab w:val="right" w:pos="8280"/>
              </w:tabs>
              <w:ind w:left="0" w:firstLine="0"/>
            </w:pPr>
            <w:r w:rsidRPr="00DA283A">
              <w:t>Cooperative Agreements, Task orders,  or Contracts for implementation or information management</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rsidR="00DA283A" w:rsidRPr="00DA283A" w:rsidP="00DA283A" w14:paraId="7876BBD4" w14:textId="3C64C176">
            <w:pPr>
              <w:tabs>
                <w:tab w:val="left" w:pos="4320"/>
                <w:tab w:val="left" w:pos="6120"/>
                <w:tab w:val="right" w:pos="8280"/>
              </w:tabs>
              <w:ind w:left="0" w:firstLine="0"/>
            </w:pPr>
            <w:r w:rsidRPr="00DA283A">
              <w:t>$</w:t>
            </w:r>
            <w:r>
              <w:t>325</w:t>
            </w:r>
            <w:r w:rsidRPr="00DA283A">
              <w:t>,</w:t>
            </w:r>
            <w:r>
              <w:t>0</w:t>
            </w:r>
            <w:r w:rsidRPr="00DA283A">
              <w:t>00.00</w:t>
            </w:r>
          </w:p>
        </w:tc>
        <w:tc>
          <w:tcPr>
            <w:tcW w:w="1115" w:type="dxa"/>
            <w:tcBorders>
              <w:top w:val="nil"/>
              <w:left w:val="nil"/>
              <w:bottom w:val="single" w:sz="8" w:space="0" w:color="auto"/>
              <w:right w:val="single" w:sz="8" w:space="0" w:color="auto"/>
            </w:tcBorders>
            <w:tcMar>
              <w:top w:w="0" w:type="dxa"/>
              <w:left w:w="108" w:type="dxa"/>
              <w:bottom w:w="0" w:type="dxa"/>
              <w:right w:w="108" w:type="dxa"/>
            </w:tcMar>
          </w:tcPr>
          <w:p w:rsidR="00DA283A" w:rsidRPr="00DA283A" w:rsidP="00DA283A" w14:paraId="7E10A827" w14:textId="56FED63A">
            <w:pPr>
              <w:tabs>
                <w:tab w:val="left" w:pos="4320"/>
                <w:tab w:val="left" w:pos="6120"/>
                <w:tab w:val="right" w:pos="8280"/>
              </w:tabs>
              <w:ind w:left="0" w:firstLine="0"/>
            </w:pPr>
            <w:r>
              <w:t>--</w:t>
            </w:r>
          </w:p>
        </w:tc>
        <w:tc>
          <w:tcPr>
            <w:tcW w:w="1386" w:type="dxa"/>
            <w:tcBorders>
              <w:top w:val="nil"/>
              <w:left w:val="nil"/>
              <w:bottom w:val="single" w:sz="8" w:space="0" w:color="auto"/>
              <w:right w:val="single" w:sz="8" w:space="0" w:color="auto"/>
            </w:tcBorders>
            <w:tcMar>
              <w:top w:w="0" w:type="dxa"/>
              <w:left w:w="108" w:type="dxa"/>
              <w:bottom w:w="0" w:type="dxa"/>
              <w:right w:w="108" w:type="dxa"/>
            </w:tcMar>
            <w:hideMark/>
          </w:tcPr>
          <w:p w:rsidR="00DA283A" w:rsidRPr="00DA283A" w:rsidP="00DA283A" w14:paraId="600FCEFC" w14:textId="4CCAC533">
            <w:pPr>
              <w:tabs>
                <w:tab w:val="left" w:pos="4320"/>
                <w:tab w:val="left" w:pos="6120"/>
                <w:tab w:val="right" w:pos="8280"/>
              </w:tabs>
              <w:ind w:left="0" w:firstLine="0"/>
            </w:pPr>
            <w:r>
              <w:t>$325,000.00</w:t>
            </w:r>
          </w:p>
        </w:tc>
      </w:tr>
      <w:tr w14:paraId="764333CF" w14:textId="77777777">
        <w:tblPrEx>
          <w:tblW w:w="0" w:type="auto"/>
          <w:tblCellMar>
            <w:left w:w="0" w:type="dxa"/>
            <w:right w:w="0" w:type="dxa"/>
          </w:tblCellMar>
          <w:tblLook w:val="04A0"/>
        </w:tblPrEx>
        <w:tc>
          <w:tcPr>
            <w:tcW w:w="232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283A" w:rsidRPr="00DA283A" w:rsidP="00DA283A" w14:paraId="4D05C3B3" w14:textId="77777777">
            <w:pPr>
              <w:tabs>
                <w:tab w:val="left" w:pos="4320"/>
                <w:tab w:val="left" w:pos="6120"/>
                <w:tab w:val="right" w:pos="8280"/>
              </w:tabs>
              <w:ind w:left="0" w:firstLine="0"/>
            </w:pPr>
            <w:r w:rsidRPr="00DA283A">
              <w:t>Federal Government Personnel Costs</w:t>
            </w:r>
          </w:p>
        </w:tc>
        <w:tc>
          <w:tcPr>
            <w:tcW w:w="2734" w:type="dxa"/>
            <w:tcBorders>
              <w:top w:val="nil"/>
              <w:left w:val="nil"/>
              <w:bottom w:val="single" w:sz="8" w:space="0" w:color="auto"/>
              <w:right w:val="single" w:sz="8" w:space="0" w:color="auto"/>
            </w:tcBorders>
            <w:tcMar>
              <w:top w:w="0" w:type="dxa"/>
              <w:left w:w="108" w:type="dxa"/>
              <w:bottom w:w="0" w:type="dxa"/>
              <w:right w:w="108" w:type="dxa"/>
            </w:tcMar>
            <w:hideMark/>
          </w:tcPr>
          <w:p w:rsidR="00DA283A" w:rsidRPr="00DA283A" w:rsidP="00DA283A" w14:paraId="7131904D" w14:textId="5BC5BA4E">
            <w:pPr>
              <w:tabs>
                <w:tab w:val="left" w:pos="4320"/>
                <w:tab w:val="left" w:pos="6120"/>
                <w:tab w:val="right" w:pos="8280"/>
              </w:tabs>
              <w:ind w:left="0" w:firstLine="0"/>
            </w:pPr>
            <w:r w:rsidRPr="00DA283A">
              <w:t xml:space="preserve">CDC </w:t>
            </w:r>
            <w:r>
              <w:t>Project Officer</w:t>
            </w:r>
            <w:r w:rsidRPr="00DA283A">
              <w:t xml:space="preserve"> (GS-</w:t>
            </w:r>
            <w:r>
              <w:t>12/</w:t>
            </w:r>
            <w:r w:rsidRPr="00DA283A">
              <w:t>13)</w:t>
            </w:r>
          </w:p>
        </w:tc>
        <w:tc>
          <w:tcPr>
            <w:tcW w:w="1187" w:type="dxa"/>
            <w:tcBorders>
              <w:top w:val="nil"/>
              <w:left w:val="nil"/>
              <w:bottom w:val="single" w:sz="8" w:space="0" w:color="auto"/>
              <w:right w:val="single" w:sz="8" w:space="0" w:color="auto"/>
            </w:tcBorders>
            <w:tcMar>
              <w:top w:w="0" w:type="dxa"/>
              <w:left w:w="108" w:type="dxa"/>
              <w:bottom w:w="0" w:type="dxa"/>
              <w:right w:w="108" w:type="dxa"/>
            </w:tcMar>
            <w:hideMark/>
          </w:tcPr>
          <w:p w:rsidR="00DA283A" w:rsidRPr="00DA283A" w:rsidP="00DA283A" w14:paraId="1579D7DB" w14:textId="68E1FB4C">
            <w:pPr>
              <w:tabs>
                <w:tab w:val="left" w:pos="4320"/>
                <w:tab w:val="left" w:pos="6120"/>
                <w:tab w:val="right" w:pos="8280"/>
              </w:tabs>
              <w:ind w:left="0" w:firstLine="0"/>
            </w:pPr>
            <w:r>
              <w:t>5</w:t>
            </w:r>
            <w:r w:rsidRPr="00DA283A">
              <w:t>0% time</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rsidR="00DA283A" w:rsidRPr="00DA283A" w:rsidP="00DA283A" w14:paraId="7E5AA606" w14:textId="1DD637C9">
            <w:pPr>
              <w:tabs>
                <w:tab w:val="left" w:pos="4320"/>
                <w:tab w:val="left" w:pos="6120"/>
                <w:tab w:val="right" w:pos="8280"/>
              </w:tabs>
              <w:ind w:left="0" w:firstLine="0"/>
            </w:pPr>
            <w:r w:rsidRPr="00DA283A">
              <w:t>$</w:t>
            </w:r>
            <w:r w:rsidR="0053096D">
              <w:t>56,278</w:t>
            </w:r>
            <w:r w:rsidRPr="00DA283A">
              <w:t>.</w:t>
            </w:r>
            <w:r w:rsidR="0053096D">
              <w:t>0</w:t>
            </w:r>
            <w:r w:rsidRPr="00DA283A">
              <w:t>0</w:t>
            </w:r>
          </w:p>
        </w:tc>
        <w:tc>
          <w:tcPr>
            <w:tcW w:w="1115" w:type="dxa"/>
            <w:tcBorders>
              <w:top w:val="nil"/>
              <w:left w:val="nil"/>
              <w:bottom w:val="single" w:sz="8" w:space="0" w:color="auto"/>
              <w:right w:val="single" w:sz="8" w:space="0" w:color="auto"/>
            </w:tcBorders>
            <w:tcMar>
              <w:top w:w="0" w:type="dxa"/>
              <w:left w:w="108" w:type="dxa"/>
              <w:bottom w:w="0" w:type="dxa"/>
              <w:right w:w="108" w:type="dxa"/>
            </w:tcMar>
            <w:hideMark/>
          </w:tcPr>
          <w:p w:rsidR="00DA283A" w:rsidRPr="00DA283A" w:rsidP="00DA283A" w14:paraId="76A04098" w14:textId="77777777">
            <w:pPr>
              <w:tabs>
                <w:tab w:val="left" w:pos="4320"/>
                <w:tab w:val="left" w:pos="6120"/>
                <w:tab w:val="right" w:pos="8280"/>
              </w:tabs>
              <w:ind w:left="0" w:firstLine="0"/>
            </w:pPr>
            <w:r w:rsidRPr="00DA283A">
              <w:t>x 2</w:t>
            </w:r>
          </w:p>
        </w:tc>
        <w:tc>
          <w:tcPr>
            <w:tcW w:w="1386" w:type="dxa"/>
            <w:tcBorders>
              <w:top w:val="nil"/>
              <w:left w:val="nil"/>
              <w:bottom w:val="single" w:sz="8" w:space="0" w:color="auto"/>
              <w:right w:val="single" w:sz="8" w:space="0" w:color="auto"/>
            </w:tcBorders>
            <w:tcMar>
              <w:top w:w="0" w:type="dxa"/>
              <w:left w:w="108" w:type="dxa"/>
              <w:bottom w:w="0" w:type="dxa"/>
              <w:right w:w="108" w:type="dxa"/>
            </w:tcMar>
            <w:hideMark/>
          </w:tcPr>
          <w:p w:rsidR="00DA283A" w:rsidRPr="00DA283A" w:rsidP="00DA283A" w14:paraId="7CDAF057" w14:textId="29F9CEE0">
            <w:pPr>
              <w:tabs>
                <w:tab w:val="left" w:pos="4320"/>
                <w:tab w:val="left" w:pos="6120"/>
                <w:tab w:val="right" w:pos="8280"/>
              </w:tabs>
              <w:ind w:left="0" w:firstLine="0"/>
            </w:pPr>
            <w:r w:rsidRPr="00DA283A">
              <w:t>$</w:t>
            </w:r>
            <w:r w:rsidR="0053096D">
              <w:t>112,556</w:t>
            </w:r>
            <w:r w:rsidRPr="00DA283A">
              <w:t>.</w:t>
            </w:r>
            <w:r w:rsidR="0053096D">
              <w:t>0</w:t>
            </w:r>
            <w:r w:rsidRPr="00DA283A">
              <w:t>0</w:t>
            </w:r>
          </w:p>
        </w:tc>
      </w:tr>
      <w:tr w14:paraId="295FC5AD" w14:textId="77777777">
        <w:tblPrEx>
          <w:tblW w:w="0" w:type="auto"/>
          <w:tblCellMar>
            <w:left w:w="0" w:type="dxa"/>
            <w:right w:w="0" w:type="dxa"/>
          </w:tblCellMar>
          <w:tblLook w:val="04A0"/>
        </w:tblPrEx>
        <w:tc>
          <w:tcPr>
            <w:tcW w:w="0" w:type="auto"/>
            <w:vMerge/>
            <w:tcBorders>
              <w:top w:val="nil"/>
              <w:left w:val="single" w:sz="8" w:space="0" w:color="auto"/>
              <w:bottom w:val="single" w:sz="8" w:space="0" w:color="auto"/>
              <w:right w:val="single" w:sz="8" w:space="0" w:color="auto"/>
            </w:tcBorders>
            <w:vAlign w:val="center"/>
            <w:hideMark/>
          </w:tcPr>
          <w:p w:rsidR="00DA283A" w:rsidRPr="00DA283A" w:rsidP="00DA283A" w14:paraId="0B27964C" w14:textId="77777777">
            <w:pPr>
              <w:tabs>
                <w:tab w:val="left" w:pos="4320"/>
                <w:tab w:val="left" w:pos="6120"/>
                <w:tab w:val="right" w:pos="8280"/>
              </w:tabs>
              <w:ind w:left="0" w:firstLine="0"/>
            </w:pPr>
          </w:p>
        </w:tc>
        <w:tc>
          <w:tcPr>
            <w:tcW w:w="2734" w:type="dxa"/>
            <w:tcBorders>
              <w:top w:val="nil"/>
              <w:left w:val="nil"/>
              <w:bottom w:val="single" w:sz="8" w:space="0" w:color="auto"/>
              <w:right w:val="single" w:sz="8" w:space="0" w:color="auto"/>
            </w:tcBorders>
            <w:tcMar>
              <w:top w:w="0" w:type="dxa"/>
              <w:left w:w="108" w:type="dxa"/>
              <w:bottom w:w="0" w:type="dxa"/>
              <w:right w:w="108" w:type="dxa"/>
            </w:tcMar>
            <w:hideMark/>
          </w:tcPr>
          <w:p w:rsidR="00DA283A" w:rsidRPr="00DA283A" w:rsidP="00DA283A" w14:paraId="08BD8C19" w14:textId="229F893E">
            <w:pPr>
              <w:tabs>
                <w:tab w:val="left" w:pos="4320"/>
                <w:tab w:val="left" w:pos="6120"/>
                <w:tab w:val="right" w:pos="8280"/>
              </w:tabs>
              <w:ind w:left="0" w:firstLine="0"/>
            </w:pPr>
            <w:r w:rsidRPr="00DA283A">
              <w:t xml:space="preserve">CDC </w:t>
            </w:r>
            <w:r w:rsidR="0053096D">
              <w:t>Administrative Staff</w:t>
            </w:r>
            <w:r w:rsidRPr="00DA283A">
              <w:t xml:space="preserve"> (GS-</w:t>
            </w:r>
            <w:r w:rsidR="0053096D">
              <w:t>7/9</w:t>
            </w:r>
            <w:r w:rsidRPr="00DA283A">
              <w:t>)</w:t>
            </w:r>
          </w:p>
        </w:tc>
        <w:tc>
          <w:tcPr>
            <w:tcW w:w="1187" w:type="dxa"/>
            <w:tcBorders>
              <w:top w:val="nil"/>
              <w:left w:val="nil"/>
              <w:bottom w:val="single" w:sz="8" w:space="0" w:color="auto"/>
              <w:right w:val="single" w:sz="8" w:space="0" w:color="auto"/>
            </w:tcBorders>
            <w:tcMar>
              <w:top w:w="0" w:type="dxa"/>
              <w:left w:w="108" w:type="dxa"/>
              <w:bottom w:w="0" w:type="dxa"/>
              <w:right w:w="108" w:type="dxa"/>
            </w:tcMar>
            <w:hideMark/>
          </w:tcPr>
          <w:p w:rsidR="00DA283A" w:rsidRPr="00DA283A" w:rsidP="00DA283A" w14:paraId="6AB44E2E" w14:textId="663B3CE6">
            <w:pPr>
              <w:tabs>
                <w:tab w:val="left" w:pos="4320"/>
                <w:tab w:val="left" w:pos="6120"/>
                <w:tab w:val="right" w:pos="8280"/>
              </w:tabs>
              <w:ind w:left="0" w:firstLine="0"/>
            </w:pPr>
            <w:r w:rsidRPr="00DA283A">
              <w:t>2</w:t>
            </w:r>
            <w:r w:rsidR="0053096D">
              <w:t>5</w:t>
            </w:r>
            <w:r w:rsidRPr="00DA283A">
              <w:t>% time</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rsidR="00DA283A" w:rsidRPr="00DA283A" w:rsidP="00DA283A" w14:paraId="22283645" w14:textId="13FF91DB">
            <w:pPr>
              <w:tabs>
                <w:tab w:val="left" w:pos="4320"/>
                <w:tab w:val="left" w:pos="6120"/>
                <w:tab w:val="right" w:pos="8280"/>
              </w:tabs>
              <w:ind w:left="0" w:firstLine="0"/>
            </w:pPr>
            <w:r w:rsidRPr="00DA283A">
              <w:t>$</w:t>
            </w:r>
            <w:r w:rsidR="00352929">
              <w:t>16,317</w:t>
            </w:r>
            <w:r w:rsidRPr="00DA283A">
              <w:t>.</w:t>
            </w:r>
            <w:r w:rsidR="00352929">
              <w:t>75</w:t>
            </w:r>
          </w:p>
        </w:tc>
        <w:tc>
          <w:tcPr>
            <w:tcW w:w="1115" w:type="dxa"/>
            <w:tcBorders>
              <w:top w:val="nil"/>
              <w:left w:val="nil"/>
              <w:bottom w:val="single" w:sz="8" w:space="0" w:color="auto"/>
              <w:right w:val="single" w:sz="8" w:space="0" w:color="auto"/>
            </w:tcBorders>
            <w:tcMar>
              <w:top w:w="0" w:type="dxa"/>
              <w:left w:w="108" w:type="dxa"/>
              <w:bottom w:w="0" w:type="dxa"/>
              <w:right w:w="108" w:type="dxa"/>
            </w:tcMar>
            <w:hideMark/>
          </w:tcPr>
          <w:p w:rsidR="00DA283A" w:rsidRPr="00DA283A" w:rsidP="00DA283A" w14:paraId="7BB6BCB2" w14:textId="77777777">
            <w:pPr>
              <w:tabs>
                <w:tab w:val="left" w:pos="4320"/>
                <w:tab w:val="left" w:pos="6120"/>
                <w:tab w:val="right" w:pos="8280"/>
              </w:tabs>
              <w:ind w:left="0" w:firstLine="0"/>
            </w:pPr>
            <w:r w:rsidRPr="00DA283A">
              <w:t>x 2</w:t>
            </w:r>
          </w:p>
        </w:tc>
        <w:tc>
          <w:tcPr>
            <w:tcW w:w="1386" w:type="dxa"/>
            <w:tcBorders>
              <w:top w:val="nil"/>
              <w:left w:val="nil"/>
              <w:bottom w:val="single" w:sz="8" w:space="0" w:color="auto"/>
              <w:right w:val="single" w:sz="8" w:space="0" w:color="auto"/>
            </w:tcBorders>
            <w:tcMar>
              <w:top w:w="0" w:type="dxa"/>
              <w:left w:w="108" w:type="dxa"/>
              <w:bottom w:w="0" w:type="dxa"/>
              <w:right w:w="108" w:type="dxa"/>
            </w:tcMar>
            <w:hideMark/>
          </w:tcPr>
          <w:p w:rsidR="00DA283A" w:rsidRPr="00DA283A" w:rsidP="00DA283A" w14:paraId="2C71EB61" w14:textId="6D8C4052">
            <w:pPr>
              <w:tabs>
                <w:tab w:val="left" w:pos="4320"/>
                <w:tab w:val="left" w:pos="6120"/>
                <w:tab w:val="right" w:pos="8280"/>
              </w:tabs>
              <w:ind w:left="0" w:firstLine="0"/>
            </w:pPr>
            <w:r w:rsidRPr="00DA283A">
              <w:t>$</w:t>
            </w:r>
            <w:r w:rsidR="00352929">
              <w:t>32,635</w:t>
            </w:r>
            <w:r w:rsidRPr="00DA283A">
              <w:t>.</w:t>
            </w:r>
            <w:r w:rsidR="00352929">
              <w:t>5</w:t>
            </w:r>
            <w:r w:rsidRPr="00DA283A">
              <w:t>0</w:t>
            </w:r>
          </w:p>
        </w:tc>
      </w:tr>
      <w:tr w14:paraId="0E4DDD1C" w14:textId="77777777">
        <w:tblPrEx>
          <w:tblW w:w="0" w:type="auto"/>
          <w:tblCellMar>
            <w:left w:w="0" w:type="dxa"/>
            <w:right w:w="0" w:type="dxa"/>
          </w:tblCellMar>
          <w:tblLook w:val="04A0"/>
        </w:tblPrEx>
        <w:tc>
          <w:tcPr>
            <w:tcW w:w="624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283A" w:rsidRPr="00DA283A" w:rsidP="00DA283A" w14:paraId="5A2F44BB" w14:textId="77777777">
            <w:pPr>
              <w:tabs>
                <w:tab w:val="left" w:pos="4320"/>
                <w:tab w:val="left" w:pos="6120"/>
                <w:tab w:val="right" w:pos="8280"/>
              </w:tabs>
              <w:ind w:left="0" w:firstLine="0"/>
            </w:pPr>
            <w:r w:rsidRPr="00DA283A">
              <w:rPr>
                <w:b/>
                <w:bCs/>
              </w:rPr>
              <w:t>Total Annualized Cost to Government</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rsidR="00DA283A" w:rsidRPr="00DA283A" w:rsidP="00DA283A" w14:paraId="626C8D54" w14:textId="5D01F1B3">
            <w:pPr>
              <w:tabs>
                <w:tab w:val="left" w:pos="4320"/>
                <w:tab w:val="left" w:pos="6120"/>
                <w:tab w:val="right" w:pos="8280"/>
              </w:tabs>
              <w:ind w:left="0" w:firstLine="0"/>
            </w:pPr>
            <w:r w:rsidRPr="00DA283A">
              <w:t>$</w:t>
            </w:r>
            <w:r w:rsidR="00352929">
              <w:t>410,095.75</w:t>
            </w:r>
          </w:p>
        </w:tc>
        <w:tc>
          <w:tcPr>
            <w:tcW w:w="1115" w:type="dxa"/>
            <w:tcBorders>
              <w:top w:val="nil"/>
              <w:left w:val="nil"/>
              <w:bottom w:val="single" w:sz="8" w:space="0" w:color="auto"/>
              <w:right w:val="single" w:sz="8" w:space="0" w:color="auto"/>
            </w:tcBorders>
            <w:tcMar>
              <w:top w:w="0" w:type="dxa"/>
              <w:left w:w="108" w:type="dxa"/>
              <w:bottom w:w="0" w:type="dxa"/>
              <w:right w:w="108" w:type="dxa"/>
            </w:tcMar>
          </w:tcPr>
          <w:p w:rsidR="00DA283A" w:rsidRPr="00DA283A" w:rsidP="00DA283A" w14:paraId="7976AFB8" w14:textId="77777777">
            <w:pPr>
              <w:tabs>
                <w:tab w:val="left" w:pos="4320"/>
                <w:tab w:val="left" w:pos="6120"/>
                <w:tab w:val="right" w:pos="8280"/>
              </w:tabs>
              <w:ind w:left="0" w:firstLine="0"/>
            </w:pPr>
          </w:p>
        </w:tc>
        <w:tc>
          <w:tcPr>
            <w:tcW w:w="1386" w:type="dxa"/>
            <w:tcBorders>
              <w:top w:val="nil"/>
              <w:left w:val="nil"/>
              <w:bottom w:val="single" w:sz="8" w:space="0" w:color="auto"/>
              <w:right w:val="single" w:sz="8" w:space="0" w:color="auto"/>
            </w:tcBorders>
            <w:tcMar>
              <w:top w:w="0" w:type="dxa"/>
              <w:left w:w="108" w:type="dxa"/>
              <w:bottom w:w="0" w:type="dxa"/>
              <w:right w:w="108" w:type="dxa"/>
            </w:tcMar>
            <w:hideMark/>
          </w:tcPr>
          <w:p w:rsidR="00DA283A" w:rsidRPr="00DA283A" w:rsidP="00DA283A" w14:paraId="59402EBD" w14:textId="641F2E25">
            <w:pPr>
              <w:tabs>
                <w:tab w:val="left" w:pos="4320"/>
                <w:tab w:val="left" w:pos="6120"/>
                <w:tab w:val="right" w:pos="8280"/>
              </w:tabs>
              <w:ind w:left="0" w:firstLine="0"/>
            </w:pPr>
            <w:r w:rsidRPr="00DA283A">
              <w:t>$</w:t>
            </w:r>
            <w:r w:rsidR="00352929">
              <w:t>482,691.50</w:t>
            </w:r>
          </w:p>
        </w:tc>
      </w:tr>
    </w:tbl>
    <w:p w:rsidR="00161E86" w:rsidRPr="00022A54" w:rsidP="00352929" w14:paraId="163FE576" w14:textId="77777777">
      <w:pPr>
        <w:tabs>
          <w:tab w:val="left" w:pos="4320"/>
          <w:tab w:val="left" w:pos="6120"/>
          <w:tab w:val="right" w:pos="8280"/>
        </w:tabs>
        <w:ind w:left="0" w:firstLine="0"/>
      </w:pPr>
      <w:r w:rsidRPr="00022A54">
        <w:t xml:space="preserve"> </w:t>
      </w:r>
    </w:p>
    <w:p w:rsidR="00662F81" w:rsidRPr="00022A54" w:rsidP="00662F81" w14:paraId="2C52A40E" w14:textId="6447C918">
      <w:pPr>
        <w:tabs>
          <w:tab w:val="left" w:pos="0"/>
        </w:tabs>
        <w:ind w:left="720" w:hanging="720"/>
        <w:rPr>
          <w:color w:val="000000"/>
        </w:rPr>
      </w:pPr>
      <w:r w:rsidRPr="00022A54">
        <w:rPr>
          <w:b/>
          <w:bCs/>
          <w:color w:val="000000"/>
        </w:rPr>
        <w:t xml:space="preserve">15. </w:t>
      </w:r>
      <w:r w:rsidRPr="00022A54">
        <w:rPr>
          <w:b/>
          <w:bCs/>
          <w:color w:val="000000"/>
          <w:u w:val="single"/>
        </w:rPr>
        <w:t>Explanation for Program Changes or Adjustments</w:t>
      </w:r>
    </w:p>
    <w:p w:rsidR="00662F81" w:rsidRPr="00022A54" w:rsidP="006E77FD" w14:paraId="796C82CD" w14:textId="20DC7284">
      <w:pPr>
        <w:tabs>
          <w:tab w:val="left" w:pos="0"/>
        </w:tabs>
        <w:ind w:left="0" w:firstLine="0"/>
        <w:rPr>
          <w:color w:val="000000"/>
        </w:rPr>
      </w:pPr>
      <w:r w:rsidRPr="009D5A35">
        <w:rPr>
          <w:color w:val="000000"/>
        </w:rPr>
        <w:t xml:space="preserve">This Extension </w:t>
      </w:r>
      <w:r w:rsidR="00D71D3D">
        <w:rPr>
          <w:color w:val="000000"/>
        </w:rPr>
        <w:t>does not include any changes to the</w:t>
      </w:r>
      <w:r w:rsidRPr="009D5A35">
        <w:rPr>
          <w:color w:val="000000"/>
        </w:rPr>
        <w:t xml:space="preserve"> burden hours from the previous approval</w:t>
      </w:r>
      <w:r w:rsidR="00D71D3D">
        <w:rPr>
          <w:color w:val="000000"/>
        </w:rPr>
        <w:t>.</w:t>
      </w:r>
      <w:r w:rsidR="006E77FD">
        <w:rPr>
          <w:color w:val="000000"/>
        </w:rPr>
        <w:t xml:space="preserve"> </w:t>
      </w:r>
      <w:r w:rsidRPr="006E77FD" w:rsidR="006E77FD">
        <w:rPr>
          <w:color w:val="000000"/>
        </w:rPr>
        <w:t xml:space="preserve">While the inputs have not changed, the Annual Cost to the Federal Government for this Extension reflects an updated calculation methodology based upon Chapter 4 of the HHS Conceptual Framework.  </w:t>
      </w:r>
    </w:p>
    <w:p w:rsidR="00985B22" w:rsidP="00662F81" w14:paraId="52E2EAE2" w14:textId="77777777">
      <w:pPr>
        <w:tabs>
          <w:tab w:val="left" w:pos="0"/>
        </w:tabs>
        <w:ind w:left="720" w:hanging="720"/>
        <w:rPr>
          <w:b/>
          <w:bCs/>
          <w:color w:val="000000"/>
        </w:rPr>
      </w:pPr>
    </w:p>
    <w:p w:rsidR="00662F81" w:rsidRPr="00022A54" w:rsidP="00662F81" w14:paraId="6659B60B" w14:textId="2C384846">
      <w:pPr>
        <w:tabs>
          <w:tab w:val="left" w:pos="0"/>
        </w:tabs>
        <w:ind w:left="720" w:hanging="720"/>
        <w:rPr>
          <w:color w:val="000000"/>
        </w:rPr>
      </w:pPr>
      <w:r w:rsidRPr="00022A54">
        <w:rPr>
          <w:b/>
          <w:bCs/>
          <w:color w:val="000000"/>
        </w:rPr>
        <w:t>16.</w:t>
      </w:r>
      <w:r w:rsidRPr="00022A54" w:rsidR="007A0C9C">
        <w:rPr>
          <w:b/>
          <w:bCs/>
          <w:color w:val="000000"/>
        </w:rPr>
        <w:t xml:space="preserve"> </w:t>
      </w:r>
      <w:r w:rsidRPr="00022A54">
        <w:rPr>
          <w:b/>
          <w:bCs/>
          <w:color w:val="000000"/>
          <w:u w:val="single"/>
        </w:rPr>
        <w:t>Plans for Tabulation and Publication and Project Time Schedule</w:t>
      </w:r>
    </w:p>
    <w:p w:rsidR="00352929" w:rsidRPr="00352929" w:rsidP="00352929" w14:paraId="7A8C3E41" w14:textId="6F4FA83C">
      <w:pPr>
        <w:tabs>
          <w:tab w:val="left" w:pos="0"/>
        </w:tabs>
        <w:ind w:left="0" w:firstLine="0"/>
        <w:rPr>
          <w:color w:val="000000"/>
        </w:rPr>
      </w:pPr>
      <w:r w:rsidRPr="00352929">
        <w:rPr>
          <w:color w:val="000000"/>
        </w:rP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DF2A09" w:rsidRPr="00022A54" w:rsidP="00352929" w14:paraId="1AA9AAF3" w14:textId="40C45198">
      <w:pPr>
        <w:tabs>
          <w:tab w:val="left" w:pos="0"/>
        </w:tabs>
        <w:ind w:left="0" w:firstLine="0"/>
        <w:rPr>
          <w:color w:val="000000"/>
        </w:rPr>
      </w:pPr>
      <w:r w:rsidRPr="00352929">
        <w:rPr>
          <w:color w:val="000000"/>
        </w:rPr>
        <w:t>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w:t>
      </w:r>
      <w:r>
        <w:rPr>
          <w:color w:val="000000"/>
        </w:rPr>
        <w:t xml:space="preserve"> </w:t>
      </w:r>
      <w:r w:rsidRPr="00022A54">
        <w:rPr>
          <w:color w:val="000000"/>
        </w:rPr>
        <w:t xml:space="preserve">Proposed timelines will be submitted for each individual data collection activity.  </w:t>
      </w:r>
    </w:p>
    <w:p w:rsidR="00985B22" w:rsidP="00662F81" w14:paraId="7A0FF5C7" w14:textId="77777777">
      <w:pPr>
        <w:tabs>
          <w:tab w:val="left" w:pos="0"/>
        </w:tabs>
        <w:rPr>
          <w:b/>
          <w:bCs/>
          <w:color w:val="000000"/>
        </w:rPr>
      </w:pPr>
    </w:p>
    <w:p w:rsidR="00662F81" w:rsidRPr="00022A54" w:rsidP="00352929" w14:paraId="5154DAC3" w14:textId="3C41D1F5">
      <w:pPr>
        <w:tabs>
          <w:tab w:val="left" w:pos="0"/>
        </w:tabs>
        <w:ind w:left="0" w:firstLine="0"/>
        <w:rPr>
          <w:color w:val="000000"/>
        </w:rPr>
      </w:pPr>
      <w:r w:rsidRPr="00022A54">
        <w:rPr>
          <w:b/>
          <w:bCs/>
          <w:color w:val="000000"/>
        </w:rPr>
        <w:t xml:space="preserve">17. </w:t>
      </w:r>
      <w:r w:rsidRPr="00022A54">
        <w:rPr>
          <w:b/>
          <w:bCs/>
          <w:color w:val="000000"/>
          <w:u w:val="single"/>
        </w:rPr>
        <w:t>Reason(s) Display of OMB Expiration Date is Inappropriate</w:t>
      </w:r>
    </w:p>
    <w:p w:rsidR="00662F81" w:rsidRPr="00022A54" w:rsidP="00662F81" w14:paraId="3F595444" w14:textId="77777777">
      <w:pPr>
        <w:tabs>
          <w:tab w:val="left" w:pos="0"/>
        </w:tabs>
        <w:rPr>
          <w:color w:val="000000"/>
        </w:rPr>
      </w:pPr>
      <w:r>
        <w:rPr>
          <w:color w:val="000000"/>
        </w:rPr>
        <w:t xml:space="preserve">The display of the </w:t>
      </w:r>
      <w:r w:rsidRPr="00022A54" w:rsidR="00776240">
        <w:rPr>
          <w:color w:val="000000"/>
        </w:rPr>
        <w:t xml:space="preserve">OMB </w:t>
      </w:r>
      <w:r>
        <w:rPr>
          <w:color w:val="000000"/>
        </w:rPr>
        <w:t>e</w:t>
      </w:r>
      <w:r w:rsidRPr="00022A54">
        <w:rPr>
          <w:color w:val="000000"/>
        </w:rPr>
        <w:t xml:space="preserve">xpiration </w:t>
      </w:r>
      <w:r>
        <w:rPr>
          <w:color w:val="000000"/>
        </w:rPr>
        <w:t>d</w:t>
      </w:r>
      <w:r w:rsidRPr="00022A54">
        <w:rPr>
          <w:color w:val="000000"/>
        </w:rPr>
        <w:t xml:space="preserve">ate </w:t>
      </w:r>
      <w:r>
        <w:rPr>
          <w:color w:val="000000"/>
        </w:rPr>
        <w:t>is not inappropriate.</w:t>
      </w:r>
    </w:p>
    <w:p w:rsidR="00985B22" w:rsidP="00662F81" w14:paraId="61027DFB" w14:textId="77777777">
      <w:pPr>
        <w:tabs>
          <w:tab w:val="left" w:pos="0"/>
        </w:tabs>
        <w:rPr>
          <w:b/>
          <w:bCs/>
          <w:color w:val="000000"/>
        </w:rPr>
      </w:pPr>
    </w:p>
    <w:p w:rsidR="00662F81" w:rsidRPr="00022A54" w:rsidP="00352929" w14:paraId="37A7F8C0" w14:textId="1B3E027A">
      <w:pPr>
        <w:tabs>
          <w:tab w:val="left" w:pos="0"/>
        </w:tabs>
        <w:ind w:left="0" w:firstLine="0"/>
        <w:rPr>
          <w:color w:val="000000"/>
        </w:rPr>
      </w:pPr>
      <w:r w:rsidRPr="00022A54">
        <w:rPr>
          <w:b/>
          <w:bCs/>
          <w:color w:val="000000"/>
        </w:rPr>
        <w:t xml:space="preserve">18. </w:t>
      </w:r>
      <w:r w:rsidRPr="00022A54">
        <w:rPr>
          <w:b/>
          <w:bCs/>
          <w:color w:val="000000"/>
          <w:u w:val="single"/>
        </w:rPr>
        <w:t>Exceptions to Certification for Paperwork Reduction Act Submissions</w:t>
      </w:r>
    </w:p>
    <w:p w:rsidR="00662F81" w:rsidP="00662F81" w14:paraId="41FEAD2D" w14:textId="77777777">
      <w:pPr>
        <w:tabs>
          <w:tab w:val="left" w:pos="0"/>
        </w:tabs>
        <w:rPr>
          <w:color w:val="000000"/>
        </w:rPr>
      </w:pPr>
      <w:r w:rsidRPr="00022A54">
        <w:rPr>
          <w:color w:val="000000"/>
        </w:rPr>
        <w:t>There are no exceptions to the certification.</w:t>
      </w:r>
    </w:p>
    <w:p w:rsidR="000A4D5E" w:rsidP="00662F81" w14:paraId="62465F80" w14:textId="77777777">
      <w:pPr>
        <w:tabs>
          <w:tab w:val="left" w:pos="0"/>
        </w:tabs>
        <w:rPr>
          <w:color w:val="000000"/>
        </w:rPr>
      </w:pPr>
    </w:p>
    <w:sectPr w:rsidSect="00AF71DC">
      <w:headerReference w:type="even" r:id="rId5"/>
      <w:footerReference w:type="even" r:id="rId6"/>
      <w:footerReference w:type="default" r:id="rId7"/>
      <w:endnotePr>
        <w:numFmt w:val="decimal"/>
      </w:endnotePr>
      <w:type w:val="continuous"/>
      <w:pgSz w:w="12240" w:h="15840" w:code="1"/>
      <w:pgMar w:top="1440" w:right="1170" w:bottom="1440" w:left="1440" w:header="1152"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charset w:val="00"/>
    <w:family w:val="roman"/>
    <w:pitch w:val="variable"/>
    <w:sig w:usb0="00000007" w:usb1="00000000" w:usb2="00000000" w:usb3="00000000" w:csb0="0000001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ITC Franklin Gothic Std Med">
    <w:altName w:val="ITC Franklin Gothic Std Me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5077" w:rsidP="00F15C6A" w14:paraId="1677403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F5077" w14:paraId="77E654B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5077" w:rsidP="00F15C6A" w14:paraId="52DA30D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776D">
      <w:rPr>
        <w:rStyle w:val="PageNumber"/>
        <w:noProof/>
      </w:rPr>
      <w:t>16</w:t>
    </w:r>
    <w:r>
      <w:rPr>
        <w:rStyle w:val="PageNumber"/>
      </w:rPr>
      <w:fldChar w:fldCharType="end"/>
    </w:r>
  </w:p>
  <w:p w:rsidR="002F5077" w:rsidP="005B5F63" w14:paraId="1790A58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5077" w:rsidP="00742647" w14:paraId="01D5F30A"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F5077" w14:paraId="07D96C2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5">
    <w:nsid w:val="012D55B9"/>
    <w:multiLevelType w:val="hybridMultilevel"/>
    <w:tmpl w:val="1E2854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45647A"/>
    <w:multiLevelType w:val="hybridMultilevel"/>
    <w:tmpl w:val="054EC7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4E03F7"/>
    <w:multiLevelType w:val="hybridMultilevel"/>
    <w:tmpl w:val="720A5686"/>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C5841DA"/>
    <w:multiLevelType w:val="hybridMultilevel"/>
    <w:tmpl w:val="1D64021A"/>
    <w:lvl w:ilvl="0">
      <w:start w:val="1"/>
      <w:numFmt w:val="decimal"/>
      <w:lvlText w:val="%1."/>
      <w:lvlJc w:val="left"/>
      <w:pPr>
        <w:ind w:left="108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0CFD6C59"/>
    <w:multiLevelType w:val="hybridMultilevel"/>
    <w:tmpl w:val="CA6E535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17B5982"/>
    <w:multiLevelType w:val="hybridMultilevel"/>
    <w:tmpl w:val="CFDCAF9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404203D"/>
    <w:multiLevelType w:val="hybridMultilevel"/>
    <w:tmpl w:val="07849D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4BB7676"/>
    <w:multiLevelType w:val="hybridMultilevel"/>
    <w:tmpl w:val="9AB0F61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8D4302F"/>
    <w:multiLevelType w:val="hybridMultilevel"/>
    <w:tmpl w:val="60645712"/>
    <w:lvl w:ilvl="0">
      <w:start w:val="1"/>
      <w:numFmt w:val="decimal"/>
      <w:lvlText w:val="%1."/>
      <w:lvlJc w:val="left"/>
      <w:pPr>
        <w:ind w:left="360" w:hanging="360"/>
      </w:p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4">
    <w:nsid w:val="1AD9C14D"/>
    <w:multiLevelType w:val="hybridMultilevel"/>
    <w:tmpl w:val="177A1E54"/>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1E671EFC"/>
    <w:multiLevelType w:val="hybridMultilevel"/>
    <w:tmpl w:val="DF80AAE4"/>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7615D10"/>
    <w:multiLevelType w:val="multilevel"/>
    <w:tmpl w:val="030433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28521205"/>
    <w:multiLevelType w:val="hybridMultilevel"/>
    <w:tmpl w:val="67B88A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9EA3E2E"/>
    <w:multiLevelType w:val="hybridMultilevel"/>
    <w:tmpl w:val="F2D6A0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B5056DF"/>
    <w:multiLevelType w:val="hybridMultilevel"/>
    <w:tmpl w:val="AA96BF2E"/>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2D600AC3"/>
    <w:multiLevelType w:val="hybridMultilevel"/>
    <w:tmpl w:val="C82CF23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EAF3879"/>
    <w:multiLevelType w:val="hybridMultilevel"/>
    <w:tmpl w:val="7C8C70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38F7E86E"/>
    <w:multiLevelType w:val="hybridMultilevel"/>
    <w:tmpl w:val="A53A5E66"/>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398900BF"/>
    <w:multiLevelType w:val="hybridMultilevel"/>
    <w:tmpl w:val="AC6073D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DC31F9C"/>
    <w:multiLevelType w:val="multilevel"/>
    <w:tmpl w:val="F8A206C0"/>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3DD2680E"/>
    <w:multiLevelType w:val="hybridMultilevel"/>
    <w:tmpl w:val="4CF4C04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416E6C38"/>
    <w:multiLevelType w:val="hybridMultilevel"/>
    <w:tmpl w:val="DDEE8E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1BB64D3"/>
    <w:multiLevelType w:val="hybridMultilevel"/>
    <w:tmpl w:val="56324CEE"/>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D492380"/>
    <w:multiLevelType w:val="hybridMultilevel"/>
    <w:tmpl w:val="2494C5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55D19C8"/>
    <w:multiLevelType w:val="hybridMultilevel"/>
    <w:tmpl w:val="7BC0D17A"/>
    <w:name w:val="AutoList42"/>
    <w:lvl w:ilvl="0">
      <w:start w:val="3"/>
      <w:numFmt w:val="lowerRoman"/>
      <w:lvlText w:val="%1."/>
      <w:lvlJc w:val="right"/>
      <w:pPr>
        <w:tabs>
          <w:tab w:val="num" w:pos="720"/>
        </w:tabs>
        <w:ind w:left="720" w:hanging="1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8725517"/>
    <w:multiLevelType w:val="hybridMultilevel"/>
    <w:tmpl w:val="91389DC0"/>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8F505AA"/>
    <w:multiLevelType w:val="hybridMultilevel"/>
    <w:tmpl w:val="D272DDA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DDA4391"/>
    <w:multiLevelType w:val="hybridMultilevel"/>
    <w:tmpl w:val="94DC2F06"/>
    <w:lvl w:ilvl="0">
      <w:start w:val="1"/>
      <w:numFmt w:val="decimal"/>
      <w:lvlText w:val="%1."/>
      <w:lvlJc w:val="left"/>
      <w:pPr>
        <w:ind w:left="216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5DF42B28"/>
    <w:multiLevelType w:val="hybridMultilevel"/>
    <w:tmpl w:val="629A2A7C"/>
    <w:lvl w:ilvl="0">
      <w:start w:val="1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5EDE3517"/>
    <w:multiLevelType w:val="hybridMultilevel"/>
    <w:tmpl w:val="F328F6EC"/>
    <w:lvl w:ilvl="0">
      <w:start w:val="1"/>
      <w:numFmt w:val="bullet"/>
      <w:lvlText w:val="o"/>
      <w:lvlJc w:val="left"/>
      <w:pPr>
        <w:tabs>
          <w:tab w:val="num" w:pos="540"/>
        </w:tabs>
        <w:ind w:left="54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60126F36"/>
    <w:multiLevelType w:val="hybridMultilevel"/>
    <w:tmpl w:val="78EEB42E"/>
    <w:lvl w:ilvl="0">
      <w:start w:val="1"/>
      <w:numFmt w:val="decimal"/>
      <w:lvlText w:val="%1."/>
      <w:lvlJc w:val="left"/>
      <w:pPr>
        <w:ind w:left="360" w:hanging="360"/>
      </w:p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36">
    <w:nsid w:val="677835A1"/>
    <w:multiLevelType w:val="hybridMultilevel"/>
    <w:tmpl w:val="2CB0A79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C693C10"/>
    <w:multiLevelType w:val="hybridMultilevel"/>
    <w:tmpl w:val="F8A206C0"/>
    <w:lvl w:ilvl="0">
      <w:start w:val="1"/>
      <w:numFmt w:val="upperRoman"/>
      <w:lvlText w:val="%1."/>
      <w:lvlJc w:val="right"/>
      <w:pPr>
        <w:tabs>
          <w:tab w:val="num" w:pos="900"/>
        </w:tabs>
        <w:ind w:left="900" w:hanging="18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nsid w:val="6D226D71"/>
    <w:multiLevelType w:val="hybridMultilevel"/>
    <w:tmpl w:val="B5C846CE"/>
    <w:lvl w:ilvl="0">
      <w:start w:val="1"/>
      <w:numFmt w:val="decimal"/>
      <w:lvlText w:val="%1."/>
      <w:lvlJc w:val="left"/>
      <w:pPr>
        <w:ind w:left="360" w:hanging="360"/>
      </w:p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num w:numId="1" w16cid:durableId="282156322">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1823421295">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16cid:durableId="121323392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16cid:durableId="236214809">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89593112">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16cid:durableId="1027870961">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16cid:durableId="730933050">
    <w:abstractNumId w:val="31"/>
  </w:num>
  <w:num w:numId="8" w16cid:durableId="2107732017">
    <w:abstractNumId w:val="15"/>
  </w:num>
  <w:num w:numId="9" w16cid:durableId="1732537823">
    <w:abstractNumId w:val="37"/>
  </w:num>
  <w:num w:numId="10" w16cid:durableId="22440803">
    <w:abstractNumId w:val="16"/>
  </w:num>
  <w:num w:numId="11" w16cid:durableId="491215298">
    <w:abstractNumId w:val="24"/>
  </w:num>
  <w:num w:numId="12" w16cid:durableId="1706907473">
    <w:abstractNumId w:val="29"/>
  </w:num>
  <w:num w:numId="13" w16cid:durableId="1956207596">
    <w:abstractNumId w:val="30"/>
  </w:num>
  <w:num w:numId="14" w16cid:durableId="1037660655">
    <w:abstractNumId w:val="19"/>
  </w:num>
  <w:num w:numId="15" w16cid:durableId="529414622">
    <w:abstractNumId w:val="10"/>
  </w:num>
  <w:num w:numId="16" w16cid:durableId="1774283181">
    <w:abstractNumId w:val="27"/>
  </w:num>
  <w:num w:numId="17" w16cid:durableId="117264259">
    <w:abstractNumId w:val="20"/>
  </w:num>
  <w:num w:numId="18" w16cid:durableId="325281759">
    <w:abstractNumId w:val="34"/>
  </w:num>
  <w:num w:numId="19" w16cid:durableId="487982450">
    <w:abstractNumId w:val="33"/>
  </w:num>
  <w:num w:numId="20" w16cid:durableId="1531382347">
    <w:abstractNumId w:val="23"/>
  </w:num>
  <w:num w:numId="21" w16cid:durableId="277109927">
    <w:abstractNumId w:val="17"/>
  </w:num>
  <w:num w:numId="22" w16cid:durableId="1959216033">
    <w:abstractNumId w:val="12"/>
  </w:num>
  <w:num w:numId="23" w16cid:durableId="24718634">
    <w:abstractNumId w:val="25"/>
  </w:num>
  <w:num w:numId="24" w16cid:durableId="1939559672">
    <w:abstractNumId w:val="8"/>
  </w:num>
  <w:num w:numId="25" w16cid:durableId="1078286378">
    <w:abstractNumId w:val="38"/>
  </w:num>
  <w:num w:numId="26" w16cid:durableId="1323657327">
    <w:abstractNumId w:val="7"/>
  </w:num>
  <w:num w:numId="27" w16cid:durableId="984941214">
    <w:abstractNumId w:val="6"/>
  </w:num>
  <w:num w:numId="28" w16cid:durableId="675957061">
    <w:abstractNumId w:val="35"/>
  </w:num>
  <w:num w:numId="29" w16cid:durableId="64227937">
    <w:abstractNumId w:val="13"/>
  </w:num>
  <w:num w:numId="30" w16cid:durableId="1572613550">
    <w:abstractNumId w:val="32"/>
  </w:num>
  <w:num w:numId="31" w16cid:durableId="1860504253">
    <w:abstractNumId w:val="9"/>
  </w:num>
  <w:num w:numId="32" w16cid:durableId="400714674">
    <w:abstractNumId w:val="36"/>
  </w:num>
  <w:num w:numId="33" w16cid:durableId="1531259796">
    <w:abstractNumId w:val="5"/>
  </w:num>
  <w:num w:numId="34" w16cid:durableId="478618022">
    <w:abstractNumId w:val="21"/>
  </w:num>
  <w:num w:numId="35" w16cid:durableId="905143021">
    <w:abstractNumId w:val="14"/>
  </w:num>
  <w:num w:numId="36" w16cid:durableId="1152411427">
    <w:abstractNumId w:val="22"/>
  </w:num>
  <w:num w:numId="37" w16cid:durableId="1098529348">
    <w:abstractNumId w:val="11"/>
  </w:num>
  <w:num w:numId="38" w16cid:durableId="142087793">
    <w:abstractNumId w:val="18"/>
  </w:num>
  <w:num w:numId="39" w16cid:durableId="798188585">
    <w:abstractNumId w:val="26"/>
  </w:num>
  <w:num w:numId="40" w16cid:durableId="190834647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F8B"/>
    <w:rsid w:val="000009BA"/>
    <w:rsid w:val="00000E7D"/>
    <w:rsid w:val="00001968"/>
    <w:rsid w:val="0000202D"/>
    <w:rsid w:val="00002764"/>
    <w:rsid w:val="00017B42"/>
    <w:rsid w:val="00022A54"/>
    <w:rsid w:val="000259DE"/>
    <w:rsid w:val="0002754E"/>
    <w:rsid w:val="00027ABA"/>
    <w:rsid w:val="00027B74"/>
    <w:rsid w:val="00030DA5"/>
    <w:rsid w:val="000315DB"/>
    <w:rsid w:val="00031D85"/>
    <w:rsid w:val="00032124"/>
    <w:rsid w:val="00033191"/>
    <w:rsid w:val="00035595"/>
    <w:rsid w:val="000360CC"/>
    <w:rsid w:val="00036E5B"/>
    <w:rsid w:val="000403E5"/>
    <w:rsid w:val="00043480"/>
    <w:rsid w:val="00043566"/>
    <w:rsid w:val="00044742"/>
    <w:rsid w:val="00045538"/>
    <w:rsid w:val="00045A69"/>
    <w:rsid w:val="00046FFA"/>
    <w:rsid w:val="00047045"/>
    <w:rsid w:val="00055B49"/>
    <w:rsid w:val="000616B4"/>
    <w:rsid w:val="00061916"/>
    <w:rsid w:val="000627FE"/>
    <w:rsid w:val="00064F87"/>
    <w:rsid w:val="00066529"/>
    <w:rsid w:val="0006668D"/>
    <w:rsid w:val="000703D6"/>
    <w:rsid w:val="0007072A"/>
    <w:rsid w:val="00075916"/>
    <w:rsid w:val="000773D3"/>
    <w:rsid w:val="00080780"/>
    <w:rsid w:val="000814C1"/>
    <w:rsid w:val="00082A36"/>
    <w:rsid w:val="00085603"/>
    <w:rsid w:val="000901A5"/>
    <w:rsid w:val="000907F7"/>
    <w:rsid w:val="00091D70"/>
    <w:rsid w:val="000928D4"/>
    <w:rsid w:val="00093C81"/>
    <w:rsid w:val="00097D05"/>
    <w:rsid w:val="000A1E14"/>
    <w:rsid w:val="000A2FF3"/>
    <w:rsid w:val="000A3385"/>
    <w:rsid w:val="000A4D5E"/>
    <w:rsid w:val="000A689B"/>
    <w:rsid w:val="000B03B1"/>
    <w:rsid w:val="000B2411"/>
    <w:rsid w:val="000B295F"/>
    <w:rsid w:val="000B3000"/>
    <w:rsid w:val="000B3F98"/>
    <w:rsid w:val="000B5579"/>
    <w:rsid w:val="000C166E"/>
    <w:rsid w:val="000C4248"/>
    <w:rsid w:val="000C6292"/>
    <w:rsid w:val="000C7994"/>
    <w:rsid w:val="000D6277"/>
    <w:rsid w:val="000D78AE"/>
    <w:rsid w:val="000E2C9A"/>
    <w:rsid w:val="000E3FAB"/>
    <w:rsid w:val="000E5D00"/>
    <w:rsid w:val="000E79C3"/>
    <w:rsid w:val="000F5494"/>
    <w:rsid w:val="000F681D"/>
    <w:rsid w:val="001116B2"/>
    <w:rsid w:val="00111BE6"/>
    <w:rsid w:val="001121FF"/>
    <w:rsid w:val="001161EE"/>
    <w:rsid w:val="00116596"/>
    <w:rsid w:val="0012089D"/>
    <w:rsid w:val="00121AC4"/>
    <w:rsid w:val="00124A5C"/>
    <w:rsid w:val="0012573B"/>
    <w:rsid w:val="0013173E"/>
    <w:rsid w:val="00132B15"/>
    <w:rsid w:val="00133117"/>
    <w:rsid w:val="001363F9"/>
    <w:rsid w:val="00142D32"/>
    <w:rsid w:val="00144D39"/>
    <w:rsid w:val="00151EE0"/>
    <w:rsid w:val="0015392C"/>
    <w:rsid w:val="001561E1"/>
    <w:rsid w:val="00157B85"/>
    <w:rsid w:val="00161E86"/>
    <w:rsid w:val="001623D4"/>
    <w:rsid w:val="00163BC3"/>
    <w:rsid w:val="0016614F"/>
    <w:rsid w:val="00166593"/>
    <w:rsid w:val="00166A41"/>
    <w:rsid w:val="001715FA"/>
    <w:rsid w:val="00172CA4"/>
    <w:rsid w:val="00173868"/>
    <w:rsid w:val="001747FF"/>
    <w:rsid w:val="001756C0"/>
    <w:rsid w:val="0017776D"/>
    <w:rsid w:val="001802AD"/>
    <w:rsid w:val="0018216D"/>
    <w:rsid w:val="0018474A"/>
    <w:rsid w:val="00187C46"/>
    <w:rsid w:val="00192008"/>
    <w:rsid w:val="001929B8"/>
    <w:rsid w:val="00192F40"/>
    <w:rsid w:val="00193766"/>
    <w:rsid w:val="001A03B7"/>
    <w:rsid w:val="001A0DF0"/>
    <w:rsid w:val="001A278B"/>
    <w:rsid w:val="001A44B4"/>
    <w:rsid w:val="001A4ECC"/>
    <w:rsid w:val="001A58EA"/>
    <w:rsid w:val="001A7795"/>
    <w:rsid w:val="001B5CC2"/>
    <w:rsid w:val="001B6931"/>
    <w:rsid w:val="001B786C"/>
    <w:rsid w:val="001C03C4"/>
    <w:rsid w:val="001C0AFB"/>
    <w:rsid w:val="001C2EE3"/>
    <w:rsid w:val="001C5C15"/>
    <w:rsid w:val="001D1CE5"/>
    <w:rsid w:val="001D62A2"/>
    <w:rsid w:val="001D6452"/>
    <w:rsid w:val="001E3984"/>
    <w:rsid w:val="001E5449"/>
    <w:rsid w:val="001F244E"/>
    <w:rsid w:val="001F2663"/>
    <w:rsid w:val="001F2866"/>
    <w:rsid w:val="001F610D"/>
    <w:rsid w:val="001F772D"/>
    <w:rsid w:val="002003D7"/>
    <w:rsid w:val="00201240"/>
    <w:rsid w:val="00203971"/>
    <w:rsid w:val="00203E80"/>
    <w:rsid w:val="00204024"/>
    <w:rsid w:val="00204C4B"/>
    <w:rsid w:val="0020502A"/>
    <w:rsid w:val="002065ED"/>
    <w:rsid w:val="002105B9"/>
    <w:rsid w:val="00210D56"/>
    <w:rsid w:val="0021212E"/>
    <w:rsid w:val="002129E7"/>
    <w:rsid w:val="00216D94"/>
    <w:rsid w:val="00216FB9"/>
    <w:rsid w:val="002173D4"/>
    <w:rsid w:val="0022229C"/>
    <w:rsid w:val="00223911"/>
    <w:rsid w:val="00223B66"/>
    <w:rsid w:val="002266F7"/>
    <w:rsid w:val="00226BE0"/>
    <w:rsid w:val="0022752A"/>
    <w:rsid w:val="00227BF6"/>
    <w:rsid w:val="00232D54"/>
    <w:rsid w:val="0023517B"/>
    <w:rsid w:val="00235BDB"/>
    <w:rsid w:val="00236073"/>
    <w:rsid w:val="00244187"/>
    <w:rsid w:val="00246997"/>
    <w:rsid w:val="00247E74"/>
    <w:rsid w:val="00252C97"/>
    <w:rsid w:val="00253472"/>
    <w:rsid w:val="00254471"/>
    <w:rsid w:val="002567B0"/>
    <w:rsid w:val="002574A5"/>
    <w:rsid w:val="00261E27"/>
    <w:rsid w:val="0026704E"/>
    <w:rsid w:val="0027142C"/>
    <w:rsid w:val="00272BA4"/>
    <w:rsid w:val="0027378A"/>
    <w:rsid w:val="002850AC"/>
    <w:rsid w:val="00286A5A"/>
    <w:rsid w:val="00287FB1"/>
    <w:rsid w:val="00290452"/>
    <w:rsid w:val="00291FB8"/>
    <w:rsid w:val="002922F0"/>
    <w:rsid w:val="002936BD"/>
    <w:rsid w:val="002971A5"/>
    <w:rsid w:val="00297834"/>
    <w:rsid w:val="00297880"/>
    <w:rsid w:val="002A0EED"/>
    <w:rsid w:val="002A1D76"/>
    <w:rsid w:val="002A2784"/>
    <w:rsid w:val="002A66E3"/>
    <w:rsid w:val="002B0946"/>
    <w:rsid w:val="002B3674"/>
    <w:rsid w:val="002B3CA1"/>
    <w:rsid w:val="002B49B4"/>
    <w:rsid w:val="002B763E"/>
    <w:rsid w:val="002C008B"/>
    <w:rsid w:val="002C2D2E"/>
    <w:rsid w:val="002C4B79"/>
    <w:rsid w:val="002C5A3C"/>
    <w:rsid w:val="002C60A8"/>
    <w:rsid w:val="002D09B6"/>
    <w:rsid w:val="002D3DED"/>
    <w:rsid w:val="002D3EDE"/>
    <w:rsid w:val="002D4341"/>
    <w:rsid w:val="002D5EE8"/>
    <w:rsid w:val="002D69D1"/>
    <w:rsid w:val="002D7213"/>
    <w:rsid w:val="002D76E5"/>
    <w:rsid w:val="002E1517"/>
    <w:rsid w:val="002E2357"/>
    <w:rsid w:val="002E274D"/>
    <w:rsid w:val="002E28BA"/>
    <w:rsid w:val="002E3155"/>
    <w:rsid w:val="002E5A05"/>
    <w:rsid w:val="002F0966"/>
    <w:rsid w:val="002F159A"/>
    <w:rsid w:val="002F4EE4"/>
    <w:rsid w:val="002F5077"/>
    <w:rsid w:val="002F58B9"/>
    <w:rsid w:val="00301939"/>
    <w:rsid w:val="00302801"/>
    <w:rsid w:val="0030685B"/>
    <w:rsid w:val="00306881"/>
    <w:rsid w:val="003070B6"/>
    <w:rsid w:val="00307AAF"/>
    <w:rsid w:val="00312CF4"/>
    <w:rsid w:val="0031692A"/>
    <w:rsid w:val="00317F8B"/>
    <w:rsid w:val="0032200A"/>
    <w:rsid w:val="00322265"/>
    <w:rsid w:val="00323FDE"/>
    <w:rsid w:val="00324858"/>
    <w:rsid w:val="003272C1"/>
    <w:rsid w:val="00327D53"/>
    <w:rsid w:val="00330F92"/>
    <w:rsid w:val="00332FB2"/>
    <w:rsid w:val="00333DB0"/>
    <w:rsid w:val="00335838"/>
    <w:rsid w:val="00336168"/>
    <w:rsid w:val="003364FA"/>
    <w:rsid w:val="00336638"/>
    <w:rsid w:val="003369E6"/>
    <w:rsid w:val="00341C66"/>
    <w:rsid w:val="00342B6C"/>
    <w:rsid w:val="0034329D"/>
    <w:rsid w:val="003479C7"/>
    <w:rsid w:val="00350BDE"/>
    <w:rsid w:val="003519FE"/>
    <w:rsid w:val="00352929"/>
    <w:rsid w:val="00353925"/>
    <w:rsid w:val="00353BDB"/>
    <w:rsid w:val="00356F00"/>
    <w:rsid w:val="00360CD6"/>
    <w:rsid w:val="003701D5"/>
    <w:rsid w:val="00370ADF"/>
    <w:rsid w:val="00373838"/>
    <w:rsid w:val="0037421D"/>
    <w:rsid w:val="00375E73"/>
    <w:rsid w:val="0038183C"/>
    <w:rsid w:val="00383105"/>
    <w:rsid w:val="00384295"/>
    <w:rsid w:val="0038552D"/>
    <w:rsid w:val="003878C5"/>
    <w:rsid w:val="0039102B"/>
    <w:rsid w:val="00391B2A"/>
    <w:rsid w:val="00397380"/>
    <w:rsid w:val="003A020B"/>
    <w:rsid w:val="003A09AB"/>
    <w:rsid w:val="003A4192"/>
    <w:rsid w:val="003A5A2F"/>
    <w:rsid w:val="003A5AC9"/>
    <w:rsid w:val="003A6373"/>
    <w:rsid w:val="003B042F"/>
    <w:rsid w:val="003B0855"/>
    <w:rsid w:val="003B2F57"/>
    <w:rsid w:val="003B5283"/>
    <w:rsid w:val="003B5740"/>
    <w:rsid w:val="003C2231"/>
    <w:rsid w:val="003C40AE"/>
    <w:rsid w:val="003C536F"/>
    <w:rsid w:val="003C539B"/>
    <w:rsid w:val="003C7F57"/>
    <w:rsid w:val="003D0E36"/>
    <w:rsid w:val="003D1382"/>
    <w:rsid w:val="003D1FDA"/>
    <w:rsid w:val="003D3646"/>
    <w:rsid w:val="003D4B1C"/>
    <w:rsid w:val="003D5E97"/>
    <w:rsid w:val="003D6657"/>
    <w:rsid w:val="003D6E02"/>
    <w:rsid w:val="003E2325"/>
    <w:rsid w:val="003E3A8D"/>
    <w:rsid w:val="003E5A93"/>
    <w:rsid w:val="003E6332"/>
    <w:rsid w:val="003E7A28"/>
    <w:rsid w:val="003F4D22"/>
    <w:rsid w:val="003F6CB2"/>
    <w:rsid w:val="003F7074"/>
    <w:rsid w:val="003F716B"/>
    <w:rsid w:val="00400FED"/>
    <w:rsid w:val="004031FA"/>
    <w:rsid w:val="00403CFB"/>
    <w:rsid w:val="004049CD"/>
    <w:rsid w:val="0040694B"/>
    <w:rsid w:val="00410C93"/>
    <w:rsid w:val="00412362"/>
    <w:rsid w:val="00412A3C"/>
    <w:rsid w:val="004141BE"/>
    <w:rsid w:val="00416793"/>
    <w:rsid w:val="00416C0B"/>
    <w:rsid w:val="00420156"/>
    <w:rsid w:val="00420C29"/>
    <w:rsid w:val="004217D2"/>
    <w:rsid w:val="00421A71"/>
    <w:rsid w:val="00423268"/>
    <w:rsid w:val="00423563"/>
    <w:rsid w:val="00430942"/>
    <w:rsid w:val="00435717"/>
    <w:rsid w:val="0043632C"/>
    <w:rsid w:val="0044048D"/>
    <w:rsid w:val="00443C44"/>
    <w:rsid w:val="0044466C"/>
    <w:rsid w:val="00444F0C"/>
    <w:rsid w:val="004454E2"/>
    <w:rsid w:val="00445648"/>
    <w:rsid w:val="004473A8"/>
    <w:rsid w:val="00447969"/>
    <w:rsid w:val="00450E88"/>
    <w:rsid w:val="00451737"/>
    <w:rsid w:val="00452251"/>
    <w:rsid w:val="00453CE1"/>
    <w:rsid w:val="00454060"/>
    <w:rsid w:val="004559B5"/>
    <w:rsid w:val="004578E8"/>
    <w:rsid w:val="00460A3A"/>
    <w:rsid w:val="004610A2"/>
    <w:rsid w:val="00465034"/>
    <w:rsid w:val="0046629E"/>
    <w:rsid w:val="004703AB"/>
    <w:rsid w:val="0047092D"/>
    <w:rsid w:val="00474849"/>
    <w:rsid w:val="00480A80"/>
    <w:rsid w:val="00481BD2"/>
    <w:rsid w:val="0048277E"/>
    <w:rsid w:val="00484423"/>
    <w:rsid w:val="00484684"/>
    <w:rsid w:val="0048652D"/>
    <w:rsid w:val="00490440"/>
    <w:rsid w:val="0049315A"/>
    <w:rsid w:val="00493A00"/>
    <w:rsid w:val="004943FB"/>
    <w:rsid w:val="004945F6"/>
    <w:rsid w:val="00495927"/>
    <w:rsid w:val="00495B91"/>
    <w:rsid w:val="004A1D73"/>
    <w:rsid w:val="004A1DD7"/>
    <w:rsid w:val="004A7B77"/>
    <w:rsid w:val="004A7E4D"/>
    <w:rsid w:val="004B3F6F"/>
    <w:rsid w:val="004B468F"/>
    <w:rsid w:val="004B7499"/>
    <w:rsid w:val="004C0961"/>
    <w:rsid w:val="004C2700"/>
    <w:rsid w:val="004C45EF"/>
    <w:rsid w:val="004C5BF8"/>
    <w:rsid w:val="004C67DF"/>
    <w:rsid w:val="004C7332"/>
    <w:rsid w:val="004D70E7"/>
    <w:rsid w:val="004E00F0"/>
    <w:rsid w:val="004E0BA2"/>
    <w:rsid w:val="004E4DEB"/>
    <w:rsid w:val="004E5183"/>
    <w:rsid w:val="004E68D8"/>
    <w:rsid w:val="004E696B"/>
    <w:rsid w:val="004E741E"/>
    <w:rsid w:val="004F0B8F"/>
    <w:rsid w:val="004F3C1E"/>
    <w:rsid w:val="004F463C"/>
    <w:rsid w:val="004F4DEF"/>
    <w:rsid w:val="004F6688"/>
    <w:rsid w:val="00503BB4"/>
    <w:rsid w:val="00504858"/>
    <w:rsid w:val="00512EEC"/>
    <w:rsid w:val="005131F3"/>
    <w:rsid w:val="00513942"/>
    <w:rsid w:val="00513B8B"/>
    <w:rsid w:val="005163C3"/>
    <w:rsid w:val="0052066C"/>
    <w:rsid w:val="00521EA9"/>
    <w:rsid w:val="00522ED3"/>
    <w:rsid w:val="00524C30"/>
    <w:rsid w:val="00527974"/>
    <w:rsid w:val="0053096D"/>
    <w:rsid w:val="005317FD"/>
    <w:rsid w:val="0053217D"/>
    <w:rsid w:val="0053314B"/>
    <w:rsid w:val="00533C10"/>
    <w:rsid w:val="00541C78"/>
    <w:rsid w:val="005431CB"/>
    <w:rsid w:val="005471AF"/>
    <w:rsid w:val="005502BF"/>
    <w:rsid w:val="005538AA"/>
    <w:rsid w:val="00554920"/>
    <w:rsid w:val="00557E03"/>
    <w:rsid w:val="00561EE6"/>
    <w:rsid w:val="0057212D"/>
    <w:rsid w:val="00572CCE"/>
    <w:rsid w:val="00573B53"/>
    <w:rsid w:val="00574489"/>
    <w:rsid w:val="00576A1E"/>
    <w:rsid w:val="005809A4"/>
    <w:rsid w:val="00585C1F"/>
    <w:rsid w:val="00586B8D"/>
    <w:rsid w:val="0059004E"/>
    <w:rsid w:val="00591899"/>
    <w:rsid w:val="00591927"/>
    <w:rsid w:val="00591F0C"/>
    <w:rsid w:val="00593A99"/>
    <w:rsid w:val="005958B6"/>
    <w:rsid w:val="005A1A39"/>
    <w:rsid w:val="005A3B06"/>
    <w:rsid w:val="005A47E5"/>
    <w:rsid w:val="005A4AFD"/>
    <w:rsid w:val="005B1667"/>
    <w:rsid w:val="005B56EE"/>
    <w:rsid w:val="005B5F63"/>
    <w:rsid w:val="005B6CC3"/>
    <w:rsid w:val="005B6F4B"/>
    <w:rsid w:val="005C07A9"/>
    <w:rsid w:val="005C4BED"/>
    <w:rsid w:val="005C4D92"/>
    <w:rsid w:val="005C6EDC"/>
    <w:rsid w:val="005C799D"/>
    <w:rsid w:val="005D14BD"/>
    <w:rsid w:val="005D5A24"/>
    <w:rsid w:val="005E02FC"/>
    <w:rsid w:val="005E0C3A"/>
    <w:rsid w:val="005E2A2B"/>
    <w:rsid w:val="005E503F"/>
    <w:rsid w:val="005F1840"/>
    <w:rsid w:val="005F1C86"/>
    <w:rsid w:val="005F2661"/>
    <w:rsid w:val="005F42B7"/>
    <w:rsid w:val="005F5456"/>
    <w:rsid w:val="005F5993"/>
    <w:rsid w:val="0060085C"/>
    <w:rsid w:val="00603514"/>
    <w:rsid w:val="00604D99"/>
    <w:rsid w:val="006053A3"/>
    <w:rsid w:val="00605919"/>
    <w:rsid w:val="00605D3B"/>
    <w:rsid w:val="0060645E"/>
    <w:rsid w:val="006074E5"/>
    <w:rsid w:val="00611618"/>
    <w:rsid w:val="00611F95"/>
    <w:rsid w:val="00616C66"/>
    <w:rsid w:val="00616F1C"/>
    <w:rsid w:val="00617333"/>
    <w:rsid w:val="006179E5"/>
    <w:rsid w:val="00622517"/>
    <w:rsid w:val="00623677"/>
    <w:rsid w:val="006259CB"/>
    <w:rsid w:val="00626BE8"/>
    <w:rsid w:val="00633542"/>
    <w:rsid w:val="00633F07"/>
    <w:rsid w:val="006400F9"/>
    <w:rsid w:val="00642B74"/>
    <w:rsid w:val="00642BCE"/>
    <w:rsid w:val="0064331B"/>
    <w:rsid w:val="00645A2A"/>
    <w:rsid w:val="00647037"/>
    <w:rsid w:val="00657BF3"/>
    <w:rsid w:val="00660E2D"/>
    <w:rsid w:val="00662786"/>
    <w:rsid w:val="00662F81"/>
    <w:rsid w:val="00663F64"/>
    <w:rsid w:val="00664292"/>
    <w:rsid w:val="00665F61"/>
    <w:rsid w:val="0066668A"/>
    <w:rsid w:val="006701E9"/>
    <w:rsid w:val="00675ED7"/>
    <w:rsid w:val="006774DA"/>
    <w:rsid w:val="006901BF"/>
    <w:rsid w:val="00690F7B"/>
    <w:rsid w:val="006914BA"/>
    <w:rsid w:val="006A0701"/>
    <w:rsid w:val="006A0C13"/>
    <w:rsid w:val="006A1272"/>
    <w:rsid w:val="006A2310"/>
    <w:rsid w:val="006A53A8"/>
    <w:rsid w:val="006A76F0"/>
    <w:rsid w:val="006B0171"/>
    <w:rsid w:val="006B2967"/>
    <w:rsid w:val="006B3B70"/>
    <w:rsid w:val="006B4C5B"/>
    <w:rsid w:val="006B5057"/>
    <w:rsid w:val="006B5A32"/>
    <w:rsid w:val="006B761C"/>
    <w:rsid w:val="006B7BFD"/>
    <w:rsid w:val="006C0D1F"/>
    <w:rsid w:val="006C163B"/>
    <w:rsid w:val="006C442F"/>
    <w:rsid w:val="006C450E"/>
    <w:rsid w:val="006D23F1"/>
    <w:rsid w:val="006D2E04"/>
    <w:rsid w:val="006E0BD9"/>
    <w:rsid w:val="006E3A26"/>
    <w:rsid w:val="006E3C64"/>
    <w:rsid w:val="006E50BF"/>
    <w:rsid w:val="006E68FD"/>
    <w:rsid w:val="006E6DA9"/>
    <w:rsid w:val="006E77FD"/>
    <w:rsid w:val="006F6536"/>
    <w:rsid w:val="007045F7"/>
    <w:rsid w:val="00712CAA"/>
    <w:rsid w:val="007149AD"/>
    <w:rsid w:val="00717FA5"/>
    <w:rsid w:val="007206CD"/>
    <w:rsid w:val="007214D8"/>
    <w:rsid w:val="0072304F"/>
    <w:rsid w:val="00726662"/>
    <w:rsid w:val="00726CCC"/>
    <w:rsid w:val="00726F05"/>
    <w:rsid w:val="007272EC"/>
    <w:rsid w:val="00727F34"/>
    <w:rsid w:val="007300AA"/>
    <w:rsid w:val="00732EC3"/>
    <w:rsid w:val="00737071"/>
    <w:rsid w:val="00741E24"/>
    <w:rsid w:val="00742131"/>
    <w:rsid w:val="00742647"/>
    <w:rsid w:val="0074268C"/>
    <w:rsid w:val="00743FA6"/>
    <w:rsid w:val="007455D4"/>
    <w:rsid w:val="007459DF"/>
    <w:rsid w:val="007514B3"/>
    <w:rsid w:val="00751B33"/>
    <w:rsid w:val="007526D4"/>
    <w:rsid w:val="0075634D"/>
    <w:rsid w:val="00756619"/>
    <w:rsid w:val="007627F2"/>
    <w:rsid w:val="00762956"/>
    <w:rsid w:val="00771FEE"/>
    <w:rsid w:val="00773361"/>
    <w:rsid w:val="00774561"/>
    <w:rsid w:val="00775634"/>
    <w:rsid w:val="00776240"/>
    <w:rsid w:val="00780647"/>
    <w:rsid w:val="00782542"/>
    <w:rsid w:val="007855E2"/>
    <w:rsid w:val="0078618B"/>
    <w:rsid w:val="00790D75"/>
    <w:rsid w:val="00790E6D"/>
    <w:rsid w:val="0079529C"/>
    <w:rsid w:val="00795EF3"/>
    <w:rsid w:val="007977C4"/>
    <w:rsid w:val="007A0C9C"/>
    <w:rsid w:val="007A31F8"/>
    <w:rsid w:val="007A3CF4"/>
    <w:rsid w:val="007A43F4"/>
    <w:rsid w:val="007B0719"/>
    <w:rsid w:val="007B0A83"/>
    <w:rsid w:val="007B1B24"/>
    <w:rsid w:val="007B3B8F"/>
    <w:rsid w:val="007B50D6"/>
    <w:rsid w:val="007B546A"/>
    <w:rsid w:val="007B69A3"/>
    <w:rsid w:val="007B6EE4"/>
    <w:rsid w:val="007B763C"/>
    <w:rsid w:val="007C1577"/>
    <w:rsid w:val="007C207A"/>
    <w:rsid w:val="007C4179"/>
    <w:rsid w:val="007C77B8"/>
    <w:rsid w:val="007D19FA"/>
    <w:rsid w:val="007D383F"/>
    <w:rsid w:val="007E1152"/>
    <w:rsid w:val="007E1F24"/>
    <w:rsid w:val="007E2EE2"/>
    <w:rsid w:val="007E4E8A"/>
    <w:rsid w:val="007E5351"/>
    <w:rsid w:val="007E7D10"/>
    <w:rsid w:val="007F3E6D"/>
    <w:rsid w:val="007F50E3"/>
    <w:rsid w:val="00800C22"/>
    <w:rsid w:val="00801CED"/>
    <w:rsid w:val="008030BE"/>
    <w:rsid w:val="00810AE5"/>
    <w:rsid w:val="008135AF"/>
    <w:rsid w:val="008138AD"/>
    <w:rsid w:val="0081497D"/>
    <w:rsid w:val="0081573C"/>
    <w:rsid w:val="00817E1F"/>
    <w:rsid w:val="008214BF"/>
    <w:rsid w:val="0082274C"/>
    <w:rsid w:val="00831594"/>
    <w:rsid w:val="008316B5"/>
    <w:rsid w:val="00831E43"/>
    <w:rsid w:val="00832AE9"/>
    <w:rsid w:val="00835D5F"/>
    <w:rsid w:val="0083743A"/>
    <w:rsid w:val="00840464"/>
    <w:rsid w:val="00843D58"/>
    <w:rsid w:val="00852CFC"/>
    <w:rsid w:val="00853B29"/>
    <w:rsid w:val="00853D19"/>
    <w:rsid w:val="008570EC"/>
    <w:rsid w:val="008616D8"/>
    <w:rsid w:val="008624DA"/>
    <w:rsid w:val="00863136"/>
    <w:rsid w:val="00865AAE"/>
    <w:rsid w:val="00866969"/>
    <w:rsid w:val="00866F07"/>
    <w:rsid w:val="00867875"/>
    <w:rsid w:val="00867E5F"/>
    <w:rsid w:val="00871750"/>
    <w:rsid w:val="00874700"/>
    <w:rsid w:val="00874CD6"/>
    <w:rsid w:val="00880CE4"/>
    <w:rsid w:val="008848B7"/>
    <w:rsid w:val="00885576"/>
    <w:rsid w:val="00885754"/>
    <w:rsid w:val="00886A38"/>
    <w:rsid w:val="008923D2"/>
    <w:rsid w:val="00896231"/>
    <w:rsid w:val="00896987"/>
    <w:rsid w:val="00897C00"/>
    <w:rsid w:val="008A2806"/>
    <w:rsid w:val="008A2998"/>
    <w:rsid w:val="008A43EB"/>
    <w:rsid w:val="008A53E9"/>
    <w:rsid w:val="008A63B5"/>
    <w:rsid w:val="008A652E"/>
    <w:rsid w:val="008B4B55"/>
    <w:rsid w:val="008D036E"/>
    <w:rsid w:val="008D0C53"/>
    <w:rsid w:val="008D0FDC"/>
    <w:rsid w:val="008D101E"/>
    <w:rsid w:val="008D37D9"/>
    <w:rsid w:val="008D57C0"/>
    <w:rsid w:val="008D766F"/>
    <w:rsid w:val="008D79BA"/>
    <w:rsid w:val="008E23D5"/>
    <w:rsid w:val="008E323D"/>
    <w:rsid w:val="008E5341"/>
    <w:rsid w:val="008E56C5"/>
    <w:rsid w:val="008E59CC"/>
    <w:rsid w:val="008E6041"/>
    <w:rsid w:val="008E6691"/>
    <w:rsid w:val="008E6CBB"/>
    <w:rsid w:val="008F071F"/>
    <w:rsid w:val="008F2B85"/>
    <w:rsid w:val="008F639E"/>
    <w:rsid w:val="00900166"/>
    <w:rsid w:val="00900F2C"/>
    <w:rsid w:val="0090145A"/>
    <w:rsid w:val="00901570"/>
    <w:rsid w:val="00902671"/>
    <w:rsid w:val="0090285F"/>
    <w:rsid w:val="009032A9"/>
    <w:rsid w:val="00903ECC"/>
    <w:rsid w:val="009109FD"/>
    <w:rsid w:val="00911024"/>
    <w:rsid w:val="00911A62"/>
    <w:rsid w:val="00914C97"/>
    <w:rsid w:val="00923D16"/>
    <w:rsid w:val="00925E73"/>
    <w:rsid w:val="0092631E"/>
    <w:rsid w:val="0092723B"/>
    <w:rsid w:val="0092767B"/>
    <w:rsid w:val="00927B19"/>
    <w:rsid w:val="00930ADF"/>
    <w:rsid w:val="00931AA2"/>
    <w:rsid w:val="00932458"/>
    <w:rsid w:val="00932947"/>
    <w:rsid w:val="009339A3"/>
    <w:rsid w:val="00934EB1"/>
    <w:rsid w:val="009366C3"/>
    <w:rsid w:val="009369DB"/>
    <w:rsid w:val="0093752C"/>
    <w:rsid w:val="0093760C"/>
    <w:rsid w:val="00937702"/>
    <w:rsid w:val="00940FC5"/>
    <w:rsid w:val="00941322"/>
    <w:rsid w:val="00942142"/>
    <w:rsid w:val="00942473"/>
    <w:rsid w:val="00942FC7"/>
    <w:rsid w:val="00945476"/>
    <w:rsid w:val="009477FD"/>
    <w:rsid w:val="0095019F"/>
    <w:rsid w:val="00951BC8"/>
    <w:rsid w:val="00957BDB"/>
    <w:rsid w:val="00960673"/>
    <w:rsid w:val="00961E31"/>
    <w:rsid w:val="0096214D"/>
    <w:rsid w:val="00963C2F"/>
    <w:rsid w:val="00965824"/>
    <w:rsid w:val="00967294"/>
    <w:rsid w:val="00972D81"/>
    <w:rsid w:val="009742D0"/>
    <w:rsid w:val="00977108"/>
    <w:rsid w:val="00985B22"/>
    <w:rsid w:val="00992B17"/>
    <w:rsid w:val="009940DF"/>
    <w:rsid w:val="0099547E"/>
    <w:rsid w:val="00995D9B"/>
    <w:rsid w:val="009A2F72"/>
    <w:rsid w:val="009A405E"/>
    <w:rsid w:val="009A4647"/>
    <w:rsid w:val="009A4DB7"/>
    <w:rsid w:val="009A6DF8"/>
    <w:rsid w:val="009A7031"/>
    <w:rsid w:val="009B2D82"/>
    <w:rsid w:val="009B493D"/>
    <w:rsid w:val="009B4D83"/>
    <w:rsid w:val="009B589D"/>
    <w:rsid w:val="009B647C"/>
    <w:rsid w:val="009B7CD6"/>
    <w:rsid w:val="009C2C7A"/>
    <w:rsid w:val="009C50AC"/>
    <w:rsid w:val="009D0341"/>
    <w:rsid w:val="009D3982"/>
    <w:rsid w:val="009D5A35"/>
    <w:rsid w:val="009D5DCC"/>
    <w:rsid w:val="009D60EC"/>
    <w:rsid w:val="009D7515"/>
    <w:rsid w:val="009D7744"/>
    <w:rsid w:val="009E20C3"/>
    <w:rsid w:val="009E2F8A"/>
    <w:rsid w:val="009E3AC6"/>
    <w:rsid w:val="009E5980"/>
    <w:rsid w:val="009E5F11"/>
    <w:rsid w:val="009F05BD"/>
    <w:rsid w:val="009F0BDC"/>
    <w:rsid w:val="009F38D8"/>
    <w:rsid w:val="009F42DF"/>
    <w:rsid w:val="009F45E3"/>
    <w:rsid w:val="009F4FD7"/>
    <w:rsid w:val="009F5E00"/>
    <w:rsid w:val="009F5FD9"/>
    <w:rsid w:val="00A00072"/>
    <w:rsid w:val="00A00BA3"/>
    <w:rsid w:val="00A0144B"/>
    <w:rsid w:val="00A04501"/>
    <w:rsid w:val="00A05118"/>
    <w:rsid w:val="00A13150"/>
    <w:rsid w:val="00A143DB"/>
    <w:rsid w:val="00A148A7"/>
    <w:rsid w:val="00A14C7C"/>
    <w:rsid w:val="00A26E81"/>
    <w:rsid w:val="00A3098E"/>
    <w:rsid w:val="00A313F2"/>
    <w:rsid w:val="00A3660B"/>
    <w:rsid w:val="00A36D1E"/>
    <w:rsid w:val="00A370DA"/>
    <w:rsid w:val="00A43385"/>
    <w:rsid w:val="00A441DA"/>
    <w:rsid w:val="00A44FB7"/>
    <w:rsid w:val="00A54AB6"/>
    <w:rsid w:val="00A55400"/>
    <w:rsid w:val="00A56267"/>
    <w:rsid w:val="00A56453"/>
    <w:rsid w:val="00A60A3A"/>
    <w:rsid w:val="00A60F67"/>
    <w:rsid w:val="00A63A7A"/>
    <w:rsid w:val="00A65636"/>
    <w:rsid w:val="00A668F3"/>
    <w:rsid w:val="00A7249E"/>
    <w:rsid w:val="00A72BB1"/>
    <w:rsid w:val="00A73821"/>
    <w:rsid w:val="00A73EE7"/>
    <w:rsid w:val="00A76EEE"/>
    <w:rsid w:val="00A7798A"/>
    <w:rsid w:val="00A81414"/>
    <w:rsid w:val="00A81D78"/>
    <w:rsid w:val="00A8262E"/>
    <w:rsid w:val="00A82DA5"/>
    <w:rsid w:val="00A842EE"/>
    <w:rsid w:val="00A93282"/>
    <w:rsid w:val="00A9447A"/>
    <w:rsid w:val="00A96C90"/>
    <w:rsid w:val="00AA043E"/>
    <w:rsid w:val="00AA17C1"/>
    <w:rsid w:val="00AA19C9"/>
    <w:rsid w:val="00AA25E3"/>
    <w:rsid w:val="00AA4627"/>
    <w:rsid w:val="00AB06C5"/>
    <w:rsid w:val="00AB3EB1"/>
    <w:rsid w:val="00AB462A"/>
    <w:rsid w:val="00AB6361"/>
    <w:rsid w:val="00AB6721"/>
    <w:rsid w:val="00AC132E"/>
    <w:rsid w:val="00AC76DE"/>
    <w:rsid w:val="00AD09BA"/>
    <w:rsid w:val="00AD1077"/>
    <w:rsid w:val="00AD30E1"/>
    <w:rsid w:val="00AD3B70"/>
    <w:rsid w:val="00AD3C03"/>
    <w:rsid w:val="00AD479F"/>
    <w:rsid w:val="00AE4022"/>
    <w:rsid w:val="00AE45FF"/>
    <w:rsid w:val="00AE6727"/>
    <w:rsid w:val="00AF084B"/>
    <w:rsid w:val="00AF1E5F"/>
    <w:rsid w:val="00AF3C1E"/>
    <w:rsid w:val="00AF4DFF"/>
    <w:rsid w:val="00AF5A4A"/>
    <w:rsid w:val="00AF71DC"/>
    <w:rsid w:val="00AF71E8"/>
    <w:rsid w:val="00B01A19"/>
    <w:rsid w:val="00B02C26"/>
    <w:rsid w:val="00B04655"/>
    <w:rsid w:val="00B06EB4"/>
    <w:rsid w:val="00B07B39"/>
    <w:rsid w:val="00B07ED2"/>
    <w:rsid w:val="00B14E17"/>
    <w:rsid w:val="00B15E1B"/>
    <w:rsid w:val="00B16D09"/>
    <w:rsid w:val="00B17494"/>
    <w:rsid w:val="00B178F7"/>
    <w:rsid w:val="00B21268"/>
    <w:rsid w:val="00B24ACE"/>
    <w:rsid w:val="00B257A4"/>
    <w:rsid w:val="00B27EF4"/>
    <w:rsid w:val="00B41712"/>
    <w:rsid w:val="00B41C65"/>
    <w:rsid w:val="00B4362E"/>
    <w:rsid w:val="00B4456D"/>
    <w:rsid w:val="00B46D34"/>
    <w:rsid w:val="00B47B1C"/>
    <w:rsid w:val="00B511F8"/>
    <w:rsid w:val="00B51C8E"/>
    <w:rsid w:val="00B5293F"/>
    <w:rsid w:val="00B53725"/>
    <w:rsid w:val="00B53AA4"/>
    <w:rsid w:val="00B55E0C"/>
    <w:rsid w:val="00B5630D"/>
    <w:rsid w:val="00B5654A"/>
    <w:rsid w:val="00B576E8"/>
    <w:rsid w:val="00B61066"/>
    <w:rsid w:val="00B62AFE"/>
    <w:rsid w:val="00B64CB4"/>
    <w:rsid w:val="00B700D6"/>
    <w:rsid w:val="00B702C2"/>
    <w:rsid w:val="00B7124A"/>
    <w:rsid w:val="00B71C1F"/>
    <w:rsid w:val="00B73675"/>
    <w:rsid w:val="00B76BE7"/>
    <w:rsid w:val="00B800E5"/>
    <w:rsid w:val="00B8154D"/>
    <w:rsid w:val="00B82A72"/>
    <w:rsid w:val="00B82C38"/>
    <w:rsid w:val="00B8394D"/>
    <w:rsid w:val="00B839F3"/>
    <w:rsid w:val="00B846DF"/>
    <w:rsid w:val="00B86AFC"/>
    <w:rsid w:val="00B87DA7"/>
    <w:rsid w:val="00B900F0"/>
    <w:rsid w:val="00B93E4E"/>
    <w:rsid w:val="00B94682"/>
    <w:rsid w:val="00B94B8F"/>
    <w:rsid w:val="00B95264"/>
    <w:rsid w:val="00B95A61"/>
    <w:rsid w:val="00B97222"/>
    <w:rsid w:val="00BA48D5"/>
    <w:rsid w:val="00BA5D0A"/>
    <w:rsid w:val="00BB0A1A"/>
    <w:rsid w:val="00BB2B5A"/>
    <w:rsid w:val="00BB2DAD"/>
    <w:rsid w:val="00BB363C"/>
    <w:rsid w:val="00BB5773"/>
    <w:rsid w:val="00BC18BB"/>
    <w:rsid w:val="00BC2627"/>
    <w:rsid w:val="00BC42BC"/>
    <w:rsid w:val="00BC4B33"/>
    <w:rsid w:val="00BC5747"/>
    <w:rsid w:val="00BC66CD"/>
    <w:rsid w:val="00BD23FF"/>
    <w:rsid w:val="00BD6AF1"/>
    <w:rsid w:val="00BD7302"/>
    <w:rsid w:val="00BD7B28"/>
    <w:rsid w:val="00BE0930"/>
    <w:rsid w:val="00BE1961"/>
    <w:rsid w:val="00BE3525"/>
    <w:rsid w:val="00BE36D5"/>
    <w:rsid w:val="00BE5E2A"/>
    <w:rsid w:val="00BE7EAC"/>
    <w:rsid w:val="00BF6C74"/>
    <w:rsid w:val="00C0001B"/>
    <w:rsid w:val="00C0051C"/>
    <w:rsid w:val="00C05E52"/>
    <w:rsid w:val="00C06643"/>
    <w:rsid w:val="00C11B50"/>
    <w:rsid w:val="00C1390D"/>
    <w:rsid w:val="00C1588E"/>
    <w:rsid w:val="00C207FE"/>
    <w:rsid w:val="00C2124C"/>
    <w:rsid w:val="00C22500"/>
    <w:rsid w:val="00C232BC"/>
    <w:rsid w:val="00C2555C"/>
    <w:rsid w:val="00C275C6"/>
    <w:rsid w:val="00C31405"/>
    <w:rsid w:val="00C3385D"/>
    <w:rsid w:val="00C3573C"/>
    <w:rsid w:val="00C37F93"/>
    <w:rsid w:val="00C40795"/>
    <w:rsid w:val="00C41149"/>
    <w:rsid w:val="00C41189"/>
    <w:rsid w:val="00C428DD"/>
    <w:rsid w:val="00C42CD9"/>
    <w:rsid w:val="00C45881"/>
    <w:rsid w:val="00C46C52"/>
    <w:rsid w:val="00C47B45"/>
    <w:rsid w:val="00C50667"/>
    <w:rsid w:val="00C50988"/>
    <w:rsid w:val="00C52433"/>
    <w:rsid w:val="00C524E4"/>
    <w:rsid w:val="00C52553"/>
    <w:rsid w:val="00C53FC2"/>
    <w:rsid w:val="00C54140"/>
    <w:rsid w:val="00C555E4"/>
    <w:rsid w:val="00C56746"/>
    <w:rsid w:val="00C56BB4"/>
    <w:rsid w:val="00C6022C"/>
    <w:rsid w:val="00C61182"/>
    <w:rsid w:val="00C62AD2"/>
    <w:rsid w:val="00C6416D"/>
    <w:rsid w:val="00C64171"/>
    <w:rsid w:val="00C651E0"/>
    <w:rsid w:val="00C65B19"/>
    <w:rsid w:val="00C74FF1"/>
    <w:rsid w:val="00C7585E"/>
    <w:rsid w:val="00C76BE6"/>
    <w:rsid w:val="00C8106E"/>
    <w:rsid w:val="00C8205D"/>
    <w:rsid w:val="00C824DE"/>
    <w:rsid w:val="00C85FF1"/>
    <w:rsid w:val="00C86D2F"/>
    <w:rsid w:val="00C9228B"/>
    <w:rsid w:val="00C931FD"/>
    <w:rsid w:val="00C94C4D"/>
    <w:rsid w:val="00CA1AF9"/>
    <w:rsid w:val="00CA1DD0"/>
    <w:rsid w:val="00CA2099"/>
    <w:rsid w:val="00CA572A"/>
    <w:rsid w:val="00CB1E7A"/>
    <w:rsid w:val="00CB2290"/>
    <w:rsid w:val="00CB4E1D"/>
    <w:rsid w:val="00CC1CA1"/>
    <w:rsid w:val="00CC2588"/>
    <w:rsid w:val="00CC536E"/>
    <w:rsid w:val="00CC5D88"/>
    <w:rsid w:val="00CC698C"/>
    <w:rsid w:val="00CD29B9"/>
    <w:rsid w:val="00CD3BF7"/>
    <w:rsid w:val="00CD3FB4"/>
    <w:rsid w:val="00CD4557"/>
    <w:rsid w:val="00CE00C5"/>
    <w:rsid w:val="00CE03AC"/>
    <w:rsid w:val="00CE14B5"/>
    <w:rsid w:val="00CE2B3F"/>
    <w:rsid w:val="00CE2F84"/>
    <w:rsid w:val="00CE767E"/>
    <w:rsid w:val="00CE7A52"/>
    <w:rsid w:val="00CE7BD4"/>
    <w:rsid w:val="00CF19EA"/>
    <w:rsid w:val="00D01A8C"/>
    <w:rsid w:val="00D02CA7"/>
    <w:rsid w:val="00D03328"/>
    <w:rsid w:val="00D03686"/>
    <w:rsid w:val="00D0369F"/>
    <w:rsid w:val="00D044DD"/>
    <w:rsid w:val="00D119D3"/>
    <w:rsid w:val="00D1389F"/>
    <w:rsid w:val="00D15EFA"/>
    <w:rsid w:val="00D16967"/>
    <w:rsid w:val="00D2020B"/>
    <w:rsid w:val="00D20B2D"/>
    <w:rsid w:val="00D211CD"/>
    <w:rsid w:val="00D24412"/>
    <w:rsid w:val="00D2594B"/>
    <w:rsid w:val="00D27077"/>
    <w:rsid w:val="00D276C6"/>
    <w:rsid w:val="00D27D46"/>
    <w:rsid w:val="00D337DD"/>
    <w:rsid w:val="00D35071"/>
    <w:rsid w:val="00D35201"/>
    <w:rsid w:val="00D357B4"/>
    <w:rsid w:val="00D40156"/>
    <w:rsid w:val="00D4023F"/>
    <w:rsid w:val="00D407D4"/>
    <w:rsid w:val="00D41EA5"/>
    <w:rsid w:val="00D42CD9"/>
    <w:rsid w:val="00D44456"/>
    <w:rsid w:val="00D46E5A"/>
    <w:rsid w:val="00D474E7"/>
    <w:rsid w:val="00D47549"/>
    <w:rsid w:val="00D53B63"/>
    <w:rsid w:val="00D5441D"/>
    <w:rsid w:val="00D54C20"/>
    <w:rsid w:val="00D561E8"/>
    <w:rsid w:val="00D5763C"/>
    <w:rsid w:val="00D60946"/>
    <w:rsid w:val="00D64635"/>
    <w:rsid w:val="00D70341"/>
    <w:rsid w:val="00D714A1"/>
    <w:rsid w:val="00D71D3D"/>
    <w:rsid w:val="00D76A08"/>
    <w:rsid w:val="00D8296B"/>
    <w:rsid w:val="00D83545"/>
    <w:rsid w:val="00D83DA1"/>
    <w:rsid w:val="00D850E0"/>
    <w:rsid w:val="00D85FE0"/>
    <w:rsid w:val="00D867C0"/>
    <w:rsid w:val="00D87D3F"/>
    <w:rsid w:val="00D87EAD"/>
    <w:rsid w:val="00D907C1"/>
    <w:rsid w:val="00D96313"/>
    <w:rsid w:val="00D9671A"/>
    <w:rsid w:val="00DA2426"/>
    <w:rsid w:val="00DA283A"/>
    <w:rsid w:val="00DA300D"/>
    <w:rsid w:val="00DA310E"/>
    <w:rsid w:val="00DA4FDF"/>
    <w:rsid w:val="00DA6246"/>
    <w:rsid w:val="00DB0A38"/>
    <w:rsid w:val="00DB277F"/>
    <w:rsid w:val="00DB41EA"/>
    <w:rsid w:val="00DC0585"/>
    <w:rsid w:val="00DC1889"/>
    <w:rsid w:val="00DC2724"/>
    <w:rsid w:val="00DC39F4"/>
    <w:rsid w:val="00DC407C"/>
    <w:rsid w:val="00DC4730"/>
    <w:rsid w:val="00DC5CE3"/>
    <w:rsid w:val="00DD087D"/>
    <w:rsid w:val="00DD2B69"/>
    <w:rsid w:val="00DD2E55"/>
    <w:rsid w:val="00DD4C2D"/>
    <w:rsid w:val="00DD60CD"/>
    <w:rsid w:val="00DE0F88"/>
    <w:rsid w:val="00DE21FF"/>
    <w:rsid w:val="00DE555F"/>
    <w:rsid w:val="00DE66FC"/>
    <w:rsid w:val="00DF2560"/>
    <w:rsid w:val="00DF2A09"/>
    <w:rsid w:val="00DF34A6"/>
    <w:rsid w:val="00DF3E75"/>
    <w:rsid w:val="00DF47A5"/>
    <w:rsid w:val="00E00318"/>
    <w:rsid w:val="00E028BB"/>
    <w:rsid w:val="00E049ED"/>
    <w:rsid w:val="00E122BA"/>
    <w:rsid w:val="00E12805"/>
    <w:rsid w:val="00E12A4F"/>
    <w:rsid w:val="00E14CF2"/>
    <w:rsid w:val="00E1790F"/>
    <w:rsid w:val="00E1794C"/>
    <w:rsid w:val="00E20BE0"/>
    <w:rsid w:val="00E21496"/>
    <w:rsid w:val="00E23E09"/>
    <w:rsid w:val="00E25218"/>
    <w:rsid w:val="00E27F93"/>
    <w:rsid w:val="00E306D7"/>
    <w:rsid w:val="00E31CD1"/>
    <w:rsid w:val="00E34A1B"/>
    <w:rsid w:val="00E34D29"/>
    <w:rsid w:val="00E351A4"/>
    <w:rsid w:val="00E35EE9"/>
    <w:rsid w:val="00E365C4"/>
    <w:rsid w:val="00E37D59"/>
    <w:rsid w:val="00E4005C"/>
    <w:rsid w:val="00E401E3"/>
    <w:rsid w:val="00E41136"/>
    <w:rsid w:val="00E41BE1"/>
    <w:rsid w:val="00E41CA4"/>
    <w:rsid w:val="00E50D8D"/>
    <w:rsid w:val="00E5255A"/>
    <w:rsid w:val="00E537D9"/>
    <w:rsid w:val="00E6144D"/>
    <w:rsid w:val="00E64CA1"/>
    <w:rsid w:val="00E65030"/>
    <w:rsid w:val="00E659CE"/>
    <w:rsid w:val="00E659F3"/>
    <w:rsid w:val="00E67766"/>
    <w:rsid w:val="00E67C96"/>
    <w:rsid w:val="00E71F8D"/>
    <w:rsid w:val="00E72351"/>
    <w:rsid w:val="00E756AA"/>
    <w:rsid w:val="00E75942"/>
    <w:rsid w:val="00E7599D"/>
    <w:rsid w:val="00E8128A"/>
    <w:rsid w:val="00E8463B"/>
    <w:rsid w:val="00E85A15"/>
    <w:rsid w:val="00E87149"/>
    <w:rsid w:val="00E877A3"/>
    <w:rsid w:val="00E87FFD"/>
    <w:rsid w:val="00E9079B"/>
    <w:rsid w:val="00E91572"/>
    <w:rsid w:val="00E9533E"/>
    <w:rsid w:val="00E9661F"/>
    <w:rsid w:val="00E9696B"/>
    <w:rsid w:val="00E9699F"/>
    <w:rsid w:val="00EA0FE9"/>
    <w:rsid w:val="00EA5585"/>
    <w:rsid w:val="00EA6736"/>
    <w:rsid w:val="00EB073D"/>
    <w:rsid w:val="00EB1016"/>
    <w:rsid w:val="00EB5DD9"/>
    <w:rsid w:val="00EC1EAE"/>
    <w:rsid w:val="00EC3DDE"/>
    <w:rsid w:val="00EC4F59"/>
    <w:rsid w:val="00EC5A07"/>
    <w:rsid w:val="00ED1E68"/>
    <w:rsid w:val="00ED3E26"/>
    <w:rsid w:val="00ED442E"/>
    <w:rsid w:val="00ED4984"/>
    <w:rsid w:val="00ED49B3"/>
    <w:rsid w:val="00ED6C27"/>
    <w:rsid w:val="00EE402E"/>
    <w:rsid w:val="00EE5BC0"/>
    <w:rsid w:val="00EF0492"/>
    <w:rsid w:val="00EF1559"/>
    <w:rsid w:val="00EF213E"/>
    <w:rsid w:val="00EF3221"/>
    <w:rsid w:val="00EF4D3A"/>
    <w:rsid w:val="00EF72E8"/>
    <w:rsid w:val="00F00C19"/>
    <w:rsid w:val="00F0192D"/>
    <w:rsid w:val="00F0266B"/>
    <w:rsid w:val="00F03054"/>
    <w:rsid w:val="00F04F5C"/>
    <w:rsid w:val="00F1086C"/>
    <w:rsid w:val="00F10DC0"/>
    <w:rsid w:val="00F14274"/>
    <w:rsid w:val="00F15C6A"/>
    <w:rsid w:val="00F16703"/>
    <w:rsid w:val="00F1686B"/>
    <w:rsid w:val="00F17A6D"/>
    <w:rsid w:val="00F251A7"/>
    <w:rsid w:val="00F25C72"/>
    <w:rsid w:val="00F25FBD"/>
    <w:rsid w:val="00F26863"/>
    <w:rsid w:val="00F3056A"/>
    <w:rsid w:val="00F3076F"/>
    <w:rsid w:val="00F33108"/>
    <w:rsid w:val="00F3598C"/>
    <w:rsid w:val="00F4050F"/>
    <w:rsid w:val="00F427CF"/>
    <w:rsid w:val="00F42EAB"/>
    <w:rsid w:val="00F4415C"/>
    <w:rsid w:val="00F4516B"/>
    <w:rsid w:val="00F47F14"/>
    <w:rsid w:val="00F50064"/>
    <w:rsid w:val="00F51A62"/>
    <w:rsid w:val="00F603ED"/>
    <w:rsid w:val="00F608CE"/>
    <w:rsid w:val="00F61A44"/>
    <w:rsid w:val="00F6699D"/>
    <w:rsid w:val="00F67DF5"/>
    <w:rsid w:val="00F704B7"/>
    <w:rsid w:val="00F70CE7"/>
    <w:rsid w:val="00F77A36"/>
    <w:rsid w:val="00F80FA9"/>
    <w:rsid w:val="00F81290"/>
    <w:rsid w:val="00F81BAC"/>
    <w:rsid w:val="00F8310A"/>
    <w:rsid w:val="00F83501"/>
    <w:rsid w:val="00F84227"/>
    <w:rsid w:val="00F848DE"/>
    <w:rsid w:val="00F85104"/>
    <w:rsid w:val="00F852A7"/>
    <w:rsid w:val="00F93D59"/>
    <w:rsid w:val="00F9545C"/>
    <w:rsid w:val="00F9662A"/>
    <w:rsid w:val="00F9742F"/>
    <w:rsid w:val="00F97C0D"/>
    <w:rsid w:val="00F97FBC"/>
    <w:rsid w:val="00FA11C2"/>
    <w:rsid w:val="00FA29E8"/>
    <w:rsid w:val="00FA5508"/>
    <w:rsid w:val="00FA665B"/>
    <w:rsid w:val="00FA6B94"/>
    <w:rsid w:val="00FB479D"/>
    <w:rsid w:val="00FB7342"/>
    <w:rsid w:val="00FC0178"/>
    <w:rsid w:val="00FC1626"/>
    <w:rsid w:val="00FC16A7"/>
    <w:rsid w:val="00FC2352"/>
    <w:rsid w:val="00FC301A"/>
    <w:rsid w:val="00FC3A8F"/>
    <w:rsid w:val="00FC5AF9"/>
    <w:rsid w:val="00FC643B"/>
    <w:rsid w:val="00FD10FB"/>
    <w:rsid w:val="00FD1EC9"/>
    <w:rsid w:val="00FD23DE"/>
    <w:rsid w:val="00FD3DE5"/>
    <w:rsid w:val="00FD4FE5"/>
    <w:rsid w:val="00FE3886"/>
    <w:rsid w:val="00FE3D90"/>
    <w:rsid w:val="00FE436A"/>
    <w:rsid w:val="00FE7A28"/>
    <w:rsid w:val="00FF09A7"/>
    <w:rsid w:val="00FF192D"/>
    <w:rsid w:val="00FF1D84"/>
    <w:rsid w:val="00FF2ECD"/>
    <w:rsid w:val="00FF4807"/>
    <w:rsid w:val="00FF4B08"/>
    <w:rsid w:val="00FF647D"/>
    <w:rsid w:val="00FF7C1D"/>
  </w:rsids>
  <w:docVars>
    <w:docVar w:name="__Grammarly_42___1" w:val="H4sIAAAAAAAEAKtWcslP9kxRslIyNDY2MDEwNDc1sDSxNDMwMzVV0lEKTi0uzszPAykwrgUA0GBvY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A9CCD0"/>
  <w15:chartTrackingRefBased/>
  <w15:docId w15:val="{62AB2EF7-7893-470F-9F3E-A934B5CD1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7F8B"/>
    <w:pPr>
      <w:spacing w:after="120"/>
      <w:ind w:left="360" w:hanging="360"/>
    </w:pPr>
    <w:rPr>
      <w:sz w:val="24"/>
      <w:szCs w:val="24"/>
    </w:rPr>
  </w:style>
  <w:style w:type="paragraph" w:styleId="Heading2">
    <w:name w:val="heading 2"/>
    <w:basedOn w:val="Normal"/>
    <w:next w:val="Normal"/>
    <w:qFormat/>
    <w:rsid w:val="00317F8B"/>
    <w:pPr>
      <w:keepNext/>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spacing w:after="120"/>
      <w:ind w:left="360" w:hanging="360"/>
    </w:pPr>
    <w:rPr>
      <w:rFonts w:ascii="Arial" w:hAnsi="Arial"/>
      <w:sz w:val="24"/>
      <w:szCs w:val="24"/>
    </w:rPr>
  </w:style>
  <w:style w:type="paragraph" w:styleId="HTMLPreformatted">
    <w:name w:val="HTML Preformatted"/>
    <w:basedOn w:val="Normal"/>
    <w:rsid w:val="00317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317F8B"/>
    <w:rPr>
      <w:color w:val="0000FF"/>
      <w:u w:val="single"/>
    </w:rPr>
  </w:style>
  <w:style w:type="character" w:styleId="CommentReference">
    <w:name w:val="annotation reference"/>
    <w:semiHidden/>
    <w:rsid w:val="00B900F0"/>
    <w:rPr>
      <w:sz w:val="16"/>
      <w:szCs w:val="16"/>
    </w:rPr>
  </w:style>
  <w:style w:type="paragraph" w:styleId="CommentText">
    <w:name w:val="annotation text"/>
    <w:basedOn w:val="Normal"/>
    <w:link w:val="CommentTextChar"/>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rsid w:val="003D4B1C"/>
    <w:rPr>
      <w:color w:val="800080"/>
      <w:u w:val="single"/>
    </w:rPr>
  </w:style>
  <w:style w:type="paragraph" w:styleId="FootnoteText">
    <w:name w:val="footnote text"/>
    <w:basedOn w:val="Normal"/>
    <w:semiHidden/>
    <w:rsid w:val="006179E5"/>
    <w:rPr>
      <w:rFonts w:ascii="NewBskvll BT" w:hAnsi="NewBskvll BT"/>
      <w:snapToGrid w:val="0"/>
      <w:sz w:val="20"/>
      <w:szCs w:val="20"/>
    </w:rPr>
  </w:style>
  <w:style w:type="paragraph" w:customStyle="1" w:styleId="BodyText1">
    <w:name w:val="Body Text1"/>
    <w:aliases w:val="body tx,bt,flush,indent,memo body text"/>
    <w:basedOn w:val="Normal"/>
    <w:link w:val="bodytextChar"/>
    <w:rsid w:val="00C2124C"/>
    <w:pPr>
      <w:spacing w:after="240" w:line="360" w:lineRule="atLeast"/>
      <w:ind w:firstLine="720"/>
    </w:pPr>
    <w:rPr>
      <w:snapToGrid w:val="0"/>
      <w:szCs w:val="20"/>
    </w:rPr>
  </w:style>
  <w:style w:type="character" w:customStyle="1" w:styleId="bodytextChar">
    <w:name w:val="body text Char"/>
    <w:link w:val="BodyText1"/>
    <w:rsid w:val="00C2124C"/>
    <w:rPr>
      <w:snapToGrid w:val="0"/>
      <w:sz w:val="24"/>
      <w:lang w:val="en-US" w:eastAsia="en-US" w:bidi="ar-SA"/>
    </w:rPr>
  </w:style>
  <w:style w:type="paragraph" w:customStyle="1" w:styleId="Exhibittitle">
    <w:name w:val="Exhibit title"/>
    <w:basedOn w:val="Normal"/>
    <w:rsid w:val="00C2124C"/>
    <w:pPr>
      <w:keepNext/>
      <w:keepLines/>
      <w:spacing w:before="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5B5F63"/>
    <w:rPr>
      <w:sz w:val="20"/>
      <w:szCs w:val="20"/>
    </w:rPr>
  </w:style>
  <w:style w:type="character" w:styleId="EndnoteReference">
    <w:name w:val="endnote reference"/>
    <w:semiHidden/>
    <w:rsid w:val="005B5F63"/>
    <w:rPr>
      <w:vertAlign w:val="superscript"/>
    </w:rPr>
  </w:style>
  <w:style w:type="paragraph" w:styleId="TOC5">
    <w:name w:val="toc 5"/>
    <w:basedOn w:val="Normal"/>
    <w:next w:val="Normal"/>
    <w:autoRedefine/>
    <w:uiPriority w:val="39"/>
    <w:rsid w:val="00465034"/>
    <w:pPr>
      <w:ind w:left="960"/>
    </w:pPr>
  </w:style>
  <w:style w:type="paragraph" w:styleId="ListParagraph">
    <w:name w:val="List Paragraph"/>
    <w:basedOn w:val="Normal"/>
    <w:uiPriority w:val="34"/>
    <w:qFormat/>
    <w:rsid w:val="0092767B"/>
    <w:pPr>
      <w:ind w:left="720"/>
      <w:contextualSpacing/>
    </w:pPr>
  </w:style>
  <w:style w:type="paragraph" w:customStyle="1" w:styleId="Pa15">
    <w:name w:val="Pa15"/>
    <w:basedOn w:val="Normal"/>
    <w:next w:val="Normal"/>
    <w:uiPriority w:val="99"/>
    <w:rsid w:val="009E2F8A"/>
    <w:pPr>
      <w:autoSpaceDE w:val="0"/>
      <w:autoSpaceDN w:val="0"/>
      <w:adjustRightInd w:val="0"/>
      <w:spacing w:after="0" w:line="221" w:lineRule="atLeast"/>
      <w:ind w:left="0" w:firstLine="0"/>
    </w:pPr>
    <w:rPr>
      <w:rFonts w:ascii="ITC Franklin Gothic Std Book" w:hAnsi="ITC Franklin Gothic Std Book"/>
    </w:rPr>
  </w:style>
  <w:style w:type="paragraph" w:customStyle="1" w:styleId="Default">
    <w:name w:val="Default"/>
    <w:rsid w:val="00BE5E2A"/>
    <w:pPr>
      <w:autoSpaceDE w:val="0"/>
      <w:autoSpaceDN w:val="0"/>
      <w:adjustRightInd w:val="0"/>
    </w:pPr>
    <w:rPr>
      <w:rFonts w:ascii="ITC Franklin Gothic Std Book" w:hAnsi="ITC Franklin Gothic Std Book" w:cs="ITC Franklin Gothic Std Book"/>
      <w:color w:val="000000"/>
      <w:sz w:val="24"/>
      <w:szCs w:val="24"/>
    </w:rPr>
  </w:style>
  <w:style w:type="paragraph" w:customStyle="1" w:styleId="Pa0">
    <w:name w:val="Pa0"/>
    <w:basedOn w:val="Default"/>
    <w:next w:val="Default"/>
    <w:uiPriority w:val="99"/>
    <w:rsid w:val="00BE5E2A"/>
    <w:pPr>
      <w:spacing w:line="221" w:lineRule="atLeast"/>
    </w:pPr>
    <w:rPr>
      <w:rFonts w:cs="Times New Roman"/>
      <w:color w:val="auto"/>
    </w:rPr>
  </w:style>
  <w:style w:type="paragraph" w:customStyle="1" w:styleId="Pa17">
    <w:name w:val="Pa17"/>
    <w:basedOn w:val="Default"/>
    <w:next w:val="Default"/>
    <w:uiPriority w:val="99"/>
    <w:rsid w:val="00F81290"/>
    <w:pPr>
      <w:spacing w:line="221" w:lineRule="atLeast"/>
    </w:pPr>
    <w:rPr>
      <w:rFonts w:cs="Times New Roman"/>
      <w:color w:val="auto"/>
    </w:rPr>
  </w:style>
  <w:style w:type="character" w:customStyle="1" w:styleId="CommentTextChar">
    <w:name w:val="Comment Text Char"/>
    <w:link w:val="CommentText"/>
    <w:semiHidden/>
    <w:rsid w:val="005163C3"/>
  </w:style>
  <w:style w:type="character" w:customStyle="1" w:styleId="A8">
    <w:name w:val="A8"/>
    <w:uiPriority w:val="99"/>
    <w:rsid w:val="00963C2F"/>
    <w:rPr>
      <w:rFonts w:ascii="ITC Franklin Gothic Std Med" w:hAnsi="ITC Franklin Gothic Std Med" w:cs="ITC Franklin Gothic Std Med"/>
      <w:i/>
      <w:iCs/>
      <w:color w:val="000000"/>
      <w:sz w:val="22"/>
      <w:szCs w:val="22"/>
      <w:u w:val="single"/>
    </w:rPr>
  </w:style>
  <w:style w:type="paragraph" w:styleId="NormalWeb">
    <w:name w:val="Normal (Web)"/>
    <w:basedOn w:val="Normal"/>
    <w:rsid w:val="00A00BA3"/>
  </w:style>
  <w:style w:type="paragraph" w:styleId="Revision">
    <w:name w:val="Revision"/>
    <w:hidden/>
    <w:uiPriority w:val="99"/>
    <w:semiHidden/>
    <w:rsid w:val="00FD4F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67FAF-5A88-45BE-BDD2-991B98C47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3584</Words>
  <Characters>20862</Characters>
  <Application>Microsoft Office Word</Application>
  <DocSecurity>0</DocSecurity>
  <Lines>453</Lines>
  <Paragraphs>208</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24238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creator>Karen Whitaker</dc:creator>
  <cp:lastModifiedBy>Joyce, Kevin J. (CDC/OD/OS)</cp:lastModifiedBy>
  <cp:revision>3</cp:revision>
  <cp:lastPrinted>2019-08-05T16:03:00Z</cp:lastPrinted>
  <dcterms:created xsi:type="dcterms:W3CDTF">2026-06-29T16:58:00Z</dcterms:created>
  <dcterms:modified xsi:type="dcterms:W3CDTF">2026-06-29T17:00:00Z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fe3a7e9c-8b7f-4477-bea6-1f8980d8e615</vt:lpwstr>
  </property>
  <property fmtid="{D5CDD505-2E9C-101B-9397-08002B2CF9AE}" pid="3" name="MSIP_Label_7b94a7b8-f06c-4dfe-bdcc-9b548fd58c31_ActionId">
    <vt:lpwstr>93d3f6e5-88b9-4dbe-81ad-b009aa73c2d7</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2026-01-29T12:11:54Z</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Tag">
    <vt:lpwstr>10, 0, 1, 1</vt:lpwstr>
  </property>
  <property fmtid="{D5CDD505-2E9C-101B-9397-08002B2CF9AE}" pid="11" name="_DocHome">
    <vt:i4>972146359</vt:i4>
  </property>
  <property fmtid="{D5CDD505-2E9C-101B-9397-08002B2CF9AE}" pid="12" name="_EmailEntryID">
    <vt:lpwstr>00000000729029A0ACBDD111A2DD00A02461F7A00700F159D348C461D111A2D900A02461F7A000000034B1BE00008C88A0106170264C92F3E5F789C1B55C00004E4D83100000</vt:lpwstr>
  </property>
  <property fmtid="{D5CDD505-2E9C-101B-9397-08002B2CF9AE}" pid="13" name="_EmailStoreID0">
    <vt:lpwstr>0000000038A1BB1005E5101AA1BB08002B2A56C20000454D534D44422E444C4C00000000000000001B55FA20AA6611CD9BC800AA002FC45A0C00000073787732406364632E676F76002F6F3D4344432F6F753D45786368616E67652041646D696E6973747261746976652047726F7570202846594449424F484632335350444</vt:lpwstr>
  </property>
  <property fmtid="{D5CDD505-2E9C-101B-9397-08002B2CF9AE}" pid="14" name="_EmailStoreID1">
    <vt:lpwstr>C54292F636E3D526563697069656E74732F636E3D7378773200E94632F42C0000000200000010000000730078007700320040006300640063002E0067006F00760000000000</vt:lpwstr>
  </property>
  <property fmtid="{D5CDD505-2E9C-101B-9397-08002B2CF9AE}" pid="15" name="_NewReviewCycle">
    <vt:lpwstr/>
  </property>
  <property fmtid="{D5CDD505-2E9C-101B-9397-08002B2CF9AE}" pid="16" name="_TentativeReviewCycleID">
    <vt:i4>1309795231</vt:i4>
  </property>
</Properties>
</file>