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477BA3" w:rsidRPr="009C2EAF" w:rsidP="002867CA" w14:paraId="2869F9FA" w14:textId="191AB887">
      <w:pPr>
        <w:pStyle w:val="Title"/>
      </w:pPr>
      <w:r w:rsidRPr="009C2EAF">
        <w:t>Supporting Statement</w:t>
      </w:r>
      <w:r w:rsidRPr="009C2EAF" w:rsidR="00AC101B">
        <w:t xml:space="preserve"> for</w:t>
      </w:r>
      <w:r w:rsidRPr="009C2EAF" w:rsidR="00CD34B0">
        <w:t xml:space="preserve"> </w:t>
      </w:r>
      <w:bookmarkStart w:id="0" w:name="Medicare_and_Medicaid_Programs:__Conditi"/>
      <w:bookmarkEnd w:id="0"/>
      <w:r w:rsidRPr="009C2EAF" w:rsidR="009F5D32">
        <w:t xml:space="preserve">Conditions of </w:t>
      </w:r>
      <w:bookmarkStart w:id="1" w:name="for_Comprehensive_Outpatient_Rehabilitat"/>
      <w:bookmarkEnd w:id="1"/>
      <w:r w:rsidRPr="009C2EAF" w:rsidR="001455CB">
        <w:rPr>
          <w:rFonts w:eastAsiaTheme="minorHAnsi"/>
        </w:rPr>
        <w:t>Coverag</w:t>
      </w:r>
      <w:r w:rsidRPr="009C2EAF" w:rsidR="001455CB">
        <w:t>e (CfC)</w:t>
      </w:r>
    </w:p>
    <w:p w:rsidR="00C45EB3" w:rsidRPr="009C2EAF" w:rsidP="002867CA" w14:paraId="08450D1A" w14:textId="286529D2">
      <w:pPr>
        <w:pStyle w:val="Title"/>
      </w:pPr>
      <w:r w:rsidRPr="009C2EAF">
        <w:t xml:space="preserve">for Portable </w:t>
      </w:r>
      <w:r w:rsidRPr="009C2EAF" w:rsidR="00476A73">
        <w:t>X-</w:t>
      </w:r>
      <w:r w:rsidRPr="009C2EAF" w:rsidR="001455CB">
        <w:t>R</w:t>
      </w:r>
      <w:r w:rsidRPr="009C2EAF" w:rsidR="00476A73">
        <w:t>ay</w:t>
      </w:r>
      <w:r w:rsidRPr="009C2EAF">
        <w:t xml:space="preserve"> </w:t>
      </w:r>
      <w:r w:rsidRPr="009C2EAF" w:rsidR="00A112C5">
        <w:t>Suppliers</w:t>
      </w:r>
      <w:r w:rsidRPr="009C2EAF" w:rsidR="006D4FC7">
        <w:t xml:space="preserve"> (</w:t>
      </w:r>
      <w:r w:rsidRPr="009C2EAF" w:rsidR="00A112C5">
        <w:t>CMS</w:t>
      </w:r>
      <w:r w:rsidRPr="009C2EAF">
        <w:t>-R-43</w:t>
      </w:r>
      <w:r w:rsidRPr="009C2EAF" w:rsidR="006D4FC7">
        <w:t>/</w:t>
      </w:r>
      <w:r w:rsidRPr="009C2EAF" w:rsidR="004A57CD">
        <w:t xml:space="preserve">OMB Control No. </w:t>
      </w:r>
      <w:r w:rsidRPr="009C2EAF" w:rsidR="006D4FC7">
        <w:t>0938-0338)</w:t>
      </w:r>
    </w:p>
    <w:p w:rsidR="00DC2370" w:rsidP="002867CA" w14:paraId="4617084D" w14:textId="77777777">
      <w:pPr>
        <w:rPr>
          <w:u w:color="000000"/>
        </w:rPr>
      </w:pPr>
    </w:p>
    <w:p w:rsidR="00C40027" w:rsidP="002867CA" w14:paraId="3E7FA483" w14:textId="77777777">
      <w:pPr>
        <w:rPr>
          <w:u w:color="000000"/>
        </w:rPr>
      </w:pPr>
    </w:p>
    <w:p w:rsidR="00826725" w:rsidRPr="009C2EAF" w:rsidP="002867CA" w14:paraId="30F91490" w14:textId="628FEA29">
      <w:pPr>
        <w:pStyle w:val="Heading1"/>
      </w:pPr>
      <w:r w:rsidRPr="009C2EAF">
        <w:t xml:space="preserve">A.  </w:t>
      </w:r>
      <w:r w:rsidRPr="009C2EAF" w:rsidR="0089015D">
        <w:t>B</w:t>
      </w:r>
      <w:r w:rsidRPr="009C2EAF" w:rsidR="00476A73">
        <w:t>ackground</w:t>
      </w:r>
    </w:p>
    <w:p w:rsidR="00DC2370" w:rsidP="002867CA" w14:paraId="5BFF0C83" w14:textId="77777777"/>
    <w:p w:rsidR="0020471A" w:rsidP="002867CA" w14:paraId="309C61E2" w14:textId="253E77DD">
      <w:pPr>
        <w:rPr>
          <w:szCs w:val="24"/>
        </w:rPr>
      </w:pPr>
      <w:r w:rsidRPr="00477BA3">
        <w:t xml:space="preserve">The purpose of this package is to request </w:t>
      </w:r>
      <w:r w:rsidR="00B3610B">
        <w:t xml:space="preserve">reinstatement </w:t>
      </w:r>
      <w:r w:rsidRPr="00727698" w:rsidR="00B3610B">
        <w:rPr>
          <w:i/>
          <w:iCs/>
        </w:rPr>
        <w:t>with</w:t>
      </w:r>
      <w:r w:rsidRPr="00727698" w:rsidR="00CD34B0">
        <w:rPr>
          <w:i/>
          <w:iCs/>
        </w:rPr>
        <w:t>out</w:t>
      </w:r>
      <w:r w:rsidRPr="00727698" w:rsidR="00B3610B">
        <w:rPr>
          <w:i/>
          <w:iCs/>
        </w:rPr>
        <w:t xml:space="preserve"> change</w:t>
      </w:r>
      <w:r w:rsidR="00B3610B">
        <w:t xml:space="preserve"> </w:t>
      </w:r>
      <w:r w:rsidRPr="00477BA3">
        <w:t xml:space="preserve">of the information </w:t>
      </w:r>
      <w:r w:rsidR="006D4FC7">
        <w:t>collection</w:t>
      </w:r>
      <w:r w:rsidR="00AC101B">
        <w:t>s (ICs)</w:t>
      </w:r>
      <w:r w:rsidR="006D4FC7">
        <w:t xml:space="preserve"> </w:t>
      </w:r>
      <w:r w:rsidR="00AC101B">
        <w:t xml:space="preserve">for </w:t>
      </w:r>
      <w:r w:rsidR="009667F7">
        <w:t xml:space="preserve">the </w:t>
      </w:r>
      <w:r w:rsidRPr="00AC101B" w:rsidR="00AC101B">
        <w:t>Conditions of</w:t>
      </w:r>
      <w:r w:rsidR="00AC101B">
        <w:t xml:space="preserve"> Coverage</w:t>
      </w:r>
      <w:r w:rsidR="00556303">
        <w:t xml:space="preserve"> </w:t>
      </w:r>
      <w:r w:rsidRPr="00AC101B" w:rsidR="00AC101B">
        <w:t>(C</w:t>
      </w:r>
      <w:r w:rsidR="00AC101B">
        <w:t>fC</w:t>
      </w:r>
      <w:r w:rsidRPr="00AC101B" w:rsidR="00AC101B">
        <w:t xml:space="preserve">s) </w:t>
      </w:r>
      <w:r w:rsidRPr="00556303" w:rsidR="00556303">
        <w:t xml:space="preserve">for Portable </w:t>
      </w:r>
      <w:r w:rsidR="00CD34B0">
        <w:t>X</w:t>
      </w:r>
      <w:r w:rsidRPr="00556303" w:rsidR="00556303">
        <w:t>-</w:t>
      </w:r>
      <w:r w:rsidR="00CD34B0">
        <w:t>r</w:t>
      </w:r>
      <w:r w:rsidRPr="00556303" w:rsidR="00556303">
        <w:t xml:space="preserve">ay </w:t>
      </w:r>
      <w:r w:rsidR="00510F3E">
        <w:t>S</w:t>
      </w:r>
      <w:r w:rsidRPr="00556303" w:rsidR="00556303">
        <w:t xml:space="preserve">uppliers </w:t>
      </w:r>
      <w:r w:rsidR="006D4FC7">
        <w:t xml:space="preserve">that </w:t>
      </w:r>
      <w:r w:rsidRPr="006D4FC7" w:rsidR="006D4FC7">
        <w:t xml:space="preserve">expired on </w:t>
      </w:r>
      <w:r w:rsidR="006D4FC7">
        <w:t>September 30, 2025</w:t>
      </w:r>
      <w:r w:rsidRPr="006D4FC7" w:rsidR="006D4FC7">
        <w:t>.</w:t>
      </w:r>
      <w:bookmarkStart w:id="2" w:name="_Hlk205992040"/>
    </w:p>
    <w:bookmarkEnd w:id="2"/>
    <w:p w:rsidR="00CD34B0" w:rsidP="002867CA" w14:paraId="43DE5F22" w14:textId="77777777"/>
    <w:p w:rsidR="00E2382E" w:rsidP="002867CA" w14:paraId="3B0C5784" w14:textId="441EC3C7">
      <w:r w:rsidRPr="00477BA3">
        <w:t xml:space="preserve">Portable </w:t>
      </w:r>
      <w:r w:rsidRPr="00477BA3" w:rsidR="00034B8E">
        <w:t>X</w:t>
      </w:r>
      <w:r w:rsidRPr="00477BA3">
        <w:t>-</w:t>
      </w:r>
      <w:r w:rsidR="00CD34B0">
        <w:t>r</w:t>
      </w:r>
      <w:r w:rsidRPr="00477BA3">
        <w:t xml:space="preserve">ay </w:t>
      </w:r>
      <w:r w:rsidR="001D4900">
        <w:t xml:space="preserve">services </w:t>
      </w:r>
      <w:r w:rsidRPr="00477BA3">
        <w:t xml:space="preserve">are basic radiology studies (predominately chest and extremity </w:t>
      </w:r>
      <w:r w:rsidRPr="00477BA3" w:rsidR="00476A73">
        <w:t>X-ray</w:t>
      </w:r>
      <w:r w:rsidRPr="00477BA3">
        <w:t xml:space="preserve">s) </w:t>
      </w:r>
      <w:r w:rsidR="001D4900">
        <w:t xml:space="preserve">that are </w:t>
      </w:r>
      <w:r w:rsidRPr="00477BA3">
        <w:t xml:space="preserve">performed on </w:t>
      </w:r>
      <w:r w:rsidR="00CD34B0">
        <w:t>residents</w:t>
      </w:r>
      <w:r w:rsidRPr="00477BA3">
        <w:t xml:space="preserve"> in </w:t>
      </w:r>
      <w:r w:rsidR="001D4900">
        <w:t>S</w:t>
      </w:r>
      <w:r w:rsidRPr="00477BA3">
        <w:t xml:space="preserve">killed </w:t>
      </w:r>
      <w:r w:rsidR="001D4900">
        <w:t>N</w:t>
      </w:r>
      <w:r w:rsidRPr="00477BA3">
        <w:t xml:space="preserve">ursing </w:t>
      </w:r>
      <w:r w:rsidR="001D4900">
        <w:t>F</w:t>
      </w:r>
      <w:r w:rsidRPr="00477BA3">
        <w:t>acilities</w:t>
      </w:r>
      <w:r w:rsidR="00A92886">
        <w:t xml:space="preserve"> (SNFs) or </w:t>
      </w:r>
      <w:r w:rsidR="001D4900">
        <w:t>L</w:t>
      </w:r>
      <w:r w:rsidRPr="00477BA3">
        <w:t>ong</w:t>
      </w:r>
      <w:r w:rsidRPr="00477BA3" w:rsidR="00034B8E">
        <w:t>-</w:t>
      </w:r>
      <w:r w:rsidRPr="00477BA3">
        <w:t xml:space="preserve">term </w:t>
      </w:r>
      <w:r w:rsidR="001D4900">
        <w:t>C</w:t>
      </w:r>
      <w:r w:rsidRPr="00477BA3">
        <w:t xml:space="preserve">are </w:t>
      </w:r>
      <w:r w:rsidR="001D4900">
        <w:t>F</w:t>
      </w:r>
      <w:r w:rsidRPr="00477BA3">
        <w:t>acilities</w:t>
      </w:r>
      <w:r w:rsidR="001D4900">
        <w:t xml:space="preserve"> </w:t>
      </w:r>
      <w:r w:rsidR="006B2A0F">
        <w:t>(</w:t>
      </w:r>
      <w:r w:rsidR="001D4900">
        <w:t>LTCs)</w:t>
      </w:r>
      <w:r w:rsidRPr="00477BA3">
        <w:t xml:space="preserve"> </w:t>
      </w:r>
      <w:r w:rsidR="001D4900">
        <w:t xml:space="preserve">or those who are </w:t>
      </w:r>
      <w:r w:rsidRPr="00477BA3">
        <w:t>homebound</w:t>
      </w:r>
      <w:r w:rsidR="001D4900">
        <w:t xml:space="preserve"> and unable to travel to an outpatient radiology facility.</w:t>
      </w:r>
      <w:r w:rsidRPr="00477BA3">
        <w:t xml:space="preserve"> </w:t>
      </w:r>
      <w:r w:rsidRPr="00B55C27">
        <w:rPr>
          <w:szCs w:val="24"/>
        </w:rPr>
        <w:t>Portable X-</w:t>
      </w:r>
      <w:r w:rsidR="00510F3E">
        <w:rPr>
          <w:szCs w:val="24"/>
        </w:rPr>
        <w:t>r</w:t>
      </w:r>
      <w:r w:rsidRPr="00B55C27">
        <w:rPr>
          <w:szCs w:val="24"/>
        </w:rPr>
        <w:t xml:space="preserve">ay </w:t>
      </w:r>
      <w:r>
        <w:rPr>
          <w:szCs w:val="24"/>
        </w:rPr>
        <w:t>s</w:t>
      </w:r>
      <w:r w:rsidRPr="00B55C27">
        <w:rPr>
          <w:szCs w:val="24"/>
        </w:rPr>
        <w:t>uppliers</w:t>
      </w:r>
      <w:r>
        <w:rPr>
          <w:szCs w:val="24"/>
        </w:rPr>
        <w:t xml:space="preserve"> must </w:t>
      </w:r>
      <w:r w:rsidRPr="00B55C27">
        <w:rPr>
          <w:szCs w:val="24"/>
        </w:rPr>
        <w:t>comply with health and safety requirements</w:t>
      </w:r>
      <w:r>
        <w:t xml:space="preserve"> under</w:t>
      </w:r>
      <w:r w:rsidRPr="00B55C27">
        <w:rPr>
          <w:szCs w:val="24"/>
        </w:rPr>
        <w:t xml:space="preserve"> Title 42 Code of Regulations (CFR) Section 4</w:t>
      </w:r>
      <w:r>
        <w:rPr>
          <w:szCs w:val="24"/>
        </w:rPr>
        <w:t>86</w:t>
      </w:r>
      <w:r w:rsidRPr="00B55C27">
        <w:rPr>
          <w:szCs w:val="24"/>
        </w:rPr>
        <w:t xml:space="preserve">, Subpart </w:t>
      </w:r>
      <w:r>
        <w:rPr>
          <w:szCs w:val="24"/>
        </w:rPr>
        <w:t xml:space="preserve">C in order to receive payment for services from the Medicare and Medicaid programs. The Centers for Medicare and Medicaid Services (CMS) use the ICs to ensure suppliers are in compliance. </w:t>
      </w:r>
    </w:p>
    <w:p w:rsidR="00E2382E" w:rsidP="002867CA" w14:paraId="542A3223" w14:textId="77777777"/>
    <w:p w:rsidR="006D4FC7" w:rsidP="002867CA" w14:paraId="187CF9DA" w14:textId="3638A356">
      <w:r w:rsidRPr="006D4FC7">
        <w:t xml:space="preserve">The previous </w:t>
      </w:r>
      <w:r w:rsidR="007D3193">
        <w:t>iteration of this package was approved</w:t>
      </w:r>
      <w:r w:rsidRPr="006D4FC7">
        <w:t xml:space="preserve"> on </w:t>
      </w:r>
      <w:r>
        <w:t>September 29, 2022</w:t>
      </w:r>
      <w:r w:rsidRPr="006D4FC7">
        <w:t xml:space="preserve">, with an estimated burden of </w:t>
      </w:r>
      <w:r w:rsidR="00D5171B">
        <w:t>324</w:t>
      </w:r>
      <w:r w:rsidRPr="006D4FC7">
        <w:t xml:space="preserve"> hours at a cost of </w:t>
      </w:r>
      <w:r w:rsidRPr="001D4900" w:rsidR="001D4900">
        <w:t>$12,312</w:t>
      </w:r>
      <w:r w:rsidR="004E4177">
        <w:t xml:space="preserve"> for 506 suppliers</w:t>
      </w:r>
      <w:r w:rsidR="001D4900">
        <w:t>.</w:t>
      </w:r>
      <w:r>
        <w:rPr>
          <w:rStyle w:val="FootnoteReference"/>
          <w:sz w:val="24"/>
          <w:vertAlign w:val="superscript"/>
        </w:rPr>
        <w:footnoteReference w:id="2"/>
      </w:r>
      <w:r w:rsidRPr="00CA6A4A" w:rsidR="001D4900">
        <w:rPr>
          <w:vertAlign w:val="superscript"/>
        </w:rPr>
        <w:t xml:space="preserve"> </w:t>
      </w:r>
      <w:r w:rsidRPr="006D4FC7">
        <w:t xml:space="preserve">For this </w:t>
      </w:r>
      <w:r w:rsidR="005D740B">
        <w:t>reinstatement</w:t>
      </w:r>
      <w:r w:rsidRPr="006D4FC7">
        <w:t xml:space="preserve">, CMS estimates </w:t>
      </w:r>
      <w:r w:rsidRPr="00723203" w:rsidR="001D4900">
        <w:t>the</w:t>
      </w:r>
      <w:r w:rsidRPr="00723203">
        <w:t xml:space="preserve"> </w:t>
      </w:r>
      <w:r w:rsidRPr="00510F3E" w:rsidR="0033775A">
        <w:rPr>
          <w:u w:val="single"/>
        </w:rPr>
        <w:t>incremental annual burden</w:t>
      </w:r>
      <w:r w:rsidR="0033775A">
        <w:t xml:space="preserve"> is</w:t>
      </w:r>
      <w:r w:rsidRPr="006D4FC7">
        <w:t xml:space="preserve"> </w:t>
      </w:r>
      <w:r w:rsidR="0033775A">
        <w:t>34</w:t>
      </w:r>
      <w:r w:rsidR="00510F3E">
        <w:t>0</w:t>
      </w:r>
      <w:r w:rsidR="0033775A">
        <w:t xml:space="preserve"> </w:t>
      </w:r>
      <w:r w:rsidRPr="006D4FC7">
        <w:t>hours with an annual cost of $</w:t>
      </w:r>
      <w:r w:rsidR="0033775A">
        <w:t>1</w:t>
      </w:r>
      <w:r w:rsidR="00510F3E">
        <w:t>4,960</w:t>
      </w:r>
      <w:r w:rsidR="004E4177">
        <w:t xml:space="preserve"> for 540 </w:t>
      </w:r>
      <w:r w:rsidR="00510F3E">
        <w:t>p</w:t>
      </w:r>
      <w:r w:rsidR="004E4177">
        <w:t>ortable X-</w:t>
      </w:r>
      <w:r w:rsidR="00510F3E">
        <w:t>r</w:t>
      </w:r>
      <w:r w:rsidR="004E4177">
        <w:t>ay suppliers</w:t>
      </w:r>
      <w:r w:rsidRPr="006D4FC7">
        <w:t xml:space="preserve">. </w:t>
      </w:r>
      <w:r w:rsidR="000770D1">
        <w:t xml:space="preserve">(See Table 5). </w:t>
      </w:r>
      <w:r w:rsidRPr="006D4FC7">
        <w:t>The</w:t>
      </w:r>
      <w:r w:rsidR="00257D74">
        <w:t xml:space="preserve"> </w:t>
      </w:r>
      <w:r w:rsidR="00510F3E">
        <w:t>4.9</w:t>
      </w:r>
      <w:r w:rsidR="00257D74">
        <w:t>% increase</w:t>
      </w:r>
      <w:r w:rsidRPr="006D4FC7">
        <w:t xml:space="preserve"> </w:t>
      </w:r>
      <w:r w:rsidR="00257D74">
        <w:t>in burden hours is</w:t>
      </w:r>
      <w:r w:rsidRPr="006D4FC7">
        <w:t xml:space="preserve"> due </w:t>
      </w:r>
      <w:r w:rsidR="0033775A">
        <w:t>to the increase in suppliers (from 506 to 540)</w:t>
      </w:r>
      <w:r w:rsidRPr="006D4FC7">
        <w:t xml:space="preserve">. </w:t>
      </w:r>
      <w:r w:rsidR="00257D74">
        <w:t>For a detailed explanation, s</w:t>
      </w:r>
      <w:r w:rsidRPr="006D4FC7">
        <w:t xml:space="preserve">ee </w:t>
      </w:r>
      <w:r w:rsidRPr="00CA6A4A">
        <w:rPr>
          <w:b/>
          <w:bCs/>
        </w:rPr>
        <w:t>Section 15</w:t>
      </w:r>
      <w:r w:rsidRPr="006D4FC7">
        <w:t>.</w:t>
      </w:r>
    </w:p>
    <w:p w:rsidR="002A7C5D" w:rsidRPr="00477BA3" w:rsidP="002867CA" w14:paraId="1FB8251D" w14:textId="0688A90D"/>
    <w:p w:rsidR="00826725" w:rsidP="002867CA" w14:paraId="35598E6C" w14:textId="3FF1E42D">
      <w:pPr>
        <w:pStyle w:val="Heading1"/>
      </w:pPr>
      <w:r w:rsidRPr="009F1A45">
        <w:t xml:space="preserve">B.  </w:t>
      </w:r>
      <w:r w:rsidRPr="009F1A45" w:rsidR="0089015D">
        <w:t>J</w:t>
      </w:r>
      <w:r w:rsidRPr="009F1A45" w:rsidR="00F42549">
        <w:t>ustification</w:t>
      </w:r>
    </w:p>
    <w:p w:rsidR="00826725" w:rsidP="0006448A" w14:paraId="37A8271C" w14:textId="57536CB8">
      <w:pPr>
        <w:pStyle w:val="Heading2"/>
        <w:spacing w:before="120"/>
      </w:pPr>
      <w:r w:rsidRPr="009C2EAF">
        <w:t xml:space="preserve">1.  </w:t>
      </w:r>
      <w:r w:rsidRPr="009C2EAF" w:rsidR="0089015D">
        <w:t>Need and Legal Basis</w:t>
      </w:r>
    </w:p>
    <w:p w:rsidR="00B57735" w:rsidRPr="0006448A" w:rsidP="0006448A" w14:paraId="3D5287E1" w14:textId="77777777">
      <w:pPr>
        <w:pStyle w:val="Text2"/>
      </w:pPr>
    </w:p>
    <w:p w:rsidR="009E2A32" w:rsidP="0006448A" w14:paraId="500E59BC" w14:textId="5C4A75A2">
      <w:pPr>
        <w:pStyle w:val="Text2"/>
      </w:pPr>
      <w:r w:rsidRPr="0006448A">
        <w:t>Section</w:t>
      </w:r>
      <w:r w:rsidRPr="0006448A" w:rsidR="00A61D23">
        <w:t>s</w:t>
      </w:r>
      <w:r w:rsidRPr="0006448A">
        <w:t xml:space="preserve"> </w:t>
      </w:r>
      <w:r w:rsidRPr="0006448A" w:rsidR="00A61D23">
        <w:t>1861(s</w:t>
      </w:r>
      <w:r w:rsidRPr="0006448A" w:rsidR="002C7742">
        <w:t>)</w:t>
      </w:r>
      <w:r w:rsidRPr="0006448A" w:rsidR="00A61D23">
        <w:t>(3) and (4)</w:t>
      </w:r>
      <w:r w:rsidRPr="0006448A">
        <w:t xml:space="preserve"> of the Social Security Act (the Act)</w:t>
      </w:r>
      <w:r w:rsidRPr="0006448A" w:rsidR="001D0C39">
        <w:t>(Title 42 of United States Code Section 1395x)</w:t>
      </w:r>
      <w:r w:rsidRPr="0006448A">
        <w:t xml:space="preserve"> set forth the statu</w:t>
      </w:r>
      <w:r w:rsidRPr="00BB53B2">
        <w:t xml:space="preserve">tory qualifications and requirements </w:t>
      </w:r>
      <w:r w:rsidRPr="00BB53B2" w:rsidR="00A61D23">
        <w:t xml:space="preserve">for </w:t>
      </w:r>
      <w:r w:rsidRPr="00BB53B2">
        <w:t>X-</w:t>
      </w:r>
      <w:r w:rsidRPr="00BB53B2" w:rsidR="00510F3E">
        <w:t>r</w:t>
      </w:r>
      <w:r w:rsidRPr="00BB53B2">
        <w:t xml:space="preserve">ay </w:t>
      </w:r>
      <w:r w:rsidRPr="00BB53B2" w:rsidR="00A61D23">
        <w:t xml:space="preserve">services </w:t>
      </w:r>
      <w:r w:rsidRPr="00BB53B2">
        <w:t>to</w:t>
      </w:r>
      <w:r w:rsidRPr="00BB53B2" w:rsidR="00A61D23">
        <w:t xml:space="preserve"> be</w:t>
      </w:r>
      <w:r w:rsidRPr="00BB53B2">
        <w:t xml:space="preserve"> reimbursed by the Medicare and Medicaid programs.</w:t>
      </w:r>
      <w:r w:rsidRPr="00BB53B2" w:rsidR="00A61D23">
        <w:t xml:space="preserve"> Per Sections 1102 and 1871 of the Act, </w:t>
      </w:r>
      <w:r w:rsidRPr="00BB53B2" w:rsidR="00510F3E">
        <w:t>p</w:t>
      </w:r>
      <w:r w:rsidRPr="00BB53B2">
        <w:t>ortable</w:t>
      </w:r>
      <w:r w:rsidRPr="00BB53B2" w:rsidR="005D740B">
        <w:t xml:space="preserve"> </w:t>
      </w:r>
      <w:r w:rsidRPr="00BB53B2">
        <w:t>X-</w:t>
      </w:r>
      <w:r w:rsidRPr="00BB53B2" w:rsidR="001F77AB">
        <w:t>r</w:t>
      </w:r>
      <w:r w:rsidRPr="00BB53B2">
        <w:t>ay</w:t>
      </w:r>
      <w:r w:rsidRPr="00BB53B2" w:rsidR="004960F7">
        <w:t xml:space="preserve"> s</w:t>
      </w:r>
      <w:r w:rsidRPr="00BB53B2">
        <w:t>uppliers must be certified and designated by the Secretary and must meet performance-related standards</w:t>
      </w:r>
      <w:r w:rsidRPr="00BB53B2" w:rsidR="00A61D23">
        <w:t xml:space="preserve"> </w:t>
      </w:r>
      <w:r w:rsidRPr="00BB53B2">
        <w:t>prescribed by the Secretary</w:t>
      </w:r>
      <w:r w:rsidRPr="00BB53B2" w:rsidR="00A61D23">
        <w:t>, which are set forth in the Conditions of Coverage (CfCs)</w:t>
      </w:r>
      <w:r w:rsidRPr="00BB53B2" w:rsidR="00257D74">
        <w:t xml:space="preserve"> in order to receive payment under Medicaid and Medicare. </w:t>
      </w:r>
      <w:r w:rsidRPr="00BB53B2">
        <w:t xml:space="preserve">The </w:t>
      </w:r>
      <w:r w:rsidRPr="00BB53B2" w:rsidR="00A61D23">
        <w:t>CfCs</w:t>
      </w:r>
      <w:r w:rsidRPr="00BB53B2">
        <w:t xml:space="preserve"> are found at Title 42 Code of Federal Regulations (CFR) Part 486 (Conditions for Coverage of Specialized Services Furnished by </w:t>
      </w:r>
      <w:r w:rsidRPr="00BB53B2" w:rsidR="004960F7">
        <w:t>s</w:t>
      </w:r>
      <w:r w:rsidRPr="00BB53B2">
        <w:t>uppliers</w:t>
      </w:r>
      <w:r w:rsidRPr="00B57735">
        <w:t>)</w:t>
      </w:r>
      <w:r w:rsidRPr="00B57735" w:rsidR="008D5DD6">
        <w:t>,</w:t>
      </w:r>
      <w:r w:rsidR="00BB53B2">
        <w:t xml:space="preserve"> </w:t>
      </w:r>
      <w:r w:rsidRPr="00BB53B2" w:rsidR="008D5DD6">
        <w:t>S</w:t>
      </w:r>
      <w:r w:rsidRPr="00BB53B2">
        <w:t>ubpart C (Conditions for Coverage: Portable X-Ray Services).</w:t>
      </w:r>
      <w:r>
        <w:rPr>
          <w:vertAlign w:val="superscript"/>
        </w:rPr>
        <w:footnoteReference w:id="3"/>
      </w:r>
      <w:r w:rsidRPr="007C000B" w:rsidR="00B07F55">
        <w:rPr>
          <w:vertAlign w:val="superscript"/>
        </w:rPr>
        <w:t xml:space="preserve"> </w:t>
      </w:r>
      <w:r w:rsidRPr="00B57735" w:rsidR="001D0C39">
        <w:t xml:space="preserve"> </w:t>
      </w:r>
    </w:p>
    <w:p w:rsidR="0006448A" w:rsidP="0006448A" w14:paraId="3D00038F" w14:textId="77777777">
      <w:pPr>
        <w:pStyle w:val="Text2"/>
      </w:pPr>
    </w:p>
    <w:p w:rsidR="00F05BC1" w:rsidP="00082D12" w14:paraId="58CCA576" w14:textId="77777777">
      <w:pPr>
        <w:pStyle w:val="Text2"/>
        <w:keepNext w:val="0"/>
      </w:pPr>
    </w:p>
    <w:p w:rsidR="00826725" w:rsidRPr="00C20D30" w:rsidP="00164BD9" w14:paraId="2A13F4F0" w14:textId="619A502C">
      <w:pPr>
        <w:pStyle w:val="Heading2"/>
      </w:pPr>
      <w:r w:rsidRPr="00C20D30">
        <w:t xml:space="preserve">2.  </w:t>
      </w:r>
      <w:r w:rsidRPr="00C20D30" w:rsidR="0089015D">
        <w:t>Information Users</w:t>
      </w:r>
    </w:p>
    <w:p w:rsidR="009E2A32" w:rsidP="00B57735" w14:paraId="6938067F" w14:textId="77777777">
      <w:pPr>
        <w:pStyle w:val="BodyText"/>
      </w:pPr>
    </w:p>
    <w:p w:rsidR="00313731" w:rsidRPr="00477BA3" w:rsidP="00B57735" w14:paraId="1E250E2D" w14:textId="38B84336">
      <w:pPr>
        <w:pStyle w:val="BodyText"/>
      </w:pPr>
      <w:r w:rsidRPr="00E10D6D">
        <w:t>CMS uses the ICs</w:t>
      </w:r>
      <w:r w:rsidRPr="00E10D6D" w:rsidR="00E10D6D">
        <w:t xml:space="preserve"> to ensure </w:t>
      </w:r>
      <w:r w:rsidR="00510F3E">
        <w:t>p</w:t>
      </w:r>
      <w:r w:rsidR="00E10D6D">
        <w:t>ortable X-</w:t>
      </w:r>
      <w:r w:rsidR="00510F3E">
        <w:t>r</w:t>
      </w:r>
      <w:r w:rsidR="00E10D6D">
        <w:t xml:space="preserve">ay </w:t>
      </w:r>
      <w:r w:rsidR="00A92886">
        <w:t>suppliers</w:t>
      </w:r>
      <w:r w:rsidRPr="00E10D6D" w:rsidR="00E10D6D">
        <w:t xml:space="preserve"> comply with Medicare and Medicaid C</w:t>
      </w:r>
      <w:r w:rsidR="00E10D6D">
        <w:t>fCs</w:t>
      </w:r>
      <w:r w:rsidRPr="00E10D6D" w:rsidR="00E10D6D">
        <w:t xml:space="preserve"> in order to protect patient health and safety. </w:t>
      </w:r>
      <w:r w:rsidRPr="00313731">
        <w:t>The ICs are collected by surveyors</w:t>
      </w:r>
      <w:r w:rsidR="00E10D6D">
        <w:t>, who</w:t>
      </w:r>
      <w:r w:rsidRPr="00313731">
        <w:t xml:space="preserve"> are employed by state agencies under agreement with Medicare</w:t>
      </w:r>
      <w:r w:rsidR="00257D74">
        <w:t xml:space="preserve">. </w:t>
      </w:r>
      <w:r w:rsidRPr="00313731">
        <w:t>Survey</w:t>
      </w:r>
      <w:r w:rsidR="00257D74">
        <w:t>ors conduct</w:t>
      </w:r>
      <w:r w:rsidR="00E10D6D">
        <w:t xml:space="preserve"> in-person</w:t>
      </w:r>
      <w:r w:rsidR="00257D74">
        <w:t xml:space="preserve"> </w:t>
      </w:r>
      <w:r w:rsidR="00E10D6D">
        <w:t xml:space="preserve">on-site visits </w:t>
      </w:r>
      <w:r w:rsidRPr="00313731">
        <w:t xml:space="preserve">at the time of </w:t>
      </w:r>
      <w:r>
        <w:t xml:space="preserve">initial certification and </w:t>
      </w:r>
      <w:r w:rsidRPr="00313731">
        <w:t>re-certification</w:t>
      </w:r>
      <w:r w:rsidR="00257D74">
        <w:t>s,</w:t>
      </w:r>
      <w:r w:rsidRPr="00313731">
        <w:t xml:space="preserve"> which </w:t>
      </w:r>
      <w:r w:rsidR="00257D74">
        <w:t>are</w:t>
      </w:r>
      <w:r w:rsidRPr="00313731">
        <w:t xml:space="preserve"> done </w:t>
      </w:r>
      <w:r w:rsidR="00257D74">
        <w:t>on a cyclical basis</w:t>
      </w:r>
      <w:r w:rsidRPr="00313731">
        <w:t>.</w:t>
      </w:r>
      <w:r w:rsidRPr="00CA6A4A">
        <w:t xml:space="preserve"> </w:t>
      </w:r>
      <w:r w:rsidRPr="00257D74" w:rsidR="00257D74">
        <w:t xml:space="preserve">Surveyors </w:t>
      </w:r>
      <w:r w:rsidR="00E10D6D">
        <w:t xml:space="preserve">use the ICs as part of their survey and </w:t>
      </w:r>
      <w:r w:rsidRPr="00257D74" w:rsidR="00257D74">
        <w:t xml:space="preserve">certify </w:t>
      </w:r>
      <w:r w:rsidR="00E10D6D">
        <w:t>the s</w:t>
      </w:r>
      <w:r w:rsidR="00257D74">
        <w:t xml:space="preserve">uppliers </w:t>
      </w:r>
      <w:r w:rsidRPr="00257D74" w:rsidR="00257D74">
        <w:t>who meet their certification requirements</w:t>
      </w:r>
      <w:r w:rsidRPr="00313731" w:rsidR="00E10D6D">
        <w:t>.</w:t>
      </w:r>
      <w:r>
        <w:rPr>
          <w:rStyle w:val="FootnoteReference"/>
          <w:sz w:val="24"/>
          <w:vertAlign w:val="superscript"/>
        </w:rPr>
        <w:footnoteReference w:id="4"/>
      </w:r>
    </w:p>
    <w:p w:rsidR="00082D12" w:rsidRPr="00477BA3" w:rsidP="00082D12" w14:paraId="1D01C2D4" w14:textId="77777777">
      <w:pPr>
        <w:pStyle w:val="BodyText"/>
        <w:ind w:left="0"/>
      </w:pPr>
    </w:p>
    <w:p w:rsidR="00826725" w:rsidRPr="00C20D30" w:rsidP="00164BD9" w14:paraId="70981433" w14:textId="384D811A">
      <w:pPr>
        <w:pStyle w:val="Heading2"/>
      </w:pPr>
      <w:r w:rsidRPr="00C20D30">
        <w:t xml:space="preserve">3.  </w:t>
      </w:r>
      <w:r w:rsidRPr="00C20D30" w:rsidR="0089015D">
        <w:t>Improved Information</w:t>
      </w:r>
      <w:r w:rsidRPr="00C20D30" w:rsidR="0089015D">
        <w:rPr>
          <w:spacing w:val="2"/>
        </w:rPr>
        <w:t xml:space="preserve"> </w:t>
      </w:r>
      <w:r w:rsidRPr="00C20D30" w:rsidR="0089015D">
        <w:t>Technology</w:t>
      </w:r>
    </w:p>
    <w:p w:rsidR="00826725" w:rsidRPr="00477BA3" w:rsidP="00B57735" w14:paraId="154BDEC4" w14:textId="77777777">
      <w:pPr>
        <w:pStyle w:val="BodyText"/>
      </w:pPr>
    </w:p>
    <w:p w:rsidR="00313731" w:rsidP="00B57735" w14:paraId="56C124B8" w14:textId="0BD0CA65">
      <w:pPr>
        <w:pStyle w:val="BodyText"/>
      </w:pPr>
      <w:r w:rsidRPr="00193F77">
        <w:t>CMS does not require the use of any specific technology or format so long as the required ICs are readily available for review by State surveyors at the time of the on-site survey.</w:t>
      </w:r>
      <w:r>
        <w:t xml:space="preserve"> </w:t>
      </w:r>
      <w:r>
        <w:t>Suppliers may use</w:t>
      </w:r>
      <w:r w:rsidRPr="00313731">
        <w:t xml:space="preserve"> any available information technology to collect and maintain the required ICs as long as the methods comply with applicable privacy rules, including the Health Insurance Portability and Accountability Act of 1996 (HIPAA). The use of electronic or other technological collection techniques is encouraged when such methods would reduce burden and are consistent with </w:t>
      </w:r>
      <w:r w:rsidR="00510F3E">
        <w:t>p</w:t>
      </w:r>
      <w:r>
        <w:t>ortable X-</w:t>
      </w:r>
      <w:r w:rsidR="00510F3E">
        <w:t>r</w:t>
      </w:r>
      <w:r>
        <w:t xml:space="preserve">ay </w:t>
      </w:r>
      <w:r w:rsidR="00A92886">
        <w:t>suppliers</w:t>
      </w:r>
      <w:r>
        <w:t>’</w:t>
      </w:r>
      <w:r w:rsidRPr="00313731">
        <w:t xml:space="preserve"> operations.</w:t>
      </w:r>
    </w:p>
    <w:p w:rsidR="00313731" w:rsidRPr="00477BA3" w:rsidP="00B57735" w14:paraId="0C4EE2C8" w14:textId="77777777">
      <w:pPr>
        <w:pStyle w:val="BodyText"/>
      </w:pPr>
    </w:p>
    <w:p w:rsidR="00313731" w:rsidP="0006448A" w14:paraId="21529386" w14:textId="18C02434">
      <w:pPr>
        <w:pStyle w:val="Heading2"/>
      </w:pPr>
      <w:r w:rsidRPr="00C20D30">
        <w:t xml:space="preserve">4.  </w:t>
      </w:r>
      <w:r w:rsidRPr="00C20D30" w:rsidR="0089015D">
        <w:t xml:space="preserve">Duplication </w:t>
      </w:r>
      <w:r w:rsidR="00F415AC">
        <w:t xml:space="preserve">of </w:t>
      </w:r>
      <w:r w:rsidRPr="00C20D30" w:rsidR="0089015D">
        <w:t>Information</w:t>
      </w:r>
    </w:p>
    <w:p w:rsidR="0006448A" w:rsidRPr="0006448A" w:rsidP="0006448A" w14:paraId="233D9FFA" w14:textId="77777777">
      <w:pPr>
        <w:pStyle w:val="Text2"/>
      </w:pPr>
    </w:p>
    <w:p w:rsidR="0006448A" w:rsidP="0006448A" w14:paraId="30DDC997" w14:textId="28C2BD34">
      <w:pPr>
        <w:pStyle w:val="Text2"/>
      </w:pPr>
      <w:r w:rsidRPr="0006448A">
        <w:t>There is no duplication of information collection. The ICs are designed to be sufficiently general, allowing suppliers flexibility in substance and format within their existing recordkeeping practices. If portable X-ray suppliers already maintain records that satisfy the ICs, regardless of format (electronic or paper), they are in compliance.</w:t>
      </w:r>
    </w:p>
    <w:p w:rsidR="009F1A45" w:rsidP="0006448A" w14:paraId="68ED0B68" w14:textId="77777777">
      <w:pPr>
        <w:pStyle w:val="Text2"/>
      </w:pPr>
    </w:p>
    <w:p w:rsidR="00826725" w:rsidRPr="00C20D30" w:rsidP="00164BD9" w14:paraId="4D80A36E" w14:textId="5CE8225F">
      <w:pPr>
        <w:pStyle w:val="Heading2"/>
      </w:pPr>
      <w:r w:rsidRPr="00C20D30">
        <w:t xml:space="preserve">5.  </w:t>
      </w:r>
      <w:r w:rsidRPr="00C20D30" w:rsidR="0089015D">
        <w:t>Small Business</w:t>
      </w:r>
    </w:p>
    <w:p w:rsidR="00826725" w:rsidRPr="00477BA3" w:rsidP="00B57735" w14:paraId="5B0AA094" w14:textId="77777777">
      <w:pPr>
        <w:pStyle w:val="BodyText"/>
      </w:pPr>
    </w:p>
    <w:p w:rsidR="00172124" w:rsidRPr="002867CA" w:rsidP="00B57735" w14:paraId="6984A18A" w14:textId="150D6F8C">
      <w:pPr>
        <w:pStyle w:val="BodyText"/>
      </w:pPr>
      <w:r w:rsidRPr="002867CA">
        <w:t xml:space="preserve">These </w:t>
      </w:r>
      <w:r w:rsidRPr="002867CA" w:rsidR="005B1EE6">
        <w:t>ICs</w:t>
      </w:r>
      <w:r w:rsidRPr="002867CA">
        <w:t xml:space="preserve"> affect small businesses</w:t>
      </w:r>
      <w:r w:rsidRPr="002867CA" w:rsidR="0094595E">
        <w:t xml:space="preserve">. </w:t>
      </w:r>
      <w:r w:rsidRPr="002867CA">
        <w:t xml:space="preserve">However, </w:t>
      </w:r>
      <w:r w:rsidRPr="002867CA" w:rsidR="005B1EE6">
        <w:t xml:space="preserve">CMS minimizes the impact on small businesses by </w:t>
      </w:r>
      <w:r w:rsidRPr="002867CA">
        <w:t>allow</w:t>
      </w:r>
      <w:r w:rsidRPr="002867CA" w:rsidR="00193F77">
        <w:t>ing</w:t>
      </w:r>
      <w:r w:rsidRPr="002867CA">
        <w:t xml:space="preserve"> </w:t>
      </w:r>
      <w:r w:rsidRPr="002867CA" w:rsidR="00193F77">
        <w:t xml:space="preserve">suppliers </w:t>
      </w:r>
      <w:r w:rsidRPr="002867CA">
        <w:t xml:space="preserve">flexibility to </w:t>
      </w:r>
      <w:r w:rsidRPr="002867CA" w:rsidR="00193F77">
        <w:t xml:space="preserve">record and store the ICs </w:t>
      </w:r>
      <w:r w:rsidRPr="002867CA">
        <w:t>in way</w:t>
      </w:r>
      <w:r w:rsidRPr="002867CA" w:rsidR="00193F77">
        <w:t>s</w:t>
      </w:r>
      <w:r w:rsidRPr="002867CA">
        <w:t xml:space="preserve"> </w:t>
      </w:r>
      <w:r w:rsidRPr="002867CA" w:rsidR="005B1EE6">
        <w:t xml:space="preserve">that </w:t>
      </w:r>
      <w:r w:rsidRPr="002867CA" w:rsidR="00193F77">
        <w:t>are</w:t>
      </w:r>
      <w:r w:rsidRPr="002867CA" w:rsidR="005B1EE6">
        <w:t xml:space="preserve"> </w:t>
      </w:r>
      <w:r w:rsidRPr="002867CA">
        <w:t>consistent with their existing operations.</w:t>
      </w:r>
    </w:p>
    <w:p w:rsidR="00826725" w:rsidRPr="00477BA3" w:rsidP="00B57735" w14:paraId="61A0A5F7" w14:textId="77777777">
      <w:pPr>
        <w:pStyle w:val="BodyText"/>
      </w:pPr>
    </w:p>
    <w:p w:rsidR="00826725" w:rsidRPr="00C20D30" w:rsidP="00164BD9" w14:paraId="6B0BD922" w14:textId="6EA0C0A9">
      <w:pPr>
        <w:pStyle w:val="Heading2"/>
      </w:pPr>
      <w:r w:rsidRPr="00C20D30">
        <w:t xml:space="preserve">6.  </w:t>
      </w:r>
      <w:r w:rsidRPr="00C20D30" w:rsidR="0089015D">
        <w:t>Less Frequent</w:t>
      </w:r>
      <w:r w:rsidRPr="00C20D30" w:rsidR="0089015D">
        <w:rPr>
          <w:spacing w:val="3"/>
        </w:rPr>
        <w:t xml:space="preserve"> </w:t>
      </w:r>
      <w:r w:rsidRPr="00C20D30" w:rsidR="0089015D">
        <w:t>Collection</w:t>
      </w:r>
    </w:p>
    <w:p w:rsidR="00826725" w:rsidRPr="00477BA3" w:rsidP="00B57735" w14:paraId="4095D67A" w14:textId="77777777">
      <w:pPr>
        <w:pStyle w:val="BodyText"/>
      </w:pPr>
    </w:p>
    <w:p w:rsidR="00826725" w:rsidP="00082D12" w14:paraId="4F51DA2A" w14:textId="1A8D059B">
      <w:pPr>
        <w:pStyle w:val="Text2"/>
      </w:pPr>
      <w:r w:rsidRPr="002867CA">
        <w:t xml:space="preserve">CMS does not collect </w:t>
      </w:r>
      <w:r w:rsidRPr="002867CA" w:rsidR="005B1EE6">
        <w:t>the ICs</w:t>
      </w:r>
      <w:r w:rsidRPr="002867CA" w:rsidR="0094595E">
        <w:t xml:space="preserve"> </w:t>
      </w:r>
      <w:r w:rsidRPr="002867CA" w:rsidR="005B1EE6">
        <w:t xml:space="preserve">from </w:t>
      </w:r>
      <w:r w:rsidRPr="002867CA" w:rsidR="00510F3E">
        <w:t>p</w:t>
      </w:r>
      <w:r w:rsidRPr="002867CA" w:rsidR="00F2671C">
        <w:t xml:space="preserve">ortable </w:t>
      </w:r>
      <w:r w:rsidRPr="002867CA" w:rsidR="00476A73">
        <w:t>X-ray</w:t>
      </w:r>
      <w:r w:rsidRPr="002867CA" w:rsidR="001258F5">
        <w:t xml:space="preserve"> </w:t>
      </w:r>
      <w:r w:rsidRPr="002867CA" w:rsidR="00F43382">
        <w:t>s</w:t>
      </w:r>
      <w:r w:rsidRPr="002867CA" w:rsidR="001258F5">
        <w:t>upplier</w:t>
      </w:r>
      <w:r w:rsidRPr="002867CA" w:rsidR="005B1EE6">
        <w:t>s</w:t>
      </w:r>
      <w:r w:rsidRPr="002867CA" w:rsidR="00A73265">
        <w:t>. I</w:t>
      </w:r>
      <w:r w:rsidRPr="002867CA" w:rsidR="005B1EE6">
        <w:t>nstead</w:t>
      </w:r>
      <w:r w:rsidRPr="002867CA" w:rsidR="00A73265">
        <w:t xml:space="preserve">, surveyors review the ICs during on-site visits to determine if a </w:t>
      </w:r>
      <w:r w:rsidRPr="002867CA" w:rsidR="00A92886">
        <w:t>s</w:t>
      </w:r>
      <w:r w:rsidRPr="002867CA" w:rsidR="00A73265">
        <w:t xml:space="preserve">upplier meets the CfCs for Medicare certification. </w:t>
      </w:r>
      <w:r w:rsidRPr="002867CA">
        <w:t xml:space="preserve">Less frequent information collection </w:t>
      </w:r>
      <w:r w:rsidRPr="002867CA" w:rsidR="005B1EE6">
        <w:t>c</w:t>
      </w:r>
      <w:r w:rsidRPr="002867CA">
        <w:t xml:space="preserve">ould </w:t>
      </w:r>
      <w:r w:rsidRPr="002867CA" w:rsidR="005B1EE6">
        <w:t>limit CMS’</w:t>
      </w:r>
      <w:r w:rsidRPr="002867CA" w:rsidR="00A73265">
        <w:t>s</w:t>
      </w:r>
      <w:r w:rsidRPr="002867CA" w:rsidR="005B1EE6">
        <w:t xml:space="preserve"> ability to ensure</w:t>
      </w:r>
      <w:r w:rsidRPr="002867CA">
        <w:t xml:space="preserve"> compliance with the Medicare </w:t>
      </w:r>
      <w:r w:rsidRPr="002867CA" w:rsidR="001455CB">
        <w:t>CfCs</w:t>
      </w:r>
      <w:r w:rsidRPr="002867CA" w:rsidR="005B1EE6">
        <w:t>, which could potentially compromise patient health and safety</w:t>
      </w:r>
      <w:r w:rsidRPr="002867CA">
        <w:t>.</w:t>
      </w:r>
      <w:r w:rsidRPr="002867CA" w:rsidR="007A5823">
        <w:t xml:space="preserve"> </w:t>
      </w:r>
    </w:p>
    <w:p w:rsidR="00E3134D" w:rsidP="00082D12" w14:paraId="1AB4463F" w14:textId="77777777">
      <w:pPr>
        <w:pStyle w:val="Text2"/>
        <w:keepNext w:val="0"/>
      </w:pPr>
    </w:p>
    <w:p w:rsidR="00826725" w:rsidRPr="00164BD9" w:rsidP="00164BD9" w14:paraId="2531BAD0" w14:textId="38AF1DF4">
      <w:pPr>
        <w:pStyle w:val="Heading2"/>
      </w:pPr>
      <w:r w:rsidRPr="00164BD9">
        <w:t xml:space="preserve">7.  </w:t>
      </w:r>
      <w:r w:rsidRPr="00164BD9" w:rsidR="0089015D">
        <w:t>Special Circumstances</w:t>
      </w:r>
    </w:p>
    <w:p w:rsidR="00826725" w:rsidRPr="00164BD9" w:rsidP="00164BD9" w14:paraId="7FD8942D" w14:textId="77777777">
      <w:pPr>
        <w:pStyle w:val="Text2"/>
      </w:pPr>
    </w:p>
    <w:p w:rsidR="0089015D" w:rsidRPr="00164BD9" w:rsidP="00164BD9" w14:paraId="11AFAE86" w14:textId="58CD6418">
      <w:pPr>
        <w:pStyle w:val="Text2"/>
      </w:pPr>
      <w:r w:rsidRPr="00164BD9">
        <w:t>There are no special circumstances</w:t>
      </w:r>
      <w:r w:rsidRPr="00164BD9" w:rsidR="009667F7">
        <w:t>.</w:t>
      </w:r>
    </w:p>
    <w:p w:rsidR="009E2A32" w:rsidRPr="00164BD9" w:rsidP="00164BD9" w14:paraId="29BF2022" w14:textId="77777777">
      <w:pPr>
        <w:pStyle w:val="Text2"/>
      </w:pPr>
    </w:p>
    <w:p w:rsidR="00826725" w:rsidRPr="00C20D30" w:rsidP="00164BD9" w14:paraId="1BC70FC4" w14:textId="6DFCA21D">
      <w:pPr>
        <w:pStyle w:val="Heading2"/>
      </w:pPr>
      <w:r w:rsidRPr="00C20D30">
        <w:t xml:space="preserve">8.  </w:t>
      </w:r>
      <w:r w:rsidRPr="00C20D30" w:rsidR="0089015D">
        <w:t>Federal Register Notice/Outside</w:t>
      </w:r>
      <w:r w:rsidRPr="00C20D30" w:rsidR="0089015D">
        <w:rPr>
          <w:spacing w:val="-5"/>
        </w:rPr>
        <w:t xml:space="preserve"> </w:t>
      </w:r>
      <w:r w:rsidRPr="00C20D30" w:rsidR="0089015D">
        <w:t>Consultation</w:t>
      </w:r>
    </w:p>
    <w:p w:rsidR="00826725" w:rsidRPr="00477BA3" w:rsidP="00B57735" w14:paraId="3EB497D0" w14:textId="77777777">
      <w:pPr>
        <w:pStyle w:val="BodyText"/>
      </w:pPr>
    </w:p>
    <w:p w:rsidR="00C41F1D" w:rsidP="00B57735" w14:paraId="407CD19D" w14:textId="59AEC4BD">
      <w:pPr>
        <w:pStyle w:val="BodyText"/>
      </w:pPr>
      <w:r w:rsidRPr="00477BA3">
        <w:t xml:space="preserve">The 60-day </w:t>
      </w:r>
      <w:r w:rsidRPr="00CA6A4A">
        <w:rPr>
          <w:i/>
          <w:iCs/>
        </w:rPr>
        <w:t xml:space="preserve">Federal Register </w:t>
      </w:r>
      <w:r w:rsidRPr="00477BA3">
        <w:t>notice</w:t>
      </w:r>
      <w:r w:rsidR="00A73265">
        <w:t xml:space="preserve"> </w:t>
      </w:r>
      <w:r w:rsidRPr="00477BA3">
        <w:t xml:space="preserve">published </w:t>
      </w:r>
      <w:r w:rsidR="00557D4B">
        <w:t xml:space="preserve">on </w:t>
      </w:r>
      <w:r w:rsidR="00875AB0">
        <w:t>April 10, 2026</w:t>
      </w:r>
      <w:r w:rsidR="00A73265">
        <w:t xml:space="preserve"> (9</w:t>
      </w:r>
      <w:r w:rsidR="00080157">
        <w:t>1</w:t>
      </w:r>
      <w:r w:rsidR="00A73265">
        <w:t xml:space="preserve"> FR </w:t>
      </w:r>
      <w:r w:rsidR="00875AB0">
        <w:t>18462</w:t>
      </w:r>
      <w:r w:rsidR="00A73265">
        <w:t>)</w:t>
      </w:r>
      <w:r w:rsidR="00BB4972">
        <w:t xml:space="preserve">. </w:t>
      </w:r>
      <w:r w:rsidR="00875AB0">
        <w:t>There were no public comments received.</w:t>
      </w:r>
    </w:p>
    <w:p w:rsidR="00875AB0" w:rsidP="00B57735" w14:paraId="24886353" w14:textId="77777777">
      <w:pPr>
        <w:pStyle w:val="BodyText"/>
      </w:pPr>
    </w:p>
    <w:p w:rsidR="00875AB0" w:rsidRPr="00DC2370" w:rsidP="00B57735" w14:paraId="6BB0E3A4" w14:textId="309CA4F0">
      <w:pPr>
        <w:pStyle w:val="BodyText"/>
        <w:rPr>
          <w:spacing w:val="-26"/>
        </w:rPr>
      </w:pPr>
      <w:r>
        <w:t xml:space="preserve">The 30-day </w:t>
      </w:r>
      <w:r w:rsidRPr="00875AB0">
        <w:rPr>
          <w:i/>
          <w:iCs/>
        </w:rPr>
        <w:t>Federal Register</w:t>
      </w:r>
      <w:r>
        <w:t xml:space="preserve"> notice published on June 16, 2026 (91 FR 36144).</w:t>
      </w:r>
    </w:p>
    <w:p w:rsidR="00DC2370" w:rsidRPr="00477BA3" w:rsidP="00B57735" w14:paraId="7F60B256" w14:textId="77777777">
      <w:pPr>
        <w:pStyle w:val="BodyText"/>
        <w:rPr>
          <w:u w:color="000000"/>
        </w:rPr>
      </w:pPr>
    </w:p>
    <w:p w:rsidR="00826725" w:rsidRPr="00C20D30" w:rsidP="00164BD9" w14:paraId="0CB19912" w14:textId="46619B39">
      <w:pPr>
        <w:pStyle w:val="Heading2"/>
      </w:pPr>
      <w:r w:rsidRPr="00C20D30">
        <w:t xml:space="preserve">9.  </w:t>
      </w:r>
      <w:r w:rsidRPr="00C20D30" w:rsidR="0089015D">
        <w:t>Payment</w:t>
      </w:r>
      <w:r w:rsidR="00C20D30">
        <w:t>s</w:t>
      </w:r>
      <w:r w:rsidRPr="00C20D30" w:rsidR="0089015D">
        <w:t>/Gift</w:t>
      </w:r>
      <w:r w:rsidR="00C20D30">
        <w:t>s</w:t>
      </w:r>
      <w:r w:rsidRPr="00C20D30" w:rsidR="0089015D">
        <w:t xml:space="preserve"> to</w:t>
      </w:r>
      <w:r w:rsidRPr="00C20D30" w:rsidR="0089015D">
        <w:rPr>
          <w:spacing w:val="-1"/>
        </w:rPr>
        <w:t xml:space="preserve"> </w:t>
      </w:r>
      <w:r w:rsidRPr="00C20D30" w:rsidR="0089015D">
        <w:t>Respondent</w:t>
      </w:r>
      <w:r w:rsidR="00C20D30">
        <w:t>s</w:t>
      </w:r>
    </w:p>
    <w:p w:rsidR="00826725" w:rsidRPr="00477BA3" w:rsidP="00B57735" w14:paraId="144A0B0D" w14:textId="77777777">
      <w:pPr>
        <w:pStyle w:val="BodyText"/>
      </w:pPr>
    </w:p>
    <w:p w:rsidR="00826725" w:rsidRPr="00DC2370" w:rsidP="00B57735" w14:paraId="6D151B9D" w14:textId="5989764B">
      <w:pPr>
        <w:pStyle w:val="BodyText"/>
        <w:rPr>
          <w:rFonts w:eastAsiaTheme="minorHAnsi"/>
        </w:rPr>
      </w:pPr>
      <w:r>
        <w:t>N</w:t>
      </w:r>
      <w:r w:rsidRPr="00477BA3" w:rsidR="007B5F8D">
        <w:t xml:space="preserve">o payments or gifts </w:t>
      </w:r>
      <w:r w:rsidRPr="005B1EE6">
        <w:t xml:space="preserve">will be provided to respondents </w:t>
      </w:r>
      <w:r w:rsidRPr="00477BA3" w:rsidR="007B5F8D">
        <w:t xml:space="preserve"> </w:t>
      </w:r>
      <w:r>
        <w:t xml:space="preserve">as part of </w:t>
      </w:r>
      <w:r w:rsidRPr="005B1EE6" w:rsidR="007B5F8D">
        <w:t>this</w:t>
      </w:r>
      <w:r w:rsidRPr="00CA6A4A" w:rsidR="007B5F8D">
        <w:t xml:space="preserve"> </w:t>
      </w:r>
      <w:r w:rsidRPr="00CA6A4A">
        <w:t xml:space="preserve">information </w:t>
      </w:r>
      <w:r w:rsidRPr="005B1EE6" w:rsidR="007B5F8D">
        <w:t>collection.</w:t>
      </w:r>
    </w:p>
    <w:p w:rsidR="00DC2370" w:rsidRPr="005B1EE6" w:rsidP="00B57735" w14:paraId="0019F9C1" w14:textId="77777777">
      <w:pPr>
        <w:pStyle w:val="BodyText"/>
      </w:pPr>
    </w:p>
    <w:p w:rsidR="00826725" w:rsidRPr="00C20D30" w:rsidP="00164BD9" w14:paraId="5DD14E25" w14:textId="0E232EB2">
      <w:pPr>
        <w:pStyle w:val="Heading2"/>
      </w:pPr>
      <w:r w:rsidRPr="00C20D30">
        <w:t xml:space="preserve">10.  </w:t>
      </w:r>
      <w:r w:rsidRPr="00C20D30" w:rsidR="0089015D">
        <w:t>Confidentiality</w:t>
      </w:r>
    </w:p>
    <w:p w:rsidR="00826725" w:rsidRPr="00477BA3" w:rsidP="00B57735" w14:paraId="41AFC1E0" w14:textId="77777777">
      <w:pPr>
        <w:pStyle w:val="BodyText"/>
      </w:pPr>
    </w:p>
    <w:p w:rsidR="00826725" w:rsidRPr="00F05BC1" w:rsidP="00F05BC1" w14:paraId="30FF26C9" w14:textId="323FED90">
      <w:pPr>
        <w:pStyle w:val="Text3-addnext"/>
      </w:pPr>
      <w:r w:rsidRPr="00F05BC1">
        <w:t>Any information collected will be used only for stated purposes and disclosed only as permitted by law. Protected Health Information (“PHI”) will be kept confidential as required by the Privacy Act of 1974 (5 USC §552a) and HIPAA (45 CFR §§160, 164)</w:t>
      </w:r>
      <w:r w:rsidRPr="00F05BC1" w:rsidR="00A73265">
        <w:t>.</w:t>
      </w:r>
      <w:r w:rsidRPr="00F05BC1">
        <w:t xml:space="preserve"> </w:t>
      </w:r>
    </w:p>
    <w:p w:rsidR="00DC2370" w:rsidRPr="00477BA3" w:rsidP="00B57735" w14:paraId="2D8068C4" w14:textId="77777777">
      <w:pPr>
        <w:pStyle w:val="BodyText"/>
      </w:pPr>
    </w:p>
    <w:p w:rsidR="00164BD9" w:rsidP="00164BD9" w14:paraId="66DAA4BD" w14:textId="77777777">
      <w:pPr>
        <w:pStyle w:val="Heading2"/>
      </w:pPr>
      <w:r w:rsidRPr="00C20D30">
        <w:t xml:space="preserve">11.  </w:t>
      </w:r>
      <w:r w:rsidRPr="00C20D30" w:rsidR="0089015D">
        <w:t>Sensitive</w:t>
      </w:r>
      <w:r w:rsidRPr="00C20D30" w:rsidR="0089015D">
        <w:rPr>
          <w:spacing w:val="-1"/>
        </w:rPr>
        <w:t xml:space="preserve"> </w:t>
      </w:r>
      <w:r w:rsidRPr="00C20D30" w:rsidR="0089015D">
        <w:t>Question</w:t>
      </w:r>
    </w:p>
    <w:p w:rsidR="00164BD9" w:rsidP="00F05BC1" w14:paraId="21FF1646" w14:textId="77777777">
      <w:pPr>
        <w:pStyle w:val="Text3-addnext"/>
      </w:pPr>
    </w:p>
    <w:p w:rsidR="00610831" w:rsidRPr="002867CA" w:rsidP="00F05BC1" w14:paraId="1480B8F9" w14:textId="6CEED8C6">
      <w:pPr>
        <w:pStyle w:val="Text3-addnext"/>
      </w:pPr>
      <w:r w:rsidRPr="002867CA">
        <w:t>There are no questions of a sensitive nature associated with this information collection.</w:t>
      </w:r>
    </w:p>
    <w:p w:rsidR="00DC2370" w:rsidP="006D0B28" w14:paraId="5124FA0B" w14:textId="77777777">
      <w:pPr>
        <w:pStyle w:val="BodyText"/>
      </w:pPr>
    </w:p>
    <w:p w:rsidR="00826725" w:rsidRPr="00C20D30" w:rsidP="00164BD9" w14:paraId="7189338B" w14:textId="5E7C710E">
      <w:pPr>
        <w:pStyle w:val="Heading2"/>
      </w:pPr>
      <w:r w:rsidRPr="00C20D30">
        <w:t xml:space="preserve">12.  </w:t>
      </w:r>
      <w:r w:rsidRPr="00C20D30" w:rsidR="0089015D">
        <w:t>Burden Estimates</w:t>
      </w:r>
      <w:r w:rsidR="00F415AC">
        <w:t xml:space="preserve"> (Hours &amp; Wages)</w:t>
      </w:r>
    </w:p>
    <w:p w:rsidR="00186BAA" w:rsidP="00F05BC1" w14:paraId="29752D9D" w14:textId="77777777">
      <w:pPr>
        <w:pStyle w:val="Heading3"/>
        <w:rPr>
          <w:rStyle w:val="Text2Char"/>
        </w:rPr>
      </w:pPr>
    </w:p>
    <w:p w:rsidR="00565EB7" w:rsidRPr="00421116" w:rsidP="00421116" w14:paraId="5B8C5F83" w14:textId="69A992E4">
      <w:pPr>
        <w:pStyle w:val="Heading3"/>
        <w:rPr>
          <w:rStyle w:val="Text2Char"/>
          <w:szCs w:val="22"/>
        </w:rPr>
      </w:pPr>
      <w:r w:rsidRPr="00421116">
        <w:rPr>
          <w:rStyle w:val="Text2Char"/>
          <w:szCs w:val="22"/>
        </w:rPr>
        <w:t>Part 12-A: Assumptions</w:t>
      </w:r>
    </w:p>
    <w:p w:rsidR="00434D11" w:rsidRPr="00F05BC1" w:rsidP="00F05BC1" w14:paraId="52DBF372" w14:textId="1323B2BB">
      <w:pPr>
        <w:pStyle w:val="Text3-addnext"/>
      </w:pPr>
      <w:r w:rsidRPr="00F05BC1">
        <w:t xml:space="preserve">This section is broken out into the following </w:t>
      </w:r>
      <w:r w:rsidRPr="00F05BC1" w:rsidR="00510F3E">
        <w:t>four</w:t>
      </w:r>
      <w:r w:rsidRPr="00F05BC1">
        <w:t xml:space="preserve"> parts, Part 12-A, 12-B, 12-C</w:t>
      </w:r>
      <w:r w:rsidRPr="00F05BC1" w:rsidR="00510F3E">
        <w:t>, and Part 12-D</w:t>
      </w:r>
      <w:r w:rsidRPr="00F05BC1">
        <w:t xml:space="preserve">. Part 12-A explains the general assumptions we use to estimate hourly burden and costs. Part 12-B explains the data collections in detail and describes the methodology used to estimate the annual hourly burden and cost. </w:t>
      </w:r>
      <w:r w:rsidRPr="00F05BC1" w:rsidR="00510F3E">
        <w:t xml:space="preserve">Part 12-C explains which ICs are exempt from the PRA and </w:t>
      </w:r>
      <w:r w:rsidRPr="00F05BC1">
        <w:t>Part 12-</w:t>
      </w:r>
      <w:r w:rsidRPr="00F05BC1" w:rsidR="00510F3E">
        <w:t>D</w:t>
      </w:r>
      <w:r w:rsidRPr="00F05BC1">
        <w:t xml:space="preserve"> summarizes the </w:t>
      </w:r>
      <w:r w:rsidRPr="00F05BC1" w:rsidR="00510F3E">
        <w:t>burden hours and costs for the industry</w:t>
      </w:r>
      <w:r w:rsidRPr="00F05BC1">
        <w:t>.</w:t>
      </w:r>
    </w:p>
    <w:p w:rsidR="00434D11" w:rsidP="00F05BC1" w14:paraId="0E69CABB" w14:textId="77777777">
      <w:pPr>
        <w:pStyle w:val="BodyText"/>
        <w:ind w:left="360"/>
      </w:pPr>
    </w:p>
    <w:p w:rsidR="006D0B28" w:rsidRPr="00164BD9" w:rsidP="00F05BC1" w14:paraId="59ED7685" w14:textId="1C743DF0">
      <w:pPr>
        <w:pStyle w:val="Heading4"/>
        <w:ind w:left="360"/>
      </w:pPr>
      <w:r w:rsidRPr="00164BD9">
        <w:t>Number of Portable X-ray suppliers Impacted by ICs</w:t>
      </w:r>
    </w:p>
    <w:p w:rsidR="00434D11" w:rsidP="00F05BC1" w14:paraId="196610E9" w14:textId="14AC21D8">
      <w:pPr>
        <w:pStyle w:val="Text3-addnext"/>
      </w:pPr>
      <w:r w:rsidRPr="00434D11">
        <w:t xml:space="preserve">Below are the global assumptions used to estimate the annual hourly burden and costs to </w:t>
      </w:r>
      <w:r w:rsidR="00201D86">
        <w:t>portable</w:t>
      </w:r>
      <w:r>
        <w:t xml:space="preserve"> </w:t>
      </w:r>
      <w:r w:rsidR="00201D86">
        <w:t>X-ray</w:t>
      </w:r>
      <w:r>
        <w:t xml:space="preserve"> </w:t>
      </w:r>
      <w:r w:rsidR="00A92886">
        <w:t>suppliers</w:t>
      </w:r>
      <w:r w:rsidRPr="00434D11">
        <w:t xml:space="preserve">. </w:t>
      </w:r>
    </w:p>
    <w:p w:rsidR="006D0B28" w:rsidP="00F05BC1" w14:paraId="0E784C1B" w14:textId="77777777">
      <w:pPr>
        <w:pStyle w:val="Text2"/>
        <w:ind w:left="360"/>
      </w:pPr>
    </w:p>
    <w:p w:rsidR="00164BD9" w:rsidRPr="00164BD9" w:rsidP="00F05BC1" w14:paraId="305B4B4C" w14:textId="4D10E04F">
      <w:pPr>
        <w:pStyle w:val="Heading4"/>
        <w:ind w:left="360"/>
      </w:pPr>
      <w:r w:rsidRPr="00164BD9">
        <w:t>Suppliers Impacted</w:t>
      </w:r>
    </w:p>
    <w:p w:rsidR="00DC2370" w:rsidRPr="006D0B28" w:rsidP="00F05BC1" w14:paraId="4AFC4ACA" w14:textId="3B3064A1">
      <w:pPr>
        <w:pStyle w:val="Text3-addnext"/>
      </w:pPr>
      <w:r w:rsidRPr="00164BD9">
        <w:t xml:space="preserve">The burden for the ICs described in Part 12-B uses data for currently certified portable X-ray suppliers as reported by CMS’ Certification and the Survey Provider Enhanced </w:t>
      </w:r>
      <w:r w:rsidRPr="00164BD9" w:rsidR="00A52604">
        <w:t>Reporting (CASPER). As shown in Tabl</w:t>
      </w:r>
      <w:r w:rsidRPr="00164BD9" w:rsidR="005C7094">
        <w:t>e</w:t>
      </w:r>
      <w:r w:rsidRPr="00164BD9" w:rsidR="00610831">
        <w:t xml:space="preserve"> 1</w:t>
      </w:r>
      <w:r w:rsidRPr="00164BD9" w:rsidR="00A92886">
        <w:t xml:space="preserve">, </w:t>
      </w:r>
      <w:r w:rsidRPr="00164BD9" w:rsidR="006B7885">
        <w:t xml:space="preserve">there was an average of 540 </w:t>
      </w:r>
      <w:r w:rsidRPr="00164BD9" w:rsidR="0067340C">
        <w:t>active suppliers</w:t>
      </w:r>
      <w:r w:rsidRPr="00164BD9" w:rsidR="00A92886">
        <w:t xml:space="preserve"> for Calendar Years (CY) 202</w:t>
      </w:r>
      <w:r w:rsidRPr="00164BD9" w:rsidR="00FC1F4B">
        <w:t>3</w:t>
      </w:r>
      <w:r w:rsidRPr="00164BD9" w:rsidR="00A92886">
        <w:t xml:space="preserve"> and 2025</w:t>
      </w:r>
      <w:r w:rsidRPr="00164BD9" w:rsidR="00A52604">
        <w:t>.</w:t>
      </w:r>
      <w:r>
        <w:rPr>
          <w:rStyle w:val="FootnoteReference"/>
          <w:sz w:val="24"/>
        </w:rPr>
        <w:footnoteReference w:id="5"/>
      </w:r>
      <w:r w:rsidRPr="00164BD9" w:rsidR="00A52604">
        <w:t xml:space="preserve">  For purposes of estimation</w:t>
      </w:r>
      <w:r w:rsidRPr="00164BD9" w:rsidR="005C7094">
        <w:t>,</w:t>
      </w:r>
      <w:r w:rsidRPr="00164BD9" w:rsidR="00A52604">
        <w:t xml:space="preserve"> we assume </w:t>
      </w:r>
      <w:r w:rsidRPr="00164BD9" w:rsidR="0067340C">
        <w:t xml:space="preserve">a </w:t>
      </w:r>
      <w:r w:rsidRPr="00164BD9" w:rsidR="0067340C">
        <w:t xml:space="preserve">simple average projection methodology </w:t>
      </w:r>
      <w:r w:rsidRPr="00164BD9" w:rsidR="00C60E09">
        <w:t xml:space="preserve">and assume </w:t>
      </w:r>
      <w:r w:rsidRPr="00164BD9" w:rsidR="00A52604">
        <w:t>th</w:t>
      </w:r>
      <w:r w:rsidRPr="00164BD9" w:rsidR="00A73265">
        <w:t>e total</w:t>
      </w:r>
      <w:r w:rsidRPr="00164BD9" w:rsidR="00A52604">
        <w:t xml:space="preserve"> </w:t>
      </w:r>
      <w:r w:rsidRPr="006D0B28" w:rsidR="00A52604">
        <w:t xml:space="preserve">number </w:t>
      </w:r>
      <w:r w:rsidRPr="006D0B28" w:rsidR="00A73265">
        <w:t>of X-</w:t>
      </w:r>
      <w:r w:rsidRPr="006D0B28" w:rsidR="00510F3E">
        <w:t>r</w:t>
      </w:r>
      <w:r w:rsidRPr="006D0B28" w:rsidR="00A73265">
        <w:t xml:space="preserve">ay </w:t>
      </w:r>
      <w:r w:rsidRPr="006D0B28" w:rsidR="00A92886">
        <w:t>suppliers</w:t>
      </w:r>
      <w:r w:rsidRPr="006D0B28" w:rsidR="00A73265">
        <w:t xml:space="preserve"> </w:t>
      </w:r>
      <w:r w:rsidRPr="006D0B28" w:rsidR="00A52604">
        <w:t>will remain the same in the next three-year period (2026, 2027, and 2028).</w:t>
      </w:r>
    </w:p>
    <w:p w:rsidR="009D3733" w:rsidP="00F05BC1" w14:paraId="70A7016A" w14:textId="77777777">
      <w:pPr>
        <w:pStyle w:val="Text3-addnext"/>
      </w:pPr>
    </w:p>
    <w:p w:rsidR="006B2CA9" w:rsidRPr="00421116" w:rsidP="00421116" w14:paraId="57D5B25A" w14:textId="552EEDF2">
      <w:pPr>
        <w:pStyle w:val="Heading5"/>
      </w:pPr>
      <w:r w:rsidRPr="00421116">
        <w:t xml:space="preserve">Table </w:t>
      </w:r>
      <w:r>
        <w:fldChar w:fldCharType="begin"/>
      </w:r>
      <w:r>
        <w:instrText xml:space="preserve"> SEQ Table \* ARABIC </w:instrText>
      </w:r>
      <w:r>
        <w:fldChar w:fldCharType="separate"/>
      </w:r>
      <w:r w:rsidRPr="00421116">
        <w:t>1</w:t>
      </w:r>
      <w:r>
        <w:fldChar w:fldCharType="end"/>
      </w:r>
      <w:r w:rsidRPr="00421116">
        <w:t>. Number of</w:t>
      </w:r>
      <w:r w:rsidRPr="00421116" w:rsidR="00610831">
        <w:t xml:space="preserve"> Portable X-</w:t>
      </w:r>
      <w:r w:rsidRPr="00421116" w:rsidR="00510F3E">
        <w:t>r</w:t>
      </w:r>
      <w:r w:rsidRPr="00421116" w:rsidR="00610831">
        <w:t>ay</w:t>
      </w:r>
      <w:r w:rsidRPr="00421116" w:rsidR="00A92886">
        <w:t xml:space="preserve"> </w:t>
      </w:r>
      <w:r w:rsidRPr="00421116" w:rsidR="00510F3E">
        <w:t>S</w:t>
      </w:r>
      <w:r w:rsidRPr="00421116">
        <w:t xml:space="preserve">uppliers </w:t>
      </w:r>
      <w:r w:rsidRPr="00421116" w:rsidR="00610831">
        <w:t>Impacted</w:t>
      </w:r>
      <w:r>
        <w:rPr>
          <w:rStyle w:val="FootnoteReference"/>
          <w:sz w:val="24"/>
          <w:vertAlign w:val="superscript"/>
        </w:rPr>
        <w:footnoteReference w:id="6"/>
      </w:r>
    </w:p>
    <w:tbl>
      <w:tblPr>
        <w:tblStyle w:val="TableGrid"/>
        <w:tblW w:w="6930" w:type="dxa"/>
        <w:jc w:val="center"/>
        <w:tblLayout w:type="fixed"/>
        <w:tblLook w:val="04A0"/>
      </w:tblPr>
      <w:tblGrid>
        <w:gridCol w:w="2335"/>
        <w:gridCol w:w="1355"/>
        <w:gridCol w:w="1080"/>
        <w:gridCol w:w="1080"/>
        <w:gridCol w:w="1080"/>
      </w:tblGrid>
      <w:tr w14:paraId="79084A62" w14:textId="77777777" w:rsidTr="00510F3E">
        <w:tblPrEx>
          <w:tblW w:w="6930" w:type="dxa"/>
          <w:jc w:val="center"/>
          <w:tblLayout w:type="fixed"/>
          <w:tblLook w:val="04A0"/>
        </w:tblPrEx>
        <w:trPr>
          <w:trHeight w:val="677"/>
          <w:jc w:val="center"/>
        </w:trPr>
        <w:tc>
          <w:tcPr>
            <w:tcW w:w="2335" w:type="dxa"/>
            <w:tcBorders>
              <w:top w:val="nil"/>
              <w:left w:val="nil"/>
              <w:bottom w:val="single" w:sz="4" w:space="0" w:color="auto"/>
              <w:right w:val="single" w:sz="4" w:space="0" w:color="auto"/>
            </w:tcBorders>
            <w:noWrap/>
            <w:vAlign w:val="center"/>
          </w:tcPr>
          <w:p w:rsidR="008D5DD6" w:rsidRPr="00B57735" w:rsidP="006D0B28" w14:paraId="719F8C6C" w14:textId="77777777">
            <w:pPr>
              <w:pStyle w:val="Tables"/>
            </w:pPr>
          </w:p>
        </w:tc>
        <w:tc>
          <w:tcPr>
            <w:tcW w:w="135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8D5DD6" w:rsidRPr="00B57735" w:rsidP="006D0B28" w14:paraId="11C3803C" w14:textId="77777777">
            <w:pPr>
              <w:pStyle w:val="Tables"/>
            </w:pPr>
            <w:r w:rsidRPr="00B57735">
              <w:t>Actual</w:t>
            </w:r>
          </w:p>
          <w:p w:rsidR="00172EC1" w:rsidRPr="00B57735" w:rsidP="006D0B28" w14:paraId="10DB0AD7" w14:textId="642F62CF">
            <w:pPr>
              <w:pStyle w:val="Tables"/>
            </w:pPr>
            <w:r w:rsidRPr="00B57735">
              <w:t>3-year</w:t>
            </w:r>
            <w:r w:rsidRPr="00B57735">
              <w:t xml:space="preserve"> </w:t>
            </w:r>
            <w:r w:rsidRPr="00B57735">
              <w:t>Avg.</w:t>
            </w:r>
          </w:p>
        </w:tc>
        <w:tc>
          <w:tcPr>
            <w:tcW w:w="3240" w:type="dxa"/>
            <w:gridSpan w:val="3"/>
            <w:shd w:val="clear" w:color="auto" w:fill="F2F2F2" w:themeFill="background1" w:themeFillShade="F2"/>
            <w:vAlign w:val="center"/>
          </w:tcPr>
          <w:p w:rsidR="008D5DD6" w:rsidRPr="00186BAA" w:rsidP="006D0B28" w14:paraId="4C97DD0E" w14:textId="5DA45F18">
            <w:pPr>
              <w:pStyle w:val="Tables"/>
              <w:rPr>
                <w:i/>
                <w:iCs/>
              </w:rPr>
            </w:pPr>
            <w:r w:rsidRPr="00186BAA">
              <w:rPr>
                <w:i/>
                <w:iCs/>
              </w:rPr>
              <w:t>Projected</w:t>
            </w:r>
          </w:p>
        </w:tc>
      </w:tr>
      <w:tr w14:paraId="404E8ECA" w14:textId="40CA8396" w:rsidTr="00510F3E">
        <w:tblPrEx>
          <w:tblW w:w="6930" w:type="dxa"/>
          <w:jc w:val="center"/>
          <w:tblLayout w:type="fixed"/>
          <w:tblLook w:val="04A0"/>
        </w:tblPrEx>
        <w:trPr>
          <w:trHeight w:val="569"/>
          <w:jc w:val="center"/>
        </w:trPr>
        <w:tc>
          <w:tcPr>
            <w:tcW w:w="2335"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hideMark/>
          </w:tcPr>
          <w:p w:rsidR="00610831" w:rsidRPr="00B57735" w:rsidP="006D0B28" w14:paraId="648146C3" w14:textId="23DAB0DA">
            <w:pPr>
              <w:pStyle w:val="Tables"/>
            </w:pPr>
            <w:r w:rsidRPr="00B57735">
              <w:t># of</w:t>
            </w:r>
            <w:r w:rsidRPr="00B57735" w:rsidR="00A92886">
              <w:t xml:space="preserve"> X-</w:t>
            </w:r>
            <w:r w:rsidRPr="00B57735" w:rsidR="00510F3E">
              <w:t>r</w:t>
            </w:r>
            <w:r w:rsidRPr="00B57735" w:rsidR="00A92886">
              <w:t>ay s</w:t>
            </w:r>
            <w:r w:rsidRPr="00B57735">
              <w:t>uppliers</w:t>
            </w:r>
          </w:p>
        </w:tc>
        <w:tc>
          <w:tcPr>
            <w:tcW w:w="135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610831" w:rsidRPr="00B57735" w:rsidP="006D0B28" w14:paraId="7CECFD39" w14:textId="77777777">
            <w:pPr>
              <w:pStyle w:val="Tables"/>
            </w:pPr>
            <w:r w:rsidRPr="00B57735">
              <w:t>CY</w:t>
            </w:r>
          </w:p>
          <w:p w:rsidR="00610831" w:rsidRPr="00B57735" w:rsidP="006D0B28" w14:paraId="2ABB5E42" w14:textId="02924858">
            <w:pPr>
              <w:pStyle w:val="Tables"/>
            </w:pPr>
            <w:r w:rsidRPr="00B57735">
              <w:t>202</w:t>
            </w:r>
            <w:r w:rsidRPr="00B57735" w:rsidR="00FC1F4B">
              <w:t>3 -202</w:t>
            </w:r>
            <w:r w:rsidRPr="00B57735">
              <w:t>5</w:t>
            </w:r>
          </w:p>
        </w:tc>
        <w:tc>
          <w:tcPr>
            <w:tcW w:w="108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610831" w:rsidRPr="00B57735" w:rsidP="006D0B28" w14:paraId="711A9413" w14:textId="77777777">
            <w:pPr>
              <w:pStyle w:val="Tables"/>
            </w:pPr>
            <w:r w:rsidRPr="00B57735">
              <w:t>CY</w:t>
            </w:r>
          </w:p>
          <w:p w:rsidR="00610831" w:rsidRPr="00B57735" w:rsidP="006D0B28" w14:paraId="75C1850E" w14:textId="56A9A9F0">
            <w:pPr>
              <w:pStyle w:val="Tables"/>
            </w:pPr>
            <w:r w:rsidRPr="00B57735">
              <w:t>2026</w:t>
            </w:r>
          </w:p>
        </w:tc>
        <w:tc>
          <w:tcPr>
            <w:tcW w:w="1080" w:type="dxa"/>
            <w:tcBorders>
              <w:left w:val="single" w:sz="4" w:space="0" w:color="auto"/>
            </w:tcBorders>
            <w:shd w:val="clear" w:color="auto" w:fill="F2F2F2" w:themeFill="background1" w:themeFillShade="F2"/>
            <w:vAlign w:val="center"/>
          </w:tcPr>
          <w:p w:rsidR="00610831" w:rsidRPr="00B57735" w:rsidP="006D0B28" w14:paraId="66362A11" w14:textId="77777777">
            <w:pPr>
              <w:pStyle w:val="Tables"/>
            </w:pPr>
            <w:r w:rsidRPr="00B57735">
              <w:t>CY</w:t>
            </w:r>
          </w:p>
          <w:p w:rsidR="00610831" w:rsidRPr="00B57735" w:rsidP="006D0B28" w14:paraId="1C1A53E3" w14:textId="27CBC46F">
            <w:pPr>
              <w:pStyle w:val="Tables"/>
            </w:pPr>
            <w:r w:rsidRPr="00B57735">
              <w:t>2027</w:t>
            </w:r>
          </w:p>
        </w:tc>
        <w:tc>
          <w:tcPr>
            <w:tcW w:w="1080" w:type="dxa"/>
            <w:shd w:val="clear" w:color="auto" w:fill="F2F2F2" w:themeFill="background1" w:themeFillShade="F2"/>
            <w:vAlign w:val="center"/>
          </w:tcPr>
          <w:p w:rsidR="00610831" w:rsidRPr="00B57735" w:rsidP="006D0B28" w14:paraId="51827760" w14:textId="77777777">
            <w:pPr>
              <w:pStyle w:val="Tables"/>
            </w:pPr>
            <w:r w:rsidRPr="00B57735">
              <w:t>CY</w:t>
            </w:r>
          </w:p>
          <w:p w:rsidR="00610831" w:rsidRPr="00B57735" w:rsidP="006D0B28" w14:paraId="3426EA49" w14:textId="3CBCD64F">
            <w:pPr>
              <w:pStyle w:val="Tables"/>
            </w:pPr>
            <w:r w:rsidRPr="00B57735">
              <w:t>2028</w:t>
            </w:r>
          </w:p>
        </w:tc>
      </w:tr>
      <w:tr w14:paraId="60FEE50E" w14:textId="39B24925" w:rsidTr="00510F3E">
        <w:tblPrEx>
          <w:tblW w:w="6930" w:type="dxa"/>
          <w:jc w:val="center"/>
          <w:tblLayout w:type="fixed"/>
          <w:tblLook w:val="04A0"/>
        </w:tblPrEx>
        <w:trPr>
          <w:trHeight w:val="578"/>
          <w:jc w:val="center"/>
        </w:trPr>
        <w:tc>
          <w:tcPr>
            <w:tcW w:w="2335" w:type="dxa"/>
            <w:tcBorders>
              <w:top w:val="single" w:sz="4" w:space="0" w:color="auto"/>
              <w:bottom w:val="single" w:sz="4" w:space="0" w:color="auto"/>
            </w:tcBorders>
            <w:noWrap/>
            <w:vAlign w:val="center"/>
            <w:hideMark/>
          </w:tcPr>
          <w:p w:rsidR="00610831" w:rsidRPr="006D0B28" w:rsidP="006D0B28" w14:paraId="589F2179" w14:textId="6B8E9964">
            <w:pPr>
              <w:pStyle w:val="Tables"/>
              <w:jc w:val="left"/>
              <w:rPr>
                <w:b w:val="0"/>
                <w:bCs w:val="0"/>
              </w:rPr>
            </w:pPr>
            <w:r w:rsidRPr="006D0B28">
              <w:rPr>
                <w:b w:val="0"/>
                <w:bCs w:val="0"/>
              </w:rPr>
              <w:t>Currently Certified</w:t>
            </w:r>
          </w:p>
        </w:tc>
        <w:tc>
          <w:tcPr>
            <w:tcW w:w="1355" w:type="dxa"/>
            <w:tcBorders>
              <w:top w:val="single" w:sz="4" w:space="0" w:color="auto"/>
              <w:bottom w:val="single" w:sz="4" w:space="0" w:color="auto"/>
            </w:tcBorders>
            <w:shd w:val="clear" w:color="auto" w:fill="FFFFFF" w:themeFill="background1"/>
            <w:vAlign w:val="center"/>
          </w:tcPr>
          <w:p w:rsidR="00610831" w:rsidRPr="00B57735" w:rsidP="006D0B28" w14:paraId="31794EA1" w14:textId="1D596735">
            <w:pPr>
              <w:pStyle w:val="Tables"/>
            </w:pPr>
            <w:r w:rsidRPr="00B57735">
              <w:t>540</w:t>
            </w:r>
          </w:p>
        </w:tc>
        <w:tc>
          <w:tcPr>
            <w:tcW w:w="1080" w:type="dxa"/>
            <w:tcBorders>
              <w:top w:val="single" w:sz="4" w:space="0" w:color="auto"/>
            </w:tcBorders>
            <w:shd w:val="clear" w:color="auto" w:fill="FFFFFF" w:themeFill="background1"/>
            <w:vAlign w:val="center"/>
          </w:tcPr>
          <w:p w:rsidR="00610831" w:rsidRPr="00B57735" w:rsidP="006D0B28" w14:paraId="5A02F5AA" w14:textId="76E807B8">
            <w:pPr>
              <w:pStyle w:val="Tables"/>
            </w:pPr>
            <w:r w:rsidRPr="00B57735">
              <w:t>540</w:t>
            </w:r>
          </w:p>
        </w:tc>
        <w:tc>
          <w:tcPr>
            <w:tcW w:w="1080" w:type="dxa"/>
            <w:shd w:val="clear" w:color="auto" w:fill="FFFFFF" w:themeFill="background1"/>
            <w:vAlign w:val="center"/>
          </w:tcPr>
          <w:p w:rsidR="00610831" w:rsidRPr="00B57735" w:rsidP="006D0B28" w14:paraId="3E97726B" w14:textId="3E7D0A31">
            <w:pPr>
              <w:pStyle w:val="Tables"/>
            </w:pPr>
            <w:r w:rsidRPr="00B57735">
              <w:t>540</w:t>
            </w:r>
          </w:p>
        </w:tc>
        <w:tc>
          <w:tcPr>
            <w:tcW w:w="1080" w:type="dxa"/>
            <w:shd w:val="clear" w:color="auto" w:fill="FFFFFF" w:themeFill="background1"/>
            <w:vAlign w:val="center"/>
          </w:tcPr>
          <w:p w:rsidR="00610831" w:rsidRPr="00B57735" w:rsidP="006D0B28" w14:paraId="07ACD96D" w14:textId="5DFCC673">
            <w:pPr>
              <w:pStyle w:val="Tables"/>
            </w:pPr>
            <w:r w:rsidRPr="00B57735">
              <w:t>540</w:t>
            </w:r>
          </w:p>
        </w:tc>
      </w:tr>
    </w:tbl>
    <w:p w:rsidR="004048F8" w:rsidP="006D0B28" w14:paraId="0DAD88F8" w14:textId="77777777">
      <w:pPr>
        <w:pStyle w:val="Tables"/>
      </w:pPr>
    </w:p>
    <w:p w:rsidR="00565EB7" w:rsidP="002861CE" w14:paraId="1AF304E4" w14:textId="77777777">
      <w:pPr>
        <w:pStyle w:val="Heading4"/>
        <w:ind w:left="360"/>
      </w:pPr>
      <w:r w:rsidRPr="006D0B28">
        <w:t>Labor Wages</w:t>
      </w:r>
    </w:p>
    <w:p w:rsidR="00565EB7" w:rsidRPr="006D0B28" w:rsidP="00F05BC1" w14:paraId="780F5F6A" w14:textId="77777777">
      <w:pPr>
        <w:pStyle w:val="Text3-addnext"/>
      </w:pPr>
      <w:r w:rsidRPr="006D0B28">
        <w:t>The burden cost for the ICs described in Part 12-B is based on hourly wage costs presented in Table 2 below. This salary data is derived from the U.S. Department of Labor, Bureau of Labor Statistics (BLS), May 2024 Cross-Industry Occupational Employment and Wage Estimates (OEWS).</w:t>
      </w:r>
      <w:r>
        <w:rPr>
          <w:rStyle w:val="FootnoteReference"/>
          <w:sz w:val="24"/>
          <w:vertAlign w:val="superscript"/>
        </w:rPr>
        <w:footnoteReference w:id="7"/>
      </w:r>
    </w:p>
    <w:p w:rsidR="00565EB7" w:rsidP="00565EB7" w14:paraId="663E7A7A" w14:textId="77777777">
      <w:pPr>
        <w:pStyle w:val="Text2"/>
        <w:ind w:left="0"/>
      </w:pPr>
    </w:p>
    <w:p w:rsidR="00565EB7" w:rsidRPr="00FA3460" w:rsidP="00565EB7" w14:paraId="33EBB816" w14:textId="77777777">
      <w:pPr>
        <w:pStyle w:val="Heading6"/>
      </w:pPr>
      <w:r w:rsidRPr="00421116">
        <w:rPr>
          <w:rStyle w:val="Heading5Char"/>
          <w:b/>
          <w:bCs/>
        </w:rPr>
        <w:t>Table 2. Hourly Labor Wage Data</w:t>
      </w:r>
      <w:r>
        <w:rPr>
          <w:rStyle w:val="FootnoteReference"/>
          <w:vertAlign w:val="superscript"/>
        </w:rPr>
        <w:footnoteReference w:id="8"/>
      </w:r>
    </w:p>
    <w:tbl>
      <w:tblPr>
        <w:tblW w:w="7740" w:type="dxa"/>
        <w:tblInd w:w="715" w:type="dxa"/>
        <w:tblLook w:val="04A0"/>
      </w:tblPr>
      <w:tblGrid>
        <w:gridCol w:w="1710"/>
        <w:gridCol w:w="2610"/>
        <w:gridCol w:w="990"/>
        <w:gridCol w:w="1260"/>
        <w:gridCol w:w="1170"/>
      </w:tblGrid>
      <w:tr w14:paraId="45F413EA" w14:textId="77777777" w:rsidTr="00E3134D">
        <w:tblPrEx>
          <w:tblW w:w="7740" w:type="dxa"/>
          <w:tblInd w:w="715" w:type="dxa"/>
          <w:tblLook w:val="04A0"/>
        </w:tblPrEx>
        <w:trPr>
          <w:trHeight w:val="615"/>
        </w:trPr>
        <w:tc>
          <w:tcPr>
            <w:tcW w:w="1710" w:type="dxa"/>
            <w:vMerge w:val="restart"/>
            <w:tcBorders>
              <w:top w:val="single" w:sz="4" w:space="0" w:color="000000"/>
              <w:left w:val="single" w:sz="4" w:space="0" w:color="000000"/>
              <w:right w:val="nil"/>
            </w:tcBorders>
            <w:shd w:val="clear" w:color="auto" w:fill="F2F2F2" w:themeFill="background1" w:themeFillShade="F2"/>
            <w:noWrap/>
            <w:vAlign w:val="center"/>
            <w:hideMark/>
          </w:tcPr>
          <w:p w:rsidR="00565EB7" w:rsidRPr="00565EB7" w:rsidP="00565EB7" w14:paraId="7501E0D5" w14:textId="77777777">
            <w:pPr>
              <w:pStyle w:val="Tables"/>
            </w:pPr>
            <w:r w:rsidRPr="00565EB7">
              <w:t>Personnel</w:t>
            </w:r>
          </w:p>
        </w:tc>
        <w:tc>
          <w:tcPr>
            <w:tcW w:w="2610" w:type="dxa"/>
            <w:vMerge w:val="restart"/>
            <w:tcBorders>
              <w:top w:val="single" w:sz="4" w:space="0" w:color="auto"/>
              <w:left w:val="single" w:sz="4" w:space="0" w:color="auto"/>
              <w:right w:val="single" w:sz="4" w:space="0" w:color="auto"/>
            </w:tcBorders>
            <w:shd w:val="clear" w:color="auto" w:fill="F2F2F2" w:themeFill="background1" w:themeFillShade="F2"/>
            <w:noWrap/>
            <w:vAlign w:val="center"/>
            <w:hideMark/>
          </w:tcPr>
          <w:p w:rsidR="00565EB7" w:rsidRPr="00565EB7" w:rsidP="00565EB7" w14:paraId="641B3819" w14:textId="77777777">
            <w:pPr>
              <w:pStyle w:val="Tables"/>
            </w:pPr>
            <w:r w:rsidRPr="00565EB7">
              <w:t>BLS Labor Title</w:t>
            </w:r>
          </w:p>
        </w:tc>
        <w:tc>
          <w:tcPr>
            <w:tcW w:w="990" w:type="dxa"/>
            <w:vMerge w:val="restart"/>
            <w:tcBorders>
              <w:top w:val="single" w:sz="4" w:space="0" w:color="000000"/>
              <w:left w:val="nil"/>
              <w:right w:val="single" w:sz="4" w:space="0" w:color="000000"/>
            </w:tcBorders>
            <w:shd w:val="clear" w:color="auto" w:fill="F2F2F2" w:themeFill="background1" w:themeFillShade="F2"/>
            <w:noWrap/>
            <w:vAlign w:val="center"/>
            <w:hideMark/>
          </w:tcPr>
          <w:p w:rsidR="00565EB7" w:rsidRPr="00565EB7" w:rsidP="00565EB7" w14:paraId="03440681" w14:textId="77777777">
            <w:pPr>
              <w:pStyle w:val="Tables"/>
            </w:pPr>
            <w:r w:rsidRPr="00565EB7">
              <w:t>BLS Labor Code</w:t>
            </w:r>
          </w:p>
        </w:tc>
        <w:tc>
          <w:tcPr>
            <w:tcW w:w="1260" w:type="dxa"/>
            <w:tcBorders>
              <w:top w:val="single" w:sz="4" w:space="0" w:color="000000"/>
              <w:left w:val="nil"/>
              <w:right w:val="nil"/>
            </w:tcBorders>
            <w:shd w:val="clear" w:color="auto" w:fill="F2F2F2" w:themeFill="background1" w:themeFillShade="F2"/>
            <w:vAlign w:val="center"/>
            <w:hideMark/>
          </w:tcPr>
          <w:p w:rsidR="00565EB7" w:rsidRPr="00565EB7" w:rsidP="00565EB7" w14:paraId="63BA3A29" w14:textId="77777777">
            <w:pPr>
              <w:pStyle w:val="Tables"/>
            </w:pPr>
          </w:p>
          <w:p w:rsidR="00565EB7" w:rsidRPr="00565EB7" w:rsidP="00565EB7" w14:paraId="7A5612AE" w14:textId="77777777">
            <w:pPr>
              <w:pStyle w:val="Tables"/>
            </w:pPr>
            <w:r w:rsidRPr="00565EB7">
              <w:t>May 2024 Hourly Mean Wage</w:t>
            </w:r>
          </w:p>
          <w:p w:rsidR="00565EB7" w:rsidRPr="00565EB7" w:rsidP="00565EB7" w14:paraId="5317A19C" w14:textId="77777777">
            <w:pPr>
              <w:pStyle w:val="Tables"/>
            </w:pPr>
          </w:p>
          <w:p w:rsidR="00565EB7" w:rsidRPr="00565EB7" w:rsidP="00565EB7" w14:paraId="4C9FB603" w14:textId="77777777">
            <w:pPr>
              <w:pStyle w:val="Tables"/>
            </w:pPr>
          </w:p>
        </w:tc>
        <w:tc>
          <w:tcPr>
            <w:tcW w:w="1170" w:type="dxa"/>
            <w:tcBorders>
              <w:top w:val="single" w:sz="4" w:space="0" w:color="auto"/>
              <w:left w:val="single" w:sz="4" w:space="0" w:color="auto"/>
              <w:right w:val="single" w:sz="4" w:space="0" w:color="auto"/>
            </w:tcBorders>
            <w:shd w:val="clear" w:color="auto" w:fill="F2F2F2" w:themeFill="background1" w:themeFillShade="F2"/>
            <w:vAlign w:val="center"/>
            <w:hideMark/>
          </w:tcPr>
          <w:p w:rsidR="00565EB7" w:rsidRPr="00565EB7" w:rsidP="00565EB7" w14:paraId="261670DA" w14:textId="77777777">
            <w:pPr>
              <w:pStyle w:val="Tables"/>
            </w:pPr>
            <w:r w:rsidRPr="00565EB7">
              <w:t>Wages w/Benefit</w:t>
            </w:r>
          </w:p>
        </w:tc>
      </w:tr>
      <w:tr w14:paraId="239FA1BA" w14:textId="77777777" w:rsidTr="00E3134D">
        <w:tblPrEx>
          <w:tblW w:w="7740" w:type="dxa"/>
          <w:tblInd w:w="715" w:type="dxa"/>
          <w:tblLook w:val="04A0"/>
        </w:tblPrEx>
        <w:trPr>
          <w:trHeight w:val="68"/>
        </w:trPr>
        <w:tc>
          <w:tcPr>
            <w:tcW w:w="1710" w:type="dxa"/>
            <w:vMerge/>
            <w:tcBorders>
              <w:left w:val="single" w:sz="4" w:space="0" w:color="000000"/>
              <w:bottom w:val="single" w:sz="4" w:space="0" w:color="auto"/>
              <w:right w:val="nil"/>
            </w:tcBorders>
            <w:shd w:val="clear" w:color="auto" w:fill="F2F2F2" w:themeFill="background1" w:themeFillShade="F2"/>
            <w:noWrap/>
            <w:vAlign w:val="center"/>
          </w:tcPr>
          <w:p w:rsidR="00565EB7" w:rsidRPr="00565EB7" w:rsidP="00565EB7" w14:paraId="3FACE51B" w14:textId="77777777">
            <w:pPr>
              <w:pStyle w:val="Tables"/>
            </w:pPr>
          </w:p>
        </w:tc>
        <w:tc>
          <w:tcPr>
            <w:tcW w:w="2610" w:type="dxa"/>
            <w:vMerge/>
            <w:tcBorders>
              <w:left w:val="single" w:sz="4" w:space="0" w:color="auto"/>
              <w:bottom w:val="single" w:sz="4" w:space="0" w:color="auto"/>
              <w:right w:val="single" w:sz="4" w:space="0" w:color="auto"/>
            </w:tcBorders>
            <w:shd w:val="clear" w:color="auto" w:fill="F2F2F2" w:themeFill="background1" w:themeFillShade="F2"/>
            <w:noWrap/>
            <w:vAlign w:val="center"/>
          </w:tcPr>
          <w:p w:rsidR="00565EB7" w:rsidRPr="00565EB7" w:rsidP="00565EB7" w14:paraId="66DE0244" w14:textId="77777777">
            <w:pPr>
              <w:pStyle w:val="Tables"/>
            </w:pPr>
          </w:p>
        </w:tc>
        <w:tc>
          <w:tcPr>
            <w:tcW w:w="990" w:type="dxa"/>
            <w:vMerge/>
            <w:tcBorders>
              <w:left w:val="nil"/>
              <w:bottom w:val="single" w:sz="4" w:space="0" w:color="000000"/>
              <w:right w:val="single" w:sz="4" w:space="0" w:color="000000"/>
            </w:tcBorders>
            <w:shd w:val="clear" w:color="auto" w:fill="F2F2F2" w:themeFill="background1" w:themeFillShade="F2"/>
            <w:noWrap/>
            <w:vAlign w:val="center"/>
          </w:tcPr>
          <w:p w:rsidR="00565EB7" w:rsidRPr="00565EB7" w:rsidP="00565EB7" w14:paraId="6E09D327" w14:textId="77777777">
            <w:pPr>
              <w:pStyle w:val="Tables"/>
            </w:pPr>
          </w:p>
        </w:tc>
        <w:tc>
          <w:tcPr>
            <w:tcW w:w="1260" w:type="dxa"/>
            <w:tcBorders>
              <w:top w:val="nil"/>
              <w:left w:val="nil"/>
              <w:bottom w:val="single" w:sz="4" w:space="0" w:color="000000"/>
              <w:right w:val="nil"/>
            </w:tcBorders>
            <w:shd w:val="clear" w:color="auto" w:fill="F2F2F2" w:themeFill="background1" w:themeFillShade="F2"/>
            <w:noWrap/>
            <w:vAlign w:val="center"/>
          </w:tcPr>
          <w:p w:rsidR="00565EB7" w:rsidRPr="00565EB7" w:rsidP="00565EB7" w14:paraId="09F660F4" w14:textId="77777777">
            <w:pPr>
              <w:pStyle w:val="Tables"/>
            </w:pPr>
            <w:r w:rsidRPr="00565EB7">
              <w:t xml:space="preserve">(a) </w:t>
            </w:r>
          </w:p>
        </w:tc>
        <w:tc>
          <w:tcPr>
            <w:tcW w:w="1170" w:type="dxa"/>
            <w:tcBorders>
              <w:top w:val="nil"/>
              <w:left w:val="single" w:sz="4" w:space="0" w:color="auto"/>
              <w:bottom w:val="single" w:sz="4" w:space="0" w:color="auto"/>
              <w:right w:val="single" w:sz="4" w:space="0" w:color="auto"/>
            </w:tcBorders>
            <w:shd w:val="clear" w:color="auto" w:fill="F2F2F2" w:themeFill="background1" w:themeFillShade="F2"/>
            <w:noWrap/>
            <w:vAlign w:val="center"/>
          </w:tcPr>
          <w:p w:rsidR="00565EB7" w:rsidRPr="00565EB7" w:rsidP="00565EB7" w14:paraId="4BF225C4" w14:textId="77777777">
            <w:pPr>
              <w:pStyle w:val="Tables"/>
            </w:pPr>
            <w:r w:rsidRPr="00565EB7">
              <w:t>(b = a x 2)</w:t>
            </w:r>
          </w:p>
        </w:tc>
      </w:tr>
      <w:tr w14:paraId="0C91C312" w14:textId="77777777" w:rsidTr="00E3134D">
        <w:tblPrEx>
          <w:tblW w:w="7740" w:type="dxa"/>
          <w:tblInd w:w="715" w:type="dxa"/>
          <w:tblLook w:val="04A0"/>
        </w:tblPrEx>
        <w:trPr>
          <w:trHeight w:val="902"/>
        </w:trPr>
        <w:tc>
          <w:tcPr>
            <w:tcW w:w="1710" w:type="dxa"/>
            <w:tcBorders>
              <w:top w:val="nil"/>
              <w:left w:val="single" w:sz="4" w:space="0" w:color="auto"/>
              <w:bottom w:val="single" w:sz="4" w:space="0" w:color="auto"/>
              <w:right w:val="nil"/>
            </w:tcBorders>
            <w:noWrap/>
            <w:vAlign w:val="center"/>
            <w:hideMark/>
          </w:tcPr>
          <w:p w:rsidR="00565EB7" w:rsidRPr="0006448A" w:rsidP="0006448A" w14:paraId="3E0C2806" w14:textId="77777777">
            <w:pPr>
              <w:pStyle w:val="Tables"/>
              <w:jc w:val="left"/>
              <w:rPr>
                <w:b w:val="0"/>
                <w:bCs w:val="0"/>
              </w:rPr>
            </w:pPr>
            <w:r w:rsidRPr="0006448A">
              <w:rPr>
                <w:b w:val="0"/>
                <w:bCs w:val="0"/>
              </w:rPr>
              <w:t>Office Assistant</w:t>
            </w:r>
          </w:p>
        </w:tc>
        <w:tc>
          <w:tcPr>
            <w:tcW w:w="2610" w:type="dxa"/>
            <w:tcBorders>
              <w:top w:val="single" w:sz="4" w:space="0" w:color="auto"/>
              <w:left w:val="single" w:sz="4" w:space="0" w:color="auto"/>
              <w:bottom w:val="single" w:sz="4" w:space="0" w:color="auto"/>
              <w:right w:val="single" w:sz="4" w:space="0" w:color="auto"/>
            </w:tcBorders>
            <w:noWrap/>
            <w:vAlign w:val="center"/>
            <w:hideMark/>
          </w:tcPr>
          <w:p w:rsidR="00565EB7" w:rsidRPr="0006448A" w:rsidP="0006448A" w14:paraId="736844A5" w14:textId="77777777">
            <w:pPr>
              <w:pStyle w:val="Tables"/>
              <w:jc w:val="left"/>
              <w:rPr>
                <w:b w:val="0"/>
                <w:bCs w:val="0"/>
              </w:rPr>
            </w:pPr>
            <w:r w:rsidRPr="0006448A">
              <w:rPr>
                <w:b w:val="0"/>
                <w:bCs w:val="0"/>
              </w:rPr>
              <w:t>Medical Secretaries and Administrative Assistants</w:t>
            </w:r>
          </w:p>
        </w:tc>
        <w:tc>
          <w:tcPr>
            <w:tcW w:w="990" w:type="dxa"/>
            <w:tcBorders>
              <w:top w:val="nil"/>
              <w:left w:val="nil"/>
              <w:bottom w:val="single" w:sz="4" w:space="0" w:color="000000"/>
              <w:right w:val="single" w:sz="4" w:space="0" w:color="000000"/>
            </w:tcBorders>
            <w:noWrap/>
            <w:vAlign w:val="center"/>
            <w:hideMark/>
          </w:tcPr>
          <w:p w:rsidR="00565EB7" w:rsidRPr="00565EB7" w:rsidP="00565EB7" w14:paraId="021E5F50" w14:textId="77777777">
            <w:pPr>
              <w:pStyle w:val="Tables"/>
            </w:pPr>
            <w:r w:rsidRPr="00565EB7">
              <w:t>43-6013</w:t>
            </w:r>
          </w:p>
        </w:tc>
        <w:tc>
          <w:tcPr>
            <w:tcW w:w="1260" w:type="dxa"/>
            <w:tcBorders>
              <w:top w:val="nil"/>
              <w:left w:val="nil"/>
              <w:bottom w:val="single" w:sz="4" w:space="0" w:color="000000"/>
              <w:right w:val="nil"/>
            </w:tcBorders>
            <w:noWrap/>
            <w:vAlign w:val="center"/>
            <w:hideMark/>
          </w:tcPr>
          <w:p w:rsidR="00565EB7" w:rsidRPr="00565EB7" w:rsidP="00565EB7" w14:paraId="623B2CCB" w14:textId="77777777">
            <w:pPr>
              <w:pStyle w:val="Tables"/>
            </w:pPr>
            <w:r w:rsidRPr="00565EB7">
              <w:t xml:space="preserve">$21.91 </w:t>
            </w:r>
          </w:p>
        </w:tc>
        <w:tc>
          <w:tcPr>
            <w:tcW w:w="1170" w:type="dxa"/>
            <w:tcBorders>
              <w:top w:val="nil"/>
              <w:left w:val="single" w:sz="4" w:space="0" w:color="auto"/>
              <w:bottom w:val="single" w:sz="4" w:space="0" w:color="auto"/>
              <w:right w:val="single" w:sz="4" w:space="0" w:color="auto"/>
            </w:tcBorders>
            <w:noWrap/>
            <w:vAlign w:val="center"/>
            <w:hideMark/>
          </w:tcPr>
          <w:p w:rsidR="00565EB7" w:rsidRPr="00565EB7" w:rsidP="00565EB7" w14:paraId="13325273" w14:textId="77777777">
            <w:pPr>
              <w:pStyle w:val="Tables"/>
            </w:pPr>
            <w:r w:rsidRPr="00565EB7">
              <w:t>$44</w:t>
            </w:r>
          </w:p>
        </w:tc>
      </w:tr>
    </w:tbl>
    <w:p w:rsidR="00186BAA" w:rsidP="00565EB7" w14:paraId="219110F6" w14:textId="77777777">
      <w:pPr>
        <w:pStyle w:val="Text2"/>
      </w:pPr>
    </w:p>
    <w:p w:rsidR="00565EB7" w:rsidP="00F05BC1" w14:paraId="756F5F6C" w14:textId="3C666314">
      <w:pPr>
        <w:pStyle w:val="Text3-addnext"/>
      </w:pPr>
      <w:r>
        <w:t>T</w:t>
      </w:r>
      <w:r w:rsidRPr="00565EB7">
        <w:t>o develop the estimates, CMS first identified typical positions employed within X-ray suppliers and then matched those positions with their equivalent labor titles as listed in the OEWS. For example, we assume an office assistant in a supplier’s main office who is responsible for organizing the records for services in different locations is staffed by a Medical Secretary/Administrative Assistant, which corresponds to the BLS Labor Code 43-6013 in OEWS. CMS then identified the hourly mean salary wage for each applicable labor category and applied a 100 percent markup to account for fringe and overhead costs. The resulting wage rates were rounded up to the nearest whole dollar.</w:t>
      </w:r>
    </w:p>
    <w:p w:rsidR="00186BAA" w:rsidP="00F05BC1" w14:paraId="2B4F844D" w14:textId="77777777">
      <w:pPr>
        <w:pStyle w:val="Heading3"/>
      </w:pPr>
    </w:p>
    <w:p w:rsidR="005B2185" w:rsidRPr="005B41D2" w:rsidP="00F05BC1" w14:paraId="1F707C45" w14:textId="77777777">
      <w:pPr>
        <w:pStyle w:val="Heading3"/>
      </w:pPr>
      <w:r w:rsidRPr="005B41D2">
        <w:t>Part 12-B: Burden Estimates</w:t>
      </w:r>
    </w:p>
    <w:p w:rsidR="00AE44F1" w:rsidP="003D2C98" w14:paraId="2F272786" w14:textId="4CACAAF2">
      <w:pPr>
        <w:pStyle w:val="Text3-addnext"/>
      </w:pPr>
      <w:r>
        <w:t xml:space="preserve">This section discusses the burden estimates for the ICs embedded into the CfCs for </w:t>
      </w:r>
      <w:r w:rsidR="00201D86">
        <w:t>portable</w:t>
      </w:r>
      <w:r w:rsidR="00BE6497">
        <w:t xml:space="preserve"> X-</w:t>
      </w:r>
      <w:r w:rsidR="00510F3E">
        <w:t>r</w:t>
      </w:r>
      <w:r w:rsidR="00BE6497">
        <w:t xml:space="preserve">ay </w:t>
      </w:r>
      <w:r w:rsidR="00A92886">
        <w:t>suppliers</w:t>
      </w:r>
      <w:r>
        <w:t xml:space="preserve"> as codified in Title 42 CFR §§486.</w:t>
      </w:r>
      <w:r w:rsidR="00BE6497">
        <w:t>100</w:t>
      </w:r>
      <w:r>
        <w:t xml:space="preserve"> to 486.</w:t>
      </w:r>
      <w:r w:rsidR="00BE6497">
        <w:t>110</w:t>
      </w:r>
      <w:r w:rsidR="008B7469">
        <w:t xml:space="preserve">. </w:t>
      </w:r>
      <w:r w:rsidR="00312298">
        <w:t xml:space="preserve"> </w:t>
      </w:r>
    </w:p>
    <w:p w:rsidR="00312298" w:rsidRPr="00172EC1" w:rsidP="003D2C98" w14:paraId="468FEC01" w14:textId="77777777">
      <w:pPr>
        <w:pStyle w:val="Text3-addnext"/>
      </w:pPr>
    </w:p>
    <w:p w:rsidR="00743FB1" w:rsidRPr="00172EC1" w:rsidP="003D2C98" w14:paraId="2D40AC7E" w14:textId="77B75E6A">
      <w:pPr>
        <w:pStyle w:val="Text3-addnext"/>
      </w:pPr>
      <w:r>
        <w:t xml:space="preserve">As we noted in prior </w:t>
      </w:r>
      <w:r w:rsidR="009E2A32">
        <w:t xml:space="preserve">information collection </w:t>
      </w:r>
      <w:r>
        <w:t xml:space="preserve">requests for </w:t>
      </w:r>
      <w:r w:rsidR="00201D86">
        <w:t>portable</w:t>
      </w:r>
      <w:r w:rsidR="009E2A32">
        <w:t xml:space="preserve"> </w:t>
      </w:r>
      <w:r>
        <w:t xml:space="preserve">X-ray suppliers, the </w:t>
      </w:r>
      <w:r w:rsidRPr="00172EC1" w:rsidR="002F0A44">
        <w:t>majority of the activities required by the</w:t>
      </w:r>
      <w:r w:rsidRPr="00172EC1" w:rsidR="00AE44F1">
        <w:t xml:space="preserve"> CfC</w:t>
      </w:r>
      <w:r w:rsidRPr="00172EC1" w:rsidR="002F0A44">
        <w:t>s, such as inspecting equipment and keeping employee records,</w:t>
      </w:r>
      <w:r w:rsidRPr="00172EC1" w:rsidR="00AE44F1">
        <w:t xml:space="preserve"> </w:t>
      </w:r>
      <w:r w:rsidRPr="00172EC1" w:rsidR="002F0A44">
        <w:t xml:space="preserve">should be considered part of normal operations of any medical supplier. </w:t>
      </w:r>
      <w:r>
        <w:t>However</w:t>
      </w:r>
      <w:r w:rsidR="00BB502D">
        <w:t>, because these s</w:t>
      </w:r>
      <w:r w:rsidRPr="00172EC1" w:rsidR="002F0A44">
        <w:t xml:space="preserve">uppliers </w:t>
      </w:r>
      <w:r w:rsidR="00BB502D">
        <w:t xml:space="preserve">must </w:t>
      </w:r>
      <w:r w:rsidR="0097341D">
        <w:t xml:space="preserve">comply with </w:t>
      </w:r>
      <w:r w:rsidRPr="00172EC1" w:rsidR="002F0A44">
        <w:t xml:space="preserve">specific requirements </w:t>
      </w:r>
      <w:r w:rsidR="0097341D">
        <w:t xml:space="preserve">under the CfCs </w:t>
      </w:r>
      <w:r w:rsidRPr="00172EC1" w:rsidR="002F0A44">
        <w:t xml:space="preserve">to be certified by CMS </w:t>
      </w:r>
      <w:r w:rsidR="0097341D">
        <w:t>as well as</w:t>
      </w:r>
      <w:r w:rsidR="00BB502D">
        <w:t xml:space="preserve"> undergo ongoing compliance reviews, we include below estimates for the </w:t>
      </w:r>
      <w:r w:rsidRPr="009E2A32" w:rsidR="00BB502D">
        <w:rPr>
          <w:i/>
          <w:iCs/>
          <w:u w:val="single"/>
        </w:rPr>
        <w:t xml:space="preserve">incremental </w:t>
      </w:r>
      <w:r w:rsidR="00201D86">
        <w:rPr>
          <w:i/>
          <w:iCs/>
          <w:u w:val="single"/>
        </w:rPr>
        <w:t xml:space="preserve">annual </w:t>
      </w:r>
      <w:r w:rsidRPr="009E2A32" w:rsidR="00BB502D">
        <w:rPr>
          <w:i/>
          <w:iCs/>
          <w:u w:val="single"/>
        </w:rPr>
        <w:t>burden</w:t>
      </w:r>
      <w:r w:rsidRPr="00172EC1" w:rsidR="00BB502D">
        <w:t xml:space="preserve"> </w:t>
      </w:r>
      <w:r w:rsidR="00BB502D">
        <w:t xml:space="preserve">for </w:t>
      </w:r>
      <w:r w:rsidR="009E2A32">
        <w:t xml:space="preserve">the </w:t>
      </w:r>
      <w:r w:rsidR="0097341D">
        <w:t xml:space="preserve">ICs </w:t>
      </w:r>
      <w:r w:rsidR="009E2A32">
        <w:t>associated with t</w:t>
      </w:r>
      <w:r w:rsidR="00BB502D">
        <w:t xml:space="preserve">he following two </w:t>
      </w:r>
      <w:r w:rsidR="0097341D">
        <w:t>CfCs</w:t>
      </w:r>
      <w:r w:rsidR="00BB502D">
        <w:t xml:space="preserve">: </w:t>
      </w:r>
      <w:r w:rsidRPr="00172EC1" w:rsidR="00BB502D">
        <w:t xml:space="preserve">IC-1: §486.104(c) - CfC: Qualifications, orientation and health of technical personnel; IC-2: §486.110 - CfC: Inspection </w:t>
      </w:r>
      <w:r w:rsidR="00992B3A">
        <w:t>of equipment</w:t>
      </w:r>
      <w:r w:rsidRPr="00172EC1" w:rsidR="00BB502D">
        <w:t xml:space="preserve">. The burdens associated with </w:t>
      </w:r>
      <w:r w:rsidR="00312298">
        <w:t xml:space="preserve">all </w:t>
      </w:r>
      <w:r w:rsidR="00BB502D">
        <w:t xml:space="preserve">other CfCs </w:t>
      </w:r>
      <w:r w:rsidR="00312298">
        <w:t xml:space="preserve">are </w:t>
      </w:r>
      <w:r w:rsidRPr="00172EC1" w:rsidR="00BB502D">
        <w:t>exempt from the PRA</w:t>
      </w:r>
      <w:r w:rsidR="00312298">
        <w:t xml:space="preserve"> as detailed </w:t>
      </w:r>
      <w:r w:rsidR="009E2A32">
        <w:t>in Section 12-C.</w:t>
      </w:r>
    </w:p>
    <w:p w:rsidR="008B7469" w:rsidP="003D2C98" w14:paraId="4FC50993" w14:textId="77777777">
      <w:pPr>
        <w:pStyle w:val="Text3-addnext"/>
      </w:pPr>
    </w:p>
    <w:p w:rsidR="00BE6497" w:rsidP="003D2C98" w14:paraId="199603C5" w14:textId="2023CE11">
      <w:pPr>
        <w:pStyle w:val="Text3-addnext"/>
      </w:pPr>
      <w:r>
        <w:t>F</w:t>
      </w:r>
      <w:r>
        <w:t>or a summary of the total estimated burden and costs to the industry</w:t>
      </w:r>
      <w:r>
        <w:t xml:space="preserve"> for both ICs, see Part 12-</w:t>
      </w:r>
      <w:r w:rsidR="009E2A32">
        <w:t>D</w:t>
      </w:r>
      <w:r>
        <w:t xml:space="preserve"> and Table </w:t>
      </w:r>
      <w:r w:rsidR="000770D1">
        <w:t>5</w:t>
      </w:r>
      <w:r>
        <w:t>.</w:t>
      </w:r>
    </w:p>
    <w:p w:rsidR="00565EB7" w:rsidP="00565EB7" w14:paraId="6098BF7F" w14:textId="77777777">
      <w:pPr>
        <w:pStyle w:val="Text2"/>
      </w:pPr>
    </w:p>
    <w:p w:rsidR="001455CB" w:rsidRPr="00565EB7" w:rsidP="00565EB7" w14:paraId="718605BC" w14:textId="547D2DD9">
      <w:pPr>
        <w:pStyle w:val="Heading4"/>
        <w:jc w:val="center"/>
      </w:pPr>
      <w:r w:rsidRPr="00565EB7">
        <w:t>Conditions for Coverage: Portable X-Ray Services</w:t>
      </w:r>
    </w:p>
    <w:p w:rsidR="009E2A32" w:rsidP="002867CA" w14:paraId="5601EC67" w14:textId="77777777"/>
    <w:p w:rsidR="007D53FD" w:rsidRPr="00421116" w:rsidP="00421116" w14:paraId="170CFA87" w14:textId="18A5343A">
      <w:pPr>
        <w:pStyle w:val="Heading6"/>
        <w:ind w:left="720"/>
        <w:jc w:val="left"/>
        <w:rPr>
          <w:u w:val="single"/>
        </w:rPr>
      </w:pPr>
      <w:r w:rsidRPr="00421116">
        <w:rPr>
          <w:u w:val="single"/>
        </w:rPr>
        <w:t xml:space="preserve">IC-1: </w:t>
      </w:r>
      <w:r w:rsidRPr="00421116" w:rsidR="00C35D72">
        <w:rPr>
          <w:u w:val="single"/>
        </w:rPr>
        <w:t>§</w:t>
      </w:r>
      <w:r w:rsidRPr="00421116" w:rsidR="007B5F8D">
        <w:rPr>
          <w:u w:val="single"/>
        </w:rPr>
        <w:t>486.104</w:t>
      </w:r>
      <w:r w:rsidRPr="00421116" w:rsidR="00B213E3">
        <w:rPr>
          <w:u w:val="single"/>
        </w:rPr>
        <w:t>(c)</w:t>
      </w:r>
      <w:r w:rsidRPr="00421116" w:rsidR="007B5F8D">
        <w:rPr>
          <w:u w:val="single"/>
        </w:rPr>
        <w:t xml:space="preserve"> -  </w:t>
      </w:r>
      <w:r w:rsidRPr="00421116" w:rsidR="00C249C2">
        <w:rPr>
          <w:u w:val="single"/>
        </w:rPr>
        <w:t>Document</w:t>
      </w:r>
      <w:r w:rsidRPr="00421116" w:rsidR="005D0133">
        <w:rPr>
          <w:u w:val="single"/>
        </w:rPr>
        <w:t xml:space="preserve"> Training and Qualifications</w:t>
      </w:r>
      <w:r w:rsidRPr="00421116" w:rsidR="00C249C2">
        <w:rPr>
          <w:u w:val="single"/>
        </w:rPr>
        <w:t xml:space="preserve"> in Employee</w:t>
      </w:r>
      <w:r w:rsidRPr="00421116" w:rsidR="005D0133">
        <w:rPr>
          <w:u w:val="single"/>
        </w:rPr>
        <w:t>s</w:t>
      </w:r>
      <w:r w:rsidRPr="00421116" w:rsidR="00C249C2">
        <w:rPr>
          <w:u w:val="single"/>
        </w:rPr>
        <w:t xml:space="preserve"> Records</w:t>
      </w:r>
    </w:p>
    <w:p w:rsidR="00DA7DAC" w:rsidRPr="00CD34B0" w:rsidP="003D2C98" w14:paraId="14A35C4B" w14:textId="2576406B">
      <w:pPr>
        <w:pStyle w:val="Text3-addnext"/>
      </w:pPr>
      <w:r w:rsidRPr="00CD34B0">
        <w:t xml:space="preserve">Per sections 486.104(a) and (b), </w:t>
      </w:r>
      <w:r w:rsidR="009E2A32">
        <w:t>p</w:t>
      </w:r>
      <w:r w:rsidRPr="00CD34B0" w:rsidR="00B213E3">
        <w:t>ortable X-</w:t>
      </w:r>
      <w:r w:rsidR="009E2A32">
        <w:t>r</w:t>
      </w:r>
      <w:r w:rsidRPr="00CD34B0" w:rsidR="00B213E3">
        <w:t xml:space="preserve">ay services </w:t>
      </w:r>
      <w:r w:rsidRPr="00CD34B0" w:rsidR="00AE3955">
        <w:t>must be</w:t>
      </w:r>
      <w:r w:rsidRPr="00CD34B0" w:rsidR="00B213E3">
        <w:t xml:space="preserve"> provided by </w:t>
      </w:r>
      <w:r w:rsidRPr="00CD34B0" w:rsidR="00AE3955">
        <w:t>staff</w:t>
      </w:r>
      <w:r w:rsidRPr="00CD34B0">
        <w:t xml:space="preserve"> wh</w:t>
      </w:r>
      <w:r w:rsidRPr="00CD34B0" w:rsidR="00C249C2">
        <w:t>o have specific training and experience and completed a detailed orientation</w:t>
      </w:r>
      <w:r w:rsidRPr="00CD34B0">
        <w:t>. Section 486.104(c) requires supplier</w:t>
      </w:r>
      <w:r w:rsidRPr="00CD34B0" w:rsidR="005D0133">
        <w:t>s</w:t>
      </w:r>
      <w:r w:rsidRPr="00CD34B0">
        <w:t xml:space="preserve"> to </w:t>
      </w:r>
      <w:r w:rsidRPr="00CD34B0" w:rsidR="00C249C2">
        <w:t xml:space="preserve">document and maintain evidence of their employees’ </w:t>
      </w:r>
      <w:r w:rsidRPr="00CD34B0" w:rsidR="0094595E">
        <w:t>qualifications</w:t>
      </w:r>
      <w:r w:rsidRPr="00CD34B0" w:rsidR="00C249C2">
        <w:t xml:space="preserve"> (including training and experience) </w:t>
      </w:r>
      <w:r w:rsidRPr="00CD34B0" w:rsidR="005D0133">
        <w:t xml:space="preserve">and </w:t>
      </w:r>
      <w:r w:rsidRPr="00CD34B0">
        <w:t xml:space="preserve">supervision. </w:t>
      </w:r>
    </w:p>
    <w:p w:rsidR="00CD34B0" w:rsidP="003D2C98" w14:paraId="1AE5AA1F" w14:textId="77777777">
      <w:pPr>
        <w:pStyle w:val="Text3-addnext"/>
      </w:pPr>
    </w:p>
    <w:p w:rsidR="00186BAA" w:rsidP="003D2C98" w14:paraId="135B5E9B" w14:textId="7A6F1FF2">
      <w:pPr>
        <w:pStyle w:val="Text3-addnext"/>
      </w:pPr>
      <w:r>
        <w:t>For purposes of estimating the incremental burden for this IC, we</w:t>
      </w:r>
      <w:r w:rsidR="00312298">
        <w:t xml:space="preserve"> </w:t>
      </w:r>
      <w:r>
        <w:t>assume currently certified suppliers have an average of 6 employees</w:t>
      </w:r>
      <w:r w:rsidR="005D0133">
        <w:t xml:space="preserve"> (technical and non-technical staff)</w:t>
      </w:r>
      <w:r>
        <w:t xml:space="preserve"> and that </w:t>
      </w:r>
      <w:r w:rsidR="00374D8D">
        <w:t xml:space="preserve">it would require an additional </w:t>
      </w:r>
      <w:r>
        <w:t>5</w:t>
      </w:r>
      <w:r w:rsidR="00374D8D">
        <w:t xml:space="preserve"> minutes per employee</w:t>
      </w:r>
      <w:r>
        <w:t xml:space="preserve"> per year, or 30 minutes (6 employees x 5 minutes)</w:t>
      </w:r>
      <w:r w:rsidR="00374D8D">
        <w:t xml:space="preserve"> for an Administrative Assistant to collect and ensure</w:t>
      </w:r>
      <w:r w:rsidR="00312298">
        <w:t xml:space="preserve"> </w:t>
      </w:r>
      <w:r w:rsidR="00374D8D">
        <w:t xml:space="preserve">that </w:t>
      </w:r>
      <w:r w:rsidR="005D0133">
        <w:t>every</w:t>
      </w:r>
      <w:r w:rsidR="00374D8D">
        <w:t xml:space="preserve"> employee’s</w:t>
      </w:r>
      <w:r w:rsidR="00312298">
        <w:t xml:space="preserve"> record includes </w:t>
      </w:r>
      <w:r w:rsidR="005D0133">
        <w:t>evidence</w:t>
      </w:r>
      <w:r w:rsidR="00312298">
        <w:t xml:space="preserve"> </w:t>
      </w:r>
      <w:r w:rsidR="005D0133">
        <w:t>of their qualifications and training per §486.104(a) and (b).</w:t>
      </w:r>
      <w:r>
        <w:t xml:space="preserve"> Thus</w:t>
      </w:r>
      <w:r w:rsidR="009E2A32">
        <w:t>, for each supplier,</w:t>
      </w:r>
      <w:r>
        <w:t xml:space="preserve"> the </w:t>
      </w:r>
      <w:r w:rsidRPr="009E2A32" w:rsidR="00C30899">
        <w:t>incremental annual</w:t>
      </w:r>
      <w:r w:rsidRPr="00312298" w:rsidR="00C30899">
        <w:t xml:space="preserve"> burden</w:t>
      </w:r>
      <w:r w:rsidRPr="00312298" w:rsidR="00DA7DAC">
        <w:t xml:space="preserve"> </w:t>
      </w:r>
      <w:r w:rsidR="00DA7DAC">
        <w:t>would require</w:t>
      </w:r>
      <w:r>
        <w:t xml:space="preserve"> a total of</w:t>
      </w:r>
      <w:r w:rsidR="00DA7DAC">
        <w:t xml:space="preserve"> </w:t>
      </w:r>
      <w:r w:rsidRPr="00477BA3" w:rsidR="00496F35">
        <w:t>0</w:t>
      </w:r>
      <w:r w:rsidRPr="00477BA3" w:rsidR="00DA7DAC">
        <w:t>.5 hour</w:t>
      </w:r>
      <w:r w:rsidR="009E2A32">
        <w:t>s</w:t>
      </w:r>
      <w:r w:rsidRPr="00477BA3" w:rsidR="00DA7DAC">
        <w:t xml:space="preserve"> </w:t>
      </w:r>
      <w:r w:rsidR="00DA7DAC">
        <w:t>(30 minutes) for an Administrative Assistant</w:t>
      </w:r>
      <w:r w:rsidR="00201D86">
        <w:t xml:space="preserve"> at an associated cost of $22 (0.5 hr. x $44)</w:t>
      </w:r>
      <w:r w:rsidR="00674072">
        <w:t xml:space="preserve"> </w:t>
      </w:r>
      <w:r w:rsidR="00547CCC">
        <w:t>to maintain the specific information in employees’ records</w:t>
      </w:r>
      <w:r w:rsidR="0094595E">
        <w:t>.</w:t>
      </w:r>
      <w:r w:rsidR="009E2A32">
        <w:t xml:space="preserve"> </w:t>
      </w:r>
      <w:r w:rsidR="00DA7DAC">
        <w:t xml:space="preserve">For all </w:t>
      </w:r>
      <w:r w:rsidRPr="00477BA3" w:rsidR="00DA7DAC">
        <w:t>5</w:t>
      </w:r>
      <w:r w:rsidR="00B213E3">
        <w:t>4</w:t>
      </w:r>
      <w:r w:rsidRPr="00477BA3" w:rsidR="00DA7DAC">
        <w:t>0</w:t>
      </w:r>
      <w:r w:rsidR="00DA7DAC">
        <w:t xml:space="preserve"> </w:t>
      </w:r>
      <w:r w:rsidR="00201D86">
        <w:t>portable</w:t>
      </w:r>
      <w:r w:rsidR="00DA7DAC">
        <w:t xml:space="preserve"> </w:t>
      </w:r>
      <w:r w:rsidR="00510F3E">
        <w:t>X-ray</w:t>
      </w:r>
      <w:r w:rsidRPr="00477BA3" w:rsidR="00DA7DAC">
        <w:t xml:space="preserve"> suppliers</w:t>
      </w:r>
      <w:r w:rsidR="00DA7DAC">
        <w:t xml:space="preserve">, </w:t>
      </w:r>
      <w:r w:rsidRPr="008410FA" w:rsidR="00DA7DAC">
        <w:t xml:space="preserve">the </w:t>
      </w:r>
      <w:r w:rsidRPr="009E2A32" w:rsidR="00C30899">
        <w:rPr>
          <w:u w:val="single"/>
        </w:rPr>
        <w:t>incremental annual burden</w:t>
      </w:r>
      <w:r w:rsidR="00DA7DAC">
        <w:t xml:space="preserve"> is</w:t>
      </w:r>
      <w:r w:rsidRPr="00477BA3" w:rsidR="00DA7DAC">
        <w:t xml:space="preserve"> 2</w:t>
      </w:r>
      <w:r w:rsidR="00D66694">
        <w:t>7</w:t>
      </w:r>
      <w:r w:rsidR="00DA7DAC">
        <w:t>0</w:t>
      </w:r>
      <w:r w:rsidRPr="00477BA3" w:rsidR="00DA7DAC">
        <w:t xml:space="preserve"> hours </w:t>
      </w:r>
      <w:r w:rsidR="00DA7DAC">
        <w:t xml:space="preserve">(0.5 </w:t>
      </w:r>
      <w:r w:rsidR="008108AA">
        <w:t xml:space="preserve">hour </w:t>
      </w:r>
      <w:r w:rsidR="00DA7DAC">
        <w:t>x 540</w:t>
      </w:r>
      <w:r w:rsidR="008108AA">
        <w:t xml:space="preserve"> suppliers</w:t>
      </w:r>
      <w:r w:rsidR="00DA7DAC">
        <w:t>) with</w:t>
      </w:r>
      <w:r>
        <w:t xml:space="preserve"> </w:t>
      </w:r>
      <w:r w:rsidR="00DA7DAC">
        <w:t xml:space="preserve">an </w:t>
      </w:r>
      <w:r w:rsidRPr="00186BAA" w:rsidR="00DA7DAC">
        <w:t>associated cost of $</w:t>
      </w:r>
      <w:r w:rsidRPr="00186BAA" w:rsidR="00D66694">
        <w:t>1</w:t>
      </w:r>
      <w:r w:rsidRPr="00186BAA" w:rsidR="00DA7DAC">
        <w:t>1</w:t>
      </w:r>
      <w:r w:rsidRPr="00186BAA" w:rsidR="00D66694">
        <w:t>,</w:t>
      </w:r>
      <w:r w:rsidRPr="00186BAA" w:rsidR="00DA7DAC">
        <w:t>88</w:t>
      </w:r>
      <w:r w:rsidRPr="00186BAA" w:rsidR="00D66694">
        <w:t>0</w:t>
      </w:r>
      <w:r w:rsidRPr="00186BAA" w:rsidR="00DA7DAC">
        <w:t xml:space="preserve"> (</w:t>
      </w:r>
      <w:r w:rsidRPr="00186BAA" w:rsidR="00547CCC">
        <w:t xml:space="preserve">$22 x 540 suppliers or </w:t>
      </w:r>
      <w:r w:rsidRPr="00186BAA" w:rsidR="00DA7DAC">
        <w:t>270 hours x $44)</w:t>
      </w:r>
      <w:r w:rsidRPr="00186BAA" w:rsidR="00C25D9E">
        <w:t>.</w:t>
      </w:r>
      <w:r w:rsidRPr="00186BAA" w:rsidR="00C42550">
        <w:t xml:space="preserve"> See Table 3.</w:t>
      </w:r>
    </w:p>
    <w:p w:rsidR="00186BAA" w:rsidRPr="00186BAA" w:rsidP="003D2C98" w14:paraId="1667693D" w14:textId="77777777">
      <w:pPr>
        <w:pStyle w:val="Text3-addnext"/>
      </w:pPr>
    </w:p>
    <w:p w:rsidR="008108AA" w:rsidRPr="00C249C2" w:rsidP="00421116" w14:paraId="1AF11A81" w14:textId="0C879FB5">
      <w:pPr>
        <w:pStyle w:val="Heading5"/>
      </w:pPr>
      <w:r>
        <w:t xml:space="preserve">  </w:t>
      </w:r>
      <w:r w:rsidRPr="0088711E">
        <w:t>Table</w:t>
      </w:r>
      <w:r>
        <w:t xml:space="preserve"> 3. IC-1, §</w:t>
      </w:r>
      <w:r w:rsidRPr="0088711E">
        <w:t>486.</w:t>
      </w:r>
      <w:r>
        <w:t xml:space="preserve">104(c) </w:t>
      </w:r>
      <w:r w:rsidR="00C249C2">
        <w:t>-</w:t>
      </w:r>
      <w:r w:rsidR="009C2EAF">
        <w:t xml:space="preserve"> </w:t>
      </w:r>
      <w:r w:rsidRPr="00C249C2" w:rsidR="00C249C2">
        <w:t>Document Qualification</w:t>
      </w:r>
      <w:r w:rsidR="00C249C2">
        <w:t>s</w:t>
      </w:r>
      <w:r w:rsidR="005D0133">
        <w:t xml:space="preserve"> &amp; Training</w:t>
      </w:r>
      <w:r w:rsidRPr="00C249C2" w:rsidR="00C249C2">
        <w:t xml:space="preserve"> in Employee Records</w:t>
      </w:r>
    </w:p>
    <w:tbl>
      <w:tblPr>
        <w:tblW w:w="8410" w:type="dxa"/>
        <w:tblInd w:w="445" w:type="dxa"/>
        <w:tblLook w:val="04A0"/>
      </w:tblPr>
      <w:tblGrid>
        <w:gridCol w:w="4387"/>
        <w:gridCol w:w="1341"/>
        <w:gridCol w:w="1341"/>
        <w:gridCol w:w="1341"/>
      </w:tblGrid>
      <w:tr w14:paraId="48DD3C82" w14:textId="77777777" w:rsidTr="002861CE">
        <w:tblPrEx>
          <w:tblW w:w="8410" w:type="dxa"/>
          <w:tblInd w:w="445" w:type="dxa"/>
          <w:tblLook w:val="04A0"/>
        </w:tblPrEx>
        <w:trPr>
          <w:trHeight w:val="588"/>
        </w:trPr>
        <w:tc>
          <w:tcPr>
            <w:tcW w:w="4387" w:type="dxa"/>
            <w:vMerge w:val="restart"/>
            <w:tcBorders>
              <w:top w:val="single" w:sz="4" w:space="0" w:color="auto"/>
              <w:left w:val="single" w:sz="4" w:space="0" w:color="auto"/>
              <w:right w:val="single" w:sz="4" w:space="0" w:color="auto"/>
            </w:tcBorders>
            <w:shd w:val="clear" w:color="CCCCCC" w:fill="F2F2F2"/>
            <w:vAlign w:val="center"/>
            <w:hideMark/>
          </w:tcPr>
          <w:p w:rsidR="00DA7DAC" w:rsidRPr="00DA7DAC" w:rsidP="00565EB7" w14:paraId="418502BD" w14:textId="27C99453">
            <w:pPr>
              <w:pStyle w:val="Tables"/>
            </w:pPr>
            <w:r w:rsidRPr="00DA7DAC">
              <w:t xml:space="preserve">Burden to </w:t>
            </w:r>
            <w:r w:rsidR="00674072">
              <w:t>Document Qualification</w:t>
            </w:r>
            <w:r w:rsidR="00C249C2">
              <w:t>s</w:t>
            </w:r>
            <w:r w:rsidR="00674072">
              <w:t xml:space="preserve"> </w:t>
            </w:r>
            <w:r w:rsidR="005D0133">
              <w:t xml:space="preserve">and Training </w:t>
            </w:r>
            <w:r w:rsidR="00674072">
              <w:t>in</w:t>
            </w:r>
            <w:r>
              <w:t xml:space="preserve"> Employee Records</w:t>
            </w:r>
          </w:p>
        </w:tc>
        <w:tc>
          <w:tcPr>
            <w:tcW w:w="1341" w:type="dxa"/>
            <w:tcBorders>
              <w:top w:val="single" w:sz="4" w:space="0" w:color="auto"/>
              <w:left w:val="nil"/>
              <w:right w:val="single" w:sz="4" w:space="0" w:color="auto"/>
            </w:tcBorders>
            <w:shd w:val="clear" w:color="CCCCCC" w:fill="F2F2F2"/>
            <w:vAlign w:val="center"/>
            <w:hideMark/>
          </w:tcPr>
          <w:p w:rsidR="00DA7DAC" w:rsidRPr="00DA7DAC" w:rsidP="00565EB7" w14:paraId="26C6EC92" w14:textId="77777777">
            <w:pPr>
              <w:pStyle w:val="Tables"/>
            </w:pPr>
            <w:r w:rsidRPr="00DA7DAC">
              <w:t>Loaded</w:t>
            </w:r>
          </w:p>
          <w:p w:rsidR="00DA7DAC" w:rsidRPr="00DA7DAC" w:rsidP="00565EB7" w14:paraId="386E63B2" w14:textId="77777777">
            <w:pPr>
              <w:pStyle w:val="Tables"/>
            </w:pPr>
            <w:r w:rsidRPr="00DA7DAC">
              <w:t>Hourly Mean</w:t>
            </w:r>
          </w:p>
          <w:p w:rsidR="00DA7DAC" w:rsidRPr="00DA7DAC" w:rsidP="00565EB7" w14:paraId="7DF38884" w14:textId="77777777">
            <w:pPr>
              <w:pStyle w:val="Tables"/>
            </w:pPr>
            <w:r w:rsidRPr="00DA7DAC">
              <w:t>Wage</w:t>
            </w:r>
          </w:p>
        </w:tc>
        <w:tc>
          <w:tcPr>
            <w:tcW w:w="1341" w:type="dxa"/>
            <w:tcBorders>
              <w:top w:val="single" w:sz="4" w:space="0" w:color="auto"/>
              <w:left w:val="nil"/>
              <w:right w:val="single" w:sz="4" w:space="0" w:color="auto"/>
            </w:tcBorders>
            <w:shd w:val="clear" w:color="CCCCCC" w:fill="F2F2F2"/>
            <w:vAlign w:val="center"/>
            <w:hideMark/>
          </w:tcPr>
          <w:p w:rsidR="00312298" w:rsidP="00565EB7" w14:paraId="0FC2347B" w14:textId="6CBCB0DD">
            <w:pPr>
              <w:pStyle w:val="Tables"/>
            </w:pPr>
            <w:r>
              <w:t>Incremental Annual</w:t>
            </w:r>
          </w:p>
          <w:p w:rsidR="00DA7DAC" w:rsidRPr="00DA7DAC" w:rsidP="00565EB7" w14:paraId="02C91C87" w14:textId="431174FF">
            <w:pPr>
              <w:pStyle w:val="Tables"/>
            </w:pPr>
            <w:r w:rsidRPr="00DA7DAC">
              <w:t>Burden</w:t>
            </w:r>
          </w:p>
          <w:p w:rsidR="007D3CCB" w:rsidP="00565EB7" w14:paraId="4D0AF624" w14:textId="77777777">
            <w:pPr>
              <w:pStyle w:val="Tables"/>
            </w:pPr>
            <w:r w:rsidRPr="00DA7DAC">
              <w:t>Hours</w:t>
            </w:r>
          </w:p>
          <w:p w:rsidR="00DA7DAC" w:rsidRPr="00DA7DAC" w:rsidP="00565EB7" w14:paraId="30DED83A" w14:textId="7C4DBAFA">
            <w:pPr>
              <w:pStyle w:val="Tables"/>
            </w:pPr>
            <w:r>
              <w:t>/</w:t>
            </w:r>
            <w:r w:rsidR="00A92886">
              <w:t>s</w:t>
            </w:r>
            <w:r>
              <w:t>upplier</w:t>
            </w:r>
          </w:p>
        </w:tc>
        <w:tc>
          <w:tcPr>
            <w:tcW w:w="1341" w:type="dxa"/>
            <w:tcBorders>
              <w:top w:val="single" w:sz="4" w:space="0" w:color="auto"/>
              <w:left w:val="nil"/>
              <w:right w:val="single" w:sz="4" w:space="0" w:color="auto"/>
            </w:tcBorders>
            <w:shd w:val="clear" w:color="CCCCCC" w:fill="F2F2F2"/>
            <w:vAlign w:val="center"/>
            <w:hideMark/>
          </w:tcPr>
          <w:p w:rsidR="00312298" w:rsidP="00565EB7" w14:paraId="7842081B" w14:textId="30D9B3FD">
            <w:pPr>
              <w:pStyle w:val="Tables"/>
            </w:pPr>
            <w:r>
              <w:t>Incremental Annual</w:t>
            </w:r>
          </w:p>
          <w:p w:rsidR="00DA7DAC" w:rsidRPr="00DA7DAC" w:rsidP="00565EB7" w14:paraId="7019F50C" w14:textId="4298BAC6">
            <w:pPr>
              <w:pStyle w:val="Tables"/>
            </w:pPr>
            <w:r w:rsidRPr="00DA7DAC">
              <w:t>Burden</w:t>
            </w:r>
          </w:p>
          <w:p w:rsidR="00DA7DAC" w:rsidRPr="00DA7DAC" w:rsidP="00565EB7" w14:paraId="2EDAAE3E" w14:textId="77777777">
            <w:pPr>
              <w:pStyle w:val="Tables"/>
            </w:pPr>
            <w:r w:rsidRPr="00DA7DAC">
              <w:t>Cost/</w:t>
            </w:r>
          </w:p>
          <w:p w:rsidR="00DA7DAC" w:rsidRPr="00DA7DAC" w:rsidP="00565EB7" w14:paraId="165B551F" w14:textId="1996937E">
            <w:pPr>
              <w:pStyle w:val="Tables"/>
            </w:pPr>
            <w:r>
              <w:t>s</w:t>
            </w:r>
            <w:r w:rsidR="008108AA">
              <w:t>upplier</w:t>
            </w:r>
          </w:p>
        </w:tc>
      </w:tr>
      <w:tr w14:paraId="7ACEE083" w14:textId="77777777" w:rsidTr="002861CE">
        <w:tblPrEx>
          <w:tblW w:w="8410" w:type="dxa"/>
          <w:tblInd w:w="445" w:type="dxa"/>
          <w:tblLook w:val="04A0"/>
        </w:tblPrEx>
        <w:trPr>
          <w:trHeight w:val="327"/>
        </w:trPr>
        <w:tc>
          <w:tcPr>
            <w:tcW w:w="4387" w:type="dxa"/>
            <w:vMerge/>
            <w:tcBorders>
              <w:left w:val="single" w:sz="4" w:space="0" w:color="auto"/>
              <w:bottom w:val="single" w:sz="4" w:space="0" w:color="auto"/>
              <w:right w:val="single" w:sz="4" w:space="0" w:color="auto"/>
            </w:tcBorders>
            <w:vAlign w:val="center"/>
          </w:tcPr>
          <w:p w:rsidR="00DA7DAC" w:rsidRPr="00DA7DAC" w:rsidP="00565EB7" w14:paraId="6A67348B" w14:textId="77777777">
            <w:pPr>
              <w:pStyle w:val="Tables"/>
            </w:pPr>
          </w:p>
        </w:tc>
        <w:tc>
          <w:tcPr>
            <w:tcW w:w="1341" w:type="dxa"/>
            <w:tcBorders>
              <w:top w:val="nil"/>
              <w:left w:val="nil"/>
              <w:bottom w:val="single" w:sz="4" w:space="0" w:color="auto"/>
              <w:right w:val="single" w:sz="4" w:space="0" w:color="auto"/>
            </w:tcBorders>
            <w:shd w:val="clear" w:color="auto" w:fill="F2F2F2" w:themeFill="background1" w:themeFillShade="F2"/>
            <w:vAlign w:val="center"/>
          </w:tcPr>
          <w:p w:rsidR="00DA7DAC" w:rsidRPr="002861CE" w:rsidP="00565EB7" w14:paraId="1457B93A" w14:textId="77777777">
            <w:pPr>
              <w:pStyle w:val="Tables"/>
              <w:rPr>
                <w:b w:val="0"/>
                <w:bCs w:val="0"/>
                <w:i/>
                <w:iCs/>
                <w:color w:val="000000"/>
              </w:rPr>
            </w:pPr>
            <w:r w:rsidRPr="002861CE">
              <w:rPr>
                <w:b w:val="0"/>
                <w:bCs w:val="0"/>
                <w:i/>
                <w:iCs/>
              </w:rPr>
              <w:t>(a)</w:t>
            </w:r>
          </w:p>
        </w:tc>
        <w:tc>
          <w:tcPr>
            <w:tcW w:w="1341" w:type="dxa"/>
            <w:tcBorders>
              <w:top w:val="nil"/>
              <w:left w:val="nil"/>
              <w:bottom w:val="single" w:sz="4" w:space="0" w:color="auto"/>
              <w:right w:val="single" w:sz="4" w:space="0" w:color="auto"/>
            </w:tcBorders>
            <w:shd w:val="clear" w:color="auto" w:fill="F2F2F2" w:themeFill="background1" w:themeFillShade="F2"/>
            <w:vAlign w:val="center"/>
          </w:tcPr>
          <w:p w:rsidR="00DA7DAC" w:rsidRPr="002861CE" w:rsidP="00565EB7" w14:paraId="04699BCC" w14:textId="77777777">
            <w:pPr>
              <w:pStyle w:val="Tables"/>
              <w:rPr>
                <w:b w:val="0"/>
                <w:bCs w:val="0"/>
                <w:i/>
                <w:iCs/>
              </w:rPr>
            </w:pPr>
            <w:r w:rsidRPr="002861CE">
              <w:rPr>
                <w:b w:val="0"/>
                <w:bCs w:val="0"/>
                <w:i/>
                <w:iCs/>
              </w:rPr>
              <w:t>(b)</w:t>
            </w:r>
          </w:p>
        </w:tc>
        <w:tc>
          <w:tcPr>
            <w:tcW w:w="1341" w:type="dxa"/>
            <w:tcBorders>
              <w:top w:val="nil"/>
              <w:left w:val="nil"/>
              <w:bottom w:val="single" w:sz="4" w:space="0" w:color="auto"/>
              <w:right w:val="single" w:sz="4" w:space="0" w:color="auto"/>
            </w:tcBorders>
            <w:shd w:val="clear" w:color="auto" w:fill="F2F2F2" w:themeFill="background1" w:themeFillShade="F2"/>
            <w:noWrap/>
            <w:vAlign w:val="center"/>
          </w:tcPr>
          <w:p w:rsidR="00DA7DAC" w:rsidRPr="002861CE" w:rsidP="00565EB7" w14:paraId="628A9DA6" w14:textId="77777777">
            <w:pPr>
              <w:pStyle w:val="Tables"/>
              <w:rPr>
                <w:b w:val="0"/>
                <w:bCs w:val="0"/>
                <w:i/>
                <w:iCs/>
                <w:sz w:val="18"/>
              </w:rPr>
            </w:pPr>
            <w:r w:rsidRPr="002861CE">
              <w:rPr>
                <w:b w:val="0"/>
                <w:bCs w:val="0"/>
                <w:i/>
                <w:iCs/>
              </w:rPr>
              <w:t>(c = a x b)</w:t>
            </w:r>
          </w:p>
        </w:tc>
      </w:tr>
      <w:tr w14:paraId="3FB147E1" w14:textId="77777777" w:rsidTr="002861CE">
        <w:tblPrEx>
          <w:tblW w:w="8410" w:type="dxa"/>
          <w:tblInd w:w="445" w:type="dxa"/>
          <w:tblLook w:val="04A0"/>
        </w:tblPrEx>
        <w:trPr>
          <w:trHeight w:val="803"/>
        </w:trPr>
        <w:tc>
          <w:tcPr>
            <w:tcW w:w="4387" w:type="dxa"/>
            <w:tcBorders>
              <w:top w:val="nil"/>
              <w:left w:val="single" w:sz="4" w:space="0" w:color="auto"/>
              <w:bottom w:val="single" w:sz="4" w:space="0" w:color="auto"/>
              <w:right w:val="single" w:sz="4" w:space="0" w:color="auto"/>
            </w:tcBorders>
            <w:vAlign w:val="center"/>
          </w:tcPr>
          <w:p w:rsidR="00DA7DAC" w:rsidRPr="00565EB7" w:rsidP="00565EB7" w14:paraId="6D88016A" w14:textId="58EC90EB">
            <w:pPr>
              <w:pStyle w:val="Tables"/>
              <w:jc w:val="left"/>
              <w:rPr>
                <w:b w:val="0"/>
                <w:bCs w:val="0"/>
                <w:color w:val="000000"/>
              </w:rPr>
            </w:pPr>
            <w:r w:rsidRPr="00565EB7">
              <w:rPr>
                <w:b w:val="0"/>
                <w:bCs w:val="0"/>
              </w:rPr>
              <w:t>Administrative Assistant (BLS Occ Code: 43-6013)</w:t>
            </w:r>
          </w:p>
        </w:tc>
        <w:tc>
          <w:tcPr>
            <w:tcW w:w="1341" w:type="dxa"/>
            <w:tcBorders>
              <w:top w:val="nil"/>
              <w:left w:val="nil"/>
              <w:bottom w:val="single" w:sz="4" w:space="0" w:color="auto"/>
              <w:right w:val="single" w:sz="4" w:space="0" w:color="auto"/>
            </w:tcBorders>
            <w:vAlign w:val="center"/>
          </w:tcPr>
          <w:p w:rsidR="00DA7DAC" w:rsidRPr="00DA7DAC" w:rsidP="00565EB7" w14:paraId="15AB3B38" w14:textId="451383A6">
            <w:pPr>
              <w:pStyle w:val="Tables"/>
            </w:pPr>
            <w:r w:rsidRPr="00DA7DAC">
              <w:t>$</w:t>
            </w:r>
            <w:r>
              <w:t>44</w:t>
            </w:r>
          </w:p>
        </w:tc>
        <w:tc>
          <w:tcPr>
            <w:tcW w:w="1341" w:type="dxa"/>
            <w:tcBorders>
              <w:top w:val="nil"/>
              <w:left w:val="nil"/>
              <w:bottom w:val="single" w:sz="4" w:space="0" w:color="auto"/>
              <w:right w:val="single" w:sz="4" w:space="0" w:color="auto"/>
            </w:tcBorders>
            <w:vAlign w:val="center"/>
          </w:tcPr>
          <w:p w:rsidR="00DA7DAC" w:rsidRPr="00DA7DAC" w:rsidP="00565EB7" w14:paraId="650B829F" w14:textId="26F3DCEE">
            <w:pPr>
              <w:pStyle w:val="Tables"/>
              <w:rPr>
                <w:color w:val="000000"/>
              </w:rPr>
            </w:pPr>
            <w:r>
              <w:t>0</w:t>
            </w:r>
            <w:r w:rsidRPr="00DA7DAC">
              <w:t>.</w:t>
            </w:r>
            <w:r>
              <w:t>5</w:t>
            </w:r>
          </w:p>
        </w:tc>
        <w:tc>
          <w:tcPr>
            <w:tcW w:w="1341" w:type="dxa"/>
            <w:tcBorders>
              <w:top w:val="nil"/>
              <w:left w:val="nil"/>
              <w:bottom w:val="single" w:sz="4" w:space="0" w:color="auto"/>
              <w:right w:val="single" w:sz="4" w:space="0" w:color="auto"/>
            </w:tcBorders>
            <w:noWrap/>
            <w:vAlign w:val="center"/>
          </w:tcPr>
          <w:p w:rsidR="00DA7DAC" w:rsidRPr="00DA7DAC" w:rsidP="00565EB7" w14:paraId="059EFF35" w14:textId="2556811E">
            <w:pPr>
              <w:pStyle w:val="Tables"/>
              <w:rPr>
                <w:color w:val="000000"/>
              </w:rPr>
            </w:pPr>
            <w:r w:rsidRPr="00DA7DAC">
              <w:t>$</w:t>
            </w:r>
            <w:r w:rsidR="008108AA">
              <w:t>22</w:t>
            </w:r>
          </w:p>
        </w:tc>
      </w:tr>
      <w:tr w14:paraId="520F3703" w14:textId="77777777" w:rsidTr="002861CE">
        <w:tblPrEx>
          <w:tblW w:w="8410" w:type="dxa"/>
          <w:tblInd w:w="445" w:type="dxa"/>
          <w:tblLook w:val="04A0"/>
        </w:tblPrEx>
        <w:trPr>
          <w:trHeight w:val="713"/>
        </w:trPr>
        <w:tc>
          <w:tcPr>
            <w:tcW w:w="4387"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hideMark/>
          </w:tcPr>
          <w:p w:rsidR="00DA7DAC" w:rsidRPr="00DA7DAC" w:rsidP="00565EB7" w14:paraId="0F1F625A" w14:textId="37A812A2">
            <w:pPr>
              <w:pStyle w:val="Tables"/>
              <w:jc w:val="left"/>
            </w:pPr>
            <w:r w:rsidRPr="00DA7DAC">
              <w:t xml:space="preserve">Total </w:t>
            </w:r>
            <w:r w:rsidR="00312298">
              <w:t xml:space="preserve">Incremental </w:t>
            </w:r>
            <w:r w:rsidRPr="00DA7DAC">
              <w:t>Burden Hours and Cost for all 5</w:t>
            </w:r>
            <w:r w:rsidR="008108AA">
              <w:t>40</w:t>
            </w:r>
            <w:r w:rsidRPr="00DA7DAC">
              <w:t xml:space="preserve"> </w:t>
            </w:r>
            <w:r w:rsidR="008108AA">
              <w:t xml:space="preserve">Portable X-Ray </w:t>
            </w:r>
            <w:r w:rsidR="00E75041">
              <w:t>s</w:t>
            </w:r>
            <w:r w:rsidR="008108AA">
              <w:t>uppliers</w:t>
            </w:r>
          </w:p>
        </w:tc>
        <w:tc>
          <w:tcPr>
            <w:tcW w:w="1341" w:type="dxa"/>
            <w:tcBorders>
              <w:top w:val="single" w:sz="4" w:space="0" w:color="auto"/>
              <w:left w:val="nil"/>
              <w:bottom w:val="single" w:sz="4" w:space="0" w:color="auto"/>
              <w:right w:val="single" w:sz="4" w:space="0" w:color="auto"/>
            </w:tcBorders>
            <w:shd w:val="clear" w:color="auto" w:fill="F2F2F2" w:themeFill="background1" w:themeFillShade="F2"/>
            <w:vAlign w:val="center"/>
            <w:hideMark/>
          </w:tcPr>
          <w:p w:rsidR="00DA7DAC" w:rsidRPr="00DA7DAC" w:rsidP="00565EB7" w14:paraId="420CC17B" w14:textId="41913ADE">
            <w:pPr>
              <w:pStyle w:val="Tables"/>
            </w:pPr>
          </w:p>
        </w:tc>
        <w:tc>
          <w:tcPr>
            <w:tcW w:w="1341" w:type="dxa"/>
            <w:tcBorders>
              <w:top w:val="single" w:sz="4" w:space="0" w:color="auto"/>
              <w:left w:val="nil"/>
              <w:bottom w:val="single" w:sz="4" w:space="0" w:color="auto"/>
              <w:right w:val="single" w:sz="4" w:space="0" w:color="auto"/>
            </w:tcBorders>
            <w:shd w:val="clear" w:color="auto" w:fill="F2F2F2" w:themeFill="background1" w:themeFillShade="F2"/>
            <w:vAlign w:val="center"/>
            <w:hideMark/>
          </w:tcPr>
          <w:p w:rsidR="00DA7DAC" w:rsidRPr="00DA7DAC" w:rsidP="00565EB7" w14:paraId="7E675AA8" w14:textId="65983584">
            <w:pPr>
              <w:pStyle w:val="Tables"/>
            </w:pPr>
            <w:r w:rsidRPr="00DA7DAC">
              <w:t>2</w:t>
            </w:r>
            <w:r w:rsidR="008108AA">
              <w:t>7</w:t>
            </w:r>
            <w:r w:rsidRPr="00DA7DAC">
              <w:t>0</w:t>
            </w:r>
          </w:p>
        </w:tc>
        <w:tc>
          <w:tcPr>
            <w:tcW w:w="1341" w:type="dxa"/>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rsidR="00DA7DAC" w:rsidRPr="00DA7DAC" w:rsidP="00565EB7" w14:paraId="5E0DCA1A" w14:textId="16D6694F">
            <w:pPr>
              <w:pStyle w:val="Tables"/>
            </w:pPr>
            <w:r w:rsidRPr="00DA7DAC">
              <w:t>$</w:t>
            </w:r>
            <w:r w:rsidR="008108AA">
              <w:t>11</w:t>
            </w:r>
            <w:r w:rsidRPr="00DA7DAC">
              <w:t>,8</w:t>
            </w:r>
            <w:r w:rsidR="008108AA">
              <w:t>8</w:t>
            </w:r>
            <w:r w:rsidRPr="00DA7DAC">
              <w:t>0</w:t>
            </w:r>
          </w:p>
        </w:tc>
      </w:tr>
    </w:tbl>
    <w:p w:rsidR="003D2C98" w:rsidP="003D2C98" w14:paraId="0B7F5940" w14:textId="77777777">
      <w:pPr>
        <w:pStyle w:val="Text3-addnext"/>
        <w:keepNext w:val="0"/>
      </w:pPr>
    </w:p>
    <w:p w:rsidR="003D2C98" w:rsidP="003D2C98" w14:paraId="3687765E" w14:textId="77777777">
      <w:pPr>
        <w:pStyle w:val="Text2"/>
        <w:keepNext w:val="0"/>
      </w:pPr>
    </w:p>
    <w:p w:rsidR="003D2C98" w:rsidP="003D2C98" w14:paraId="50EF0912" w14:textId="77777777">
      <w:pPr>
        <w:pStyle w:val="Text2"/>
        <w:keepNext w:val="0"/>
      </w:pPr>
    </w:p>
    <w:p w:rsidR="002861CE" w:rsidP="003D2C98" w14:paraId="7A8D34C9" w14:textId="77777777">
      <w:pPr>
        <w:pStyle w:val="Text2"/>
        <w:keepNext w:val="0"/>
      </w:pPr>
    </w:p>
    <w:p w:rsidR="003D2C98" w:rsidP="003D2C98" w14:paraId="7D51CB96" w14:textId="77777777">
      <w:pPr>
        <w:pStyle w:val="Text2"/>
        <w:keepNext w:val="0"/>
      </w:pPr>
    </w:p>
    <w:p w:rsidR="007D53FD" w:rsidRPr="00421116" w:rsidP="00421116" w14:paraId="13B938DB" w14:textId="134FC15E">
      <w:pPr>
        <w:pStyle w:val="Heading6"/>
        <w:ind w:left="720"/>
        <w:jc w:val="left"/>
        <w:rPr>
          <w:u w:val="single"/>
        </w:rPr>
      </w:pPr>
      <w:r w:rsidRPr="00421116">
        <w:rPr>
          <w:u w:val="single"/>
        </w:rPr>
        <w:t>IC-2: §</w:t>
      </w:r>
      <w:r w:rsidRPr="00421116" w:rsidR="007B5F8D">
        <w:rPr>
          <w:u w:val="single"/>
        </w:rPr>
        <w:t xml:space="preserve">486.110 - </w:t>
      </w:r>
      <w:r w:rsidRPr="00421116" w:rsidR="008410FA">
        <w:rPr>
          <w:u w:val="single"/>
        </w:rPr>
        <w:t xml:space="preserve">Maintain </w:t>
      </w:r>
      <w:r w:rsidRPr="00421116" w:rsidR="007B5F8D">
        <w:rPr>
          <w:u w:val="single"/>
        </w:rPr>
        <w:t xml:space="preserve">Inspection </w:t>
      </w:r>
      <w:r w:rsidRPr="00421116" w:rsidR="008410FA">
        <w:rPr>
          <w:u w:val="single"/>
        </w:rPr>
        <w:t>Records</w:t>
      </w:r>
    </w:p>
    <w:p w:rsidR="00186BAA" w:rsidP="003D2C98" w14:paraId="7E82A22C" w14:textId="1E76D353">
      <w:pPr>
        <w:pStyle w:val="Text3-addnext"/>
      </w:pPr>
      <w:r w:rsidRPr="00186BAA">
        <w:t>Per Section 486.110(a), each portable X-</w:t>
      </w:r>
      <w:r w:rsidRPr="00186BAA" w:rsidR="009E2A32">
        <w:t>r</w:t>
      </w:r>
      <w:r w:rsidRPr="00186BAA">
        <w:t xml:space="preserve">ay </w:t>
      </w:r>
      <w:r w:rsidRPr="00186BAA" w:rsidR="007B5F8D">
        <w:t xml:space="preserve">supplier </w:t>
      </w:r>
      <w:r w:rsidRPr="00186BAA">
        <w:t>must have their X-</w:t>
      </w:r>
      <w:r w:rsidRPr="00186BAA" w:rsidR="009E2A32">
        <w:t>r</w:t>
      </w:r>
      <w:r w:rsidRPr="00186BAA">
        <w:t xml:space="preserve">ay equipment </w:t>
      </w:r>
      <w:r w:rsidRPr="00186BAA" w:rsidR="00BE1AEE">
        <w:t xml:space="preserve">and shielding </w:t>
      </w:r>
      <w:r w:rsidRPr="00186BAA">
        <w:t>inspected by a radiation specialist employed by a local or state government agency at least every two years. Section 486.110(b) requires supplier</w:t>
      </w:r>
      <w:r w:rsidRPr="00186BAA" w:rsidR="00BE1AEE">
        <w:t>s</w:t>
      </w:r>
      <w:r w:rsidRPr="00186BAA">
        <w:t xml:space="preserve"> </w:t>
      </w:r>
      <w:r w:rsidRPr="00186BAA" w:rsidR="00BE1AEE">
        <w:t xml:space="preserve">to </w:t>
      </w:r>
      <w:r w:rsidRPr="00186BAA" w:rsidR="007B5F8D">
        <w:t xml:space="preserve">maintain </w:t>
      </w:r>
      <w:r w:rsidRPr="00186BAA" w:rsidR="00BE1AEE">
        <w:t>“</w:t>
      </w:r>
      <w:r w:rsidRPr="00186BAA" w:rsidR="007B5F8D">
        <w:t>rec</w:t>
      </w:r>
      <w:r w:rsidRPr="00186BAA" w:rsidR="00C41F1D">
        <w:t>ords of current inspections that</w:t>
      </w:r>
      <w:r w:rsidRPr="00186BAA" w:rsidR="007B5F8D">
        <w:t xml:space="preserve"> include the extent to which equipment and shielding are in compliance with the safety standards outlined in</w:t>
      </w:r>
      <w:r w:rsidRPr="00186BAA" w:rsidR="007E0D59">
        <w:t xml:space="preserve"> §486.108.</w:t>
      </w:r>
      <w:r w:rsidRPr="00186BAA" w:rsidR="00BE1AEE">
        <w:t>”</w:t>
      </w:r>
      <w:r w:rsidRPr="00186BAA" w:rsidR="009E2A32">
        <w:t xml:space="preserve"> </w:t>
      </w:r>
      <w:r w:rsidRPr="00186BAA" w:rsidR="00BE1AEE">
        <w:t>For purposes of estimating the incremental burden for this IC, we assume currently certified suppliers must</w:t>
      </w:r>
      <w:r w:rsidRPr="00186BAA" w:rsidR="00F9310C">
        <w:t xml:space="preserve"> ensure inspections of their equipment and shielding are conducted </w:t>
      </w:r>
      <w:r w:rsidRPr="00186BAA" w:rsidR="00C42550">
        <w:t>at least every two years</w:t>
      </w:r>
      <w:r w:rsidRPr="00186BAA" w:rsidR="00F9310C">
        <w:t xml:space="preserve"> and that they keep detailed records of when the inspections occurred, the results of the inspection, and if required, that any corrective action needed to meet safety standards are taken. We assume </w:t>
      </w:r>
      <w:r w:rsidRPr="00186BAA" w:rsidR="00C42550">
        <w:t>these activities</w:t>
      </w:r>
      <w:r w:rsidRPr="00186BAA" w:rsidR="00F9310C">
        <w:t xml:space="preserve"> would take </w:t>
      </w:r>
      <w:r w:rsidRPr="00186BAA" w:rsidR="00A56769">
        <w:t xml:space="preserve">an additional </w:t>
      </w:r>
      <w:r w:rsidRPr="00186BAA" w:rsidR="007D3CCB">
        <w:t>16</w:t>
      </w:r>
      <w:r w:rsidRPr="00186BAA" w:rsidR="00A56769">
        <w:t xml:space="preserve"> minutes</w:t>
      </w:r>
      <w:r w:rsidRPr="00186BAA" w:rsidR="00F9310C">
        <w:t xml:space="preserve"> every two years for </w:t>
      </w:r>
      <w:r w:rsidRPr="00186BAA" w:rsidR="00BE1AEE">
        <w:t xml:space="preserve">an Administrative Assistant to </w:t>
      </w:r>
      <w:r w:rsidRPr="00186BAA" w:rsidR="00F9310C">
        <w:t xml:space="preserve">document </w:t>
      </w:r>
      <w:r w:rsidRPr="00186BAA" w:rsidR="00F43382">
        <w:t xml:space="preserve">that all </w:t>
      </w:r>
      <w:r w:rsidRPr="00186BAA" w:rsidR="00F9310C">
        <w:t xml:space="preserve">x-ray equipment and shielding </w:t>
      </w:r>
      <w:r w:rsidRPr="00186BAA" w:rsidR="00F43382">
        <w:t>had been</w:t>
      </w:r>
      <w:r w:rsidRPr="00186BAA" w:rsidR="00F9310C">
        <w:t xml:space="preserve"> inspected and met safety standards</w:t>
      </w:r>
      <w:r w:rsidRPr="00186BAA" w:rsidR="00C42550">
        <w:t xml:space="preserve"> as required by this CfC. </w:t>
      </w:r>
      <w:r w:rsidRPr="00186BAA" w:rsidR="00F43382">
        <w:t>Thus,</w:t>
      </w:r>
      <w:r w:rsidRPr="00186BAA" w:rsidR="00C42550">
        <w:t xml:space="preserve"> t</w:t>
      </w:r>
      <w:r w:rsidRPr="00186BAA">
        <w:t xml:space="preserve">he </w:t>
      </w:r>
      <w:r w:rsidRPr="00186BAA" w:rsidR="00C30899">
        <w:t xml:space="preserve">incremental annual </w:t>
      </w:r>
      <w:r w:rsidRPr="00186BAA">
        <w:t xml:space="preserve">burden for each supplier </w:t>
      </w:r>
      <w:r w:rsidRPr="00186BAA" w:rsidR="00C42550">
        <w:t>is 0.</w:t>
      </w:r>
      <w:r w:rsidRPr="00186BAA" w:rsidR="00A56769">
        <w:t>1</w:t>
      </w:r>
      <w:r w:rsidRPr="00186BAA" w:rsidR="007D3CCB">
        <w:t>3</w:t>
      </w:r>
      <w:r w:rsidRPr="00186BAA" w:rsidR="00C42550">
        <w:t xml:space="preserve"> hours (</w:t>
      </w:r>
      <w:r w:rsidRPr="00186BAA" w:rsidR="007D3CCB">
        <w:t>8</w:t>
      </w:r>
      <w:r w:rsidRPr="00186BAA" w:rsidR="00C42550">
        <w:t xml:space="preserve"> minutes over 2 years/2) </w:t>
      </w:r>
      <w:r w:rsidRPr="00186BAA" w:rsidR="00C730A0">
        <w:t>f</w:t>
      </w:r>
      <w:r w:rsidRPr="00186BAA" w:rsidR="00817B03">
        <w:t xml:space="preserve">or an Administrative Assistant </w:t>
      </w:r>
      <w:r w:rsidRPr="00186BAA" w:rsidR="00547CCC">
        <w:t xml:space="preserve">at a loaded hourly wage of $44 </w:t>
      </w:r>
      <w:r w:rsidRPr="00186BAA" w:rsidR="00C730A0">
        <w:t>t</w:t>
      </w:r>
      <w:r w:rsidRPr="00186BAA" w:rsidR="00A56769">
        <w:t>o maintain the required inspection records</w:t>
      </w:r>
      <w:r w:rsidRPr="00186BAA" w:rsidR="00C42550">
        <w:t>.</w:t>
      </w:r>
      <w:r w:rsidRPr="00186BAA" w:rsidR="00817B03">
        <w:t xml:space="preserve"> For all</w:t>
      </w:r>
      <w:r w:rsidRPr="00186BAA" w:rsidR="00CD34B0">
        <w:t xml:space="preserve"> </w:t>
      </w:r>
      <w:r w:rsidRPr="00186BAA" w:rsidR="007B5F8D">
        <w:t>5</w:t>
      </w:r>
      <w:r w:rsidRPr="00186BAA" w:rsidR="00817B03">
        <w:t>4</w:t>
      </w:r>
      <w:r w:rsidRPr="00186BAA" w:rsidR="00557599">
        <w:t>0</w:t>
      </w:r>
      <w:r w:rsidRPr="00186BAA" w:rsidR="006F2666">
        <w:t xml:space="preserve"> </w:t>
      </w:r>
      <w:r w:rsidRPr="00186BAA" w:rsidR="00C730A0">
        <w:t>p</w:t>
      </w:r>
      <w:r w:rsidRPr="00186BAA" w:rsidR="006F2666">
        <w:t>ortable</w:t>
      </w:r>
      <w:r w:rsidRPr="00186BAA" w:rsidR="009D7D09">
        <w:t xml:space="preserve"> </w:t>
      </w:r>
      <w:r w:rsidRPr="00186BAA" w:rsidR="00476A73">
        <w:t>X-ray</w:t>
      </w:r>
      <w:r w:rsidRPr="00186BAA" w:rsidR="007B5F8D">
        <w:t xml:space="preserve"> suppliers</w:t>
      </w:r>
      <w:r w:rsidRPr="00186BAA" w:rsidR="00817B03">
        <w:t>,</w:t>
      </w:r>
      <w:r w:rsidRPr="00186BAA" w:rsidR="00765EC6">
        <w:t xml:space="preserve"> </w:t>
      </w:r>
      <w:r w:rsidRPr="00186BAA" w:rsidR="00817B03">
        <w:t xml:space="preserve">the incremental </w:t>
      </w:r>
      <w:r w:rsidRPr="00186BAA" w:rsidR="00C30899">
        <w:t xml:space="preserve">annual </w:t>
      </w:r>
      <w:r w:rsidRPr="00186BAA" w:rsidR="00817B03">
        <w:t>burden is</w:t>
      </w:r>
      <w:r w:rsidRPr="00186BAA" w:rsidR="00C730A0">
        <w:t xml:space="preserve"> 70</w:t>
      </w:r>
      <w:r w:rsidRPr="00186BAA" w:rsidR="00765EC6">
        <w:t xml:space="preserve"> </w:t>
      </w:r>
      <w:r w:rsidRPr="00186BAA" w:rsidR="007B5F8D">
        <w:t>hours</w:t>
      </w:r>
      <w:r w:rsidRPr="00186BAA" w:rsidR="002123DB">
        <w:t xml:space="preserve"> </w:t>
      </w:r>
      <w:r w:rsidRPr="00186BAA" w:rsidR="00817B03">
        <w:t>(0.1</w:t>
      </w:r>
      <w:r w:rsidRPr="00186BAA" w:rsidR="007D3CCB">
        <w:t>3</w:t>
      </w:r>
      <w:r w:rsidRPr="00186BAA" w:rsidR="00C730A0">
        <w:t xml:space="preserve"> </w:t>
      </w:r>
      <w:r w:rsidRPr="00186BAA" w:rsidR="00817B03">
        <w:t>h</w:t>
      </w:r>
      <w:r w:rsidRPr="00186BAA" w:rsidR="00C730A0">
        <w:t>r.</w:t>
      </w:r>
      <w:r w:rsidRPr="00186BAA" w:rsidR="00817B03">
        <w:t xml:space="preserve"> x 540 suppliers) with an associated cost of $3,</w:t>
      </w:r>
      <w:r w:rsidRPr="00186BAA" w:rsidR="00547CCC">
        <w:t>080</w:t>
      </w:r>
      <w:r w:rsidRPr="00186BAA" w:rsidR="00817B03">
        <w:t xml:space="preserve"> (</w:t>
      </w:r>
      <w:r w:rsidRPr="00186BAA" w:rsidR="00547CCC">
        <w:t>70 hrs. x $44</w:t>
      </w:r>
      <w:r w:rsidRPr="00186BAA" w:rsidR="00817B03">
        <w:t>)</w:t>
      </w:r>
      <w:r w:rsidRPr="00186BAA" w:rsidR="00C30899">
        <w:t>.</w:t>
      </w:r>
      <w:r w:rsidRPr="00186BAA" w:rsidR="00C730A0">
        <w:t xml:space="preserve"> </w:t>
      </w:r>
      <w:r w:rsidRPr="00186BAA" w:rsidR="007D3CCB">
        <w:t>See Table 4.</w:t>
      </w:r>
    </w:p>
    <w:p w:rsidR="00186BAA" w:rsidRPr="00186BAA" w:rsidP="00186BAA" w14:paraId="436B330E" w14:textId="77777777">
      <w:pPr>
        <w:pStyle w:val="Text2"/>
        <w:keepNext w:val="0"/>
      </w:pPr>
    </w:p>
    <w:p w:rsidR="001904EA" w:rsidRPr="008108AA" w:rsidP="00421116" w14:paraId="6AFDDBB6" w14:textId="76495362">
      <w:pPr>
        <w:pStyle w:val="Heading5"/>
      </w:pPr>
      <w:r w:rsidRPr="0088711E">
        <w:t>Table</w:t>
      </w:r>
      <w:r>
        <w:t xml:space="preserve"> 4. IC-2, §</w:t>
      </w:r>
      <w:r w:rsidRPr="0088711E">
        <w:t>486.</w:t>
      </w:r>
      <w:r>
        <w:t>110 – Maintain inspection records</w:t>
      </w:r>
    </w:p>
    <w:tbl>
      <w:tblPr>
        <w:tblW w:w="8032" w:type="dxa"/>
        <w:tblInd w:w="715" w:type="dxa"/>
        <w:tblLook w:val="04A0"/>
      </w:tblPr>
      <w:tblGrid>
        <w:gridCol w:w="4009"/>
        <w:gridCol w:w="1176"/>
        <w:gridCol w:w="1506"/>
        <w:gridCol w:w="1341"/>
      </w:tblGrid>
      <w:tr w14:paraId="48DDBFD7" w14:textId="77777777" w:rsidTr="002861CE">
        <w:tblPrEx>
          <w:tblW w:w="8032" w:type="dxa"/>
          <w:tblInd w:w="715" w:type="dxa"/>
          <w:tblLook w:val="04A0"/>
        </w:tblPrEx>
        <w:trPr>
          <w:trHeight w:val="588"/>
        </w:trPr>
        <w:tc>
          <w:tcPr>
            <w:tcW w:w="4009" w:type="dxa"/>
            <w:vMerge w:val="restart"/>
            <w:tcBorders>
              <w:top w:val="single" w:sz="4" w:space="0" w:color="auto"/>
              <w:left w:val="single" w:sz="4" w:space="0" w:color="auto"/>
              <w:right w:val="single" w:sz="4" w:space="0" w:color="auto"/>
            </w:tcBorders>
            <w:shd w:val="clear" w:color="CCCCCC" w:fill="F2F2F2"/>
            <w:vAlign w:val="center"/>
            <w:hideMark/>
          </w:tcPr>
          <w:p w:rsidR="001904EA" w:rsidRPr="00DA7DAC" w:rsidP="00186BAA" w14:paraId="27E2B28E" w14:textId="03336E64">
            <w:pPr>
              <w:pStyle w:val="Tables"/>
            </w:pPr>
            <w:r w:rsidRPr="00DA7DAC">
              <w:t xml:space="preserve">Burden to </w:t>
            </w:r>
            <w:r>
              <w:t>Maintain Inspection Records</w:t>
            </w:r>
          </w:p>
        </w:tc>
        <w:tc>
          <w:tcPr>
            <w:tcW w:w="1176" w:type="dxa"/>
            <w:tcBorders>
              <w:top w:val="single" w:sz="4" w:space="0" w:color="auto"/>
              <w:left w:val="nil"/>
              <w:right w:val="single" w:sz="4" w:space="0" w:color="auto"/>
            </w:tcBorders>
            <w:shd w:val="clear" w:color="CCCCCC" w:fill="F2F2F2"/>
            <w:vAlign w:val="center"/>
            <w:hideMark/>
          </w:tcPr>
          <w:p w:rsidR="001904EA" w:rsidRPr="00DA7DAC" w:rsidP="00186BAA" w14:paraId="3EE8B88B" w14:textId="77777777">
            <w:pPr>
              <w:pStyle w:val="Tables"/>
            </w:pPr>
            <w:r w:rsidRPr="00DA7DAC">
              <w:t>Loaded</w:t>
            </w:r>
          </w:p>
          <w:p w:rsidR="001904EA" w:rsidRPr="00DA7DAC" w:rsidP="00186BAA" w14:paraId="00FC86DD" w14:textId="77777777">
            <w:pPr>
              <w:pStyle w:val="Tables"/>
            </w:pPr>
            <w:r w:rsidRPr="00DA7DAC">
              <w:t>Hourly Mean</w:t>
            </w:r>
          </w:p>
          <w:p w:rsidR="001904EA" w:rsidRPr="00DA7DAC" w:rsidP="00186BAA" w14:paraId="72CE8202" w14:textId="77777777">
            <w:pPr>
              <w:pStyle w:val="Tables"/>
            </w:pPr>
            <w:r w:rsidRPr="00DA7DAC">
              <w:t>Wage</w:t>
            </w:r>
          </w:p>
        </w:tc>
        <w:tc>
          <w:tcPr>
            <w:tcW w:w="1506" w:type="dxa"/>
            <w:tcBorders>
              <w:top w:val="single" w:sz="4" w:space="0" w:color="auto"/>
              <w:left w:val="nil"/>
              <w:right w:val="single" w:sz="4" w:space="0" w:color="auto"/>
            </w:tcBorders>
            <w:shd w:val="clear" w:color="CCCCCC" w:fill="F2F2F2"/>
            <w:vAlign w:val="center"/>
            <w:hideMark/>
          </w:tcPr>
          <w:p w:rsidR="007D3CCB" w:rsidRPr="007D3CCB" w:rsidP="00186BAA" w14:paraId="59B40CC3" w14:textId="77777777">
            <w:pPr>
              <w:pStyle w:val="Tables"/>
            </w:pPr>
            <w:r w:rsidRPr="007D3CCB">
              <w:t>Incremental Annual</w:t>
            </w:r>
          </w:p>
          <w:p w:rsidR="007D3CCB" w:rsidRPr="007D3CCB" w:rsidP="00186BAA" w14:paraId="6B5A81EF" w14:textId="77777777">
            <w:pPr>
              <w:pStyle w:val="Tables"/>
            </w:pPr>
            <w:r w:rsidRPr="007D3CCB">
              <w:t>Burden</w:t>
            </w:r>
          </w:p>
          <w:p w:rsidR="001904EA" w:rsidRPr="00DA7DAC" w:rsidP="00186BAA" w14:paraId="7C07483C" w14:textId="1375B2FB">
            <w:pPr>
              <w:pStyle w:val="Tables"/>
            </w:pPr>
            <w:r w:rsidRPr="007D3CCB">
              <w:t>Hours/</w:t>
            </w:r>
            <w:r>
              <w:t>supplier</w:t>
            </w:r>
          </w:p>
        </w:tc>
        <w:tc>
          <w:tcPr>
            <w:tcW w:w="1341" w:type="dxa"/>
            <w:tcBorders>
              <w:top w:val="single" w:sz="4" w:space="0" w:color="auto"/>
              <w:left w:val="nil"/>
              <w:right w:val="single" w:sz="4" w:space="0" w:color="auto"/>
            </w:tcBorders>
            <w:shd w:val="clear" w:color="CCCCCC" w:fill="F2F2F2"/>
            <w:vAlign w:val="center"/>
            <w:hideMark/>
          </w:tcPr>
          <w:p w:rsidR="004E4177" w:rsidRPr="004E4177" w:rsidP="00186BAA" w14:paraId="7DE4CB8F" w14:textId="77777777">
            <w:pPr>
              <w:pStyle w:val="Tables"/>
            </w:pPr>
            <w:r w:rsidRPr="004E4177">
              <w:t>Incremental Annual</w:t>
            </w:r>
          </w:p>
          <w:p w:rsidR="004E4177" w:rsidRPr="004E4177" w:rsidP="00186BAA" w14:paraId="4D62219D" w14:textId="77777777">
            <w:pPr>
              <w:pStyle w:val="Tables"/>
            </w:pPr>
            <w:r w:rsidRPr="004E4177">
              <w:t>Burden</w:t>
            </w:r>
          </w:p>
          <w:p w:rsidR="004E4177" w:rsidRPr="004E4177" w:rsidP="00186BAA" w14:paraId="48B056D5" w14:textId="77777777">
            <w:pPr>
              <w:pStyle w:val="Tables"/>
            </w:pPr>
            <w:r w:rsidRPr="004E4177">
              <w:t>Cost/</w:t>
            </w:r>
          </w:p>
          <w:p w:rsidR="004E4177" w:rsidRPr="00DA7DAC" w:rsidP="00186BAA" w14:paraId="3E6B24A7" w14:textId="65E6C84A">
            <w:pPr>
              <w:pStyle w:val="Tables"/>
            </w:pPr>
            <w:r w:rsidRPr="004E4177">
              <w:t>supplier</w:t>
            </w:r>
          </w:p>
          <w:p w:rsidR="001904EA" w:rsidRPr="00DA7DAC" w:rsidP="00186BAA" w14:paraId="0C12D0B7" w14:textId="4ACAD919">
            <w:pPr>
              <w:pStyle w:val="Tables"/>
            </w:pPr>
          </w:p>
        </w:tc>
      </w:tr>
      <w:tr w14:paraId="504B98E0" w14:textId="77777777" w:rsidTr="002861CE">
        <w:tblPrEx>
          <w:tblW w:w="8032" w:type="dxa"/>
          <w:tblInd w:w="715" w:type="dxa"/>
          <w:tblLook w:val="04A0"/>
        </w:tblPrEx>
        <w:trPr>
          <w:trHeight w:val="426"/>
        </w:trPr>
        <w:tc>
          <w:tcPr>
            <w:tcW w:w="4009" w:type="dxa"/>
            <w:vMerge/>
            <w:tcBorders>
              <w:left w:val="single" w:sz="4" w:space="0" w:color="auto"/>
              <w:bottom w:val="single" w:sz="4" w:space="0" w:color="auto"/>
              <w:right w:val="single" w:sz="4" w:space="0" w:color="auto"/>
            </w:tcBorders>
            <w:vAlign w:val="center"/>
          </w:tcPr>
          <w:p w:rsidR="001904EA" w:rsidRPr="00DA7DAC" w:rsidP="00186BAA" w14:paraId="7E158041" w14:textId="77777777">
            <w:pPr>
              <w:pStyle w:val="Tables"/>
            </w:pPr>
          </w:p>
        </w:tc>
        <w:tc>
          <w:tcPr>
            <w:tcW w:w="1176" w:type="dxa"/>
            <w:tcBorders>
              <w:top w:val="nil"/>
              <w:left w:val="nil"/>
              <w:bottom w:val="single" w:sz="4" w:space="0" w:color="auto"/>
              <w:right w:val="single" w:sz="4" w:space="0" w:color="auto"/>
            </w:tcBorders>
            <w:shd w:val="clear" w:color="auto" w:fill="F2F2F2" w:themeFill="background1" w:themeFillShade="F2"/>
            <w:vAlign w:val="center"/>
          </w:tcPr>
          <w:p w:rsidR="001904EA" w:rsidRPr="002861CE" w:rsidP="00186BAA" w14:paraId="19E6460F" w14:textId="77777777">
            <w:pPr>
              <w:pStyle w:val="Tables"/>
              <w:rPr>
                <w:b w:val="0"/>
                <w:bCs w:val="0"/>
                <w:i/>
                <w:iCs/>
                <w:color w:val="000000"/>
              </w:rPr>
            </w:pPr>
            <w:r w:rsidRPr="002861CE">
              <w:rPr>
                <w:b w:val="0"/>
                <w:bCs w:val="0"/>
                <w:i/>
                <w:iCs/>
              </w:rPr>
              <w:t>(a)</w:t>
            </w:r>
          </w:p>
        </w:tc>
        <w:tc>
          <w:tcPr>
            <w:tcW w:w="1506" w:type="dxa"/>
            <w:tcBorders>
              <w:top w:val="nil"/>
              <w:left w:val="nil"/>
              <w:bottom w:val="single" w:sz="4" w:space="0" w:color="auto"/>
              <w:right w:val="single" w:sz="4" w:space="0" w:color="auto"/>
            </w:tcBorders>
            <w:shd w:val="clear" w:color="auto" w:fill="F2F2F2" w:themeFill="background1" w:themeFillShade="F2"/>
            <w:vAlign w:val="center"/>
          </w:tcPr>
          <w:p w:rsidR="001904EA" w:rsidRPr="002861CE" w:rsidP="00186BAA" w14:paraId="321A7E73" w14:textId="77777777">
            <w:pPr>
              <w:pStyle w:val="Tables"/>
              <w:rPr>
                <w:b w:val="0"/>
                <w:bCs w:val="0"/>
                <w:i/>
                <w:iCs/>
              </w:rPr>
            </w:pPr>
            <w:r w:rsidRPr="002861CE">
              <w:rPr>
                <w:b w:val="0"/>
                <w:bCs w:val="0"/>
                <w:i/>
                <w:iCs/>
              </w:rPr>
              <w:t>(b)</w:t>
            </w:r>
          </w:p>
        </w:tc>
        <w:tc>
          <w:tcPr>
            <w:tcW w:w="1341" w:type="dxa"/>
            <w:tcBorders>
              <w:top w:val="nil"/>
              <w:left w:val="nil"/>
              <w:bottom w:val="single" w:sz="4" w:space="0" w:color="auto"/>
              <w:right w:val="single" w:sz="4" w:space="0" w:color="auto"/>
            </w:tcBorders>
            <w:shd w:val="clear" w:color="auto" w:fill="F2F2F2" w:themeFill="background1" w:themeFillShade="F2"/>
            <w:noWrap/>
            <w:vAlign w:val="center"/>
          </w:tcPr>
          <w:p w:rsidR="001904EA" w:rsidRPr="002861CE" w:rsidP="00186BAA" w14:paraId="3D71C2D1" w14:textId="77777777">
            <w:pPr>
              <w:pStyle w:val="Tables"/>
              <w:rPr>
                <w:b w:val="0"/>
                <w:bCs w:val="0"/>
                <w:i/>
                <w:iCs/>
                <w:sz w:val="18"/>
              </w:rPr>
            </w:pPr>
            <w:r w:rsidRPr="002861CE">
              <w:rPr>
                <w:b w:val="0"/>
                <w:bCs w:val="0"/>
                <w:i/>
                <w:iCs/>
              </w:rPr>
              <w:t>(c = a x b)</w:t>
            </w:r>
          </w:p>
        </w:tc>
      </w:tr>
      <w:tr w14:paraId="79E9D170" w14:textId="77777777" w:rsidTr="002861CE">
        <w:tblPrEx>
          <w:tblW w:w="8032" w:type="dxa"/>
          <w:tblInd w:w="715" w:type="dxa"/>
          <w:tblLook w:val="04A0"/>
        </w:tblPrEx>
        <w:trPr>
          <w:trHeight w:val="893"/>
        </w:trPr>
        <w:tc>
          <w:tcPr>
            <w:tcW w:w="4009" w:type="dxa"/>
            <w:tcBorders>
              <w:top w:val="nil"/>
              <w:left w:val="single" w:sz="4" w:space="0" w:color="auto"/>
              <w:bottom w:val="single" w:sz="4" w:space="0" w:color="auto"/>
              <w:right w:val="single" w:sz="4" w:space="0" w:color="auto"/>
            </w:tcBorders>
            <w:vAlign w:val="center"/>
          </w:tcPr>
          <w:p w:rsidR="001904EA" w:rsidRPr="0006448A" w:rsidP="00186BAA" w14:paraId="7F34B81E" w14:textId="77777777">
            <w:pPr>
              <w:pStyle w:val="Tables"/>
              <w:jc w:val="left"/>
              <w:rPr>
                <w:b w:val="0"/>
                <w:bCs w:val="0"/>
                <w:color w:val="000000"/>
              </w:rPr>
            </w:pPr>
            <w:r w:rsidRPr="0006448A">
              <w:rPr>
                <w:b w:val="0"/>
                <w:bCs w:val="0"/>
              </w:rPr>
              <w:t>Administrative Assistant (BLS Occ Code: 43-6013)</w:t>
            </w:r>
          </w:p>
        </w:tc>
        <w:tc>
          <w:tcPr>
            <w:tcW w:w="1176" w:type="dxa"/>
            <w:tcBorders>
              <w:top w:val="nil"/>
              <w:left w:val="nil"/>
              <w:bottom w:val="single" w:sz="4" w:space="0" w:color="auto"/>
              <w:right w:val="single" w:sz="4" w:space="0" w:color="auto"/>
            </w:tcBorders>
            <w:vAlign w:val="center"/>
          </w:tcPr>
          <w:p w:rsidR="001904EA" w:rsidRPr="0006448A" w:rsidP="00186BAA" w14:paraId="24884293" w14:textId="77777777">
            <w:pPr>
              <w:pStyle w:val="Tables"/>
              <w:rPr>
                <w:b w:val="0"/>
                <w:bCs w:val="0"/>
              </w:rPr>
            </w:pPr>
            <w:r w:rsidRPr="0006448A">
              <w:rPr>
                <w:b w:val="0"/>
                <w:bCs w:val="0"/>
              </w:rPr>
              <w:t>$44</w:t>
            </w:r>
          </w:p>
        </w:tc>
        <w:tc>
          <w:tcPr>
            <w:tcW w:w="1506" w:type="dxa"/>
            <w:tcBorders>
              <w:top w:val="nil"/>
              <w:left w:val="nil"/>
              <w:bottom w:val="single" w:sz="4" w:space="0" w:color="auto"/>
              <w:right w:val="single" w:sz="4" w:space="0" w:color="auto"/>
            </w:tcBorders>
            <w:vAlign w:val="center"/>
          </w:tcPr>
          <w:p w:rsidR="001904EA" w:rsidRPr="0006448A" w:rsidP="00186BAA" w14:paraId="60ABE46E" w14:textId="77777777">
            <w:pPr>
              <w:pStyle w:val="Tables"/>
              <w:rPr>
                <w:b w:val="0"/>
                <w:bCs w:val="0"/>
              </w:rPr>
            </w:pPr>
            <w:r w:rsidRPr="0006448A">
              <w:rPr>
                <w:b w:val="0"/>
                <w:bCs w:val="0"/>
              </w:rPr>
              <w:t>0.</w:t>
            </w:r>
            <w:r w:rsidRPr="0006448A" w:rsidR="007D3CCB">
              <w:rPr>
                <w:b w:val="0"/>
                <w:bCs w:val="0"/>
              </w:rPr>
              <w:t>13</w:t>
            </w:r>
          </w:p>
          <w:p w:rsidR="007D3CCB" w:rsidRPr="0006448A" w:rsidP="00186BAA" w14:paraId="1A6EB5A1" w14:textId="49FCC5F7">
            <w:pPr>
              <w:pStyle w:val="Tables"/>
              <w:rPr>
                <w:b w:val="0"/>
                <w:bCs w:val="0"/>
              </w:rPr>
            </w:pPr>
            <w:r w:rsidRPr="0006448A">
              <w:rPr>
                <w:b w:val="0"/>
                <w:bCs w:val="0"/>
              </w:rPr>
              <w:t>(8 min./year)</w:t>
            </w:r>
          </w:p>
        </w:tc>
        <w:tc>
          <w:tcPr>
            <w:tcW w:w="1341" w:type="dxa"/>
            <w:tcBorders>
              <w:top w:val="nil"/>
              <w:left w:val="nil"/>
              <w:bottom w:val="single" w:sz="4" w:space="0" w:color="auto"/>
              <w:right w:val="single" w:sz="4" w:space="0" w:color="auto"/>
            </w:tcBorders>
            <w:noWrap/>
            <w:vAlign w:val="center"/>
          </w:tcPr>
          <w:p w:rsidR="001904EA" w:rsidRPr="0006448A" w:rsidP="00186BAA" w14:paraId="243AAC1E" w14:textId="23B96DC6">
            <w:pPr>
              <w:pStyle w:val="Tables"/>
              <w:rPr>
                <w:b w:val="0"/>
                <w:bCs w:val="0"/>
                <w:color w:val="000000"/>
              </w:rPr>
            </w:pPr>
            <w:r w:rsidRPr="0006448A">
              <w:rPr>
                <w:b w:val="0"/>
                <w:bCs w:val="0"/>
              </w:rPr>
              <w:t>$</w:t>
            </w:r>
            <w:r w:rsidRPr="0006448A" w:rsidR="00547CCC">
              <w:rPr>
                <w:b w:val="0"/>
                <w:bCs w:val="0"/>
              </w:rPr>
              <w:t>5.7</w:t>
            </w:r>
            <w:r w:rsidRPr="0006448A" w:rsidR="00E256A9">
              <w:rPr>
                <w:b w:val="0"/>
                <w:bCs w:val="0"/>
              </w:rPr>
              <w:t>0</w:t>
            </w:r>
          </w:p>
        </w:tc>
      </w:tr>
      <w:tr w14:paraId="1D8BD480" w14:textId="77777777" w:rsidTr="002861CE">
        <w:tblPrEx>
          <w:tblW w:w="8032" w:type="dxa"/>
          <w:tblInd w:w="715" w:type="dxa"/>
          <w:tblLook w:val="04A0"/>
        </w:tblPrEx>
        <w:trPr>
          <w:trHeight w:val="893"/>
        </w:trPr>
        <w:tc>
          <w:tcPr>
            <w:tcW w:w="4009"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hideMark/>
          </w:tcPr>
          <w:p w:rsidR="001904EA" w:rsidRPr="00DA7DAC" w:rsidP="00186BAA" w14:paraId="1A14AE06" w14:textId="0395F2B7">
            <w:pPr>
              <w:pStyle w:val="Tables"/>
              <w:jc w:val="left"/>
            </w:pPr>
            <w:r w:rsidRPr="00DA7DAC">
              <w:t>Total Burden Hours and Cost for all 5</w:t>
            </w:r>
            <w:r>
              <w:t>40</w:t>
            </w:r>
            <w:r w:rsidRPr="00DA7DAC">
              <w:t xml:space="preserve"> </w:t>
            </w:r>
            <w:r>
              <w:t xml:space="preserve">Portable </w:t>
            </w:r>
            <w:r w:rsidR="00510F3E">
              <w:t>X-ray</w:t>
            </w:r>
            <w:r>
              <w:t xml:space="preserve"> </w:t>
            </w:r>
            <w:r w:rsidR="00E75041">
              <w:t>s</w:t>
            </w:r>
            <w:r>
              <w:t>uppliers</w:t>
            </w:r>
          </w:p>
        </w:tc>
        <w:tc>
          <w:tcPr>
            <w:tcW w:w="1176" w:type="dxa"/>
            <w:tcBorders>
              <w:top w:val="single" w:sz="4" w:space="0" w:color="auto"/>
              <w:left w:val="nil"/>
              <w:bottom w:val="single" w:sz="4" w:space="0" w:color="auto"/>
              <w:right w:val="single" w:sz="4" w:space="0" w:color="auto"/>
            </w:tcBorders>
            <w:shd w:val="clear" w:color="auto" w:fill="F2F2F2" w:themeFill="background1" w:themeFillShade="F2"/>
            <w:vAlign w:val="center"/>
            <w:hideMark/>
          </w:tcPr>
          <w:p w:rsidR="001904EA" w:rsidRPr="00DA7DAC" w:rsidP="00186BAA" w14:paraId="2664EB3B" w14:textId="76EEC890">
            <w:pPr>
              <w:pStyle w:val="Tables"/>
            </w:pPr>
          </w:p>
        </w:tc>
        <w:tc>
          <w:tcPr>
            <w:tcW w:w="1506" w:type="dxa"/>
            <w:tcBorders>
              <w:top w:val="single" w:sz="4" w:space="0" w:color="auto"/>
              <w:left w:val="nil"/>
              <w:bottom w:val="single" w:sz="4" w:space="0" w:color="auto"/>
              <w:right w:val="single" w:sz="4" w:space="0" w:color="auto"/>
            </w:tcBorders>
            <w:shd w:val="clear" w:color="auto" w:fill="F2F2F2" w:themeFill="background1" w:themeFillShade="F2"/>
            <w:vAlign w:val="center"/>
            <w:hideMark/>
          </w:tcPr>
          <w:p w:rsidR="001904EA" w:rsidRPr="00DA7DAC" w:rsidP="00186BAA" w14:paraId="08A1021D" w14:textId="69FB26AC">
            <w:pPr>
              <w:pStyle w:val="Tables"/>
            </w:pPr>
            <w:r>
              <w:t>7</w:t>
            </w:r>
            <w:r w:rsidR="00C730A0">
              <w:t>0</w:t>
            </w:r>
          </w:p>
        </w:tc>
        <w:tc>
          <w:tcPr>
            <w:tcW w:w="1341" w:type="dxa"/>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rsidR="001904EA" w:rsidRPr="00DA7DAC" w:rsidP="00186BAA" w14:paraId="23DAD78C" w14:textId="5A441DB9">
            <w:pPr>
              <w:pStyle w:val="Tables"/>
            </w:pPr>
            <w:r w:rsidRPr="00DA7DAC">
              <w:t>$</w:t>
            </w:r>
            <w:r w:rsidR="007D3CCB">
              <w:t>3,</w:t>
            </w:r>
            <w:r w:rsidR="00547CCC">
              <w:t>080</w:t>
            </w:r>
          </w:p>
        </w:tc>
      </w:tr>
    </w:tbl>
    <w:p w:rsidR="00082D12" w:rsidP="00F05BC1" w14:paraId="39EC1F7F" w14:textId="77777777">
      <w:pPr>
        <w:pStyle w:val="Heading3"/>
      </w:pPr>
    </w:p>
    <w:p w:rsidR="00082D12" w:rsidP="00F05BC1" w14:paraId="2F0BCF2D" w14:textId="77777777">
      <w:pPr>
        <w:pStyle w:val="Heading3"/>
      </w:pPr>
    </w:p>
    <w:p w:rsidR="00BA1FE7" w:rsidRPr="00082D12" w:rsidP="003D2C98" w14:paraId="085BFCD7" w14:textId="78C5D604">
      <w:pPr>
        <w:pStyle w:val="Heading3"/>
      </w:pPr>
      <w:r w:rsidRPr="00082D12">
        <w:t>Part 12-</w:t>
      </w:r>
      <w:r w:rsidRPr="00082D12" w:rsidR="00DC2370">
        <w:t>C</w:t>
      </w:r>
      <w:r w:rsidRPr="00082D12">
        <w:t>: Exemptions from Paperwork Burden</w:t>
      </w:r>
    </w:p>
    <w:p w:rsidR="00BA1FE7" w:rsidRPr="00082D12" w:rsidP="003D2C98" w14:paraId="604D4428" w14:textId="7C6CE1C8">
      <w:pPr>
        <w:pStyle w:val="Text3-addnext"/>
      </w:pPr>
      <w:r>
        <w:t xml:space="preserve">The </w:t>
      </w:r>
      <w:r w:rsidR="004D0FD5">
        <w:t xml:space="preserve">ICs associated with the following CfCs are exempt </w:t>
      </w:r>
      <w:r w:rsidRPr="00BA1FE7">
        <w:t xml:space="preserve">from the Paperwork Reduction Act (PRA) because </w:t>
      </w:r>
      <w:r>
        <w:t xml:space="preserve">the requirement falls into one of these categories: 1) </w:t>
      </w:r>
      <w:r w:rsidR="000E6663">
        <w:t xml:space="preserve">Usual and </w:t>
      </w:r>
      <w:r w:rsidRPr="00082D12" w:rsidR="000E6663">
        <w:t>c</w:t>
      </w:r>
      <w:r w:rsidRPr="00082D12">
        <w:t>ustomary business practice per 5 CFR §1320.3(b)(2); 2) Impact</w:t>
      </w:r>
      <w:r w:rsidRPr="00082D12" w:rsidR="000E6663">
        <w:t>s</w:t>
      </w:r>
      <w:r w:rsidRPr="00082D12">
        <w:t xml:space="preserve"> fewer than 10 suppliers per year 5 CFR §1320.3(c)(4)</w:t>
      </w:r>
      <w:r w:rsidRPr="00082D12" w:rsidR="00AB25FE">
        <w:t xml:space="preserve"> or;</w:t>
      </w:r>
      <w:r w:rsidRPr="00082D12">
        <w:t xml:space="preserve"> 3) Required by other federal, state or local laws per 5 </w:t>
      </w:r>
      <w:r w:rsidRPr="00082D12">
        <w:t>CFR §1320.3(b)(3).</w:t>
      </w:r>
    </w:p>
    <w:p w:rsidR="00743FB1" w:rsidRPr="00082D12" w:rsidP="00082D12" w14:paraId="6390D308" w14:textId="1A6A249C">
      <w:pPr>
        <w:pStyle w:val="Text2"/>
      </w:pPr>
    </w:p>
    <w:p w:rsidR="00743FB1" w:rsidRPr="00E3134D" w:rsidP="00E3134D" w14:paraId="53909F2C" w14:textId="55D0050F">
      <w:pPr>
        <w:pStyle w:val="Text4"/>
      </w:pPr>
      <w:r w:rsidRPr="00E3134D">
        <w:t xml:space="preserve">§486.100 - Compliance with Federal, State, and local laws and regulations </w:t>
      </w:r>
    </w:p>
    <w:p w:rsidR="004D0FD5" w:rsidP="00186BAA" w14:paraId="78FBD29C" w14:textId="5DC5B05A">
      <w:pPr>
        <w:numPr>
          <w:ilvl w:val="0"/>
          <w:numId w:val="24"/>
        </w:numPr>
        <w:ind w:left="634"/>
      </w:pPr>
      <w:r w:rsidRPr="009C2EAF">
        <w:rPr>
          <w:b/>
          <w:bCs/>
        </w:rPr>
        <w:t>Requirement</w:t>
      </w:r>
      <w:r>
        <w:t xml:space="preserve">: </w:t>
      </w:r>
      <w:r>
        <w:t>S</w:t>
      </w:r>
      <w:r w:rsidRPr="004D0FD5">
        <w:t>uppliers must comply with Federal, State, and local laws relating to licensing and safety standards</w:t>
      </w:r>
    </w:p>
    <w:p w:rsidR="000E6663" w:rsidRPr="00477BA3" w:rsidP="00186BAA" w14:paraId="76743B9F" w14:textId="33C0B1BE">
      <w:pPr>
        <w:numPr>
          <w:ilvl w:val="0"/>
          <w:numId w:val="24"/>
        </w:numPr>
        <w:ind w:left="634"/>
      </w:pPr>
      <w:r w:rsidRPr="009C2EAF">
        <w:rPr>
          <w:b/>
          <w:bCs/>
        </w:rPr>
        <w:t>E</w:t>
      </w:r>
      <w:r w:rsidRPr="009C2EAF">
        <w:rPr>
          <w:b/>
          <w:bCs/>
        </w:rPr>
        <w:t>xemption</w:t>
      </w:r>
      <w:r>
        <w:t xml:space="preserve">: </w:t>
      </w:r>
      <w:r w:rsidRPr="00477BA3">
        <w:t xml:space="preserve">5 CFR </w:t>
      </w:r>
      <w:r>
        <w:t>§</w:t>
      </w:r>
      <w:r w:rsidRPr="00477BA3">
        <w:t>1320.3(b)(</w:t>
      </w:r>
      <w:r>
        <w:t>3</w:t>
      </w:r>
      <w:r w:rsidRPr="00477BA3">
        <w:t>)</w:t>
      </w:r>
      <w:r>
        <w:t xml:space="preserve"> – </w:t>
      </w:r>
      <w:r>
        <w:t xml:space="preserve">IC </w:t>
      </w:r>
      <w:r>
        <w:t>required by other laws</w:t>
      </w:r>
    </w:p>
    <w:p w:rsidR="000E6663" w:rsidP="00186BAA" w14:paraId="3F18EA2C" w14:textId="5EBAF1B8">
      <w:pPr>
        <w:numPr>
          <w:ilvl w:val="0"/>
          <w:numId w:val="24"/>
        </w:numPr>
        <w:ind w:left="634"/>
      </w:pPr>
      <w:r w:rsidRPr="009C2EAF">
        <w:rPr>
          <w:b/>
          <w:bCs/>
        </w:rPr>
        <w:t>Rationale</w:t>
      </w:r>
      <w:r w:rsidRPr="004D0FD5">
        <w:t>: </w:t>
      </w:r>
      <w:r>
        <w:t>Suppliers must meet local and state licensing standards to operate their business</w:t>
      </w:r>
    </w:p>
    <w:p w:rsidR="000E6663" w:rsidP="00082D12" w14:paraId="51D245E0" w14:textId="77777777">
      <w:pPr>
        <w:pStyle w:val="Text2"/>
      </w:pPr>
    </w:p>
    <w:p w:rsidR="00BA1FE7" w:rsidRPr="00E3134D" w:rsidP="00E3134D" w14:paraId="589D47BE" w14:textId="58F598F9">
      <w:pPr>
        <w:pStyle w:val="Text4"/>
      </w:pPr>
      <w:r w:rsidRPr="00E3134D">
        <w:t>§486.102 - Supervision by a qualified physician</w:t>
      </w:r>
    </w:p>
    <w:p w:rsidR="004D0FD5" w:rsidRPr="009C2EAF" w:rsidP="00186BAA" w14:paraId="4E1CE14E" w14:textId="77777777">
      <w:pPr>
        <w:numPr>
          <w:ilvl w:val="0"/>
          <w:numId w:val="24"/>
        </w:numPr>
        <w:ind w:left="634"/>
      </w:pPr>
      <w:r w:rsidRPr="009C2EAF">
        <w:rPr>
          <w:b/>
          <w:bCs/>
        </w:rPr>
        <w:t>Requirement</w:t>
      </w:r>
      <w:r w:rsidRPr="009C2EAF">
        <w:t xml:space="preserve">: </w:t>
      </w:r>
      <w:r w:rsidRPr="009C2EAF">
        <w:t>Services must be provided under physician supervision, with annual certification of equipment and personnel checks</w:t>
      </w:r>
    </w:p>
    <w:p w:rsidR="00BA1FE7" w:rsidRPr="009C2EAF" w:rsidP="00186BAA" w14:paraId="0D5182F2" w14:textId="66CC91A9">
      <w:pPr>
        <w:numPr>
          <w:ilvl w:val="0"/>
          <w:numId w:val="24"/>
        </w:numPr>
        <w:ind w:left="634"/>
      </w:pPr>
      <w:r w:rsidRPr="009C2EAF">
        <w:rPr>
          <w:b/>
          <w:bCs/>
        </w:rPr>
        <w:t>E</w:t>
      </w:r>
      <w:r w:rsidRPr="009C2EAF" w:rsidR="000E6663">
        <w:rPr>
          <w:b/>
          <w:bCs/>
        </w:rPr>
        <w:t>xemption</w:t>
      </w:r>
      <w:r w:rsidRPr="009C2EAF" w:rsidR="000E6663">
        <w:t xml:space="preserve">: </w:t>
      </w:r>
      <w:r w:rsidRPr="009C2EAF">
        <w:t>5 CFR §1320.3(b)(2)</w:t>
      </w:r>
      <w:r w:rsidRPr="009C2EAF" w:rsidR="000E6663">
        <w:t xml:space="preserve"> – usual and customary business practice</w:t>
      </w:r>
    </w:p>
    <w:p w:rsidR="004D0FD5" w:rsidP="00186BAA" w14:paraId="277F2450" w14:textId="726A6BA9">
      <w:pPr>
        <w:numPr>
          <w:ilvl w:val="0"/>
          <w:numId w:val="24"/>
        </w:numPr>
        <w:ind w:left="634"/>
      </w:pPr>
      <w:r w:rsidRPr="009C2EAF">
        <w:rPr>
          <w:b/>
          <w:bCs/>
        </w:rPr>
        <w:t>Rationale</w:t>
      </w:r>
      <w:r w:rsidRPr="009C2EAF">
        <w:t>: Ensuring</w:t>
      </w:r>
      <w:r w:rsidRPr="004D0FD5">
        <w:t xml:space="preserve"> staff are </w:t>
      </w:r>
      <w:r w:rsidRPr="004D0FD5" w:rsidR="00F43382">
        <w:t>trained</w:t>
      </w:r>
      <w:r w:rsidRPr="004D0FD5">
        <w:t xml:space="preserve"> and </w:t>
      </w:r>
      <w:r>
        <w:t xml:space="preserve">equipment is safe and in working order prior to use </w:t>
      </w:r>
      <w:r w:rsidR="00F43382">
        <w:t>is a</w:t>
      </w:r>
      <w:r>
        <w:t xml:space="preserve"> </w:t>
      </w:r>
      <w:r w:rsidRPr="004D0FD5">
        <w:t>standard business practice</w:t>
      </w:r>
    </w:p>
    <w:p w:rsidR="00082D12" w:rsidRPr="00477BA3" w:rsidP="00082D12" w14:paraId="4464331E" w14:textId="77777777">
      <w:pPr>
        <w:pStyle w:val="Text2"/>
      </w:pPr>
    </w:p>
    <w:p w:rsidR="004D0FD5" w:rsidRPr="00CA6A4A" w:rsidP="00E3134D" w14:paraId="1CF16752" w14:textId="125CB7AC">
      <w:pPr>
        <w:pStyle w:val="Text4"/>
      </w:pPr>
      <w:r w:rsidRPr="00CA6A4A">
        <w:t>§486.104(a) and (b) - Staff Qualifications and Orientation</w:t>
      </w:r>
    </w:p>
    <w:p w:rsidR="004D0FD5" w:rsidRPr="009C2EAF" w:rsidP="00186BAA" w14:paraId="74156783" w14:textId="3CF5E44C">
      <w:pPr>
        <w:numPr>
          <w:ilvl w:val="0"/>
          <w:numId w:val="24"/>
        </w:numPr>
        <w:ind w:left="634"/>
      </w:pPr>
      <w:r w:rsidRPr="009C2EAF">
        <w:rPr>
          <w:b/>
          <w:bCs/>
        </w:rPr>
        <w:t>Requirement</w:t>
      </w:r>
      <w:r w:rsidRPr="009C2EAF">
        <w:t>: Staff must be trained and undergo orientation</w:t>
      </w:r>
    </w:p>
    <w:p w:rsidR="004D0FD5" w:rsidRPr="009C2EAF" w:rsidP="00186BAA" w14:paraId="74310BAA" w14:textId="046CBEB3">
      <w:pPr>
        <w:numPr>
          <w:ilvl w:val="0"/>
          <w:numId w:val="24"/>
        </w:numPr>
        <w:ind w:left="634"/>
      </w:pPr>
      <w:r w:rsidRPr="009C2EAF">
        <w:rPr>
          <w:b/>
          <w:bCs/>
        </w:rPr>
        <w:t>Exemption</w:t>
      </w:r>
      <w:r w:rsidRPr="009C2EAF">
        <w:t>: 5 CFR §1320.3(b)(2) - Usual and customary business practice</w:t>
      </w:r>
    </w:p>
    <w:p w:rsidR="00BA1FE7" w:rsidRPr="00DC2370" w:rsidP="00186BAA" w14:paraId="6534068B" w14:textId="3333CA4B">
      <w:pPr>
        <w:numPr>
          <w:ilvl w:val="0"/>
          <w:numId w:val="24"/>
        </w:numPr>
        <w:ind w:left="634"/>
      </w:pPr>
      <w:r w:rsidRPr="009C2EAF">
        <w:rPr>
          <w:b/>
          <w:bCs/>
        </w:rPr>
        <w:t>Rationale</w:t>
      </w:r>
      <w:r w:rsidRPr="009C2EAF">
        <w:t>: T</w:t>
      </w:r>
      <w:r w:rsidRPr="00DC2370">
        <w:t>raining staff is standard business practice (only the recordkeeping in §486.104(c) has PRA burden)</w:t>
      </w:r>
    </w:p>
    <w:p w:rsidR="00AB25FE" w:rsidP="00082D12" w14:paraId="0729EE66" w14:textId="77777777">
      <w:pPr>
        <w:pStyle w:val="Text2"/>
      </w:pPr>
    </w:p>
    <w:p w:rsidR="00743FB1" w:rsidRPr="001F7201" w:rsidP="00E3134D" w14:paraId="53A6E9C0" w14:textId="691E4E3D">
      <w:pPr>
        <w:pStyle w:val="Text4"/>
      </w:pPr>
      <w:r w:rsidRPr="001F7201">
        <w:t>§486.106 - Referral for service and preservation of records</w:t>
      </w:r>
    </w:p>
    <w:p w:rsidR="000E6663" w:rsidRPr="009C2EAF" w:rsidP="00186BAA" w14:paraId="58D67D11" w14:textId="09304A61">
      <w:pPr>
        <w:numPr>
          <w:ilvl w:val="0"/>
          <w:numId w:val="22"/>
        </w:numPr>
        <w:ind w:left="634"/>
      </w:pPr>
      <w:r w:rsidRPr="009C2EAF">
        <w:rPr>
          <w:b/>
          <w:bCs/>
        </w:rPr>
        <w:t>Requirement</w:t>
      </w:r>
      <w:r w:rsidRPr="009C2EAF" w:rsidR="00DC2370">
        <w:t xml:space="preserve">: </w:t>
      </w:r>
      <w:r w:rsidRPr="009C2EAF" w:rsidR="00510F3E">
        <w:t>X-ray</w:t>
      </w:r>
      <w:r w:rsidRPr="009C2EAF">
        <w:t xml:space="preserve"> suppliers must</w:t>
      </w:r>
      <w:r w:rsidRPr="009C2EAF" w:rsidR="00E13E4C">
        <w:t xml:space="preserve">: (a) </w:t>
      </w:r>
      <w:r w:rsidRPr="009C2EAF" w:rsidR="00470DCF">
        <w:t xml:space="preserve">document </w:t>
      </w:r>
      <w:r w:rsidRPr="009C2EAF" w:rsidR="00E13E4C">
        <w:t xml:space="preserve">that their services were provided based on an order of </w:t>
      </w:r>
      <w:r w:rsidRPr="009C2EAF" w:rsidR="00470DCF">
        <w:t>a</w:t>
      </w:r>
      <w:r w:rsidRPr="009C2EAF">
        <w:t xml:space="preserve"> treating licensed physician or nonphysician </w:t>
      </w:r>
      <w:r w:rsidRPr="009C2EAF" w:rsidR="00E13E4C">
        <w:t>and why they ordered the x-ray p</w:t>
      </w:r>
      <w:r w:rsidRPr="009C2EAF" w:rsidR="00470DCF">
        <w:t>er</w:t>
      </w:r>
      <w:r w:rsidRPr="009C2EAF">
        <w:t xml:space="preserve"> 42 CFR §410.32</w:t>
      </w:r>
      <w:r w:rsidRPr="009C2EAF" w:rsidR="00E13E4C">
        <w:t xml:space="preserve"> and (b) maintain this detailed documentation (not just the x-ray) for a minimum of 2 years.</w:t>
      </w:r>
      <w:r>
        <w:rPr>
          <w:rStyle w:val="FootnoteReference"/>
          <w:sz w:val="24"/>
          <w:vertAlign w:val="superscript"/>
        </w:rPr>
        <w:footnoteReference w:id="9"/>
      </w:r>
    </w:p>
    <w:p w:rsidR="00470DCF" w:rsidRPr="009C2EAF" w:rsidP="00186BAA" w14:paraId="199E2AC8" w14:textId="4A499663">
      <w:pPr>
        <w:numPr>
          <w:ilvl w:val="0"/>
          <w:numId w:val="22"/>
        </w:numPr>
        <w:ind w:left="634"/>
      </w:pPr>
      <w:r w:rsidRPr="009C2EAF">
        <w:rPr>
          <w:b/>
          <w:bCs/>
        </w:rPr>
        <w:t>E</w:t>
      </w:r>
      <w:r w:rsidRPr="009C2EAF" w:rsidR="000E6663">
        <w:rPr>
          <w:b/>
          <w:bCs/>
        </w:rPr>
        <w:t>xemption</w:t>
      </w:r>
      <w:r w:rsidRPr="009C2EAF" w:rsidR="00DC2370">
        <w:t xml:space="preserve">: </w:t>
      </w:r>
      <w:r w:rsidRPr="009C2EAF">
        <w:t>5 CFR §1320.3(b)(2) – usual and customary business practice</w:t>
      </w:r>
    </w:p>
    <w:p w:rsidR="004D0FD5" w:rsidP="00186BAA" w14:paraId="66B46958" w14:textId="013360CA">
      <w:pPr>
        <w:numPr>
          <w:ilvl w:val="0"/>
          <w:numId w:val="22"/>
        </w:numPr>
        <w:ind w:left="634"/>
      </w:pPr>
      <w:r w:rsidRPr="009C2EAF">
        <w:rPr>
          <w:b/>
          <w:bCs/>
        </w:rPr>
        <w:t>Rationale</w:t>
      </w:r>
      <w:r w:rsidRPr="009C2EAF" w:rsidR="00DC2370">
        <w:t xml:space="preserve">: </w:t>
      </w:r>
      <w:r w:rsidRPr="009C2EAF">
        <w:t>Maintaining</w:t>
      </w:r>
      <w:r w:rsidRPr="004D0FD5">
        <w:t xml:space="preserve"> records for services provided is standard business practice for healthcare suppliers</w:t>
      </w:r>
    </w:p>
    <w:p w:rsidR="00E13E4C" w:rsidP="00082D12" w14:paraId="4255B5B5" w14:textId="77777777">
      <w:pPr>
        <w:pStyle w:val="Text2"/>
      </w:pPr>
    </w:p>
    <w:p w:rsidR="00BA1FE7" w:rsidRPr="00CA6A4A" w:rsidP="00E3134D" w14:paraId="2C047103" w14:textId="77777777">
      <w:pPr>
        <w:pStyle w:val="Text4"/>
      </w:pPr>
      <w:r w:rsidRPr="00CA6A4A">
        <w:t>§486.108 - Safety standards</w:t>
      </w:r>
    </w:p>
    <w:p w:rsidR="00470DCF" w:rsidRPr="009C2EAF" w:rsidP="00186BAA" w14:paraId="6035E193" w14:textId="6D2A92FD">
      <w:pPr>
        <w:numPr>
          <w:ilvl w:val="0"/>
          <w:numId w:val="23"/>
        </w:numPr>
        <w:ind w:left="634"/>
      </w:pPr>
      <w:r w:rsidRPr="009C2EAF">
        <w:rPr>
          <w:b/>
          <w:bCs/>
        </w:rPr>
        <w:t>Requirement</w:t>
      </w:r>
      <w:r w:rsidRPr="009C2EAF" w:rsidR="00DC2370">
        <w:t xml:space="preserve">: </w:t>
      </w:r>
      <w:r w:rsidRPr="009C2EAF" w:rsidR="00510F3E">
        <w:t>X-ray</w:t>
      </w:r>
      <w:r w:rsidRPr="009C2EAF">
        <w:t xml:space="preserve"> suppliers must test and maintain records to prove their equipment meets safety standards.</w:t>
      </w:r>
    </w:p>
    <w:p w:rsidR="00696FDD" w:rsidP="00696FDD" w14:paraId="0A75D87A" w14:textId="77777777">
      <w:pPr>
        <w:numPr>
          <w:ilvl w:val="0"/>
          <w:numId w:val="23"/>
        </w:numPr>
        <w:ind w:left="634"/>
      </w:pPr>
      <w:r w:rsidRPr="009C2EAF">
        <w:rPr>
          <w:b/>
          <w:bCs/>
        </w:rPr>
        <w:t>Exemption</w:t>
      </w:r>
      <w:r w:rsidRPr="009C2EAF">
        <w:t xml:space="preserve">: </w:t>
      </w:r>
      <w:r w:rsidRPr="009C2EAF" w:rsidR="00470DCF">
        <w:t>5 CFR §1320.3(b)(2) – usual and customary business practice</w:t>
      </w:r>
    </w:p>
    <w:p w:rsidR="00470DCF" w:rsidP="00F05BC1" w14:paraId="5F5DD722" w14:textId="77C2E270">
      <w:pPr>
        <w:keepNext w:val="0"/>
        <w:keepLines w:val="0"/>
        <w:numPr>
          <w:ilvl w:val="0"/>
          <w:numId w:val="23"/>
        </w:numPr>
        <w:ind w:left="634"/>
      </w:pPr>
      <w:r w:rsidRPr="00696FDD">
        <w:rPr>
          <w:b/>
          <w:bCs/>
        </w:rPr>
        <w:t>Rationale</w:t>
      </w:r>
      <w:r w:rsidRPr="009C2EAF" w:rsidR="00DC2370">
        <w:t xml:space="preserve">: </w:t>
      </w:r>
      <w:r w:rsidRPr="009C2EAF">
        <w:t>Testing</w:t>
      </w:r>
      <w:r w:rsidRPr="00E31DA1">
        <w:t xml:space="preserve"> and maintaining records to prove medical equipment complies with safety standards is standard practice</w:t>
      </w:r>
    </w:p>
    <w:p w:rsidR="00F05BC1" w:rsidRPr="003D2C98" w:rsidP="003D2C98" w14:paraId="01B0E7EA" w14:textId="77777777">
      <w:pPr>
        <w:pStyle w:val="Text3-addnext"/>
        <w:keepNext w:val="0"/>
      </w:pPr>
    </w:p>
    <w:p w:rsidR="00F05BC1" w:rsidRPr="003D2C98" w:rsidP="003D2C98" w14:paraId="59ABBD99" w14:textId="77777777">
      <w:pPr>
        <w:pStyle w:val="Text3-addnext"/>
        <w:keepNext w:val="0"/>
      </w:pPr>
    </w:p>
    <w:p w:rsidR="00F05BC1" w:rsidRPr="003D2C98" w:rsidP="003D2C98" w14:paraId="00B27B1C" w14:textId="77777777">
      <w:pPr>
        <w:pStyle w:val="Text3-addnext"/>
        <w:keepNext w:val="0"/>
      </w:pPr>
    </w:p>
    <w:p w:rsidR="00F05BC1" w:rsidRPr="003D2C98" w:rsidP="003D2C98" w14:paraId="09F32211" w14:textId="77777777">
      <w:pPr>
        <w:pStyle w:val="Text3-addnext"/>
        <w:keepNext w:val="0"/>
      </w:pPr>
    </w:p>
    <w:p w:rsidR="00F05BC1" w:rsidRPr="003D2C98" w:rsidP="003D2C98" w14:paraId="5F90DE48" w14:textId="77777777">
      <w:pPr>
        <w:pStyle w:val="Text3-addnext"/>
        <w:keepNext w:val="0"/>
      </w:pPr>
    </w:p>
    <w:p w:rsidR="00F05BC1" w:rsidRPr="003D2C98" w:rsidP="003D2C98" w14:paraId="13F8A94D" w14:textId="77777777">
      <w:pPr>
        <w:pStyle w:val="Text3-addnext"/>
        <w:keepNext w:val="0"/>
      </w:pPr>
    </w:p>
    <w:p w:rsidR="001904EA" w:rsidRPr="00186BAA" w:rsidP="003D2C98" w14:paraId="5B31030E" w14:textId="4583BBB3">
      <w:pPr>
        <w:pStyle w:val="Heading3"/>
      </w:pPr>
      <w:r w:rsidRPr="00186BAA">
        <w:t>Part 12-</w:t>
      </w:r>
      <w:r w:rsidRPr="00186BAA" w:rsidR="009E2A32">
        <w:t>D</w:t>
      </w:r>
      <w:r w:rsidRPr="00186BAA">
        <w:t>: Burden Summary</w:t>
      </w:r>
    </w:p>
    <w:p w:rsidR="001904EA" w:rsidRPr="00696FDD" w:rsidP="003D2C98" w14:paraId="024F20A2" w14:textId="776A936B">
      <w:pPr>
        <w:pStyle w:val="Text3-addnext"/>
      </w:pPr>
      <w:r w:rsidRPr="00696FDD">
        <w:t>As shown in Table 5</w:t>
      </w:r>
      <w:r w:rsidRPr="00696FDD" w:rsidR="008C3FFA">
        <w:t xml:space="preserve"> below</w:t>
      </w:r>
      <w:r w:rsidRPr="00696FDD">
        <w:t xml:space="preserve">, we estimate that the total </w:t>
      </w:r>
      <w:r w:rsidRPr="00696FDD" w:rsidR="004E4177">
        <w:t xml:space="preserve">incremental </w:t>
      </w:r>
      <w:r w:rsidRPr="00696FDD">
        <w:t>annual burden hours to industry for IC-1</w:t>
      </w:r>
      <w:r w:rsidRPr="00696FDD" w:rsidR="00ED3BE2">
        <w:t xml:space="preserve"> and</w:t>
      </w:r>
      <w:r w:rsidRPr="00696FDD">
        <w:t xml:space="preserve"> IC-</w:t>
      </w:r>
      <w:r w:rsidRPr="00696FDD" w:rsidR="00926DD6">
        <w:t>2</w:t>
      </w:r>
      <w:r w:rsidRPr="00696FDD">
        <w:t xml:space="preserve"> is </w:t>
      </w:r>
      <w:r w:rsidRPr="00696FDD" w:rsidR="00C30899">
        <w:t>34</w:t>
      </w:r>
      <w:r w:rsidRPr="00696FDD" w:rsidR="00AB25FE">
        <w:t>0</w:t>
      </w:r>
      <w:r w:rsidRPr="00696FDD">
        <w:t xml:space="preserve"> hours at an annual cost of $</w:t>
      </w:r>
      <w:r w:rsidRPr="00696FDD" w:rsidR="00C30899">
        <w:t>1</w:t>
      </w:r>
      <w:r w:rsidRPr="00696FDD" w:rsidR="00AB25FE">
        <w:t>4,960</w:t>
      </w:r>
      <w:r w:rsidRPr="00696FDD">
        <w:t>.</w:t>
      </w:r>
    </w:p>
    <w:p w:rsidR="00304C6C" w:rsidRPr="00696FDD" w:rsidP="003D2C98" w14:paraId="3C98B7B4" w14:textId="77777777">
      <w:pPr>
        <w:pStyle w:val="Text3-addnext"/>
      </w:pPr>
    </w:p>
    <w:p w:rsidR="00696FDD" w:rsidP="002861CE" w14:paraId="3F184C28" w14:textId="36DE627A">
      <w:pPr>
        <w:pStyle w:val="Heading6"/>
        <w:ind w:left="360"/>
      </w:pPr>
      <w:r w:rsidRPr="00186BAA">
        <w:t>Table 5. Total</w:t>
      </w:r>
      <w:r w:rsidRPr="00186BAA" w:rsidR="004E4177">
        <w:t xml:space="preserve"> Incremental </w:t>
      </w:r>
      <w:r w:rsidRPr="00186BAA">
        <w:t>Annual Burden Hours and Costs</w:t>
      </w:r>
      <w:r w:rsidRPr="00186BAA" w:rsidR="00AC0818">
        <w:t xml:space="preserve"> </w:t>
      </w:r>
      <w:r w:rsidRPr="00186BAA">
        <w:t>for</w:t>
      </w:r>
      <w:r w:rsidRPr="00186BAA" w:rsidR="00AC0818">
        <w:t xml:space="preserve"> </w:t>
      </w:r>
      <w:r w:rsidR="00F05BC1">
        <w:t xml:space="preserve">                                     </w:t>
      </w:r>
      <w:r w:rsidRPr="00186BAA">
        <w:t xml:space="preserve">all Portable </w:t>
      </w:r>
      <w:r w:rsidRPr="00186BAA" w:rsidR="00510F3E">
        <w:t>X-ray</w:t>
      </w:r>
      <w:r w:rsidRPr="00186BAA">
        <w:t xml:space="preserve"> </w:t>
      </w:r>
      <w:r w:rsidRPr="00186BAA" w:rsidR="00E75041">
        <w:t>s</w:t>
      </w:r>
      <w:r w:rsidRPr="00186BAA">
        <w:t>uppliers</w:t>
      </w:r>
    </w:p>
    <w:tbl>
      <w:tblPr>
        <w:tblW w:w="9080" w:type="dxa"/>
        <w:tblInd w:w="445" w:type="dxa"/>
        <w:tblLook w:val="04A0"/>
      </w:tblPr>
      <w:tblGrid>
        <w:gridCol w:w="2970"/>
        <w:gridCol w:w="1188"/>
        <w:gridCol w:w="1306"/>
        <w:gridCol w:w="1094"/>
        <w:gridCol w:w="1261"/>
        <w:gridCol w:w="1261"/>
      </w:tblGrid>
      <w:tr w14:paraId="306EC957" w14:textId="77777777" w:rsidTr="002861CE">
        <w:tblPrEx>
          <w:tblW w:w="9080" w:type="dxa"/>
          <w:tblInd w:w="445" w:type="dxa"/>
          <w:tblLook w:val="04A0"/>
        </w:tblPrEx>
        <w:trPr>
          <w:trHeight w:val="947"/>
        </w:trPr>
        <w:tc>
          <w:tcPr>
            <w:tcW w:w="2970" w:type="dxa"/>
            <w:tcBorders>
              <w:top w:val="single" w:sz="4" w:space="0" w:color="auto"/>
              <w:left w:val="single" w:sz="4" w:space="0" w:color="auto"/>
              <w:bottom w:val="single" w:sz="4" w:space="0" w:color="auto"/>
              <w:right w:val="nil"/>
            </w:tcBorders>
            <w:shd w:val="clear" w:color="000000" w:fill="F2F2F2"/>
            <w:noWrap/>
            <w:vAlign w:val="center"/>
            <w:hideMark/>
          </w:tcPr>
          <w:p w:rsidR="00696FDD" w:rsidRPr="00696FDD" w:rsidP="00F05BC1" w14:paraId="121B3CF9" w14:textId="77777777">
            <w:pPr>
              <w:keepNext w:val="0"/>
              <w:keepLines w:val="0"/>
              <w:jc w:val="center"/>
              <w:rPr>
                <w:b/>
                <w:bCs/>
                <w:sz w:val="20"/>
                <w:szCs w:val="20"/>
              </w:rPr>
            </w:pPr>
            <w:r w:rsidRPr="00696FDD">
              <w:rPr>
                <w:b/>
                <w:bCs/>
                <w:sz w:val="20"/>
                <w:szCs w:val="20"/>
              </w:rPr>
              <w:t>Information Collection No.</w:t>
            </w:r>
          </w:p>
        </w:tc>
        <w:tc>
          <w:tcPr>
            <w:tcW w:w="1188" w:type="dxa"/>
            <w:tcBorders>
              <w:top w:val="single" w:sz="4" w:space="0" w:color="auto"/>
              <w:left w:val="single" w:sz="4" w:space="0" w:color="auto"/>
              <w:bottom w:val="single" w:sz="4" w:space="0" w:color="auto"/>
              <w:right w:val="single" w:sz="4" w:space="0" w:color="auto"/>
            </w:tcBorders>
            <w:shd w:val="clear" w:color="000000" w:fill="F2F2F2"/>
            <w:vAlign w:val="center"/>
            <w:hideMark/>
          </w:tcPr>
          <w:p w:rsidR="00696FDD" w:rsidRPr="00696FDD" w:rsidP="00F05BC1" w14:paraId="39FED9F9" w14:textId="77777777">
            <w:pPr>
              <w:keepNext w:val="0"/>
              <w:keepLines w:val="0"/>
              <w:jc w:val="center"/>
              <w:rPr>
                <w:b/>
                <w:bCs/>
                <w:sz w:val="20"/>
                <w:szCs w:val="20"/>
              </w:rPr>
            </w:pPr>
            <w:r w:rsidRPr="00696FDD">
              <w:rPr>
                <w:b/>
                <w:bCs/>
                <w:sz w:val="20"/>
                <w:szCs w:val="20"/>
              </w:rPr>
              <w:t>42 CFR Section</w:t>
            </w:r>
          </w:p>
        </w:tc>
        <w:tc>
          <w:tcPr>
            <w:tcW w:w="1306" w:type="dxa"/>
            <w:tcBorders>
              <w:top w:val="single" w:sz="4" w:space="0" w:color="auto"/>
              <w:left w:val="nil"/>
              <w:bottom w:val="single" w:sz="4" w:space="0" w:color="auto"/>
              <w:right w:val="single" w:sz="4" w:space="0" w:color="auto"/>
            </w:tcBorders>
            <w:shd w:val="clear" w:color="000000" w:fill="F2F2F2"/>
            <w:vAlign w:val="center"/>
          </w:tcPr>
          <w:p w:rsidR="00696FDD" w:rsidRPr="00696FDD" w:rsidP="00F05BC1" w14:paraId="00FD042C" w14:textId="77777777">
            <w:pPr>
              <w:keepNext w:val="0"/>
              <w:keepLines w:val="0"/>
              <w:jc w:val="center"/>
              <w:rPr>
                <w:b/>
                <w:bCs/>
                <w:sz w:val="20"/>
                <w:szCs w:val="20"/>
              </w:rPr>
            </w:pPr>
            <w:r w:rsidRPr="00696FDD">
              <w:rPr>
                <w:b/>
                <w:bCs/>
                <w:sz w:val="20"/>
                <w:szCs w:val="20"/>
              </w:rPr>
              <w:t>Respondents</w:t>
            </w:r>
          </w:p>
        </w:tc>
        <w:tc>
          <w:tcPr>
            <w:tcW w:w="1094" w:type="dxa"/>
            <w:tcBorders>
              <w:top w:val="single" w:sz="4" w:space="0" w:color="auto"/>
              <w:left w:val="single" w:sz="4" w:space="0" w:color="auto"/>
              <w:bottom w:val="single" w:sz="4" w:space="0" w:color="auto"/>
              <w:right w:val="single" w:sz="4" w:space="0" w:color="auto"/>
            </w:tcBorders>
            <w:shd w:val="clear" w:color="000000" w:fill="F2F2F2"/>
            <w:vAlign w:val="center"/>
            <w:hideMark/>
          </w:tcPr>
          <w:p w:rsidR="00696FDD" w:rsidRPr="00696FDD" w:rsidP="00F05BC1" w14:paraId="0595AFE1" w14:textId="77777777">
            <w:pPr>
              <w:keepNext w:val="0"/>
              <w:keepLines w:val="0"/>
              <w:jc w:val="center"/>
              <w:rPr>
                <w:b/>
                <w:bCs/>
                <w:sz w:val="20"/>
                <w:szCs w:val="20"/>
              </w:rPr>
            </w:pPr>
            <w:r w:rsidRPr="00696FDD">
              <w:rPr>
                <w:b/>
                <w:bCs/>
                <w:sz w:val="20"/>
                <w:szCs w:val="20"/>
              </w:rPr>
              <w:t>Responses</w:t>
            </w:r>
          </w:p>
        </w:tc>
        <w:tc>
          <w:tcPr>
            <w:tcW w:w="1261" w:type="dxa"/>
            <w:tcBorders>
              <w:top w:val="single" w:sz="4" w:space="0" w:color="auto"/>
              <w:left w:val="nil"/>
              <w:bottom w:val="single" w:sz="4" w:space="0" w:color="auto"/>
              <w:right w:val="single" w:sz="4" w:space="0" w:color="auto"/>
            </w:tcBorders>
            <w:shd w:val="clear" w:color="000000" w:fill="F2F2F2"/>
            <w:vAlign w:val="center"/>
            <w:hideMark/>
          </w:tcPr>
          <w:p w:rsidR="00696FDD" w:rsidRPr="00696FDD" w:rsidP="00F05BC1" w14:paraId="5A88FE70" w14:textId="77777777">
            <w:pPr>
              <w:keepNext w:val="0"/>
              <w:keepLines w:val="0"/>
              <w:jc w:val="center"/>
              <w:rPr>
                <w:b/>
                <w:bCs/>
                <w:sz w:val="20"/>
                <w:szCs w:val="20"/>
              </w:rPr>
            </w:pPr>
            <w:r w:rsidRPr="00696FDD">
              <w:rPr>
                <w:b/>
                <w:bCs/>
                <w:sz w:val="20"/>
                <w:szCs w:val="20"/>
              </w:rPr>
              <w:t>Incremental</w:t>
            </w:r>
          </w:p>
          <w:p w:rsidR="00696FDD" w:rsidRPr="00696FDD" w:rsidP="00F05BC1" w14:paraId="549600C3" w14:textId="77777777">
            <w:pPr>
              <w:keepNext w:val="0"/>
              <w:keepLines w:val="0"/>
              <w:jc w:val="center"/>
              <w:rPr>
                <w:b/>
                <w:bCs/>
                <w:sz w:val="20"/>
                <w:szCs w:val="20"/>
              </w:rPr>
            </w:pPr>
            <w:r w:rsidRPr="00696FDD">
              <w:rPr>
                <w:b/>
                <w:bCs/>
                <w:sz w:val="20"/>
                <w:szCs w:val="20"/>
              </w:rPr>
              <w:t>Annual</w:t>
            </w:r>
          </w:p>
          <w:p w:rsidR="00696FDD" w:rsidRPr="00696FDD" w:rsidP="00F05BC1" w14:paraId="19A80CE9" w14:textId="77777777">
            <w:pPr>
              <w:keepNext w:val="0"/>
              <w:keepLines w:val="0"/>
              <w:jc w:val="center"/>
              <w:rPr>
                <w:b/>
                <w:bCs/>
                <w:sz w:val="20"/>
                <w:szCs w:val="20"/>
              </w:rPr>
            </w:pPr>
            <w:r w:rsidRPr="00696FDD">
              <w:rPr>
                <w:b/>
                <w:bCs/>
                <w:sz w:val="20"/>
                <w:szCs w:val="20"/>
              </w:rPr>
              <w:t>Burden Hours</w:t>
            </w:r>
          </w:p>
        </w:tc>
        <w:tc>
          <w:tcPr>
            <w:tcW w:w="1261" w:type="dxa"/>
            <w:tcBorders>
              <w:top w:val="single" w:sz="4" w:space="0" w:color="auto"/>
              <w:left w:val="nil"/>
              <w:bottom w:val="single" w:sz="4" w:space="0" w:color="auto"/>
              <w:right w:val="single" w:sz="4" w:space="0" w:color="auto"/>
            </w:tcBorders>
            <w:shd w:val="clear" w:color="000000" w:fill="F2F2F2"/>
            <w:vAlign w:val="center"/>
            <w:hideMark/>
          </w:tcPr>
          <w:p w:rsidR="00696FDD" w:rsidRPr="00696FDD" w:rsidP="00F05BC1" w14:paraId="5F0418D7" w14:textId="77777777">
            <w:pPr>
              <w:keepNext w:val="0"/>
              <w:keepLines w:val="0"/>
              <w:jc w:val="center"/>
              <w:rPr>
                <w:b/>
                <w:bCs/>
                <w:sz w:val="20"/>
                <w:szCs w:val="20"/>
              </w:rPr>
            </w:pPr>
            <w:r w:rsidRPr="00696FDD">
              <w:rPr>
                <w:b/>
                <w:bCs/>
                <w:sz w:val="20"/>
                <w:szCs w:val="20"/>
              </w:rPr>
              <w:t>Incremental</w:t>
            </w:r>
          </w:p>
          <w:p w:rsidR="00696FDD" w:rsidRPr="00696FDD" w:rsidP="00F05BC1" w14:paraId="3B39D3E9" w14:textId="77777777">
            <w:pPr>
              <w:keepNext w:val="0"/>
              <w:keepLines w:val="0"/>
              <w:jc w:val="center"/>
              <w:rPr>
                <w:b/>
                <w:bCs/>
                <w:sz w:val="20"/>
                <w:szCs w:val="20"/>
              </w:rPr>
            </w:pPr>
            <w:r w:rsidRPr="00696FDD">
              <w:rPr>
                <w:b/>
                <w:bCs/>
                <w:sz w:val="20"/>
                <w:szCs w:val="20"/>
              </w:rPr>
              <w:t>Annual</w:t>
            </w:r>
          </w:p>
          <w:p w:rsidR="00696FDD" w:rsidRPr="00696FDD" w:rsidP="00F05BC1" w14:paraId="34836963" w14:textId="77777777">
            <w:pPr>
              <w:keepNext w:val="0"/>
              <w:keepLines w:val="0"/>
              <w:jc w:val="center"/>
              <w:rPr>
                <w:b/>
                <w:bCs/>
                <w:sz w:val="20"/>
                <w:szCs w:val="20"/>
              </w:rPr>
            </w:pPr>
            <w:r w:rsidRPr="00696FDD">
              <w:rPr>
                <w:b/>
                <w:bCs/>
                <w:sz w:val="20"/>
                <w:szCs w:val="20"/>
              </w:rPr>
              <w:t>Burden Cost</w:t>
            </w:r>
          </w:p>
        </w:tc>
      </w:tr>
      <w:tr w14:paraId="6BE1AED9" w14:textId="77777777" w:rsidTr="002861CE">
        <w:tblPrEx>
          <w:tblW w:w="9080" w:type="dxa"/>
          <w:tblInd w:w="445" w:type="dxa"/>
          <w:tblLook w:val="04A0"/>
        </w:tblPrEx>
        <w:trPr>
          <w:trHeight w:val="884"/>
        </w:trPr>
        <w:tc>
          <w:tcPr>
            <w:tcW w:w="2970" w:type="dxa"/>
            <w:tcBorders>
              <w:top w:val="nil"/>
              <w:left w:val="single" w:sz="4" w:space="0" w:color="000000"/>
              <w:bottom w:val="single" w:sz="4" w:space="0" w:color="000000"/>
              <w:right w:val="nil"/>
            </w:tcBorders>
            <w:noWrap/>
            <w:vAlign w:val="center"/>
          </w:tcPr>
          <w:p w:rsidR="00696FDD" w:rsidRPr="00696FDD" w:rsidP="00F05BC1" w14:paraId="252EE84C" w14:textId="77777777">
            <w:pPr>
              <w:keepNext w:val="0"/>
              <w:keepLines w:val="0"/>
              <w:rPr>
                <w:b/>
                <w:bCs/>
                <w:sz w:val="20"/>
                <w:szCs w:val="20"/>
              </w:rPr>
            </w:pPr>
            <w:r w:rsidRPr="00696FDD">
              <w:rPr>
                <w:b/>
                <w:bCs/>
                <w:sz w:val="20"/>
                <w:szCs w:val="20"/>
              </w:rPr>
              <w:t>IC-1: Document Qualifications &amp; Training in Employee Records</w:t>
            </w:r>
          </w:p>
        </w:tc>
        <w:tc>
          <w:tcPr>
            <w:tcW w:w="1188" w:type="dxa"/>
            <w:tcBorders>
              <w:top w:val="nil"/>
              <w:left w:val="single" w:sz="4" w:space="0" w:color="auto"/>
              <w:bottom w:val="single" w:sz="4" w:space="0" w:color="auto"/>
              <w:right w:val="single" w:sz="4" w:space="0" w:color="auto"/>
            </w:tcBorders>
            <w:noWrap/>
            <w:vAlign w:val="center"/>
          </w:tcPr>
          <w:p w:rsidR="00696FDD" w:rsidRPr="00696FDD" w:rsidP="00F05BC1" w14:paraId="13926F59" w14:textId="77777777">
            <w:pPr>
              <w:keepNext w:val="0"/>
              <w:keepLines w:val="0"/>
              <w:jc w:val="center"/>
              <w:rPr>
                <w:sz w:val="20"/>
                <w:szCs w:val="20"/>
              </w:rPr>
            </w:pPr>
            <w:r w:rsidRPr="00696FDD">
              <w:rPr>
                <w:sz w:val="20"/>
                <w:szCs w:val="20"/>
              </w:rPr>
              <w:t>§486.104(c)</w:t>
            </w:r>
          </w:p>
        </w:tc>
        <w:tc>
          <w:tcPr>
            <w:tcW w:w="1306" w:type="dxa"/>
            <w:tcBorders>
              <w:top w:val="single" w:sz="4" w:space="0" w:color="auto"/>
              <w:left w:val="nil"/>
              <w:bottom w:val="single" w:sz="4" w:space="0" w:color="auto"/>
              <w:right w:val="single" w:sz="4" w:space="0" w:color="auto"/>
            </w:tcBorders>
            <w:vAlign w:val="center"/>
          </w:tcPr>
          <w:p w:rsidR="00696FDD" w:rsidRPr="00696FDD" w:rsidP="00F05BC1" w14:paraId="73C66499" w14:textId="77777777">
            <w:pPr>
              <w:keepNext w:val="0"/>
              <w:keepLines w:val="0"/>
              <w:jc w:val="center"/>
              <w:rPr>
                <w:sz w:val="20"/>
                <w:szCs w:val="20"/>
              </w:rPr>
            </w:pPr>
            <w:r w:rsidRPr="00696FDD">
              <w:rPr>
                <w:sz w:val="20"/>
                <w:szCs w:val="20"/>
              </w:rPr>
              <w:t>540</w:t>
            </w:r>
          </w:p>
        </w:tc>
        <w:tc>
          <w:tcPr>
            <w:tcW w:w="1094" w:type="dxa"/>
            <w:tcBorders>
              <w:top w:val="single" w:sz="4" w:space="0" w:color="auto"/>
              <w:left w:val="single" w:sz="4" w:space="0" w:color="auto"/>
              <w:bottom w:val="single" w:sz="4" w:space="0" w:color="auto"/>
              <w:right w:val="single" w:sz="4" w:space="0" w:color="auto"/>
            </w:tcBorders>
            <w:noWrap/>
            <w:vAlign w:val="center"/>
          </w:tcPr>
          <w:p w:rsidR="00696FDD" w:rsidRPr="00696FDD" w:rsidP="00F05BC1" w14:paraId="1D0E356C" w14:textId="77777777">
            <w:pPr>
              <w:keepNext w:val="0"/>
              <w:keepLines w:val="0"/>
              <w:jc w:val="center"/>
              <w:rPr>
                <w:sz w:val="20"/>
                <w:szCs w:val="20"/>
              </w:rPr>
            </w:pPr>
            <w:r w:rsidRPr="00696FDD">
              <w:rPr>
                <w:sz w:val="20"/>
                <w:szCs w:val="20"/>
              </w:rPr>
              <w:t>540</w:t>
            </w:r>
          </w:p>
        </w:tc>
        <w:tc>
          <w:tcPr>
            <w:tcW w:w="1261" w:type="dxa"/>
            <w:tcBorders>
              <w:top w:val="nil"/>
              <w:left w:val="nil"/>
              <w:bottom w:val="single" w:sz="4" w:space="0" w:color="auto"/>
              <w:right w:val="single" w:sz="4" w:space="0" w:color="auto"/>
            </w:tcBorders>
            <w:noWrap/>
            <w:vAlign w:val="center"/>
          </w:tcPr>
          <w:p w:rsidR="00696FDD" w:rsidRPr="00696FDD" w:rsidP="00F05BC1" w14:paraId="4524432E" w14:textId="77777777">
            <w:pPr>
              <w:keepNext w:val="0"/>
              <w:keepLines w:val="0"/>
              <w:jc w:val="center"/>
              <w:rPr>
                <w:sz w:val="20"/>
                <w:szCs w:val="20"/>
              </w:rPr>
            </w:pPr>
            <w:r w:rsidRPr="00696FDD">
              <w:rPr>
                <w:sz w:val="20"/>
                <w:szCs w:val="20"/>
              </w:rPr>
              <w:t>270</w:t>
            </w:r>
          </w:p>
        </w:tc>
        <w:tc>
          <w:tcPr>
            <w:tcW w:w="1261" w:type="dxa"/>
            <w:tcBorders>
              <w:top w:val="nil"/>
              <w:left w:val="nil"/>
              <w:bottom w:val="single" w:sz="4" w:space="0" w:color="auto"/>
              <w:right w:val="single" w:sz="4" w:space="0" w:color="auto"/>
            </w:tcBorders>
            <w:noWrap/>
            <w:vAlign w:val="center"/>
          </w:tcPr>
          <w:p w:rsidR="00696FDD" w:rsidRPr="00696FDD" w:rsidP="00F05BC1" w14:paraId="1B32187A" w14:textId="41922008">
            <w:pPr>
              <w:keepNext w:val="0"/>
              <w:keepLines w:val="0"/>
              <w:jc w:val="center"/>
              <w:rPr>
                <w:sz w:val="20"/>
                <w:szCs w:val="20"/>
              </w:rPr>
            </w:pPr>
            <w:r w:rsidRPr="00696FDD">
              <w:rPr>
                <w:sz w:val="20"/>
                <w:szCs w:val="20"/>
              </w:rPr>
              <w:t>$11,880</w:t>
            </w:r>
          </w:p>
        </w:tc>
      </w:tr>
      <w:tr w14:paraId="11E54C38" w14:textId="77777777" w:rsidTr="002861CE">
        <w:tblPrEx>
          <w:tblW w:w="9080" w:type="dxa"/>
          <w:tblInd w:w="445" w:type="dxa"/>
          <w:tblLook w:val="04A0"/>
        </w:tblPrEx>
        <w:trPr>
          <w:trHeight w:val="803"/>
        </w:trPr>
        <w:tc>
          <w:tcPr>
            <w:tcW w:w="2970" w:type="dxa"/>
            <w:tcBorders>
              <w:top w:val="nil"/>
              <w:left w:val="single" w:sz="4" w:space="0" w:color="000000"/>
              <w:bottom w:val="single" w:sz="4" w:space="0" w:color="000000"/>
              <w:right w:val="nil"/>
            </w:tcBorders>
            <w:noWrap/>
            <w:vAlign w:val="center"/>
          </w:tcPr>
          <w:p w:rsidR="00696FDD" w:rsidRPr="00696FDD" w:rsidP="00F05BC1" w14:paraId="4BFDB351" w14:textId="77777777">
            <w:pPr>
              <w:keepNext w:val="0"/>
              <w:keepLines w:val="0"/>
              <w:rPr>
                <w:b/>
                <w:bCs/>
                <w:sz w:val="20"/>
                <w:szCs w:val="20"/>
              </w:rPr>
            </w:pPr>
            <w:r w:rsidRPr="00696FDD">
              <w:rPr>
                <w:b/>
                <w:bCs/>
                <w:sz w:val="20"/>
                <w:szCs w:val="20"/>
              </w:rPr>
              <w:t>IC-2: Maintain Inspection Records</w:t>
            </w:r>
          </w:p>
        </w:tc>
        <w:tc>
          <w:tcPr>
            <w:tcW w:w="1188" w:type="dxa"/>
            <w:tcBorders>
              <w:top w:val="nil"/>
              <w:left w:val="single" w:sz="4" w:space="0" w:color="auto"/>
              <w:bottom w:val="single" w:sz="4" w:space="0" w:color="auto"/>
              <w:right w:val="single" w:sz="4" w:space="0" w:color="auto"/>
            </w:tcBorders>
            <w:noWrap/>
            <w:vAlign w:val="center"/>
          </w:tcPr>
          <w:p w:rsidR="00696FDD" w:rsidRPr="00696FDD" w:rsidP="00F05BC1" w14:paraId="5ED50743" w14:textId="77777777">
            <w:pPr>
              <w:keepNext w:val="0"/>
              <w:keepLines w:val="0"/>
              <w:jc w:val="center"/>
              <w:rPr>
                <w:sz w:val="20"/>
                <w:szCs w:val="20"/>
              </w:rPr>
            </w:pPr>
            <w:r w:rsidRPr="00696FDD">
              <w:rPr>
                <w:sz w:val="20"/>
                <w:szCs w:val="20"/>
              </w:rPr>
              <w:t>§486.110</w:t>
            </w:r>
          </w:p>
        </w:tc>
        <w:tc>
          <w:tcPr>
            <w:tcW w:w="1306" w:type="dxa"/>
            <w:tcBorders>
              <w:top w:val="single" w:sz="4" w:space="0" w:color="auto"/>
              <w:left w:val="nil"/>
              <w:bottom w:val="single" w:sz="4" w:space="0" w:color="auto"/>
              <w:right w:val="single" w:sz="4" w:space="0" w:color="auto"/>
            </w:tcBorders>
            <w:vAlign w:val="center"/>
          </w:tcPr>
          <w:p w:rsidR="00696FDD" w:rsidRPr="00696FDD" w:rsidP="00F05BC1" w14:paraId="2D847134" w14:textId="77777777">
            <w:pPr>
              <w:keepNext w:val="0"/>
              <w:keepLines w:val="0"/>
              <w:jc w:val="center"/>
              <w:rPr>
                <w:sz w:val="20"/>
                <w:szCs w:val="20"/>
              </w:rPr>
            </w:pPr>
            <w:r w:rsidRPr="00696FDD">
              <w:rPr>
                <w:sz w:val="20"/>
                <w:szCs w:val="20"/>
              </w:rPr>
              <w:t>540</w:t>
            </w:r>
          </w:p>
        </w:tc>
        <w:tc>
          <w:tcPr>
            <w:tcW w:w="1094" w:type="dxa"/>
            <w:tcBorders>
              <w:top w:val="single" w:sz="4" w:space="0" w:color="auto"/>
              <w:left w:val="single" w:sz="4" w:space="0" w:color="auto"/>
              <w:bottom w:val="single" w:sz="4" w:space="0" w:color="auto"/>
              <w:right w:val="single" w:sz="4" w:space="0" w:color="auto"/>
            </w:tcBorders>
            <w:noWrap/>
            <w:vAlign w:val="center"/>
          </w:tcPr>
          <w:p w:rsidR="00696FDD" w:rsidRPr="00696FDD" w:rsidP="00F05BC1" w14:paraId="4CF7A5E4" w14:textId="77777777">
            <w:pPr>
              <w:keepNext w:val="0"/>
              <w:keepLines w:val="0"/>
              <w:jc w:val="center"/>
              <w:rPr>
                <w:sz w:val="20"/>
                <w:szCs w:val="20"/>
              </w:rPr>
            </w:pPr>
            <w:r w:rsidRPr="00696FDD">
              <w:rPr>
                <w:sz w:val="20"/>
                <w:szCs w:val="20"/>
              </w:rPr>
              <w:t>540</w:t>
            </w:r>
          </w:p>
        </w:tc>
        <w:tc>
          <w:tcPr>
            <w:tcW w:w="1261" w:type="dxa"/>
            <w:tcBorders>
              <w:top w:val="nil"/>
              <w:left w:val="nil"/>
              <w:bottom w:val="single" w:sz="4" w:space="0" w:color="auto"/>
              <w:right w:val="single" w:sz="4" w:space="0" w:color="auto"/>
            </w:tcBorders>
            <w:noWrap/>
            <w:vAlign w:val="center"/>
          </w:tcPr>
          <w:p w:rsidR="00696FDD" w:rsidRPr="00696FDD" w:rsidP="00F05BC1" w14:paraId="53A3F90A" w14:textId="77777777">
            <w:pPr>
              <w:keepNext w:val="0"/>
              <w:keepLines w:val="0"/>
              <w:jc w:val="center"/>
              <w:rPr>
                <w:sz w:val="20"/>
                <w:szCs w:val="20"/>
              </w:rPr>
            </w:pPr>
            <w:r w:rsidRPr="00696FDD">
              <w:rPr>
                <w:sz w:val="20"/>
                <w:szCs w:val="20"/>
              </w:rPr>
              <w:t>70</w:t>
            </w:r>
          </w:p>
        </w:tc>
        <w:tc>
          <w:tcPr>
            <w:tcW w:w="1261" w:type="dxa"/>
            <w:tcBorders>
              <w:top w:val="nil"/>
              <w:left w:val="nil"/>
              <w:bottom w:val="single" w:sz="4" w:space="0" w:color="auto"/>
              <w:right w:val="single" w:sz="4" w:space="0" w:color="auto"/>
            </w:tcBorders>
            <w:noWrap/>
            <w:vAlign w:val="center"/>
          </w:tcPr>
          <w:p w:rsidR="00696FDD" w:rsidRPr="00696FDD" w:rsidP="00F05BC1" w14:paraId="5495CCF9" w14:textId="1DE3B896">
            <w:pPr>
              <w:keepNext w:val="0"/>
              <w:keepLines w:val="0"/>
              <w:jc w:val="center"/>
              <w:rPr>
                <w:sz w:val="20"/>
                <w:szCs w:val="20"/>
              </w:rPr>
            </w:pPr>
            <w:r w:rsidRPr="00696FDD">
              <w:rPr>
                <w:sz w:val="20"/>
                <w:szCs w:val="20"/>
              </w:rPr>
              <w:t>$3,080</w:t>
            </w:r>
          </w:p>
        </w:tc>
      </w:tr>
      <w:tr w14:paraId="4BA30440" w14:textId="77777777" w:rsidTr="002861CE">
        <w:tblPrEx>
          <w:tblW w:w="9080" w:type="dxa"/>
          <w:tblInd w:w="445" w:type="dxa"/>
          <w:tblLook w:val="04A0"/>
        </w:tblPrEx>
        <w:trPr>
          <w:trHeight w:val="974"/>
        </w:trPr>
        <w:tc>
          <w:tcPr>
            <w:tcW w:w="2970" w:type="dxa"/>
            <w:tcBorders>
              <w:top w:val="nil"/>
              <w:left w:val="single" w:sz="4" w:space="0" w:color="auto"/>
              <w:bottom w:val="single" w:sz="4" w:space="0" w:color="auto"/>
              <w:right w:val="nil"/>
            </w:tcBorders>
            <w:shd w:val="clear" w:color="000000" w:fill="F2F2F2"/>
            <w:noWrap/>
            <w:vAlign w:val="center"/>
            <w:hideMark/>
          </w:tcPr>
          <w:p w:rsidR="00696FDD" w:rsidRPr="00696FDD" w:rsidP="00F05BC1" w14:paraId="24A9B911" w14:textId="77777777">
            <w:pPr>
              <w:keepNext w:val="0"/>
              <w:keepLines w:val="0"/>
              <w:rPr>
                <w:b/>
                <w:bCs/>
                <w:sz w:val="20"/>
                <w:szCs w:val="20"/>
              </w:rPr>
            </w:pPr>
            <w:r w:rsidRPr="00696FDD">
              <w:rPr>
                <w:b/>
                <w:bCs/>
                <w:sz w:val="20"/>
                <w:szCs w:val="20"/>
              </w:rPr>
              <w:t>Burden Hours and Costs</w:t>
            </w:r>
          </w:p>
          <w:p w:rsidR="00696FDD" w:rsidRPr="00696FDD" w:rsidP="00F05BC1" w14:paraId="1E2D87E9" w14:textId="77777777">
            <w:pPr>
              <w:keepNext w:val="0"/>
              <w:keepLines w:val="0"/>
              <w:rPr>
                <w:b/>
                <w:bCs/>
                <w:sz w:val="20"/>
                <w:szCs w:val="20"/>
              </w:rPr>
            </w:pPr>
            <w:r w:rsidRPr="00696FDD">
              <w:rPr>
                <w:b/>
                <w:bCs/>
                <w:sz w:val="20"/>
                <w:szCs w:val="20"/>
              </w:rPr>
              <w:t>for all Impacted Portable X-ray suppliers</w:t>
            </w:r>
          </w:p>
        </w:tc>
        <w:tc>
          <w:tcPr>
            <w:tcW w:w="1188" w:type="dxa"/>
            <w:tcBorders>
              <w:top w:val="nil"/>
              <w:left w:val="single" w:sz="4" w:space="0" w:color="auto"/>
              <w:bottom w:val="single" w:sz="4" w:space="0" w:color="auto"/>
              <w:right w:val="single" w:sz="4" w:space="0" w:color="auto"/>
            </w:tcBorders>
            <w:shd w:val="clear" w:color="000000" w:fill="F2F2F2"/>
            <w:noWrap/>
            <w:vAlign w:val="center"/>
          </w:tcPr>
          <w:p w:rsidR="00696FDD" w:rsidRPr="00696FDD" w:rsidP="00F05BC1" w14:paraId="53C3BB1A" w14:textId="77777777">
            <w:pPr>
              <w:keepNext w:val="0"/>
              <w:keepLines w:val="0"/>
              <w:jc w:val="center"/>
              <w:rPr>
                <w:b/>
                <w:bCs/>
                <w:sz w:val="20"/>
                <w:szCs w:val="20"/>
              </w:rPr>
            </w:pPr>
            <w:r w:rsidRPr="00696FDD">
              <w:rPr>
                <w:b/>
                <w:bCs/>
                <w:sz w:val="20"/>
                <w:szCs w:val="20"/>
              </w:rPr>
              <w:t>n/a</w:t>
            </w:r>
          </w:p>
        </w:tc>
        <w:tc>
          <w:tcPr>
            <w:tcW w:w="1306" w:type="dxa"/>
            <w:tcBorders>
              <w:top w:val="single" w:sz="4" w:space="0" w:color="auto"/>
              <w:left w:val="nil"/>
              <w:bottom w:val="single" w:sz="4" w:space="0" w:color="auto"/>
              <w:right w:val="single" w:sz="4" w:space="0" w:color="auto"/>
            </w:tcBorders>
            <w:shd w:val="clear" w:color="000000" w:fill="F2F2F2"/>
            <w:vAlign w:val="center"/>
          </w:tcPr>
          <w:p w:rsidR="00696FDD" w:rsidRPr="00696FDD" w:rsidP="00F05BC1" w14:paraId="16EDBCE6" w14:textId="77777777">
            <w:pPr>
              <w:keepNext w:val="0"/>
              <w:keepLines w:val="0"/>
              <w:jc w:val="center"/>
              <w:rPr>
                <w:b/>
                <w:bCs/>
                <w:sz w:val="20"/>
                <w:szCs w:val="20"/>
              </w:rPr>
            </w:pPr>
            <w:r w:rsidRPr="00696FDD">
              <w:rPr>
                <w:b/>
                <w:bCs/>
                <w:sz w:val="20"/>
                <w:szCs w:val="20"/>
              </w:rPr>
              <w:t>540</w:t>
            </w:r>
          </w:p>
        </w:tc>
        <w:tc>
          <w:tcPr>
            <w:tcW w:w="1094" w:type="dxa"/>
            <w:tcBorders>
              <w:top w:val="single" w:sz="4" w:space="0" w:color="auto"/>
              <w:left w:val="single" w:sz="4" w:space="0" w:color="auto"/>
              <w:bottom w:val="single" w:sz="4" w:space="0" w:color="auto"/>
              <w:right w:val="single" w:sz="4" w:space="0" w:color="auto"/>
            </w:tcBorders>
            <w:shd w:val="clear" w:color="000000" w:fill="F2F2F2"/>
            <w:noWrap/>
            <w:vAlign w:val="center"/>
          </w:tcPr>
          <w:p w:rsidR="00696FDD" w:rsidRPr="00696FDD" w:rsidP="00F05BC1" w14:paraId="39747EF9" w14:textId="77777777">
            <w:pPr>
              <w:keepNext w:val="0"/>
              <w:keepLines w:val="0"/>
              <w:jc w:val="center"/>
              <w:rPr>
                <w:b/>
                <w:bCs/>
                <w:sz w:val="20"/>
                <w:szCs w:val="20"/>
              </w:rPr>
            </w:pPr>
            <w:r w:rsidRPr="00696FDD">
              <w:rPr>
                <w:b/>
                <w:bCs/>
                <w:sz w:val="20"/>
                <w:szCs w:val="20"/>
              </w:rPr>
              <w:t>1,080</w:t>
            </w:r>
          </w:p>
        </w:tc>
        <w:tc>
          <w:tcPr>
            <w:tcW w:w="1261" w:type="dxa"/>
            <w:tcBorders>
              <w:top w:val="nil"/>
              <w:left w:val="nil"/>
              <w:bottom w:val="single" w:sz="4" w:space="0" w:color="auto"/>
              <w:right w:val="single" w:sz="4" w:space="0" w:color="auto"/>
            </w:tcBorders>
            <w:shd w:val="clear" w:color="000000" w:fill="F2F2F2"/>
            <w:noWrap/>
            <w:vAlign w:val="center"/>
          </w:tcPr>
          <w:p w:rsidR="00696FDD" w:rsidRPr="00696FDD" w:rsidP="00F05BC1" w14:paraId="4537F1DF" w14:textId="77777777">
            <w:pPr>
              <w:keepNext w:val="0"/>
              <w:keepLines w:val="0"/>
              <w:jc w:val="center"/>
              <w:rPr>
                <w:b/>
                <w:bCs/>
                <w:sz w:val="20"/>
                <w:szCs w:val="20"/>
              </w:rPr>
            </w:pPr>
            <w:r w:rsidRPr="00696FDD">
              <w:rPr>
                <w:b/>
                <w:bCs/>
                <w:sz w:val="20"/>
                <w:szCs w:val="20"/>
              </w:rPr>
              <w:t>340</w:t>
            </w:r>
          </w:p>
        </w:tc>
        <w:tc>
          <w:tcPr>
            <w:tcW w:w="1261" w:type="dxa"/>
            <w:tcBorders>
              <w:top w:val="nil"/>
              <w:left w:val="nil"/>
              <w:bottom w:val="single" w:sz="4" w:space="0" w:color="auto"/>
              <w:right w:val="single" w:sz="4" w:space="0" w:color="auto"/>
            </w:tcBorders>
            <w:shd w:val="clear" w:color="000000" w:fill="F2F2F2"/>
            <w:noWrap/>
            <w:vAlign w:val="center"/>
          </w:tcPr>
          <w:p w:rsidR="00696FDD" w:rsidRPr="00696FDD" w:rsidP="00F05BC1" w14:paraId="0E46C292" w14:textId="77777777">
            <w:pPr>
              <w:keepNext w:val="0"/>
              <w:keepLines w:val="0"/>
              <w:jc w:val="center"/>
              <w:rPr>
                <w:b/>
                <w:bCs/>
                <w:sz w:val="20"/>
                <w:szCs w:val="20"/>
              </w:rPr>
            </w:pPr>
            <w:r w:rsidRPr="00696FDD">
              <w:rPr>
                <w:b/>
                <w:bCs/>
                <w:sz w:val="20"/>
                <w:szCs w:val="20"/>
              </w:rPr>
              <w:t>$14,960</w:t>
            </w:r>
          </w:p>
        </w:tc>
      </w:tr>
    </w:tbl>
    <w:p w:rsidR="00696FDD" w:rsidRPr="00696FDD" w:rsidP="00F05BC1" w14:paraId="47E6E158" w14:textId="77777777">
      <w:pPr>
        <w:keepNext w:val="0"/>
        <w:keepLines w:val="0"/>
        <w:jc w:val="center"/>
        <w:rPr>
          <w:sz w:val="20"/>
          <w:szCs w:val="20"/>
        </w:rPr>
      </w:pPr>
    </w:p>
    <w:p w:rsidR="00F05BC1" w:rsidP="0006448A" w14:paraId="4BBB0B04" w14:textId="77777777">
      <w:pPr>
        <w:pStyle w:val="Text3-addnext"/>
      </w:pPr>
    </w:p>
    <w:p w:rsidR="00826725" w:rsidRPr="00082D12" w:rsidP="00F05BC1" w14:paraId="45C431C1" w14:textId="7AC752A9">
      <w:pPr>
        <w:pStyle w:val="Heading2"/>
        <w:keepNext w:val="0"/>
      </w:pPr>
      <w:r w:rsidRPr="00082D12">
        <w:t xml:space="preserve">13.  </w:t>
      </w:r>
      <w:r w:rsidRPr="00082D12" w:rsidR="0089015D">
        <w:t>Capital Costs</w:t>
      </w:r>
    </w:p>
    <w:p w:rsidR="00826725" w:rsidRPr="00477BA3" w:rsidP="003D2C98" w14:paraId="12B59CEC" w14:textId="77777777">
      <w:pPr>
        <w:pStyle w:val="Text3-addnext"/>
      </w:pPr>
    </w:p>
    <w:p w:rsidR="00826725" w:rsidP="003D2C98" w14:paraId="5C51BB1C" w14:textId="66125555">
      <w:pPr>
        <w:pStyle w:val="Text3-addnext"/>
      </w:pPr>
      <w:r w:rsidRPr="00477BA3">
        <w:t>There are no capital</w:t>
      </w:r>
      <w:r w:rsidRPr="00477BA3">
        <w:rPr>
          <w:spacing w:val="-7"/>
        </w:rPr>
        <w:t xml:space="preserve"> </w:t>
      </w:r>
      <w:r w:rsidRPr="00477BA3">
        <w:t>costs</w:t>
      </w:r>
      <w:r w:rsidR="008C3FFA">
        <w:t xml:space="preserve"> </w:t>
      </w:r>
      <w:r w:rsidRPr="008C3FFA" w:rsidR="008C3FFA">
        <w:t>associated with this information collection</w:t>
      </w:r>
      <w:r w:rsidRPr="00477BA3">
        <w:t>.</w:t>
      </w:r>
    </w:p>
    <w:p w:rsidR="009C2EAF" w:rsidRPr="00477BA3" w:rsidP="003D2C98" w14:paraId="35DF2692" w14:textId="77777777">
      <w:pPr>
        <w:pStyle w:val="Text3-addnext"/>
      </w:pPr>
    </w:p>
    <w:p w:rsidR="00826725" w:rsidRPr="00082D12" w:rsidP="00F05BC1" w14:paraId="54496555" w14:textId="1A254765">
      <w:pPr>
        <w:pStyle w:val="Heading2"/>
        <w:keepNext w:val="0"/>
      </w:pPr>
      <w:r w:rsidRPr="00082D12">
        <w:t xml:space="preserve">14.  </w:t>
      </w:r>
      <w:r w:rsidRPr="00082D12" w:rsidR="0089015D">
        <w:t>Cost to Federal Government</w:t>
      </w:r>
    </w:p>
    <w:p w:rsidR="00826725" w:rsidRPr="00477BA3" w:rsidP="003D2C98" w14:paraId="1EC157FB" w14:textId="77777777">
      <w:pPr>
        <w:pStyle w:val="Text3-addnext"/>
      </w:pPr>
    </w:p>
    <w:p w:rsidR="00ED3BE2" w:rsidRPr="00E75041" w:rsidP="003D2C98" w14:paraId="78CC59AF" w14:textId="521E2A4C">
      <w:pPr>
        <w:pStyle w:val="Text3-addnext"/>
        <w:rPr>
          <w:snapToGrid w:val="0"/>
        </w:rPr>
      </w:pPr>
      <w:r w:rsidRPr="00E75041">
        <w:t xml:space="preserve">The estimated burden and costs to the federal government for these ICs include the time spent by surveyors, employed by </w:t>
      </w:r>
      <w:r w:rsidRPr="00E75041">
        <w:rPr>
          <w:snapToGrid w:val="0"/>
        </w:rPr>
        <w:t xml:space="preserve">State Survey Agencies under contract with CMS, to complete in-person compliance evaluations. As discussed in Section </w:t>
      </w:r>
      <w:r w:rsidRPr="00E75041" w:rsidR="005C2232">
        <w:rPr>
          <w:snapToGrid w:val="0"/>
        </w:rPr>
        <w:t>2</w:t>
      </w:r>
      <w:r w:rsidRPr="00E75041">
        <w:rPr>
          <w:snapToGrid w:val="0"/>
        </w:rPr>
        <w:t xml:space="preserve"> above, portable </w:t>
      </w:r>
      <w:r w:rsidR="00510F3E">
        <w:rPr>
          <w:snapToGrid w:val="0"/>
        </w:rPr>
        <w:t>X-ray</w:t>
      </w:r>
      <w:r w:rsidRPr="00E75041">
        <w:rPr>
          <w:snapToGrid w:val="0"/>
        </w:rPr>
        <w:t xml:space="preserve"> suppliers undergo compliance reviews at the time of initial application for Medicare approval </w:t>
      </w:r>
      <w:r w:rsidR="00083973">
        <w:rPr>
          <w:snapToGrid w:val="0"/>
        </w:rPr>
        <w:t xml:space="preserve">and for ongoing compliance. </w:t>
      </w:r>
      <w:r w:rsidR="004E47B4">
        <w:rPr>
          <w:snapToGrid w:val="0"/>
        </w:rPr>
        <w:t xml:space="preserve">Because </w:t>
      </w:r>
      <w:r w:rsidR="00083973">
        <w:rPr>
          <w:snapToGrid w:val="0"/>
        </w:rPr>
        <w:t xml:space="preserve">X-ray suppliers </w:t>
      </w:r>
      <w:r w:rsidRPr="00E75041">
        <w:rPr>
          <w:snapToGrid w:val="0"/>
        </w:rPr>
        <w:t xml:space="preserve">are surveyed </w:t>
      </w:r>
      <w:r w:rsidR="00083973">
        <w:rPr>
          <w:snapToGrid w:val="0"/>
        </w:rPr>
        <w:t>every 6 year</w:t>
      </w:r>
      <w:r w:rsidR="004E47B4">
        <w:rPr>
          <w:snapToGrid w:val="0"/>
        </w:rPr>
        <w:t xml:space="preserve">s, we estimate </w:t>
      </w:r>
      <w:r w:rsidR="00083973">
        <w:rPr>
          <w:snapToGrid w:val="0"/>
        </w:rPr>
        <w:t xml:space="preserve">90 </w:t>
      </w:r>
      <w:r w:rsidR="004E47B4">
        <w:rPr>
          <w:snapToGrid w:val="0"/>
        </w:rPr>
        <w:t>suppliers per year (540 suppliers/6 years) undergo compliance reviews for purposes of estimating the burden to the federal government.</w:t>
      </w:r>
      <w:r w:rsidR="00083973">
        <w:rPr>
          <w:snapToGrid w:val="0"/>
        </w:rPr>
        <w:t xml:space="preserve"> </w:t>
      </w:r>
    </w:p>
    <w:p w:rsidR="00ED3BE2" w:rsidP="003D2C98" w14:paraId="529987BC" w14:textId="77777777">
      <w:pPr>
        <w:pStyle w:val="Text3-addnext"/>
      </w:pPr>
    </w:p>
    <w:p w:rsidR="00ED3BE2" w:rsidRPr="00FA3460" w:rsidP="003D2C98" w14:paraId="66F90632" w14:textId="723E227E">
      <w:pPr>
        <w:pStyle w:val="Text3-addnext"/>
      </w:pPr>
      <w:r>
        <w:t>The burden for completing these activities was calculated using a loaded hourly mean wage of $71 per hour for a surveyor (BLS, Occupation Title: “Survey Researcher,” BLS Occupation Code: 19-3022).</w:t>
      </w:r>
      <w:r>
        <w:rPr>
          <w:rStyle w:val="FootnoteReference"/>
          <w:vertAlign w:val="superscript"/>
        </w:rPr>
        <w:footnoteReference w:id="10"/>
      </w:r>
      <w:r w:rsidRPr="00CA6A4A">
        <w:rPr>
          <w:vertAlign w:val="superscript"/>
        </w:rPr>
        <w:t xml:space="preserve"> </w:t>
      </w:r>
      <w:r w:rsidRPr="00CE715A">
        <w:rPr>
          <w:snapToGrid w:val="0"/>
        </w:rPr>
        <w:t>For ongoing compliance reviews</w:t>
      </w:r>
      <w:r w:rsidR="00963777">
        <w:rPr>
          <w:snapToGrid w:val="0"/>
        </w:rPr>
        <w:t xml:space="preserve"> for suppliers</w:t>
      </w:r>
      <w:r w:rsidRPr="00CE715A">
        <w:rPr>
          <w:snapToGrid w:val="0"/>
        </w:rPr>
        <w:t xml:space="preserve">, </w:t>
      </w:r>
      <w:r>
        <w:rPr>
          <w:snapToGrid w:val="0"/>
        </w:rPr>
        <w:t>CMS</w:t>
      </w:r>
      <w:r w:rsidRPr="00CE715A">
        <w:rPr>
          <w:snapToGrid w:val="0"/>
        </w:rPr>
        <w:t xml:space="preserve"> estimate</w:t>
      </w:r>
      <w:r>
        <w:rPr>
          <w:snapToGrid w:val="0"/>
        </w:rPr>
        <w:t>s</w:t>
      </w:r>
      <w:r w:rsidRPr="00CE715A">
        <w:rPr>
          <w:snapToGrid w:val="0"/>
        </w:rPr>
        <w:t xml:space="preserve"> that it takes </w:t>
      </w:r>
      <w:r w:rsidR="00963777">
        <w:rPr>
          <w:snapToGrid w:val="0"/>
        </w:rPr>
        <w:t xml:space="preserve">0.5 hours (30 minutes) per IC, </w:t>
      </w:r>
      <w:r w:rsidRPr="00CE715A">
        <w:rPr>
          <w:snapToGrid w:val="0"/>
        </w:rPr>
        <w:t>resulting in a cost of $</w:t>
      </w:r>
      <w:r w:rsidR="00444690">
        <w:rPr>
          <w:snapToGrid w:val="0"/>
        </w:rPr>
        <w:t>36</w:t>
      </w:r>
      <w:r w:rsidRPr="00CE715A">
        <w:rPr>
          <w:snapToGrid w:val="0"/>
        </w:rPr>
        <w:t xml:space="preserve"> per </w:t>
      </w:r>
      <w:r w:rsidR="00963777">
        <w:rPr>
          <w:snapToGrid w:val="0"/>
        </w:rPr>
        <w:t>IC</w:t>
      </w:r>
      <w:r w:rsidRPr="00CE715A">
        <w:rPr>
          <w:snapToGrid w:val="0"/>
        </w:rPr>
        <w:t xml:space="preserve"> (</w:t>
      </w:r>
      <w:r w:rsidR="00963777">
        <w:rPr>
          <w:snapToGrid w:val="0"/>
        </w:rPr>
        <w:t>0.5</w:t>
      </w:r>
      <w:r w:rsidRPr="00CE715A">
        <w:rPr>
          <w:snapToGrid w:val="0"/>
        </w:rPr>
        <w:t xml:space="preserve"> hour</w:t>
      </w:r>
      <w:r w:rsidR="004E47B4">
        <w:rPr>
          <w:snapToGrid w:val="0"/>
        </w:rPr>
        <w:t>s</w:t>
      </w:r>
      <w:r w:rsidRPr="00CE715A">
        <w:rPr>
          <w:snapToGrid w:val="0"/>
        </w:rPr>
        <w:t xml:space="preserve"> x $71).</w:t>
      </w:r>
    </w:p>
    <w:p w:rsidR="00ED3BE2" w:rsidP="003D2C98" w14:paraId="7A6F9044" w14:textId="77777777">
      <w:pPr>
        <w:pStyle w:val="Text3-addnext"/>
      </w:pPr>
    </w:p>
    <w:p w:rsidR="00AC0818" w:rsidP="003D2C98" w14:paraId="395E6214" w14:textId="163EC9F4">
      <w:pPr>
        <w:pStyle w:val="Text3-addnext"/>
      </w:pPr>
      <w:r>
        <w:t xml:space="preserve">As shown in Table </w:t>
      </w:r>
      <w:r w:rsidR="005C2232">
        <w:t>6</w:t>
      </w:r>
      <w:r>
        <w:t>, t</w:t>
      </w:r>
      <w:r w:rsidRPr="008476DE">
        <w:t xml:space="preserve">he </w:t>
      </w:r>
      <w:r w:rsidR="004E47B4">
        <w:t xml:space="preserve">annual </w:t>
      </w:r>
      <w:r w:rsidRPr="008476DE">
        <w:t xml:space="preserve">burden to the </w:t>
      </w:r>
      <w:r>
        <w:t>f</w:t>
      </w:r>
      <w:r w:rsidRPr="008476DE">
        <w:t xml:space="preserve">ederal government for each applicable IC is calculated </w:t>
      </w:r>
      <w:r>
        <w:t>based on the number of</w:t>
      </w:r>
      <w:r w:rsidRPr="008476DE">
        <w:t xml:space="preserve"> facilities impacted by </w:t>
      </w:r>
      <w:r>
        <w:t>that</w:t>
      </w:r>
      <w:r w:rsidRPr="008476DE">
        <w:t xml:space="preserve"> IC.</w:t>
      </w:r>
      <w:r>
        <w:t xml:space="preserve"> </w:t>
      </w:r>
      <w:bookmarkStart w:id="3" w:name="_Hlk196752150"/>
      <w:r>
        <w:t xml:space="preserve">The total annual burden for the federal government to conduct the required compliance reviews for IC-1 </w:t>
      </w:r>
      <w:r w:rsidR="005C2232">
        <w:t>and</w:t>
      </w:r>
      <w:r>
        <w:t xml:space="preserve"> IC-</w:t>
      </w:r>
      <w:r w:rsidR="005C2232">
        <w:t>2</w:t>
      </w:r>
      <w:r>
        <w:t xml:space="preserve"> is </w:t>
      </w:r>
      <w:r w:rsidR="00444690">
        <w:t>9</w:t>
      </w:r>
      <w:r w:rsidR="00940FA4">
        <w:t>0</w:t>
      </w:r>
      <w:r>
        <w:t xml:space="preserve"> hours, at a cost of $</w:t>
      </w:r>
      <w:r w:rsidR="00940FA4">
        <w:t>6</w:t>
      </w:r>
      <w:r>
        <w:t>,</w:t>
      </w:r>
      <w:r w:rsidR="00444690">
        <w:t>39</w:t>
      </w:r>
      <w:r w:rsidR="00940FA4">
        <w:t>0</w:t>
      </w:r>
      <w:r>
        <w:t>.</w:t>
      </w:r>
      <w:bookmarkEnd w:id="3"/>
    </w:p>
    <w:p w:rsidR="00E3134D" w:rsidRPr="00E3134D" w:rsidP="003D2C98" w14:paraId="1926D767" w14:textId="77777777">
      <w:pPr>
        <w:pStyle w:val="Text3-addnext"/>
      </w:pPr>
    </w:p>
    <w:p w:rsidR="00940FA4" w:rsidRPr="00AC0818" w:rsidP="00F05BC1" w14:paraId="36665EE1" w14:textId="01ABDD88">
      <w:pPr>
        <w:pStyle w:val="Heading6"/>
        <w:keepNext/>
        <w:rPr>
          <w:rFonts w:eastAsia="Times New Roman"/>
          <w:color w:val="000000"/>
          <w:szCs w:val="20"/>
        </w:rPr>
      </w:pPr>
      <w:r w:rsidRPr="00940FA4">
        <w:t xml:space="preserve">Table </w:t>
      </w:r>
      <w:r>
        <w:t>6</w:t>
      </w:r>
      <w:r w:rsidRPr="00940FA4">
        <w:t>. Total Burden and Cost Estimates for Federal Government</w:t>
      </w:r>
    </w:p>
    <w:tbl>
      <w:tblPr>
        <w:tblW w:w="8883" w:type="dxa"/>
        <w:tblInd w:w="265" w:type="dxa"/>
        <w:tblLook w:val="04A0"/>
      </w:tblPr>
      <w:tblGrid>
        <w:gridCol w:w="2700"/>
        <w:gridCol w:w="1188"/>
        <w:gridCol w:w="995"/>
        <w:gridCol w:w="905"/>
        <w:gridCol w:w="950"/>
        <w:gridCol w:w="1064"/>
        <w:gridCol w:w="1081"/>
      </w:tblGrid>
      <w:tr w14:paraId="6FAC100B" w14:textId="77777777" w:rsidTr="003D2C98">
        <w:tblPrEx>
          <w:tblW w:w="8883" w:type="dxa"/>
          <w:tblInd w:w="265" w:type="dxa"/>
          <w:tblLook w:val="04A0"/>
        </w:tblPrEx>
        <w:trPr>
          <w:trHeight w:val="1316"/>
        </w:trPr>
        <w:tc>
          <w:tcPr>
            <w:tcW w:w="2700" w:type="dxa"/>
            <w:vMerge w:val="restart"/>
            <w:tcBorders>
              <w:top w:val="single" w:sz="4" w:space="0" w:color="auto"/>
              <w:left w:val="single" w:sz="4" w:space="0" w:color="auto"/>
              <w:right w:val="single" w:sz="4" w:space="0" w:color="auto"/>
            </w:tcBorders>
            <w:shd w:val="clear" w:color="000000" w:fill="F2F2F2"/>
            <w:noWrap/>
            <w:vAlign w:val="center"/>
            <w:hideMark/>
          </w:tcPr>
          <w:p w:rsidR="00940FA4" w:rsidRPr="00046AEC" w:rsidP="00046AEC" w14:paraId="4F8572FF" w14:textId="77777777">
            <w:pPr>
              <w:pStyle w:val="Tables"/>
              <w:keepNext/>
            </w:pPr>
            <w:r w:rsidRPr="00046AEC">
              <w:t>Information Collection No.</w:t>
            </w:r>
          </w:p>
        </w:tc>
        <w:tc>
          <w:tcPr>
            <w:tcW w:w="1188" w:type="dxa"/>
            <w:vMerge w:val="restart"/>
            <w:tcBorders>
              <w:top w:val="single" w:sz="4" w:space="0" w:color="auto"/>
              <w:left w:val="nil"/>
              <w:right w:val="single" w:sz="4" w:space="0" w:color="auto"/>
            </w:tcBorders>
            <w:shd w:val="clear" w:color="000000" w:fill="F2F2F2"/>
            <w:vAlign w:val="center"/>
          </w:tcPr>
          <w:p w:rsidR="00940FA4" w:rsidRPr="00046AEC" w:rsidP="00046AEC" w14:paraId="4D99827E" w14:textId="77777777">
            <w:pPr>
              <w:pStyle w:val="Tables"/>
              <w:keepNext/>
            </w:pPr>
            <w:r w:rsidRPr="00046AEC">
              <w:t>42 CFR Section</w:t>
            </w:r>
          </w:p>
        </w:tc>
        <w:tc>
          <w:tcPr>
            <w:tcW w:w="995" w:type="dxa"/>
            <w:tcBorders>
              <w:top w:val="single" w:sz="4" w:space="0" w:color="auto"/>
              <w:left w:val="single" w:sz="4" w:space="0" w:color="auto"/>
              <w:right w:val="single" w:sz="4" w:space="0" w:color="auto"/>
            </w:tcBorders>
            <w:shd w:val="clear" w:color="auto" w:fill="F2F2F2" w:themeFill="background1" w:themeFillShade="F2"/>
            <w:vAlign w:val="center"/>
            <w:hideMark/>
          </w:tcPr>
          <w:p w:rsidR="00940FA4" w:rsidRPr="00046AEC" w:rsidP="00046AEC" w14:paraId="141E068F" w14:textId="7034C964">
            <w:pPr>
              <w:pStyle w:val="Tables"/>
              <w:keepNext/>
            </w:pPr>
            <w:r w:rsidRPr="00046AEC">
              <w:t xml:space="preserve"># of </w:t>
            </w:r>
            <w:r w:rsidRPr="00046AEC" w:rsidR="00510F3E">
              <w:t>X-ray</w:t>
            </w:r>
            <w:r w:rsidRPr="00046AEC" w:rsidR="00963777">
              <w:t xml:space="preserve"> suppliers surveyed per year</w:t>
            </w:r>
          </w:p>
          <w:p w:rsidR="00963777" w:rsidRPr="00046AEC" w:rsidP="00046AEC" w14:paraId="152FFE28" w14:textId="78F2026E">
            <w:pPr>
              <w:pStyle w:val="Tables"/>
              <w:keepNext/>
            </w:pPr>
          </w:p>
        </w:tc>
        <w:tc>
          <w:tcPr>
            <w:tcW w:w="905" w:type="dxa"/>
            <w:tcBorders>
              <w:top w:val="single" w:sz="4" w:space="0" w:color="auto"/>
              <w:left w:val="nil"/>
              <w:right w:val="single" w:sz="4" w:space="0" w:color="auto"/>
            </w:tcBorders>
            <w:shd w:val="clear" w:color="auto" w:fill="F2F2F2" w:themeFill="background1" w:themeFillShade="F2"/>
            <w:vAlign w:val="center"/>
            <w:hideMark/>
          </w:tcPr>
          <w:p w:rsidR="00940FA4" w:rsidRPr="00046AEC" w:rsidP="00046AEC" w14:paraId="6D360AF6" w14:textId="77777777">
            <w:pPr>
              <w:pStyle w:val="Tables"/>
              <w:keepNext/>
            </w:pPr>
            <w:r w:rsidRPr="00046AEC">
              <w:t>Loaded</w:t>
            </w:r>
          </w:p>
          <w:p w:rsidR="00940FA4" w:rsidRPr="00046AEC" w:rsidP="00046AEC" w14:paraId="4D4F75AE" w14:textId="77777777">
            <w:pPr>
              <w:pStyle w:val="Tables"/>
              <w:keepNext/>
            </w:pPr>
            <w:r w:rsidRPr="00046AEC">
              <w:t>Hourly Mean</w:t>
            </w:r>
          </w:p>
          <w:p w:rsidR="00940FA4" w:rsidRPr="00046AEC" w:rsidP="00046AEC" w14:paraId="7C6266DA" w14:textId="6FD36F61">
            <w:pPr>
              <w:pStyle w:val="Tables"/>
              <w:keepNext/>
            </w:pPr>
            <w:r w:rsidRPr="00046AEC">
              <w:t>Wage</w:t>
            </w:r>
            <w:r>
              <w:rPr>
                <w:rStyle w:val="FootnoteReference"/>
                <w:vertAlign w:val="superscript"/>
              </w:rPr>
              <w:footnoteReference w:id="11"/>
            </w:r>
          </w:p>
        </w:tc>
        <w:tc>
          <w:tcPr>
            <w:tcW w:w="950" w:type="dxa"/>
            <w:tcBorders>
              <w:top w:val="single" w:sz="4" w:space="0" w:color="auto"/>
              <w:left w:val="nil"/>
              <w:right w:val="single" w:sz="4" w:space="0" w:color="auto"/>
            </w:tcBorders>
            <w:shd w:val="clear" w:color="auto" w:fill="F2F2F2" w:themeFill="background1" w:themeFillShade="F2"/>
            <w:vAlign w:val="center"/>
            <w:hideMark/>
          </w:tcPr>
          <w:p w:rsidR="00940FA4" w:rsidRPr="00046AEC" w:rsidP="00046AEC" w14:paraId="6610C6CF" w14:textId="77777777">
            <w:pPr>
              <w:pStyle w:val="Tables"/>
              <w:keepNext/>
            </w:pPr>
          </w:p>
          <w:p w:rsidR="00940FA4" w:rsidRPr="00046AEC" w:rsidP="00046AEC" w14:paraId="2CA7D8BB" w14:textId="77777777">
            <w:pPr>
              <w:pStyle w:val="Tables"/>
              <w:keepNext/>
            </w:pPr>
            <w:r w:rsidRPr="00046AEC">
              <w:t>Burden</w:t>
            </w:r>
          </w:p>
          <w:p w:rsidR="00940FA4" w:rsidRPr="00046AEC" w:rsidP="00046AEC" w14:paraId="3E323621" w14:textId="3229C94E">
            <w:pPr>
              <w:pStyle w:val="Tables"/>
              <w:keepNext/>
            </w:pPr>
            <w:r w:rsidRPr="00046AEC">
              <w:t xml:space="preserve">Hrs./ </w:t>
            </w:r>
            <w:r w:rsidRPr="00046AEC" w:rsidR="00963777">
              <w:t>Supplier</w:t>
            </w:r>
          </w:p>
          <w:p w:rsidR="00940FA4" w:rsidRPr="00046AEC" w:rsidP="00046AEC" w14:paraId="275372AC" w14:textId="77777777">
            <w:pPr>
              <w:pStyle w:val="Tables"/>
              <w:keepNext/>
            </w:pPr>
          </w:p>
          <w:p w:rsidR="00940FA4" w:rsidRPr="00046AEC" w:rsidP="00046AEC" w14:paraId="4762EC6D" w14:textId="77777777">
            <w:pPr>
              <w:pStyle w:val="Tables"/>
              <w:keepNext/>
            </w:pPr>
          </w:p>
        </w:tc>
        <w:tc>
          <w:tcPr>
            <w:tcW w:w="1064" w:type="dxa"/>
            <w:tcBorders>
              <w:top w:val="single" w:sz="4" w:space="0" w:color="auto"/>
              <w:left w:val="nil"/>
              <w:right w:val="single" w:sz="4" w:space="0" w:color="auto"/>
            </w:tcBorders>
            <w:shd w:val="clear" w:color="auto" w:fill="F2F2F2" w:themeFill="background1" w:themeFillShade="F2"/>
            <w:vAlign w:val="center"/>
            <w:hideMark/>
          </w:tcPr>
          <w:p w:rsidR="00940FA4" w:rsidRPr="00046AEC" w:rsidP="00046AEC" w14:paraId="3914F76D" w14:textId="77777777">
            <w:pPr>
              <w:pStyle w:val="Tables"/>
              <w:keepNext/>
            </w:pPr>
            <w:r w:rsidRPr="00046AEC">
              <w:t>Total  Burden Hrs.</w:t>
            </w:r>
          </w:p>
          <w:p w:rsidR="00940FA4" w:rsidRPr="00046AEC" w:rsidP="00046AEC" w14:paraId="7464E4AA" w14:textId="77777777">
            <w:pPr>
              <w:pStyle w:val="Tables"/>
              <w:keepNext/>
            </w:pPr>
          </w:p>
        </w:tc>
        <w:tc>
          <w:tcPr>
            <w:tcW w:w="1081" w:type="dxa"/>
            <w:tcBorders>
              <w:top w:val="single" w:sz="4" w:space="0" w:color="auto"/>
              <w:left w:val="nil"/>
              <w:right w:val="single" w:sz="4" w:space="0" w:color="auto"/>
            </w:tcBorders>
            <w:shd w:val="clear" w:color="auto" w:fill="F2F2F2" w:themeFill="background1" w:themeFillShade="F2"/>
            <w:vAlign w:val="center"/>
            <w:hideMark/>
          </w:tcPr>
          <w:p w:rsidR="00940FA4" w:rsidRPr="00046AEC" w:rsidP="00046AEC" w14:paraId="5DA54651" w14:textId="77777777">
            <w:pPr>
              <w:pStyle w:val="Tables"/>
              <w:keepNext/>
            </w:pPr>
            <w:r w:rsidRPr="00046AEC">
              <w:t>Total  Burden Costs</w:t>
            </w:r>
          </w:p>
          <w:p w:rsidR="00940FA4" w:rsidRPr="00046AEC" w:rsidP="00046AEC" w14:paraId="2887754F" w14:textId="77777777">
            <w:pPr>
              <w:pStyle w:val="Tables"/>
              <w:keepNext/>
            </w:pPr>
          </w:p>
        </w:tc>
      </w:tr>
      <w:tr w14:paraId="52FBF3BE" w14:textId="77777777" w:rsidTr="003D2C98">
        <w:tblPrEx>
          <w:tblW w:w="8883" w:type="dxa"/>
          <w:tblInd w:w="265" w:type="dxa"/>
          <w:tblLook w:val="04A0"/>
        </w:tblPrEx>
        <w:trPr>
          <w:trHeight w:val="345"/>
        </w:trPr>
        <w:tc>
          <w:tcPr>
            <w:tcW w:w="2700" w:type="dxa"/>
            <w:vMerge/>
            <w:tcBorders>
              <w:left w:val="single" w:sz="4" w:space="0" w:color="auto"/>
              <w:bottom w:val="single" w:sz="4" w:space="0" w:color="auto"/>
              <w:right w:val="single" w:sz="4" w:space="0" w:color="auto"/>
            </w:tcBorders>
            <w:noWrap/>
            <w:vAlign w:val="center"/>
          </w:tcPr>
          <w:p w:rsidR="00940FA4" w:rsidRPr="00046AEC" w:rsidP="00046AEC" w14:paraId="36F0669D" w14:textId="77777777">
            <w:pPr>
              <w:pStyle w:val="Tables"/>
              <w:keepNext/>
            </w:pPr>
          </w:p>
        </w:tc>
        <w:tc>
          <w:tcPr>
            <w:tcW w:w="1188" w:type="dxa"/>
            <w:vMerge/>
            <w:tcBorders>
              <w:left w:val="nil"/>
              <w:bottom w:val="single" w:sz="4" w:space="0" w:color="auto"/>
              <w:right w:val="single" w:sz="4" w:space="0" w:color="auto"/>
            </w:tcBorders>
            <w:vAlign w:val="center"/>
          </w:tcPr>
          <w:p w:rsidR="00940FA4" w:rsidRPr="00046AEC" w:rsidP="00046AEC" w14:paraId="3F9D6F2D" w14:textId="77777777">
            <w:pPr>
              <w:pStyle w:val="Tables"/>
              <w:keepNext/>
            </w:pPr>
          </w:p>
        </w:tc>
        <w:tc>
          <w:tcPr>
            <w:tcW w:w="995" w:type="dxa"/>
            <w:tcBorders>
              <w:left w:val="single" w:sz="4" w:space="0" w:color="auto"/>
              <w:bottom w:val="single" w:sz="4" w:space="0" w:color="auto"/>
              <w:right w:val="single" w:sz="4" w:space="0" w:color="auto"/>
            </w:tcBorders>
            <w:shd w:val="clear" w:color="auto" w:fill="F2F2F2" w:themeFill="background1" w:themeFillShade="F2"/>
            <w:vAlign w:val="center"/>
          </w:tcPr>
          <w:p w:rsidR="00940FA4" w:rsidRPr="002861CE" w:rsidP="00046AEC" w14:paraId="15BED888" w14:textId="77777777">
            <w:pPr>
              <w:pStyle w:val="Tables"/>
              <w:keepNext/>
              <w:rPr>
                <w:b w:val="0"/>
                <w:bCs w:val="0"/>
                <w:i/>
                <w:iCs/>
              </w:rPr>
            </w:pPr>
            <w:r w:rsidRPr="002861CE">
              <w:rPr>
                <w:b w:val="0"/>
                <w:bCs w:val="0"/>
                <w:i/>
                <w:iCs/>
              </w:rPr>
              <w:t>(a)</w:t>
            </w:r>
          </w:p>
        </w:tc>
        <w:tc>
          <w:tcPr>
            <w:tcW w:w="905" w:type="dxa"/>
            <w:tcBorders>
              <w:left w:val="nil"/>
              <w:bottom w:val="single" w:sz="4" w:space="0" w:color="auto"/>
              <w:right w:val="single" w:sz="4" w:space="0" w:color="auto"/>
            </w:tcBorders>
            <w:shd w:val="clear" w:color="auto" w:fill="F2F2F2" w:themeFill="background1" w:themeFillShade="F2"/>
            <w:vAlign w:val="center"/>
          </w:tcPr>
          <w:p w:rsidR="00940FA4" w:rsidRPr="002861CE" w:rsidP="00046AEC" w14:paraId="5585A24F" w14:textId="77777777">
            <w:pPr>
              <w:pStyle w:val="Tables"/>
              <w:keepNext/>
              <w:rPr>
                <w:b w:val="0"/>
                <w:bCs w:val="0"/>
                <w:i/>
                <w:iCs/>
              </w:rPr>
            </w:pPr>
            <w:r w:rsidRPr="002861CE">
              <w:rPr>
                <w:b w:val="0"/>
                <w:bCs w:val="0"/>
                <w:i/>
                <w:iCs/>
              </w:rPr>
              <w:t>(b)</w:t>
            </w:r>
          </w:p>
        </w:tc>
        <w:tc>
          <w:tcPr>
            <w:tcW w:w="950" w:type="dxa"/>
            <w:tcBorders>
              <w:left w:val="nil"/>
              <w:bottom w:val="single" w:sz="4" w:space="0" w:color="auto"/>
              <w:right w:val="single" w:sz="4" w:space="0" w:color="auto"/>
            </w:tcBorders>
            <w:shd w:val="clear" w:color="auto" w:fill="F2F2F2" w:themeFill="background1" w:themeFillShade="F2"/>
            <w:vAlign w:val="center"/>
          </w:tcPr>
          <w:p w:rsidR="00940FA4" w:rsidRPr="002861CE" w:rsidP="00046AEC" w14:paraId="02B0A6CA" w14:textId="77777777">
            <w:pPr>
              <w:pStyle w:val="Tables"/>
              <w:keepNext/>
              <w:rPr>
                <w:b w:val="0"/>
                <w:bCs w:val="0"/>
                <w:i/>
                <w:iCs/>
              </w:rPr>
            </w:pPr>
            <w:r w:rsidRPr="002861CE">
              <w:rPr>
                <w:b w:val="0"/>
                <w:bCs w:val="0"/>
                <w:i/>
                <w:iCs/>
              </w:rPr>
              <w:t>(c)</w:t>
            </w:r>
          </w:p>
        </w:tc>
        <w:tc>
          <w:tcPr>
            <w:tcW w:w="1064" w:type="dxa"/>
            <w:tcBorders>
              <w:left w:val="nil"/>
              <w:bottom w:val="single" w:sz="4" w:space="0" w:color="auto"/>
              <w:right w:val="single" w:sz="4" w:space="0" w:color="auto"/>
            </w:tcBorders>
            <w:shd w:val="clear" w:color="auto" w:fill="F2F2F2" w:themeFill="background1" w:themeFillShade="F2"/>
            <w:noWrap/>
            <w:vAlign w:val="center"/>
          </w:tcPr>
          <w:p w:rsidR="00940FA4" w:rsidRPr="002861CE" w:rsidP="00046AEC" w14:paraId="4DFB510C" w14:textId="77777777">
            <w:pPr>
              <w:pStyle w:val="Tables"/>
              <w:keepNext/>
              <w:rPr>
                <w:b w:val="0"/>
                <w:bCs w:val="0"/>
                <w:i/>
                <w:iCs/>
              </w:rPr>
            </w:pPr>
            <w:r w:rsidRPr="002861CE">
              <w:rPr>
                <w:b w:val="0"/>
                <w:bCs w:val="0"/>
                <w:i/>
                <w:iCs/>
              </w:rPr>
              <w:t>(d = a x c)</w:t>
            </w:r>
          </w:p>
        </w:tc>
        <w:tc>
          <w:tcPr>
            <w:tcW w:w="1081" w:type="dxa"/>
            <w:tcBorders>
              <w:left w:val="nil"/>
              <w:bottom w:val="single" w:sz="4" w:space="0" w:color="auto"/>
              <w:right w:val="single" w:sz="4" w:space="0" w:color="auto"/>
            </w:tcBorders>
            <w:shd w:val="clear" w:color="auto" w:fill="F2F2F2" w:themeFill="background1" w:themeFillShade="F2"/>
            <w:noWrap/>
            <w:vAlign w:val="center"/>
          </w:tcPr>
          <w:p w:rsidR="00940FA4" w:rsidRPr="002861CE" w:rsidP="00046AEC" w14:paraId="3D612602" w14:textId="77777777">
            <w:pPr>
              <w:pStyle w:val="Tables"/>
              <w:keepNext/>
              <w:rPr>
                <w:b w:val="0"/>
                <w:bCs w:val="0"/>
                <w:i/>
                <w:iCs/>
              </w:rPr>
            </w:pPr>
            <w:r w:rsidRPr="002861CE">
              <w:rPr>
                <w:b w:val="0"/>
                <w:bCs w:val="0"/>
                <w:i/>
                <w:iCs/>
              </w:rPr>
              <w:t>(e = b x d)</w:t>
            </w:r>
          </w:p>
        </w:tc>
      </w:tr>
      <w:tr w14:paraId="3E450BD7" w14:textId="77777777" w:rsidTr="00046AEC">
        <w:tblPrEx>
          <w:tblW w:w="8883" w:type="dxa"/>
          <w:tblInd w:w="265" w:type="dxa"/>
          <w:tblLook w:val="04A0"/>
        </w:tblPrEx>
        <w:trPr>
          <w:trHeight w:val="812"/>
        </w:trPr>
        <w:tc>
          <w:tcPr>
            <w:tcW w:w="2700" w:type="dxa"/>
            <w:tcBorders>
              <w:top w:val="nil"/>
              <w:left w:val="single" w:sz="4" w:space="0" w:color="auto"/>
              <w:bottom w:val="single" w:sz="4" w:space="0" w:color="auto"/>
              <w:right w:val="single" w:sz="4" w:space="0" w:color="auto"/>
            </w:tcBorders>
            <w:noWrap/>
            <w:vAlign w:val="center"/>
          </w:tcPr>
          <w:p w:rsidR="00940FA4" w:rsidRPr="00046AEC" w:rsidP="00046AEC" w14:paraId="26C291C6" w14:textId="5722E16F">
            <w:pPr>
              <w:pStyle w:val="Tables"/>
              <w:keepNext/>
              <w:jc w:val="left"/>
            </w:pPr>
            <w:r w:rsidRPr="00046AEC">
              <w:t xml:space="preserve">IC-1: </w:t>
            </w:r>
            <w:r w:rsidRPr="00046AEC" w:rsidR="00080157">
              <w:t xml:space="preserve">Document Qualifications &amp; Training in </w:t>
            </w:r>
            <w:r w:rsidRPr="00046AEC">
              <w:t>Employee Records</w:t>
            </w:r>
          </w:p>
        </w:tc>
        <w:tc>
          <w:tcPr>
            <w:tcW w:w="1188" w:type="dxa"/>
            <w:tcBorders>
              <w:top w:val="single" w:sz="4" w:space="0" w:color="auto"/>
              <w:left w:val="nil"/>
              <w:bottom w:val="single" w:sz="4" w:space="0" w:color="auto"/>
              <w:right w:val="single" w:sz="4" w:space="0" w:color="auto"/>
            </w:tcBorders>
            <w:vAlign w:val="center"/>
          </w:tcPr>
          <w:p w:rsidR="00940FA4" w:rsidRPr="00046AEC" w:rsidP="00046AEC" w14:paraId="115F12ED" w14:textId="4DB218E2">
            <w:pPr>
              <w:pStyle w:val="Tables"/>
              <w:keepNext/>
              <w:rPr>
                <w:b w:val="0"/>
                <w:bCs w:val="0"/>
              </w:rPr>
            </w:pPr>
            <w:r w:rsidRPr="00046AEC">
              <w:rPr>
                <w:b w:val="0"/>
                <w:bCs w:val="0"/>
              </w:rPr>
              <w:t>§486.104(c)</w:t>
            </w:r>
          </w:p>
        </w:tc>
        <w:tc>
          <w:tcPr>
            <w:tcW w:w="995" w:type="dxa"/>
            <w:tcBorders>
              <w:top w:val="single" w:sz="4" w:space="0" w:color="auto"/>
              <w:left w:val="single" w:sz="4" w:space="0" w:color="auto"/>
              <w:bottom w:val="single" w:sz="4" w:space="0" w:color="auto"/>
              <w:right w:val="single" w:sz="4" w:space="0" w:color="auto"/>
            </w:tcBorders>
            <w:vAlign w:val="center"/>
          </w:tcPr>
          <w:p w:rsidR="00940FA4" w:rsidRPr="00046AEC" w:rsidP="00046AEC" w14:paraId="0765D835" w14:textId="6B0F7A33">
            <w:pPr>
              <w:pStyle w:val="Tables"/>
              <w:keepNext/>
              <w:rPr>
                <w:b w:val="0"/>
                <w:bCs w:val="0"/>
              </w:rPr>
            </w:pPr>
            <w:r w:rsidRPr="00046AEC">
              <w:rPr>
                <w:b w:val="0"/>
                <w:bCs w:val="0"/>
              </w:rPr>
              <w:t>90</w:t>
            </w:r>
          </w:p>
        </w:tc>
        <w:tc>
          <w:tcPr>
            <w:tcW w:w="905" w:type="dxa"/>
            <w:tcBorders>
              <w:top w:val="nil"/>
              <w:left w:val="nil"/>
              <w:bottom w:val="single" w:sz="4" w:space="0" w:color="auto"/>
              <w:right w:val="single" w:sz="4" w:space="0" w:color="auto"/>
            </w:tcBorders>
            <w:vAlign w:val="center"/>
          </w:tcPr>
          <w:p w:rsidR="00940FA4" w:rsidRPr="00046AEC" w:rsidP="00046AEC" w14:paraId="69240F04" w14:textId="77777777">
            <w:pPr>
              <w:pStyle w:val="Tables"/>
              <w:keepNext/>
              <w:rPr>
                <w:b w:val="0"/>
                <w:bCs w:val="0"/>
              </w:rPr>
            </w:pPr>
            <w:r w:rsidRPr="00046AEC">
              <w:rPr>
                <w:b w:val="0"/>
                <w:bCs w:val="0"/>
              </w:rPr>
              <w:t>$71</w:t>
            </w:r>
          </w:p>
        </w:tc>
        <w:tc>
          <w:tcPr>
            <w:tcW w:w="950" w:type="dxa"/>
            <w:tcBorders>
              <w:top w:val="nil"/>
              <w:left w:val="nil"/>
              <w:bottom w:val="single" w:sz="4" w:space="0" w:color="auto"/>
              <w:right w:val="single" w:sz="4" w:space="0" w:color="auto"/>
            </w:tcBorders>
            <w:vAlign w:val="center"/>
          </w:tcPr>
          <w:p w:rsidR="00940FA4" w:rsidRPr="00046AEC" w:rsidP="00046AEC" w14:paraId="2760FB46" w14:textId="589E625C">
            <w:pPr>
              <w:pStyle w:val="Tables"/>
              <w:keepNext/>
              <w:rPr>
                <w:b w:val="0"/>
                <w:bCs w:val="0"/>
              </w:rPr>
            </w:pPr>
            <w:r w:rsidRPr="00046AEC">
              <w:rPr>
                <w:b w:val="0"/>
                <w:bCs w:val="0"/>
              </w:rPr>
              <w:t>0.5</w:t>
            </w:r>
          </w:p>
        </w:tc>
        <w:tc>
          <w:tcPr>
            <w:tcW w:w="1064" w:type="dxa"/>
            <w:tcBorders>
              <w:top w:val="nil"/>
              <w:left w:val="nil"/>
              <w:bottom w:val="single" w:sz="4" w:space="0" w:color="auto"/>
              <w:right w:val="single" w:sz="4" w:space="0" w:color="auto"/>
            </w:tcBorders>
            <w:noWrap/>
            <w:vAlign w:val="center"/>
          </w:tcPr>
          <w:p w:rsidR="00940FA4" w:rsidRPr="00046AEC" w:rsidP="00046AEC" w14:paraId="4E9478B5" w14:textId="1AC065F9">
            <w:pPr>
              <w:pStyle w:val="Tables"/>
              <w:keepNext/>
              <w:rPr>
                <w:b w:val="0"/>
                <w:bCs w:val="0"/>
              </w:rPr>
            </w:pPr>
            <w:r w:rsidRPr="00046AEC">
              <w:rPr>
                <w:b w:val="0"/>
                <w:bCs w:val="0"/>
              </w:rPr>
              <w:t>45</w:t>
            </w:r>
          </w:p>
        </w:tc>
        <w:tc>
          <w:tcPr>
            <w:tcW w:w="1081" w:type="dxa"/>
            <w:tcBorders>
              <w:top w:val="nil"/>
              <w:left w:val="nil"/>
              <w:bottom w:val="single" w:sz="4" w:space="0" w:color="auto"/>
              <w:right w:val="single" w:sz="4" w:space="0" w:color="auto"/>
            </w:tcBorders>
            <w:noWrap/>
            <w:vAlign w:val="center"/>
          </w:tcPr>
          <w:p w:rsidR="00940FA4" w:rsidRPr="00046AEC" w:rsidP="00046AEC" w14:paraId="30E78E26" w14:textId="6645718D">
            <w:pPr>
              <w:pStyle w:val="Tables"/>
              <w:keepNext/>
              <w:rPr>
                <w:b w:val="0"/>
                <w:bCs w:val="0"/>
              </w:rPr>
            </w:pPr>
            <w:r w:rsidRPr="00046AEC">
              <w:rPr>
                <w:b w:val="0"/>
                <w:bCs w:val="0"/>
              </w:rPr>
              <w:t>$3,</w:t>
            </w:r>
            <w:r w:rsidRPr="00046AEC" w:rsidR="00444690">
              <w:rPr>
                <w:b w:val="0"/>
                <w:bCs w:val="0"/>
              </w:rPr>
              <w:t>195</w:t>
            </w:r>
            <w:r w:rsidRPr="00046AEC">
              <w:rPr>
                <w:b w:val="0"/>
                <w:bCs w:val="0"/>
              </w:rPr>
              <w:t xml:space="preserve"> </w:t>
            </w:r>
          </w:p>
        </w:tc>
      </w:tr>
      <w:tr w14:paraId="787873D6" w14:textId="77777777" w:rsidTr="00046AEC">
        <w:tblPrEx>
          <w:tblW w:w="8883" w:type="dxa"/>
          <w:tblInd w:w="265" w:type="dxa"/>
          <w:tblLook w:val="04A0"/>
        </w:tblPrEx>
        <w:trPr>
          <w:trHeight w:val="794"/>
        </w:trPr>
        <w:tc>
          <w:tcPr>
            <w:tcW w:w="2700" w:type="dxa"/>
            <w:tcBorders>
              <w:top w:val="nil"/>
              <w:left w:val="single" w:sz="4" w:space="0" w:color="auto"/>
              <w:bottom w:val="single" w:sz="4" w:space="0" w:color="auto"/>
              <w:right w:val="single" w:sz="4" w:space="0" w:color="auto"/>
            </w:tcBorders>
            <w:noWrap/>
            <w:vAlign w:val="center"/>
          </w:tcPr>
          <w:p w:rsidR="00940FA4" w:rsidRPr="00046AEC" w:rsidP="00046AEC" w14:paraId="79E40E3E" w14:textId="51D16057">
            <w:pPr>
              <w:pStyle w:val="Tables"/>
              <w:keepNext/>
              <w:jc w:val="left"/>
            </w:pPr>
            <w:r w:rsidRPr="00046AEC">
              <w:t>IC-2: Maintain Inspection Records</w:t>
            </w:r>
          </w:p>
        </w:tc>
        <w:tc>
          <w:tcPr>
            <w:tcW w:w="1188" w:type="dxa"/>
            <w:tcBorders>
              <w:top w:val="single" w:sz="4" w:space="0" w:color="auto"/>
              <w:left w:val="nil"/>
              <w:bottom w:val="single" w:sz="4" w:space="0" w:color="auto"/>
              <w:right w:val="single" w:sz="4" w:space="0" w:color="auto"/>
            </w:tcBorders>
            <w:vAlign w:val="center"/>
          </w:tcPr>
          <w:p w:rsidR="00940FA4" w:rsidRPr="00046AEC" w:rsidP="00046AEC" w14:paraId="3D036A3E" w14:textId="0B5E1733">
            <w:pPr>
              <w:pStyle w:val="Tables"/>
              <w:keepNext/>
              <w:rPr>
                <w:b w:val="0"/>
                <w:bCs w:val="0"/>
              </w:rPr>
            </w:pPr>
            <w:r w:rsidRPr="00046AEC">
              <w:rPr>
                <w:b w:val="0"/>
                <w:bCs w:val="0"/>
              </w:rPr>
              <w:t>§486.110</w:t>
            </w:r>
          </w:p>
        </w:tc>
        <w:tc>
          <w:tcPr>
            <w:tcW w:w="995" w:type="dxa"/>
            <w:tcBorders>
              <w:top w:val="single" w:sz="4" w:space="0" w:color="auto"/>
              <w:left w:val="single" w:sz="4" w:space="0" w:color="auto"/>
              <w:bottom w:val="single" w:sz="4" w:space="0" w:color="auto"/>
              <w:right w:val="single" w:sz="4" w:space="0" w:color="auto"/>
            </w:tcBorders>
            <w:vAlign w:val="center"/>
          </w:tcPr>
          <w:p w:rsidR="00940FA4" w:rsidRPr="00046AEC" w:rsidP="00046AEC" w14:paraId="470FA0F8" w14:textId="41975D78">
            <w:pPr>
              <w:pStyle w:val="Tables"/>
              <w:keepNext/>
              <w:rPr>
                <w:b w:val="0"/>
                <w:bCs w:val="0"/>
              </w:rPr>
            </w:pPr>
            <w:r w:rsidRPr="00046AEC">
              <w:rPr>
                <w:b w:val="0"/>
                <w:bCs w:val="0"/>
              </w:rPr>
              <w:t>90</w:t>
            </w:r>
          </w:p>
        </w:tc>
        <w:tc>
          <w:tcPr>
            <w:tcW w:w="905" w:type="dxa"/>
            <w:tcBorders>
              <w:top w:val="nil"/>
              <w:left w:val="nil"/>
              <w:bottom w:val="single" w:sz="4" w:space="0" w:color="auto"/>
              <w:right w:val="single" w:sz="4" w:space="0" w:color="auto"/>
            </w:tcBorders>
            <w:vAlign w:val="center"/>
          </w:tcPr>
          <w:p w:rsidR="00940FA4" w:rsidRPr="00046AEC" w:rsidP="00046AEC" w14:paraId="3D9F18C5" w14:textId="77777777">
            <w:pPr>
              <w:pStyle w:val="Tables"/>
              <w:keepNext/>
              <w:rPr>
                <w:b w:val="0"/>
                <w:bCs w:val="0"/>
              </w:rPr>
            </w:pPr>
            <w:r w:rsidRPr="00046AEC">
              <w:rPr>
                <w:b w:val="0"/>
                <w:bCs w:val="0"/>
              </w:rPr>
              <w:t>$71</w:t>
            </w:r>
          </w:p>
        </w:tc>
        <w:tc>
          <w:tcPr>
            <w:tcW w:w="950" w:type="dxa"/>
            <w:tcBorders>
              <w:top w:val="nil"/>
              <w:left w:val="nil"/>
              <w:bottom w:val="single" w:sz="4" w:space="0" w:color="auto"/>
              <w:right w:val="single" w:sz="4" w:space="0" w:color="auto"/>
            </w:tcBorders>
            <w:vAlign w:val="center"/>
          </w:tcPr>
          <w:p w:rsidR="00940FA4" w:rsidRPr="00046AEC" w:rsidP="00046AEC" w14:paraId="1B860CC5" w14:textId="353E8597">
            <w:pPr>
              <w:pStyle w:val="Tables"/>
              <w:keepNext/>
              <w:rPr>
                <w:b w:val="0"/>
                <w:bCs w:val="0"/>
              </w:rPr>
            </w:pPr>
            <w:r w:rsidRPr="00046AEC">
              <w:rPr>
                <w:b w:val="0"/>
                <w:bCs w:val="0"/>
              </w:rPr>
              <w:t>0.5</w:t>
            </w:r>
          </w:p>
        </w:tc>
        <w:tc>
          <w:tcPr>
            <w:tcW w:w="1064" w:type="dxa"/>
            <w:tcBorders>
              <w:top w:val="nil"/>
              <w:left w:val="nil"/>
              <w:bottom w:val="single" w:sz="4" w:space="0" w:color="auto"/>
              <w:right w:val="single" w:sz="4" w:space="0" w:color="auto"/>
            </w:tcBorders>
            <w:noWrap/>
            <w:vAlign w:val="center"/>
          </w:tcPr>
          <w:p w:rsidR="00940FA4" w:rsidRPr="00046AEC" w:rsidP="00046AEC" w14:paraId="00A494D2" w14:textId="0C0C7939">
            <w:pPr>
              <w:pStyle w:val="Tables"/>
              <w:keepNext/>
              <w:rPr>
                <w:b w:val="0"/>
                <w:bCs w:val="0"/>
              </w:rPr>
            </w:pPr>
            <w:r w:rsidRPr="00046AEC">
              <w:rPr>
                <w:b w:val="0"/>
                <w:bCs w:val="0"/>
              </w:rPr>
              <w:t>45</w:t>
            </w:r>
          </w:p>
        </w:tc>
        <w:tc>
          <w:tcPr>
            <w:tcW w:w="1081" w:type="dxa"/>
            <w:tcBorders>
              <w:top w:val="nil"/>
              <w:left w:val="nil"/>
              <w:bottom w:val="single" w:sz="4" w:space="0" w:color="auto"/>
              <w:right w:val="single" w:sz="4" w:space="0" w:color="auto"/>
            </w:tcBorders>
            <w:noWrap/>
            <w:vAlign w:val="center"/>
          </w:tcPr>
          <w:p w:rsidR="00940FA4" w:rsidRPr="00046AEC" w:rsidP="00046AEC" w14:paraId="44EDF90E" w14:textId="45828E67">
            <w:pPr>
              <w:pStyle w:val="Tables"/>
              <w:keepNext/>
              <w:rPr>
                <w:b w:val="0"/>
                <w:bCs w:val="0"/>
              </w:rPr>
            </w:pPr>
            <w:r w:rsidRPr="00046AEC">
              <w:rPr>
                <w:b w:val="0"/>
                <w:bCs w:val="0"/>
              </w:rPr>
              <w:t>$3,</w:t>
            </w:r>
            <w:r w:rsidRPr="00046AEC" w:rsidR="00444690">
              <w:rPr>
                <w:b w:val="0"/>
                <w:bCs w:val="0"/>
              </w:rPr>
              <w:t>195</w:t>
            </w:r>
            <w:r w:rsidRPr="00046AEC">
              <w:rPr>
                <w:b w:val="0"/>
                <w:bCs w:val="0"/>
              </w:rPr>
              <w:t xml:space="preserve"> </w:t>
            </w:r>
          </w:p>
        </w:tc>
      </w:tr>
      <w:tr w14:paraId="0714475E" w14:textId="77777777" w:rsidTr="00046AEC">
        <w:tblPrEx>
          <w:tblW w:w="8883" w:type="dxa"/>
          <w:tblInd w:w="265" w:type="dxa"/>
          <w:tblLook w:val="04A0"/>
        </w:tblPrEx>
        <w:trPr>
          <w:trHeight w:val="803"/>
        </w:trPr>
        <w:tc>
          <w:tcPr>
            <w:tcW w:w="2700" w:type="dxa"/>
            <w:tcBorders>
              <w:top w:val="nil"/>
              <w:left w:val="single" w:sz="4" w:space="0" w:color="auto"/>
              <w:bottom w:val="single" w:sz="4" w:space="0" w:color="auto"/>
              <w:right w:val="single" w:sz="4" w:space="0" w:color="auto"/>
            </w:tcBorders>
            <w:shd w:val="clear" w:color="000000" w:fill="F2F2F2"/>
            <w:noWrap/>
            <w:vAlign w:val="center"/>
            <w:hideMark/>
          </w:tcPr>
          <w:p w:rsidR="00940FA4" w:rsidRPr="00046AEC" w:rsidP="00046AEC" w14:paraId="5FB36D3E" w14:textId="77777777">
            <w:pPr>
              <w:pStyle w:val="Tables"/>
              <w:keepNext/>
              <w:jc w:val="left"/>
            </w:pPr>
            <w:r w:rsidRPr="00046AEC">
              <w:t>Burden Hours and Costs for Federal Government</w:t>
            </w:r>
          </w:p>
        </w:tc>
        <w:tc>
          <w:tcPr>
            <w:tcW w:w="1188" w:type="dxa"/>
            <w:tcBorders>
              <w:top w:val="single" w:sz="4" w:space="0" w:color="auto"/>
              <w:left w:val="nil"/>
              <w:bottom w:val="single" w:sz="4" w:space="0" w:color="auto"/>
              <w:right w:val="single" w:sz="4" w:space="0" w:color="auto"/>
            </w:tcBorders>
            <w:shd w:val="clear" w:color="000000" w:fill="F2F2F2"/>
            <w:vAlign w:val="center"/>
          </w:tcPr>
          <w:p w:rsidR="00940FA4" w:rsidRPr="00046AEC" w:rsidP="00046AEC" w14:paraId="0172C9F4" w14:textId="77777777">
            <w:pPr>
              <w:pStyle w:val="Tables"/>
              <w:keepNext/>
            </w:pPr>
            <w:r w:rsidRPr="00046AEC">
              <w:t>n/a</w:t>
            </w:r>
          </w:p>
        </w:tc>
        <w:tc>
          <w:tcPr>
            <w:tcW w:w="995" w:type="dxa"/>
            <w:tcBorders>
              <w:top w:val="single" w:sz="4" w:space="0" w:color="auto"/>
              <w:left w:val="single" w:sz="4" w:space="0" w:color="auto"/>
              <w:bottom w:val="single" w:sz="4" w:space="0" w:color="auto"/>
              <w:right w:val="single" w:sz="4" w:space="0" w:color="auto"/>
            </w:tcBorders>
            <w:shd w:val="clear" w:color="000000" w:fill="F2F2F2"/>
            <w:noWrap/>
            <w:vAlign w:val="center"/>
          </w:tcPr>
          <w:p w:rsidR="00940FA4" w:rsidRPr="00046AEC" w:rsidP="00046AEC" w14:paraId="2BBA54BB" w14:textId="1556C759">
            <w:pPr>
              <w:pStyle w:val="Tables"/>
              <w:keepNext/>
            </w:pPr>
            <w:r w:rsidRPr="00046AEC">
              <w:t>9</w:t>
            </w:r>
            <w:r w:rsidRPr="00046AEC">
              <w:t>0</w:t>
            </w:r>
          </w:p>
        </w:tc>
        <w:tc>
          <w:tcPr>
            <w:tcW w:w="905" w:type="dxa"/>
            <w:tcBorders>
              <w:top w:val="nil"/>
              <w:left w:val="nil"/>
              <w:bottom w:val="single" w:sz="4" w:space="0" w:color="auto"/>
              <w:right w:val="single" w:sz="4" w:space="0" w:color="auto"/>
            </w:tcBorders>
            <w:shd w:val="clear" w:color="000000" w:fill="F2F2F2"/>
            <w:noWrap/>
            <w:vAlign w:val="center"/>
          </w:tcPr>
          <w:p w:rsidR="00940FA4" w:rsidRPr="00046AEC" w:rsidP="00046AEC" w14:paraId="26516187" w14:textId="52331822">
            <w:pPr>
              <w:pStyle w:val="Tables"/>
              <w:keepNext/>
            </w:pPr>
            <w:r w:rsidRPr="00046AEC">
              <w:t>$71</w:t>
            </w:r>
          </w:p>
        </w:tc>
        <w:tc>
          <w:tcPr>
            <w:tcW w:w="950" w:type="dxa"/>
            <w:tcBorders>
              <w:top w:val="nil"/>
              <w:left w:val="nil"/>
              <w:bottom w:val="single" w:sz="4" w:space="0" w:color="auto"/>
              <w:right w:val="single" w:sz="4" w:space="0" w:color="auto"/>
            </w:tcBorders>
            <w:shd w:val="clear" w:color="000000" w:fill="F2F2F2"/>
            <w:noWrap/>
            <w:vAlign w:val="center"/>
          </w:tcPr>
          <w:p w:rsidR="00940FA4" w:rsidRPr="00046AEC" w:rsidP="00046AEC" w14:paraId="1B1743FC" w14:textId="2ED9528F">
            <w:pPr>
              <w:pStyle w:val="Tables"/>
              <w:keepNext/>
            </w:pPr>
            <w:r w:rsidRPr="00046AEC">
              <w:t>1.0</w:t>
            </w:r>
          </w:p>
        </w:tc>
        <w:tc>
          <w:tcPr>
            <w:tcW w:w="1064" w:type="dxa"/>
            <w:tcBorders>
              <w:top w:val="nil"/>
              <w:left w:val="nil"/>
              <w:bottom w:val="single" w:sz="4" w:space="0" w:color="auto"/>
              <w:right w:val="single" w:sz="4" w:space="0" w:color="auto"/>
            </w:tcBorders>
            <w:shd w:val="clear" w:color="000000" w:fill="F2F2F2"/>
            <w:noWrap/>
            <w:vAlign w:val="center"/>
          </w:tcPr>
          <w:p w:rsidR="00940FA4" w:rsidRPr="00046AEC" w:rsidP="00046AEC" w14:paraId="6697E4C3" w14:textId="289FE2CA">
            <w:pPr>
              <w:pStyle w:val="Tables"/>
              <w:keepNext/>
            </w:pPr>
            <w:r w:rsidRPr="00046AEC">
              <w:t>9</w:t>
            </w:r>
            <w:r w:rsidRPr="00046AEC">
              <w:t>0</w:t>
            </w:r>
          </w:p>
        </w:tc>
        <w:tc>
          <w:tcPr>
            <w:tcW w:w="1081" w:type="dxa"/>
            <w:tcBorders>
              <w:top w:val="nil"/>
              <w:left w:val="nil"/>
              <w:bottom w:val="single" w:sz="4" w:space="0" w:color="auto"/>
              <w:right w:val="single" w:sz="4" w:space="0" w:color="auto"/>
            </w:tcBorders>
            <w:shd w:val="clear" w:color="000000" w:fill="F2F2F2"/>
            <w:noWrap/>
            <w:vAlign w:val="center"/>
          </w:tcPr>
          <w:p w:rsidR="00940FA4" w:rsidRPr="00046AEC" w:rsidP="00046AEC" w14:paraId="6C2FF699" w14:textId="6B85094F">
            <w:pPr>
              <w:pStyle w:val="Tables"/>
              <w:keepNext/>
            </w:pPr>
            <w:r w:rsidRPr="00046AEC">
              <w:t>$6,</w:t>
            </w:r>
            <w:r w:rsidRPr="00046AEC" w:rsidR="00444690">
              <w:t>39</w:t>
            </w:r>
            <w:r w:rsidRPr="00046AEC">
              <w:t xml:space="preserve">0 </w:t>
            </w:r>
          </w:p>
        </w:tc>
      </w:tr>
    </w:tbl>
    <w:p w:rsidR="00082D12" w:rsidP="00E3134D" w14:paraId="0A127BF9" w14:textId="77777777">
      <w:pPr>
        <w:pStyle w:val="BodyText"/>
      </w:pPr>
    </w:p>
    <w:p w:rsidR="003D2C98" w:rsidRPr="00E3134D" w:rsidP="00E3134D" w14:paraId="43E527ED" w14:textId="77777777">
      <w:pPr>
        <w:pStyle w:val="BodyText"/>
      </w:pPr>
    </w:p>
    <w:p w:rsidR="00826725" w:rsidRPr="00C20D30" w:rsidP="00046AEC" w14:paraId="78535E57" w14:textId="215569AA">
      <w:pPr>
        <w:pStyle w:val="Heading2"/>
      </w:pPr>
      <w:r w:rsidRPr="00C20D30">
        <w:t xml:space="preserve">15.  </w:t>
      </w:r>
      <w:r w:rsidRPr="00C20D30" w:rsidR="0089015D">
        <w:t>Changes to Burden</w:t>
      </w:r>
    </w:p>
    <w:p w:rsidR="00E21F41" w:rsidRPr="00082D12" w:rsidP="00F05BC1" w14:paraId="66A16CEB" w14:textId="2052AA58">
      <w:pPr>
        <w:pStyle w:val="Text3-addnext"/>
      </w:pPr>
    </w:p>
    <w:p w:rsidR="00201D86" w:rsidRPr="00082D12" w:rsidP="003D2C98" w14:paraId="72A4F9DD" w14:textId="00C78903">
      <w:pPr>
        <w:pStyle w:val="Text3-addnext"/>
      </w:pPr>
      <w:bookmarkStart w:id="4" w:name="_Hlk114142220"/>
      <w:r w:rsidRPr="00082D12">
        <w:t xml:space="preserve">As shown in Table </w:t>
      </w:r>
      <w:r w:rsidRPr="00082D12" w:rsidR="00AB25FE">
        <w:t>5</w:t>
      </w:r>
      <w:r w:rsidRPr="00082D12">
        <w:t xml:space="preserve">, the estimated annual burden hours to the industry increased from 324 to </w:t>
      </w:r>
      <w:r w:rsidRPr="00082D12" w:rsidR="0033775A">
        <w:t>34</w:t>
      </w:r>
      <w:r w:rsidRPr="00082D12" w:rsidR="00AB25FE">
        <w:t>0</w:t>
      </w:r>
      <w:r w:rsidRPr="00082D12">
        <w:t xml:space="preserve"> hours, a </w:t>
      </w:r>
      <w:r w:rsidRPr="00082D12" w:rsidR="00AB25FE">
        <w:t>4.9</w:t>
      </w:r>
      <w:r w:rsidRPr="00082D12" w:rsidR="00080157">
        <w:t>%</w:t>
      </w:r>
      <w:r w:rsidRPr="00082D12">
        <w:t xml:space="preserve"> increase</w:t>
      </w:r>
      <w:r w:rsidRPr="00082D12" w:rsidR="0033775A">
        <w:t xml:space="preserve"> because the number of suppliers increased from 506 to 540. </w:t>
      </w:r>
      <w:r w:rsidRPr="00082D12">
        <w:t>The annual cost increased from $12,312 to $</w:t>
      </w:r>
      <w:r w:rsidRPr="00082D12" w:rsidR="0033775A">
        <w:t>1</w:t>
      </w:r>
      <w:r w:rsidRPr="00082D12" w:rsidR="00AB25FE">
        <w:t>4,960</w:t>
      </w:r>
      <w:r w:rsidRPr="00082D12">
        <w:t xml:space="preserve">, a </w:t>
      </w:r>
      <w:r w:rsidRPr="00082D12" w:rsidR="0033775A">
        <w:t>2</w:t>
      </w:r>
      <w:r w:rsidRPr="00082D12" w:rsidR="00AB25FE">
        <w:t>1.5</w:t>
      </w:r>
      <w:r w:rsidRPr="00082D12">
        <w:t>% increase</w:t>
      </w:r>
      <w:r w:rsidRPr="00082D12" w:rsidR="0033775A">
        <w:t xml:space="preserve"> due to the increased number of suppliers and higher hourly wage due to inflation (from $38 to $44).</w:t>
      </w:r>
      <w:bookmarkEnd w:id="4"/>
    </w:p>
    <w:p w:rsidR="00082D12" w:rsidRPr="00082D12" w:rsidP="003D2C98" w14:paraId="5DB81A85" w14:textId="77777777">
      <w:pPr>
        <w:pStyle w:val="Text3-addnext"/>
      </w:pPr>
    </w:p>
    <w:p w:rsidR="00826725" w:rsidRPr="00082D12" w:rsidP="00082D12" w14:paraId="6304EE7B" w14:textId="326548C2">
      <w:pPr>
        <w:pStyle w:val="Heading2"/>
      </w:pPr>
      <w:r w:rsidRPr="00082D12">
        <w:t xml:space="preserve">16.  </w:t>
      </w:r>
      <w:r w:rsidRPr="00082D12" w:rsidR="0089015D">
        <w:t>Publication/Tabulation Dates</w:t>
      </w:r>
    </w:p>
    <w:p w:rsidR="00082D12" w:rsidRPr="00046AEC" w:rsidP="003D2C98" w14:paraId="68165474" w14:textId="77777777">
      <w:pPr>
        <w:pStyle w:val="Text3-addnext"/>
      </w:pPr>
    </w:p>
    <w:p w:rsidR="00826725" w:rsidRPr="00046AEC" w:rsidP="003D2C98" w14:paraId="1146CF63" w14:textId="46593A17">
      <w:pPr>
        <w:pStyle w:val="Text3-addnext"/>
      </w:pPr>
      <w:r w:rsidRPr="00046AEC">
        <w:t>There are no</w:t>
      </w:r>
      <w:r w:rsidRPr="00046AEC" w:rsidR="007B5F8D">
        <w:t xml:space="preserve"> plan</w:t>
      </w:r>
      <w:r w:rsidRPr="00046AEC">
        <w:t>s</w:t>
      </w:r>
      <w:r w:rsidRPr="00046AEC" w:rsidR="007B5F8D">
        <w:t xml:space="preserve"> to publish the information collected.</w:t>
      </w:r>
    </w:p>
    <w:p w:rsidR="00826725" w:rsidRPr="00046AEC" w:rsidP="003D2C98" w14:paraId="648EB997" w14:textId="77777777">
      <w:pPr>
        <w:pStyle w:val="Text3-addnext"/>
      </w:pPr>
    </w:p>
    <w:p w:rsidR="00826725" w:rsidRPr="00C20D30" w:rsidP="00164BD9" w14:paraId="5272D1A3" w14:textId="78243B23">
      <w:pPr>
        <w:pStyle w:val="Heading2"/>
      </w:pPr>
      <w:r w:rsidRPr="00C20D30">
        <w:t xml:space="preserve">17.  </w:t>
      </w:r>
      <w:r w:rsidRPr="00C20D30" w:rsidR="0089015D">
        <w:t>Expiration Date</w:t>
      </w:r>
    </w:p>
    <w:p w:rsidR="00826725" w:rsidRPr="00046AEC" w:rsidP="003D2C98" w14:paraId="19E136C1" w14:textId="77777777">
      <w:pPr>
        <w:pStyle w:val="Text3-addnext"/>
      </w:pPr>
    </w:p>
    <w:p w:rsidR="0023186D" w:rsidRPr="00046AEC" w:rsidP="003D2C98" w14:paraId="5809B7CE" w14:textId="07F25530">
      <w:pPr>
        <w:pStyle w:val="Text3-addnext"/>
      </w:pPr>
      <w:r w:rsidRPr="00046AEC">
        <w:t>CMS will publish a notice in the Federal Register to inform the public of both the approval and the expiration date of this information collection. The public may also view the expiration date by searching for the OMB control number on OMB’s website.</w:t>
      </w:r>
    </w:p>
    <w:p w:rsidR="0023186D" w:rsidRPr="00046AEC" w:rsidP="003D2C98" w14:paraId="6E4D92C3" w14:textId="77777777">
      <w:pPr>
        <w:pStyle w:val="Text3-addnext"/>
      </w:pPr>
    </w:p>
    <w:p w:rsidR="0023186D" w:rsidRPr="00C20D30" w:rsidP="00164BD9" w14:paraId="09E921A1" w14:textId="79CA740E">
      <w:pPr>
        <w:pStyle w:val="Heading2"/>
      </w:pPr>
      <w:r w:rsidRPr="00C20D30">
        <w:t>18.  Certification Statement</w:t>
      </w:r>
    </w:p>
    <w:p w:rsidR="0023186D" w:rsidRPr="00046AEC" w:rsidP="003D2C98" w14:paraId="45400FFB" w14:textId="77777777">
      <w:pPr>
        <w:pStyle w:val="Text3-addnext"/>
      </w:pPr>
    </w:p>
    <w:p w:rsidR="00C20D30" w:rsidRPr="00C20D30" w:rsidP="003D2C98" w14:paraId="0F5770C7" w14:textId="3742038C">
      <w:pPr>
        <w:pStyle w:val="Text3-addnext"/>
      </w:pPr>
      <w:r w:rsidRPr="00046AEC">
        <w:t>There are no exceptions to the certification statement requirements.</w:t>
      </w:r>
    </w:p>
    <w:p w:rsidR="00C20D30" w:rsidRPr="00C20D30" w:rsidP="003D2C98" w14:paraId="1DEA4AC0" w14:textId="77777777">
      <w:pPr>
        <w:pStyle w:val="Text3-addnext"/>
      </w:pPr>
    </w:p>
    <w:sectPr w:rsidSect="00B57735">
      <w:footerReference w:type="default" r:id="rId6"/>
      <w:pgSz w:w="12240" w:h="15840"/>
      <w:pgMar w:top="1500" w:right="1530" w:bottom="960" w:left="1700" w:header="288" w:footer="576" w:gutter="0"/>
      <w:cols w:space="72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316991112"/>
      <w:docPartObj>
        <w:docPartGallery w:val="Page Numbers (Bottom of Page)"/>
        <w:docPartUnique/>
      </w:docPartObj>
    </w:sdtPr>
    <w:sdtEndPr>
      <w:rPr>
        <w:noProof/>
        <w:sz w:val="20"/>
        <w:szCs w:val="18"/>
      </w:rPr>
    </w:sdtEndPr>
    <w:sdtContent>
      <w:p w:rsidR="00B57735" w:rsidRPr="00B57735" w14:paraId="36198BEB" w14:textId="19F3563B">
        <w:pPr>
          <w:pStyle w:val="Footer"/>
          <w:jc w:val="center"/>
          <w:rPr>
            <w:sz w:val="20"/>
            <w:szCs w:val="18"/>
          </w:rPr>
        </w:pPr>
        <w:r w:rsidRPr="00B57735">
          <w:rPr>
            <w:sz w:val="20"/>
            <w:szCs w:val="18"/>
          </w:rPr>
          <w:fldChar w:fldCharType="begin"/>
        </w:r>
        <w:r w:rsidRPr="00B57735">
          <w:rPr>
            <w:sz w:val="20"/>
            <w:szCs w:val="18"/>
          </w:rPr>
          <w:instrText xml:space="preserve"> PAGE   \* MERGEFORMAT </w:instrText>
        </w:r>
        <w:r w:rsidRPr="00B57735">
          <w:rPr>
            <w:sz w:val="20"/>
            <w:szCs w:val="18"/>
          </w:rPr>
          <w:fldChar w:fldCharType="separate"/>
        </w:r>
        <w:r w:rsidRPr="00B57735">
          <w:rPr>
            <w:noProof/>
            <w:sz w:val="20"/>
            <w:szCs w:val="18"/>
          </w:rPr>
          <w:t>2</w:t>
        </w:r>
        <w:r w:rsidRPr="00B57735">
          <w:rPr>
            <w:noProof/>
            <w:sz w:val="20"/>
            <w:szCs w:val="18"/>
          </w:rPr>
          <w:fldChar w:fldCharType="end"/>
        </w:r>
      </w:p>
    </w:sdtContent>
  </w:sdt>
  <w:p w:rsidR="00826725" w:rsidP="009D3733" w14:paraId="44912E1D" w14:textId="1E5538D7"/>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8361E5" w:rsidP="009D3733" w14:paraId="6536DB2D" w14:textId="77777777">
      <w:r>
        <w:separator/>
      </w:r>
    </w:p>
  </w:footnote>
  <w:footnote w:type="continuationSeparator" w:id="1">
    <w:p w:rsidR="008361E5" w:rsidP="009D3733" w14:paraId="3B62B5FC" w14:textId="77777777">
      <w:r>
        <w:continuationSeparator/>
      </w:r>
    </w:p>
  </w:footnote>
  <w:footnote w:id="2">
    <w:p w:rsidR="00434D11" w:rsidRPr="00CA6A4A" w:rsidP="009D3733" w14:paraId="3EAE9FC5" w14:textId="3AE70698">
      <w:pPr>
        <w:pStyle w:val="FootnoteText"/>
      </w:pPr>
      <w:r w:rsidRPr="00CA6A4A">
        <w:rPr>
          <w:rStyle w:val="FootnoteReference"/>
          <w:vertAlign w:val="superscript"/>
        </w:rPr>
        <w:footnoteRef/>
      </w:r>
      <w:r w:rsidRPr="00CA6A4A">
        <w:rPr>
          <w:vertAlign w:val="superscript"/>
        </w:rPr>
        <w:t xml:space="preserve"> </w:t>
      </w:r>
      <w:r w:rsidRPr="00D41DB5" w:rsidR="00DC2370">
        <w:t xml:space="preserve">See Information Collection Request (ICR) identified by reference number </w:t>
      </w:r>
      <w:r w:rsidRPr="00434D11" w:rsidR="00DC2370">
        <w:t>202110-0938-003</w:t>
      </w:r>
      <w:r w:rsidR="00DC2370">
        <w:t xml:space="preserve">, U.S. </w:t>
      </w:r>
      <w:r w:rsidRPr="00D41DB5">
        <w:t xml:space="preserve">Office of Management and Budget. </w:t>
      </w:r>
      <w:r w:rsidRPr="00D41DB5">
        <w:rPr>
          <w:i/>
          <w:iCs/>
        </w:rPr>
        <w:t>Information Collection Review</w:t>
      </w:r>
      <w:r w:rsidRPr="00DC2370">
        <w:rPr>
          <w:i/>
          <w:iCs/>
        </w:rPr>
        <w:t>: Medicare and Medicaid Programs: Conditions of Participation for Portable X-ray Suppliers (CMS-R-43).</w:t>
      </w:r>
      <w:r w:rsidRPr="00DC2370">
        <w:t xml:space="preserve"> </w:t>
      </w:r>
      <w:r w:rsidRPr="00434D11">
        <w:t xml:space="preserve">RegInfo.gov, </w:t>
      </w:r>
      <w:r w:rsidRPr="00CA6A4A">
        <w:t>September 29, 2022</w:t>
      </w:r>
      <w:r w:rsidRPr="00434D11">
        <w:t>,</w:t>
      </w:r>
      <w:r w:rsidR="00DC2370">
        <w:t xml:space="preserve"> </w:t>
      </w:r>
      <w:hyperlink r:id="rId1" w:history="1">
        <w:r w:rsidRPr="00DE7C1E" w:rsidR="00DC2370">
          <w:rPr>
            <w:rStyle w:val="Hyperlink"/>
            <w:szCs w:val="18"/>
          </w:rPr>
          <w:t>https://www.reginfo.gov/public/do/PRAViewICR?ref_nbr=202110-0938-003</w:t>
        </w:r>
      </w:hyperlink>
    </w:p>
  </w:footnote>
  <w:footnote w:id="3">
    <w:p w:rsidR="00B07F55" w:rsidRPr="00B55C27" w:rsidP="009D3733" w14:paraId="7F1EDAC8" w14:textId="603F7E92">
      <w:pPr>
        <w:pStyle w:val="FootnoteText"/>
      </w:pPr>
      <w:r w:rsidRPr="00B55C27">
        <w:rPr>
          <w:rStyle w:val="FootnoteReference"/>
          <w:vertAlign w:val="superscript"/>
        </w:rPr>
        <w:footnoteRef/>
      </w:r>
      <w:r w:rsidRPr="00B55C27">
        <w:rPr>
          <w:vertAlign w:val="superscript"/>
        </w:rPr>
        <w:t xml:space="preserve"> </w:t>
      </w:r>
      <w:r w:rsidRPr="00B55C27">
        <w:t xml:space="preserve">The </w:t>
      </w:r>
      <w:r w:rsidRPr="00B216B9">
        <w:t xml:space="preserve">CfCs in Subpart C </w:t>
      </w:r>
      <w:r>
        <w:t xml:space="preserve">(42 CFR </w:t>
      </w:r>
      <w:r w:rsidRPr="000770D1">
        <w:t xml:space="preserve">§§486.100 </w:t>
      </w:r>
      <w:r>
        <w:t xml:space="preserve">- </w:t>
      </w:r>
      <w:r w:rsidRPr="000770D1">
        <w:t>486.110</w:t>
      </w:r>
      <w:r>
        <w:t xml:space="preserve">) </w:t>
      </w:r>
      <w:r w:rsidRPr="00B216B9">
        <w:t>include the following: §486.100: Compliance with Federal, State, and local laws and regulations; §486.102: Supervision by a qualified physician; §486.104: Qualifications, orientation and health of technical personnel; §486.106: Referral for service and preservation of records; §486.108: Safety standards; §486.110: Inspection of equipment</w:t>
      </w:r>
      <w:r w:rsidRPr="00B55C27">
        <w:t>.</w:t>
      </w:r>
      <w:r>
        <w:t xml:space="preserve"> These CfCs were originally implemented in 1969 (34 FR 388).</w:t>
      </w:r>
    </w:p>
  </w:footnote>
  <w:footnote w:id="4">
    <w:p w:rsidR="00E10D6D" w:rsidRPr="00B55C27" w:rsidP="009D3733" w14:paraId="0A0A49EB" w14:textId="3E7D3A5F">
      <w:pPr>
        <w:pStyle w:val="FootnoteText"/>
      </w:pPr>
      <w:r w:rsidRPr="00B55C27">
        <w:rPr>
          <w:rStyle w:val="FootnoteReference"/>
          <w:vertAlign w:val="superscript"/>
        </w:rPr>
        <w:footnoteRef/>
      </w:r>
      <w:r>
        <w:t xml:space="preserve"> </w:t>
      </w:r>
      <w:r w:rsidRPr="00B55C27">
        <w:t xml:space="preserve">See e.g., State Operations Manual </w:t>
      </w:r>
      <w:r>
        <w:t>“</w:t>
      </w:r>
      <w:r w:rsidRPr="00B55C27">
        <w:t>Appendix D – Guidance to Surveyors: Portable X-Ray Services</w:t>
      </w:r>
      <w:r>
        <w:t>,</w:t>
      </w:r>
      <w:r w:rsidRPr="00B55C27">
        <w:t xml:space="preserve">” </w:t>
      </w:r>
      <w:r w:rsidRPr="003C37A4">
        <w:t>Revised 2/21/2020</w:t>
      </w:r>
      <w:r>
        <w:t xml:space="preserve">, </w:t>
      </w:r>
      <w:r w:rsidRPr="003C37A4">
        <w:t xml:space="preserve">Centers for Medicare and Medicaid Services, </w:t>
      </w:r>
      <w:hyperlink r:id="rId2" w:history="1">
        <w:r w:rsidRPr="00DE7C1E" w:rsidR="009C2EAF">
          <w:rPr>
            <w:rStyle w:val="Hyperlink"/>
            <w:szCs w:val="18"/>
          </w:rPr>
          <w:t>https://www.cms.gov/Regulations-and-Guidance/Guidance/Manuals/downloads/som107ap_d_xray.pdf</w:t>
        </w:r>
      </w:hyperlink>
      <w:r w:rsidR="009C2EAF">
        <w:t xml:space="preserve"> </w:t>
      </w:r>
    </w:p>
  </w:footnote>
  <w:footnote w:id="5">
    <w:p w:rsidR="005C7094" w:rsidRPr="00CA6A4A" w:rsidP="009D3733" w14:paraId="08B47EC2" w14:textId="69A24B1C">
      <w:pPr>
        <w:pStyle w:val="FootnoteText"/>
      </w:pPr>
      <w:r w:rsidRPr="00CA6A4A">
        <w:rPr>
          <w:rStyle w:val="FootnoteReference"/>
          <w:vertAlign w:val="superscript"/>
        </w:rPr>
        <w:footnoteRef/>
      </w:r>
      <w:r w:rsidRPr="00CA6A4A">
        <w:rPr>
          <w:vertAlign w:val="superscript"/>
        </w:rPr>
        <w:t xml:space="preserve"> </w:t>
      </w:r>
      <w:r w:rsidRPr="00CA6A4A">
        <w:t xml:space="preserve">CMS’ Certification and the Survey Provider Enhanced Reporting (CASPER) for Calendar Year (CY) 2025, as of </w:t>
      </w:r>
      <w:r w:rsidR="00FC1F4B">
        <w:t>February 1, 2026</w:t>
      </w:r>
      <w:r w:rsidRPr="00CA6A4A">
        <w:t xml:space="preserve">, https://qcor.cms.gov/. Accessed </w:t>
      </w:r>
      <w:r w:rsidR="00FC1F4B">
        <w:t>February 5, 2026</w:t>
      </w:r>
      <w:r w:rsidRPr="00CA6A4A">
        <w:t>.</w:t>
      </w:r>
    </w:p>
  </w:footnote>
  <w:footnote w:id="6">
    <w:p w:rsidR="00610831" w:rsidRPr="00896254" w:rsidP="009D3733" w14:paraId="416C1818" w14:textId="77777777">
      <w:pPr>
        <w:pStyle w:val="FootnoteText"/>
        <w:rPr>
          <w:sz w:val="14"/>
          <w:szCs w:val="14"/>
        </w:rPr>
      </w:pPr>
      <w:r w:rsidRPr="00896254">
        <w:rPr>
          <w:rStyle w:val="FootnoteReference"/>
          <w:vertAlign w:val="superscript"/>
        </w:rPr>
        <w:footnoteRef/>
      </w:r>
      <w:r w:rsidRPr="00896254">
        <w:rPr>
          <w:vertAlign w:val="superscript"/>
        </w:rPr>
        <w:t xml:space="preserve"> </w:t>
      </w:r>
      <w:r w:rsidRPr="00610831">
        <w:t>Id.</w:t>
      </w:r>
    </w:p>
  </w:footnote>
  <w:footnote w:id="7">
    <w:p w:rsidR="00565EB7" w:rsidRPr="00CA6A4A" w:rsidP="00565EB7" w14:paraId="00CC5561" w14:textId="77777777">
      <w:pPr>
        <w:pStyle w:val="FootnoteText"/>
      </w:pPr>
      <w:r w:rsidRPr="00CA6A4A">
        <w:rPr>
          <w:rStyle w:val="FootnoteReference"/>
          <w:vertAlign w:val="superscript"/>
        </w:rPr>
        <w:footnoteRef/>
      </w:r>
      <w:r w:rsidRPr="00CA6A4A">
        <w:rPr>
          <w:vertAlign w:val="superscript"/>
        </w:rPr>
        <w:t xml:space="preserve"> </w:t>
      </w:r>
      <w:r w:rsidRPr="00CA6A4A">
        <w:t xml:space="preserve">May 2024 Cross-Industry-Specific Occupational Employment and Wage Estimates, </w:t>
      </w:r>
      <w:r w:rsidRPr="00CA6A4A">
        <w:rPr>
          <w:i/>
          <w:iCs/>
        </w:rPr>
        <w:t xml:space="preserve">U.S. Bureau of Labor Statistics. </w:t>
      </w:r>
      <w:r>
        <w:t>Date Extracted</w:t>
      </w:r>
      <w:r w:rsidRPr="00CA6A4A">
        <w:t xml:space="preserve">: </w:t>
      </w:r>
      <w:r>
        <w:t>February 5, 2026</w:t>
      </w:r>
      <w:r w:rsidRPr="00CA6A4A">
        <w:t xml:space="preserve">. </w:t>
      </w:r>
      <w:hyperlink r:id="rId3" w:anchor="/industry/000000" w:history="1">
        <w:r w:rsidRPr="00CA6A4A">
          <w:rPr>
            <w:rStyle w:val="Hyperlink"/>
            <w:szCs w:val="18"/>
          </w:rPr>
          <w:t>https://data.bls.gov/oes/#/industry/000000</w:t>
        </w:r>
      </w:hyperlink>
      <w:r w:rsidRPr="00CA6A4A">
        <w:t xml:space="preserve">. Accessed on </w:t>
      </w:r>
      <w:r>
        <w:t>February 5, 2026</w:t>
      </w:r>
      <w:r w:rsidRPr="00CA6A4A">
        <w:t>.</w:t>
      </w:r>
    </w:p>
  </w:footnote>
  <w:footnote w:id="8">
    <w:p w:rsidR="00565EB7" w:rsidRPr="00821E62" w:rsidP="00565EB7" w14:paraId="4EF55358" w14:textId="77777777">
      <w:pPr>
        <w:pStyle w:val="FootnoteText"/>
      </w:pPr>
      <w:r w:rsidRPr="00821E62">
        <w:rPr>
          <w:rStyle w:val="FootnoteReference"/>
          <w:vertAlign w:val="superscript"/>
        </w:rPr>
        <w:footnoteRef/>
      </w:r>
      <w:r w:rsidRPr="00821E62">
        <w:rPr>
          <w:vertAlign w:val="superscript"/>
        </w:rPr>
        <w:t xml:space="preserve"> </w:t>
      </w:r>
      <w:r>
        <w:t>Id.</w:t>
      </w:r>
    </w:p>
  </w:footnote>
  <w:footnote w:id="9">
    <w:p w:rsidR="00A80E8F" w:rsidRPr="00E3134D" w:rsidP="009D3733" w14:paraId="79F1B2ED" w14:textId="4AFB18D2">
      <w:pPr>
        <w:rPr>
          <w:rStyle w:val="FootnoteTextChar"/>
        </w:rPr>
      </w:pPr>
      <w:r w:rsidRPr="00CD34B0">
        <w:rPr>
          <w:rStyle w:val="FootnoteReference"/>
          <w:szCs w:val="20"/>
          <w:vertAlign w:val="superscript"/>
        </w:rPr>
        <w:footnoteRef/>
      </w:r>
      <w:r w:rsidRPr="00CD34B0">
        <w:rPr>
          <w:sz w:val="20"/>
          <w:szCs w:val="20"/>
          <w:vertAlign w:val="superscript"/>
        </w:rPr>
        <w:t xml:space="preserve"> </w:t>
      </w:r>
      <w:r w:rsidRPr="00E3134D" w:rsidR="001F7201">
        <w:rPr>
          <w:rStyle w:val="FootnoteTextChar"/>
        </w:rPr>
        <w:t xml:space="preserve">Note: </w:t>
      </w:r>
      <w:r w:rsidRPr="00E3134D" w:rsidR="00080157">
        <w:rPr>
          <w:rStyle w:val="FootnoteTextChar"/>
        </w:rPr>
        <w:t>The IC and associated burden</w:t>
      </w:r>
      <w:r w:rsidRPr="00E3134D" w:rsidR="001F7201">
        <w:rPr>
          <w:rStyle w:val="FootnoteTextChar"/>
        </w:rPr>
        <w:t xml:space="preserve"> </w:t>
      </w:r>
      <w:r w:rsidRPr="00E3134D" w:rsidR="00080157">
        <w:rPr>
          <w:rStyle w:val="FootnoteTextChar"/>
        </w:rPr>
        <w:t>estimates for §486.106(a)</w:t>
      </w:r>
      <w:r w:rsidRPr="00E3134D" w:rsidR="001F7201">
        <w:rPr>
          <w:rStyle w:val="FootnoteTextChar"/>
        </w:rPr>
        <w:t xml:space="preserve"> was removed in 2019. See</w:t>
      </w:r>
      <w:r w:rsidRPr="00E3134D">
        <w:rPr>
          <w:rStyle w:val="FootnoteTextChar"/>
        </w:rPr>
        <w:t xml:space="preserve"> 84 FR 51732, 51766 (September 30, 2019).</w:t>
      </w:r>
    </w:p>
    <w:p w:rsidR="00A80E8F" w:rsidRPr="00E9508F" w:rsidP="009D3733" w14:paraId="486A2C6D" w14:textId="77777777">
      <w:pPr>
        <w:pStyle w:val="FootnoteText"/>
      </w:pPr>
    </w:p>
  </w:footnote>
  <w:footnote w:id="10">
    <w:p w:rsidR="00ED3BE2" w:rsidRPr="00CA6A4A" w:rsidP="009D3733" w14:paraId="50C12BC1" w14:textId="501B63EF">
      <w:pPr>
        <w:pStyle w:val="FootnoteText"/>
      </w:pPr>
      <w:r w:rsidRPr="00CA6A4A">
        <w:rPr>
          <w:rStyle w:val="FootnoteReference"/>
          <w:vertAlign w:val="superscript"/>
        </w:rPr>
        <w:footnoteRef/>
      </w:r>
      <w:r w:rsidRPr="00CA6A4A">
        <w:rPr>
          <w:vertAlign w:val="superscript"/>
        </w:rPr>
        <w:t xml:space="preserve"> </w:t>
      </w:r>
      <w:r w:rsidRPr="00CA6A4A">
        <w:t xml:space="preserve">May 2024 Cross-Industry-Specific Occupational Employment and Wage Estimates, </w:t>
      </w:r>
      <w:r w:rsidRPr="00CA6A4A">
        <w:rPr>
          <w:i/>
          <w:iCs/>
        </w:rPr>
        <w:t xml:space="preserve">U.S. Bureau of Labor Statistics. </w:t>
      </w:r>
      <w:r w:rsidR="00080157">
        <w:t>Date Extracted</w:t>
      </w:r>
      <w:r w:rsidRPr="0090085B" w:rsidR="00080157">
        <w:t xml:space="preserve">: </w:t>
      </w:r>
      <w:r w:rsidR="00080157">
        <w:t>February 5, 2026</w:t>
      </w:r>
      <w:r w:rsidRPr="0090085B" w:rsidR="00080157">
        <w:t xml:space="preserve">. </w:t>
      </w:r>
      <w:hyperlink r:id="rId3" w:anchor="/industry/000000" w:history="1">
        <w:r w:rsidRPr="0090085B" w:rsidR="00080157">
          <w:rPr>
            <w:rStyle w:val="Hyperlink"/>
            <w:szCs w:val="18"/>
          </w:rPr>
          <w:t>https://data.bls.gov/oes/#/industry/000000</w:t>
        </w:r>
      </w:hyperlink>
      <w:r w:rsidRPr="0090085B" w:rsidR="00080157">
        <w:t xml:space="preserve">. Accessed on </w:t>
      </w:r>
      <w:r w:rsidR="00080157">
        <w:t>February 5, 2026</w:t>
      </w:r>
      <w:r w:rsidRPr="0090085B" w:rsidR="00080157">
        <w:t>.</w:t>
      </w:r>
    </w:p>
  </w:footnote>
  <w:footnote w:id="11">
    <w:p w:rsidR="00940FA4" w:rsidP="009D3733" w14:paraId="1D64BE2C" w14:textId="77777777">
      <w:pPr>
        <w:pStyle w:val="FootnoteText"/>
      </w:pPr>
      <w:r w:rsidRPr="00CA6A4A">
        <w:rPr>
          <w:rStyle w:val="FootnoteReference"/>
          <w:vertAlign w:val="superscript"/>
        </w:rPr>
        <w:footnoteRef/>
      </w:r>
      <w:r w:rsidRPr="00CA6A4A">
        <w:rPr>
          <w:vertAlign w:val="superscript"/>
        </w:rPr>
        <w:t xml:space="preserve"> </w:t>
      </w:r>
      <w:r w:rsidRPr="00940FA4">
        <w:rPr>
          <w:szCs w:val="18"/>
        </w:rPr>
        <w:t>Id.</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1F40C5E"/>
    <w:multiLevelType w:val="hybridMultilevel"/>
    <w:tmpl w:val="99A852D4"/>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04E73C5A"/>
    <w:multiLevelType w:val="hybridMultilevel"/>
    <w:tmpl w:val="E2FA5344"/>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2">
    <w:nsid w:val="11274381"/>
    <w:multiLevelType w:val="hybridMultilevel"/>
    <w:tmpl w:val="EB72FC2C"/>
    <w:lvl w:ilvl="0">
      <w:start w:val="1"/>
      <w:numFmt w:val="decimal"/>
      <w:lvlText w:val="%1)"/>
      <w:lvlJc w:val="left"/>
      <w:pPr>
        <w:ind w:left="630" w:hanging="360"/>
      </w:pPr>
      <w:rPr>
        <w:rFonts w:hint="default"/>
      </w:rPr>
    </w:lvl>
    <w:lvl w:ilvl="1" w:tentative="1">
      <w:start w:val="1"/>
      <w:numFmt w:val="lowerLetter"/>
      <w:lvlText w:val="%2."/>
      <w:lvlJc w:val="left"/>
      <w:pPr>
        <w:ind w:left="1350" w:hanging="360"/>
      </w:pPr>
    </w:lvl>
    <w:lvl w:ilvl="2" w:tentative="1">
      <w:start w:val="1"/>
      <w:numFmt w:val="lowerRoman"/>
      <w:lvlText w:val="%3."/>
      <w:lvlJc w:val="right"/>
      <w:pPr>
        <w:ind w:left="2070" w:hanging="180"/>
      </w:pPr>
    </w:lvl>
    <w:lvl w:ilvl="3" w:tentative="1">
      <w:start w:val="1"/>
      <w:numFmt w:val="decimal"/>
      <w:lvlText w:val="%4."/>
      <w:lvlJc w:val="left"/>
      <w:pPr>
        <w:ind w:left="2790" w:hanging="360"/>
      </w:pPr>
    </w:lvl>
    <w:lvl w:ilvl="4" w:tentative="1">
      <w:start w:val="1"/>
      <w:numFmt w:val="lowerLetter"/>
      <w:lvlText w:val="%5."/>
      <w:lvlJc w:val="left"/>
      <w:pPr>
        <w:ind w:left="3510" w:hanging="360"/>
      </w:pPr>
    </w:lvl>
    <w:lvl w:ilvl="5" w:tentative="1">
      <w:start w:val="1"/>
      <w:numFmt w:val="lowerRoman"/>
      <w:lvlText w:val="%6."/>
      <w:lvlJc w:val="right"/>
      <w:pPr>
        <w:ind w:left="4230" w:hanging="180"/>
      </w:pPr>
    </w:lvl>
    <w:lvl w:ilvl="6" w:tentative="1">
      <w:start w:val="1"/>
      <w:numFmt w:val="decimal"/>
      <w:lvlText w:val="%7."/>
      <w:lvlJc w:val="left"/>
      <w:pPr>
        <w:ind w:left="4950" w:hanging="360"/>
      </w:pPr>
    </w:lvl>
    <w:lvl w:ilvl="7" w:tentative="1">
      <w:start w:val="1"/>
      <w:numFmt w:val="lowerLetter"/>
      <w:lvlText w:val="%8."/>
      <w:lvlJc w:val="left"/>
      <w:pPr>
        <w:ind w:left="5670" w:hanging="360"/>
      </w:pPr>
    </w:lvl>
    <w:lvl w:ilvl="8" w:tentative="1">
      <w:start w:val="1"/>
      <w:numFmt w:val="lowerRoman"/>
      <w:lvlText w:val="%9."/>
      <w:lvlJc w:val="right"/>
      <w:pPr>
        <w:ind w:left="6390" w:hanging="180"/>
      </w:pPr>
    </w:lvl>
  </w:abstractNum>
  <w:abstractNum w:abstractNumId="3">
    <w:nsid w:val="1388052D"/>
    <w:multiLevelType w:val="hybridMultilevel"/>
    <w:tmpl w:val="9A2037C0"/>
    <w:lvl w:ilvl="0">
      <w:start w:val="1"/>
      <w:numFmt w:val="decimal"/>
      <w:lvlText w:val="%1."/>
      <w:lvlJc w:val="left"/>
      <w:pPr>
        <w:ind w:left="840" w:hanging="720"/>
        <w:jc w:val="right"/>
      </w:pPr>
      <w:rPr>
        <w:rFonts w:ascii="Times New Roman" w:eastAsia="Times New Roman" w:hAnsi="Times New Roman" w:hint="default"/>
        <w:w w:val="100"/>
        <w:sz w:val="24"/>
        <w:szCs w:val="24"/>
      </w:rPr>
    </w:lvl>
    <w:lvl w:ilvl="1">
      <w:start w:val="1"/>
      <w:numFmt w:val="bullet"/>
      <w:lvlText w:val="•"/>
      <w:lvlJc w:val="left"/>
      <w:pPr>
        <w:ind w:left="1644" w:hanging="720"/>
      </w:pPr>
      <w:rPr>
        <w:rFonts w:hint="default"/>
      </w:rPr>
    </w:lvl>
    <w:lvl w:ilvl="2">
      <w:start w:val="1"/>
      <w:numFmt w:val="bullet"/>
      <w:lvlText w:val="•"/>
      <w:lvlJc w:val="left"/>
      <w:pPr>
        <w:ind w:left="2448" w:hanging="720"/>
      </w:pPr>
      <w:rPr>
        <w:rFonts w:hint="default"/>
      </w:rPr>
    </w:lvl>
    <w:lvl w:ilvl="3">
      <w:start w:val="1"/>
      <w:numFmt w:val="bullet"/>
      <w:lvlText w:val="•"/>
      <w:lvlJc w:val="left"/>
      <w:pPr>
        <w:ind w:left="3252" w:hanging="720"/>
      </w:pPr>
      <w:rPr>
        <w:rFonts w:hint="default"/>
      </w:rPr>
    </w:lvl>
    <w:lvl w:ilvl="4">
      <w:start w:val="1"/>
      <w:numFmt w:val="bullet"/>
      <w:lvlText w:val="•"/>
      <w:lvlJc w:val="left"/>
      <w:pPr>
        <w:ind w:left="4056" w:hanging="720"/>
      </w:pPr>
      <w:rPr>
        <w:rFonts w:hint="default"/>
      </w:rPr>
    </w:lvl>
    <w:lvl w:ilvl="5">
      <w:start w:val="1"/>
      <w:numFmt w:val="bullet"/>
      <w:lvlText w:val="•"/>
      <w:lvlJc w:val="left"/>
      <w:pPr>
        <w:ind w:left="4860" w:hanging="720"/>
      </w:pPr>
      <w:rPr>
        <w:rFonts w:hint="default"/>
      </w:rPr>
    </w:lvl>
    <w:lvl w:ilvl="6">
      <w:start w:val="1"/>
      <w:numFmt w:val="bullet"/>
      <w:lvlText w:val="•"/>
      <w:lvlJc w:val="left"/>
      <w:pPr>
        <w:ind w:left="5664" w:hanging="720"/>
      </w:pPr>
      <w:rPr>
        <w:rFonts w:hint="default"/>
      </w:rPr>
    </w:lvl>
    <w:lvl w:ilvl="7">
      <w:start w:val="1"/>
      <w:numFmt w:val="bullet"/>
      <w:lvlText w:val="•"/>
      <w:lvlJc w:val="left"/>
      <w:pPr>
        <w:ind w:left="6468" w:hanging="720"/>
      </w:pPr>
      <w:rPr>
        <w:rFonts w:hint="default"/>
      </w:rPr>
    </w:lvl>
    <w:lvl w:ilvl="8">
      <w:start w:val="1"/>
      <w:numFmt w:val="bullet"/>
      <w:lvlText w:val="•"/>
      <w:lvlJc w:val="left"/>
      <w:pPr>
        <w:ind w:left="7272" w:hanging="720"/>
      </w:pPr>
      <w:rPr>
        <w:rFonts w:hint="default"/>
      </w:rPr>
    </w:lvl>
  </w:abstractNum>
  <w:abstractNum w:abstractNumId="4">
    <w:nsid w:val="138A4D5D"/>
    <w:multiLevelType w:val="hybridMultilevel"/>
    <w:tmpl w:val="780AA5F4"/>
    <w:lvl w:ilvl="0">
      <w:start w:val="1"/>
      <w:numFmt w:val="decimal"/>
      <w:lvlText w:val="%1)"/>
      <w:lvlJc w:val="left"/>
      <w:pPr>
        <w:ind w:left="1020" w:hanging="360"/>
      </w:pPr>
    </w:lvl>
    <w:lvl w:ilvl="1">
      <w:start w:val="1"/>
      <w:numFmt w:val="decimal"/>
      <w:lvlText w:val="%2)"/>
      <w:lvlJc w:val="left"/>
      <w:pPr>
        <w:ind w:left="1020" w:hanging="360"/>
      </w:pPr>
    </w:lvl>
    <w:lvl w:ilvl="2">
      <w:start w:val="1"/>
      <w:numFmt w:val="decimal"/>
      <w:lvlText w:val="%3)"/>
      <w:lvlJc w:val="left"/>
      <w:pPr>
        <w:ind w:left="1020" w:hanging="360"/>
      </w:pPr>
    </w:lvl>
    <w:lvl w:ilvl="3">
      <w:start w:val="1"/>
      <w:numFmt w:val="decimal"/>
      <w:lvlText w:val="%4)"/>
      <w:lvlJc w:val="left"/>
      <w:pPr>
        <w:ind w:left="1020" w:hanging="360"/>
      </w:pPr>
    </w:lvl>
    <w:lvl w:ilvl="4">
      <w:start w:val="1"/>
      <w:numFmt w:val="decimal"/>
      <w:lvlText w:val="%5)"/>
      <w:lvlJc w:val="left"/>
      <w:pPr>
        <w:ind w:left="1020" w:hanging="360"/>
      </w:pPr>
    </w:lvl>
    <w:lvl w:ilvl="5">
      <w:start w:val="1"/>
      <w:numFmt w:val="decimal"/>
      <w:lvlText w:val="%6)"/>
      <w:lvlJc w:val="left"/>
      <w:pPr>
        <w:ind w:left="1020" w:hanging="360"/>
      </w:pPr>
    </w:lvl>
    <w:lvl w:ilvl="6">
      <w:start w:val="1"/>
      <w:numFmt w:val="decimal"/>
      <w:lvlText w:val="%7)"/>
      <w:lvlJc w:val="left"/>
      <w:pPr>
        <w:ind w:left="1020" w:hanging="360"/>
      </w:pPr>
    </w:lvl>
    <w:lvl w:ilvl="7">
      <w:start w:val="1"/>
      <w:numFmt w:val="decimal"/>
      <w:lvlText w:val="%8)"/>
      <w:lvlJc w:val="left"/>
      <w:pPr>
        <w:ind w:left="1020" w:hanging="360"/>
      </w:pPr>
    </w:lvl>
    <w:lvl w:ilvl="8">
      <w:start w:val="1"/>
      <w:numFmt w:val="decimal"/>
      <w:lvlText w:val="%9)"/>
      <w:lvlJc w:val="left"/>
      <w:pPr>
        <w:ind w:left="1020" w:hanging="360"/>
      </w:pPr>
    </w:lvl>
  </w:abstractNum>
  <w:abstractNum w:abstractNumId="5">
    <w:nsid w:val="1D127680"/>
    <w:multiLevelType w:val="hybridMultilevel"/>
    <w:tmpl w:val="96B2B4E2"/>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6">
    <w:nsid w:val="24DE0C7C"/>
    <w:multiLevelType w:val="hybridMultilevel"/>
    <w:tmpl w:val="5D529508"/>
    <w:lvl w:ilvl="0">
      <w:start w:val="1"/>
      <w:numFmt w:val="bullet"/>
      <w:lvlText w:val=""/>
      <w:lvlJc w:val="left"/>
      <w:pPr>
        <w:ind w:left="1560" w:hanging="360"/>
      </w:pPr>
      <w:rPr>
        <w:rFonts w:ascii="Symbol" w:hAnsi="Symbol"/>
      </w:rPr>
    </w:lvl>
    <w:lvl w:ilvl="1">
      <w:start w:val="1"/>
      <w:numFmt w:val="bullet"/>
      <w:lvlText w:val=""/>
      <w:lvlJc w:val="left"/>
      <w:pPr>
        <w:ind w:left="1560" w:hanging="360"/>
      </w:pPr>
      <w:rPr>
        <w:rFonts w:ascii="Symbol" w:hAnsi="Symbol"/>
      </w:rPr>
    </w:lvl>
    <w:lvl w:ilvl="2">
      <w:start w:val="1"/>
      <w:numFmt w:val="bullet"/>
      <w:lvlText w:val=""/>
      <w:lvlJc w:val="left"/>
      <w:pPr>
        <w:ind w:left="1560" w:hanging="360"/>
      </w:pPr>
      <w:rPr>
        <w:rFonts w:ascii="Symbol" w:hAnsi="Symbol"/>
      </w:rPr>
    </w:lvl>
    <w:lvl w:ilvl="3">
      <w:start w:val="1"/>
      <w:numFmt w:val="bullet"/>
      <w:lvlText w:val=""/>
      <w:lvlJc w:val="left"/>
      <w:pPr>
        <w:ind w:left="1560" w:hanging="360"/>
      </w:pPr>
      <w:rPr>
        <w:rFonts w:ascii="Symbol" w:hAnsi="Symbol"/>
      </w:rPr>
    </w:lvl>
    <w:lvl w:ilvl="4">
      <w:start w:val="1"/>
      <w:numFmt w:val="bullet"/>
      <w:lvlText w:val=""/>
      <w:lvlJc w:val="left"/>
      <w:pPr>
        <w:ind w:left="1560" w:hanging="360"/>
      </w:pPr>
      <w:rPr>
        <w:rFonts w:ascii="Symbol" w:hAnsi="Symbol"/>
      </w:rPr>
    </w:lvl>
    <w:lvl w:ilvl="5">
      <w:start w:val="1"/>
      <w:numFmt w:val="bullet"/>
      <w:lvlText w:val=""/>
      <w:lvlJc w:val="left"/>
      <w:pPr>
        <w:ind w:left="1560" w:hanging="360"/>
      </w:pPr>
      <w:rPr>
        <w:rFonts w:ascii="Symbol" w:hAnsi="Symbol"/>
      </w:rPr>
    </w:lvl>
    <w:lvl w:ilvl="6">
      <w:start w:val="1"/>
      <w:numFmt w:val="bullet"/>
      <w:lvlText w:val=""/>
      <w:lvlJc w:val="left"/>
      <w:pPr>
        <w:ind w:left="1560" w:hanging="360"/>
      </w:pPr>
      <w:rPr>
        <w:rFonts w:ascii="Symbol" w:hAnsi="Symbol"/>
      </w:rPr>
    </w:lvl>
    <w:lvl w:ilvl="7">
      <w:start w:val="1"/>
      <w:numFmt w:val="bullet"/>
      <w:lvlText w:val=""/>
      <w:lvlJc w:val="left"/>
      <w:pPr>
        <w:ind w:left="1560" w:hanging="360"/>
      </w:pPr>
      <w:rPr>
        <w:rFonts w:ascii="Symbol" w:hAnsi="Symbol"/>
      </w:rPr>
    </w:lvl>
    <w:lvl w:ilvl="8">
      <w:start w:val="1"/>
      <w:numFmt w:val="bullet"/>
      <w:lvlText w:val=""/>
      <w:lvlJc w:val="left"/>
      <w:pPr>
        <w:ind w:left="1560" w:hanging="360"/>
      </w:pPr>
      <w:rPr>
        <w:rFonts w:ascii="Symbol" w:hAnsi="Symbol"/>
      </w:rPr>
    </w:lvl>
  </w:abstractNum>
  <w:abstractNum w:abstractNumId="7">
    <w:nsid w:val="2B5939C2"/>
    <w:multiLevelType w:val="hybridMultilevel"/>
    <w:tmpl w:val="228E128A"/>
    <w:lvl w:ilvl="0">
      <w:start w:val="1"/>
      <w:numFmt w:val="bullet"/>
      <w:lvlText w:val=""/>
      <w:lvlJc w:val="left"/>
      <w:pPr>
        <w:ind w:left="1560" w:hanging="360"/>
      </w:pPr>
      <w:rPr>
        <w:rFonts w:ascii="Symbol" w:hAnsi="Symbol"/>
      </w:rPr>
    </w:lvl>
    <w:lvl w:ilvl="1">
      <w:start w:val="1"/>
      <w:numFmt w:val="bullet"/>
      <w:lvlText w:val=""/>
      <w:lvlJc w:val="left"/>
      <w:pPr>
        <w:ind w:left="1560" w:hanging="360"/>
      </w:pPr>
      <w:rPr>
        <w:rFonts w:ascii="Symbol" w:hAnsi="Symbol"/>
      </w:rPr>
    </w:lvl>
    <w:lvl w:ilvl="2">
      <w:start w:val="1"/>
      <w:numFmt w:val="bullet"/>
      <w:lvlText w:val=""/>
      <w:lvlJc w:val="left"/>
      <w:pPr>
        <w:ind w:left="1560" w:hanging="360"/>
      </w:pPr>
      <w:rPr>
        <w:rFonts w:ascii="Symbol" w:hAnsi="Symbol"/>
      </w:rPr>
    </w:lvl>
    <w:lvl w:ilvl="3">
      <w:start w:val="1"/>
      <w:numFmt w:val="bullet"/>
      <w:lvlText w:val=""/>
      <w:lvlJc w:val="left"/>
      <w:pPr>
        <w:ind w:left="1560" w:hanging="360"/>
      </w:pPr>
      <w:rPr>
        <w:rFonts w:ascii="Symbol" w:hAnsi="Symbol"/>
      </w:rPr>
    </w:lvl>
    <w:lvl w:ilvl="4">
      <w:start w:val="1"/>
      <w:numFmt w:val="bullet"/>
      <w:lvlText w:val=""/>
      <w:lvlJc w:val="left"/>
      <w:pPr>
        <w:ind w:left="1560" w:hanging="360"/>
      </w:pPr>
      <w:rPr>
        <w:rFonts w:ascii="Symbol" w:hAnsi="Symbol"/>
      </w:rPr>
    </w:lvl>
    <w:lvl w:ilvl="5">
      <w:start w:val="1"/>
      <w:numFmt w:val="bullet"/>
      <w:lvlText w:val=""/>
      <w:lvlJc w:val="left"/>
      <w:pPr>
        <w:ind w:left="1560" w:hanging="360"/>
      </w:pPr>
      <w:rPr>
        <w:rFonts w:ascii="Symbol" w:hAnsi="Symbol"/>
      </w:rPr>
    </w:lvl>
    <w:lvl w:ilvl="6">
      <w:start w:val="1"/>
      <w:numFmt w:val="bullet"/>
      <w:lvlText w:val=""/>
      <w:lvlJc w:val="left"/>
      <w:pPr>
        <w:ind w:left="1560" w:hanging="360"/>
      </w:pPr>
      <w:rPr>
        <w:rFonts w:ascii="Symbol" w:hAnsi="Symbol"/>
      </w:rPr>
    </w:lvl>
    <w:lvl w:ilvl="7">
      <w:start w:val="1"/>
      <w:numFmt w:val="bullet"/>
      <w:lvlText w:val=""/>
      <w:lvlJc w:val="left"/>
      <w:pPr>
        <w:ind w:left="1560" w:hanging="360"/>
      </w:pPr>
      <w:rPr>
        <w:rFonts w:ascii="Symbol" w:hAnsi="Symbol"/>
      </w:rPr>
    </w:lvl>
    <w:lvl w:ilvl="8">
      <w:start w:val="1"/>
      <w:numFmt w:val="bullet"/>
      <w:lvlText w:val=""/>
      <w:lvlJc w:val="left"/>
      <w:pPr>
        <w:ind w:left="1560" w:hanging="360"/>
      </w:pPr>
      <w:rPr>
        <w:rFonts w:ascii="Symbol" w:hAnsi="Symbol"/>
      </w:rPr>
    </w:lvl>
  </w:abstractNum>
  <w:abstractNum w:abstractNumId="8">
    <w:nsid w:val="3FC40DB4"/>
    <w:multiLevelType w:val="hybridMultilevel"/>
    <w:tmpl w:val="A6E08E28"/>
    <w:lvl w:ilvl="0">
      <w:start w:val="1"/>
      <w:numFmt w:val="bullet"/>
      <w:lvlText w:val=""/>
      <w:lvlJc w:val="left"/>
      <w:pPr>
        <w:ind w:left="1560" w:hanging="360"/>
      </w:pPr>
      <w:rPr>
        <w:rFonts w:ascii="Symbol" w:hAnsi="Symbol"/>
      </w:rPr>
    </w:lvl>
    <w:lvl w:ilvl="1">
      <w:start w:val="1"/>
      <w:numFmt w:val="bullet"/>
      <w:lvlText w:val=""/>
      <w:lvlJc w:val="left"/>
      <w:pPr>
        <w:ind w:left="1560" w:hanging="360"/>
      </w:pPr>
      <w:rPr>
        <w:rFonts w:ascii="Symbol" w:hAnsi="Symbol"/>
      </w:rPr>
    </w:lvl>
    <w:lvl w:ilvl="2">
      <w:start w:val="1"/>
      <w:numFmt w:val="bullet"/>
      <w:lvlText w:val=""/>
      <w:lvlJc w:val="left"/>
      <w:pPr>
        <w:ind w:left="1560" w:hanging="360"/>
      </w:pPr>
      <w:rPr>
        <w:rFonts w:ascii="Symbol" w:hAnsi="Symbol"/>
      </w:rPr>
    </w:lvl>
    <w:lvl w:ilvl="3">
      <w:start w:val="1"/>
      <w:numFmt w:val="bullet"/>
      <w:lvlText w:val=""/>
      <w:lvlJc w:val="left"/>
      <w:pPr>
        <w:ind w:left="1560" w:hanging="360"/>
      </w:pPr>
      <w:rPr>
        <w:rFonts w:ascii="Symbol" w:hAnsi="Symbol"/>
      </w:rPr>
    </w:lvl>
    <w:lvl w:ilvl="4">
      <w:start w:val="1"/>
      <w:numFmt w:val="bullet"/>
      <w:lvlText w:val=""/>
      <w:lvlJc w:val="left"/>
      <w:pPr>
        <w:ind w:left="1560" w:hanging="360"/>
      </w:pPr>
      <w:rPr>
        <w:rFonts w:ascii="Symbol" w:hAnsi="Symbol"/>
      </w:rPr>
    </w:lvl>
    <w:lvl w:ilvl="5">
      <w:start w:val="1"/>
      <w:numFmt w:val="bullet"/>
      <w:lvlText w:val=""/>
      <w:lvlJc w:val="left"/>
      <w:pPr>
        <w:ind w:left="1560" w:hanging="360"/>
      </w:pPr>
      <w:rPr>
        <w:rFonts w:ascii="Symbol" w:hAnsi="Symbol"/>
      </w:rPr>
    </w:lvl>
    <w:lvl w:ilvl="6">
      <w:start w:val="1"/>
      <w:numFmt w:val="bullet"/>
      <w:lvlText w:val=""/>
      <w:lvlJc w:val="left"/>
      <w:pPr>
        <w:ind w:left="1560" w:hanging="360"/>
      </w:pPr>
      <w:rPr>
        <w:rFonts w:ascii="Symbol" w:hAnsi="Symbol"/>
      </w:rPr>
    </w:lvl>
    <w:lvl w:ilvl="7">
      <w:start w:val="1"/>
      <w:numFmt w:val="bullet"/>
      <w:lvlText w:val=""/>
      <w:lvlJc w:val="left"/>
      <w:pPr>
        <w:ind w:left="1560" w:hanging="360"/>
      </w:pPr>
      <w:rPr>
        <w:rFonts w:ascii="Symbol" w:hAnsi="Symbol"/>
      </w:rPr>
    </w:lvl>
    <w:lvl w:ilvl="8">
      <w:start w:val="1"/>
      <w:numFmt w:val="bullet"/>
      <w:lvlText w:val=""/>
      <w:lvlJc w:val="left"/>
      <w:pPr>
        <w:ind w:left="1560" w:hanging="360"/>
      </w:pPr>
      <w:rPr>
        <w:rFonts w:ascii="Symbol" w:hAnsi="Symbol"/>
      </w:rPr>
    </w:lvl>
  </w:abstractNum>
  <w:abstractNum w:abstractNumId="9">
    <w:nsid w:val="441A652D"/>
    <w:multiLevelType w:val="hybridMultilevel"/>
    <w:tmpl w:val="67E8A9A0"/>
    <w:lvl w:ilvl="0">
      <w:start w:val="1"/>
      <w:numFmt w:val="decimal"/>
      <w:lvlText w:val="%1)"/>
      <w:lvlJc w:val="left"/>
      <w:pPr>
        <w:ind w:left="1020" w:hanging="360"/>
      </w:pPr>
    </w:lvl>
    <w:lvl w:ilvl="1">
      <w:start w:val="1"/>
      <w:numFmt w:val="decimal"/>
      <w:lvlText w:val="%2)"/>
      <w:lvlJc w:val="left"/>
      <w:pPr>
        <w:ind w:left="1020" w:hanging="360"/>
      </w:pPr>
    </w:lvl>
    <w:lvl w:ilvl="2">
      <w:start w:val="1"/>
      <w:numFmt w:val="decimal"/>
      <w:lvlText w:val="%3)"/>
      <w:lvlJc w:val="left"/>
      <w:pPr>
        <w:ind w:left="1020" w:hanging="360"/>
      </w:pPr>
    </w:lvl>
    <w:lvl w:ilvl="3">
      <w:start w:val="1"/>
      <w:numFmt w:val="decimal"/>
      <w:lvlText w:val="%4)"/>
      <w:lvlJc w:val="left"/>
      <w:pPr>
        <w:ind w:left="1020" w:hanging="360"/>
      </w:pPr>
    </w:lvl>
    <w:lvl w:ilvl="4">
      <w:start w:val="1"/>
      <w:numFmt w:val="decimal"/>
      <w:lvlText w:val="%5)"/>
      <w:lvlJc w:val="left"/>
      <w:pPr>
        <w:ind w:left="1020" w:hanging="360"/>
      </w:pPr>
    </w:lvl>
    <w:lvl w:ilvl="5">
      <w:start w:val="1"/>
      <w:numFmt w:val="decimal"/>
      <w:lvlText w:val="%6)"/>
      <w:lvlJc w:val="left"/>
      <w:pPr>
        <w:ind w:left="1020" w:hanging="360"/>
      </w:pPr>
    </w:lvl>
    <w:lvl w:ilvl="6">
      <w:start w:val="1"/>
      <w:numFmt w:val="decimal"/>
      <w:lvlText w:val="%7)"/>
      <w:lvlJc w:val="left"/>
      <w:pPr>
        <w:ind w:left="1020" w:hanging="360"/>
      </w:pPr>
    </w:lvl>
    <w:lvl w:ilvl="7">
      <w:start w:val="1"/>
      <w:numFmt w:val="decimal"/>
      <w:lvlText w:val="%8)"/>
      <w:lvlJc w:val="left"/>
      <w:pPr>
        <w:ind w:left="1020" w:hanging="360"/>
      </w:pPr>
    </w:lvl>
    <w:lvl w:ilvl="8">
      <w:start w:val="1"/>
      <w:numFmt w:val="decimal"/>
      <w:lvlText w:val="%9)"/>
      <w:lvlJc w:val="left"/>
      <w:pPr>
        <w:ind w:left="1020" w:hanging="360"/>
      </w:pPr>
    </w:lvl>
  </w:abstractNum>
  <w:abstractNum w:abstractNumId="10">
    <w:nsid w:val="467B1C2D"/>
    <w:multiLevelType w:val="hybridMultilevel"/>
    <w:tmpl w:val="E23A6154"/>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1">
    <w:nsid w:val="49562BBA"/>
    <w:multiLevelType w:val="hybridMultilevel"/>
    <w:tmpl w:val="9ED6F2C8"/>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2">
    <w:nsid w:val="4F483EE3"/>
    <w:multiLevelType w:val="hybridMultilevel"/>
    <w:tmpl w:val="749E3732"/>
    <w:lvl w:ilvl="0">
      <w:start w:val="1"/>
      <w:numFmt w:val="decimal"/>
      <w:lvlText w:val="%1."/>
      <w:lvlJc w:val="left"/>
      <w:pPr>
        <w:ind w:left="420" w:hanging="240"/>
        <w:jc w:val="right"/>
      </w:pPr>
      <w:rPr>
        <w:rFonts w:ascii="Times New Roman" w:eastAsia="Times New Roman" w:hAnsi="Times New Roman" w:cs="Times New Roman" w:hint="default"/>
        <w:spacing w:val="-3"/>
        <w:w w:val="99"/>
        <w:sz w:val="24"/>
        <w:szCs w:val="24"/>
      </w:rPr>
    </w:lvl>
    <w:lvl w:ilvl="1">
      <w:start w:val="0"/>
      <w:numFmt w:val="bullet"/>
      <w:lvlText w:val="•"/>
      <w:lvlJc w:val="left"/>
      <w:pPr>
        <w:ind w:left="1356" w:hanging="240"/>
      </w:pPr>
      <w:rPr>
        <w:rFonts w:hint="default"/>
      </w:rPr>
    </w:lvl>
    <w:lvl w:ilvl="2">
      <w:start w:val="0"/>
      <w:numFmt w:val="bullet"/>
      <w:lvlText w:val="•"/>
      <w:lvlJc w:val="left"/>
      <w:pPr>
        <w:ind w:left="2352" w:hanging="240"/>
      </w:pPr>
      <w:rPr>
        <w:rFonts w:hint="default"/>
      </w:rPr>
    </w:lvl>
    <w:lvl w:ilvl="3">
      <w:start w:val="0"/>
      <w:numFmt w:val="bullet"/>
      <w:lvlText w:val="•"/>
      <w:lvlJc w:val="left"/>
      <w:pPr>
        <w:ind w:left="3348" w:hanging="240"/>
      </w:pPr>
      <w:rPr>
        <w:rFonts w:hint="default"/>
      </w:rPr>
    </w:lvl>
    <w:lvl w:ilvl="4">
      <w:start w:val="0"/>
      <w:numFmt w:val="bullet"/>
      <w:lvlText w:val="•"/>
      <w:lvlJc w:val="left"/>
      <w:pPr>
        <w:ind w:left="4344" w:hanging="240"/>
      </w:pPr>
      <w:rPr>
        <w:rFonts w:hint="default"/>
      </w:rPr>
    </w:lvl>
    <w:lvl w:ilvl="5">
      <w:start w:val="0"/>
      <w:numFmt w:val="bullet"/>
      <w:lvlText w:val="•"/>
      <w:lvlJc w:val="left"/>
      <w:pPr>
        <w:ind w:left="5340" w:hanging="240"/>
      </w:pPr>
      <w:rPr>
        <w:rFonts w:hint="default"/>
      </w:rPr>
    </w:lvl>
    <w:lvl w:ilvl="6">
      <w:start w:val="0"/>
      <w:numFmt w:val="bullet"/>
      <w:lvlText w:val="•"/>
      <w:lvlJc w:val="left"/>
      <w:pPr>
        <w:ind w:left="6336" w:hanging="240"/>
      </w:pPr>
      <w:rPr>
        <w:rFonts w:hint="default"/>
      </w:rPr>
    </w:lvl>
    <w:lvl w:ilvl="7">
      <w:start w:val="0"/>
      <w:numFmt w:val="bullet"/>
      <w:lvlText w:val="•"/>
      <w:lvlJc w:val="left"/>
      <w:pPr>
        <w:ind w:left="7332" w:hanging="240"/>
      </w:pPr>
      <w:rPr>
        <w:rFonts w:hint="default"/>
      </w:rPr>
    </w:lvl>
    <w:lvl w:ilvl="8">
      <w:start w:val="0"/>
      <w:numFmt w:val="bullet"/>
      <w:lvlText w:val="•"/>
      <w:lvlJc w:val="left"/>
      <w:pPr>
        <w:ind w:left="8328" w:hanging="240"/>
      </w:pPr>
      <w:rPr>
        <w:rFonts w:hint="default"/>
      </w:rPr>
    </w:lvl>
  </w:abstractNum>
  <w:abstractNum w:abstractNumId="13">
    <w:nsid w:val="501914EF"/>
    <w:multiLevelType w:val="hybridMultilevel"/>
    <w:tmpl w:val="8708DD5E"/>
    <w:lvl w:ilvl="0">
      <w:start w:val="1"/>
      <w:numFmt w:val="decimal"/>
      <w:lvlText w:val="%1."/>
      <w:lvlJc w:val="left"/>
      <w:pPr>
        <w:ind w:left="1020" w:hanging="360"/>
      </w:pPr>
    </w:lvl>
    <w:lvl w:ilvl="1">
      <w:start w:val="1"/>
      <w:numFmt w:val="decimal"/>
      <w:lvlText w:val="%2."/>
      <w:lvlJc w:val="left"/>
      <w:pPr>
        <w:ind w:left="1020" w:hanging="360"/>
      </w:pPr>
    </w:lvl>
    <w:lvl w:ilvl="2">
      <w:start w:val="1"/>
      <w:numFmt w:val="decimal"/>
      <w:lvlText w:val="%3."/>
      <w:lvlJc w:val="left"/>
      <w:pPr>
        <w:ind w:left="1020" w:hanging="360"/>
      </w:pPr>
    </w:lvl>
    <w:lvl w:ilvl="3">
      <w:start w:val="1"/>
      <w:numFmt w:val="decimal"/>
      <w:lvlText w:val="%4."/>
      <w:lvlJc w:val="left"/>
      <w:pPr>
        <w:ind w:left="1020" w:hanging="360"/>
      </w:pPr>
    </w:lvl>
    <w:lvl w:ilvl="4">
      <w:start w:val="1"/>
      <w:numFmt w:val="decimal"/>
      <w:lvlText w:val="%5."/>
      <w:lvlJc w:val="left"/>
      <w:pPr>
        <w:ind w:left="1020" w:hanging="360"/>
      </w:pPr>
    </w:lvl>
    <w:lvl w:ilvl="5">
      <w:start w:val="1"/>
      <w:numFmt w:val="decimal"/>
      <w:lvlText w:val="%6."/>
      <w:lvlJc w:val="left"/>
      <w:pPr>
        <w:ind w:left="1020" w:hanging="360"/>
      </w:pPr>
    </w:lvl>
    <w:lvl w:ilvl="6">
      <w:start w:val="1"/>
      <w:numFmt w:val="decimal"/>
      <w:lvlText w:val="%7."/>
      <w:lvlJc w:val="left"/>
      <w:pPr>
        <w:ind w:left="1020" w:hanging="360"/>
      </w:pPr>
    </w:lvl>
    <w:lvl w:ilvl="7">
      <w:start w:val="1"/>
      <w:numFmt w:val="decimal"/>
      <w:lvlText w:val="%8."/>
      <w:lvlJc w:val="left"/>
      <w:pPr>
        <w:ind w:left="1020" w:hanging="360"/>
      </w:pPr>
    </w:lvl>
    <w:lvl w:ilvl="8">
      <w:start w:val="1"/>
      <w:numFmt w:val="decimal"/>
      <w:lvlText w:val="%9."/>
      <w:lvlJc w:val="left"/>
      <w:pPr>
        <w:ind w:left="1020" w:hanging="360"/>
      </w:pPr>
    </w:lvl>
  </w:abstractNum>
  <w:abstractNum w:abstractNumId="14">
    <w:nsid w:val="502E39D9"/>
    <w:multiLevelType w:val="multilevel"/>
    <w:tmpl w:val="7D06BE42"/>
    <w:lvl w:ilvl="0">
      <w:start w:val="485"/>
      <w:numFmt w:val="decimal"/>
      <w:lvlText w:val="%1"/>
      <w:lvlJc w:val="left"/>
      <w:pPr>
        <w:ind w:left="840" w:hanging="720"/>
      </w:pPr>
      <w:rPr>
        <w:rFonts w:hint="default"/>
      </w:rPr>
    </w:lvl>
    <w:lvl w:ilvl="1">
      <w:start w:val="64"/>
      <w:numFmt w:val="decimal"/>
      <w:lvlText w:val="%1.%2"/>
      <w:lvlJc w:val="left"/>
      <w:pPr>
        <w:ind w:left="810" w:hanging="720"/>
      </w:pPr>
      <w:rPr>
        <w:rFonts w:ascii="Times New Roman" w:eastAsia="Times New Roman" w:hAnsi="Times New Roman" w:hint="default"/>
        <w:b/>
        <w:bCs/>
        <w:w w:val="100"/>
        <w:sz w:val="24"/>
        <w:szCs w:val="24"/>
      </w:rPr>
    </w:lvl>
    <w:lvl w:ilvl="2">
      <w:start w:val="1"/>
      <w:numFmt w:val="lowerLetter"/>
      <w:lvlText w:val="(%3)"/>
      <w:lvlJc w:val="left"/>
      <w:pPr>
        <w:ind w:left="220" w:hanging="339"/>
      </w:pPr>
      <w:rPr>
        <w:rFonts w:ascii="Times New Roman" w:eastAsia="Times New Roman" w:hAnsi="Times New Roman" w:hint="default"/>
        <w:i/>
        <w:spacing w:val="-4"/>
        <w:w w:val="100"/>
        <w:sz w:val="24"/>
        <w:szCs w:val="24"/>
      </w:rPr>
    </w:lvl>
    <w:lvl w:ilvl="3">
      <w:start w:val="1"/>
      <w:numFmt w:val="decimal"/>
      <w:lvlText w:val="(%4)"/>
      <w:lvlJc w:val="left"/>
      <w:pPr>
        <w:ind w:left="220" w:hanging="339"/>
      </w:pPr>
      <w:rPr>
        <w:rFonts w:ascii="Times New Roman" w:eastAsia="Times New Roman" w:hAnsi="Times New Roman" w:hint="default"/>
        <w:spacing w:val="-1"/>
        <w:w w:val="100"/>
        <w:sz w:val="24"/>
        <w:szCs w:val="24"/>
      </w:rPr>
    </w:lvl>
    <w:lvl w:ilvl="4">
      <w:start w:val="1"/>
      <w:numFmt w:val="lowerRoman"/>
      <w:lvlText w:val="(%5)"/>
      <w:lvlJc w:val="left"/>
      <w:pPr>
        <w:ind w:left="220" w:hanging="286"/>
      </w:pPr>
      <w:rPr>
        <w:rFonts w:ascii="Times New Roman" w:eastAsia="Times New Roman" w:hAnsi="Times New Roman" w:hint="default"/>
        <w:spacing w:val="-1"/>
        <w:w w:val="100"/>
        <w:sz w:val="24"/>
        <w:szCs w:val="24"/>
      </w:rPr>
    </w:lvl>
    <w:lvl w:ilvl="5">
      <w:start w:val="1"/>
      <w:numFmt w:val="bullet"/>
      <w:lvlText w:val="•"/>
      <w:lvlJc w:val="left"/>
      <w:pPr>
        <w:ind w:left="4413" w:hanging="286"/>
      </w:pPr>
      <w:rPr>
        <w:rFonts w:hint="default"/>
      </w:rPr>
    </w:lvl>
    <w:lvl w:ilvl="6">
      <w:start w:val="1"/>
      <w:numFmt w:val="bullet"/>
      <w:lvlText w:val="•"/>
      <w:lvlJc w:val="left"/>
      <w:pPr>
        <w:ind w:left="5306" w:hanging="286"/>
      </w:pPr>
      <w:rPr>
        <w:rFonts w:hint="default"/>
      </w:rPr>
    </w:lvl>
    <w:lvl w:ilvl="7">
      <w:start w:val="1"/>
      <w:numFmt w:val="bullet"/>
      <w:lvlText w:val="•"/>
      <w:lvlJc w:val="left"/>
      <w:pPr>
        <w:ind w:left="6200" w:hanging="286"/>
      </w:pPr>
      <w:rPr>
        <w:rFonts w:hint="default"/>
      </w:rPr>
    </w:lvl>
    <w:lvl w:ilvl="8">
      <w:start w:val="1"/>
      <w:numFmt w:val="bullet"/>
      <w:lvlText w:val="•"/>
      <w:lvlJc w:val="left"/>
      <w:pPr>
        <w:ind w:left="7093" w:hanging="286"/>
      </w:pPr>
      <w:rPr>
        <w:rFonts w:hint="default"/>
      </w:rPr>
    </w:lvl>
  </w:abstractNum>
  <w:abstractNum w:abstractNumId="15">
    <w:nsid w:val="57964DB9"/>
    <w:multiLevelType w:val="hybridMultilevel"/>
    <w:tmpl w:val="89B2EC7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6">
    <w:nsid w:val="593D54FC"/>
    <w:multiLevelType w:val="hybridMultilevel"/>
    <w:tmpl w:val="84701B1C"/>
    <w:lvl w:ilvl="0">
      <w:start w:val="1"/>
      <w:numFmt w:val="bullet"/>
      <w:lvlText w:val=""/>
      <w:lvlJc w:val="left"/>
      <w:pPr>
        <w:ind w:left="1560" w:hanging="360"/>
      </w:pPr>
      <w:rPr>
        <w:rFonts w:ascii="Symbol" w:hAnsi="Symbol"/>
      </w:rPr>
    </w:lvl>
    <w:lvl w:ilvl="1">
      <w:start w:val="1"/>
      <w:numFmt w:val="bullet"/>
      <w:lvlText w:val=""/>
      <w:lvlJc w:val="left"/>
      <w:pPr>
        <w:ind w:left="2400" w:hanging="360"/>
      </w:pPr>
      <w:rPr>
        <w:rFonts w:ascii="Symbol" w:hAnsi="Symbol"/>
      </w:rPr>
    </w:lvl>
    <w:lvl w:ilvl="2">
      <w:start w:val="1"/>
      <w:numFmt w:val="bullet"/>
      <w:lvlText w:val=""/>
      <w:lvlJc w:val="left"/>
      <w:pPr>
        <w:ind w:left="1560" w:hanging="360"/>
      </w:pPr>
      <w:rPr>
        <w:rFonts w:ascii="Symbol" w:hAnsi="Symbol"/>
      </w:rPr>
    </w:lvl>
    <w:lvl w:ilvl="3">
      <w:start w:val="1"/>
      <w:numFmt w:val="bullet"/>
      <w:lvlText w:val=""/>
      <w:lvlJc w:val="left"/>
      <w:pPr>
        <w:ind w:left="1560" w:hanging="360"/>
      </w:pPr>
      <w:rPr>
        <w:rFonts w:ascii="Symbol" w:hAnsi="Symbol"/>
      </w:rPr>
    </w:lvl>
    <w:lvl w:ilvl="4">
      <w:start w:val="1"/>
      <w:numFmt w:val="bullet"/>
      <w:lvlText w:val=""/>
      <w:lvlJc w:val="left"/>
      <w:pPr>
        <w:ind w:left="1560" w:hanging="360"/>
      </w:pPr>
      <w:rPr>
        <w:rFonts w:ascii="Symbol" w:hAnsi="Symbol"/>
      </w:rPr>
    </w:lvl>
    <w:lvl w:ilvl="5">
      <w:start w:val="1"/>
      <w:numFmt w:val="bullet"/>
      <w:lvlText w:val=""/>
      <w:lvlJc w:val="left"/>
      <w:pPr>
        <w:ind w:left="1560" w:hanging="360"/>
      </w:pPr>
      <w:rPr>
        <w:rFonts w:ascii="Symbol" w:hAnsi="Symbol"/>
      </w:rPr>
    </w:lvl>
    <w:lvl w:ilvl="6">
      <w:start w:val="1"/>
      <w:numFmt w:val="bullet"/>
      <w:lvlText w:val=""/>
      <w:lvlJc w:val="left"/>
      <w:pPr>
        <w:ind w:left="1560" w:hanging="360"/>
      </w:pPr>
      <w:rPr>
        <w:rFonts w:ascii="Symbol" w:hAnsi="Symbol"/>
      </w:rPr>
    </w:lvl>
    <w:lvl w:ilvl="7">
      <w:start w:val="1"/>
      <w:numFmt w:val="bullet"/>
      <w:lvlText w:val=""/>
      <w:lvlJc w:val="left"/>
      <w:pPr>
        <w:ind w:left="1560" w:hanging="360"/>
      </w:pPr>
      <w:rPr>
        <w:rFonts w:ascii="Symbol" w:hAnsi="Symbol"/>
      </w:rPr>
    </w:lvl>
    <w:lvl w:ilvl="8">
      <w:start w:val="1"/>
      <w:numFmt w:val="bullet"/>
      <w:lvlText w:val=""/>
      <w:lvlJc w:val="left"/>
      <w:pPr>
        <w:ind w:left="1560" w:hanging="360"/>
      </w:pPr>
      <w:rPr>
        <w:rFonts w:ascii="Symbol" w:hAnsi="Symbol"/>
      </w:rPr>
    </w:lvl>
  </w:abstractNum>
  <w:abstractNum w:abstractNumId="17">
    <w:nsid w:val="5C310958"/>
    <w:multiLevelType w:val="hybridMultilevel"/>
    <w:tmpl w:val="FD9A8E9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nsid w:val="6023662B"/>
    <w:multiLevelType w:val="hybridMultilevel"/>
    <w:tmpl w:val="8FA6482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9">
    <w:nsid w:val="61360E78"/>
    <w:multiLevelType w:val="hybridMultilevel"/>
    <w:tmpl w:val="75CCB29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0">
    <w:nsid w:val="666278A0"/>
    <w:multiLevelType w:val="hybridMultilevel"/>
    <w:tmpl w:val="ADBEEEF0"/>
    <w:lvl w:ilvl="0">
      <w:start w:val="1"/>
      <w:numFmt w:val="bullet"/>
      <w:lvlText w:val=""/>
      <w:lvlJc w:val="left"/>
      <w:pPr>
        <w:ind w:left="1560" w:hanging="360"/>
      </w:pPr>
      <w:rPr>
        <w:rFonts w:ascii="Symbol" w:hAnsi="Symbol"/>
      </w:rPr>
    </w:lvl>
    <w:lvl w:ilvl="1">
      <w:start w:val="1"/>
      <w:numFmt w:val="bullet"/>
      <w:lvlText w:val=""/>
      <w:lvlJc w:val="left"/>
      <w:pPr>
        <w:ind w:left="1560" w:hanging="360"/>
      </w:pPr>
      <w:rPr>
        <w:rFonts w:ascii="Symbol" w:hAnsi="Symbol"/>
      </w:rPr>
    </w:lvl>
    <w:lvl w:ilvl="2">
      <w:start w:val="1"/>
      <w:numFmt w:val="bullet"/>
      <w:lvlText w:val=""/>
      <w:lvlJc w:val="left"/>
      <w:pPr>
        <w:ind w:left="1560" w:hanging="360"/>
      </w:pPr>
      <w:rPr>
        <w:rFonts w:ascii="Symbol" w:hAnsi="Symbol"/>
      </w:rPr>
    </w:lvl>
    <w:lvl w:ilvl="3">
      <w:start w:val="1"/>
      <w:numFmt w:val="bullet"/>
      <w:lvlText w:val=""/>
      <w:lvlJc w:val="left"/>
      <w:pPr>
        <w:ind w:left="1560" w:hanging="360"/>
      </w:pPr>
      <w:rPr>
        <w:rFonts w:ascii="Symbol" w:hAnsi="Symbol"/>
      </w:rPr>
    </w:lvl>
    <w:lvl w:ilvl="4">
      <w:start w:val="1"/>
      <w:numFmt w:val="bullet"/>
      <w:lvlText w:val=""/>
      <w:lvlJc w:val="left"/>
      <w:pPr>
        <w:ind w:left="1560" w:hanging="360"/>
      </w:pPr>
      <w:rPr>
        <w:rFonts w:ascii="Symbol" w:hAnsi="Symbol"/>
      </w:rPr>
    </w:lvl>
    <w:lvl w:ilvl="5">
      <w:start w:val="1"/>
      <w:numFmt w:val="bullet"/>
      <w:lvlText w:val=""/>
      <w:lvlJc w:val="left"/>
      <w:pPr>
        <w:ind w:left="1560" w:hanging="360"/>
      </w:pPr>
      <w:rPr>
        <w:rFonts w:ascii="Symbol" w:hAnsi="Symbol"/>
      </w:rPr>
    </w:lvl>
    <w:lvl w:ilvl="6">
      <w:start w:val="1"/>
      <w:numFmt w:val="bullet"/>
      <w:lvlText w:val=""/>
      <w:lvlJc w:val="left"/>
      <w:pPr>
        <w:ind w:left="1560" w:hanging="360"/>
      </w:pPr>
      <w:rPr>
        <w:rFonts w:ascii="Symbol" w:hAnsi="Symbol"/>
      </w:rPr>
    </w:lvl>
    <w:lvl w:ilvl="7">
      <w:start w:val="1"/>
      <w:numFmt w:val="bullet"/>
      <w:lvlText w:val=""/>
      <w:lvlJc w:val="left"/>
      <w:pPr>
        <w:ind w:left="1560" w:hanging="360"/>
      </w:pPr>
      <w:rPr>
        <w:rFonts w:ascii="Symbol" w:hAnsi="Symbol"/>
      </w:rPr>
    </w:lvl>
    <w:lvl w:ilvl="8">
      <w:start w:val="1"/>
      <w:numFmt w:val="bullet"/>
      <w:lvlText w:val=""/>
      <w:lvlJc w:val="left"/>
      <w:pPr>
        <w:ind w:left="1560" w:hanging="360"/>
      </w:pPr>
      <w:rPr>
        <w:rFonts w:ascii="Symbol" w:hAnsi="Symbol"/>
      </w:rPr>
    </w:lvl>
  </w:abstractNum>
  <w:abstractNum w:abstractNumId="21">
    <w:nsid w:val="729B058F"/>
    <w:multiLevelType w:val="hybridMultilevel"/>
    <w:tmpl w:val="C2FCF350"/>
    <w:lvl w:ilvl="0">
      <w:start w:val="1"/>
      <w:numFmt w:val="bullet"/>
      <w:lvlText w:val=""/>
      <w:lvlJc w:val="left"/>
      <w:pPr>
        <w:ind w:left="1560" w:hanging="360"/>
      </w:pPr>
      <w:rPr>
        <w:rFonts w:ascii="Symbol" w:hAnsi="Symbol"/>
      </w:rPr>
    </w:lvl>
    <w:lvl w:ilvl="1">
      <w:start w:val="1"/>
      <w:numFmt w:val="bullet"/>
      <w:lvlText w:val=""/>
      <w:lvlJc w:val="left"/>
      <w:pPr>
        <w:ind w:left="1560" w:hanging="360"/>
      </w:pPr>
      <w:rPr>
        <w:rFonts w:ascii="Symbol" w:hAnsi="Symbol"/>
      </w:rPr>
    </w:lvl>
    <w:lvl w:ilvl="2">
      <w:start w:val="1"/>
      <w:numFmt w:val="bullet"/>
      <w:lvlText w:val=""/>
      <w:lvlJc w:val="left"/>
      <w:pPr>
        <w:ind w:left="1560" w:hanging="360"/>
      </w:pPr>
      <w:rPr>
        <w:rFonts w:ascii="Symbol" w:hAnsi="Symbol"/>
      </w:rPr>
    </w:lvl>
    <w:lvl w:ilvl="3">
      <w:start w:val="1"/>
      <w:numFmt w:val="bullet"/>
      <w:lvlText w:val=""/>
      <w:lvlJc w:val="left"/>
      <w:pPr>
        <w:ind w:left="1560" w:hanging="360"/>
      </w:pPr>
      <w:rPr>
        <w:rFonts w:ascii="Symbol" w:hAnsi="Symbol"/>
      </w:rPr>
    </w:lvl>
    <w:lvl w:ilvl="4">
      <w:start w:val="1"/>
      <w:numFmt w:val="bullet"/>
      <w:lvlText w:val=""/>
      <w:lvlJc w:val="left"/>
      <w:pPr>
        <w:ind w:left="1560" w:hanging="360"/>
      </w:pPr>
      <w:rPr>
        <w:rFonts w:ascii="Symbol" w:hAnsi="Symbol"/>
      </w:rPr>
    </w:lvl>
    <w:lvl w:ilvl="5">
      <w:start w:val="1"/>
      <w:numFmt w:val="bullet"/>
      <w:lvlText w:val=""/>
      <w:lvlJc w:val="left"/>
      <w:pPr>
        <w:ind w:left="1560" w:hanging="360"/>
      </w:pPr>
      <w:rPr>
        <w:rFonts w:ascii="Symbol" w:hAnsi="Symbol"/>
      </w:rPr>
    </w:lvl>
    <w:lvl w:ilvl="6">
      <w:start w:val="1"/>
      <w:numFmt w:val="bullet"/>
      <w:lvlText w:val=""/>
      <w:lvlJc w:val="left"/>
      <w:pPr>
        <w:ind w:left="1560" w:hanging="360"/>
      </w:pPr>
      <w:rPr>
        <w:rFonts w:ascii="Symbol" w:hAnsi="Symbol"/>
      </w:rPr>
    </w:lvl>
    <w:lvl w:ilvl="7">
      <w:start w:val="1"/>
      <w:numFmt w:val="bullet"/>
      <w:lvlText w:val=""/>
      <w:lvlJc w:val="left"/>
      <w:pPr>
        <w:ind w:left="1560" w:hanging="360"/>
      </w:pPr>
      <w:rPr>
        <w:rFonts w:ascii="Symbol" w:hAnsi="Symbol"/>
      </w:rPr>
    </w:lvl>
    <w:lvl w:ilvl="8">
      <w:start w:val="1"/>
      <w:numFmt w:val="bullet"/>
      <w:lvlText w:val=""/>
      <w:lvlJc w:val="left"/>
      <w:pPr>
        <w:ind w:left="1560" w:hanging="360"/>
      </w:pPr>
      <w:rPr>
        <w:rFonts w:ascii="Symbol" w:hAnsi="Symbol"/>
      </w:rPr>
    </w:lvl>
  </w:abstractNum>
  <w:abstractNum w:abstractNumId="22">
    <w:nsid w:val="72AB6822"/>
    <w:multiLevelType w:val="hybridMultilevel"/>
    <w:tmpl w:val="35CE773E"/>
    <w:lvl w:ilvl="0">
      <w:start w:val="1"/>
      <w:numFmt w:val="decimal"/>
      <w:lvlText w:val="%1."/>
      <w:lvlJc w:val="left"/>
      <w:pPr>
        <w:ind w:left="1020" w:hanging="360"/>
      </w:pPr>
    </w:lvl>
    <w:lvl w:ilvl="1">
      <w:start w:val="1"/>
      <w:numFmt w:val="decimal"/>
      <w:lvlText w:val="%2."/>
      <w:lvlJc w:val="left"/>
      <w:pPr>
        <w:ind w:left="1020" w:hanging="360"/>
      </w:pPr>
    </w:lvl>
    <w:lvl w:ilvl="2">
      <w:start w:val="1"/>
      <w:numFmt w:val="decimal"/>
      <w:lvlText w:val="%3."/>
      <w:lvlJc w:val="left"/>
      <w:pPr>
        <w:ind w:left="1020" w:hanging="360"/>
      </w:pPr>
    </w:lvl>
    <w:lvl w:ilvl="3">
      <w:start w:val="1"/>
      <w:numFmt w:val="decimal"/>
      <w:lvlText w:val="%4."/>
      <w:lvlJc w:val="left"/>
      <w:pPr>
        <w:ind w:left="1020" w:hanging="360"/>
      </w:pPr>
    </w:lvl>
    <w:lvl w:ilvl="4">
      <w:start w:val="1"/>
      <w:numFmt w:val="decimal"/>
      <w:lvlText w:val="%5."/>
      <w:lvlJc w:val="left"/>
      <w:pPr>
        <w:ind w:left="1020" w:hanging="360"/>
      </w:pPr>
    </w:lvl>
    <w:lvl w:ilvl="5">
      <w:start w:val="1"/>
      <w:numFmt w:val="decimal"/>
      <w:lvlText w:val="%6."/>
      <w:lvlJc w:val="left"/>
      <w:pPr>
        <w:ind w:left="1020" w:hanging="360"/>
      </w:pPr>
    </w:lvl>
    <w:lvl w:ilvl="6">
      <w:start w:val="1"/>
      <w:numFmt w:val="decimal"/>
      <w:lvlText w:val="%7."/>
      <w:lvlJc w:val="left"/>
      <w:pPr>
        <w:ind w:left="1020" w:hanging="360"/>
      </w:pPr>
    </w:lvl>
    <w:lvl w:ilvl="7">
      <w:start w:val="1"/>
      <w:numFmt w:val="decimal"/>
      <w:lvlText w:val="%8."/>
      <w:lvlJc w:val="left"/>
      <w:pPr>
        <w:ind w:left="1020" w:hanging="360"/>
      </w:pPr>
    </w:lvl>
    <w:lvl w:ilvl="8">
      <w:start w:val="1"/>
      <w:numFmt w:val="decimal"/>
      <w:lvlText w:val="%9."/>
      <w:lvlJc w:val="left"/>
      <w:pPr>
        <w:ind w:left="1020" w:hanging="360"/>
      </w:pPr>
    </w:lvl>
  </w:abstractNum>
  <w:abstractNum w:abstractNumId="23">
    <w:nsid w:val="79C001BB"/>
    <w:multiLevelType w:val="hybridMultilevel"/>
    <w:tmpl w:val="294E1BFC"/>
    <w:lvl w:ilvl="0">
      <w:start w:val="1"/>
      <w:numFmt w:val="upperLetter"/>
      <w:lvlText w:val="%1."/>
      <w:lvlJc w:val="left"/>
      <w:pPr>
        <w:ind w:left="839" w:hanging="720"/>
        <w:jc w:val="right"/>
      </w:pPr>
      <w:rPr>
        <w:rFonts w:ascii="Times New Roman" w:eastAsia="Times New Roman" w:hAnsi="Times New Roman" w:hint="default"/>
        <w:b/>
        <w:bCs/>
        <w:spacing w:val="-1"/>
        <w:w w:val="100"/>
        <w:sz w:val="24"/>
        <w:szCs w:val="24"/>
      </w:rPr>
    </w:lvl>
    <w:lvl w:ilvl="1">
      <w:start w:val="1"/>
      <w:numFmt w:val="bullet"/>
      <w:lvlText w:val="•"/>
      <w:lvlJc w:val="left"/>
      <w:pPr>
        <w:ind w:left="1644" w:hanging="720"/>
      </w:pPr>
      <w:rPr>
        <w:rFonts w:hint="default"/>
      </w:rPr>
    </w:lvl>
    <w:lvl w:ilvl="2">
      <w:start w:val="1"/>
      <w:numFmt w:val="bullet"/>
      <w:lvlText w:val="•"/>
      <w:lvlJc w:val="left"/>
      <w:pPr>
        <w:ind w:left="2448" w:hanging="720"/>
      </w:pPr>
      <w:rPr>
        <w:rFonts w:hint="default"/>
      </w:rPr>
    </w:lvl>
    <w:lvl w:ilvl="3">
      <w:start w:val="1"/>
      <w:numFmt w:val="bullet"/>
      <w:lvlText w:val="•"/>
      <w:lvlJc w:val="left"/>
      <w:pPr>
        <w:ind w:left="3252" w:hanging="720"/>
      </w:pPr>
      <w:rPr>
        <w:rFonts w:hint="default"/>
      </w:rPr>
    </w:lvl>
    <w:lvl w:ilvl="4">
      <w:start w:val="1"/>
      <w:numFmt w:val="bullet"/>
      <w:lvlText w:val="•"/>
      <w:lvlJc w:val="left"/>
      <w:pPr>
        <w:ind w:left="4056" w:hanging="720"/>
      </w:pPr>
      <w:rPr>
        <w:rFonts w:hint="default"/>
      </w:rPr>
    </w:lvl>
    <w:lvl w:ilvl="5">
      <w:start w:val="1"/>
      <w:numFmt w:val="bullet"/>
      <w:lvlText w:val="•"/>
      <w:lvlJc w:val="left"/>
      <w:pPr>
        <w:ind w:left="4860" w:hanging="720"/>
      </w:pPr>
      <w:rPr>
        <w:rFonts w:hint="default"/>
      </w:rPr>
    </w:lvl>
    <w:lvl w:ilvl="6">
      <w:start w:val="1"/>
      <w:numFmt w:val="bullet"/>
      <w:lvlText w:val="•"/>
      <w:lvlJc w:val="left"/>
      <w:pPr>
        <w:ind w:left="5664" w:hanging="720"/>
      </w:pPr>
      <w:rPr>
        <w:rFonts w:hint="default"/>
      </w:rPr>
    </w:lvl>
    <w:lvl w:ilvl="7">
      <w:start w:val="1"/>
      <w:numFmt w:val="bullet"/>
      <w:lvlText w:val="•"/>
      <w:lvlJc w:val="left"/>
      <w:pPr>
        <w:ind w:left="6468" w:hanging="720"/>
      </w:pPr>
      <w:rPr>
        <w:rFonts w:hint="default"/>
      </w:rPr>
    </w:lvl>
    <w:lvl w:ilvl="8">
      <w:start w:val="1"/>
      <w:numFmt w:val="bullet"/>
      <w:lvlText w:val="•"/>
      <w:lvlJc w:val="left"/>
      <w:pPr>
        <w:ind w:left="7272" w:hanging="720"/>
      </w:pPr>
      <w:rPr>
        <w:rFonts w:hint="default"/>
      </w:rPr>
    </w:lvl>
  </w:abstractNum>
  <w:num w:numId="1" w16cid:durableId="43599903">
    <w:abstractNumId w:val="14"/>
  </w:num>
  <w:num w:numId="2" w16cid:durableId="2074158022">
    <w:abstractNumId w:val="3"/>
  </w:num>
  <w:num w:numId="3" w16cid:durableId="41909159">
    <w:abstractNumId w:val="23"/>
  </w:num>
  <w:num w:numId="4" w16cid:durableId="12197979">
    <w:abstractNumId w:val="17"/>
  </w:num>
  <w:num w:numId="5" w16cid:durableId="960918454">
    <w:abstractNumId w:val="0"/>
  </w:num>
  <w:num w:numId="6" w16cid:durableId="786434716">
    <w:abstractNumId w:val="2"/>
  </w:num>
  <w:num w:numId="7" w16cid:durableId="500387644">
    <w:abstractNumId w:val="12"/>
  </w:num>
  <w:num w:numId="8" w16cid:durableId="1475171996">
    <w:abstractNumId w:val="18"/>
  </w:num>
  <w:num w:numId="9" w16cid:durableId="1385177469">
    <w:abstractNumId w:val="9"/>
  </w:num>
  <w:num w:numId="10" w16cid:durableId="1536119631">
    <w:abstractNumId w:val="13"/>
  </w:num>
  <w:num w:numId="11" w16cid:durableId="792138575">
    <w:abstractNumId w:val="4"/>
  </w:num>
  <w:num w:numId="12" w16cid:durableId="1376193750">
    <w:abstractNumId w:val="22"/>
  </w:num>
  <w:num w:numId="13" w16cid:durableId="1860849671">
    <w:abstractNumId w:val="21"/>
  </w:num>
  <w:num w:numId="14" w16cid:durableId="86731471">
    <w:abstractNumId w:val="7"/>
  </w:num>
  <w:num w:numId="15" w16cid:durableId="1346590168">
    <w:abstractNumId w:val="20"/>
  </w:num>
  <w:num w:numId="16" w16cid:durableId="585965923">
    <w:abstractNumId w:val="16"/>
  </w:num>
  <w:num w:numId="17" w16cid:durableId="1110196749">
    <w:abstractNumId w:val="6"/>
  </w:num>
  <w:num w:numId="18" w16cid:durableId="885796852">
    <w:abstractNumId w:val="8"/>
  </w:num>
  <w:num w:numId="19" w16cid:durableId="327635381">
    <w:abstractNumId w:val="15"/>
  </w:num>
  <w:num w:numId="20" w16cid:durableId="62528680">
    <w:abstractNumId w:val="5"/>
  </w:num>
  <w:num w:numId="21" w16cid:durableId="828979365">
    <w:abstractNumId w:val="19"/>
  </w:num>
  <w:num w:numId="22" w16cid:durableId="317076231">
    <w:abstractNumId w:val="10"/>
  </w:num>
  <w:num w:numId="23" w16cid:durableId="536889240">
    <w:abstractNumId w:val="11"/>
  </w:num>
  <w:num w:numId="24" w16cid:durableId="36000991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stylePaneFormatFilter w:val="1021" w:allStyles="1" w:alternateStyleNames="0" w:clearFormatting="1" w:customStyles="0" w:directFormattingOnNumbering="0" w:directFormattingOnParagraphs="0" w:directFormattingOnRuns="0" w:directFormattingOnTables="0" w:headingStyles="1" w:latentStyles="0" w:numberingStyles="0" w:stylesInUse="0" w:tableStyles="0" w:top3HeadingStyles="0" w:visibleStyles="0"/>
  <w:stylePaneSortMethod w:val="name"/>
  <w:defaultTabStop w:val="720"/>
  <w:drawingGridHorizontalSpacing w:val="110"/>
  <w:displayHorizontalDrawingGridEvery w:val="2"/>
  <w:characterSpacingControl w:val="doNotCompress"/>
  <w:footnotePr>
    <w:footnote w:id="0"/>
    <w:footnote w:id="1"/>
  </w:foot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6725"/>
    <w:rsid w:val="00004D9E"/>
    <w:rsid w:val="00006B9A"/>
    <w:rsid w:val="00007D29"/>
    <w:rsid w:val="00021720"/>
    <w:rsid w:val="00026C1B"/>
    <w:rsid w:val="00034B8E"/>
    <w:rsid w:val="000373E5"/>
    <w:rsid w:val="000425C4"/>
    <w:rsid w:val="00046AEC"/>
    <w:rsid w:val="0005625E"/>
    <w:rsid w:val="00063DCA"/>
    <w:rsid w:val="00063E90"/>
    <w:rsid w:val="0006448A"/>
    <w:rsid w:val="000770D1"/>
    <w:rsid w:val="00080157"/>
    <w:rsid w:val="00082D12"/>
    <w:rsid w:val="00083973"/>
    <w:rsid w:val="0008525F"/>
    <w:rsid w:val="0009115B"/>
    <w:rsid w:val="00096E8A"/>
    <w:rsid w:val="000A350C"/>
    <w:rsid w:val="000A651F"/>
    <w:rsid w:val="000B0D10"/>
    <w:rsid w:val="000C3699"/>
    <w:rsid w:val="000D3801"/>
    <w:rsid w:val="000E141B"/>
    <w:rsid w:val="000E2B1D"/>
    <w:rsid w:val="000E6663"/>
    <w:rsid w:val="000F38FF"/>
    <w:rsid w:val="000F6C1B"/>
    <w:rsid w:val="00102CA0"/>
    <w:rsid w:val="00112945"/>
    <w:rsid w:val="0012378D"/>
    <w:rsid w:val="001258F5"/>
    <w:rsid w:val="00126531"/>
    <w:rsid w:val="00126720"/>
    <w:rsid w:val="00127EE9"/>
    <w:rsid w:val="001455CB"/>
    <w:rsid w:val="001455D6"/>
    <w:rsid w:val="00161F8D"/>
    <w:rsid w:val="00164BD9"/>
    <w:rsid w:val="00172124"/>
    <w:rsid w:val="00172EC1"/>
    <w:rsid w:val="001735C0"/>
    <w:rsid w:val="00173A8B"/>
    <w:rsid w:val="001836D4"/>
    <w:rsid w:val="00186BAA"/>
    <w:rsid w:val="001904EA"/>
    <w:rsid w:val="00190676"/>
    <w:rsid w:val="00192483"/>
    <w:rsid w:val="00193F77"/>
    <w:rsid w:val="001A49E2"/>
    <w:rsid w:val="001A6DCE"/>
    <w:rsid w:val="001B42DF"/>
    <w:rsid w:val="001D0C39"/>
    <w:rsid w:val="001D4900"/>
    <w:rsid w:val="001E1BD6"/>
    <w:rsid w:val="001E4AC5"/>
    <w:rsid w:val="001F0D40"/>
    <w:rsid w:val="001F3C2F"/>
    <w:rsid w:val="001F7201"/>
    <w:rsid w:val="001F77AB"/>
    <w:rsid w:val="00201D86"/>
    <w:rsid w:val="00204275"/>
    <w:rsid w:val="0020471A"/>
    <w:rsid w:val="00205C1F"/>
    <w:rsid w:val="00210BC2"/>
    <w:rsid w:val="00211B8D"/>
    <w:rsid w:val="002123DB"/>
    <w:rsid w:val="00216F38"/>
    <w:rsid w:val="002240C0"/>
    <w:rsid w:val="00224128"/>
    <w:rsid w:val="00230228"/>
    <w:rsid w:val="002303CF"/>
    <w:rsid w:val="0023186D"/>
    <w:rsid w:val="00232FF7"/>
    <w:rsid w:val="00234A13"/>
    <w:rsid w:val="00252610"/>
    <w:rsid w:val="00255EDD"/>
    <w:rsid w:val="00257D74"/>
    <w:rsid w:val="00264E30"/>
    <w:rsid w:val="002677C7"/>
    <w:rsid w:val="002861CE"/>
    <w:rsid w:val="002867CA"/>
    <w:rsid w:val="00287C57"/>
    <w:rsid w:val="00291B5E"/>
    <w:rsid w:val="002A7C5D"/>
    <w:rsid w:val="002C0E2E"/>
    <w:rsid w:val="002C7742"/>
    <w:rsid w:val="002D2BCF"/>
    <w:rsid w:val="002D4EEA"/>
    <w:rsid w:val="002D7575"/>
    <w:rsid w:val="002E0D43"/>
    <w:rsid w:val="002E281B"/>
    <w:rsid w:val="002F0A44"/>
    <w:rsid w:val="002F23A8"/>
    <w:rsid w:val="002F7380"/>
    <w:rsid w:val="00304C6C"/>
    <w:rsid w:val="0030648A"/>
    <w:rsid w:val="00312298"/>
    <w:rsid w:val="00313731"/>
    <w:rsid w:val="003152F1"/>
    <w:rsid w:val="00317CFE"/>
    <w:rsid w:val="00330653"/>
    <w:rsid w:val="00337451"/>
    <w:rsid w:val="0033775A"/>
    <w:rsid w:val="00355D0E"/>
    <w:rsid w:val="00357828"/>
    <w:rsid w:val="00365CFE"/>
    <w:rsid w:val="0036730C"/>
    <w:rsid w:val="003706A9"/>
    <w:rsid w:val="00374D8D"/>
    <w:rsid w:val="00382A1C"/>
    <w:rsid w:val="00387A06"/>
    <w:rsid w:val="003A7091"/>
    <w:rsid w:val="003B3072"/>
    <w:rsid w:val="003B3270"/>
    <w:rsid w:val="003B79E5"/>
    <w:rsid w:val="003C26E7"/>
    <w:rsid w:val="003C37A4"/>
    <w:rsid w:val="003D2C98"/>
    <w:rsid w:val="003D2FFF"/>
    <w:rsid w:val="003E6D6E"/>
    <w:rsid w:val="003F103C"/>
    <w:rsid w:val="003F3A16"/>
    <w:rsid w:val="004048F8"/>
    <w:rsid w:val="00414345"/>
    <w:rsid w:val="004169C0"/>
    <w:rsid w:val="00421116"/>
    <w:rsid w:val="00434B79"/>
    <w:rsid w:val="00434D11"/>
    <w:rsid w:val="00435C40"/>
    <w:rsid w:val="0043600E"/>
    <w:rsid w:val="00436042"/>
    <w:rsid w:val="0043676A"/>
    <w:rsid w:val="00444690"/>
    <w:rsid w:val="00447688"/>
    <w:rsid w:val="00464501"/>
    <w:rsid w:val="00470DCF"/>
    <w:rsid w:val="0047121C"/>
    <w:rsid w:val="00476A73"/>
    <w:rsid w:val="00476E96"/>
    <w:rsid w:val="00477BA3"/>
    <w:rsid w:val="0048225B"/>
    <w:rsid w:val="004829A2"/>
    <w:rsid w:val="00492596"/>
    <w:rsid w:val="004960F7"/>
    <w:rsid w:val="00496F35"/>
    <w:rsid w:val="004A3621"/>
    <w:rsid w:val="004A57CD"/>
    <w:rsid w:val="004B3284"/>
    <w:rsid w:val="004B7CB5"/>
    <w:rsid w:val="004C348F"/>
    <w:rsid w:val="004D0027"/>
    <w:rsid w:val="004D0FD5"/>
    <w:rsid w:val="004E4177"/>
    <w:rsid w:val="004E47B4"/>
    <w:rsid w:val="005040D8"/>
    <w:rsid w:val="00510EFB"/>
    <w:rsid w:val="00510F3E"/>
    <w:rsid w:val="005110E9"/>
    <w:rsid w:val="00511AE3"/>
    <w:rsid w:val="00523D3E"/>
    <w:rsid w:val="00547CCC"/>
    <w:rsid w:val="00550601"/>
    <w:rsid w:val="00556303"/>
    <w:rsid w:val="00557599"/>
    <w:rsid w:val="00557D4B"/>
    <w:rsid w:val="00561E03"/>
    <w:rsid w:val="00565EB7"/>
    <w:rsid w:val="00570514"/>
    <w:rsid w:val="00583241"/>
    <w:rsid w:val="005850CD"/>
    <w:rsid w:val="00586A64"/>
    <w:rsid w:val="00590480"/>
    <w:rsid w:val="005B1EE6"/>
    <w:rsid w:val="005B2185"/>
    <w:rsid w:val="005B41D2"/>
    <w:rsid w:val="005C2232"/>
    <w:rsid w:val="005C7094"/>
    <w:rsid w:val="005C7800"/>
    <w:rsid w:val="005D0133"/>
    <w:rsid w:val="005D4222"/>
    <w:rsid w:val="005D740B"/>
    <w:rsid w:val="005F13F3"/>
    <w:rsid w:val="005F1519"/>
    <w:rsid w:val="005F3B0A"/>
    <w:rsid w:val="00610831"/>
    <w:rsid w:val="006119BC"/>
    <w:rsid w:val="00621762"/>
    <w:rsid w:val="006246C4"/>
    <w:rsid w:val="006266D9"/>
    <w:rsid w:val="00630310"/>
    <w:rsid w:val="00644A5B"/>
    <w:rsid w:val="00651180"/>
    <w:rsid w:val="0066047E"/>
    <w:rsid w:val="0067340C"/>
    <w:rsid w:val="00674072"/>
    <w:rsid w:val="006765F9"/>
    <w:rsid w:val="006775DF"/>
    <w:rsid w:val="00683BC7"/>
    <w:rsid w:val="00685B94"/>
    <w:rsid w:val="00690E0D"/>
    <w:rsid w:val="006933FA"/>
    <w:rsid w:val="00696FDD"/>
    <w:rsid w:val="006A1F63"/>
    <w:rsid w:val="006A2B16"/>
    <w:rsid w:val="006A34E6"/>
    <w:rsid w:val="006A4F50"/>
    <w:rsid w:val="006A5880"/>
    <w:rsid w:val="006B2A0F"/>
    <w:rsid w:val="006B2CA9"/>
    <w:rsid w:val="006B31E7"/>
    <w:rsid w:val="006B7885"/>
    <w:rsid w:val="006D0B28"/>
    <w:rsid w:val="006D1114"/>
    <w:rsid w:val="006D4FC7"/>
    <w:rsid w:val="006F2666"/>
    <w:rsid w:val="006F4E77"/>
    <w:rsid w:val="0071266F"/>
    <w:rsid w:val="00715191"/>
    <w:rsid w:val="00717C85"/>
    <w:rsid w:val="00723203"/>
    <w:rsid w:val="007233B6"/>
    <w:rsid w:val="00725B70"/>
    <w:rsid w:val="00727698"/>
    <w:rsid w:val="00732823"/>
    <w:rsid w:val="00733C89"/>
    <w:rsid w:val="00736387"/>
    <w:rsid w:val="00737B9E"/>
    <w:rsid w:val="00741818"/>
    <w:rsid w:val="00743FB1"/>
    <w:rsid w:val="007502F1"/>
    <w:rsid w:val="00765EC6"/>
    <w:rsid w:val="007768AA"/>
    <w:rsid w:val="007775B3"/>
    <w:rsid w:val="00777B93"/>
    <w:rsid w:val="00782957"/>
    <w:rsid w:val="0079425A"/>
    <w:rsid w:val="00795E88"/>
    <w:rsid w:val="007A5823"/>
    <w:rsid w:val="007B1FE5"/>
    <w:rsid w:val="007B363B"/>
    <w:rsid w:val="007B4F34"/>
    <w:rsid w:val="007B5D48"/>
    <w:rsid w:val="007B5F8D"/>
    <w:rsid w:val="007C000B"/>
    <w:rsid w:val="007C6962"/>
    <w:rsid w:val="007C7C3D"/>
    <w:rsid w:val="007D12A2"/>
    <w:rsid w:val="007D2529"/>
    <w:rsid w:val="007D3193"/>
    <w:rsid w:val="007D38B5"/>
    <w:rsid w:val="007D3CCB"/>
    <w:rsid w:val="007D53FD"/>
    <w:rsid w:val="007E0D59"/>
    <w:rsid w:val="007E1FB4"/>
    <w:rsid w:val="007E320F"/>
    <w:rsid w:val="00805CBE"/>
    <w:rsid w:val="00807906"/>
    <w:rsid w:val="008108AA"/>
    <w:rsid w:val="00811C13"/>
    <w:rsid w:val="00813DF8"/>
    <w:rsid w:val="00817B03"/>
    <w:rsid w:val="00817CF0"/>
    <w:rsid w:val="0082048D"/>
    <w:rsid w:val="00821E62"/>
    <w:rsid w:val="00826725"/>
    <w:rsid w:val="00830F3D"/>
    <w:rsid w:val="00833748"/>
    <w:rsid w:val="008361E5"/>
    <w:rsid w:val="008410FA"/>
    <w:rsid w:val="00844605"/>
    <w:rsid w:val="008476DE"/>
    <w:rsid w:val="00862D2B"/>
    <w:rsid w:val="00864649"/>
    <w:rsid w:val="00867CEF"/>
    <w:rsid w:val="00875AB0"/>
    <w:rsid w:val="0087693E"/>
    <w:rsid w:val="00883AE5"/>
    <w:rsid w:val="0088711E"/>
    <w:rsid w:val="0089015D"/>
    <w:rsid w:val="00890CCA"/>
    <w:rsid w:val="00891A9F"/>
    <w:rsid w:val="008955BE"/>
    <w:rsid w:val="00896254"/>
    <w:rsid w:val="008B42FF"/>
    <w:rsid w:val="008B7469"/>
    <w:rsid w:val="008C3FFA"/>
    <w:rsid w:val="008D4F7A"/>
    <w:rsid w:val="008D5DD6"/>
    <w:rsid w:val="008D6426"/>
    <w:rsid w:val="008E0D3D"/>
    <w:rsid w:val="008E4805"/>
    <w:rsid w:val="008E5144"/>
    <w:rsid w:val="008F252B"/>
    <w:rsid w:val="0090085B"/>
    <w:rsid w:val="00922038"/>
    <w:rsid w:val="00926DD6"/>
    <w:rsid w:val="00927DE5"/>
    <w:rsid w:val="009330A7"/>
    <w:rsid w:val="00937FA9"/>
    <w:rsid w:val="00940FA4"/>
    <w:rsid w:val="009456CE"/>
    <w:rsid w:val="0094595E"/>
    <w:rsid w:val="00951E42"/>
    <w:rsid w:val="00957016"/>
    <w:rsid w:val="00957EE7"/>
    <w:rsid w:val="00963777"/>
    <w:rsid w:val="009667F7"/>
    <w:rsid w:val="00971286"/>
    <w:rsid w:val="0097341D"/>
    <w:rsid w:val="00980079"/>
    <w:rsid w:val="00992B3A"/>
    <w:rsid w:val="009939D1"/>
    <w:rsid w:val="0099483F"/>
    <w:rsid w:val="009A3A60"/>
    <w:rsid w:val="009B6E99"/>
    <w:rsid w:val="009C2EAF"/>
    <w:rsid w:val="009C419E"/>
    <w:rsid w:val="009D3733"/>
    <w:rsid w:val="009D3CAF"/>
    <w:rsid w:val="009D7D09"/>
    <w:rsid w:val="009E26A4"/>
    <w:rsid w:val="009E2A32"/>
    <w:rsid w:val="009E6AF2"/>
    <w:rsid w:val="009F1A45"/>
    <w:rsid w:val="009F5D32"/>
    <w:rsid w:val="00A112C5"/>
    <w:rsid w:val="00A16E19"/>
    <w:rsid w:val="00A25AF7"/>
    <w:rsid w:val="00A32624"/>
    <w:rsid w:val="00A3276F"/>
    <w:rsid w:val="00A3400B"/>
    <w:rsid w:val="00A35431"/>
    <w:rsid w:val="00A440BE"/>
    <w:rsid w:val="00A47D40"/>
    <w:rsid w:val="00A52604"/>
    <w:rsid w:val="00A55D19"/>
    <w:rsid w:val="00A56769"/>
    <w:rsid w:val="00A60114"/>
    <w:rsid w:val="00A61D23"/>
    <w:rsid w:val="00A646D0"/>
    <w:rsid w:val="00A7110F"/>
    <w:rsid w:val="00A73265"/>
    <w:rsid w:val="00A80E8F"/>
    <w:rsid w:val="00A81FFD"/>
    <w:rsid w:val="00A901C7"/>
    <w:rsid w:val="00A92886"/>
    <w:rsid w:val="00AB25FE"/>
    <w:rsid w:val="00AC0818"/>
    <w:rsid w:val="00AC08E1"/>
    <w:rsid w:val="00AC101B"/>
    <w:rsid w:val="00AE14AE"/>
    <w:rsid w:val="00AE1FC4"/>
    <w:rsid w:val="00AE2035"/>
    <w:rsid w:val="00AE3955"/>
    <w:rsid w:val="00AE44F1"/>
    <w:rsid w:val="00AE4FB6"/>
    <w:rsid w:val="00AF201C"/>
    <w:rsid w:val="00B07379"/>
    <w:rsid w:val="00B07F55"/>
    <w:rsid w:val="00B20623"/>
    <w:rsid w:val="00B213E3"/>
    <w:rsid w:val="00B216B9"/>
    <w:rsid w:val="00B3610B"/>
    <w:rsid w:val="00B420C3"/>
    <w:rsid w:val="00B50E3E"/>
    <w:rsid w:val="00B55C27"/>
    <w:rsid w:val="00B57735"/>
    <w:rsid w:val="00B60374"/>
    <w:rsid w:val="00B65B65"/>
    <w:rsid w:val="00B72FFF"/>
    <w:rsid w:val="00B751B0"/>
    <w:rsid w:val="00B763CF"/>
    <w:rsid w:val="00B77D55"/>
    <w:rsid w:val="00B81DD5"/>
    <w:rsid w:val="00B824E5"/>
    <w:rsid w:val="00B82A1B"/>
    <w:rsid w:val="00B85D8D"/>
    <w:rsid w:val="00B90D30"/>
    <w:rsid w:val="00B934CA"/>
    <w:rsid w:val="00B966BF"/>
    <w:rsid w:val="00BA1FE7"/>
    <w:rsid w:val="00BA2893"/>
    <w:rsid w:val="00BA2968"/>
    <w:rsid w:val="00BA7DA8"/>
    <w:rsid w:val="00BB0167"/>
    <w:rsid w:val="00BB4972"/>
    <w:rsid w:val="00BB502D"/>
    <w:rsid w:val="00BB53B2"/>
    <w:rsid w:val="00BC4645"/>
    <w:rsid w:val="00BE1AEE"/>
    <w:rsid w:val="00BE6497"/>
    <w:rsid w:val="00BF13E2"/>
    <w:rsid w:val="00C108FC"/>
    <w:rsid w:val="00C112A2"/>
    <w:rsid w:val="00C20D30"/>
    <w:rsid w:val="00C2384E"/>
    <w:rsid w:val="00C23E4F"/>
    <w:rsid w:val="00C249C2"/>
    <w:rsid w:val="00C25D9E"/>
    <w:rsid w:val="00C27516"/>
    <w:rsid w:val="00C30899"/>
    <w:rsid w:val="00C34494"/>
    <w:rsid w:val="00C35D72"/>
    <w:rsid w:val="00C40027"/>
    <w:rsid w:val="00C404F5"/>
    <w:rsid w:val="00C41F1D"/>
    <w:rsid w:val="00C42550"/>
    <w:rsid w:val="00C45EB3"/>
    <w:rsid w:val="00C47127"/>
    <w:rsid w:val="00C54594"/>
    <w:rsid w:val="00C60E09"/>
    <w:rsid w:val="00C6504C"/>
    <w:rsid w:val="00C6649C"/>
    <w:rsid w:val="00C730A0"/>
    <w:rsid w:val="00C75D20"/>
    <w:rsid w:val="00C85297"/>
    <w:rsid w:val="00C86305"/>
    <w:rsid w:val="00C876FD"/>
    <w:rsid w:val="00C96DB4"/>
    <w:rsid w:val="00CA4CCE"/>
    <w:rsid w:val="00CA5069"/>
    <w:rsid w:val="00CA6A4A"/>
    <w:rsid w:val="00CB6230"/>
    <w:rsid w:val="00CB773D"/>
    <w:rsid w:val="00CC0438"/>
    <w:rsid w:val="00CD34B0"/>
    <w:rsid w:val="00CD7B3D"/>
    <w:rsid w:val="00CE03DC"/>
    <w:rsid w:val="00CE3A09"/>
    <w:rsid w:val="00CE7111"/>
    <w:rsid w:val="00CE715A"/>
    <w:rsid w:val="00D039B3"/>
    <w:rsid w:val="00D041B5"/>
    <w:rsid w:val="00D044D0"/>
    <w:rsid w:val="00D0637E"/>
    <w:rsid w:val="00D13FD0"/>
    <w:rsid w:val="00D27E72"/>
    <w:rsid w:val="00D41DB5"/>
    <w:rsid w:val="00D452FC"/>
    <w:rsid w:val="00D505C1"/>
    <w:rsid w:val="00D51466"/>
    <w:rsid w:val="00D5171B"/>
    <w:rsid w:val="00D53CF2"/>
    <w:rsid w:val="00D55C3B"/>
    <w:rsid w:val="00D62B57"/>
    <w:rsid w:val="00D66401"/>
    <w:rsid w:val="00D66694"/>
    <w:rsid w:val="00D71342"/>
    <w:rsid w:val="00D715E0"/>
    <w:rsid w:val="00D97A9F"/>
    <w:rsid w:val="00DA354F"/>
    <w:rsid w:val="00DA3FF6"/>
    <w:rsid w:val="00DA7DAC"/>
    <w:rsid w:val="00DB3091"/>
    <w:rsid w:val="00DB56B9"/>
    <w:rsid w:val="00DC0B87"/>
    <w:rsid w:val="00DC2370"/>
    <w:rsid w:val="00DC5358"/>
    <w:rsid w:val="00DD539F"/>
    <w:rsid w:val="00DE7C1E"/>
    <w:rsid w:val="00DF136B"/>
    <w:rsid w:val="00E038C3"/>
    <w:rsid w:val="00E04270"/>
    <w:rsid w:val="00E0446E"/>
    <w:rsid w:val="00E10D6D"/>
    <w:rsid w:val="00E13E4C"/>
    <w:rsid w:val="00E21F41"/>
    <w:rsid w:val="00E21F73"/>
    <w:rsid w:val="00E2382E"/>
    <w:rsid w:val="00E23C1F"/>
    <w:rsid w:val="00E256A9"/>
    <w:rsid w:val="00E3134D"/>
    <w:rsid w:val="00E31DA1"/>
    <w:rsid w:val="00E3558C"/>
    <w:rsid w:val="00E53BC2"/>
    <w:rsid w:val="00E54CDF"/>
    <w:rsid w:val="00E657CB"/>
    <w:rsid w:val="00E75041"/>
    <w:rsid w:val="00E7548A"/>
    <w:rsid w:val="00E859FA"/>
    <w:rsid w:val="00E90B84"/>
    <w:rsid w:val="00E93F03"/>
    <w:rsid w:val="00E9508F"/>
    <w:rsid w:val="00EC438B"/>
    <w:rsid w:val="00EC6C17"/>
    <w:rsid w:val="00ED3BE2"/>
    <w:rsid w:val="00ED70B2"/>
    <w:rsid w:val="00EE0465"/>
    <w:rsid w:val="00EE1A4F"/>
    <w:rsid w:val="00EF0415"/>
    <w:rsid w:val="00EF6904"/>
    <w:rsid w:val="00F05BC1"/>
    <w:rsid w:val="00F252E2"/>
    <w:rsid w:val="00F2671C"/>
    <w:rsid w:val="00F324D3"/>
    <w:rsid w:val="00F3780F"/>
    <w:rsid w:val="00F415AC"/>
    <w:rsid w:val="00F42549"/>
    <w:rsid w:val="00F43382"/>
    <w:rsid w:val="00F54130"/>
    <w:rsid w:val="00F83731"/>
    <w:rsid w:val="00F850F1"/>
    <w:rsid w:val="00F86FB3"/>
    <w:rsid w:val="00F91942"/>
    <w:rsid w:val="00F921B5"/>
    <w:rsid w:val="00F9310C"/>
    <w:rsid w:val="00F95181"/>
    <w:rsid w:val="00FA3460"/>
    <w:rsid w:val="00FA487E"/>
    <w:rsid w:val="00FA611E"/>
    <w:rsid w:val="00FA709E"/>
    <w:rsid w:val="00FB4F83"/>
    <w:rsid w:val="00FC1F4B"/>
    <w:rsid w:val="00FC25FA"/>
    <w:rsid w:val="00FC7700"/>
    <w:rsid w:val="00FD2EF4"/>
    <w:rsid w:val="00FE00B0"/>
    <w:rsid w:val="00FF2AED"/>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750DB8F2"/>
  <w15:docId w15:val="{B943794D-4985-4359-B59B-88D685171D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1"/>
    <w:rsid w:val="00B57735"/>
    <w:pPr>
      <w:keepNext/>
      <w:keepLines/>
      <w:outlineLvl w:val="5"/>
    </w:pPr>
    <w:rPr>
      <w:rFonts w:ascii="Times New Roman" w:eastAsia="Times New Roman" w:hAnsi="Times New Roman" w:cs="Times New Roman"/>
      <w:sz w:val="24"/>
    </w:rPr>
  </w:style>
  <w:style w:type="paragraph" w:styleId="Heading1">
    <w:name w:val="heading 1"/>
    <w:basedOn w:val="Normal"/>
    <w:uiPriority w:val="1"/>
    <w:qFormat/>
    <w:rsid w:val="002867CA"/>
    <w:pPr>
      <w:keepNext w:val="0"/>
      <w:keepLines w:val="0"/>
      <w:outlineLvl w:val="0"/>
    </w:pPr>
    <w:rPr>
      <w:b/>
      <w:u w:color="000000"/>
    </w:rPr>
  </w:style>
  <w:style w:type="paragraph" w:styleId="Heading2">
    <w:name w:val="heading 2"/>
    <w:basedOn w:val="Normal"/>
    <w:uiPriority w:val="1"/>
    <w:qFormat/>
    <w:rsid w:val="00164BD9"/>
    <w:pPr>
      <w:keepLines w:val="0"/>
      <w:outlineLvl w:val="1"/>
    </w:pPr>
    <w:rPr>
      <w:b/>
      <w:bCs/>
      <w:u w:color="000000"/>
    </w:rPr>
  </w:style>
  <w:style w:type="paragraph" w:styleId="Heading3">
    <w:name w:val="heading 3"/>
    <w:basedOn w:val="Heading2"/>
    <w:next w:val="Normal"/>
    <w:link w:val="Heading3Char"/>
    <w:uiPriority w:val="9"/>
    <w:unhideWhenUsed/>
    <w:qFormat/>
    <w:rsid w:val="00F05BC1"/>
    <w:pPr>
      <w:ind w:left="360"/>
      <w:outlineLvl w:val="2"/>
    </w:pPr>
    <w:rPr>
      <w:u w:val="single"/>
    </w:rPr>
  </w:style>
  <w:style w:type="paragraph" w:styleId="Heading4">
    <w:name w:val="heading 4"/>
    <w:basedOn w:val="Normal"/>
    <w:next w:val="Normal"/>
    <w:link w:val="Heading4Char"/>
    <w:uiPriority w:val="9"/>
    <w:unhideWhenUsed/>
    <w:qFormat/>
    <w:rsid w:val="00F05BC1"/>
    <w:pPr>
      <w:ind w:left="274"/>
      <w:outlineLvl w:val="3"/>
    </w:pPr>
    <w:rPr>
      <w:u w:val="single"/>
    </w:rPr>
  </w:style>
  <w:style w:type="paragraph" w:styleId="Heading5">
    <w:name w:val="heading 5"/>
    <w:basedOn w:val="Heading6"/>
    <w:next w:val="Normal"/>
    <w:link w:val="Heading5Char"/>
    <w:uiPriority w:val="9"/>
    <w:unhideWhenUsed/>
    <w:qFormat/>
    <w:rsid w:val="00421116"/>
    <w:pPr>
      <w:outlineLvl w:val="4"/>
    </w:pPr>
  </w:style>
  <w:style w:type="paragraph" w:styleId="Heading6">
    <w:name w:val="heading 6"/>
    <w:basedOn w:val="Normal"/>
    <w:next w:val="Normal"/>
    <w:link w:val="Heading6Char"/>
    <w:uiPriority w:val="9"/>
    <w:unhideWhenUsed/>
    <w:qFormat/>
    <w:rsid w:val="00186BAA"/>
    <w:pPr>
      <w:keepNext w:val="0"/>
      <w:keepLines w:val="0"/>
      <w:jc w:val="center"/>
      <w:outlineLvl w:val="5"/>
    </w:pPr>
    <w:rPr>
      <w:rFonts w:eastAsiaTheme="majorEastAsia"/>
      <w:b/>
      <w:bCs/>
    </w:rPr>
  </w:style>
  <w:style w:type="paragraph" w:styleId="Heading7">
    <w:name w:val="heading 7"/>
    <w:basedOn w:val="Heading5"/>
    <w:next w:val="Normal"/>
    <w:link w:val="Heading7Char"/>
    <w:uiPriority w:val="9"/>
    <w:unhideWhenUsed/>
    <w:qFormat/>
    <w:rsid w:val="00421116"/>
    <w:pPr>
      <w:outlineLvl w:val="6"/>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164BD9"/>
    <w:pPr>
      <w:keepLines w:val="0"/>
      <w:ind w:left="274"/>
    </w:pPr>
    <w:rPr>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customStyle="1" w:styleId="Default">
    <w:name w:val="Default"/>
    <w:rsid w:val="00867CEF"/>
    <w:pPr>
      <w:widowControl/>
      <w:autoSpaceDE w:val="0"/>
      <w:autoSpaceDN w:val="0"/>
      <w:adjustRightInd w:val="0"/>
    </w:pPr>
    <w:rPr>
      <w:rFonts w:ascii="Times New Roman" w:hAnsi="Times New Roman" w:cs="Times New Roman"/>
      <w:color w:val="000000"/>
      <w:sz w:val="24"/>
      <w:szCs w:val="24"/>
    </w:rPr>
  </w:style>
  <w:style w:type="table" w:styleId="TableGrid">
    <w:name w:val="Table Grid"/>
    <w:basedOn w:val="TableNormal"/>
    <w:uiPriority w:val="39"/>
    <w:rsid w:val="00867CE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690E0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90E0D"/>
    <w:rPr>
      <w:rFonts w:ascii="Segoe UI" w:hAnsi="Segoe UI" w:cs="Segoe UI"/>
      <w:sz w:val="18"/>
      <w:szCs w:val="18"/>
    </w:rPr>
  </w:style>
  <w:style w:type="character" w:styleId="CommentReference">
    <w:name w:val="annotation reference"/>
    <w:basedOn w:val="DefaultParagraphFont"/>
    <w:uiPriority w:val="99"/>
    <w:semiHidden/>
    <w:unhideWhenUsed/>
    <w:rsid w:val="00C75D20"/>
    <w:rPr>
      <w:sz w:val="16"/>
      <w:szCs w:val="16"/>
    </w:rPr>
  </w:style>
  <w:style w:type="paragraph" w:styleId="CommentText">
    <w:name w:val="annotation text"/>
    <w:basedOn w:val="Normal"/>
    <w:link w:val="CommentTextChar"/>
    <w:uiPriority w:val="99"/>
    <w:unhideWhenUsed/>
    <w:rsid w:val="00C75D20"/>
    <w:rPr>
      <w:sz w:val="20"/>
      <w:szCs w:val="20"/>
    </w:rPr>
  </w:style>
  <w:style w:type="character" w:customStyle="1" w:styleId="CommentTextChar">
    <w:name w:val="Comment Text Char"/>
    <w:basedOn w:val="DefaultParagraphFont"/>
    <w:link w:val="CommentText"/>
    <w:uiPriority w:val="99"/>
    <w:rsid w:val="00C75D20"/>
    <w:rPr>
      <w:sz w:val="20"/>
      <w:szCs w:val="20"/>
    </w:rPr>
  </w:style>
  <w:style w:type="paragraph" w:styleId="CommentSubject">
    <w:name w:val="annotation subject"/>
    <w:basedOn w:val="CommentText"/>
    <w:next w:val="CommentText"/>
    <w:link w:val="CommentSubjectChar"/>
    <w:uiPriority w:val="99"/>
    <w:semiHidden/>
    <w:unhideWhenUsed/>
    <w:rsid w:val="00C75D20"/>
    <w:rPr>
      <w:b/>
      <w:bCs/>
    </w:rPr>
  </w:style>
  <w:style w:type="character" w:customStyle="1" w:styleId="CommentSubjectChar">
    <w:name w:val="Comment Subject Char"/>
    <w:basedOn w:val="CommentTextChar"/>
    <w:link w:val="CommentSubject"/>
    <w:uiPriority w:val="99"/>
    <w:semiHidden/>
    <w:rsid w:val="00C75D20"/>
    <w:rPr>
      <w:b/>
      <w:bCs/>
      <w:sz w:val="20"/>
      <w:szCs w:val="20"/>
    </w:rPr>
  </w:style>
  <w:style w:type="character" w:styleId="Hyperlink">
    <w:name w:val="Hyperlink"/>
    <w:basedOn w:val="DefaultParagraphFont"/>
    <w:uiPriority w:val="99"/>
    <w:unhideWhenUsed/>
    <w:rsid w:val="00330653"/>
    <w:rPr>
      <w:color w:val="0000FF" w:themeColor="hyperlink"/>
      <w:u w:val="single"/>
    </w:rPr>
  </w:style>
  <w:style w:type="paragraph" w:customStyle="1" w:styleId="Tables">
    <w:name w:val="Tables"/>
    <w:basedOn w:val="Normal"/>
    <w:link w:val="TablesChar"/>
    <w:uiPriority w:val="1"/>
    <w:qFormat/>
    <w:rsid w:val="00082D12"/>
    <w:pPr>
      <w:keepNext w:val="0"/>
      <w:keepLines w:val="0"/>
      <w:jc w:val="center"/>
    </w:pPr>
    <w:rPr>
      <w:b/>
      <w:bCs/>
      <w:sz w:val="20"/>
      <w:szCs w:val="18"/>
    </w:rPr>
  </w:style>
  <w:style w:type="character" w:styleId="UnresolvedMention">
    <w:name w:val="Unresolved Mention"/>
    <w:basedOn w:val="DefaultParagraphFont"/>
    <w:uiPriority w:val="99"/>
    <w:semiHidden/>
    <w:unhideWhenUsed/>
    <w:rsid w:val="00477BA3"/>
    <w:rPr>
      <w:color w:val="605E5C"/>
      <w:shd w:val="clear" w:color="auto" w:fill="E1DFDD"/>
    </w:rPr>
  </w:style>
  <w:style w:type="paragraph" w:styleId="Header">
    <w:name w:val="header"/>
    <w:basedOn w:val="Normal"/>
    <w:link w:val="HeaderChar"/>
    <w:uiPriority w:val="99"/>
    <w:unhideWhenUsed/>
    <w:rsid w:val="009F1A45"/>
    <w:pPr>
      <w:tabs>
        <w:tab w:val="center" w:pos="4680"/>
        <w:tab w:val="right" w:pos="9360"/>
      </w:tabs>
    </w:pPr>
  </w:style>
  <w:style w:type="character" w:customStyle="1" w:styleId="HeaderChar">
    <w:name w:val="Header Char"/>
    <w:basedOn w:val="DefaultParagraphFont"/>
    <w:link w:val="Header"/>
    <w:uiPriority w:val="99"/>
    <w:rsid w:val="009F1A45"/>
  </w:style>
  <w:style w:type="paragraph" w:styleId="Footer">
    <w:name w:val="footer"/>
    <w:basedOn w:val="Normal"/>
    <w:link w:val="FooterChar"/>
    <w:uiPriority w:val="99"/>
    <w:unhideWhenUsed/>
    <w:rsid w:val="009F1A45"/>
    <w:pPr>
      <w:tabs>
        <w:tab w:val="center" w:pos="4680"/>
        <w:tab w:val="right" w:pos="9360"/>
      </w:tabs>
    </w:pPr>
  </w:style>
  <w:style w:type="character" w:customStyle="1" w:styleId="FooterChar">
    <w:name w:val="Footer Char"/>
    <w:basedOn w:val="DefaultParagraphFont"/>
    <w:link w:val="Footer"/>
    <w:uiPriority w:val="99"/>
    <w:rsid w:val="009F1A45"/>
  </w:style>
  <w:style w:type="character" w:styleId="FollowedHyperlink">
    <w:name w:val="FollowedHyperlink"/>
    <w:basedOn w:val="DefaultParagraphFont"/>
    <w:uiPriority w:val="99"/>
    <w:semiHidden/>
    <w:unhideWhenUsed/>
    <w:rsid w:val="00287C57"/>
    <w:rPr>
      <w:color w:val="800080" w:themeColor="followedHyperlink"/>
      <w:u w:val="single"/>
    </w:rPr>
  </w:style>
  <w:style w:type="paragraph" w:styleId="Revision">
    <w:name w:val="Revision"/>
    <w:hidden/>
    <w:uiPriority w:val="99"/>
    <w:semiHidden/>
    <w:rsid w:val="00BB4972"/>
    <w:pPr>
      <w:widowControl/>
    </w:pPr>
  </w:style>
  <w:style w:type="paragraph" w:styleId="FootnoteText">
    <w:name w:val="footnote text"/>
    <w:aliases w:val="Char18,Char181,Char182,Char183,Footnote Text Char Char,Footnote Text Char Char Char Char,fn,fn1,fn2"/>
    <w:basedOn w:val="Normal"/>
    <w:link w:val="FootnoteTextChar"/>
    <w:uiPriority w:val="99"/>
    <w:unhideWhenUsed/>
    <w:qFormat/>
    <w:rsid w:val="00E3134D"/>
    <w:rPr>
      <w:sz w:val="18"/>
      <w:szCs w:val="20"/>
    </w:rPr>
  </w:style>
  <w:style w:type="character" w:customStyle="1" w:styleId="FootnoteTextChar">
    <w:name w:val="Footnote Text Char"/>
    <w:aliases w:val="Char18 Char,Char181 Char,Char182 Char,Char183 Char,Footnote Text Char Char Char,Footnote Text Char Char Char Char Char,fn Char,fn1 Char,fn2 Char"/>
    <w:basedOn w:val="DefaultParagraphFont"/>
    <w:link w:val="FootnoteText"/>
    <w:uiPriority w:val="99"/>
    <w:rsid w:val="00E3134D"/>
    <w:rPr>
      <w:rFonts w:ascii="Times New Roman" w:eastAsia="Times New Roman" w:hAnsi="Times New Roman" w:cs="Times New Roman"/>
      <w:sz w:val="18"/>
      <w:szCs w:val="20"/>
    </w:rPr>
  </w:style>
  <w:style w:type="character" w:styleId="FootnoteReference">
    <w:name w:val="footnote reference"/>
    <w:aliases w:val="BVI fnr,EN Footnote Reference,FR,Footnote Reference Superscript,Footnote Reference/,Footnote reference number,Footnote symbol,Footnotes refss,Odwołanie przypisu,Rimando nota a piè di pagina1,SUPERS,fr,number,richiamo note eggsi"/>
    <w:basedOn w:val="DefaultParagraphFont"/>
    <w:uiPriority w:val="99"/>
    <w:unhideWhenUsed/>
    <w:qFormat/>
    <w:rsid w:val="00E3134D"/>
    <w:rPr>
      <w:rFonts w:ascii="Times New Roman" w:hAnsi="Times New Roman"/>
      <w:sz w:val="20"/>
    </w:rPr>
  </w:style>
  <w:style w:type="paragraph" w:customStyle="1" w:styleId="FNReference">
    <w:name w:val="FN Reference"/>
    <w:basedOn w:val="FootnoteText"/>
    <w:link w:val="FNReferenceChar"/>
    <w:uiPriority w:val="1"/>
    <w:qFormat/>
    <w:rsid w:val="00D5171B"/>
    <w:rPr>
      <w:vertAlign w:val="superscript"/>
    </w:rPr>
  </w:style>
  <w:style w:type="character" w:customStyle="1" w:styleId="FNReferenceChar">
    <w:name w:val="FN Reference Char"/>
    <w:basedOn w:val="FootnoteTextChar"/>
    <w:link w:val="FNReference"/>
    <w:uiPriority w:val="1"/>
    <w:rsid w:val="00D5171B"/>
    <w:rPr>
      <w:rFonts w:ascii="Times New Roman" w:eastAsia="Times New Roman" w:hAnsi="Times New Roman" w:cs="Times New Roman"/>
      <w:sz w:val="20"/>
      <w:szCs w:val="20"/>
      <w:vertAlign w:val="superscript"/>
    </w:rPr>
  </w:style>
  <w:style w:type="character" w:customStyle="1" w:styleId="Heading5Char">
    <w:name w:val="Heading 5 Char"/>
    <w:basedOn w:val="DefaultParagraphFont"/>
    <w:link w:val="Heading5"/>
    <w:uiPriority w:val="9"/>
    <w:rsid w:val="00421116"/>
    <w:rPr>
      <w:rFonts w:ascii="Times New Roman" w:hAnsi="Times New Roman" w:eastAsiaTheme="majorEastAsia" w:cs="Times New Roman"/>
      <w:b/>
      <w:bCs/>
      <w:sz w:val="24"/>
    </w:rPr>
  </w:style>
  <w:style w:type="character" w:customStyle="1" w:styleId="Heading6Char">
    <w:name w:val="Heading 6 Char"/>
    <w:basedOn w:val="DefaultParagraphFont"/>
    <w:link w:val="Heading6"/>
    <w:uiPriority w:val="9"/>
    <w:rsid w:val="00186BAA"/>
    <w:rPr>
      <w:rFonts w:ascii="Times New Roman" w:hAnsi="Times New Roman" w:eastAsiaTheme="majorEastAsia" w:cs="Times New Roman"/>
      <w:b/>
      <w:bCs/>
      <w:sz w:val="24"/>
    </w:rPr>
  </w:style>
  <w:style w:type="paragraph" w:customStyle="1" w:styleId="Style0">
    <w:name w:val="Style0"/>
    <w:rsid w:val="00ED3BE2"/>
    <w:pPr>
      <w:widowControl/>
    </w:pPr>
    <w:rPr>
      <w:rFonts w:ascii="Times New Roman" w:eastAsia="Times New Roman" w:hAnsi="Times New Roman" w:cs="Times New Roman"/>
      <w:snapToGrid w:val="0"/>
      <w:sz w:val="24"/>
      <w:szCs w:val="20"/>
    </w:rPr>
  </w:style>
  <w:style w:type="character" w:customStyle="1" w:styleId="Heading3Char">
    <w:name w:val="Heading 3 Char"/>
    <w:basedOn w:val="DefaultParagraphFont"/>
    <w:link w:val="Heading3"/>
    <w:uiPriority w:val="9"/>
    <w:rsid w:val="00F05BC1"/>
    <w:rPr>
      <w:rFonts w:ascii="Times New Roman" w:eastAsia="Times New Roman" w:hAnsi="Times New Roman" w:cs="Times New Roman"/>
      <w:b/>
      <w:bCs/>
      <w:sz w:val="24"/>
      <w:u w:val="single"/>
    </w:rPr>
  </w:style>
  <w:style w:type="character" w:customStyle="1" w:styleId="Heading4Char">
    <w:name w:val="Heading 4 Char"/>
    <w:basedOn w:val="DefaultParagraphFont"/>
    <w:link w:val="Heading4"/>
    <w:uiPriority w:val="9"/>
    <w:rsid w:val="00F05BC1"/>
    <w:rPr>
      <w:rFonts w:ascii="Times New Roman" w:eastAsia="Times New Roman" w:hAnsi="Times New Roman" w:cs="Times New Roman"/>
      <w:sz w:val="24"/>
      <w:u w:val="single"/>
    </w:rPr>
  </w:style>
  <w:style w:type="paragraph" w:styleId="Title">
    <w:name w:val="Title"/>
    <w:basedOn w:val="Normal"/>
    <w:next w:val="Normal"/>
    <w:link w:val="TitleChar"/>
    <w:uiPriority w:val="10"/>
    <w:qFormat/>
    <w:rsid w:val="002867CA"/>
    <w:pPr>
      <w:keepNext w:val="0"/>
      <w:keepLines w:val="0"/>
      <w:jc w:val="center"/>
      <w:outlineLvl w:val="9"/>
    </w:pPr>
    <w:rPr>
      <w:b/>
      <w:bCs/>
    </w:rPr>
  </w:style>
  <w:style w:type="character" w:customStyle="1" w:styleId="TitleChar">
    <w:name w:val="Title Char"/>
    <w:basedOn w:val="DefaultParagraphFont"/>
    <w:link w:val="Title"/>
    <w:uiPriority w:val="10"/>
    <w:rsid w:val="009C2EAF"/>
    <w:rPr>
      <w:rFonts w:ascii="Times New Roman" w:hAnsi="Times New Roman" w:cs="Times New Roman"/>
      <w:b/>
      <w:bCs/>
      <w:sz w:val="24"/>
    </w:rPr>
  </w:style>
  <w:style w:type="character" w:customStyle="1" w:styleId="TablesChar">
    <w:name w:val="Tables Char"/>
    <w:basedOn w:val="DefaultParagraphFont"/>
    <w:link w:val="Tables"/>
    <w:uiPriority w:val="1"/>
    <w:rsid w:val="00082D12"/>
    <w:rPr>
      <w:rFonts w:ascii="Times New Roman" w:eastAsia="Times New Roman" w:hAnsi="Times New Roman" w:cs="Times New Roman"/>
      <w:b/>
      <w:bCs/>
      <w:sz w:val="20"/>
      <w:szCs w:val="18"/>
    </w:rPr>
  </w:style>
  <w:style w:type="paragraph" w:customStyle="1" w:styleId="Text2">
    <w:name w:val="Text 2"/>
    <w:basedOn w:val="BodyText"/>
    <w:link w:val="Text2Char"/>
    <w:uiPriority w:val="1"/>
    <w:qFormat/>
    <w:rsid w:val="00E3134D"/>
  </w:style>
  <w:style w:type="character" w:customStyle="1" w:styleId="BodyTextChar">
    <w:name w:val="Body Text Char"/>
    <w:basedOn w:val="DefaultParagraphFont"/>
    <w:link w:val="BodyText"/>
    <w:uiPriority w:val="1"/>
    <w:rsid w:val="00164BD9"/>
    <w:rPr>
      <w:rFonts w:ascii="Times New Roman" w:eastAsia="Times New Roman" w:hAnsi="Times New Roman" w:cs="Times New Roman"/>
      <w:sz w:val="24"/>
      <w:szCs w:val="24"/>
    </w:rPr>
  </w:style>
  <w:style w:type="character" w:customStyle="1" w:styleId="Text2Char">
    <w:name w:val="Text 2 Char"/>
    <w:basedOn w:val="BodyTextChar"/>
    <w:link w:val="Text2"/>
    <w:uiPriority w:val="1"/>
    <w:rsid w:val="00E3134D"/>
    <w:rPr>
      <w:rFonts w:ascii="Times New Roman" w:eastAsia="Times New Roman" w:hAnsi="Times New Roman" w:cs="Times New Roman"/>
      <w:sz w:val="24"/>
      <w:szCs w:val="24"/>
    </w:rPr>
  </w:style>
  <w:style w:type="paragraph" w:customStyle="1" w:styleId="Text3-addnext">
    <w:name w:val="Text 3 - add next"/>
    <w:basedOn w:val="BodyText"/>
    <w:link w:val="Text3-addnextChar"/>
    <w:uiPriority w:val="1"/>
    <w:qFormat/>
    <w:rsid w:val="00F05BC1"/>
    <w:pPr>
      <w:ind w:left="360"/>
    </w:pPr>
  </w:style>
  <w:style w:type="character" w:customStyle="1" w:styleId="Text3-addnextChar">
    <w:name w:val="Text 3 - add next Char"/>
    <w:basedOn w:val="Text2Char"/>
    <w:link w:val="Text3-addnext"/>
    <w:uiPriority w:val="1"/>
    <w:rsid w:val="00F05BC1"/>
    <w:rPr>
      <w:rFonts w:ascii="Times New Roman" w:eastAsia="Times New Roman" w:hAnsi="Times New Roman" w:cs="Times New Roman"/>
      <w:sz w:val="24"/>
      <w:szCs w:val="24"/>
    </w:rPr>
  </w:style>
  <w:style w:type="paragraph" w:customStyle="1" w:styleId="Text4">
    <w:name w:val="Text 4"/>
    <w:basedOn w:val="Text2"/>
    <w:link w:val="Text4Char"/>
    <w:uiPriority w:val="1"/>
    <w:qFormat/>
    <w:rsid w:val="00E3134D"/>
    <w:rPr>
      <w:u w:val="single"/>
    </w:rPr>
  </w:style>
  <w:style w:type="character" w:customStyle="1" w:styleId="Text4Char">
    <w:name w:val="Text 4 Char"/>
    <w:basedOn w:val="Text2Char"/>
    <w:link w:val="Text4"/>
    <w:uiPriority w:val="1"/>
    <w:rsid w:val="00E3134D"/>
    <w:rPr>
      <w:rFonts w:ascii="Times New Roman" w:eastAsia="Times New Roman" w:hAnsi="Times New Roman" w:cs="Times New Roman"/>
      <w:sz w:val="24"/>
      <w:szCs w:val="24"/>
      <w:u w:val="single"/>
    </w:rPr>
  </w:style>
  <w:style w:type="character" w:customStyle="1" w:styleId="Heading7Char">
    <w:name w:val="Heading 7 Char"/>
    <w:basedOn w:val="DefaultParagraphFont"/>
    <w:link w:val="Heading7"/>
    <w:uiPriority w:val="9"/>
    <w:rsid w:val="00421116"/>
    <w:rPr>
      <w:rFonts w:ascii="Times New Roman" w:eastAsia="Times New Roman" w:hAnsi="Times New Roman" w:cs="Times New Roman"/>
      <w:b/>
      <w:bCs/>
      <w:sz w:val="24"/>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_rels/footnotes.xml.rels><?xml version="1.0" encoding="utf-8" standalone="yes"?><Relationships xmlns="http://schemas.openxmlformats.org/package/2006/relationships"><Relationship Id="rId1" Type="http://schemas.openxmlformats.org/officeDocument/2006/relationships/hyperlink" Target="https://www.reginfo.gov/public/do/PRAViewICR?ref_nbr=202110-0938-003" TargetMode="External" /><Relationship Id="rId2" Type="http://schemas.openxmlformats.org/officeDocument/2006/relationships/hyperlink" Target="https://www.cms.gov/Regulations-and-Guidance/Guidance/Manuals/downloads/som107ap_d_xray.pdf" TargetMode="External" /><Relationship Id="rId3" Type="http://schemas.openxmlformats.org/officeDocument/2006/relationships/hyperlink" Target="https://data.bls.gov/oes/"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4D83380-1B84-4DC1-9D4B-6AC18DD89A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9</Pages>
  <Words>2825</Words>
  <Characters>15373</Characters>
  <Application>Microsoft Office Word</Application>
  <DocSecurity>0</DocSecurity>
  <Lines>530</Lines>
  <Paragraphs>275</Paragraphs>
  <ScaleCrop>false</ScaleCrop>
  <HeadingPairs>
    <vt:vector size="2" baseType="variant">
      <vt:variant>
        <vt:lpstr>Title</vt:lpstr>
      </vt:variant>
      <vt:variant>
        <vt:i4>1</vt:i4>
      </vt:variant>
    </vt:vector>
  </HeadingPairs>
  <TitlesOfParts>
    <vt:vector size="1" baseType="lpstr">
      <vt:lpstr>Supporting Statement – Part B for the Information Collection Requirements in</vt:lpstr>
    </vt:vector>
  </TitlesOfParts>
  <Company>CMS</Company>
  <LinksUpToDate>false</LinksUpToDate>
  <CharactersWithSpaces>17923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 Part B for the Information Collection Requirements in</dc:title>
  <dc:creator>CMS</dc:creator>
  <cp:lastModifiedBy>King, Denise (CMS/OSORA)</cp:lastModifiedBy>
  <cp:revision>3</cp:revision>
  <cp:lastPrinted>2017-08-31T15:01:00Z</cp:lastPrinted>
  <dcterms:created xsi:type="dcterms:W3CDTF">2026-03-12T16:54:00Z</dcterms:created>
  <dcterms:modified xsi:type="dcterms:W3CDTF">2026-06-16T17:43:00Z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2013-07-17T00:00:00Z</vt:filetime>
  </property>
  <property fmtid="{D5CDD505-2E9C-101B-9397-08002B2CF9AE}" pid="3" name="Creator">
    <vt:lpwstr>Acrobat PDFMaker 10.1 for Word</vt:lpwstr>
  </property>
  <property fmtid="{D5CDD505-2E9C-101B-9397-08002B2CF9AE}" pid="4" name="LastSaved">
    <vt:filetime>2016-10-25T00:00:00Z</vt:filetime>
  </property>
  <property fmtid="{D5CDD505-2E9C-101B-9397-08002B2CF9AE}" pid="5" name="_NewReviewCycle">
    <vt:lpwstr/>
  </property>
</Properties>
</file>