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3582" w:rsidRPr="00EA235C" w:rsidP="00636F01" w14:paraId="74CFA7CF" w14:textId="77777777">
      <w:pPr>
        <w:jc w:val="center"/>
        <w:rPr>
          <w:b/>
          <w:bCs/>
          <w:sz w:val="28"/>
          <w:szCs w:val="28"/>
        </w:rPr>
      </w:pPr>
      <w:r w:rsidRPr="00EA235C">
        <w:rPr>
          <w:b/>
          <w:bCs/>
          <w:sz w:val="28"/>
          <w:szCs w:val="28"/>
        </w:rPr>
        <w:t xml:space="preserve">Supporting Statement </w:t>
      </w:r>
      <w:r w:rsidRPr="00EA235C" w:rsidR="00906C15">
        <w:rPr>
          <w:b/>
          <w:bCs/>
          <w:sz w:val="28"/>
          <w:szCs w:val="28"/>
        </w:rPr>
        <w:t>Part A</w:t>
      </w:r>
    </w:p>
    <w:p w:rsidR="00193582" w:rsidRPr="00EA235C" w:rsidP="00636F01" w14:paraId="5D659A4C" w14:textId="77777777">
      <w:pPr>
        <w:jc w:val="center"/>
        <w:rPr>
          <w:b/>
          <w:bCs/>
          <w:sz w:val="28"/>
          <w:szCs w:val="28"/>
        </w:rPr>
      </w:pPr>
      <w:r w:rsidRPr="00EA235C">
        <w:rPr>
          <w:b/>
          <w:bCs/>
          <w:sz w:val="28"/>
          <w:szCs w:val="28"/>
        </w:rPr>
        <w:t xml:space="preserve">Submissions of 1135 Waiver Request Automated Process </w:t>
      </w:r>
      <w:r w:rsidRPr="00EA235C" w:rsidR="00906C15">
        <w:rPr>
          <w:b/>
          <w:bCs/>
          <w:sz w:val="28"/>
          <w:szCs w:val="28"/>
        </w:rPr>
        <w:t>(</w:t>
      </w:r>
      <w:r w:rsidRPr="00EA235C">
        <w:rPr>
          <w:b/>
          <w:bCs/>
          <w:sz w:val="28"/>
          <w:szCs w:val="28"/>
        </w:rPr>
        <w:t>CMS-10752</w:t>
      </w:r>
      <w:r w:rsidRPr="00EA235C" w:rsidR="00906C15">
        <w:rPr>
          <w:b/>
          <w:bCs/>
          <w:sz w:val="28"/>
          <w:szCs w:val="28"/>
        </w:rPr>
        <w:t>)</w:t>
      </w:r>
    </w:p>
    <w:p w:rsidR="008F1EB4" w:rsidRPr="000328B6" w14:paraId="1DDD3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A235C" w:rsidP="00EA235C" w14:paraId="4A9D1300" w14:textId="77777777">
      <w:pPr>
        <w:pStyle w:val="Heading1"/>
        <w:rPr>
          <w:b/>
          <w:bCs/>
        </w:rPr>
      </w:pPr>
      <w:r w:rsidRPr="00EA235C">
        <w:rPr>
          <w:b/>
          <w:bCs/>
        </w:rPr>
        <w:t>A.</w:t>
      </w:r>
      <w:r w:rsidRPr="00EA235C">
        <w:rPr>
          <w:b/>
          <w:bCs/>
        </w:rPr>
        <w:tab/>
        <w:t>Background</w:t>
      </w:r>
    </w:p>
    <w:p w:rsidR="008F1EB4" w:rsidRPr="000328B6" w14:paraId="06EEB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3AAF" w:rsidRPr="000328B6" w:rsidP="09E976AD" w14:paraId="0F5A95F0" w14:textId="67055318">
      <w:pPr>
        <w:rPr>
          <w:sz w:val="24"/>
        </w:rPr>
      </w:pPr>
      <w:r w:rsidRPr="000328B6">
        <w:rPr>
          <w:sz w:val="24"/>
        </w:rPr>
        <w:t xml:space="preserve">This is a </w:t>
      </w:r>
      <w:r w:rsidR="00764036">
        <w:rPr>
          <w:sz w:val="24"/>
        </w:rPr>
        <w:t xml:space="preserve">revision </w:t>
      </w:r>
      <w:r w:rsidRPr="000328B6">
        <w:rPr>
          <w:sz w:val="24"/>
        </w:rPr>
        <w:t xml:space="preserve">of an information collection request approved under Office of Management and Budget (OMB) control number of 0938-1384 with an expiration date of </w:t>
      </w:r>
      <w:r w:rsidR="002248CF">
        <w:rPr>
          <w:sz w:val="24"/>
        </w:rPr>
        <w:t>August</w:t>
      </w:r>
      <w:r w:rsidRPr="000328B6" w:rsidR="002248CF">
        <w:rPr>
          <w:sz w:val="24"/>
        </w:rPr>
        <w:t xml:space="preserve"> </w:t>
      </w:r>
      <w:r w:rsidRPr="000328B6">
        <w:rPr>
          <w:sz w:val="24"/>
        </w:rPr>
        <w:t>31, 202</w:t>
      </w:r>
      <w:r w:rsidR="003E1082">
        <w:rPr>
          <w:sz w:val="24"/>
        </w:rPr>
        <w:t>6</w:t>
      </w:r>
      <w:r w:rsidRPr="000328B6">
        <w:rPr>
          <w:sz w:val="24"/>
        </w:rPr>
        <w:t xml:space="preserve">. </w:t>
      </w:r>
      <w:r w:rsidRPr="008E1BA0" w:rsidR="008E1BA0">
        <w:rPr>
          <w:sz w:val="24"/>
        </w:rPr>
        <w:t>This package will be classified as a Revision rather than an "extension." Additionally, the Acute Hospital Care at Home (AHCAH) program will no longer be included in this package.</w:t>
      </w:r>
      <w:r w:rsidRPr="000328B6">
        <w:rPr>
          <w:sz w:val="24"/>
        </w:rPr>
        <w:t xml:space="preserve"> </w:t>
      </w:r>
    </w:p>
    <w:p w:rsidR="00643AAF" w:rsidRPr="000328B6" w:rsidP="00630B10" w14:paraId="2136CEF6" w14:textId="77777777">
      <w:pPr>
        <w:rPr>
          <w:sz w:val="24"/>
        </w:rPr>
      </w:pPr>
    </w:p>
    <w:p w:rsidR="00630B10" w:rsidRPr="000328B6" w:rsidP="4249649F" w14:paraId="4EAE84BD" w14:textId="278685B5">
      <w:pPr>
        <w:rPr>
          <w:sz w:val="24"/>
        </w:rPr>
      </w:pPr>
      <w:r w:rsidRPr="000328B6">
        <w:rPr>
          <w:sz w:val="24"/>
        </w:rPr>
        <w:t xml:space="preserve">Waivers under Section 1135 of the Social Security Act (the Act) and certain flexibilities allow the CMS to relax certain requirements, known as the Conditions of Participation (CoPs) or Conditions of Coverage to promote the health and safety of beneficiaries. Under Section 1135 of the Act, the Secretary may temporarily waive or modify certain Medicare, Medicaid, and Children’s Health Insurance Program (CHIP) requirements to ensure that sufficient health care services are available to meet the needs of individuals enrolled in Social Security Act programs in the emergency area and time periods. These waivers ensure that healthcare entities/caregivers who provide such services in good faith can be reimbursed and exempted from sanctions. </w:t>
      </w:r>
    </w:p>
    <w:p w:rsidR="00BF43C2" w:rsidRPr="000328B6" w:rsidP="00630B10" w14:paraId="18272A8B" w14:textId="77777777">
      <w:pPr>
        <w:rPr>
          <w:sz w:val="24"/>
        </w:rPr>
      </w:pPr>
    </w:p>
    <w:p w:rsidR="007B71BC" w:rsidRPr="000328B6" w:rsidP="005D57C1" w14:paraId="27E6FEB9" w14:textId="2CF79AE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During emergencies, CMS must be able to apply program waivers and flexibilities under section 1135 of the Social Security Act, in a timely manner to respond quickly to unfolding events. In a disaster or emergency, waivers and flexibilities assist health care providers/suppliers in providing timely healthcare and services to people who have been affected and enables states, Federal districts, and U.S. territories to ensure Medicare and/or Medicaid beneficiaries have continued access to care. During disasters and emergencies, it is not uncommon to evacuate </w:t>
      </w:r>
      <w:r w:rsidRPr="008B7CC5" w:rsidR="006955DC">
        <w:rPr>
          <w:sz w:val="24"/>
        </w:rPr>
        <w:t>patients in</w:t>
      </w:r>
      <w:r w:rsidRPr="000328B6">
        <w:rPr>
          <w:sz w:val="24"/>
        </w:rPr>
        <w:t xml:space="preserve"> health care facilities to other provider settings or across state lines, especially, during hurricane, wildfire</w:t>
      </w:r>
      <w:r w:rsidR="00A8726D">
        <w:rPr>
          <w:sz w:val="24"/>
        </w:rPr>
        <w:t>,</w:t>
      </w:r>
      <w:r w:rsidRPr="000328B6">
        <w:rPr>
          <w:sz w:val="24"/>
        </w:rPr>
        <w:t xml:space="preserve"> and tornado events. CMS must collect relevant information for which a provider is requesting a waiver or flexibility to make proper decisions about approving or denying such requests. Collection of this data aids in the prevention of gaps in access to care and services before, during, and after an emergency. CMS must also respond to inquiries related to a Public Health Emergency (PHE) from providers. CMS is not collecting information from these inquiries; we are merely responding to them.</w:t>
      </w:r>
    </w:p>
    <w:p w:rsidR="00600D16" w:rsidRPr="000328B6" w:rsidP="007B71BC" w14:paraId="5E8A1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00E174E4" w14:paraId="71FA10F7" w14:textId="14D68A8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sz w:val="24"/>
        </w:rPr>
      </w:pPr>
      <w:r w:rsidRPr="000328B6">
        <w:rPr>
          <w:sz w:val="24"/>
        </w:rPr>
        <w:t>The collection of the information surrounding 1135 Waiver requests/inquiries is based on a case-by-case basis and not regularly scheduled (</w:t>
      </w:r>
      <w:r w:rsidRPr="000328B6" w:rsidR="008B7CC5">
        <w:rPr>
          <w:sz w:val="24"/>
        </w:rPr>
        <w:t>e.g.,</w:t>
      </w:r>
      <w:r w:rsidRPr="000328B6">
        <w:rPr>
          <w:sz w:val="24"/>
        </w:rPr>
        <w:t xml:space="preserve"> quarterly, annually, by all providers/suppliers). The collection of information only occurs when the healthcare entity, impacted by an emergency, is requesting waivers/flexibilities under Section 1135 of the Act or inquiring about PHEs. The collection of information is also dependent on provider types; therefore, it is not a collection for all Medicare-participating facilities.</w:t>
      </w:r>
    </w:p>
    <w:p w:rsidR="007B71BC" w:rsidRPr="000328B6" w:rsidP="007B71BC" w14:paraId="2169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4249649F" w14:paraId="7261DBAD" w14:textId="30D3D2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In 2021, we implemented a streamlined, automated process to standardize the 1135 waiver requests and inquiries submitted based on lessons learned during the COVID-19 PHE. </w:t>
      </w:r>
    </w:p>
    <w:p w:rsidR="001B2405" w:rsidRPr="000328B6" w:rsidP="00C23572" w14:paraId="2F355D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22FB" w:rsidRPr="000328B6" w:rsidP="4249649F" w14:paraId="2D58A4EC" w14:textId="495248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Furthermore, the normal operations of a healthcare provider are disrupted by emergencies or </w:t>
      </w:r>
      <w:r w:rsidRPr="000328B6">
        <w:rPr>
          <w:sz w:val="24"/>
        </w:rPr>
        <w:t>disasters occasionally. When this occurs, State Survey Agencies (SA) deliver a provider/beneficiary tracking report regarding the current status of all affected healthcare providers and their beneficiaries. This report includes demographic information about the beneficiary status, provider, their operational status, anticipated needs and planned resumption of normal operations.</w:t>
      </w:r>
      <w:r w:rsidRPr="000328B6">
        <w:t xml:space="preserve"> </w:t>
      </w:r>
      <w:r w:rsidRPr="000328B6">
        <w:rPr>
          <w:sz w:val="24"/>
        </w:rPr>
        <w:t>This information is provided whether or not a PHE has been declared.</w:t>
      </w:r>
    </w:p>
    <w:p w:rsidR="00643AAF" w:rsidRPr="000328B6" w:rsidP="00C23572" w14:paraId="3CBBC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4CF3" w:rsidP="029C8DE8" w14:paraId="0AABC185" w14:textId="3C25DD8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0549">
        <w:rPr>
          <w:sz w:val="24"/>
        </w:rPr>
        <w:t>We are enhancing this information collection to better support emergency response by capturing the emergency date, simplifying ongoing status updates for stakeholders, and providing a more comprehensive view of cybersecurity incidents through expanded reporting on patient and operational impacts.</w:t>
      </w:r>
      <w:r>
        <w:rPr>
          <w:sz w:val="24"/>
        </w:rPr>
        <w:t xml:space="preserve">  </w:t>
      </w:r>
      <w:r w:rsidRPr="029C8DE8" w:rsidR="0023482E">
        <w:rPr>
          <w:sz w:val="24"/>
        </w:rPr>
        <w:t xml:space="preserve">This automated process will </w:t>
      </w:r>
      <w:r w:rsidR="00813E13">
        <w:rPr>
          <w:sz w:val="24"/>
        </w:rPr>
        <w:t xml:space="preserve">continue to </w:t>
      </w:r>
      <w:r w:rsidRPr="029C8DE8" w:rsidR="0023482E">
        <w:rPr>
          <w:sz w:val="24"/>
        </w:rPr>
        <w:t xml:space="preserve">consist of a public facing web form as well as a process for SAs/Providers to submit data using extracts (CSV or Excel) on emergent events impacting Health Care Facilities via automated mail handler system.  Both processes (public facing web form and extracts via an automated mail handler system) are known as the Health Care Facility (HCF) Operational </w:t>
      </w:r>
      <w:r w:rsidRPr="029C8DE8" w:rsidR="004113E6">
        <w:rPr>
          <w:sz w:val="24"/>
        </w:rPr>
        <w:t>Status.</w:t>
      </w:r>
    </w:p>
    <w:p w:rsidR="00764036" w:rsidP="605E0E47" w14:paraId="02DDCB7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077A" w:rsidRPr="000328B6" w:rsidP="00C23572" w14:paraId="7A2BB845" w14:textId="24D0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A235C" w:rsidP="00EA235C" w14:paraId="44F5B997" w14:textId="77777777">
      <w:pPr>
        <w:pStyle w:val="Heading1"/>
        <w:rPr>
          <w:b/>
          <w:bCs/>
        </w:rPr>
      </w:pPr>
      <w:r w:rsidRPr="00831E95">
        <w:rPr>
          <w:b/>
          <w:bCs/>
        </w:rPr>
        <w:t>B.</w:t>
      </w:r>
      <w:r w:rsidRPr="00831E95">
        <w:rPr>
          <w:b/>
          <w:bCs/>
        </w:rPr>
        <w:tab/>
        <w:t>Justification</w:t>
      </w:r>
    </w:p>
    <w:p w:rsidR="008F1EB4" w:rsidRPr="000328B6" w14:paraId="21DDB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1D22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w:t>
      </w:r>
      <w:r w:rsidRPr="000328B6">
        <w:rPr>
          <w:sz w:val="24"/>
        </w:rPr>
        <w:tab/>
      </w:r>
      <w:r w:rsidRPr="000328B6">
        <w:rPr>
          <w:sz w:val="24"/>
          <w:u w:val="single"/>
        </w:rPr>
        <w:t>Need and Legal Basis</w:t>
      </w:r>
    </w:p>
    <w:p w:rsidR="008F1EB4" w:rsidRPr="000328B6" w14:paraId="05BC8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6D90" w:rsidRPr="000328B6" w:rsidP="00E174E4" w14:paraId="2C2EFEF7" w14:textId="673F78E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When the President declares a disaster or emergency under the Stafford Act or National Emergencies Act and the Health and Human Services (HHS) Secretary declares a PHE under Section 319 of the Public Health Service Act, the Secretary is authorized to temporarily waive or modify certain Medicare, Medicaid, CHIP and Health Insurance Portability and Accountability Act (HIPAA) requirements. Waiving such requirements ensures that sufficient health care services are available to meet the needs of individuals enrolled in Social Security Act programs in the emergency area and time periods, and to reimburse and exempt from sanctions healthcare entities/caregivers who provide such services in good faith. </w:t>
      </w:r>
      <w:r w:rsidRPr="000328B6">
        <w:br/>
      </w:r>
    </w:p>
    <w:p w:rsidR="00600D16" w:rsidRPr="000328B6" w:rsidP="00E174E4" w14:paraId="21F80407" w14:textId="363F2E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The statutory authorities that allow for the implementation of waivers and flexibilities are Section 1812(f) of the Social Security Act, Section 1135 of the Social Security Act, and Section 319 of the Public Health Service Act. Prior to the COVID-19 PHE, CMS</w:t>
      </w:r>
      <w:r w:rsidR="008B7CC5">
        <w:rPr>
          <w:sz w:val="24"/>
        </w:rPr>
        <w:t xml:space="preserve"> </w:t>
      </w:r>
      <w:r w:rsidRPr="000328B6">
        <w:rPr>
          <w:sz w:val="24"/>
        </w:rPr>
        <w:t xml:space="preserve">Locations (formerly known as Regional Offices) executed manual processes using Excel spreadsheets, Access databases, Word documents and Outlook email to monitor, track, respond and report on the volume and specifics of requests and inquiries. However, the COVID-19 PHE presented a new challenge as Medicare and Medicaid providers/suppliers were impacted on a 24-hour basis </w:t>
      </w:r>
      <w:bookmarkStart w:id="0" w:name="_Hlk51663942"/>
      <w:r w:rsidRPr="000328B6">
        <w:rPr>
          <w:sz w:val="24"/>
        </w:rPr>
        <w:t xml:space="preserve">throughout the duration of the PHE. CMS acknowledges that the streamlined process implemented since 2021 continues to assist in all PHEs (e.g., hurricanes, wildfires, tornados and other emergencies). </w:t>
      </w:r>
    </w:p>
    <w:p w:rsidR="008158F5" w:rsidRPr="000328B6" w:rsidP="00E174E4" w14:paraId="42BF402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bookmarkEnd w:id="0"/>
    <w:p w:rsidR="008158F5" w:rsidRPr="000328B6" w:rsidP="00E174E4" w14:paraId="3E0D208A" w14:textId="2D7DD0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 magnitude of 1135 requests and PHE-related inquiries by CMS-participating providers and suppliers is ongoing to date. This long-term information technology (IT) solution supports incoming requests/inquiries, maintains a repository for tracking purposes, improves data quality and automates the process, where possible, to improve program efficiencies and </w:t>
      </w:r>
      <w:r w:rsidRPr="000328B6">
        <w:rPr>
          <w:sz w:val="24"/>
        </w:rPr>
        <w:t xml:space="preserve">CMS/HHS responsiveness. </w:t>
      </w:r>
    </w:p>
    <w:p w:rsidR="00F10AD0" w:rsidRPr="000328B6" w:rsidP="00E174E4" w14:paraId="18A6181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AD0" w:rsidRPr="000328B6" w:rsidP="0029487E" w14:paraId="03AF207B" w14:textId="5E3FA63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During disasters and emergencies, it is not uncommon to evacuate patients/residents/clients in health care facilities to other provider settings or across state lines, especially during hurricane, wildfire, and tornado events. When healthcare providers cannot operate normally, CMS must understand how and where they are operating.  Providers coordinate with their SAs to provide this information to CMS, and each State determines the format and media in which the information is provided. This results in the need for CMS to gather and organize the information, standardize the format and media</w:t>
      </w:r>
      <w:r w:rsidR="00150ACB">
        <w:rPr>
          <w:sz w:val="24"/>
        </w:rPr>
        <w:t xml:space="preserve"> for efficient planning and coordination across HHS. </w:t>
      </w:r>
      <w:r w:rsidRPr="029C8DE8">
        <w:rPr>
          <w:sz w:val="24"/>
        </w:rPr>
        <w:t xml:space="preserve"> Standardizing the reporting of operational status information improves efficiency and prevents gaps in access to care as well as accelerates CMS’ response to the identified needs of beneficiaries and providers.</w:t>
      </w:r>
    </w:p>
    <w:p w:rsidR="00FA2758" w:rsidRPr="000328B6" w14:paraId="707DC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24186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2.</w:t>
      </w:r>
      <w:r w:rsidRPr="000328B6">
        <w:rPr>
          <w:sz w:val="24"/>
        </w:rPr>
        <w:tab/>
      </w:r>
      <w:r w:rsidRPr="000328B6">
        <w:rPr>
          <w:sz w:val="24"/>
          <w:u w:val="single"/>
        </w:rPr>
        <w:t>Information Users</w:t>
      </w:r>
    </w:p>
    <w:p w:rsidR="008F1EB4" w:rsidRPr="000328B6" w14:paraId="57B51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758" w:rsidRPr="000328B6" w:rsidP="00E174E4" w14:paraId="5A71D7E0" w14:textId="749C79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This information </w:t>
      </w:r>
      <w:r w:rsidRPr="008B7CC5" w:rsidR="00E06E89">
        <w:rPr>
          <w:sz w:val="24"/>
        </w:rPr>
        <w:t>is</w:t>
      </w:r>
      <w:r w:rsidR="00E06E89">
        <w:rPr>
          <w:sz w:val="24"/>
        </w:rPr>
        <w:t xml:space="preserve"> </w:t>
      </w:r>
      <w:r w:rsidRPr="000328B6">
        <w:rPr>
          <w:sz w:val="24"/>
        </w:rPr>
        <w:t xml:space="preserve">used by CMS to receive, triage, respond to and report on requests and/or inquiries for Medicare, Medicaid, and CHIP beneficiaries. In addition, this information </w:t>
      </w:r>
      <w:r w:rsidRPr="008B7CC5" w:rsidR="00E06E89">
        <w:rPr>
          <w:sz w:val="24"/>
        </w:rPr>
        <w:t>is</w:t>
      </w:r>
      <w:r w:rsidRPr="000328B6">
        <w:rPr>
          <w:sz w:val="24"/>
        </w:rPr>
        <w:t xml:space="preserve"> used to make decisions about approving or denying waiver and flexibility requests.  The information may also be used to identify trends that inform CMS Conditions for Coverage or Conditions for Participation policies during PHEs, when declared by the President and the HHS Secretary.</w:t>
      </w:r>
    </w:p>
    <w:p w:rsidR="006E0DBC" w:rsidRPr="000328B6" w:rsidP="00E174E4" w14:paraId="5C7386A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E0DBC" w:rsidRPr="000328B6" w:rsidP="00E174E4" w14:paraId="5701FCE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Operational status information will be used to assist providers in delivering critical care to beneficiaries during emergencies.</w:t>
      </w:r>
    </w:p>
    <w:p w:rsidR="008F1EB4" w:rsidRPr="000328B6" w14:paraId="024F0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2C68B3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3.</w:t>
      </w:r>
      <w:r w:rsidRPr="000328B6">
        <w:rPr>
          <w:sz w:val="24"/>
        </w:rPr>
        <w:tab/>
      </w:r>
      <w:r w:rsidRPr="000328B6">
        <w:rPr>
          <w:sz w:val="24"/>
          <w:u w:val="single"/>
        </w:rPr>
        <w:t>Use of Information Technology</w:t>
      </w:r>
    </w:p>
    <w:p w:rsidR="008F1EB4" w:rsidRPr="000328B6" w14:paraId="47CA0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029C8DE8" w14:paraId="2DA7425E" w14:textId="357F406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This information is collected electronically using public facing web forms. This process includes requests from Medicare-participating provider/suppliers, associations, corporations, or State/local governments submitting on behalf of a provider/supplier.  </w:t>
      </w:r>
    </w:p>
    <w:p w:rsidR="00975E39" w:rsidRPr="000328B6" w:rsidP="00E174E4" w14:paraId="04A9CCD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75E39" w:rsidRPr="000328B6" w:rsidP="029C8DE8" w14:paraId="012432E5" w14:textId="224BA51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CMS created a public facing web form to support nationwide submission of 1135 waiver requests and inquiries by collecting required information from impacted Medicare/Medicaid providers, Healthcare Associations, Governors, and States. Thus, creation of this standard and automated 1135 process by utilizing a publicly accessible web form enabled a standardized, user-friendly submission by requesters and more efficient processing for all impacted components within CMS. </w:t>
      </w:r>
    </w:p>
    <w:p w:rsidR="002569E8" w:rsidRPr="000328B6" w:rsidP="00E174E4" w14:paraId="64C1260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569E8" w:rsidRPr="000328B6" w14:paraId="60DD96AA" w14:textId="3FF3C6A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29C8DE8">
        <w:rPr>
          <w:sz w:val="24"/>
        </w:rPr>
        <w:t xml:space="preserve">CMS created a second public facing web form to support nationwide reporting about the operational status of healthcare providers and their beneficiaries impacted by emergencies and disasters. CMS </w:t>
      </w:r>
      <w:r w:rsidR="00017CF5">
        <w:rPr>
          <w:sz w:val="24"/>
        </w:rPr>
        <w:t>enhanced</w:t>
      </w:r>
      <w:r w:rsidRPr="029C8DE8">
        <w:rPr>
          <w:sz w:val="24"/>
        </w:rPr>
        <w:t xml:space="preserve"> this process by utilizing the publicly accessible web form as well as an alternate process to obtain this data using extracts (single event or bulk) sent from States/Providers/Suppliers impacted by the emergent event via an automated mail handler system.  Standardized collection of this data helps CMS to prevent gaps in access to care and services before, during and after an emergency/disaster.  Enhancements </w:t>
      </w:r>
      <w:r w:rsidR="008B5661">
        <w:rPr>
          <w:sz w:val="24"/>
        </w:rPr>
        <w:t>in</w:t>
      </w:r>
      <w:r w:rsidR="00AE40D6">
        <w:rPr>
          <w:sz w:val="24"/>
        </w:rPr>
        <w:t xml:space="preserve">clude:  </w:t>
      </w:r>
      <w:r w:rsidRPr="00111CE4" w:rsidR="00111CE4">
        <w:rPr>
          <w:sz w:val="24"/>
        </w:rPr>
        <w:t xml:space="preserve">(1) the addition of a field to capture the date of the emergency, (2) modifications that allow </w:t>
      </w:r>
      <w:r w:rsidRPr="00111CE4" w:rsidR="00111CE4">
        <w:rPr>
          <w:sz w:val="24"/>
        </w:rPr>
        <w:t>stakeholders to provide status updates throughout various phases of an emergency without the need to complete all required fields for each submission, and (3) improvements to the cybersecurity section that enable stakeholders to report the extent of negative impacts from cyberattacks on both patients and operational functions.</w:t>
      </w:r>
      <w:r w:rsidR="00111CE4">
        <w:rPr>
          <w:sz w:val="24"/>
        </w:rPr>
        <w:t xml:space="preserve">  </w:t>
      </w:r>
      <w:r w:rsidRPr="0050114C" w:rsidR="0050114C">
        <w:rPr>
          <w:sz w:val="24"/>
        </w:rPr>
        <w:t>Together, these represent a shift from </w:t>
      </w:r>
      <w:r w:rsidRPr="0050114C" w:rsidR="0050114C">
        <w:rPr>
          <w:b/>
          <w:bCs/>
          <w:sz w:val="24"/>
        </w:rPr>
        <w:t>rigid, comprehensive reporting requirements</w:t>
      </w:r>
      <w:r w:rsidRPr="0050114C" w:rsidR="0050114C">
        <w:rPr>
          <w:sz w:val="24"/>
        </w:rPr>
        <w:t> to a more </w:t>
      </w:r>
      <w:r w:rsidRPr="0050114C" w:rsidR="0050114C">
        <w:rPr>
          <w:b/>
          <w:bCs/>
          <w:sz w:val="24"/>
        </w:rPr>
        <w:t>adaptive, stakeholder-friendly approach</w:t>
      </w:r>
      <w:r w:rsidRPr="0050114C" w:rsidR="0050114C">
        <w:rPr>
          <w:sz w:val="24"/>
        </w:rPr>
        <w:t> that recognizes the dynamic nature of emergency situations.</w:t>
      </w:r>
      <w:r w:rsidR="0050114C">
        <w:rPr>
          <w:sz w:val="24"/>
        </w:rPr>
        <w:t xml:space="preserve"> </w:t>
      </w:r>
      <w:r w:rsidRPr="029C8DE8">
        <w:rPr>
          <w:sz w:val="24"/>
        </w:rPr>
        <w:t xml:space="preserve">These enhancements to this Health Care Facility (HCF) Operational Status report </w:t>
      </w:r>
      <w:r w:rsidRPr="005F5C65" w:rsidR="005F5C65">
        <w:rPr>
          <w:sz w:val="24"/>
        </w:rPr>
        <w:t>create a </w:t>
      </w:r>
      <w:r w:rsidRPr="005F5C65" w:rsidR="005F5C65">
        <w:rPr>
          <w:b/>
          <w:bCs/>
          <w:sz w:val="24"/>
        </w:rPr>
        <w:t>win-win scenario</w:t>
      </w:r>
      <w:r w:rsidRPr="005F5C65" w:rsidR="005F5C65">
        <w:rPr>
          <w:sz w:val="24"/>
        </w:rPr>
        <w:t>: better protection for vulnerable Medicare and Medicaid beneficiaries through improved emergency intelligence, while simultaneously reducing administrative friction for the states and healthcare providers who serve them during crisis situations.</w:t>
      </w:r>
      <w:r w:rsidRPr="029C8DE8">
        <w:rPr>
          <w:sz w:val="24"/>
        </w:rPr>
        <w:t xml:space="preserve"> </w:t>
      </w:r>
    </w:p>
    <w:p w:rsidR="008F1EB4" w:rsidRPr="000328B6" w14:paraId="2740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0C314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4.</w:t>
      </w:r>
      <w:r w:rsidRPr="000328B6">
        <w:rPr>
          <w:sz w:val="24"/>
        </w:rPr>
        <w:tab/>
      </w:r>
      <w:r w:rsidRPr="000328B6">
        <w:rPr>
          <w:sz w:val="24"/>
          <w:u w:val="single"/>
        </w:rPr>
        <w:t>Duplication of Efforts</w:t>
      </w:r>
    </w:p>
    <w:p w:rsidR="008F1EB4" w:rsidRPr="000328B6" w14:paraId="57080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622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This information collection does not duplicate any other effort and the information cannot be obtained from any other source.</w:t>
      </w:r>
    </w:p>
    <w:p w:rsidR="00B16C0F" w:rsidRPr="000328B6" w14:paraId="20654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35D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5.</w:t>
      </w:r>
      <w:r w:rsidRPr="000328B6">
        <w:rPr>
          <w:sz w:val="24"/>
        </w:rPr>
        <w:tab/>
      </w:r>
      <w:r w:rsidRPr="000328B6">
        <w:rPr>
          <w:sz w:val="24"/>
          <w:u w:val="single"/>
        </w:rPr>
        <w:t>Small Businesses</w:t>
      </w:r>
    </w:p>
    <w:p w:rsidR="008F1EB4" w:rsidRPr="000328B6" w14:paraId="509DE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4249649F" w14:paraId="54EA5186" w14:textId="524F7CF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These requirements do affect small businesses; however, the information collection is only collected if requested during an emergency event and if an 1135 Waiver request or PHE-related inquiry is submitted. Additionally, operational status information is only necessary if a healthcare provider is or anticipates being unable to function normally. These paperwork requirements are minimal and are necessary to meet the documentation and disclosure requirements of the law. </w:t>
      </w:r>
    </w:p>
    <w:p w:rsidR="00906752" w:rsidRPr="000328B6" w14:paraId="3C465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D01AF" w:rsidRPr="000328B6" w:rsidP="4249649F" w14:paraId="717CB722" w14:textId="4E7B06A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An automated process minimizes the burden on small businesses by:</w:t>
      </w:r>
    </w:p>
    <w:p w:rsidR="0093471B" w:rsidRPr="000328B6" w:rsidP="00C23572" w14:paraId="588A8A30"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51854478"/>
      <w:r w:rsidRPr="000328B6">
        <w:rPr>
          <w:sz w:val="24"/>
        </w:rPr>
        <w:t>Standardiz</w:t>
      </w:r>
      <w:r w:rsidRPr="000328B6" w:rsidR="00B07467">
        <w:rPr>
          <w:sz w:val="24"/>
        </w:rPr>
        <w:t>ing</w:t>
      </w:r>
      <w:r w:rsidRPr="000328B6">
        <w:rPr>
          <w:sz w:val="24"/>
        </w:rPr>
        <w:t xml:space="preserve"> the process so providers don’t have to </w:t>
      </w:r>
      <w:r w:rsidRPr="000328B6" w:rsidR="002569E8">
        <w:rPr>
          <w:sz w:val="24"/>
        </w:rPr>
        <w:t>design</w:t>
      </w:r>
      <w:r w:rsidRPr="000328B6">
        <w:rPr>
          <w:sz w:val="24"/>
        </w:rPr>
        <w:t xml:space="preserve"> their own form</w:t>
      </w:r>
    </w:p>
    <w:p w:rsidR="00906752" w:rsidRPr="000328B6" w:rsidP="0C61C16F" w14:paraId="55E43093" w14:textId="60BBCBA0">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Decreasing the amount of time required by providers to submit their requests, inquiries, or operational status to CMS</w:t>
      </w:r>
    </w:p>
    <w:p w:rsidR="0093471B" w:rsidRPr="000328B6" w:rsidP="00C23572" w14:paraId="2E2848C7"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Eliminat</w:t>
      </w:r>
      <w:r w:rsidRPr="000328B6" w:rsidR="00B07467">
        <w:rPr>
          <w:sz w:val="24"/>
        </w:rPr>
        <w:t>ing</w:t>
      </w:r>
      <w:r w:rsidRPr="000328B6">
        <w:rPr>
          <w:sz w:val="24"/>
        </w:rPr>
        <w:t xml:space="preserve"> fragmented responses by CMS</w:t>
      </w:r>
    </w:p>
    <w:p w:rsidR="00C23572" w:rsidRPr="000328B6" w:rsidP="00C23572" w14:paraId="5A7CB7CF"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Improv</w:t>
      </w:r>
      <w:r w:rsidRPr="000328B6" w:rsidR="00B07467">
        <w:rPr>
          <w:sz w:val="24"/>
        </w:rPr>
        <w:t xml:space="preserve">ing the </w:t>
      </w:r>
      <w:r w:rsidRPr="000328B6">
        <w:rPr>
          <w:sz w:val="24"/>
        </w:rPr>
        <w:t xml:space="preserve">timeliness of responses to </w:t>
      </w:r>
      <w:r w:rsidRPr="000328B6" w:rsidR="00076372">
        <w:rPr>
          <w:sz w:val="24"/>
        </w:rPr>
        <w:t>healthcare entities</w:t>
      </w:r>
    </w:p>
    <w:p w:rsidR="0093471B" w:rsidRPr="000328B6" w:rsidP="00C23572" w14:paraId="7DA45EE8"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Ensuring nationwide consistency among impacted components</w:t>
      </w:r>
    </w:p>
    <w:p w:rsidR="00C23572" w:rsidRPr="000328B6" w:rsidP="0C61C16F" w14:paraId="25D9DAE7" w14:textId="7DA2EEF9">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Reducing the need for CMS to request additional information, so providers do not have to resubmit information</w:t>
      </w:r>
    </w:p>
    <w:p w:rsidR="008F1EB4" w:rsidRPr="000328B6" w:rsidP="00C23572" w14:paraId="31AF83B2"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100% of this information will be used electronically</w:t>
      </w:r>
    </w:p>
    <w:bookmarkEnd w:id="1"/>
    <w:p w:rsidR="00E55440" w:rsidRPr="000328B6" w:rsidP="00E55440" w14:paraId="355C0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8F1EB4" w:rsidRPr="000328B6" w:rsidP="6497831C" w14:paraId="2718EFB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497831C">
        <w:rPr>
          <w:sz w:val="24"/>
        </w:rPr>
        <w:t>6.</w:t>
      </w:r>
      <w:r w:rsidR="00A06151">
        <w:tab/>
      </w:r>
      <w:r w:rsidRPr="6497831C">
        <w:rPr>
          <w:sz w:val="24"/>
          <w:u w:val="single"/>
        </w:rPr>
        <w:t>Less Frequent Collection</w:t>
      </w:r>
    </w:p>
    <w:p w:rsidR="008F1EB4" w:rsidRPr="000328B6" w14:paraId="02B1F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6497831C" w14:paraId="001F94A3" w14:textId="069DD7D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There is no schedule of collection; these waiver requests and inquiries are submitted as needed when there is a natural or man-made emergency/disaster that impacts access to care for Medicare/Medicaid/CHIP beneficiaries. The HCF status is reported only when a facility is not in or anticipates not being in a normal operational status. </w:t>
      </w:r>
    </w:p>
    <w:p w:rsidR="6497831C" w:rsidP="6497831C" w14:paraId="150C4797" w14:textId="20C6264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5695D1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4C850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7.</w:t>
      </w:r>
      <w:r w:rsidRPr="000328B6">
        <w:rPr>
          <w:sz w:val="24"/>
        </w:rPr>
        <w:tab/>
      </w:r>
      <w:r w:rsidRPr="000328B6">
        <w:rPr>
          <w:sz w:val="24"/>
          <w:u w:val="single"/>
        </w:rPr>
        <w:t>Special Circumstances</w:t>
      </w:r>
    </w:p>
    <w:p w:rsidR="008F1EB4" w:rsidRPr="000328B6" w14:paraId="26131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451BB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special circumstances.</w:t>
      </w:r>
    </w:p>
    <w:p w:rsidR="008F1EB4" w:rsidRPr="000328B6" w14:paraId="525C4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9B05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8.</w:t>
      </w:r>
      <w:r w:rsidRPr="000328B6">
        <w:rPr>
          <w:sz w:val="24"/>
        </w:rPr>
        <w:tab/>
      </w:r>
      <w:r w:rsidRPr="000328B6">
        <w:rPr>
          <w:sz w:val="24"/>
          <w:u w:val="single"/>
        </w:rPr>
        <w:t>Federal Register/Outside Consultation</w:t>
      </w:r>
    </w:p>
    <w:p w:rsidR="00751BCC" w:rsidRPr="000328B6" w:rsidP="00751BCC" w14:paraId="3CB0357F" w14:textId="77777777">
      <w:pPr>
        <w:ind w:left="432"/>
        <w:rPr>
          <w:sz w:val="24"/>
        </w:rPr>
      </w:pPr>
    </w:p>
    <w:p w:rsidR="00AC42CF" w:rsidP="00AC42CF" w14:paraId="73FA6AE8" w14:textId="77777777">
      <w:pPr>
        <w:spacing w:line="259" w:lineRule="auto"/>
        <w:ind w:left="432"/>
        <w:rPr>
          <w:sz w:val="24"/>
        </w:rPr>
      </w:pPr>
      <w:r w:rsidRPr="029C8DE8">
        <w:rPr>
          <w:sz w:val="24"/>
        </w:rPr>
        <w:t xml:space="preserve">The 60-day Federal Register notice published on </w:t>
      </w:r>
      <w:r>
        <w:rPr>
          <w:sz w:val="24"/>
        </w:rPr>
        <w:t>March 31, 2026 (91 FR 16002).</w:t>
      </w:r>
    </w:p>
    <w:p w:rsidR="00AC42CF" w:rsidP="00AC42CF" w14:paraId="180F1932" w14:textId="77777777">
      <w:pPr>
        <w:spacing w:line="259" w:lineRule="auto"/>
        <w:ind w:left="432"/>
        <w:rPr>
          <w:sz w:val="24"/>
        </w:rPr>
      </w:pPr>
    </w:p>
    <w:p w:rsidR="00451CD6" w:rsidRPr="00AC42CF" w:rsidP="00AC42CF" w14:paraId="00C716AA" w14:textId="49F5B950">
      <w:pPr>
        <w:spacing w:line="259" w:lineRule="auto"/>
        <w:ind w:left="432"/>
        <w:rPr>
          <w:sz w:val="24"/>
        </w:rPr>
      </w:pPr>
      <w:r w:rsidRPr="00AC42CF">
        <w:rPr>
          <w:sz w:val="24"/>
        </w:rPr>
        <w:t>There was one public comment received.  Th</w:t>
      </w:r>
      <w:r w:rsidRPr="00AC42CF">
        <w:rPr>
          <w:sz w:val="24"/>
        </w:rPr>
        <w:t>e commenter recommended that CMS align emergency response activities, including Section 1135 waiver processes and Health Care Facility (HCF) operational status reporting, with modern interoperability infrastructure, including FHIR-based APIs and the International Patient Summary U.S. Realm (IPS-US), to support information exchange across state lines.</w:t>
      </w:r>
    </w:p>
    <w:p w:rsidR="00451CD6" w:rsidP="0063281B" w14:paraId="70BD21FA" w14:textId="77777777">
      <w:pPr>
        <w:pStyle w:val="NormalWeb"/>
        <w:ind w:left="432"/>
      </w:pPr>
      <w:r>
        <w:t>CMS appreciates the comment and recognizes the importance of advancing healthcare interoperability and standards-based information exchange. However, the purpose of this information collection is to support rapid situational awareness during disasters and emergency events by collecting operational status information from affected healthcare providers and suppliers. The information collected includes facility operational status, beneficiary impact counts, evacuation and relocation information, infrastructure impacts, and other emergency-related data necessary to support emergency response activities. This collection does not currently collect patient-level clinical summaries.</w:t>
      </w:r>
    </w:p>
    <w:p w:rsidR="00451CD6" w:rsidP="0063281B" w14:paraId="22CD6E72" w14:textId="77777777">
      <w:pPr>
        <w:pStyle w:val="NormalWeb"/>
        <w:ind w:left="432"/>
      </w:pPr>
      <w:r>
        <w:t>CMS believes the current standardized electronic reporting approach appropriately supports the operational needs of emergency response by prioritizing speed, simplicity, accessibility, and reduced reporting burden for all provider and supplier types, including small and rural facilities that may have varying levels of health information technology capabilities. As Federal interoperability initiatives continue to evolve, CMS will evaluate opportunities to enhance emergency response reporting processes, as appropriate, while maintaining the primary objective of timely and efficient collection of critical operational information during disasters and emergencies.</w:t>
      </w:r>
    </w:p>
    <w:p w:rsidR="00451CD6" w:rsidP="0063281B" w14:paraId="3E12C0FD" w14:textId="77777777">
      <w:pPr>
        <w:pStyle w:val="NormalWeb"/>
        <w:ind w:left="432"/>
      </w:pPr>
      <w:r>
        <w:t>No changes were made to the information collection as a result of this comment.</w:t>
      </w:r>
    </w:p>
    <w:p w:rsidR="00451CD6" w:rsidP="029C8DE8" w14:paraId="2ACE697C" w14:textId="77777777">
      <w:pPr>
        <w:spacing w:line="259" w:lineRule="auto"/>
        <w:ind w:left="432"/>
        <w:rPr>
          <w:sz w:val="24"/>
        </w:rPr>
      </w:pPr>
    </w:p>
    <w:p w:rsidR="00052490" w:rsidP="00AC42CF" w14:paraId="2083F944" w14:textId="59117329">
      <w:pPr>
        <w:spacing w:line="259" w:lineRule="auto"/>
        <w:ind w:firstLine="432"/>
        <w:rPr>
          <w:sz w:val="24"/>
        </w:rPr>
      </w:pPr>
      <w:r>
        <w:rPr>
          <w:sz w:val="24"/>
        </w:rPr>
        <w:t xml:space="preserve">The 30-day Federal Register notice published on </w:t>
      </w:r>
      <w:r w:rsidR="00AC42CF">
        <w:rPr>
          <w:sz w:val="24"/>
        </w:rPr>
        <w:t>June 18, 2026 (91 FR 36840).</w:t>
      </w:r>
    </w:p>
    <w:p w:rsidR="00052490" w:rsidRPr="000328B6" w:rsidP="00052490" w14:paraId="0022D655" w14:textId="33434BC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5E0A0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      </w:t>
      </w:r>
    </w:p>
    <w:p w:rsidR="008F1EB4" w:rsidRPr="000328B6" w14:paraId="40CD7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9.</w:t>
      </w:r>
      <w:r w:rsidRPr="000328B6">
        <w:rPr>
          <w:sz w:val="24"/>
        </w:rPr>
        <w:tab/>
      </w:r>
      <w:r w:rsidRPr="000328B6">
        <w:rPr>
          <w:sz w:val="24"/>
          <w:u w:val="single"/>
        </w:rPr>
        <w:t>Payments/Gifts to Respondents</w:t>
      </w:r>
    </w:p>
    <w:p w:rsidR="008F1EB4" w:rsidRPr="000328B6" w14:paraId="24B2EF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7F9885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payments or gifts to respondents. </w:t>
      </w:r>
    </w:p>
    <w:p w:rsidR="008F1EB4" w:rsidRPr="000328B6" w14:paraId="1957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C4315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328B6">
        <w:rPr>
          <w:sz w:val="24"/>
        </w:rPr>
        <w:t>10.</w:t>
      </w:r>
      <w:r w:rsidRPr="000328B6">
        <w:rPr>
          <w:sz w:val="24"/>
        </w:rPr>
        <w:tab/>
      </w:r>
      <w:r w:rsidRPr="000328B6">
        <w:rPr>
          <w:sz w:val="24"/>
          <w:u w:val="single"/>
        </w:rPr>
        <w:t>Confidentiality</w:t>
      </w:r>
    </w:p>
    <w:p w:rsidR="00B16C0F" w:rsidRPr="000328B6" w14:paraId="74897B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965E0" w:rsidRPr="000328B6" w:rsidP="00E174E4" w14:paraId="59543A9D" w14:textId="121BDC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Personally identifiable information, including social security numbers (SSN), is not being collected on these web forms. Information is being collected electronically in the ServiceNow system and is covered by that system’s Privacy Impact Assessment (PIA)</w:t>
      </w:r>
      <w:r w:rsidRPr="000328B6">
        <w:t xml:space="preserve"> </w:t>
      </w:r>
      <w:r w:rsidRPr="000328B6">
        <w:rPr>
          <w:sz w:val="24"/>
        </w:rPr>
        <w:t xml:space="preserve">with an approval date of </w:t>
      </w:r>
      <w:r w:rsidR="004D2273">
        <w:rPr>
          <w:sz w:val="24"/>
        </w:rPr>
        <w:t>November</w:t>
      </w:r>
      <w:r w:rsidRPr="000328B6" w:rsidR="004D2273">
        <w:rPr>
          <w:sz w:val="24"/>
        </w:rPr>
        <w:t xml:space="preserve"> </w:t>
      </w:r>
      <w:r w:rsidR="004D2273">
        <w:rPr>
          <w:sz w:val="24"/>
        </w:rPr>
        <w:t>21</w:t>
      </w:r>
      <w:r w:rsidRPr="000328B6">
        <w:rPr>
          <w:sz w:val="24"/>
        </w:rPr>
        <w:t xml:space="preserve">, </w:t>
      </w:r>
      <w:r w:rsidRPr="000328B6" w:rsidR="002D6B29">
        <w:rPr>
          <w:sz w:val="24"/>
        </w:rPr>
        <w:t>202</w:t>
      </w:r>
      <w:r w:rsidR="002D6B29">
        <w:rPr>
          <w:sz w:val="24"/>
        </w:rPr>
        <w:t>4</w:t>
      </w:r>
      <w:r w:rsidRPr="000328B6">
        <w:rPr>
          <w:sz w:val="24"/>
        </w:rPr>
        <w:t>. Information is stored electronically in the ServiceNow system.</w:t>
      </w:r>
      <w:r w:rsidRPr="000328B6">
        <w:t xml:space="preserve"> </w:t>
      </w:r>
      <w:r w:rsidRPr="000328B6">
        <w:rPr>
          <w:sz w:val="24"/>
        </w:rPr>
        <w:t xml:space="preserve">Personal Identifiable Information/Personal Health Information (PII/PHI), if submitted, will be identified by a CMS triage agent and will follow the current CMS processes and procedures for reporting PII incidents. This includes opening a security incident, investigation, and remediation.  Data collected via the automated process is retained for seven years, as approved by the National Archives and Records Administration Records Schedule DM-0440-2015-0008. The data resides in the ServiceNow system. The confidentiality, integrity, and availability of information being processed is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 </w:t>
      </w:r>
    </w:p>
    <w:p w:rsidR="008F1EB4" w:rsidRPr="000328B6" w14:paraId="0F5973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5BB4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11.</w:t>
      </w:r>
      <w:r w:rsidRPr="000328B6">
        <w:rPr>
          <w:sz w:val="24"/>
        </w:rPr>
        <w:tab/>
      </w:r>
      <w:r w:rsidRPr="000328B6">
        <w:rPr>
          <w:sz w:val="24"/>
          <w:u w:val="single"/>
        </w:rPr>
        <w:t>Sensitive Questions</w:t>
      </w:r>
    </w:p>
    <w:p w:rsidR="008F1EB4" w:rsidRPr="000328B6" w14:paraId="2D4C1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32E8" w:rsidRPr="000328B6" w:rsidP="001E4EE4" w14:paraId="5ADF3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questions of a sensitive nature.  </w:t>
      </w:r>
    </w:p>
    <w:p w:rsidR="008F1EB4" w:rsidRPr="000328B6" w14:paraId="41202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AD95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12.</w:t>
      </w:r>
      <w:r w:rsidRPr="000328B6">
        <w:rPr>
          <w:sz w:val="24"/>
        </w:rPr>
        <w:tab/>
      </w:r>
      <w:r w:rsidRPr="000328B6">
        <w:rPr>
          <w:sz w:val="24"/>
          <w:u w:val="single"/>
        </w:rPr>
        <w:t>Burden Estimates (Hours &amp; Wages)</w:t>
      </w:r>
    </w:p>
    <w:p w:rsidR="008F1EB4" w:rsidRPr="000328B6" w14:paraId="4F8A9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0F37" w:rsidRPr="000328B6" w:rsidP="00B16C0F" w14:paraId="1216AC3B" w14:textId="77777777">
      <w:pPr>
        <w:ind w:firstLine="432"/>
        <w:rPr>
          <w:rFonts w:eastAsia="Calibri"/>
          <w:sz w:val="24"/>
        </w:rPr>
      </w:pPr>
      <w:r w:rsidRPr="000328B6">
        <w:rPr>
          <w:rFonts w:eastAsia="Calibri"/>
          <w:sz w:val="24"/>
        </w:rPr>
        <w:t>Wage Estimates</w:t>
      </w:r>
    </w:p>
    <w:p w:rsidR="00690F37" w:rsidRPr="000328B6" w:rsidP="00690F37" w14:paraId="0ADA0BC9" w14:textId="77777777">
      <w:pPr>
        <w:rPr>
          <w:rFonts w:eastAsia="Calibri"/>
          <w:sz w:val="24"/>
        </w:rPr>
      </w:pPr>
    </w:p>
    <w:p w:rsidR="00690F37" w:rsidRPr="000328B6" w:rsidP="00E174E4" w14:paraId="6A02C1E8" w14:textId="51E544AD">
      <w:pPr>
        <w:ind w:left="432"/>
        <w:rPr>
          <w:rFonts w:eastAsia="Calibri"/>
          <w:sz w:val="24"/>
        </w:rPr>
      </w:pPr>
      <w:r w:rsidRPr="000328B6">
        <w:rPr>
          <w:rFonts w:eastAsia="Calibri"/>
          <w:sz w:val="24"/>
        </w:rPr>
        <w:t xml:space="preserve">To derive average costs, we used data from the U.S. Bureau of Labor Statistics’ </w:t>
      </w:r>
      <w:r w:rsidRPr="000328B6" w:rsidR="00CC0093">
        <w:rPr>
          <w:rFonts w:eastAsia="Calibri"/>
          <w:sz w:val="24"/>
        </w:rPr>
        <w:t>202</w:t>
      </w:r>
      <w:r w:rsidR="00CC0093">
        <w:rPr>
          <w:rFonts w:eastAsia="Calibri"/>
          <w:sz w:val="24"/>
        </w:rPr>
        <w:t>4</w:t>
      </w:r>
      <w:r w:rsidRPr="000328B6" w:rsidR="00CC0093">
        <w:rPr>
          <w:rFonts w:eastAsia="Calibri"/>
          <w:sz w:val="24"/>
        </w:rPr>
        <w:t xml:space="preserve"> </w:t>
      </w:r>
      <w:r w:rsidRPr="000328B6">
        <w:rPr>
          <w:rFonts w:eastAsia="Calibri"/>
          <w:sz w:val="24"/>
        </w:rPr>
        <w:t>National Occupational Employment and Wage Estimates for all salary estimates (</w:t>
      </w:r>
      <w:hyperlink r:id="rId5">
        <w:r w:rsidRPr="000328B6">
          <w:rPr>
            <w:rStyle w:val="Hyperlink"/>
            <w:rFonts w:eastAsia="Calibri"/>
            <w:sz w:val="24"/>
          </w:rPr>
          <w:t>http://www.bls.gov/oes/current/oes_nat.htm</w:t>
        </w:r>
      </w:hyperlink>
      <w:r w:rsidRPr="000328B6">
        <w:rPr>
          <w:rFonts w:eastAsia="Calibri"/>
          <w:sz w:val="24"/>
        </w:rPr>
        <w:t xml:space="preserve">). In this regard, the following table presents the mean hourly wage, the cost of fringe benefits and overhead (calculated at 100 percent of salary), and the adjusted hourly wage. </w:t>
      </w:r>
    </w:p>
    <w:p w:rsidR="00690F37" w:rsidP="00690F37" w14:paraId="06D5E1B6" w14:textId="77777777">
      <w:pPr>
        <w:rPr>
          <w:rFonts w:eastAsia="Calibri"/>
        </w:rPr>
      </w:pPr>
    </w:p>
    <w:p w:rsidR="00A53DB1" w:rsidP="00690F37" w14:paraId="488C01FE" w14:textId="77777777">
      <w:pPr>
        <w:rPr>
          <w:rFonts w:eastAsia="Calibri"/>
        </w:rPr>
      </w:pPr>
    </w:p>
    <w:p w:rsidR="00A53DB1" w:rsidP="00690F37" w14:paraId="1BD0C267" w14:textId="77777777">
      <w:pPr>
        <w:rPr>
          <w:rFonts w:eastAsia="Calibri"/>
        </w:rPr>
      </w:pPr>
    </w:p>
    <w:p w:rsidR="00A53DB1" w:rsidRPr="000328B6" w:rsidP="00690F37" w14:paraId="5545527C" w14:textId="77777777">
      <w:pPr>
        <w:rPr>
          <w:rFonts w:eastAsia="Calibri"/>
        </w:rPr>
      </w:pPr>
    </w:p>
    <w:p w:rsidR="00690F37" w:rsidRPr="000328B6" w:rsidP="00E174E4" w14:paraId="5640C354" w14:textId="77777777">
      <w:pPr>
        <w:ind w:left="432"/>
        <w:rPr>
          <w:rFonts w:eastAsia="Calibri"/>
          <w:sz w:val="24"/>
        </w:rPr>
      </w:pPr>
      <w:r w:rsidRPr="001B0FDF">
        <w:rPr>
          <w:rFonts w:eastAsia="Calibri"/>
          <w:sz w:val="24"/>
        </w:rPr>
        <w:t>Table 1: National Occupational Employment and Wage Estimates</w:t>
      </w:r>
    </w:p>
    <w:tbl>
      <w:tblPr>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1980"/>
        <w:gridCol w:w="1452"/>
        <w:gridCol w:w="2042"/>
        <w:gridCol w:w="1608"/>
      </w:tblGrid>
      <w:tr w14:paraId="653FF758" w14:textId="77777777" w:rsidTr="00E174E4">
        <w:tblPrEx>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73" w:type="dxa"/>
            <w:hideMark/>
          </w:tcPr>
          <w:p w:rsidR="00690F37" w:rsidRPr="000328B6" w:rsidP="00E174E4" w14:paraId="0D9260E9" w14:textId="77777777">
            <w:pPr>
              <w:ind w:left="432"/>
              <w:rPr>
                <w:sz w:val="24"/>
              </w:rPr>
            </w:pPr>
            <w:r w:rsidRPr="000328B6">
              <w:rPr>
                <w:sz w:val="24"/>
              </w:rPr>
              <w:t>Occupation title</w:t>
            </w:r>
          </w:p>
        </w:tc>
        <w:tc>
          <w:tcPr>
            <w:tcW w:w="1980" w:type="dxa"/>
            <w:hideMark/>
          </w:tcPr>
          <w:p w:rsidR="00690F37" w:rsidRPr="000328B6" w:rsidP="00E174E4" w14:paraId="439C73A1" w14:textId="77777777">
            <w:pPr>
              <w:ind w:left="432"/>
              <w:rPr>
                <w:sz w:val="24"/>
              </w:rPr>
            </w:pPr>
            <w:r w:rsidRPr="000328B6">
              <w:rPr>
                <w:sz w:val="24"/>
              </w:rPr>
              <w:t>Occupation code</w:t>
            </w:r>
          </w:p>
        </w:tc>
        <w:tc>
          <w:tcPr>
            <w:tcW w:w="1452" w:type="dxa"/>
            <w:hideMark/>
          </w:tcPr>
          <w:p w:rsidR="00690F37" w:rsidRPr="000328B6" w:rsidP="00E174E4" w14:paraId="640CCF0A" w14:textId="77777777">
            <w:pPr>
              <w:ind w:left="432"/>
              <w:rPr>
                <w:sz w:val="24"/>
              </w:rPr>
            </w:pPr>
            <w:r w:rsidRPr="000328B6">
              <w:rPr>
                <w:sz w:val="24"/>
              </w:rPr>
              <w:t>Mean hourly wage ($/hr)</w:t>
            </w:r>
          </w:p>
        </w:tc>
        <w:tc>
          <w:tcPr>
            <w:tcW w:w="2042" w:type="dxa"/>
            <w:hideMark/>
          </w:tcPr>
          <w:p w:rsidR="00690F37" w:rsidRPr="000328B6" w:rsidP="00E174E4" w14:paraId="5A6F8D85" w14:textId="77777777">
            <w:pPr>
              <w:ind w:left="432"/>
              <w:rPr>
                <w:sz w:val="24"/>
              </w:rPr>
            </w:pPr>
            <w:r w:rsidRPr="000328B6">
              <w:rPr>
                <w:sz w:val="24"/>
              </w:rPr>
              <w:t>Fringe benefits and overhead ($/hr)</w:t>
            </w:r>
          </w:p>
        </w:tc>
        <w:tc>
          <w:tcPr>
            <w:tcW w:w="1608" w:type="dxa"/>
            <w:hideMark/>
          </w:tcPr>
          <w:p w:rsidR="00690F37" w:rsidRPr="000328B6" w:rsidP="00E174E4" w14:paraId="04950DD2" w14:textId="77777777">
            <w:pPr>
              <w:ind w:left="432"/>
              <w:rPr>
                <w:sz w:val="24"/>
              </w:rPr>
            </w:pPr>
            <w:r w:rsidRPr="000328B6">
              <w:rPr>
                <w:sz w:val="24"/>
              </w:rPr>
              <w:t>Adjusted hourly wage ($/hr)</w:t>
            </w:r>
          </w:p>
        </w:tc>
      </w:tr>
      <w:tr w14:paraId="3EDDC5B1" w14:textId="77777777" w:rsidTr="00E174E4">
        <w:tblPrEx>
          <w:tblW w:w="9255" w:type="dxa"/>
          <w:tblInd w:w="607" w:type="dxa"/>
          <w:tblLayout w:type="fixed"/>
          <w:tblLook w:val="04A0"/>
        </w:tblPrEx>
        <w:tc>
          <w:tcPr>
            <w:tcW w:w="2173" w:type="dxa"/>
          </w:tcPr>
          <w:p w:rsidR="00690F37" w:rsidRPr="000328B6" w:rsidP="00E174E4" w14:paraId="6200E4CD" w14:textId="77777777">
            <w:pPr>
              <w:ind w:left="432"/>
              <w:rPr>
                <w:sz w:val="24"/>
              </w:rPr>
            </w:pPr>
            <w:r w:rsidRPr="000328B6">
              <w:rPr>
                <w:sz w:val="24"/>
              </w:rPr>
              <w:t>Blended Occupations – Waiver Requests</w:t>
            </w:r>
          </w:p>
        </w:tc>
        <w:tc>
          <w:tcPr>
            <w:tcW w:w="1980" w:type="dxa"/>
          </w:tcPr>
          <w:p w:rsidR="00690F37" w:rsidRPr="000328B6" w:rsidP="00E174E4" w14:paraId="575673A6" w14:textId="77777777">
            <w:pPr>
              <w:ind w:left="432"/>
              <w:rPr>
                <w:sz w:val="24"/>
              </w:rPr>
            </w:pPr>
            <w:r w:rsidRPr="000328B6">
              <w:rPr>
                <w:sz w:val="24"/>
              </w:rPr>
              <w:t>See Table 2 below</w:t>
            </w:r>
          </w:p>
        </w:tc>
        <w:tc>
          <w:tcPr>
            <w:tcW w:w="1452" w:type="dxa"/>
          </w:tcPr>
          <w:p w:rsidR="00690F37" w:rsidRPr="000328B6" w:rsidP="00E174E4" w14:paraId="2A9F85B7" w14:textId="63888852">
            <w:pPr>
              <w:ind w:left="432"/>
              <w:rPr>
                <w:sz w:val="24"/>
              </w:rPr>
            </w:pPr>
            <w:r w:rsidRPr="000328B6">
              <w:rPr>
                <w:sz w:val="24"/>
              </w:rPr>
              <w:t>$</w:t>
            </w:r>
            <w:r w:rsidR="00E92FB3">
              <w:rPr>
                <w:sz w:val="24"/>
              </w:rPr>
              <w:t>69.45</w:t>
            </w:r>
          </w:p>
        </w:tc>
        <w:tc>
          <w:tcPr>
            <w:tcW w:w="2042" w:type="dxa"/>
          </w:tcPr>
          <w:p w:rsidR="00690F37" w:rsidRPr="000328B6" w:rsidP="00E174E4" w14:paraId="44D99239" w14:textId="07E2AC13">
            <w:pPr>
              <w:ind w:left="432"/>
              <w:rPr>
                <w:sz w:val="24"/>
              </w:rPr>
            </w:pPr>
            <w:r w:rsidRPr="000328B6">
              <w:rPr>
                <w:sz w:val="24"/>
              </w:rPr>
              <w:t>$</w:t>
            </w:r>
            <w:r w:rsidR="00E92FB3">
              <w:rPr>
                <w:sz w:val="24"/>
              </w:rPr>
              <w:t>69.45</w:t>
            </w:r>
          </w:p>
        </w:tc>
        <w:tc>
          <w:tcPr>
            <w:tcW w:w="1608" w:type="dxa"/>
          </w:tcPr>
          <w:p w:rsidR="00690F37" w:rsidRPr="000328B6" w:rsidP="00E174E4" w14:paraId="69CB7F41" w14:textId="1DF0192A">
            <w:pPr>
              <w:spacing w:line="259" w:lineRule="auto"/>
              <w:ind w:left="432"/>
              <w:rPr>
                <w:sz w:val="24"/>
              </w:rPr>
            </w:pPr>
            <w:r w:rsidRPr="000328B6">
              <w:rPr>
                <w:sz w:val="24"/>
              </w:rPr>
              <w:t>$</w:t>
            </w:r>
            <w:r w:rsidR="00E92FB3">
              <w:rPr>
                <w:sz w:val="24"/>
              </w:rPr>
              <w:t>138.90</w:t>
            </w:r>
          </w:p>
        </w:tc>
      </w:tr>
      <w:tr w14:paraId="636514BE" w14:textId="77777777" w:rsidTr="00E174E4">
        <w:tblPrEx>
          <w:tblW w:w="9255" w:type="dxa"/>
          <w:tblInd w:w="607" w:type="dxa"/>
          <w:tblLayout w:type="fixed"/>
          <w:tblLook w:val="04A0"/>
        </w:tblPrEx>
        <w:tc>
          <w:tcPr>
            <w:tcW w:w="2173" w:type="dxa"/>
          </w:tcPr>
          <w:p w:rsidR="00AC550B" w:rsidRPr="000328B6" w:rsidP="00E174E4" w14:paraId="5CF5F26A" w14:textId="77777777">
            <w:pPr>
              <w:ind w:left="432"/>
              <w:rPr>
                <w:sz w:val="24"/>
              </w:rPr>
            </w:pPr>
            <w:r w:rsidRPr="000328B6">
              <w:rPr>
                <w:sz w:val="24"/>
              </w:rPr>
              <w:t>Blended Occupations - Inquiries</w:t>
            </w:r>
          </w:p>
        </w:tc>
        <w:tc>
          <w:tcPr>
            <w:tcW w:w="1980" w:type="dxa"/>
          </w:tcPr>
          <w:p w:rsidR="00AC550B" w:rsidRPr="000328B6" w:rsidP="00E174E4" w14:paraId="6261A18D" w14:textId="77777777">
            <w:pPr>
              <w:ind w:left="432"/>
              <w:rPr>
                <w:sz w:val="24"/>
              </w:rPr>
            </w:pPr>
            <w:r w:rsidRPr="000328B6">
              <w:rPr>
                <w:sz w:val="24"/>
              </w:rPr>
              <w:t>See Table 3 below</w:t>
            </w:r>
          </w:p>
        </w:tc>
        <w:tc>
          <w:tcPr>
            <w:tcW w:w="1452" w:type="dxa"/>
          </w:tcPr>
          <w:p w:rsidR="00AC550B" w:rsidRPr="000328B6" w:rsidP="00E174E4" w14:paraId="567F7E48" w14:textId="1F0225F2">
            <w:pPr>
              <w:ind w:left="432"/>
              <w:rPr>
                <w:sz w:val="24"/>
              </w:rPr>
            </w:pPr>
            <w:r w:rsidRPr="000328B6">
              <w:rPr>
                <w:sz w:val="24"/>
              </w:rPr>
              <w:t>$</w:t>
            </w:r>
            <w:r w:rsidR="0081603E">
              <w:rPr>
                <w:sz w:val="24"/>
              </w:rPr>
              <w:t>67.02</w:t>
            </w:r>
          </w:p>
        </w:tc>
        <w:tc>
          <w:tcPr>
            <w:tcW w:w="2042" w:type="dxa"/>
          </w:tcPr>
          <w:p w:rsidR="00AC550B" w:rsidRPr="000328B6" w:rsidP="0C61C16F" w14:paraId="741C64BF" w14:textId="3076658B">
            <w:pPr>
              <w:ind w:left="432"/>
              <w:rPr>
                <w:sz w:val="24"/>
              </w:rPr>
            </w:pPr>
            <w:r w:rsidRPr="000328B6">
              <w:rPr>
                <w:sz w:val="24"/>
              </w:rPr>
              <w:t>$</w:t>
            </w:r>
            <w:r w:rsidR="0081603E">
              <w:rPr>
                <w:sz w:val="24"/>
              </w:rPr>
              <w:t>67.02</w:t>
            </w:r>
          </w:p>
        </w:tc>
        <w:tc>
          <w:tcPr>
            <w:tcW w:w="1608" w:type="dxa"/>
          </w:tcPr>
          <w:p w:rsidR="00AC550B" w:rsidRPr="000328B6" w:rsidP="00E174E4" w14:paraId="0051F65E" w14:textId="49225AEA">
            <w:pPr>
              <w:ind w:left="432"/>
              <w:rPr>
                <w:sz w:val="24"/>
              </w:rPr>
            </w:pPr>
            <w:r w:rsidRPr="000328B6">
              <w:rPr>
                <w:sz w:val="24"/>
              </w:rPr>
              <w:t>$</w:t>
            </w:r>
            <w:r w:rsidR="00787C49">
              <w:rPr>
                <w:sz w:val="24"/>
              </w:rPr>
              <w:t>134.04</w:t>
            </w:r>
          </w:p>
        </w:tc>
      </w:tr>
      <w:tr w14:paraId="773A46F1" w14:textId="77777777" w:rsidTr="00E174E4">
        <w:tblPrEx>
          <w:tblW w:w="9255" w:type="dxa"/>
          <w:tblInd w:w="607" w:type="dxa"/>
          <w:tblLayout w:type="fixed"/>
          <w:tblLook w:val="04A0"/>
        </w:tblPrEx>
        <w:tc>
          <w:tcPr>
            <w:tcW w:w="2173" w:type="dxa"/>
          </w:tcPr>
          <w:p w:rsidR="00FE1E34" w:rsidRPr="000328B6" w:rsidP="00E174E4" w14:paraId="37D99764" w14:textId="77777777">
            <w:pPr>
              <w:ind w:left="432"/>
              <w:rPr>
                <w:sz w:val="24"/>
              </w:rPr>
            </w:pPr>
            <w:r w:rsidRPr="000328B6">
              <w:rPr>
                <w:sz w:val="24"/>
              </w:rPr>
              <w:t>Blended Occupations – Operational Status</w:t>
            </w:r>
          </w:p>
        </w:tc>
        <w:tc>
          <w:tcPr>
            <w:tcW w:w="1980" w:type="dxa"/>
          </w:tcPr>
          <w:p w:rsidR="00FE1E34" w:rsidRPr="000328B6" w:rsidP="00E174E4" w14:paraId="31919B70" w14:textId="77777777">
            <w:pPr>
              <w:ind w:left="432"/>
              <w:rPr>
                <w:sz w:val="24"/>
              </w:rPr>
            </w:pPr>
            <w:r w:rsidRPr="000328B6">
              <w:rPr>
                <w:sz w:val="24"/>
              </w:rPr>
              <w:t>See Table 4 below</w:t>
            </w:r>
          </w:p>
        </w:tc>
        <w:tc>
          <w:tcPr>
            <w:tcW w:w="1452" w:type="dxa"/>
          </w:tcPr>
          <w:p w:rsidR="00FE1E34" w:rsidRPr="000328B6" w:rsidP="00E174E4" w14:paraId="3A04F5CC" w14:textId="46069F8B">
            <w:pPr>
              <w:ind w:left="432"/>
              <w:rPr>
                <w:sz w:val="24"/>
              </w:rPr>
            </w:pPr>
            <w:r w:rsidRPr="000328B6">
              <w:rPr>
                <w:sz w:val="24"/>
              </w:rPr>
              <w:t>$</w:t>
            </w:r>
            <w:r w:rsidR="008D03E2">
              <w:rPr>
                <w:sz w:val="24"/>
              </w:rPr>
              <w:t>45.65</w:t>
            </w:r>
          </w:p>
        </w:tc>
        <w:tc>
          <w:tcPr>
            <w:tcW w:w="2042" w:type="dxa"/>
          </w:tcPr>
          <w:p w:rsidR="00FE1E34" w:rsidRPr="000328B6" w:rsidP="0C61C16F" w14:paraId="6B567257" w14:textId="07237DDA">
            <w:pPr>
              <w:ind w:left="432"/>
              <w:rPr>
                <w:sz w:val="24"/>
              </w:rPr>
            </w:pPr>
            <w:r w:rsidRPr="000328B6">
              <w:rPr>
                <w:sz w:val="24"/>
              </w:rPr>
              <w:t>$</w:t>
            </w:r>
            <w:r w:rsidR="008D03E2">
              <w:rPr>
                <w:sz w:val="24"/>
              </w:rPr>
              <w:t>45.65</w:t>
            </w:r>
          </w:p>
        </w:tc>
        <w:tc>
          <w:tcPr>
            <w:tcW w:w="1608" w:type="dxa"/>
          </w:tcPr>
          <w:p w:rsidR="00FE1E34" w:rsidRPr="000328B6" w:rsidP="00E174E4" w14:paraId="6E6D6EA3" w14:textId="779FCC50">
            <w:pPr>
              <w:ind w:left="432"/>
              <w:rPr>
                <w:sz w:val="24"/>
              </w:rPr>
            </w:pPr>
            <w:r w:rsidRPr="000328B6">
              <w:rPr>
                <w:sz w:val="24"/>
              </w:rPr>
              <w:t>$</w:t>
            </w:r>
            <w:r w:rsidR="008D03E2">
              <w:rPr>
                <w:sz w:val="24"/>
              </w:rPr>
              <w:t>91.30</w:t>
            </w:r>
          </w:p>
        </w:tc>
      </w:tr>
    </w:tbl>
    <w:p w:rsidR="00690F37" w:rsidRPr="000328B6" w:rsidP="00690F37" w14:paraId="11C082C4" w14:textId="77777777">
      <w:pPr>
        <w:rPr>
          <w:rFonts w:eastAsia="Calibri"/>
        </w:rPr>
      </w:pPr>
    </w:p>
    <w:p w:rsidR="00690F37" w:rsidRPr="000328B6" w:rsidP="00E174E4" w14:paraId="21654C62" w14:textId="77777777">
      <w:pPr>
        <w:ind w:left="432"/>
        <w:rPr>
          <w:rFonts w:eastAsia="Calibri"/>
          <w:sz w:val="24"/>
        </w:rPr>
      </w:pPr>
      <w:r w:rsidRPr="000328B6">
        <w:rPr>
          <w:rFonts w:eastAsia="Calibri"/>
          <w:sz w:val="24"/>
        </w:rPr>
        <w:t xml:space="preserve">As indicated, we adjusted our employee hourly wage estimates by a factor of 100 percent. </w:t>
      </w:r>
      <w:r w:rsidRPr="000328B6">
        <w:rPr>
          <w:rFonts w:eastAsia="Calibri"/>
          <w:sz w:val="24"/>
        </w:rPr>
        <w:t>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690F37" w:rsidRPr="000328B6" w14:paraId="463001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90F37" w:rsidRPr="000328B6" w:rsidP="029C8DE8" w14:paraId="3AB28FEE" w14:textId="76BBED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Pr>
          <w:sz w:val="24"/>
        </w:rPr>
        <w:t>From</w:t>
      </w:r>
      <w:r w:rsidRPr="4776D791">
        <w:rPr>
          <w:sz w:val="24"/>
        </w:rPr>
        <w:t xml:space="preserve"> </w:t>
      </w:r>
      <w:r w:rsidRPr="4776D791" w:rsidR="001907AF">
        <w:rPr>
          <w:sz w:val="24"/>
        </w:rPr>
        <w:t xml:space="preserve">calendar year </w:t>
      </w:r>
      <w:r w:rsidRPr="4776D791">
        <w:rPr>
          <w:sz w:val="24"/>
        </w:rPr>
        <w:t>202</w:t>
      </w:r>
      <w:r>
        <w:rPr>
          <w:sz w:val="24"/>
        </w:rPr>
        <w:t>4</w:t>
      </w:r>
      <w:r w:rsidRPr="4776D791">
        <w:rPr>
          <w:sz w:val="24"/>
        </w:rPr>
        <w:t xml:space="preserve"> </w:t>
      </w:r>
      <w:r w:rsidRPr="4776D791" w:rsidR="001907AF">
        <w:rPr>
          <w:sz w:val="24"/>
        </w:rPr>
        <w:t xml:space="preserve">to date, CMS has received over </w:t>
      </w:r>
      <w:r w:rsidR="00A4143A">
        <w:rPr>
          <w:sz w:val="24"/>
        </w:rPr>
        <w:t>1,482</w:t>
      </w:r>
      <w:r w:rsidRPr="4776D791" w:rsidR="00D06B45">
        <w:rPr>
          <w:sz w:val="24"/>
        </w:rPr>
        <w:t xml:space="preserve"> </w:t>
      </w:r>
      <w:r w:rsidRPr="4776D791" w:rsidR="001907AF">
        <w:rPr>
          <w:sz w:val="24"/>
        </w:rPr>
        <w:t>Waiver Requests (</w:t>
      </w:r>
      <w:r w:rsidR="00B84CB6">
        <w:rPr>
          <w:sz w:val="24"/>
        </w:rPr>
        <w:t>1,368</w:t>
      </w:r>
      <w:r w:rsidRPr="4776D791" w:rsidR="00D06B45">
        <w:rPr>
          <w:sz w:val="24"/>
        </w:rPr>
        <w:t xml:space="preserve"> </w:t>
      </w:r>
      <w:r w:rsidRPr="4776D791" w:rsidR="001907AF">
        <w:rPr>
          <w:sz w:val="24"/>
        </w:rPr>
        <w:t xml:space="preserve">Waiver Requests from non-State Medicaid Agencies (SMAs) and </w:t>
      </w:r>
      <w:r>
        <w:rPr>
          <w:sz w:val="24"/>
        </w:rPr>
        <w:t>114</w:t>
      </w:r>
      <w:r w:rsidRPr="4776D791">
        <w:rPr>
          <w:sz w:val="24"/>
        </w:rPr>
        <w:t xml:space="preserve"> </w:t>
      </w:r>
      <w:r w:rsidRPr="4776D791" w:rsidR="001907AF">
        <w:rPr>
          <w:sz w:val="24"/>
        </w:rPr>
        <w:t xml:space="preserve">Waiver Requests from SMAs). It takes </w:t>
      </w:r>
      <w:r w:rsidRPr="00F416AD" w:rsidR="001907AF">
        <w:rPr>
          <w:sz w:val="24"/>
        </w:rPr>
        <w:t>15</w:t>
      </w:r>
      <w:r w:rsidRPr="4776D791" w:rsidR="001907AF">
        <w:rPr>
          <w:sz w:val="24"/>
        </w:rPr>
        <w:t xml:space="preserve"> minutes per entity to submit the waiver request to CMS.  It also takes 15 minutes to consult with the provider/supplier’s administrator, Chief Executive Officer (CEO) or another top executive. This would be a total of 30 minutes.  The total </w:t>
      </w:r>
      <w:r w:rsidR="00A8726D">
        <w:rPr>
          <w:sz w:val="24"/>
        </w:rPr>
        <w:t xml:space="preserve">annual </w:t>
      </w:r>
      <w:r w:rsidRPr="4776D791" w:rsidR="001907AF">
        <w:rPr>
          <w:sz w:val="24"/>
        </w:rPr>
        <w:t xml:space="preserve">burden hours would be </w:t>
      </w:r>
      <w:r w:rsidRPr="0029487E" w:rsidR="00AE1F98">
        <w:rPr>
          <w:sz w:val="24"/>
        </w:rPr>
        <w:t>741</w:t>
      </w:r>
      <w:r w:rsidRPr="005D72E5" w:rsidR="00D06B45">
        <w:rPr>
          <w:sz w:val="24"/>
        </w:rPr>
        <w:t xml:space="preserve"> </w:t>
      </w:r>
      <w:r w:rsidRPr="005D72E5" w:rsidR="001907AF">
        <w:rPr>
          <w:sz w:val="24"/>
        </w:rPr>
        <w:t xml:space="preserve">(0.5 hour X </w:t>
      </w:r>
      <w:r w:rsidRPr="0029487E" w:rsidR="00AB1E8C">
        <w:rPr>
          <w:sz w:val="24"/>
        </w:rPr>
        <w:t>1,482</w:t>
      </w:r>
      <w:r w:rsidRPr="005D72E5" w:rsidR="00D06B45">
        <w:rPr>
          <w:sz w:val="24"/>
        </w:rPr>
        <w:t xml:space="preserve"> </w:t>
      </w:r>
      <w:r w:rsidRPr="005D72E5" w:rsidR="001907AF">
        <w:rPr>
          <w:sz w:val="24"/>
        </w:rPr>
        <w:t>waivers).</w:t>
      </w:r>
    </w:p>
    <w:p w:rsidR="00E611D5" w:rsidRPr="000328B6" w:rsidP="00C23572" w14:paraId="6F486A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1D5" w:rsidRPr="000328B6" w:rsidP="029C8DE8" w14:paraId="481E8D47" w14:textId="60B0056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The total annual cost would be </w:t>
      </w:r>
      <w:r w:rsidRPr="005D72E5">
        <w:rPr>
          <w:sz w:val="24"/>
        </w:rPr>
        <w:t>$</w:t>
      </w:r>
      <w:r w:rsidRPr="0029487E" w:rsidR="005D72E5">
        <w:rPr>
          <w:sz w:val="24"/>
        </w:rPr>
        <w:t>102,924.90</w:t>
      </w:r>
      <w:r w:rsidRPr="005D72E5">
        <w:rPr>
          <w:sz w:val="24"/>
        </w:rPr>
        <w:t xml:space="preserve"> (</w:t>
      </w:r>
      <w:r w:rsidRPr="0029487E" w:rsidR="00AE1F98">
        <w:rPr>
          <w:sz w:val="24"/>
        </w:rPr>
        <w:t>741</w:t>
      </w:r>
      <w:r w:rsidRPr="005D72E5" w:rsidR="00D06B45">
        <w:rPr>
          <w:sz w:val="24"/>
        </w:rPr>
        <w:t xml:space="preserve"> </w:t>
      </w:r>
      <w:r w:rsidRPr="005D72E5">
        <w:rPr>
          <w:sz w:val="24"/>
        </w:rPr>
        <w:t>hours X $</w:t>
      </w:r>
      <w:r w:rsidRPr="0029487E" w:rsidR="00AE1F98">
        <w:rPr>
          <w:sz w:val="24"/>
        </w:rPr>
        <w:t>138.90</w:t>
      </w:r>
      <w:r w:rsidRPr="005D72E5">
        <w:rPr>
          <w:sz w:val="24"/>
        </w:rPr>
        <w:t>)</w:t>
      </w:r>
    </w:p>
    <w:p w:rsidR="00E611D5" w:rsidRPr="000328B6" w:rsidP="00C23572" w14:paraId="571EAE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66C9" w:rsidRPr="000328B6" w14:paraId="50F0DF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tbl>
      <w:tblPr>
        <w:tblW w:w="7440" w:type="dxa"/>
        <w:tblInd w:w="432" w:type="dxa"/>
        <w:tblLook w:val="04A0"/>
      </w:tblPr>
      <w:tblGrid>
        <w:gridCol w:w="3560"/>
        <w:gridCol w:w="1700"/>
        <w:gridCol w:w="996"/>
        <w:gridCol w:w="1220"/>
      </w:tblGrid>
      <w:tr w14:paraId="12343301" w14:textId="77777777" w:rsidTr="00E174E4">
        <w:tblPrEx>
          <w:tblW w:w="7440" w:type="dxa"/>
          <w:tblInd w:w="432" w:type="dxa"/>
          <w:tblLook w:val="04A0"/>
        </w:tblPrEx>
        <w:trPr>
          <w:trHeight w:val="765"/>
        </w:trPr>
        <w:tc>
          <w:tcPr>
            <w:tcW w:w="3560" w:type="dxa"/>
            <w:tcBorders>
              <w:top w:val="nil"/>
              <w:left w:val="nil"/>
              <w:bottom w:val="nil"/>
              <w:right w:val="nil"/>
            </w:tcBorders>
            <w:noWrap/>
            <w:vAlign w:val="bottom"/>
            <w:hideMark/>
          </w:tcPr>
          <w:p w:rsidR="00F466C9" w:rsidRPr="000328B6" w:rsidP="00F466C9" w14:paraId="43C986DE" w14:textId="77777777">
            <w:pPr>
              <w:widowControl/>
              <w:autoSpaceDE/>
              <w:autoSpaceDN/>
              <w:adjustRightInd/>
              <w:rPr>
                <w:b/>
                <w:bCs/>
                <w:color w:val="000000"/>
                <w:sz w:val="24"/>
              </w:rPr>
            </w:pPr>
            <w:bookmarkStart w:id="2" w:name="_Hlk53212911"/>
            <w:r w:rsidRPr="000328B6">
              <w:rPr>
                <w:b/>
                <w:bCs/>
                <w:color w:val="000000"/>
                <w:sz w:val="24"/>
              </w:rPr>
              <w:t xml:space="preserve">Table 2: </w:t>
            </w:r>
            <w:r w:rsidRPr="000328B6" w:rsidR="00E55440">
              <w:rPr>
                <w:b/>
                <w:bCs/>
                <w:color w:val="000000"/>
                <w:sz w:val="24"/>
              </w:rPr>
              <w:t>Blended Occupations</w:t>
            </w:r>
          </w:p>
        </w:tc>
        <w:tc>
          <w:tcPr>
            <w:tcW w:w="1700" w:type="dxa"/>
            <w:tcBorders>
              <w:top w:val="nil"/>
              <w:left w:val="nil"/>
              <w:bottom w:val="nil"/>
              <w:right w:val="nil"/>
            </w:tcBorders>
            <w:vAlign w:val="bottom"/>
            <w:hideMark/>
          </w:tcPr>
          <w:p w:rsidR="00F466C9" w:rsidRPr="000328B6" w:rsidP="00F466C9" w14:paraId="2547BB1B" w14:textId="77777777">
            <w:pPr>
              <w:widowControl/>
              <w:autoSpaceDE/>
              <w:autoSpaceDN/>
              <w:adjustRightInd/>
              <w:rPr>
                <w:b/>
                <w:bCs/>
                <w:color w:val="000000"/>
                <w:sz w:val="24"/>
              </w:rPr>
            </w:pPr>
            <w:r w:rsidRPr="000328B6">
              <w:rPr>
                <w:b/>
                <w:bCs/>
                <w:color w:val="000000"/>
                <w:sz w:val="24"/>
              </w:rPr>
              <w:t>BLS Occupation Code</w:t>
            </w:r>
          </w:p>
        </w:tc>
        <w:tc>
          <w:tcPr>
            <w:tcW w:w="96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F466C9" w:rsidRPr="000328B6" w:rsidP="00F466C9" w14:paraId="4BE1C716"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F466C9" w:rsidRPr="000328B6" w:rsidP="00F466C9" w14:paraId="2F9F6D63" w14:textId="77777777">
            <w:pPr>
              <w:widowControl/>
              <w:autoSpaceDE/>
              <w:autoSpaceDN/>
              <w:adjustRightInd/>
              <w:jc w:val="center"/>
              <w:rPr>
                <w:b/>
                <w:bCs/>
                <w:color w:val="000000"/>
                <w:sz w:val="24"/>
              </w:rPr>
            </w:pPr>
            <w:r w:rsidRPr="000328B6">
              <w:rPr>
                <w:b/>
                <w:bCs/>
                <w:color w:val="000000"/>
                <w:sz w:val="24"/>
              </w:rPr>
              <w:t>Fringe Benefits</w:t>
            </w:r>
          </w:p>
        </w:tc>
      </w:tr>
      <w:tr w14:paraId="778D69DF" w14:textId="77777777" w:rsidTr="00E174E4">
        <w:tblPrEx>
          <w:tblW w:w="7440" w:type="dxa"/>
          <w:tblInd w:w="432"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vAlign w:val="center"/>
            <w:hideMark/>
          </w:tcPr>
          <w:p w:rsidR="00F466C9" w:rsidRPr="000328B6" w:rsidP="00F466C9" w14:paraId="77955E23"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noWrap/>
            <w:vAlign w:val="bottom"/>
            <w:hideMark/>
          </w:tcPr>
          <w:p w:rsidR="00F466C9" w:rsidRPr="000328B6" w:rsidP="00F466C9" w14:paraId="38496E6F" w14:textId="77777777">
            <w:pPr>
              <w:widowControl/>
              <w:autoSpaceDE/>
              <w:autoSpaceDN/>
              <w:adjustRightInd/>
              <w:rPr>
                <w:color w:val="000000"/>
                <w:sz w:val="24"/>
              </w:rPr>
            </w:pPr>
            <w:r w:rsidRPr="000328B6">
              <w:rPr>
                <w:color w:val="000000"/>
                <w:sz w:val="24"/>
              </w:rPr>
              <w:t>43-1011</w:t>
            </w:r>
          </w:p>
        </w:tc>
        <w:tc>
          <w:tcPr>
            <w:tcW w:w="960"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41E6CC4" w14:textId="5BCC78D1">
            <w:pPr>
              <w:widowControl/>
              <w:autoSpaceDE/>
              <w:autoSpaceDN/>
              <w:adjustRightInd/>
              <w:jc w:val="center"/>
              <w:rPr>
                <w:color w:val="000000"/>
                <w:sz w:val="24"/>
              </w:rPr>
            </w:pPr>
            <w:r w:rsidRPr="000328B6">
              <w:rPr>
                <w:color w:val="000000" w:themeColor="text1"/>
                <w:sz w:val="24"/>
              </w:rPr>
              <w:t>$</w:t>
            </w:r>
            <w:r w:rsidR="00E834CD">
              <w:rPr>
                <w:color w:val="000000" w:themeColor="text1"/>
                <w:sz w:val="24"/>
              </w:rPr>
              <w:t>34.40</w:t>
            </w:r>
            <w:r w:rsidRPr="000328B6">
              <w:rPr>
                <w:color w:val="000000" w:themeColor="text1"/>
                <w:sz w:val="24"/>
              </w:rPr>
              <w:t xml:space="preserve">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F466C9" w:rsidRPr="000328B6" w:rsidP="0C61C16F" w14:paraId="4E3F903E" w14:textId="4E43C470">
            <w:pPr>
              <w:widowControl/>
              <w:autoSpaceDE/>
              <w:autoSpaceDN/>
              <w:adjustRightInd/>
              <w:jc w:val="center"/>
              <w:rPr>
                <w:color w:val="000000"/>
                <w:sz w:val="24"/>
              </w:rPr>
            </w:pPr>
            <w:r w:rsidRPr="000328B6">
              <w:rPr>
                <w:color w:val="000000" w:themeColor="text1"/>
                <w:sz w:val="24"/>
              </w:rPr>
              <w:t>$</w:t>
            </w:r>
            <w:r w:rsidR="00E834CD">
              <w:rPr>
                <w:color w:val="000000" w:themeColor="text1"/>
                <w:sz w:val="24"/>
              </w:rPr>
              <w:t>34.40</w:t>
            </w:r>
            <w:r w:rsidRPr="000328B6">
              <w:rPr>
                <w:color w:val="000000" w:themeColor="text1"/>
                <w:sz w:val="24"/>
              </w:rPr>
              <w:t xml:space="preserve"> </w:t>
            </w:r>
          </w:p>
        </w:tc>
      </w:tr>
      <w:tr w14:paraId="0FACC45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07237791"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noWrap/>
            <w:vAlign w:val="bottom"/>
            <w:hideMark/>
          </w:tcPr>
          <w:p w:rsidR="00F466C9" w:rsidRPr="000328B6" w:rsidP="00F466C9" w14:paraId="76AEAA59" w14:textId="77777777">
            <w:pPr>
              <w:widowControl/>
              <w:autoSpaceDE/>
              <w:autoSpaceDN/>
              <w:adjustRightInd/>
              <w:rPr>
                <w:color w:val="000000"/>
                <w:sz w:val="24"/>
              </w:rPr>
            </w:pPr>
            <w:r w:rsidRPr="000328B6">
              <w:rPr>
                <w:color w:val="000000"/>
                <w:sz w:val="24"/>
              </w:rPr>
              <w:t>29-1216</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25CA0CC6" w14:textId="18D3E6B7">
            <w:pPr>
              <w:widowControl/>
              <w:autoSpaceDE/>
              <w:autoSpaceDN/>
              <w:adjustRightInd/>
              <w:jc w:val="center"/>
              <w:rPr>
                <w:color w:val="000000"/>
                <w:sz w:val="24"/>
              </w:rPr>
            </w:pPr>
            <w:r w:rsidRPr="000328B6">
              <w:rPr>
                <w:color w:val="000000" w:themeColor="text1"/>
                <w:sz w:val="24"/>
              </w:rPr>
              <w:t>$</w:t>
            </w:r>
            <w:r w:rsidR="00AE0262">
              <w:rPr>
                <w:color w:val="000000" w:themeColor="text1"/>
                <w:sz w:val="24"/>
              </w:rPr>
              <w:t>130.92</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5358C5E5" w14:textId="1446AEC9">
            <w:pPr>
              <w:widowControl/>
              <w:autoSpaceDE/>
              <w:autoSpaceDN/>
              <w:adjustRightInd/>
              <w:jc w:val="center"/>
              <w:rPr>
                <w:color w:val="000000"/>
                <w:sz w:val="24"/>
              </w:rPr>
            </w:pPr>
            <w:r w:rsidRPr="000328B6">
              <w:rPr>
                <w:color w:val="000000" w:themeColor="text1"/>
                <w:sz w:val="24"/>
              </w:rPr>
              <w:t>$</w:t>
            </w:r>
            <w:r w:rsidR="00AE0262">
              <w:rPr>
                <w:color w:val="000000" w:themeColor="text1"/>
                <w:sz w:val="24"/>
              </w:rPr>
              <w:t>130.92</w:t>
            </w:r>
            <w:r w:rsidRPr="000328B6">
              <w:rPr>
                <w:color w:val="000000" w:themeColor="text1"/>
                <w:sz w:val="24"/>
              </w:rPr>
              <w:t xml:space="preserve"> </w:t>
            </w:r>
          </w:p>
        </w:tc>
      </w:tr>
      <w:tr w14:paraId="7425CAE5"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71F56238" w14:textId="77777777">
            <w:pPr>
              <w:widowControl/>
              <w:autoSpaceDE/>
              <w:autoSpaceDN/>
              <w:adjustRightInd/>
              <w:rPr>
                <w:sz w:val="24"/>
              </w:rPr>
            </w:pPr>
            <w:r w:rsidRPr="005D72E5">
              <w:rPr>
                <w:sz w:val="24"/>
              </w:rPr>
              <w:t>Hospital Administrator</w:t>
            </w:r>
          </w:p>
        </w:tc>
        <w:tc>
          <w:tcPr>
            <w:tcW w:w="1700" w:type="dxa"/>
            <w:tcBorders>
              <w:top w:val="nil"/>
              <w:left w:val="nil"/>
              <w:bottom w:val="single" w:sz="4" w:space="0" w:color="auto"/>
              <w:right w:val="single" w:sz="4" w:space="0" w:color="auto"/>
            </w:tcBorders>
            <w:noWrap/>
            <w:vAlign w:val="bottom"/>
            <w:hideMark/>
          </w:tcPr>
          <w:p w:rsidR="00F466C9" w:rsidRPr="000328B6" w:rsidP="00F466C9" w14:paraId="6DC60104" w14:textId="36261F38">
            <w:pPr>
              <w:widowControl/>
              <w:autoSpaceDE/>
              <w:autoSpaceDN/>
              <w:adjustRightInd/>
              <w:rPr>
                <w:color w:val="000000"/>
                <w:sz w:val="24"/>
              </w:rPr>
            </w:pPr>
            <w:r w:rsidRPr="000328B6">
              <w:rPr>
                <w:color w:val="000000"/>
                <w:sz w:val="24"/>
              </w:rPr>
              <w:t>11*9111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6021EE43" w14:textId="76AC0040">
            <w:pPr>
              <w:widowControl/>
              <w:autoSpaceDE/>
              <w:autoSpaceDN/>
              <w:adjustRightInd/>
              <w:jc w:val="center"/>
              <w:rPr>
                <w:color w:val="000000"/>
                <w:sz w:val="24"/>
              </w:rPr>
            </w:pPr>
            <w:r w:rsidRPr="000328B6">
              <w:rPr>
                <w:color w:val="000000" w:themeColor="text1"/>
                <w:sz w:val="24"/>
              </w:rPr>
              <w:t>$</w:t>
            </w:r>
            <w:r w:rsidR="006A3F51">
              <w:rPr>
                <w:color w:val="000000" w:themeColor="text1"/>
                <w:sz w:val="24"/>
              </w:rPr>
              <w:t>6</w:t>
            </w:r>
            <w:r w:rsidR="000D3209">
              <w:rPr>
                <w:color w:val="000000" w:themeColor="text1"/>
                <w:sz w:val="24"/>
              </w:rPr>
              <w:t>8.15</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0BE6B44" w14:textId="3F929009">
            <w:pPr>
              <w:widowControl/>
              <w:autoSpaceDE/>
              <w:autoSpaceDN/>
              <w:adjustRightInd/>
              <w:jc w:val="center"/>
              <w:rPr>
                <w:color w:val="000000"/>
                <w:sz w:val="24"/>
              </w:rPr>
            </w:pPr>
            <w:r w:rsidRPr="000328B6">
              <w:rPr>
                <w:color w:val="000000" w:themeColor="text1"/>
                <w:sz w:val="24"/>
              </w:rPr>
              <w:t>$</w:t>
            </w:r>
            <w:r w:rsidR="006A3F51">
              <w:rPr>
                <w:color w:val="000000" w:themeColor="text1"/>
                <w:sz w:val="24"/>
              </w:rPr>
              <w:t>6</w:t>
            </w:r>
            <w:r w:rsidR="000D3209">
              <w:rPr>
                <w:color w:val="000000" w:themeColor="text1"/>
                <w:sz w:val="24"/>
              </w:rPr>
              <w:t>8.15</w:t>
            </w:r>
            <w:r w:rsidRPr="000328B6">
              <w:rPr>
                <w:color w:val="000000" w:themeColor="text1"/>
                <w:sz w:val="24"/>
              </w:rPr>
              <w:t xml:space="preserve"> </w:t>
            </w:r>
          </w:p>
        </w:tc>
      </w:tr>
      <w:tr w14:paraId="1B5CAA3C"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68E5A00F" w14:textId="77777777">
            <w:pPr>
              <w:widowControl/>
              <w:autoSpaceDE/>
              <w:autoSpaceDN/>
              <w:adjustRightInd/>
              <w:rPr>
                <w:sz w:val="24"/>
              </w:rPr>
            </w:pPr>
            <w:r w:rsidRPr="000328B6">
              <w:rPr>
                <w:sz w:val="24"/>
              </w:rPr>
              <w:t>CEO</w:t>
            </w:r>
          </w:p>
        </w:tc>
        <w:tc>
          <w:tcPr>
            <w:tcW w:w="1700" w:type="dxa"/>
            <w:tcBorders>
              <w:top w:val="nil"/>
              <w:left w:val="nil"/>
              <w:bottom w:val="single" w:sz="4" w:space="0" w:color="auto"/>
              <w:right w:val="single" w:sz="4" w:space="0" w:color="auto"/>
            </w:tcBorders>
            <w:noWrap/>
            <w:vAlign w:val="bottom"/>
            <w:hideMark/>
          </w:tcPr>
          <w:p w:rsidR="00F466C9" w:rsidRPr="000328B6" w:rsidP="00F466C9" w14:paraId="4C3A5CCE" w14:textId="77777777">
            <w:pPr>
              <w:widowControl/>
              <w:autoSpaceDE/>
              <w:autoSpaceDN/>
              <w:adjustRightInd/>
              <w:rPr>
                <w:color w:val="000000"/>
                <w:sz w:val="24"/>
              </w:rPr>
            </w:pPr>
            <w:r w:rsidRPr="000328B6">
              <w:rPr>
                <w:color w:val="000000"/>
                <w:sz w:val="24"/>
              </w:rPr>
              <w:t>11-1011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6072040" w14:textId="74AC7B9D">
            <w:pPr>
              <w:widowControl/>
              <w:autoSpaceDE/>
              <w:autoSpaceDN/>
              <w:adjustRightInd/>
              <w:jc w:val="center"/>
              <w:rPr>
                <w:color w:val="000000"/>
                <w:sz w:val="24"/>
              </w:rPr>
            </w:pPr>
            <w:r w:rsidRPr="000328B6">
              <w:rPr>
                <w:color w:val="000000" w:themeColor="text1"/>
                <w:sz w:val="24"/>
              </w:rPr>
              <w:t>$</w:t>
            </w:r>
            <w:r w:rsidR="00102A73">
              <w:rPr>
                <w:color w:val="000000" w:themeColor="text1"/>
                <w:sz w:val="24"/>
              </w:rPr>
              <w:t>126.41</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0A6D3A27" w14:textId="180F27C7">
            <w:pPr>
              <w:widowControl/>
              <w:autoSpaceDE/>
              <w:autoSpaceDN/>
              <w:adjustRightInd/>
              <w:jc w:val="center"/>
              <w:rPr>
                <w:color w:val="000000"/>
                <w:sz w:val="24"/>
              </w:rPr>
            </w:pPr>
            <w:r w:rsidRPr="000328B6">
              <w:rPr>
                <w:color w:val="000000" w:themeColor="text1"/>
                <w:sz w:val="24"/>
              </w:rPr>
              <w:t>$</w:t>
            </w:r>
            <w:r w:rsidR="00102A73">
              <w:rPr>
                <w:color w:val="000000" w:themeColor="text1"/>
                <w:sz w:val="24"/>
              </w:rPr>
              <w:t>126.41</w:t>
            </w:r>
            <w:r w:rsidRPr="000328B6">
              <w:rPr>
                <w:color w:val="000000" w:themeColor="text1"/>
                <w:sz w:val="24"/>
              </w:rPr>
              <w:t xml:space="preserve"> </w:t>
            </w:r>
          </w:p>
        </w:tc>
      </w:tr>
      <w:tr w14:paraId="4420FB0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4CFB7EE3" w14:textId="77777777">
            <w:pPr>
              <w:widowControl/>
              <w:autoSpaceDE/>
              <w:autoSpaceDN/>
              <w:adjustRightInd/>
              <w:rPr>
                <w:sz w:val="24"/>
              </w:rPr>
            </w:pPr>
            <w:r w:rsidRPr="000328B6">
              <w:rPr>
                <w:sz w:val="24"/>
              </w:rPr>
              <w:t>Rehabilitation Therapist</w:t>
            </w:r>
          </w:p>
        </w:tc>
        <w:tc>
          <w:tcPr>
            <w:tcW w:w="1700" w:type="dxa"/>
            <w:tcBorders>
              <w:top w:val="nil"/>
              <w:left w:val="nil"/>
              <w:bottom w:val="single" w:sz="4" w:space="0" w:color="auto"/>
              <w:right w:val="single" w:sz="4" w:space="0" w:color="auto"/>
            </w:tcBorders>
            <w:noWrap/>
            <w:vAlign w:val="bottom"/>
            <w:hideMark/>
          </w:tcPr>
          <w:p w:rsidR="00F466C9" w:rsidRPr="000328B6" w:rsidP="00F466C9" w14:paraId="673FA20E" w14:textId="77777777">
            <w:pPr>
              <w:widowControl/>
              <w:autoSpaceDE/>
              <w:autoSpaceDN/>
              <w:adjustRightInd/>
              <w:rPr>
                <w:color w:val="000000"/>
                <w:sz w:val="24"/>
              </w:rPr>
            </w:pPr>
            <w:r w:rsidRPr="000328B6">
              <w:rPr>
                <w:color w:val="000000"/>
                <w:sz w:val="24"/>
              </w:rPr>
              <w:t>21-1015</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F38D9E4" w14:textId="1875CCF2">
            <w:pPr>
              <w:widowControl/>
              <w:autoSpaceDE/>
              <w:autoSpaceDN/>
              <w:adjustRightInd/>
              <w:jc w:val="center"/>
              <w:rPr>
                <w:color w:val="000000"/>
                <w:sz w:val="24"/>
              </w:rPr>
            </w:pPr>
            <w:r w:rsidRPr="000328B6">
              <w:rPr>
                <w:color w:val="000000" w:themeColor="text1"/>
                <w:sz w:val="24"/>
              </w:rPr>
              <w:t>$</w:t>
            </w:r>
            <w:r w:rsidR="00160C03">
              <w:rPr>
                <w:color w:val="000000" w:themeColor="text1"/>
                <w:sz w:val="24"/>
              </w:rPr>
              <w:t>24.64</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30BBB66" w14:textId="7A44169C">
            <w:pPr>
              <w:widowControl/>
              <w:autoSpaceDE/>
              <w:autoSpaceDN/>
              <w:adjustRightInd/>
              <w:jc w:val="center"/>
              <w:rPr>
                <w:color w:val="000000"/>
                <w:sz w:val="24"/>
              </w:rPr>
            </w:pPr>
            <w:r w:rsidRPr="000328B6">
              <w:rPr>
                <w:color w:val="000000" w:themeColor="text1"/>
                <w:sz w:val="24"/>
              </w:rPr>
              <w:t>$</w:t>
            </w:r>
            <w:r w:rsidR="00160C03">
              <w:rPr>
                <w:color w:val="000000" w:themeColor="text1"/>
                <w:sz w:val="24"/>
              </w:rPr>
              <w:t>24.64</w:t>
            </w:r>
            <w:r w:rsidRPr="000328B6">
              <w:rPr>
                <w:color w:val="000000" w:themeColor="text1"/>
                <w:sz w:val="24"/>
              </w:rPr>
              <w:t xml:space="preserve"> </w:t>
            </w:r>
          </w:p>
        </w:tc>
      </w:tr>
      <w:tr w14:paraId="45EDFB8B"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404B974F"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noWrap/>
            <w:vAlign w:val="bottom"/>
            <w:hideMark/>
          </w:tcPr>
          <w:p w:rsidR="00F466C9" w:rsidRPr="000328B6" w:rsidP="00F466C9" w14:paraId="2EF88206" w14:textId="77777777">
            <w:pPr>
              <w:widowControl/>
              <w:autoSpaceDE/>
              <w:autoSpaceDN/>
              <w:adjustRightInd/>
              <w:rPr>
                <w:color w:val="000000"/>
                <w:sz w:val="24"/>
              </w:rPr>
            </w:pPr>
            <w:r w:rsidRPr="000328B6">
              <w:rPr>
                <w:color w:val="000000"/>
                <w:sz w:val="24"/>
              </w:rPr>
              <w:t>43-1011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EA0EF3B" w14:textId="21244F71">
            <w:pPr>
              <w:widowControl/>
              <w:autoSpaceDE/>
              <w:autoSpaceDN/>
              <w:adjustRightInd/>
              <w:jc w:val="center"/>
              <w:rPr>
                <w:color w:val="000000"/>
                <w:sz w:val="24"/>
              </w:rPr>
            </w:pPr>
            <w:r w:rsidRPr="000328B6">
              <w:rPr>
                <w:color w:val="000000" w:themeColor="text1"/>
                <w:sz w:val="24"/>
              </w:rPr>
              <w:t>$</w:t>
            </w:r>
            <w:r w:rsidR="00657DBE">
              <w:rPr>
                <w:color w:val="000000" w:themeColor="text1"/>
                <w:sz w:val="24"/>
              </w:rPr>
              <w:t>34.40</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4F06761C" w14:textId="090863C4">
            <w:pPr>
              <w:widowControl/>
              <w:autoSpaceDE/>
              <w:autoSpaceDN/>
              <w:adjustRightInd/>
              <w:jc w:val="center"/>
              <w:rPr>
                <w:color w:val="000000"/>
                <w:sz w:val="24"/>
              </w:rPr>
            </w:pPr>
            <w:r w:rsidRPr="000328B6">
              <w:rPr>
                <w:color w:val="000000" w:themeColor="text1"/>
                <w:sz w:val="24"/>
              </w:rPr>
              <w:t>$</w:t>
            </w:r>
            <w:r w:rsidR="00657DBE">
              <w:rPr>
                <w:color w:val="000000" w:themeColor="text1"/>
                <w:sz w:val="24"/>
              </w:rPr>
              <w:t>34.40</w:t>
            </w:r>
            <w:r w:rsidRPr="000328B6">
              <w:rPr>
                <w:color w:val="000000" w:themeColor="text1"/>
                <w:sz w:val="24"/>
              </w:rPr>
              <w:t xml:space="preserve"> </w:t>
            </w:r>
          </w:p>
        </w:tc>
      </w:tr>
      <w:tr w14:paraId="50FAF5E3"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55D7E880"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auto"/>
            </w:tcBorders>
            <w:vAlign w:val="center"/>
            <w:hideMark/>
          </w:tcPr>
          <w:p w:rsidR="00F466C9" w:rsidRPr="000328B6" w:rsidP="00F466C9" w14:paraId="56FF4AA5" w14:textId="77777777">
            <w:pPr>
              <w:widowControl/>
              <w:autoSpaceDE/>
              <w:autoSpaceDN/>
              <w:adjustRightInd/>
              <w:rPr>
                <w:sz w:val="24"/>
              </w:rPr>
            </w:pPr>
            <w:r w:rsidRPr="000328B6">
              <w:rPr>
                <w:sz w:val="24"/>
              </w:rPr>
              <w:t>11-1000</w:t>
            </w:r>
          </w:p>
        </w:tc>
        <w:tc>
          <w:tcPr>
            <w:tcW w:w="960" w:type="dxa"/>
            <w:tcBorders>
              <w:top w:val="nil"/>
              <w:left w:val="nil"/>
              <w:bottom w:val="nil"/>
              <w:right w:val="single" w:sz="4" w:space="0" w:color="000000" w:themeColor="text1"/>
            </w:tcBorders>
            <w:shd w:val="clear" w:color="auto" w:fill="FFFFFF" w:themeFill="background1"/>
            <w:vAlign w:val="center"/>
            <w:hideMark/>
          </w:tcPr>
          <w:p w:rsidR="00F466C9" w:rsidRPr="000328B6" w:rsidP="4249649F" w14:paraId="1ADF751C" w14:textId="21E81525">
            <w:pPr>
              <w:widowControl/>
              <w:autoSpaceDE/>
              <w:autoSpaceDN/>
              <w:adjustRightInd/>
              <w:jc w:val="center"/>
              <w:rPr>
                <w:color w:val="000000"/>
                <w:sz w:val="24"/>
              </w:rPr>
            </w:pPr>
            <w:r w:rsidRPr="000328B6">
              <w:rPr>
                <w:color w:val="000000" w:themeColor="text1"/>
                <w:sz w:val="24"/>
              </w:rPr>
              <w:t>$</w:t>
            </w:r>
            <w:r w:rsidR="00B656C6">
              <w:rPr>
                <w:color w:val="000000" w:themeColor="text1"/>
                <w:sz w:val="24"/>
              </w:rPr>
              <w:t>67.24</w:t>
            </w:r>
            <w:r w:rsidRPr="000328B6">
              <w:rPr>
                <w:color w:val="000000" w:themeColor="text1"/>
                <w:sz w:val="24"/>
              </w:rPr>
              <w:t xml:space="preserve"> </w:t>
            </w:r>
          </w:p>
        </w:tc>
        <w:tc>
          <w:tcPr>
            <w:tcW w:w="1220" w:type="dxa"/>
            <w:tcBorders>
              <w:top w:val="nil"/>
              <w:left w:val="nil"/>
              <w:bottom w:val="nil"/>
              <w:right w:val="single" w:sz="4" w:space="0" w:color="auto"/>
            </w:tcBorders>
            <w:shd w:val="clear" w:color="auto" w:fill="FFFFFF" w:themeFill="background1"/>
            <w:vAlign w:val="center"/>
            <w:hideMark/>
          </w:tcPr>
          <w:p w:rsidR="00F466C9" w:rsidRPr="000328B6" w:rsidP="4249649F" w14:paraId="099C6C7F" w14:textId="5F7FF618">
            <w:pPr>
              <w:widowControl/>
              <w:autoSpaceDE/>
              <w:autoSpaceDN/>
              <w:adjustRightInd/>
              <w:jc w:val="center"/>
              <w:rPr>
                <w:color w:val="000000"/>
                <w:sz w:val="24"/>
              </w:rPr>
            </w:pPr>
            <w:r w:rsidRPr="000328B6">
              <w:rPr>
                <w:color w:val="000000" w:themeColor="text1"/>
                <w:sz w:val="24"/>
              </w:rPr>
              <w:t>$</w:t>
            </w:r>
            <w:r w:rsidR="00B656C6">
              <w:rPr>
                <w:color w:val="000000" w:themeColor="text1"/>
                <w:sz w:val="24"/>
              </w:rPr>
              <w:t>67.24</w:t>
            </w:r>
            <w:r w:rsidRPr="000328B6">
              <w:rPr>
                <w:color w:val="000000" w:themeColor="text1"/>
                <w:sz w:val="24"/>
              </w:rPr>
              <w:t xml:space="preserve"> </w:t>
            </w:r>
          </w:p>
        </w:tc>
      </w:tr>
      <w:tr w14:paraId="4C107A81"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46B7F6AE"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vAlign w:val="center"/>
            <w:hideMark/>
          </w:tcPr>
          <w:p w:rsidR="00F466C9" w:rsidRPr="000328B6" w:rsidP="00F466C9" w14:paraId="1A7F5CA9" w14:textId="77777777">
            <w:pPr>
              <w:widowControl/>
              <w:autoSpaceDE/>
              <w:autoSpaceDN/>
              <w:adjustRightInd/>
              <w:rPr>
                <w:sz w:val="24"/>
              </w:rPr>
            </w:pPr>
            <w:r w:rsidRPr="000328B6">
              <w:rPr>
                <w:sz w:val="24"/>
              </w:rPr>
              <w:t> </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23128501" w14:textId="4B10E5C3">
            <w:pPr>
              <w:widowControl/>
              <w:autoSpaceDE/>
              <w:autoSpaceDN/>
              <w:adjustRightInd/>
              <w:jc w:val="center"/>
              <w:rPr>
                <w:color w:val="000000"/>
                <w:sz w:val="24"/>
              </w:rPr>
            </w:pPr>
            <w:r w:rsidRPr="000328B6">
              <w:rPr>
                <w:color w:val="000000" w:themeColor="text1"/>
                <w:sz w:val="24"/>
              </w:rPr>
              <w:t>$</w:t>
            </w:r>
            <w:r w:rsidR="00681C14">
              <w:rPr>
                <w:color w:val="000000" w:themeColor="text1"/>
                <w:sz w:val="24"/>
              </w:rPr>
              <w:t>486.16</w:t>
            </w:r>
            <w:r w:rsidRPr="000328B6">
              <w:rPr>
                <w:color w:val="000000" w:themeColor="text1"/>
                <w:sz w:val="24"/>
              </w:rPr>
              <w:t xml:space="preserve">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18854764" w14:textId="624B4B05">
            <w:pPr>
              <w:widowControl/>
              <w:autoSpaceDE/>
              <w:autoSpaceDN/>
              <w:adjustRightInd/>
              <w:jc w:val="center"/>
              <w:rPr>
                <w:color w:val="000000"/>
                <w:sz w:val="24"/>
              </w:rPr>
            </w:pPr>
            <w:r w:rsidRPr="000328B6">
              <w:rPr>
                <w:color w:val="000000" w:themeColor="text1"/>
                <w:sz w:val="24"/>
              </w:rPr>
              <w:t>$</w:t>
            </w:r>
            <w:r w:rsidR="000B488A">
              <w:rPr>
                <w:color w:val="000000" w:themeColor="text1"/>
                <w:sz w:val="24"/>
              </w:rPr>
              <w:t>486</w:t>
            </w:r>
            <w:r w:rsidR="00271A4F">
              <w:rPr>
                <w:color w:val="000000" w:themeColor="text1"/>
                <w:sz w:val="24"/>
              </w:rPr>
              <w:t>.16</w:t>
            </w:r>
            <w:r w:rsidRPr="000328B6">
              <w:rPr>
                <w:color w:val="000000" w:themeColor="text1"/>
                <w:sz w:val="24"/>
              </w:rPr>
              <w:t xml:space="preserve"> </w:t>
            </w:r>
          </w:p>
        </w:tc>
      </w:tr>
      <w:tr w14:paraId="0737E218"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F466C9" w:rsidRPr="000328B6" w:rsidP="00F466C9" w14:paraId="2F388307"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vAlign w:val="center"/>
            <w:hideMark/>
          </w:tcPr>
          <w:p w:rsidR="00F466C9" w:rsidRPr="000328B6" w:rsidP="00F466C9" w14:paraId="2607670E" w14:textId="77777777">
            <w:pPr>
              <w:widowControl/>
              <w:autoSpaceDE/>
              <w:autoSpaceDN/>
              <w:adjustRightInd/>
              <w:rPr>
                <w:b/>
                <w:bCs/>
                <w:sz w:val="24"/>
              </w:rPr>
            </w:pPr>
            <w:r w:rsidRPr="000328B6">
              <w:rPr>
                <w:b/>
                <w:bCs/>
                <w:sz w:val="24"/>
              </w:rPr>
              <w:t> </w:t>
            </w:r>
          </w:p>
        </w:tc>
        <w:tc>
          <w:tcPr>
            <w:tcW w:w="960" w:type="dxa"/>
            <w:tcBorders>
              <w:top w:val="nil"/>
              <w:left w:val="nil"/>
              <w:bottom w:val="single" w:sz="4" w:space="0" w:color="auto"/>
              <w:right w:val="single" w:sz="4" w:space="0" w:color="auto"/>
            </w:tcBorders>
            <w:noWrap/>
            <w:vAlign w:val="bottom"/>
            <w:hideMark/>
          </w:tcPr>
          <w:p w:rsidR="00F466C9" w:rsidRPr="000328B6" w:rsidP="4249649F" w14:paraId="050950D1" w14:textId="7D89EF35">
            <w:pPr>
              <w:widowControl/>
              <w:autoSpaceDE/>
              <w:autoSpaceDN/>
              <w:adjustRightInd/>
              <w:jc w:val="center"/>
              <w:rPr>
                <w:b/>
                <w:bCs/>
                <w:color w:val="000000"/>
                <w:sz w:val="24"/>
              </w:rPr>
            </w:pPr>
            <w:r w:rsidRPr="000328B6">
              <w:rPr>
                <w:b/>
                <w:bCs/>
                <w:color w:val="000000" w:themeColor="text1"/>
                <w:sz w:val="24"/>
              </w:rPr>
              <w:t>$</w:t>
            </w:r>
            <w:r w:rsidR="000B488A">
              <w:rPr>
                <w:b/>
                <w:bCs/>
                <w:color w:val="000000" w:themeColor="text1"/>
                <w:sz w:val="24"/>
              </w:rPr>
              <w:t>69.45</w:t>
            </w:r>
            <w:r w:rsidRPr="000328B6">
              <w:rPr>
                <w:b/>
                <w:bCs/>
                <w:color w:val="000000" w:themeColor="text1"/>
                <w:sz w:val="24"/>
              </w:rPr>
              <w:t xml:space="preserve"> </w:t>
            </w:r>
          </w:p>
        </w:tc>
        <w:tc>
          <w:tcPr>
            <w:tcW w:w="1220" w:type="dxa"/>
            <w:tcBorders>
              <w:top w:val="nil"/>
              <w:left w:val="nil"/>
              <w:bottom w:val="single" w:sz="4" w:space="0" w:color="auto"/>
              <w:right w:val="single" w:sz="4" w:space="0" w:color="auto"/>
            </w:tcBorders>
            <w:noWrap/>
            <w:vAlign w:val="bottom"/>
            <w:hideMark/>
          </w:tcPr>
          <w:p w:rsidR="00F466C9" w:rsidRPr="000328B6" w:rsidP="4249649F" w14:paraId="516E1567" w14:textId="2FAAAFC7">
            <w:pPr>
              <w:widowControl/>
              <w:autoSpaceDE/>
              <w:autoSpaceDN/>
              <w:adjustRightInd/>
              <w:jc w:val="center"/>
              <w:rPr>
                <w:b/>
                <w:bCs/>
                <w:color w:val="000000"/>
                <w:sz w:val="24"/>
              </w:rPr>
            </w:pPr>
            <w:r w:rsidRPr="000328B6">
              <w:rPr>
                <w:b/>
                <w:bCs/>
                <w:color w:val="000000" w:themeColor="text1"/>
                <w:sz w:val="24"/>
              </w:rPr>
              <w:t>$</w:t>
            </w:r>
            <w:r w:rsidR="00271A4F">
              <w:rPr>
                <w:b/>
                <w:bCs/>
                <w:color w:val="000000" w:themeColor="text1"/>
                <w:sz w:val="24"/>
              </w:rPr>
              <w:t>69.45</w:t>
            </w:r>
            <w:r w:rsidRPr="000328B6">
              <w:rPr>
                <w:b/>
                <w:bCs/>
                <w:color w:val="000000" w:themeColor="text1"/>
                <w:sz w:val="24"/>
              </w:rPr>
              <w:t xml:space="preserve"> </w:t>
            </w:r>
          </w:p>
        </w:tc>
      </w:tr>
      <w:bookmarkEnd w:id="2"/>
      <w:tr w14:paraId="4379CF74" w14:textId="77777777" w:rsidTr="00E174E4">
        <w:tblPrEx>
          <w:tblW w:w="7440" w:type="dxa"/>
          <w:tblInd w:w="432" w:type="dxa"/>
          <w:tblLook w:val="04A0"/>
        </w:tblPrEx>
        <w:trPr>
          <w:trHeight w:val="300"/>
        </w:trPr>
        <w:tc>
          <w:tcPr>
            <w:tcW w:w="3560" w:type="dxa"/>
            <w:tcBorders>
              <w:top w:val="nil"/>
              <w:left w:val="nil"/>
              <w:bottom w:val="nil"/>
              <w:right w:val="nil"/>
            </w:tcBorders>
            <w:noWrap/>
            <w:vAlign w:val="bottom"/>
            <w:hideMark/>
          </w:tcPr>
          <w:p w:rsidR="00F466C9" w:rsidRPr="000328B6" w:rsidP="00F466C9" w14:paraId="05E965C0" w14:textId="77777777">
            <w:pPr>
              <w:widowControl/>
              <w:autoSpaceDE/>
              <w:autoSpaceDN/>
              <w:adjustRightInd/>
              <w:jc w:val="center"/>
              <w:rPr>
                <w:rFonts w:ascii="Calibri" w:hAnsi="Calibri" w:cs="Calibri"/>
                <w:b/>
                <w:bCs/>
                <w:color w:val="000000"/>
                <w:sz w:val="22"/>
                <w:szCs w:val="22"/>
              </w:rPr>
            </w:pPr>
          </w:p>
        </w:tc>
        <w:tc>
          <w:tcPr>
            <w:tcW w:w="1700" w:type="dxa"/>
            <w:tcBorders>
              <w:top w:val="nil"/>
              <w:left w:val="nil"/>
              <w:bottom w:val="nil"/>
              <w:right w:val="nil"/>
            </w:tcBorders>
            <w:noWrap/>
            <w:vAlign w:val="bottom"/>
            <w:hideMark/>
          </w:tcPr>
          <w:p w:rsidR="00F466C9" w:rsidRPr="000328B6" w:rsidP="00F466C9" w14:paraId="65F11E9C" w14:textId="77777777">
            <w:pPr>
              <w:widowControl/>
              <w:autoSpaceDE/>
              <w:autoSpaceDN/>
              <w:adjustRightInd/>
              <w:rPr>
                <w:szCs w:val="20"/>
              </w:rPr>
            </w:pPr>
          </w:p>
        </w:tc>
        <w:tc>
          <w:tcPr>
            <w:tcW w:w="960" w:type="dxa"/>
            <w:tcBorders>
              <w:top w:val="nil"/>
              <w:left w:val="nil"/>
              <w:bottom w:val="nil"/>
              <w:right w:val="nil"/>
            </w:tcBorders>
            <w:noWrap/>
            <w:vAlign w:val="bottom"/>
            <w:hideMark/>
          </w:tcPr>
          <w:p w:rsidR="00F466C9" w:rsidRPr="000328B6" w:rsidP="00F466C9" w14:paraId="6E3038C9" w14:textId="77777777">
            <w:pPr>
              <w:widowControl/>
              <w:autoSpaceDE/>
              <w:autoSpaceDN/>
              <w:adjustRightInd/>
              <w:rPr>
                <w:szCs w:val="20"/>
              </w:rPr>
            </w:pPr>
          </w:p>
        </w:tc>
        <w:tc>
          <w:tcPr>
            <w:tcW w:w="1220" w:type="dxa"/>
            <w:tcBorders>
              <w:top w:val="nil"/>
              <w:left w:val="nil"/>
              <w:bottom w:val="nil"/>
              <w:right w:val="nil"/>
            </w:tcBorders>
            <w:noWrap/>
            <w:vAlign w:val="bottom"/>
            <w:hideMark/>
          </w:tcPr>
          <w:p w:rsidR="00F466C9" w:rsidRPr="000328B6" w:rsidP="00F466C9" w14:paraId="4AFF695C" w14:textId="77777777">
            <w:pPr>
              <w:widowControl/>
              <w:autoSpaceDE/>
              <w:autoSpaceDN/>
              <w:adjustRightInd/>
              <w:rPr>
                <w:szCs w:val="20"/>
              </w:rPr>
            </w:pPr>
          </w:p>
        </w:tc>
      </w:tr>
      <w:tr w14:paraId="248485D3" w14:textId="77777777" w:rsidTr="00E174E4">
        <w:tblPrEx>
          <w:tblW w:w="7440" w:type="dxa"/>
          <w:tblInd w:w="432" w:type="dxa"/>
          <w:tblLook w:val="04A0"/>
        </w:tblPrEx>
        <w:trPr>
          <w:trHeight w:val="300"/>
        </w:trPr>
        <w:tc>
          <w:tcPr>
            <w:tcW w:w="3560" w:type="dxa"/>
            <w:tcBorders>
              <w:top w:val="nil"/>
              <w:left w:val="nil"/>
              <w:bottom w:val="nil"/>
              <w:right w:val="nil"/>
            </w:tcBorders>
            <w:noWrap/>
            <w:vAlign w:val="bottom"/>
            <w:hideMark/>
          </w:tcPr>
          <w:p w:rsidR="00F466C9" w:rsidRPr="00271A4F" w:rsidP="4249649F" w14:paraId="33187799" w14:textId="11031EC3">
            <w:pPr>
              <w:widowControl/>
              <w:autoSpaceDE/>
              <w:autoSpaceDN/>
              <w:adjustRightInd/>
              <w:rPr>
                <w:color w:val="000000"/>
                <w:sz w:val="24"/>
              </w:rPr>
            </w:pPr>
            <w:bookmarkStart w:id="3" w:name="_Hlk53483297"/>
            <w:r w:rsidRPr="00271A4F">
              <w:rPr>
                <w:color w:val="000000" w:themeColor="text1"/>
                <w:sz w:val="24"/>
              </w:rPr>
              <w:t>$</w:t>
            </w:r>
            <w:r w:rsidR="00271A4F">
              <w:rPr>
                <w:color w:val="000000" w:themeColor="text1"/>
                <w:sz w:val="24"/>
              </w:rPr>
              <w:t>69.45</w:t>
            </w:r>
            <w:r w:rsidRPr="00271A4F">
              <w:rPr>
                <w:color w:val="000000" w:themeColor="text1"/>
                <w:sz w:val="24"/>
              </w:rPr>
              <w:t xml:space="preserve"> </w:t>
            </w:r>
          </w:p>
        </w:tc>
        <w:tc>
          <w:tcPr>
            <w:tcW w:w="2660" w:type="dxa"/>
            <w:gridSpan w:val="2"/>
            <w:tcBorders>
              <w:top w:val="nil"/>
              <w:left w:val="nil"/>
              <w:bottom w:val="nil"/>
              <w:right w:val="nil"/>
            </w:tcBorders>
            <w:noWrap/>
            <w:vAlign w:val="bottom"/>
            <w:hideMark/>
          </w:tcPr>
          <w:p w:rsidR="00F466C9" w:rsidRPr="000328B6" w:rsidP="00F466C9" w14:paraId="4CB0F5FC" w14:textId="77777777">
            <w:pPr>
              <w:widowControl/>
              <w:autoSpaceDE/>
              <w:autoSpaceDN/>
              <w:adjustRightInd/>
              <w:rPr>
                <w:color w:val="000000"/>
                <w:sz w:val="24"/>
              </w:rPr>
            </w:pPr>
            <w:r w:rsidRPr="000328B6">
              <w:rPr>
                <w:color w:val="000000"/>
                <w:sz w:val="24"/>
              </w:rPr>
              <w:t>average hourly wage</w:t>
            </w:r>
          </w:p>
        </w:tc>
        <w:tc>
          <w:tcPr>
            <w:tcW w:w="1220" w:type="dxa"/>
            <w:tcBorders>
              <w:top w:val="nil"/>
              <w:left w:val="nil"/>
              <w:bottom w:val="nil"/>
              <w:right w:val="nil"/>
            </w:tcBorders>
            <w:noWrap/>
            <w:vAlign w:val="bottom"/>
            <w:hideMark/>
          </w:tcPr>
          <w:p w:rsidR="00F466C9" w:rsidRPr="000328B6" w:rsidP="00F466C9" w14:paraId="3BD99060" w14:textId="77777777">
            <w:pPr>
              <w:widowControl/>
              <w:autoSpaceDE/>
              <w:autoSpaceDN/>
              <w:adjustRightInd/>
              <w:rPr>
                <w:color w:val="000000"/>
                <w:sz w:val="24"/>
              </w:rPr>
            </w:pPr>
          </w:p>
        </w:tc>
      </w:tr>
      <w:tr w14:paraId="7A1B2084" w14:textId="77777777" w:rsidTr="00E174E4">
        <w:tblPrEx>
          <w:tblW w:w="7440" w:type="dxa"/>
          <w:tblInd w:w="432" w:type="dxa"/>
          <w:tblLook w:val="04A0"/>
        </w:tblPrEx>
        <w:trPr>
          <w:trHeight w:val="300"/>
        </w:trPr>
        <w:tc>
          <w:tcPr>
            <w:tcW w:w="3560" w:type="dxa"/>
            <w:tcBorders>
              <w:top w:val="nil"/>
              <w:left w:val="nil"/>
              <w:bottom w:val="nil"/>
              <w:right w:val="nil"/>
            </w:tcBorders>
            <w:noWrap/>
            <w:vAlign w:val="bottom"/>
            <w:hideMark/>
          </w:tcPr>
          <w:p w:rsidR="00F466C9" w:rsidRPr="00271A4F" w:rsidP="4249649F" w14:paraId="0B0EA60E" w14:textId="3FBFC760">
            <w:pPr>
              <w:widowControl/>
              <w:autoSpaceDE/>
              <w:autoSpaceDN/>
              <w:adjustRightInd/>
              <w:rPr>
                <w:color w:val="000000"/>
                <w:sz w:val="24"/>
              </w:rPr>
            </w:pPr>
            <w:r w:rsidRPr="00271A4F">
              <w:rPr>
                <w:color w:val="000000" w:themeColor="text1"/>
                <w:sz w:val="24"/>
              </w:rPr>
              <w:t>$</w:t>
            </w:r>
            <w:r w:rsidR="00271A4F">
              <w:rPr>
                <w:color w:val="000000" w:themeColor="text1"/>
                <w:sz w:val="24"/>
              </w:rPr>
              <w:t>69.45</w:t>
            </w:r>
            <w:r w:rsidRPr="00271A4F">
              <w:rPr>
                <w:color w:val="000000" w:themeColor="text1"/>
                <w:sz w:val="24"/>
              </w:rPr>
              <w:t xml:space="preserve"> +</w:t>
            </w:r>
          </w:p>
        </w:tc>
        <w:tc>
          <w:tcPr>
            <w:tcW w:w="3880" w:type="dxa"/>
            <w:gridSpan w:val="3"/>
            <w:tcBorders>
              <w:top w:val="nil"/>
              <w:left w:val="nil"/>
              <w:bottom w:val="nil"/>
              <w:right w:val="nil"/>
            </w:tcBorders>
            <w:noWrap/>
            <w:vAlign w:val="bottom"/>
            <w:hideMark/>
          </w:tcPr>
          <w:p w:rsidR="00F466C9" w:rsidRPr="000328B6" w:rsidP="00F466C9" w14:paraId="4C05159E" w14:textId="77777777">
            <w:pPr>
              <w:widowControl/>
              <w:autoSpaceDE/>
              <w:autoSpaceDN/>
              <w:adjustRightInd/>
              <w:rPr>
                <w:color w:val="000000"/>
                <w:sz w:val="24"/>
              </w:rPr>
            </w:pPr>
            <w:r w:rsidRPr="000328B6">
              <w:rPr>
                <w:color w:val="000000"/>
                <w:sz w:val="24"/>
              </w:rPr>
              <w:t>increased by a factor of 100 percent</w:t>
            </w:r>
          </w:p>
        </w:tc>
      </w:tr>
      <w:tr w14:paraId="22BA47DB" w14:textId="77777777" w:rsidTr="00E174E4">
        <w:tblPrEx>
          <w:tblW w:w="7440" w:type="dxa"/>
          <w:tblInd w:w="432" w:type="dxa"/>
          <w:tblLook w:val="04A0"/>
        </w:tblPrEx>
        <w:trPr>
          <w:trHeight w:val="300"/>
        </w:trPr>
        <w:tc>
          <w:tcPr>
            <w:tcW w:w="3560" w:type="dxa"/>
            <w:tcBorders>
              <w:top w:val="nil"/>
              <w:left w:val="nil"/>
              <w:bottom w:val="nil"/>
              <w:right w:val="nil"/>
            </w:tcBorders>
            <w:noWrap/>
            <w:vAlign w:val="bottom"/>
            <w:hideMark/>
          </w:tcPr>
          <w:p w:rsidR="00F466C9" w:rsidRPr="00271A4F" w:rsidP="4249649F" w14:paraId="7DBB6B26" w14:textId="3B5091FB">
            <w:pPr>
              <w:widowControl/>
              <w:autoSpaceDE/>
              <w:autoSpaceDN/>
              <w:adjustRightInd/>
              <w:rPr>
                <w:b/>
                <w:bCs/>
                <w:color w:val="000000"/>
                <w:sz w:val="24"/>
              </w:rPr>
            </w:pPr>
            <w:r w:rsidRPr="00271A4F">
              <w:rPr>
                <w:b/>
                <w:bCs/>
                <w:color w:val="000000" w:themeColor="text1"/>
                <w:sz w:val="24"/>
              </w:rPr>
              <w:t>= $</w:t>
            </w:r>
            <w:r w:rsidR="0039679A">
              <w:rPr>
                <w:b/>
                <w:bCs/>
                <w:color w:val="000000" w:themeColor="text1"/>
                <w:sz w:val="24"/>
              </w:rPr>
              <w:t>138.90</w:t>
            </w:r>
            <w:r w:rsidRPr="00271A4F">
              <w:rPr>
                <w:b/>
                <w:bCs/>
                <w:color w:val="000000" w:themeColor="text1"/>
                <w:sz w:val="24"/>
              </w:rPr>
              <w:t xml:space="preserve"> </w:t>
            </w:r>
          </w:p>
        </w:tc>
        <w:tc>
          <w:tcPr>
            <w:tcW w:w="3880" w:type="dxa"/>
            <w:gridSpan w:val="3"/>
            <w:tcBorders>
              <w:top w:val="nil"/>
              <w:left w:val="nil"/>
              <w:bottom w:val="nil"/>
              <w:right w:val="nil"/>
            </w:tcBorders>
            <w:noWrap/>
            <w:vAlign w:val="bottom"/>
            <w:hideMark/>
          </w:tcPr>
          <w:p w:rsidR="00F466C9" w:rsidRPr="000328B6" w:rsidP="00F466C9" w14:paraId="1A0A931C" w14:textId="77777777">
            <w:pPr>
              <w:widowControl/>
              <w:autoSpaceDE/>
              <w:autoSpaceDN/>
              <w:adjustRightInd/>
              <w:rPr>
                <w:color w:val="000000"/>
                <w:sz w:val="24"/>
              </w:rPr>
            </w:pPr>
            <w:r w:rsidRPr="000328B6">
              <w:rPr>
                <w:color w:val="000000"/>
                <w:sz w:val="24"/>
              </w:rPr>
              <w:t>Average Hourly wage used in PRA package</w:t>
            </w:r>
          </w:p>
        </w:tc>
      </w:tr>
      <w:tr w14:paraId="7962242C" w14:textId="77777777" w:rsidTr="00E174E4">
        <w:tblPrEx>
          <w:tblW w:w="7440" w:type="dxa"/>
          <w:tblInd w:w="432" w:type="dxa"/>
          <w:tblLook w:val="04A0"/>
        </w:tblPrEx>
        <w:trPr>
          <w:trHeight w:val="300"/>
        </w:trPr>
        <w:tc>
          <w:tcPr>
            <w:tcW w:w="3560" w:type="dxa"/>
            <w:tcBorders>
              <w:top w:val="nil"/>
              <w:left w:val="nil"/>
              <w:bottom w:val="nil"/>
              <w:right w:val="nil"/>
            </w:tcBorders>
            <w:noWrap/>
            <w:vAlign w:val="bottom"/>
            <w:hideMark/>
          </w:tcPr>
          <w:p w:rsidR="00F466C9" w:rsidRPr="000328B6" w:rsidP="00F466C9" w14:paraId="5F635640"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noWrap/>
            <w:vAlign w:val="bottom"/>
            <w:hideMark/>
          </w:tcPr>
          <w:p w:rsidR="00F466C9" w:rsidRPr="000328B6" w:rsidP="00E174E4" w14:paraId="00F0D036" w14:textId="1CFD1770">
            <w:pPr>
              <w:widowControl/>
              <w:spacing w:line="259" w:lineRule="auto"/>
              <w:rPr>
                <w:color w:val="000000" w:themeColor="text1"/>
                <w:sz w:val="24"/>
              </w:rPr>
            </w:pPr>
            <w:r>
              <w:rPr>
                <w:color w:val="000000" w:themeColor="text1"/>
                <w:sz w:val="24"/>
              </w:rPr>
              <w:t>345</w:t>
            </w:r>
          </w:p>
        </w:tc>
        <w:tc>
          <w:tcPr>
            <w:tcW w:w="960" w:type="dxa"/>
            <w:tcBorders>
              <w:top w:val="nil"/>
              <w:left w:val="nil"/>
              <w:bottom w:val="nil"/>
              <w:right w:val="nil"/>
            </w:tcBorders>
            <w:noWrap/>
            <w:vAlign w:val="bottom"/>
            <w:hideMark/>
          </w:tcPr>
          <w:p w:rsidR="00F466C9" w:rsidRPr="000328B6" w:rsidP="00F466C9" w14:paraId="31705DDE" w14:textId="77777777">
            <w:pPr>
              <w:widowControl/>
              <w:autoSpaceDE/>
              <w:autoSpaceDN/>
              <w:adjustRightInd/>
              <w:jc w:val="right"/>
              <w:rPr>
                <w:color w:val="000000"/>
                <w:sz w:val="24"/>
              </w:rPr>
            </w:pPr>
          </w:p>
        </w:tc>
        <w:tc>
          <w:tcPr>
            <w:tcW w:w="1220" w:type="dxa"/>
            <w:tcBorders>
              <w:top w:val="nil"/>
              <w:left w:val="nil"/>
              <w:bottom w:val="nil"/>
              <w:right w:val="nil"/>
            </w:tcBorders>
            <w:noWrap/>
            <w:vAlign w:val="bottom"/>
            <w:hideMark/>
          </w:tcPr>
          <w:p w:rsidR="00F466C9" w:rsidRPr="000328B6" w:rsidP="00F466C9" w14:paraId="3ECDD49B" w14:textId="77777777">
            <w:pPr>
              <w:widowControl/>
              <w:autoSpaceDE/>
              <w:autoSpaceDN/>
              <w:adjustRightInd/>
              <w:rPr>
                <w:sz w:val="24"/>
              </w:rPr>
            </w:pPr>
          </w:p>
        </w:tc>
      </w:tr>
      <w:bookmarkEnd w:id="3"/>
    </w:tbl>
    <w:p w:rsidR="00690F37" w:rsidRPr="000328B6" w14:paraId="45129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14:paraId="752B8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rsidP="029C8DE8" w14:paraId="217C77F1" w14:textId="72CCECD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From</w:t>
      </w:r>
      <w:r w:rsidRPr="4776D791">
        <w:rPr>
          <w:sz w:val="24"/>
        </w:rPr>
        <w:t xml:space="preserve"> </w:t>
      </w:r>
      <w:r w:rsidRPr="4776D791" w:rsidR="001907AF">
        <w:rPr>
          <w:sz w:val="24"/>
        </w:rPr>
        <w:t xml:space="preserve">calendar year </w:t>
      </w:r>
      <w:r w:rsidRPr="4776D791">
        <w:rPr>
          <w:sz w:val="24"/>
        </w:rPr>
        <w:t>202</w:t>
      </w:r>
      <w:r>
        <w:rPr>
          <w:sz w:val="24"/>
        </w:rPr>
        <w:t>4</w:t>
      </w:r>
      <w:r w:rsidRPr="4776D791">
        <w:rPr>
          <w:sz w:val="24"/>
        </w:rPr>
        <w:t xml:space="preserve"> </w:t>
      </w:r>
      <w:r w:rsidRPr="4776D791" w:rsidR="001907AF">
        <w:rPr>
          <w:sz w:val="24"/>
        </w:rPr>
        <w:t xml:space="preserve">to date, CMS has received about </w:t>
      </w:r>
      <w:r w:rsidRPr="4776D791">
        <w:rPr>
          <w:sz w:val="24"/>
        </w:rPr>
        <w:t>1</w:t>
      </w:r>
      <w:r>
        <w:rPr>
          <w:sz w:val="24"/>
        </w:rPr>
        <w:t>4</w:t>
      </w:r>
      <w:r w:rsidRPr="4776D791">
        <w:rPr>
          <w:sz w:val="24"/>
        </w:rPr>
        <w:t xml:space="preserve">4 </w:t>
      </w:r>
      <w:r w:rsidRPr="4776D791" w:rsidR="001907AF">
        <w:rPr>
          <w:sz w:val="24"/>
        </w:rPr>
        <w:t xml:space="preserve">individual Inquiries. We anticipate that it would generally take 30 minutes per entity to submit an inquiry to CMS.  The total </w:t>
      </w:r>
      <w:r w:rsidR="00F6426E">
        <w:rPr>
          <w:sz w:val="24"/>
        </w:rPr>
        <w:t xml:space="preserve">annual </w:t>
      </w:r>
      <w:r w:rsidRPr="4776D791" w:rsidR="001907AF">
        <w:rPr>
          <w:sz w:val="24"/>
        </w:rPr>
        <w:t xml:space="preserve">burden hours would be </w:t>
      </w:r>
      <w:r w:rsidR="00BD425D">
        <w:rPr>
          <w:sz w:val="24"/>
        </w:rPr>
        <w:t>72</w:t>
      </w:r>
      <w:r w:rsidRPr="4776D791" w:rsidR="00BD425D">
        <w:rPr>
          <w:sz w:val="24"/>
        </w:rPr>
        <w:t xml:space="preserve"> </w:t>
      </w:r>
      <w:r w:rsidRPr="4776D791" w:rsidR="001907AF">
        <w:rPr>
          <w:sz w:val="24"/>
        </w:rPr>
        <w:t>(</w:t>
      </w:r>
      <w:r w:rsidRPr="00BD425D" w:rsidR="001907AF">
        <w:rPr>
          <w:sz w:val="24"/>
        </w:rPr>
        <w:t>0.5</w:t>
      </w:r>
      <w:r w:rsidRPr="4776D791" w:rsidR="001907AF">
        <w:rPr>
          <w:sz w:val="24"/>
        </w:rPr>
        <w:t xml:space="preserve"> hour X </w:t>
      </w:r>
      <w:r w:rsidRPr="4776D791">
        <w:rPr>
          <w:sz w:val="24"/>
        </w:rPr>
        <w:t>1</w:t>
      </w:r>
      <w:r>
        <w:rPr>
          <w:sz w:val="24"/>
        </w:rPr>
        <w:t>4</w:t>
      </w:r>
      <w:r w:rsidRPr="4776D791">
        <w:rPr>
          <w:sz w:val="24"/>
        </w:rPr>
        <w:t xml:space="preserve">4 </w:t>
      </w:r>
      <w:r w:rsidRPr="4776D791" w:rsidR="001907AF">
        <w:rPr>
          <w:sz w:val="24"/>
        </w:rPr>
        <w:t>inquiries).</w:t>
      </w:r>
    </w:p>
    <w:p w:rsidR="00AC550B" w:rsidRPr="000328B6" w:rsidP="00AC550B" w14:paraId="3F122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29C8DE8" w14:paraId="378E7EBA" w14:textId="67951E8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D3D2D">
        <w:rPr>
          <w:sz w:val="24"/>
        </w:rPr>
        <w:t>The total annual cost would be $</w:t>
      </w:r>
      <w:r w:rsidRPr="00ED3D2D" w:rsidR="00ED3D2D">
        <w:rPr>
          <w:sz w:val="24"/>
        </w:rPr>
        <w:t>9,650.88</w:t>
      </w:r>
      <w:r w:rsidRPr="00ED3D2D">
        <w:rPr>
          <w:sz w:val="24"/>
        </w:rPr>
        <w:t xml:space="preserve"> (</w:t>
      </w:r>
      <w:r w:rsidRPr="00ED3D2D" w:rsidR="00BC000F">
        <w:rPr>
          <w:sz w:val="24"/>
        </w:rPr>
        <w:t xml:space="preserve">72 </w:t>
      </w:r>
      <w:r w:rsidRPr="00ED3D2D">
        <w:rPr>
          <w:sz w:val="24"/>
        </w:rPr>
        <w:t xml:space="preserve">hours X </w:t>
      </w:r>
      <w:r w:rsidRPr="00ED3D2D" w:rsidR="00D44950">
        <w:rPr>
          <w:sz w:val="24"/>
        </w:rPr>
        <w:t>134.04</w:t>
      </w:r>
      <w:r w:rsidRPr="00ED3D2D">
        <w:rPr>
          <w:sz w:val="24"/>
        </w:rPr>
        <w:t>).</w:t>
      </w:r>
    </w:p>
    <w:p w:rsidR="006225A7" w:rsidRPr="000328B6" w:rsidP="00AC550B" w14:paraId="70A06F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55D20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720" w:type="dxa"/>
        <w:tblLook w:val="04A0"/>
      </w:tblPr>
      <w:tblGrid>
        <w:gridCol w:w="3560"/>
        <w:gridCol w:w="1700"/>
        <w:gridCol w:w="996"/>
        <w:gridCol w:w="1220"/>
      </w:tblGrid>
      <w:tr w14:paraId="7D72FBC1" w14:textId="77777777" w:rsidTr="00E174E4">
        <w:tblPrEx>
          <w:tblW w:w="7476" w:type="dxa"/>
          <w:tblInd w:w="720" w:type="dxa"/>
          <w:tblLook w:val="04A0"/>
        </w:tblPrEx>
        <w:trPr>
          <w:trHeight w:val="765"/>
        </w:trPr>
        <w:tc>
          <w:tcPr>
            <w:tcW w:w="3560" w:type="dxa"/>
            <w:tcBorders>
              <w:top w:val="nil"/>
              <w:left w:val="nil"/>
              <w:bottom w:val="nil"/>
              <w:right w:val="nil"/>
            </w:tcBorders>
            <w:noWrap/>
            <w:vAlign w:val="bottom"/>
            <w:hideMark/>
          </w:tcPr>
          <w:p w:rsidR="00AC550B" w:rsidRPr="000328B6" w:rsidP="003E0DAC" w14:paraId="7649EF26" w14:textId="77777777">
            <w:pPr>
              <w:widowControl/>
              <w:autoSpaceDE/>
              <w:autoSpaceDN/>
              <w:adjustRightInd/>
              <w:rPr>
                <w:b/>
                <w:bCs/>
                <w:color w:val="000000"/>
                <w:sz w:val="24"/>
              </w:rPr>
            </w:pPr>
            <w:r w:rsidRPr="000328B6">
              <w:rPr>
                <w:b/>
                <w:bCs/>
                <w:color w:val="000000"/>
                <w:sz w:val="24"/>
              </w:rPr>
              <w:t>Table 3: Blended Occupations</w:t>
            </w:r>
          </w:p>
        </w:tc>
        <w:tc>
          <w:tcPr>
            <w:tcW w:w="1700" w:type="dxa"/>
            <w:tcBorders>
              <w:top w:val="nil"/>
              <w:left w:val="nil"/>
              <w:bottom w:val="nil"/>
              <w:right w:val="nil"/>
            </w:tcBorders>
            <w:vAlign w:val="bottom"/>
            <w:hideMark/>
          </w:tcPr>
          <w:p w:rsidR="00AC550B" w:rsidRPr="000328B6" w:rsidP="003E0DAC" w14:paraId="0D687474" w14:textId="77777777">
            <w:pPr>
              <w:widowControl/>
              <w:autoSpaceDE/>
              <w:autoSpaceDN/>
              <w:adjustRightInd/>
              <w:rPr>
                <w:b/>
                <w:bCs/>
                <w:color w:val="000000"/>
                <w:sz w:val="24"/>
              </w:rPr>
            </w:pPr>
            <w:r w:rsidRPr="000328B6">
              <w:rPr>
                <w:b/>
                <w:bCs/>
                <w:color w:val="000000"/>
                <w:sz w:val="24"/>
              </w:rPr>
              <w:t>BLS Occupation Code</w:t>
            </w:r>
          </w:p>
        </w:tc>
        <w:tc>
          <w:tcPr>
            <w:tcW w:w="99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AC550B" w:rsidRPr="000328B6" w:rsidP="003E0DAC" w14:paraId="7B482C20"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AC550B" w:rsidRPr="000328B6" w:rsidP="003E0DAC" w14:paraId="1AD1CB5A" w14:textId="77777777">
            <w:pPr>
              <w:widowControl/>
              <w:autoSpaceDE/>
              <w:autoSpaceDN/>
              <w:adjustRightInd/>
              <w:jc w:val="center"/>
              <w:rPr>
                <w:b/>
                <w:bCs/>
                <w:color w:val="000000"/>
                <w:sz w:val="24"/>
              </w:rPr>
            </w:pPr>
            <w:r w:rsidRPr="000328B6">
              <w:rPr>
                <w:b/>
                <w:bCs/>
                <w:color w:val="000000"/>
                <w:sz w:val="24"/>
              </w:rPr>
              <w:t>Fringe Benefits</w:t>
            </w:r>
          </w:p>
        </w:tc>
      </w:tr>
      <w:tr w14:paraId="2E043981" w14:textId="77777777" w:rsidTr="00E174E4">
        <w:tblPrEx>
          <w:tblW w:w="747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vAlign w:val="center"/>
            <w:hideMark/>
          </w:tcPr>
          <w:p w:rsidR="00AC550B" w:rsidRPr="000328B6" w:rsidP="003E0DAC" w14:paraId="3F3126EE"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noWrap/>
            <w:vAlign w:val="bottom"/>
            <w:hideMark/>
          </w:tcPr>
          <w:p w:rsidR="00AC550B" w:rsidRPr="000328B6" w:rsidP="003E0DAC" w14:paraId="5BAF5033" w14:textId="77777777">
            <w:pPr>
              <w:widowControl/>
              <w:autoSpaceDE/>
              <w:autoSpaceDN/>
              <w:adjustRightInd/>
              <w:rPr>
                <w:color w:val="000000"/>
                <w:sz w:val="24"/>
              </w:rPr>
            </w:pPr>
            <w:r w:rsidRPr="000328B6">
              <w:rPr>
                <w:color w:val="000000"/>
                <w:sz w:val="24"/>
              </w:rPr>
              <w:t>43-1011</w:t>
            </w:r>
          </w:p>
        </w:tc>
        <w:tc>
          <w:tcPr>
            <w:tcW w:w="99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0C61C16F" w14:paraId="6FA4A943" w14:textId="5EC09E6B">
            <w:pPr>
              <w:widowControl/>
              <w:autoSpaceDE/>
              <w:autoSpaceDN/>
              <w:adjustRightInd/>
              <w:jc w:val="center"/>
              <w:rPr>
                <w:color w:val="000000"/>
                <w:sz w:val="24"/>
              </w:rPr>
            </w:pPr>
            <w:r w:rsidRPr="000328B6">
              <w:rPr>
                <w:color w:val="000000" w:themeColor="text1"/>
                <w:sz w:val="24"/>
              </w:rPr>
              <w:t>$</w:t>
            </w:r>
            <w:r w:rsidR="00083038">
              <w:rPr>
                <w:color w:val="000000" w:themeColor="text1"/>
                <w:sz w:val="24"/>
              </w:rPr>
              <w:t>34.40</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1AFE6F65" w14:textId="1E8A615D">
            <w:pPr>
              <w:widowControl/>
              <w:autoSpaceDE/>
              <w:autoSpaceDN/>
              <w:adjustRightInd/>
              <w:jc w:val="center"/>
              <w:rPr>
                <w:color w:val="000000"/>
                <w:sz w:val="24"/>
              </w:rPr>
            </w:pPr>
            <w:r w:rsidRPr="000328B6">
              <w:rPr>
                <w:color w:val="000000" w:themeColor="text1"/>
                <w:sz w:val="24"/>
              </w:rPr>
              <w:t>$</w:t>
            </w:r>
            <w:r w:rsidR="00476B32">
              <w:rPr>
                <w:color w:val="000000" w:themeColor="text1"/>
                <w:sz w:val="24"/>
              </w:rPr>
              <w:t>34.40</w:t>
            </w:r>
          </w:p>
        </w:tc>
      </w:tr>
      <w:tr w14:paraId="0109E92F"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731ECC19"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noWrap/>
            <w:vAlign w:val="bottom"/>
            <w:hideMark/>
          </w:tcPr>
          <w:p w:rsidR="00AC550B" w:rsidRPr="000328B6" w:rsidP="003E0DAC" w14:paraId="7F88CACC" w14:textId="77777777">
            <w:pPr>
              <w:widowControl/>
              <w:autoSpaceDE/>
              <w:autoSpaceDN/>
              <w:adjustRightInd/>
              <w:rPr>
                <w:color w:val="000000"/>
                <w:sz w:val="24"/>
              </w:rPr>
            </w:pPr>
            <w:r w:rsidRPr="000328B6">
              <w:rPr>
                <w:color w:val="000000"/>
                <w:sz w:val="24"/>
              </w:rPr>
              <w:t>29-1216</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3DD8EDB8" w14:textId="3DC5F53E">
            <w:pPr>
              <w:widowControl/>
              <w:autoSpaceDE/>
              <w:autoSpaceDN/>
              <w:adjustRightInd/>
              <w:jc w:val="center"/>
              <w:rPr>
                <w:color w:val="000000"/>
                <w:sz w:val="24"/>
              </w:rPr>
            </w:pPr>
            <w:r w:rsidRPr="000328B6">
              <w:rPr>
                <w:color w:val="000000" w:themeColor="text1"/>
                <w:sz w:val="24"/>
              </w:rPr>
              <w:t>$</w:t>
            </w:r>
            <w:r w:rsidR="00083038">
              <w:rPr>
                <w:color w:val="000000" w:themeColor="text1"/>
                <w:sz w:val="24"/>
              </w:rPr>
              <w:t>130.92</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46247E31" w14:textId="6E5E17CC">
            <w:pPr>
              <w:widowControl/>
              <w:autoSpaceDE/>
              <w:autoSpaceDN/>
              <w:adjustRightInd/>
              <w:jc w:val="center"/>
              <w:rPr>
                <w:color w:val="000000"/>
                <w:sz w:val="24"/>
              </w:rPr>
            </w:pPr>
            <w:r w:rsidRPr="000328B6">
              <w:rPr>
                <w:color w:val="000000" w:themeColor="text1"/>
                <w:sz w:val="24"/>
              </w:rPr>
              <w:t>$</w:t>
            </w:r>
            <w:r w:rsidR="009B15D3">
              <w:rPr>
                <w:color w:val="000000" w:themeColor="text1"/>
                <w:sz w:val="24"/>
              </w:rPr>
              <w:t>130.92</w:t>
            </w:r>
            <w:r w:rsidRPr="000328B6">
              <w:rPr>
                <w:color w:val="000000" w:themeColor="text1"/>
                <w:sz w:val="24"/>
              </w:rPr>
              <w:t xml:space="preserve"> </w:t>
            </w:r>
          </w:p>
        </w:tc>
      </w:tr>
      <w:tr w14:paraId="5C2DEA0D"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74435935" w14:textId="77777777">
            <w:pPr>
              <w:widowControl/>
              <w:autoSpaceDE/>
              <w:autoSpaceDN/>
              <w:adjustRightInd/>
              <w:rPr>
                <w:sz w:val="24"/>
              </w:rPr>
            </w:pPr>
            <w:r w:rsidRPr="000328B6">
              <w:rPr>
                <w:sz w:val="24"/>
              </w:rPr>
              <w:t>Hospital Administrator</w:t>
            </w:r>
          </w:p>
        </w:tc>
        <w:tc>
          <w:tcPr>
            <w:tcW w:w="1700" w:type="dxa"/>
            <w:tcBorders>
              <w:top w:val="nil"/>
              <w:left w:val="nil"/>
              <w:bottom w:val="single" w:sz="4" w:space="0" w:color="auto"/>
              <w:right w:val="single" w:sz="4" w:space="0" w:color="auto"/>
            </w:tcBorders>
            <w:noWrap/>
            <w:vAlign w:val="bottom"/>
            <w:hideMark/>
          </w:tcPr>
          <w:p w:rsidR="00AC550B" w:rsidRPr="000328B6" w:rsidP="003E0DAC" w14:paraId="56C23BBE" w14:textId="77777777">
            <w:pPr>
              <w:widowControl/>
              <w:autoSpaceDE/>
              <w:autoSpaceDN/>
              <w:adjustRightInd/>
              <w:rPr>
                <w:color w:val="000000"/>
                <w:sz w:val="24"/>
              </w:rPr>
            </w:pPr>
            <w:r w:rsidRPr="000328B6">
              <w:rPr>
                <w:color w:val="000000"/>
                <w:sz w:val="24"/>
              </w:rPr>
              <w:t>11*9111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47AC635" w14:textId="2AC3E9DE">
            <w:pPr>
              <w:widowControl/>
              <w:autoSpaceDE/>
              <w:autoSpaceDN/>
              <w:adjustRightInd/>
              <w:jc w:val="center"/>
              <w:rPr>
                <w:color w:val="000000"/>
                <w:sz w:val="24"/>
              </w:rPr>
            </w:pPr>
            <w:r w:rsidRPr="000328B6">
              <w:rPr>
                <w:color w:val="000000" w:themeColor="text1"/>
                <w:sz w:val="24"/>
              </w:rPr>
              <w:t>$</w:t>
            </w:r>
            <w:r w:rsidR="00476B32">
              <w:rPr>
                <w:color w:val="000000" w:themeColor="text1"/>
                <w:sz w:val="24"/>
              </w:rPr>
              <w:t>68.15</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2512C575" w14:textId="38EFADC2">
            <w:pPr>
              <w:widowControl/>
              <w:autoSpaceDE/>
              <w:autoSpaceDN/>
              <w:adjustRightInd/>
              <w:jc w:val="center"/>
              <w:rPr>
                <w:color w:val="000000"/>
                <w:sz w:val="24"/>
              </w:rPr>
            </w:pPr>
            <w:r w:rsidRPr="000328B6">
              <w:rPr>
                <w:color w:val="000000" w:themeColor="text1"/>
                <w:sz w:val="24"/>
              </w:rPr>
              <w:t>$</w:t>
            </w:r>
            <w:r w:rsidR="009B15D3">
              <w:rPr>
                <w:color w:val="000000" w:themeColor="text1"/>
                <w:sz w:val="24"/>
              </w:rPr>
              <w:t>68.15</w:t>
            </w:r>
            <w:r w:rsidRPr="000328B6">
              <w:rPr>
                <w:color w:val="000000" w:themeColor="text1"/>
                <w:sz w:val="24"/>
              </w:rPr>
              <w:t xml:space="preserve"> </w:t>
            </w:r>
          </w:p>
        </w:tc>
      </w:tr>
      <w:tr w14:paraId="1EE275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6878D8AD"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noWrap/>
            <w:vAlign w:val="bottom"/>
            <w:hideMark/>
          </w:tcPr>
          <w:p w:rsidR="00AC550B" w:rsidRPr="000328B6" w:rsidP="003E0DAC" w14:paraId="7F1D4A86" w14:textId="77777777">
            <w:pPr>
              <w:widowControl/>
              <w:autoSpaceDE/>
              <w:autoSpaceDN/>
              <w:adjustRightInd/>
              <w:rPr>
                <w:color w:val="000000"/>
                <w:sz w:val="24"/>
              </w:rPr>
            </w:pPr>
            <w:r w:rsidRPr="000328B6">
              <w:rPr>
                <w:color w:val="000000"/>
                <w:sz w:val="24"/>
              </w:rPr>
              <w:t>43-1011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1C0E32E" w14:textId="5DE9C996">
            <w:pPr>
              <w:widowControl/>
              <w:autoSpaceDE/>
              <w:autoSpaceDN/>
              <w:adjustRightInd/>
              <w:jc w:val="center"/>
              <w:rPr>
                <w:color w:val="000000"/>
                <w:sz w:val="24"/>
              </w:rPr>
            </w:pPr>
            <w:r w:rsidRPr="000328B6">
              <w:rPr>
                <w:color w:val="000000" w:themeColor="text1"/>
                <w:sz w:val="24"/>
              </w:rPr>
              <w:t>$</w:t>
            </w:r>
            <w:r w:rsidR="00476B32">
              <w:rPr>
                <w:color w:val="000000" w:themeColor="text1"/>
                <w:sz w:val="24"/>
              </w:rPr>
              <w:t>34.40</w:t>
            </w:r>
            <w:r w:rsidRPr="000328B6">
              <w:rPr>
                <w:color w:val="000000" w:themeColor="text1"/>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7FD80FC8" w14:textId="6CE75EB9">
            <w:pPr>
              <w:widowControl/>
              <w:autoSpaceDE/>
              <w:autoSpaceDN/>
              <w:adjustRightInd/>
              <w:jc w:val="center"/>
              <w:rPr>
                <w:color w:val="000000"/>
                <w:sz w:val="24"/>
              </w:rPr>
            </w:pPr>
            <w:r w:rsidRPr="000328B6">
              <w:rPr>
                <w:color w:val="000000" w:themeColor="text1"/>
                <w:sz w:val="24"/>
              </w:rPr>
              <w:t>$</w:t>
            </w:r>
            <w:r w:rsidR="009B15D3">
              <w:rPr>
                <w:color w:val="000000" w:themeColor="text1"/>
                <w:sz w:val="24"/>
              </w:rPr>
              <w:t>34.</w:t>
            </w:r>
            <w:r w:rsidR="00D975D0">
              <w:rPr>
                <w:color w:val="000000" w:themeColor="text1"/>
                <w:sz w:val="24"/>
              </w:rPr>
              <w:t>40</w:t>
            </w:r>
            <w:r w:rsidRPr="000328B6">
              <w:rPr>
                <w:color w:val="000000" w:themeColor="text1"/>
                <w:sz w:val="24"/>
              </w:rPr>
              <w:t xml:space="preserve"> </w:t>
            </w:r>
          </w:p>
        </w:tc>
      </w:tr>
      <w:tr w14:paraId="1AA816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70B238D5"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000000" w:themeColor="text1"/>
            </w:tcBorders>
            <w:vAlign w:val="center"/>
            <w:hideMark/>
          </w:tcPr>
          <w:p w:rsidR="00AC550B" w:rsidRPr="000328B6" w:rsidP="003E0DAC" w14:paraId="003B48E8" w14:textId="77777777">
            <w:pPr>
              <w:widowControl/>
              <w:autoSpaceDE/>
              <w:autoSpaceDN/>
              <w:adjustRightInd/>
              <w:rPr>
                <w:sz w:val="24"/>
              </w:rPr>
            </w:pPr>
            <w:r w:rsidRPr="000328B6">
              <w:rPr>
                <w:sz w:val="24"/>
              </w:rPr>
              <w:t>11-1000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D6893C4" w14:textId="0329DA3E">
            <w:pPr>
              <w:widowControl/>
              <w:autoSpaceDE/>
              <w:autoSpaceDN/>
              <w:adjustRightInd/>
              <w:jc w:val="center"/>
              <w:rPr>
                <w:color w:val="000000"/>
                <w:sz w:val="24"/>
              </w:rPr>
            </w:pPr>
            <w:r w:rsidRPr="000328B6">
              <w:rPr>
                <w:color w:val="000000" w:themeColor="text1"/>
                <w:sz w:val="24"/>
              </w:rPr>
              <w:t>$</w:t>
            </w:r>
            <w:r w:rsidR="00476B32">
              <w:rPr>
                <w:color w:val="000000" w:themeColor="text1"/>
                <w:sz w:val="24"/>
              </w:rPr>
              <w:t>67.24</w:t>
            </w:r>
            <w:r w:rsidRPr="000328B6">
              <w:rPr>
                <w:color w:val="000000" w:themeColor="text1"/>
                <w:sz w:val="24"/>
              </w:rPr>
              <w:t xml:space="preserv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FF9BBD8" w14:textId="77A639E3">
            <w:pPr>
              <w:widowControl/>
              <w:autoSpaceDE/>
              <w:autoSpaceDN/>
              <w:adjustRightInd/>
              <w:jc w:val="center"/>
              <w:rPr>
                <w:color w:val="000000"/>
                <w:sz w:val="24"/>
              </w:rPr>
            </w:pPr>
            <w:r w:rsidRPr="000328B6">
              <w:rPr>
                <w:color w:val="000000" w:themeColor="text1"/>
                <w:sz w:val="24"/>
              </w:rPr>
              <w:t>$</w:t>
            </w:r>
            <w:r w:rsidR="00D975D0">
              <w:rPr>
                <w:color w:val="000000" w:themeColor="text1"/>
                <w:sz w:val="24"/>
              </w:rPr>
              <w:t>67.24</w:t>
            </w:r>
            <w:r w:rsidRPr="000328B6">
              <w:rPr>
                <w:color w:val="000000" w:themeColor="text1"/>
                <w:sz w:val="24"/>
              </w:rPr>
              <w:t xml:space="preserve"> </w:t>
            </w:r>
          </w:p>
        </w:tc>
      </w:tr>
      <w:tr w14:paraId="00B16FD5"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31956B70"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vAlign w:val="center"/>
            <w:hideMark/>
          </w:tcPr>
          <w:p w:rsidR="00AC550B" w:rsidRPr="000328B6" w:rsidP="003E0DAC" w14:paraId="4C476B92" w14:textId="77777777">
            <w:pPr>
              <w:widowControl/>
              <w:autoSpaceDE/>
              <w:autoSpaceDN/>
              <w:adjustRightInd/>
              <w:rPr>
                <w:sz w:val="24"/>
              </w:rPr>
            </w:pPr>
            <w:r w:rsidRPr="000328B6">
              <w:rPr>
                <w:sz w:val="24"/>
              </w:rPr>
              <w:t> </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6AF6AF9B" w14:textId="3F07B09B">
            <w:pPr>
              <w:widowControl/>
              <w:autoSpaceDE/>
              <w:autoSpaceDN/>
              <w:adjustRightInd/>
              <w:jc w:val="center"/>
              <w:rPr>
                <w:color w:val="000000"/>
                <w:sz w:val="24"/>
              </w:rPr>
            </w:pPr>
            <w:r w:rsidRPr="000328B6">
              <w:rPr>
                <w:color w:val="000000" w:themeColor="text1"/>
                <w:sz w:val="24"/>
              </w:rPr>
              <w:t>$</w:t>
            </w:r>
            <w:r w:rsidR="00476B32">
              <w:rPr>
                <w:color w:val="000000" w:themeColor="text1"/>
                <w:sz w:val="24"/>
              </w:rPr>
              <w:t>335.11</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14BBB8E9" w14:textId="250EED85">
            <w:pPr>
              <w:widowControl/>
              <w:autoSpaceDE/>
              <w:autoSpaceDN/>
              <w:adjustRightInd/>
              <w:jc w:val="center"/>
              <w:rPr>
                <w:color w:val="000000"/>
                <w:sz w:val="24"/>
              </w:rPr>
            </w:pPr>
            <w:r w:rsidRPr="000328B6">
              <w:rPr>
                <w:color w:val="000000" w:themeColor="text1"/>
                <w:sz w:val="24"/>
              </w:rPr>
              <w:t>$</w:t>
            </w:r>
            <w:r w:rsidR="001125E6">
              <w:rPr>
                <w:color w:val="000000" w:themeColor="text1"/>
                <w:sz w:val="24"/>
              </w:rPr>
              <w:t>335.11</w:t>
            </w:r>
          </w:p>
        </w:tc>
      </w:tr>
      <w:tr w14:paraId="5A230DB7"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AC550B" w:rsidRPr="000328B6" w:rsidP="003E0DAC" w14:paraId="321BDFCC"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vAlign w:val="center"/>
            <w:hideMark/>
          </w:tcPr>
          <w:p w:rsidR="00AC550B" w:rsidRPr="000328B6" w:rsidP="003E0DAC" w14:paraId="72656F65" w14:textId="77777777">
            <w:pPr>
              <w:widowControl/>
              <w:autoSpaceDE/>
              <w:autoSpaceDN/>
              <w:adjustRightInd/>
              <w:rPr>
                <w:b/>
                <w:bCs/>
                <w:sz w:val="24"/>
              </w:rPr>
            </w:pPr>
            <w:r w:rsidRPr="000328B6">
              <w:rPr>
                <w:b/>
                <w:bCs/>
                <w:sz w:val="24"/>
              </w:rPr>
              <w:t> </w:t>
            </w:r>
          </w:p>
        </w:tc>
        <w:tc>
          <w:tcPr>
            <w:tcW w:w="996" w:type="dxa"/>
            <w:tcBorders>
              <w:top w:val="nil"/>
              <w:left w:val="nil"/>
              <w:bottom w:val="single" w:sz="4" w:space="0" w:color="auto"/>
              <w:right w:val="single" w:sz="4" w:space="0" w:color="auto"/>
            </w:tcBorders>
            <w:noWrap/>
            <w:vAlign w:val="bottom"/>
          </w:tcPr>
          <w:p w:rsidR="00AC550B" w:rsidRPr="000328B6" w:rsidP="4249649F" w14:paraId="386F7CAD" w14:textId="48BADE88">
            <w:pPr>
              <w:widowControl/>
              <w:autoSpaceDE/>
              <w:autoSpaceDN/>
              <w:adjustRightInd/>
              <w:jc w:val="center"/>
              <w:rPr>
                <w:b/>
                <w:bCs/>
                <w:color w:val="000000"/>
                <w:sz w:val="24"/>
              </w:rPr>
            </w:pPr>
            <w:r w:rsidRPr="000328B6">
              <w:rPr>
                <w:b/>
                <w:bCs/>
                <w:color w:val="000000" w:themeColor="text1"/>
                <w:sz w:val="24"/>
              </w:rPr>
              <w:t>$</w:t>
            </w:r>
            <w:r w:rsidR="00476B32">
              <w:rPr>
                <w:b/>
                <w:bCs/>
                <w:color w:val="000000" w:themeColor="text1"/>
                <w:sz w:val="24"/>
              </w:rPr>
              <w:t>67.02</w:t>
            </w:r>
          </w:p>
        </w:tc>
        <w:tc>
          <w:tcPr>
            <w:tcW w:w="1220" w:type="dxa"/>
            <w:tcBorders>
              <w:top w:val="nil"/>
              <w:left w:val="nil"/>
              <w:bottom w:val="single" w:sz="4" w:space="0" w:color="auto"/>
              <w:right w:val="single" w:sz="4" w:space="0" w:color="auto"/>
            </w:tcBorders>
            <w:noWrap/>
            <w:vAlign w:val="bottom"/>
          </w:tcPr>
          <w:p w:rsidR="00AC550B" w:rsidRPr="000328B6" w:rsidP="4249649F" w14:paraId="280EC833" w14:textId="43F7F1BB">
            <w:pPr>
              <w:widowControl/>
              <w:autoSpaceDE/>
              <w:autoSpaceDN/>
              <w:adjustRightInd/>
              <w:jc w:val="center"/>
              <w:rPr>
                <w:b/>
                <w:bCs/>
                <w:color w:val="000000"/>
                <w:sz w:val="24"/>
              </w:rPr>
            </w:pPr>
            <w:r w:rsidRPr="000328B6">
              <w:rPr>
                <w:b/>
                <w:bCs/>
                <w:color w:val="000000" w:themeColor="text1"/>
                <w:sz w:val="24"/>
              </w:rPr>
              <w:t>$</w:t>
            </w:r>
            <w:r w:rsidR="001125E6">
              <w:rPr>
                <w:b/>
                <w:bCs/>
                <w:color w:val="000000" w:themeColor="text1"/>
                <w:sz w:val="24"/>
              </w:rPr>
              <w:t>67.02</w:t>
            </w:r>
          </w:p>
        </w:tc>
      </w:tr>
    </w:tbl>
    <w:p w:rsidR="00AC550B" w:rsidRPr="000328B6" w:rsidP="00E174E4" w14:paraId="0DD2005F" w14:textId="01557F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w:t>
      </w:r>
      <w:r w:rsidRPr="000328B6">
        <w:t xml:space="preserve"> W</w:t>
      </w:r>
      <w:r w:rsidRPr="000328B6">
        <w:rPr>
          <w:sz w:val="24"/>
        </w:rPr>
        <w:t>e used data from the U.S. Bureau of Labor Statistics’ 20</w:t>
      </w:r>
      <w:r w:rsidRPr="000328B6" w:rsidR="0C61C16F">
        <w:rPr>
          <w:sz w:val="24"/>
        </w:rPr>
        <w:t>22</w:t>
      </w:r>
      <w:r w:rsidRPr="000328B6">
        <w:rPr>
          <w:sz w:val="24"/>
        </w:rPr>
        <w:t xml:space="preserve"> National Occupational Employment and Wage Estimates for all salary estimates.</w:t>
      </w:r>
    </w:p>
    <w:p w:rsidR="00652AF1" w:rsidRPr="000328B6" w:rsidP="00AC550B" w14:paraId="4C64FC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068B85D0"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noWrap/>
            <w:vAlign w:val="bottom"/>
            <w:hideMark/>
          </w:tcPr>
          <w:p w:rsidR="00652AF1" w:rsidRPr="00956F92" w:rsidP="4249649F" w14:paraId="593D58BA" w14:textId="1A01631C">
            <w:pPr>
              <w:widowControl/>
              <w:autoSpaceDE/>
              <w:autoSpaceDN/>
              <w:adjustRightInd/>
              <w:rPr>
                <w:color w:val="000000"/>
                <w:sz w:val="24"/>
              </w:rPr>
            </w:pPr>
            <w:r w:rsidRPr="00956F92">
              <w:rPr>
                <w:color w:val="000000" w:themeColor="text1"/>
                <w:sz w:val="24"/>
              </w:rPr>
              <w:t>$</w:t>
            </w:r>
            <w:r w:rsidRPr="00956F92" w:rsidR="001125E6">
              <w:rPr>
                <w:color w:val="000000" w:themeColor="text1"/>
                <w:sz w:val="24"/>
              </w:rPr>
              <w:t>67.02</w:t>
            </w:r>
            <w:r w:rsidRPr="00956F92">
              <w:rPr>
                <w:color w:val="000000" w:themeColor="text1"/>
                <w:sz w:val="24"/>
              </w:rPr>
              <w:t xml:space="preserve"> </w:t>
            </w:r>
          </w:p>
        </w:tc>
        <w:tc>
          <w:tcPr>
            <w:tcW w:w="2660" w:type="dxa"/>
            <w:gridSpan w:val="2"/>
            <w:tcBorders>
              <w:top w:val="nil"/>
              <w:left w:val="nil"/>
              <w:bottom w:val="nil"/>
              <w:right w:val="nil"/>
            </w:tcBorders>
            <w:noWrap/>
            <w:vAlign w:val="bottom"/>
            <w:hideMark/>
          </w:tcPr>
          <w:p w:rsidR="00652AF1" w:rsidRPr="00956F92" w:rsidP="00E41254" w14:paraId="2181AB0B" w14:textId="77777777">
            <w:pPr>
              <w:widowControl/>
              <w:autoSpaceDE/>
              <w:autoSpaceDN/>
              <w:adjustRightInd/>
              <w:rPr>
                <w:color w:val="000000"/>
                <w:sz w:val="24"/>
              </w:rPr>
            </w:pPr>
            <w:r w:rsidRPr="00956F92">
              <w:rPr>
                <w:color w:val="000000"/>
                <w:sz w:val="24"/>
              </w:rPr>
              <w:t>average hourly wage</w:t>
            </w:r>
          </w:p>
        </w:tc>
      </w:tr>
      <w:tr w14:paraId="2FCFE20F" w14:textId="77777777" w:rsidTr="00E174E4">
        <w:tblPrEx>
          <w:tblW w:w="7440" w:type="dxa"/>
          <w:tblInd w:w="720" w:type="dxa"/>
          <w:tblLook w:val="04A0"/>
        </w:tblPrEx>
        <w:trPr>
          <w:trHeight w:val="300"/>
        </w:trPr>
        <w:tc>
          <w:tcPr>
            <w:tcW w:w="3560" w:type="dxa"/>
            <w:tcBorders>
              <w:top w:val="nil"/>
              <w:left w:val="nil"/>
              <w:bottom w:val="nil"/>
              <w:right w:val="nil"/>
            </w:tcBorders>
            <w:noWrap/>
            <w:vAlign w:val="bottom"/>
            <w:hideMark/>
          </w:tcPr>
          <w:p w:rsidR="00652AF1" w:rsidRPr="00956F92" w:rsidP="4249649F" w14:paraId="3199349C" w14:textId="4243EA49">
            <w:pPr>
              <w:widowControl/>
              <w:autoSpaceDE/>
              <w:autoSpaceDN/>
              <w:adjustRightInd/>
              <w:rPr>
                <w:color w:val="000000"/>
                <w:sz w:val="24"/>
              </w:rPr>
            </w:pPr>
            <w:r w:rsidRPr="00956F92">
              <w:rPr>
                <w:color w:val="000000" w:themeColor="text1"/>
                <w:sz w:val="24"/>
              </w:rPr>
              <w:t>$</w:t>
            </w:r>
            <w:r w:rsidRPr="00956F92" w:rsidR="001125E6">
              <w:rPr>
                <w:color w:val="000000" w:themeColor="text1"/>
                <w:sz w:val="24"/>
              </w:rPr>
              <w:t>67.02</w:t>
            </w:r>
            <w:r w:rsidRPr="00956F92">
              <w:rPr>
                <w:color w:val="000000" w:themeColor="text1"/>
                <w:sz w:val="24"/>
              </w:rPr>
              <w:t xml:space="preserve"> +</w:t>
            </w:r>
          </w:p>
        </w:tc>
        <w:tc>
          <w:tcPr>
            <w:tcW w:w="3880" w:type="dxa"/>
            <w:gridSpan w:val="3"/>
            <w:tcBorders>
              <w:top w:val="nil"/>
              <w:left w:val="nil"/>
              <w:bottom w:val="nil"/>
              <w:right w:val="nil"/>
            </w:tcBorders>
            <w:noWrap/>
            <w:vAlign w:val="bottom"/>
            <w:hideMark/>
          </w:tcPr>
          <w:p w:rsidR="00652AF1" w:rsidRPr="00956F92" w:rsidP="00E41254" w14:paraId="5D84196A" w14:textId="77777777">
            <w:pPr>
              <w:widowControl/>
              <w:autoSpaceDE/>
              <w:autoSpaceDN/>
              <w:adjustRightInd/>
              <w:rPr>
                <w:color w:val="000000"/>
                <w:sz w:val="24"/>
              </w:rPr>
            </w:pPr>
            <w:r w:rsidRPr="00956F92">
              <w:rPr>
                <w:color w:val="000000"/>
                <w:sz w:val="24"/>
              </w:rPr>
              <w:t>increased by a factor of 100 percent</w:t>
            </w:r>
          </w:p>
        </w:tc>
      </w:tr>
      <w:tr w14:paraId="389EB78E" w14:textId="77777777" w:rsidTr="00E174E4">
        <w:tblPrEx>
          <w:tblW w:w="7440" w:type="dxa"/>
          <w:tblInd w:w="720" w:type="dxa"/>
          <w:tblLook w:val="04A0"/>
        </w:tblPrEx>
        <w:trPr>
          <w:trHeight w:val="300"/>
        </w:trPr>
        <w:tc>
          <w:tcPr>
            <w:tcW w:w="3560" w:type="dxa"/>
            <w:tcBorders>
              <w:top w:val="nil"/>
              <w:left w:val="nil"/>
              <w:bottom w:val="nil"/>
              <w:right w:val="nil"/>
            </w:tcBorders>
            <w:noWrap/>
            <w:vAlign w:val="bottom"/>
            <w:hideMark/>
          </w:tcPr>
          <w:p w:rsidR="00652AF1" w:rsidRPr="00956F92" w:rsidP="4249649F" w14:paraId="5520182A" w14:textId="427FC670">
            <w:pPr>
              <w:widowControl/>
              <w:autoSpaceDE/>
              <w:autoSpaceDN/>
              <w:adjustRightInd/>
              <w:rPr>
                <w:b/>
                <w:bCs/>
                <w:color w:val="000000"/>
                <w:sz w:val="24"/>
              </w:rPr>
            </w:pPr>
            <w:r w:rsidRPr="00956F92">
              <w:rPr>
                <w:b/>
                <w:bCs/>
                <w:color w:val="000000" w:themeColor="text1"/>
                <w:sz w:val="24"/>
              </w:rPr>
              <w:t>= $</w:t>
            </w:r>
            <w:r w:rsidRPr="00956F92" w:rsidR="003255B7">
              <w:rPr>
                <w:b/>
                <w:bCs/>
                <w:color w:val="000000" w:themeColor="text1"/>
                <w:sz w:val="24"/>
              </w:rPr>
              <w:t>134.04</w:t>
            </w:r>
            <w:r w:rsidRPr="00956F92">
              <w:rPr>
                <w:b/>
                <w:bCs/>
                <w:color w:val="000000" w:themeColor="text1"/>
                <w:sz w:val="24"/>
              </w:rPr>
              <w:t xml:space="preserve"> </w:t>
            </w:r>
          </w:p>
        </w:tc>
        <w:tc>
          <w:tcPr>
            <w:tcW w:w="3880" w:type="dxa"/>
            <w:gridSpan w:val="3"/>
            <w:tcBorders>
              <w:top w:val="nil"/>
              <w:left w:val="nil"/>
              <w:bottom w:val="nil"/>
              <w:right w:val="nil"/>
            </w:tcBorders>
            <w:noWrap/>
            <w:vAlign w:val="bottom"/>
            <w:hideMark/>
          </w:tcPr>
          <w:p w:rsidR="00652AF1" w:rsidRPr="00956F92" w:rsidP="00E41254" w14:paraId="4B4BDE5F" w14:textId="77777777">
            <w:pPr>
              <w:widowControl/>
              <w:autoSpaceDE/>
              <w:autoSpaceDN/>
              <w:adjustRightInd/>
              <w:rPr>
                <w:color w:val="000000"/>
                <w:sz w:val="24"/>
              </w:rPr>
            </w:pPr>
            <w:r w:rsidRPr="00956F92">
              <w:rPr>
                <w:color w:val="000000"/>
                <w:sz w:val="24"/>
              </w:rPr>
              <w:t>Average Hourly wage used in PRA package</w:t>
            </w:r>
          </w:p>
        </w:tc>
      </w:tr>
      <w:tr w14:paraId="17872C62"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noWrap/>
            <w:vAlign w:val="bottom"/>
            <w:hideMark/>
          </w:tcPr>
          <w:p w:rsidR="00652AF1" w:rsidRPr="00956F92" w:rsidP="00E41254" w14:paraId="3BF4A2A5" w14:textId="77777777">
            <w:pPr>
              <w:widowControl/>
              <w:autoSpaceDE/>
              <w:autoSpaceDN/>
              <w:adjustRightInd/>
              <w:rPr>
                <w:color w:val="000000"/>
                <w:sz w:val="24"/>
              </w:rPr>
            </w:pPr>
            <w:r w:rsidRPr="00956F92">
              <w:rPr>
                <w:color w:val="000000"/>
                <w:sz w:val="24"/>
              </w:rPr>
              <w:t>Number of unique respondents:</w:t>
            </w:r>
          </w:p>
        </w:tc>
        <w:tc>
          <w:tcPr>
            <w:tcW w:w="1700" w:type="dxa"/>
            <w:tcBorders>
              <w:top w:val="nil"/>
              <w:left w:val="nil"/>
              <w:bottom w:val="nil"/>
              <w:right w:val="nil"/>
            </w:tcBorders>
            <w:noWrap/>
            <w:vAlign w:val="bottom"/>
            <w:hideMark/>
          </w:tcPr>
          <w:p w:rsidR="00652AF1" w:rsidRPr="00956F92" w:rsidP="00E174E4" w14:paraId="33106889" w14:textId="3AECA150">
            <w:pPr>
              <w:widowControl/>
              <w:spacing w:line="259" w:lineRule="auto"/>
              <w:rPr>
                <w:color w:val="000000" w:themeColor="text1"/>
                <w:sz w:val="24"/>
              </w:rPr>
            </w:pPr>
            <w:r w:rsidRPr="00956F92">
              <w:rPr>
                <w:color w:val="000000" w:themeColor="text1"/>
                <w:sz w:val="24"/>
              </w:rPr>
              <w:t>91</w:t>
            </w:r>
          </w:p>
        </w:tc>
      </w:tr>
    </w:tbl>
    <w:p w:rsidR="00652AF1" w:rsidRPr="000328B6" w:rsidP="00AC550B" w14:paraId="37BE72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203DB2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0AC550B" w14:paraId="79EE8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4E2A2BB6" w14:textId="00BD710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From</w:t>
      </w:r>
      <w:r w:rsidRPr="029C8DE8">
        <w:rPr>
          <w:sz w:val="24"/>
        </w:rPr>
        <w:t xml:space="preserve"> </w:t>
      </w:r>
      <w:r w:rsidRPr="029C8DE8" w:rsidR="001907AF">
        <w:rPr>
          <w:sz w:val="24"/>
        </w:rPr>
        <w:t xml:space="preserve">calendar year </w:t>
      </w:r>
      <w:r w:rsidRPr="029C8DE8">
        <w:rPr>
          <w:sz w:val="24"/>
        </w:rPr>
        <w:t>202</w:t>
      </w:r>
      <w:r>
        <w:rPr>
          <w:sz w:val="24"/>
        </w:rPr>
        <w:t>4</w:t>
      </w:r>
      <w:r w:rsidRPr="029C8DE8" w:rsidR="001907AF">
        <w:rPr>
          <w:sz w:val="24"/>
        </w:rPr>
        <w:t xml:space="preserve">, CMS received about </w:t>
      </w:r>
      <w:r w:rsidR="00E2508B">
        <w:rPr>
          <w:sz w:val="24"/>
        </w:rPr>
        <w:t>3,203</w:t>
      </w:r>
      <w:r w:rsidRPr="029C8DE8" w:rsidR="001907AF">
        <w:rPr>
          <w:sz w:val="24"/>
        </w:rPr>
        <w:t xml:space="preserve"> Health Care Facility (HCF) operational status reports. We estimate that it would take about 60 minutes to submit this information to CMS. The total burden </w:t>
      </w:r>
      <w:r w:rsidR="00F6426E">
        <w:rPr>
          <w:sz w:val="24"/>
        </w:rPr>
        <w:t xml:space="preserve">annual </w:t>
      </w:r>
      <w:r w:rsidRPr="029C8DE8" w:rsidR="001907AF">
        <w:rPr>
          <w:sz w:val="24"/>
        </w:rPr>
        <w:t xml:space="preserve">hours would be </w:t>
      </w:r>
      <w:r w:rsidR="002F106E">
        <w:rPr>
          <w:sz w:val="24"/>
        </w:rPr>
        <w:t>3,203</w:t>
      </w:r>
      <w:r w:rsidRPr="029C8DE8" w:rsidR="001907AF">
        <w:rPr>
          <w:sz w:val="24"/>
        </w:rPr>
        <w:t xml:space="preserve"> (1 hour x </w:t>
      </w:r>
      <w:r w:rsidR="002F106E">
        <w:rPr>
          <w:sz w:val="24"/>
        </w:rPr>
        <w:t>3,203</w:t>
      </w:r>
      <w:r w:rsidRPr="029C8DE8" w:rsidR="001907AF">
        <w:rPr>
          <w:sz w:val="24"/>
        </w:rPr>
        <w:t xml:space="preserve"> reports).</w:t>
      </w:r>
    </w:p>
    <w:p w:rsidR="00FE1E34" w:rsidRPr="000328B6" w:rsidP="00AC550B" w14:paraId="42DBB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01E09E33" w14:textId="7FFBAF9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w:t>
      </w:r>
      <w:r w:rsidR="001025F9">
        <w:rPr>
          <w:sz w:val="24"/>
        </w:rPr>
        <w:t>292,433.90</w:t>
      </w:r>
      <w:r w:rsidRPr="029C8DE8">
        <w:rPr>
          <w:sz w:val="24"/>
        </w:rPr>
        <w:t xml:space="preserve"> (</w:t>
      </w:r>
      <w:r w:rsidR="00202493">
        <w:rPr>
          <w:sz w:val="24"/>
        </w:rPr>
        <w:t>3,203</w:t>
      </w:r>
      <w:r w:rsidRPr="029C8DE8">
        <w:rPr>
          <w:sz w:val="24"/>
        </w:rPr>
        <w:t xml:space="preserve"> x $</w:t>
      </w:r>
      <w:r w:rsidR="00202493">
        <w:rPr>
          <w:color w:val="000000" w:themeColor="text1"/>
          <w:sz w:val="24"/>
        </w:rPr>
        <w:t>91.30</w:t>
      </w:r>
      <w:r w:rsidRPr="029C8DE8">
        <w:rPr>
          <w:sz w:val="24"/>
        </w:rPr>
        <w:t>).</w:t>
      </w:r>
    </w:p>
    <w:p w:rsidR="00FE1E34" w:rsidRPr="000328B6" w:rsidP="00AC550B" w14:paraId="2121B9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8136" w:type="dxa"/>
        <w:tblInd w:w="720" w:type="dxa"/>
        <w:tblLook w:val="04A0"/>
      </w:tblPr>
      <w:tblGrid>
        <w:gridCol w:w="3560"/>
        <w:gridCol w:w="1700"/>
        <w:gridCol w:w="1656"/>
        <w:gridCol w:w="1220"/>
      </w:tblGrid>
      <w:tr w14:paraId="228F91FC" w14:textId="77777777" w:rsidTr="00844797">
        <w:tblPrEx>
          <w:tblW w:w="8136" w:type="dxa"/>
          <w:tblInd w:w="720" w:type="dxa"/>
          <w:tblLook w:val="04A0"/>
        </w:tblPrEx>
        <w:trPr>
          <w:trHeight w:val="765"/>
        </w:trPr>
        <w:tc>
          <w:tcPr>
            <w:tcW w:w="3560" w:type="dxa"/>
            <w:tcBorders>
              <w:top w:val="nil"/>
              <w:left w:val="nil"/>
              <w:bottom w:val="nil"/>
              <w:right w:val="nil"/>
            </w:tcBorders>
            <w:noWrap/>
            <w:vAlign w:val="bottom"/>
            <w:hideMark/>
          </w:tcPr>
          <w:p w:rsidR="004311BB" w:rsidRPr="000328B6" w:rsidP="004311BB" w14:paraId="25D0C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Table 4: Blended Occupations</w:t>
            </w:r>
          </w:p>
        </w:tc>
        <w:tc>
          <w:tcPr>
            <w:tcW w:w="1700" w:type="dxa"/>
            <w:tcBorders>
              <w:top w:val="nil"/>
              <w:left w:val="nil"/>
              <w:bottom w:val="nil"/>
              <w:right w:val="nil"/>
            </w:tcBorders>
            <w:vAlign w:val="bottom"/>
            <w:hideMark/>
          </w:tcPr>
          <w:p w:rsidR="004311BB" w:rsidRPr="000328B6" w:rsidP="004311BB" w14:paraId="554AE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BLS Occupation Code</w:t>
            </w:r>
          </w:p>
        </w:tc>
        <w:tc>
          <w:tcPr>
            <w:tcW w:w="165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4311BB" w:rsidRPr="000328B6" w:rsidP="004311BB" w14:paraId="3610C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4311BB" w:rsidRPr="000328B6" w:rsidP="004311BB" w14:paraId="3C6FA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Fringe Benefits</w:t>
            </w:r>
          </w:p>
        </w:tc>
      </w:tr>
      <w:tr w14:paraId="29AB9BB1" w14:textId="77777777" w:rsidTr="00844797">
        <w:tblPrEx>
          <w:tblW w:w="813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vAlign w:val="center"/>
            <w:hideMark/>
          </w:tcPr>
          <w:p w:rsidR="00844797" w:rsidRPr="000328B6" w:rsidP="00844797" w14:paraId="78E02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noWrap/>
            <w:vAlign w:val="bottom"/>
            <w:hideMark/>
          </w:tcPr>
          <w:p w:rsidR="00844797" w:rsidRPr="000328B6" w:rsidP="00844797" w14:paraId="49AD6D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844797" w:rsidRPr="000328B6" w:rsidP="00844797" w14:paraId="1D4FE315" w14:textId="758BA52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w:t>
            </w:r>
            <w:r>
              <w:rPr>
                <w:color w:val="000000" w:themeColor="text1"/>
                <w:sz w:val="24"/>
              </w:rPr>
              <w:t>34.40</w:t>
            </w:r>
            <w:r w:rsidRPr="000328B6">
              <w:rPr>
                <w:sz w:val="24"/>
              </w:rPr>
              <w:t xml:space="preserve">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844797" w:rsidRPr="000328B6" w:rsidP="00844797" w14:paraId="1CC76CF4" w14:textId="4F02B23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w:t>
            </w:r>
            <w:r>
              <w:rPr>
                <w:color w:val="000000" w:themeColor="text1"/>
                <w:sz w:val="24"/>
              </w:rPr>
              <w:t>34.40</w:t>
            </w:r>
            <w:r w:rsidRPr="000328B6">
              <w:rPr>
                <w:sz w:val="24"/>
              </w:rPr>
              <w:t xml:space="preserve"> </w:t>
            </w:r>
          </w:p>
        </w:tc>
      </w:tr>
      <w:tr w14:paraId="289BC65A" w14:textId="77777777" w:rsidTr="00844797">
        <w:tblPrEx>
          <w:tblW w:w="813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844797" w:rsidRPr="000328B6" w:rsidP="00844797" w14:paraId="3780A0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Hospital Administrator</w:t>
            </w:r>
          </w:p>
        </w:tc>
        <w:tc>
          <w:tcPr>
            <w:tcW w:w="1700" w:type="dxa"/>
            <w:tcBorders>
              <w:top w:val="nil"/>
              <w:left w:val="nil"/>
              <w:bottom w:val="single" w:sz="4" w:space="0" w:color="auto"/>
              <w:right w:val="single" w:sz="4" w:space="0" w:color="auto"/>
            </w:tcBorders>
            <w:noWrap/>
            <w:vAlign w:val="bottom"/>
            <w:hideMark/>
          </w:tcPr>
          <w:p w:rsidR="00844797" w:rsidRPr="000328B6" w:rsidP="00844797" w14:paraId="5CAC82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11*9111</w:t>
            </w:r>
          </w:p>
        </w:tc>
        <w:tc>
          <w:tcPr>
            <w:tcW w:w="165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844797" w:rsidRPr="000328B6" w:rsidP="00844797" w14:paraId="610B76CD" w14:textId="357C651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color w:val="000000" w:themeColor="text1"/>
                <w:sz w:val="24"/>
              </w:rPr>
              <w:t>68.15</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844797" w:rsidRPr="000328B6" w:rsidP="00844797" w14:paraId="0FD990FC" w14:textId="3BA8BE8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color w:val="000000" w:themeColor="text1"/>
                <w:sz w:val="24"/>
              </w:rPr>
              <w:t>68.15</w:t>
            </w:r>
            <w:r w:rsidRPr="000328B6">
              <w:rPr>
                <w:sz w:val="24"/>
              </w:rPr>
              <w:t xml:space="preserve"> </w:t>
            </w:r>
          </w:p>
        </w:tc>
      </w:tr>
      <w:tr w14:paraId="1C3A2346" w14:textId="77777777" w:rsidTr="00844797">
        <w:tblPrEx>
          <w:tblW w:w="813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844797" w:rsidRPr="000328B6" w:rsidP="00844797" w14:paraId="7B152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Administrator</w:t>
            </w:r>
          </w:p>
        </w:tc>
        <w:tc>
          <w:tcPr>
            <w:tcW w:w="1700" w:type="dxa"/>
            <w:tcBorders>
              <w:top w:val="nil"/>
              <w:left w:val="nil"/>
              <w:bottom w:val="single" w:sz="4" w:space="0" w:color="auto"/>
              <w:right w:val="single" w:sz="4" w:space="0" w:color="auto"/>
            </w:tcBorders>
            <w:noWrap/>
            <w:vAlign w:val="bottom"/>
            <w:hideMark/>
          </w:tcPr>
          <w:p w:rsidR="00844797" w:rsidRPr="000328B6" w:rsidP="00844797" w14:paraId="751385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165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844797" w:rsidRPr="000328B6" w:rsidP="00844797" w14:paraId="08F7FCE5" w14:textId="53A2409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color w:val="000000" w:themeColor="text1"/>
                <w:sz w:val="24"/>
              </w:rPr>
              <w:t>34.40</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844797" w:rsidRPr="000328B6" w:rsidP="00844797" w14:paraId="2CADA25A" w14:textId="5ECBF64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color w:val="000000" w:themeColor="text1"/>
                <w:sz w:val="24"/>
              </w:rPr>
              <w:t>34.40</w:t>
            </w:r>
            <w:r w:rsidRPr="000328B6">
              <w:rPr>
                <w:sz w:val="24"/>
              </w:rPr>
              <w:t xml:space="preserve"> </w:t>
            </w:r>
          </w:p>
        </w:tc>
      </w:tr>
      <w:tr w14:paraId="72493D8B" w14:textId="77777777" w:rsidTr="00844797">
        <w:tblPrEx>
          <w:tblW w:w="813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844797" w:rsidRPr="000328B6" w:rsidP="00844797" w14:paraId="7D6800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Total Mean Hourly Wage</w:t>
            </w:r>
          </w:p>
        </w:tc>
        <w:tc>
          <w:tcPr>
            <w:tcW w:w="1700" w:type="dxa"/>
            <w:tcBorders>
              <w:top w:val="nil"/>
              <w:left w:val="nil"/>
              <w:bottom w:val="single" w:sz="4" w:space="0" w:color="auto"/>
              <w:right w:val="single" w:sz="4" w:space="0" w:color="auto"/>
            </w:tcBorders>
            <w:vAlign w:val="center"/>
            <w:hideMark/>
          </w:tcPr>
          <w:p w:rsidR="00844797" w:rsidRPr="000328B6" w:rsidP="00844797" w14:paraId="19E19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w:t>
            </w:r>
          </w:p>
        </w:tc>
        <w:tc>
          <w:tcPr>
            <w:tcW w:w="1656" w:type="dxa"/>
            <w:tcBorders>
              <w:top w:val="single" w:sz="4" w:space="0" w:color="auto"/>
              <w:left w:val="nil"/>
              <w:bottom w:val="single" w:sz="4" w:space="0" w:color="auto"/>
              <w:right w:val="single" w:sz="4" w:space="0" w:color="auto"/>
            </w:tcBorders>
            <w:shd w:val="clear" w:color="auto" w:fill="FFFFFF" w:themeFill="background1"/>
            <w:vAlign w:val="center"/>
            <w:hideMark/>
          </w:tcPr>
          <w:p w:rsidR="00844797" w:rsidRPr="000328B6" w:rsidP="00844797" w14:paraId="7E62C262" w14:textId="51B3A0D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sz w:val="24"/>
              </w:rPr>
              <w:t>136.95</w:t>
            </w:r>
            <w:r w:rsidRPr="000328B6">
              <w:rPr>
                <w:sz w:val="24"/>
              </w:rPr>
              <w:t xml:space="preserve">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844797" w:rsidRPr="000328B6" w:rsidP="00844797" w14:paraId="2DC8253C" w14:textId="732D2D0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Pr>
                <w:sz w:val="24"/>
              </w:rPr>
              <w:t>136.95</w:t>
            </w:r>
            <w:r w:rsidRPr="000328B6">
              <w:rPr>
                <w:sz w:val="24"/>
              </w:rPr>
              <w:t xml:space="preserve"> </w:t>
            </w:r>
          </w:p>
        </w:tc>
      </w:tr>
      <w:tr w14:paraId="58164433" w14:textId="77777777" w:rsidTr="00844797">
        <w:tblPrEx>
          <w:tblW w:w="813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vAlign w:val="center"/>
            <w:hideMark/>
          </w:tcPr>
          <w:p w:rsidR="00844797" w:rsidRPr="000328B6" w:rsidP="00844797" w14:paraId="7ECAF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vAlign w:val="center"/>
            <w:hideMark/>
          </w:tcPr>
          <w:p w:rsidR="00844797" w:rsidRPr="000328B6" w:rsidP="00844797" w14:paraId="4BE6B4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w:t>
            </w:r>
          </w:p>
        </w:tc>
        <w:tc>
          <w:tcPr>
            <w:tcW w:w="1656" w:type="dxa"/>
            <w:tcBorders>
              <w:top w:val="nil"/>
              <w:left w:val="nil"/>
              <w:bottom w:val="single" w:sz="4" w:space="0" w:color="auto"/>
              <w:right w:val="single" w:sz="4" w:space="0" w:color="auto"/>
            </w:tcBorders>
            <w:noWrap/>
            <w:vAlign w:val="bottom"/>
            <w:hideMark/>
          </w:tcPr>
          <w:p w:rsidR="00844797" w:rsidRPr="000328B6" w:rsidP="00844797" w14:paraId="6C9B6097" w14:textId="2725E4E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w:t>
            </w:r>
            <w:r>
              <w:rPr>
                <w:b/>
                <w:bCs/>
                <w:sz w:val="24"/>
              </w:rPr>
              <w:t>45.65</w:t>
            </w:r>
            <w:r w:rsidRPr="000328B6">
              <w:rPr>
                <w:b/>
                <w:bCs/>
                <w:sz w:val="24"/>
              </w:rPr>
              <w:t xml:space="preserve"> </w:t>
            </w:r>
          </w:p>
        </w:tc>
        <w:tc>
          <w:tcPr>
            <w:tcW w:w="1220" w:type="dxa"/>
            <w:tcBorders>
              <w:top w:val="nil"/>
              <w:left w:val="nil"/>
              <w:bottom w:val="single" w:sz="4" w:space="0" w:color="auto"/>
              <w:right w:val="single" w:sz="4" w:space="0" w:color="auto"/>
            </w:tcBorders>
            <w:noWrap/>
            <w:vAlign w:val="bottom"/>
            <w:hideMark/>
          </w:tcPr>
          <w:p w:rsidR="00844797" w:rsidRPr="000328B6" w:rsidP="00844797" w14:paraId="1FD561D1" w14:textId="73CB269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w:t>
            </w:r>
            <w:r>
              <w:rPr>
                <w:b/>
                <w:bCs/>
                <w:sz w:val="24"/>
              </w:rPr>
              <w:t>45.65</w:t>
            </w:r>
            <w:r w:rsidRPr="000328B6">
              <w:rPr>
                <w:b/>
                <w:bCs/>
                <w:sz w:val="24"/>
              </w:rPr>
              <w:t xml:space="preserve"> </w:t>
            </w:r>
          </w:p>
        </w:tc>
      </w:tr>
    </w:tbl>
    <w:p w:rsidR="00FE1E34" w:rsidP="00AC550B" w14:paraId="69433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3DB1" w:rsidRPr="000328B6" w:rsidP="00AC550B" w14:paraId="38F10A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46AC26A5"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noWrap/>
            <w:vAlign w:val="bottom"/>
            <w:hideMark/>
          </w:tcPr>
          <w:p w:rsidR="00652AF1" w:rsidRPr="000328B6" w:rsidP="00052490" w14:paraId="52C7A81F" w14:textId="5394634B">
            <w:pPr>
              <w:widowControl/>
              <w:autoSpaceDE/>
              <w:autoSpaceDN/>
              <w:adjustRightInd/>
              <w:rPr>
                <w:color w:val="000000"/>
                <w:sz w:val="24"/>
              </w:rPr>
            </w:pPr>
            <w:r w:rsidRPr="000328B6">
              <w:rPr>
                <w:color w:val="000000" w:themeColor="text1"/>
                <w:sz w:val="24"/>
              </w:rPr>
              <w:t>$</w:t>
            </w:r>
            <w:r w:rsidR="00844797">
              <w:rPr>
                <w:b/>
                <w:bCs/>
                <w:sz w:val="24"/>
              </w:rPr>
              <w:t>45.65</w:t>
            </w:r>
            <w:r w:rsidRPr="000328B6">
              <w:rPr>
                <w:color w:val="000000" w:themeColor="text1"/>
                <w:sz w:val="24"/>
              </w:rPr>
              <w:t xml:space="preserve"> </w:t>
            </w:r>
          </w:p>
        </w:tc>
        <w:tc>
          <w:tcPr>
            <w:tcW w:w="2660" w:type="dxa"/>
            <w:gridSpan w:val="2"/>
            <w:tcBorders>
              <w:top w:val="nil"/>
              <w:left w:val="nil"/>
              <w:bottom w:val="nil"/>
              <w:right w:val="nil"/>
            </w:tcBorders>
            <w:noWrap/>
            <w:vAlign w:val="bottom"/>
            <w:hideMark/>
          </w:tcPr>
          <w:p w:rsidR="00652AF1" w:rsidRPr="000328B6" w:rsidP="00E41254" w14:paraId="5089847A" w14:textId="77777777">
            <w:pPr>
              <w:widowControl/>
              <w:autoSpaceDE/>
              <w:autoSpaceDN/>
              <w:adjustRightInd/>
              <w:rPr>
                <w:color w:val="000000"/>
                <w:sz w:val="24"/>
              </w:rPr>
            </w:pPr>
            <w:r w:rsidRPr="000328B6">
              <w:rPr>
                <w:color w:val="000000"/>
                <w:sz w:val="24"/>
              </w:rPr>
              <w:t>average hourly wage</w:t>
            </w:r>
          </w:p>
        </w:tc>
      </w:tr>
      <w:tr w14:paraId="2E399F03" w14:textId="77777777" w:rsidTr="00E174E4">
        <w:tblPrEx>
          <w:tblW w:w="7440" w:type="dxa"/>
          <w:tblInd w:w="720" w:type="dxa"/>
          <w:tblLook w:val="04A0"/>
        </w:tblPrEx>
        <w:trPr>
          <w:trHeight w:val="300"/>
        </w:trPr>
        <w:tc>
          <w:tcPr>
            <w:tcW w:w="3560" w:type="dxa"/>
            <w:tcBorders>
              <w:top w:val="nil"/>
              <w:left w:val="nil"/>
              <w:bottom w:val="nil"/>
              <w:right w:val="nil"/>
            </w:tcBorders>
            <w:noWrap/>
            <w:vAlign w:val="bottom"/>
            <w:hideMark/>
          </w:tcPr>
          <w:p w:rsidR="00652AF1" w:rsidRPr="000328B6" w:rsidP="00052490" w14:paraId="5553581D" w14:textId="7EB21892">
            <w:pPr>
              <w:widowControl/>
              <w:autoSpaceDE/>
              <w:autoSpaceDN/>
              <w:adjustRightInd/>
              <w:rPr>
                <w:color w:val="000000"/>
                <w:sz w:val="24"/>
              </w:rPr>
            </w:pPr>
            <w:r w:rsidRPr="000328B6">
              <w:rPr>
                <w:color w:val="000000" w:themeColor="text1"/>
                <w:sz w:val="24"/>
              </w:rPr>
              <w:t>$</w:t>
            </w:r>
            <w:r w:rsidR="00844797">
              <w:rPr>
                <w:b/>
                <w:bCs/>
                <w:sz w:val="24"/>
              </w:rPr>
              <w:t>45.65</w:t>
            </w:r>
            <w:r w:rsidRPr="000328B6">
              <w:rPr>
                <w:color w:val="000000" w:themeColor="text1"/>
                <w:sz w:val="24"/>
              </w:rPr>
              <w:t xml:space="preserve"> +</w:t>
            </w:r>
          </w:p>
        </w:tc>
        <w:tc>
          <w:tcPr>
            <w:tcW w:w="3880" w:type="dxa"/>
            <w:gridSpan w:val="3"/>
            <w:tcBorders>
              <w:top w:val="nil"/>
              <w:left w:val="nil"/>
              <w:bottom w:val="nil"/>
              <w:right w:val="nil"/>
            </w:tcBorders>
            <w:noWrap/>
            <w:vAlign w:val="bottom"/>
            <w:hideMark/>
          </w:tcPr>
          <w:p w:rsidR="00652AF1" w:rsidRPr="000328B6" w:rsidP="00E41254" w14:paraId="79683802" w14:textId="77777777">
            <w:pPr>
              <w:widowControl/>
              <w:autoSpaceDE/>
              <w:autoSpaceDN/>
              <w:adjustRightInd/>
              <w:rPr>
                <w:color w:val="000000"/>
                <w:sz w:val="24"/>
              </w:rPr>
            </w:pPr>
            <w:r w:rsidRPr="000328B6">
              <w:rPr>
                <w:color w:val="000000"/>
                <w:sz w:val="24"/>
              </w:rPr>
              <w:t>increased by a factor of 100 percent</w:t>
            </w:r>
          </w:p>
        </w:tc>
      </w:tr>
      <w:tr w14:paraId="59C4A461" w14:textId="77777777" w:rsidTr="00E174E4">
        <w:tblPrEx>
          <w:tblW w:w="7440" w:type="dxa"/>
          <w:tblInd w:w="720" w:type="dxa"/>
          <w:tblLook w:val="04A0"/>
        </w:tblPrEx>
        <w:trPr>
          <w:trHeight w:val="300"/>
        </w:trPr>
        <w:tc>
          <w:tcPr>
            <w:tcW w:w="3560" w:type="dxa"/>
            <w:tcBorders>
              <w:top w:val="nil"/>
              <w:left w:val="nil"/>
              <w:bottom w:val="nil"/>
              <w:right w:val="nil"/>
            </w:tcBorders>
            <w:noWrap/>
            <w:vAlign w:val="bottom"/>
            <w:hideMark/>
          </w:tcPr>
          <w:p w:rsidR="00652AF1" w:rsidRPr="000328B6" w:rsidP="00052490" w14:paraId="7395FA59" w14:textId="1165A190">
            <w:pPr>
              <w:widowControl/>
              <w:autoSpaceDE/>
              <w:autoSpaceDN/>
              <w:adjustRightInd/>
              <w:rPr>
                <w:b/>
                <w:bCs/>
                <w:color w:val="000000"/>
                <w:sz w:val="24"/>
              </w:rPr>
            </w:pPr>
            <w:r w:rsidRPr="000328B6">
              <w:rPr>
                <w:b/>
                <w:bCs/>
                <w:color w:val="000000" w:themeColor="text1"/>
                <w:sz w:val="24"/>
              </w:rPr>
              <w:t>= $</w:t>
            </w:r>
            <w:r w:rsidR="004001B7">
              <w:rPr>
                <w:b/>
                <w:bCs/>
                <w:color w:val="000000" w:themeColor="text1"/>
                <w:sz w:val="24"/>
              </w:rPr>
              <w:t>91</w:t>
            </w:r>
            <w:r w:rsidR="00202493">
              <w:rPr>
                <w:b/>
                <w:bCs/>
                <w:color w:val="000000" w:themeColor="text1"/>
                <w:sz w:val="24"/>
              </w:rPr>
              <w:t>.30</w:t>
            </w:r>
            <w:r w:rsidRPr="000328B6">
              <w:rPr>
                <w:b/>
                <w:bCs/>
                <w:color w:val="000000" w:themeColor="text1"/>
                <w:sz w:val="24"/>
              </w:rPr>
              <w:t xml:space="preserve"> </w:t>
            </w:r>
          </w:p>
        </w:tc>
        <w:tc>
          <w:tcPr>
            <w:tcW w:w="3880" w:type="dxa"/>
            <w:gridSpan w:val="3"/>
            <w:tcBorders>
              <w:top w:val="nil"/>
              <w:left w:val="nil"/>
              <w:bottom w:val="nil"/>
              <w:right w:val="nil"/>
            </w:tcBorders>
            <w:noWrap/>
            <w:vAlign w:val="bottom"/>
            <w:hideMark/>
          </w:tcPr>
          <w:p w:rsidR="00652AF1" w:rsidRPr="000328B6" w:rsidP="00E41254" w14:paraId="5BB21461" w14:textId="77777777">
            <w:pPr>
              <w:widowControl/>
              <w:autoSpaceDE/>
              <w:autoSpaceDN/>
              <w:adjustRightInd/>
              <w:rPr>
                <w:color w:val="000000"/>
                <w:sz w:val="24"/>
              </w:rPr>
            </w:pPr>
            <w:r w:rsidRPr="000328B6">
              <w:rPr>
                <w:color w:val="000000"/>
                <w:sz w:val="24"/>
              </w:rPr>
              <w:t>Average Hourly wage used in PRA package</w:t>
            </w:r>
          </w:p>
        </w:tc>
      </w:tr>
      <w:tr w14:paraId="684CD7B0"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noWrap/>
            <w:vAlign w:val="bottom"/>
            <w:hideMark/>
          </w:tcPr>
          <w:p w:rsidR="00652AF1" w:rsidRPr="000328B6" w:rsidP="00E41254" w14:paraId="67E30097"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noWrap/>
            <w:vAlign w:val="bottom"/>
            <w:hideMark/>
          </w:tcPr>
          <w:p w:rsidR="00652AF1" w:rsidRPr="000328B6" w:rsidP="00052490" w14:paraId="0A9A9B84" w14:textId="02F3C2FE">
            <w:pPr>
              <w:widowControl/>
              <w:autoSpaceDE/>
              <w:autoSpaceDN/>
              <w:adjustRightInd/>
              <w:rPr>
                <w:sz w:val="24"/>
              </w:rPr>
            </w:pPr>
            <w:r>
              <w:rPr>
                <w:sz w:val="24"/>
              </w:rPr>
              <w:t>3,203</w:t>
            </w:r>
          </w:p>
        </w:tc>
      </w:tr>
    </w:tbl>
    <w:p w:rsidR="00A53DB1" w:rsidRPr="00A53DB1" w:rsidP="029C8DE8" w14:paraId="6EDF6E6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44"/>
          <w:szCs w:val="144"/>
        </w:rPr>
      </w:pPr>
    </w:p>
    <w:p w:rsidR="00697B79" w:rsidRPr="000328B6" w:rsidP="029C8DE8" w14:paraId="5853E9E3" w14:textId="320475A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We estimate the total annual hours to be </w:t>
      </w:r>
      <w:r w:rsidR="006206FD">
        <w:rPr>
          <w:sz w:val="24"/>
        </w:rPr>
        <w:t>4,016</w:t>
      </w:r>
      <w:r w:rsidRPr="4776D791">
        <w:rPr>
          <w:sz w:val="24"/>
        </w:rPr>
        <w:t xml:space="preserve"> and cost of all data types to be $</w:t>
      </w:r>
      <w:r w:rsidR="006206FD">
        <w:rPr>
          <w:sz w:val="24"/>
        </w:rPr>
        <w:t>405,009.68</w:t>
      </w:r>
      <w:r w:rsidRPr="4776D791">
        <w:rPr>
          <w:sz w:val="24"/>
        </w:rPr>
        <w:t xml:space="preserve">.  </w:t>
      </w:r>
    </w:p>
    <w:tbl>
      <w:tblPr>
        <w:tblW w:w="6390" w:type="dxa"/>
        <w:tblInd w:w="432" w:type="dxa"/>
        <w:tblLook w:val="04A0"/>
      </w:tblPr>
      <w:tblGrid>
        <w:gridCol w:w="1833"/>
        <w:gridCol w:w="1763"/>
        <w:gridCol w:w="1136"/>
        <w:gridCol w:w="1722"/>
      </w:tblGrid>
      <w:tr w14:paraId="2C4B0854" w14:textId="77777777" w:rsidTr="000F6CBA">
        <w:tblPrEx>
          <w:tblW w:w="6390" w:type="dxa"/>
          <w:tblInd w:w="432" w:type="dxa"/>
          <w:tblLook w:val="04A0"/>
        </w:tblPrEx>
        <w:trPr>
          <w:trHeight w:val="300"/>
        </w:trPr>
        <w:tc>
          <w:tcPr>
            <w:tcW w:w="1833" w:type="dxa"/>
            <w:tcBorders>
              <w:top w:val="single" w:sz="4" w:space="0" w:color="auto"/>
              <w:left w:val="single" w:sz="4" w:space="0" w:color="auto"/>
              <w:bottom w:val="single" w:sz="4" w:space="0" w:color="auto"/>
              <w:right w:val="single" w:sz="4" w:space="0" w:color="auto"/>
            </w:tcBorders>
            <w:noWrap/>
            <w:vAlign w:val="bottom"/>
            <w:hideMark/>
          </w:tcPr>
          <w:p w:rsidR="00F6426E" w:rsidRPr="000328B6" w:rsidP="0C61C16F" w14:paraId="264093A4" w14:textId="77777777">
            <w:pPr>
              <w:widowControl/>
              <w:autoSpaceDE/>
              <w:autoSpaceDN/>
              <w:adjustRightInd/>
              <w:rPr>
                <w:sz w:val="24"/>
              </w:rPr>
            </w:pPr>
            <w:r w:rsidRPr="000328B6">
              <w:rPr>
                <w:sz w:val="24"/>
              </w:rPr>
              <w:t>Data Type</w:t>
            </w:r>
          </w:p>
        </w:tc>
        <w:tc>
          <w:tcPr>
            <w:tcW w:w="1763" w:type="dxa"/>
            <w:tcBorders>
              <w:top w:val="single" w:sz="4" w:space="0" w:color="auto"/>
              <w:left w:val="nil"/>
              <w:bottom w:val="single" w:sz="4" w:space="0" w:color="auto"/>
              <w:right w:val="single" w:sz="4" w:space="0" w:color="auto"/>
            </w:tcBorders>
            <w:noWrap/>
            <w:vAlign w:val="bottom"/>
            <w:hideMark/>
          </w:tcPr>
          <w:p w:rsidR="00F6426E" w:rsidRPr="000328B6" w:rsidP="029C8DE8" w14:paraId="166CBCD1" w14:textId="1DB432B2">
            <w:pPr>
              <w:widowControl/>
              <w:autoSpaceDE/>
              <w:autoSpaceDN/>
              <w:adjustRightInd/>
              <w:rPr>
                <w:sz w:val="24"/>
              </w:rPr>
            </w:pPr>
            <w:r>
              <w:rPr>
                <w:sz w:val="24"/>
              </w:rPr>
              <w:t>2025</w:t>
            </w:r>
            <w:r w:rsidRPr="029C8DE8">
              <w:rPr>
                <w:sz w:val="24"/>
              </w:rPr>
              <w:t xml:space="preserve"> </w:t>
            </w:r>
            <w:r w:rsidRPr="029C8DE8" w:rsidR="001907AF">
              <w:rPr>
                <w:sz w:val="24"/>
              </w:rPr>
              <w:t>Responses</w:t>
            </w:r>
          </w:p>
        </w:tc>
        <w:tc>
          <w:tcPr>
            <w:tcW w:w="1072" w:type="dxa"/>
            <w:tcBorders>
              <w:top w:val="single" w:sz="4" w:space="0" w:color="auto"/>
              <w:left w:val="nil"/>
              <w:bottom w:val="single" w:sz="4" w:space="0" w:color="auto"/>
              <w:right w:val="single" w:sz="4" w:space="0" w:color="auto"/>
            </w:tcBorders>
            <w:vAlign w:val="bottom"/>
          </w:tcPr>
          <w:p w:rsidR="00F6426E" w14:paraId="24651061" w14:textId="5A4224FC">
            <w:pPr>
              <w:rPr>
                <w:sz w:val="24"/>
              </w:rPr>
            </w:pPr>
            <w:r w:rsidRPr="029C8DE8">
              <w:rPr>
                <w:sz w:val="24"/>
              </w:rPr>
              <w:t>Annual Total Burden Hours</w:t>
            </w:r>
            <w:r>
              <w:rPr>
                <w:sz w:val="24"/>
              </w:rPr>
              <w:t xml:space="preserve"> requested </w:t>
            </w:r>
          </w:p>
        </w:tc>
        <w:tc>
          <w:tcPr>
            <w:tcW w:w="1722" w:type="dxa"/>
            <w:tcBorders>
              <w:top w:val="single" w:sz="4" w:space="0" w:color="auto"/>
              <w:left w:val="nil"/>
              <w:bottom w:val="single" w:sz="4" w:space="0" w:color="auto"/>
              <w:right w:val="single" w:sz="4" w:space="0" w:color="auto"/>
            </w:tcBorders>
            <w:noWrap/>
            <w:vAlign w:val="bottom"/>
            <w:hideMark/>
          </w:tcPr>
          <w:p w:rsidR="00F6426E" w:rsidRPr="000328B6" w:rsidP="0C61C16F" w14:paraId="64946747" w14:textId="77777777">
            <w:pPr>
              <w:widowControl/>
              <w:autoSpaceDE/>
              <w:autoSpaceDN/>
              <w:adjustRightInd/>
              <w:rPr>
                <w:sz w:val="24"/>
              </w:rPr>
            </w:pPr>
            <w:r w:rsidRPr="000328B6">
              <w:rPr>
                <w:sz w:val="24"/>
              </w:rPr>
              <w:t>Estimated Annual Cost</w:t>
            </w:r>
          </w:p>
        </w:tc>
      </w:tr>
      <w:tr w14:paraId="7619460A"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noWrap/>
            <w:vAlign w:val="bottom"/>
            <w:hideMark/>
          </w:tcPr>
          <w:p w:rsidR="00F6426E" w:rsidRPr="000328B6" w:rsidP="0C61C16F" w14:paraId="558B49D1" w14:textId="77777777">
            <w:pPr>
              <w:widowControl/>
              <w:autoSpaceDE/>
              <w:autoSpaceDN/>
              <w:adjustRightInd/>
              <w:rPr>
                <w:sz w:val="24"/>
              </w:rPr>
            </w:pPr>
            <w:r w:rsidRPr="000328B6">
              <w:rPr>
                <w:sz w:val="24"/>
              </w:rPr>
              <w:t xml:space="preserve">1135 Waiver Requests </w:t>
            </w:r>
          </w:p>
        </w:tc>
        <w:tc>
          <w:tcPr>
            <w:tcW w:w="1763" w:type="dxa"/>
            <w:tcBorders>
              <w:top w:val="nil"/>
              <w:left w:val="nil"/>
              <w:bottom w:val="single" w:sz="4" w:space="0" w:color="auto"/>
              <w:right w:val="single" w:sz="4" w:space="0" w:color="auto"/>
            </w:tcBorders>
            <w:noWrap/>
            <w:vAlign w:val="bottom"/>
            <w:hideMark/>
          </w:tcPr>
          <w:p w:rsidR="00F6426E" w:rsidRPr="000328B6" w:rsidP="000F6CBA" w14:paraId="5B9BC5D1" w14:textId="7A1697F9">
            <w:pPr>
              <w:widowControl/>
              <w:autoSpaceDE/>
              <w:autoSpaceDN/>
              <w:adjustRightInd/>
              <w:jc w:val="right"/>
              <w:rPr>
                <w:sz w:val="24"/>
              </w:rPr>
            </w:pPr>
            <w:r>
              <w:rPr>
                <w:sz w:val="24"/>
              </w:rPr>
              <w:t>1,482</w:t>
            </w:r>
          </w:p>
        </w:tc>
        <w:tc>
          <w:tcPr>
            <w:tcW w:w="1072" w:type="dxa"/>
            <w:tcBorders>
              <w:top w:val="nil"/>
              <w:left w:val="nil"/>
              <w:bottom w:val="single" w:sz="4" w:space="0" w:color="auto"/>
              <w:right w:val="single" w:sz="4" w:space="0" w:color="auto"/>
            </w:tcBorders>
            <w:vAlign w:val="bottom"/>
          </w:tcPr>
          <w:p w:rsidR="00F6426E" w:rsidP="000F6CBA" w14:paraId="3E5808A4" w14:textId="4FD1127C">
            <w:pPr>
              <w:jc w:val="right"/>
              <w:rPr>
                <w:sz w:val="24"/>
              </w:rPr>
            </w:pPr>
            <w:r>
              <w:rPr>
                <w:sz w:val="24"/>
              </w:rPr>
              <w:t>741</w:t>
            </w:r>
          </w:p>
        </w:tc>
        <w:tc>
          <w:tcPr>
            <w:tcW w:w="1722" w:type="dxa"/>
            <w:tcBorders>
              <w:top w:val="nil"/>
              <w:left w:val="nil"/>
              <w:bottom w:val="single" w:sz="4" w:space="0" w:color="auto"/>
              <w:right w:val="single" w:sz="4" w:space="0" w:color="auto"/>
            </w:tcBorders>
            <w:noWrap/>
            <w:vAlign w:val="bottom"/>
            <w:hideMark/>
          </w:tcPr>
          <w:p w:rsidR="00F6426E" w:rsidRPr="000328B6" w:rsidP="0C61C16F" w14:paraId="0200DC8A" w14:textId="22BEEF99">
            <w:pPr>
              <w:widowControl/>
              <w:autoSpaceDE/>
              <w:autoSpaceDN/>
              <w:adjustRightInd/>
              <w:jc w:val="right"/>
              <w:rPr>
                <w:sz w:val="24"/>
              </w:rPr>
            </w:pPr>
            <w:r w:rsidRPr="000328B6">
              <w:rPr>
                <w:sz w:val="24"/>
              </w:rPr>
              <w:t>$</w:t>
            </w:r>
            <w:r w:rsidRPr="008F6A65" w:rsidR="00BB0C5C">
              <w:rPr>
                <w:sz w:val="24"/>
              </w:rPr>
              <w:t>102,924.90</w:t>
            </w:r>
            <w:r w:rsidRPr="005D72E5" w:rsidR="00BB0C5C">
              <w:rPr>
                <w:sz w:val="24"/>
              </w:rPr>
              <w:t xml:space="preserve"> </w:t>
            </w:r>
            <w:r w:rsidRPr="000328B6">
              <w:rPr>
                <w:sz w:val="24"/>
              </w:rPr>
              <w:t xml:space="preserve"> </w:t>
            </w:r>
          </w:p>
        </w:tc>
      </w:tr>
      <w:tr w14:paraId="7BB27338"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noWrap/>
            <w:vAlign w:val="bottom"/>
            <w:hideMark/>
          </w:tcPr>
          <w:p w:rsidR="00F6426E" w:rsidRPr="000328B6" w:rsidP="0C61C16F" w14:paraId="42A0D868" w14:textId="77777777">
            <w:pPr>
              <w:widowControl/>
              <w:autoSpaceDE/>
              <w:autoSpaceDN/>
              <w:adjustRightInd/>
              <w:rPr>
                <w:sz w:val="24"/>
              </w:rPr>
            </w:pPr>
            <w:r w:rsidRPr="000328B6">
              <w:rPr>
                <w:sz w:val="24"/>
              </w:rPr>
              <w:t>Inquiries</w:t>
            </w:r>
          </w:p>
        </w:tc>
        <w:tc>
          <w:tcPr>
            <w:tcW w:w="1763" w:type="dxa"/>
            <w:tcBorders>
              <w:top w:val="nil"/>
              <w:left w:val="nil"/>
              <w:bottom w:val="single" w:sz="4" w:space="0" w:color="auto"/>
              <w:right w:val="single" w:sz="4" w:space="0" w:color="auto"/>
            </w:tcBorders>
            <w:noWrap/>
            <w:vAlign w:val="bottom"/>
            <w:hideMark/>
          </w:tcPr>
          <w:p w:rsidR="00F6426E" w:rsidRPr="000328B6" w:rsidP="000F6CBA" w14:paraId="2F9AF868" w14:textId="11FA7E2D">
            <w:pPr>
              <w:widowControl/>
              <w:spacing w:line="259" w:lineRule="auto"/>
              <w:jc w:val="right"/>
              <w:rPr>
                <w:sz w:val="24"/>
              </w:rPr>
            </w:pPr>
            <w:r>
              <w:rPr>
                <w:sz w:val="24"/>
              </w:rPr>
              <w:t>144</w:t>
            </w:r>
          </w:p>
        </w:tc>
        <w:tc>
          <w:tcPr>
            <w:tcW w:w="1072" w:type="dxa"/>
            <w:tcBorders>
              <w:top w:val="nil"/>
              <w:left w:val="nil"/>
              <w:bottom w:val="single" w:sz="4" w:space="0" w:color="auto"/>
              <w:right w:val="single" w:sz="4" w:space="0" w:color="auto"/>
            </w:tcBorders>
            <w:vAlign w:val="bottom"/>
          </w:tcPr>
          <w:p w:rsidR="00F6426E" w:rsidP="000F6CBA" w14:paraId="3561C61A" w14:textId="51C743A9">
            <w:pPr>
              <w:jc w:val="right"/>
              <w:rPr>
                <w:sz w:val="24"/>
              </w:rPr>
            </w:pPr>
            <w:r>
              <w:rPr>
                <w:sz w:val="24"/>
              </w:rPr>
              <w:t>72</w:t>
            </w:r>
          </w:p>
        </w:tc>
        <w:tc>
          <w:tcPr>
            <w:tcW w:w="1722" w:type="dxa"/>
            <w:tcBorders>
              <w:top w:val="nil"/>
              <w:left w:val="nil"/>
              <w:bottom w:val="single" w:sz="4" w:space="0" w:color="auto"/>
              <w:right w:val="single" w:sz="4" w:space="0" w:color="auto"/>
            </w:tcBorders>
            <w:noWrap/>
            <w:vAlign w:val="bottom"/>
            <w:hideMark/>
          </w:tcPr>
          <w:p w:rsidR="00F6426E" w:rsidRPr="000328B6" w:rsidP="0C61C16F" w14:paraId="67387376" w14:textId="647B96E4">
            <w:pPr>
              <w:widowControl/>
              <w:autoSpaceDE/>
              <w:autoSpaceDN/>
              <w:adjustRightInd/>
              <w:jc w:val="right"/>
              <w:rPr>
                <w:sz w:val="24"/>
              </w:rPr>
            </w:pPr>
            <w:r w:rsidRPr="000328B6">
              <w:rPr>
                <w:sz w:val="24"/>
              </w:rPr>
              <w:t>$</w:t>
            </w:r>
            <w:r w:rsidRPr="00ED3D2D" w:rsidR="001E28BC">
              <w:rPr>
                <w:sz w:val="24"/>
              </w:rPr>
              <w:t xml:space="preserve">9,650.88 </w:t>
            </w:r>
            <w:r w:rsidRPr="000328B6">
              <w:rPr>
                <w:sz w:val="24"/>
              </w:rPr>
              <w:t xml:space="preserve"> </w:t>
            </w:r>
          </w:p>
        </w:tc>
      </w:tr>
      <w:tr w14:paraId="69E7F95E"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noWrap/>
            <w:vAlign w:val="bottom"/>
            <w:hideMark/>
          </w:tcPr>
          <w:p w:rsidR="00F6426E" w:rsidRPr="000328B6" w:rsidP="0C61C16F" w14:paraId="07FB2721" w14:textId="34AC1C42">
            <w:pPr>
              <w:widowControl/>
              <w:autoSpaceDE/>
              <w:autoSpaceDN/>
              <w:adjustRightInd/>
              <w:rPr>
                <w:sz w:val="24"/>
              </w:rPr>
            </w:pPr>
            <w:r w:rsidRPr="000328B6">
              <w:rPr>
                <w:sz w:val="24"/>
              </w:rPr>
              <w:t>Health Care Facility (HCF) Operational Status</w:t>
            </w:r>
          </w:p>
        </w:tc>
        <w:tc>
          <w:tcPr>
            <w:tcW w:w="1763" w:type="dxa"/>
            <w:tcBorders>
              <w:top w:val="nil"/>
              <w:left w:val="nil"/>
              <w:bottom w:val="single" w:sz="4" w:space="0" w:color="auto"/>
              <w:right w:val="single" w:sz="4" w:space="0" w:color="auto"/>
            </w:tcBorders>
            <w:noWrap/>
            <w:vAlign w:val="bottom"/>
            <w:hideMark/>
          </w:tcPr>
          <w:p w:rsidR="00F6426E" w:rsidRPr="000328B6" w:rsidP="000F6CBA" w14:paraId="4918D329" w14:textId="74588344">
            <w:pPr>
              <w:widowControl/>
              <w:autoSpaceDE/>
              <w:autoSpaceDN/>
              <w:adjustRightInd/>
              <w:jc w:val="right"/>
              <w:rPr>
                <w:sz w:val="24"/>
              </w:rPr>
            </w:pPr>
            <w:r>
              <w:rPr>
                <w:sz w:val="24"/>
              </w:rPr>
              <w:t>3,203</w:t>
            </w:r>
          </w:p>
        </w:tc>
        <w:tc>
          <w:tcPr>
            <w:tcW w:w="1072" w:type="dxa"/>
            <w:tcBorders>
              <w:top w:val="nil"/>
              <w:left w:val="nil"/>
              <w:bottom w:val="single" w:sz="4" w:space="0" w:color="auto"/>
              <w:right w:val="single" w:sz="4" w:space="0" w:color="auto"/>
            </w:tcBorders>
            <w:vAlign w:val="bottom"/>
          </w:tcPr>
          <w:p w:rsidR="00F6426E" w:rsidP="000F6CBA" w14:paraId="057C1526" w14:textId="02B0AAC3">
            <w:pPr>
              <w:jc w:val="right"/>
              <w:rPr>
                <w:sz w:val="24"/>
              </w:rPr>
            </w:pPr>
            <w:r>
              <w:rPr>
                <w:sz w:val="24"/>
              </w:rPr>
              <w:t>3,203</w:t>
            </w:r>
          </w:p>
        </w:tc>
        <w:tc>
          <w:tcPr>
            <w:tcW w:w="1722" w:type="dxa"/>
            <w:tcBorders>
              <w:top w:val="nil"/>
              <w:left w:val="nil"/>
              <w:bottom w:val="single" w:sz="4" w:space="0" w:color="auto"/>
              <w:right w:val="single" w:sz="4" w:space="0" w:color="auto"/>
            </w:tcBorders>
            <w:noWrap/>
            <w:vAlign w:val="bottom"/>
            <w:hideMark/>
          </w:tcPr>
          <w:p w:rsidR="00F6426E" w:rsidRPr="000328B6" w:rsidP="0C61C16F" w14:paraId="5869B23F" w14:textId="4E93B369">
            <w:pPr>
              <w:widowControl/>
              <w:autoSpaceDE/>
              <w:autoSpaceDN/>
              <w:adjustRightInd/>
              <w:jc w:val="right"/>
              <w:rPr>
                <w:sz w:val="24"/>
              </w:rPr>
            </w:pPr>
            <w:r w:rsidRPr="000328B6">
              <w:rPr>
                <w:sz w:val="24"/>
              </w:rPr>
              <w:t>$</w:t>
            </w:r>
            <w:r w:rsidR="001E28BC">
              <w:rPr>
                <w:sz w:val="24"/>
              </w:rPr>
              <w:t>292,433.90</w:t>
            </w:r>
            <w:r w:rsidRPr="029C8DE8" w:rsidR="001E28BC">
              <w:rPr>
                <w:sz w:val="24"/>
              </w:rPr>
              <w:t xml:space="preserve"> </w:t>
            </w:r>
            <w:r w:rsidRPr="000328B6">
              <w:rPr>
                <w:sz w:val="24"/>
              </w:rPr>
              <w:t xml:space="preserve"> </w:t>
            </w:r>
          </w:p>
        </w:tc>
      </w:tr>
      <w:tr w14:paraId="695E196D"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noWrap/>
            <w:vAlign w:val="bottom"/>
            <w:hideMark/>
          </w:tcPr>
          <w:p w:rsidR="00F6426E" w:rsidRPr="000328B6" w:rsidP="0C61C16F" w14:paraId="03568D3A" w14:textId="77777777">
            <w:pPr>
              <w:widowControl/>
              <w:autoSpaceDE/>
              <w:autoSpaceDN/>
              <w:adjustRightInd/>
              <w:rPr>
                <w:sz w:val="24"/>
              </w:rPr>
            </w:pPr>
            <w:r w:rsidRPr="000328B6">
              <w:rPr>
                <w:sz w:val="24"/>
              </w:rPr>
              <w:t xml:space="preserve">Totals </w:t>
            </w:r>
          </w:p>
        </w:tc>
        <w:tc>
          <w:tcPr>
            <w:tcW w:w="1763" w:type="dxa"/>
            <w:tcBorders>
              <w:top w:val="nil"/>
              <w:left w:val="nil"/>
              <w:bottom w:val="single" w:sz="4" w:space="0" w:color="auto"/>
              <w:right w:val="single" w:sz="4" w:space="0" w:color="auto"/>
            </w:tcBorders>
            <w:noWrap/>
            <w:vAlign w:val="bottom"/>
            <w:hideMark/>
          </w:tcPr>
          <w:p w:rsidR="00F6426E" w:rsidRPr="000328B6" w:rsidP="000F6CBA" w14:paraId="2A74AA23" w14:textId="1356A24F">
            <w:pPr>
              <w:widowControl/>
              <w:autoSpaceDE/>
              <w:autoSpaceDN/>
              <w:adjustRightInd/>
              <w:jc w:val="right"/>
              <w:rPr>
                <w:sz w:val="24"/>
              </w:rPr>
            </w:pPr>
            <w:r w:rsidRPr="029C8DE8">
              <w:rPr>
                <w:sz w:val="24"/>
              </w:rPr>
              <w:t xml:space="preserve">       </w:t>
            </w:r>
            <w:r w:rsidR="002C7F1D">
              <w:rPr>
                <w:sz w:val="24"/>
              </w:rPr>
              <w:t>4,829</w:t>
            </w:r>
          </w:p>
        </w:tc>
        <w:tc>
          <w:tcPr>
            <w:tcW w:w="1072" w:type="dxa"/>
            <w:tcBorders>
              <w:top w:val="nil"/>
              <w:left w:val="nil"/>
              <w:bottom w:val="single" w:sz="4" w:space="0" w:color="auto"/>
              <w:right w:val="single" w:sz="4" w:space="0" w:color="auto"/>
            </w:tcBorders>
            <w:vAlign w:val="bottom"/>
          </w:tcPr>
          <w:p w:rsidR="00F6426E" w:rsidP="000F6CBA" w14:paraId="7C032FD3" w14:textId="7D9D6F09">
            <w:pPr>
              <w:jc w:val="right"/>
              <w:rPr>
                <w:sz w:val="24"/>
              </w:rPr>
            </w:pPr>
            <w:r>
              <w:rPr>
                <w:sz w:val="24"/>
              </w:rPr>
              <w:t>4,016</w:t>
            </w:r>
          </w:p>
        </w:tc>
        <w:tc>
          <w:tcPr>
            <w:tcW w:w="1722" w:type="dxa"/>
            <w:tcBorders>
              <w:top w:val="nil"/>
              <w:left w:val="nil"/>
              <w:bottom w:val="single" w:sz="4" w:space="0" w:color="auto"/>
              <w:right w:val="single" w:sz="4" w:space="0" w:color="auto"/>
            </w:tcBorders>
            <w:noWrap/>
            <w:vAlign w:val="bottom"/>
            <w:hideMark/>
          </w:tcPr>
          <w:p w:rsidR="00F6426E" w:rsidRPr="000328B6" w:rsidP="0C61C16F" w14:paraId="58AFBFCE" w14:textId="1BB9B145">
            <w:pPr>
              <w:widowControl/>
              <w:autoSpaceDE/>
              <w:autoSpaceDN/>
              <w:adjustRightInd/>
              <w:jc w:val="right"/>
              <w:rPr>
                <w:sz w:val="24"/>
              </w:rPr>
            </w:pPr>
            <w:r w:rsidRPr="000328B6">
              <w:rPr>
                <w:sz w:val="24"/>
              </w:rPr>
              <w:t>$</w:t>
            </w:r>
            <w:r w:rsidR="006206FD">
              <w:rPr>
                <w:sz w:val="24"/>
              </w:rPr>
              <w:t>405,009.68</w:t>
            </w:r>
            <w:r w:rsidRPr="000328B6">
              <w:rPr>
                <w:sz w:val="24"/>
              </w:rPr>
              <w:t xml:space="preserve"> </w:t>
            </w:r>
          </w:p>
        </w:tc>
      </w:tr>
    </w:tbl>
    <w:p w:rsidR="00A53DB1" w:rsidP="00E174E4" w14:paraId="30820FB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3DB1" w:rsidP="00E174E4" w14:paraId="2E0D373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P="5202FDAA" w14:paraId="7D8C725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6D55" w:rsidP="00626D55" w14:paraId="5E28579C" w14:textId="20F454B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310D8BBB">
        <w:rPr>
          <w:sz w:val="24"/>
        </w:rPr>
        <w:t xml:space="preserve">The total annual burden hours are </w:t>
      </w:r>
      <w:r w:rsidR="005A3103">
        <w:rPr>
          <w:sz w:val="24"/>
        </w:rPr>
        <w:t>4,016</w:t>
      </w:r>
      <w:r w:rsidRPr="310D8BBB">
        <w:rPr>
          <w:sz w:val="24"/>
        </w:rPr>
        <w:t xml:space="preserve"> (</w:t>
      </w:r>
      <w:r w:rsidR="00FA038E">
        <w:rPr>
          <w:sz w:val="24"/>
        </w:rPr>
        <w:t>741</w:t>
      </w:r>
      <w:r w:rsidRPr="310D8BBB">
        <w:rPr>
          <w:sz w:val="24"/>
        </w:rPr>
        <w:t xml:space="preserve"> [1135 waivers] + </w:t>
      </w:r>
      <w:r w:rsidR="005D112A">
        <w:rPr>
          <w:sz w:val="24"/>
        </w:rPr>
        <w:t>72</w:t>
      </w:r>
      <w:r w:rsidRPr="310D8BBB" w:rsidR="005D112A">
        <w:rPr>
          <w:sz w:val="24"/>
        </w:rPr>
        <w:t xml:space="preserve"> </w:t>
      </w:r>
      <w:r w:rsidRPr="310D8BBB">
        <w:rPr>
          <w:sz w:val="24"/>
        </w:rPr>
        <w:t xml:space="preserve">[inquiries] + </w:t>
      </w:r>
      <w:r w:rsidR="005D112A">
        <w:rPr>
          <w:sz w:val="24"/>
        </w:rPr>
        <w:t>3,203</w:t>
      </w:r>
      <w:r w:rsidRPr="310D8BBB">
        <w:rPr>
          <w:sz w:val="24"/>
        </w:rPr>
        <w:t xml:space="preserve"> [HCF].</w:t>
      </w:r>
    </w:p>
    <w:p w:rsidR="004626B9" w:rsidRPr="000328B6" w14:paraId="5587C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0A6E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13.</w:t>
      </w:r>
      <w:r w:rsidRPr="000328B6">
        <w:rPr>
          <w:sz w:val="24"/>
        </w:rPr>
        <w:tab/>
      </w:r>
      <w:r w:rsidRPr="000328B6">
        <w:rPr>
          <w:sz w:val="24"/>
          <w:u w:val="single"/>
        </w:rPr>
        <w:t>Capital Costs</w:t>
      </w:r>
    </w:p>
    <w:p w:rsidR="008F1EB4" w:rsidRPr="000328B6" w14:paraId="568F27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3E8" w:rsidRPr="000328B6" w:rsidP="00E174E4" w14:paraId="4CF54A9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Although there are no capital costs associated with this collection, these public-facing web forms provide an automated mechanism for submitting waiver requests, inquiries and operational status. </w:t>
      </w:r>
    </w:p>
    <w:p w:rsidR="008F1EB4" w:rsidRPr="000328B6" w14:paraId="793A77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30C9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14.</w:t>
      </w:r>
      <w:r w:rsidRPr="000328B6">
        <w:rPr>
          <w:sz w:val="24"/>
        </w:rPr>
        <w:tab/>
      </w:r>
      <w:r w:rsidRPr="000328B6">
        <w:rPr>
          <w:sz w:val="24"/>
          <w:u w:val="single"/>
        </w:rPr>
        <w:t>Cost to Federal Government</w:t>
      </w:r>
    </w:p>
    <w:p w:rsidR="008F1EB4" w:rsidRPr="000328B6" w14:paraId="24D742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7467" w:rsidRPr="00DC008D" w:rsidP="00E174E4" w14:paraId="71303F16" w14:textId="5862391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4" w:name="_Hlk50617081"/>
      <w:r w:rsidRPr="000328B6">
        <w:rPr>
          <w:sz w:val="24"/>
        </w:rPr>
        <w:t xml:space="preserve">Implementation of the public facing web form required a contract with an application development organization and the purchase of user licenses for CMS users. The total annual </w:t>
      </w:r>
      <w:r w:rsidRPr="00DC008D">
        <w:rPr>
          <w:sz w:val="24"/>
        </w:rPr>
        <w:t>cost is $</w:t>
      </w:r>
      <w:r w:rsidRPr="00DC008D" w:rsidR="00DC008D">
        <w:rPr>
          <w:sz w:val="24"/>
        </w:rPr>
        <w:t>742,034.13</w:t>
      </w:r>
      <w:r w:rsidRPr="00DC008D">
        <w:rPr>
          <w:sz w:val="24"/>
        </w:rPr>
        <w:t>.</w:t>
      </w:r>
    </w:p>
    <w:p w:rsidR="00B07467" w:rsidRPr="00DC008D" w:rsidP="00B07467" w14:paraId="62F13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7012" w:type="dxa"/>
        <w:tblInd w:w="432" w:type="dxa"/>
        <w:tblLook w:val="04A0"/>
      </w:tblPr>
      <w:tblGrid>
        <w:gridCol w:w="2260"/>
        <w:gridCol w:w="2433"/>
        <w:gridCol w:w="2319"/>
      </w:tblGrid>
      <w:tr w14:paraId="1B8534C5" w14:textId="77777777" w:rsidTr="0029487E">
        <w:tblPrEx>
          <w:tblW w:w="7012" w:type="dxa"/>
          <w:tblInd w:w="432" w:type="dxa"/>
          <w:tblLook w:val="04A0"/>
        </w:tblPrEx>
        <w:trPr>
          <w:trHeight w:val="300"/>
        </w:trPr>
        <w:tc>
          <w:tcPr>
            <w:tcW w:w="2260" w:type="dxa"/>
            <w:tcBorders>
              <w:top w:val="single" w:sz="4" w:space="0" w:color="auto"/>
              <w:left w:val="single" w:sz="4" w:space="0" w:color="auto"/>
              <w:bottom w:val="single" w:sz="4" w:space="0" w:color="auto"/>
              <w:right w:val="single" w:sz="4" w:space="0" w:color="auto"/>
            </w:tcBorders>
            <w:noWrap/>
            <w:vAlign w:val="bottom"/>
            <w:hideMark/>
          </w:tcPr>
          <w:p w:rsidR="00B07467" w:rsidRPr="00DC008D" w:rsidP="00B07467" w14:paraId="5A86D915" w14:textId="77777777">
            <w:pPr>
              <w:widowControl/>
              <w:autoSpaceDE/>
              <w:autoSpaceDN/>
              <w:adjustRightInd/>
              <w:rPr>
                <w:color w:val="000000"/>
                <w:sz w:val="24"/>
              </w:rPr>
            </w:pPr>
            <w:r w:rsidRPr="00DC008D">
              <w:rPr>
                <w:color w:val="000000"/>
                <w:sz w:val="24"/>
              </w:rPr>
              <w:t> </w:t>
            </w:r>
          </w:p>
        </w:tc>
        <w:tc>
          <w:tcPr>
            <w:tcW w:w="2433" w:type="dxa"/>
            <w:tcBorders>
              <w:top w:val="single" w:sz="4" w:space="0" w:color="auto"/>
              <w:left w:val="nil"/>
              <w:bottom w:val="single" w:sz="4" w:space="0" w:color="auto"/>
              <w:right w:val="single" w:sz="4" w:space="0" w:color="auto"/>
            </w:tcBorders>
            <w:noWrap/>
            <w:vAlign w:val="bottom"/>
            <w:hideMark/>
          </w:tcPr>
          <w:p w:rsidR="00B07467" w:rsidRPr="00DC008D" w:rsidP="4249649F" w14:paraId="0242D4B2" w14:textId="77777777">
            <w:pPr>
              <w:widowControl/>
              <w:autoSpaceDE/>
              <w:autoSpaceDN/>
              <w:adjustRightInd/>
              <w:rPr>
                <w:b/>
                <w:bCs/>
                <w:color w:val="000000"/>
                <w:sz w:val="24"/>
              </w:rPr>
            </w:pPr>
            <w:r w:rsidRPr="00DC008D">
              <w:rPr>
                <w:b/>
                <w:bCs/>
                <w:color w:val="000000" w:themeColor="text1"/>
                <w:sz w:val="24"/>
              </w:rPr>
              <w:t>Development Contract</w:t>
            </w:r>
          </w:p>
        </w:tc>
        <w:tc>
          <w:tcPr>
            <w:tcW w:w="2319" w:type="dxa"/>
            <w:tcBorders>
              <w:top w:val="single" w:sz="4" w:space="0" w:color="auto"/>
              <w:left w:val="nil"/>
              <w:bottom w:val="single" w:sz="4" w:space="0" w:color="auto"/>
              <w:right w:val="single" w:sz="4" w:space="0" w:color="auto"/>
            </w:tcBorders>
            <w:noWrap/>
            <w:vAlign w:val="bottom"/>
            <w:hideMark/>
          </w:tcPr>
          <w:p w:rsidR="00B07467" w:rsidRPr="00DC008D" w:rsidP="00B07467" w14:paraId="58E670E0" w14:textId="77777777">
            <w:pPr>
              <w:widowControl/>
              <w:autoSpaceDE/>
              <w:autoSpaceDN/>
              <w:adjustRightInd/>
              <w:rPr>
                <w:b/>
                <w:bCs/>
                <w:color w:val="000000"/>
                <w:sz w:val="24"/>
              </w:rPr>
            </w:pPr>
            <w:r w:rsidRPr="00DC008D">
              <w:rPr>
                <w:b/>
                <w:bCs/>
                <w:color w:val="000000"/>
                <w:sz w:val="24"/>
              </w:rPr>
              <w:t>User Licenses</w:t>
            </w:r>
          </w:p>
        </w:tc>
      </w:tr>
      <w:tr w14:paraId="1915B6AE" w14:textId="77777777" w:rsidTr="0029487E">
        <w:tblPrEx>
          <w:tblW w:w="7012"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noWrap/>
            <w:vAlign w:val="bottom"/>
            <w:hideMark/>
          </w:tcPr>
          <w:p w:rsidR="00B07467" w:rsidRPr="00DC008D" w:rsidP="00B07467" w14:paraId="6046298E" w14:textId="77777777">
            <w:pPr>
              <w:widowControl/>
              <w:autoSpaceDE/>
              <w:autoSpaceDN/>
              <w:adjustRightInd/>
              <w:rPr>
                <w:b/>
                <w:bCs/>
                <w:color w:val="000000"/>
                <w:sz w:val="24"/>
              </w:rPr>
            </w:pPr>
            <w:r w:rsidRPr="00DC008D">
              <w:rPr>
                <w:b/>
                <w:bCs/>
                <w:color w:val="000000"/>
                <w:sz w:val="24"/>
              </w:rPr>
              <w:t>Annual Cost</w:t>
            </w:r>
          </w:p>
        </w:tc>
        <w:tc>
          <w:tcPr>
            <w:tcW w:w="2433" w:type="dxa"/>
            <w:tcBorders>
              <w:top w:val="nil"/>
              <w:left w:val="nil"/>
              <w:bottom w:val="single" w:sz="4" w:space="0" w:color="auto"/>
              <w:right w:val="single" w:sz="4" w:space="0" w:color="auto"/>
            </w:tcBorders>
            <w:noWrap/>
            <w:vAlign w:val="bottom"/>
            <w:hideMark/>
          </w:tcPr>
          <w:p w:rsidR="00B07467" w:rsidRPr="00DC008D" w:rsidP="000F6CBA" w14:paraId="7EB50B11" w14:textId="4B35B818">
            <w:pPr>
              <w:widowControl/>
              <w:autoSpaceDE/>
              <w:autoSpaceDN/>
              <w:adjustRightInd/>
              <w:jc w:val="right"/>
              <w:rPr>
                <w:color w:val="000000"/>
                <w:sz w:val="24"/>
              </w:rPr>
            </w:pPr>
            <w:r w:rsidRPr="00DC008D">
              <w:rPr>
                <w:color w:val="000000" w:themeColor="text1"/>
                <w:sz w:val="24"/>
              </w:rPr>
              <w:t>$</w:t>
            </w:r>
            <w:r w:rsidRPr="00DC008D" w:rsidR="005045ED">
              <w:rPr>
                <w:sz w:val="24"/>
              </w:rPr>
              <w:t>679,945.20</w:t>
            </w:r>
            <w:r w:rsidRPr="00DC008D">
              <w:rPr>
                <w:color w:val="000000" w:themeColor="text1"/>
                <w:sz w:val="24"/>
              </w:rPr>
              <w:t xml:space="preserve"> </w:t>
            </w:r>
          </w:p>
        </w:tc>
        <w:tc>
          <w:tcPr>
            <w:tcW w:w="2319" w:type="dxa"/>
            <w:tcBorders>
              <w:top w:val="nil"/>
              <w:left w:val="nil"/>
              <w:bottom w:val="single" w:sz="4" w:space="0" w:color="auto"/>
              <w:right w:val="single" w:sz="4" w:space="0" w:color="auto"/>
            </w:tcBorders>
            <w:noWrap/>
            <w:vAlign w:val="bottom"/>
            <w:hideMark/>
          </w:tcPr>
          <w:p w:rsidR="00B07467" w:rsidRPr="00DC008D" w:rsidP="000F6CBA" w14:paraId="02768D41" w14:textId="66E45126">
            <w:pPr>
              <w:widowControl/>
              <w:autoSpaceDE/>
              <w:autoSpaceDN/>
              <w:adjustRightInd/>
              <w:jc w:val="right"/>
              <w:rPr>
                <w:color w:val="000000"/>
                <w:sz w:val="24"/>
              </w:rPr>
            </w:pPr>
            <w:r w:rsidRPr="00DC008D">
              <w:rPr>
                <w:color w:val="000000" w:themeColor="text1"/>
                <w:sz w:val="24"/>
              </w:rPr>
              <w:t>$</w:t>
            </w:r>
            <w:r w:rsidRPr="00DC008D" w:rsidR="00FB2F0A">
              <w:rPr>
                <w:color w:val="000000" w:themeColor="text1"/>
                <w:sz w:val="24"/>
              </w:rPr>
              <w:t>62,088.93</w:t>
            </w:r>
            <w:r w:rsidRPr="00DC008D">
              <w:rPr>
                <w:color w:val="000000" w:themeColor="text1"/>
                <w:sz w:val="24"/>
              </w:rPr>
              <w:t xml:space="preserve"> </w:t>
            </w:r>
          </w:p>
        </w:tc>
      </w:tr>
      <w:tr w14:paraId="60D1BEE6" w14:textId="77777777" w:rsidTr="0029487E">
        <w:tblPrEx>
          <w:tblW w:w="7012"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noWrap/>
            <w:vAlign w:val="bottom"/>
            <w:hideMark/>
          </w:tcPr>
          <w:p w:rsidR="00B07467" w:rsidRPr="00DC008D" w:rsidP="00B07467" w14:paraId="710DF04D" w14:textId="77777777">
            <w:pPr>
              <w:widowControl/>
              <w:autoSpaceDE/>
              <w:autoSpaceDN/>
              <w:adjustRightInd/>
              <w:rPr>
                <w:color w:val="000000"/>
                <w:sz w:val="24"/>
              </w:rPr>
            </w:pPr>
            <w:r w:rsidRPr="00DC008D">
              <w:rPr>
                <w:color w:val="000000"/>
                <w:sz w:val="24"/>
              </w:rPr>
              <w:t> </w:t>
            </w:r>
          </w:p>
        </w:tc>
        <w:tc>
          <w:tcPr>
            <w:tcW w:w="2433" w:type="dxa"/>
            <w:tcBorders>
              <w:top w:val="nil"/>
              <w:left w:val="nil"/>
              <w:bottom w:val="single" w:sz="4" w:space="0" w:color="auto"/>
              <w:right w:val="single" w:sz="4" w:space="0" w:color="auto"/>
            </w:tcBorders>
            <w:noWrap/>
            <w:vAlign w:val="bottom"/>
            <w:hideMark/>
          </w:tcPr>
          <w:p w:rsidR="00B07467" w:rsidRPr="00DC008D" w:rsidP="000F6CBA" w14:paraId="3EC8A891" w14:textId="77777777">
            <w:pPr>
              <w:widowControl/>
              <w:autoSpaceDE/>
              <w:autoSpaceDN/>
              <w:adjustRightInd/>
              <w:jc w:val="right"/>
              <w:rPr>
                <w:color w:val="000000"/>
                <w:sz w:val="24"/>
              </w:rPr>
            </w:pPr>
            <w:r w:rsidRPr="00DC008D">
              <w:rPr>
                <w:color w:val="000000" w:themeColor="text1"/>
                <w:sz w:val="24"/>
              </w:rPr>
              <w:t> </w:t>
            </w:r>
          </w:p>
        </w:tc>
        <w:tc>
          <w:tcPr>
            <w:tcW w:w="2319" w:type="dxa"/>
            <w:tcBorders>
              <w:top w:val="nil"/>
              <w:left w:val="nil"/>
              <w:bottom w:val="single" w:sz="4" w:space="0" w:color="auto"/>
              <w:right w:val="single" w:sz="4" w:space="0" w:color="auto"/>
            </w:tcBorders>
            <w:noWrap/>
            <w:vAlign w:val="bottom"/>
            <w:hideMark/>
          </w:tcPr>
          <w:p w:rsidR="00B07467" w:rsidRPr="00DC008D" w:rsidP="00B07467" w14:paraId="32F7A06A" w14:textId="77777777">
            <w:pPr>
              <w:widowControl/>
              <w:autoSpaceDE/>
              <w:autoSpaceDN/>
              <w:adjustRightInd/>
              <w:rPr>
                <w:color w:val="000000"/>
                <w:sz w:val="24"/>
              </w:rPr>
            </w:pPr>
            <w:r w:rsidRPr="00DC008D">
              <w:rPr>
                <w:color w:val="000000"/>
                <w:sz w:val="24"/>
              </w:rPr>
              <w:t> </w:t>
            </w:r>
          </w:p>
        </w:tc>
      </w:tr>
      <w:tr w14:paraId="7E066257" w14:textId="77777777" w:rsidTr="0029487E">
        <w:tblPrEx>
          <w:tblW w:w="7012"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noWrap/>
            <w:vAlign w:val="bottom"/>
            <w:hideMark/>
          </w:tcPr>
          <w:p w:rsidR="00B07467" w:rsidRPr="00DC008D" w:rsidP="00B07467" w14:paraId="699566D4" w14:textId="77777777">
            <w:pPr>
              <w:widowControl/>
              <w:autoSpaceDE/>
              <w:autoSpaceDN/>
              <w:adjustRightInd/>
              <w:rPr>
                <w:b/>
                <w:bCs/>
                <w:color w:val="000000"/>
                <w:sz w:val="24"/>
              </w:rPr>
            </w:pPr>
            <w:r w:rsidRPr="00DC008D">
              <w:rPr>
                <w:b/>
                <w:bCs/>
                <w:color w:val="000000"/>
                <w:sz w:val="24"/>
              </w:rPr>
              <w:t>Total Annual Cost</w:t>
            </w:r>
          </w:p>
        </w:tc>
        <w:tc>
          <w:tcPr>
            <w:tcW w:w="2433" w:type="dxa"/>
            <w:tcBorders>
              <w:top w:val="nil"/>
              <w:left w:val="nil"/>
              <w:bottom w:val="single" w:sz="4" w:space="0" w:color="auto"/>
              <w:right w:val="single" w:sz="4" w:space="0" w:color="auto"/>
            </w:tcBorders>
            <w:noWrap/>
            <w:vAlign w:val="bottom"/>
            <w:hideMark/>
          </w:tcPr>
          <w:p w:rsidR="00B07467" w:rsidRPr="000328B6" w:rsidP="000F6CBA" w14:paraId="2396B4B9" w14:textId="7E041087">
            <w:pPr>
              <w:widowControl/>
              <w:autoSpaceDE/>
              <w:autoSpaceDN/>
              <w:adjustRightInd/>
              <w:jc w:val="right"/>
              <w:rPr>
                <w:color w:val="000000"/>
                <w:sz w:val="24"/>
              </w:rPr>
            </w:pPr>
            <w:r w:rsidRPr="00DC008D">
              <w:rPr>
                <w:color w:val="000000" w:themeColor="text1"/>
                <w:sz w:val="24"/>
              </w:rPr>
              <w:t>$</w:t>
            </w:r>
            <w:r w:rsidRPr="00DC008D" w:rsidR="00032C9E">
              <w:rPr>
                <w:sz w:val="24"/>
              </w:rPr>
              <w:t>742,034.13</w:t>
            </w:r>
            <w:r w:rsidRPr="029C8DE8">
              <w:rPr>
                <w:color w:val="000000" w:themeColor="text1"/>
                <w:sz w:val="24"/>
              </w:rPr>
              <w:t xml:space="preserve"> </w:t>
            </w:r>
          </w:p>
        </w:tc>
        <w:tc>
          <w:tcPr>
            <w:tcW w:w="2319" w:type="dxa"/>
            <w:tcBorders>
              <w:top w:val="nil"/>
              <w:left w:val="nil"/>
              <w:bottom w:val="single" w:sz="4" w:space="0" w:color="auto"/>
              <w:right w:val="single" w:sz="4" w:space="0" w:color="auto"/>
            </w:tcBorders>
            <w:noWrap/>
            <w:vAlign w:val="bottom"/>
            <w:hideMark/>
          </w:tcPr>
          <w:p w:rsidR="00B07467" w:rsidRPr="000328B6" w:rsidP="00B07467" w14:paraId="679FF1A6" w14:textId="77777777">
            <w:pPr>
              <w:widowControl/>
              <w:autoSpaceDE/>
              <w:autoSpaceDN/>
              <w:adjustRightInd/>
              <w:rPr>
                <w:color w:val="000000"/>
                <w:sz w:val="24"/>
              </w:rPr>
            </w:pPr>
            <w:r w:rsidRPr="000328B6">
              <w:rPr>
                <w:color w:val="000000"/>
                <w:sz w:val="24"/>
              </w:rPr>
              <w:t> </w:t>
            </w:r>
          </w:p>
        </w:tc>
      </w:tr>
      <w:tr w14:paraId="6511F67F" w14:textId="77777777" w:rsidTr="0029487E">
        <w:tblPrEx>
          <w:tblW w:w="7012"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noWrap/>
            <w:vAlign w:val="bottom"/>
          </w:tcPr>
          <w:p w:rsidR="029C8DE8" w:rsidP="029C8DE8" w14:paraId="4B1BD1DB" w14:textId="086F74D7">
            <w:pPr>
              <w:rPr>
                <w:b/>
                <w:bCs/>
                <w:color w:val="000000" w:themeColor="text1"/>
                <w:sz w:val="24"/>
              </w:rPr>
            </w:pPr>
          </w:p>
        </w:tc>
        <w:tc>
          <w:tcPr>
            <w:tcW w:w="2433" w:type="dxa"/>
            <w:tcBorders>
              <w:top w:val="nil"/>
              <w:left w:val="nil"/>
              <w:bottom w:val="single" w:sz="4" w:space="0" w:color="auto"/>
              <w:right w:val="single" w:sz="4" w:space="0" w:color="auto"/>
            </w:tcBorders>
            <w:noWrap/>
            <w:vAlign w:val="bottom"/>
          </w:tcPr>
          <w:p w:rsidR="029C8DE8" w:rsidP="000F6CBA" w14:paraId="2AE3AB2C" w14:textId="36E21653">
            <w:pPr>
              <w:jc w:val="right"/>
              <w:rPr>
                <w:color w:val="000000" w:themeColor="text1"/>
                <w:sz w:val="24"/>
              </w:rPr>
            </w:pPr>
          </w:p>
        </w:tc>
        <w:tc>
          <w:tcPr>
            <w:tcW w:w="2319" w:type="dxa"/>
            <w:tcBorders>
              <w:top w:val="nil"/>
              <w:left w:val="nil"/>
              <w:bottom w:val="single" w:sz="4" w:space="0" w:color="auto"/>
              <w:right w:val="single" w:sz="4" w:space="0" w:color="auto"/>
            </w:tcBorders>
            <w:noWrap/>
            <w:vAlign w:val="bottom"/>
            <w:hideMark/>
          </w:tcPr>
          <w:p w:rsidR="029C8DE8" w:rsidP="029C8DE8" w14:paraId="139C8319" w14:textId="7D98FDB0">
            <w:pPr>
              <w:rPr>
                <w:color w:val="000000" w:themeColor="text1"/>
                <w:sz w:val="24"/>
              </w:rPr>
            </w:pPr>
          </w:p>
        </w:tc>
      </w:tr>
    </w:tbl>
    <w:p w:rsidR="00690E3A" w:rsidRPr="000328B6" w14:paraId="55F799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0E3A" w:rsidRPr="000328B6" w:rsidP="00E174E4" w14:paraId="16BBE050" w14:textId="7215D7F6">
      <w:pPr>
        <w:pStyle w:val="CommentText"/>
        <w:ind w:left="432"/>
        <w:rPr>
          <w:sz w:val="24"/>
          <w:szCs w:val="24"/>
        </w:rPr>
      </w:pPr>
      <w:r w:rsidRPr="000328B6">
        <w:rPr>
          <w:sz w:val="24"/>
          <w:szCs w:val="24"/>
        </w:rPr>
        <w:t xml:space="preserve">The CMS Locations are responsible for responding to 1135 waiver requests and inquiries. We estimate that it would take 30 minutes of time by a CMS Location reviewer to review and </w:t>
      </w:r>
      <w:r w:rsidRPr="000328B6">
        <w:rPr>
          <w:sz w:val="24"/>
          <w:szCs w:val="24"/>
        </w:rPr>
        <w:t xml:space="preserve">determine if the 1135 waiver request and/or inquiry has sufficient information to make a determination. </w:t>
      </w:r>
    </w:p>
    <w:p w:rsidR="00690E3A" w:rsidRPr="000328B6" w:rsidP="00690E3A" w14:paraId="409920CC" w14:textId="77777777">
      <w:pPr>
        <w:pStyle w:val="CommentText"/>
        <w:rPr>
          <w:sz w:val="24"/>
          <w:szCs w:val="24"/>
        </w:rPr>
      </w:pPr>
    </w:p>
    <w:p w:rsidR="00690E3A" w:rsidRPr="000328B6" w:rsidP="00E174E4" w14:paraId="4D8C13BE" w14:textId="7CFAFA3C">
      <w:pPr>
        <w:pStyle w:val="CommentText"/>
        <w:ind w:left="432"/>
        <w:rPr>
          <w:sz w:val="24"/>
          <w:szCs w:val="24"/>
        </w:rPr>
      </w:pPr>
      <w:r w:rsidRPr="000328B6">
        <w:rPr>
          <w:sz w:val="24"/>
          <w:szCs w:val="24"/>
        </w:rPr>
        <w:t xml:space="preserve">We estimate that the cost associated with reviewing each web form by the CMS Location would be </w:t>
      </w:r>
      <w:r w:rsidRPr="00347BFE">
        <w:rPr>
          <w:sz w:val="24"/>
          <w:szCs w:val="24"/>
        </w:rPr>
        <w:t>$</w:t>
      </w:r>
      <w:r w:rsidRPr="00347BFE" w:rsidR="00347BFE">
        <w:rPr>
          <w:sz w:val="24"/>
          <w:szCs w:val="24"/>
        </w:rPr>
        <w:t>31.53</w:t>
      </w:r>
      <w:r w:rsidRPr="000328B6">
        <w:rPr>
          <w:sz w:val="24"/>
          <w:szCs w:val="24"/>
        </w:rPr>
        <w:t xml:space="preserve">. We note, these are not reoccurring submissions and are only submitted during emergency events. </w:t>
      </w:r>
    </w:p>
    <w:p w:rsidR="00690E3A" w:rsidRPr="000328B6" w:rsidP="00690E3A" w14:paraId="11DE2D81" w14:textId="77777777">
      <w:pPr>
        <w:pStyle w:val="CommentText"/>
        <w:rPr>
          <w:sz w:val="24"/>
          <w:szCs w:val="24"/>
        </w:rPr>
      </w:pPr>
    </w:p>
    <w:p w:rsidR="00690E3A" w:rsidP="00E174E4" w14:paraId="13845A4C" w14:textId="030077F1">
      <w:pPr>
        <w:pStyle w:val="CommentText"/>
        <w:ind w:left="432"/>
        <w:rPr>
          <w:sz w:val="24"/>
          <w:szCs w:val="24"/>
        </w:rPr>
      </w:pPr>
      <w:r w:rsidRPr="029C8DE8">
        <w:rPr>
          <w:sz w:val="24"/>
          <w:szCs w:val="24"/>
        </w:rPr>
        <w:t xml:space="preserve">These costs were calculated using the annual salary of a GS-13, Step 5 reviewer in the Pennsylvania CMS Location, which is </w:t>
      </w:r>
      <w:r w:rsidRPr="009A1EC4">
        <w:rPr>
          <w:sz w:val="24"/>
          <w:szCs w:val="24"/>
        </w:rPr>
        <w:t>$</w:t>
      </w:r>
      <w:r w:rsidRPr="009A1EC4" w:rsidR="00504454">
        <w:rPr>
          <w:sz w:val="24"/>
          <w:szCs w:val="24"/>
        </w:rPr>
        <w:t>131,607</w:t>
      </w:r>
      <w:r w:rsidRPr="029C8DE8">
        <w:rPr>
          <w:sz w:val="24"/>
          <w:szCs w:val="24"/>
        </w:rPr>
        <w:t xml:space="preserve">, and which equates to an average hourly salary </w:t>
      </w:r>
      <w:r w:rsidRPr="009A1EC4">
        <w:rPr>
          <w:sz w:val="24"/>
          <w:szCs w:val="24"/>
        </w:rPr>
        <w:t>of $</w:t>
      </w:r>
      <w:r w:rsidRPr="009A1EC4" w:rsidR="00991A1E">
        <w:rPr>
          <w:sz w:val="24"/>
          <w:szCs w:val="24"/>
        </w:rPr>
        <w:t>63.06</w:t>
      </w:r>
      <w:r w:rsidRPr="029C8DE8">
        <w:rPr>
          <w:sz w:val="24"/>
          <w:szCs w:val="24"/>
        </w:rPr>
        <w:t xml:space="preserve">.  It takes the CMS Location 30 min to review at a rate of </w:t>
      </w:r>
      <w:r w:rsidRPr="00347BFE">
        <w:rPr>
          <w:sz w:val="24"/>
          <w:szCs w:val="24"/>
        </w:rPr>
        <w:t>$</w:t>
      </w:r>
      <w:r w:rsidRPr="00347BFE" w:rsidR="00347BFE">
        <w:rPr>
          <w:sz w:val="24"/>
          <w:szCs w:val="24"/>
        </w:rPr>
        <w:t>31</w:t>
      </w:r>
      <w:r w:rsidR="00347BFE">
        <w:rPr>
          <w:sz w:val="24"/>
          <w:szCs w:val="24"/>
        </w:rPr>
        <w:t>.53</w:t>
      </w:r>
      <w:r w:rsidRPr="029C8DE8">
        <w:rPr>
          <w:sz w:val="24"/>
          <w:szCs w:val="24"/>
        </w:rPr>
        <w:t xml:space="preserve"> (.5 </w:t>
      </w:r>
      <w:r w:rsidRPr="009A1EC4">
        <w:rPr>
          <w:sz w:val="24"/>
          <w:szCs w:val="24"/>
        </w:rPr>
        <w:t>x $</w:t>
      </w:r>
      <w:r w:rsidRPr="009A1EC4" w:rsidR="009A1EC4">
        <w:rPr>
          <w:sz w:val="24"/>
          <w:szCs w:val="24"/>
        </w:rPr>
        <w:t>63.06</w:t>
      </w:r>
      <w:r w:rsidRPr="029C8DE8">
        <w:rPr>
          <w:sz w:val="24"/>
          <w:szCs w:val="24"/>
        </w:rPr>
        <w:t xml:space="preserve"> per hour). The total annual cost is </w:t>
      </w:r>
      <w:r w:rsidRPr="007402BE">
        <w:rPr>
          <w:sz w:val="24"/>
          <w:szCs w:val="24"/>
        </w:rPr>
        <w:t>$</w:t>
      </w:r>
      <w:r w:rsidRPr="007402BE" w:rsidR="00D6654C">
        <w:rPr>
          <w:sz w:val="24"/>
          <w:szCs w:val="24"/>
        </w:rPr>
        <w:t>152,258.</w:t>
      </w:r>
      <w:r w:rsidRPr="007402BE" w:rsidR="007402BE">
        <w:rPr>
          <w:sz w:val="24"/>
          <w:szCs w:val="24"/>
        </w:rPr>
        <w:t>37</w:t>
      </w:r>
      <w:r w:rsidRPr="007402BE">
        <w:rPr>
          <w:sz w:val="24"/>
          <w:szCs w:val="24"/>
        </w:rPr>
        <w:t xml:space="preserve"> ($</w:t>
      </w:r>
      <w:r w:rsidRPr="007402BE" w:rsidR="00347BFE">
        <w:rPr>
          <w:sz w:val="24"/>
          <w:szCs w:val="24"/>
        </w:rPr>
        <w:t>31.53</w:t>
      </w:r>
      <w:r w:rsidRPr="007402BE">
        <w:rPr>
          <w:sz w:val="24"/>
          <w:szCs w:val="24"/>
        </w:rPr>
        <w:t xml:space="preserve"> x </w:t>
      </w:r>
      <w:r w:rsidRPr="0029487E" w:rsidR="00085D76">
        <w:rPr>
          <w:sz w:val="24"/>
          <w:szCs w:val="24"/>
        </w:rPr>
        <w:t>4,829</w:t>
      </w:r>
      <w:r w:rsidRPr="007402BE">
        <w:rPr>
          <w:sz w:val="24"/>
          <w:szCs w:val="24"/>
        </w:rPr>
        <w:t xml:space="preserve"> forms).</w:t>
      </w:r>
    </w:p>
    <w:p w:rsidR="00C82C35" w:rsidP="00E174E4" w14:paraId="61B8D7D6" w14:textId="77777777">
      <w:pPr>
        <w:pStyle w:val="CommentText"/>
        <w:ind w:left="432"/>
        <w:rPr>
          <w:sz w:val="24"/>
          <w:szCs w:val="24"/>
        </w:rPr>
      </w:pPr>
    </w:p>
    <w:p w:rsidR="00C82C35" w:rsidRPr="000328B6" w:rsidP="00E174E4" w14:paraId="259637F5" w14:textId="3B899A36">
      <w:pPr>
        <w:pStyle w:val="CommentText"/>
        <w:ind w:left="432"/>
        <w:rPr>
          <w:sz w:val="24"/>
          <w:szCs w:val="24"/>
        </w:rPr>
      </w:pPr>
      <w:r w:rsidRPr="00207963">
        <w:rPr>
          <w:sz w:val="24"/>
          <w:szCs w:val="24"/>
        </w:rPr>
        <w:t>The total annual cost to the government is $</w:t>
      </w:r>
      <w:r w:rsidR="008874FC">
        <w:rPr>
          <w:sz w:val="24"/>
          <w:szCs w:val="24"/>
        </w:rPr>
        <w:t>894,293</w:t>
      </w:r>
    </w:p>
    <w:p w:rsidR="00690E3A" w:rsidRPr="000328B6" w:rsidP="00690E3A" w14:paraId="5788E46F" w14:textId="77777777">
      <w:pPr>
        <w:pStyle w:val="CommentText"/>
        <w:rPr>
          <w:sz w:val="24"/>
          <w:szCs w:val="24"/>
        </w:rPr>
      </w:pPr>
    </w:p>
    <w:bookmarkEnd w:id="4"/>
    <w:p w:rsidR="008F1EB4" w:rsidRPr="000328B6" w14:paraId="39B0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15.</w:t>
      </w:r>
      <w:r w:rsidRPr="000328B6">
        <w:rPr>
          <w:sz w:val="24"/>
        </w:rPr>
        <w:tab/>
      </w:r>
      <w:bookmarkStart w:id="5" w:name="_Hlk50617392"/>
      <w:r w:rsidRPr="000328B6">
        <w:rPr>
          <w:sz w:val="24"/>
          <w:u w:val="single"/>
        </w:rPr>
        <w:t>Changes to Burden</w:t>
      </w:r>
    </w:p>
    <w:p w:rsidR="008F1EB4" w:rsidRPr="000328B6" w14:paraId="3C7EA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5"/>
    <w:p w:rsidR="00F23793" w:rsidRPr="000328B6" w:rsidP="6497831C" w14:paraId="50FB6557" w14:textId="7CB3A25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The annual burden hours have </w:t>
      </w:r>
      <w:r w:rsidR="0084328E">
        <w:rPr>
          <w:sz w:val="24"/>
        </w:rPr>
        <w:t>de</w:t>
      </w:r>
      <w:r w:rsidRPr="6497831C" w:rsidR="0084328E">
        <w:rPr>
          <w:sz w:val="24"/>
        </w:rPr>
        <w:t xml:space="preserve">creased </w:t>
      </w:r>
      <w:r w:rsidRPr="6497831C">
        <w:rPr>
          <w:sz w:val="24"/>
        </w:rPr>
        <w:t xml:space="preserve">from </w:t>
      </w:r>
      <w:r w:rsidRPr="0029487E" w:rsidR="005F5562">
        <w:rPr>
          <w:sz w:val="24"/>
        </w:rPr>
        <w:t>8,324</w:t>
      </w:r>
      <w:r w:rsidRPr="005F5562" w:rsidR="005F5562">
        <w:rPr>
          <w:sz w:val="24"/>
        </w:rPr>
        <w:t xml:space="preserve"> </w:t>
      </w:r>
      <w:r w:rsidRPr="005F5562">
        <w:rPr>
          <w:sz w:val="24"/>
        </w:rPr>
        <w:t xml:space="preserve">to </w:t>
      </w:r>
      <w:r w:rsidRPr="005F5562" w:rsidR="005F5562">
        <w:rPr>
          <w:sz w:val="24"/>
        </w:rPr>
        <w:t xml:space="preserve">4,016 </w:t>
      </w:r>
      <w:r w:rsidR="00AE67F2">
        <w:rPr>
          <w:sz w:val="24"/>
        </w:rPr>
        <w:t xml:space="preserve">due to the </w:t>
      </w:r>
      <w:r w:rsidR="0084328E">
        <w:rPr>
          <w:sz w:val="24"/>
        </w:rPr>
        <w:t>decrease</w:t>
      </w:r>
      <w:r w:rsidR="00970B60">
        <w:rPr>
          <w:sz w:val="24"/>
        </w:rPr>
        <w:t>d</w:t>
      </w:r>
      <w:r w:rsidR="0084328E">
        <w:rPr>
          <w:sz w:val="24"/>
        </w:rPr>
        <w:t xml:space="preserve"> </w:t>
      </w:r>
      <w:r w:rsidR="00AE67F2">
        <w:rPr>
          <w:sz w:val="24"/>
        </w:rPr>
        <w:t>number of waiver submissions</w:t>
      </w:r>
      <w:r w:rsidRPr="6497831C">
        <w:rPr>
          <w:sz w:val="24"/>
        </w:rPr>
        <w:t xml:space="preserve">.  The wage rates have been updated to year </w:t>
      </w:r>
      <w:r w:rsidRPr="6497831C" w:rsidR="0084328E">
        <w:rPr>
          <w:sz w:val="24"/>
        </w:rPr>
        <w:t>202</w:t>
      </w:r>
      <w:r w:rsidR="0084328E">
        <w:rPr>
          <w:sz w:val="24"/>
        </w:rPr>
        <w:t>4</w:t>
      </w:r>
      <w:r w:rsidRPr="6497831C">
        <w:rPr>
          <w:sz w:val="24"/>
        </w:rPr>
        <w:t xml:space="preserve">.  The annual cost has changed from </w:t>
      </w:r>
      <w:r w:rsidRPr="00207963">
        <w:rPr>
          <w:sz w:val="24"/>
        </w:rPr>
        <w:t>$</w:t>
      </w:r>
      <w:r w:rsidRPr="0029487E" w:rsidR="00AE3CF4">
        <w:rPr>
          <w:sz w:val="24"/>
        </w:rPr>
        <w:t>502,536.25</w:t>
      </w:r>
      <w:r w:rsidRPr="00207963">
        <w:rPr>
          <w:sz w:val="24"/>
        </w:rPr>
        <w:t>to $</w:t>
      </w:r>
      <w:r w:rsidRPr="00207963" w:rsidR="00AE3CF4">
        <w:rPr>
          <w:sz w:val="24"/>
        </w:rPr>
        <w:t>405,009.68</w:t>
      </w:r>
      <w:r w:rsidRPr="00207963" w:rsidR="00A3677A">
        <w:rPr>
          <w:sz w:val="24"/>
        </w:rPr>
        <w:t>.</w:t>
      </w:r>
      <w:r w:rsidRPr="00207963">
        <w:rPr>
          <w:sz w:val="24"/>
        </w:rPr>
        <w:t xml:space="preserve"> </w:t>
      </w:r>
      <w:r w:rsidRPr="00207963" w:rsidR="00297A20">
        <w:rPr>
          <w:sz w:val="24"/>
        </w:rPr>
        <w:t xml:space="preserve">NOTE: </w:t>
      </w:r>
      <w:r w:rsidR="003C73D4">
        <w:rPr>
          <w:sz w:val="24"/>
        </w:rPr>
        <w:t>T</w:t>
      </w:r>
      <w:r w:rsidRPr="00297A20" w:rsidR="00297A20">
        <w:rPr>
          <w:sz w:val="24"/>
        </w:rPr>
        <w:t xml:space="preserve">he Acute Hospital Care at Home (AHCAH) </w:t>
      </w:r>
      <w:r w:rsidR="003C73D4">
        <w:rPr>
          <w:sz w:val="24"/>
        </w:rPr>
        <w:t>is no longer a part of this package.  It is now in a separate package</w:t>
      </w:r>
      <w:r w:rsidRPr="00297A20" w:rsidR="00297A20">
        <w:rPr>
          <w:sz w:val="24"/>
        </w:rPr>
        <w:t>.</w:t>
      </w:r>
    </w:p>
    <w:p w:rsidR="00997BC4" w:rsidRPr="000328B6" w14:paraId="7194C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42A6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16.</w:t>
      </w:r>
      <w:r w:rsidRPr="000328B6">
        <w:rPr>
          <w:sz w:val="24"/>
        </w:rPr>
        <w:tab/>
      </w:r>
      <w:r w:rsidRPr="000328B6">
        <w:rPr>
          <w:sz w:val="24"/>
          <w:u w:val="single"/>
        </w:rPr>
        <w:t>Publication/Tabulation Dates</w:t>
      </w:r>
    </w:p>
    <w:p w:rsidR="008F1EB4" w:rsidRPr="000328B6" w:rsidP="69F1C886" w14:paraId="18C41472" w14:textId="3E5B52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00AD779C" w14:paraId="35511116" w14:textId="77777777">
      <w:pPr>
        <w:tabs>
          <w:tab w:val="left" w:pos="0"/>
          <w:tab w:val="left" w:pos="432"/>
          <w:tab w:val="left" w:pos="720"/>
          <w:tab w:val="left" w:pos="1440"/>
          <w:tab w:val="left" w:pos="2160"/>
          <w:tab w:val="left" w:pos="2880"/>
          <w:tab w:val="left" w:pos="6480"/>
        </w:tabs>
        <w:rPr>
          <w:sz w:val="24"/>
        </w:rPr>
      </w:pPr>
      <w:r w:rsidRPr="000328B6">
        <w:rPr>
          <w:sz w:val="24"/>
        </w:rPr>
        <w:t xml:space="preserve">       </w:t>
      </w:r>
      <w:r w:rsidRPr="000328B6" w:rsidR="005314D5">
        <w:rPr>
          <w:sz w:val="24"/>
        </w:rPr>
        <w:t xml:space="preserve">There will be no publication. </w:t>
      </w:r>
      <w:r w:rsidRPr="000328B6" w:rsidR="00690E3A">
        <w:rPr>
          <w:sz w:val="24"/>
        </w:rPr>
        <w:tab/>
      </w:r>
    </w:p>
    <w:p w:rsidR="008F1EB4" w:rsidRPr="000328B6" w14:paraId="020951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A7F2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17.</w:t>
      </w:r>
      <w:r w:rsidRPr="000328B6">
        <w:rPr>
          <w:sz w:val="24"/>
        </w:rPr>
        <w:tab/>
      </w:r>
      <w:r w:rsidRPr="000328B6">
        <w:rPr>
          <w:sz w:val="24"/>
          <w:u w:val="single"/>
        </w:rPr>
        <w:t>Expiration Date</w:t>
      </w:r>
    </w:p>
    <w:p w:rsidR="000F3AF4" w:rsidRPr="000328B6" w14:paraId="3B7227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Pr="000328B6" w14:paraId="255EC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CMS will display the expiration date on the collection instrument</w:t>
      </w:r>
      <w:r w:rsidRPr="000328B6" w:rsidR="00FE646B">
        <w:rPr>
          <w:sz w:val="24"/>
        </w:rPr>
        <w:t>.</w:t>
      </w:r>
    </w:p>
    <w:p w:rsidR="00690E3A" w:rsidRPr="000328B6" w14:paraId="3FA56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48A58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18.</w:t>
      </w:r>
      <w:r w:rsidRPr="000328B6">
        <w:rPr>
          <w:sz w:val="24"/>
        </w:rPr>
        <w:tab/>
      </w:r>
      <w:r w:rsidRPr="000328B6">
        <w:rPr>
          <w:sz w:val="24"/>
          <w:u w:val="single"/>
        </w:rPr>
        <w:t>Certification Statement</w:t>
      </w:r>
    </w:p>
    <w:p w:rsidR="008F1EB4" w:rsidRPr="000328B6" w14:paraId="12829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90E" w14:paraId="375CC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exceptions.</w:t>
      </w:r>
    </w:p>
    <w:p w:rsidR="00B36A2A" w14:paraId="7DDBF6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A2A" w14:paraId="7A9BE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E646B" w14:paraId="4A248577" w14:textId="77777777">
      <w:pPr>
        <w:widowControl/>
        <w:autoSpaceDE/>
        <w:autoSpaceDN/>
        <w:adjustRightInd/>
        <w:spacing w:before="100" w:beforeAutospacing="1" w:after="100" w:afterAutospacing="1"/>
        <w:rPr>
          <w:b/>
          <w:bCs/>
          <w:sz w:val="24"/>
          <w:u w:val="single"/>
        </w:rPr>
      </w:pPr>
    </w:p>
    <w:sectPr w:rsidSect="00EA5EBD">
      <w:footerReference w:type="default" r:id="rId6"/>
      <w:endnotePr>
        <w:numFmt w:val="decimal"/>
      </w:endnotePr>
      <w:type w:val="continuous"/>
      <w:pgSz w:w="12240" w:h="15840"/>
      <w:pgMar w:top="720" w:right="1296"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37" w14:paraId="373F314D" w14:textId="77777777">
    <w:pPr>
      <w:spacing w:line="240" w:lineRule="exact"/>
    </w:pPr>
  </w:p>
  <w:p w:rsidR="00690F37" w14:paraId="0E531ED5" w14:textId="6E9B394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414DF">
      <w:rPr>
        <w:noProof/>
        <w:sz w:val="24"/>
      </w:rPr>
      <w:t>6</w:t>
    </w:r>
    <w:r>
      <w:rPr>
        <w:sz w:val="24"/>
      </w:rPr>
      <w:fldChar w:fldCharType="end"/>
    </w:r>
  </w:p>
  <w:p w:rsidR="00690F37" w14:paraId="25D28C46"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6683B2F"/>
    <w:multiLevelType w:val="hybridMultilevel"/>
    <w:tmpl w:val="6174FD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6816DF"/>
    <w:multiLevelType w:val="hybridMultilevel"/>
    <w:tmpl w:val="FFE24B52"/>
    <w:lvl w:ilvl="0">
      <w:start w:val="1"/>
      <w:numFmt w:val="bullet"/>
      <w:lvlText w:val=""/>
      <w:lvlJc w:val="left"/>
      <w:pPr>
        <w:ind w:left="1152" w:hanging="360"/>
      </w:pPr>
      <w:rPr>
        <w:rFonts w:ascii="Symbol" w:hAnsi="Symbol" w:hint="default"/>
      </w:rPr>
    </w:lvl>
    <w:lvl w:ilvl="1">
      <w:start w:val="0"/>
      <w:numFmt w:val="bullet"/>
      <w:lvlText w:val="-"/>
      <w:lvlJc w:val="left"/>
      <w:pPr>
        <w:ind w:left="1872" w:hanging="360"/>
      </w:pPr>
      <w:rPr>
        <w:rFonts w:ascii="Times New Roman" w:eastAsia="Times New Roman" w:hAnsi="Times New Roman" w:cs="Times New Roman"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40C206F8"/>
    <w:multiLevelType w:val="hybridMultilevel"/>
    <w:tmpl w:val="1DB2BEEA"/>
    <w:lvl w:ilvl="0">
      <w:start w:val="1"/>
      <w:numFmt w:val="bullet"/>
      <w:lvlText w:val="o"/>
      <w:lvlJc w:val="left"/>
      <w:pPr>
        <w:ind w:left="1872" w:hanging="360"/>
      </w:pPr>
      <w:rPr>
        <w:rFonts w:ascii="Courier New" w:hAnsi="Courier New" w:cs="Courier New"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74E70AE3"/>
    <w:multiLevelType w:val="hybridMultilevel"/>
    <w:tmpl w:val="EB0CBF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1678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046767">
    <w:abstractNumId w:val="13"/>
  </w:num>
  <w:num w:numId="3" w16cid:durableId="197470031">
    <w:abstractNumId w:val="7"/>
  </w:num>
  <w:num w:numId="4" w16cid:durableId="926033763">
    <w:abstractNumId w:val="0"/>
  </w:num>
  <w:num w:numId="5" w16cid:durableId="985814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568039">
    <w:abstractNumId w:val="6"/>
  </w:num>
  <w:num w:numId="7" w16cid:durableId="4942125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454446">
    <w:abstractNumId w:val="4"/>
  </w:num>
  <w:num w:numId="9" w16cid:durableId="2307763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9344828">
    <w:abstractNumId w:val="10"/>
  </w:num>
  <w:num w:numId="11" w16cid:durableId="1626503564">
    <w:abstractNumId w:val="12"/>
  </w:num>
  <w:num w:numId="12" w16cid:durableId="898202368">
    <w:abstractNumId w:val="3"/>
  </w:num>
  <w:num w:numId="13" w16cid:durableId="575168916">
    <w:abstractNumId w:val="5"/>
  </w:num>
  <w:num w:numId="14" w16cid:durableId="860779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17CF5"/>
    <w:rsid w:val="00023E38"/>
    <w:rsid w:val="00030CCD"/>
    <w:rsid w:val="000328B6"/>
    <w:rsid w:val="00032C9E"/>
    <w:rsid w:val="00035750"/>
    <w:rsid w:val="00037634"/>
    <w:rsid w:val="00042AFB"/>
    <w:rsid w:val="0005184E"/>
    <w:rsid w:val="00052490"/>
    <w:rsid w:val="00062C0E"/>
    <w:rsid w:val="000663A3"/>
    <w:rsid w:val="000664B5"/>
    <w:rsid w:val="00066E54"/>
    <w:rsid w:val="000751A4"/>
    <w:rsid w:val="00076372"/>
    <w:rsid w:val="00083038"/>
    <w:rsid w:val="00083912"/>
    <w:rsid w:val="00085D76"/>
    <w:rsid w:val="000A2827"/>
    <w:rsid w:val="000B0C0D"/>
    <w:rsid w:val="000B191F"/>
    <w:rsid w:val="000B488A"/>
    <w:rsid w:val="000C668A"/>
    <w:rsid w:val="000D0E39"/>
    <w:rsid w:val="000D244A"/>
    <w:rsid w:val="000D3209"/>
    <w:rsid w:val="000E089D"/>
    <w:rsid w:val="000E445E"/>
    <w:rsid w:val="000F3AF4"/>
    <w:rsid w:val="000F663A"/>
    <w:rsid w:val="000F6ADB"/>
    <w:rsid w:val="000F6CBA"/>
    <w:rsid w:val="00101F30"/>
    <w:rsid w:val="001025F9"/>
    <w:rsid w:val="00102A73"/>
    <w:rsid w:val="001057E9"/>
    <w:rsid w:val="00111CE4"/>
    <w:rsid w:val="001125E6"/>
    <w:rsid w:val="00122893"/>
    <w:rsid w:val="00150ACB"/>
    <w:rsid w:val="00156D90"/>
    <w:rsid w:val="001576F4"/>
    <w:rsid w:val="00160C03"/>
    <w:rsid w:val="001675A7"/>
    <w:rsid w:val="00170AF6"/>
    <w:rsid w:val="001907AF"/>
    <w:rsid w:val="001912E6"/>
    <w:rsid w:val="001931B6"/>
    <w:rsid w:val="00193582"/>
    <w:rsid w:val="001A166C"/>
    <w:rsid w:val="001B0FDF"/>
    <w:rsid w:val="001B2405"/>
    <w:rsid w:val="001B2F91"/>
    <w:rsid w:val="001B407E"/>
    <w:rsid w:val="001C3552"/>
    <w:rsid w:val="001C613D"/>
    <w:rsid w:val="001E28BC"/>
    <w:rsid w:val="001E4EE4"/>
    <w:rsid w:val="001E726A"/>
    <w:rsid w:val="001E7AD5"/>
    <w:rsid w:val="001F15A5"/>
    <w:rsid w:val="001F3E88"/>
    <w:rsid w:val="001F700B"/>
    <w:rsid w:val="00202493"/>
    <w:rsid w:val="00207963"/>
    <w:rsid w:val="00210EBE"/>
    <w:rsid w:val="002131EA"/>
    <w:rsid w:val="00222850"/>
    <w:rsid w:val="002248CF"/>
    <w:rsid w:val="00225C8C"/>
    <w:rsid w:val="00226ADA"/>
    <w:rsid w:val="0023034F"/>
    <w:rsid w:val="00231A42"/>
    <w:rsid w:val="0023482E"/>
    <w:rsid w:val="002474E3"/>
    <w:rsid w:val="00250694"/>
    <w:rsid w:val="002533FE"/>
    <w:rsid w:val="002551FE"/>
    <w:rsid w:val="00255AD9"/>
    <w:rsid w:val="002569E8"/>
    <w:rsid w:val="00271A4F"/>
    <w:rsid w:val="0027655A"/>
    <w:rsid w:val="002863DD"/>
    <w:rsid w:val="0029235E"/>
    <w:rsid w:val="0029487E"/>
    <w:rsid w:val="002965E0"/>
    <w:rsid w:val="002966A3"/>
    <w:rsid w:val="00297A20"/>
    <w:rsid w:val="002B53DB"/>
    <w:rsid w:val="002C04C1"/>
    <w:rsid w:val="002C7F1D"/>
    <w:rsid w:val="002D2632"/>
    <w:rsid w:val="002D6B29"/>
    <w:rsid w:val="002E2AB6"/>
    <w:rsid w:val="002E5824"/>
    <w:rsid w:val="002E63A2"/>
    <w:rsid w:val="002F106E"/>
    <w:rsid w:val="00320BEF"/>
    <w:rsid w:val="00323F82"/>
    <w:rsid w:val="003255B7"/>
    <w:rsid w:val="003333AC"/>
    <w:rsid w:val="00334362"/>
    <w:rsid w:val="00347BFE"/>
    <w:rsid w:val="003639DB"/>
    <w:rsid w:val="0036535D"/>
    <w:rsid w:val="0037109F"/>
    <w:rsid w:val="00371CDA"/>
    <w:rsid w:val="0037352E"/>
    <w:rsid w:val="00375118"/>
    <w:rsid w:val="003801AA"/>
    <w:rsid w:val="00381CA0"/>
    <w:rsid w:val="003843C7"/>
    <w:rsid w:val="00384AE0"/>
    <w:rsid w:val="003950AB"/>
    <w:rsid w:val="0039679A"/>
    <w:rsid w:val="00397A66"/>
    <w:rsid w:val="003B04C6"/>
    <w:rsid w:val="003B590E"/>
    <w:rsid w:val="003C16AA"/>
    <w:rsid w:val="003C3280"/>
    <w:rsid w:val="003C73D4"/>
    <w:rsid w:val="003C7C1C"/>
    <w:rsid w:val="003D7E06"/>
    <w:rsid w:val="003E0687"/>
    <w:rsid w:val="003E0DAC"/>
    <w:rsid w:val="003E1082"/>
    <w:rsid w:val="003E5DD5"/>
    <w:rsid w:val="004001B7"/>
    <w:rsid w:val="004023E8"/>
    <w:rsid w:val="004113E6"/>
    <w:rsid w:val="004169E9"/>
    <w:rsid w:val="004311BB"/>
    <w:rsid w:val="00436F68"/>
    <w:rsid w:val="00440DC6"/>
    <w:rsid w:val="00442E3C"/>
    <w:rsid w:val="004459F1"/>
    <w:rsid w:val="00451CD6"/>
    <w:rsid w:val="00454629"/>
    <w:rsid w:val="004626B9"/>
    <w:rsid w:val="0046305A"/>
    <w:rsid w:val="0047031F"/>
    <w:rsid w:val="00470E0F"/>
    <w:rsid w:val="004755F9"/>
    <w:rsid w:val="00476B32"/>
    <w:rsid w:val="00491E24"/>
    <w:rsid w:val="00493312"/>
    <w:rsid w:val="00494C08"/>
    <w:rsid w:val="004A2573"/>
    <w:rsid w:val="004B649C"/>
    <w:rsid w:val="004B709C"/>
    <w:rsid w:val="004C060F"/>
    <w:rsid w:val="004C0CC6"/>
    <w:rsid w:val="004C5871"/>
    <w:rsid w:val="004C7A30"/>
    <w:rsid w:val="004D2273"/>
    <w:rsid w:val="004D3C7C"/>
    <w:rsid w:val="004D4D24"/>
    <w:rsid w:val="004F1B9D"/>
    <w:rsid w:val="00500A3C"/>
    <w:rsid w:val="0050114C"/>
    <w:rsid w:val="005022FB"/>
    <w:rsid w:val="00504454"/>
    <w:rsid w:val="005045ED"/>
    <w:rsid w:val="00512731"/>
    <w:rsid w:val="00517AC2"/>
    <w:rsid w:val="00520BDB"/>
    <w:rsid w:val="0053137F"/>
    <w:rsid w:val="005314D5"/>
    <w:rsid w:val="005414DF"/>
    <w:rsid w:val="00541815"/>
    <w:rsid w:val="00557A16"/>
    <w:rsid w:val="00557D47"/>
    <w:rsid w:val="005701D4"/>
    <w:rsid w:val="0058334B"/>
    <w:rsid w:val="00592AB8"/>
    <w:rsid w:val="005A3103"/>
    <w:rsid w:val="005A536F"/>
    <w:rsid w:val="005B0268"/>
    <w:rsid w:val="005B50F5"/>
    <w:rsid w:val="005B7673"/>
    <w:rsid w:val="005C304B"/>
    <w:rsid w:val="005D01AF"/>
    <w:rsid w:val="005D112A"/>
    <w:rsid w:val="005D436B"/>
    <w:rsid w:val="005D57C1"/>
    <w:rsid w:val="005D62A2"/>
    <w:rsid w:val="005D72E5"/>
    <w:rsid w:val="005E0B47"/>
    <w:rsid w:val="005E103A"/>
    <w:rsid w:val="005E32E8"/>
    <w:rsid w:val="005E67C3"/>
    <w:rsid w:val="005F1C95"/>
    <w:rsid w:val="005F5562"/>
    <w:rsid w:val="005F5C65"/>
    <w:rsid w:val="005F620E"/>
    <w:rsid w:val="00600938"/>
    <w:rsid w:val="00600D16"/>
    <w:rsid w:val="0060720C"/>
    <w:rsid w:val="00610ABF"/>
    <w:rsid w:val="00611570"/>
    <w:rsid w:val="006142DB"/>
    <w:rsid w:val="006173D9"/>
    <w:rsid w:val="006206FD"/>
    <w:rsid w:val="006225A7"/>
    <w:rsid w:val="00623362"/>
    <w:rsid w:val="00626D55"/>
    <w:rsid w:val="00627383"/>
    <w:rsid w:val="00630B10"/>
    <w:rsid w:val="00631010"/>
    <w:rsid w:val="00632325"/>
    <w:rsid w:val="0063281B"/>
    <w:rsid w:val="006348AF"/>
    <w:rsid w:val="00636F01"/>
    <w:rsid w:val="00643AAF"/>
    <w:rsid w:val="00644D97"/>
    <w:rsid w:val="006473F1"/>
    <w:rsid w:val="00652AF1"/>
    <w:rsid w:val="0065561B"/>
    <w:rsid w:val="00657DBE"/>
    <w:rsid w:val="00665828"/>
    <w:rsid w:val="00665F48"/>
    <w:rsid w:val="00671600"/>
    <w:rsid w:val="0067629F"/>
    <w:rsid w:val="00681C14"/>
    <w:rsid w:val="00682330"/>
    <w:rsid w:val="006829D9"/>
    <w:rsid w:val="00684411"/>
    <w:rsid w:val="00684C43"/>
    <w:rsid w:val="00685E39"/>
    <w:rsid w:val="00690E3A"/>
    <w:rsid w:val="00690F37"/>
    <w:rsid w:val="006925CB"/>
    <w:rsid w:val="006955DC"/>
    <w:rsid w:val="00697B79"/>
    <w:rsid w:val="006A1C9C"/>
    <w:rsid w:val="006A3F51"/>
    <w:rsid w:val="006A5E4A"/>
    <w:rsid w:val="006B5027"/>
    <w:rsid w:val="006B5E30"/>
    <w:rsid w:val="006B61E3"/>
    <w:rsid w:val="006C23D6"/>
    <w:rsid w:val="006C37B5"/>
    <w:rsid w:val="006C558A"/>
    <w:rsid w:val="006D575A"/>
    <w:rsid w:val="006E0DBC"/>
    <w:rsid w:val="006E3C6E"/>
    <w:rsid w:val="006E6E72"/>
    <w:rsid w:val="006F7AE5"/>
    <w:rsid w:val="007032FF"/>
    <w:rsid w:val="0071238C"/>
    <w:rsid w:val="007129A5"/>
    <w:rsid w:val="00713B90"/>
    <w:rsid w:val="0073171F"/>
    <w:rsid w:val="00735370"/>
    <w:rsid w:val="007402BE"/>
    <w:rsid w:val="0074773A"/>
    <w:rsid w:val="0075109E"/>
    <w:rsid w:val="00751BCC"/>
    <w:rsid w:val="00764036"/>
    <w:rsid w:val="00764B5D"/>
    <w:rsid w:val="00764EBF"/>
    <w:rsid w:val="007677FE"/>
    <w:rsid w:val="007735EF"/>
    <w:rsid w:val="0077580E"/>
    <w:rsid w:val="007769DA"/>
    <w:rsid w:val="0077712C"/>
    <w:rsid w:val="00787C49"/>
    <w:rsid w:val="00797516"/>
    <w:rsid w:val="007A5FA7"/>
    <w:rsid w:val="007B2E66"/>
    <w:rsid w:val="007B3C08"/>
    <w:rsid w:val="007B71BC"/>
    <w:rsid w:val="007C333F"/>
    <w:rsid w:val="007D64AF"/>
    <w:rsid w:val="007E65DC"/>
    <w:rsid w:val="007F07C0"/>
    <w:rsid w:val="007F39B0"/>
    <w:rsid w:val="007F50C8"/>
    <w:rsid w:val="007F5DE2"/>
    <w:rsid w:val="00813E13"/>
    <w:rsid w:val="008158F5"/>
    <w:rsid w:val="0081603E"/>
    <w:rsid w:val="00831E95"/>
    <w:rsid w:val="00832FB2"/>
    <w:rsid w:val="00842B7E"/>
    <w:rsid w:val="0084328E"/>
    <w:rsid w:val="00844797"/>
    <w:rsid w:val="0085077A"/>
    <w:rsid w:val="008619EF"/>
    <w:rsid w:val="00870D59"/>
    <w:rsid w:val="008874FC"/>
    <w:rsid w:val="00895DFE"/>
    <w:rsid w:val="008A567C"/>
    <w:rsid w:val="008A5BB7"/>
    <w:rsid w:val="008A6289"/>
    <w:rsid w:val="008A66E7"/>
    <w:rsid w:val="008B5661"/>
    <w:rsid w:val="008B7CC5"/>
    <w:rsid w:val="008C1E50"/>
    <w:rsid w:val="008C250E"/>
    <w:rsid w:val="008D03E2"/>
    <w:rsid w:val="008E1BA0"/>
    <w:rsid w:val="008F0DCC"/>
    <w:rsid w:val="008F1EB4"/>
    <w:rsid w:val="008F2E1A"/>
    <w:rsid w:val="008F6A65"/>
    <w:rsid w:val="009006B6"/>
    <w:rsid w:val="00900BE5"/>
    <w:rsid w:val="00904A47"/>
    <w:rsid w:val="00906752"/>
    <w:rsid w:val="00906C04"/>
    <w:rsid w:val="00906C15"/>
    <w:rsid w:val="00913666"/>
    <w:rsid w:val="00916998"/>
    <w:rsid w:val="00920A50"/>
    <w:rsid w:val="0092741A"/>
    <w:rsid w:val="0093471B"/>
    <w:rsid w:val="00940AA8"/>
    <w:rsid w:val="00941BF2"/>
    <w:rsid w:val="00942C59"/>
    <w:rsid w:val="00944BF3"/>
    <w:rsid w:val="00947E24"/>
    <w:rsid w:val="00952D0C"/>
    <w:rsid w:val="00953B9B"/>
    <w:rsid w:val="00956F92"/>
    <w:rsid w:val="00966341"/>
    <w:rsid w:val="009708D3"/>
    <w:rsid w:val="00970B60"/>
    <w:rsid w:val="00975E39"/>
    <w:rsid w:val="00980CB1"/>
    <w:rsid w:val="00983E87"/>
    <w:rsid w:val="00991A1E"/>
    <w:rsid w:val="00992EC8"/>
    <w:rsid w:val="00993848"/>
    <w:rsid w:val="00995421"/>
    <w:rsid w:val="009960FA"/>
    <w:rsid w:val="00997BC4"/>
    <w:rsid w:val="009A15B8"/>
    <w:rsid w:val="009A1EC4"/>
    <w:rsid w:val="009B0697"/>
    <w:rsid w:val="009B15D3"/>
    <w:rsid w:val="009B2459"/>
    <w:rsid w:val="009B392E"/>
    <w:rsid w:val="009C2D67"/>
    <w:rsid w:val="009C31F9"/>
    <w:rsid w:val="009C5AAC"/>
    <w:rsid w:val="009E65EB"/>
    <w:rsid w:val="009F01AA"/>
    <w:rsid w:val="009F334C"/>
    <w:rsid w:val="00A055A0"/>
    <w:rsid w:val="00A06151"/>
    <w:rsid w:val="00A14BFC"/>
    <w:rsid w:val="00A3677A"/>
    <w:rsid w:val="00A40485"/>
    <w:rsid w:val="00A4143A"/>
    <w:rsid w:val="00A53DB1"/>
    <w:rsid w:val="00A5679C"/>
    <w:rsid w:val="00A57690"/>
    <w:rsid w:val="00A66DA1"/>
    <w:rsid w:val="00A67BEE"/>
    <w:rsid w:val="00A70767"/>
    <w:rsid w:val="00A73DA8"/>
    <w:rsid w:val="00A7782A"/>
    <w:rsid w:val="00A871ED"/>
    <w:rsid w:val="00A8726D"/>
    <w:rsid w:val="00A87F9E"/>
    <w:rsid w:val="00A921F2"/>
    <w:rsid w:val="00A93AA1"/>
    <w:rsid w:val="00A96929"/>
    <w:rsid w:val="00A97AF4"/>
    <w:rsid w:val="00AB1E8C"/>
    <w:rsid w:val="00AB51BD"/>
    <w:rsid w:val="00AC42CF"/>
    <w:rsid w:val="00AC4F53"/>
    <w:rsid w:val="00AC550B"/>
    <w:rsid w:val="00AC5642"/>
    <w:rsid w:val="00AD49AE"/>
    <w:rsid w:val="00AD779C"/>
    <w:rsid w:val="00AE0262"/>
    <w:rsid w:val="00AE1F98"/>
    <w:rsid w:val="00AE3CF4"/>
    <w:rsid w:val="00AE40D6"/>
    <w:rsid w:val="00AE58CD"/>
    <w:rsid w:val="00AE67F2"/>
    <w:rsid w:val="00AE7DE1"/>
    <w:rsid w:val="00B03397"/>
    <w:rsid w:val="00B0466F"/>
    <w:rsid w:val="00B07467"/>
    <w:rsid w:val="00B12126"/>
    <w:rsid w:val="00B16C0F"/>
    <w:rsid w:val="00B16D39"/>
    <w:rsid w:val="00B22DF3"/>
    <w:rsid w:val="00B24E78"/>
    <w:rsid w:val="00B259D1"/>
    <w:rsid w:val="00B2628C"/>
    <w:rsid w:val="00B339C6"/>
    <w:rsid w:val="00B36A2A"/>
    <w:rsid w:val="00B4002B"/>
    <w:rsid w:val="00B40A14"/>
    <w:rsid w:val="00B44FD9"/>
    <w:rsid w:val="00B5305D"/>
    <w:rsid w:val="00B53C39"/>
    <w:rsid w:val="00B656C6"/>
    <w:rsid w:val="00B67F11"/>
    <w:rsid w:val="00B721B6"/>
    <w:rsid w:val="00B84CB6"/>
    <w:rsid w:val="00B85319"/>
    <w:rsid w:val="00B86785"/>
    <w:rsid w:val="00B87047"/>
    <w:rsid w:val="00B922E3"/>
    <w:rsid w:val="00BB0BDD"/>
    <w:rsid w:val="00BB0C5C"/>
    <w:rsid w:val="00BB36AE"/>
    <w:rsid w:val="00BB4A37"/>
    <w:rsid w:val="00BB4C3A"/>
    <w:rsid w:val="00BB7930"/>
    <w:rsid w:val="00BC000F"/>
    <w:rsid w:val="00BC147A"/>
    <w:rsid w:val="00BC63EC"/>
    <w:rsid w:val="00BD2334"/>
    <w:rsid w:val="00BD38C9"/>
    <w:rsid w:val="00BD425D"/>
    <w:rsid w:val="00BD75FB"/>
    <w:rsid w:val="00BE1840"/>
    <w:rsid w:val="00BE2942"/>
    <w:rsid w:val="00BE3801"/>
    <w:rsid w:val="00BF43C2"/>
    <w:rsid w:val="00BF651C"/>
    <w:rsid w:val="00C10EBC"/>
    <w:rsid w:val="00C23572"/>
    <w:rsid w:val="00C40E5A"/>
    <w:rsid w:val="00C43030"/>
    <w:rsid w:val="00C6383F"/>
    <w:rsid w:val="00C65A20"/>
    <w:rsid w:val="00C666EC"/>
    <w:rsid w:val="00C73096"/>
    <w:rsid w:val="00C73819"/>
    <w:rsid w:val="00C811BC"/>
    <w:rsid w:val="00C82C35"/>
    <w:rsid w:val="00C83D41"/>
    <w:rsid w:val="00C85B59"/>
    <w:rsid w:val="00C94811"/>
    <w:rsid w:val="00CA1227"/>
    <w:rsid w:val="00CB0EDC"/>
    <w:rsid w:val="00CB127B"/>
    <w:rsid w:val="00CC0093"/>
    <w:rsid w:val="00CC66CD"/>
    <w:rsid w:val="00CC6830"/>
    <w:rsid w:val="00CE0549"/>
    <w:rsid w:val="00CE709B"/>
    <w:rsid w:val="00D03EBE"/>
    <w:rsid w:val="00D050CA"/>
    <w:rsid w:val="00D06B45"/>
    <w:rsid w:val="00D141BF"/>
    <w:rsid w:val="00D14BBA"/>
    <w:rsid w:val="00D17B81"/>
    <w:rsid w:val="00D248A8"/>
    <w:rsid w:val="00D271F3"/>
    <w:rsid w:val="00D30ED8"/>
    <w:rsid w:val="00D34CB8"/>
    <w:rsid w:val="00D44950"/>
    <w:rsid w:val="00D54572"/>
    <w:rsid w:val="00D60A58"/>
    <w:rsid w:val="00D6654C"/>
    <w:rsid w:val="00D71BAE"/>
    <w:rsid w:val="00D975D0"/>
    <w:rsid w:val="00D9782C"/>
    <w:rsid w:val="00D97F10"/>
    <w:rsid w:val="00DB2F1C"/>
    <w:rsid w:val="00DB4CF3"/>
    <w:rsid w:val="00DC008D"/>
    <w:rsid w:val="00DC20F1"/>
    <w:rsid w:val="00DC7EC1"/>
    <w:rsid w:val="00DD097C"/>
    <w:rsid w:val="00DD546B"/>
    <w:rsid w:val="00DF2265"/>
    <w:rsid w:val="00DF6803"/>
    <w:rsid w:val="00E0255B"/>
    <w:rsid w:val="00E06E89"/>
    <w:rsid w:val="00E13CE2"/>
    <w:rsid w:val="00E174E4"/>
    <w:rsid w:val="00E2508B"/>
    <w:rsid w:val="00E32AB0"/>
    <w:rsid w:val="00E37FDD"/>
    <w:rsid w:val="00E40025"/>
    <w:rsid w:val="00E41254"/>
    <w:rsid w:val="00E50AB9"/>
    <w:rsid w:val="00E53F0B"/>
    <w:rsid w:val="00E543F6"/>
    <w:rsid w:val="00E55440"/>
    <w:rsid w:val="00E55569"/>
    <w:rsid w:val="00E611D5"/>
    <w:rsid w:val="00E704F6"/>
    <w:rsid w:val="00E71A88"/>
    <w:rsid w:val="00E72A3D"/>
    <w:rsid w:val="00E7566D"/>
    <w:rsid w:val="00E8286F"/>
    <w:rsid w:val="00E834CD"/>
    <w:rsid w:val="00E92674"/>
    <w:rsid w:val="00E92FB3"/>
    <w:rsid w:val="00E94EF7"/>
    <w:rsid w:val="00EA235C"/>
    <w:rsid w:val="00EA5EBD"/>
    <w:rsid w:val="00EB20F7"/>
    <w:rsid w:val="00ED3D2D"/>
    <w:rsid w:val="00EE6F2F"/>
    <w:rsid w:val="00F046B2"/>
    <w:rsid w:val="00F10AD0"/>
    <w:rsid w:val="00F12359"/>
    <w:rsid w:val="00F149A0"/>
    <w:rsid w:val="00F149B4"/>
    <w:rsid w:val="00F15878"/>
    <w:rsid w:val="00F15E13"/>
    <w:rsid w:val="00F202C7"/>
    <w:rsid w:val="00F22D1F"/>
    <w:rsid w:val="00F23793"/>
    <w:rsid w:val="00F26C74"/>
    <w:rsid w:val="00F40CC1"/>
    <w:rsid w:val="00F416AD"/>
    <w:rsid w:val="00F42F04"/>
    <w:rsid w:val="00F44A8D"/>
    <w:rsid w:val="00F466C9"/>
    <w:rsid w:val="00F55419"/>
    <w:rsid w:val="00F5757D"/>
    <w:rsid w:val="00F576B5"/>
    <w:rsid w:val="00F57FF5"/>
    <w:rsid w:val="00F6426E"/>
    <w:rsid w:val="00F65F44"/>
    <w:rsid w:val="00F72B00"/>
    <w:rsid w:val="00F763D7"/>
    <w:rsid w:val="00F82C86"/>
    <w:rsid w:val="00F919D8"/>
    <w:rsid w:val="00F92B03"/>
    <w:rsid w:val="00FA038E"/>
    <w:rsid w:val="00FA2758"/>
    <w:rsid w:val="00FA616D"/>
    <w:rsid w:val="00FB0561"/>
    <w:rsid w:val="00FB2F0A"/>
    <w:rsid w:val="00FC3AEC"/>
    <w:rsid w:val="00FD0FD6"/>
    <w:rsid w:val="00FD1135"/>
    <w:rsid w:val="00FD1BCE"/>
    <w:rsid w:val="00FD4270"/>
    <w:rsid w:val="00FD5D9D"/>
    <w:rsid w:val="00FD7CC3"/>
    <w:rsid w:val="00FE1E34"/>
    <w:rsid w:val="00FE3631"/>
    <w:rsid w:val="00FE646B"/>
    <w:rsid w:val="00FE6F1D"/>
    <w:rsid w:val="00FF0ED3"/>
    <w:rsid w:val="029C8DE8"/>
    <w:rsid w:val="09E976AD"/>
    <w:rsid w:val="0C61C16F"/>
    <w:rsid w:val="0D489CEF"/>
    <w:rsid w:val="194831EA"/>
    <w:rsid w:val="310D8BBB"/>
    <w:rsid w:val="3D3AD501"/>
    <w:rsid w:val="4249649F"/>
    <w:rsid w:val="4776D791"/>
    <w:rsid w:val="492032E9"/>
    <w:rsid w:val="5202FDAA"/>
    <w:rsid w:val="5F6BF9CD"/>
    <w:rsid w:val="605E0E47"/>
    <w:rsid w:val="6497831C"/>
    <w:rsid w:val="6514BE0D"/>
    <w:rsid w:val="69F1C886"/>
    <w:rsid w:val="6AD0D172"/>
    <w:rsid w:val="75036120"/>
    <w:rsid w:val="765E16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3AE38F"/>
  <w15:chartTrackingRefBased/>
  <w15:docId w15:val="{9FC08C73-13A9-4887-8395-DBDFDD9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1BB"/>
    <w:pPr>
      <w:widowControl w:val="0"/>
      <w:autoSpaceDE w:val="0"/>
      <w:autoSpaceDN w:val="0"/>
      <w:adjustRightInd w:val="0"/>
    </w:pPr>
    <w:rPr>
      <w:szCs w:val="24"/>
    </w:rPr>
  </w:style>
  <w:style w:type="paragraph" w:styleId="Heading1">
    <w:name w:val="heading 1"/>
    <w:basedOn w:val="Normal"/>
    <w:next w:val="Normal"/>
    <w:link w:val="Heading1Char"/>
    <w:qFormat/>
    <w:rsid w:val="00EA2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28C"/>
    <w:pPr>
      <w:keepNext/>
      <w:keepLines/>
      <w:widowControl/>
      <w:autoSpaceDE/>
      <w:autoSpaceDN/>
      <w:adjustRightInd/>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aliases w:val="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1">
    <w:name w:val="Unresolved Mention1"/>
    <w:uiPriority w:val="99"/>
    <w:semiHidden/>
    <w:unhideWhenUsed/>
    <w:rsid w:val="00FD1BCE"/>
    <w:rPr>
      <w:color w:val="605E5C"/>
      <w:shd w:val="clear" w:color="auto" w:fill="E1DFDD"/>
    </w:rPr>
  </w:style>
  <w:style w:type="table" w:styleId="GridTableLight">
    <w:name w:val="Grid Table Light"/>
    <w:basedOn w:val="TableNormal"/>
    <w:uiPriority w:val="40"/>
    <w:rsid w:val="00F2379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sid w:val="00B2628C"/>
    <w:rPr>
      <w:rFonts w:ascii="Calibri Light" w:hAnsi="Calibri Light"/>
      <w:color w:val="2E74B5"/>
      <w:sz w:val="26"/>
      <w:szCs w:val="26"/>
    </w:rPr>
  </w:style>
  <w:style w:type="character" w:styleId="FollowedHyperlink">
    <w:name w:val="FollowedHyperlink"/>
    <w:rsid w:val="006E6E72"/>
    <w:rPr>
      <w:color w:val="954F72"/>
      <w:u w:val="single"/>
    </w:rPr>
  </w:style>
  <w:style w:type="character" w:customStyle="1" w:styleId="UnresolvedMention2">
    <w:name w:val="Unresolved Mention2"/>
    <w:uiPriority w:val="99"/>
    <w:semiHidden/>
    <w:unhideWhenUsed/>
    <w:rsid w:val="00C83D4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EA235C"/>
    <w:pPr>
      <w:tabs>
        <w:tab w:val="center" w:pos="4680"/>
        <w:tab w:val="right" w:pos="9360"/>
      </w:tabs>
    </w:pPr>
  </w:style>
  <w:style w:type="character" w:customStyle="1" w:styleId="HeaderChar">
    <w:name w:val="Header Char"/>
    <w:basedOn w:val="DefaultParagraphFont"/>
    <w:link w:val="Header"/>
    <w:rsid w:val="00EA235C"/>
    <w:rPr>
      <w:szCs w:val="24"/>
    </w:rPr>
  </w:style>
  <w:style w:type="paragraph" w:styleId="Footer">
    <w:name w:val="footer"/>
    <w:basedOn w:val="Normal"/>
    <w:link w:val="FooterChar"/>
    <w:rsid w:val="00EA235C"/>
    <w:pPr>
      <w:tabs>
        <w:tab w:val="center" w:pos="4680"/>
        <w:tab w:val="right" w:pos="9360"/>
      </w:tabs>
    </w:pPr>
  </w:style>
  <w:style w:type="character" w:customStyle="1" w:styleId="FooterChar">
    <w:name w:val="Footer Char"/>
    <w:basedOn w:val="DefaultParagraphFont"/>
    <w:link w:val="Footer"/>
    <w:rsid w:val="00EA235C"/>
    <w:rPr>
      <w:szCs w:val="24"/>
    </w:rPr>
  </w:style>
  <w:style w:type="character" w:customStyle="1" w:styleId="Heading1Char">
    <w:name w:val="Heading 1 Char"/>
    <w:basedOn w:val="DefaultParagraphFont"/>
    <w:link w:val="Heading1"/>
    <w:rsid w:val="00EA235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51CD6"/>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0E8-CEEC-4D33-B143-D1813C4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3155</Words>
  <Characters>18969</Characters>
  <Application>Microsoft Office Word</Application>
  <DocSecurity>0</DocSecurity>
  <Lines>611</Lines>
  <Paragraphs>287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3</cp:revision>
  <cp:lastPrinted>2020-10-06T12:48:00Z</cp:lastPrinted>
  <dcterms:created xsi:type="dcterms:W3CDTF">2026-06-12T17:38:00Z</dcterms:created>
  <dcterms:modified xsi:type="dcterms:W3CDTF">2026-06-18T13:25:00Z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