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734F6" w:rsidRPr="00C12E61" w:rsidP="00363F59" w14:paraId="1EA2EA43" w14:textId="6D578874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C12E61">
        <w:rPr>
          <w:b/>
          <w:bCs/>
          <w:sz w:val="32"/>
          <w:szCs w:val="32"/>
        </w:rPr>
        <w:t>Medicare Part B</w:t>
      </w:r>
    </w:p>
    <w:p w:rsidR="00E734F6" w:rsidRPr="00C12E61" w:rsidP="00363F59" w14:paraId="49E7C66F" w14:textId="6EDF909F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C12E61">
        <w:rPr>
          <w:b/>
          <w:bCs/>
        </w:rPr>
        <w:t xml:space="preserve">Instructions for </w:t>
      </w:r>
      <w:r w:rsidRPr="00C12E61">
        <w:rPr>
          <w:b/>
          <w:bCs/>
        </w:rPr>
        <w:t xml:space="preserve">Reasonable </w:t>
      </w:r>
      <w:r w:rsidRPr="00C12E61">
        <w:rPr>
          <w:b/>
          <w:bCs/>
        </w:rPr>
        <w:t xml:space="preserve">Assumptions in Reporting of </w:t>
      </w:r>
      <w:r w:rsidR="00355560">
        <w:rPr>
          <w:b/>
          <w:bCs/>
        </w:rPr>
        <w:t xml:space="preserve">Manufacturer’s </w:t>
      </w:r>
      <w:r w:rsidRPr="00C12E61">
        <w:rPr>
          <w:b/>
          <w:bCs/>
        </w:rPr>
        <w:t>ASP</w:t>
      </w:r>
    </w:p>
    <w:p w:rsidR="00363F59" w:rsidP="00363F59" w14:paraId="15951253" w14:textId="77777777">
      <w:pPr>
        <w:spacing w:after="0" w:line="240" w:lineRule="auto"/>
        <w:rPr>
          <w:b/>
          <w:bCs/>
        </w:rPr>
      </w:pPr>
    </w:p>
    <w:p w:rsidR="00363F59" w:rsidP="00363F59" w14:paraId="1B947942" w14:textId="4E2755B2">
      <w:pPr>
        <w:spacing w:after="0" w:line="240" w:lineRule="auto"/>
      </w:pPr>
      <w:r>
        <w:t xml:space="preserve">CMS permits manufacturers to make “reasonable assumptions” that are consistent with statute and regulation when they calculate the </w:t>
      </w:r>
      <w:r w:rsidR="00355560">
        <w:t xml:space="preserve">manufacturer’s </w:t>
      </w:r>
      <w:r>
        <w:t xml:space="preserve">average sales price (ASP). </w:t>
      </w:r>
      <w:r w:rsidR="00F71741">
        <w:t xml:space="preserve">Defined under 42 CFR </w:t>
      </w:r>
      <w:r w:rsidRPr="004435B2" w:rsidR="00F71741">
        <w:t>§ 414.802</w:t>
      </w:r>
      <w:r w:rsidR="00F71741">
        <w:t xml:space="preserve"> and </w:t>
      </w:r>
      <w:r w:rsidRPr="004435B2" w:rsidR="00F71741">
        <w:t>§ 414.80</w:t>
      </w:r>
      <w:r w:rsidR="00F71741">
        <w:t xml:space="preserve">4, </w:t>
      </w:r>
      <w:r>
        <w:t xml:space="preserve">CMS </w:t>
      </w:r>
      <w:r w:rsidR="00955DAE">
        <w:t xml:space="preserve">will </w:t>
      </w:r>
      <w:r>
        <w:t>require manufacturers to document</w:t>
      </w:r>
      <w:r w:rsidR="00C12E61">
        <w:t xml:space="preserve"> and submit</w:t>
      </w:r>
      <w:r>
        <w:t xml:space="preserve"> their assumptions</w:t>
      </w:r>
      <w:r w:rsidR="00C12E61">
        <w:t xml:space="preserve"> </w:t>
      </w:r>
      <w:r w:rsidR="0D80B5D0">
        <w:t xml:space="preserve">for </w:t>
      </w:r>
      <w:r w:rsidR="00C12E61">
        <w:t>quarterly</w:t>
      </w:r>
      <w:r w:rsidRPr="0D80B5D0" w:rsidR="00F71741">
        <w:t xml:space="preserve"> </w:t>
      </w:r>
      <w:r w:rsidR="00355560">
        <w:t xml:space="preserve">sales </w:t>
      </w:r>
      <w:r w:rsidR="00F71741">
        <w:t xml:space="preserve">beginning </w:t>
      </w:r>
      <w:r w:rsidR="00355560">
        <w:t xml:space="preserve">January 1, 2026 (reflected in ASP </w:t>
      </w:r>
      <w:r w:rsidR="00490A0F">
        <w:t>data reported to CMS not later than April 30, 2026)</w:t>
      </w:r>
      <w:r w:rsidRPr="0D80B5D0">
        <w:t>.</w:t>
      </w:r>
    </w:p>
    <w:p w:rsidR="00F71741" w:rsidP="00363F59" w14:paraId="023832C0" w14:textId="77777777">
      <w:pPr>
        <w:spacing w:after="0" w:line="240" w:lineRule="auto"/>
      </w:pPr>
    </w:p>
    <w:p w:rsidR="00F71741" w:rsidRPr="000A6608" w:rsidP="00363F59" w14:paraId="2765796E" w14:textId="70B7F183">
      <w:pPr>
        <w:spacing w:after="0" w:line="240" w:lineRule="auto"/>
        <w:rPr>
          <w:b/>
          <w:bCs/>
        </w:rPr>
      </w:pPr>
      <w:r w:rsidRPr="000A6608">
        <w:rPr>
          <w:b/>
          <w:bCs/>
        </w:rPr>
        <w:t>Submission Method</w:t>
      </w:r>
    </w:p>
    <w:p w:rsidR="00F71741" w:rsidP="00363F59" w14:paraId="69509E8F" w14:textId="6C670349">
      <w:pPr>
        <w:spacing w:after="0" w:line="240" w:lineRule="auto"/>
      </w:pPr>
      <w:r>
        <w:t xml:space="preserve">Manufacturers will submit their reasonable assumptions via the </w:t>
      </w:r>
      <w:r w:rsidRPr="00214117" w:rsidR="00A528A3">
        <w:t>ASP Data Collection System</w:t>
      </w:r>
      <w:r w:rsidRPr="00214117" w:rsidR="003C2E52">
        <w:t>.</w:t>
      </w:r>
      <w:r w:rsidR="00214117">
        <w:t xml:space="preserve"> </w:t>
      </w:r>
      <w:r>
        <w:t xml:space="preserve">Technical assistance will also be made available. Reasonable assumptions are due by January </w:t>
      </w:r>
      <w:r w:rsidR="0046586B">
        <w:t>30</w:t>
      </w:r>
      <w:r>
        <w:t xml:space="preserve">, April </w:t>
      </w:r>
      <w:r w:rsidR="0046586B">
        <w:t>30</w:t>
      </w:r>
      <w:r>
        <w:t xml:space="preserve">, July </w:t>
      </w:r>
      <w:r w:rsidR="0046586B">
        <w:t>30</w:t>
      </w:r>
      <w:r>
        <w:t xml:space="preserve">, and October </w:t>
      </w:r>
      <w:r w:rsidR="0046586B">
        <w:t>30</w:t>
      </w:r>
      <w:r>
        <w:t xml:space="preserve"> every year</w:t>
      </w:r>
      <w:r w:rsidR="0046586B">
        <w:t xml:space="preserve"> along with the applicable ASP data submitted to the portal</w:t>
      </w:r>
      <w:r>
        <w:t xml:space="preserve">. </w:t>
      </w:r>
    </w:p>
    <w:p w:rsidR="00A528A3" w:rsidP="00363F59" w14:paraId="2F58A828" w14:textId="77777777">
      <w:pPr>
        <w:spacing w:after="0" w:line="240" w:lineRule="auto"/>
      </w:pPr>
    </w:p>
    <w:p w:rsidR="00A528A3" w:rsidRPr="00214117" w:rsidP="00A528A3" w14:paraId="7AE83F8A" w14:textId="7088D1D8">
      <w:pPr>
        <w:spacing w:after="0" w:line="240" w:lineRule="auto"/>
        <w:rPr>
          <w:i/>
          <w:iCs/>
        </w:rPr>
      </w:pPr>
      <w:r w:rsidRPr="00214117">
        <w:rPr>
          <w:i/>
          <w:iCs/>
        </w:rPr>
        <w:t xml:space="preserve">Follow these steps to upload an assumption file to the Module: </w:t>
      </w:r>
    </w:p>
    <w:p w:rsidR="00A528A3" w:rsidRPr="00A528A3" w:rsidP="00A528A3" w14:paraId="3ADA97C8" w14:textId="7B848889">
      <w:pPr>
        <w:spacing w:after="0" w:line="240" w:lineRule="auto"/>
      </w:pPr>
      <w:r w:rsidRPr="00A528A3">
        <w:t xml:space="preserve">1. Click the </w:t>
      </w:r>
      <w:r w:rsidR="00214117">
        <w:t>U</w:t>
      </w:r>
      <w:r w:rsidRPr="00A528A3">
        <w:t>pload Assumption File tab.</w:t>
      </w:r>
    </w:p>
    <w:p w:rsidR="00A528A3" w:rsidRPr="00A528A3" w:rsidP="00A528A3" w14:paraId="6EFD96DD" w14:textId="77777777">
      <w:pPr>
        <w:spacing w:after="0" w:line="240" w:lineRule="auto"/>
      </w:pPr>
      <w:r w:rsidRPr="00A528A3">
        <w:t xml:space="preserve">2. Select the Upload Assumption File radio button. A Manufacturer Name (required) drop-down menu and empty File Description field display. </w:t>
      </w:r>
    </w:p>
    <w:p w:rsidR="00A528A3" w:rsidRPr="00A528A3" w:rsidP="00A528A3" w14:paraId="119199DE" w14:textId="77777777">
      <w:pPr>
        <w:spacing w:after="0" w:line="240" w:lineRule="auto"/>
      </w:pPr>
      <w:r w:rsidRPr="00A528A3">
        <w:t>3. From the Manufacturer Name (required) drop-down menu, click the -Select- dropdown menu to expand the list and select the manufacturer name.</w:t>
      </w:r>
    </w:p>
    <w:p w:rsidR="00A528A3" w:rsidRPr="00A528A3" w:rsidP="00A528A3" w14:paraId="405339D8" w14:textId="66AA4081">
      <w:pPr>
        <w:spacing w:after="0" w:line="240" w:lineRule="auto"/>
      </w:pPr>
      <w:r>
        <w:t>4</w:t>
      </w:r>
      <w:r w:rsidRPr="00A528A3">
        <w:t>. Click Select File to browse your desktop and upload your Assumption File to the Module. You may also drag your Assumption File into the Select File box.</w:t>
      </w:r>
    </w:p>
    <w:p w:rsidR="00B27F65" w:rsidP="00363F59" w14:paraId="78E5BCD2" w14:textId="77777777">
      <w:pPr>
        <w:spacing w:after="0" w:line="240" w:lineRule="auto"/>
      </w:pPr>
    </w:p>
    <w:p w:rsidR="00B27F65" w:rsidRPr="00A84FF7" w:rsidP="00363F59" w14:paraId="5E2A5FA1" w14:textId="39DCD744">
      <w:pPr>
        <w:spacing w:after="0" w:line="240" w:lineRule="auto"/>
        <w:rPr>
          <w:b/>
          <w:bCs/>
        </w:rPr>
      </w:pPr>
      <w:r w:rsidRPr="00A84FF7">
        <w:rPr>
          <w:b/>
          <w:bCs/>
        </w:rPr>
        <w:t xml:space="preserve">Reasonable Assumptions </w:t>
      </w:r>
    </w:p>
    <w:p w:rsidR="008C528D" w:rsidP="00363F59" w14:paraId="3DC6FF1C" w14:textId="77777777">
      <w:pPr>
        <w:spacing w:after="0" w:line="240" w:lineRule="auto"/>
      </w:pPr>
      <w:r>
        <w:t>Manufacturers must provide all required information below in the form fields</w:t>
      </w:r>
      <w:r w:rsidR="00A84FF7">
        <w:t>. If you do not have reasonable assumptions for a particular area, put “N/A” in the box. If you have additional verbiage for any of the areas below, attach a cover letter</w:t>
      </w:r>
      <w:r>
        <w:t xml:space="preserve"> when submitting this form</w:t>
      </w:r>
      <w:r w:rsidR="00A84FF7">
        <w:t xml:space="preserve">. </w:t>
      </w:r>
    </w:p>
    <w:p w:rsidR="00214117" w:rsidP="00363F59" w14:paraId="43B20465" w14:textId="77777777">
      <w:pPr>
        <w:spacing w:after="0" w:line="240" w:lineRule="auto"/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5FB6B707" w14:textId="77777777" w:rsidTr="008C528D">
        <w:tblPrEx>
          <w:tblW w:w="0" w:type="auto"/>
          <w:tblLook w:val="04A0"/>
        </w:tblPrEx>
        <w:tc>
          <w:tcPr>
            <w:tcW w:w="4675" w:type="dxa"/>
          </w:tcPr>
          <w:p w:rsidR="008C528D" w:rsidRPr="00760E4C" w:rsidP="00363F59" w14:paraId="226154E0" w14:textId="25AF3127">
            <w:pPr>
              <w:rPr>
                <w:b/>
                <w:bCs/>
              </w:rPr>
            </w:pPr>
            <w:r w:rsidRPr="00760E4C">
              <w:rPr>
                <w:b/>
                <w:bCs/>
              </w:rPr>
              <w:t>Bona Fide Service Fees</w:t>
            </w:r>
          </w:p>
        </w:tc>
        <w:tc>
          <w:tcPr>
            <w:tcW w:w="4675" w:type="dxa"/>
          </w:tcPr>
          <w:p w:rsidR="008C528D" w:rsidRPr="00760E4C" w:rsidP="00363F59" w14:paraId="0B01D0DF" w14:textId="228FECD3">
            <w:pPr>
              <w:rPr>
                <w:b/>
                <w:bCs/>
              </w:rPr>
            </w:pPr>
            <w:r w:rsidRPr="00760E4C">
              <w:rPr>
                <w:b/>
                <w:bCs/>
              </w:rPr>
              <w:t>Response Format</w:t>
            </w:r>
          </w:p>
        </w:tc>
      </w:tr>
      <w:tr w14:paraId="1213033C" w14:textId="77777777" w:rsidTr="008C528D">
        <w:tblPrEx>
          <w:tblW w:w="0" w:type="auto"/>
          <w:tblLook w:val="04A0"/>
        </w:tblPrEx>
        <w:trPr>
          <w:trHeight w:val="1610"/>
        </w:trPr>
        <w:tc>
          <w:tcPr>
            <w:tcW w:w="4675" w:type="dxa"/>
          </w:tcPr>
          <w:p w:rsidR="005B04F1" w:rsidP="00E949F3" w14:paraId="7F987456" w14:textId="1292B0AC">
            <w:r>
              <w:t xml:space="preserve">Provide </w:t>
            </w:r>
            <w:r w:rsidR="0093116E">
              <w:t xml:space="preserve">an </w:t>
            </w:r>
            <w:r>
              <w:t>overview of contractual arrangements</w:t>
            </w:r>
            <w:r w:rsidR="0046586B">
              <w:t xml:space="preserve"> that the submitting manufacturer has</w:t>
            </w:r>
            <w:r>
              <w:t xml:space="preserve"> with entities </w:t>
            </w:r>
            <w:r w:rsidR="0046586B">
              <w:t xml:space="preserve">for which it pays a </w:t>
            </w:r>
            <w:r>
              <w:t>bona fide service</w:t>
            </w:r>
            <w:r w:rsidR="0046586B">
              <w:t xml:space="preserve"> fee(</w:t>
            </w:r>
            <w:r>
              <w:t>s</w:t>
            </w:r>
            <w:r w:rsidR="0046586B">
              <w:t>)</w:t>
            </w:r>
            <w:r w:rsidR="00E949F3">
              <w:t xml:space="preserve"> as well as the </w:t>
            </w:r>
            <w:r>
              <w:t xml:space="preserve">fair market value analysis for service </w:t>
            </w:r>
            <w:r>
              <w:t xml:space="preserve">arrangements each time </w:t>
            </w:r>
            <w:r w:rsidR="0033166A">
              <w:t xml:space="preserve">an </w:t>
            </w:r>
            <w:r>
              <w:t xml:space="preserve">arrangement is issued or renewed. </w:t>
            </w:r>
          </w:p>
        </w:tc>
        <w:tc>
          <w:tcPr>
            <w:tcW w:w="4675" w:type="dxa"/>
          </w:tcPr>
          <w:p w:rsidR="008C528D" w:rsidRPr="00760E4C" w:rsidP="00363F59" w14:paraId="16B3FD8F" w14:textId="234EE702">
            <w:pPr>
              <w:rPr>
                <w:i/>
                <w:iCs/>
              </w:rPr>
            </w:pPr>
            <w:r w:rsidRPr="00760E4C">
              <w:rPr>
                <w:i/>
                <w:iCs/>
              </w:rPr>
              <w:t>Text (</w:t>
            </w:r>
            <w:r w:rsidRPr="00760E4C" w:rsidR="00A375AD">
              <w:rPr>
                <w:i/>
                <w:iCs/>
              </w:rPr>
              <w:t>1000-character</w:t>
            </w:r>
            <w:r w:rsidRPr="00760E4C">
              <w:rPr>
                <w:i/>
                <w:iCs/>
              </w:rPr>
              <w:t xml:space="preserve"> count limit)</w:t>
            </w:r>
          </w:p>
        </w:tc>
      </w:tr>
    </w:tbl>
    <w:p w:rsidR="000A6608" w:rsidP="00363F59" w14:paraId="19754003" w14:textId="77777777">
      <w:pPr>
        <w:spacing w:after="0" w:line="240" w:lineRule="auto"/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7B8A170D" w14:textId="77777777" w:rsidTr="00760E4C">
        <w:tblPrEx>
          <w:tblW w:w="0" w:type="auto"/>
          <w:tblLook w:val="04A0"/>
        </w:tblPrEx>
        <w:tc>
          <w:tcPr>
            <w:tcW w:w="4675" w:type="dxa"/>
          </w:tcPr>
          <w:p w:rsidR="00760E4C" w:rsidRPr="00A375AD" w:rsidP="00363F59" w14:paraId="1DB1F3FC" w14:textId="74BDFA6C">
            <w:pPr>
              <w:rPr>
                <w:b/>
                <w:bCs/>
              </w:rPr>
            </w:pPr>
            <w:r w:rsidRPr="00A375AD">
              <w:rPr>
                <w:b/>
                <w:bCs/>
              </w:rPr>
              <w:t xml:space="preserve">Bundled Sales </w:t>
            </w:r>
          </w:p>
        </w:tc>
        <w:tc>
          <w:tcPr>
            <w:tcW w:w="4675" w:type="dxa"/>
          </w:tcPr>
          <w:p w:rsidR="00760E4C" w:rsidRPr="00A375AD" w:rsidP="00363F59" w14:paraId="4EE9D480" w14:textId="5208CC96">
            <w:pPr>
              <w:rPr>
                <w:b/>
                <w:bCs/>
              </w:rPr>
            </w:pPr>
            <w:r w:rsidRPr="00A375AD">
              <w:rPr>
                <w:b/>
                <w:bCs/>
              </w:rPr>
              <w:t>Response Format</w:t>
            </w:r>
          </w:p>
        </w:tc>
      </w:tr>
      <w:tr w14:paraId="30DC1E3E" w14:textId="77777777" w:rsidTr="00760E4C">
        <w:tblPrEx>
          <w:tblW w:w="0" w:type="auto"/>
          <w:tblLook w:val="04A0"/>
        </w:tblPrEx>
        <w:trPr>
          <w:trHeight w:val="323"/>
        </w:trPr>
        <w:tc>
          <w:tcPr>
            <w:tcW w:w="4675" w:type="dxa"/>
          </w:tcPr>
          <w:p w:rsidR="00760E4C" w:rsidP="00A375AD" w14:paraId="7BA344C8" w14:textId="0483BF9A">
            <w:r>
              <w:t xml:space="preserve">Provide </w:t>
            </w:r>
            <w:r w:rsidR="007B5951">
              <w:t xml:space="preserve">an </w:t>
            </w:r>
            <w:r>
              <w:t xml:space="preserve">overview of bundled sale arrangements and </w:t>
            </w:r>
            <w:r w:rsidR="007B5951">
              <w:t xml:space="preserve">the </w:t>
            </w:r>
            <w:r>
              <w:t xml:space="preserve">discount reallocation for each arrangement. </w:t>
            </w:r>
          </w:p>
        </w:tc>
        <w:tc>
          <w:tcPr>
            <w:tcW w:w="4675" w:type="dxa"/>
          </w:tcPr>
          <w:p w:rsidR="00760E4C" w:rsidP="00363F59" w14:paraId="41929E9F" w14:textId="5CC0271E">
            <w:r w:rsidRPr="00760E4C">
              <w:rPr>
                <w:i/>
                <w:iCs/>
              </w:rPr>
              <w:t>Text (1000-character count limit)</w:t>
            </w:r>
          </w:p>
        </w:tc>
      </w:tr>
    </w:tbl>
    <w:p w:rsidR="00B32C19" w:rsidP="00363F59" w14:paraId="331589B8" w14:textId="77777777">
      <w:pPr>
        <w:spacing w:after="0" w:line="240" w:lineRule="auto"/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4CB9F5E5" w14:textId="77777777" w:rsidTr="00A375AD">
        <w:tblPrEx>
          <w:tblW w:w="0" w:type="auto"/>
          <w:tblLook w:val="04A0"/>
        </w:tblPrEx>
        <w:tc>
          <w:tcPr>
            <w:tcW w:w="4675" w:type="dxa"/>
          </w:tcPr>
          <w:p w:rsidR="00A375AD" w:rsidRPr="000A274F" w:rsidP="00363F59" w14:paraId="4A5D2909" w14:textId="2887CA32">
            <w:pPr>
              <w:rPr>
                <w:b/>
                <w:bCs/>
              </w:rPr>
            </w:pPr>
            <w:r w:rsidRPr="000A274F">
              <w:rPr>
                <w:b/>
                <w:bCs/>
              </w:rPr>
              <w:t>Price Concessions</w:t>
            </w:r>
            <w:r w:rsidR="00E76107">
              <w:rPr>
                <w:b/>
                <w:bCs/>
              </w:rPr>
              <w:t xml:space="preserve"> and Discounts</w:t>
            </w:r>
          </w:p>
        </w:tc>
        <w:tc>
          <w:tcPr>
            <w:tcW w:w="4675" w:type="dxa"/>
          </w:tcPr>
          <w:p w:rsidR="00A375AD" w:rsidRPr="000A274F" w:rsidP="00363F59" w14:paraId="72FC1B8D" w14:textId="3123BBCD">
            <w:pPr>
              <w:rPr>
                <w:b/>
                <w:bCs/>
              </w:rPr>
            </w:pPr>
            <w:r w:rsidRPr="000A274F">
              <w:rPr>
                <w:b/>
                <w:bCs/>
              </w:rPr>
              <w:t>Response Format</w:t>
            </w:r>
          </w:p>
        </w:tc>
      </w:tr>
      <w:tr w14:paraId="503DF488" w14:textId="77777777" w:rsidTr="00A375AD">
        <w:tblPrEx>
          <w:tblW w:w="0" w:type="auto"/>
          <w:tblLook w:val="04A0"/>
        </w:tblPrEx>
        <w:tc>
          <w:tcPr>
            <w:tcW w:w="4675" w:type="dxa"/>
          </w:tcPr>
          <w:p w:rsidR="00A375AD" w:rsidP="00363F59" w14:paraId="151B2DD5" w14:textId="16272666">
            <w:r>
              <w:t xml:space="preserve">Provide </w:t>
            </w:r>
            <w:r w:rsidR="007B5951">
              <w:t>list</w:t>
            </w:r>
            <w:r>
              <w:t xml:space="preserve"> </w:t>
            </w:r>
            <w:r w:rsidR="00C51A03">
              <w:t xml:space="preserve">and overview </w:t>
            </w:r>
            <w:r>
              <w:t>of price concessions</w:t>
            </w:r>
            <w:r w:rsidR="00E76107">
              <w:t xml:space="preserve"> and discounts</w:t>
            </w:r>
            <w:r>
              <w:t xml:space="preserve"> (</w:t>
            </w:r>
            <w:r w:rsidR="000A274F">
              <w:t>e.g.</w:t>
            </w:r>
            <w:r w:rsidR="0046586B">
              <w:t>,</w:t>
            </w:r>
            <w:r w:rsidR="000A274F">
              <w:t xml:space="preserve"> lagged, non-lagged, stacked</w:t>
            </w:r>
            <w:r w:rsidR="00E76107">
              <w:t>, prompt pay</w:t>
            </w:r>
            <w:r w:rsidR="000A274F">
              <w:t>) for product</w:t>
            </w:r>
            <w:r w:rsidR="00E76107">
              <w:t>s</w:t>
            </w:r>
            <w:r w:rsidR="000A274F">
              <w:t xml:space="preserve"> or transaction</w:t>
            </w:r>
            <w:r w:rsidR="00E76107">
              <w:t>s</w:t>
            </w:r>
            <w:r w:rsidR="000A274F">
              <w:t>.</w:t>
            </w:r>
          </w:p>
        </w:tc>
        <w:tc>
          <w:tcPr>
            <w:tcW w:w="4675" w:type="dxa"/>
          </w:tcPr>
          <w:p w:rsidR="00A375AD" w:rsidP="00363F59" w14:paraId="4EB9FD79" w14:textId="182D2980">
            <w:r w:rsidRPr="00760E4C">
              <w:rPr>
                <w:i/>
                <w:iCs/>
              </w:rPr>
              <w:t>Text (1000-character count limit)</w:t>
            </w:r>
          </w:p>
        </w:tc>
      </w:tr>
    </w:tbl>
    <w:p w:rsidR="00A375AD" w:rsidP="00363F59" w14:paraId="115A38BE" w14:textId="77777777">
      <w:pPr>
        <w:spacing w:after="0" w:line="240" w:lineRule="auto"/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4ECD843A" w14:textId="77777777" w:rsidTr="00E76107">
        <w:tblPrEx>
          <w:tblW w:w="0" w:type="auto"/>
          <w:tblLook w:val="04A0"/>
        </w:tblPrEx>
        <w:tc>
          <w:tcPr>
            <w:tcW w:w="4675" w:type="dxa"/>
          </w:tcPr>
          <w:p w:rsidR="00E76107" w:rsidRPr="007B5951" w:rsidP="00363F59" w14:paraId="3D0FDDF2" w14:textId="41BE675E">
            <w:pPr>
              <w:rPr>
                <w:b/>
                <w:bCs/>
              </w:rPr>
            </w:pPr>
            <w:r w:rsidRPr="007B5951">
              <w:rPr>
                <w:b/>
                <w:bCs/>
              </w:rPr>
              <w:t>Reporting of Products with Zero, Negative, or False Positive ASPs</w:t>
            </w:r>
          </w:p>
        </w:tc>
        <w:tc>
          <w:tcPr>
            <w:tcW w:w="4675" w:type="dxa"/>
          </w:tcPr>
          <w:p w:rsidR="00E76107" w:rsidP="00363F59" w14:paraId="24C25898" w14:textId="5F4CA6BF">
            <w:r w:rsidRPr="000A274F">
              <w:rPr>
                <w:b/>
                <w:bCs/>
              </w:rPr>
              <w:t>Response Format</w:t>
            </w:r>
          </w:p>
        </w:tc>
      </w:tr>
      <w:tr w14:paraId="4642D886" w14:textId="77777777" w:rsidTr="00E76107">
        <w:tblPrEx>
          <w:tblW w:w="0" w:type="auto"/>
          <w:tblLook w:val="04A0"/>
        </w:tblPrEx>
        <w:tc>
          <w:tcPr>
            <w:tcW w:w="4675" w:type="dxa"/>
          </w:tcPr>
          <w:p w:rsidR="00E76107" w:rsidP="00363F59" w14:paraId="3D568A13" w14:textId="4E5E6470">
            <w:r>
              <w:t>Confirm how you will report products with zero, negative, or false positive ASPs.</w:t>
            </w:r>
          </w:p>
        </w:tc>
        <w:tc>
          <w:tcPr>
            <w:tcW w:w="4675" w:type="dxa"/>
          </w:tcPr>
          <w:p w:rsidR="00E76107" w:rsidP="00363F59" w14:paraId="3BFBCF0C" w14:textId="696F0C98">
            <w:r w:rsidRPr="00760E4C">
              <w:rPr>
                <w:i/>
                <w:iCs/>
              </w:rPr>
              <w:t>Text (1000-character count limit)</w:t>
            </w:r>
          </w:p>
        </w:tc>
      </w:tr>
    </w:tbl>
    <w:p w:rsidR="00B32C19" w:rsidP="00363F59" w14:paraId="2EA47E03" w14:textId="77777777">
      <w:pPr>
        <w:spacing w:after="0" w:line="240" w:lineRule="auto"/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38BFC208" w14:textId="77777777" w:rsidTr="007109F5">
        <w:tblPrEx>
          <w:tblW w:w="0" w:type="auto"/>
          <w:tblLook w:val="04A0"/>
        </w:tblPrEx>
        <w:tc>
          <w:tcPr>
            <w:tcW w:w="4675" w:type="dxa"/>
          </w:tcPr>
          <w:p w:rsidR="007109F5" w:rsidRPr="007B5951" w:rsidP="005F2DFC" w14:paraId="07761BBB" w14:textId="12154965">
            <w:pPr>
              <w:tabs>
                <w:tab w:val="left" w:pos="1650"/>
              </w:tabs>
              <w:rPr>
                <w:b/>
                <w:bCs/>
              </w:rPr>
            </w:pPr>
            <w:r w:rsidRPr="007B5951">
              <w:rPr>
                <w:b/>
                <w:bCs/>
              </w:rPr>
              <w:t>Sales Excluded from Best Price</w:t>
            </w:r>
          </w:p>
        </w:tc>
        <w:tc>
          <w:tcPr>
            <w:tcW w:w="4675" w:type="dxa"/>
          </w:tcPr>
          <w:p w:rsidR="007109F5" w:rsidRPr="007B5951" w:rsidP="00363F59" w14:paraId="591293DF" w14:textId="710F88A3">
            <w:pPr>
              <w:rPr>
                <w:b/>
                <w:bCs/>
              </w:rPr>
            </w:pPr>
            <w:r w:rsidRPr="000A274F">
              <w:rPr>
                <w:b/>
                <w:bCs/>
              </w:rPr>
              <w:t>Response Format</w:t>
            </w:r>
          </w:p>
        </w:tc>
      </w:tr>
      <w:tr w14:paraId="5D18A2E0" w14:textId="77777777" w:rsidTr="007109F5">
        <w:tblPrEx>
          <w:tblW w:w="0" w:type="auto"/>
          <w:tblLook w:val="04A0"/>
        </w:tblPrEx>
        <w:tc>
          <w:tcPr>
            <w:tcW w:w="4675" w:type="dxa"/>
          </w:tcPr>
          <w:p w:rsidR="007109F5" w:rsidRPr="007B5951" w:rsidP="00363F59" w14:paraId="2F837597" w14:textId="15E62FB3">
            <w:r>
              <w:t xml:space="preserve">Confirm how you will report sales excluded from Medicaid Best Price. </w:t>
            </w:r>
          </w:p>
        </w:tc>
        <w:tc>
          <w:tcPr>
            <w:tcW w:w="4675" w:type="dxa"/>
          </w:tcPr>
          <w:p w:rsidR="007109F5" w:rsidRPr="007B5951" w:rsidP="00363F59" w14:paraId="6142DCAC" w14:textId="24665F4A">
            <w:pPr>
              <w:rPr>
                <w:b/>
                <w:bCs/>
              </w:rPr>
            </w:pPr>
            <w:r w:rsidRPr="00760E4C">
              <w:rPr>
                <w:i/>
                <w:iCs/>
              </w:rPr>
              <w:t>Text (1000-character count limit)</w:t>
            </w:r>
          </w:p>
        </w:tc>
      </w:tr>
    </w:tbl>
    <w:p w:rsidR="005F2DFC" w:rsidRPr="007B5951" w:rsidP="00363F59" w14:paraId="283B3CEA" w14:textId="77777777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7702629B" w14:textId="77777777" w:rsidTr="007B5951">
        <w:tblPrEx>
          <w:tblW w:w="0" w:type="auto"/>
          <w:tblLook w:val="04A0"/>
        </w:tblPrEx>
        <w:tc>
          <w:tcPr>
            <w:tcW w:w="4675" w:type="dxa"/>
          </w:tcPr>
          <w:p w:rsidR="007B5951" w:rsidRPr="007B5951" w:rsidP="00363F59" w14:paraId="768454FD" w14:textId="22082068">
            <w:pPr>
              <w:rPr>
                <w:b/>
                <w:bCs/>
              </w:rPr>
            </w:pPr>
            <w:r w:rsidRPr="007B5951">
              <w:rPr>
                <w:b/>
                <w:bCs/>
              </w:rPr>
              <w:t>Time Value of Money</w:t>
            </w:r>
          </w:p>
        </w:tc>
        <w:tc>
          <w:tcPr>
            <w:tcW w:w="4675" w:type="dxa"/>
          </w:tcPr>
          <w:p w:rsidR="007B5951" w:rsidRPr="007B5951" w:rsidP="00363F59" w14:paraId="4DBD6CC3" w14:textId="751B84C7">
            <w:pPr>
              <w:rPr>
                <w:b/>
                <w:bCs/>
              </w:rPr>
            </w:pPr>
            <w:r w:rsidRPr="000A274F">
              <w:rPr>
                <w:b/>
                <w:bCs/>
              </w:rPr>
              <w:t>Response Format</w:t>
            </w:r>
          </w:p>
        </w:tc>
      </w:tr>
      <w:tr w14:paraId="65660AEF" w14:textId="77777777" w:rsidTr="007B5951">
        <w:tblPrEx>
          <w:tblW w:w="0" w:type="auto"/>
          <w:tblLook w:val="04A0"/>
        </w:tblPrEx>
        <w:tc>
          <w:tcPr>
            <w:tcW w:w="4675" w:type="dxa"/>
          </w:tcPr>
          <w:p w:rsidR="007B5951" w:rsidRPr="00CA4092" w:rsidP="00363F59" w14:paraId="318DD87C" w14:textId="64C54CF0">
            <w:r w:rsidRPr="00CA4092">
              <w:t>Confirm how you factor the time value of money in the ASP calculation.</w:t>
            </w:r>
          </w:p>
        </w:tc>
        <w:tc>
          <w:tcPr>
            <w:tcW w:w="4675" w:type="dxa"/>
          </w:tcPr>
          <w:p w:rsidR="007B5951" w:rsidRPr="007B5951" w:rsidP="00363F59" w14:paraId="29B6D069" w14:textId="129E9529">
            <w:pPr>
              <w:rPr>
                <w:b/>
                <w:bCs/>
              </w:rPr>
            </w:pPr>
            <w:r w:rsidRPr="00760E4C">
              <w:rPr>
                <w:i/>
                <w:iCs/>
              </w:rPr>
              <w:t>Text (1000-character count limit)</w:t>
            </w:r>
          </w:p>
        </w:tc>
      </w:tr>
    </w:tbl>
    <w:p w:rsidR="007B5951" w:rsidRPr="007B5951" w:rsidP="00363F59" w14:paraId="61F702E7" w14:textId="77777777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5BE8C396" w14:textId="77777777" w:rsidTr="007B5951">
        <w:tblPrEx>
          <w:tblW w:w="0" w:type="auto"/>
          <w:tblLook w:val="04A0"/>
        </w:tblPrEx>
        <w:tc>
          <w:tcPr>
            <w:tcW w:w="4675" w:type="dxa"/>
          </w:tcPr>
          <w:p w:rsidR="007B5951" w:rsidRPr="007B5951" w:rsidP="00363F59" w14:paraId="72AF439F" w14:textId="23188086">
            <w:pPr>
              <w:rPr>
                <w:b/>
                <w:bCs/>
              </w:rPr>
            </w:pPr>
            <w:r w:rsidRPr="007B5951">
              <w:rPr>
                <w:b/>
                <w:bCs/>
              </w:rPr>
              <w:t>Free Goods Not Contingent on a Purchase Requirement</w:t>
            </w:r>
          </w:p>
        </w:tc>
        <w:tc>
          <w:tcPr>
            <w:tcW w:w="4675" w:type="dxa"/>
          </w:tcPr>
          <w:p w:rsidR="007B5951" w:rsidRPr="007B5951" w:rsidP="00363F59" w14:paraId="48C22A97" w14:textId="149DDFD0">
            <w:pPr>
              <w:rPr>
                <w:b/>
                <w:bCs/>
              </w:rPr>
            </w:pPr>
            <w:r w:rsidRPr="000A274F">
              <w:rPr>
                <w:b/>
                <w:bCs/>
              </w:rPr>
              <w:t>Response Format</w:t>
            </w:r>
          </w:p>
        </w:tc>
      </w:tr>
      <w:tr w14:paraId="0346CDBC" w14:textId="77777777" w:rsidTr="007B5951">
        <w:tblPrEx>
          <w:tblW w:w="0" w:type="auto"/>
          <w:tblLook w:val="04A0"/>
        </w:tblPrEx>
        <w:tc>
          <w:tcPr>
            <w:tcW w:w="4675" w:type="dxa"/>
          </w:tcPr>
          <w:p w:rsidR="007B5951" w:rsidRPr="00C51A03" w:rsidP="00363F59" w14:paraId="0BA43E71" w14:textId="78961CBB">
            <w:r w:rsidRPr="00C51A03">
              <w:t xml:space="preserve">Provide a review of any </w:t>
            </w:r>
            <w:r w:rsidR="005F66A2">
              <w:t xml:space="preserve">free goods not contingent on a purchase requirement, including but not limited to </w:t>
            </w:r>
            <w:r w:rsidRPr="00C51A03">
              <w:t>coupon</w:t>
            </w:r>
            <w:r w:rsidR="005F66A2">
              <w:t>s</w:t>
            </w:r>
            <w:r w:rsidRPr="00C51A03">
              <w:t xml:space="preserve">, copay </w:t>
            </w:r>
            <w:r w:rsidRPr="00C51A03">
              <w:t xml:space="preserve">assistance programs, vouchers and free goods, and patient assistance programs. </w:t>
            </w:r>
            <w:r w:rsidR="005F66A2">
              <w:t xml:space="preserve"> </w:t>
            </w:r>
          </w:p>
        </w:tc>
        <w:tc>
          <w:tcPr>
            <w:tcW w:w="4675" w:type="dxa"/>
          </w:tcPr>
          <w:p w:rsidR="007B5951" w:rsidRPr="007B5951" w:rsidP="00363F59" w14:paraId="36FC2C93" w14:textId="1E6A1670">
            <w:pPr>
              <w:rPr>
                <w:b/>
                <w:bCs/>
              </w:rPr>
            </w:pPr>
            <w:r w:rsidRPr="00760E4C">
              <w:rPr>
                <w:i/>
                <w:iCs/>
              </w:rPr>
              <w:t>Text (1000-character count limit)</w:t>
            </w:r>
          </w:p>
        </w:tc>
      </w:tr>
    </w:tbl>
    <w:p w:rsidR="003606CE" w:rsidP="00363F59" w14:paraId="43D63793" w14:textId="77777777">
      <w:pPr>
        <w:spacing w:after="0" w:line="240" w:lineRule="auto"/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650281B3" w14:textId="77777777" w:rsidTr="00CD1DE5">
        <w:tblPrEx>
          <w:tblW w:w="0" w:type="auto"/>
          <w:tblLook w:val="04A0"/>
        </w:tblPrEx>
        <w:tc>
          <w:tcPr>
            <w:tcW w:w="4675" w:type="dxa"/>
          </w:tcPr>
          <w:p w:rsidR="003606CE" w:rsidRPr="003606CE" w:rsidP="003606CE" w14:paraId="691F74D3" w14:textId="3A2054E0">
            <w:pPr>
              <w:rPr>
                <w:b/>
                <w:bCs/>
              </w:rPr>
            </w:pPr>
            <w:r w:rsidRPr="003606CE">
              <w:rPr>
                <w:b/>
                <w:bCs/>
              </w:rPr>
              <w:t>Value-Based Purchasing Arrangements</w:t>
            </w:r>
          </w:p>
        </w:tc>
        <w:tc>
          <w:tcPr>
            <w:tcW w:w="4675" w:type="dxa"/>
          </w:tcPr>
          <w:p w:rsidR="003606CE" w:rsidP="003606CE" w14:paraId="76D1ADB9" w14:textId="740DCA69">
            <w:r w:rsidRPr="000A274F">
              <w:rPr>
                <w:b/>
                <w:bCs/>
              </w:rPr>
              <w:t>Response Format</w:t>
            </w:r>
          </w:p>
        </w:tc>
      </w:tr>
      <w:tr w14:paraId="0AAD4270" w14:textId="77777777" w:rsidTr="00CD1DE5">
        <w:tblPrEx>
          <w:tblW w:w="0" w:type="auto"/>
          <w:tblLook w:val="04A0"/>
        </w:tblPrEx>
        <w:tc>
          <w:tcPr>
            <w:tcW w:w="4675" w:type="dxa"/>
          </w:tcPr>
          <w:p w:rsidR="003606CE" w:rsidP="003606CE" w14:paraId="2C3694A8" w14:textId="5E846CCF">
            <w:r>
              <w:t xml:space="preserve">Confirm how </w:t>
            </w:r>
            <w:r>
              <w:t>you</w:t>
            </w:r>
            <w:r>
              <w:t xml:space="preserve"> </w:t>
            </w:r>
            <w:r w:rsidR="0056079F">
              <w:t xml:space="preserve">account for </w:t>
            </w:r>
            <w:r>
              <w:t>any value-based purchasing arrangements in the ASP calculation.</w:t>
            </w:r>
          </w:p>
        </w:tc>
        <w:tc>
          <w:tcPr>
            <w:tcW w:w="4675" w:type="dxa"/>
          </w:tcPr>
          <w:p w:rsidR="003606CE" w:rsidP="003606CE" w14:paraId="44F1C8B3" w14:textId="66EB99A2">
            <w:r w:rsidRPr="00760E4C">
              <w:rPr>
                <w:i/>
                <w:iCs/>
              </w:rPr>
              <w:t>Text (1000-character count limit)</w:t>
            </w:r>
          </w:p>
        </w:tc>
      </w:tr>
    </w:tbl>
    <w:p w:rsidR="005F66A2" w:rsidP="00363F59" w14:paraId="4C5C0DC2" w14:textId="77777777">
      <w:pPr>
        <w:spacing w:after="0" w:line="240" w:lineRule="auto"/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5B0055B4" w14:textId="77777777" w:rsidTr="007E15EB">
        <w:tblPrEx>
          <w:tblW w:w="0" w:type="auto"/>
          <w:tblLook w:val="04A0"/>
        </w:tblPrEx>
        <w:tc>
          <w:tcPr>
            <w:tcW w:w="4675" w:type="dxa"/>
          </w:tcPr>
          <w:p w:rsidR="007E15EB" w:rsidRPr="007E15EB" w:rsidP="00363F59" w14:paraId="2322DC88" w14:textId="3FD0E893">
            <w:pPr>
              <w:rPr>
                <w:b/>
                <w:bCs/>
              </w:rPr>
            </w:pPr>
            <w:r w:rsidRPr="007E15EB">
              <w:rPr>
                <w:b/>
                <w:bCs/>
              </w:rPr>
              <w:t>Sales to 340B Covered Entities</w:t>
            </w:r>
          </w:p>
        </w:tc>
        <w:tc>
          <w:tcPr>
            <w:tcW w:w="4675" w:type="dxa"/>
          </w:tcPr>
          <w:p w:rsidR="007E15EB" w:rsidRPr="007E15EB" w:rsidP="00363F59" w14:paraId="0B732287" w14:textId="21D892D2">
            <w:pPr>
              <w:rPr>
                <w:b/>
                <w:bCs/>
              </w:rPr>
            </w:pPr>
            <w:r w:rsidRPr="007E15EB">
              <w:rPr>
                <w:b/>
                <w:bCs/>
              </w:rPr>
              <w:t xml:space="preserve">Response Format </w:t>
            </w:r>
          </w:p>
        </w:tc>
      </w:tr>
      <w:tr w14:paraId="1BECB1E3" w14:textId="77777777" w:rsidTr="007E15EB">
        <w:tblPrEx>
          <w:tblW w:w="0" w:type="auto"/>
          <w:tblLook w:val="04A0"/>
        </w:tblPrEx>
        <w:tc>
          <w:tcPr>
            <w:tcW w:w="4675" w:type="dxa"/>
          </w:tcPr>
          <w:p w:rsidR="007E15EB" w:rsidP="00363F59" w14:paraId="36E4D13A" w14:textId="194F3305">
            <w:r>
              <w:t xml:space="preserve">Confirm how sales to 340B covered entities </w:t>
            </w:r>
            <w:r w:rsidR="0056079F">
              <w:t xml:space="preserve">are considered </w:t>
            </w:r>
            <w:r>
              <w:t>in the ASP calculation.</w:t>
            </w:r>
          </w:p>
        </w:tc>
        <w:tc>
          <w:tcPr>
            <w:tcW w:w="4675" w:type="dxa"/>
          </w:tcPr>
          <w:p w:rsidR="007E15EB" w:rsidP="00363F59" w14:paraId="033B7B0F" w14:textId="716BC3D5">
            <w:r w:rsidRPr="00760E4C">
              <w:rPr>
                <w:i/>
                <w:iCs/>
              </w:rPr>
              <w:t>Text (1000-character count limit)</w:t>
            </w:r>
          </w:p>
        </w:tc>
      </w:tr>
    </w:tbl>
    <w:p w:rsidR="007E15EB" w:rsidP="00363F59" w14:paraId="42996F3D" w14:textId="77777777">
      <w:pPr>
        <w:spacing w:after="0" w:line="240" w:lineRule="auto"/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7C33B1AB" w14:textId="77777777" w:rsidTr="00CD1DE5">
        <w:tblPrEx>
          <w:tblW w:w="0" w:type="auto"/>
          <w:tblLook w:val="04A0"/>
        </w:tblPrEx>
        <w:tc>
          <w:tcPr>
            <w:tcW w:w="4675" w:type="dxa"/>
          </w:tcPr>
          <w:p w:rsidR="003606CE" w:rsidRPr="003606CE" w:rsidP="003606CE" w14:paraId="478E6E7A" w14:textId="7A5E4CC1">
            <w:pPr>
              <w:rPr>
                <w:b/>
                <w:bCs/>
              </w:rPr>
            </w:pPr>
            <w:r w:rsidRPr="003606CE">
              <w:rPr>
                <w:b/>
                <w:bCs/>
              </w:rPr>
              <w:t xml:space="preserve">Returned Goods </w:t>
            </w:r>
          </w:p>
        </w:tc>
        <w:tc>
          <w:tcPr>
            <w:tcW w:w="4675" w:type="dxa"/>
          </w:tcPr>
          <w:p w:rsidR="003606CE" w:rsidP="003606CE" w14:paraId="3E31165D" w14:textId="47693122">
            <w:r w:rsidRPr="000A274F">
              <w:rPr>
                <w:b/>
                <w:bCs/>
              </w:rPr>
              <w:t>Response Format</w:t>
            </w:r>
          </w:p>
        </w:tc>
      </w:tr>
      <w:tr w14:paraId="79B0362F" w14:textId="77777777" w:rsidTr="00CD1DE5">
        <w:tblPrEx>
          <w:tblW w:w="0" w:type="auto"/>
          <w:tblLook w:val="04A0"/>
        </w:tblPrEx>
        <w:tc>
          <w:tcPr>
            <w:tcW w:w="4675" w:type="dxa"/>
          </w:tcPr>
          <w:p w:rsidR="003606CE" w:rsidP="003606CE" w14:paraId="6633DCB0" w14:textId="0AC45533">
            <w:r>
              <w:t>Confirm how returned goods will be treated in the ASP calculation.</w:t>
            </w:r>
          </w:p>
        </w:tc>
        <w:tc>
          <w:tcPr>
            <w:tcW w:w="4675" w:type="dxa"/>
          </w:tcPr>
          <w:p w:rsidR="003606CE" w:rsidP="003606CE" w14:paraId="6EA6379B" w14:textId="40FEB582">
            <w:r w:rsidRPr="00760E4C">
              <w:rPr>
                <w:i/>
                <w:iCs/>
              </w:rPr>
              <w:t>Text (1000-character count limit)</w:t>
            </w:r>
          </w:p>
        </w:tc>
      </w:tr>
    </w:tbl>
    <w:p w:rsidR="00CD1DE5" w:rsidP="00363F59" w14:paraId="4BB5ADAC" w14:textId="77777777">
      <w:pPr>
        <w:spacing w:after="0" w:line="240" w:lineRule="auto"/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7DD5EEC5" w14:textId="77777777" w:rsidTr="00A91886">
        <w:tblPrEx>
          <w:tblW w:w="0" w:type="auto"/>
          <w:tblLook w:val="04A0"/>
        </w:tblPrEx>
        <w:tc>
          <w:tcPr>
            <w:tcW w:w="4675" w:type="dxa"/>
          </w:tcPr>
          <w:p w:rsidR="00E949F3" w:rsidRPr="007B5951" w:rsidP="00A91886" w14:paraId="7D19AEE4" w14:textId="77777777">
            <w:pPr>
              <w:rPr>
                <w:b/>
                <w:bCs/>
              </w:rPr>
            </w:pPr>
            <w:r w:rsidRPr="007B5951">
              <w:rPr>
                <w:b/>
                <w:bCs/>
              </w:rPr>
              <w:t>Billing Corrections</w:t>
            </w:r>
          </w:p>
        </w:tc>
        <w:tc>
          <w:tcPr>
            <w:tcW w:w="4675" w:type="dxa"/>
          </w:tcPr>
          <w:p w:rsidR="00E949F3" w:rsidRPr="007B5951" w:rsidP="00A91886" w14:paraId="5D576BF8" w14:textId="77777777">
            <w:pPr>
              <w:rPr>
                <w:b/>
                <w:bCs/>
              </w:rPr>
            </w:pPr>
            <w:r w:rsidRPr="000A274F">
              <w:rPr>
                <w:b/>
                <w:bCs/>
              </w:rPr>
              <w:t>Response Format</w:t>
            </w:r>
          </w:p>
        </w:tc>
      </w:tr>
      <w:tr w14:paraId="2CBBE24F" w14:textId="77777777" w:rsidTr="00A91886">
        <w:tblPrEx>
          <w:tblW w:w="0" w:type="auto"/>
          <w:tblLook w:val="04A0"/>
        </w:tblPrEx>
        <w:tc>
          <w:tcPr>
            <w:tcW w:w="4675" w:type="dxa"/>
          </w:tcPr>
          <w:p w:rsidR="00E949F3" w:rsidRPr="00BD6B6F" w:rsidP="00A91886" w14:paraId="1335E811" w14:textId="0050DB62">
            <w:r w:rsidRPr="00BD6B6F">
              <w:t>Confirm how you process transactional issues that may require a credit or rebill.</w:t>
            </w:r>
          </w:p>
        </w:tc>
        <w:tc>
          <w:tcPr>
            <w:tcW w:w="4675" w:type="dxa"/>
          </w:tcPr>
          <w:p w:rsidR="00E949F3" w:rsidRPr="007B5951" w:rsidP="00A91886" w14:paraId="16148841" w14:textId="77777777">
            <w:pPr>
              <w:rPr>
                <w:b/>
                <w:bCs/>
              </w:rPr>
            </w:pPr>
            <w:r w:rsidRPr="00760E4C">
              <w:rPr>
                <w:i/>
                <w:iCs/>
              </w:rPr>
              <w:t>Text (1000-character count limit)</w:t>
            </w:r>
          </w:p>
        </w:tc>
      </w:tr>
    </w:tbl>
    <w:p w:rsidR="00E949F3" w:rsidRPr="00363F59" w:rsidP="00363F59" w14:paraId="3C49FA72" w14:textId="77777777">
      <w:pPr>
        <w:spacing w:after="0" w:line="240" w:lineRule="auto"/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5BE5BE35" w14:textId="77777777" w:rsidTr="00A375AD">
        <w:tblPrEx>
          <w:tblW w:w="0" w:type="auto"/>
          <w:tblLook w:val="04A0"/>
        </w:tblPrEx>
        <w:tc>
          <w:tcPr>
            <w:tcW w:w="4675" w:type="dxa"/>
          </w:tcPr>
          <w:p w:rsidR="00A375AD" w:rsidP="00895673" w14:paraId="324993B4" w14:textId="51B1ECC2">
            <w:pPr>
              <w:rPr>
                <w:b/>
                <w:bCs/>
              </w:rPr>
            </w:pPr>
            <w:r>
              <w:rPr>
                <w:b/>
                <w:bCs/>
              </w:rPr>
              <w:t>Other Reasonable Assumptions</w:t>
            </w:r>
          </w:p>
        </w:tc>
        <w:tc>
          <w:tcPr>
            <w:tcW w:w="4675" w:type="dxa"/>
          </w:tcPr>
          <w:p w:rsidR="00A375AD" w:rsidP="00895673" w14:paraId="4BB4386E" w14:textId="6D02E126">
            <w:pPr>
              <w:rPr>
                <w:b/>
                <w:bCs/>
              </w:rPr>
            </w:pPr>
            <w:r w:rsidRPr="000A274F">
              <w:rPr>
                <w:b/>
                <w:bCs/>
              </w:rPr>
              <w:t>Response Format</w:t>
            </w:r>
          </w:p>
        </w:tc>
      </w:tr>
      <w:tr w14:paraId="3FB16503" w14:textId="77777777" w:rsidTr="00A375AD">
        <w:tblPrEx>
          <w:tblW w:w="0" w:type="auto"/>
          <w:tblLook w:val="04A0"/>
        </w:tblPrEx>
        <w:tc>
          <w:tcPr>
            <w:tcW w:w="4675" w:type="dxa"/>
          </w:tcPr>
          <w:p w:rsidR="00A375AD" w:rsidP="00A375AD" w14:paraId="17BEE6D3" w14:textId="21521EA8">
            <w:pPr>
              <w:rPr>
                <w:b/>
                <w:bCs/>
              </w:rPr>
            </w:pPr>
            <w:r>
              <w:t xml:space="preserve">If you have additional reasonable assumptions to report, </w:t>
            </w:r>
            <w:r w:rsidR="00E76107">
              <w:t>include</w:t>
            </w:r>
            <w:r>
              <w:t xml:space="preserve"> those here.</w:t>
            </w:r>
          </w:p>
        </w:tc>
        <w:tc>
          <w:tcPr>
            <w:tcW w:w="4675" w:type="dxa"/>
          </w:tcPr>
          <w:p w:rsidR="00A375AD" w:rsidP="00895673" w14:paraId="11A9F1E4" w14:textId="09E54163">
            <w:pPr>
              <w:rPr>
                <w:b/>
                <w:bCs/>
              </w:rPr>
            </w:pPr>
            <w:r w:rsidRPr="00760E4C">
              <w:rPr>
                <w:i/>
                <w:iCs/>
              </w:rPr>
              <w:t>Text (1000-character count limit)</w:t>
            </w:r>
          </w:p>
        </w:tc>
      </w:tr>
    </w:tbl>
    <w:p w:rsidR="004435B2" w:rsidRPr="007E15EB" w:rsidP="00895673" w14:paraId="647C22F5" w14:textId="3B31B0E4">
      <w:pPr>
        <w:spacing w:after="0" w:line="240" w:lineRule="auto"/>
        <w:rPr>
          <w:b/>
          <w:bCs/>
        </w:rPr>
      </w:pPr>
      <w:r>
        <w:rPr>
          <w:b/>
          <w:bCs/>
        </w:rPr>
        <w:br w:type="textWrapping" w:clear="all"/>
      </w:r>
    </w:p>
    <w:p w:rsidR="004E14EC" w:rsidP="00895673" w14:paraId="1C3A2523" w14:textId="77777777">
      <w:pPr>
        <w:spacing w:after="0" w:line="240" w:lineRule="auto"/>
      </w:pPr>
    </w:p>
    <w:p w:rsidR="004E14EC" w:rsidP="00895673" w14:paraId="2EAFE17A" w14:textId="77777777">
      <w:pPr>
        <w:spacing w:after="0" w:line="240" w:lineRule="auto"/>
      </w:pPr>
    </w:p>
    <w:sectPr w:rsidSect="008679B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34F6" w14:paraId="6A9ED16D" w14:textId="1A8B674E">
    <w:pPr>
      <w:pStyle w:val="Header"/>
    </w:pPr>
    <w:r>
      <w:rPr>
        <w:b/>
        <w:bCs/>
        <w:noProof/>
      </w:rPr>
      <w:drawing>
        <wp:inline distT="0" distB="0" distL="0" distR="0">
          <wp:extent cx="2284242" cy="1714500"/>
          <wp:effectExtent l="0" t="0" r="1905" b="0"/>
          <wp:docPr id="1046906500" name="Picture 1" descr="Logo, company n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906500" name="Picture 1" descr="Logo, company nam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9247" cy="17182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874411"/>
    <w:multiLevelType w:val="hybridMultilevel"/>
    <w:tmpl w:val="EAC62F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410B9"/>
    <w:multiLevelType w:val="hybridMultilevel"/>
    <w:tmpl w:val="9B9E79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26561"/>
    <w:multiLevelType w:val="multilevel"/>
    <w:tmpl w:val="1B3C25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>
    <w:nsid w:val="2C3D54C3"/>
    <w:multiLevelType w:val="hybridMultilevel"/>
    <w:tmpl w:val="2A3A75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FD7B01"/>
    <w:multiLevelType w:val="multilevel"/>
    <w:tmpl w:val="F0324C9C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>
    <w:nsid w:val="37A024C3"/>
    <w:multiLevelType w:val="hybridMultilevel"/>
    <w:tmpl w:val="5ABEB7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89081D"/>
    <w:multiLevelType w:val="hybridMultilevel"/>
    <w:tmpl w:val="071058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487145">
    <w:abstractNumId w:val="0"/>
  </w:num>
  <w:num w:numId="2" w16cid:durableId="1225678538">
    <w:abstractNumId w:val="2"/>
  </w:num>
  <w:num w:numId="3" w16cid:durableId="1093353000">
    <w:abstractNumId w:val="5"/>
  </w:num>
  <w:num w:numId="4" w16cid:durableId="624576882">
    <w:abstractNumId w:val="4"/>
  </w:num>
  <w:num w:numId="5" w16cid:durableId="478158316">
    <w:abstractNumId w:val="3"/>
  </w:num>
  <w:num w:numId="6" w16cid:durableId="104810480">
    <w:abstractNumId w:val="1"/>
  </w:num>
  <w:num w:numId="7" w16cid:durableId="14050275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4EC"/>
    <w:rsid w:val="000A274F"/>
    <w:rsid w:val="000A6608"/>
    <w:rsid w:val="000D08AE"/>
    <w:rsid w:val="000F3B82"/>
    <w:rsid w:val="001464FC"/>
    <w:rsid w:val="001F11C8"/>
    <w:rsid w:val="00214117"/>
    <w:rsid w:val="00236677"/>
    <w:rsid w:val="00244E85"/>
    <w:rsid w:val="00285F09"/>
    <w:rsid w:val="0033166A"/>
    <w:rsid w:val="00355560"/>
    <w:rsid w:val="003606CE"/>
    <w:rsid w:val="00363F59"/>
    <w:rsid w:val="003C2E52"/>
    <w:rsid w:val="003E4FAF"/>
    <w:rsid w:val="004435B2"/>
    <w:rsid w:val="0046586B"/>
    <w:rsid w:val="00490A0F"/>
    <w:rsid w:val="004E14EC"/>
    <w:rsid w:val="0056079F"/>
    <w:rsid w:val="005B04F1"/>
    <w:rsid w:val="005F2DFC"/>
    <w:rsid w:val="005F66A2"/>
    <w:rsid w:val="00600DF8"/>
    <w:rsid w:val="00611675"/>
    <w:rsid w:val="00681537"/>
    <w:rsid w:val="007109F5"/>
    <w:rsid w:val="0073318F"/>
    <w:rsid w:val="00760E4C"/>
    <w:rsid w:val="00761C90"/>
    <w:rsid w:val="00790D3F"/>
    <w:rsid w:val="007B5951"/>
    <w:rsid w:val="007D164E"/>
    <w:rsid w:val="007E15EB"/>
    <w:rsid w:val="008679B1"/>
    <w:rsid w:val="00895673"/>
    <w:rsid w:val="008C528D"/>
    <w:rsid w:val="0093116E"/>
    <w:rsid w:val="00932312"/>
    <w:rsid w:val="00952EDD"/>
    <w:rsid w:val="00955DAE"/>
    <w:rsid w:val="00971587"/>
    <w:rsid w:val="009A5762"/>
    <w:rsid w:val="00A375AD"/>
    <w:rsid w:val="00A528A3"/>
    <w:rsid w:val="00A84FF7"/>
    <w:rsid w:val="00A91886"/>
    <w:rsid w:val="00B27F65"/>
    <w:rsid w:val="00B32C19"/>
    <w:rsid w:val="00BC45A3"/>
    <w:rsid w:val="00BD6B6F"/>
    <w:rsid w:val="00C12E61"/>
    <w:rsid w:val="00C51A03"/>
    <w:rsid w:val="00CA4092"/>
    <w:rsid w:val="00CD1DE5"/>
    <w:rsid w:val="00DA575E"/>
    <w:rsid w:val="00DC2548"/>
    <w:rsid w:val="00E44FAB"/>
    <w:rsid w:val="00E734F6"/>
    <w:rsid w:val="00E76107"/>
    <w:rsid w:val="00E949F3"/>
    <w:rsid w:val="00F5524A"/>
    <w:rsid w:val="00F71741"/>
    <w:rsid w:val="0D80B5D0"/>
    <w:rsid w:val="3F00D33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4BAF88"/>
  <w15:chartTrackingRefBased/>
  <w15:docId w15:val="{709D108A-5D90-4F6A-B7A1-A1CBF6A5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1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4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4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4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4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4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4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4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4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4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1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1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4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4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14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4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4E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3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4F6"/>
  </w:style>
  <w:style w:type="paragraph" w:styleId="Footer">
    <w:name w:val="footer"/>
    <w:basedOn w:val="Normal"/>
    <w:link w:val="FooterChar"/>
    <w:uiPriority w:val="99"/>
    <w:unhideWhenUsed/>
    <w:rsid w:val="00E73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4F6"/>
  </w:style>
  <w:style w:type="table" w:styleId="TableGrid">
    <w:name w:val="Table Grid"/>
    <w:basedOn w:val="TableNormal"/>
    <w:uiPriority w:val="39"/>
    <w:rsid w:val="000D0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6586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C2E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2E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2E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2E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2E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25269992B61E4DB1956431295B980A" ma:contentTypeVersion="6" ma:contentTypeDescription="Create a new document." ma:contentTypeScope="" ma:versionID="5492a77e776b50d88f3a67d4e509ed02">
  <xsd:schema xmlns:xsd="http://www.w3.org/2001/XMLSchema" xmlns:xs="http://www.w3.org/2001/XMLSchema" xmlns:p="http://schemas.microsoft.com/office/2006/metadata/properties" xmlns:ns2="2192dead-9564-4582-8849-6ed3f8bab798" targetNamespace="http://schemas.microsoft.com/office/2006/metadata/properties" ma:root="true" ma:fieldsID="289a53f6b30eab457d26fae4ba20745d" ns2:_="">
    <xsd:import namespace="2192dead-9564-4582-8849-6ed3f8bab79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2dead-9564-4582-8849-6ed3f8bab7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F2AE70-63F7-4FE1-8212-EB8E793F245D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2192dead-9564-4582-8849-6ed3f8bab798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8550206-44B8-4F4A-A8FB-76EEEEDF3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2dead-9564-4582-8849-6ed3f8bab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D4BB3F-AB58-4437-8027-C27FFC81FA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Medicaid Services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Ray, Rebecca (CMS/CM)</dc:creator>
  <cp:lastModifiedBy>Ray, Rebecca (CMS/CM)</cp:lastModifiedBy>
  <cp:revision>38</cp:revision>
  <dcterms:created xsi:type="dcterms:W3CDTF">2025-06-24T17:42:00Z</dcterms:created>
  <dcterms:modified xsi:type="dcterms:W3CDTF">2025-07-08T19:34:00Z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0x010100BB25269992B61E4DB1956431295B980A</vt:lpwstr>
  </property>
</Properties>
</file>