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93582" w:rsidRPr="00EA235C" w:rsidP="00636F01" w14:paraId="74CFA7CF" w14:textId="77777777">
      <w:pPr>
        <w:jc w:val="center"/>
        <w:rPr>
          <w:b/>
          <w:bCs/>
          <w:sz w:val="28"/>
          <w:szCs w:val="28"/>
        </w:rPr>
      </w:pPr>
      <w:r w:rsidRPr="00EA235C">
        <w:rPr>
          <w:b/>
          <w:bCs/>
          <w:sz w:val="28"/>
          <w:szCs w:val="28"/>
        </w:rPr>
        <w:t xml:space="preserve">Supporting Statement </w:t>
      </w:r>
      <w:r w:rsidRPr="00EA235C" w:rsidR="00906C15">
        <w:rPr>
          <w:b/>
          <w:bCs/>
          <w:sz w:val="28"/>
          <w:szCs w:val="28"/>
        </w:rPr>
        <w:t>Part A</w:t>
      </w:r>
    </w:p>
    <w:p w:rsidR="00193582" w:rsidRPr="00EA235C" w:rsidP="00636F01" w14:paraId="5D659A4C" w14:textId="6358195E">
      <w:pPr>
        <w:jc w:val="center"/>
        <w:rPr>
          <w:b/>
          <w:bCs/>
          <w:sz w:val="28"/>
          <w:szCs w:val="28"/>
        </w:rPr>
      </w:pPr>
      <w:r w:rsidRPr="00EA235C">
        <w:rPr>
          <w:b/>
          <w:bCs/>
          <w:sz w:val="28"/>
          <w:szCs w:val="28"/>
        </w:rPr>
        <w:t xml:space="preserve">Submissions of </w:t>
      </w:r>
      <w:r w:rsidR="00B77CCB">
        <w:rPr>
          <w:b/>
          <w:bCs/>
          <w:sz w:val="28"/>
          <w:szCs w:val="28"/>
        </w:rPr>
        <w:t xml:space="preserve">Acute Hospital Care at Home (AHCAH) Waiver Submission and Data Collection </w:t>
      </w:r>
      <w:r w:rsidRPr="00EA235C">
        <w:rPr>
          <w:b/>
          <w:bCs/>
          <w:sz w:val="28"/>
          <w:szCs w:val="28"/>
        </w:rPr>
        <w:t xml:space="preserve"> </w:t>
      </w:r>
      <w:r w:rsidRPr="00EA235C" w:rsidR="00906C15">
        <w:rPr>
          <w:b/>
          <w:bCs/>
          <w:sz w:val="28"/>
          <w:szCs w:val="28"/>
        </w:rPr>
        <w:t>(</w:t>
      </w:r>
      <w:r w:rsidRPr="00EA235C">
        <w:rPr>
          <w:b/>
          <w:bCs/>
          <w:sz w:val="28"/>
          <w:szCs w:val="28"/>
        </w:rPr>
        <w:t>CMS-10</w:t>
      </w:r>
      <w:r w:rsidR="00F7724C">
        <w:rPr>
          <w:b/>
          <w:bCs/>
          <w:sz w:val="28"/>
          <w:szCs w:val="28"/>
        </w:rPr>
        <w:t>950</w:t>
      </w:r>
      <w:r w:rsidRPr="00EA235C" w:rsidR="00906C15">
        <w:rPr>
          <w:b/>
          <w:bCs/>
          <w:sz w:val="28"/>
          <w:szCs w:val="28"/>
        </w:rPr>
        <w:t>)</w:t>
      </w:r>
    </w:p>
    <w:p w:rsidR="008F1EB4" w:rsidRPr="000328B6" w14:paraId="1DDD3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A235C" w:rsidP="00EA235C" w14:paraId="4A9D1300" w14:textId="77777777">
      <w:pPr>
        <w:pStyle w:val="Heading1"/>
        <w:rPr>
          <w:b/>
          <w:bCs/>
        </w:rPr>
      </w:pPr>
      <w:r w:rsidRPr="00EA235C">
        <w:rPr>
          <w:b/>
          <w:bCs/>
        </w:rPr>
        <w:t>A.</w:t>
      </w:r>
      <w:r w:rsidRPr="00EA235C">
        <w:rPr>
          <w:b/>
          <w:bCs/>
        </w:rPr>
        <w:tab/>
        <w:t>Background</w:t>
      </w:r>
    </w:p>
    <w:p w:rsidR="008F1EB4" w:rsidRPr="000328B6" w14:paraId="06EEB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5E52" w:rsidRPr="0008557E" w:rsidP="00A65E52" w14:paraId="0C5DFB57" w14:textId="1C450BB7">
      <w:pPr>
        <w:widowControl/>
        <w:autoSpaceDE/>
        <w:autoSpaceDN/>
        <w:adjustRightInd/>
        <w:textAlignment w:val="baseline"/>
        <w:rPr>
          <w:rFonts w:ascii="Segoe UI" w:hAnsi="Segoe UI" w:cs="Segoe UI"/>
          <w:sz w:val="18"/>
          <w:szCs w:val="18"/>
        </w:rPr>
      </w:pPr>
      <w:r w:rsidRPr="000328B6">
        <w:rPr>
          <w:sz w:val="24"/>
        </w:rPr>
        <w:t xml:space="preserve">This is a </w:t>
      </w:r>
      <w:r w:rsidR="00764036">
        <w:rPr>
          <w:sz w:val="24"/>
        </w:rPr>
        <w:t xml:space="preserve">revision </w:t>
      </w:r>
      <w:r w:rsidRPr="000328B6">
        <w:rPr>
          <w:sz w:val="24"/>
        </w:rPr>
        <w:t>of an information collection request approved under Office of Management and Budget (OMB) control number of 0938-1384 with an expiration date of May 31, 2024</w:t>
      </w:r>
      <w:r w:rsidR="005C143B">
        <w:rPr>
          <w:sz w:val="24"/>
        </w:rPr>
        <w:t xml:space="preserve">,  The purpose of this revision is to separate the </w:t>
      </w:r>
      <w:r w:rsidRPr="0008557E">
        <w:rPr>
          <w:sz w:val="24"/>
        </w:rPr>
        <w:t xml:space="preserve"> Acute Hospital Care at Home information collection request separate from the 1135 waiver information collection</w:t>
      </w:r>
      <w:r w:rsidR="005C143B">
        <w:rPr>
          <w:sz w:val="24"/>
        </w:rPr>
        <w:t xml:space="preserve"> request</w:t>
      </w:r>
      <w:r w:rsidRPr="0008557E">
        <w:rPr>
          <w:sz w:val="24"/>
        </w:rPr>
        <w:t>.  </w:t>
      </w:r>
      <w:r w:rsidR="00667CF2">
        <w:rPr>
          <w:sz w:val="24"/>
        </w:rPr>
        <w:t xml:space="preserve">The Acute Hospital Care at Home initiative has been codified in legislation, Consolidate Appropriations Act, 2025, and is no longer under the 1135 waiver authority. </w:t>
      </w:r>
      <w:r w:rsidRPr="0008557E">
        <w:rPr>
          <w:sz w:val="24"/>
        </w:rPr>
        <w:t> </w:t>
      </w:r>
      <w:r w:rsidR="00667CF2">
        <w:rPr>
          <w:sz w:val="24"/>
        </w:rPr>
        <w:t>Any changes to this document would be based on the legislative authority and not based on an 1135 waiver.</w:t>
      </w:r>
    </w:p>
    <w:p w:rsidR="0085077A" w:rsidRPr="000328B6" w:rsidP="00C23572" w14:paraId="7A2BB845" w14:textId="24D025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23793" w:rsidRPr="000328B6" w:rsidP="00066E54" w14:paraId="0C7B2BE0" w14:textId="77777777">
      <w:pPr>
        <w:rPr>
          <w:sz w:val="24"/>
        </w:rPr>
      </w:pPr>
      <w:r w:rsidRPr="000328B6">
        <w:rPr>
          <w:sz w:val="24"/>
        </w:rPr>
        <w:t xml:space="preserve">Acute Hospital Care at Home is a waiver initiative established by CMS on </w:t>
      </w:r>
      <w:r w:rsidRPr="000328B6" w:rsidR="006E6E72">
        <w:rPr>
          <w:sz w:val="24"/>
        </w:rPr>
        <w:t>November 23, 2020</w:t>
      </w:r>
      <w:r w:rsidRPr="000328B6">
        <w:rPr>
          <w:sz w:val="24"/>
        </w:rPr>
        <w:t> in response to the unprecedented strain on hospital capacity due to the severe national increase in coronavirus disease 2019 (COVID-19) witnessed. This waiver, which is granted at the individual hospital/CMS Certification Number (CCN) level, waives </w:t>
      </w:r>
      <w:r w:rsidRPr="000328B6">
        <w:rPr>
          <w:b/>
          <w:bCs/>
          <w:sz w:val="24"/>
        </w:rPr>
        <w:t>§482.23(b) </w:t>
      </w:r>
      <w:r w:rsidRPr="000328B6">
        <w:rPr>
          <w:sz w:val="24"/>
        </w:rPr>
        <w:t>and</w:t>
      </w:r>
      <w:r w:rsidRPr="000328B6">
        <w:rPr>
          <w:b/>
          <w:bCs/>
          <w:sz w:val="24"/>
        </w:rPr>
        <w:t> (b)(1)</w:t>
      </w:r>
      <w:r w:rsidRPr="000328B6">
        <w:rPr>
          <w:sz w:val="24"/>
        </w:rPr>
        <w:t> of the Hospital Conditions of Participation (CoPs) which require nursing services to be provided on premises 24 hours a day, 7 days a week and the immediate availability of a registered nurse for care of any patient. In exchange for this flexibility, hospitals will utilize models of at-home hospital care that have seen prior success in several leading hospital institutions and networks. This care and its results have been reported in leading academic journals, including a major study funded by a Healthcare Innovation Award from the Center for Medicare and Medicaid Innovation (CMMI). This extensive research has shown that quality and safety are at least as high as that received by similar patients admitted to traditional brick and mortar hospitals.</w:t>
      </w:r>
    </w:p>
    <w:p w:rsidR="00F23793" w:rsidRPr="000328B6" w:rsidP="00F23793" w14:paraId="6C4ED816" w14:textId="77777777">
      <w:pPr>
        <w:rPr>
          <w:sz w:val="24"/>
        </w:rPr>
      </w:pPr>
    </w:p>
    <w:p w:rsidR="00F23793" w:rsidRPr="000328B6" w:rsidP="00F23793" w14:paraId="27C4A82C" w14:textId="77777777">
      <w:pPr>
        <w:rPr>
          <w:sz w:val="24"/>
        </w:rPr>
      </w:pPr>
      <w:r w:rsidRPr="000328B6">
        <w:rPr>
          <w:sz w:val="24"/>
        </w:rPr>
        <w:t>This program clearly differentiates the delivery of acute hospital care at home from traditional home health services. Home health care provides important skilled nursing and other services, Acute Hospital Care at Home is for beneficiaries who require acute inpatient admission to a hospital and who require at least daily rounding by a physician and medical team monitoring their care needs on an ongoing basis. A minimum of two in-person visits will occur daily by either registered nurses or mobile integrated health paramedics, based on the patient’s nursing plan and hospital policies. Hospitals may only treat patients with this waiver if they are admitted from their Emergency Department or if they are transferred from inpatient hospital beds. There is no payment change, and hospitals are not permitted to bill Medicare or its beneficiaries for any costs outside of a typical inpatient admission.</w:t>
      </w:r>
    </w:p>
    <w:p w:rsidR="00F23793" w:rsidRPr="000328B6" w:rsidP="00F23793" w14:paraId="3E747447" w14:textId="77777777">
      <w:pPr>
        <w:rPr>
          <w:sz w:val="24"/>
        </w:rPr>
      </w:pPr>
    </w:p>
    <w:p w:rsidR="0085077A" w:rsidRPr="000328B6" w:rsidP="00E13CE2" w14:paraId="424EC7AC" w14:textId="1AD88D60">
      <w:pPr>
        <w:spacing w:line="259" w:lineRule="auto"/>
        <w:rPr>
          <w:sz w:val="24"/>
        </w:rPr>
      </w:pPr>
      <w:r w:rsidRPr="6497831C">
        <w:rPr>
          <w:sz w:val="24"/>
        </w:rPr>
        <w:t xml:space="preserve">CMS is seeking to obtain continued OMB approval for information.  All approved hospitals have submitted this information via an online portal at </w:t>
      </w:r>
      <w:hyperlink r:id="rId6" w:history="1">
        <w:r w:rsidRPr="005A3D16" w:rsidR="005A3D16">
          <w:rPr>
            <w:rStyle w:val="Hyperlink"/>
            <w:sz w:val="24"/>
          </w:rPr>
          <w:t>CMS QualityNet</w:t>
        </w:r>
      </w:hyperlink>
      <w:r w:rsidR="005A3D16">
        <w:rPr>
          <w:sz w:val="24"/>
        </w:rPr>
        <w:t xml:space="preserve"> </w:t>
      </w:r>
      <w:r w:rsidRPr="6497831C">
        <w:rPr>
          <w:sz w:val="24"/>
        </w:rPr>
        <w:t xml:space="preserve"> the previously mentioned website. To date, </w:t>
      </w:r>
      <w:r w:rsidR="000C1BEC">
        <w:rPr>
          <w:sz w:val="24"/>
        </w:rPr>
        <w:t>433</w:t>
      </w:r>
      <w:r w:rsidRPr="6497831C">
        <w:rPr>
          <w:sz w:val="24"/>
        </w:rPr>
        <w:t xml:space="preserve"> hospitals individual hospitals/CCNs have submitted waiver requests and </w:t>
      </w:r>
      <w:r w:rsidR="000846F6">
        <w:rPr>
          <w:sz w:val="24"/>
        </w:rPr>
        <w:t>396</w:t>
      </w:r>
      <w:r w:rsidRPr="6497831C">
        <w:rPr>
          <w:sz w:val="24"/>
        </w:rPr>
        <w:t xml:space="preserve"> of these hospitals have been approved. At this time, 65 hospitals have completed the online expedited waiver request and </w:t>
      </w:r>
      <w:r w:rsidR="000846F6">
        <w:rPr>
          <w:sz w:val="24"/>
        </w:rPr>
        <w:t>331</w:t>
      </w:r>
      <w:r w:rsidRPr="6497831C">
        <w:rPr>
          <w:sz w:val="24"/>
        </w:rPr>
        <w:t xml:space="preserve"> hospitals have completed the online detailed waiver request.   When a hospital submits a waiver request, it completes one of two online forms found on the </w:t>
      </w:r>
      <w:r w:rsidRPr="6497831C">
        <w:rPr>
          <w:sz w:val="24"/>
        </w:rPr>
        <w:t xml:space="preserve">waiver landing page, depending on its level of experience with this type of care. Experienced hospitals, defined as treating at least 25 patients with acute hospital care at home previously, have an expedited submission that is based on a series of attestations, seen in the screenshot attachment.  Additionally, all hospitals with an approved waiver </w:t>
      </w:r>
      <w:r w:rsidRPr="00CC021C">
        <w:rPr>
          <w:sz w:val="24"/>
        </w:rPr>
        <w:t>are</w:t>
      </w:r>
      <w:r w:rsidRPr="00A01AF6">
        <w:rPr>
          <w:sz w:val="24"/>
        </w:rPr>
        <w:t xml:space="preserve"> asked</w:t>
      </w:r>
      <w:r w:rsidRPr="00CC021C">
        <w:rPr>
          <w:sz w:val="24"/>
        </w:rPr>
        <w:t xml:space="preserve"> to submit data for patient admissions and discharges, escalations of care back to the brick-and-mortar hospital, and unexpected patient mortalities to CMS on a monthly (Tier 1) or weekly (Tier 2)</w:t>
      </w:r>
      <w:r>
        <w:rPr>
          <w:rStyle w:val="FootnoteReference"/>
          <w:sz w:val="24"/>
        </w:rPr>
        <w:footnoteReference w:id="2"/>
      </w:r>
      <w:r w:rsidRPr="00CC021C">
        <w:rPr>
          <w:sz w:val="24"/>
        </w:rPr>
        <w:t xml:space="preserve">. This data is submitted voluntarily through the same online portal as the waiver submission </w:t>
      </w:r>
      <w:r w:rsidRPr="00A01AF6">
        <w:rPr>
          <w:sz w:val="24"/>
        </w:rPr>
        <w:t>and is not a requirement of ongoing participation in the Waiver.</w:t>
      </w:r>
      <w:r w:rsidRPr="00CC021C">
        <w:rPr>
          <w:sz w:val="24"/>
        </w:rPr>
        <w:t xml:space="preserve"> Of note, without further Congressional</w:t>
      </w:r>
      <w:r w:rsidRPr="6497831C">
        <w:rPr>
          <w:sz w:val="24"/>
        </w:rPr>
        <w:t xml:space="preserve"> action, this waiver submission process will end </w:t>
      </w:r>
      <w:r w:rsidR="00667CF2">
        <w:rPr>
          <w:sz w:val="24"/>
        </w:rPr>
        <w:t>September 30, 2030</w:t>
      </w:r>
      <w:r w:rsidRPr="6497831C">
        <w:rPr>
          <w:sz w:val="24"/>
        </w:rPr>
        <w:t>. The elements of the additional data submission requirements can be found in the attachments.</w:t>
      </w:r>
    </w:p>
    <w:p w:rsidR="008F1EB4" w:rsidRPr="00EA235C" w:rsidP="00EA235C" w14:paraId="44F5B997" w14:textId="77777777">
      <w:pPr>
        <w:pStyle w:val="Heading1"/>
        <w:rPr>
          <w:b/>
          <w:bCs/>
        </w:rPr>
      </w:pPr>
      <w:r w:rsidRPr="00EA235C">
        <w:rPr>
          <w:b/>
          <w:bCs/>
        </w:rPr>
        <w:t>B.</w:t>
      </w:r>
      <w:r w:rsidRPr="00EA235C">
        <w:rPr>
          <w:b/>
          <w:bCs/>
        </w:rPr>
        <w:tab/>
        <w:t>Justification</w:t>
      </w:r>
    </w:p>
    <w:p w:rsidR="008F1EB4" w:rsidRPr="000328B6" w14:paraId="21DDB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1D22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w:t>
      </w:r>
      <w:r w:rsidRPr="000328B6">
        <w:rPr>
          <w:sz w:val="24"/>
        </w:rPr>
        <w:tab/>
      </w:r>
      <w:r w:rsidRPr="000328B6">
        <w:rPr>
          <w:sz w:val="24"/>
          <w:u w:val="single"/>
        </w:rPr>
        <w:t>Need and Legal Basis</w:t>
      </w:r>
    </w:p>
    <w:p w:rsidR="008F1EB4" w:rsidRPr="000328B6" w14:paraId="05BC84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33DE" w:rsidRPr="008633DE" w:rsidP="008633DE" w14:paraId="398F81A1" w14:textId="767F5D60">
      <w:pPr>
        <w:widowControl/>
        <w:autoSpaceDE/>
        <w:autoSpaceDN/>
        <w:adjustRightInd/>
        <w:ind w:left="418"/>
        <w:textAlignment w:val="baseline"/>
        <w:rPr>
          <w:sz w:val="24"/>
        </w:rPr>
      </w:pPr>
      <w:r w:rsidRPr="008633DE">
        <w:rPr>
          <w:sz w:val="24"/>
        </w:rPr>
        <w:t xml:space="preserve">Under the </w:t>
      </w:r>
      <w:bookmarkStart w:id="0" w:name="_Hlk216868311"/>
      <w:r w:rsidR="00667CF2">
        <w:rPr>
          <w:sz w:val="24"/>
        </w:rPr>
        <w:t>Consolidated Appropriations Act, 2025</w:t>
      </w:r>
      <w:bookmarkEnd w:id="0"/>
      <w:r w:rsidR="00667CF2">
        <w:rPr>
          <w:sz w:val="24"/>
        </w:rPr>
        <w:t>,</w:t>
      </w:r>
      <w:r w:rsidRPr="008633DE">
        <w:rPr>
          <w:sz w:val="24"/>
        </w:rPr>
        <w:t xml:space="preserve"> AHCAH</w:t>
      </w:r>
      <w:r w:rsidR="00667CF2">
        <w:rPr>
          <w:sz w:val="24"/>
        </w:rPr>
        <w:t xml:space="preserve"> is extended</w:t>
      </w:r>
      <w:r w:rsidRPr="008633DE">
        <w:rPr>
          <w:sz w:val="24"/>
        </w:rPr>
        <w:t xml:space="preserve"> thro</w:t>
      </w:r>
      <w:r w:rsidR="00667CF2">
        <w:rPr>
          <w:sz w:val="24"/>
        </w:rPr>
        <w:t>ugh September 30, 2030.</w:t>
      </w:r>
      <w:r w:rsidRPr="008633DE">
        <w:rPr>
          <w:sz w:val="24"/>
        </w:rPr>
        <w:t xml:space="preserve"> </w:t>
      </w:r>
    </w:p>
    <w:p w:rsidR="008633DE" w:rsidRPr="008633DE" w:rsidP="008633DE" w14:paraId="516CD0BC" w14:textId="77777777">
      <w:pPr>
        <w:widowControl/>
        <w:autoSpaceDE/>
        <w:autoSpaceDN/>
        <w:adjustRightInd/>
        <w:ind w:left="418"/>
        <w:textAlignment w:val="baseline"/>
        <w:rPr>
          <w:sz w:val="24"/>
        </w:rPr>
      </w:pPr>
    </w:p>
    <w:p w:rsidR="008633DE" w:rsidRPr="008633DE" w:rsidP="008633DE" w14:paraId="56908E91" w14:textId="77777777">
      <w:pPr>
        <w:widowControl/>
        <w:autoSpaceDE/>
        <w:autoSpaceDN/>
        <w:adjustRightInd/>
        <w:ind w:left="418"/>
        <w:textAlignment w:val="baseline"/>
        <w:rPr>
          <w:sz w:val="24"/>
        </w:rPr>
      </w:pPr>
      <w:r w:rsidRPr="008633DE">
        <w:rPr>
          <w:sz w:val="24"/>
        </w:rPr>
        <w:t>The legislation requires a study to be submitted to Congress describing aspects of the AHCAH waiver initiative such as:</w:t>
      </w:r>
    </w:p>
    <w:p w:rsidR="008633DE" w:rsidRPr="008633DE" w:rsidP="008633DE" w14:paraId="02BA3B74" w14:textId="77777777">
      <w:pPr>
        <w:widowControl/>
        <w:numPr>
          <w:ilvl w:val="2"/>
          <w:numId w:val="15"/>
        </w:numPr>
        <w:autoSpaceDE/>
        <w:autoSpaceDN/>
        <w:adjustRightInd/>
        <w:spacing w:after="160" w:line="278" w:lineRule="auto"/>
        <w:contextualSpacing/>
        <w:rPr>
          <w:sz w:val="24"/>
        </w:rPr>
      </w:pPr>
      <w:r w:rsidRPr="008633DE">
        <w:rPr>
          <w:rFonts w:eastAsia="+mn-ea"/>
          <w:kern w:val="24"/>
          <w:sz w:val="24"/>
        </w:rPr>
        <w:t>Inclusion Criteria for Individual Hospitals Participating in AHCAH</w:t>
      </w:r>
    </w:p>
    <w:p w:rsidR="008633DE" w:rsidRPr="008633DE" w:rsidP="008633DE" w14:paraId="3D877E66" w14:textId="77777777">
      <w:pPr>
        <w:widowControl/>
        <w:numPr>
          <w:ilvl w:val="2"/>
          <w:numId w:val="15"/>
        </w:numPr>
        <w:autoSpaceDE/>
        <w:autoSpaceDN/>
        <w:adjustRightInd/>
        <w:spacing w:after="160" w:line="278" w:lineRule="auto"/>
        <w:contextualSpacing/>
        <w:rPr>
          <w:sz w:val="24"/>
        </w:rPr>
      </w:pPr>
      <w:r w:rsidRPr="008633DE">
        <w:rPr>
          <w:rFonts w:eastAsia="+mn-ea"/>
          <w:kern w:val="24"/>
          <w:sz w:val="24"/>
        </w:rPr>
        <w:t>Beneficiary Demographics Treated under AHCAH</w:t>
      </w:r>
    </w:p>
    <w:p w:rsidR="008633DE" w:rsidRPr="008633DE" w:rsidP="008633DE" w14:paraId="1208DDCF" w14:textId="77777777">
      <w:pPr>
        <w:widowControl/>
        <w:numPr>
          <w:ilvl w:val="2"/>
          <w:numId w:val="15"/>
        </w:numPr>
        <w:autoSpaceDE/>
        <w:autoSpaceDN/>
        <w:adjustRightInd/>
        <w:spacing w:after="160" w:line="278" w:lineRule="auto"/>
        <w:contextualSpacing/>
        <w:rPr>
          <w:sz w:val="24"/>
        </w:rPr>
      </w:pPr>
      <w:r w:rsidRPr="008633DE">
        <w:rPr>
          <w:rFonts w:eastAsia="+mn-ea"/>
          <w:kern w:val="24"/>
          <w:sz w:val="24"/>
        </w:rPr>
        <w:t>Clinical Conditions Treated and Medicare Severity Diagnosis-Related Groups (MS-DRGs) Associated with AHCAH Discharges</w:t>
      </w:r>
    </w:p>
    <w:p w:rsidR="008633DE" w:rsidRPr="008633DE" w:rsidP="008633DE" w14:paraId="79321501" w14:textId="77777777">
      <w:pPr>
        <w:widowControl/>
        <w:numPr>
          <w:ilvl w:val="2"/>
          <w:numId w:val="15"/>
        </w:numPr>
        <w:autoSpaceDE/>
        <w:autoSpaceDN/>
        <w:adjustRightInd/>
        <w:spacing w:after="160" w:line="278" w:lineRule="auto"/>
        <w:contextualSpacing/>
        <w:rPr>
          <w:sz w:val="24"/>
        </w:rPr>
      </w:pPr>
      <w:r w:rsidRPr="008633DE">
        <w:rPr>
          <w:rFonts w:eastAsia="+mn-ea"/>
          <w:kern w:val="24"/>
          <w:sz w:val="24"/>
        </w:rPr>
        <w:t>Quality of Care Comparison: Brick and Mortar Hospital vs. AHCAH</w:t>
      </w:r>
    </w:p>
    <w:p w:rsidR="008633DE" w:rsidRPr="008633DE" w:rsidP="008633DE" w14:paraId="115CBA28" w14:textId="77777777">
      <w:pPr>
        <w:widowControl/>
        <w:numPr>
          <w:ilvl w:val="2"/>
          <w:numId w:val="15"/>
        </w:numPr>
        <w:autoSpaceDE/>
        <w:autoSpaceDN/>
        <w:adjustRightInd/>
        <w:spacing w:after="160" w:line="278" w:lineRule="auto"/>
        <w:contextualSpacing/>
        <w:rPr>
          <w:sz w:val="24"/>
        </w:rPr>
      </w:pPr>
      <w:r w:rsidRPr="008633DE">
        <w:rPr>
          <w:rFonts w:eastAsia="+mn-ea"/>
          <w:kern w:val="24"/>
          <w:sz w:val="24"/>
        </w:rPr>
        <w:t xml:space="preserve">Patient Experience of Care Under AHCAH </w:t>
      </w:r>
    </w:p>
    <w:p w:rsidR="008633DE" w:rsidRPr="008633DE" w:rsidP="008633DE" w14:paraId="2D5E4E80" w14:textId="77777777">
      <w:pPr>
        <w:widowControl/>
        <w:numPr>
          <w:ilvl w:val="2"/>
          <w:numId w:val="15"/>
        </w:numPr>
        <w:autoSpaceDE/>
        <w:autoSpaceDN/>
        <w:adjustRightInd/>
        <w:spacing w:after="160" w:line="278" w:lineRule="auto"/>
        <w:contextualSpacing/>
        <w:rPr>
          <w:sz w:val="24"/>
        </w:rPr>
      </w:pPr>
      <w:r w:rsidRPr="008633DE">
        <w:rPr>
          <w:rFonts w:eastAsia="+mn-ea"/>
          <w:kern w:val="24"/>
          <w:sz w:val="24"/>
        </w:rPr>
        <w:t>Future Considerations</w:t>
      </w:r>
    </w:p>
    <w:p w:rsidR="008633DE" w:rsidRPr="008633DE" w:rsidP="008633DE" w14:paraId="15F6404C" w14:textId="77777777">
      <w:pPr>
        <w:widowControl/>
        <w:autoSpaceDE/>
        <w:autoSpaceDN/>
        <w:adjustRightInd/>
        <w:ind w:left="418"/>
        <w:contextualSpacing/>
        <w:rPr>
          <w:sz w:val="24"/>
        </w:rPr>
      </w:pPr>
    </w:p>
    <w:p w:rsidR="008633DE" w:rsidP="009872E5" w14:paraId="1B4E00BF" w14:textId="72A66983">
      <w:pPr>
        <w:widowControl/>
        <w:autoSpaceDE/>
        <w:autoSpaceDN/>
        <w:adjustRightInd/>
        <w:ind w:left="418"/>
        <w:rPr>
          <w:sz w:val="24"/>
        </w:rPr>
      </w:pPr>
      <w:r w:rsidRPr="008633DE">
        <w:rPr>
          <w:sz w:val="24"/>
        </w:rPr>
        <w:t xml:space="preserve">Using a data collection instrument is necessary to collect information from participating hospitals to develop an analysis of the initiative for this required study. </w:t>
      </w:r>
    </w:p>
    <w:p w:rsidR="00FA2758" w:rsidRPr="000328B6" w14:paraId="707DC5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24186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2.</w:t>
      </w:r>
      <w:r w:rsidRPr="000328B6">
        <w:rPr>
          <w:sz w:val="24"/>
        </w:rPr>
        <w:tab/>
      </w:r>
      <w:r w:rsidRPr="000328B6">
        <w:rPr>
          <w:sz w:val="24"/>
          <w:u w:val="single"/>
        </w:rPr>
        <w:t>Information Users</w:t>
      </w:r>
    </w:p>
    <w:p w:rsidR="008F1EB4" w:rsidRPr="000328B6" w14:paraId="57B51E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C5C84" w:rsidRPr="006C5C84" w:rsidP="006C5C84" w14:paraId="3FAAB26B" w14:textId="77777777">
      <w:pPr>
        <w:widowControl/>
        <w:autoSpaceDE/>
        <w:autoSpaceDN/>
        <w:adjustRightInd/>
        <w:ind w:left="418"/>
        <w:textAlignment w:val="baseline"/>
        <w:rPr>
          <w:sz w:val="24"/>
        </w:rPr>
      </w:pPr>
      <w:r w:rsidRPr="006C5C84">
        <w:rPr>
          <w:sz w:val="24"/>
        </w:rPr>
        <w:t xml:space="preserve">This information is used by CMS to evaluate a hospital’s ability to provide safe quality care in the patient's home, ensure their processes meet the minimum requirements established by CMS, and provide data as requested by the legislation. </w:t>
      </w:r>
    </w:p>
    <w:p w:rsidR="008F1EB4" w:rsidRPr="000328B6" w14:paraId="024F0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2C68B3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3.</w:t>
      </w:r>
      <w:r w:rsidRPr="000328B6">
        <w:rPr>
          <w:sz w:val="24"/>
        </w:rPr>
        <w:tab/>
      </w:r>
      <w:r w:rsidRPr="000328B6">
        <w:rPr>
          <w:sz w:val="24"/>
          <w:u w:val="single"/>
        </w:rPr>
        <w:t>Use of Information Technology</w:t>
      </w:r>
    </w:p>
    <w:p w:rsidR="008F1EB4" w:rsidRPr="000328B6" w14:paraId="47CA0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25F86" w:rsidRPr="00B25F86" w:rsidP="00B25F86" w14:paraId="2031AE06" w14:textId="77777777">
      <w:pPr>
        <w:widowControl/>
        <w:autoSpaceDE/>
        <w:autoSpaceDN/>
        <w:adjustRightInd/>
        <w:ind w:left="420"/>
        <w:textAlignment w:val="baseline"/>
        <w:rPr>
          <w:sz w:val="24"/>
        </w:rPr>
      </w:pPr>
      <w:r w:rsidRPr="00B25F86">
        <w:rPr>
          <w:sz w:val="24"/>
        </w:rPr>
        <w:t xml:space="preserve">This information is collected electronically using public facing web forms. </w:t>
      </w:r>
    </w:p>
    <w:p w:rsidR="00B25F86" w:rsidRPr="00B25F86" w:rsidP="00B25F86" w14:paraId="2CEDE7C9" w14:textId="77777777">
      <w:pPr>
        <w:widowControl/>
        <w:autoSpaceDE/>
        <w:autoSpaceDN/>
        <w:adjustRightInd/>
        <w:ind w:left="420"/>
        <w:textAlignment w:val="baseline"/>
        <w:rPr>
          <w:rFonts w:ascii="Segoe UI" w:hAnsi="Segoe UI" w:cs="Segoe UI"/>
          <w:sz w:val="18"/>
          <w:szCs w:val="18"/>
        </w:rPr>
      </w:pPr>
      <w:r w:rsidRPr="00B25F86">
        <w:rPr>
          <w:sz w:val="24"/>
        </w:rPr>
        <w:t> </w:t>
      </w:r>
    </w:p>
    <w:p w:rsidR="00B25F86" w:rsidRPr="00B25F86" w:rsidP="00B25F86" w14:paraId="3DE1C810" w14:textId="43CC2241">
      <w:pPr>
        <w:widowControl/>
        <w:autoSpaceDE/>
        <w:autoSpaceDN/>
        <w:adjustRightInd/>
        <w:ind w:left="420"/>
        <w:textAlignment w:val="baseline"/>
        <w:rPr>
          <w:rFonts w:ascii="Segoe UI" w:hAnsi="Segoe UI" w:cs="Segoe UI"/>
          <w:sz w:val="18"/>
          <w:szCs w:val="18"/>
        </w:rPr>
      </w:pPr>
      <w:r w:rsidRPr="00B25F86">
        <w:rPr>
          <w:sz w:val="24"/>
        </w:rPr>
        <w:t>CMS created a public facing web form to support nationwide submission of AHCAH waiver requests collecting required information from hospitals requesting to participate and once approved, the subsequent data required on a weekly or monthly basis. Thus, creation of this standard and automated submission process by utilizing a publicly accessible web form enabled standardized, user-friendly submission by requesters and more efficient processing for all impacted components within CMS.  </w:t>
      </w:r>
    </w:p>
    <w:p w:rsidR="008F1EB4" w:rsidRPr="000328B6" w14:paraId="2740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0C314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4.</w:t>
      </w:r>
      <w:r w:rsidRPr="000328B6">
        <w:rPr>
          <w:sz w:val="24"/>
        </w:rPr>
        <w:tab/>
      </w:r>
      <w:r w:rsidRPr="000328B6">
        <w:rPr>
          <w:sz w:val="24"/>
          <w:u w:val="single"/>
        </w:rPr>
        <w:t>Duplication of Efforts</w:t>
      </w:r>
    </w:p>
    <w:p w:rsidR="008F1EB4" w:rsidRPr="000328B6" w14:paraId="57080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6224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This information collection does not duplicate any other effort and the information cannot be obtained from any other source.</w:t>
      </w:r>
    </w:p>
    <w:p w:rsidR="00B16C0F" w:rsidRPr="000328B6" w14:paraId="20654C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35D0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5.</w:t>
      </w:r>
      <w:r w:rsidRPr="000328B6">
        <w:rPr>
          <w:sz w:val="24"/>
        </w:rPr>
        <w:tab/>
      </w:r>
      <w:r w:rsidRPr="000328B6">
        <w:rPr>
          <w:sz w:val="24"/>
          <w:u w:val="single"/>
        </w:rPr>
        <w:t>Small Businesses</w:t>
      </w:r>
    </w:p>
    <w:p w:rsidR="008F1EB4" w:rsidRPr="000328B6" w14:paraId="509DE8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55440" w:rsidP="00E55440" w14:paraId="355C0AD9" w14:textId="6F5240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0328B6">
        <w:rPr>
          <w:sz w:val="24"/>
        </w:rPr>
        <w:t>These requirements do</w:t>
      </w:r>
      <w:r w:rsidR="00864D16">
        <w:rPr>
          <w:sz w:val="24"/>
        </w:rPr>
        <w:t xml:space="preserve"> not</w:t>
      </w:r>
      <w:r w:rsidRPr="000328B6">
        <w:rPr>
          <w:sz w:val="24"/>
        </w:rPr>
        <w:t xml:space="preserve"> affect small businesses</w:t>
      </w:r>
      <w:r w:rsidR="000E3D7B">
        <w:rPr>
          <w:sz w:val="24"/>
        </w:rPr>
        <w:t>.</w:t>
      </w:r>
      <w:r w:rsidRPr="000328B6">
        <w:rPr>
          <w:sz w:val="24"/>
        </w:rPr>
        <w:t xml:space="preserve"> </w:t>
      </w:r>
    </w:p>
    <w:p w:rsidR="009872E5" w:rsidRPr="000328B6" w:rsidP="00E55440" w14:paraId="05FC41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8F1EB4" w:rsidRPr="000328B6" w:rsidP="6497831C" w14:paraId="2718EFB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497831C">
        <w:rPr>
          <w:sz w:val="24"/>
        </w:rPr>
        <w:t>6.</w:t>
      </w:r>
      <w:r w:rsidR="00A06151">
        <w:tab/>
      </w:r>
      <w:r w:rsidRPr="6497831C">
        <w:rPr>
          <w:sz w:val="24"/>
          <w:u w:val="single"/>
        </w:rPr>
        <w:t>Less Frequent Collection</w:t>
      </w:r>
    </w:p>
    <w:p w:rsidR="6497831C" w:rsidP="00A01AF6" w14:paraId="150C4797" w14:textId="20C6264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82ACF" w:rsidRPr="0008557E" w:rsidP="00182ACF" w14:paraId="2A5A51AC" w14:textId="73449D43">
      <w:pPr>
        <w:widowControl/>
        <w:autoSpaceDE/>
        <w:autoSpaceDN/>
        <w:adjustRightInd/>
        <w:ind w:left="420"/>
        <w:textAlignment w:val="baseline"/>
        <w:rPr>
          <w:rFonts w:ascii="Segoe UI" w:hAnsi="Segoe UI" w:cs="Segoe UI"/>
          <w:sz w:val="18"/>
          <w:szCs w:val="18"/>
        </w:rPr>
      </w:pPr>
      <w:r w:rsidRPr="6497831C">
        <w:rPr>
          <w:sz w:val="24"/>
        </w:rPr>
        <w:t xml:space="preserve">For Acute Hospital Care at Home, each hospital will submit a waiver request at the time of requesting approval. This is only a one-time collection. Once a waiver request is approved, Tier 1 hospitals report every month and Tier 2 hospitals on a weekly basis to collect data to monitor the progress of the initiative to be included in a study to Congress, as required under </w:t>
      </w:r>
      <w:r w:rsidRPr="0008557E">
        <w:rPr>
          <w:sz w:val="24"/>
        </w:rPr>
        <w:t>the Continuing Appropriations, Agriculture, Legislative Branch, Military Construction and Veterans Affairs and Extensions Act, 2026.  </w:t>
      </w:r>
    </w:p>
    <w:p w:rsidR="00182ACF" w:rsidRPr="00182ACF" w:rsidP="00182ACF" w14:paraId="65FC0D2C" w14:textId="77777777">
      <w:pPr>
        <w:widowControl/>
        <w:autoSpaceDE/>
        <w:autoSpaceDN/>
        <w:adjustRightInd/>
        <w:textAlignment w:val="baseline"/>
        <w:rPr>
          <w:rFonts w:ascii="Segoe UI" w:hAnsi="Segoe UI" w:cs="Segoe UI"/>
          <w:sz w:val="18"/>
          <w:szCs w:val="18"/>
        </w:rPr>
      </w:pPr>
      <w:r w:rsidRPr="00182ACF">
        <w:rPr>
          <w:sz w:val="24"/>
        </w:rPr>
        <w:t> </w:t>
      </w:r>
    </w:p>
    <w:p w:rsidR="6497831C" w:rsidP="6497831C" w14:paraId="4772DE6A" w14:textId="11923B1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97831C">
        <w:rPr>
          <w:sz w:val="24"/>
        </w:rPr>
        <w:t xml:space="preserve">. </w:t>
      </w:r>
    </w:p>
    <w:p w:rsidR="008F1EB4" w:rsidRPr="000328B6" w14:paraId="4C850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7.</w:t>
      </w:r>
      <w:r w:rsidRPr="000328B6">
        <w:rPr>
          <w:sz w:val="24"/>
        </w:rPr>
        <w:tab/>
      </w:r>
      <w:r w:rsidRPr="000328B6">
        <w:rPr>
          <w:sz w:val="24"/>
          <w:u w:val="single"/>
        </w:rPr>
        <w:t>Special Circumstances</w:t>
      </w:r>
    </w:p>
    <w:p w:rsidR="008F1EB4" w:rsidRPr="000328B6" w14:paraId="261315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451BB0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There are no special circumstances.</w:t>
      </w:r>
    </w:p>
    <w:p w:rsidR="008F1EB4" w:rsidRPr="000328B6" w14:paraId="525C4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9B05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8.</w:t>
      </w:r>
      <w:r w:rsidRPr="000328B6">
        <w:rPr>
          <w:sz w:val="24"/>
        </w:rPr>
        <w:tab/>
      </w:r>
      <w:r w:rsidRPr="000328B6">
        <w:rPr>
          <w:sz w:val="24"/>
          <w:u w:val="single"/>
        </w:rPr>
        <w:t>Federal Register/Outside Consultation</w:t>
      </w:r>
    </w:p>
    <w:p w:rsidR="00751BCC" w:rsidRPr="000328B6" w:rsidP="00751BCC" w14:paraId="3CB0357F" w14:textId="77777777">
      <w:pPr>
        <w:ind w:left="432"/>
        <w:rPr>
          <w:sz w:val="24"/>
        </w:rPr>
      </w:pPr>
    </w:p>
    <w:p w:rsidR="0060035D" w:rsidP="029C8DE8" w14:paraId="21D90CF5" w14:textId="77777777">
      <w:pPr>
        <w:spacing w:line="259" w:lineRule="auto"/>
        <w:ind w:left="432"/>
        <w:rPr>
          <w:sz w:val="24"/>
        </w:rPr>
      </w:pPr>
      <w:r w:rsidRPr="029C8DE8">
        <w:rPr>
          <w:sz w:val="24"/>
        </w:rPr>
        <w:t>The 60-day Federal Register notice published</w:t>
      </w:r>
      <w:r>
        <w:rPr>
          <w:sz w:val="24"/>
        </w:rPr>
        <w:t xml:space="preserve"> April 20, 2026 (91 FR 20999).  There were no public comments received.</w:t>
      </w:r>
    </w:p>
    <w:p w:rsidR="007B3C08" w:rsidP="029C8DE8" w14:paraId="37B8CA23" w14:textId="13182F3E">
      <w:pPr>
        <w:spacing w:line="259" w:lineRule="auto"/>
        <w:ind w:left="432"/>
        <w:rPr>
          <w:sz w:val="24"/>
        </w:rPr>
      </w:pPr>
      <w:r w:rsidRPr="029C8DE8">
        <w:rPr>
          <w:sz w:val="24"/>
        </w:rPr>
        <w:t xml:space="preserve"> </w:t>
      </w:r>
    </w:p>
    <w:p w:rsidR="007B3C08" w:rsidP="029C8DE8" w14:paraId="046C0087" w14:textId="2D644BC7">
      <w:pPr>
        <w:spacing w:line="259" w:lineRule="auto"/>
        <w:ind w:left="432"/>
        <w:rPr>
          <w:sz w:val="24"/>
        </w:rPr>
      </w:pPr>
      <w:r>
        <w:rPr>
          <w:sz w:val="24"/>
        </w:rPr>
        <w:t>The 30-day Federal Register notice published</w:t>
      </w:r>
      <w:r w:rsidR="0060035D">
        <w:rPr>
          <w:sz w:val="24"/>
        </w:rPr>
        <w:t xml:space="preserve"> July 2, 2026 (91 FR 40538)</w:t>
      </w:r>
      <w:r>
        <w:rPr>
          <w:sz w:val="24"/>
        </w:rPr>
        <w:t>.</w:t>
      </w:r>
    </w:p>
    <w:p w:rsidR="002533FE" w:rsidP="029C8DE8" w14:paraId="4355F0F3" w14:textId="77777777">
      <w:pPr>
        <w:spacing w:line="259" w:lineRule="auto"/>
        <w:ind w:left="432"/>
        <w:rPr>
          <w:sz w:val="24"/>
        </w:rPr>
      </w:pPr>
    </w:p>
    <w:p w:rsidR="008F1EB4" w:rsidRPr="000328B6" w14:paraId="5E0A00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      </w:t>
      </w:r>
    </w:p>
    <w:p w:rsidR="008F1EB4" w:rsidRPr="000328B6" w14:paraId="40CD7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9.</w:t>
      </w:r>
      <w:r w:rsidRPr="000328B6">
        <w:rPr>
          <w:sz w:val="24"/>
        </w:rPr>
        <w:tab/>
      </w:r>
      <w:r w:rsidRPr="000328B6">
        <w:rPr>
          <w:sz w:val="24"/>
          <w:u w:val="single"/>
        </w:rPr>
        <w:t>Payments/Gifts to Respondents</w:t>
      </w:r>
    </w:p>
    <w:p w:rsidR="008F1EB4" w:rsidRPr="000328B6" w14:paraId="24B2EF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7F9885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payments or gifts to respondents. </w:t>
      </w:r>
    </w:p>
    <w:p w:rsidR="008F1EB4" w:rsidRPr="000328B6" w14:paraId="195711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C4315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328B6">
        <w:rPr>
          <w:sz w:val="24"/>
        </w:rPr>
        <w:t>10.</w:t>
      </w:r>
      <w:r w:rsidRPr="000328B6">
        <w:rPr>
          <w:sz w:val="24"/>
        </w:rPr>
        <w:tab/>
      </w:r>
      <w:r w:rsidRPr="000328B6">
        <w:rPr>
          <w:sz w:val="24"/>
          <w:u w:val="single"/>
        </w:rPr>
        <w:t>Confidentiality</w:t>
      </w:r>
    </w:p>
    <w:p w:rsidR="00B16C0F" w:rsidRPr="000328B6" w14:paraId="74897B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B7B04" w:rsidRPr="009B7B04" w:rsidP="009B7B04" w14:paraId="641DB2C4" w14:textId="77777777">
      <w:pPr>
        <w:widowControl/>
        <w:autoSpaceDE/>
        <w:autoSpaceDN/>
        <w:adjustRightInd/>
        <w:ind w:left="420"/>
        <w:textAlignment w:val="baseline"/>
        <w:rPr>
          <w:rFonts w:ascii="Segoe UI" w:hAnsi="Segoe UI" w:cs="Segoe UI"/>
          <w:sz w:val="18"/>
          <w:szCs w:val="18"/>
        </w:rPr>
      </w:pPr>
      <w:r w:rsidRPr="009B7B04">
        <w:rPr>
          <w:sz w:val="24"/>
        </w:rPr>
        <w:t>Personally identifiable information, including social security numbers (SSN), is not being collected on these web forms.  Information is stored electronically in the CMS QualityNet Portal system.  Data collected via the automated process is retained for seven years, as approved by the National Archives and Records Administration Records Schedule DM-0440-2015-0008. The data resides in the CMS Chronic Conditions Warehouse (CCW) and Clinical Data Repository (CDR). The confidentiality, integrity, and availability of information being processed are protected by a wide variety of organizational, process, and technical controls to ensure professionalism and trustworthiness.  Such safeguards include communication protocols, software to facilitate incident analysis, and mitigation practices, as well as other incident analysis resources.  </w:t>
      </w:r>
    </w:p>
    <w:p w:rsidR="008F1EB4" w:rsidRPr="000328B6" w14:paraId="0F5973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5BB4B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11.</w:t>
      </w:r>
      <w:r w:rsidRPr="000328B6">
        <w:rPr>
          <w:sz w:val="24"/>
        </w:rPr>
        <w:tab/>
      </w:r>
      <w:r w:rsidRPr="000328B6">
        <w:rPr>
          <w:sz w:val="24"/>
          <w:u w:val="single"/>
        </w:rPr>
        <w:t>Sensitive Questions</w:t>
      </w:r>
    </w:p>
    <w:p w:rsidR="008F1EB4" w:rsidRPr="000328B6" w14:paraId="2D4C15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32E8" w:rsidRPr="000328B6" w:rsidP="001E4EE4" w14:paraId="5ADF3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questions of a sensitive nature.  </w:t>
      </w:r>
    </w:p>
    <w:p w:rsidR="008F1EB4" w:rsidRPr="000328B6" w14:paraId="41202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AD95B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12.</w:t>
      </w:r>
      <w:r w:rsidRPr="000328B6">
        <w:rPr>
          <w:sz w:val="24"/>
        </w:rPr>
        <w:tab/>
      </w:r>
      <w:r w:rsidRPr="000328B6">
        <w:rPr>
          <w:sz w:val="24"/>
          <w:u w:val="single"/>
        </w:rPr>
        <w:t>Burden Estimates (Hours &amp; Wages)</w:t>
      </w:r>
    </w:p>
    <w:p w:rsidR="00A53DB1" w:rsidP="00A01AF6" w14:paraId="2E0D373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872E5" w:rsidP="009872E5" w14:paraId="2D61E4CB"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0328B6">
        <w:rPr>
          <w:sz w:val="24"/>
        </w:rPr>
        <w:t xml:space="preserve">Time Burden for Acute Hospital Care at Home Waiver Requests </w:t>
      </w:r>
    </w:p>
    <w:p w:rsidR="009872E5" w:rsidP="009872E5" w14:paraId="672179FE"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B2628C" w:rsidRPr="009872E5" w:rsidP="009872E5" w14:paraId="5F04A246" w14:textId="1F930B3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4776D791">
        <w:rPr>
          <w:sz w:val="24"/>
        </w:rPr>
        <w:t xml:space="preserve">We estimate the total annual hours to be </w:t>
      </w:r>
      <w:r w:rsidR="00A50A8F">
        <w:rPr>
          <w:sz w:val="24"/>
        </w:rPr>
        <w:t>108</w:t>
      </w:r>
      <w:r w:rsidRPr="4776D791">
        <w:rPr>
          <w:sz w:val="24"/>
        </w:rPr>
        <w:t xml:space="preserve"> and a cost of all data submissions to be $</w:t>
      </w:r>
      <w:r w:rsidR="00FC7A20">
        <w:rPr>
          <w:sz w:val="24"/>
        </w:rPr>
        <w:t>9,</w:t>
      </w:r>
      <w:r w:rsidR="0052775A">
        <w:rPr>
          <w:sz w:val="24"/>
        </w:rPr>
        <w:t>362.52</w:t>
      </w:r>
      <w:r w:rsidRPr="4776D791">
        <w:rPr>
          <w:sz w:val="24"/>
        </w:rPr>
        <w:t xml:space="preserve">. </w:t>
      </w:r>
    </w:p>
    <w:p w:rsidR="00A5679C" w:rsidRPr="005D57C1" w:rsidP="00E174E4" w14:paraId="37C547A7" w14:textId="77777777">
      <w:pPr>
        <w:ind w:left="432"/>
        <w:rPr>
          <w:sz w:val="24"/>
        </w:rPr>
      </w:pPr>
    </w:p>
    <w:tbl>
      <w:tblPr>
        <w:tblW w:w="7578" w:type="dxa"/>
        <w:tblInd w:w="602" w:type="dxa"/>
        <w:tblLayout w:type="fixed"/>
        <w:tblLook w:val="04A0"/>
      </w:tblPr>
      <w:tblGrid>
        <w:gridCol w:w="2374"/>
        <w:gridCol w:w="1424"/>
        <w:gridCol w:w="1620"/>
        <w:gridCol w:w="2160"/>
      </w:tblGrid>
      <w:tr w14:paraId="1999E880" w14:textId="58BFE2D6" w:rsidTr="00E13CE2">
        <w:tblPrEx>
          <w:tblW w:w="7578" w:type="dxa"/>
          <w:tblInd w:w="602" w:type="dxa"/>
          <w:tblLayout w:type="fixed"/>
          <w:tblLook w:val="04A0"/>
        </w:tblPrEx>
        <w:trPr>
          <w:trHeight w:val="435"/>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5413FD9D" w14:textId="1777CA53">
            <w:pPr>
              <w:rPr>
                <w:sz w:val="24"/>
              </w:rPr>
            </w:pPr>
            <w:r w:rsidRPr="005D57C1">
              <w:rPr>
                <w:rFonts w:eastAsia="Calibri"/>
                <w:b/>
                <w:bCs/>
                <w:color w:val="000000" w:themeColor="text1"/>
                <w:sz w:val="24"/>
              </w:rPr>
              <w:t>Description</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792EC446" w14:textId="18872CD9">
            <w:pPr>
              <w:rPr>
                <w:sz w:val="24"/>
              </w:rPr>
            </w:pPr>
            <w:r w:rsidRPr="005D57C1">
              <w:rPr>
                <w:rFonts w:eastAsia="Calibri"/>
                <w:b/>
                <w:bCs/>
                <w:color w:val="000000" w:themeColor="text1"/>
                <w:sz w:val="24"/>
              </w:rPr>
              <w:t>Tier 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73877702" w14:textId="5E0857D7">
            <w:pPr>
              <w:rPr>
                <w:sz w:val="24"/>
              </w:rPr>
            </w:pPr>
            <w:r w:rsidRPr="005D57C1">
              <w:rPr>
                <w:rFonts w:eastAsia="Calibri"/>
                <w:b/>
                <w:bCs/>
                <w:color w:val="000000" w:themeColor="text1"/>
                <w:sz w:val="24"/>
              </w:rPr>
              <w:t>Tier 2</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059D09E7" w14:textId="139FE26E">
            <w:pPr>
              <w:rPr>
                <w:sz w:val="24"/>
              </w:rPr>
            </w:pPr>
            <w:r>
              <w:rPr>
                <w:rFonts w:eastAsia="Calibri"/>
                <w:b/>
                <w:bCs/>
                <w:color w:val="000000" w:themeColor="text1"/>
                <w:sz w:val="24"/>
              </w:rPr>
              <w:t xml:space="preserve"> Annual </w:t>
            </w:r>
            <w:r w:rsidRPr="005D57C1">
              <w:rPr>
                <w:rFonts w:eastAsia="Calibri"/>
                <w:b/>
                <w:bCs/>
                <w:color w:val="000000" w:themeColor="text1"/>
                <w:sz w:val="24"/>
              </w:rPr>
              <w:t>Total</w:t>
            </w:r>
          </w:p>
        </w:tc>
      </w:tr>
      <w:tr w14:paraId="67B7EA39" w14:textId="1E121D32"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63BF2173" w14:textId="71C52F5B">
            <w:pPr>
              <w:rPr>
                <w:szCs w:val="20"/>
              </w:rPr>
            </w:pPr>
            <w:r w:rsidRPr="00A53DB1">
              <w:rPr>
                <w:rFonts w:eastAsia="Calibri"/>
                <w:szCs w:val="20"/>
              </w:rPr>
              <w:t>Number of expected waiver respondents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18AC9AB0" w14:textId="2D656CED">
            <w:r w:rsidRPr="5202FDAA">
              <w:rPr>
                <w:rFonts w:eastAsia="Calibri"/>
              </w:rPr>
              <w:t>17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79EFDF8A" w14:textId="56B3F4C8">
            <w:r w:rsidRPr="5202FDAA">
              <w:rPr>
                <w:rFonts w:eastAsia="Calibri"/>
              </w:rPr>
              <w:t>6</w:t>
            </w:r>
            <w:r w:rsidR="0071709B">
              <w:rPr>
                <w:rFonts w:eastAsia="Calibri"/>
              </w:rPr>
              <w:t>9</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2ADE818" w14:textId="50C28063">
            <w:r w:rsidRPr="5202FDAA">
              <w:rPr>
                <w:rFonts w:eastAsia="Calibri"/>
              </w:rPr>
              <w:t>8</w:t>
            </w:r>
            <w:r w:rsidR="0071709B">
              <w:rPr>
                <w:rFonts w:eastAsia="Calibri"/>
              </w:rPr>
              <w:t>6</w:t>
            </w:r>
          </w:p>
        </w:tc>
      </w:tr>
      <w:tr w14:paraId="3E03B080" w14:textId="1384C7A9"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4D056DD" w14:textId="0EDE7352">
            <w:pPr>
              <w:rPr>
                <w:szCs w:val="20"/>
              </w:rPr>
            </w:pPr>
            <w:r w:rsidRPr="00A53DB1">
              <w:rPr>
                <w:rFonts w:eastAsia="Calibri"/>
                <w:szCs w:val="20"/>
              </w:rPr>
              <w:t>Number of expected one time waiver submission &amp; phone calls per respondent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6234BCC9" w14:textId="163DAD96">
            <w:r w:rsidRPr="5202FDAA">
              <w:rPr>
                <w:rFonts w:eastAsia="Calibri"/>
              </w:rPr>
              <w:t>2.0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4D7BEB3E" w14:textId="57391BA6">
            <w:r w:rsidRPr="5202FDAA">
              <w:rPr>
                <w:rFonts w:eastAsia="Calibri"/>
              </w:rPr>
              <w:t>2.0</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465DB624" w14:textId="44E68612">
            <w:r w:rsidRPr="5202FDAA">
              <w:rPr>
                <w:rFonts w:eastAsia="Calibri"/>
              </w:rPr>
              <w:t>2.0</w:t>
            </w:r>
          </w:p>
        </w:tc>
      </w:tr>
      <w:tr w14:paraId="31AAA2D0" w14:textId="72AE4B6B"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2B929C9C" w14:textId="4030E345">
            <w:r w:rsidRPr="6497831C">
              <w:rPr>
                <w:rFonts w:eastAsia="Calibri"/>
              </w:rPr>
              <w:t>Number of expected total measures (responses) per respondent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5B539A51" w14:textId="5AB2476A">
            <w:r w:rsidRPr="5202FDAA">
              <w:rPr>
                <w:rFonts w:eastAsia="Calibri"/>
              </w:rPr>
              <w:t>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7B66689" w14:textId="046A9669">
            <w:r w:rsidRPr="5202FDAA">
              <w:rPr>
                <w:rFonts w:eastAsia="Calibri"/>
              </w:rPr>
              <w:t>1</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4BAA85F4" w14:textId="0818F903">
            <w:r w:rsidRPr="6497831C">
              <w:rPr>
                <w:rFonts w:eastAsia="Calibri"/>
              </w:rPr>
              <w:t>1</w:t>
            </w:r>
          </w:p>
        </w:tc>
      </w:tr>
      <w:tr w14:paraId="338A9A78" w14:textId="704F5C7A"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85730AD" w14:textId="4115AAC7">
            <w:r w:rsidRPr="5202FDAA">
              <w:rPr>
                <w:rFonts w:eastAsia="Calibri"/>
              </w:rPr>
              <w:t>Time Burden Estimates (hours)</w:t>
            </w:r>
            <w:r>
              <w:br/>
            </w:r>
            <w:r w:rsidRPr="5202FDAA">
              <w:rPr>
                <w:rFonts w:eastAsia="Calibri"/>
              </w:rPr>
              <w:t xml:space="preserve">  (Total Respondents) x (Total Response/Respondent) x (75 minutes/Response) x (1 hour/60 minutes) = </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7711D7B0" w14:textId="77456117">
            <w:pPr>
              <w:rPr>
                <w:rFonts w:eastAsia="Calibri"/>
                <w:b/>
                <w:bCs/>
              </w:rPr>
            </w:pPr>
            <w:r w:rsidRPr="5202FDAA">
              <w:rPr>
                <w:rFonts w:eastAsia="Calibri"/>
                <w:b/>
                <w:bCs/>
              </w:rPr>
              <w:t xml:space="preserve"> 21.25</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6E03C89F" w14:textId="50C426BD">
            <w:pPr>
              <w:rPr>
                <w:rFonts w:eastAsia="Calibri"/>
                <w:b/>
                <w:bCs/>
              </w:rPr>
            </w:pPr>
            <w:r w:rsidRPr="5202FDAA">
              <w:rPr>
                <w:rFonts w:eastAsia="Calibri"/>
                <w:b/>
                <w:bCs/>
              </w:rPr>
              <w:t>8</w:t>
            </w:r>
            <w:r w:rsidR="001F7BC4">
              <w:rPr>
                <w:rFonts w:eastAsia="Calibri"/>
                <w:b/>
                <w:bCs/>
              </w:rPr>
              <w:t>6.25</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0F730A53" w14:textId="2F133217">
            <w:pPr>
              <w:rPr>
                <w:rFonts w:eastAsia="Calibri"/>
                <w:b/>
                <w:bCs/>
              </w:rPr>
            </w:pPr>
            <w:r w:rsidRPr="5202FDAA">
              <w:rPr>
                <w:rFonts w:eastAsia="Calibri"/>
                <w:b/>
                <w:bCs/>
              </w:rPr>
              <w:t xml:space="preserve"> </w:t>
            </w:r>
            <w:r w:rsidR="009C5B93">
              <w:rPr>
                <w:rFonts w:eastAsia="Calibri"/>
                <w:b/>
                <w:bCs/>
              </w:rPr>
              <w:t>108</w:t>
            </w:r>
          </w:p>
        </w:tc>
      </w:tr>
      <w:tr w14:paraId="4972DC97" w14:textId="7F951699"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029C8DE8" w14:paraId="72755BE6" w14:textId="7340843F">
            <w:r w:rsidRPr="5202FDAA">
              <w:rPr>
                <w:rFonts w:eastAsia="Calibri"/>
              </w:rPr>
              <w:t>Cost Burden Estimates</w:t>
            </w:r>
            <w:r>
              <w:br/>
            </w:r>
            <w:r w:rsidRPr="5202FDAA">
              <w:rPr>
                <w:rFonts w:eastAsia="Calibri"/>
              </w:rPr>
              <w:t xml:space="preserve"> Total Cost = (Total Respondents) x (Total Response/Respondent) x (75 minutes/Response) x (1 hour/60 minutes) x ($Average salary/hour) </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277749F6" w14:textId="0E756C3B">
            <w:pPr>
              <w:rPr>
                <w:rFonts w:eastAsia="Calibri"/>
                <w:b/>
                <w:bCs/>
              </w:rPr>
            </w:pPr>
            <w:r w:rsidRPr="5202FDAA">
              <w:rPr>
                <w:rFonts w:eastAsia="Calibri"/>
                <w:b/>
                <w:bCs/>
              </w:rPr>
              <w:t>$ 1,</w:t>
            </w:r>
            <w:r w:rsidR="00E336C3">
              <w:rPr>
                <w:rFonts w:eastAsia="Calibri"/>
                <w:b/>
                <w:bCs/>
              </w:rPr>
              <w:t>842.16</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4223A837" w14:textId="49C5DF09">
            <w:pPr>
              <w:rPr>
                <w:rFonts w:eastAsia="Calibri"/>
                <w:b/>
                <w:bCs/>
              </w:rPr>
            </w:pPr>
            <w:r w:rsidRPr="5202FDAA">
              <w:rPr>
                <w:rFonts w:eastAsia="Calibri"/>
                <w:b/>
                <w:bCs/>
              </w:rPr>
              <w:t xml:space="preserve">$ </w:t>
            </w:r>
            <w:r w:rsidR="00E336C3">
              <w:rPr>
                <w:rFonts w:eastAsia="Calibri"/>
                <w:b/>
                <w:bCs/>
              </w:rPr>
              <w:t>7,477.01</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5A6939DC" w14:textId="34738951">
            <w:pPr>
              <w:rPr>
                <w:rFonts w:eastAsia="Calibri"/>
                <w:b/>
                <w:bCs/>
              </w:rPr>
            </w:pPr>
            <w:r w:rsidRPr="5202FDAA">
              <w:rPr>
                <w:rFonts w:eastAsia="Calibri"/>
                <w:b/>
                <w:bCs/>
              </w:rPr>
              <w:t xml:space="preserve">$ </w:t>
            </w:r>
            <w:r w:rsidR="00E336C3">
              <w:rPr>
                <w:rFonts w:eastAsia="Calibri"/>
                <w:b/>
                <w:bCs/>
              </w:rPr>
              <w:t>9,3</w:t>
            </w:r>
            <w:r w:rsidR="0052775A">
              <w:rPr>
                <w:rFonts w:eastAsia="Calibri"/>
                <w:b/>
                <w:bCs/>
              </w:rPr>
              <w:t>62.52</w:t>
            </w:r>
          </w:p>
        </w:tc>
      </w:tr>
    </w:tbl>
    <w:p w:rsidR="00B2628C" w:rsidRPr="000328B6" w:rsidP="000F6CBA" w14:paraId="6A6557A6" w14:textId="6DC256E2">
      <w:pPr>
        <w:ind w:left="432"/>
      </w:pPr>
      <w:r>
        <w:br/>
      </w:r>
      <w:r w:rsidR="6497831C">
        <w:t>Assumptions: This model assumes that there is an average rate of waiver submissions is 8</w:t>
      </w:r>
      <w:r w:rsidR="00E336C3">
        <w:t>6</w:t>
      </w:r>
      <w:r w:rsidR="6497831C">
        <w:t xml:space="preserve"> requests per year, with 17 Tier 1 and </w:t>
      </w:r>
      <w:r w:rsidR="00A50A8F">
        <w:t xml:space="preserve">69 </w:t>
      </w:r>
      <w:r w:rsidR="6497831C">
        <w:t xml:space="preserve">Tier 2. Both Tier 1 and Tier 2 hospitals are required to conduct a phone call with CMS </w:t>
      </w:r>
      <w:r w:rsidR="6497831C">
        <w:t>when requesting a waiver as well as submit the waiver request through the portal. The purpose of the call is to verify the process outlined in the submission as well as resolve any questions that may arise. The time it takes to have a phone call to review the waiver and the time to submit the waiver through the portal is approximately 75 minutes</w:t>
      </w:r>
      <w:r w:rsidR="00A50A8F">
        <w:t xml:space="preserve"> (1.25 hour)</w:t>
      </w:r>
      <w:r w:rsidR="6497831C">
        <w:t>.  The hourly rate average is $8</w:t>
      </w:r>
      <w:r w:rsidR="00555559">
        <w:t>6.69</w:t>
      </w:r>
      <w:r w:rsidR="6497831C">
        <w:t xml:space="preserve"> per hour. </w:t>
      </w:r>
    </w:p>
    <w:p w:rsidR="00B2628C" w:rsidRPr="000328B6" w:rsidP="00B2628C" w14:paraId="2AEF6EE4" w14:textId="77777777">
      <w:pPr>
        <w:rPr>
          <w:b/>
        </w:rPr>
      </w:pPr>
    </w:p>
    <w:p w:rsidR="00B2628C" w:rsidRPr="000328B6" w:rsidP="00B2628C" w14:paraId="3E7DF9EB" w14:textId="77777777">
      <w:pPr>
        <w:rPr>
          <w:b/>
        </w:rPr>
      </w:pPr>
    </w:p>
    <w:p w:rsidR="00B2628C" w:rsidRPr="000328B6" w:rsidP="00E174E4" w14:paraId="33635D27" w14:textId="690E3EBE">
      <w:pPr>
        <w:ind w:left="432"/>
      </w:pPr>
      <w:r w:rsidRPr="000328B6">
        <w:rPr>
          <w:sz w:val="24"/>
        </w:rPr>
        <w:t>Cost Burden for Acute Hospital Care at Home Waiver Requests</w:t>
      </w:r>
    </w:p>
    <w:p w:rsidR="00B2628C" w:rsidRPr="000328B6" w:rsidP="00B2628C" w14:paraId="19BE7666" w14:textId="4F8DF517">
      <w:r w:rsidRPr="000328B6">
        <w:rPr>
          <w:b/>
          <w:bCs/>
          <w:szCs w:val="20"/>
        </w:rPr>
        <w:t xml:space="preserve"> </w:t>
      </w:r>
    </w:p>
    <w:tbl>
      <w:tblPr>
        <w:tblW w:w="7558" w:type="dxa"/>
        <w:tblInd w:w="602" w:type="dxa"/>
        <w:tblLayout w:type="fixed"/>
        <w:tblLook w:val="04A0"/>
      </w:tblPr>
      <w:tblGrid>
        <w:gridCol w:w="1296"/>
        <w:gridCol w:w="1296"/>
        <w:gridCol w:w="1296"/>
        <w:gridCol w:w="1296"/>
        <w:gridCol w:w="1187"/>
        <w:gridCol w:w="1187"/>
      </w:tblGrid>
      <w:tr w14:paraId="17FEAEFE" w14:textId="77777777" w:rsidTr="00E13CE2">
        <w:tblPrEx>
          <w:tblW w:w="7558" w:type="dxa"/>
          <w:tblInd w:w="602" w:type="dxa"/>
          <w:tblLayout w:type="fixed"/>
          <w:tblLook w:val="04A0"/>
        </w:tblPrEx>
        <w:trPr>
          <w:trHeight w:val="133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5ECAFB36" w14:textId="637AE3F8">
            <w:pPr>
              <w:rPr>
                <w:szCs w:val="20"/>
              </w:rPr>
            </w:pPr>
            <w:r w:rsidRPr="005D57C1">
              <w:rPr>
                <w:rFonts w:eastAsia="Calibri"/>
                <w:b/>
                <w:bCs/>
                <w:color w:val="000000" w:themeColor="text1"/>
                <w:szCs w:val="20"/>
              </w:rPr>
              <w:t>Respondent</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rsidP="6AD0D172" w14:paraId="2B76910D" w14:textId="1E574A00">
            <w:pPr>
              <w:rPr>
                <w:rFonts w:eastAsia="Calibri"/>
                <w:b/>
                <w:bCs/>
                <w:color w:val="000000" w:themeColor="text1"/>
                <w:szCs w:val="20"/>
              </w:rPr>
            </w:pPr>
            <w:r w:rsidRPr="005D57C1">
              <w:rPr>
                <w:rFonts w:eastAsia="Calibri"/>
                <w:b/>
                <w:bCs/>
                <w:color w:val="000000" w:themeColor="text1"/>
                <w:szCs w:val="20"/>
              </w:rPr>
              <w:t>BLS Occupation Labor Code</w:t>
            </w:r>
            <w:r w:rsidRPr="0053137F">
              <w:rPr>
                <w:szCs w:val="20"/>
              </w:rPr>
              <w:br/>
            </w:r>
            <w:r w:rsidRPr="005D57C1">
              <w:rPr>
                <w:rFonts w:eastAsia="Calibri"/>
                <w:b/>
                <w:bCs/>
                <w:color w:val="000000" w:themeColor="text1"/>
                <w:szCs w:val="20"/>
              </w:rPr>
              <w:t xml:space="preserve"> </w:t>
            </w:r>
            <w:r w:rsidRPr="0053137F">
              <w:rPr>
                <w:szCs w:val="20"/>
              </w:rPr>
              <w:br/>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0B49433D" w14:textId="119D047C">
            <w:pPr>
              <w:rPr>
                <w:szCs w:val="20"/>
              </w:rPr>
            </w:pPr>
            <w:r w:rsidRPr="005D57C1">
              <w:rPr>
                <w:rFonts w:eastAsia="Calibri"/>
                <w:b/>
                <w:bCs/>
                <w:color w:val="000000" w:themeColor="text1"/>
                <w:szCs w:val="20"/>
              </w:rPr>
              <w:t>Total Response Time by Hour for Tier 1 Waiver Submission &amp; Phone Call</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37F0EF5C" w14:textId="589303DC">
            <w:pPr>
              <w:rPr>
                <w:szCs w:val="20"/>
              </w:rPr>
            </w:pPr>
            <w:r w:rsidRPr="005D57C1">
              <w:rPr>
                <w:rFonts w:eastAsia="Calibri"/>
                <w:b/>
                <w:bCs/>
                <w:color w:val="000000" w:themeColor="text1"/>
                <w:szCs w:val="20"/>
              </w:rPr>
              <w:t>Total Response Time by Hour for Tier 2 Waiver Submission &amp; Phone Call</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01FC6FF9" w14:textId="3D970336">
            <w:pPr>
              <w:rPr>
                <w:szCs w:val="20"/>
              </w:rPr>
            </w:pPr>
            <w:r w:rsidRPr="005D57C1">
              <w:rPr>
                <w:rFonts w:eastAsia="Calibri"/>
                <w:b/>
                <w:bCs/>
                <w:color w:val="000000" w:themeColor="text1"/>
                <w:szCs w:val="20"/>
              </w:rPr>
              <w:t>Median Hourly Wage</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3FB92DE0" w14:textId="642ED6ED">
            <w:pPr>
              <w:rPr>
                <w:szCs w:val="20"/>
              </w:rPr>
            </w:pPr>
            <w:r w:rsidRPr="005D57C1">
              <w:rPr>
                <w:rFonts w:eastAsia="Calibri"/>
                <w:b/>
                <w:bCs/>
                <w:color w:val="000000" w:themeColor="text1"/>
                <w:szCs w:val="20"/>
              </w:rPr>
              <w:t>Doubled Hourly Wage + Fringe Benefits and Overhead</w:t>
            </w:r>
          </w:p>
        </w:tc>
      </w:tr>
      <w:tr w14:paraId="0CBEBAC4" w14:textId="77777777" w:rsidTr="00E13CE2">
        <w:tblPrEx>
          <w:tblW w:w="7558" w:type="dxa"/>
          <w:tblInd w:w="602" w:type="dxa"/>
          <w:tblLayout w:type="fixed"/>
          <w:tblLook w:val="04A0"/>
        </w:tblPrEx>
        <w:trPr>
          <w:trHeight w:val="285"/>
        </w:trPr>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6AED03B" w14:textId="4BADBC73">
            <w:pPr>
              <w:rPr>
                <w:szCs w:val="20"/>
              </w:rPr>
            </w:pPr>
            <w:r w:rsidRPr="005D57C1">
              <w:rPr>
                <w:rFonts w:eastAsia="Calibri"/>
                <w:szCs w:val="20"/>
              </w:rPr>
              <w:t>Medical and Health Services Managers</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6A61C83B" w14:textId="51720337">
            <w:pPr>
              <w:rPr>
                <w:szCs w:val="20"/>
              </w:rPr>
            </w:pPr>
            <w:r w:rsidRPr="005D57C1">
              <w:rPr>
                <w:rFonts w:eastAsia="Calibri"/>
                <w:szCs w:val="20"/>
              </w:rPr>
              <w:t>11-9111</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rsidP="5202FDAA" w14:paraId="7AFAF222" w14:textId="0E69E094">
            <w:pPr>
              <w:rPr>
                <w:rFonts w:eastAsia="Calibri"/>
              </w:rPr>
            </w:pPr>
            <w:r w:rsidRPr="5202FDAA">
              <w:rPr>
                <w:rFonts w:eastAsia="Calibri"/>
              </w:rPr>
              <w:t>1.25</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C131FED" w14:textId="6720AA86">
            <w:r w:rsidRPr="5202FDAA">
              <w:rPr>
                <w:rFonts w:eastAsia="Calibri"/>
              </w:rPr>
              <w:t>1.25</w:t>
            </w:r>
          </w:p>
        </w:tc>
        <w:tc>
          <w:tcPr>
            <w:tcW w:w="11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846104D" w14:textId="41744AAB">
            <w:pPr>
              <w:rPr>
                <w:szCs w:val="20"/>
              </w:rPr>
            </w:pPr>
            <w:r w:rsidRPr="005D57C1">
              <w:rPr>
                <w:rFonts w:eastAsia="Calibri"/>
                <w:szCs w:val="20"/>
              </w:rPr>
              <w:t>$6</w:t>
            </w:r>
            <w:r w:rsidR="00555559">
              <w:rPr>
                <w:rFonts w:eastAsia="Calibri"/>
                <w:szCs w:val="20"/>
              </w:rPr>
              <w:t>4.64</w:t>
            </w:r>
          </w:p>
        </w:tc>
        <w:tc>
          <w:tcPr>
            <w:tcW w:w="11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FD5C7E1" w14:textId="256146E8">
            <w:pPr>
              <w:rPr>
                <w:szCs w:val="20"/>
              </w:rPr>
            </w:pPr>
            <w:r w:rsidRPr="005D57C1">
              <w:rPr>
                <w:rFonts w:eastAsia="Calibri"/>
                <w:szCs w:val="20"/>
              </w:rPr>
              <w:t>$12</w:t>
            </w:r>
            <w:r w:rsidR="00555559">
              <w:rPr>
                <w:rFonts w:eastAsia="Calibri"/>
                <w:szCs w:val="20"/>
              </w:rPr>
              <w:t>9.28</w:t>
            </w:r>
          </w:p>
        </w:tc>
      </w:tr>
      <w:tr w14:paraId="32B163B2" w14:textId="77777777" w:rsidTr="00E13CE2">
        <w:tblPrEx>
          <w:tblW w:w="7558"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4B8EA86C" w14:textId="63A3AFDA">
            <w:pPr>
              <w:rPr>
                <w:szCs w:val="20"/>
              </w:rPr>
            </w:pPr>
            <w:r w:rsidRPr="005D57C1">
              <w:rPr>
                <w:rFonts w:eastAsia="Calibri"/>
                <w:szCs w:val="20"/>
              </w:rPr>
              <w:t>Registered Nurses</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7DE74B45" w14:textId="57F511C7">
            <w:pPr>
              <w:rPr>
                <w:szCs w:val="20"/>
              </w:rPr>
            </w:pPr>
            <w:r w:rsidRPr="005D57C1">
              <w:rPr>
                <w:rFonts w:eastAsia="Calibri"/>
                <w:szCs w:val="20"/>
              </w:rPr>
              <w:t>29-1141</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rsidP="5202FDAA" w14:paraId="6F6D2614" w14:textId="4FC76994">
            <w:pPr>
              <w:rPr>
                <w:rFonts w:eastAsia="Calibri"/>
              </w:rPr>
            </w:pPr>
            <w:r w:rsidRPr="5202FDAA">
              <w:rPr>
                <w:rFonts w:eastAsia="Calibri"/>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1253E6CC" w14:textId="474A7C34">
            <w:r w:rsidRPr="5202FDAA">
              <w:rPr>
                <w:rFonts w:eastAsia="Calibri"/>
              </w:rPr>
              <w:t>1.25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D619CCD" w14:textId="1FEA0262">
            <w:pPr>
              <w:rPr>
                <w:szCs w:val="20"/>
              </w:rPr>
            </w:pPr>
            <w:r w:rsidRPr="005D57C1">
              <w:rPr>
                <w:rFonts w:eastAsia="Calibri"/>
                <w:szCs w:val="20"/>
              </w:rPr>
              <w:t>$4</w:t>
            </w:r>
            <w:r w:rsidR="00302AE4">
              <w:rPr>
                <w:rFonts w:eastAsia="Calibri"/>
                <w:szCs w:val="20"/>
              </w:rPr>
              <w:t>2.80</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5F8B5DB9" w14:textId="6F6A23BE">
            <w:pPr>
              <w:rPr>
                <w:szCs w:val="20"/>
              </w:rPr>
            </w:pPr>
            <w:r w:rsidRPr="005D57C1">
              <w:rPr>
                <w:rFonts w:eastAsia="Calibri"/>
                <w:szCs w:val="20"/>
              </w:rPr>
              <w:t>$8</w:t>
            </w:r>
            <w:r w:rsidR="00302AE4">
              <w:rPr>
                <w:rFonts w:eastAsia="Calibri"/>
                <w:szCs w:val="20"/>
              </w:rPr>
              <w:t>5</w:t>
            </w:r>
            <w:r w:rsidRPr="005D57C1">
              <w:rPr>
                <w:rFonts w:eastAsia="Calibri"/>
                <w:szCs w:val="20"/>
              </w:rPr>
              <w:t>.60</w:t>
            </w:r>
          </w:p>
        </w:tc>
      </w:tr>
      <w:tr w14:paraId="49ECB932" w14:textId="77777777" w:rsidTr="00E13CE2">
        <w:tblPrEx>
          <w:tblW w:w="7558"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422E7E0" w14:textId="442E3703">
            <w:pPr>
              <w:rPr>
                <w:szCs w:val="20"/>
              </w:rPr>
            </w:pPr>
            <w:r w:rsidRPr="005D57C1">
              <w:rPr>
                <w:rFonts w:eastAsia="Calibri"/>
                <w:szCs w:val="20"/>
              </w:rPr>
              <w:t>Miscellaneous Healthcare Support Occupations</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9D584A2" w14:textId="0198C228">
            <w:pPr>
              <w:rPr>
                <w:szCs w:val="20"/>
              </w:rPr>
            </w:pPr>
            <w:r w:rsidRPr="005D57C1">
              <w:rPr>
                <w:rFonts w:eastAsia="Calibri"/>
                <w:szCs w:val="20"/>
              </w:rPr>
              <w:t>31-9090</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rsidP="5202FDAA" w14:paraId="3357FF7A" w14:textId="71D45406">
            <w:pPr>
              <w:rPr>
                <w:rFonts w:eastAsia="Calibri"/>
              </w:rPr>
            </w:pPr>
            <w:r w:rsidRPr="5202FDAA">
              <w:rPr>
                <w:rFonts w:eastAsia="Calibri"/>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142960C6" w14:textId="7A786517">
            <w:r w:rsidRPr="5202FDAA">
              <w:rPr>
                <w:rFonts w:eastAsia="Calibri"/>
              </w:rPr>
              <w:t>1.25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3B36260" w14:textId="55EA2E6D">
            <w:pPr>
              <w:rPr>
                <w:szCs w:val="20"/>
              </w:rPr>
            </w:pPr>
            <w:r w:rsidRPr="005D57C1">
              <w:rPr>
                <w:rFonts w:eastAsia="Calibri"/>
                <w:szCs w:val="20"/>
              </w:rPr>
              <w:t>$2</w:t>
            </w:r>
            <w:r w:rsidR="00167395">
              <w:rPr>
                <w:rFonts w:eastAsia="Calibri"/>
                <w:szCs w:val="20"/>
              </w:rPr>
              <w:t>2.60</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71C5FCF" w14:textId="1403F5ED">
            <w:pPr>
              <w:rPr>
                <w:szCs w:val="20"/>
              </w:rPr>
            </w:pPr>
            <w:r w:rsidRPr="005D57C1">
              <w:rPr>
                <w:rFonts w:eastAsia="Calibri"/>
                <w:szCs w:val="20"/>
              </w:rPr>
              <w:t>$4</w:t>
            </w:r>
            <w:r w:rsidR="00167395">
              <w:rPr>
                <w:rFonts w:eastAsia="Calibri"/>
                <w:szCs w:val="20"/>
              </w:rPr>
              <w:t>5.20</w:t>
            </w:r>
          </w:p>
        </w:tc>
      </w:tr>
      <w:tr w14:paraId="69AF7EB6" w14:textId="77777777" w:rsidTr="00E13CE2">
        <w:tblPrEx>
          <w:tblW w:w="7558"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6F47EADE" w14:textId="2CECD511">
            <w:pPr>
              <w:rPr>
                <w:rFonts w:eastAsia="Calibri"/>
              </w:rPr>
            </w:pPr>
            <w:r w:rsidRPr="5202FDAA">
              <w:rPr>
                <w:rFonts w:eastAsia="Calibri"/>
              </w:rPr>
              <w:t>Average</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1B66B23D" w14:textId="79586B60">
            <w:pPr>
              <w:rPr>
                <w:rFonts w:eastAsia="Calibri"/>
              </w:rPr>
            </w:pP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27A82ACE" w14:textId="47CD2005">
            <w:pPr>
              <w:rPr>
                <w:rFonts w:eastAsia="Calibri"/>
              </w:rPr>
            </w:pPr>
            <w:r w:rsidRPr="5202FDAA">
              <w:rPr>
                <w:rFonts w:eastAsia="Calibri"/>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0FB4636D" w14:textId="45C4FD3C">
            <w:pPr>
              <w:rPr>
                <w:rFonts w:eastAsia="Calibri"/>
              </w:rPr>
            </w:pPr>
            <w:r w:rsidRPr="5202FDAA">
              <w:rPr>
                <w:rFonts w:eastAsia="Calibri"/>
              </w:rPr>
              <w:t>1.25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6629C7D4" w14:textId="76FE2EE8">
            <w:pPr>
              <w:rPr>
                <w:rFonts w:eastAsia="Calibri"/>
              </w:rPr>
            </w:pPr>
            <w:r w:rsidRPr="5202FDAA">
              <w:rPr>
                <w:rFonts w:eastAsia="Calibri"/>
              </w:rPr>
              <w:t>4</w:t>
            </w:r>
            <w:r w:rsidR="00167395">
              <w:rPr>
                <w:rFonts w:eastAsia="Calibri"/>
              </w:rPr>
              <w:t>3.34</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6673948E" w14:textId="105A61C3">
            <w:pPr>
              <w:rPr>
                <w:rFonts w:eastAsia="Calibri"/>
              </w:rPr>
            </w:pPr>
            <w:r w:rsidRPr="5202FDAA">
              <w:rPr>
                <w:rFonts w:eastAsia="Calibri"/>
              </w:rPr>
              <w:t>8</w:t>
            </w:r>
            <w:r w:rsidR="00C345C2">
              <w:rPr>
                <w:rFonts w:eastAsia="Calibri"/>
              </w:rPr>
              <w:t>6.69</w:t>
            </w:r>
          </w:p>
        </w:tc>
      </w:tr>
      <w:tr w14:paraId="35279375" w14:textId="77777777" w:rsidTr="00E13CE2">
        <w:tblPrEx>
          <w:tblW w:w="7558" w:type="dxa"/>
          <w:tblInd w:w="602" w:type="dxa"/>
          <w:tblLayout w:type="fixed"/>
          <w:tblLook w:val="04A0"/>
        </w:tblPrEx>
        <w:trPr>
          <w:gridAfter w:val="1"/>
          <w:wAfter w:w="1187" w:type="dxa"/>
          <w:trHeight w:val="300"/>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CAC94EA" w14:textId="44235919"/>
        </w:tc>
        <w:tc>
          <w:tcPr>
            <w:tcW w:w="129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640BE95E" w14:textId="1B1DE42F"/>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22012131" w14:textId="64C79937">
            <w:r w:rsidRPr="5202FDAA">
              <w:rPr>
                <w:rFonts w:eastAsia="Calibri"/>
                <w:b/>
                <w:bCs/>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14A17B86" w14:textId="584DD162"/>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736DC95D" w14:textId="44502266"/>
        </w:tc>
      </w:tr>
    </w:tbl>
    <w:p w:rsidR="00B2628C" w:rsidRPr="000328B6" w:rsidP="6AD0D172" w14:paraId="76A3793A" w14:textId="7A52804B">
      <w:pPr>
        <w:rPr>
          <w:b/>
          <w:bCs/>
        </w:rPr>
      </w:pPr>
    </w:p>
    <w:p w:rsidR="00D141BF" w:rsidP="5202FDAA" w14:paraId="5A8BF49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141BF" w:rsidP="5202FDAA" w14:paraId="78FB6F9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141BF" w:rsidRPr="000E445E" w:rsidP="00D141BF" w14:paraId="7D2D67DD" w14:textId="70C048E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445E">
        <w:rPr>
          <w:sz w:val="24"/>
        </w:rPr>
        <w:t xml:space="preserve">This is the estimate of </w:t>
      </w:r>
      <w:r w:rsidR="005000B2">
        <w:rPr>
          <w:sz w:val="24"/>
        </w:rPr>
        <w:t xml:space="preserve">the </w:t>
      </w:r>
      <w:r w:rsidRPr="000E445E">
        <w:rPr>
          <w:sz w:val="24"/>
        </w:rPr>
        <w:t xml:space="preserve">burden for the data submission requirements for all hospitals that have an approved waiver. Once a waiver request is approved, Tier 1 hospitals are expected to submit data to CMS on a monthly basis and Tier 2 hospitals are expected to submit data to CMS on a weekly basis through the online portal. This data is a voluntary submission, but to date the data submission rate is 100%. Please see the data submission elements </w:t>
      </w:r>
      <w:r>
        <w:rPr>
          <w:sz w:val="24"/>
        </w:rPr>
        <w:t>in the attachment</w:t>
      </w:r>
    </w:p>
    <w:p w:rsidR="00D141BF" w:rsidRPr="000E445E" w:rsidP="00D141BF" w14:paraId="51F68BA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141BF" w:rsidRPr="008C1E50" w:rsidP="00D141BF" w14:paraId="7A58AE5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8C1E50">
        <w:rPr>
          <w:sz w:val="24"/>
        </w:rPr>
        <w:t>Time Burden for Acute Hospital Care at Home Waiver Requests</w:t>
      </w:r>
      <w:r w:rsidRPr="000E445E">
        <w:rPr>
          <w:sz w:val="24"/>
        </w:rPr>
        <w:t xml:space="preserve"> Data Submissions</w:t>
      </w:r>
      <w:r w:rsidRPr="008C1E50">
        <w:rPr>
          <w:sz w:val="24"/>
        </w:rPr>
        <w:t xml:space="preserve"> </w:t>
      </w:r>
    </w:p>
    <w:p w:rsidR="00D141BF" w:rsidRPr="008C1E50" w:rsidP="00D141BF" w14:paraId="3724C7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1E50">
        <w:rPr>
          <w:sz w:val="24"/>
        </w:rPr>
        <w:t xml:space="preserve"> </w:t>
      </w:r>
    </w:p>
    <w:p w:rsidR="00D141BF" w:rsidRPr="008C1E50" w:rsidP="00D141BF" w14:paraId="1913A913" w14:textId="6229020B">
      <w:pPr>
        <w:ind w:left="432"/>
      </w:pPr>
      <w:r w:rsidRPr="00CC190E">
        <w:rPr>
          <w:szCs w:val="20"/>
        </w:rPr>
        <w:t xml:space="preserve">We estimate the total annual hours to be </w:t>
      </w:r>
      <w:r w:rsidRPr="00CC190E" w:rsidR="005000B2">
        <w:rPr>
          <w:szCs w:val="20"/>
        </w:rPr>
        <w:t>1839</w:t>
      </w:r>
      <w:r w:rsidRPr="00CC190E">
        <w:rPr>
          <w:szCs w:val="20"/>
        </w:rPr>
        <w:t xml:space="preserve"> and the cost to be $1</w:t>
      </w:r>
      <w:r w:rsidRPr="00CC190E" w:rsidR="006116F5">
        <w:rPr>
          <w:szCs w:val="20"/>
        </w:rPr>
        <w:t>59,422.91</w:t>
      </w:r>
    </w:p>
    <w:tbl>
      <w:tblPr>
        <w:tblW w:w="9496" w:type="dxa"/>
        <w:tblInd w:w="602" w:type="dxa"/>
        <w:tblLayout w:type="fixed"/>
        <w:tblLook w:val="04A0"/>
      </w:tblPr>
      <w:tblGrid>
        <w:gridCol w:w="2374"/>
        <w:gridCol w:w="2374"/>
        <w:gridCol w:w="2374"/>
        <w:gridCol w:w="2374"/>
      </w:tblGrid>
      <w:tr w14:paraId="40E04210" w14:textId="77777777" w:rsidTr="00A57690">
        <w:tblPrEx>
          <w:tblW w:w="9496" w:type="dxa"/>
          <w:tblInd w:w="602" w:type="dxa"/>
          <w:tblLayout w:type="fixed"/>
          <w:tblLook w:val="04A0"/>
        </w:tblPrEx>
        <w:trPr>
          <w:trHeight w:val="435"/>
        </w:trPr>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2249FE31" w14:textId="77777777">
            <w:r w:rsidRPr="008C1E50">
              <w:rPr>
                <w:rFonts w:eastAsia="Calibri"/>
                <w:b/>
                <w:bCs/>
                <w:color w:val="000000"/>
              </w:rPr>
              <w:t>Description</w:t>
            </w:r>
          </w:p>
        </w:tc>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0BA971CD" w14:textId="77777777">
            <w:r w:rsidRPr="008C1E50">
              <w:rPr>
                <w:rFonts w:eastAsia="Calibri"/>
                <w:b/>
                <w:bCs/>
                <w:color w:val="000000"/>
              </w:rPr>
              <w:t>Tier 1</w:t>
            </w:r>
          </w:p>
        </w:tc>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7E7F6A55" w14:textId="77777777">
            <w:r w:rsidRPr="008C1E50">
              <w:rPr>
                <w:rFonts w:eastAsia="Calibri"/>
                <w:b/>
                <w:bCs/>
                <w:color w:val="000000"/>
              </w:rPr>
              <w:t>Tier 2</w:t>
            </w:r>
          </w:p>
        </w:tc>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791F4D2A" w14:textId="77777777">
            <w:r w:rsidRPr="008C1E50">
              <w:rPr>
                <w:rFonts w:eastAsia="Calibri"/>
                <w:b/>
                <w:bCs/>
                <w:color w:val="000000"/>
              </w:rPr>
              <w:t>Total</w:t>
            </w:r>
          </w:p>
        </w:tc>
      </w:tr>
      <w:tr w14:paraId="73DE2C42"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765338C0" w14:textId="77777777">
            <w:r w:rsidRPr="008C1E50">
              <w:rPr>
                <w:rFonts w:eastAsia="Calibri"/>
              </w:rPr>
              <w:t>Number of expected waiver respondents per year</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71B50EE4" w14:textId="5A404E4A">
            <w:r>
              <w:rPr>
                <w:rFonts w:eastAsia="Calibri"/>
              </w:rPr>
              <w:t>75</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4A092575" w14:textId="7008551B">
            <w:r>
              <w:rPr>
                <w:rFonts w:eastAsia="Calibri"/>
              </w:rPr>
              <w:t>407</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5BEED13E" w14:textId="7E611448">
            <w:r>
              <w:rPr>
                <w:rFonts w:eastAsia="Calibri"/>
              </w:rPr>
              <w:t>482</w:t>
            </w:r>
          </w:p>
        </w:tc>
      </w:tr>
      <w:tr w14:paraId="2B9C77B8"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D54E008" w14:textId="77777777">
            <w:r w:rsidRPr="008C1E50">
              <w:rPr>
                <w:rFonts w:eastAsia="Calibri"/>
              </w:rPr>
              <w:t>Number of expected total measures (responses) per respondent per year</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C2356B8" w14:textId="77777777">
            <w:r w:rsidRPr="000E445E">
              <w:rPr>
                <w:rFonts w:eastAsia="Calibri"/>
              </w:rPr>
              <w:t>12</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62C29314" w14:textId="77777777">
            <w:r w:rsidRPr="000E445E">
              <w:rPr>
                <w:rFonts w:eastAsia="Calibri"/>
              </w:rPr>
              <w:t>52</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5D9155FB" w14:textId="77777777">
            <w:r w:rsidRPr="000E445E">
              <w:rPr>
                <w:rFonts w:eastAsia="Calibri"/>
              </w:rPr>
              <w:t>64</w:t>
            </w:r>
          </w:p>
        </w:tc>
      </w:tr>
      <w:tr w14:paraId="08CA737D"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CA99926" w14:textId="77777777">
            <w:r w:rsidRPr="008C1E50">
              <w:rPr>
                <w:rFonts w:eastAsia="Calibri"/>
              </w:rPr>
              <w:t>Time Burden Estimates (hours)</w:t>
            </w:r>
            <w:r w:rsidRPr="008C1E50">
              <w:br/>
            </w:r>
            <w:r w:rsidRPr="008C1E50">
              <w:rPr>
                <w:rFonts w:eastAsia="Calibri"/>
              </w:rPr>
              <w:t xml:space="preserve">  (Total Respondents) x (Total Response/Respondent) x (5 minutes/Response) x (1 hour/60 minutes) = </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01650F57" w14:textId="6D540BE2">
            <w:r>
              <w:t>75</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1D0A297D" w14:textId="4C58D583">
            <w:r>
              <w:t>1764</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9E672AF" w14:textId="0703D889">
            <w:r>
              <w:t>1839</w:t>
            </w:r>
          </w:p>
        </w:tc>
      </w:tr>
      <w:tr w14:paraId="1B2D7BFB"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59BD3E50" w14:textId="77777777">
            <w:r w:rsidRPr="008C1E50">
              <w:rPr>
                <w:rFonts w:eastAsia="Calibri"/>
              </w:rPr>
              <w:t>Cost Burden Estimates</w:t>
            </w:r>
            <w:r w:rsidRPr="008C1E50">
              <w:br/>
            </w:r>
            <w:r w:rsidRPr="008C1E50">
              <w:rPr>
                <w:rFonts w:eastAsia="Calibri"/>
              </w:rPr>
              <w:t xml:space="preserve"> Total Cost = (Total Respondents) x ( Total Response/Respondent) x (5 minutes/Response) x (1 hour/60 minutes) x ($Average salary/hour) </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4C0C7896" w14:textId="3996C05C">
            <w:r w:rsidRPr="000E445E">
              <w:t>$6,</w:t>
            </w:r>
            <w:r w:rsidR="0091774E">
              <w:t>501.75</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157AFBD8" w14:textId="675E52ED">
            <w:r w:rsidRPr="000E445E">
              <w:t>$</w:t>
            </w:r>
            <w:r w:rsidR="0091774E">
              <w:t>152,921.16</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A1C4FC8" w14:textId="28A02F35">
            <w:r w:rsidRPr="000E445E">
              <w:t>$</w:t>
            </w:r>
            <w:r w:rsidR="0091774E">
              <w:t>159</w:t>
            </w:r>
            <w:r w:rsidR="0037503D">
              <w:t>,422.91</w:t>
            </w:r>
          </w:p>
        </w:tc>
      </w:tr>
    </w:tbl>
    <w:p w:rsidR="00D141BF" w:rsidRPr="008C1E50" w:rsidP="00D141BF" w14:paraId="3AFA1B3C" w14:textId="2B3BE6F5">
      <w:pPr>
        <w:ind w:left="432"/>
      </w:pPr>
      <w:r w:rsidRPr="008C1E50">
        <w:br/>
      </w:r>
      <w:r w:rsidRPr="008C1E50">
        <w:rPr>
          <w:szCs w:val="20"/>
        </w:rPr>
        <w:t>Assumptions: This model assumes that each hospital</w:t>
      </w:r>
      <w:r w:rsidRPr="000E445E">
        <w:rPr>
          <w:szCs w:val="20"/>
        </w:rPr>
        <w:t xml:space="preserve"> with an approved waiver (3</w:t>
      </w:r>
      <w:r w:rsidR="0037503D">
        <w:rPr>
          <w:szCs w:val="20"/>
        </w:rPr>
        <w:t>96</w:t>
      </w:r>
      <w:r w:rsidRPr="000E445E">
        <w:rPr>
          <w:szCs w:val="20"/>
        </w:rPr>
        <w:t xml:space="preserve">) </w:t>
      </w:r>
      <w:r w:rsidRPr="008C1E50">
        <w:rPr>
          <w:szCs w:val="20"/>
        </w:rPr>
        <w:t>would provide the data measures either weekly or monthly</w:t>
      </w:r>
      <w:r w:rsidR="001D5FB4">
        <w:rPr>
          <w:szCs w:val="20"/>
        </w:rPr>
        <w:t>,</w:t>
      </w:r>
      <w:r w:rsidRPr="008C1E50">
        <w:rPr>
          <w:szCs w:val="20"/>
        </w:rPr>
        <w:t xml:space="preserve"> depending on the Tier</w:t>
      </w:r>
      <w:r w:rsidRPr="000E445E">
        <w:rPr>
          <w:szCs w:val="20"/>
        </w:rPr>
        <w:t xml:space="preserve"> and the anticipated average of 83 additional waivers each year (17 Tier 1 and 6</w:t>
      </w:r>
      <w:r w:rsidR="0037503D">
        <w:rPr>
          <w:szCs w:val="20"/>
        </w:rPr>
        <w:t>9</w:t>
      </w:r>
      <w:r w:rsidRPr="000E445E">
        <w:rPr>
          <w:szCs w:val="20"/>
        </w:rPr>
        <w:t xml:space="preserve"> Tier 2)</w:t>
      </w:r>
      <w:r w:rsidRPr="008C1E50">
        <w:rPr>
          <w:szCs w:val="20"/>
        </w:rPr>
        <w:t xml:space="preserve">. For Tier 1 hospitals, the data measures are collected once monthly. For Tier 2 hospitals, data is submitted once weekly.  </w:t>
      </w:r>
      <w:r w:rsidRPr="000E445E">
        <w:rPr>
          <w:szCs w:val="20"/>
        </w:rPr>
        <w:t>The salary factor is $8</w:t>
      </w:r>
      <w:r w:rsidR="002A37DB">
        <w:rPr>
          <w:szCs w:val="20"/>
        </w:rPr>
        <w:t>6.69</w:t>
      </w:r>
      <w:r w:rsidRPr="000E445E">
        <w:rPr>
          <w:szCs w:val="20"/>
        </w:rPr>
        <w:t>/ hr because the same staff submitting the waiver request are submitting the data submissions.</w:t>
      </w:r>
    </w:p>
    <w:p w:rsidR="00D141BF" w:rsidP="5202FDAA" w14:paraId="7D8C7250"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2100E" w:rsidRPr="0002100E" w:rsidP="0002100E" w14:paraId="40C08275" w14:textId="31E3A45F">
      <w:pPr>
        <w:widowControl/>
        <w:autoSpaceDE/>
        <w:autoSpaceDN/>
        <w:adjustRightInd/>
        <w:ind w:left="420"/>
        <w:textAlignment w:val="baseline"/>
        <w:rPr>
          <w:rFonts w:ascii="Segoe UI" w:hAnsi="Segoe UI" w:cs="Segoe UI"/>
          <w:sz w:val="18"/>
          <w:szCs w:val="18"/>
        </w:rPr>
      </w:pPr>
      <w:r w:rsidRPr="0002100E">
        <w:rPr>
          <w:sz w:val="24"/>
        </w:rPr>
        <w:t xml:space="preserve">The total annual burden hours are </w:t>
      </w:r>
      <w:r w:rsidR="006133DC">
        <w:rPr>
          <w:sz w:val="24"/>
        </w:rPr>
        <w:t>1,947</w:t>
      </w:r>
      <w:r w:rsidRPr="0002100E">
        <w:rPr>
          <w:sz w:val="24"/>
        </w:rPr>
        <w:t xml:space="preserve"> (</w:t>
      </w:r>
      <w:r w:rsidR="006133DC">
        <w:rPr>
          <w:sz w:val="24"/>
        </w:rPr>
        <w:t>10</w:t>
      </w:r>
      <w:r w:rsidR="003C355E">
        <w:rPr>
          <w:sz w:val="24"/>
        </w:rPr>
        <w:t>8</w:t>
      </w:r>
      <w:r w:rsidRPr="0002100E">
        <w:rPr>
          <w:sz w:val="24"/>
        </w:rPr>
        <w:t xml:space="preserve"> [AHCAH waivers] + </w:t>
      </w:r>
      <w:r w:rsidR="007C18AE">
        <w:rPr>
          <w:sz w:val="24"/>
        </w:rPr>
        <w:t>1</w:t>
      </w:r>
      <w:r w:rsidR="001D5FB4">
        <w:rPr>
          <w:sz w:val="24"/>
        </w:rPr>
        <w:t>839</w:t>
      </w:r>
      <w:r w:rsidRPr="0002100E">
        <w:rPr>
          <w:sz w:val="24"/>
        </w:rPr>
        <w:t xml:space="preserve"> [AHCAH data submissions]). </w:t>
      </w:r>
    </w:p>
    <w:p w:rsidR="004626B9" w:rsidRPr="000328B6" w14:paraId="5587C7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0A6EC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13.</w:t>
      </w:r>
      <w:r w:rsidRPr="000328B6">
        <w:rPr>
          <w:sz w:val="24"/>
        </w:rPr>
        <w:tab/>
      </w:r>
      <w:r w:rsidRPr="000328B6">
        <w:rPr>
          <w:sz w:val="24"/>
          <w:u w:val="single"/>
        </w:rPr>
        <w:t>Capital Costs</w:t>
      </w:r>
    </w:p>
    <w:p w:rsidR="008F1EB4" w:rsidRPr="000328B6" w14:paraId="568F27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23E8" w:rsidRPr="000328B6" w:rsidP="00E174E4" w14:paraId="4CF54A9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Although there are no capital costs associated with this collection, these public-facing web forms provide an automated mechanism for submitting waiver requests, inquiries and operational status. </w:t>
      </w:r>
    </w:p>
    <w:p w:rsidR="008F1EB4" w:rsidRPr="000328B6" w14:paraId="793A77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30C9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14.</w:t>
      </w:r>
      <w:r w:rsidRPr="000328B6">
        <w:rPr>
          <w:sz w:val="24"/>
        </w:rPr>
        <w:tab/>
      </w:r>
      <w:r w:rsidRPr="000328B6">
        <w:rPr>
          <w:sz w:val="24"/>
          <w:u w:val="single"/>
        </w:rPr>
        <w:t>Cost to Federal Government</w:t>
      </w:r>
    </w:p>
    <w:p w:rsidR="008F1EB4" w:rsidRPr="000328B6" w14:paraId="24D742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E39B3" w:rsidRPr="00AE39B3" w:rsidP="00AE39B3" w14:paraId="799732E7" w14:textId="05259E11">
      <w:pPr>
        <w:widowControl/>
        <w:autoSpaceDE/>
        <w:autoSpaceDN/>
        <w:adjustRightInd/>
        <w:ind w:left="420"/>
        <w:textAlignment w:val="baseline"/>
        <w:rPr>
          <w:rFonts w:ascii="Segoe UI" w:hAnsi="Segoe UI" w:cs="Segoe UI"/>
          <w:sz w:val="18"/>
          <w:szCs w:val="18"/>
        </w:rPr>
      </w:pPr>
      <w:bookmarkStart w:id="1" w:name="_Hlk50617081"/>
      <w:r w:rsidRPr="00AE39B3">
        <w:rPr>
          <w:sz w:val="24"/>
        </w:rPr>
        <w:t>The CMS AHCAH Review Team are responsible for reviewing all waiver requests from submission through approval. We estimate that it would take 90 minutes of time by a CMS review team member to review the submission, communicate with the hospital to ensure the hospital meets the minimum requirements and can provide safe, quality care in the home.  </w:t>
      </w:r>
    </w:p>
    <w:p w:rsidR="00AE39B3" w:rsidRPr="00AE39B3" w:rsidP="00AE39B3" w14:paraId="3888C280" w14:textId="77777777">
      <w:pPr>
        <w:widowControl/>
        <w:autoSpaceDE/>
        <w:autoSpaceDN/>
        <w:adjustRightInd/>
        <w:textAlignment w:val="baseline"/>
        <w:rPr>
          <w:rFonts w:ascii="Segoe UI" w:hAnsi="Segoe UI" w:cs="Segoe UI"/>
          <w:sz w:val="18"/>
          <w:szCs w:val="18"/>
        </w:rPr>
      </w:pPr>
      <w:r w:rsidRPr="00AE39B3">
        <w:rPr>
          <w:sz w:val="24"/>
        </w:rPr>
        <w:t> </w:t>
      </w:r>
    </w:p>
    <w:p w:rsidR="00AE39B3" w:rsidRPr="00AE39B3" w:rsidP="00AE39B3" w14:paraId="719A88A1" w14:textId="77777777">
      <w:pPr>
        <w:widowControl/>
        <w:autoSpaceDE/>
        <w:autoSpaceDN/>
        <w:adjustRightInd/>
        <w:ind w:left="420"/>
        <w:textAlignment w:val="baseline"/>
        <w:rPr>
          <w:rFonts w:ascii="Segoe UI" w:hAnsi="Segoe UI" w:cs="Segoe UI"/>
          <w:sz w:val="18"/>
          <w:szCs w:val="18"/>
        </w:rPr>
      </w:pPr>
      <w:r w:rsidRPr="00AE39B3">
        <w:rPr>
          <w:sz w:val="24"/>
        </w:rPr>
        <w:t>We estimate that the cost associated with reviewing each waiver request form by the CMS reviewer would be $110.64. We note, these are ongoing requests.  </w:t>
      </w:r>
    </w:p>
    <w:p w:rsidR="00AE39B3" w:rsidRPr="00AE39B3" w:rsidP="00AE39B3" w14:paraId="50788A6A" w14:textId="77777777">
      <w:pPr>
        <w:widowControl/>
        <w:autoSpaceDE/>
        <w:autoSpaceDN/>
        <w:adjustRightInd/>
        <w:textAlignment w:val="baseline"/>
        <w:rPr>
          <w:rFonts w:ascii="Segoe UI" w:hAnsi="Segoe UI" w:cs="Segoe UI"/>
          <w:sz w:val="18"/>
          <w:szCs w:val="18"/>
        </w:rPr>
      </w:pPr>
      <w:r w:rsidRPr="00AE39B3">
        <w:rPr>
          <w:sz w:val="24"/>
        </w:rPr>
        <w:t> </w:t>
      </w:r>
    </w:p>
    <w:p w:rsidR="00AE39B3" w:rsidRPr="00AE39B3" w:rsidP="00AE39B3" w14:paraId="3B62DD26" w14:textId="762FA201">
      <w:pPr>
        <w:widowControl/>
        <w:autoSpaceDE/>
        <w:autoSpaceDN/>
        <w:adjustRightInd/>
        <w:ind w:left="420"/>
        <w:textAlignment w:val="baseline"/>
        <w:rPr>
          <w:rFonts w:ascii="Segoe UI" w:hAnsi="Segoe UI" w:cs="Segoe UI"/>
          <w:sz w:val="18"/>
          <w:szCs w:val="18"/>
        </w:rPr>
      </w:pPr>
      <w:r w:rsidRPr="00AE39B3">
        <w:rPr>
          <w:sz w:val="24"/>
        </w:rPr>
        <w:t>These costs were calculated using the annual salary of a GS-14, Step 5 reviewer in the Dallas-Ft. Worth locality, which is $153,432, and which equates to an average hourly salary of $73.76.  It takes the CMS reviewer 90</w:t>
      </w:r>
      <w:r w:rsidR="00807088">
        <w:rPr>
          <w:sz w:val="24"/>
        </w:rPr>
        <w:t xml:space="preserve"> </w:t>
      </w:r>
      <w:r w:rsidRPr="00AE39B3">
        <w:rPr>
          <w:sz w:val="24"/>
        </w:rPr>
        <w:t>min</w:t>
      </w:r>
      <w:r w:rsidR="00807088">
        <w:rPr>
          <w:sz w:val="24"/>
        </w:rPr>
        <w:t>utes</w:t>
      </w:r>
      <w:r w:rsidRPr="00AE39B3">
        <w:rPr>
          <w:sz w:val="24"/>
        </w:rPr>
        <w:t xml:space="preserve"> to review at a rate of $110.64 (</w:t>
      </w:r>
      <w:r w:rsidR="00807088">
        <w:rPr>
          <w:sz w:val="24"/>
        </w:rPr>
        <w:t>(</w:t>
      </w:r>
      <w:r w:rsidRPr="00AE39B3">
        <w:rPr>
          <w:sz w:val="24"/>
        </w:rPr>
        <w:t>.5 x $73.76 per hour</w:t>
      </w:r>
      <w:r w:rsidR="00807088">
        <w:rPr>
          <w:sz w:val="24"/>
        </w:rPr>
        <w:t>) + $73.76</w:t>
      </w:r>
      <w:r w:rsidRPr="00AE39B3">
        <w:rPr>
          <w:sz w:val="24"/>
        </w:rPr>
        <w:t>). The total annual cost is $9,515.04 ($110.64 x 86 forms). </w:t>
      </w:r>
    </w:p>
    <w:p w:rsidR="00AE39B3" w:rsidRPr="00AE39B3" w:rsidP="00AE39B3" w14:paraId="5ACAD012" w14:textId="77777777">
      <w:pPr>
        <w:widowControl/>
        <w:autoSpaceDE/>
        <w:autoSpaceDN/>
        <w:adjustRightInd/>
        <w:ind w:left="420"/>
        <w:textAlignment w:val="baseline"/>
        <w:rPr>
          <w:rFonts w:ascii="Segoe UI" w:hAnsi="Segoe UI" w:cs="Segoe UI"/>
          <w:sz w:val="18"/>
          <w:szCs w:val="18"/>
        </w:rPr>
      </w:pPr>
      <w:r w:rsidRPr="00AE39B3">
        <w:rPr>
          <w:sz w:val="24"/>
        </w:rPr>
        <w:t> </w:t>
      </w:r>
    </w:p>
    <w:p w:rsidR="00AE39B3" w:rsidRPr="00AE39B3" w:rsidP="00AE39B3" w14:paraId="319D3781" w14:textId="77777777">
      <w:pPr>
        <w:widowControl/>
        <w:autoSpaceDE/>
        <w:autoSpaceDN/>
        <w:adjustRightInd/>
        <w:ind w:left="420"/>
        <w:textAlignment w:val="baseline"/>
        <w:rPr>
          <w:rFonts w:ascii="Segoe UI" w:hAnsi="Segoe UI" w:cs="Segoe UI"/>
          <w:sz w:val="18"/>
          <w:szCs w:val="18"/>
        </w:rPr>
      </w:pPr>
      <w:r w:rsidRPr="00AE39B3">
        <w:rPr>
          <w:sz w:val="24"/>
        </w:rPr>
        <w:t>The total annual cost to the government is $9,515.04. </w:t>
      </w:r>
    </w:p>
    <w:p w:rsidR="00690E3A" w:rsidRPr="000328B6" w:rsidP="00690E3A" w14:paraId="5788E46F" w14:textId="77777777">
      <w:pPr>
        <w:pStyle w:val="CommentText"/>
        <w:rPr>
          <w:sz w:val="24"/>
          <w:szCs w:val="24"/>
        </w:rPr>
      </w:pPr>
    </w:p>
    <w:bookmarkEnd w:id="1"/>
    <w:p w:rsidR="008F1EB4" w:rsidRPr="000328B6" w14:paraId="39B05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15.</w:t>
      </w:r>
      <w:r w:rsidRPr="000328B6">
        <w:rPr>
          <w:sz w:val="24"/>
        </w:rPr>
        <w:tab/>
      </w:r>
      <w:bookmarkStart w:id="2" w:name="_Hlk50617392"/>
      <w:r w:rsidRPr="000328B6">
        <w:rPr>
          <w:sz w:val="24"/>
          <w:u w:val="single"/>
        </w:rPr>
        <w:t>Changes to Burden</w:t>
      </w:r>
    </w:p>
    <w:p w:rsidR="008F1EB4" w:rsidRPr="000328B6" w14:paraId="3C7EA7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2"/>
    <w:p w:rsidR="000518AD" w:rsidRPr="000518AD" w:rsidP="000518AD" w14:paraId="56893A5C" w14:textId="06F9F72F">
      <w:pPr>
        <w:widowControl/>
        <w:autoSpaceDE/>
        <w:autoSpaceDN/>
        <w:adjustRightInd/>
        <w:ind w:left="420"/>
        <w:textAlignment w:val="baseline"/>
        <w:rPr>
          <w:rFonts w:ascii="Segoe UI" w:hAnsi="Segoe UI" w:cs="Segoe UI"/>
          <w:sz w:val="18"/>
          <w:szCs w:val="18"/>
        </w:rPr>
      </w:pPr>
      <w:r w:rsidRPr="000518AD">
        <w:rPr>
          <w:sz w:val="24"/>
        </w:rPr>
        <w:t xml:space="preserve">The annual burden hours have increased from 1,521 to </w:t>
      </w:r>
      <w:r w:rsidR="006133DC">
        <w:rPr>
          <w:sz w:val="24"/>
        </w:rPr>
        <w:t>1,947</w:t>
      </w:r>
      <w:r w:rsidRPr="000518AD">
        <w:rPr>
          <w:sz w:val="24"/>
        </w:rPr>
        <w:t xml:space="preserve"> due to the increase number of waiver submissions and the addition of the data submission.  The wage rates have been updated to year 2023.  The annual cost has changed from $125,969.22 to $159,422.91.  </w:t>
      </w:r>
    </w:p>
    <w:p w:rsidR="000518AD" w:rsidRPr="000518AD" w:rsidP="000518AD" w14:paraId="6990B03D" w14:textId="77777777">
      <w:pPr>
        <w:widowControl/>
        <w:autoSpaceDE/>
        <w:autoSpaceDN/>
        <w:adjustRightInd/>
        <w:textAlignment w:val="baseline"/>
        <w:rPr>
          <w:rFonts w:ascii="Segoe UI" w:hAnsi="Segoe UI" w:cs="Segoe UI"/>
          <w:sz w:val="18"/>
          <w:szCs w:val="18"/>
        </w:rPr>
      </w:pPr>
      <w:r w:rsidRPr="000518AD">
        <w:rPr>
          <w:sz w:val="24"/>
        </w:rPr>
        <w:t> </w:t>
      </w:r>
    </w:p>
    <w:p w:rsidR="000518AD" w:rsidP="00A01AF6" w14:paraId="690515E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97BC4" w:rsidRPr="000328B6" w14:paraId="7194C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42A6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16.</w:t>
      </w:r>
      <w:r w:rsidRPr="000328B6">
        <w:rPr>
          <w:sz w:val="24"/>
        </w:rPr>
        <w:tab/>
      </w:r>
      <w:r w:rsidRPr="000328B6">
        <w:rPr>
          <w:sz w:val="24"/>
          <w:u w:val="single"/>
        </w:rPr>
        <w:t>Publication/Tabulation Dates</w:t>
      </w:r>
    </w:p>
    <w:p w:rsidR="008F1EB4" w:rsidRPr="000328B6" w:rsidP="69F1C886" w14:paraId="18C41472" w14:textId="3E5B520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rsidP="00AD779C" w14:paraId="35511116" w14:textId="77777777">
      <w:pPr>
        <w:tabs>
          <w:tab w:val="left" w:pos="0"/>
          <w:tab w:val="left" w:pos="432"/>
          <w:tab w:val="left" w:pos="720"/>
          <w:tab w:val="left" w:pos="1440"/>
          <w:tab w:val="left" w:pos="2160"/>
          <w:tab w:val="left" w:pos="2880"/>
          <w:tab w:val="left" w:pos="6480"/>
        </w:tabs>
        <w:rPr>
          <w:sz w:val="24"/>
        </w:rPr>
      </w:pPr>
      <w:r w:rsidRPr="000328B6">
        <w:rPr>
          <w:sz w:val="24"/>
        </w:rPr>
        <w:t xml:space="preserve">       </w:t>
      </w:r>
      <w:r w:rsidRPr="000328B6" w:rsidR="005314D5">
        <w:rPr>
          <w:sz w:val="24"/>
        </w:rPr>
        <w:t xml:space="preserve">There will be no publication. </w:t>
      </w:r>
      <w:r w:rsidRPr="000328B6" w:rsidR="00690E3A">
        <w:rPr>
          <w:sz w:val="24"/>
        </w:rPr>
        <w:tab/>
      </w:r>
    </w:p>
    <w:p w:rsidR="008F1EB4" w:rsidRPr="000328B6" w14:paraId="020951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A7F2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17.</w:t>
      </w:r>
      <w:r w:rsidRPr="000328B6">
        <w:rPr>
          <w:sz w:val="24"/>
        </w:rPr>
        <w:tab/>
      </w:r>
      <w:r w:rsidRPr="000328B6">
        <w:rPr>
          <w:sz w:val="24"/>
          <w:u w:val="single"/>
        </w:rPr>
        <w:t>Expiration Date</w:t>
      </w:r>
    </w:p>
    <w:p w:rsidR="000F3AF4" w:rsidRPr="000328B6" w14:paraId="3B7227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65A20" w:rsidRPr="000328B6" w14:paraId="255EC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0328B6">
        <w:rPr>
          <w:sz w:val="24"/>
        </w:rPr>
        <w:t>CMS will display the expiration date on the collection instrument</w:t>
      </w:r>
      <w:r w:rsidRPr="000328B6" w:rsidR="00FE646B">
        <w:rPr>
          <w:sz w:val="24"/>
        </w:rPr>
        <w:t>.</w:t>
      </w:r>
    </w:p>
    <w:p w:rsidR="00690E3A" w:rsidRPr="000328B6" w14:paraId="3FA56F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48A58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18.</w:t>
      </w:r>
      <w:r w:rsidRPr="000328B6">
        <w:rPr>
          <w:sz w:val="24"/>
        </w:rPr>
        <w:tab/>
      </w:r>
      <w:r w:rsidRPr="000328B6">
        <w:rPr>
          <w:sz w:val="24"/>
          <w:u w:val="single"/>
        </w:rPr>
        <w:t>Certification Statement</w:t>
      </w:r>
    </w:p>
    <w:p w:rsidR="008F1EB4" w:rsidRPr="000328B6" w14:paraId="12829A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6133DC" w14:paraId="4A248577" w14:textId="4CCCB8FA">
      <w:pPr>
        <w:widowControl/>
        <w:autoSpaceDE/>
        <w:autoSpaceDN/>
        <w:adjustRightInd/>
        <w:spacing w:before="100" w:beforeAutospacing="1" w:after="100" w:afterAutospacing="1"/>
        <w:rPr>
          <w:b/>
          <w:bCs/>
          <w:sz w:val="24"/>
          <w:u w:val="single"/>
        </w:rPr>
      </w:pPr>
      <w:r w:rsidRPr="000328B6">
        <w:rPr>
          <w:sz w:val="24"/>
        </w:rPr>
        <w:t>There are no exceptions.</w:t>
      </w:r>
    </w:p>
    <w:sectPr w:rsidSect="00EA5EBD">
      <w:footerReference w:type="default" r:id="rId7"/>
      <w:endnotePr>
        <w:numFmt w:val="decimal"/>
      </w:endnotePr>
      <w:type w:val="continuous"/>
      <w:pgSz w:w="12240" w:h="15840"/>
      <w:pgMar w:top="720" w:right="1296"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37" w14:paraId="373F314D" w14:textId="77777777">
    <w:pPr>
      <w:spacing w:line="240" w:lineRule="exact"/>
    </w:pPr>
  </w:p>
  <w:p w:rsidR="00690F37" w14:paraId="0E531ED5" w14:textId="6E9B394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414DF">
      <w:rPr>
        <w:noProof/>
        <w:sz w:val="24"/>
      </w:rPr>
      <w:t>6</w:t>
    </w:r>
    <w:r>
      <w:rPr>
        <w:sz w:val="24"/>
      </w:rPr>
      <w:fldChar w:fldCharType="end"/>
    </w:r>
  </w:p>
  <w:p w:rsidR="00690F37" w14:paraId="25D28C46"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0E31" w14:paraId="1805AF74" w14:textId="77777777">
      <w:r>
        <w:separator/>
      </w:r>
    </w:p>
  </w:footnote>
  <w:footnote w:type="continuationSeparator" w:id="1">
    <w:p w:rsidR="00CD0E31" w14:paraId="0B246F39" w14:textId="77777777">
      <w:r>
        <w:continuationSeparator/>
      </w:r>
    </w:p>
  </w:footnote>
  <w:footnote w:id="2">
    <w:p w:rsidR="6497831C" w:rsidP="00E13CE2" w14:paraId="3C93E144" w14:textId="0E6955ED">
      <w:pPr>
        <w:pStyle w:val="FootnoteText"/>
      </w:pPr>
      <w:r w:rsidRPr="6497831C">
        <w:rPr>
          <w:rStyle w:val="FootnoteReference"/>
        </w:rPr>
        <w:footnoteRef/>
      </w:r>
      <w:r w:rsidRPr="00F92B03">
        <w:t xml:space="preserve"> Tier 1 hospitals have provided hospital at home care to at least 25 inpatients prior to waiver approval and Tier 2 hospitals have provided inpatient care to less than 25 patients in the home prior to waiver approval. The difference in reporting requirements is based on the hospital’s experience. This was used as method to expedite more experienced hospitals during the PHE.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74991"/>
    <w:multiLevelType w:val="multilevel"/>
    <w:tmpl w:val="FF30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FC462A"/>
    <w:multiLevelType w:val="multilevel"/>
    <w:tmpl w:val="12943E6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12C37831"/>
    <w:multiLevelType w:val="multilevel"/>
    <w:tmpl w:val="5DE232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16683B2F"/>
    <w:multiLevelType w:val="hybridMultilevel"/>
    <w:tmpl w:val="6174FD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22C10251"/>
    <w:multiLevelType w:val="multilevel"/>
    <w:tmpl w:val="21DA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A6816DF"/>
    <w:multiLevelType w:val="hybridMultilevel"/>
    <w:tmpl w:val="FFE24B52"/>
    <w:lvl w:ilvl="0">
      <w:start w:val="1"/>
      <w:numFmt w:val="bullet"/>
      <w:lvlText w:val=""/>
      <w:lvlJc w:val="left"/>
      <w:pPr>
        <w:ind w:left="1152" w:hanging="360"/>
      </w:pPr>
      <w:rPr>
        <w:rFonts w:ascii="Symbol" w:hAnsi="Symbol" w:hint="default"/>
      </w:rPr>
    </w:lvl>
    <w:lvl w:ilvl="1">
      <w:start w:val="0"/>
      <w:numFmt w:val="bullet"/>
      <w:lvlText w:val="-"/>
      <w:lvlJc w:val="left"/>
      <w:pPr>
        <w:ind w:left="1872" w:hanging="360"/>
      </w:pPr>
      <w:rPr>
        <w:rFonts w:ascii="Times New Roman" w:eastAsia="Times New Roman" w:hAnsi="Times New Roman" w:cs="Times New Roman"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C7532A9"/>
    <w:multiLevelType w:val="multilevel"/>
    <w:tmpl w:val="8A2E8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BB5B3B"/>
    <w:multiLevelType w:val="multilevel"/>
    <w:tmpl w:val="824A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020DAB"/>
    <w:multiLevelType w:val="multilevel"/>
    <w:tmpl w:val="169EEB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40C206F8"/>
    <w:multiLevelType w:val="hybridMultilevel"/>
    <w:tmpl w:val="1DB2BEEA"/>
    <w:lvl w:ilvl="0">
      <w:start w:val="1"/>
      <w:numFmt w:val="bullet"/>
      <w:lvlText w:val="o"/>
      <w:lvlJc w:val="left"/>
      <w:pPr>
        <w:ind w:left="1872" w:hanging="360"/>
      </w:pPr>
      <w:rPr>
        <w:rFonts w:ascii="Courier New" w:hAnsi="Courier New" w:cs="Courier New"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0">
    <w:nsid w:val="5A152DF0"/>
    <w:multiLevelType w:val="multilevel"/>
    <w:tmpl w:val="FD58E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04754FA"/>
    <w:multiLevelType w:val="multilevel"/>
    <w:tmpl w:val="7690F2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67E635DF"/>
    <w:multiLevelType w:val="hybridMultilevel"/>
    <w:tmpl w:val="EAC677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4E70AE3"/>
    <w:multiLevelType w:val="hybridMultilevel"/>
    <w:tmpl w:val="EB0CBF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7DEC109D"/>
    <w:multiLevelType w:val="multilevel"/>
    <w:tmpl w:val="1A9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0110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960103">
    <w:abstractNumId w:val="14"/>
  </w:num>
  <w:num w:numId="3" w16cid:durableId="738745629">
    <w:abstractNumId w:val="7"/>
  </w:num>
  <w:num w:numId="4" w16cid:durableId="2053309859">
    <w:abstractNumId w:val="0"/>
  </w:num>
  <w:num w:numId="5" w16cid:durableId="93288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7631031">
    <w:abstractNumId w:val="6"/>
  </w:num>
  <w:num w:numId="7" w16cid:durableId="85114787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128337">
    <w:abstractNumId w:val="4"/>
  </w:num>
  <w:num w:numId="9" w16cid:durableId="180738437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1850560">
    <w:abstractNumId w:val="10"/>
  </w:num>
  <w:num w:numId="11" w16cid:durableId="940725267">
    <w:abstractNumId w:val="13"/>
  </w:num>
  <w:num w:numId="12" w16cid:durableId="1040132872">
    <w:abstractNumId w:val="3"/>
  </w:num>
  <w:num w:numId="13" w16cid:durableId="501094187">
    <w:abstractNumId w:val="5"/>
  </w:num>
  <w:num w:numId="14" w16cid:durableId="1264801731">
    <w:abstractNumId w:val="9"/>
  </w:num>
  <w:num w:numId="15" w16cid:durableId="1916937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2100E"/>
    <w:rsid w:val="00023E38"/>
    <w:rsid w:val="00030CCD"/>
    <w:rsid w:val="000328B6"/>
    <w:rsid w:val="00035750"/>
    <w:rsid w:val="00037634"/>
    <w:rsid w:val="00042AFB"/>
    <w:rsid w:val="0005184E"/>
    <w:rsid w:val="000518AD"/>
    <w:rsid w:val="00052490"/>
    <w:rsid w:val="00062C0E"/>
    <w:rsid w:val="000663A3"/>
    <w:rsid w:val="000664B5"/>
    <w:rsid w:val="00066E54"/>
    <w:rsid w:val="000751A4"/>
    <w:rsid w:val="00076372"/>
    <w:rsid w:val="00083912"/>
    <w:rsid w:val="000846F6"/>
    <w:rsid w:val="0008557E"/>
    <w:rsid w:val="000A2827"/>
    <w:rsid w:val="000B191F"/>
    <w:rsid w:val="000C1BEC"/>
    <w:rsid w:val="000C668A"/>
    <w:rsid w:val="000D0E39"/>
    <w:rsid w:val="000D244A"/>
    <w:rsid w:val="000E089D"/>
    <w:rsid w:val="000E3D7B"/>
    <w:rsid w:val="000E445E"/>
    <w:rsid w:val="000F3AF4"/>
    <w:rsid w:val="000F663A"/>
    <w:rsid w:val="000F6ADB"/>
    <w:rsid w:val="000F6CBA"/>
    <w:rsid w:val="00101F30"/>
    <w:rsid w:val="00106558"/>
    <w:rsid w:val="00122893"/>
    <w:rsid w:val="00150ACB"/>
    <w:rsid w:val="00156D90"/>
    <w:rsid w:val="001576F4"/>
    <w:rsid w:val="00161E8B"/>
    <w:rsid w:val="00167395"/>
    <w:rsid w:val="001675A7"/>
    <w:rsid w:val="001701FB"/>
    <w:rsid w:val="00170AF6"/>
    <w:rsid w:val="0017284A"/>
    <w:rsid w:val="0018013A"/>
    <w:rsid w:val="00182ACF"/>
    <w:rsid w:val="001931B6"/>
    <w:rsid w:val="00193582"/>
    <w:rsid w:val="001A166C"/>
    <w:rsid w:val="001A541B"/>
    <w:rsid w:val="001B2405"/>
    <w:rsid w:val="001B2F91"/>
    <w:rsid w:val="001C1C2A"/>
    <w:rsid w:val="001C3552"/>
    <w:rsid w:val="001C540F"/>
    <w:rsid w:val="001C613D"/>
    <w:rsid w:val="001D5FB4"/>
    <w:rsid w:val="001E4EE4"/>
    <w:rsid w:val="001E7AD5"/>
    <w:rsid w:val="001F15A5"/>
    <w:rsid w:val="001F3E88"/>
    <w:rsid w:val="001F700B"/>
    <w:rsid w:val="001F7BC4"/>
    <w:rsid w:val="00222850"/>
    <w:rsid w:val="00225C8C"/>
    <w:rsid w:val="00226ADA"/>
    <w:rsid w:val="0023034F"/>
    <w:rsid w:val="002337B9"/>
    <w:rsid w:val="002474E3"/>
    <w:rsid w:val="00250694"/>
    <w:rsid w:val="002533FE"/>
    <w:rsid w:val="002569E8"/>
    <w:rsid w:val="0027655A"/>
    <w:rsid w:val="002863DD"/>
    <w:rsid w:val="0029235E"/>
    <w:rsid w:val="002965E0"/>
    <w:rsid w:val="002966A3"/>
    <w:rsid w:val="002A37DB"/>
    <w:rsid w:val="002C04C1"/>
    <w:rsid w:val="002D2632"/>
    <w:rsid w:val="002E2AB6"/>
    <w:rsid w:val="002E5824"/>
    <w:rsid w:val="002E63A2"/>
    <w:rsid w:val="00302AE4"/>
    <w:rsid w:val="00314FB1"/>
    <w:rsid w:val="003235A9"/>
    <w:rsid w:val="00323F82"/>
    <w:rsid w:val="003333AC"/>
    <w:rsid w:val="00334362"/>
    <w:rsid w:val="003639DB"/>
    <w:rsid w:val="0036535D"/>
    <w:rsid w:val="0037109F"/>
    <w:rsid w:val="0037352E"/>
    <w:rsid w:val="0037503D"/>
    <w:rsid w:val="00375118"/>
    <w:rsid w:val="003801AA"/>
    <w:rsid w:val="00381CA0"/>
    <w:rsid w:val="003843C7"/>
    <w:rsid w:val="00384AE0"/>
    <w:rsid w:val="0038505E"/>
    <w:rsid w:val="00397A66"/>
    <w:rsid w:val="003B04C6"/>
    <w:rsid w:val="003B590E"/>
    <w:rsid w:val="003C16AA"/>
    <w:rsid w:val="003C3280"/>
    <w:rsid w:val="003C355E"/>
    <w:rsid w:val="003C7C1C"/>
    <w:rsid w:val="003D7E06"/>
    <w:rsid w:val="003E0687"/>
    <w:rsid w:val="003E0DAC"/>
    <w:rsid w:val="003E5DD5"/>
    <w:rsid w:val="004023E8"/>
    <w:rsid w:val="004113E6"/>
    <w:rsid w:val="004169E9"/>
    <w:rsid w:val="004311BB"/>
    <w:rsid w:val="00436F68"/>
    <w:rsid w:val="00440DC6"/>
    <w:rsid w:val="00442E3C"/>
    <w:rsid w:val="004459F1"/>
    <w:rsid w:val="00454629"/>
    <w:rsid w:val="004626B9"/>
    <w:rsid w:val="0047031F"/>
    <w:rsid w:val="00491E24"/>
    <w:rsid w:val="00493312"/>
    <w:rsid w:val="00494C08"/>
    <w:rsid w:val="004A2573"/>
    <w:rsid w:val="004B649C"/>
    <w:rsid w:val="004C060F"/>
    <w:rsid w:val="004C0CC6"/>
    <w:rsid w:val="004C5871"/>
    <w:rsid w:val="004C7A30"/>
    <w:rsid w:val="004D3C7C"/>
    <w:rsid w:val="004D4D24"/>
    <w:rsid w:val="005000B2"/>
    <w:rsid w:val="00500A3C"/>
    <w:rsid w:val="005022FB"/>
    <w:rsid w:val="00512731"/>
    <w:rsid w:val="00517AC2"/>
    <w:rsid w:val="00520BDB"/>
    <w:rsid w:val="0052775A"/>
    <w:rsid w:val="0053137F"/>
    <w:rsid w:val="005314D5"/>
    <w:rsid w:val="005378E8"/>
    <w:rsid w:val="005414DF"/>
    <w:rsid w:val="00545573"/>
    <w:rsid w:val="00555559"/>
    <w:rsid w:val="00557D47"/>
    <w:rsid w:val="005701D4"/>
    <w:rsid w:val="0058334B"/>
    <w:rsid w:val="0058574D"/>
    <w:rsid w:val="005A3D16"/>
    <w:rsid w:val="005A536F"/>
    <w:rsid w:val="005B0268"/>
    <w:rsid w:val="005B7673"/>
    <w:rsid w:val="005C143B"/>
    <w:rsid w:val="005D01AF"/>
    <w:rsid w:val="005D436B"/>
    <w:rsid w:val="005D57C1"/>
    <w:rsid w:val="005D62A2"/>
    <w:rsid w:val="005E0B47"/>
    <w:rsid w:val="005E103A"/>
    <w:rsid w:val="005E32E8"/>
    <w:rsid w:val="005E67C3"/>
    <w:rsid w:val="005F1C95"/>
    <w:rsid w:val="005F620E"/>
    <w:rsid w:val="0060035D"/>
    <w:rsid w:val="00600D16"/>
    <w:rsid w:val="0060720C"/>
    <w:rsid w:val="00610ABF"/>
    <w:rsid w:val="006116F5"/>
    <w:rsid w:val="006133DC"/>
    <w:rsid w:val="006142DB"/>
    <w:rsid w:val="006173D9"/>
    <w:rsid w:val="00621E50"/>
    <w:rsid w:val="006225A7"/>
    <w:rsid w:val="00623362"/>
    <w:rsid w:val="00627383"/>
    <w:rsid w:val="00630B10"/>
    <w:rsid w:val="00631010"/>
    <w:rsid w:val="00632325"/>
    <w:rsid w:val="006348AF"/>
    <w:rsid w:val="00636F01"/>
    <w:rsid w:val="00643AAF"/>
    <w:rsid w:val="00644D97"/>
    <w:rsid w:val="006473F1"/>
    <w:rsid w:val="00652AF1"/>
    <w:rsid w:val="0065561B"/>
    <w:rsid w:val="00665828"/>
    <w:rsid w:val="00665F48"/>
    <w:rsid w:val="00667CF2"/>
    <w:rsid w:val="00671600"/>
    <w:rsid w:val="0067629F"/>
    <w:rsid w:val="00682330"/>
    <w:rsid w:val="00684C43"/>
    <w:rsid w:val="00685E39"/>
    <w:rsid w:val="00690E3A"/>
    <w:rsid w:val="00690F37"/>
    <w:rsid w:val="006925CB"/>
    <w:rsid w:val="006955DC"/>
    <w:rsid w:val="00697B79"/>
    <w:rsid w:val="006A1C9C"/>
    <w:rsid w:val="006A5E4A"/>
    <w:rsid w:val="006B5027"/>
    <w:rsid w:val="006B5E30"/>
    <w:rsid w:val="006B61E3"/>
    <w:rsid w:val="006C23D6"/>
    <w:rsid w:val="006C37B5"/>
    <w:rsid w:val="006C558A"/>
    <w:rsid w:val="006C5C84"/>
    <w:rsid w:val="006D575A"/>
    <w:rsid w:val="006E0DBC"/>
    <w:rsid w:val="006E6E72"/>
    <w:rsid w:val="006E74B3"/>
    <w:rsid w:val="006F3B33"/>
    <w:rsid w:val="006F7AE5"/>
    <w:rsid w:val="007032FF"/>
    <w:rsid w:val="0071238C"/>
    <w:rsid w:val="007129A5"/>
    <w:rsid w:val="00713B90"/>
    <w:rsid w:val="0071709B"/>
    <w:rsid w:val="0073171F"/>
    <w:rsid w:val="00735370"/>
    <w:rsid w:val="0074773A"/>
    <w:rsid w:val="0075109E"/>
    <w:rsid w:val="00751BCC"/>
    <w:rsid w:val="00764036"/>
    <w:rsid w:val="00764B5D"/>
    <w:rsid w:val="00764EBF"/>
    <w:rsid w:val="00765F81"/>
    <w:rsid w:val="007677FE"/>
    <w:rsid w:val="007735EF"/>
    <w:rsid w:val="0077580E"/>
    <w:rsid w:val="007769DA"/>
    <w:rsid w:val="0077712C"/>
    <w:rsid w:val="007875AC"/>
    <w:rsid w:val="00797516"/>
    <w:rsid w:val="007A5FA7"/>
    <w:rsid w:val="007B3C08"/>
    <w:rsid w:val="007B71BC"/>
    <w:rsid w:val="007C18AE"/>
    <w:rsid w:val="007C333F"/>
    <w:rsid w:val="007D5B75"/>
    <w:rsid w:val="007D64AF"/>
    <w:rsid w:val="007E65DC"/>
    <w:rsid w:val="007F07C0"/>
    <w:rsid w:val="007F50C8"/>
    <w:rsid w:val="007F5DE2"/>
    <w:rsid w:val="00807088"/>
    <w:rsid w:val="008158F5"/>
    <w:rsid w:val="008240B2"/>
    <w:rsid w:val="00832FB2"/>
    <w:rsid w:val="008364F0"/>
    <w:rsid w:val="00836A4E"/>
    <w:rsid w:val="00842B7E"/>
    <w:rsid w:val="0084535B"/>
    <w:rsid w:val="0085077A"/>
    <w:rsid w:val="008619EF"/>
    <w:rsid w:val="008633DE"/>
    <w:rsid w:val="00864D16"/>
    <w:rsid w:val="00870D59"/>
    <w:rsid w:val="0088245D"/>
    <w:rsid w:val="00895DFE"/>
    <w:rsid w:val="008A567C"/>
    <w:rsid w:val="008A5BB7"/>
    <w:rsid w:val="008A6289"/>
    <w:rsid w:val="008A66E7"/>
    <w:rsid w:val="008A67DD"/>
    <w:rsid w:val="008B7CC5"/>
    <w:rsid w:val="008C1E50"/>
    <w:rsid w:val="008C250E"/>
    <w:rsid w:val="008E09D1"/>
    <w:rsid w:val="008F0DCC"/>
    <w:rsid w:val="008F1EB4"/>
    <w:rsid w:val="008F2E1A"/>
    <w:rsid w:val="009006B6"/>
    <w:rsid w:val="00900BE5"/>
    <w:rsid w:val="00904A47"/>
    <w:rsid w:val="00906752"/>
    <w:rsid w:val="00906C04"/>
    <w:rsid w:val="00906C15"/>
    <w:rsid w:val="00915D7B"/>
    <w:rsid w:val="00916998"/>
    <w:rsid w:val="0091774E"/>
    <w:rsid w:val="00920A50"/>
    <w:rsid w:val="0092741A"/>
    <w:rsid w:val="0093471B"/>
    <w:rsid w:val="00940AA8"/>
    <w:rsid w:val="00942C59"/>
    <w:rsid w:val="00944BF3"/>
    <w:rsid w:val="00947E24"/>
    <w:rsid w:val="00953B9B"/>
    <w:rsid w:val="00966341"/>
    <w:rsid w:val="00975E39"/>
    <w:rsid w:val="00983E87"/>
    <w:rsid w:val="009872E5"/>
    <w:rsid w:val="00992EC8"/>
    <w:rsid w:val="00993848"/>
    <w:rsid w:val="009960FA"/>
    <w:rsid w:val="00997BC4"/>
    <w:rsid w:val="009A15B8"/>
    <w:rsid w:val="009A261A"/>
    <w:rsid w:val="009B0697"/>
    <w:rsid w:val="009B2459"/>
    <w:rsid w:val="009B392E"/>
    <w:rsid w:val="009B7B04"/>
    <w:rsid w:val="009C31F9"/>
    <w:rsid w:val="009C5AAC"/>
    <w:rsid w:val="009C5B93"/>
    <w:rsid w:val="009E0106"/>
    <w:rsid w:val="009F01AA"/>
    <w:rsid w:val="009F334C"/>
    <w:rsid w:val="00A01AF6"/>
    <w:rsid w:val="00A055A0"/>
    <w:rsid w:val="00A06151"/>
    <w:rsid w:val="00A14BFC"/>
    <w:rsid w:val="00A40485"/>
    <w:rsid w:val="00A50A8F"/>
    <w:rsid w:val="00A53DB1"/>
    <w:rsid w:val="00A5679C"/>
    <w:rsid w:val="00A57690"/>
    <w:rsid w:val="00A65E52"/>
    <w:rsid w:val="00A66DA1"/>
    <w:rsid w:val="00A67BEE"/>
    <w:rsid w:val="00A70767"/>
    <w:rsid w:val="00A73DA8"/>
    <w:rsid w:val="00A7782A"/>
    <w:rsid w:val="00A8726D"/>
    <w:rsid w:val="00A87F9E"/>
    <w:rsid w:val="00A921F2"/>
    <w:rsid w:val="00A96929"/>
    <w:rsid w:val="00A97AF4"/>
    <w:rsid w:val="00AB51BD"/>
    <w:rsid w:val="00AC4F53"/>
    <w:rsid w:val="00AC550B"/>
    <w:rsid w:val="00AC5642"/>
    <w:rsid w:val="00AD49AE"/>
    <w:rsid w:val="00AD779C"/>
    <w:rsid w:val="00AE39B3"/>
    <w:rsid w:val="00AE58CD"/>
    <w:rsid w:val="00AE67F2"/>
    <w:rsid w:val="00AE7DE1"/>
    <w:rsid w:val="00B03397"/>
    <w:rsid w:val="00B0466F"/>
    <w:rsid w:val="00B07467"/>
    <w:rsid w:val="00B12126"/>
    <w:rsid w:val="00B16C0F"/>
    <w:rsid w:val="00B16D39"/>
    <w:rsid w:val="00B22DF3"/>
    <w:rsid w:val="00B259D1"/>
    <w:rsid w:val="00B25F86"/>
    <w:rsid w:val="00B2628C"/>
    <w:rsid w:val="00B36A2A"/>
    <w:rsid w:val="00B4002B"/>
    <w:rsid w:val="00B40A14"/>
    <w:rsid w:val="00B437F0"/>
    <w:rsid w:val="00B44FD9"/>
    <w:rsid w:val="00B5305D"/>
    <w:rsid w:val="00B53C39"/>
    <w:rsid w:val="00B67F11"/>
    <w:rsid w:val="00B721B6"/>
    <w:rsid w:val="00B77CCB"/>
    <w:rsid w:val="00B85319"/>
    <w:rsid w:val="00B86785"/>
    <w:rsid w:val="00B87047"/>
    <w:rsid w:val="00B922E3"/>
    <w:rsid w:val="00BB0BDD"/>
    <w:rsid w:val="00BB4A37"/>
    <w:rsid w:val="00BB4C3A"/>
    <w:rsid w:val="00BB7930"/>
    <w:rsid w:val="00BC147A"/>
    <w:rsid w:val="00BD2334"/>
    <w:rsid w:val="00BD75FB"/>
    <w:rsid w:val="00BE1840"/>
    <w:rsid w:val="00BE2942"/>
    <w:rsid w:val="00BE3801"/>
    <w:rsid w:val="00BF43C2"/>
    <w:rsid w:val="00C10EBC"/>
    <w:rsid w:val="00C23572"/>
    <w:rsid w:val="00C345C2"/>
    <w:rsid w:val="00C40E5A"/>
    <w:rsid w:val="00C65A20"/>
    <w:rsid w:val="00C709D8"/>
    <w:rsid w:val="00C73096"/>
    <w:rsid w:val="00C73819"/>
    <w:rsid w:val="00C811BC"/>
    <w:rsid w:val="00C82C35"/>
    <w:rsid w:val="00C83D41"/>
    <w:rsid w:val="00C94811"/>
    <w:rsid w:val="00C95673"/>
    <w:rsid w:val="00CA1227"/>
    <w:rsid w:val="00CB791F"/>
    <w:rsid w:val="00CC021C"/>
    <w:rsid w:val="00CC190E"/>
    <w:rsid w:val="00CC66CD"/>
    <w:rsid w:val="00CC6830"/>
    <w:rsid w:val="00CD0E31"/>
    <w:rsid w:val="00CE709B"/>
    <w:rsid w:val="00D0244F"/>
    <w:rsid w:val="00D03EBE"/>
    <w:rsid w:val="00D050CA"/>
    <w:rsid w:val="00D06B45"/>
    <w:rsid w:val="00D141BF"/>
    <w:rsid w:val="00D17B81"/>
    <w:rsid w:val="00D248A8"/>
    <w:rsid w:val="00D271F3"/>
    <w:rsid w:val="00D30ED8"/>
    <w:rsid w:val="00D34CB8"/>
    <w:rsid w:val="00D54572"/>
    <w:rsid w:val="00D71BAE"/>
    <w:rsid w:val="00D97F10"/>
    <w:rsid w:val="00DA0119"/>
    <w:rsid w:val="00DB2F1C"/>
    <w:rsid w:val="00DB4CF3"/>
    <w:rsid w:val="00DC20F1"/>
    <w:rsid w:val="00DC7EC1"/>
    <w:rsid w:val="00DD097C"/>
    <w:rsid w:val="00DD546B"/>
    <w:rsid w:val="00DF6803"/>
    <w:rsid w:val="00E0255B"/>
    <w:rsid w:val="00E06E89"/>
    <w:rsid w:val="00E13CE2"/>
    <w:rsid w:val="00E174E4"/>
    <w:rsid w:val="00E32AB0"/>
    <w:rsid w:val="00E336C3"/>
    <w:rsid w:val="00E37FDD"/>
    <w:rsid w:val="00E40025"/>
    <w:rsid w:val="00E41254"/>
    <w:rsid w:val="00E50AB9"/>
    <w:rsid w:val="00E53F0B"/>
    <w:rsid w:val="00E543F6"/>
    <w:rsid w:val="00E55440"/>
    <w:rsid w:val="00E611D5"/>
    <w:rsid w:val="00E704F6"/>
    <w:rsid w:val="00E71A88"/>
    <w:rsid w:val="00E72A3D"/>
    <w:rsid w:val="00E7566D"/>
    <w:rsid w:val="00E76E4D"/>
    <w:rsid w:val="00E92674"/>
    <w:rsid w:val="00EA235C"/>
    <w:rsid w:val="00EA5EBD"/>
    <w:rsid w:val="00EB20F7"/>
    <w:rsid w:val="00F046B2"/>
    <w:rsid w:val="00F10AD0"/>
    <w:rsid w:val="00F12359"/>
    <w:rsid w:val="00F149A0"/>
    <w:rsid w:val="00F15878"/>
    <w:rsid w:val="00F15E13"/>
    <w:rsid w:val="00F202C7"/>
    <w:rsid w:val="00F2063B"/>
    <w:rsid w:val="00F23793"/>
    <w:rsid w:val="00F27BE5"/>
    <w:rsid w:val="00F40CC1"/>
    <w:rsid w:val="00F42F04"/>
    <w:rsid w:val="00F44A8D"/>
    <w:rsid w:val="00F466C9"/>
    <w:rsid w:val="00F55419"/>
    <w:rsid w:val="00F5757D"/>
    <w:rsid w:val="00F576B5"/>
    <w:rsid w:val="00F6426E"/>
    <w:rsid w:val="00F65F44"/>
    <w:rsid w:val="00F72B00"/>
    <w:rsid w:val="00F763D7"/>
    <w:rsid w:val="00F7724C"/>
    <w:rsid w:val="00F82C86"/>
    <w:rsid w:val="00F919D8"/>
    <w:rsid w:val="00F92B03"/>
    <w:rsid w:val="00FA2758"/>
    <w:rsid w:val="00FA616D"/>
    <w:rsid w:val="00FB0561"/>
    <w:rsid w:val="00FC7A20"/>
    <w:rsid w:val="00FD0FD6"/>
    <w:rsid w:val="00FD1135"/>
    <w:rsid w:val="00FD1BCE"/>
    <w:rsid w:val="00FD4270"/>
    <w:rsid w:val="00FD5D9D"/>
    <w:rsid w:val="00FE1E34"/>
    <w:rsid w:val="00FE3631"/>
    <w:rsid w:val="00FE646B"/>
    <w:rsid w:val="00FF3051"/>
    <w:rsid w:val="029C8DE8"/>
    <w:rsid w:val="09E976AD"/>
    <w:rsid w:val="0C61C16F"/>
    <w:rsid w:val="0D489CEF"/>
    <w:rsid w:val="194831EA"/>
    <w:rsid w:val="310D8BBB"/>
    <w:rsid w:val="3D3AD501"/>
    <w:rsid w:val="4249649F"/>
    <w:rsid w:val="4776D791"/>
    <w:rsid w:val="492032E9"/>
    <w:rsid w:val="5202FDAA"/>
    <w:rsid w:val="5F6BF9CD"/>
    <w:rsid w:val="605E0E47"/>
    <w:rsid w:val="6497831C"/>
    <w:rsid w:val="6514BE0D"/>
    <w:rsid w:val="69F1C886"/>
    <w:rsid w:val="6AD0D172"/>
    <w:rsid w:val="75036120"/>
    <w:rsid w:val="765E16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3AE38F"/>
  <w15:chartTrackingRefBased/>
  <w15:docId w15:val="{9FC08C73-13A9-4887-8395-DBDFDD9A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11BB"/>
    <w:pPr>
      <w:widowControl w:val="0"/>
      <w:autoSpaceDE w:val="0"/>
      <w:autoSpaceDN w:val="0"/>
      <w:adjustRightInd w:val="0"/>
    </w:pPr>
    <w:rPr>
      <w:szCs w:val="24"/>
    </w:rPr>
  </w:style>
  <w:style w:type="paragraph" w:styleId="Heading1">
    <w:name w:val="heading 1"/>
    <w:basedOn w:val="Normal"/>
    <w:next w:val="Normal"/>
    <w:link w:val="Heading1Char"/>
    <w:qFormat/>
    <w:rsid w:val="00EA2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28C"/>
    <w:pPr>
      <w:keepNext/>
      <w:keepLines/>
      <w:widowControl/>
      <w:autoSpaceDE/>
      <w:autoSpaceDN/>
      <w:adjustRightInd/>
      <w:spacing w:before="40" w:line="259" w:lineRule="auto"/>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link w:val="BalloonTextChar"/>
    <w:rsid w:val="007735EF"/>
    <w:rPr>
      <w:rFonts w:ascii="Segoe UI" w:hAnsi="Segoe UI" w:cs="Segoe UI"/>
      <w:sz w:val="18"/>
      <w:szCs w:val="18"/>
    </w:rPr>
  </w:style>
  <w:style w:type="character" w:customStyle="1" w:styleId="BalloonTextChar">
    <w:name w:val="Balloon Text Char"/>
    <w:link w:val="BalloonText"/>
    <w:rsid w:val="007735EF"/>
    <w:rPr>
      <w:rFonts w:ascii="Segoe UI" w:hAnsi="Segoe UI" w:cs="Segoe UI"/>
      <w:sz w:val="18"/>
      <w:szCs w:val="18"/>
    </w:rPr>
  </w:style>
  <w:style w:type="character" w:styleId="CommentReference">
    <w:name w:val="annotation reference"/>
    <w:rsid w:val="00797516"/>
    <w:rPr>
      <w:sz w:val="16"/>
      <w:szCs w:val="16"/>
    </w:rPr>
  </w:style>
  <w:style w:type="paragraph" w:styleId="CommentText">
    <w:name w:val="annotation text"/>
    <w:aliases w:val="t"/>
    <w:basedOn w:val="Normal"/>
    <w:link w:val="CommentTextChar"/>
    <w:uiPriority w:val="99"/>
    <w:qFormat/>
    <w:rsid w:val="00797516"/>
    <w:rPr>
      <w:szCs w:val="20"/>
    </w:rPr>
  </w:style>
  <w:style w:type="character" w:customStyle="1" w:styleId="CommentTextChar">
    <w:name w:val="Comment Text Char"/>
    <w:aliases w:val="t Char"/>
    <w:basedOn w:val="DefaultParagraphFont"/>
    <w:link w:val="CommentText"/>
    <w:rsid w:val="00797516"/>
  </w:style>
  <w:style w:type="paragraph" w:styleId="CommentSubject">
    <w:name w:val="annotation subject"/>
    <w:basedOn w:val="CommentText"/>
    <w:next w:val="CommentText"/>
    <w:link w:val="CommentSubjectChar"/>
    <w:rsid w:val="00797516"/>
    <w:rPr>
      <w:b/>
      <w:bCs/>
    </w:rPr>
  </w:style>
  <w:style w:type="character" w:customStyle="1" w:styleId="CommentSubjectChar">
    <w:name w:val="Comment Subject Char"/>
    <w:link w:val="CommentSubject"/>
    <w:rsid w:val="00797516"/>
    <w:rPr>
      <w:b/>
      <w:bCs/>
    </w:rPr>
  </w:style>
  <w:style w:type="character" w:styleId="Hyperlink">
    <w:name w:val="Hyperlink"/>
    <w:uiPriority w:val="99"/>
    <w:unhideWhenUsed/>
    <w:rsid w:val="00690E3A"/>
    <w:rPr>
      <w:color w:val="0563C1"/>
      <w:u w:val="single"/>
    </w:rPr>
  </w:style>
  <w:style w:type="paragraph" w:styleId="FootnoteText">
    <w:name w:val="footnote text"/>
    <w:basedOn w:val="Normal"/>
    <w:link w:val="FootnoteTextChar"/>
    <w:uiPriority w:val="99"/>
    <w:unhideWhenUsed/>
    <w:rsid w:val="00690E3A"/>
    <w:pPr>
      <w:widowControl/>
      <w:autoSpaceDE/>
      <w:autoSpaceDN/>
      <w:adjustRightInd/>
    </w:pPr>
    <w:rPr>
      <w:szCs w:val="20"/>
    </w:rPr>
  </w:style>
  <w:style w:type="character" w:customStyle="1" w:styleId="FootnoteTextChar">
    <w:name w:val="Footnote Text Char"/>
    <w:basedOn w:val="DefaultParagraphFont"/>
    <w:link w:val="FootnoteText"/>
    <w:uiPriority w:val="99"/>
    <w:rsid w:val="00690E3A"/>
  </w:style>
  <w:style w:type="paragraph" w:styleId="Revision">
    <w:name w:val="Revision"/>
    <w:hidden/>
    <w:uiPriority w:val="99"/>
    <w:semiHidden/>
    <w:rsid w:val="00636F01"/>
    <w:rPr>
      <w:szCs w:val="24"/>
    </w:rPr>
  </w:style>
  <w:style w:type="character" w:customStyle="1" w:styleId="UnresolvedMention1">
    <w:name w:val="Unresolved Mention1"/>
    <w:uiPriority w:val="99"/>
    <w:semiHidden/>
    <w:unhideWhenUsed/>
    <w:rsid w:val="00FD1BCE"/>
    <w:rPr>
      <w:color w:val="605E5C"/>
      <w:shd w:val="clear" w:color="auto" w:fill="E1DFDD"/>
    </w:rPr>
  </w:style>
  <w:style w:type="table" w:styleId="GridTableLight">
    <w:name w:val="Grid Table Light"/>
    <w:basedOn w:val="TableNormal"/>
    <w:uiPriority w:val="40"/>
    <w:rsid w:val="00F2379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link w:val="Heading2"/>
    <w:uiPriority w:val="9"/>
    <w:rsid w:val="00B2628C"/>
    <w:rPr>
      <w:rFonts w:ascii="Calibri Light" w:hAnsi="Calibri Light"/>
      <w:color w:val="2E74B5"/>
      <w:sz w:val="26"/>
      <w:szCs w:val="26"/>
    </w:rPr>
  </w:style>
  <w:style w:type="character" w:styleId="FollowedHyperlink">
    <w:name w:val="FollowedHyperlink"/>
    <w:rsid w:val="006E6E72"/>
    <w:rPr>
      <w:color w:val="954F72"/>
      <w:u w:val="single"/>
    </w:rPr>
  </w:style>
  <w:style w:type="character" w:customStyle="1" w:styleId="UnresolvedMention2">
    <w:name w:val="Unresolved Mention2"/>
    <w:uiPriority w:val="99"/>
    <w:semiHidden/>
    <w:unhideWhenUsed/>
    <w:rsid w:val="00C83D4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EA235C"/>
    <w:pPr>
      <w:tabs>
        <w:tab w:val="center" w:pos="4680"/>
        <w:tab w:val="right" w:pos="9360"/>
      </w:tabs>
    </w:pPr>
  </w:style>
  <w:style w:type="character" w:customStyle="1" w:styleId="HeaderChar">
    <w:name w:val="Header Char"/>
    <w:basedOn w:val="DefaultParagraphFont"/>
    <w:link w:val="Header"/>
    <w:rsid w:val="00EA235C"/>
    <w:rPr>
      <w:szCs w:val="24"/>
    </w:rPr>
  </w:style>
  <w:style w:type="paragraph" w:styleId="Footer">
    <w:name w:val="footer"/>
    <w:basedOn w:val="Normal"/>
    <w:link w:val="FooterChar"/>
    <w:rsid w:val="00EA235C"/>
    <w:pPr>
      <w:tabs>
        <w:tab w:val="center" w:pos="4680"/>
        <w:tab w:val="right" w:pos="9360"/>
      </w:tabs>
    </w:pPr>
  </w:style>
  <w:style w:type="character" w:customStyle="1" w:styleId="FooterChar">
    <w:name w:val="Footer Char"/>
    <w:basedOn w:val="DefaultParagraphFont"/>
    <w:link w:val="Footer"/>
    <w:rsid w:val="00EA235C"/>
    <w:rPr>
      <w:szCs w:val="24"/>
    </w:rPr>
  </w:style>
  <w:style w:type="character" w:customStyle="1" w:styleId="Heading1Char">
    <w:name w:val="Heading 1 Char"/>
    <w:basedOn w:val="DefaultParagraphFont"/>
    <w:link w:val="Heading1"/>
    <w:rsid w:val="00EA235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A3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qualitynet.cms.gov/acute-hospital-care-at-home"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40E8-CEEC-4D33-B143-D1813C4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2101</Words>
  <Characters>11388</Characters>
  <Application>Microsoft Office Word</Application>
  <DocSecurity>0</DocSecurity>
  <Lines>392</Lines>
  <Paragraphs>168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7</cp:revision>
  <cp:lastPrinted>2020-10-06T12:48:00Z</cp:lastPrinted>
  <dcterms:created xsi:type="dcterms:W3CDTF">2026-04-09T12:27:00Z</dcterms:created>
  <dcterms:modified xsi:type="dcterms:W3CDTF">2026-07-02T12:20:00Z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9d1e73ae-b4c8-4447-be69-05ba214e040c</vt:lpwstr>
  </property>
  <property fmtid="{D5CDD505-2E9C-101B-9397-08002B2CF9AE}" pid="3" name="_NewReviewCycle">
    <vt:lpwstr/>
  </property>
</Properties>
</file>