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821D5" w:rsidP="00B821D5" w14:paraId="7E368D12" w14:textId="77777777">
      <w:pPr>
        <w:jc w:val="center"/>
        <w:rPr>
          <w:rFonts w:ascii="Times New Roman" w:hAnsi="Times New Roman"/>
          <w:b/>
        </w:rPr>
      </w:pPr>
      <w:r w:rsidRPr="00E155F2">
        <w:rPr>
          <w:rFonts w:ascii="Times New Roman" w:hAnsi="Times New Roman"/>
          <w:b/>
        </w:rPr>
        <w:t xml:space="preserve">Supporting Statement for </w:t>
      </w:r>
      <w:r>
        <w:rPr>
          <w:rFonts w:ascii="Times New Roman" w:hAnsi="Times New Roman"/>
          <w:b/>
        </w:rPr>
        <w:t xml:space="preserve">Form </w:t>
      </w:r>
      <w:r w:rsidRPr="00E155F2">
        <w:rPr>
          <w:rFonts w:ascii="Times New Roman" w:hAnsi="Times New Roman"/>
          <w:b/>
        </w:rPr>
        <w:t>SSA-640</w:t>
      </w:r>
      <w:r w:rsidRPr="00E155F2">
        <w:rPr>
          <w:rFonts w:ascii="Times New Roman" w:hAnsi="Times New Roman"/>
          <w:b/>
        </w:rPr>
        <w:br/>
        <w:t>Financial Disclosure for Civil Monetary Penalty (CMP) Debt</w:t>
      </w:r>
      <w:r w:rsidRPr="00E155F2">
        <w:rPr>
          <w:rFonts w:ascii="Times New Roman" w:hAnsi="Times New Roman"/>
          <w:b/>
        </w:rPr>
        <w:br/>
        <w:t>20 CFR 498</w:t>
      </w:r>
      <w:r w:rsidRPr="00E155F2">
        <w:rPr>
          <w:rFonts w:ascii="Times New Roman" w:hAnsi="Times New Roman"/>
          <w:b/>
        </w:rPr>
        <w:br/>
        <w:t>OMB No. 0960-</w:t>
      </w:r>
      <w:r>
        <w:rPr>
          <w:rFonts w:ascii="Times New Roman" w:hAnsi="Times New Roman"/>
          <w:b/>
        </w:rPr>
        <w:t>0776</w:t>
      </w:r>
    </w:p>
    <w:p w:rsidR="00B821D5" w:rsidRPr="00E155F2" w:rsidP="00B821D5" w14:paraId="0DCEE899" w14:textId="77777777">
      <w:pPr>
        <w:jc w:val="center"/>
        <w:rPr>
          <w:rFonts w:ascii="Times New Roman" w:hAnsi="Times New Roman"/>
          <w:b/>
        </w:rPr>
      </w:pPr>
    </w:p>
    <w:p w:rsidR="00A45D82" w:rsidRPr="002321B0" w:rsidP="00A45D82" w14:paraId="55BDEF33" w14:textId="77777777">
      <w:pPr>
        <w:rPr>
          <w:rFonts w:ascii="Times New Roman" w:hAnsi="Times New Roman"/>
          <w:b/>
        </w:rPr>
      </w:pPr>
      <w:r w:rsidRPr="00503A57">
        <w:rPr>
          <w:rFonts w:ascii="Times New Roman" w:hAnsi="Times New Roman"/>
          <w:b/>
        </w:rPr>
        <w:t>A</w:t>
      </w:r>
      <w:r w:rsidRPr="002321B0">
        <w:rPr>
          <w:rFonts w:ascii="Times New Roman" w:hAnsi="Times New Roman"/>
          <w:b/>
        </w:rPr>
        <w:t xml:space="preserve">.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728E6B83" w14:textId="77777777">
      <w:pPr>
        <w:pStyle w:val="Header"/>
        <w:tabs>
          <w:tab w:val="clear" w:pos="4320"/>
          <w:tab w:val="clear" w:pos="8640"/>
        </w:tabs>
        <w:rPr>
          <w:rFonts w:ascii="Times New Roman" w:hAnsi="Times New Roman"/>
        </w:rPr>
      </w:pPr>
    </w:p>
    <w:p w:rsidR="00476028" w:rsidP="004C51D7" w14:paraId="5CBF87AF" w14:textId="77777777">
      <w:pPr>
        <w:numPr>
          <w:ilvl w:val="0"/>
          <w:numId w:val="5"/>
        </w:numPr>
        <w:ind w:firstLine="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B821D5" w:rsidP="000C5688" w14:paraId="3AC53198" w14:textId="0E19B595">
      <w:pPr>
        <w:widowControl/>
        <w:ind w:left="720"/>
        <w:rPr>
          <w:rFonts w:ascii="Times New Roman" w:hAnsi="Times New Roman"/>
          <w:iCs/>
          <w:snapToGrid/>
        </w:rPr>
      </w:pPr>
      <w:r w:rsidRPr="000C5688">
        <w:rPr>
          <w:rFonts w:ascii="Times New Roman" w:hAnsi="Times New Roman"/>
          <w:snapToGrid/>
        </w:rPr>
        <w:t>Section</w:t>
      </w:r>
      <w:r w:rsidR="005D3F46">
        <w:rPr>
          <w:rFonts w:ascii="Times New Roman" w:hAnsi="Times New Roman"/>
          <w:snapToGrid/>
        </w:rPr>
        <w:t xml:space="preserve"> 204 (a) and Section</w:t>
      </w:r>
      <w:r w:rsidRPr="000C5688">
        <w:rPr>
          <w:rFonts w:ascii="Times New Roman" w:hAnsi="Times New Roman"/>
          <w:snapToGrid/>
        </w:rPr>
        <w:t xml:space="preserve"> </w:t>
      </w:r>
      <w:r w:rsidRPr="000C5688">
        <w:rPr>
          <w:rFonts w:ascii="Times New Roman" w:hAnsi="Times New Roman"/>
          <w:i/>
          <w:snapToGrid/>
        </w:rPr>
        <w:t>1129</w:t>
      </w:r>
      <w:r w:rsidRPr="000C5688">
        <w:rPr>
          <w:rFonts w:ascii="Times New Roman" w:hAnsi="Times New Roman"/>
          <w:snapToGrid/>
        </w:rPr>
        <w:t xml:space="preserve"> </w:t>
      </w:r>
      <w:r w:rsidRPr="000C5688">
        <w:rPr>
          <w:rFonts w:ascii="Times New Roman" w:hAnsi="Times New Roman"/>
          <w:iCs/>
          <w:snapToGrid/>
        </w:rPr>
        <w:t>of the</w:t>
      </w:r>
      <w:r w:rsidRPr="000C5688">
        <w:rPr>
          <w:rFonts w:ascii="Times New Roman" w:hAnsi="Times New Roman"/>
          <w:i/>
          <w:snapToGrid/>
        </w:rPr>
        <w:t xml:space="preserve"> Social Security Act (Act)</w:t>
      </w:r>
      <w:r w:rsidRPr="000C5688">
        <w:rPr>
          <w:rFonts w:ascii="Times New Roman" w:hAnsi="Times New Roman"/>
          <w:snapToGrid/>
        </w:rPr>
        <w:t xml:space="preserve"> </w:t>
      </w:r>
      <w:r w:rsidRPr="000C5688">
        <w:rPr>
          <w:rFonts w:ascii="Times New Roman" w:hAnsi="Times New Roman"/>
          <w:iCs/>
          <w:snapToGrid/>
        </w:rPr>
        <w:t>governs the imposition of civil monetary penalties (CMP) and assessments on individuals for fraudulent conduct related to Social Security Administration (SSA</w:t>
      </w:r>
      <w:r w:rsidR="00882195">
        <w:rPr>
          <w:rFonts w:ascii="Times New Roman" w:hAnsi="Times New Roman"/>
          <w:iCs/>
          <w:snapToGrid/>
        </w:rPr>
        <w:t xml:space="preserve">) </w:t>
      </w:r>
      <w:r w:rsidRPr="000C5688">
        <w:rPr>
          <w:rFonts w:ascii="Times New Roman" w:hAnsi="Times New Roman"/>
          <w:iCs/>
          <w:snapToGrid/>
        </w:rPr>
        <w:t>administered programs.  This section lists the methods SSA uses to collect the CMP, including benefit withholding and installment agreements.  For SSA to determine a monthly repayment amount, the agency needs financial information from the CMP</w:t>
      </w:r>
      <w:r w:rsidRPr="000C5688">
        <w:rPr>
          <w:rFonts w:ascii="Times New Roman" w:hAnsi="Times New Roman"/>
          <w:iCs/>
          <w:snapToGrid/>
        </w:rPr>
        <w:noBreakHyphen/>
        <w:t xml:space="preserve">imposed individual, which SSA captures using the SSA-640, Financial Disclosure for CMP Debt.  The policies for implementing Section </w:t>
      </w:r>
      <w:r w:rsidRPr="000C5688">
        <w:rPr>
          <w:rFonts w:ascii="Times New Roman" w:hAnsi="Times New Roman"/>
          <w:i/>
          <w:iCs/>
          <w:snapToGrid/>
        </w:rPr>
        <w:t>1129</w:t>
      </w:r>
      <w:r w:rsidRPr="000C5688">
        <w:rPr>
          <w:rFonts w:ascii="Times New Roman" w:hAnsi="Times New Roman"/>
          <w:iCs/>
          <w:snapToGrid/>
        </w:rPr>
        <w:t xml:space="preserve"> of the </w:t>
      </w:r>
      <w:r w:rsidRPr="000C5688">
        <w:rPr>
          <w:rFonts w:ascii="Times New Roman" w:hAnsi="Times New Roman"/>
          <w:i/>
          <w:iCs/>
          <w:snapToGrid/>
        </w:rPr>
        <w:t>Act</w:t>
      </w:r>
      <w:r w:rsidRPr="000C5688">
        <w:rPr>
          <w:rFonts w:ascii="Times New Roman" w:hAnsi="Times New Roman"/>
          <w:iCs/>
          <w:snapToGrid/>
        </w:rPr>
        <w:t xml:space="preserve"> are in </w:t>
      </w:r>
      <w:r w:rsidRPr="000C5688">
        <w:rPr>
          <w:rFonts w:ascii="Times New Roman" w:hAnsi="Times New Roman"/>
          <w:i/>
          <w:iCs/>
          <w:snapToGrid/>
        </w:rPr>
        <w:t>20 CFR 498</w:t>
      </w:r>
      <w:r w:rsidRPr="000C5688">
        <w:rPr>
          <w:rFonts w:ascii="Times New Roman" w:hAnsi="Times New Roman"/>
          <w:iCs/>
          <w:snapToGrid/>
        </w:rPr>
        <w:t xml:space="preserve"> of the </w:t>
      </w:r>
      <w:r w:rsidRPr="000C5688">
        <w:rPr>
          <w:rFonts w:ascii="Times New Roman" w:hAnsi="Times New Roman"/>
          <w:i/>
          <w:iCs/>
          <w:snapToGrid/>
        </w:rPr>
        <w:t>Code of Federal Regulations</w:t>
      </w:r>
      <w:r w:rsidRPr="000C5688">
        <w:rPr>
          <w:rFonts w:ascii="Times New Roman" w:hAnsi="Times New Roman"/>
          <w:iCs/>
          <w:snapToGrid/>
        </w:rPr>
        <w:t xml:space="preserve">.  </w:t>
      </w:r>
    </w:p>
    <w:p w:rsidR="008D2CA2" w:rsidP="005D3F46" w14:paraId="0B8D941D" w14:textId="76A42180">
      <w:pPr>
        <w:widowControl/>
        <w:ind w:left="720"/>
        <w:rPr>
          <w:rFonts w:ascii="Times New Roman" w:hAnsi="Times New Roman"/>
        </w:rPr>
      </w:pPr>
      <w:r>
        <w:rPr>
          <w:rFonts w:ascii="Times New Roman" w:hAnsi="Times New Roman"/>
        </w:rPr>
        <w:t xml:space="preserve"> </w:t>
      </w:r>
    </w:p>
    <w:p w:rsidR="002E18CF" w:rsidRPr="00C5283B" w:rsidP="008C1254" w14:paraId="5177D794" w14:textId="77777777">
      <w:pPr>
        <w:numPr>
          <w:ilvl w:val="0"/>
          <w:numId w:val="2"/>
        </w:numPr>
        <w:rPr>
          <w:rFonts w:ascii="Times New Roman" w:hAnsi="Times New Roman"/>
        </w:rPr>
      </w:pPr>
      <w:r>
        <w:rPr>
          <w:rFonts w:ascii="Times New Roman" w:hAnsi="Times New Roman"/>
          <w:b/>
        </w:rPr>
        <w:t>Description of Collection</w:t>
      </w:r>
    </w:p>
    <w:p w:rsidR="005953E4" w:rsidP="005953E4" w14:paraId="615D4651" w14:textId="299A4D3D">
      <w:pPr>
        <w:pStyle w:val="ListParagraph"/>
        <w:rPr>
          <w:rFonts w:ascii="Times New Roman" w:hAnsi="Times New Roman"/>
        </w:rPr>
      </w:pPr>
      <w:r w:rsidRPr="00F77841">
        <w:rPr>
          <w:rFonts w:ascii="Times New Roman" w:hAnsi="Times New Roman"/>
        </w:rPr>
        <w:t>SSA refers a person suspected of fraud or other misconduct to the Office of the Inspector General (OIG).</w:t>
      </w:r>
      <w:r>
        <w:rPr>
          <w:rFonts w:ascii="Times New Roman" w:hAnsi="Times New Roman"/>
        </w:rPr>
        <w:t xml:space="preserve">  </w:t>
      </w:r>
      <w:r w:rsidRPr="009C1139">
        <w:rPr>
          <w:rFonts w:ascii="Times New Roman" w:hAnsi="Times New Roman"/>
        </w:rPr>
        <w:t xml:space="preserve">If OIG investigates and validates that fraud or other misconduct occurred, </w:t>
      </w:r>
      <w:r>
        <w:rPr>
          <w:rFonts w:ascii="Times New Roman" w:hAnsi="Times New Roman"/>
        </w:rPr>
        <w:t xml:space="preserve">but the </w:t>
      </w:r>
      <w:r w:rsidRPr="009C1139">
        <w:rPr>
          <w:rFonts w:ascii="Times New Roman" w:hAnsi="Times New Roman"/>
        </w:rPr>
        <w:t>U.S. Attorney declines to prosecute and issues the formal “declination” required by statute, OIG may refer the case to its Office of the Counsel for Investigations Enforcement (OCIE)</w:t>
      </w:r>
      <w:r>
        <w:rPr>
          <w:rFonts w:ascii="Times New Roman" w:hAnsi="Times New Roman"/>
        </w:rPr>
        <w:t xml:space="preserve">, which in turn may impose </w:t>
      </w:r>
      <w:r w:rsidRPr="009C1139">
        <w:rPr>
          <w:rFonts w:ascii="Times New Roman" w:hAnsi="Times New Roman"/>
        </w:rPr>
        <w:t>a Civil Monetary Penalty (CMP)</w:t>
      </w:r>
      <w:r>
        <w:rPr>
          <w:rFonts w:ascii="Times New Roman" w:hAnsi="Times New Roman"/>
        </w:rPr>
        <w:t xml:space="preserve"> after an adjudication</w:t>
      </w:r>
      <w:r w:rsidRPr="009C1139">
        <w:rPr>
          <w:rFonts w:ascii="Times New Roman" w:hAnsi="Times New Roman"/>
        </w:rPr>
        <w:t>.</w:t>
      </w:r>
    </w:p>
    <w:p w:rsidR="005953E4" w:rsidRPr="005953E4" w:rsidP="005953E4" w14:paraId="525F7C33" w14:textId="77777777">
      <w:pPr>
        <w:pStyle w:val="ListParagraph"/>
        <w:rPr>
          <w:rFonts w:ascii="Times New Roman" w:hAnsi="Times New Roman"/>
        </w:rPr>
      </w:pPr>
    </w:p>
    <w:p w:rsidR="005953E4" w:rsidRPr="005953E4" w:rsidP="005953E4" w14:paraId="342C8426" w14:textId="370DE630">
      <w:pPr>
        <w:pStyle w:val="ListParagraph"/>
        <w:rPr>
          <w:rFonts w:ascii="Times New Roman" w:hAnsi="Times New Roman"/>
        </w:rPr>
      </w:pPr>
      <w:r w:rsidRPr="005953E4">
        <w:rPr>
          <w:rFonts w:ascii="Times New Roman" w:hAnsi="Times New Roman"/>
        </w:rPr>
        <w:t>The law authorizes the Commissioner</w:t>
      </w:r>
      <w:r w:rsidR="00D302DE">
        <w:rPr>
          <w:rFonts w:ascii="Times New Roman" w:hAnsi="Times New Roman"/>
        </w:rPr>
        <w:t xml:space="preserve"> of SSA</w:t>
      </w:r>
      <w:r w:rsidRPr="005953E4">
        <w:rPr>
          <w:rFonts w:ascii="Times New Roman" w:hAnsi="Times New Roman"/>
        </w:rPr>
        <w:t xml:space="preserve"> to impose an assessment equal to or up to twice the amount of the overpayment that </w:t>
      </w:r>
      <w:r w:rsidR="00FE12D6">
        <w:rPr>
          <w:rFonts w:ascii="Times New Roman" w:hAnsi="Times New Roman"/>
        </w:rPr>
        <w:t>results from</w:t>
      </w:r>
      <w:r w:rsidR="001B6114">
        <w:rPr>
          <w:rFonts w:ascii="Times New Roman" w:hAnsi="Times New Roman"/>
        </w:rPr>
        <w:t xml:space="preserve"> a</w:t>
      </w:r>
      <w:r w:rsidR="00FE12D6">
        <w:rPr>
          <w:rFonts w:ascii="Times New Roman" w:hAnsi="Times New Roman"/>
        </w:rPr>
        <w:t xml:space="preserve"> </w:t>
      </w:r>
      <w:r w:rsidRPr="005953E4">
        <w:rPr>
          <w:rFonts w:ascii="Times New Roman" w:hAnsi="Times New Roman"/>
        </w:rPr>
        <w:t xml:space="preserve">false or misleading statement, representation, omission of fact, or misuse of benefits. </w:t>
      </w:r>
      <w:r>
        <w:rPr>
          <w:rFonts w:ascii="Times New Roman" w:hAnsi="Times New Roman"/>
        </w:rPr>
        <w:t xml:space="preserve"> </w:t>
      </w:r>
      <w:r w:rsidRPr="005953E4">
        <w:rPr>
          <w:rFonts w:ascii="Times New Roman" w:hAnsi="Times New Roman"/>
        </w:rPr>
        <w:t>Once</w:t>
      </w:r>
      <w:r w:rsidR="00FE12D6">
        <w:rPr>
          <w:rFonts w:ascii="Times New Roman" w:hAnsi="Times New Roman"/>
        </w:rPr>
        <w:t xml:space="preserve"> SSA imposes and finalizes </w:t>
      </w:r>
      <w:r w:rsidRPr="005953E4">
        <w:rPr>
          <w:rFonts w:ascii="Times New Roman" w:hAnsi="Times New Roman"/>
        </w:rPr>
        <w:t xml:space="preserve"> the CMP</w:t>
      </w:r>
      <w:r w:rsidR="00FE12D6">
        <w:rPr>
          <w:rFonts w:ascii="Times New Roman" w:hAnsi="Times New Roman"/>
        </w:rPr>
        <w:t xml:space="preserve">, SSA’s </w:t>
      </w:r>
      <w:r w:rsidRPr="005953E4">
        <w:rPr>
          <w:rFonts w:ascii="Times New Roman" w:hAnsi="Times New Roman"/>
        </w:rPr>
        <w:t>Oper</w:t>
      </w:r>
      <w:r w:rsidR="001B6114">
        <w:rPr>
          <w:rFonts w:ascii="Times New Roman" w:hAnsi="Times New Roman"/>
        </w:rPr>
        <w:t xml:space="preserve">ations department </w:t>
      </w:r>
      <w:r w:rsidR="00882195">
        <w:rPr>
          <w:rStyle w:val="CommentReference"/>
          <w:rFonts w:ascii="Times New Roman" w:hAnsi="Times New Roman"/>
          <w:sz w:val="24"/>
          <w:szCs w:val="24"/>
        </w:rPr>
        <w:t>i</w:t>
      </w:r>
      <w:r w:rsidRPr="005953E4">
        <w:rPr>
          <w:rFonts w:ascii="Times New Roman" w:hAnsi="Times New Roman"/>
        </w:rPr>
        <w:t>s responsible for posting the CMP on the Master Beneficiary Record</w:t>
      </w:r>
      <w:r w:rsidR="001B6114">
        <w:rPr>
          <w:rFonts w:ascii="Times New Roman" w:hAnsi="Times New Roman"/>
        </w:rPr>
        <w:t>, the</w:t>
      </w:r>
      <w:r w:rsidRPr="005953E4">
        <w:rPr>
          <w:rFonts w:ascii="Times New Roman" w:hAnsi="Times New Roman"/>
        </w:rPr>
        <w:t xml:space="preserve"> Supplemental Security Record</w:t>
      </w:r>
      <w:r w:rsidR="001B6114">
        <w:rPr>
          <w:rFonts w:ascii="Times New Roman" w:hAnsi="Times New Roman"/>
        </w:rPr>
        <w:t>, or both</w:t>
      </w:r>
      <w:r w:rsidRPr="005953E4">
        <w:rPr>
          <w:rFonts w:ascii="Times New Roman" w:hAnsi="Times New Roman"/>
        </w:rPr>
        <w:t xml:space="preserve"> and for collecting the debt. </w:t>
      </w:r>
      <w:r w:rsidR="001B6114">
        <w:rPr>
          <w:rFonts w:ascii="Times New Roman" w:hAnsi="Times New Roman"/>
        </w:rPr>
        <w:t xml:space="preserve"> </w:t>
      </w:r>
      <w:r w:rsidRPr="005953E4">
        <w:rPr>
          <w:rFonts w:ascii="Times New Roman" w:hAnsi="Times New Roman"/>
        </w:rPr>
        <w:t xml:space="preserve">Currently, SSA can pursue recovery of CMPs </w:t>
      </w:r>
      <w:r w:rsidRPr="005953E4" w:rsidR="001B6114">
        <w:rPr>
          <w:rFonts w:ascii="Times New Roman" w:hAnsi="Times New Roman"/>
        </w:rPr>
        <w:t>by</w:t>
      </w:r>
      <w:r w:rsidRPr="005953E4">
        <w:rPr>
          <w:rFonts w:ascii="Times New Roman" w:hAnsi="Times New Roman"/>
        </w:rPr>
        <w:t xml:space="preserve"> withholding monthly Title II benefits; withholding monthly Title XVI benefits; withholding monthly Title VIII benefits; billing and follow-up; or initiating a civil action.</w:t>
      </w:r>
    </w:p>
    <w:p w:rsidR="009F0ACD" w:rsidRPr="009F0ACD" w:rsidP="009F0ACD" w14:paraId="3F310E28" w14:textId="77777777">
      <w:pPr>
        <w:widowControl/>
        <w:ind w:left="360"/>
        <w:rPr>
          <w:rFonts w:ascii="Times New Roman" w:hAnsi="Times New Roman"/>
          <w:snapToGrid/>
        </w:rPr>
      </w:pPr>
    </w:p>
    <w:p w:rsidR="009F0ACD" w:rsidRPr="009F0ACD" w:rsidP="009F0ACD" w14:paraId="57F8F543" w14:textId="0DCD95E6">
      <w:pPr>
        <w:widowControl/>
        <w:ind w:left="720"/>
        <w:contextualSpacing/>
        <w:rPr>
          <w:rFonts w:ascii="Times New Roman" w:hAnsi="Times New Roman"/>
          <w:b/>
          <w:iCs/>
          <w:snapToGrid/>
        </w:rPr>
      </w:pPr>
      <w:r w:rsidRPr="009F0ACD">
        <w:rPr>
          <w:rFonts w:ascii="Times New Roman" w:hAnsi="Times New Roman"/>
          <w:snapToGrid/>
        </w:rPr>
        <w:t>SSA uses Form SSA-640, Financial Disclosure for CMP Debt, to obtain the information necessary to determine a monthly installment repayment rate for individuals owing a CMP.  The questions</w:t>
      </w:r>
      <w:r w:rsidR="001B6114">
        <w:rPr>
          <w:rFonts w:ascii="Times New Roman" w:hAnsi="Times New Roman"/>
          <w:snapToGrid/>
        </w:rPr>
        <w:t xml:space="preserve"> Form SSA-640 asks provides</w:t>
      </w:r>
      <w:r w:rsidRPr="009F0ACD">
        <w:rPr>
          <w:rFonts w:ascii="Times New Roman" w:hAnsi="Times New Roman"/>
          <w:snapToGrid/>
        </w:rPr>
        <w:t xml:space="preserve"> SSA with up-to-date information about the respondent’s resources, income, and expenses to help inform an appropriate repayment rate. </w:t>
      </w:r>
      <w:r w:rsidR="000C5688">
        <w:rPr>
          <w:rFonts w:ascii="Times New Roman" w:hAnsi="Times New Roman"/>
          <w:snapToGrid/>
        </w:rPr>
        <w:t xml:space="preserve"> </w:t>
      </w:r>
    </w:p>
    <w:p w:rsidR="009F0ACD" w:rsidRPr="009F0ACD" w:rsidP="009F0ACD" w14:paraId="04E5F84A" w14:textId="77777777">
      <w:pPr>
        <w:widowControl/>
        <w:rPr>
          <w:rFonts w:ascii="Times New Roman" w:hAnsi="Times New Roman"/>
          <w:bCs/>
          <w:iCs/>
          <w:snapToGrid/>
        </w:rPr>
      </w:pPr>
    </w:p>
    <w:p w:rsidR="009F0ACD" w:rsidRPr="009F0ACD" w:rsidP="009F0ACD" w14:paraId="0572E669" w14:textId="4598D017">
      <w:pPr>
        <w:widowControl/>
        <w:ind w:left="720"/>
        <w:rPr>
          <w:rFonts w:ascii="Times New Roman" w:hAnsi="Times New Roman"/>
          <w:bCs/>
          <w:iCs/>
          <w:snapToGrid/>
        </w:rPr>
      </w:pPr>
      <w:r w:rsidRPr="009F0ACD">
        <w:rPr>
          <w:rFonts w:ascii="Times New Roman" w:hAnsi="Times New Roman"/>
          <w:bCs/>
          <w:iCs/>
          <w:snapToGrid/>
        </w:rPr>
        <w:t>Respondents typically learn about CMPs and related information collection requirements through official notices</w:t>
      </w:r>
      <w:r w:rsidR="00882195">
        <w:rPr>
          <w:rFonts w:ascii="Times New Roman" w:hAnsi="Times New Roman"/>
          <w:bCs/>
          <w:iCs/>
          <w:snapToGrid/>
        </w:rPr>
        <w:t xml:space="preserve"> </w:t>
      </w:r>
      <w:r w:rsidR="00D02FE3">
        <w:rPr>
          <w:rFonts w:ascii="Times New Roman" w:hAnsi="Times New Roman"/>
          <w:bCs/>
          <w:iCs/>
          <w:snapToGrid/>
        </w:rPr>
        <w:t>which</w:t>
      </w:r>
      <w:r w:rsidRPr="009F0ACD">
        <w:rPr>
          <w:rFonts w:ascii="Times New Roman" w:hAnsi="Times New Roman"/>
          <w:bCs/>
          <w:iCs/>
          <w:snapToGrid/>
        </w:rPr>
        <w:t xml:space="preserve"> SSA or </w:t>
      </w:r>
      <w:r w:rsidR="00597175">
        <w:rPr>
          <w:rFonts w:ascii="Times New Roman" w:hAnsi="Times New Roman"/>
          <w:bCs/>
          <w:iCs/>
          <w:snapToGrid/>
        </w:rPr>
        <w:t>OIG</w:t>
      </w:r>
      <w:r w:rsidR="00D02FE3">
        <w:rPr>
          <w:rFonts w:ascii="Times New Roman" w:hAnsi="Times New Roman"/>
          <w:bCs/>
          <w:iCs/>
          <w:snapToGrid/>
        </w:rPr>
        <w:t xml:space="preserve"> </w:t>
      </w:r>
      <w:r w:rsidR="00882195">
        <w:rPr>
          <w:rFonts w:ascii="Times New Roman" w:hAnsi="Times New Roman"/>
          <w:bCs/>
          <w:iCs/>
          <w:snapToGrid/>
        </w:rPr>
        <w:t>send</w:t>
      </w:r>
      <w:r w:rsidR="00D02FE3">
        <w:rPr>
          <w:rFonts w:ascii="Times New Roman" w:hAnsi="Times New Roman"/>
          <w:bCs/>
          <w:iCs/>
          <w:snapToGrid/>
        </w:rPr>
        <w:t xml:space="preserve"> that</w:t>
      </w:r>
      <w:r w:rsidRPr="009F0ACD">
        <w:rPr>
          <w:rFonts w:ascii="Times New Roman" w:hAnsi="Times New Roman"/>
          <w:bCs/>
          <w:iCs/>
          <w:snapToGrid/>
        </w:rPr>
        <w:t xml:space="preserve"> explain the penalty, payment instructions, and any forms </w:t>
      </w:r>
      <w:r w:rsidR="00D02FE3">
        <w:rPr>
          <w:rFonts w:ascii="Times New Roman" w:hAnsi="Times New Roman"/>
          <w:bCs/>
          <w:iCs/>
          <w:snapToGrid/>
        </w:rPr>
        <w:t>the respondents need to complete</w:t>
      </w:r>
      <w:r w:rsidRPr="009F0ACD" w:rsidR="00F30884">
        <w:rPr>
          <w:rFonts w:ascii="Times New Roman" w:hAnsi="Times New Roman"/>
          <w:bCs/>
          <w:iCs/>
          <w:snapToGrid/>
        </w:rPr>
        <w:t xml:space="preserve">.  </w:t>
      </w:r>
      <w:r w:rsidRPr="009F0ACD">
        <w:rPr>
          <w:rFonts w:ascii="Times New Roman" w:hAnsi="Times New Roman"/>
          <w:bCs/>
          <w:iCs/>
          <w:snapToGrid/>
        </w:rPr>
        <w:t xml:space="preserve">To respond, individuals can access information and required forms through mailed packets, SSA field offices, or by contacting SSA directly. </w:t>
      </w:r>
      <w:r w:rsidR="00597175">
        <w:rPr>
          <w:rFonts w:ascii="Times New Roman" w:hAnsi="Times New Roman"/>
          <w:bCs/>
          <w:iCs/>
          <w:snapToGrid/>
        </w:rPr>
        <w:t xml:space="preserve"> </w:t>
      </w:r>
      <w:r w:rsidRPr="009F0ACD">
        <w:rPr>
          <w:rFonts w:ascii="Times New Roman" w:hAnsi="Times New Roman"/>
          <w:bCs/>
          <w:iCs/>
          <w:snapToGrid/>
        </w:rPr>
        <w:t xml:space="preserve">If a respondent is experiencing financial hardship and requests a lower withholding rate, </w:t>
      </w:r>
      <w:r w:rsidR="00424106">
        <w:rPr>
          <w:rFonts w:ascii="Times New Roman" w:hAnsi="Times New Roman"/>
          <w:bCs/>
          <w:iCs/>
          <w:snapToGrid/>
        </w:rPr>
        <w:t>SSA requires the respondent to c</w:t>
      </w:r>
      <w:r w:rsidRPr="009F0ACD">
        <w:rPr>
          <w:rFonts w:ascii="Times New Roman" w:hAnsi="Times New Roman"/>
          <w:bCs/>
          <w:iCs/>
          <w:snapToGrid/>
        </w:rPr>
        <w:t xml:space="preserve">omplete </w:t>
      </w:r>
      <w:r w:rsidR="00424106">
        <w:rPr>
          <w:rFonts w:ascii="Times New Roman" w:hAnsi="Times New Roman"/>
          <w:bCs/>
          <w:iCs/>
          <w:snapToGrid/>
        </w:rPr>
        <w:t xml:space="preserve">Form </w:t>
      </w:r>
      <w:r w:rsidRPr="009F0ACD">
        <w:rPr>
          <w:rFonts w:ascii="Times New Roman" w:hAnsi="Times New Roman"/>
          <w:bCs/>
          <w:iCs/>
          <w:snapToGrid/>
        </w:rPr>
        <w:t>SSA</w:t>
      </w:r>
      <w:r w:rsidR="001156F0">
        <w:rPr>
          <w:rFonts w:ascii="Times New Roman" w:hAnsi="Times New Roman"/>
          <w:bCs/>
          <w:iCs/>
          <w:snapToGrid/>
        </w:rPr>
        <w:noBreakHyphen/>
      </w:r>
      <w:r w:rsidRPr="009F0ACD">
        <w:rPr>
          <w:rFonts w:ascii="Times New Roman" w:hAnsi="Times New Roman"/>
          <w:bCs/>
          <w:iCs/>
          <w:snapToGrid/>
        </w:rPr>
        <w:t>640 and provide</w:t>
      </w:r>
      <w:r w:rsidR="00424106">
        <w:rPr>
          <w:rFonts w:ascii="Times New Roman" w:hAnsi="Times New Roman"/>
          <w:bCs/>
          <w:iCs/>
          <w:snapToGrid/>
        </w:rPr>
        <w:t xml:space="preserve"> SSA with</w:t>
      </w:r>
      <w:r w:rsidR="00882195">
        <w:rPr>
          <w:rFonts w:ascii="Times New Roman" w:hAnsi="Times New Roman"/>
          <w:bCs/>
          <w:iCs/>
          <w:snapToGrid/>
        </w:rPr>
        <w:t xml:space="preserve"> </w:t>
      </w:r>
      <w:r w:rsidRPr="009F0ACD">
        <w:rPr>
          <w:rFonts w:ascii="Times New Roman" w:hAnsi="Times New Roman"/>
          <w:bCs/>
          <w:iCs/>
          <w:snapToGrid/>
        </w:rPr>
        <w:t>supporting documentation to help SSA assess their situation</w:t>
      </w:r>
      <w:r w:rsidRPr="009F0ACD" w:rsidR="00F30884">
        <w:rPr>
          <w:rFonts w:ascii="Times New Roman" w:hAnsi="Times New Roman"/>
          <w:bCs/>
          <w:iCs/>
          <w:snapToGrid/>
        </w:rPr>
        <w:t xml:space="preserve">. </w:t>
      </w:r>
    </w:p>
    <w:p w:rsidR="009F0ACD" w:rsidRPr="009F0ACD" w:rsidP="009F0ACD" w14:paraId="23FDEE1D" w14:textId="77777777">
      <w:pPr>
        <w:widowControl/>
        <w:ind w:left="900"/>
        <w:contextualSpacing/>
        <w:rPr>
          <w:rFonts w:ascii="Times New Roman" w:hAnsi="Times New Roman"/>
          <w:bCs/>
          <w:iCs/>
          <w:snapToGrid/>
        </w:rPr>
      </w:pPr>
    </w:p>
    <w:p w:rsidR="00AB236A" w:rsidP="009A522B" w14:paraId="6C226B91" w14:textId="77777777">
      <w:pPr>
        <w:pStyle w:val="ListParagraph"/>
        <w:widowControl/>
        <w:rPr>
          <w:rFonts w:ascii="Times New Roman" w:hAnsi="Times New Roman"/>
          <w:color w:val="000000"/>
        </w:rPr>
      </w:pPr>
      <w:r>
        <w:rPr>
          <w:rFonts w:ascii="Times New Roman" w:hAnsi="Times New Roman"/>
          <w:color w:val="000000"/>
        </w:rPr>
        <w:t>We identified the following psychological costs based on the requirements for this information collection:</w:t>
      </w:r>
    </w:p>
    <w:p w:rsidR="00D44A47" w:rsidP="008C1254" w14:paraId="7F859CCC" w14:textId="77777777">
      <w:pPr>
        <w:pStyle w:val="ListParagraph"/>
        <w:widowControl/>
        <w:ind w:left="1440"/>
        <w:rPr>
          <w:rFonts w:ascii="Times New Roman" w:hAnsi="Times New Roman"/>
          <w:color w:val="000000"/>
        </w:rPr>
      </w:pPr>
    </w:p>
    <w:p w:rsidR="002A7855" w:rsidRPr="002A7855" w:rsidP="009A522B" w14:paraId="43DD3984" w14:textId="77777777">
      <w:pPr>
        <w:widowControl/>
        <w:spacing w:line="256" w:lineRule="auto"/>
        <w:ind w:left="720"/>
        <w:rPr>
          <w:rFonts w:ascii="Times New Roman" w:eastAsia="Calibri" w:hAnsi="Times New Roman"/>
          <w:b/>
          <w:bCs/>
          <w:snapToGrid/>
          <w:u w:val="single"/>
        </w:rPr>
      </w:pPr>
      <w:r w:rsidRPr="002A7855">
        <w:rPr>
          <w:rFonts w:ascii="Times New Roman" w:eastAsia="Calibri" w:hAnsi="Times New Roman"/>
          <w:b/>
          <w:bCs/>
          <w:snapToGrid/>
          <w:u w:val="single"/>
        </w:rPr>
        <w:t>Psychological Cost #1:</w:t>
      </w:r>
    </w:p>
    <w:p w:rsidR="00F05FBC" w:rsidP="00F05FBC" w14:paraId="18F45D17" w14:textId="77777777">
      <w:pPr>
        <w:numPr>
          <w:ilvl w:val="0"/>
          <w:numId w:val="10"/>
        </w:numPr>
        <w:suppressAutoHyphens/>
        <w:rPr>
          <w:rFonts w:ascii="Times New Roman" w:hAnsi="Times New Roman"/>
          <w:snapToGrid/>
          <w:lang w:eastAsia="ar-SA"/>
        </w:rPr>
      </w:pPr>
      <w:r w:rsidRPr="002A7855">
        <w:rPr>
          <w:rFonts w:ascii="Times New Roman" w:hAnsi="Times New Roman"/>
          <w:b/>
          <w:bCs/>
          <w:snapToGrid/>
          <w:lang w:eastAsia="ar-SA"/>
        </w:rPr>
        <w:t>Requirement for Program</w:t>
      </w:r>
      <w:r>
        <w:rPr>
          <w:rFonts w:ascii="Times New Roman" w:hAnsi="Times New Roman"/>
          <w:b/>
          <w:bCs/>
          <w:snapToGrid/>
          <w:lang w:eastAsia="ar-SA"/>
        </w:rPr>
        <w:t xml:space="preserve">:  </w:t>
      </w:r>
      <w:r w:rsidRPr="00F05FBC">
        <w:rPr>
          <w:rFonts w:ascii="Times New Roman" w:hAnsi="Times New Roman"/>
          <w:snapToGrid/>
          <w:lang w:eastAsia="ar-SA"/>
        </w:rPr>
        <w:t>Form SSA-640</w:t>
      </w:r>
      <w:r>
        <w:rPr>
          <w:rFonts w:ascii="Times New Roman" w:hAnsi="Times New Roman"/>
          <w:snapToGrid/>
          <w:lang w:eastAsia="ar-SA"/>
        </w:rPr>
        <w:t xml:space="preserve"> asks</w:t>
      </w:r>
      <w:r w:rsidRPr="00F05FBC">
        <w:rPr>
          <w:rFonts w:ascii="Times New Roman" w:hAnsi="Times New Roman"/>
          <w:snapToGrid/>
          <w:lang w:eastAsia="ar-SA"/>
        </w:rPr>
        <w:t xml:space="preserve"> question</w:t>
      </w:r>
      <w:r>
        <w:rPr>
          <w:rFonts w:ascii="Times New Roman" w:hAnsi="Times New Roman"/>
          <w:snapToGrid/>
          <w:lang w:eastAsia="ar-SA"/>
        </w:rPr>
        <w:t xml:space="preserve">s </w:t>
      </w:r>
      <w:r w:rsidRPr="00F05FBC">
        <w:rPr>
          <w:rFonts w:ascii="Times New Roman" w:hAnsi="Times New Roman"/>
          <w:snapToGrid/>
          <w:lang w:eastAsia="ar-SA"/>
        </w:rPr>
        <w:t>to provide SSA with</w:t>
      </w:r>
    </w:p>
    <w:p w:rsidR="001204C6" w:rsidP="00F05FBC" w14:paraId="71A3F08D" w14:textId="77777777">
      <w:pPr>
        <w:suppressAutoHyphens/>
        <w:ind w:left="1080"/>
        <w:rPr>
          <w:rFonts w:ascii="Times New Roman" w:hAnsi="Times New Roman"/>
          <w:snapToGrid/>
          <w:lang w:eastAsia="ar-SA"/>
        </w:rPr>
      </w:pPr>
      <w:r w:rsidRPr="00F05FBC">
        <w:rPr>
          <w:rFonts w:ascii="Times New Roman" w:hAnsi="Times New Roman"/>
          <w:snapToGrid/>
          <w:lang w:eastAsia="ar-SA"/>
        </w:rPr>
        <w:t xml:space="preserve"> up-to-date information about the respondents’ resources, income, and expenses to help inform an appropriate repayment rate</w:t>
      </w:r>
      <w:r>
        <w:rPr>
          <w:rFonts w:ascii="Times New Roman" w:hAnsi="Times New Roman"/>
          <w:snapToGrid/>
          <w:lang w:eastAsia="ar-SA"/>
        </w:rPr>
        <w:t>.</w:t>
      </w:r>
    </w:p>
    <w:p w:rsidR="00F05FBC" w:rsidRPr="001204C6" w:rsidP="00F05FBC" w14:paraId="39505014" w14:textId="77777777">
      <w:pPr>
        <w:suppressAutoHyphens/>
        <w:ind w:left="1080"/>
        <w:rPr>
          <w:rFonts w:ascii="Times New Roman" w:hAnsi="Times New Roman"/>
          <w:snapToGrid/>
          <w:lang w:eastAsia="ar-SA"/>
        </w:rPr>
      </w:pPr>
    </w:p>
    <w:p w:rsidR="0072354F" w:rsidRPr="003253FC" w:rsidP="003253FC" w14:paraId="591CD6AC" w14:textId="1FD1229F">
      <w:pPr>
        <w:widowControl/>
        <w:numPr>
          <w:ilvl w:val="0"/>
          <w:numId w:val="10"/>
        </w:numPr>
        <w:suppressAutoHyphens/>
        <w:spacing w:after="160" w:line="256" w:lineRule="auto"/>
        <w:contextualSpacing/>
        <w:rPr>
          <w:rFonts w:ascii="Times New Roman" w:hAnsi="Times New Roman"/>
          <w:b/>
          <w:bCs/>
          <w:snapToGrid/>
          <w:color w:val="000000"/>
        </w:rPr>
      </w:pPr>
      <w:r w:rsidRPr="00F05FBC">
        <w:rPr>
          <w:rFonts w:ascii="Times New Roman" w:hAnsi="Times New Roman"/>
          <w:b/>
          <w:bCs/>
          <w:snapToGrid/>
          <w:color w:val="000000"/>
        </w:rPr>
        <w:t xml:space="preserve">Psychological Cost: </w:t>
      </w:r>
      <w:r w:rsidRPr="00F05FBC" w:rsidR="00913122">
        <w:rPr>
          <w:rFonts w:ascii="Times New Roman" w:hAnsi="Times New Roman"/>
          <w:b/>
          <w:bCs/>
          <w:snapToGrid/>
          <w:color w:val="000000"/>
        </w:rPr>
        <w:t xml:space="preserve"> </w:t>
      </w:r>
      <w:r w:rsidRPr="00F05FBC" w:rsidR="00F05FBC">
        <w:rPr>
          <w:rFonts w:ascii="Times New Roman" w:hAnsi="Times New Roman"/>
          <w:snapToGrid/>
          <w:color w:val="000000"/>
        </w:rPr>
        <w:t xml:space="preserve">Respondents experience stress, discomfort, and anxiety </w:t>
      </w:r>
      <w:r w:rsidR="00D02FE3">
        <w:rPr>
          <w:rFonts w:ascii="Times New Roman" w:hAnsi="Times New Roman"/>
          <w:snapToGrid/>
          <w:color w:val="000000"/>
        </w:rPr>
        <w:t xml:space="preserve">regarding discussions of their financial information and need to repay an overpayment </w:t>
      </w:r>
      <w:r w:rsidR="00F05FBC">
        <w:rPr>
          <w:rFonts w:ascii="Times New Roman" w:hAnsi="Times New Roman"/>
          <w:snapToGrid/>
          <w:color w:val="000000"/>
        </w:rPr>
        <w:t xml:space="preserve">which may </w:t>
      </w:r>
      <w:r w:rsidRPr="00F05FBC" w:rsidR="00F05FBC">
        <w:rPr>
          <w:rFonts w:ascii="Times New Roman" w:hAnsi="Times New Roman"/>
          <w:bCs/>
          <w:iCs/>
        </w:rPr>
        <w:t>cause respondents to delay their completion</w:t>
      </w:r>
      <w:r w:rsidR="00F05FBC">
        <w:rPr>
          <w:rFonts w:ascii="Times New Roman" w:hAnsi="Times New Roman"/>
          <w:bCs/>
          <w:iCs/>
        </w:rPr>
        <w:t xml:space="preserve"> of the SSA-640, or </w:t>
      </w:r>
      <w:r w:rsidRPr="00F05FBC" w:rsidR="000C5688">
        <w:rPr>
          <w:rFonts w:ascii="Times New Roman" w:hAnsi="Times New Roman"/>
          <w:bCs/>
          <w:iCs/>
        </w:rPr>
        <w:t>to abandon</w:t>
      </w:r>
      <w:r w:rsidRPr="00F05FBC" w:rsidR="00F05FBC">
        <w:rPr>
          <w:rFonts w:ascii="Times New Roman" w:hAnsi="Times New Roman"/>
          <w:bCs/>
          <w:iCs/>
        </w:rPr>
        <w:t xml:space="preserve"> </w:t>
      </w:r>
      <w:r w:rsidR="00F05FBC">
        <w:rPr>
          <w:rFonts w:ascii="Times New Roman" w:hAnsi="Times New Roman"/>
          <w:bCs/>
          <w:iCs/>
        </w:rPr>
        <w:t>completing the</w:t>
      </w:r>
      <w:r w:rsidR="003253FC">
        <w:rPr>
          <w:rFonts w:ascii="Times New Roman" w:hAnsi="Times New Roman"/>
          <w:b/>
          <w:bCs/>
          <w:snapToGrid/>
          <w:color w:val="000000"/>
        </w:rPr>
        <w:t xml:space="preserve"> </w:t>
      </w:r>
      <w:r w:rsidRPr="003253FC" w:rsidR="00F05FBC">
        <w:rPr>
          <w:rFonts w:ascii="Times New Roman" w:hAnsi="Times New Roman"/>
          <w:bCs/>
          <w:iCs/>
        </w:rPr>
        <w:t>SSA-640 entirely.</w:t>
      </w:r>
    </w:p>
    <w:p w:rsidR="000C5688" w:rsidP="000C5688" w14:paraId="653E5650" w14:textId="77777777">
      <w:pPr>
        <w:widowControl/>
        <w:ind w:left="720"/>
        <w:rPr>
          <w:rFonts w:ascii="Times New Roman" w:hAnsi="Times New Roman"/>
          <w:color w:val="000000"/>
        </w:rPr>
      </w:pPr>
    </w:p>
    <w:p w:rsidR="003253FC" w:rsidRPr="000C5688" w:rsidP="000C5688" w14:paraId="4264624B" w14:textId="22FD6F79">
      <w:pPr>
        <w:widowControl/>
        <w:ind w:left="720"/>
        <w:rPr>
          <w:rFonts w:ascii="Times New Roman" w:hAnsi="Times New Roman"/>
          <w:color w:val="000000"/>
        </w:rPr>
      </w:pPr>
      <w:r w:rsidRPr="000C5688">
        <w:rPr>
          <w:rFonts w:ascii="Times New Roman" w:hAnsi="Times New Roman"/>
          <w:color w:val="000000"/>
        </w:rPr>
        <w:t>We understand these psychological costs may cause respondents to delay their completion of the information collection or cause them to abandon the information collection entirely.  However, we require full completion of this collection to continue to receive benefits.  Therefore, we have taken this potential psychological cost into account when calculating our burden in #12 below.</w:t>
      </w:r>
    </w:p>
    <w:p w:rsidR="003253FC" w:rsidP="001B6BCD" w14:paraId="201BC0F9" w14:textId="77777777">
      <w:pPr>
        <w:ind w:left="720"/>
        <w:rPr>
          <w:rFonts w:ascii="Times New Roman" w:hAnsi="Times New Roman"/>
          <w:bCs/>
        </w:rPr>
      </w:pPr>
    </w:p>
    <w:p w:rsidR="003253FC" w:rsidRPr="003253FC" w:rsidP="003253FC" w14:paraId="63C6CF3F" w14:textId="77777777">
      <w:pPr>
        <w:ind w:left="720"/>
        <w:rPr>
          <w:rFonts w:ascii="Times New Roman" w:hAnsi="Times New Roman"/>
          <w:bCs/>
        </w:rPr>
      </w:pPr>
      <w:r>
        <w:rPr>
          <w:rFonts w:ascii="Times New Roman" w:hAnsi="Times New Roman"/>
          <w:bCs/>
        </w:rPr>
        <w:t>The r</w:t>
      </w:r>
      <w:r w:rsidRPr="0072354F">
        <w:rPr>
          <w:rFonts w:ascii="Times New Roman" w:hAnsi="Times New Roman"/>
          <w:bCs/>
        </w:rPr>
        <w:t>espondents are</w:t>
      </w:r>
      <w:r>
        <w:rPr>
          <w:rFonts w:ascii="Times New Roman" w:hAnsi="Times New Roman"/>
          <w:bCs/>
        </w:rPr>
        <w:t xml:space="preserve"> </w:t>
      </w:r>
      <w:r w:rsidRPr="003253FC">
        <w:rPr>
          <w:rFonts w:ascii="Times New Roman" w:hAnsi="Times New Roman"/>
          <w:lang w:eastAsia="ar-SA"/>
        </w:rPr>
        <w:t>recipients of Social Security benefits and non-entitled individuals who must repay a CMP to the agency and choose to do so using an installment plan</w:t>
      </w:r>
      <w:r w:rsidRPr="003253FC">
        <w:rPr>
          <w:rFonts w:ascii="Times New Roman" w:hAnsi="Times New Roman"/>
        </w:rPr>
        <w:t>.</w:t>
      </w:r>
    </w:p>
    <w:p w:rsidR="00FB580C" w:rsidP="00695415" w14:paraId="5D0985F7" w14:textId="77777777">
      <w:pPr>
        <w:ind w:left="1440"/>
        <w:rPr>
          <w:rFonts w:ascii="Times New Roman" w:hAnsi="Times New Roman"/>
        </w:rPr>
      </w:pPr>
    </w:p>
    <w:p w:rsidR="0036696D" w:rsidRPr="008C1254" w:rsidP="009A522B" w14:paraId="51654C04" w14:textId="77777777">
      <w:pPr>
        <w:pStyle w:val="ListParagraph"/>
        <w:numPr>
          <w:ilvl w:val="0"/>
          <w:numId w:val="2"/>
        </w:numPr>
        <w:rPr>
          <w:rFonts w:ascii="Times New Roman" w:hAnsi="Times New Roman"/>
        </w:rPr>
      </w:pPr>
      <w:r w:rsidRPr="008C1254">
        <w:rPr>
          <w:rFonts w:ascii="Times New Roman" w:hAnsi="Times New Roman"/>
          <w:b/>
        </w:rPr>
        <w:t>Use of Information Technology to Collect the Information</w:t>
      </w:r>
    </w:p>
    <w:p w:rsidR="004724D3" w:rsidRPr="00B319E7" w:rsidP="004724D3" w14:paraId="43A6488D" w14:textId="51C0D769">
      <w:pPr>
        <w:pStyle w:val="ListParagraph"/>
        <w:rPr>
          <w:rFonts w:ascii="Times New Roman" w:hAnsi="Times New Roman"/>
        </w:rPr>
      </w:pPr>
      <w:bookmarkStart w:id="0" w:name="_Hlk101939919"/>
      <w:r w:rsidRPr="00B319E7">
        <w:rPr>
          <w:rFonts w:ascii="Times New Roman" w:hAnsi="Times New Roman"/>
        </w:rPr>
        <w:t>Form SSA-</w:t>
      </w:r>
      <w:r>
        <w:rPr>
          <w:rFonts w:ascii="Times New Roman" w:hAnsi="Times New Roman"/>
        </w:rPr>
        <w:t>640</w:t>
      </w:r>
      <w:r w:rsidRPr="00B319E7">
        <w:rPr>
          <w:rFonts w:ascii="Times New Roman" w:hAnsi="Times New Roman"/>
        </w:rPr>
        <w:t xml:space="preserve"> is available </w:t>
      </w:r>
      <w:r>
        <w:rPr>
          <w:rFonts w:ascii="Times New Roman" w:hAnsi="Times New Roman"/>
        </w:rPr>
        <w:t>on SSA’s website</w:t>
      </w:r>
      <w:r w:rsidRPr="00B319E7">
        <w:rPr>
          <w:rFonts w:ascii="Times New Roman" w:hAnsi="Times New Roman"/>
        </w:rPr>
        <w:t xml:space="preserve"> in </w:t>
      </w:r>
      <w:r>
        <w:rPr>
          <w:rFonts w:ascii="Times New Roman" w:hAnsi="Times New Roman"/>
        </w:rPr>
        <w:t xml:space="preserve">a </w:t>
      </w:r>
      <w:r w:rsidRPr="00B319E7">
        <w:rPr>
          <w:rFonts w:ascii="Times New Roman" w:hAnsi="Times New Roman"/>
        </w:rPr>
        <w:t xml:space="preserve">fillable PDF format.  Once </w:t>
      </w:r>
      <w:r w:rsidR="00D23E62">
        <w:rPr>
          <w:rFonts w:ascii="Times New Roman" w:hAnsi="Times New Roman"/>
        </w:rPr>
        <w:t xml:space="preserve">respondents complete </w:t>
      </w:r>
      <w:r w:rsidRPr="00B319E7">
        <w:rPr>
          <w:rFonts w:ascii="Times New Roman" w:hAnsi="Times New Roman"/>
        </w:rPr>
        <w:t>the form, the</w:t>
      </w:r>
      <w:r w:rsidR="00D23E62">
        <w:rPr>
          <w:rFonts w:ascii="Times New Roman" w:hAnsi="Times New Roman"/>
        </w:rPr>
        <w:t>y</w:t>
      </w:r>
      <w:r w:rsidRPr="00B319E7">
        <w:rPr>
          <w:rFonts w:ascii="Times New Roman" w:hAnsi="Times New Roman"/>
        </w:rPr>
        <w:t xml:space="preserve"> print it, </w:t>
      </w:r>
      <w:r>
        <w:rPr>
          <w:rFonts w:ascii="Times New Roman" w:hAnsi="Times New Roman"/>
        </w:rPr>
        <w:t xml:space="preserve">sign it, </w:t>
      </w:r>
      <w:r w:rsidRPr="00B319E7">
        <w:rPr>
          <w:rFonts w:ascii="Times New Roman" w:hAnsi="Times New Roman"/>
        </w:rPr>
        <w:t>and mail</w:t>
      </w:r>
      <w:r w:rsidR="00C81F67">
        <w:rPr>
          <w:rFonts w:ascii="Times New Roman" w:hAnsi="Times New Roman"/>
        </w:rPr>
        <w:t xml:space="preserve"> </w:t>
      </w:r>
      <w:r w:rsidR="001156F0">
        <w:rPr>
          <w:rFonts w:ascii="Times New Roman" w:hAnsi="Times New Roman"/>
        </w:rPr>
        <w:t xml:space="preserve">it to, </w:t>
      </w:r>
      <w:r w:rsidR="00C81F67">
        <w:rPr>
          <w:rFonts w:ascii="Times New Roman" w:hAnsi="Times New Roman"/>
        </w:rPr>
        <w:t>or drop</w:t>
      </w:r>
      <w:r w:rsidR="00D23E62">
        <w:rPr>
          <w:rFonts w:ascii="Times New Roman" w:hAnsi="Times New Roman"/>
        </w:rPr>
        <w:t xml:space="preserve"> it</w:t>
      </w:r>
      <w:r w:rsidR="00C81F67">
        <w:rPr>
          <w:rFonts w:ascii="Times New Roman" w:hAnsi="Times New Roman"/>
        </w:rPr>
        <w:t xml:space="preserve"> of</w:t>
      </w:r>
      <w:r w:rsidR="00D23E62">
        <w:rPr>
          <w:rFonts w:ascii="Times New Roman" w:hAnsi="Times New Roman"/>
        </w:rPr>
        <w:t>f</w:t>
      </w:r>
      <w:r w:rsidR="001156F0">
        <w:rPr>
          <w:rFonts w:ascii="Times New Roman" w:hAnsi="Times New Roman"/>
        </w:rPr>
        <w:t>,</w:t>
      </w:r>
      <w:r w:rsidR="00C81F67">
        <w:rPr>
          <w:rFonts w:ascii="Times New Roman" w:hAnsi="Times New Roman"/>
        </w:rPr>
        <w:t xml:space="preserve"> at </w:t>
      </w:r>
      <w:r w:rsidR="00D23E62">
        <w:rPr>
          <w:rFonts w:ascii="Times New Roman" w:hAnsi="Times New Roman"/>
        </w:rPr>
        <w:t xml:space="preserve">an </w:t>
      </w:r>
      <w:r w:rsidR="00C81F67">
        <w:rPr>
          <w:rFonts w:ascii="Times New Roman" w:hAnsi="Times New Roman"/>
        </w:rPr>
        <w:t>SSA field office</w:t>
      </w:r>
      <w:r w:rsidR="00882195">
        <w:rPr>
          <w:rFonts w:ascii="Times New Roman" w:hAnsi="Times New Roman"/>
        </w:rPr>
        <w:t xml:space="preserve"> </w:t>
      </w:r>
      <w:r w:rsidRPr="00B319E7">
        <w:rPr>
          <w:rFonts w:ascii="Times New Roman" w:hAnsi="Times New Roman"/>
        </w:rPr>
        <w:t>with supporting documentation</w:t>
      </w:r>
      <w:r>
        <w:rPr>
          <w:rFonts w:ascii="Times New Roman" w:hAnsi="Times New Roman"/>
        </w:rPr>
        <w:t xml:space="preserve"> using the prepaid return envelope</w:t>
      </w:r>
      <w:r w:rsidRPr="00B319E7">
        <w:rPr>
          <w:rFonts w:ascii="Times New Roman" w:hAnsi="Times New Roman"/>
        </w:rPr>
        <w:t xml:space="preserve">.  We estimate that </w:t>
      </w:r>
      <w:r w:rsidR="001156F0">
        <w:rPr>
          <w:rFonts w:ascii="Times New Roman" w:hAnsi="Times New Roman"/>
        </w:rPr>
        <w:t>the majority</w:t>
      </w:r>
      <w:r w:rsidRPr="00B319E7">
        <w:rPr>
          <w:rFonts w:ascii="Times New Roman" w:hAnsi="Times New Roman"/>
        </w:rPr>
        <w:t xml:space="preserve"> of the respondents use this method to complete the form and </w:t>
      </w:r>
      <w:r>
        <w:rPr>
          <w:rFonts w:ascii="Times New Roman" w:hAnsi="Times New Roman"/>
        </w:rPr>
        <w:t>return</w:t>
      </w:r>
      <w:r w:rsidRPr="00B319E7">
        <w:rPr>
          <w:rFonts w:ascii="Times New Roman" w:hAnsi="Times New Roman"/>
        </w:rPr>
        <w:t xml:space="preserve"> it to SSA.</w:t>
      </w:r>
    </w:p>
    <w:p w:rsidR="004724D3" w:rsidRPr="00B319E7" w:rsidP="004724D3" w14:paraId="5D3A1712" w14:textId="77777777">
      <w:pPr>
        <w:pStyle w:val="ListParagraph"/>
        <w:rPr>
          <w:rFonts w:ascii="Times New Roman" w:hAnsi="Times New Roman"/>
        </w:rPr>
      </w:pPr>
    </w:p>
    <w:p w:rsidR="001156F0" w:rsidP="00EC0774" w14:paraId="45A91A62" w14:textId="707AB99D">
      <w:pPr>
        <w:ind w:left="720"/>
        <w:rPr>
          <w:rFonts w:ascii="Times New Roman" w:hAnsi="Times New Roman"/>
          <w:color w:val="000000"/>
        </w:rPr>
      </w:pPr>
      <w:r>
        <w:rPr>
          <w:rFonts w:ascii="Times New Roman" w:hAnsi="Times New Roman"/>
          <w:iCs/>
        </w:rPr>
        <w:t>In addition, t</w:t>
      </w:r>
      <w:r w:rsidRPr="00BE7C28">
        <w:rPr>
          <w:rFonts w:ascii="Times New Roman" w:hAnsi="Times New Roman"/>
          <w:iCs/>
        </w:rPr>
        <w:t xml:space="preserve">his collection has a public-facing fillable and submittable </w:t>
      </w:r>
      <w:r>
        <w:rPr>
          <w:rFonts w:ascii="Times New Roman" w:hAnsi="Times New Roman"/>
          <w:iCs/>
        </w:rPr>
        <w:t xml:space="preserve">PDF </w:t>
      </w:r>
      <w:r w:rsidRPr="00BE7C28">
        <w:rPr>
          <w:rFonts w:ascii="Times New Roman" w:hAnsi="Times New Roman"/>
          <w:iCs/>
        </w:rPr>
        <w:t>version which the respondent can submit using SSA’s Upload Documents Portal (OMB No. 0960</w:t>
      </w:r>
      <w:r w:rsidRPr="00BE7C28">
        <w:rPr>
          <w:rFonts w:ascii="Times New Roman" w:hAnsi="Times New Roman"/>
          <w:iCs/>
        </w:rPr>
        <w:noBreakHyphen/>
        <w:t>0830)</w:t>
      </w:r>
      <w:r w:rsidRPr="00BE7C28">
        <w:rPr>
          <w:rFonts w:ascii="Times New Roman" w:hAnsi="Times New Roman"/>
          <w:color w:val="000000"/>
        </w:rPr>
        <w:t>.  Upload Documents allows the respondent to complete the</w:t>
      </w:r>
      <w:r>
        <w:rPr>
          <w:rFonts w:ascii="Times New Roman" w:hAnsi="Times New Roman"/>
          <w:color w:val="000000"/>
        </w:rPr>
        <w:t xml:space="preserve"> static</w:t>
      </w:r>
      <w:r w:rsidRPr="00BE7C28">
        <w:rPr>
          <w:rFonts w:ascii="Times New Roman" w:hAnsi="Times New Roman"/>
          <w:color w:val="000000"/>
        </w:rPr>
        <w:t xml:space="preserve"> fillable PDF, </w:t>
      </w:r>
      <w:r w:rsidRPr="00BE7C28">
        <w:rPr>
          <w:rFonts w:ascii="Times New Roman" w:hAnsi="Times New Roman"/>
        </w:rPr>
        <w:t>electronically sign it</w:t>
      </w:r>
      <w:r w:rsidRPr="00BE7C28">
        <w:rPr>
          <w:rFonts w:ascii="Times New Roman" w:hAnsi="Times New Roman"/>
          <w:color w:val="000000"/>
        </w:rPr>
        <w:t xml:space="preserve">, and submit the information through the Upload Documents Portal.  The submittable version mirrors the paper version and provides respondents with an online service option as an alternative to mailing, faxing, or bringing the form to an SSA field office.  Use of the Upload Documents Portal does not require respondents to download and install the application locally on their device or pay any subscription or licensing fees, and we account for the burden </w:t>
      </w:r>
      <w:r>
        <w:rPr>
          <w:rFonts w:ascii="Times New Roman" w:hAnsi="Times New Roman"/>
          <w:color w:val="000000"/>
        </w:rPr>
        <w:t>to navigate to the form in</w:t>
      </w:r>
      <w:r w:rsidRPr="00BE7C28">
        <w:rPr>
          <w:rFonts w:ascii="Times New Roman" w:hAnsi="Times New Roman"/>
          <w:color w:val="000000"/>
        </w:rPr>
        <w:t xml:space="preserve"> Upload Documents under OMB No. 0960-0830.</w:t>
      </w:r>
      <w:r>
        <w:rPr>
          <w:rFonts w:ascii="Times New Roman" w:hAnsi="Times New Roman"/>
          <w:color w:val="000000"/>
        </w:rPr>
        <w:t xml:space="preserve">  </w:t>
      </w:r>
      <w:r>
        <w:rPr>
          <w:rFonts w:ascii="Times New Roman" w:hAnsi="Times New Roman"/>
          <w:color w:val="000000"/>
        </w:rPr>
        <w:t xml:space="preserve">Currently our management information (MI) data shows that only a few respondents are choosing to use this method to submit the SSA-640, as we only recently added this form to Upload Documents. </w:t>
      </w:r>
      <w:r>
        <w:rPr>
          <w:rFonts w:ascii="Times New Roman" w:hAnsi="Times New Roman"/>
          <w:color w:val="000000"/>
        </w:rPr>
        <w:t xml:space="preserve">Since the burden for completing the static PDF remains the same as filling the form out with an SSA technician, we do not show any separate burden for the fillable PDF version in #12 </w:t>
      </w:r>
      <w:r>
        <w:rPr>
          <w:rFonts w:ascii="Times New Roman" w:hAnsi="Times New Roman"/>
          <w:color w:val="000000"/>
        </w:rPr>
        <w:t xml:space="preserve">below.  </w:t>
      </w:r>
    </w:p>
    <w:p w:rsidR="001156F0" w:rsidP="00EC0774" w14:paraId="78A8A406" w14:textId="77777777">
      <w:pPr>
        <w:ind w:left="720"/>
        <w:rPr>
          <w:rFonts w:ascii="Times New Roman" w:hAnsi="Times New Roman"/>
          <w:color w:val="000000"/>
        </w:rPr>
      </w:pPr>
    </w:p>
    <w:p w:rsidR="00E87DD8" w:rsidP="00EC0774" w14:paraId="1334801F" w14:textId="383796C0">
      <w:pPr>
        <w:ind w:left="720"/>
        <w:rPr>
          <w:rFonts w:ascii="Times New Roman" w:hAnsi="Times New Roman"/>
          <w:color w:val="000000"/>
        </w:rPr>
      </w:pPr>
      <w:r>
        <w:rPr>
          <w:rFonts w:ascii="Times New Roman" w:hAnsi="Times New Roman"/>
          <w:color w:val="000000"/>
        </w:rPr>
        <w:t>At this time, SSA is also working to create a dynamic pathing webform through Upload Documents for this information collection</w:t>
      </w:r>
      <w:r w:rsidR="00FF3706">
        <w:rPr>
          <w:rFonts w:ascii="Times New Roman" w:hAnsi="Times New Roman"/>
          <w:color w:val="000000"/>
        </w:rPr>
        <w:t>.  The dynamic pathing webform will allow respondents to complete the SSA-640 completely online, and only need to answer those questions which pertain to them</w:t>
      </w:r>
      <w:r>
        <w:rPr>
          <w:rFonts w:ascii="Times New Roman" w:hAnsi="Times New Roman"/>
          <w:color w:val="000000"/>
        </w:rPr>
        <w:t xml:space="preserve">.  </w:t>
      </w:r>
      <w:r w:rsidR="00EC0774">
        <w:rPr>
          <w:rFonts w:ascii="Times New Roman" w:hAnsi="Times New Roman"/>
          <w:color w:val="000000"/>
        </w:rPr>
        <w:t>W</w:t>
      </w:r>
      <w:r w:rsidRPr="00EC0774" w:rsidR="00EC0774">
        <w:rPr>
          <w:rFonts w:ascii="Times New Roman" w:hAnsi="Times New Roman"/>
          <w:color w:val="000000"/>
        </w:rPr>
        <w:t>e will submit a Change Request when we are ready to implement the dynamic pathing webform.</w:t>
      </w:r>
    </w:p>
    <w:p w:rsidR="00FF3706" w:rsidP="00EC0774" w14:paraId="589B69DC" w14:textId="77777777">
      <w:pPr>
        <w:ind w:left="720"/>
        <w:rPr>
          <w:rFonts w:ascii="Times New Roman" w:hAnsi="Times New Roman"/>
        </w:rPr>
      </w:pPr>
    </w:p>
    <w:bookmarkEnd w:id="0"/>
    <w:p w:rsidR="000C1D18" w:rsidRPr="008C1254" w:rsidP="008C1254" w14:paraId="44065424" w14:textId="77777777">
      <w:pPr>
        <w:pStyle w:val="ListParagraph"/>
        <w:numPr>
          <w:ilvl w:val="0"/>
          <w:numId w:val="2"/>
        </w:numPr>
        <w:rPr>
          <w:rFonts w:ascii="Times New Roman" w:hAnsi="Times New Roman"/>
          <w:b/>
        </w:rPr>
      </w:pPr>
      <w:r w:rsidRPr="008C1254">
        <w:rPr>
          <w:rFonts w:ascii="Times New Roman" w:hAnsi="Times New Roman"/>
          <w:b/>
        </w:rPr>
        <w:t xml:space="preserve">Why </w:t>
      </w:r>
      <w:r w:rsidRPr="008C1254">
        <w:rPr>
          <w:rFonts w:ascii="Times New Roman" w:hAnsi="Times New Roman"/>
          <w:b/>
        </w:rPr>
        <w:t>We Cannot Use Duplicate Information</w:t>
      </w:r>
    </w:p>
    <w:p w:rsidR="00EA574A" w:rsidRPr="00EA574A" w:rsidP="00EA574A" w14:paraId="04E8E4D3" w14:textId="131853B0">
      <w:pPr>
        <w:ind w:left="720"/>
        <w:rPr>
          <w:rFonts w:ascii="Times New Roman" w:hAnsi="Times New Roman"/>
        </w:rPr>
      </w:pPr>
      <w:r w:rsidRPr="00EA574A">
        <w:rPr>
          <w:rFonts w:ascii="Times New Roman" w:hAnsi="Times New Roman"/>
        </w:rPr>
        <w:t xml:space="preserve">The nature of the information we collect and the way we collect it precludes duplication.  SSA does not use another collection instrument to obtain similar data.  </w:t>
      </w:r>
    </w:p>
    <w:p w:rsidR="005041A1" w:rsidP="002E1132" w14:paraId="64740066" w14:textId="77777777">
      <w:pPr>
        <w:ind w:left="1440"/>
        <w:rPr>
          <w:rFonts w:ascii="Times New Roman" w:hAnsi="Times New Roman"/>
          <w:snapToGrid/>
        </w:rPr>
      </w:pPr>
    </w:p>
    <w:p w:rsidR="00077E0E" w:rsidRPr="002E1132" w:rsidP="002E1132" w14:paraId="51403134" w14:textId="77777777">
      <w:pPr>
        <w:pStyle w:val="ListParagraph"/>
        <w:numPr>
          <w:ilvl w:val="0"/>
          <w:numId w:val="2"/>
        </w:numPr>
        <w:rPr>
          <w:rFonts w:ascii="Times New Roman" w:hAnsi="Times New Roman"/>
        </w:rPr>
      </w:pPr>
      <w:r w:rsidRPr="002E1132">
        <w:rPr>
          <w:rFonts w:ascii="Times New Roman" w:hAnsi="Times New Roman"/>
          <w:b/>
        </w:rPr>
        <w:t>Minimizing Burden on Small Respondents</w:t>
      </w:r>
    </w:p>
    <w:p w:rsidR="00077E0E" w:rsidP="00077E0E" w14:paraId="26AC842A" w14:textId="77777777">
      <w:pPr>
        <w:ind w:left="720"/>
        <w:rPr>
          <w:rFonts w:ascii="Times New Roman" w:hAnsi="Times New Roman"/>
        </w:rPr>
      </w:pPr>
      <w:r w:rsidRPr="00C92126">
        <w:rPr>
          <w:rFonts w:ascii="Times New Roman" w:hAnsi="Times New Roman"/>
        </w:rPr>
        <w:t xml:space="preserve">This collection does not affect small businesses or other small entities. </w:t>
      </w:r>
    </w:p>
    <w:p w:rsidR="003C5885" w:rsidP="00077E0E" w14:paraId="435704CB" w14:textId="77777777">
      <w:pPr>
        <w:ind w:left="720"/>
        <w:rPr>
          <w:rFonts w:ascii="Times New Roman" w:hAnsi="Times New Roman"/>
        </w:rPr>
      </w:pPr>
    </w:p>
    <w:p w:rsidR="00C92126" w:rsidRPr="009A522B" w:rsidP="009A522B" w14:paraId="7C5FA8CC" w14:textId="77777777">
      <w:pPr>
        <w:pStyle w:val="ListParagraph"/>
        <w:numPr>
          <w:ilvl w:val="0"/>
          <w:numId w:val="2"/>
        </w:numPr>
        <w:rPr>
          <w:rFonts w:ascii="Times New Roman" w:hAnsi="Times New Roman"/>
        </w:rPr>
      </w:pPr>
      <w:r w:rsidRPr="009A522B">
        <w:rPr>
          <w:rFonts w:ascii="Times New Roman" w:hAnsi="Times New Roman"/>
          <w:b/>
        </w:rPr>
        <w:t>Consequence of Not Collecting Information or Collecting it Less Frequently</w:t>
      </w:r>
    </w:p>
    <w:p w:rsidR="00EA574A" w:rsidP="00EA574A" w14:paraId="76D0B8AE" w14:textId="0C3ABABB">
      <w:pPr>
        <w:ind w:left="720"/>
        <w:rPr>
          <w:rFonts w:ascii="Times New Roman" w:hAnsi="Times New Roman"/>
        </w:rPr>
      </w:pPr>
      <w:r w:rsidRPr="00EA574A">
        <w:rPr>
          <w:rFonts w:ascii="Times New Roman" w:hAnsi="Times New Roman"/>
        </w:rPr>
        <w:t>If</w:t>
      </w:r>
      <w:r>
        <w:rPr>
          <w:rFonts w:ascii="Times New Roman" w:hAnsi="Times New Roman"/>
        </w:rPr>
        <w:t xml:space="preserve"> SSA </w:t>
      </w:r>
      <w:r w:rsidRPr="00EA574A">
        <w:rPr>
          <w:rFonts w:ascii="Times New Roman" w:hAnsi="Times New Roman"/>
        </w:rPr>
        <w:t xml:space="preserve">did not use Form SSA-640, we would have no means of allowing imposed individuals to participate in a revised installment repayment agreement.  Because we only collect the information on an as needed basis, at the discretion of the respondent, we cannot collect it less frequently.  </w:t>
      </w:r>
      <w:r w:rsidRPr="00EA574A">
        <w:rPr>
          <w:rFonts w:ascii="Times New Roman" w:hAnsi="Times New Roman"/>
          <w:lang w:bidi="en-US"/>
        </w:rPr>
        <w:t>There are no technical or legal obstacles to burden reduction</w:t>
      </w:r>
      <w:r w:rsidRPr="00EA574A">
        <w:rPr>
          <w:rFonts w:ascii="Times New Roman" w:hAnsi="Times New Roman"/>
        </w:rPr>
        <w:t>.</w:t>
      </w:r>
    </w:p>
    <w:p w:rsidR="00EA574A" w:rsidRPr="00EA574A" w:rsidP="00EA574A" w14:paraId="42BFCACE" w14:textId="77777777">
      <w:pPr>
        <w:ind w:left="720"/>
        <w:rPr>
          <w:rFonts w:ascii="Times New Roman" w:hAnsi="Times New Roman"/>
        </w:rPr>
      </w:pPr>
    </w:p>
    <w:p w:rsidR="009A522B" w:rsidP="009A522B" w14:paraId="28EA9DEE" w14:textId="77777777">
      <w:pPr>
        <w:pStyle w:val="ListParagraph"/>
        <w:numPr>
          <w:ilvl w:val="0"/>
          <w:numId w:val="2"/>
        </w:numPr>
        <w:rPr>
          <w:rFonts w:ascii="Times New Roman" w:hAnsi="Times New Roman"/>
          <w:b/>
        </w:rPr>
      </w:pPr>
      <w:r w:rsidRPr="009A522B">
        <w:rPr>
          <w:rFonts w:ascii="Times New Roman" w:hAnsi="Times New Roman"/>
          <w:b/>
        </w:rPr>
        <w:t xml:space="preserve">Special Circumstances </w:t>
      </w:r>
    </w:p>
    <w:p w:rsidR="00C14250" w:rsidRPr="009A522B" w:rsidP="009A522B" w14:paraId="4BB96D28" w14:textId="77777777">
      <w:pPr>
        <w:pStyle w:val="ListParagraph"/>
        <w:rPr>
          <w:rFonts w:ascii="Times New Roman" w:hAnsi="Times New Roman"/>
          <w:b/>
        </w:rPr>
      </w:pPr>
      <w:r w:rsidRPr="009A522B">
        <w:rPr>
          <w:rFonts w:ascii="Times New Roman" w:hAnsi="Times New Roman"/>
        </w:rPr>
        <w:t>There are no special circumstances that would cause SSA to conduct this</w:t>
      </w:r>
      <w:r w:rsidR="009A522B">
        <w:rPr>
          <w:rFonts w:ascii="Times New Roman" w:hAnsi="Times New Roman"/>
        </w:rPr>
        <w:t xml:space="preserve"> </w:t>
      </w:r>
      <w:r w:rsidRPr="009A522B">
        <w:rPr>
          <w:rFonts w:ascii="Times New Roman" w:hAnsi="Times New Roman"/>
        </w:rPr>
        <w:t xml:space="preserve">information collection in a manner inconsistent with </w:t>
      </w:r>
      <w:r w:rsidRPr="001B6BCD">
        <w:rPr>
          <w:rFonts w:ascii="Times New Roman" w:hAnsi="Times New Roman"/>
          <w:i/>
          <w:iCs/>
        </w:rPr>
        <w:t>5 CFR 1320.5</w:t>
      </w:r>
      <w:r w:rsidRPr="009A522B">
        <w:rPr>
          <w:rFonts w:ascii="Times New Roman" w:hAnsi="Times New Roman"/>
        </w:rPr>
        <w:t>.</w:t>
      </w:r>
    </w:p>
    <w:p w:rsidR="00C14250" w:rsidRPr="00BC7F42" w:rsidP="003E2EDE" w14:paraId="239D6C21" w14:textId="77777777">
      <w:pPr>
        <w:rPr>
          <w:rFonts w:ascii="Times New Roman" w:hAnsi="Times New Roman"/>
          <w:b/>
          <w:i/>
        </w:rPr>
      </w:pPr>
    </w:p>
    <w:p w:rsidR="00FD549D" w:rsidRPr="00494B6E" w:rsidP="00494B6E" w14:paraId="6949E43C" w14:textId="77777777">
      <w:pPr>
        <w:numPr>
          <w:ilvl w:val="0"/>
          <w:numId w:val="1"/>
        </w:numPr>
        <w:tabs>
          <w:tab w:val="left" w:pos="720"/>
        </w:tabs>
        <w:ind w:left="0" w:firstLine="0"/>
        <w:rPr>
          <w:rFonts w:ascii="Times New Roman" w:hAnsi="Times New Roman"/>
        </w:rPr>
      </w:pPr>
      <w:r w:rsidRPr="00494B6E">
        <w:rPr>
          <w:rFonts w:ascii="Times New Roman" w:hAnsi="Times New Roman"/>
          <w:b/>
        </w:rPr>
        <w:t xml:space="preserve">Solicitation of Public Comment and Other Consultations with the Public </w:t>
      </w:r>
    </w:p>
    <w:p w:rsidR="00494B6E" w:rsidP="00913122" w14:paraId="52C5BF1E" w14:textId="6C8450E9">
      <w:pPr>
        <w:pStyle w:val="ListParagraph"/>
        <w:rPr>
          <w:rFonts w:ascii="Times New Roman" w:hAnsi="Times New Roman"/>
          <w:iCs/>
          <w:lang w:eastAsia="ar-SA"/>
        </w:rPr>
      </w:pPr>
      <w:r w:rsidRPr="00494B6E">
        <w:rPr>
          <w:rFonts w:ascii="Times New Roman" w:hAnsi="Times New Roman"/>
          <w:lang w:eastAsia="ar-SA"/>
        </w:rPr>
        <w:t>The 60-day advance Federal Register Notice published on</w:t>
      </w:r>
      <w:r w:rsidR="00EA574A">
        <w:rPr>
          <w:rFonts w:ascii="Times New Roman" w:hAnsi="Times New Roman"/>
          <w:lang w:eastAsia="ar-SA"/>
        </w:rPr>
        <w:t xml:space="preserve"> April 27, 2026</w:t>
      </w:r>
      <w:r w:rsidRPr="00494B6E">
        <w:rPr>
          <w:rFonts w:ascii="Times New Roman" w:hAnsi="Times New Roman"/>
          <w:lang w:eastAsia="ar-SA"/>
        </w:rPr>
        <w:t>, at 91 FR </w:t>
      </w:r>
      <w:r w:rsidR="00EA574A">
        <w:rPr>
          <w:rFonts w:ascii="Times New Roman" w:hAnsi="Times New Roman"/>
          <w:lang w:eastAsia="ar-SA"/>
        </w:rPr>
        <w:t>22569</w:t>
      </w:r>
      <w:r w:rsidRPr="00494B6E">
        <w:rPr>
          <w:rFonts w:ascii="Times New Roman" w:hAnsi="Times New Roman"/>
          <w:lang w:eastAsia="ar-SA"/>
        </w:rPr>
        <w:t xml:space="preserve">, </w:t>
      </w:r>
      <w:r w:rsidRPr="00494B6E">
        <w:rPr>
          <w:rFonts w:ascii="Times New Roman" w:hAnsi="Times New Roman"/>
          <w:noProof/>
          <w:lang w:bidi="en-US"/>
        </w:rPr>
        <w:t>and we received</w:t>
      </w:r>
      <w:r w:rsidR="00913122">
        <w:rPr>
          <w:rFonts w:ascii="Times New Roman" w:hAnsi="Times New Roman"/>
          <w:noProof/>
          <w:lang w:bidi="en-US"/>
        </w:rPr>
        <w:t xml:space="preserve"> no</w:t>
      </w:r>
      <w:r w:rsidRPr="00494B6E">
        <w:rPr>
          <w:rFonts w:ascii="Times New Roman" w:hAnsi="Times New Roman"/>
          <w:noProof/>
          <w:lang w:bidi="en-US"/>
        </w:rPr>
        <w:t xml:space="preserve"> public comments</w:t>
      </w:r>
      <w:r w:rsidRPr="00494B6E">
        <w:rPr>
          <w:rFonts w:ascii="Times New Roman" w:hAnsi="Times New Roman"/>
          <w:lang w:eastAsia="ar-SA"/>
        </w:rPr>
        <w:t xml:space="preserve">.  </w:t>
      </w:r>
      <w:r w:rsidRPr="00913122">
        <w:rPr>
          <w:rFonts w:ascii="Times New Roman" w:hAnsi="Times New Roman"/>
          <w:lang w:eastAsia="ar-SA"/>
        </w:rPr>
        <w:t xml:space="preserve">The 30-day FRN published on </w:t>
      </w:r>
      <w:r w:rsidR="0094703F">
        <w:rPr>
          <w:rFonts w:ascii="Times New Roman" w:hAnsi="Times New Roman"/>
          <w:lang w:eastAsia="ar-SA"/>
        </w:rPr>
        <w:t>June 26, 2026</w:t>
      </w:r>
      <w:r w:rsidRPr="00913122">
        <w:rPr>
          <w:rFonts w:ascii="Times New Roman" w:hAnsi="Times New Roman"/>
        </w:rPr>
        <w:t xml:space="preserve">, at 91 FR </w:t>
      </w:r>
      <w:r w:rsidR="0094703F">
        <w:rPr>
          <w:rFonts w:ascii="Times New Roman" w:hAnsi="Times New Roman"/>
        </w:rPr>
        <w:t>38748</w:t>
      </w:r>
      <w:r w:rsidRPr="00913122">
        <w:rPr>
          <w:rFonts w:ascii="Times New Roman" w:hAnsi="Times New Roman"/>
        </w:rPr>
        <w:t xml:space="preserve">.  </w:t>
      </w:r>
      <w:r w:rsidRPr="00913122">
        <w:rPr>
          <w:rFonts w:ascii="Times New Roman" w:hAnsi="Times New Roman"/>
          <w:lang w:eastAsia="ar-SA"/>
        </w:rPr>
        <w:t xml:space="preserve">If we receive any comments in response to this Notice, we will forward them to OMB.  </w:t>
      </w:r>
      <w:r w:rsidRPr="00913122">
        <w:rPr>
          <w:rFonts w:ascii="Times New Roman" w:hAnsi="Times New Roman"/>
          <w:iCs/>
          <w:lang w:eastAsia="ar-SA"/>
        </w:rPr>
        <w:t>We did not consult with the public in the development revision of this form.</w:t>
      </w:r>
    </w:p>
    <w:p w:rsidR="00494B6E" w:rsidP="00494B6E" w14:paraId="56FB6280" w14:textId="77777777">
      <w:pPr>
        <w:tabs>
          <w:tab w:val="num" w:pos="90"/>
        </w:tabs>
        <w:ind w:left="90"/>
        <w:rPr>
          <w:rFonts w:ascii="Times New Roman" w:hAnsi="Times New Roman"/>
          <w:b/>
        </w:rPr>
      </w:pPr>
    </w:p>
    <w:p w:rsidR="00640A26" w:rsidP="004C51D7" w14:paraId="04FEBFB7" w14:textId="77777777">
      <w:pPr>
        <w:numPr>
          <w:ilvl w:val="0"/>
          <w:numId w:val="1"/>
        </w:numPr>
        <w:tabs>
          <w:tab w:val="num" w:pos="90"/>
          <w:tab w:val="clear" w:pos="720"/>
        </w:tabs>
        <w:ind w:left="90" w:hanging="90"/>
        <w:rPr>
          <w:rFonts w:ascii="Times New Roman" w:hAnsi="Times New Roman"/>
          <w:b/>
        </w:rPr>
      </w:pPr>
      <w:r w:rsidRPr="00BC7F42">
        <w:rPr>
          <w:rFonts w:ascii="Times New Roman" w:hAnsi="Times New Roman"/>
          <w:b/>
        </w:rPr>
        <w:t>Payment or Gifts to Respondents</w:t>
      </w:r>
    </w:p>
    <w:p w:rsidR="00A45D82" w:rsidRPr="00392B5B" w:rsidP="00A45D82" w14:paraId="3C0D8295" w14:textId="77777777">
      <w:pPr>
        <w:ind w:left="720"/>
        <w:rPr>
          <w:rFonts w:ascii="Times New Roman" w:hAnsi="Times New Roman"/>
        </w:rPr>
      </w:pPr>
      <w:r w:rsidRPr="00392B5B">
        <w:rPr>
          <w:rFonts w:ascii="Times New Roman" w:hAnsi="Times New Roman"/>
        </w:rPr>
        <w:t>SSA does not provide payments or gifts</w:t>
      </w:r>
      <w:r w:rsidRPr="00392B5B">
        <w:rPr>
          <w:rFonts w:ascii="Times New Roman" w:hAnsi="Times New Roman"/>
        </w:rPr>
        <w:t xml:space="preserve"> to the respondents. </w:t>
      </w:r>
    </w:p>
    <w:p w:rsidR="00A45D82" w:rsidRPr="00BC7F42" w:rsidP="00A45D82" w14:paraId="6D576352" w14:textId="77777777">
      <w:pPr>
        <w:rPr>
          <w:rFonts w:ascii="Times New Roman" w:hAnsi="Times New Roman"/>
        </w:rPr>
      </w:pPr>
    </w:p>
    <w:p w:rsidR="00795BAB" w:rsidP="004C51D7" w14:paraId="4C8A2EC9" w14:textId="77777777">
      <w:pPr>
        <w:numPr>
          <w:ilvl w:val="0"/>
          <w:numId w:val="1"/>
        </w:numPr>
        <w:tabs>
          <w:tab w:val="num" w:pos="0"/>
          <w:tab w:val="clear" w:pos="720"/>
        </w:tabs>
        <w:ind w:left="0" w:firstLine="0"/>
        <w:rPr>
          <w:rFonts w:ascii="Times New Roman" w:hAnsi="Times New Roman"/>
          <w:b/>
        </w:rPr>
      </w:pPr>
      <w:r w:rsidRPr="00BC7F42">
        <w:rPr>
          <w:rFonts w:ascii="Times New Roman" w:hAnsi="Times New Roman"/>
          <w:b/>
        </w:rPr>
        <w:t>Assurances of Confidentiality</w:t>
      </w:r>
    </w:p>
    <w:p w:rsidR="00A45D82" w:rsidP="00A45D82" w14:paraId="6C31A15E" w14:textId="77777777">
      <w:pPr>
        <w:ind w:left="720"/>
        <w:rPr>
          <w:rFonts w:ascii="Times New Roman" w:hAnsi="Times New Roman"/>
          <w:color w:val="0000FF"/>
        </w:rPr>
      </w:pPr>
      <w:r w:rsidRPr="00392B5B">
        <w:rPr>
          <w:rFonts w:ascii="Times New Roman" w:hAnsi="Times New Roman"/>
        </w:rPr>
        <w:t>SSA pro</w:t>
      </w:r>
      <w:r w:rsidRPr="00392B5B" w:rsidR="00D0011E">
        <w:rPr>
          <w:rFonts w:ascii="Times New Roman" w:hAnsi="Times New Roman"/>
        </w:rPr>
        <w:t xml:space="preserve">tects and holds confidential the information it </w:t>
      </w:r>
      <w:r w:rsidRPr="00392B5B" w:rsidR="00E0137B">
        <w:rPr>
          <w:rFonts w:ascii="Times New Roman" w:hAnsi="Times New Roman"/>
        </w:rPr>
        <w:t>collects</w:t>
      </w:r>
      <w:r w:rsidRPr="00392B5B" w:rsidR="00D0011E">
        <w:rPr>
          <w:rFonts w:ascii="Times New Roman" w:hAnsi="Times New Roman"/>
        </w:rPr>
        <w:t xml:space="preserve"> i</w:t>
      </w:r>
      <w:r w:rsidRPr="00392B5B">
        <w:rPr>
          <w:rFonts w:ascii="Times New Roman" w:hAnsi="Times New Roman"/>
        </w:rPr>
        <w:t>n accordance with 4</w:t>
      </w:r>
      <w:r w:rsidRPr="005D76C6">
        <w:rPr>
          <w:rFonts w:ascii="Times New Roman" w:hAnsi="Times New Roman"/>
          <w:i/>
        </w:rPr>
        <w:t>2</w:t>
      </w:r>
      <w:r w:rsidR="00A10EB1">
        <w:rPr>
          <w:rFonts w:ascii="Times New Roman" w:hAnsi="Times New Roman"/>
          <w:i/>
        </w:rPr>
        <w:t> </w:t>
      </w:r>
      <w:r w:rsidRPr="005D76C6">
        <w:rPr>
          <w:rFonts w:ascii="Times New Roman" w:hAnsi="Times New Roman"/>
          <w:i/>
        </w:rPr>
        <w:t>U.S.C. 1306</w:t>
      </w:r>
      <w:r w:rsidRPr="00392B5B">
        <w:rPr>
          <w:rFonts w:ascii="Times New Roman" w:hAnsi="Times New Roman"/>
        </w:rPr>
        <w:t>,</w:t>
      </w:r>
      <w:r w:rsidRPr="005D76C6">
        <w:rPr>
          <w:rFonts w:ascii="Times New Roman" w:hAnsi="Times New Roman"/>
          <w:i/>
        </w:rPr>
        <w:t xml:space="preserve"> 20 CFR 401</w:t>
      </w:r>
      <w:r w:rsidRPr="00392B5B">
        <w:rPr>
          <w:rFonts w:ascii="Times New Roman" w:hAnsi="Times New Roman"/>
        </w:rPr>
        <w:t xml:space="preserve"> and 4</w:t>
      </w:r>
      <w:r w:rsidRPr="005D76C6">
        <w:rPr>
          <w:rFonts w:ascii="Times New Roman" w:hAnsi="Times New Roman"/>
          <w:i/>
        </w:rPr>
        <w:t>02, 5 U.S.C. 552</w:t>
      </w:r>
      <w:r w:rsidRPr="00392B5B">
        <w:rPr>
          <w:rFonts w:ascii="Times New Roman" w:hAnsi="Times New Roman"/>
        </w:rPr>
        <w:t xml:space="preserve"> (Freedom of Information Act), </w:t>
      </w:r>
      <w:r w:rsidRPr="005D76C6">
        <w:rPr>
          <w:rFonts w:ascii="Times New Roman" w:hAnsi="Times New Roman"/>
          <w:i/>
        </w:rPr>
        <w:t>5</w:t>
      </w:r>
      <w:r w:rsidR="00A10EB1">
        <w:rPr>
          <w:rFonts w:ascii="Times New Roman" w:hAnsi="Times New Roman"/>
          <w:i/>
        </w:rPr>
        <w:t> </w:t>
      </w:r>
      <w:r w:rsidRPr="005D76C6">
        <w:rPr>
          <w:rFonts w:ascii="Times New Roman" w:hAnsi="Times New Roman"/>
          <w:i/>
        </w:rPr>
        <w:t>U.S.C. 552a</w:t>
      </w:r>
      <w:r w:rsidRPr="00392B5B">
        <w:rPr>
          <w:rFonts w:ascii="Times New Roman" w:hAnsi="Times New Roman"/>
        </w:rPr>
        <w:t xml:space="preserve"> (Privacy Act of 1974)</w:t>
      </w:r>
      <w:r w:rsidRPr="00392B5B" w:rsidR="00D0011E">
        <w:rPr>
          <w:rFonts w:ascii="Times New Roman" w:hAnsi="Times New Roman"/>
        </w:rPr>
        <w:t>,</w:t>
      </w:r>
      <w:r w:rsidRPr="00392B5B">
        <w:rPr>
          <w:rFonts w:ascii="Times New Roman" w:hAnsi="Times New Roman"/>
        </w:rPr>
        <w:t xml:space="preserve"> and OMB Circular No. A-130</w:t>
      </w:r>
      <w:r w:rsidRPr="00392B5B">
        <w:rPr>
          <w:rFonts w:ascii="Times New Roman" w:hAnsi="Times New Roman"/>
          <w:color w:val="0000FF"/>
        </w:rPr>
        <w:t>.</w:t>
      </w:r>
    </w:p>
    <w:p w:rsidR="00260A55" w:rsidRPr="00392B5B" w:rsidP="00A45D82" w14:paraId="470896DF" w14:textId="77777777">
      <w:pPr>
        <w:ind w:left="720"/>
        <w:rPr>
          <w:rFonts w:ascii="Times New Roman" w:hAnsi="Times New Roman"/>
        </w:rPr>
      </w:pPr>
    </w:p>
    <w:p w:rsidR="00D0011E" w:rsidP="004C51D7" w14:paraId="2F90CF71" w14:textId="77777777">
      <w:pPr>
        <w:numPr>
          <w:ilvl w:val="0"/>
          <w:numId w:val="1"/>
        </w:numPr>
        <w:ind w:left="0" w:firstLine="0"/>
        <w:rPr>
          <w:rFonts w:ascii="Times New Roman" w:hAnsi="Times New Roman"/>
          <w:b/>
        </w:rPr>
      </w:pPr>
      <w:r w:rsidRPr="00BC7F42">
        <w:rPr>
          <w:rFonts w:ascii="Times New Roman" w:hAnsi="Times New Roman"/>
          <w:b/>
        </w:rPr>
        <w:t>Justification for Sensitive Questions</w:t>
      </w:r>
    </w:p>
    <w:p w:rsidR="00A45D82" w:rsidP="00A45D82" w14:paraId="6172E124"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8326B6">
        <w:rPr>
          <w:rFonts w:ascii="Times New Roman" w:hAnsi="Times New Roman"/>
          <w:b w:val="0"/>
          <w:i w:val="0"/>
        </w:rPr>
        <w:t>The information collection does not contain any questions of a sensitive nature.</w:t>
      </w:r>
    </w:p>
    <w:p w:rsidR="00494B6E" w:rsidP="00A45D82" w14:paraId="0F33F9A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494B6E" w:rsidP="00494B6E" w14:paraId="57FDFBEC" w14:textId="77777777">
      <w:pPr>
        <w:numPr>
          <w:ilvl w:val="0"/>
          <w:numId w:val="1"/>
        </w:numPr>
        <w:ind w:left="0" w:firstLine="0"/>
        <w:jc w:val="both"/>
        <w:rPr>
          <w:rFonts w:ascii="Times New Roman" w:hAnsi="Times New Roman"/>
          <w:b/>
        </w:rPr>
      </w:pPr>
      <w:r w:rsidRPr="00EA7372">
        <w:rPr>
          <w:rFonts w:ascii="Times New Roman" w:hAnsi="Times New Roman"/>
          <w:b/>
        </w:rPr>
        <w:t>Estimates of Public Reporting Burden</w:t>
      </w:r>
    </w:p>
    <w:p w:rsidR="00FF6887" w:rsidRPr="00FF3706" w:rsidP="00FF3706" w14:paraId="02C0591C" w14:textId="3CFA2A24">
      <w:pPr>
        <w:pStyle w:val="ListParagraph"/>
        <w:rPr>
          <w:rFonts w:ascii="Times New Roman" w:hAnsi="Times New Roman"/>
        </w:rPr>
      </w:pPr>
      <w:r w:rsidRPr="00494B6E">
        <w:rPr>
          <w:rFonts w:ascii="Times New Roman" w:hAnsi="Times New Roman"/>
          <w:bCs/>
        </w:rPr>
        <w:t>Please see the burden chart below</w:t>
      </w:r>
      <w:r w:rsidRPr="00494B6E">
        <w:rPr>
          <w:rFonts w:ascii="Times New Roman" w:hAnsi="Times New Roman"/>
        </w:rPr>
        <w:t>:</w:t>
      </w:r>
    </w:p>
    <w:tbl>
      <w:tblPr>
        <w:tblStyle w:val="TableGrid1"/>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530"/>
        <w:gridCol w:w="1440"/>
        <w:gridCol w:w="1260"/>
        <w:gridCol w:w="1260"/>
        <w:gridCol w:w="1440"/>
        <w:gridCol w:w="1530"/>
        <w:gridCol w:w="1800"/>
      </w:tblGrid>
      <w:tr w14:paraId="0D5A61C1" w14:textId="77777777" w:rsidTr="00FF3706">
        <w:tblPrEx>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70"/>
        </w:trPr>
        <w:tc>
          <w:tcPr>
            <w:tcW w:w="1440" w:type="dxa"/>
          </w:tcPr>
          <w:p w:rsidR="00FF7CA6" w:rsidRPr="00494B6E" w:rsidP="00494B6E" w14:paraId="2827497C" w14:textId="77777777">
            <w:pPr>
              <w:rPr>
                <w:rFonts w:ascii="Times New Roman" w:hAnsi="Times New Roman"/>
                <w:b/>
              </w:rPr>
            </w:pPr>
            <w:bookmarkStart w:id="1" w:name="_Hlk131061898"/>
            <w:r w:rsidRPr="00494B6E">
              <w:rPr>
                <w:rFonts w:ascii="Times New Roman" w:hAnsi="Times New Roman"/>
                <w:b/>
              </w:rPr>
              <w:t>Method</w:t>
            </w:r>
          </w:p>
          <w:p w:rsidR="00FF7CA6" w:rsidRPr="00494B6E" w:rsidP="00494B6E" w14:paraId="063AEA60" w14:textId="77777777">
            <w:pPr>
              <w:widowControl/>
              <w:rPr>
                <w:rFonts w:ascii="Times New Roman" w:hAnsi="Times New Roman"/>
                <w:b/>
                <w:snapToGrid/>
              </w:rPr>
            </w:pPr>
            <w:r w:rsidRPr="00494B6E">
              <w:rPr>
                <w:rFonts w:ascii="Times New Roman" w:hAnsi="Times New Roman"/>
                <w:b/>
              </w:rPr>
              <w:t>of Completion</w:t>
            </w:r>
          </w:p>
        </w:tc>
        <w:tc>
          <w:tcPr>
            <w:tcW w:w="1530" w:type="dxa"/>
          </w:tcPr>
          <w:p w:rsidR="00FF7CA6" w:rsidRPr="00494B6E" w:rsidP="00494B6E" w14:paraId="1D3E2491" w14:textId="77777777">
            <w:pPr>
              <w:rPr>
                <w:rFonts w:ascii="Times New Roman" w:hAnsi="Times New Roman"/>
                <w:b/>
              </w:rPr>
            </w:pPr>
            <w:r w:rsidRPr="00494B6E">
              <w:rPr>
                <w:rFonts w:ascii="Times New Roman" w:hAnsi="Times New Roman"/>
                <w:b/>
              </w:rPr>
              <w:t xml:space="preserve">Number </w:t>
            </w:r>
          </w:p>
          <w:p w:rsidR="00FF7CA6" w:rsidRPr="00494B6E" w:rsidP="00494B6E" w14:paraId="740D9149" w14:textId="77777777">
            <w:pPr>
              <w:widowControl/>
              <w:rPr>
                <w:rFonts w:ascii="Times New Roman" w:hAnsi="Times New Roman"/>
                <w:b/>
                <w:snapToGrid/>
              </w:rPr>
            </w:pPr>
            <w:r w:rsidRPr="00494B6E">
              <w:rPr>
                <w:rFonts w:ascii="Times New Roman" w:hAnsi="Times New Roman"/>
                <w:b/>
              </w:rPr>
              <w:t>of Respondents</w:t>
            </w:r>
          </w:p>
        </w:tc>
        <w:tc>
          <w:tcPr>
            <w:tcW w:w="1440" w:type="dxa"/>
          </w:tcPr>
          <w:p w:rsidR="00FF7CA6" w:rsidRPr="00494B6E" w:rsidP="00494B6E" w14:paraId="478B89B7" w14:textId="77777777">
            <w:pPr>
              <w:rPr>
                <w:rFonts w:ascii="Times New Roman" w:hAnsi="Times New Roman"/>
                <w:b/>
              </w:rPr>
            </w:pPr>
            <w:r w:rsidRPr="00494B6E">
              <w:rPr>
                <w:rFonts w:ascii="Times New Roman" w:hAnsi="Times New Roman"/>
                <w:b/>
              </w:rPr>
              <w:t>Frequency</w:t>
            </w:r>
          </w:p>
          <w:p w:rsidR="00FF7CA6" w:rsidRPr="00494B6E" w:rsidP="00494B6E" w14:paraId="4F2F1669" w14:textId="77777777">
            <w:pPr>
              <w:rPr>
                <w:rFonts w:ascii="Times New Roman" w:hAnsi="Times New Roman"/>
                <w:b/>
              </w:rPr>
            </w:pPr>
            <w:r w:rsidRPr="00494B6E">
              <w:rPr>
                <w:rFonts w:ascii="Times New Roman" w:hAnsi="Times New Roman"/>
                <w:b/>
              </w:rPr>
              <w:t xml:space="preserve">of </w:t>
            </w:r>
          </w:p>
          <w:p w:rsidR="00FF7CA6" w:rsidRPr="00494B6E" w:rsidP="00494B6E" w14:paraId="5C7B8752" w14:textId="77777777">
            <w:pPr>
              <w:widowControl/>
              <w:rPr>
                <w:rFonts w:ascii="Times New Roman" w:hAnsi="Times New Roman"/>
                <w:b/>
                <w:snapToGrid/>
              </w:rPr>
            </w:pPr>
            <w:r w:rsidRPr="00494B6E">
              <w:rPr>
                <w:rFonts w:ascii="Times New Roman" w:hAnsi="Times New Roman"/>
                <w:b/>
              </w:rPr>
              <w:t>Response</w:t>
            </w:r>
          </w:p>
        </w:tc>
        <w:tc>
          <w:tcPr>
            <w:tcW w:w="1260" w:type="dxa"/>
          </w:tcPr>
          <w:p w:rsidR="00FF7CA6" w:rsidRPr="00494B6E" w:rsidP="00494B6E" w14:paraId="0A033214" w14:textId="77777777">
            <w:pPr>
              <w:widowControl/>
              <w:rPr>
                <w:rFonts w:ascii="Times New Roman" w:hAnsi="Times New Roman"/>
                <w:b/>
                <w:snapToGrid/>
                <w:lang w:eastAsia="zh-CN"/>
              </w:rPr>
            </w:pPr>
            <w:r w:rsidRPr="00494B6E">
              <w:rPr>
                <w:rFonts w:ascii="Times New Roman" w:hAnsi="Times New Roman"/>
                <w:b/>
              </w:rPr>
              <w:t>Average Burden Per Response (minutes)</w:t>
            </w:r>
          </w:p>
        </w:tc>
        <w:tc>
          <w:tcPr>
            <w:tcW w:w="1260" w:type="dxa"/>
          </w:tcPr>
          <w:p w:rsidR="00FF7CA6" w:rsidRPr="00494B6E" w:rsidP="00494B6E" w14:paraId="37A4E236" w14:textId="77777777">
            <w:pPr>
              <w:widowControl/>
              <w:rPr>
                <w:rFonts w:ascii="Times New Roman" w:hAnsi="Times New Roman"/>
                <w:b/>
                <w:snapToGrid/>
              </w:rPr>
            </w:pPr>
            <w:r w:rsidRPr="00494B6E">
              <w:rPr>
                <w:rFonts w:ascii="Times New Roman" w:hAnsi="Times New Roman"/>
                <w:b/>
              </w:rPr>
              <w:t xml:space="preserve">Estimated Total Annual Burden (hours) </w:t>
            </w:r>
          </w:p>
        </w:tc>
        <w:tc>
          <w:tcPr>
            <w:tcW w:w="1440" w:type="dxa"/>
          </w:tcPr>
          <w:p w:rsidR="00FF7CA6" w:rsidRPr="00494B6E" w:rsidP="00494B6E" w14:paraId="4B870D41" w14:textId="77777777">
            <w:pPr>
              <w:widowControl/>
              <w:rPr>
                <w:rFonts w:ascii="Times New Roman" w:hAnsi="Times New Roman"/>
                <w:b/>
                <w:snapToGrid/>
              </w:rPr>
            </w:pPr>
            <w:r w:rsidRPr="00494B6E">
              <w:rPr>
                <w:rFonts w:ascii="Times New Roman" w:hAnsi="Times New Roman"/>
                <w:b/>
                <w:bCs/>
              </w:rPr>
              <w:t>Average Theoretical Cost Amount (dollars)*</w:t>
            </w:r>
          </w:p>
        </w:tc>
        <w:tc>
          <w:tcPr>
            <w:tcW w:w="1530" w:type="dxa"/>
          </w:tcPr>
          <w:p w:rsidR="00FF7CA6" w:rsidRPr="006D0B34" w:rsidP="00FF7CA6" w14:paraId="4A8F9B18" w14:textId="77777777">
            <w:pPr>
              <w:suppressAutoHyphens/>
              <w:autoSpaceDE w:val="0"/>
              <w:autoSpaceDN w:val="0"/>
              <w:adjustRightInd w:val="0"/>
              <w:rPr>
                <w:rFonts w:ascii="Times New Roman" w:eastAsia="SimSun" w:hAnsi="Times New Roman"/>
                <w:b/>
                <w:lang w:eastAsia="ar-SA"/>
              </w:rPr>
            </w:pPr>
            <w:r w:rsidRPr="006D0B34">
              <w:rPr>
                <w:rFonts w:ascii="Times New Roman" w:eastAsia="SimSun" w:hAnsi="Times New Roman"/>
                <w:b/>
                <w:lang w:eastAsia="ar-SA"/>
              </w:rPr>
              <w:t xml:space="preserve">Average Wait Time in Field Office </w:t>
            </w:r>
          </w:p>
          <w:p w:rsidR="00FF7CA6" w:rsidRPr="00494B6E" w:rsidP="00FF7CA6" w14:paraId="04F71754" w14:textId="023DB6FF">
            <w:pPr>
              <w:widowControl/>
              <w:rPr>
                <w:rFonts w:ascii="Times New Roman" w:hAnsi="Times New Roman"/>
                <w:b/>
                <w:bCs/>
              </w:rPr>
            </w:pPr>
            <w:r w:rsidRPr="006D0B34">
              <w:rPr>
                <w:rFonts w:ascii="Times New Roman" w:eastAsia="SimSun" w:hAnsi="Times New Roman"/>
                <w:b/>
                <w:lang w:eastAsia="ar-SA"/>
              </w:rPr>
              <w:t>(minutes) **</w:t>
            </w:r>
          </w:p>
        </w:tc>
        <w:tc>
          <w:tcPr>
            <w:tcW w:w="1800" w:type="dxa"/>
          </w:tcPr>
          <w:p w:rsidR="00FF7CA6" w:rsidRPr="00494B6E" w:rsidP="00494B6E" w14:paraId="0236DA1E" w14:textId="54DB87D7">
            <w:pPr>
              <w:widowControl/>
              <w:rPr>
                <w:rFonts w:ascii="Times New Roman" w:hAnsi="Times New Roman"/>
                <w:b/>
                <w:snapToGrid/>
              </w:rPr>
            </w:pPr>
            <w:r w:rsidRPr="00494B6E">
              <w:rPr>
                <w:rFonts w:ascii="Times New Roman" w:hAnsi="Times New Roman"/>
                <w:b/>
                <w:bCs/>
              </w:rPr>
              <w:t>Total Annual Opportunity Cost (dollars) ***</w:t>
            </w:r>
          </w:p>
        </w:tc>
      </w:tr>
      <w:tr w14:paraId="31E5FC74" w14:textId="77777777" w:rsidTr="00FF3706">
        <w:tblPrEx>
          <w:tblW w:w="11700" w:type="dxa"/>
          <w:tblInd w:w="-1175" w:type="dxa"/>
          <w:tblLayout w:type="fixed"/>
          <w:tblLook w:val="04A0"/>
        </w:tblPrEx>
        <w:tc>
          <w:tcPr>
            <w:tcW w:w="1440" w:type="dxa"/>
          </w:tcPr>
          <w:p w:rsidR="00FF7CA6" w:rsidRPr="00C26B70" w:rsidP="00C26B70" w14:paraId="5F64ED13" w14:textId="3226E7ED">
            <w:pPr>
              <w:widowControl/>
              <w:spacing w:after="240"/>
              <w:rPr>
                <w:rFonts w:ascii="Times New Roman" w:hAnsi="Times New Roman"/>
                <w:snapToGrid/>
              </w:rPr>
            </w:pPr>
            <w:r w:rsidRPr="00C26B70">
              <w:rPr>
                <w:rFonts w:ascii="Times New Roman" w:hAnsi="Times New Roman"/>
                <w:lang w:eastAsia="ar-SA"/>
              </w:rPr>
              <w:t>SSA-640</w:t>
            </w:r>
          </w:p>
        </w:tc>
        <w:tc>
          <w:tcPr>
            <w:tcW w:w="1530" w:type="dxa"/>
          </w:tcPr>
          <w:p w:rsidR="00FF7CA6" w:rsidRPr="00C26B70" w:rsidP="00C26B70" w14:paraId="027FB2AE" w14:textId="199C2FD7">
            <w:pPr>
              <w:widowControl/>
              <w:spacing w:after="240"/>
              <w:jc w:val="right"/>
              <w:rPr>
                <w:rFonts w:ascii="Times New Roman" w:hAnsi="Times New Roman"/>
                <w:snapToGrid/>
              </w:rPr>
            </w:pPr>
            <w:r w:rsidRPr="00C26B70">
              <w:rPr>
                <w:rFonts w:ascii="Times New Roman" w:hAnsi="Times New Roman"/>
                <w:lang w:eastAsia="ar-SA"/>
              </w:rPr>
              <w:t>10</w:t>
            </w:r>
          </w:p>
        </w:tc>
        <w:tc>
          <w:tcPr>
            <w:tcW w:w="1440" w:type="dxa"/>
          </w:tcPr>
          <w:p w:rsidR="00FF7CA6" w:rsidRPr="00C26B70" w:rsidP="00C26B70" w14:paraId="77F66B97" w14:textId="204E6FF1">
            <w:pPr>
              <w:widowControl/>
              <w:spacing w:after="240"/>
              <w:jc w:val="right"/>
              <w:rPr>
                <w:rFonts w:ascii="Times New Roman" w:hAnsi="Times New Roman"/>
                <w:snapToGrid/>
              </w:rPr>
            </w:pPr>
            <w:r w:rsidRPr="00C26B70">
              <w:rPr>
                <w:rFonts w:ascii="Times New Roman" w:hAnsi="Times New Roman"/>
                <w:lang w:eastAsia="ar-SA"/>
              </w:rPr>
              <w:t>1</w:t>
            </w:r>
          </w:p>
        </w:tc>
        <w:tc>
          <w:tcPr>
            <w:tcW w:w="1260" w:type="dxa"/>
          </w:tcPr>
          <w:p w:rsidR="00FF7CA6" w:rsidRPr="00C26B70" w:rsidP="00C26B70" w14:paraId="438A6A68" w14:textId="53CA9605">
            <w:pPr>
              <w:widowControl/>
              <w:spacing w:after="240"/>
              <w:jc w:val="right"/>
              <w:rPr>
                <w:rFonts w:ascii="Times New Roman" w:hAnsi="Times New Roman"/>
                <w:snapToGrid/>
              </w:rPr>
            </w:pPr>
            <w:r w:rsidRPr="00C26B70">
              <w:rPr>
                <w:rFonts w:ascii="Times New Roman" w:hAnsi="Times New Roman"/>
                <w:lang w:eastAsia="ar-SA"/>
              </w:rPr>
              <w:t>120</w:t>
            </w:r>
          </w:p>
        </w:tc>
        <w:tc>
          <w:tcPr>
            <w:tcW w:w="1260" w:type="dxa"/>
          </w:tcPr>
          <w:p w:rsidR="00FF7CA6" w:rsidRPr="00C26B70" w:rsidP="00C26B70" w14:paraId="3020ED93" w14:textId="3BE1B3F1">
            <w:pPr>
              <w:widowControl/>
              <w:spacing w:after="240"/>
              <w:jc w:val="right"/>
              <w:rPr>
                <w:rFonts w:ascii="Times New Roman" w:hAnsi="Times New Roman"/>
                <w:snapToGrid/>
              </w:rPr>
            </w:pPr>
            <w:r w:rsidRPr="00C26B70">
              <w:rPr>
                <w:rFonts w:ascii="Times New Roman" w:hAnsi="Times New Roman"/>
                <w:lang w:eastAsia="ar-SA"/>
              </w:rPr>
              <w:t>20</w:t>
            </w:r>
          </w:p>
        </w:tc>
        <w:tc>
          <w:tcPr>
            <w:tcW w:w="1440" w:type="dxa"/>
          </w:tcPr>
          <w:p w:rsidR="00FF7CA6" w:rsidRPr="00C26B70" w:rsidP="00C26B70" w14:paraId="7A46F96A" w14:textId="2BA4AFEA">
            <w:pPr>
              <w:widowControl/>
              <w:spacing w:after="240"/>
              <w:jc w:val="right"/>
              <w:rPr>
                <w:rFonts w:ascii="Times New Roman" w:hAnsi="Times New Roman"/>
                <w:snapToGrid/>
              </w:rPr>
            </w:pPr>
            <w:r w:rsidRPr="00C26B70">
              <w:rPr>
                <w:rFonts w:ascii="Times New Roman" w:hAnsi="Times New Roman"/>
                <w:lang w:eastAsia="ar-SA"/>
              </w:rPr>
              <w:t>$23.</w:t>
            </w:r>
            <w:r>
              <w:rPr>
                <w:rFonts w:ascii="Times New Roman" w:hAnsi="Times New Roman"/>
                <w:lang w:eastAsia="ar-SA"/>
              </w:rPr>
              <w:t>91</w:t>
            </w:r>
            <w:r w:rsidRPr="00C26B70">
              <w:rPr>
                <w:rFonts w:ascii="Times New Roman" w:hAnsi="Times New Roman"/>
                <w:lang w:eastAsia="ar-SA"/>
              </w:rPr>
              <w:t>*</w:t>
            </w:r>
          </w:p>
        </w:tc>
        <w:tc>
          <w:tcPr>
            <w:tcW w:w="1530" w:type="dxa"/>
          </w:tcPr>
          <w:p w:rsidR="00FF7CA6" w:rsidRPr="00C26B70" w:rsidP="00C26B70" w14:paraId="3025EB15" w14:textId="6F54C6C7">
            <w:pPr>
              <w:widowControl/>
              <w:spacing w:after="240"/>
              <w:jc w:val="right"/>
              <w:rPr>
                <w:rFonts w:ascii="Times New Roman" w:hAnsi="Times New Roman"/>
                <w:lang w:eastAsia="ar-SA"/>
              </w:rPr>
            </w:pPr>
            <w:r>
              <w:rPr>
                <w:rFonts w:ascii="Times New Roman" w:hAnsi="Times New Roman"/>
                <w:lang w:eastAsia="ar-SA"/>
              </w:rPr>
              <w:t>2</w:t>
            </w:r>
            <w:r w:rsidR="004770AE">
              <w:rPr>
                <w:rFonts w:ascii="Times New Roman" w:hAnsi="Times New Roman"/>
                <w:lang w:eastAsia="ar-SA"/>
              </w:rPr>
              <w:t>0</w:t>
            </w:r>
          </w:p>
        </w:tc>
        <w:tc>
          <w:tcPr>
            <w:tcW w:w="1800" w:type="dxa"/>
          </w:tcPr>
          <w:p w:rsidR="00FF7CA6" w:rsidRPr="00C26B70" w:rsidP="00C26B70" w14:paraId="6B8A40D4" w14:textId="2819F49D">
            <w:pPr>
              <w:widowControl/>
              <w:spacing w:after="240"/>
              <w:jc w:val="right"/>
              <w:rPr>
                <w:rFonts w:ascii="Times New Roman" w:hAnsi="Times New Roman"/>
                <w:snapToGrid/>
              </w:rPr>
            </w:pPr>
            <w:r w:rsidRPr="00C26B70">
              <w:rPr>
                <w:rFonts w:ascii="Times New Roman" w:hAnsi="Times New Roman"/>
                <w:lang w:eastAsia="ar-SA"/>
              </w:rPr>
              <w:t>$</w:t>
            </w:r>
            <w:r w:rsidR="00E7792E">
              <w:rPr>
                <w:rFonts w:ascii="Times New Roman" w:hAnsi="Times New Roman"/>
                <w:lang w:eastAsia="ar-SA"/>
              </w:rPr>
              <w:t>5</w:t>
            </w:r>
            <w:r w:rsidR="004770AE">
              <w:rPr>
                <w:rFonts w:ascii="Times New Roman" w:hAnsi="Times New Roman"/>
                <w:lang w:eastAsia="ar-SA"/>
              </w:rPr>
              <w:t>50</w:t>
            </w:r>
            <w:r w:rsidRPr="00C26B70">
              <w:rPr>
                <w:rFonts w:ascii="Times New Roman" w:hAnsi="Times New Roman"/>
                <w:lang w:eastAsia="ar-SA"/>
              </w:rPr>
              <w:t>***</w:t>
            </w:r>
          </w:p>
        </w:tc>
      </w:tr>
    </w:tbl>
    <w:bookmarkEnd w:id="1"/>
    <w:p w:rsidR="009C052F" w:rsidRPr="00C26B70" w:rsidP="00F0313E" w14:paraId="454ECE50" w14:textId="05A64DD9">
      <w:pPr>
        <w:widowControl/>
        <w:spacing w:after="160" w:line="259" w:lineRule="auto"/>
        <w:ind w:left="720"/>
      </w:pPr>
      <w:r w:rsidRPr="00F0313E">
        <w:rPr>
          <w:rFonts w:ascii="Times New Roman" w:eastAsia="SimSun" w:hAnsi="Times New Roman"/>
          <w:snapToGrid/>
          <w:lang w:eastAsia="zh-CN"/>
        </w:rPr>
        <w:t xml:space="preserve">* </w:t>
      </w:r>
      <w:r w:rsidRPr="00F0313E" w:rsidR="00494B6E">
        <w:rPr>
          <w:rFonts w:ascii="Times New Roman" w:hAnsi="Times New Roman"/>
          <w:lang w:eastAsia="ar-SA"/>
        </w:rPr>
        <w:t>We based this figure by averaging both the average disability payments based on SSA's current FY 2026 data (</w:t>
      </w:r>
      <w:r>
        <w:fldChar w:fldCharType="begin"/>
      </w:r>
      <w:r w:rsidRPr="00F0313E" w:rsidR="00C26B70">
        <w:rPr>
          <w:rStyle w:val="Hyperlink"/>
          <w:rFonts w:ascii="Times New Roman" w:hAnsi="Times New Roman"/>
        </w:rPr>
        <w:instrText xml:space="preserve"> HYPERLINK "https://www.ssa.gov/oact/COLA/colaeffect.html" </w:instrText>
      </w:r>
      <w:r>
        <w:fldChar w:fldCharType="separate"/>
      </w:r>
      <w:r w:rsidRPr="00F0313E" w:rsidR="00C26B70">
        <w:rPr>
          <w:rStyle w:val="Hyperlink"/>
          <w:rFonts w:ascii="Times New Roman" w:hAnsi="Times New Roman"/>
        </w:rPr>
        <w:t>Effect of COLA on Average Social Security Benefits</w:t>
      </w:r>
      <w:r>
        <w:fldChar w:fldCharType="end"/>
      </w:r>
      <w:r w:rsidRPr="00F0313E" w:rsidR="00494B6E">
        <w:rPr>
          <w:rFonts w:ascii="Times New Roman" w:hAnsi="Times New Roman"/>
          <w:lang w:eastAsia="ar-SA"/>
        </w:rPr>
        <w:t>), and the average U.S. worker’s hourly wages, as reported by Bureau of Labor Statistics data (</w:t>
      </w:r>
      <w:r>
        <w:fldChar w:fldCharType="begin"/>
      </w:r>
      <w:r w:rsidRPr="00F0313E" w:rsidR="00494B6E">
        <w:rPr>
          <w:rStyle w:val="Hyperlink"/>
          <w:rFonts w:ascii="Times New Roman" w:hAnsi="Times New Roman"/>
        </w:rPr>
        <w:instrText xml:space="preserve"> HYPERLINK "https://data.bls.gov/oes/" \l "/industry/000000" </w:instrText>
      </w:r>
      <w:r>
        <w:fldChar w:fldCharType="separate"/>
      </w:r>
      <w:r w:rsidRPr="00F0313E" w:rsidR="00494B6E">
        <w:rPr>
          <w:rStyle w:val="Hyperlink"/>
          <w:rFonts w:ascii="Times New Roman" w:hAnsi="Times New Roman"/>
        </w:rPr>
        <w:t>Occupational Employment and Wage Statistics</w:t>
      </w:r>
      <w:r>
        <w:fldChar w:fldCharType="end"/>
      </w:r>
      <w:r w:rsidRPr="00F0313E" w:rsidR="00494B6E">
        <w:rPr>
          <w:rFonts w:ascii="Times New Roman" w:hAnsi="Times New Roman"/>
          <w:lang w:eastAsia="ar-SA"/>
        </w:rPr>
        <w:t>)</w:t>
      </w:r>
      <w:r w:rsidRPr="00F0313E">
        <w:rPr>
          <w:rFonts w:ascii="Times New Roman" w:eastAsia="SimSun" w:hAnsi="Times New Roman"/>
          <w:snapToGrid/>
          <w:lang w:eastAsia="ar-SA"/>
        </w:rPr>
        <w:t>.</w:t>
      </w:r>
    </w:p>
    <w:p w:rsidR="00E7792E" w:rsidRPr="0037710D" w:rsidP="00E7792E" w14:paraId="1D174E48" w14:textId="4E5CB24B">
      <w:pPr>
        <w:autoSpaceDE w:val="0"/>
        <w:autoSpaceDN w:val="0"/>
        <w:adjustRightInd w:val="0"/>
        <w:ind w:left="720"/>
        <w:contextualSpacing/>
        <w:rPr>
          <w:rFonts w:ascii="Times New Roman" w:hAnsi="Times New Roman"/>
        </w:rPr>
      </w:pPr>
      <w:r w:rsidRPr="0037710D">
        <w:rPr>
          <w:rFonts w:ascii="Times New Roman" w:hAnsi="Times New Roman"/>
        </w:rPr>
        <w:t>** We based this figure on the average FY 2026 wait time for field offices (22 minutes), based on SSA’s current management information data.  This figure reflects both data from our systems and the data posted on our public facing website (</w:t>
      </w:r>
      <w:hyperlink r:id="rId5" w:history="1">
        <w:r w:rsidRPr="0037710D">
          <w:rPr>
            <w:rStyle w:val="Hyperlink"/>
            <w:rFonts w:ascii="Times New Roman" w:hAnsi="Times New Roman"/>
          </w:rPr>
          <w:t>Social Security performance | SSA</w:t>
        </w:r>
      </w:hyperlink>
      <w:r w:rsidRPr="0037710D">
        <w:rPr>
          <w:rFonts w:ascii="Times New Roman" w:hAnsi="Times New Roman"/>
        </w:rPr>
        <w:t>) on the date we drafted this document.  As the figures fluctuate daily, the wait times may be different on the website than they appear here.  We continue to monitor our website and management information data on call back times to ensure we report updated figures when possible.</w:t>
      </w:r>
    </w:p>
    <w:p w:rsidR="00F0313E" w:rsidRPr="00F0313E" w:rsidP="00F0313E" w14:paraId="1FD751A5" w14:textId="77777777">
      <w:pPr>
        <w:widowControl/>
        <w:autoSpaceDE w:val="0"/>
        <w:autoSpaceDN w:val="0"/>
        <w:adjustRightInd w:val="0"/>
        <w:ind w:left="720"/>
        <w:rPr>
          <w:rFonts w:ascii="Times New Roman" w:eastAsia="SimSun" w:hAnsi="Times New Roman"/>
          <w:snapToGrid/>
          <w:lang w:eastAsia="zh-CN"/>
        </w:rPr>
      </w:pPr>
    </w:p>
    <w:p w:rsidR="009C052F" w:rsidRPr="009C052F" w:rsidP="004C51D7" w14:paraId="344DBB15" w14:textId="77777777">
      <w:pPr>
        <w:widowControl/>
        <w:ind w:left="720"/>
        <w:rPr>
          <w:rFonts w:ascii="Times New Roman" w:eastAsia="SimSun" w:hAnsi="Times New Roman"/>
          <w:snapToGrid/>
          <w:lang w:eastAsia="zh-CN"/>
        </w:rPr>
      </w:pPr>
      <w:r w:rsidRPr="009C052F">
        <w:rPr>
          <w:rFonts w:ascii="Times New Roman" w:eastAsia="SimSun" w:hAnsi="Times New Roman"/>
          <w:snapToGrid/>
          <w:lang w:eastAsia="zh-CN"/>
        </w:rPr>
        <w:t xml:space="preserve">*** </w:t>
      </w:r>
      <w:r w:rsidRPr="00494B6E" w:rsidR="00494B6E">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494B6E" w:rsidR="00494B6E">
        <w:rPr>
          <w:rFonts w:ascii="Times New Roman" w:hAnsi="Times New Roman"/>
          <w:b/>
          <w:bCs/>
          <w:u w:val="single"/>
        </w:rPr>
        <w:t>There is no actual charge to respondents to complete the application</w:t>
      </w:r>
      <w:r w:rsidRPr="00494B6E" w:rsidR="00494B6E">
        <w:rPr>
          <w:rFonts w:ascii="Times New Roman" w:hAnsi="Times New Roman"/>
        </w:rPr>
        <w:t>.</w:t>
      </w:r>
    </w:p>
    <w:p w:rsidR="009C052F" w:rsidRPr="009C052F" w:rsidP="009C052F" w14:paraId="250EE2B5" w14:textId="77777777">
      <w:pPr>
        <w:widowControl/>
        <w:rPr>
          <w:rFonts w:ascii="Times New Roman" w:eastAsia="SimSun" w:hAnsi="Times New Roman"/>
          <w:snapToGrid/>
          <w:lang w:eastAsia="zh-CN"/>
        </w:rPr>
      </w:pPr>
    </w:p>
    <w:p w:rsidR="00342C47" w:rsidP="00437078" w14:paraId="471BF792" w14:textId="77777777">
      <w:pPr>
        <w:ind w:left="720"/>
        <w:rPr>
          <w:rFonts w:ascii="Times New Roman" w:hAnsi="Times New Roman"/>
        </w:rPr>
      </w:pPr>
      <w:r w:rsidRPr="006C2A8B">
        <w:rPr>
          <w:rFonts w:ascii="Times New Roman" w:hAnsi="Times New Roman"/>
        </w:rPr>
        <w:t>In addition, OMB’s Office of Information and Regulatory Affairs</w:t>
      </w:r>
      <w:r>
        <w:rPr>
          <w:rFonts w:ascii="Times New Roman" w:hAnsi="Times New Roman"/>
        </w:rPr>
        <w:t xml:space="preserve"> (OIRA)</w:t>
      </w:r>
      <w:r w:rsidRPr="006C2A8B">
        <w:rPr>
          <w:rFonts w:ascii="Times New Roman" w:hAnsi="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83675C" w:rsidP="0083675C" w14:paraId="16F57043" w14:textId="77777777">
      <w:pPr>
        <w:ind w:left="720"/>
        <w:rPr>
          <w:rFonts w:ascii="Times New Roman" w:hAnsi="Times New Roman"/>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3"/>
        <w:gridCol w:w="1458"/>
        <w:gridCol w:w="1555"/>
        <w:gridCol w:w="1586"/>
        <w:gridCol w:w="1793"/>
      </w:tblGrid>
      <w:tr w14:paraId="54630FB5" w14:textId="77777777" w:rsidTr="004C51D7">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43" w:type="dxa"/>
          </w:tcPr>
          <w:p w:rsidR="0083675C" w:rsidRPr="0016591F" w:rsidP="00C04A38" w14:paraId="60E0741C" w14:textId="77777777">
            <w:pPr>
              <w:rPr>
                <w:rFonts w:ascii="Times New Roman" w:hAnsi="Times New Roman"/>
                <w:b/>
              </w:rPr>
            </w:pPr>
            <w:bookmarkStart w:id="2" w:name="_Hlk216349318"/>
            <w:r w:rsidRPr="0016591F">
              <w:rPr>
                <w:rFonts w:ascii="Times New Roman" w:hAnsi="Times New Roman"/>
                <w:b/>
              </w:rPr>
              <w:t>Total Number of Respondents Who Visit a Field Office</w:t>
            </w:r>
          </w:p>
        </w:tc>
        <w:tc>
          <w:tcPr>
            <w:tcW w:w="1458" w:type="dxa"/>
          </w:tcPr>
          <w:p w:rsidR="0083675C" w:rsidRPr="0016591F" w:rsidP="00C04A38" w14:paraId="1DD331BD" w14:textId="77777777">
            <w:pPr>
              <w:rPr>
                <w:rFonts w:ascii="Times New Roman" w:hAnsi="Times New Roman"/>
                <w:b/>
              </w:rPr>
            </w:pPr>
            <w:r w:rsidRPr="0016591F">
              <w:rPr>
                <w:rFonts w:ascii="Times New Roman" w:hAnsi="Times New Roman"/>
                <w:b/>
              </w:rPr>
              <w:t>Frequency of Response</w:t>
            </w:r>
          </w:p>
        </w:tc>
        <w:tc>
          <w:tcPr>
            <w:tcW w:w="1555" w:type="dxa"/>
          </w:tcPr>
          <w:p w:rsidR="0083675C" w:rsidRPr="0016591F" w:rsidP="00C04A38" w14:paraId="4A27D1C9" w14:textId="77777777">
            <w:pPr>
              <w:rPr>
                <w:rFonts w:ascii="Times New Roman" w:hAnsi="Times New Roman"/>
                <w:b/>
              </w:rPr>
            </w:pPr>
            <w:r w:rsidRPr="0016591F">
              <w:rPr>
                <w:rFonts w:ascii="Times New Roman" w:hAnsi="Times New Roman"/>
                <w:b/>
              </w:rPr>
              <w:t>Average One-Way Travel Time to a Field Office (minutes)</w:t>
            </w:r>
          </w:p>
        </w:tc>
        <w:tc>
          <w:tcPr>
            <w:tcW w:w="1586" w:type="dxa"/>
          </w:tcPr>
          <w:p w:rsidR="0083675C" w:rsidRPr="0016591F" w:rsidP="00C04A38" w14:paraId="74A7F9B6" w14:textId="77777777">
            <w:pPr>
              <w:rPr>
                <w:rFonts w:ascii="Times New Roman" w:hAnsi="Times New Roman"/>
                <w:b/>
              </w:rPr>
            </w:pPr>
            <w:r w:rsidRPr="0016591F">
              <w:rPr>
                <w:rFonts w:ascii="Times New Roman" w:hAnsi="Times New Roman"/>
                <w:b/>
              </w:rPr>
              <w:t>Estimated Total Travel Time to a Field Office (hours)</w:t>
            </w:r>
          </w:p>
        </w:tc>
        <w:tc>
          <w:tcPr>
            <w:tcW w:w="1793" w:type="dxa"/>
          </w:tcPr>
          <w:p w:rsidR="0083675C" w:rsidRPr="0016591F" w:rsidP="00C04A38" w14:paraId="6B23B852" w14:textId="77777777">
            <w:pPr>
              <w:rPr>
                <w:rFonts w:ascii="Times New Roman" w:hAnsi="Times New Roman"/>
                <w:b/>
              </w:rPr>
            </w:pPr>
            <w:r w:rsidRPr="0016591F">
              <w:rPr>
                <w:rFonts w:ascii="Times New Roman" w:hAnsi="Times New Roman"/>
                <w:b/>
              </w:rPr>
              <w:t>Total Annual Opportunity Cost for Travel Time (dollars)****</w:t>
            </w:r>
          </w:p>
        </w:tc>
      </w:tr>
      <w:tr w14:paraId="7393E190" w14:textId="77777777" w:rsidTr="004C51D7">
        <w:tblPrEx>
          <w:tblW w:w="0" w:type="auto"/>
          <w:tblInd w:w="715" w:type="dxa"/>
          <w:tblLook w:val="04A0"/>
        </w:tblPrEx>
        <w:trPr>
          <w:trHeight w:val="341"/>
        </w:trPr>
        <w:tc>
          <w:tcPr>
            <w:tcW w:w="2243" w:type="dxa"/>
          </w:tcPr>
          <w:p w:rsidR="0083675C" w:rsidRPr="0016591F" w:rsidP="00FF3706" w14:paraId="775E7E93" w14:textId="3373675B">
            <w:pPr>
              <w:jc w:val="right"/>
              <w:rPr>
                <w:rFonts w:ascii="Times New Roman" w:hAnsi="Times New Roman"/>
              </w:rPr>
            </w:pPr>
            <w:r>
              <w:rPr>
                <w:rFonts w:ascii="Times New Roman" w:hAnsi="Times New Roman"/>
              </w:rPr>
              <w:t>10</w:t>
            </w:r>
          </w:p>
        </w:tc>
        <w:tc>
          <w:tcPr>
            <w:tcW w:w="1458" w:type="dxa"/>
          </w:tcPr>
          <w:p w:rsidR="0083675C" w:rsidRPr="0016591F" w:rsidP="00C04A38" w14:paraId="7F2AB5D9" w14:textId="77777777">
            <w:pPr>
              <w:jc w:val="right"/>
              <w:rPr>
                <w:rFonts w:ascii="Times New Roman" w:hAnsi="Times New Roman"/>
              </w:rPr>
            </w:pPr>
            <w:r>
              <w:rPr>
                <w:rFonts w:ascii="Times New Roman" w:hAnsi="Times New Roman"/>
              </w:rPr>
              <w:t>1</w:t>
            </w:r>
          </w:p>
        </w:tc>
        <w:tc>
          <w:tcPr>
            <w:tcW w:w="1555" w:type="dxa"/>
          </w:tcPr>
          <w:p w:rsidR="0083675C" w:rsidRPr="0016591F" w:rsidP="00C04A38" w14:paraId="248F4E21" w14:textId="77777777">
            <w:pPr>
              <w:jc w:val="right"/>
              <w:rPr>
                <w:rFonts w:ascii="Times New Roman" w:hAnsi="Times New Roman"/>
              </w:rPr>
            </w:pPr>
            <w:r w:rsidRPr="0016591F">
              <w:rPr>
                <w:rFonts w:ascii="Times New Roman" w:hAnsi="Times New Roman"/>
              </w:rPr>
              <w:t>30</w:t>
            </w:r>
          </w:p>
        </w:tc>
        <w:tc>
          <w:tcPr>
            <w:tcW w:w="1586" w:type="dxa"/>
          </w:tcPr>
          <w:p w:rsidR="0083675C" w:rsidRPr="0016591F" w:rsidP="00C04A38" w14:paraId="28B50B0D" w14:textId="4FBE43B0">
            <w:pPr>
              <w:jc w:val="right"/>
              <w:rPr>
                <w:rFonts w:ascii="Times New Roman" w:hAnsi="Times New Roman"/>
              </w:rPr>
            </w:pPr>
            <w:r>
              <w:rPr>
                <w:rFonts w:ascii="Times New Roman" w:hAnsi="Times New Roman"/>
              </w:rPr>
              <w:t>5</w:t>
            </w:r>
          </w:p>
        </w:tc>
        <w:tc>
          <w:tcPr>
            <w:tcW w:w="1793" w:type="dxa"/>
          </w:tcPr>
          <w:p w:rsidR="0083675C" w:rsidRPr="0016591F" w:rsidP="00C04A38" w14:paraId="4475BB01" w14:textId="6B83EC63">
            <w:pPr>
              <w:jc w:val="right"/>
              <w:rPr>
                <w:rFonts w:ascii="Times New Roman" w:hAnsi="Times New Roman"/>
              </w:rPr>
            </w:pPr>
            <w:r>
              <w:rPr>
                <w:rFonts w:ascii="Times New Roman" w:hAnsi="Times New Roman"/>
              </w:rPr>
              <w:t>$</w:t>
            </w:r>
            <w:r w:rsidR="00E7792E">
              <w:rPr>
                <w:rFonts w:ascii="Times New Roman" w:hAnsi="Times New Roman"/>
              </w:rPr>
              <w:t>120</w:t>
            </w:r>
            <w:r w:rsidRPr="0016591F">
              <w:rPr>
                <w:rFonts w:ascii="Times New Roman" w:hAnsi="Times New Roman"/>
              </w:rPr>
              <w:t>****</w:t>
            </w:r>
          </w:p>
        </w:tc>
      </w:tr>
    </w:tbl>
    <w:bookmarkEnd w:id="2"/>
    <w:p w:rsidR="0083675C" w:rsidP="004C51D7" w14:paraId="0B41471A" w14:textId="77777777">
      <w:pPr>
        <w:ind w:left="720"/>
        <w:rPr>
          <w:rFonts w:ascii="Times New Roman" w:hAnsi="Times New Roman"/>
        </w:rPr>
      </w:pPr>
      <w:r>
        <w:rPr>
          <w:rFonts w:ascii="Times New Roman" w:hAnsi="Times New Roman"/>
        </w:rPr>
        <w:t>****We based this dollar amount on the Average Theoretical Hourly Cost Amount in dollars shown on the burden chart above.</w:t>
      </w:r>
    </w:p>
    <w:p w:rsidR="0083675C" w:rsidP="0083675C" w14:paraId="62517899" w14:textId="77777777">
      <w:pPr>
        <w:ind w:left="720"/>
        <w:rPr>
          <w:rFonts w:ascii="Times New Roman" w:hAnsi="Times New Roman"/>
        </w:rPr>
      </w:pPr>
    </w:p>
    <w:p w:rsidR="00437078" w:rsidP="00437078" w14:paraId="6A8C82B6" w14:textId="77777777">
      <w:pPr>
        <w:tabs>
          <w:tab w:val="left" w:pos="1530"/>
        </w:tabs>
        <w:ind w:left="720"/>
        <w:rPr>
          <w:rFonts w:ascii="Times New Roman" w:hAnsi="Times New Roman"/>
        </w:rPr>
      </w:pPr>
      <w:r>
        <w:rPr>
          <w:rFonts w:ascii="Times New Roman" w:hAnsi="Times New Roman"/>
        </w:rPr>
        <w:t xml:space="preserve">Per OIRA, we include this travel time burden estimate under the </w:t>
      </w:r>
      <w:r w:rsidRPr="00913122">
        <w:rPr>
          <w:rFonts w:ascii="Times New Roman" w:hAnsi="Times New Roman"/>
          <w:i/>
          <w:iCs/>
        </w:rPr>
        <w:t>5 CFR 1320.8(a)(4)</w:t>
      </w:r>
      <w:r>
        <w:rPr>
          <w:rFonts w:ascii="Times New Roman" w:hAnsi="Times New Roman"/>
        </w:rPr>
        <w:t xml:space="preserve">, which requires us to provide “time, effort, or financial resources expended by persons </w:t>
      </w:r>
      <w:r>
        <w:rPr>
          <w:rFonts w:ascii="Times New Roman" w:hAnsi="Times New Roman"/>
        </w:rPr>
        <w:t xml:space="preserve">[for]…transmitting, or otherwise disclosing the information,” as well as </w:t>
      </w:r>
      <w:r w:rsidRPr="00913122">
        <w:rPr>
          <w:rFonts w:ascii="Times New Roman" w:hAnsi="Times New Roman"/>
          <w:i/>
          <w:iCs/>
        </w:rPr>
        <w:t>5 CFR 1320.8(b)(3)(iii)</w:t>
      </w:r>
      <w:r>
        <w:rPr>
          <w:rFonts w:ascii="Times New Roman" w:hAnsi="Times New Roman"/>
        </w:rPr>
        <w:t xml:space="preserve">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437078" w:rsidP="00437078" w14:paraId="519F072C" w14:textId="6193071A">
      <w:pPr>
        <w:tabs>
          <w:tab w:val="left" w:pos="1530"/>
        </w:tabs>
        <w:ind w:left="720"/>
        <w:rPr>
          <w:rFonts w:ascii="Times New Roman" w:hAnsi="Times New Roman"/>
        </w:rPr>
      </w:pPr>
      <w:r>
        <w:rPr>
          <w:rFonts w:ascii="Times New Roman" w:hAnsi="Times New Roman"/>
        </w:rPr>
        <w:t>NOTE:</w:t>
      </w:r>
      <w:r w:rsidR="00EC0774">
        <w:rPr>
          <w:rFonts w:ascii="Times New Roman" w:hAnsi="Times New Roman"/>
        </w:rPr>
        <w:t xml:space="preserve">  </w:t>
      </w:r>
      <w:r>
        <w:rPr>
          <w:rFonts w:ascii="Times New Roman" w:hAnsi="Times New Roman"/>
        </w:rPr>
        <w:t>We included the total opportunity cost estimate from this chart in our calculations when showing the total time and opportunity cost estimates in the paragraph below.</w:t>
      </w:r>
    </w:p>
    <w:p w:rsidR="00437078" w:rsidP="00437078" w14:paraId="5CE30836" w14:textId="77777777">
      <w:pPr>
        <w:tabs>
          <w:tab w:val="left" w:pos="1530"/>
        </w:tabs>
        <w:ind w:left="720"/>
        <w:rPr>
          <w:rFonts w:ascii="Times New Roman" w:hAnsi="Times New Roman"/>
        </w:rPr>
      </w:pPr>
    </w:p>
    <w:p w:rsidR="00437078" w:rsidP="00437078" w14:paraId="0CBEE8AC" w14:textId="77777777">
      <w:pPr>
        <w:tabs>
          <w:tab w:val="left" w:pos="1530"/>
        </w:tabs>
        <w:ind w:left="720"/>
        <w:rPr>
          <w:rFonts w:ascii="Times New Roman" w:hAnsi="Times New Roman"/>
        </w:rPr>
      </w:pPr>
      <w:r>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437078" w:rsidP="00437078" w14:paraId="12F0B4ED" w14:textId="77777777">
      <w:pPr>
        <w:tabs>
          <w:tab w:val="left" w:pos="1530"/>
        </w:tabs>
        <w:ind w:left="720"/>
        <w:rPr>
          <w:rFonts w:ascii="Times New Roman" w:hAnsi="Times New Roman"/>
        </w:rPr>
      </w:pPr>
    </w:p>
    <w:tbl>
      <w:tblPr>
        <w:tblW w:w="82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9"/>
        <w:gridCol w:w="1358"/>
        <w:gridCol w:w="1513"/>
        <w:gridCol w:w="1590"/>
        <w:gridCol w:w="1683"/>
      </w:tblGrid>
      <w:tr w14:paraId="47A41E44" w14:textId="77777777" w:rsidTr="00E7792E">
        <w:tblPrEx>
          <w:tblW w:w="82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2089" w:type="dxa"/>
          </w:tcPr>
          <w:p w:rsidR="00437078" w:rsidRPr="0016591F" w:rsidP="00541E55" w14:paraId="3759A28B" w14:textId="77777777">
            <w:pPr>
              <w:rPr>
                <w:rFonts w:ascii="Times New Roman" w:hAnsi="Times New Roman"/>
                <w:b/>
              </w:rPr>
            </w:pPr>
            <w:r>
              <w:rPr>
                <w:rFonts w:ascii="Times New Roman" w:hAnsi="Times New Roman"/>
                <w:b/>
              </w:rPr>
              <w:t>Total Number of Respondents</w:t>
            </w:r>
            <w:r w:rsidRPr="0016591F">
              <w:rPr>
                <w:rFonts w:ascii="Times New Roman" w:hAnsi="Times New Roman"/>
                <w:b/>
              </w:rPr>
              <w:t xml:space="preserve"> </w:t>
            </w:r>
          </w:p>
        </w:tc>
        <w:tc>
          <w:tcPr>
            <w:tcW w:w="1358" w:type="dxa"/>
          </w:tcPr>
          <w:p w:rsidR="00437078" w:rsidRPr="0016591F" w:rsidP="00541E55" w14:paraId="04BD7C0D" w14:textId="77777777">
            <w:pPr>
              <w:rPr>
                <w:rFonts w:ascii="Times New Roman" w:hAnsi="Times New Roman"/>
                <w:b/>
              </w:rPr>
            </w:pPr>
            <w:r w:rsidRPr="0016591F">
              <w:rPr>
                <w:rFonts w:ascii="Times New Roman" w:hAnsi="Times New Roman"/>
                <w:b/>
              </w:rPr>
              <w:t>Frequency of</w:t>
            </w:r>
            <w:r>
              <w:rPr>
                <w:rFonts w:ascii="Times New Roman" w:hAnsi="Times New Roman"/>
                <w:b/>
              </w:rPr>
              <w:t xml:space="preserve"> </w:t>
            </w:r>
            <w:r w:rsidRPr="0016591F">
              <w:rPr>
                <w:rFonts w:ascii="Times New Roman" w:hAnsi="Times New Roman"/>
                <w:b/>
              </w:rPr>
              <w:t>Response</w:t>
            </w:r>
          </w:p>
        </w:tc>
        <w:tc>
          <w:tcPr>
            <w:tcW w:w="1513" w:type="dxa"/>
          </w:tcPr>
          <w:p w:rsidR="00437078" w:rsidRPr="0016591F" w:rsidP="00541E55" w14:paraId="744CB21F" w14:textId="77777777">
            <w:pPr>
              <w:rPr>
                <w:rFonts w:ascii="Times New Roman" w:hAnsi="Times New Roman"/>
                <w:b/>
              </w:rPr>
            </w:pPr>
            <w:r>
              <w:rPr>
                <w:rFonts w:ascii="Times New Roman" w:hAnsi="Times New Roman"/>
                <w:b/>
              </w:rPr>
              <w:t>Estimate Learning Cost (minutes)</w:t>
            </w:r>
          </w:p>
        </w:tc>
        <w:tc>
          <w:tcPr>
            <w:tcW w:w="1590" w:type="dxa"/>
          </w:tcPr>
          <w:p w:rsidR="00437078" w:rsidP="00541E55" w14:paraId="3D5A4054"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683" w:type="dxa"/>
          </w:tcPr>
          <w:p w:rsidR="00437078" w:rsidRPr="0016591F" w:rsidP="00541E55" w14:paraId="4A62B41A" w14:textId="77777777">
            <w:pPr>
              <w:rPr>
                <w:rFonts w:ascii="Times New Roman" w:hAnsi="Times New Roman"/>
                <w:b/>
              </w:rPr>
            </w:pPr>
            <w:r w:rsidRPr="0016591F">
              <w:rPr>
                <w:rFonts w:ascii="Times New Roman" w:hAnsi="Times New Roman"/>
                <w:b/>
              </w:rPr>
              <w:t xml:space="preserve">Total Annual </w:t>
            </w:r>
            <w:r>
              <w:rPr>
                <w:rFonts w:ascii="Times New Roman" w:hAnsi="Times New Roman"/>
                <w:b/>
              </w:rPr>
              <w:t xml:space="preserve">Learning Cost </w:t>
            </w:r>
            <w:r w:rsidRPr="0016591F">
              <w:rPr>
                <w:rFonts w:ascii="Times New Roman" w:hAnsi="Times New Roman"/>
                <w:b/>
              </w:rPr>
              <w:t>(dollars)**</w:t>
            </w:r>
            <w:r>
              <w:rPr>
                <w:rFonts w:ascii="Times New Roman" w:hAnsi="Times New Roman"/>
                <w:b/>
              </w:rPr>
              <w:t>***</w:t>
            </w:r>
          </w:p>
        </w:tc>
      </w:tr>
      <w:tr w14:paraId="589D206E" w14:textId="77777777" w:rsidTr="00E7792E">
        <w:tblPrEx>
          <w:tblW w:w="8233" w:type="dxa"/>
          <w:tblInd w:w="715" w:type="dxa"/>
          <w:tblLook w:val="04A0"/>
        </w:tblPrEx>
        <w:trPr>
          <w:trHeight w:val="306"/>
        </w:trPr>
        <w:tc>
          <w:tcPr>
            <w:tcW w:w="2089" w:type="dxa"/>
          </w:tcPr>
          <w:p w:rsidR="00E7792E" w:rsidRPr="0016591F" w:rsidP="00FF3706" w14:paraId="7E29E1DA" w14:textId="3E6C3990">
            <w:pPr>
              <w:jc w:val="right"/>
              <w:rPr>
                <w:rFonts w:ascii="Times New Roman" w:hAnsi="Times New Roman"/>
              </w:rPr>
            </w:pPr>
            <w:r>
              <w:rPr>
                <w:rFonts w:ascii="Times New Roman" w:hAnsi="Times New Roman"/>
              </w:rPr>
              <w:t>10</w:t>
            </w:r>
          </w:p>
        </w:tc>
        <w:tc>
          <w:tcPr>
            <w:tcW w:w="1358" w:type="dxa"/>
          </w:tcPr>
          <w:p w:rsidR="00E7792E" w:rsidRPr="0016591F" w:rsidP="00E7792E" w14:paraId="27CA6F85" w14:textId="0512C888">
            <w:pPr>
              <w:jc w:val="right"/>
              <w:rPr>
                <w:rFonts w:ascii="Times New Roman" w:hAnsi="Times New Roman"/>
              </w:rPr>
            </w:pPr>
            <w:r>
              <w:rPr>
                <w:rFonts w:ascii="Times New Roman" w:hAnsi="Times New Roman"/>
              </w:rPr>
              <w:t>1</w:t>
            </w:r>
          </w:p>
        </w:tc>
        <w:tc>
          <w:tcPr>
            <w:tcW w:w="1513" w:type="dxa"/>
          </w:tcPr>
          <w:p w:rsidR="00E7792E" w:rsidRPr="0016591F" w:rsidP="00E7792E" w14:paraId="1C24F698" w14:textId="6F61497B">
            <w:pPr>
              <w:jc w:val="right"/>
              <w:rPr>
                <w:rFonts w:ascii="Times New Roman" w:hAnsi="Times New Roman"/>
              </w:rPr>
            </w:pPr>
            <w:r>
              <w:rPr>
                <w:rFonts w:ascii="Times New Roman" w:hAnsi="Times New Roman"/>
              </w:rPr>
              <w:t>10</w:t>
            </w:r>
          </w:p>
        </w:tc>
        <w:tc>
          <w:tcPr>
            <w:tcW w:w="1590" w:type="dxa"/>
          </w:tcPr>
          <w:p w:rsidR="00E7792E" w:rsidP="00E7792E" w14:paraId="5114DE50" w14:textId="2E3CAF84">
            <w:pPr>
              <w:jc w:val="right"/>
              <w:rPr>
                <w:rFonts w:ascii="Times New Roman" w:hAnsi="Times New Roman"/>
              </w:rPr>
            </w:pPr>
            <w:r>
              <w:rPr>
                <w:rFonts w:ascii="Times New Roman" w:hAnsi="Times New Roman"/>
              </w:rPr>
              <w:t>2</w:t>
            </w:r>
          </w:p>
        </w:tc>
        <w:tc>
          <w:tcPr>
            <w:tcW w:w="1683" w:type="dxa"/>
          </w:tcPr>
          <w:p w:rsidR="00E7792E" w:rsidRPr="0016591F" w:rsidP="00E7792E" w14:paraId="28A18CA3" w14:textId="77A9D0BF">
            <w:pPr>
              <w:jc w:val="right"/>
              <w:rPr>
                <w:rFonts w:ascii="Times New Roman" w:hAnsi="Times New Roman"/>
              </w:rPr>
            </w:pPr>
            <w:r>
              <w:rPr>
                <w:rFonts w:ascii="Times New Roman" w:hAnsi="Times New Roman"/>
              </w:rPr>
              <w:t>48*****</w:t>
            </w:r>
          </w:p>
        </w:tc>
      </w:tr>
    </w:tbl>
    <w:p w:rsidR="00437078" w:rsidP="00437078" w14:paraId="1EF20649" w14:textId="77777777">
      <w:pPr>
        <w:tabs>
          <w:tab w:val="left" w:pos="1530"/>
        </w:tabs>
        <w:ind w:left="720"/>
        <w:rPr>
          <w:rFonts w:ascii="Times New Roman" w:hAnsi="Times New Roman"/>
        </w:rPr>
      </w:pPr>
      <w:r>
        <w:rPr>
          <w:rFonts w:ascii="Times New Roman" w:hAnsi="Times New Roman"/>
        </w:rPr>
        <w:t>*****We based this dollar amount on the Average Theoretical Hourly Cost Amount in dollars shown on the burden chart above.</w:t>
      </w:r>
    </w:p>
    <w:p w:rsidR="00437078" w:rsidP="00437078" w14:paraId="45E7EEB1" w14:textId="77777777">
      <w:pPr>
        <w:tabs>
          <w:tab w:val="left" w:pos="1530"/>
        </w:tabs>
        <w:ind w:left="720"/>
        <w:rPr>
          <w:rFonts w:ascii="Times New Roman" w:hAnsi="Times New Roman"/>
        </w:rPr>
      </w:pPr>
    </w:p>
    <w:p w:rsidR="00437078" w:rsidP="00437078" w14:paraId="6DBCE3C6" w14:textId="77777777">
      <w:pPr>
        <w:tabs>
          <w:tab w:val="left" w:pos="1530"/>
        </w:tabs>
        <w:ind w:left="72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437078" w:rsidP="009C052F" w14:paraId="027B1D37" w14:textId="77777777">
      <w:pPr>
        <w:jc w:val="both"/>
        <w:rPr>
          <w:rFonts w:ascii="Times New Roman" w:hAnsi="Times New Roman"/>
          <w:b/>
        </w:rPr>
      </w:pPr>
    </w:p>
    <w:p w:rsidR="00CE7616" w:rsidRPr="0055112B" w:rsidP="004C51D7" w14:paraId="481C8B3D" w14:textId="256E9B60">
      <w:pPr>
        <w:pStyle w:val="ListParagraph"/>
        <w:rPr>
          <w:rFonts w:ascii="Times New Roman" w:hAnsi="Times New Roman"/>
          <w:i/>
        </w:rPr>
      </w:pPr>
      <w:r w:rsidRPr="00CE7616">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00B63545">
        <w:rPr>
          <w:rFonts w:ascii="Times New Roman" w:hAnsi="Times New Roman"/>
          <w:b/>
          <w:bCs/>
          <w:noProof/>
        </w:rPr>
        <w:t>120</w:t>
      </w:r>
      <w:r w:rsidRPr="00CE7616">
        <w:rPr>
          <w:rFonts w:ascii="Times New Roman" w:hAnsi="Times New Roman"/>
          <w:noProof/>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CE7616">
        <w:rPr>
          <w:rFonts w:ascii="Times New Roman" w:hAnsi="Times New Roman"/>
        </w:rPr>
        <w:t xml:space="preserve">.  The total burden for this ICR is </w:t>
      </w:r>
      <w:r w:rsidR="00B63545">
        <w:rPr>
          <w:rFonts w:ascii="Times New Roman" w:hAnsi="Times New Roman"/>
          <w:b/>
          <w:bCs/>
        </w:rPr>
        <w:t xml:space="preserve">20 </w:t>
      </w:r>
      <w:r w:rsidRPr="00CE7616">
        <w:rPr>
          <w:rFonts w:ascii="Times New Roman" w:hAnsi="Times New Roman"/>
        </w:rPr>
        <w:t>burden hours (reflecting SSA management information data), which results in an associated theoretical (not actual) opportunity cost financial burden of</w:t>
      </w:r>
      <w:r w:rsidR="001A065D">
        <w:rPr>
          <w:rFonts w:ascii="Times New Roman" w:hAnsi="Times New Roman"/>
          <w:b/>
        </w:rPr>
        <w:t xml:space="preserve"> </w:t>
      </w:r>
      <w:r w:rsidRPr="008B5690" w:rsidR="001A065D">
        <w:rPr>
          <w:rFonts w:ascii="Times New Roman" w:hAnsi="Times New Roman"/>
          <w:b/>
          <w:snapToGrid/>
          <w:sz w:val="22"/>
          <w:szCs w:val="22"/>
        </w:rPr>
        <w:t>$</w:t>
      </w:r>
      <w:r w:rsidR="004770AE">
        <w:rPr>
          <w:rFonts w:ascii="Times New Roman" w:hAnsi="Times New Roman"/>
          <w:b/>
          <w:snapToGrid/>
          <w:sz w:val="22"/>
          <w:szCs w:val="22"/>
        </w:rPr>
        <w:t>550</w:t>
      </w:r>
      <w:r w:rsidRPr="00CE7616" w:rsidR="00F30884">
        <w:rPr>
          <w:rFonts w:ascii="Times New Roman" w:hAnsi="Times New Roman"/>
        </w:rPr>
        <w:t>.</w:t>
      </w:r>
      <w:r w:rsidR="00F30884">
        <w:rPr>
          <w:rFonts w:ascii="Times New Roman" w:hAnsi="Times New Roman"/>
        </w:rPr>
        <w:t xml:space="preserve">  </w:t>
      </w:r>
      <w:r w:rsidRPr="00CE7616">
        <w:rPr>
          <w:rFonts w:ascii="Times New Roman" w:hAnsi="Times New Roman"/>
        </w:rPr>
        <w:t>SSA does not charge respondents to complete our applications</w:t>
      </w:r>
      <w:r>
        <w:rPr>
          <w:rFonts w:ascii="Times New Roman" w:hAnsi="Times New Roman"/>
          <w:i/>
        </w:rPr>
        <w:t>.</w:t>
      </w:r>
    </w:p>
    <w:p w:rsidR="0050197F" w:rsidRPr="00E27674" w:rsidP="00E27674" w14:paraId="0A168F36" w14:textId="77777777">
      <w:pPr>
        <w:rPr>
          <w:rFonts w:ascii="Times New Roman" w:hAnsi="Times New Roman"/>
        </w:rPr>
      </w:pPr>
    </w:p>
    <w:p w:rsidR="00A45D82" w:rsidRPr="00BC7F42" w:rsidP="004C51D7" w14:paraId="1E80D240" w14:textId="77777777">
      <w:pPr>
        <w:rPr>
          <w:rFonts w:ascii="Times New Roman" w:hAnsi="Times New Roman"/>
        </w:rPr>
      </w:pPr>
      <w:r w:rsidRPr="004C51D7">
        <w:rPr>
          <w:rFonts w:ascii="Times New Roman" w:hAnsi="Times New Roman"/>
          <w:b/>
          <w:bCs/>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P="00A45D82" w14:paraId="4F0EAD9A" w14:textId="77777777">
      <w:pPr>
        <w:ind w:firstLine="720"/>
        <w:rPr>
          <w:rFonts w:ascii="Times New Roman" w:hAnsi="Times New Roman"/>
        </w:rPr>
      </w:pPr>
      <w:r w:rsidRPr="00513CE7">
        <w:rPr>
          <w:rFonts w:ascii="Times New Roman" w:hAnsi="Times New Roman"/>
        </w:rPr>
        <w:t xml:space="preserve">This collection does not impose a known cost burden </w:t>
      </w:r>
      <w:r w:rsidRPr="00513CE7" w:rsidR="00AC39FD">
        <w:rPr>
          <w:rFonts w:ascii="Times New Roman" w:hAnsi="Times New Roman"/>
        </w:rPr>
        <w:t>on</w:t>
      </w:r>
      <w:r w:rsidRPr="00513CE7">
        <w:rPr>
          <w:rFonts w:ascii="Times New Roman" w:hAnsi="Times New Roman"/>
        </w:rPr>
        <w:t xml:space="preserve"> the respondents. </w:t>
      </w:r>
      <w:r w:rsidRPr="00513CE7">
        <w:rPr>
          <w:rFonts w:ascii="Times New Roman" w:hAnsi="Times New Roman"/>
        </w:rPr>
        <w:t xml:space="preserve">  </w:t>
      </w:r>
    </w:p>
    <w:p w:rsidR="00A45D82" w:rsidRPr="00BC7F42" w:rsidP="00A45D82" w14:paraId="0126CA4F" w14:textId="77777777">
      <w:pPr>
        <w:rPr>
          <w:rFonts w:ascii="Times New Roman" w:hAnsi="Times New Roman"/>
        </w:rPr>
      </w:pPr>
    </w:p>
    <w:p w:rsidR="004C51D7" w:rsidP="004C51D7" w14:paraId="482BF89D" w14:textId="77777777">
      <w:pPr>
        <w:numPr>
          <w:ilvl w:val="0"/>
          <w:numId w:val="3"/>
        </w:numPr>
        <w:tabs>
          <w:tab w:val="clear" w:pos="360"/>
          <w:tab w:val="left" w:pos="720"/>
        </w:tabs>
        <w:ind w:left="0" w:firstLine="0"/>
        <w:rPr>
          <w:rFonts w:ascii="Times New Roman" w:hAnsi="Times New Roman"/>
        </w:rPr>
      </w:pPr>
      <w:r w:rsidRPr="00EA7372">
        <w:rPr>
          <w:rFonts w:ascii="Times New Roman" w:hAnsi="Times New Roman"/>
          <w:b/>
        </w:rPr>
        <w:t>Annual Cost To Federal Government</w:t>
      </w:r>
    </w:p>
    <w:p w:rsidR="005E4BC5" w:rsidRPr="004C51D7" w:rsidP="004C51D7" w14:paraId="59ED768D" w14:textId="7E229C51">
      <w:pPr>
        <w:tabs>
          <w:tab w:val="left" w:pos="720"/>
        </w:tabs>
        <w:ind w:left="720"/>
        <w:rPr>
          <w:rFonts w:ascii="Times New Roman" w:hAnsi="Times New Roman"/>
        </w:rPr>
      </w:pPr>
      <w:r w:rsidRPr="004C51D7">
        <w:rPr>
          <w:rFonts w:ascii="Times New Roman" w:hAnsi="Times New Roman"/>
          <w:color w:val="000000"/>
        </w:rPr>
        <w:t xml:space="preserve">The annual cost to the Federal Government is approximately </w:t>
      </w:r>
      <w:r w:rsidRPr="004C51D7" w:rsidR="00945FEB">
        <w:rPr>
          <w:rFonts w:ascii="Times New Roman" w:hAnsi="Times New Roman" w:eastAsiaTheme="minorHAnsi"/>
          <w:b/>
          <w:bCs/>
          <w:color w:val="000000"/>
        </w:rPr>
        <w:t>$</w:t>
      </w:r>
      <w:r w:rsidR="001B04F6">
        <w:rPr>
          <w:rFonts w:ascii="Times New Roman" w:hAnsi="Times New Roman" w:eastAsiaTheme="minorHAnsi"/>
          <w:b/>
          <w:bCs/>
          <w:color w:val="000000"/>
        </w:rPr>
        <w:t>4,595</w:t>
      </w:r>
      <w:r w:rsidRPr="004C51D7">
        <w:rPr>
          <w:rFonts w:ascii="Times New Roman" w:hAnsi="Times New Roman"/>
          <w:color w:val="000000"/>
        </w:rPr>
        <w:t>.  This estimate accounts for costs from the following areas:</w:t>
      </w:r>
    </w:p>
    <w:p w:rsidR="005E4BC5" w:rsidP="005E4BC5" w14:paraId="05E9EA86" w14:textId="77777777">
      <w:pPr>
        <w:pStyle w:val="ListParagraph"/>
        <w:ind w:left="1440"/>
        <w:rPr>
          <w:rFonts w:ascii="Times New Roman" w:hAnsi="Times New Roman"/>
          <w:color w:val="000000"/>
        </w:rPr>
      </w:pPr>
    </w:p>
    <w:tbl>
      <w:tblPr>
        <w:tblStyle w:val="TableGrid2"/>
        <w:tblW w:w="7920" w:type="dxa"/>
        <w:tblInd w:w="715" w:type="dxa"/>
        <w:tblLook w:val="04A0"/>
      </w:tblPr>
      <w:tblGrid>
        <w:gridCol w:w="3060"/>
        <w:gridCol w:w="2970"/>
        <w:gridCol w:w="1890"/>
      </w:tblGrid>
      <w:tr w14:paraId="3CFDB97A" w14:textId="77777777" w:rsidTr="00FF3706">
        <w:tblPrEx>
          <w:tblW w:w="7920" w:type="dxa"/>
          <w:tblInd w:w="715" w:type="dxa"/>
          <w:tblLook w:val="04A0"/>
        </w:tblPrEx>
        <w:tc>
          <w:tcPr>
            <w:tcW w:w="3060" w:type="dxa"/>
          </w:tcPr>
          <w:p w:rsidR="005E4BC5" w:rsidRPr="005E4BC5" w:rsidP="005E4BC5" w14:paraId="79D6CE59"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Description of Cost Factor</w:t>
            </w:r>
          </w:p>
        </w:tc>
        <w:tc>
          <w:tcPr>
            <w:tcW w:w="2970" w:type="dxa"/>
          </w:tcPr>
          <w:p w:rsidR="005E4BC5" w:rsidRPr="005E4BC5" w:rsidP="005E4BC5" w14:paraId="40B72AF6"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Methodology for Estimating Cost</w:t>
            </w:r>
          </w:p>
        </w:tc>
        <w:tc>
          <w:tcPr>
            <w:tcW w:w="1890" w:type="dxa"/>
          </w:tcPr>
          <w:p w:rsidR="005E4BC5" w:rsidRPr="005E4BC5" w:rsidP="005E4BC5" w14:paraId="4DF7F84E"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Cost in Dollars*</w:t>
            </w:r>
          </w:p>
        </w:tc>
      </w:tr>
      <w:tr w14:paraId="192B7432" w14:textId="77777777" w:rsidTr="00FF3706">
        <w:tblPrEx>
          <w:tblW w:w="7920" w:type="dxa"/>
          <w:tblInd w:w="715" w:type="dxa"/>
          <w:tblLook w:val="04A0"/>
        </w:tblPrEx>
        <w:tc>
          <w:tcPr>
            <w:tcW w:w="3060" w:type="dxa"/>
          </w:tcPr>
          <w:p w:rsidR="001B04F6" w:rsidRPr="005E4BC5" w:rsidP="001B04F6" w14:paraId="6CC161CC" w14:textId="77777777">
            <w:pPr>
              <w:widowControl/>
              <w:rPr>
                <w:rFonts w:ascii="Times New Roman" w:hAnsi="Times New Roman" w:eastAsiaTheme="minorHAnsi"/>
                <w:color w:val="000000"/>
              </w:rPr>
            </w:pPr>
            <w:r w:rsidRPr="005E4BC5">
              <w:rPr>
                <w:rFonts w:ascii="Times New Roman" w:hAnsi="Times New Roman" w:eastAsiaTheme="minorHAnsi"/>
                <w:color w:val="000000"/>
              </w:rPr>
              <w:t>Designing and Printing the Form</w:t>
            </w:r>
          </w:p>
        </w:tc>
        <w:tc>
          <w:tcPr>
            <w:tcW w:w="2970" w:type="dxa"/>
          </w:tcPr>
          <w:p w:rsidR="001B04F6" w:rsidRPr="005E4BC5" w:rsidP="001B04F6" w14:paraId="51D1BF34" w14:textId="77777777">
            <w:pPr>
              <w:widowControl/>
              <w:rPr>
                <w:rFonts w:ascii="Times New Roman" w:hAnsi="Times New Roman" w:eastAsiaTheme="minorHAnsi"/>
                <w:color w:val="000000"/>
              </w:rPr>
            </w:pPr>
            <w:r w:rsidRPr="005E4BC5">
              <w:rPr>
                <w:rFonts w:ascii="Times New Roman" w:hAnsi="Times New Roman" w:eastAsiaTheme="minorHAnsi"/>
                <w:color w:val="000000"/>
              </w:rPr>
              <w:t>Design Cost + Printing Cost</w:t>
            </w:r>
          </w:p>
        </w:tc>
        <w:tc>
          <w:tcPr>
            <w:tcW w:w="1890" w:type="dxa"/>
          </w:tcPr>
          <w:p w:rsidR="001B04F6" w:rsidRPr="005E4BC5" w:rsidP="001B04F6" w14:paraId="76A0FD89" w14:textId="22D050A9">
            <w:pPr>
              <w:widowControl/>
              <w:jc w:val="right"/>
              <w:rPr>
                <w:rFonts w:ascii="Times New Roman" w:hAnsi="Times New Roman" w:eastAsiaTheme="minorHAnsi"/>
                <w:color w:val="000000"/>
              </w:rPr>
            </w:pPr>
            <w:r w:rsidRPr="00375A34">
              <w:rPr>
                <w:rFonts w:ascii="Times New Roman" w:hAnsi="Times New Roman" w:cs="Times New Roman"/>
                <w:color w:val="000000"/>
              </w:rPr>
              <w:t>$</w:t>
            </w:r>
            <w:r>
              <w:rPr>
                <w:rFonts w:ascii="Times New Roman" w:hAnsi="Times New Roman" w:cs="Times New Roman"/>
                <w:color w:val="000000"/>
              </w:rPr>
              <w:t>575</w:t>
            </w:r>
          </w:p>
        </w:tc>
      </w:tr>
      <w:tr w14:paraId="3E7C8641" w14:textId="77777777" w:rsidTr="00FF3706">
        <w:tblPrEx>
          <w:tblW w:w="7920" w:type="dxa"/>
          <w:tblInd w:w="715" w:type="dxa"/>
          <w:tblLook w:val="04A0"/>
        </w:tblPrEx>
        <w:tc>
          <w:tcPr>
            <w:tcW w:w="3060" w:type="dxa"/>
          </w:tcPr>
          <w:p w:rsidR="001B04F6" w:rsidRPr="005E4BC5" w:rsidP="001B04F6" w14:paraId="33156CB8" w14:textId="77777777">
            <w:pPr>
              <w:widowControl/>
              <w:rPr>
                <w:rFonts w:ascii="Times New Roman" w:hAnsi="Times New Roman" w:eastAsiaTheme="minorHAnsi"/>
                <w:color w:val="000000"/>
              </w:rPr>
            </w:pPr>
            <w:r w:rsidRPr="005E4BC5">
              <w:rPr>
                <w:rFonts w:ascii="Times New Roman" w:hAnsi="Times New Roman" w:eastAsiaTheme="minorHAnsi"/>
                <w:color w:val="000000"/>
              </w:rPr>
              <w:t>Distribution, Shipping, and Material Costs for the Form</w:t>
            </w:r>
          </w:p>
        </w:tc>
        <w:tc>
          <w:tcPr>
            <w:tcW w:w="2970" w:type="dxa"/>
          </w:tcPr>
          <w:p w:rsidR="001B04F6" w:rsidRPr="005E4BC5" w:rsidP="001B04F6" w14:paraId="57F89E6B" w14:textId="77777777">
            <w:pPr>
              <w:widowControl/>
              <w:rPr>
                <w:rFonts w:ascii="Times New Roman" w:hAnsi="Times New Roman" w:eastAsiaTheme="minorHAnsi"/>
                <w:color w:val="000000"/>
              </w:rPr>
            </w:pPr>
            <w:r w:rsidRPr="005E4BC5">
              <w:rPr>
                <w:rFonts w:ascii="Times New Roman" w:hAnsi="Times New Roman" w:eastAsiaTheme="minorHAnsi"/>
                <w:color w:val="000000"/>
              </w:rPr>
              <w:t>Distribution + Shipping + Material Cost</w:t>
            </w:r>
          </w:p>
        </w:tc>
        <w:tc>
          <w:tcPr>
            <w:tcW w:w="1890" w:type="dxa"/>
          </w:tcPr>
          <w:p w:rsidR="001B04F6" w:rsidRPr="005E4BC5" w:rsidP="001B04F6" w14:paraId="77E244F6" w14:textId="6EFCA99C">
            <w:pPr>
              <w:widowControl/>
              <w:jc w:val="right"/>
              <w:rPr>
                <w:rFonts w:ascii="Times New Roman" w:hAnsi="Times New Roman" w:eastAsiaTheme="minorHAnsi"/>
                <w:color w:val="000000"/>
              </w:rPr>
            </w:pPr>
            <w:r w:rsidRPr="00375A34">
              <w:rPr>
                <w:rFonts w:ascii="Times New Roman" w:hAnsi="Times New Roman" w:cs="Times New Roman"/>
                <w:color w:val="000000"/>
              </w:rPr>
              <w:t>$0</w:t>
            </w:r>
            <w:r>
              <w:rPr>
                <w:rFonts w:ascii="Times New Roman" w:hAnsi="Times New Roman" w:cs="Times New Roman"/>
                <w:color w:val="000000"/>
              </w:rPr>
              <w:t>*</w:t>
            </w:r>
          </w:p>
        </w:tc>
      </w:tr>
      <w:tr w14:paraId="04F9DC2E" w14:textId="77777777" w:rsidTr="00FF3706">
        <w:tblPrEx>
          <w:tblW w:w="7920" w:type="dxa"/>
          <w:tblInd w:w="715" w:type="dxa"/>
          <w:tblLook w:val="04A0"/>
        </w:tblPrEx>
        <w:tc>
          <w:tcPr>
            <w:tcW w:w="3060" w:type="dxa"/>
          </w:tcPr>
          <w:p w:rsidR="001B04F6" w:rsidRPr="005E4BC5" w:rsidP="001B04F6" w14:paraId="4A37533D" w14:textId="77777777">
            <w:pPr>
              <w:widowControl/>
              <w:rPr>
                <w:rFonts w:ascii="Times New Roman" w:hAnsi="Times New Roman" w:eastAsiaTheme="minorHAnsi"/>
                <w:color w:val="000000"/>
              </w:rPr>
            </w:pPr>
            <w:r w:rsidRPr="005E4BC5">
              <w:rPr>
                <w:rFonts w:ascii="Times New Roman" w:hAnsi="Times New Roman" w:eastAsiaTheme="minorHAnsi"/>
                <w:color w:val="000000"/>
              </w:rPr>
              <w:t>SSA Employee (e.g., field office, 800 number, DDS staff) Information Collection and Processing Time</w:t>
            </w:r>
          </w:p>
        </w:tc>
        <w:tc>
          <w:tcPr>
            <w:tcW w:w="2970" w:type="dxa"/>
          </w:tcPr>
          <w:p w:rsidR="001B04F6" w:rsidRPr="005E4BC5" w:rsidP="001B04F6" w14:paraId="47812D04" w14:textId="77777777">
            <w:pPr>
              <w:widowControl/>
              <w:rPr>
                <w:rFonts w:ascii="Times New Roman" w:hAnsi="Times New Roman" w:eastAsiaTheme="minorHAnsi"/>
                <w:color w:val="000000"/>
              </w:rPr>
            </w:pPr>
            <w:r w:rsidRPr="005E4BC5">
              <w:rPr>
                <w:rFonts w:ascii="Times New Roman" w:hAnsi="Times New Roman" w:eastAsiaTheme="minorHAnsi"/>
                <w:color w:val="000000"/>
              </w:rPr>
              <w:t>GS-9 employee x # of responses x processing time</w:t>
            </w:r>
          </w:p>
        </w:tc>
        <w:tc>
          <w:tcPr>
            <w:tcW w:w="1890" w:type="dxa"/>
          </w:tcPr>
          <w:p w:rsidR="001B04F6" w:rsidRPr="005E4BC5" w:rsidP="001B04F6" w14:paraId="41A8D4D6" w14:textId="20B140CC">
            <w:pPr>
              <w:widowControl/>
              <w:jc w:val="right"/>
              <w:rPr>
                <w:rFonts w:ascii="Times New Roman" w:hAnsi="Times New Roman" w:eastAsiaTheme="minorHAnsi"/>
                <w:color w:val="000000"/>
              </w:rPr>
            </w:pPr>
            <w:r w:rsidRPr="00375A34">
              <w:rPr>
                <w:rFonts w:ascii="Times New Roman" w:hAnsi="Times New Roman" w:cs="Times New Roman"/>
              </w:rPr>
              <w:t>$</w:t>
            </w:r>
            <w:r>
              <w:rPr>
                <w:rFonts w:ascii="Times New Roman" w:hAnsi="Times New Roman" w:cs="Times New Roman"/>
              </w:rPr>
              <w:t>600</w:t>
            </w:r>
          </w:p>
        </w:tc>
      </w:tr>
      <w:tr w14:paraId="402C013D" w14:textId="77777777" w:rsidTr="00FF3706">
        <w:tblPrEx>
          <w:tblW w:w="7920" w:type="dxa"/>
          <w:tblInd w:w="715" w:type="dxa"/>
          <w:tblLook w:val="04A0"/>
        </w:tblPrEx>
        <w:tc>
          <w:tcPr>
            <w:tcW w:w="3060" w:type="dxa"/>
          </w:tcPr>
          <w:p w:rsidR="001B04F6" w:rsidRPr="005E4BC5" w:rsidP="001B04F6" w14:paraId="00807A4D" w14:textId="77777777">
            <w:pPr>
              <w:widowControl/>
              <w:rPr>
                <w:rFonts w:ascii="Times New Roman" w:hAnsi="Times New Roman" w:eastAsiaTheme="minorHAnsi"/>
                <w:color w:val="000000"/>
              </w:rPr>
            </w:pPr>
            <w:r w:rsidRPr="005E4BC5">
              <w:rPr>
                <w:rFonts w:ascii="Times New Roman" w:hAnsi="Times New Roman" w:eastAsiaTheme="minorHAnsi"/>
                <w:color w:val="000000"/>
              </w:rPr>
              <w:t>Full-Time Equivalent Costs</w:t>
            </w:r>
          </w:p>
        </w:tc>
        <w:tc>
          <w:tcPr>
            <w:tcW w:w="2970" w:type="dxa"/>
          </w:tcPr>
          <w:p w:rsidR="001B04F6" w:rsidRPr="005E4BC5" w:rsidP="001B04F6" w14:paraId="5BE0882E" w14:textId="77777777">
            <w:pPr>
              <w:widowControl/>
              <w:rPr>
                <w:rFonts w:ascii="Times New Roman" w:hAnsi="Times New Roman" w:eastAsiaTheme="minorHAnsi"/>
                <w:color w:val="000000"/>
              </w:rPr>
            </w:pPr>
            <w:r w:rsidRPr="005E4BC5">
              <w:rPr>
                <w:rFonts w:ascii="Times New Roman" w:hAnsi="Times New Roman" w:eastAsiaTheme="minorHAnsi"/>
                <w:color w:val="000000"/>
              </w:rPr>
              <w:t>Out of pocket costs + Other expenses for providing this service</w:t>
            </w:r>
          </w:p>
        </w:tc>
        <w:tc>
          <w:tcPr>
            <w:tcW w:w="1890" w:type="dxa"/>
          </w:tcPr>
          <w:p w:rsidR="001B04F6" w:rsidRPr="005E4BC5" w:rsidP="001B04F6" w14:paraId="4FD52CFF" w14:textId="3189AEDE">
            <w:pPr>
              <w:widowControl/>
              <w:jc w:val="right"/>
              <w:rPr>
                <w:rFonts w:ascii="Times New Roman" w:hAnsi="Times New Roman" w:eastAsiaTheme="minorHAnsi"/>
                <w:color w:val="000000"/>
              </w:rPr>
            </w:pPr>
            <w:r w:rsidRPr="00375A34">
              <w:rPr>
                <w:rFonts w:ascii="Times New Roman" w:hAnsi="Times New Roman" w:cs="Times New Roman"/>
                <w:color w:val="000000"/>
              </w:rPr>
              <w:t>$0</w:t>
            </w:r>
            <w:r>
              <w:rPr>
                <w:rFonts w:ascii="Times New Roman" w:hAnsi="Times New Roman" w:cs="Times New Roman"/>
                <w:color w:val="000000"/>
              </w:rPr>
              <w:t>*</w:t>
            </w:r>
          </w:p>
        </w:tc>
      </w:tr>
      <w:tr w14:paraId="175442D3" w14:textId="77777777" w:rsidTr="00FF3706">
        <w:tblPrEx>
          <w:tblW w:w="7920" w:type="dxa"/>
          <w:tblInd w:w="715" w:type="dxa"/>
          <w:tblLook w:val="04A0"/>
        </w:tblPrEx>
        <w:tc>
          <w:tcPr>
            <w:tcW w:w="3060" w:type="dxa"/>
          </w:tcPr>
          <w:p w:rsidR="001B04F6" w:rsidRPr="005E4BC5" w:rsidP="001B04F6" w14:paraId="73384963" w14:textId="77777777">
            <w:pPr>
              <w:widowControl/>
              <w:rPr>
                <w:rFonts w:ascii="Times New Roman" w:hAnsi="Times New Roman" w:eastAsiaTheme="minorHAnsi"/>
                <w:color w:val="000000"/>
              </w:rPr>
            </w:pPr>
            <w:r w:rsidRPr="005E4BC5">
              <w:rPr>
                <w:rFonts w:ascii="Times New Roman" w:hAnsi="Times New Roman" w:eastAsiaTheme="minorHAnsi"/>
                <w:color w:val="000000"/>
              </w:rPr>
              <w:t>Systems Development, Updating, and Maintenance</w:t>
            </w:r>
          </w:p>
        </w:tc>
        <w:tc>
          <w:tcPr>
            <w:tcW w:w="2970" w:type="dxa"/>
          </w:tcPr>
          <w:p w:rsidR="001B04F6" w:rsidRPr="005E4BC5" w:rsidP="001B04F6" w14:paraId="51645F10" w14:textId="77777777">
            <w:pPr>
              <w:widowControl/>
              <w:rPr>
                <w:rFonts w:ascii="Times New Roman" w:hAnsi="Times New Roman" w:eastAsiaTheme="minorHAnsi"/>
                <w:color w:val="000000"/>
              </w:rPr>
            </w:pPr>
            <w:r w:rsidRPr="005E4BC5">
              <w:rPr>
                <w:rFonts w:ascii="Times New Roman" w:hAnsi="Times New Roman" w:eastAsiaTheme="minorHAnsi"/>
                <w:color w:val="000000"/>
              </w:rPr>
              <w:t>GS-9 employee x man hours for development, updating, maintenance</w:t>
            </w:r>
          </w:p>
        </w:tc>
        <w:tc>
          <w:tcPr>
            <w:tcW w:w="1890" w:type="dxa"/>
          </w:tcPr>
          <w:p w:rsidR="001B04F6" w:rsidRPr="005E4BC5" w:rsidP="001B04F6" w14:paraId="129FCBA5" w14:textId="2D32301F">
            <w:pPr>
              <w:pStyle w:val="ListParagraph"/>
              <w:ind w:left="0"/>
              <w:jc w:val="right"/>
              <w:rPr>
                <w:rFonts w:ascii="Times New Roman" w:hAnsi="Times New Roman" w:eastAsiaTheme="minorHAnsi"/>
                <w:color w:val="000000"/>
              </w:rPr>
            </w:pPr>
            <w:r w:rsidRPr="00375A34">
              <w:rPr>
                <w:rFonts w:ascii="Times New Roman" w:hAnsi="Times New Roman" w:cs="Times New Roman"/>
                <w:color w:val="000000"/>
              </w:rPr>
              <w:t>$3,420</w:t>
            </w:r>
          </w:p>
        </w:tc>
      </w:tr>
      <w:tr w14:paraId="12A72A63" w14:textId="77777777" w:rsidTr="00FF3706">
        <w:tblPrEx>
          <w:tblW w:w="7920" w:type="dxa"/>
          <w:tblInd w:w="715" w:type="dxa"/>
          <w:tblLook w:val="04A0"/>
        </w:tblPrEx>
        <w:tc>
          <w:tcPr>
            <w:tcW w:w="3060" w:type="dxa"/>
          </w:tcPr>
          <w:p w:rsidR="001B04F6" w:rsidRPr="005E4BC5" w:rsidP="001B04F6" w14:paraId="16944FE1" w14:textId="77777777">
            <w:pPr>
              <w:widowControl/>
              <w:rPr>
                <w:rFonts w:ascii="Times New Roman" w:hAnsi="Times New Roman" w:eastAsiaTheme="minorHAnsi"/>
                <w:color w:val="000000"/>
              </w:rPr>
            </w:pPr>
            <w:r w:rsidRPr="005E4BC5">
              <w:rPr>
                <w:rFonts w:ascii="Times New Roman" w:hAnsi="Times New Roman" w:eastAsiaTheme="minorHAnsi"/>
                <w:color w:val="000000"/>
              </w:rPr>
              <w:t>Quantifiable IT Costs</w:t>
            </w:r>
          </w:p>
        </w:tc>
        <w:tc>
          <w:tcPr>
            <w:tcW w:w="2970" w:type="dxa"/>
          </w:tcPr>
          <w:p w:rsidR="001B04F6" w:rsidRPr="005E4BC5" w:rsidP="001B04F6" w14:paraId="52C91931" w14:textId="77777777">
            <w:pPr>
              <w:widowControl/>
              <w:rPr>
                <w:rFonts w:ascii="Times New Roman" w:hAnsi="Times New Roman" w:eastAsiaTheme="minorHAnsi"/>
                <w:color w:val="000000"/>
              </w:rPr>
            </w:pPr>
            <w:r w:rsidRPr="005E4BC5">
              <w:rPr>
                <w:rFonts w:ascii="Times New Roman" w:hAnsi="Times New Roman" w:eastAsiaTheme="minorHAnsi"/>
                <w:color w:val="000000"/>
              </w:rPr>
              <w:t>Any additional IT costs</w:t>
            </w:r>
          </w:p>
        </w:tc>
        <w:tc>
          <w:tcPr>
            <w:tcW w:w="1890" w:type="dxa"/>
          </w:tcPr>
          <w:p w:rsidR="001B04F6" w:rsidRPr="005E4BC5" w:rsidP="001B04F6" w14:paraId="07D85E52" w14:textId="61CA5960">
            <w:pPr>
              <w:widowControl/>
              <w:jc w:val="right"/>
              <w:rPr>
                <w:rFonts w:ascii="Times New Roman" w:hAnsi="Times New Roman" w:eastAsiaTheme="minorHAnsi"/>
                <w:color w:val="000000"/>
              </w:rPr>
            </w:pPr>
            <w:r w:rsidRPr="00375A34">
              <w:rPr>
                <w:rFonts w:ascii="Times New Roman" w:hAnsi="Times New Roman" w:cs="Times New Roman"/>
                <w:color w:val="000000"/>
              </w:rPr>
              <w:t>$0</w:t>
            </w:r>
            <w:r>
              <w:rPr>
                <w:rFonts w:ascii="Times New Roman" w:hAnsi="Times New Roman" w:cs="Times New Roman"/>
                <w:color w:val="000000"/>
              </w:rPr>
              <w:t>*</w:t>
            </w:r>
          </w:p>
        </w:tc>
      </w:tr>
      <w:tr w14:paraId="7A286157" w14:textId="77777777" w:rsidTr="00FF3706">
        <w:tblPrEx>
          <w:tblW w:w="7920" w:type="dxa"/>
          <w:tblInd w:w="715" w:type="dxa"/>
          <w:tblLook w:val="04A0"/>
        </w:tblPrEx>
        <w:trPr>
          <w:trHeight w:val="107"/>
        </w:trPr>
        <w:tc>
          <w:tcPr>
            <w:tcW w:w="3060" w:type="dxa"/>
          </w:tcPr>
          <w:p w:rsidR="001B04F6" w:rsidRPr="005E4BC5" w:rsidP="001B04F6" w14:paraId="3211CD17"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Total</w:t>
            </w:r>
          </w:p>
        </w:tc>
        <w:tc>
          <w:tcPr>
            <w:tcW w:w="2970" w:type="dxa"/>
          </w:tcPr>
          <w:p w:rsidR="001B04F6" w:rsidRPr="005E4BC5" w:rsidP="001B04F6" w14:paraId="6FF5BCE0" w14:textId="77777777">
            <w:pPr>
              <w:widowControl/>
              <w:rPr>
                <w:rFonts w:ascii="Times New Roman" w:hAnsi="Times New Roman" w:eastAsiaTheme="minorHAnsi"/>
                <w:b/>
                <w:bCs/>
                <w:color w:val="000000"/>
              </w:rPr>
            </w:pPr>
          </w:p>
        </w:tc>
        <w:tc>
          <w:tcPr>
            <w:tcW w:w="1890" w:type="dxa"/>
          </w:tcPr>
          <w:p w:rsidR="001B04F6" w:rsidRPr="005E4BC5" w:rsidP="001B04F6" w14:paraId="415BCF31" w14:textId="155B3F2F">
            <w:pPr>
              <w:widowControl/>
              <w:jc w:val="right"/>
              <w:rPr>
                <w:rFonts w:ascii="Times New Roman" w:hAnsi="Times New Roman" w:eastAsiaTheme="minorHAnsi"/>
                <w:b/>
                <w:bCs/>
                <w:color w:val="000000"/>
              </w:rPr>
            </w:pPr>
            <w:r w:rsidRPr="00375A34">
              <w:rPr>
                <w:rFonts w:ascii="Times New Roman" w:hAnsi="Times New Roman" w:cs="Times New Roman"/>
                <w:b/>
                <w:bCs/>
                <w:color w:val="000000"/>
              </w:rPr>
              <w:t>$</w:t>
            </w:r>
            <w:r>
              <w:rPr>
                <w:rFonts w:ascii="Times New Roman" w:hAnsi="Times New Roman" w:cs="Times New Roman"/>
                <w:b/>
                <w:bCs/>
                <w:color w:val="000000"/>
              </w:rPr>
              <w:t>4,595</w:t>
            </w:r>
          </w:p>
        </w:tc>
      </w:tr>
    </w:tbl>
    <w:p w:rsidR="00CB4E94" w:rsidP="004C51D7" w14:paraId="7A2B3EF0" w14:textId="77777777">
      <w:pPr>
        <w:widowControl/>
        <w:spacing w:after="160" w:line="259" w:lineRule="auto"/>
        <w:ind w:left="720"/>
        <w:rPr>
          <w:rFonts w:ascii="Times New Roman" w:hAnsi="Times New Roman" w:eastAsiaTheme="minorHAnsi"/>
          <w:snapToGrid/>
          <w:color w:val="000000"/>
        </w:rPr>
      </w:pPr>
      <w:r w:rsidRPr="00CB4E94">
        <w:rPr>
          <w:rFonts w:ascii="Times New Roman" w:hAnsi="Times New Roman" w:eastAsiaTheme="minorHAnsi"/>
          <w:snapToGrid/>
          <w:color w:val="000000"/>
        </w:rPr>
        <w:t>* We have inserted a $0 amount for cost factors that do not apply to this collection.</w:t>
      </w:r>
    </w:p>
    <w:p w:rsidR="00CB4E94" w:rsidP="004C51D7" w14:paraId="681A7299" w14:textId="0CCD05A3">
      <w:pPr>
        <w:widowControl/>
        <w:spacing w:after="160" w:line="259" w:lineRule="auto"/>
        <w:ind w:left="720"/>
        <w:rPr>
          <w:rFonts w:ascii="Times New Roman" w:hAnsi="Times New Roman" w:eastAsiaTheme="minorHAnsi"/>
          <w:snapToGrid/>
          <w:color w:val="000000"/>
        </w:rPr>
      </w:pPr>
      <w:r w:rsidRPr="00CB4E94">
        <w:rPr>
          <w:rFonts w:ascii="Times New Roman" w:hAnsi="Times New Roman" w:eastAsiaTheme="minorHAnsi"/>
          <w:snapToGrid/>
          <w:color w:val="000000"/>
        </w:rPr>
        <w:t>SSA is unable to break down the costs to the Federal government further than we already have.</w:t>
      </w:r>
      <w:r w:rsidR="007C49F7">
        <w:rPr>
          <w:rFonts w:ascii="Times New Roman" w:hAnsi="Times New Roman" w:eastAsiaTheme="minorHAnsi"/>
          <w:snapToGrid/>
          <w:color w:val="000000"/>
        </w:rPr>
        <w:t xml:space="preserve"> </w:t>
      </w:r>
      <w:r w:rsidRPr="00CB4E94">
        <w:rPr>
          <w:rFonts w:ascii="Times New Roman" w:hAnsi="Times New Roman" w:eastAsiaTheme="minorHAnsi"/>
          <w:snapToGrid/>
          <w:color w:val="000000"/>
        </w:rPr>
        <w:t xml:space="preserve"> In addition, it is difficult for us to break down the cost for processing a single form, as field office and State Disability Determination Services staff often help respondents fill out several forms at once, and the time it takes to do so can vary greatly per respondent.</w:t>
      </w:r>
      <w:r w:rsidR="007C49F7">
        <w:rPr>
          <w:rFonts w:ascii="Times New Roman" w:hAnsi="Times New Roman" w:eastAsiaTheme="minorHAnsi"/>
          <w:snapToGrid/>
          <w:color w:val="000000"/>
        </w:rPr>
        <w:t xml:space="preserve">  </w:t>
      </w:r>
      <w:r w:rsidRPr="00CB4E94" w:rsidR="001E584C">
        <w:rPr>
          <w:rFonts w:ascii="Times New Roman" w:hAnsi="Times New Roman" w:eastAsiaTheme="minorHAnsi"/>
          <w:snapToGrid/>
          <w:color w:val="000000"/>
        </w:rPr>
        <w:t>Also</w:t>
      </w:r>
      <w:r w:rsidRPr="00CB4E94">
        <w:rPr>
          <w:rFonts w:ascii="Times New Roman" w:hAnsi="Times New Roman" w:eastAsiaTheme="minorHAnsi"/>
          <w:snapToGrid/>
          <w:color w:val="000000"/>
        </w:rPr>
        <w:t>,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063A05" w:rsidP="004C51D7" w14:paraId="59AB49B2" w14:textId="77777777">
      <w:pPr>
        <w:rPr>
          <w:rFonts w:ascii="Times New Roman" w:hAnsi="Times New Roman"/>
          <w:b/>
        </w:rPr>
      </w:pPr>
      <w:r w:rsidRPr="004C51D7">
        <w:rPr>
          <w:rFonts w:ascii="Times New Roman" w:hAnsi="Times New Roman"/>
          <w:b/>
          <w:bCs/>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7C49F7" w:rsidRPr="007C49F7" w:rsidP="00FF3706" w14:paraId="05FF8E6B" w14:textId="62978BCF">
      <w:pPr>
        <w:ind w:left="720"/>
        <w:rPr>
          <w:rFonts w:ascii="Times New Roman" w:hAnsi="Times New Roman"/>
          <w:iCs/>
        </w:rPr>
      </w:pPr>
      <w:r w:rsidRPr="007C49F7">
        <w:rPr>
          <w:rFonts w:ascii="Times New Roman" w:hAnsi="Times New Roman"/>
          <w:iCs/>
        </w:rPr>
        <w:t>There are no changes to the public reporting burden.</w:t>
      </w:r>
      <w:r w:rsidR="00FF3706">
        <w:rPr>
          <w:rFonts w:ascii="Times New Roman" w:hAnsi="Times New Roman"/>
          <w:iCs/>
        </w:rPr>
        <w:t xml:space="preserve">  However, the burden shown in ROCIS has changed minorly – see note below.</w:t>
      </w:r>
    </w:p>
    <w:p w:rsidR="00794990" w:rsidP="00794990" w14:paraId="2D6D1B3F" w14:textId="77777777">
      <w:pPr>
        <w:pStyle w:val="NoSpacing"/>
        <w:ind w:left="720"/>
        <w:rPr>
          <w:color w:val="000000"/>
        </w:rPr>
      </w:pPr>
    </w:p>
    <w:p w:rsidR="006C6246" w:rsidP="004C51D7" w14:paraId="314E5437" w14:textId="77777777">
      <w:pPr>
        <w:pStyle w:val="NoSpacing"/>
        <w:ind w:left="720"/>
        <w:rPr>
          <w:snapToGrid w:val="0"/>
          <w:color w:val="000000"/>
        </w:rPr>
      </w:pPr>
      <w:r w:rsidRPr="002C4FFC">
        <w:rPr>
          <w:color w:val="000000"/>
        </w:rPr>
        <w:t xml:space="preserve">*Note: The total burden reflected in ROCIS is </w:t>
      </w:r>
      <w:r>
        <w:rPr>
          <w:b/>
          <w:bCs/>
          <w:color w:val="000000"/>
        </w:rPr>
        <w:t>30</w:t>
      </w:r>
      <w:r w:rsidR="007C49F7">
        <w:rPr>
          <w:b/>
          <w:bCs/>
          <w:color w:val="000000"/>
        </w:rPr>
        <w:t>,</w:t>
      </w:r>
      <w:r w:rsidRPr="002C4FFC">
        <w:rPr>
          <w:color w:val="000000"/>
        </w:rPr>
        <w:t xml:space="preserve"> while the burden cited in #12 of the Supporting Statement is </w:t>
      </w:r>
      <w:r w:rsidR="007C49F7">
        <w:rPr>
          <w:b/>
          <w:bCs/>
          <w:color w:val="000000"/>
        </w:rPr>
        <w:t>20</w:t>
      </w:r>
      <w:r w:rsidRPr="002C4FFC">
        <w:rPr>
          <w:color w:val="000000"/>
        </w:rPr>
        <w:t xml:space="preserve">.  </w:t>
      </w:r>
      <w:r w:rsidRPr="002C4FFC">
        <w:rPr>
          <w:snapToGrid w:val="0"/>
        </w:rPr>
        <w:t>This discrepancy is because the ROCIS burden reflects the following components</w:t>
      </w:r>
      <w:r w:rsidRPr="002C4FFC" w:rsidR="003E61DE">
        <w:rPr>
          <w:snapToGrid w:val="0"/>
        </w:rPr>
        <w:t>:</w:t>
      </w:r>
      <w:r w:rsidRPr="002C4FFC" w:rsidR="003E61DE">
        <w:rPr>
          <w:snapToGrid w:val="0"/>
          <w:color w:val="FF0000"/>
        </w:rPr>
        <w:t xml:space="preserve"> </w:t>
      </w:r>
      <w:r w:rsidR="00C12928">
        <w:rPr>
          <w:snapToGrid w:val="0"/>
          <w:color w:val="FF0000"/>
        </w:rPr>
        <w:t xml:space="preserve"> </w:t>
      </w:r>
      <w:r w:rsidRPr="003E61DE" w:rsidR="003E61DE">
        <w:rPr>
          <w:snapToGrid w:val="0"/>
        </w:rPr>
        <w:t>field</w:t>
      </w:r>
      <w:r w:rsidRPr="003E61DE">
        <w:rPr>
          <w:snapToGrid w:val="0"/>
        </w:rPr>
        <w:t xml:space="preserve"> </w:t>
      </w:r>
      <w:r w:rsidRPr="002C4FFC">
        <w:rPr>
          <w:snapToGrid w:val="0"/>
        </w:rPr>
        <w:t>office waiting time</w:t>
      </w:r>
      <w:r w:rsidRPr="002C4FFC">
        <w:t xml:space="preserve"> </w:t>
      </w:r>
      <w:r w:rsidRPr="002C4FFC">
        <w:rPr>
          <w:snapToGrid w:val="0"/>
        </w:rPr>
        <w:t xml:space="preserve">+ a </w:t>
      </w:r>
      <w:r w:rsidRPr="002C4FFC">
        <w:rPr>
          <w:snapToGrid w:val="0"/>
          <w:color w:val="000000"/>
        </w:rPr>
        <w:t xml:space="preserve">rough estimate of a 30-minute, </w:t>
      </w:r>
    </w:p>
    <w:p w:rsidR="00794990" w:rsidP="004C51D7" w14:paraId="4DBB1468" w14:textId="52179279">
      <w:pPr>
        <w:pStyle w:val="NoSpacing"/>
        <w:ind w:left="720"/>
      </w:pPr>
      <w:r w:rsidRPr="002C4FFC">
        <w:rPr>
          <w:snapToGrid w:val="0"/>
          <w:color w:val="000000"/>
        </w:rPr>
        <w:t>one-way, drive burden.</w:t>
      </w:r>
      <w:r w:rsidRPr="002C4FFC" w:rsidR="00565B4E">
        <w:rPr>
          <w:snapToGrid w:val="0"/>
          <w:color w:val="000000"/>
        </w:rPr>
        <w:t xml:space="preserve"> </w:t>
      </w:r>
      <w:r w:rsidRPr="002C4FFC">
        <w:rPr>
          <w:snapToGrid w:val="0"/>
          <w:color w:val="000000"/>
        </w:rPr>
        <w:t xml:space="preserve"> </w:t>
      </w:r>
      <w:r w:rsidRPr="002C4FFC">
        <w:rPr>
          <w:snapToGrid w:val="0"/>
        </w:rPr>
        <w:t xml:space="preserve">In contrast, the </w:t>
      </w:r>
      <w:r w:rsidRPr="002C4FFC">
        <w:rPr>
          <w:snapToGrid w:val="0"/>
          <w:color w:val="000000"/>
        </w:rPr>
        <w:t xml:space="preserve">chart in #12 </w:t>
      </w:r>
      <w:r w:rsidRPr="002C4FFC">
        <w:rPr>
          <w:snapToGrid w:val="0"/>
        </w:rPr>
        <w:t>above reflects actual burden.</w:t>
      </w:r>
      <w:r w:rsidR="00FB7549">
        <w:rPr>
          <w:snapToGrid w:val="0"/>
        </w:rPr>
        <w:t xml:space="preserve">  In addition, we are showing a minor burden change of 5 minutes in ROCIS due to fluctuations in the field office wait time and the addition of the learning cost.</w:t>
      </w:r>
    </w:p>
    <w:p w:rsidR="00157DF7" w:rsidP="00157DF7" w14:paraId="1D0AAF6D" w14:textId="77777777">
      <w:pPr>
        <w:ind w:left="1440"/>
        <w:rPr>
          <w:rFonts w:ascii="Times New Roman" w:hAnsi="Times New Roman"/>
        </w:rPr>
      </w:pPr>
    </w:p>
    <w:p w:rsidR="00063A05" w:rsidP="004C51D7" w14:paraId="3DF8B3AD" w14:textId="77777777">
      <w:pPr>
        <w:rPr>
          <w:rFonts w:ascii="Times New Roman" w:hAnsi="Times New Roman"/>
        </w:rPr>
      </w:pPr>
      <w:r w:rsidRPr="004C51D7">
        <w:rPr>
          <w:rFonts w:ascii="Times New Roman" w:hAnsi="Times New Roman"/>
          <w:b/>
          <w:bCs/>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3B30B4" w14:paraId="0911CDD7" w14:textId="77777777">
      <w:pPr>
        <w:pStyle w:val="NoSpacing"/>
        <w:ind w:firstLine="720"/>
        <w:rPr>
          <w:bCs/>
          <w:iCs/>
        </w:rPr>
      </w:pPr>
      <w:r w:rsidRPr="00513CE7">
        <w:rPr>
          <w:bCs/>
          <w:iCs/>
        </w:rPr>
        <w:t>SSA will not publish the results of the information collection.</w:t>
      </w:r>
    </w:p>
    <w:p w:rsidR="006C0FB2" w:rsidP="003B30B4" w14:paraId="0B126A5B" w14:textId="77777777">
      <w:pPr>
        <w:pStyle w:val="NoSpacing"/>
        <w:ind w:firstLine="720"/>
        <w:rPr>
          <w:bCs/>
          <w:iCs/>
        </w:rPr>
      </w:pPr>
    </w:p>
    <w:p w:rsidR="00FB7549" w:rsidP="003B30B4" w14:paraId="69CBA7FA" w14:textId="77777777">
      <w:pPr>
        <w:pStyle w:val="NoSpacing"/>
        <w:ind w:firstLine="720"/>
        <w:rPr>
          <w:bCs/>
          <w:iCs/>
        </w:rPr>
      </w:pPr>
    </w:p>
    <w:p w:rsidR="00FB7549" w:rsidP="003B30B4" w14:paraId="797B48AF" w14:textId="77777777">
      <w:pPr>
        <w:pStyle w:val="NoSpacing"/>
        <w:ind w:firstLine="720"/>
        <w:rPr>
          <w:bCs/>
          <w:iCs/>
        </w:rPr>
      </w:pPr>
    </w:p>
    <w:p w:rsidR="003B30B4" w:rsidP="004C51D7" w14:paraId="5C86CFD7" w14:textId="77777777">
      <w:pPr>
        <w:rPr>
          <w:rFonts w:ascii="Times New Roman" w:hAnsi="Times New Roman"/>
        </w:rPr>
      </w:pPr>
      <w:r w:rsidRPr="004C51D7">
        <w:rPr>
          <w:rFonts w:ascii="Times New Roman" w:hAnsi="Times New Roman"/>
          <w:b/>
          <w:bCs/>
        </w:rPr>
        <w:t>17.</w:t>
      </w:r>
      <w:r w:rsidRPr="00BC7F42">
        <w:rPr>
          <w:rFonts w:ascii="Times New Roman" w:hAnsi="Times New Roman"/>
        </w:rPr>
        <w:tab/>
      </w:r>
      <w:r>
        <w:rPr>
          <w:rFonts w:ascii="Times New Roman" w:hAnsi="Times New Roman"/>
          <w:b/>
        </w:rPr>
        <w:t>Displaying the OMB Approval Expiration Date</w:t>
      </w:r>
    </w:p>
    <w:p w:rsidR="0056170A" w:rsidRPr="0056170A" w:rsidP="0056170A" w14:paraId="0F805340" w14:textId="6557A0F2">
      <w:pPr>
        <w:pStyle w:val="NoSpacing"/>
        <w:ind w:left="720"/>
        <w:rPr>
          <w:bCs/>
        </w:rPr>
      </w:pPr>
      <w:r w:rsidRPr="0056170A">
        <w:rPr>
          <w:b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A45D82" w:rsidRPr="00BC7F42" w:rsidP="004A2264" w14:paraId="4CE0BA1F" w14:textId="77777777">
      <w:pPr>
        <w:pStyle w:val="NoSpacing"/>
        <w:ind w:left="720"/>
        <w:rPr>
          <w:b/>
          <w:i/>
        </w:rPr>
      </w:pPr>
    </w:p>
    <w:p w:rsidR="003B30B4" w:rsidP="004C51D7" w14:paraId="645126C1" w14:textId="77777777">
      <w:pPr>
        <w:numPr>
          <w:ilvl w:val="0"/>
          <w:numId w:val="6"/>
        </w:numPr>
        <w:tabs>
          <w:tab w:val="left" w:pos="900"/>
        </w:tabs>
        <w:ind w:left="0" w:firstLine="0"/>
        <w:rPr>
          <w:rFonts w:ascii="Times New Roman" w:hAnsi="Times New Roman"/>
          <w:b/>
        </w:rPr>
      </w:pPr>
      <w:r w:rsidRPr="00BC7F42">
        <w:rPr>
          <w:rFonts w:ascii="Times New Roman" w:hAnsi="Times New Roman"/>
          <w:b/>
        </w:rPr>
        <w:t>Exceptions to Certification Statement</w:t>
      </w:r>
    </w:p>
    <w:p w:rsidR="0041131C" w:rsidP="004C51D7" w14:paraId="18489EB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13CE7">
        <w:rPr>
          <w:rFonts w:ascii="Times New Roman" w:hAnsi="Times New Roman"/>
          <w:b w:val="0"/>
          <w:i w:val="0"/>
        </w:rPr>
        <w:t xml:space="preserve">SSA is not requesting an exception to the certification requirements at </w:t>
      </w:r>
      <w:r w:rsidRPr="005D76C6">
        <w:rPr>
          <w:rFonts w:ascii="Times New Roman" w:hAnsi="Times New Roman"/>
          <w:b w:val="0"/>
        </w:rPr>
        <w:t>5 CFR</w:t>
      </w:r>
      <w:r w:rsidR="004C51D7">
        <w:rPr>
          <w:rFonts w:ascii="Times New Roman" w:hAnsi="Times New Roman"/>
          <w:b w:val="0"/>
          <w:i w:val="0"/>
        </w:rPr>
        <w:t xml:space="preserve"> </w:t>
      </w:r>
      <w:r w:rsidRPr="005D76C6">
        <w:rPr>
          <w:rFonts w:ascii="Times New Roman" w:hAnsi="Times New Roman"/>
          <w:b w:val="0"/>
        </w:rPr>
        <w:t>1320.9</w:t>
      </w:r>
      <w:r w:rsidRPr="00513CE7">
        <w:rPr>
          <w:rFonts w:ascii="Times New Roman" w:hAnsi="Times New Roman"/>
          <w:b w:val="0"/>
          <w:i w:val="0"/>
        </w:rPr>
        <w:t xml:space="preserve"> and related pr</w:t>
      </w:r>
      <w:r w:rsidR="00513CE7">
        <w:rPr>
          <w:rFonts w:ascii="Times New Roman" w:hAnsi="Times New Roman"/>
          <w:b w:val="0"/>
          <w:i w:val="0"/>
        </w:rPr>
        <w:t xml:space="preserve">ovisions at </w:t>
      </w:r>
      <w:r w:rsidRPr="005D76C6" w:rsidR="00513CE7">
        <w:rPr>
          <w:rFonts w:ascii="Times New Roman" w:hAnsi="Times New Roman"/>
          <w:b w:val="0"/>
        </w:rPr>
        <w:t>5 CFR 1320.8(b)(3)</w:t>
      </w:r>
      <w:r w:rsidR="00513CE7">
        <w:rPr>
          <w:rFonts w:ascii="Times New Roman" w:hAnsi="Times New Roman"/>
          <w:b w:val="0"/>
          <w:i w:val="0"/>
        </w:rPr>
        <w:t>.</w:t>
      </w:r>
    </w:p>
    <w:p w:rsidR="00FF3706" w:rsidRPr="00513CE7" w:rsidP="004C51D7" w14:paraId="6D8EF7BA"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4A2264" w:rsidP="004A2264" w14:paraId="2AB36BB6" w14:textId="77777777">
      <w:pPr>
        <w:rPr>
          <w:rFonts w:ascii="Times New Roman" w:hAnsi="Times New Roman"/>
          <w:b/>
          <w:u w:val="single"/>
        </w:rPr>
      </w:pPr>
      <w:r w:rsidRPr="0041131C">
        <w:rPr>
          <w:rFonts w:ascii="Times New Roman" w:hAnsi="Times New Roman"/>
          <w:b/>
        </w:rPr>
        <w:t xml:space="preserve">B. </w:t>
      </w:r>
      <w:r>
        <w:rPr>
          <w:rFonts w:ascii="Times New Roman" w:hAnsi="Times New Roman"/>
          <w:b/>
        </w:rPr>
        <w:t xml:space="preserve"> </w:t>
      </w:r>
      <w:r w:rsidR="0063105E">
        <w:rPr>
          <w:rFonts w:ascii="Times New Roman" w:hAnsi="Times New Roman"/>
          <w:b/>
        </w:rPr>
        <w:t xml:space="preserve">  </w:t>
      </w:r>
      <w:r>
        <w:rPr>
          <w:rFonts w:ascii="Times New Roman" w:hAnsi="Times New Roman"/>
          <w:b/>
        </w:rPr>
        <w:t xml:space="preserve"> </w:t>
      </w:r>
      <w:r w:rsidR="004C51D7">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5C33DB" w:rsidP="004A2264" w14:paraId="4037DC90" w14:textId="77777777">
      <w:pPr>
        <w:rPr>
          <w:rFonts w:ascii="Times New Roman" w:hAnsi="Times New Roman"/>
          <w:b/>
          <w:u w:val="single"/>
        </w:rPr>
      </w:pPr>
    </w:p>
    <w:p w:rsidR="00B6315A" w:rsidRPr="00746FF6" w:rsidP="00E25E92" w14:paraId="3A156A09" w14:textId="77777777">
      <w:pPr>
        <w:rPr>
          <w:rFonts w:ascii="Times New Roman" w:hAnsi="Times New Roman"/>
        </w:rPr>
      </w:pPr>
      <w:r>
        <w:rPr>
          <w:rFonts w:ascii="Times New Roman" w:hAnsi="Times New Roman"/>
        </w:rPr>
        <w:tab/>
      </w:r>
      <w:r w:rsidRPr="004A2264">
        <w:rPr>
          <w:rFonts w:ascii="Times New Roman" w:hAnsi="Times New Roman"/>
        </w:rPr>
        <w:t>S</w:t>
      </w:r>
      <w:r w:rsidRPr="004A2264" w:rsidR="0041131C">
        <w:rPr>
          <w:rFonts w:ascii="Times New Roman" w:hAnsi="Times New Roman"/>
        </w:rPr>
        <w:t>SA does not use statistical methods f</w:t>
      </w:r>
      <w:r w:rsidRPr="004A2264" w:rsidR="00513CE7">
        <w:rPr>
          <w:rFonts w:ascii="Times New Roman" w:hAnsi="Times New Roman"/>
        </w:rPr>
        <w:t>or this information collection.</w:t>
      </w:r>
    </w:p>
    <w:sectPr w:rsidSect="00472A3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9922908"/>
      <w:docPartObj>
        <w:docPartGallery w:val="Page Numbers (Bottom of Page)"/>
        <w:docPartUnique/>
      </w:docPartObj>
    </w:sdtPr>
    <w:sdtEndPr>
      <w:rPr>
        <w:noProof/>
      </w:rPr>
    </w:sdtEndPr>
    <w:sdtContent>
      <w:p w:rsidR="00260A55" w14:paraId="431D4D2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60A55" w14:paraId="56259B5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70B082DE"/>
    <w:lvl w:ilvl="0">
      <w:start w:val="18"/>
      <w:numFmt w:val="decimal"/>
      <w:lvlText w:val="%1."/>
      <w:lvlJc w:val="left"/>
      <w:pPr>
        <w:tabs>
          <w:tab w:val="num" w:pos="720"/>
        </w:tabs>
        <w:ind w:left="720" w:hanging="72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F6660BE"/>
    <w:multiLevelType w:val="hybridMultilevel"/>
    <w:tmpl w:val="44D058A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ED451FC"/>
    <w:multiLevelType w:val="hybridMultilevel"/>
    <w:tmpl w:val="DA12680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8824016"/>
    <w:multiLevelType w:val="hybridMultilevel"/>
    <w:tmpl w:val="FF8C39D4"/>
    <w:lvl w:ilvl="0">
      <w:start w:val="1"/>
      <w:numFmt w:val="upperLetter"/>
      <w:lvlText w:val="%1."/>
      <w:lvlJc w:val="left"/>
      <w:pPr>
        <w:ind w:left="720" w:hanging="360"/>
      </w:pPr>
      <w:rPr>
        <w:b/>
      </w:rPr>
    </w:lvl>
    <w:lvl w:ilvl="1">
      <w:start w:val="1"/>
      <w:numFmt w:val="decimal"/>
      <w:lvlText w:val="%2."/>
      <w:lvlJc w:val="left"/>
      <w:pPr>
        <w:ind w:left="1440" w:hanging="360"/>
      </w:pPr>
      <w:rPr>
        <w:b/>
        <w:b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DC15AB"/>
    <w:multiLevelType w:val="hybridMultilevel"/>
    <w:tmpl w:val="DFCEA49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5">
    <w:nsid w:val="2BE069E6"/>
    <w:multiLevelType w:val="hybridMultilevel"/>
    <w:tmpl w:val="1A6ACA14"/>
    <w:lvl w:ilvl="0">
      <w:start w:val="1"/>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51E90CC2"/>
    <w:multiLevelType w:val="multilevel"/>
    <w:tmpl w:val="0984733E"/>
    <w:lvl w:ilvl="0">
      <w:start w:val="2"/>
      <w:numFmt w:val="decimal"/>
      <w:lvlText w:val="%1."/>
      <w:lvlJc w:val="left"/>
      <w:pPr>
        <w:tabs>
          <w:tab w:val="num" w:pos="1440"/>
        </w:tabs>
        <w:ind w:left="1440" w:hanging="720"/>
      </w:pPr>
      <w:rPr>
        <w:rFonts w:hint="default"/>
        <w:b/>
        <w:bCs/>
      </w:rPr>
    </w:lvl>
    <w:lvl w:ilvl="1">
      <w:start w:val="1"/>
      <w:numFmt w:val="lowerLetter"/>
      <w:lvlText w:val="%2)"/>
      <w:lvlJc w:val="left"/>
      <w:pPr>
        <w:tabs>
          <w:tab w:val="num" w:pos="1800"/>
        </w:tabs>
        <w:ind w:left="1800" w:hanging="360"/>
      </w:pPr>
      <w:rPr>
        <w:rFonts w:hint="default"/>
      </w:rPr>
    </w:lvl>
    <w:lvl w:ilvl="2">
      <w:start w:val="0"/>
      <w:numFmt w:val="bullet"/>
      <w:lvlText w:val=""/>
      <w:lvlJc w:val="left"/>
      <w:pPr>
        <w:ind w:left="2700" w:hanging="360"/>
      </w:pPr>
      <w:rPr>
        <w:rFonts w:ascii="Symbol" w:eastAsia="Times New Roman" w:hAnsi="Symbol" w:cs="Times New Roman"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531525B3"/>
    <w:multiLevelType w:val="hybridMultilevel"/>
    <w:tmpl w:val="FF68C6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A605A35"/>
    <w:multiLevelType w:val="singleLevel"/>
    <w:tmpl w:val="03EA6668"/>
    <w:lvl w:ilvl="0">
      <w:start w:val="5"/>
      <w:numFmt w:val="decimal"/>
      <w:lvlText w:val="%1."/>
      <w:lvlJc w:val="left"/>
      <w:pPr>
        <w:tabs>
          <w:tab w:val="num" w:pos="450"/>
        </w:tabs>
        <w:ind w:left="450" w:hanging="360"/>
      </w:pPr>
      <w:rPr>
        <w:rFonts w:hint="default"/>
        <w:b w:val="0"/>
        <w:bCs/>
      </w:rPr>
    </w:lvl>
  </w:abstractNum>
  <w:abstractNum w:abstractNumId="9">
    <w:nsid w:val="5FC3153A"/>
    <w:multiLevelType w:val="hybridMultilevel"/>
    <w:tmpl w:val="EDC0A3F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616F329C"/>
    <w:multiLevelType w:val="hybridMultilevel"/>
    <w:tmpl w:val="4FDE66DA"/>
    <w:lvl w:ilvl="0">
      <w:start w:val="1"/>
      <w:numFmt w:val="decimal"/>
      <w:lvlText w:val="%1."/>
      <w:lvlJc w:val="left"/>
      <w:pPr>
        <w:tabs>
          <w:tab w:val="num" w:pos="0"/>
        </w:tabs>
        <w:ind w:left="0" w:hanging="720"/>
      </w:pPr>
      <w:rPr>
        <w:rFonts w:hint="default"/>
        <w:b/>
        <w:bCs/>
      </w:rPr>
    </w:lvl>
    <w:lvl w:ilvl="1">
      <w:start w:val="1"/>
      <w:numFmt w:val="lowerLetter"/>
      <w:lvlText w:val="%2)"/>
      <w:lvlJc w:val="left"/>
      <w:pPr>
        <w:tabs>
          <w:tab w:val="num" w:pos="360"/>
        </w:tabs>
        <w:ind w:left="360" w:hanging="360"/>
      </w:pPr>
      <w:rPr>
        <w:rFonts w:hint="default"/>
      </w:rPr>
    </w:lvl>
    <w:lvl w:ilvl="2">
      <w:start w:val="0"/>
      <w:numFmt w:val="bullet"/>
      <w:lvlText w:val=""/>
      <w:lvlJc w:val="left"/>
      <w:pPr>
        <w:ind w:left="1260" w:hanging="360"/>
      </w:pPr>
      <w:rPr>
        <w:rFonts w:ascii="Symbol" w:eastAsia="Times New Roman" w:hAnsi="Symbol" w:cs="Times New Roman" w:hint="default"/>
      </w:r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1">
    <w:nsid w:val="74CC03B5"/>
    <w:multiLevelType w:val="singleLevel"/>
    <w:tmpl w:val="B40EFC68"/>
    <w:lvl w:ilvl="0">
      <w:start w:val="14"/>
      <w:numFmt w:val="decimal"/>
      <w:lvlText w:val="%1."/>
      <w:lvlJc w:val="left"/>
      <w:pPr>
        <w:tabs>
          <w:tab w:val="num" w:pos="360"/>
        </w:tabs>
        <w:ind w:left="360" w:hanging="360"/>
      </w:pPr>
      <w:rPr>
        <w:rFonts w:hint="default"/>
        <w:b/>
        <w:bCs w:val="0"/>
      </w:rPr>
    </w:lvl>
  </w:abstractNum>
  <w:abstractNum w:abstractNumId="12">
    <w:nsid w:val="7866410B"/>
    <w:multiLevelType w:val="multilevel"/>
    <w:tmpl w:val="10D03A3C"/>
    <w:lvl w:ilvl="0">
      <w:start w:val="2"/>
      <w:numFmt w:val="decimal"/>
      <w:lvlText w:val="%1."/>
      <w:lvlJc w:val="left"/>
      <w:pPr>
        <w:tabs>
          <w:tab w:val="num" w:pos="720"/>
        </w:tabs>
        <w:ind w:left="720" w:hanging="720"/>
      </w:pPr>
      <w:rPr>
        <w:rFonts w:hint="default"/>
        <w:b/>
        <w:bCs/>
      </w:rPr>
    </w:lvl>
    <w:lvl w:ilvl="1">
      <w:start w:val="1"/>
      <w:numFmt w:val="bullet"/>
      <w:lvlText w:val=""/>
      <w:lvlJc w:val="left"/>
      <w:pPr>
        <w:ind w:left="1080" w:hanging="360"/>
      </w:pPr>
      <w:rPr>
        <w:rFonts w:ascii="Symbol" w:hAnsi="Symbol" w:hint="default"/>
      </w:rPr>
    </w:lvl>
    <w:lvl w:ilvl="2">
      <w:start w:val="0"/>
      <w:numFmt w:val="bullet"/>
      <w:lvlText w:val=""/>
      <w:lvlJc w:val="left"/>
      <w:pPr>
        <w:ind w:left="1980" w:hanging="360"/>
      </w:pPr>
      <w:rPr>
        <w:rFonts w:ascii="Symbol" w:eastAsia="Times New Roman" w:hAnsi="Symbol" w:cs="Times New Roman"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nsid w:val="7A9B5E7D"/>
    <w:multiLevelType w:val="singleLevel"/>
    <w:tmpl w:val="19A8A694"/>
    <w:lvl w:ilvl="0">
      <w:start w:val="8"/>
      <w:numFmt w:val="decimal"/>
      <w:lvlText w:val="%1."/>
      <w:lvlJc w:val="left"/>
      <w:pPr>
        <w:tabs>
          <w:tab w:val="num" w:pos="720"/>
        </w:tabs>
        <w:ind w:left="720" w:hanging="720"/>
      </w:pPr>
      <w:rPr>
        <w:rFonts w:hint="default"/>
        <w:b/>
        <w:bCs/>
      </w:rPr>
    </w:lvl>
  </w:abstractNum>
  <w:abstractNum w:abstractNumId="14">
    <w:nsid w:val="7BD14A05"/>
    <w:multiLevelType w:val="hybridMultilevel"/>
    <w:tmpl w:val="A6522B4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BDB5F08"/>
    <w:multiLevelType w:val="hybridMultilevel"/>
    <w:tmpl w:val="14240E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14060773">
    <w:abstractNumId w:val="13"/>
  </w:num>
  <w:num w:numId="2" w16cid:durableId="1233155271">
    <w:abstractNumId w:val="12"/>
  </w:num>
  <w:num w:numId="3" w16cid:durableId="1040978533">
    <w:abstractNumId w:val="11"/>
  </w:num>
  <w:num w:numId="4" w16cid:durableId="421069610">
    <w:abstractNumId w:val="8"/>
  </w:num>
  <w:num w:numId="5" w16cid:durableId="1276642244">
    <w:abstractNumId w:val="10"/>
  </w:num>
  <w:num w:numId="6" w16cid:durableId="62342063">
    <w:abstractNumId w:val="0"/>
  </w:num>
  <w:num w:numId="7" w16cid:durableId="887642996">
    <w:abstractNumId w:val="9"/>
  </w:num>
  <w:num w:numId="8" w16cid:durableId="838423380">
    <w:abstractNumId w:val="2"/>
  </w:num>
  <w:num w:numId="9" w16cid:durableId="476804711">
    <w:abstractNumId w:val="7"/>
  </w:num>
  <w:num w:numId="10" w16cid:durableId="2102336702">
    <w:abstractNumId w:val="15"/>
  </w:num>
  <w:num w:numId="11" w16cid:durableId="2007704634">
    <w:abstractNumId w:val="1"/>
  </w:num>
  <w:num w:numId="12" w16cid:durableId="168907422">
    <w:abstractNumId w:val="5"/>
  </w:num>
  <w:num w:numId="13" w16cid:durableId="1439450544">
    <w:abstractNumId w:val="4"/>
  </w:num>
  <w:num w:numId="14" w16cid:durableId="242182277">
    <w:abstractNumId w:val="6"/>
  </w:num>
  <w:num w:numId="15" w16cid:durableId="2078896951">
    <w:abstractNumId w:val="3"/>
  </w:num>
  <w:num w:numId="16" w16cid:durableId="149379465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688"/>
    <w:rsid w:val="00002253"/>
    <w:rsid w:val="00002AC2"/>
    <w:rsid w:val="00013384"/>
    <w:rsid w:val="00013DBA"/>
    <w:rsid w:val="00014347"/>
    <w:rsid w:val="00021BFE"/>
    <w:rsid w:val="00021C6E"/>
    <w:rsid w:val="000222A7"/>
    <w:rsid w:val="0002240D"/>
    <w:rsid w:val="00022EBE"/>
    <w:rsid w:val="00025216"/>
    <w:rsid w:val="00025C9F"/>
    <w:rsid w:val="0002677F"/>
    <w:rsid w:val="000269A5"/>
    <w:rsid w:val="00031EF6"/>
    <w:rsid w:val="000345DA"/>
    <w:rsid w:val="00034EFD"/>
    <w:rsid w:val="000358DF"/>
    <w:rsid w:val="00036393"/>
    <w:rsid w:val="00042EBC"/>
    <w:rsid w:val="00044A88"/>
    <w:rsid w:val="00044F24"/>
    <w:rsid w:val="0004695A"/>
    <w:rsid w:val="00054077"/>
    <w:rsid w:val="000561B7"/>
    <w:rsid w:val="0006116F"/>
    <w:rsid w:val="00063A05"/>
    <w:rsid w:val="00066B79"/>
    <w:rsid w:val="0006715D"/>
    <w:rsid w:val="0007189E"/>
    <w:rsid w:val="00075663"/>
    <w:rsid w:val="00077720"/>
    <w:rsid w:val="00077E0E"/>
    <w:rsid w:val="00081C4F"/>
    <w:rsid w:val="00083D29"/>
    <w:rsid w:val="0008476D"/>
    <w:rsid w:val="00086E84"/>
    <w:rsid w:val="00091FFB"/>
    <w:rsid w:val="00094439"/>
    <w:rsid w:val="000958AA"/>
    <w:rsid w:val="0009797F"/>
    <w:rsid w:val="000A0542"/>
    <w:rsid w:val="000A10F8"/>
    <w:rsid w:val="000A5BED"/>
    <w:rsid w:val="000A6AE3"/>
    <w:rsid w:val="000B2B68"/>
    <w:rsid w:val="000B3B12"/>
    <w:rsid w:val="000B49C9"/>
    <w:rsid w:val="000B7E94"/>
    <w:rsid w:val="000C0A7D"/>
    <w:rsid w:val="000C151C"/>
    <w:rsid w:val="000C1D18"/>
    <w:rsid w:val="000C5688"/>
    <w:rsid w:val="000C5E52"/>
    <w:rsid w:val="000C63E0"/>
    <w:rsid w:val="000C7884"/>
    <w:rsid w:val="000D025F"/>
    <w:rsid w:val="000D2E86"/>
    <w:rsid w:val="000D58EA"/>
    <w:rsid w:val="000D5F5C"/>
    <w:rsid w:val="000E20DC"/>
    <w:rsid w:val="000F008A"/>
    <w:rsid w:val="000F0321"/>
    <w:rsid w:val="000F146A"/>
    <w:rsid w:val="000F3221"/>
    <w:rsid w:val="000F474F"/>
    <w:rsid w:val="000F5D05"/>
    <w:rsid w:val="0010064B"/>
    <w:rsid w:val="0010066D"/>
    <w:rsid w:val="00100F61"/>
    <w:rsid w:val="00104883"/>
    <w:rsid w:val="00114EDB"/>
    <w:rsid w:val="001156F0"/>
    <w:rsid w:val="001204C6"/>
    <w:rsid w:val="00121032"/>
    <w:rsid w:val="0012124A"/>
    <w:rsid w:val="001222F5"/>
    <w:rsid w:val="00122EE2"/>
    <w:rsid w:val="00124548"/>
    <w:rsid w:val="00126D64"/>
    <w:rsid w:val="00127980"/>
    <w:rsid w:val="001302D4"/>
    <w:rsid w:val="00130BEB"/>
    <w:rsid w:val="00132BE8"/>
    <w:rsid w:val="00132F5B"/>
    <w:rsid w:val="00142EC1"/>
    <w:rsid w:val="00146024"/>
    <w:rsid w:val="00146275"/>
    <w:rsid w:val="001466AE"/>
    <w:rsid w:val="001471AB"/>
    <w:rsid w:val="00152139"/>
    <w:rsid w:val="0015576E"/>
    <w:rsid w:val="001558D4"/>
    <w:rsid w:val="00155A7B"/>
    <w:rsid w:val="001567A1"/>
    <w:rsid w:val="00156B5A"/>
    <w:rsid w:val="00157DF7"/>
    <w:rsid w:val="001605A9"/>
    <w:rsid w:val="00161BD1"/>
    <w:rsid w:val="0016221D"/>
    <w:rsid w:val="001636FB"/>
    <w:rsid w:val="00164925"/>
    <w:rsid w:val="001651B2"/>
    <w:rsid w:val="0016591F"/>
    <w:rsid w:val="00165F27"/>
    <w:rsid w:val="00165F3D"/>
    <w:rsid w:val="001662DF"/>
    <w:rsid w:val="00174326"/>
    <w:rsid w:val="0018153B"/>
    <w:rsid w:val="0018264F"/>
    <w:rsid w:val="001838EA"/>
    <w:rsid w:val="00183BBB"/>
    <w:rsid w:val="0018450B"/>
    <w:rsid w:val="001855C1"/>
    <w:rsid w:val="001911A1"/>
    <w:rsid w:val="00192897"/>
    <w:rsid w:val="00193729"/>
    <w:rsid w:val="00196922"/>
    <w:rsid w:val="001A01D2"/>
    <w:rsid w:val="001A065D"/>
    <w:rsid w:val="001A199A"/>
    <w:rsid w:val="001A3317"/>
    <w:rsid w:val="001A4B69"/>
    <w:rsid w:val="001A65F9"/>
    <w:rsid w:val="001B04F6"/>
    <w:rsid w:val="001B221E"/>
    <w:rsid w:val="001B4217"/>
    <w:rsid w:val="001B6114"/>
    <w:rsid w:val="001B66C9"/>
    <w:rsid w:val="001B6BCD"/>
    <w:rsid w:val="001B76F5"/>
    <w:rsid w:val="001B7CF4"/>
    <w:rsid w:val="001C37D8"/>
    <w:rsid w:val="001C4CA2"/>
    <w:rsid w:val="001C5BDB"/>
    <w:rsid w:val="001C6579"/>
    <w:rsid w:val="001C6D3A"/>
    <w:rsid w:val="001D0503"/>
    <w:rsid w:val="001D0E3C"/>
    <w:rsid w:val="001D1DFF"/>
    <w:rsid w:val="001E1076"/>
    <w:rsid w:val="001E1161"/>
    <w:rsid w:val="001E2C60"/>
    <w:rsid w:val="001E372B"/>
    <w:rsid w:val="001E4AEB"/>
    <w:rsid w:val="001E53A1"/>
    <w:rsid w:val="001E584C"/>
    <w:rsid w:val="001F1A71"/>
    <w:rsid w:val="001F221D"/>
    <w:rsid w:val="001F74DB"/>
    <w:rsid w:val="002000F3"/>
    <w:rsid w:val="002116B6"/>
    <w:rsid w:val="00211EFE"/>
    <w:rsid w:val="002135A9"/>
    <w:rsid w:val="00214B8E"/>
    <w:rsid w:val="00216B74"/>
    <w:rsid w:val="00225F17"/>
    <w:rsid w:val="002303AA"/>
    <w:rsid w:val="002321B0"/>
    <w:rsid w:val="0023611F"/>
    <w:rsid w:val="00236441"/>
    <w:rsid w:val="002369CD"/>
    <w:rsid w:val="00246836"/>
    <w:rsid w:val="002476B4"/>
    <w:rsid w:val="00247DBE"/>
    <w:rsid w:val="00251D76"/>
    <w:rsid w:val="002529F3"/>
    <w:rsid w:val="002544B8"/>
    <w:rsid w:val="00254BF8"/>
    <w:rsid w:val="0026052B"/>
    <w:rsid w:val="00260A55"/>
    <w:rsid w:val="00263391"/>
    <w:rsid w:val="00266072"/>
    <w:rsid w:val="00266155"/>
    <w:rsid w:val="00270353"/>
    <w:rsid w:val="002707E8"/>
    <w:rsid w:val="00276AAF"/>
    <w:rsid w:val="002801F8"/>
    <w:rsid w:val="00280EBE"/>
    <w:rsid w:val="00284815"/>
    <w:rsid w:val="002852C5"/>
    <w:rsid w:val="00285494"/>
    <w:rsid w:val="0028746C"/>
    <w:rsid w:val="002878B7"/>
    <w:rsid w:val="00295559"/>
    <w:rsid w:val="00297A9E"/>
    <w:rsid w:val="002A07AB"/>
    <w:rsid w:val="002A2DA3"/>
    <w:rsid w:val="002A392A"/>
    <w:rsid w:val="002A3FA9"/>
    <w:rsid w:val="002A4252"/>
    <w:rsid w:val="002A4C30"/>
    <w:rsid w:val="002A6A01"/>
    <w:rsid w:val="002A7855"/>
    <w:rsid w:val="002B0820"/>
    <w:rsid w:val="002B0DCE"/>
    <w:rsid w:val="002B0F10"/>
    <w:rsid w:val="002B424F"/>
    <w:rsid w:val="002B5578"/>
    <w:rsid w:val="002C1B09"/>
    <w:rsid w:val="002C1E65"/>
    <w:rsid w:val="002C2482"/>
    <w:rsid w:val="002C4FFC"/>
    <w:rsid w:val="002C6CEF"/>
    <w:rsid w:val="002D1B30"/>
    <w:rsid w:val="002D34D7"/>
    <w:rsid w:val="002D429D"/>
    <w:rsid w:val="002D6793"/>
    <w:rsid w:val="002D70CE"/>
    <w:rsid w:val="002D72F6"/>
    <w:rsid w:val="002D7CAB"/>
    <w:rsid w:val="002E1132"/>
    <w:rsid w:val="002E18CF"/>
    <w:rsid w:val="002E1CD2"/>
    <w:rsid w:val="002E35EE"/>
    <w:rsid w:val="002E36A5"/>
    <w:rsid w:val="002E4701"/>
    <w:rsid w:val="002E7B87"/>
    <w:rsid w:val="002F032B"/>
    <w:rsid w:val="002F1C11"/>
    <w:rsid w:val="002F3864"/>
    <w:rsid w:val="002F4C1B"/>
    <w:rsid w:val="002F4D13"/>
    <w:rsid w:val="002F4F33"/>
    <w:rsid w:val="002F5083"/>
    <w:rsid w:val="00302545"/>
    <w:rsid w:val="00303EA4"/>
    <w:rsid w:val="003071E3"/>
    <w:rsid w:val="0031007F"/>
    <w:rsid w:val="00312E6E"/>
    <w:rsid w:val="00316B6C"/>
    <w:rsid w:val="00321B8C"/>
    <w:rsid w:val="003232EE"/>
    <w:rsid w:val="003253FC"/>
    <w:rsid w:val="00326D7C"/>
    <w:rsid w:val="00326F7C"/>
    <w:rsid w:val="0033134D"/>
    <w:rsid w:val="00331821"/>
    <w:rsid w:val="00335EEF"/>
    <w:rsid w:val="003372A2"/>
    <w:rsid w:val="00340DC0"/>
    <w:rsid w:val="00341A78"/>
    <w:rsid w:val="00341E56"/>
    <w:rsid w:val="00342C47"/>
    <w:rsid w:val="003465DC"/>
    <w:rsid w:val="003469CA"/>
    <w:rsid w:val="00352ED7"/>
    <w:rsid w:val="003571C5"/>
    <w:rsid w:val="0036432B"/>
    <w:rsid w:val="00365FB3"/>
    <w:rsid w:val="0036696D"/>
    <w:rsid w:val="00371646"/>
    <w:rsid w:val="003717EA"/>
    <w:rsid w:val="00373341"/>
    <w:rsid w:val="00375A34"/>
    <w:rsid w:val="00375AE8"/>
    <w:rsid w:val="0037710D"/>
    <w:rsid w:val="003771E4"/>
    <w:rsid w:val="0038050B"/>
    <w:rsid w:val="00384FC2"/>
    <w:rsid w:val="003875CC"/>
    <w:rsid w:val="00392B5B"/>
    <w:rsid w:val="00393707"/>
    <w:rsid w:val="00394109"/>
    <w:rsid w:val="003944F8"/>
    <w:rsid w:val="00395664"/>
    <w:rsid w:val="003A52DD"/>
    <w:rsid w:val="003A7110"/>
    <w:rsid w:val="003B15EC"/>
    <w:rsid w:val="003B2496"/>
    <w:rsid w:val="003B30B4"/>
    <w:rsid w:val="003C10BD"/>
    <w:rsid w:val="003C1BDF"/>
    <w:rsid w:val="003C2DE4"/>
    <w:rsid w:val="003C30F2"/>
    <w:rsid w:val="003C3A40"/>
    <w:rsid w:val="003C437F"/>
    <w:rsid w:val="003C5885"/>
    <w:rsid w:val="003C7764"/>
    <w:rsid w:val="003D1CA6"/>
    <w:rsid w:val="003D2071"/>
    <w:rsid w:val="003D2791"/>
    <w:rsid w:val="003D486C"/>
    <w:rsid w:val="003D78F4"/>
    <w:rsid w:val="003E03C4"/>
    <w:rsid w:val="003E145C"/>
    <w:rsid w:val="003E2A73"/>
    <w:rsid w:val="003E2BF9"/>
    <w:rsid w:val="003E2EDE"/>
    <w:rsid w:val="003E3CDF"/>
    <w:rsid w:val="003E432F"/>
    <w:rsid w:val="003E61DE"/>
    <w:rsid w:val="003E6F15"/>
    <w:rsid w:val="003E794F"/>
    <w:rsid w:val="003F08E4"/>
    <w:rsid w:val="003F2010"/>
    <w:rsid w:val="003F504B"/>
    <w:rsid w:val="003F6A59"/>
    <w:rsid w:val="003F754C"/>
    <w:rsid w:val="00400DCF"/>
    <w:rsid w:val="00401C16"/>
    <w:rsid w:val="00402C8C"/>
    <w:rsid w:val="00402F2A"/>
    <w:rsid w:val="00403B62"/>
    <w:rsid w:val="0040459E"/>
    <w:rsid w:val="00405548"/>
    <w:rsid w:val="004055F2"/>
    <w:rsid w:val="00407A1C"/>
    <w:rsid w:val="00410A33"/>
    <w:rsid w:val="0041131C"/>
    <w:rsid w:val="0041378E"/>
    <w:rsid w:val="004155A1"/>
    <w:rsid w:val="0041665A"/>
    <w:rsid w:val="00416A4C"/>
    <w:rsid w:val="00420B52"/>
    <w:rsid w:val="00422A0E"/>
    <w:rsid w:val="00423BF2"/>
    <w:rsid w:val="00424106"/>
    <w:rsid w:val="00431D44"/>
    <w:rsid w:val="00432B9B"/>
    <w:rsid w:val="00437078"/>
    <w:rsid w:val="00437760"/>
    <w:rsid w:val="004414C8"/>
    <w:rsid w:val="00447EE9"/>
    <w:rsid w:val="0045016B"/>
    <w:rsid w:val="0045065A"/>
    <w:rsid w:val="004509AD"/>
    <w:rsid w:val="004547C0"/>
    <w:rsid w:val="00454D04"/>
    <w:rsid w:val="0045634B"/>
    <w:rsid w:val="00464738"/>
    <w:rsid w:val="00464DE2"/>
    <w:rsid w:val="00467066"/>
    <w:rsid w:val="00470D5D"/>
    <w:rsid w:val="00471866"/>
    <w:rsid w:val="004724D3"/>
    <w:rsid w:val="00472625"/>
    <w:rsid w:val="00472A35"/>
    <w:rsid w:val="004750E0"/>
    <w:rsid w:val="00475350"/>
    <w:rsid w:val="00476028"/>
    <w:rsid w:val="004770AE"/>
    <w:rsid w:val="00481B44"/>
    <w:rsid w:val="00484662"/>
    <w:rsid w:val="00491426"/>
    <w:rsid w:val="004915B5"/>
    <w:rsid w:val="00491B09"/>
    <w:rsid w:val="00493B76"/>
    <w:rsid w:val="00494B6E"/>
    <w:rsid w:val="00494FB2"/>
    <w:rsid w:val="004950EF"/>
    <w:rsid w:val="00495FE4"/>
    <w:rsid w:val="004A0175"/>
    <w:rsid w:val="004A2264"/>
    <w:rsid w:val="004B4FD1"/>
    <w:rsid w:val="004B5519"/>
    <w:rsid w:val="004C092B"/>
    <w:rsid w:val="004C3BCF"/>
    <w:rsid w:val="004C42BD"/>
    <w:rsid w:val="004C51D7"/>
    <w:rsid w:val="004D0116"/>
    <w:rsid w:val="004D0C85"/>
    <w:rsid w:val="004D144B"/>
    <w:rsid w:val="004D47A4"/>
    <w:rsid w:val="004D4845"/>
    <w:rsid w:val="004E146D"/>
    <w:rsid w:val="004E29A3"/>
    <w:rsid w:val="004E2A88"/>
    <w:rsid w:val="004E370C"/>
    <w:rsid w:val="004E661B"/>
    <w:rsid w:val="004F2EAC"/>
    <w:rsid w:val="004F69E8"/>
    <w:rsid w:val="0050197F"/>
    <w:rsid w:val="00503A57"/>
    <w:rsid w:val="005040EC"/>
    <w:rsid w:val="005041A1"/>
    <w:rsid w:val="00506486"/>
    <w:rsid w:val="00511967"/>
    <w:rsid w:val="00513CE7"/>
    <w:rsid w:val="0052178A"/>
    <w:rsid w:val="00522132"/>
    <w:rsid w:val="00522A3C"/>
    <w:rsid w:val="00525D56"/>
    <w:rsid w:val="0053085E"/>
    <w:rsid w:val="00530895"/>
    <w:rsid w:val="00531F5B"/>
    <w:rsid w:val="005356B8"/>
    <w:rsid w:val="00541E55"/>
    <w:rsid w:val="00543001"/>
    <w:rsid w:val="00545C5E"/>
    <w:rsid w:val="00546C2A"/>
    <w:rsid w:val="0055112B"/>
    <w:rsid w:val="00551449"/>
    <w:rsid w:val="0055217C"/>
    <w:rsid w:val="00557EFC"/>
    <w:rsid w:val="005611E9"/>
    <w:rsid w:val="0056163C"/>
    <w:rsid w:val="0056170A"/>
    <w:rsid w:val="005621E8"/>
    <w:rsid w:val="00562E15"/>
    <w:rsid w:val="00565B4E"/>
    <w:rsid w:val="00566D18"/>
    <w:rsid w:val="005719CC"/>
    <w:rsid w:val="005721D4"/>
    <w:rsid w:val="00573056"/>
    <w:rsid w:val="005740BC"/>
    <w:rsid w:val="0057452A"/>
    <w:rsid w:val="00576B05"/>
    <w:rsid w:val="00581B2B"/>
    <w:rsid w:val="00593A36"/>
    <w:rsid w:val="00593BF2"/>
    <w:rsid w:val="005953E4"/>
    <w:rsid w:val="00595E59"/>
    <w:rsid w:val="005962E1"/>
    <w:rsid w:val="00597175"/>
    <w:rsid w:val="00597A63"/>
    <w:rsid w:val="005A006A"/>
    <w:rsid w:val="005A0A4B"/>
    <w:rsid w:val="005A1198"/>
    <w:rsid w:val="005A4E87"/>
    <w:rsid w:val="005A65CA"/>
    <w:rsid w:val="005A7FF9"/>
    <w:rsid w:val="005B08F2"/>
    <w:rsid w:val="005B15E5"/>
    <w:rsid w:val="005B56DD"/>
    <w:rsid w:val="005C04CC"/>
    <w:rsid w:val="005C1E05"/>
    <w:rsid w:val="005C2C39"/>
    <w:rsid w:val="005C33DB"/>
    <w:rsid w:val="005C5EE4"/>
    <w:rsid w:val="005D15E7"/>
    <w:rsid w:val="005D37B3"/>
    <w:rsid w:val="005D3F46"/>
    <w:rsid w:val="005D4107"/>
    <w:rsid w:val="005D76C6"/>
    <w:rsid w:val="005E26F9"/>
    <w:rsid w:val="005E3067"/>
    <w:rsid w:val="005E4BC5"/>
    <w:rsid w:val="005E53B3"/>
    <w:rsid w:val="005E77BD"/>
    <w:rsid w:val="005F208A"/>
    <w:rsid w:val="005F4DC4"/>
    <w:rsid w:val="005F65E9"/>
    <w:rsid w:val="005F6D92"/>
    <w:rsid w:val="006002DD"/>
    <w:rsid w:val="006013A3"/>
    <w:rsid w:val="00605BD1"/>
    <w:rsid w:val="00606392"/>
    <w:rsid w:val="006065EF"/>
    <w:rsid w:val="00612394"/>
    <w:rsid w:val="00612EDF"/>
    <w:rsid w:val="0061331C"/>
    <w:rsid w:val="006160ED"/>
    <w:rsid w:val="00620652"/>
    <w:rsid w:val="00621492"/>
    <w:rsid w:val="006216D2"/>
    <w:rsid w:val="00621E2F"/>
    <w:rsid w:val="00622F32"/>
    <w:rsid w:val="00625669"/>
    <w:rsid w:val="00626342"/>
    <w:rsid w:val="00626C22"/>
    <w:rsid w:val="00626EB8"/>
    <w:rsid w:val="00630BA4"/>
    <w:rsid w:val="0063105E"/>
    <w:rsid w:val="00631F1B"/>
    <w:rsid w:val="00633035"/>
    <w:rsid w:val="0063304D"/>
    <w:rsid w:val="00633903"/>
    <w:rsid w:val="00637AF5"/>
    <w:rsid w:val="00637F12"/>
    <w:rsid w:val="00640A26"/>
    <w:rsid w:val="00641185"/>
    <w:rsid w:val="0064264C"/>
    <w:rsid w:val="00653F9B"/>
    <w:rsid w:val="00654772"/>
    <w:rsid w:val="00654D3F"/>
    <w:rsid w:val="00654E7A"/>
    <w:rsid w:val="00655527"/>
    <w:rsid w:val="006576BA"/>
    <w:rsid w:val="00661430"/>
    <w:rsid w:val="00663881"/>
    <w:rsid w:val="00664553"/>
    <w:rsid w:val="0066625F"/>
    <w:rsid w:val="0066692F"/>
    <w:rsid w:val="0067087A"/>
    <w:rsid w:val="00674081"/>
    <w:rsid w:val="00675FA2"/>
    <w:rsid w:val="0067666D"/>
    <w:rsid w:val="00676B05"/>
    <w:rsid w:val="0067781C"/>
    <w:rsid w:val="006806E1"/>
    <w:rsid w:val="00684B69"/>
    <w:rsid w:val="006856EE"/>
    <w:rsid w:val="00686F46"/>
    <w:rsid w:val="00690013"/>
    <w:rsid w:val="006909B5"/>
    <w:rsid w:val="006909BA"/>
    <w:rsid w:val="006935C9"/>
    <w:rsid w:val="006944F0"/>
    <w:rsid w:val="00695415"/>
    <w:rsid w:val="0069667B"/>
    <w:rsid w:val="00697BB8"/>
    <w:rsid w:val="006A1445"/>
    <w:rsid w:val="006A2071"/>
    <w:rsid w:val="006B14E8"/>
    <w:rsid w:val="006B173F"/>
    <w:rsid w:val="006B17EF"/>
    <w:rsid w:val="006B297F"/>
    <w:rsid w:val="006B3698"/>
    <w:rsid w:val="006B3884"/>
    <w:rsid w:val="006B4F4D"/>
    <w:rsid w:val="006C0FB2"/>
    <w:rsid w:val="006C1F33"/>
    <w:rsid w:val="006C2A8B"/>
    <w:rsid w:val="006C303D"/>
    <w:rsid w:val="006C57C6"/>
    <w:rsid w:val="006C61A2"/>
    <w:rsid w:val="006C6246"/>
    <w:rsid w:val="006C7580"/>
    <w:rsid w:val="006D018E"/>
    <w:rsid w:val="006D0A1B"/>
    <w:rsid w:val="006D0B34"/>
    <w:rsid w:val="006D251D"/>
    <w:rsid w:val="006E2895"/>
    <w:rsid w:val="006F0F63"/>
    <w:rsid w:val="006F1510"/>
    <w:rsid w:val="006F22C1"/>
    <w:rsid w:val="006F26FB"/>
    <w:rsid w:val="006F2815"/>
    <w:rsid w:val="006F2B8B"/>
    <w:rsid w:val="006F4D0F"/>
    <w:rsid w:val="006F4D76"/>
    <w:rsid w:val="0070421B"/>
    <w:rsid w:val="007046E0"/>
    <w:rsid w:val="007054C6"/>
    <w:rsid w:val="00705811"/>
    <w:rsid w:val="00710E71"/>
    <w:rsid w:val="00712480"/>
    <w:rsid w:val="00712BB4"/>
    <w:rsid w:val="00712F1B"/>
    <w:rsid w:val="00715874"/>
    <w:rsid w:val="007170E0"/>
    <w:rsid w:val="007200CC"/>
    <w:rsid w:val="0072107E"/>
    <w:rsid w:val="0072331C"/>
    <w:rsid w:val="0072354F"/>
    <w:rsid w:val="00723D79"/>
    <w:rsid w:val="007245C9"/>
    <w:rsid w:val="007256B3"/>
    <w:rsid w:val="00732333"/>
    <w:rsid w:val="00735169"/>
    <w:rsid w:val="007421F6"/>
    <w:rsid w:val="00742B56"/>
    <w:rsid w:val="00745462"/>
    <w:rsid w:val="00745BC8"/>
    <w:rsid w:val="00746FF6"/>
    <w:rsid w:val="00747A29"/>
    <w:rsid w:val="00750C12"/>
    <w:rsid w:val="00752DFE"/>
    <w:rsid w:val="00753421"/>
    <w:rsid w:val="00753D00"/>
    <w:rsid w:val="007541FC"/>
    <w:rsid w:val="00754291"/>
    <w:rsid w:val="00756AEF"/>
    <w:rsid w:val="00756F8D"/>
    <w:rsid w:val="0075782B"/>
    <w:rsid w:val="0076173B"/>
    <w:rsid w:val="0076437D"/>
    <w:rsid w:val="00765855"/>
    <w:rsid w:val="0076719C"/>
    <w:rsid w:val="00771FB2"/>
    <w:rsid w:val="00773219"/>
    <w:rsid w:val="00775C09"/>
    <w:rsid w:val="00781F51"/>
    <w:rsid w:val="0078469A"/>
    <w:rsid w:val="00786F57"/>
    <w:rsid w:val="007944C2"/>
    <w:rsid w:val="00794990"/>
    <w:rsid w:val="00795BAB"/>
    <w:rsid w:val="00796A85"/>
    <w:rsid w:val="00797489"/>
    <w:rsid w:val="007A08D1"/>
    <w:rsid w:val="007A2DEE"/>
    <w:rsid w:val="007A5E96"/>
    <w:rsid w:val="007B007C"/>
    <w:rsid w:val="007B03B7"/>
    <w:rsid w:val="007C25D0"/>
    <w:rsid w:val="007C3600"/>
    <w:rsid w:val="007C39C7"/>
    <w:rsid w:val="007C49F7"/>
    <w:rsid w:val="007C7FBA"/>
    <w:rsid w:val="007D061D"/>
    <w:rsid w:val="007D0C87"/>
    <w:rsid w:val="007D1947"/>
    <w:rsid w:val="007D22EB"/>
    <w:rsid w:val="007D2F23"/>
    <w:rsid w:val="007E17BD"/>
    <w:rsid w:val="007E2083"/>
    <w:rsid w:val="007E3F3E"/>
    <w:rsid w:val="007E41F1"/>
    <w:rsid w:val="007E6590"/>
    <w:rsid w:val="007E6CA6"/>
    <w:rsid w:val="007F0C4E"/>
    <w:rsid w:val="007F364A"/>
    <w:rsid w:val="007F3D19"/>
    <w:rsid w:val="007F5BD5"/>
    <w:rsid w:val="007F7264"/>
    <w:rsid w:val="007F7F19"/>
    <w:rsid w:val="00801EB1"/>
    <w:rsid w:val="0080393A"/>
    <w:rsid w:val="0080581F"/>
    <w:rsid w:val="00806840"/>
    <w:rsid w:val="00806984"/>
    <w:rsid w:val="00810485"/>
    <w:rsid w:val="00814772"/>
    <w:rsid w:val="00817CC8"/>
    <w:rsid w:val="008217AB"/>
    <w:rsid w:val="00821CD3"/>
    <w:rsid w:val="00822D52"/>
    <w:rsid w:val="00824D72"/>
    <w:rsid w:val="00825B97"/>
    <w:rsid w:val="008326B6"/>
    <w:rsid w:val="0083675C"/>
    <w:rsid w:val="00841313"/>
    <w:rsid w:val="00841885"/>
    <w:rsid w:val="008424A7"/>
    <w:rsid w:val="00842662"/>
    <w:rsid w:val="0084775D"/>
    <w:rsid w:val="00851D34"/>
    <w:rsid w:val="008549DB"/>
    <w:rsid w:val="0086463A"/>
    <w:rsid w:val="00865F42"/>
    <w:rsid w:val="0087150A"/>
    <w:rsid w:val="008730A1"/>
    <w:rsid w:val="00873E10"/>
    <w:rsid w:val="00874C2B"/>
    <w:rsid w:val="008754ED"/>
    <w:rsid w:val="00875EFB"/>
    <w:rsid w:val="008801AC"/>
    <w:rsid w:val="00882195"/>
    <w:rsid w:val="00885EE4"/>
    <w:rsid w:val="00886BBF"/>
    <w:rsid w:val="008870B3"/>
    <w:rsid w:val="00891CA8"/>
    <w:rsid w:val="00892E12"/>
    <w:rsid w:val="0089380F"/>
    <w:rsid w:val="008A6EB6"/>
    <w:rsid w:val="008B3E37"/>
    <w:rsid w:val="008B5690"/>
    <w:rsid w:val="008B5741"/>
    <w:rsid w:val="008B6774"/>
    <w:rsid w:val="008C1254"/>
    <w:rsid w:val="008C172D"/>
    <w:rsid w:val="008C3F56"/>
    <w:rsid w:val="008C546B"/>
    <w:rsid w:val="008C6E11"/>
    <w:rsid w:val="008C6FBF"/>
    <w:rsid w:val="008D0D8E"/>
    <w:rsid w:val="008D158E"/>
    <w:rsid w:val="008D2CA2"/>
    <w:rsid w:val="008D5BED"/>
    <w:rsid w:val="008D6B8D"/>
    <w:rsid w:val="008D6BEF"/>
    <w:rsid w:val="008E0BB1"/>
    <w:rsid w:val="008E1C81"/>
    <w:rsid w:val="008E3A3A"/>
    <w:rsid w:val="008E51AB"/>
    <w:rsid w:val="008E5B11"/>
    <w:rsid w:val="008F20BB"/>
    <w:rsid w:val="008F55D7"/>
    <w:rsid w:val="00901057"/>
    <w:rsid w:val="009015DB"/>
    <w:rsid w:val="00906892"/>
    <w:rsid w:val="00913122"/>
    <w:rsid w:val="00915F97"/>
    <w:rsid w:val="009252AB"/>
    <w:rsid w:val="00927C49"/>
    <w:rsid w:val="00933A8B"/>
    <w:rsid w:val="009348DD"/>
    <w:rsid w:val="00935CFC"/>
    <w:rsid w:val="009366A1"/>
    <w:rsid w:val="0094341E"/>
    <w:rsid w:val="009455CE"/>
    <w:rsid w:val="00945FEB"/>
    <w:rsid w:val="009460BE"/>
    <w:rsid w:val="0094703F"/>
    <w:rsid w:val="00951258"/>
    <w:rsid w:val="009512D5"/>
    <w:rsid w:val="00952C5B"/>
    <w:rsid w:val="00955EC4"/>
    <w:rsid w:val="00957039"/>
    <w:rsid w:val="0096671C"/>
    <w:rsid w:val="00966D09"/>
    <w:rsid w:val="00966EE0"/>
    <w:rsid w:val="00973271"/>
    <w:rsid w:val="009748B6"/>
    <w:rsid w:val="00975DD8"/>
    <w:rsid w:val="00976D78"/>
    <w:rsid w:val="009837B7"/>
    <w:rsid w:val="00985840"/>
    <w:rsid w:val="00990B61"/>
    <w:rsid w:val="00991119"/>
    <w:rsid w:val="0099212A"/>
    <w:rsid w:val="009A0B16"/>
    <w:rsid w:val="009A14A1"/>
    <w:rsid w:val="009A461A"/>
    <w:rsid w:val="009A522B"/>
    <w:rsid w:val="009A6810"/>
    <w:rsid w:val="009A7132"/>
    <w:rsid w:val="009A7434"/>
    <w:rsid w:val="009B2D82"/>
    <w:rsid w:val="009B3A4A"/>
    <w:rsid w:val="009B6261"/>
    <w:rsid w:val="009B6F6E"/>
    <w:rsid w:val="009C052F"/>
    <w:rsid w:val="009C0873"/>
    <w:rsid w:val="009C1139"/>
    <w:rsid w:val="009C40F8"/>
    <w:rsid w:val="009C4C02"/>
    <w:rsid w:val="009C4E1A"/>
    <w:rsid w:val="009C6BB5"/>
    <w:rsid w:val="009D37A8"/>
    <w:rsid w:val="009D5DBD"/>
    <w:rsid w:val="009D6F78"/>
    <w:rsid w:val="009D7858"/>
    <w:rsid w:val="009E3C50"/>
    <w:rsid w:val="009E3DC2"/>
    <w:rsid w:val="009E41B2"/>
    <w:rsid w:val="009E4EB4"/>
    <w:rsid w:val="009E6EDF"/>
    <w:rsid w:val="009E717E"/>
    <w:rsid w:val="009E7B7A"/>
    <w:rsid w:val="009F0ACD"/>
    <w:rsid w:val="009F23D6"/>
    <w:rsid w:val="009F4A05"/>
    <w:rsid w:val="009F573D"/>
    <w:rsid w:val="009F7BB3"/>
    <w:rsid w:val="00A00070"/>
    <w:rsid w:val="00A01166"/>
    <w:rsid w:val="00A10EB1"/>
    <w:rsid w:val="00A14039"/>
    <w:rsid w:val="00A153C2"/>
    <w:rsid w:val="00A153F1"/>
    <w:rsid w:val="00A15585"/>
    <w:rsid w:val="00A15C38"/>
    <w:rsid w:val="00A17247"/>
    <w:rsid w:val="00A23907"/>
    <w:rsid w:val="00A26D02"/>
    <w:rsid w:val="00A2739F"/>
    <w:rsid w:val="00A278FD"/>
    <w:rsid w:val="00A337E4"/>
    <w:rsid w:val="00A33C65"/>
    <w:rsid w:val="00A34222"/>
    <w:rsid w:val="00A369C6"/>
    <w:rsid w:val="00A408E9"/>
    <w:rsid w:val="00A4156A"/>
    <w:rsid w:val="00A41D35"/>
    <w:rsid w:val="00A43E8B"/>
    <w:rsid w:val="00A45234"/>
    <w:rsid w:val="00A45645"/>
    <w:rsid w:val="00A45D82"/>
    <w:rsid w:val="00A53F77"/>
    <w:rsid w:val="00A541B2"/>
    <w:rsid w:val="00A55DB3"/>
    <w:rsid w:val="00A651A7"/>
    <w:rsid w:val="00A67D76"/>
    <w:rsid w:val="00A706B8"/>
    <w:rsid w:val="00A70B8E"/>
    <w:rsid w:val="00A70E59"/>
    <w:rsid w:val="00A71EA1"/>
    <w:rsid w:val="00A74146"/>
    <w:rsid w:val="00A818E9"/>
    <w:rsid w:val="00A827A0"/>
    <w:rsid w:val="00A83791"/>
    <w:rsid w:val="00A90F03"/>
    <w:rsid w:val="00A91263"/>
    <w:rsid w:val="00A93C12"/>
    <w:rsid w:val="00A94F15"/>
    <w:rsid w:val="00AA03AE"/>
    <w:rsid w:val="00AA06A4"/>
    <w:rsid w:val="00AA0858"/>
    <w:rsid w:val="00AA0C27"/>
    <w:rsid w:val="00AA1999"/>
    <w:rsid w:val="00AA229A"/>
    <w:rsid w:val="00AA2C35"/>
    <w:rsid w:val="00AA2D01"/>
    <w:rsid w:val="00AA5D12"/>
    <w:rsid w:val="00AA7872"/>
    <w:rsid w:val="00AB090F"/>
    <w:rsid w:val="00AB0CA7"/>
    <w:rsid w:val="00AB1A4F"/>
    <w:rsid w:val="00AB236A"/>
    <w:rsid w:val="00AB3805"/>
    <w:rsid w:val="00AB3AA3"/>
    <w:rsid w:val="00AB5722"/>
    <w:rsid w:val="00AC316C"/>
    <w:rsid w:val="00AC39FD"/>
    <w:rsid w:val="00AC4BBE"/>
    <w:rsid w:val="00AC4DB0"/>
    <w:rsid w:val="00AC6308"/>
    <w:rsid w:val="00AC6847"/>
    <w:rsid w:val="00AC6E3F"/>
    <w:rsid w:val="00AD0977"/>
    <w:rsid w:val="00AD1DC5"/>
    <w:rsid w:val="00AE0527"/>
    <w:rsid w:val="00AE085E"/>
    <w:rsid w:val="00AE1371"/>
    <w:rsid w:val="00AE3A69"/>
    <w:rsid w:val="00AE40F3"/>
    <w:rsid w:val="00AE7D4A"/>
    <w:rsid w:val="00AF6650"/>
    <w:rsid w:val="00B007C5"/>
    <w:rsid w:val="00B00A8F"/>
    <w:rsid w:val="00B01465"/>
    <w:rsid w:val="00B01D57"/>
    <w:rsid w:val="00B03AC6"/>
    <w:rsid w:val="00B068C7"/>
    <w:rsid w:val="00B06F75"/>
    <w:rsid w:val="00B13F73"/>
    <w:rsid w:val="00B15C3D"/>
    <w:rsid w:val="00B17DCE"/>
    <w:rsid w:val="00B231F9"/>
    <w:rsid w:val="00B24C51"/>
    <w:rsid w:val="00B2594C"/>
    <w:rsid w:val="00B2596A"/>
    <w:rsid w:val="00B27EC5"/>
    <w:rsid w:val="00B314B8"/>
    <w:rsid w:val="00B319E7"/>
    <w:rsid w:val="00B32968"/>
    <w:rsid w:val="00B341A6"/>
    <w:rsid w:val="00B40390"/>
    <w:rsid w:val="00B4047E"/>
    <w:rsid w:val="00B41089"/>
    <w:rsid w:val="00B444CC"/>
    <w:rsid w:val="00B468B8"/>
    <w:rsid w:val="00B51441"/>
    <w:rsid w:val="00B51813"/>
    <w:rsid w:val="00B55080"/>
    <w:rsid w:val="00B55486"/>
    <w:rsid w:val="00B5614A"/>
    <w:rsid w:val="00B56DA1"/>
    <w:rsid w:val="00B6315A"/>
    <w:rsid w:val="00B63545"/>
    <w:rsid w:val="00B64DB8"/>
    <w:rsid w:val="00B71768"/>
    <w:rsid w:val="00B73732"/>
    <w:rsid w:val="00B741F6"/>
    <w:rsid w:val="00B75C88"/>
    <w:rsid w:val="00B75D0A"/>
    <w:rsid w:val="00B76FC5"/>
    <w:rsid w:val="00B80A43"/>
    <w:rsid w:val="00B821D5"/>
    <w:rsid w:val="00B8370E"/>
    <w:rsid w:val="00B92433"/>
    <w:rsid w:val="00B92550"/>
    <w:rsid w:val="00B93959"/>
    <w:rsid w:val="00BA1653"/>
    <w:rsid w:val="00BA1BFD"/>
    <w:rsid w:val="00BA401A"/>
    <w:rsid w:val="00BB05C1"/>
    <w:rsid w:val="00BB0D44"/>
    <w:rsid w:val="00BB3D8D"/>
    <w:rsid w:val="00BB4B6D"/>
    <w:rsid w:val="00BC5531"/>
    <w:rsid w:val="00BC6048"/>
    <w:rsid w:val="00BC641C"/>
    <w:rsid w:val="00BC7F42"/>
    <w:rsid w:val="00BD194E"/>
    <w:rsid w:val="00BD2BA8"/>
    <w:rsid w:val="00BD605E"/>
    <w:rsid w:val="00BE1B6D"/>
    <w:rsid w:val="00BE2735"/>
    <w:rsid w:val="00BE28DC"/>
    <w:rsid w:val="00BE7C28"/>
    <w:rsid w:val="00BE7F7D"/>
    <w:rsid w:val="00BF026F"/>
    <w:rsid w:val="00BF038C"/>
    <w:rsid w:val="00BF1E5D"/>
    <w:rsid w:val="00BF2FCC"/>
    <w:rsid w:val="00BF50F3"/>
    <w:rsid w:val="00C0290B"/>
    <w:rsid w:val="00C03A88"/>
    <w:rsid w:val="00C03A89"/>
    <w:rsid w:val="00C04A38"/>
    <w:rsid w:val="00C06A90"/>
    <w:rsid w:val="00C12928"/>
    <w:rsid w:val="00C14250"/>
    <w:rsid w:val="00C14FF8"/>
    <w:rsid w:val="00C22097"/>
    <w:rsid w:val="00C245A4"/>
    <w:rsid w:val="00C24A19"/>
    <w:rsid w:val="00C24D44"/>
    <w:rsid w:val="00C25100"/>
    <w:rsid w:val="00C25F1D"/>
    <w:rsid w:val="00C25FDC"/>
    <w:rsid w:val="00C26B70"/>
    <w:rsid w:val="00C32B87"/>
    <w:rsid w:val="00C33415"/>
    <w:rsid w:val="00C34A91"/>
    <w:rsid w:val="00C377BC"/>
    <w:rsid w:val="00C42848"/>
    <w:rsid w:val="00C4346E"/>
    <w:rsid w:val="00C434A3"/>
    <w:rsid w:val="00C43C9C"/>
    <w:rsid w:val="00C5104E"/>
    <w:rsid w:val="00C5283B"/>
    <w:rsid w:val="00C52B03"/>
    <w:rsid w:val="00C573F1"/>
    <w:rsid w:val="00C6052F"/>
    <w:rsid w:val="00C60E61"/>
    <w:rsid w:val="00C621F5"/>
    <w:rsid w:val="00C63B40"/>
    <w:rsid w:val="00C67C8A"/>
    <w:rsid w:val="00C67F83"/>
    <w:rsid w:val="00C723F8"/>
    <w:rsid w:val="00C7322C"/>
    <w:rsid w:val="00C74EB7"/>
    <w:rsid w:val="00C75C4E"/>
    <w:rsid w:val="00C8161B"/>
    <w:rsid w:val="00C81680"/>
    <w:rsid w:val="00C81F67"/>
    <w:rsid w:val="00C85011"/>
    <w:rsid w:val="00C92126"/>
    <w:rsid w:val="00C9332C"/>
    <w:rsid w:val="00C941E2"/>
    <w:rsid w:val="00C949D5"/>
    <w:rsid w:val="00C9720A"/>
    <w:rsid w:val="00CA0B15"/>
    <w:rsid w:val="00CA12DD"/>
    <w:rsid w:val="00CA5F75"/>
    <w:rsid w:val="00CA6966"/>
    <w:rsid w:val="00CA6CAE"/>
    <w:rsid w:val="00CA7DB3"/>
    <w:rsid w:val="00CB4E94"/>
    <w:rsid w:val="00CB708C"/>
    <w:rsid w:val="00CB7253"/>
    <w:rsid w:val="00CB7557"/>
    <w:rsid w:val="00CC3351"/>
    <w:rsid w:val="00CD07B4"/>
    <w:rsid w:val="00CD17B0"/>
    <w:rsid w:val="00CD20DC"/>
    <w:rsid w:val="00CD6535"/>
    <w:rsid w:val="00CD667A"/>
    <w:rsid w:val="00CD75D1"/>
    <w:rsid w:val="00CE1A14"/>
    <w:rsid w:val="00CE21C6"/>
    <w:rsid w:val="00CE23C1"/>
    <w:rsid w:val="00CE28C0"/>
    <w:rsid w:val="00CE370F"/>
    <w:rsid w:val="00CE4078"/>
    <w:rsid w:val="00CE475F"/>
    <w:rsid w:val="00CE7616"/>
    <w:rsid w:val="00CF03CD"/>
    <w:rsid w:val="00CF0C03"/>
    <w:rsid w:val="00CF0CAF"/>
    <w:rsid w:val="00CF1872"/>
    <w:rsid w:val="00CF2BAB"/>
    <w:rsid w:val="00CF509D"/>
    <w:rsid w:val="00CF62B1"/>
    <w:rsid w:val="00D0011E"/>
    <w:rsid w:val="00D02FE3"/>
    <w:rsid w:val="00D03E8A"/>
    <w:rsid w:val="00D07CD6"/>
    <w:rsid w:val="00D1179F"/>
    <w:rsid w:val="00D1431B"/>
    <w:rsid w:val="00D1503E"/>
    <w:rsid w:val="00D23E62"/>
    <w:rsid w:val="00D302DE"/>
    <w:rsid w:val="00D330F4"/>
    <w:rsid w:val="00D36C50"/>
    <w:rsid w:val="00D40C35"/>
    <w:rsid w:val="00D41A52"/>
    <w:rsid w:val="00D42EFE"/>
    <w:rsid w:val="00D431B0"/>
    <w:rsid w:val="00D440F5"/>
    <w:rsid w:val="00D44900"/>
    <w:rsid w:val="00D44A47"/>
    <w:rsid w:val="00D44DB7"/>
    <w:rsid w:val="00D46CF8"/>
    <w:rsid w:val="00D50E2A"/>
    <w:rsid w:val="00D51D8B"/>
    <w:rsid w:val="00D53FAC"/>
    <w:rsid w:val="00D54B26"/>
    <w:rsid w:val="00D5531A"/>
    <w:rsid w:val="00D658F2"/>
    <w:rsid w:val="00D678F8"/>
    <w:rsid w:val="00D73B97"/>
    <w:rsid w:val="00D75B55"/>
    <w:rsid w:val="00D8040D"/>
    <w:rsid w:val="00D836C8"/>
    <w:rsid w:val="00D924FD"/>
    <w:rsid w:val="00D93F80"/>
    <w:rsid w:val="00D97435"/>
    <w:rsid w:val="00DA08FC"/>
    <w:rsid w:val="00DA2F8F"/>
    <w:rsid w:val="00DA6C25"/>
    <w:rsid w:val="00DB1DB4"/>
    <w:rsid w:val="00DB25D1"/>
    <w:rsid w:val="00DB523B"/>
    <w:rsid w:val="00DC3A6D"/>
    <w:rsid w:val="00DC440A"/>
    <w:rsid w:val="00DC7042"/>
    <w:rsid w:val="00DD37A5"/>
    <w:rsid w:val="00DD494D"/>
    <w:rsid w:val="00DE6186"/>
    <w:rsid w:val="00DF5980"/>
    <w:rsid w:val="00DF72A2"/>
    <w:rsid w:val="00E00AC6"/>
    <w:rsid w:val="00E0137B"/>
    <w:rsid w:val="00E05981"/>
    <w:rsid w:val="00E05989"/>
    <w:rsid w:val="00E05E05"/>
    <w:rsid w:val="00E065DA"/>
    <w:rsid w:val="00E155F2"/>
    <w:rsid w:val="00E23116"/>
    <w:rsid w:val="00E25A35"/>
    <w:rsid w:val="00E25E92"/>
    <w:rsid w:val="00E27674"/>
    <w:rsid w:val="00E27D35"/>
    <w:rsid w:val="00E30E9A"/>
    <w:rsid w:val="00E3164F"/>
    <w:rsid w:val="00E322A7"/>
    <w:rsid w:val="00E3502B"/>
    <w:rsid w:val="00E40507"/>
    <w:rsid w:val="00E437C5"/>
    <w:rsid w:val="00E45D98"/>
    <w:rsid w:val="00E51A03"/>
    <w:rsid w:val="00E54708"/>
    <w:rsid w:val="00E5510B"/>
    <w:rsid w:val="00E57284"/>
    <w:rsid w:val="00E628D0"/>
    <w:rsid w:val="00E62ABD"/>
    <w:rsid w:val="00E640DA"/>
    <w:rsid w:val="00E6658F"/>
    <w:rsid w:val="00E75DB0"/>
    <w:rsid w:val="00E7792E"/>
    <w:rsid w:val="00E77F71"/>
    <w:rsid w:val="00E80456"/>
    <w:rsid w:val="00E81AA0"/>
    <w:rsid w:val="00E81C0F"/>
    <w:rsid w:val="00E83949"/>
    <w:rsid w:val="00E848EE"/>
    <w:rsid w:val="00E85681"/>
    <w:rsid w:val="00E870CA"/>
    <w:rsid w:val="00E87DD8"/>
    <w:rsid w:val="00E906EC"/>
    <w:rsid w:val="00E90E01"/>
    <w:rsid w:val="00E92737"/>
    <w:rsid w:val="00E956F3"/>
    <w:rsid w:val="00EA07EA"/>
    <w:rsid w:val="00EA0A1B"/>
    <w:rsid w:val="00EA2984"/>
    <w:rsid w:val="00EA3F46"/>
    <w:rsid w:val="00EA574A"/>
    <w:rsid w:val="00EA6102"/>
    <w:rsid w:val="00EA7372"/>
    <w:rsid w:val="00EA76ED"/>
    <w:rsid w:val="00EB2BD8"/>
    <w:rsid w:val="00EC04D1"/>
    <w:rsid w:val="00EC0774"/>
    <w:rsid w:val="00EC0EB7"/>
    <w:rsid w:val="00EC2157"/>
    <w:rsid w:val="00EC23FD"/>
    <w:rsid w:val="00EC2AC7"/>
    <w:rsid w:val="00EC2EAC"/>
    <w:rsid w:val="00EC51CA"/>
    <w:rsid w:val="00EC619F"/>
    <w:rsid w:val="00EC78ED"/>
    <w:rsid w:val="00EC7E6A"/>
    <w:rsid w:val="00EC7EFD"/>
    <w:rsid w:val="00ED36D8"/>
    <w:rsid w:val="00ED60C7"/>
    <w:rsid w:val="00ED6521"/>
    <w:rsid w:val="00EE19EF"/>
    <w:rsid w:val="00EE3A3A"/>
    <w:rsid w:val="00EE6086"/>
    <w:rsid w:val="00EF4071"/>
    <w:rsid w:val="00EF43F5"/>
    <w:rsid w:val="00EF629F"/>
    <w:rsid w:val="00EF65EC"/>
    <w:rsid w:val="00EF765F"/>
    <w:rsid w:val="00F028DE"/>
    <w:rsid w:val="00F02FD8"/>
    <w:rsid w:val="00F0313E"/>
    <w:rsid w:val="00F03145"/>
    <w:rsid w:val="00F0335A"/>
    <w:rsid w:val="00F0585C"/>
    <w:rsid w:val="00F05FBC"/>
    <w:rsid w:val="00F078ED"/>
    <w:rsid w:val="00F07901"/>
    <w:rsid w:val="00F107B7"/>
    <w:rsid w:val="00F1175D"/>
    <w:rsid w:val="00F11F57"/>
    <w:rsid w:val="00F15EF8"/>
    <w:rsid w:val="00F16B9A"/>
    <w:rsid w:val="00F1730F"/>
    <w:rsid w:val="00F2017F"/>
    <w:rsid w:val="00F20C3F"/>
    <w:rsid w:val="00F20D90"/>
    <w:rsid w:val="00F21607"/>
    <w:rsid w:val="00F22CB2"/>
    <w:rsid w:val="00F23837"/>
    <w:rsid w:val="00F24034"/>
    <w:rsid w:val="00F2447A"/>
    <w:rsid w:val="00F25A1B"/>
    <w:rsid w:val="00F26A3A"/>
    <w:rsid w:val="00F271EF"/>
    <w:rsid w:val="00F30884"/>
    <w:rsid w:val="00F33F70"/>
    <w:rsid w:val="00F35E2E"/>
    <w:rsid w:val="00F36E53"/>
    <w:rsid w:val="00F37591"/>
    <w:rsid w:val="00F4307E"/>
    <w:rsid w:val="00F4316C"/>
    <w:rsid w:val="00F43C8C"/>
    <w:rsid w:val="00F43E14"/>
    <w:rsid w:val="00F46176"/>
    <w:rsid w:val="00F469D5"/>
    <w:rsid w:val="00F47DD1"/>
    <w:rsid w:val="00F5126A"/>
    <w:rsid w:val="00F5149E"/>
    <w:rsid w:val="00F527A0"/>
    <w:rsid w:val="00F56A74"/>
    <w:rsid w:val="00F57AD9"/>
    <w:rsid w:val="00F63278"/>
    <w:rsid w:val="00F63887"/>
    <w:rsid w:val="00F664A6"/>
    <w:rsid w:val="00F66700"/>
    <w:rsid w:val="00F713D1"/>
    <w:rsid w:val="00F74672"/>
    <w:rsid w:val="00F74776"/>
    <w:rsid w:val="00F74B27"/>
    <w:rsid w:val="00F74E61"/>
    <w:rsid w:val="00F76AC3"/>
    <w:rsid w:val="00F77841"/>
    <w:rsid w:val="00F77F0C"/>
    <w:rsid w:val="00F832E5"/>
    <w:rsid w:val="00F836F5"/>
    <w:rsid w:val="00F838EA"/>
    <w:rsid w:val="00F86034"/>
    <w:rsid w:val="00F8614E"/>
    <w:rsid w:val="00F863CE"/>
    <w:rsid w:val="00F8688F"/>
    <w:rsid w:val="00F870A3"/>
    <w:rsid w:val="00F91762"/>
    <w:rsid w:val="00F9405B"/>
    <w:rsid w:val="00F944F6"/>
    <w:rsid w:val="00F94F5E"/>
    <w:rsid w:val="00F95CEA"/>
    <w:rsid w:val="00FA0FE2"/>
    <w:rsid w:val="00FA248F"/>
    <w:rsid w:val="00FA34E8"/>
    <w:rsid w:val="00FA3F55"/>
    <w:rsid w:val="00FA5E05"/>
    <w:rsid w:val="00FA758D"/>
    <w:rsid w:val="00FA7D4E"/>
    <w:rsid w:val="00FB0D5D"/>
    <w:rsid w:val="00FB4CB8"/>
    <w:rsid w:val="00FB580C"/>
    <w:rsid w:val="00FB7549"/>
    <w:rsid w:val="00FB7874"/>
    <w:rsid w:val="00FC0B66"/>
    <w:rsid w:val="00FC219D"/>
    <w:rsid w:val="00FC355A"/>
    <w:rsid w:val="00FC777B"/>
    <w:rsid w:val="00FD549D"/>
    <w:rsid w:val="00FD5A8F"/>
    <w:rsid w:val="00FD6374"/>
    <w:rsid w:val="00FD6A1F"/>
    <w:rsid w:val="00FD7D60"/>
    <w:rsid w:val="00FE009C"/>
    <w:rsid w:val="00FE12D6"/>
    <w:rsid w:val="00FE229D"/>
    <w:rsid w:val="00FE2BE1"/>
    <w:rsid w:val="00FE3919"/>
    <w:rsid w:val="00FE7741"/>
    <w:rsid w:val="00FF1CE6"/>
    <w:rsid w:val="00FF2067"/>
    <w:rsid w:val="00FF2E00"/>
    <w:rsid w:val="00FF3706"/>
    <w:rsid w:val="00FF395F"/>
    <w:rsid w:val="00FF4D2A"/>
    <w:rsid w:val="00FF5398"/>
    <w:rsid w:val="00FF579F"/>
    <w:rsid w:val="00FF67A0"/>
    <w:rsid w:val="00FF6887"/>
    <w:rsid w:val="00FF7C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D2E536"/>
  <w15:chartTrackingRefBased/>
  <w15:docId w15:val="{D08BF704-271A-481E-BF84-242396D8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CA6966"/>
    <w:pPr>
      <w:keepNext/>
      <w:spacing w:before="240" w:after="60"/>
      <w:outlineLvl w:val="1"/>
    </w:pPr>
    <w:rPr>
      <w:rFonts w:ascii="Cambria" w:hAnsi="Cambria"/>
      <w:b/>
      <w:bCs/>
      <w:i/>
      <w:iCs/>
      <w:sz w:val="28"/>
      <w:szCs w:val="28"/>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977"/>
    <w:pPr>
      <w:ind w:left="720"/>
      <w:contextualSpacing/>
    </w:pPr>
  </w:style>
  <w:style w:type="paragraph" w:styleId="NoSpacing">
    <w:name w:val="No Spacing"/>
    <w:uiPriority w:val="1"/>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3">
    <w:name w:val="Body Text Indent 3"/>
    <w:basedOn w:val="Normal"/>
    <w:link w:val="BodyTextIndent3Char"/>
    <w:rsid w:val="00C92126"/>
    <w:pPr>
      <w:spacing w:after="120"/>
      <w:ind w:left="360"/>
    </w:pPr>
    <w:rPr>
      <w:sz w:val="16"/>
      <w:szCs w:val="16"/>
    </w:rPr>
  </w:style>
  <w:style w:type="character" w:customStyle="1" w:styleId="BodyTextIndent3Char">
    <w:name w:val="Body Text Indent 3 Char"/>
    <w:link w:val="BodyTextIndent3"/>
    <w:rsid w:val="00C92126"/>
    <w:rPr>
      <w:rFonts w:ascii="Courier" w:eastAsia="Times New Roman" w:hAnsi="Courier"/>
      <w:snapToGrid w:val="0"/>
      <w:sz w:val="16"/>
      <w:szCs w:val="16"/>
    </w:rPr>
  </w:style>
  <w:style w:type="paragraph" w:customStyle="1" w:styleId="Default">
    <w:name w:val="Default"/>
    <w:rsid w:val="002F5083"/>
    <w:pPr>
      <w:autoSpaceDE w:val="0"/>
      <w:autoSpaceDN w:val="0"/>
      <w:adjustRightInd w:val="0"/>
    </w:pPr>
    <w:rPr>
      <w:rFonts w:ascii="Arial" w:eastAsia="Times New Roman" w:hAnsi="Arial" w:cs="Arial"/>
      <w:color w:val="000000"/>
      <w:sz w:val="24"/>
      <w:szCs w:val="24"/>
    </w:rPr>
  </w:style>
  <w:style w:type="character" w:customStyle="1" w:styleId="Heading2Char">
    <w:name w:val="Heading 2 Char"/>
    <w:link w:val="Heading2"/>
    <w:semiHidden/>
    <w:rsid w:val="00CA6966"/>
    <w:rPr>
      <w:rFonts w:ascii="Cambria" w:eastAsia="Times New Roman" w:hAnsi="Cambria" w:cs="Times New Roman"/>
      <w:b/>
      <w:bCs/>
      <w:i/>
      <w:iCs/>
      <w:snapToGrid w:val="0"/>
      <w:sz w:val="28"/>
      <w:szCs w:val="28"/>
    </w:rPr>
  </w:style>
  <w:style w:type="table" w:customStyle="1" w:styleId="TableGrid1">
    <w:name w:val="Table Grid1"/>
    <w:basedOn w:val="TableNormal"/>
    <w:next w:val="TableGrid"/>
    <w:rsid w:val="002F032B"/>
    <w:rPr>
      <w:rFonts w:ascii="Calibri" w:eastAsia="Times New Roman" w:hAnsi="Calibri"/>
      <w:sz w:val="24"/>
    </w:rPr>
    <w:tblPr/>
  </w:style>
  <w:style w:type="table" w:customStyle="1" w:styleId="TableGrid2">
    <w:name w:val="Table Grid2"/>
    <w:basedOn w:val="TableNormal"/>
    <w:next w:val="TableGrid"/>
    <w:uiPriority w:val="39"/>
    <w:rsid w:val="005E4B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60A55"/>
    <w:rPr>
      <w:rFonts w:ascii="Courier" w:eastAsia="Times New Roman" w:hAnsi="Courier"/>
      <w:snapToGrid w:val="0"/>
      <w:sz w:val="24"/>
      <w:szCs w:val="24"/>
    </w:rPr>
  </w:style>
  <w:style w:type="paragraph" w:styleId="Revision">
    <w:name w:val="Revision"/>
    <w:hidden/>
    <w:uiPriority w:val="99"/>
    <w:semiHidden/>
    <w:rsid w:val="002116B6"/>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161BD1"/>
    <w:rPr>
      <w:color w:val="605E5C"/>
      <w:shd w:val="clear" w:color="auto" w:fill="E1DFDD"/>
    </w:rPr>
  </w:style>
  <w:style w:type="character" w:customStyle="1" w:styleId="ListParagraphChar">
    <w:name w:val="List Paragraph Char"/>
    <w:link w:val="ListParagraph"/>
    <w:uiPriority w:val="34"/>
    <w:locked/>
    <w:rsid w:val="00494B6E"/>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ssa-performance"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FF55-634D-46C9-8F70-C59B2DBF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SSA Response</dc:creator>
  <cp:lastModifiedBy>SSA Response</cp:lastModifiedBy>
  <cp:revision>4</cp:revision>
  <cp:lastPrinted>2016-06-08T18:12:00Z</cp:lastPrinted>
  <dcterms:created xsi:type="dcterms:W3CDTF">2026-06-25T19:28:00Z</dcterms:created>
  <dcterms:modified xsi:type="dcterms:W3CDTF">2026-06-26T11:22:00Z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2107534487</vt:i4>
  </property>
  <property fmtid="{D5CDD505-2E9C-101B-9397-08002B2CF9AE}" pid="3" name="_AuthorEmail">
    <vt:lpwstr>Naomi.Sipple@ssa.gov</vt:lpwstr>
  </property>
  <property fmtid="{D5CDD505-2E9C-101B-9397-08002B2CF9AE}" pid="4" name="_AuthorEmailDisplayName">
    <vt:lpwstr>Sipple, Naomi   LP</vt:lpwstr>
  </property>
  <property fmtid="{D5CDD505-2E9C-101B-9397-08002B2CF9AE}" pid="5" name="_EmailSubject">
    <vt:lpwstr>OMB 0960-0776 ready for review and comments</vt:lpwstr>
  </property>
  <property fmtid="{D5CDD505-2E9C-101B-9397-08002B2CF9AE}" pid="6" name="_NewReviewCycle">
    <vt:lpwstr/>
  </property>
  <property fmtid="{D5CDD505-2E9C-101B-9397-08002B2CF9AE}" pid="7" name="_PreviousAdHocReviewCycleID">
    <vt:i4>-2015849996</vt:i4>
  </property>
</Properties>
</file>