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276A" w:rsidRPr="007F12A3" w:rsidP="00D8276A" w14:paraId="53050FEB" w14:textId="77777777">
      <w:pPr>
        <w:spacing w:after="0" w:line="240" w:lineRule="auto"/>
        <w:jc w:val="center"/>
        <w:outlineLvl w:val="0"/>
        <w:rPr>
          <w:rFonts w:ascii="Times New Roman" w:hAnsi="Times New Roman"/>
          <w:b/>
          <w:bCs/>
        </w:rPr>
      </w:pPr>
      <w:r w:rsidRPr="003F0424">
        <w:rPr>
          <w:rFonts w:ascii="Times New Roman" w:eastAsia="Times New Roman" w:hAnsi="Times New Roman" w:cs="Times New Roman"/>
          <w:b/>
          <w:kern w:val="0"/>
          <w14:ligatures w14:val="none"/>
        </w:rPr>
        <w:t xml:space="preserve">Addendum to the Supporting Statement </w:t>
      </w:r>
      <w:r w:rsidRPr="007F12A3">
        <w:rPr>
          <w:rFonts w:ascii="Times New Roman" w:hAnsi="Times New Roman"/>
          <w:b/>
        </w:rPr>
        <w:t xml:space="preserve">Form </w:t>
      </w:r>
      <w:r w:rsidRPr="007F12A3">
        <w:rPr>
          <w:rFonts w:ascii="Times New Roman" w:hAnsi="Times New Roman"/>
          <w:b/>
          <w:bCs/>
        </w:rPr>
        <w:t>SSA-4640</w:t>
      </w:r>
    </w:p>
    <w:p w:rsidR="00D8276A" w:rsidRPr="007F12A3" w:rsidP="00D8276A" w14:paraId="04407DC5" w14:textId="77777777">
      <w:pPr>
        <w:spacing w:after="0" w:line="240" w:lineRule="auto"/>
        <w:jc w:val="center"/>
        <w:rPr>
          <w:rFonts w:ascii="Times New Roman" w:hAnsi="Times New Roman"/>
          <w:b/>
          <w:bCs/>
        </w:rPr>
      </w:pPr>
      <w:r w:rsidRPr="007F12A3">
        <w:rPr>
          <w:rFonts w:ascii="Times New Roman" w:hAnsi="Times New Roman"/>
          <w:b/>
          <w:bCs/>
        </w:rPr>
        <w:t>Authorization for the Social Security Administration to</w:t>
      </w:r>
    </w:p>
    <w:p w:rsidR="00D8276A" w:rsidRPr="007F12A3" w:rsidP="00D8276A" w14:paraId="3925A869" w14:textId="77777777">
      <w:pPr>
        <w:spacing w:after="0" w:line="240" w:lineRule="auto"/>
        <w:jc w:val="center"/>
        <w:rPr>
          <w:rFonts w:ascii="Times New Roman" w:hAnsi="Times New Roman"/>
          <w:b/>
          <w:bCs/>
        </w:rPr>
      </w:pPr>
      <w:r w:rsidRPr="007F12A3">
        <w:rPr>
          <w:rFonts w:ascii="Times New Roman" w:hAnsi="Times New Roman"/>
          <w:b/>
          <w:bCs/>
        </w:rPr>
        <w:t>Obtain Account Records from a Financial Institution and</w:t>
      </w:r>
    </w:p>
    <w:p w:rsidR="00D8276A" w:rsidRPr="007F12A3" w:rsidP="00D8276A" w14:paraId="74BAA6AC" w14:textId="77777777">
      <w:pPr>
        <w:spacing w:after="0" w:line="240" w:lineRule="auto"/>
        <w:jc w:val="center"/>
        <w:rPr>
          <w:rFonts w:ascii="Times New Roman" w:hAnsi="Times New Roman"/>
          <w:b/>
          <w:bCs/>
        </w:rPr>
      </w:pPr>
      <w:r w:rsidRPr="007F12A3">
        <w:rPr>
          <w:rFonts w:ascii="Times New Roman" w:hAnsi="Times New Roman"/>
          <w:b/>
          <w:bCs/>
        </w:rPr>
        <w:t>Request for Records (Medicare)</w:t>
      </w:r>
    </w:p>
    <w:p w:rsidR="00D8276A" w:rsidRPr="007F12A3" w:rsidP="00D8276A" w14:paraId="37990F38" w14:textId="77777777">
      <w:pPr>
        <w:spacing w:after="0" w:line="240" w:lineRule="auto"/>
        <w:jc w:val="center"/>
        <w:outlineLvl w:val="0"/>
        <w:rPr>
          <w:rFonts w:ascii="Times New Roman" w:hAnsi="Times New Roman"/>
          <w:b/>
          <w:bCs/>
        </w:rPr>
      </w:pPr>
      <w:r w:rsidRPr="007F12A3">
        <w:rPr>
          <w:rFonts w:ascii="Times New Roman" w:hAnsi="Times New Roman"/>
          <w:b/>
          <w:bCs/>
        </w:rPr>
        <w:t>20 CFR 418.3420</w:t>
      </w:r>
    </w:p>
    <w:p w:rsidR="003B6FB0" w:rsidP="00D8276A" w14:paraId="0C26C013" w14:textId="05E99F34">
      <w:pPr>
        <w:widowControl w:val="0"/>
        <w:snapToGrid w:val="0"/>
        <w:spacing w:after="0" w:line="240" w:lineRule="auto"/>
        <w:jc w:val="center"/>
        <w:rPr>
          <w:rFonts w:ascii="Times New Roman" w:hAnsi="Times New Roman"/>
          <w:b/>
          <w:bCs/>
        </w:rPr>
      </w:pPr>
      <w:r w:rsidRPr="007F12A3">
        <w:rPr>
          <w:rFonts w:ascii="Times New Roman" w:hAnsi="Times New Roman"/>
          <w:b/>
          <w:bCs/>
        </w:rPr>
        <w:t>OMB No. 0960-0729</w:t>
      </w:r>
    </w:p>
    <w:p w:rsidR="00D8276A" w:rsidRPr="003F0424" w:rsidP="00D8276A" w14:paraId="17A2782E" w14:textId="77777777">
      <w:pPr>
        <w:widowControl w:val="0"/>
        <w:snapToGrid w:val="0"/>
        <w:spacing w:after="0" w:line="240" w:lineRule="auto"/>
        <w:jc w:val="center"/>
        <w:rPr>
          <w:rFonts w:ascii="Times New Roman" w:eastAsia="Times New Roman" w:hAnsi="Times New Roman" w:cs="Times New Roman"/>
          <w:b/>
          <w:kern w:val="0"/>
          <w14:ligatures w14:val="none"/>
        </w:rPr>
      </w:pPr>
    </w:p>
    <w:p w:rsidR="004B75F9" w:rsidP="004B75F9" w14:paraId="3391C426" w14:textId="289C49C3">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sidRPr="003F0424">
        <w:rPr>
          <w:rFonts w:ascii="Times New Roman" w:eastAsia="Times New Roman" w:hAnsi="Times New Roman" w:cs="Times New Roman"/>
          <w:b/>
          <w:bCs/>
          <w:kern w:val="0"/>
          <w:u w:val="single"/>
          <w14:ligatures w14:val="none"/>
        </w:rPr>
        <w:t>Revisions to the Collection Instrument</w:t>
      </w:r>
    </w:p>
    <w:p w:rsidR="004B75F9" w:rsidRPr="003F0424" w:rsidP="004B75F9" w14:paraId="621FDA10" w14:textId="77777777">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p>
    <w:p w:rsidR="004B75F9" w:rsidP="004B75F9" w14:paraId="7AFD9371" w14:textId="6490F88E">
      <w:pPr>
        <w:spacing w:after="0"/>
        <w:rPr>
          <w:rFonts w:ascii="Times New Roman" w:hAnsi="Times New Roman" w:cs="Times New Roman"/>
        </w:rPr>
      </w:pPr>
      <w:r w:rsidRPr="003F0424">
        <w:rPr>
          <w:rFonts w:ascii="Times New Roman" w:hAnsi="Times New Roman" w:cs="Times New Roman"/>
        </w:rPr>
        <w:t xml:space="preserve">We are making </w:t>
      </w:r>
      <w:r>
        <w:rPr>
          <w:rFonts w:ascii="Times New Roman" w:hAnsi="Times New Roman" w:cs="Times New Roman"/>
        </w:rPr>
        <w:t>the following revision</w:t>
      </w:r>
      <w:r w:rsidRPr="003F0424">
        <w:rPr>
          <w:rFonts w:ascii="Times New Roman" w:hAnsi="Times New Roman" w:cs="Times New Roman"/>
        </w:rPr>
        <w:t>s to the paper SSA-</w:t>
      </w:r>
      <w:r>
        <w:rPr>
          <w:rFonts w:ascii="Times New Roman" w:hAnsi="Times New Roman" w:cs="Times New Roman"/>
        </w:rPr>
        <w:t>4640:</w:t>
      </w:r>
      <w:r w:rsidRPr="003F0424">
        <w:rPr>
          <w:rFonts w:ascii="Times New Roman" w:hAnsi="Times New Roman" w:cs="Times New Roman"/>
        </w:rPr>
        <w:t xml:space="preserve"> </w:t>
      </w:r>
    </w:p>
    <w:p w:rsidR="004B75F9" w:rsidRPr="003F0424" w:rsidP="004B75F9" w14:paraId="702C489E" w14:textId="77777777">
      <w:pPr>
        <w:spacing w:after="0"/>
        <w:rPr>
          <w:rFonts w:ascii="Times New Roman" w:hAnsi="Times New Roman" w:cs="Times New Roman"/>
        </w:rPr>
      </w:pPr>
    </w:p>
    <w:p w:rsidR="004B75F9" w:rsidP="004B75F9" w14:paraId="6D0E4B03" w14:textId="77777777">
      <w:pPr>
        <w:numPr>
          <w:ilvl w:val="0"/>
          <w:numId w:val="6"/>
        </w:numPr>
        <w:spacing w:after="0" w:line="240" w:lineRule="auto"/>
        <w:rPr>
          <w:rFonts w:ascii="Times New Roman" w:hAnsi="Times New Roman"/>
        </w:rPr>
      </w:pPr>
      <w:r w:rsidRPr="001D521B">
        <w:rPr>
          <w:rFonts w:ascii="Times New Roman" w:hAnsi="Times New Roman" w:cs="Times New Roman"/>
          <w:b/>
          <w:bCs/>
        </w:rPr>
        <w:t>Change #1</w:t>
      </w:r>
      <w:r w:rsidRPr="001D521B">
        <w:rPr>
          <w:rFonts w:ascii="Times New Roman" w:hAnsi="Times New Roman" w:cs="Times New Roman"/>
        </w:rPr>
        <w:t xml:space="preserve">:  </w:t>
      </w:r>
      <w:r>
        <w:rPr>
          <w:rFonts w:ascii="Times New Roman" w:hAnsi="Times New Roman"/>
        </w:rPr>
        <w:t>We are revising the Privacy Act Statement on this form.</w:t>
      </w:r>
    </w:p>
    <w:p w:rsidR="004B75F9" w:rsidP="004B75F9" w14:paraId="5860A0C2" w14:textId="77777777">
      <w:pPr>
        <w:spacing w:after="0" w:line="240" w:lineRule="auto"/>
        <w:rPr>
          <w:rFonts w:ascii="Times New Roman" w:hAnsi="Times New Roman"/>
        </w:rPr>
      </w:pPr>
    </w:p>
    <w:p w:rsidR="004B75F9" w:rsidRPr="00ED5E9D" w:rsidP="004B75F9" w14:paraId="0E041742" w14:textId="77777777">
      <w:pPr>
        <w:spacing w:after="0"/>
        <w:ind w:left="360"/>
        <w:rPr>
          <w:rFonts w:ascii="Times New Roman" w:hAnsi="Times New Roman"/>
        </w:rPr>
      </w:pPr>
      <w:r w:rsidRPr="003F0424">
        <w:rPr>
          <w:rFonts w:ascii="Times New Roman" w:hAnsi="Times New Roman" w:cs="Times New Roman"/>
          <w:b/>
          <w:bCs/>
        </w:rPr>
        <w:t>Justification #1</w:t>
      </w:r>
      <w:r w:rsidRPr="003F0424">
        <w:rPr>
          <w:rFonts w:ascii="Times New Roman" w:hAnsi="Times New Roman" w:cs="Times New Roman"/>
        </w:rPr>
        <w:t xml:space="preserve">: </w:t>
      </w:r>
      <w:r>
        <w:rPr>
          <w:rFonts w:ascii="Times New Roman" w:hAnsi="Times New Roman" w:cs="Times New Roman"/>
        </w:rPr>
        <w:t xml:space="preserve"> </w:t>
      </w:r>
      <w:r w:rsidRPr="00ED5E9D">
        <w:rPr>
          <w:rFonts w:ascii="Times New Roman" w:hAnsi="Times New Roman"/>
        </w:rPr>
        <w:t xml:space="preserve">SSA’s Office of </w:t>
      </w:r>
      <w:r>
        <w:rPr>
          <w:rFonts w:ascii="Times New Roman" w:hAnsi="Times New Roman"/>
        </w:rPr>
        <w:t>Law and Policy</w:t>
      </w:r>
      <w:r w:rsidRPr="00ED5E9D">
        <w:rPr>
          <w:rFonts w:ascii="Times New Roman" w:hAnsi="Times New Roman"/>
        </w:rPr>
        <w:t xml:space="preserve">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he Privacy Act Statement on this form</w:t>
      </w:r>
      <w:r w:rsidRPr="00ED5E9D">
        <w:rPr>
          <w:rFonts w:ascii="Times New Roman" w:hAnsi="Times New Roman"/>
        </w:rPr>
        <w:t>.</w:t>
      </w:r>
    </w:p>
    <w:p w:rsidR="004B75F9" w:rsidP="004B75F9" w14:paraId="64117246" w14:textId="77777777">
      <w:pPr>
        <w:spacing w:after="0"/>
        <w:rPr>
          <w:rFonts w:ascii="Times New Roman" w:hAnsi="Times New Roman" w:cs="Times New Roman"/>
          <w:b/>
          <w:bCs/>
          <w:u w:val="single"/>
        </w:rPr>
      </w:pPr>
    </w:p>
    <w:p w:rsidR="008B37EC" w:rsidP="004B75F9" w14:paraId="2F2C413B" w14:textId="77777777">
      <w:pPr>
        <w:spacing w:after="0"/>
        <w:rPr>
          <w:rFonts w:ascii="Times New Roman" w:hAnsi="Times New Roman" w:cs="Times New Roman"/>
          <w:b/>
          <w:bCs/>
          <w:u w:val="single"/>
        </w:rPr>
      </w:pPr>
    </w:p>
    <w:p w:rsidR="001003FC" w:rsidP="004B75F9" w14:paraId="38D0B9B7" w14:textId="4963A9E2">
      <w:pPr>
        <w:spacing w:after="0"/>
        <w:rPr>
          <w:rFonts w:ascii="Times New Roman" w:hAnsi="Times New Roman" w:cs="Times New Roman"/>
          <w:b/>
          <w:bCs/>
          <w:u w:val="single"/>
        </w:rPr>
      </w:pPr>
      <w:r w:rsidRPr="00C43627">
        <w:rPr>
          <w:rFonts w:ascii="Times New Roman" w:hAnsi="Times New Roman" w:cs="Times New Roman"/>
          <w:b/>
          <w:bCs/>
          <w:u w:val="single"/>
        </w:rPr>
        <w:t>Terms of Clearance</w:t>
      </w:r>
    </w:p>
    <w:p w:rsidR="00C43627" w:rsidRPr="00C43627" w:rsidP="00E374B2" w14:paraId="3A7162D2" w14:textId="45020B7B">
      <w:pPr>
        <w:rPr>
          <w:rFonts w:ascii="Times New Roman" w:hAnsi="Times New Roman"/>
        </w:rPr>
      </w:pPr>
      <w:r>
        <w:rPr>
          <w:rFonts w:ascii="Times New Roman" w:hAnsi="Times New Roman"/>
        </w:rPr>
        <w:t xml:space="preserve">OMB placed the following Terms of Clearance on this Information Collection when they last approved it on </w:t>
      </w:r>
      <w:r w:rsidR="00D8276A">
        <w:rPr>
          <w:rFonts w:ascii="Times New Roman" w:hAnsi="Times New Roman"/>
        </w:rPr>
        <w:t>6/14/23</w:t>
      </w:r>
      <w:r>
        <w:rPr>
          <w:rFonts w:ascii="Times New Roman" w:hAnsi="Times New Roman"/>
        </w:rPr>
        <w:t>:</w:t>
      </w:r>
    </w:p>
    <w:p w:rsidR="00C43627" w:rsidRPr="008B37EC" w:rsidP="008B37EC" w14:paraId="2AE8D4C1" w14:textId="74440267">
      <w:pPr>
        <w:pStyle w:val="ListParagraph"/>
        <w:ind w:left="360"/>
        <w:rPr>
          <w:rFonts w:ascii="Times New Roman" w:hAnsi="Times New Roman" w:cs="Times New Roman"/>
          <w:b/>
          <w:bCs/>
        </w:rPr>
      </w:pPr>
      <w:r w:rsidRPr="00C43627">
        <w:rPr>
          <w:rFonts w:ascii="Times New Roman" w:hAnsi="Times New Roman" w:cs="Times New Roman"/>
          <w:b/>
          <w:bCs/>
        </w:rPr>
        <w:t xml:space="preserve">Term:  </w:t>
      </w:r>
      <w:bookmarkStart w:id="0" w:name="_Hlk221114588"/>
      <w:r w:rsidR="00D8276A">
        <w:rPr>
          <w:rFonts w:ascii="Times New Roman" w:hAnsi="Times New Roman" w:cs="Times New Roman"/>
          <w:b/>
          <w:bCs/>
        </w:rPr>
        <w:t xml:space="preserve">The agency made minor modifications to the supporting statement to clarify operation of the collection and to increase the burden estimate.  </w:t>
      </w:r>
      <w:r w:rsidRPr="008B37EC" w:rsidR="00D8276A">
        <w:rPr>
          <w:rFonts w:ascii="Times New Roman" w:hAnsi="Times New Roman" w:cs="Times New Roman"/>
          <w:b/>
          <w:bCs/>
        </w:rPr>
        <w:t>Prior to reapproval, the agency will brief OMB on opportunities to use Access to Financial Institutions (AFI) to facilitate this information collection.</w:t>
      </w:r>
    </w:p>
    <w:p w:rsidR="00C43627" w:rsidP="00C43627" w14:paraId="4136A803" w14:textId="77777777">
      <w:pPr>
        <w:pStyle w:val="ListParagraph"/>
        <w:ind w:left="360"/>
        <w:rPr>
          <w:rFonts w:ascii="Times New Roman" w:hAnsi="Times New Roman" w:cs="Times New Roman"/>
          <w:b/>
          <w:bCs/>
        </w:rPr>
      </w:pPr>
    </w:p>
    <w:p w:rsidR="008B37EC" w:rsidRPr="008B37EC" w:rsidP="008B37EC" w14:paraId="2A6803C9" w14:textId="028A9F41">
      <w:pPr>
        <w:pStyle w:val="ListParagraph"/>
        <w:numPr>
          <w:ilvl w:val="0"/>
          <w:numId w:val="6"/>
        </w:numPr>
        <w:rPr>
          <w:rFonts w:ascii="Times New Roman" w:hAnsi="Times New Roman" w:cs="Times New Roman"/>
          <w:b/>
          <w:bCs/>
        </w:rPr>
      </w:pPr>
      <w:r w:rsidRPr="008B37EC">
        <w:rPr>
          <w:rFonts w:ascii="Times New Roman" w:hAnsi="Times New Roman" w:cs="Times New Roman"/>
          <w:b/>
          <w:bCs/>
        </w:rPr>
        <w:t>Term #1:</w:t>
      </w:r>
      <w:r w:rsidRPr="008B37EC">
        <w:rPr>
          <w:rFonts w:ascii="Times New Roman" w:hAnsi="Times New Roman" w:cs="Times New Roman"/>
        </w:rPr>
        <w:t xml:space="preserve">  The agency made minor modifications to the supporting statement to clarify operation of the collection and to increase the burden estimate.</w:t>
      </w:r>
      <w:r w:rsidRPr="008B37EC">
        <w:rPr>
          <w:rFonts w:ascii="Times New Roman" w:hAnsi="Times New Roman" w:cs="Times New Roman"/>
          <w:b/>
          <w:bCs/>
        </w:rPr>
        <w:t xml:space="preserve">  </w:t>
      </w:r>
    </w:p>
    <w:p w:rsidR="008B37EC" w:rsidP="00A55FB8" w14:paraId="6B9AE7FE" w14:textId="77777777">
      <w:pPr>
        <w:pStyle w:val="ListParagraph"/>
        <w:ind w:left="360"/>
        <w:rPr>
          <w:rFonts w:ascii="Times New Roman" w:hAnsi="Times New Roman" w:cs="Times New Roman"/>
          <w:b/>
          <w:bCs/>
          <w:color w:val="0000FF"/>
        </w:rPr>
      </w:pPr>
    </w:p>
    <w:p w:rsidR="00A55FB8" w:rsidRPr="008B37EC" w:rsidP="008B37EC" w14:paraId="5CAECB5C" w14:textId="733A140C">
      <w:pPr>
        <w:pStyle w:val="ListParagraph"/>
        <w:ind w:left="360"/>
        <w:rPr>
          <w:rFonts w:ascii="Times New Roman" w:hAnsi="Times New Roman" w:cs="Times New Roman"/>
          <w:b/>
          <w:bCs/>
          <w:color w:val="0000FF"/>
        </w:rPr>
      </w:pPr>
      <w:r w:rsidRPr="00A55FB8">
        <w:rPr>
          <w:rFonts w:ascii="Times New Roman" w:hAnsi="Times New Roman" w:cs="Times New Roman"/>
          <w:b/>
          <w:bCs/>
          <w:color w:val="0000FF"/>
        </w:rPr>
        <w:t>SSA response</w:t>
      </w:r>
      <w:r w:rsidR="008B37EC">
        <w:rPr>
          <w:rFonts w:ascii="Times New Roman" w:hAnsi="Times New Roman" w:cs="Times New Roman"/>
          <w:b/>
          <w:bCs/>
          <w:color w:val="0000FF"/>
        </w:rPr>
        <w:t xml:space="preserve"> #1</w:t>
      </w:r>
      <w:r w:rsidRPr="00A55FB8">
        <w:rPr>
          <w:rFonts w:ascii="Times New Roman" w:hAnsi="Times New Roman" w:cs="Times New Roman"/>
          <w:b/>
          <w:bCs/>
          <w:color w:val="0000FF"/>
        </w:rPr>
        <w:t xml:space="preserve">: </w:t>
      </w:r>
      <w:bookmarkEnd w:id="0"/>
      <w:r w:rsidRPr="00A55FB8" w:rsidR="004E576D">
        <w:rPr>
          <w:rFonts w:ascii="Times New Roman" w:hAnsi="Times New Roman" w:cs="Times New Roman"/>
          <w:b/>
          <w:bCs/>
          <w:color w:val="0000FF"/>
        </w:rPr>
        <w:t xml:space="preserve"> </w:t>
      </w:r>
      <w:r w:rsidRPr="008B37EC">
        <w:rPr>
          <w:rFonts w:ascii="Times New Roman" w:hAnsi="Times New Roman" w:cs="Times New Roman"/>
          <w:color w:val="0000FF"/>
        </w:rPr>
        <w:t xml:space="preserve">As per OMB’s request, SSA made minor modifications to the Supporting Statement to clarify the operation of the collection and increase the burden estimate prior to the previous approval.  </w:t>
      </w:r>
      <w:r w:rsidRPr="008B37EC" w:rsidR="008B37EC">
        <w:rPr>
          <w:rFonts w:ascii="Times New Roman" w:hAnsi="Times New Roman" w:cs="Times New Roman"/>
          <w:color w:val="0000FF"/>
        </w:rPr>
        <w:t>We have kept these revisions in the Supporting Statement we submitted for renewal.</w:t>
      </w:r>
      <w:r w:rsidRPr="008B37EC">
        <w:rPr>
          <w:rFonts w:ascii="Times New Roman" w:hAnsi="Times New Roman" w:cs="Times New Roman"/>
          <w:color w:val="0000FF"/>
        </w:rPr>
        <w:t xml:space="preserve"> </w:t>
      </w:r>
    </w:p>
    <w:p w:rsidR="008B37EC" w:rsidRPr="008B37EC" w:rsidP="00A55FB8" w14:paraId="6BA57D99" w14:textId="77777777">
      <w:pPr>
        <w:pStyle w:val="ListParagraph"/>
        <w:ind w:left="360"/>
        <w:rPr>
          <w:rFonts w:ascii="Times New Roman" w:hAnsi="Times New Roman" w:cs="Times New Roman"/>
          <w:b/>
          <w:bCs/>
        </w:rPr>
      </w:pPr>
    </w:p>
    <w:p w:rsidR="008B37EC" w:rsidRPr="008B37EC" w:rsidP="008B37EC" w14:paraId="29FE265E" w14:textId="3B902963">
      <w:pPr>
        <w:pStyle w:val="ListParagraph"/>
        <w:numPr>
          <w:ilvl w:val="0"/>
          <w:numId w:val="6"/>
        </w:numPr>
        <w:rPr>
          <w:rFonts w:ascii="Times New Roman" w:hAnsi="Times New Roman" w:cs="Times New Roman"/>
          <w:b/>
          <w:bCs/>
          <w:color w:val="0000FF"/>
        </w:rPr>
      </w:pPr>
      <w:r w:rsidRPr="008B37EC">
        <w:rPr>
          <w:rFonts w:ascii="Times New Roman" w:hAnsi="Times New Roman" w:cs="Times New Roman"/>
          <w:b/>
          <w:bCs/>
        </w:rPr>
        <w:t>T</w:t>
      </w:r>
      <w:r>
        <w:rPr>
          <w:rFonts w:ascii="Times New Roman" w:hAnsi="Times New Roman" w:cs="Times New Roman"/>
          <w:b/>
          <w:bCs/>
        </w:rPr>
        <w:t xml:space="preserve">erm #2:  </w:t>
      </w:r>
      <w:r w:rsidRPr="008B37EC">
        <w:rPr>
          <w:rFonts w:ascii="Times New Roman" w:hAnsi="Times New Roman" w:cs="Times New Roman"/>
        </w:rPr>
        <w:t>Prior to reapproval, the agency will brief OMB on opportunities to use Access to Financial Institutions (AFI) to facilitate this information collection.</w:t>
      </w:r>
    </w:p>
    <w:p w:rsidR="008B37EC" w:rsidP="008B37EC" w14:paraId="5AADB6A2" w14:textId="77777777">
      <w:pPr>
        <w:pStyle w:val="ListParagraph"/>
        <w:ind w:left="360"/>
        <w:rPr>
          <w:rFonts w:ascii="Times New Roman" w:hAnsi="Times New Roman" w:cs="Times New Roman"/>
          <w:b/>
          <w:bCs/>
          <w:color w:val="0000FF"/>
        </w:rPr>
      </w:pPr>
    </w:p>
    <w:p w:rsidR="00A55FB8" w:rsidRPr="008B37EC" w:rsidP="008B37EC" w14:paraId="445AE686" w14:textId="33264C86">
      <w:pPr>
        <w:pStyle w:val="ListParagraph"/>
        <w:ind w:left="360"/>
        <w:rPr>
          <w:rFonts w:ascii="Times New Roman" w:hAnsi="Times New Roman" w:cs="Times New Roman"/>
          <w:b/>
          <w:bCs/>
          <w:color w:val="0000FF"/>
        </w:rPr>
      </w:pPr>
      <w:r w:rsidRPr="00A55FB8">
        <w:rPr>
          <w:rFonts w:ascii="Times New Roman" w:hAnsi="Times New Roman" w:cs="Times New Roman"/>
          <w:b/>
          <w:bCs/>
          <w:color w:val="0000FF"/>
        </w:rPr>
        <w:t>SSA response</w:t>
      </w:r>
      <w:r>
        <w:rPr>
          <w:rFonts w:ascii="Times New Roman" w:hAnsi="Times New Roman" w:cs="Times New Roman"/>
          <w:b/>
          <w:bCs/>
          <w:color w:val="0000FF"/>
        </w:rPr>
        <w:t xml:space="preserve"> #2</w:t>
      </w:r>
      <w:r w:rsidRPr="00A55FB8">
        <w:rPr>
          <w:rFonts w:ascii="Times New Roman" w:hAnsi="Times New Roman" w:cs="Times New Roman"/>
          <w:b/>
          <w:bCs/>
          <w:color w:val="0000FF"/>
        </w:rPr>
        <w:t xml:space="preserve">:  </w:t>
      </w:r>
      <w:r w:rsidRPr="008B37EC">
        <w:rPr>
          <w:rFonts w:ascii="Times New Roman" w:hAnsi="Times New Roman" w:cs="Times New Roman"/>
          <w:color w:val="0000FF"/>
        </w:rPr>
        <w:t>While we were unable to brief OMB prior to beginning the next PRA approval cycle, we are including an explanation of the issues with using AFI to facilitate the information collection for the SSA- 4640:</w:t>
      </w:r>
    </w:p>
    <w:p w:rsidR="00A55FB8" w:rsidP="00C43627" w14:paraId="3BF39C57" w14:textId="77777777">
      <w:pPr>
        <w:pStyle w:val="ListParagraph"/>
        <w:ind w:left="360"/>
        <w:rPr>
          <w:rFonts w:ascii="Times New Roman" w:hAnsi="Times New Roman" w:cs="Times New Roman"/>
          <w:color w:val="0000FF"/>
        </w:rPr>
      </w:pPr>
    </w:p>
    <w:p w:rsidR="00C43627" w:rsidRPr="00A55FB8" w:rsidP="00C43627" w14:paraId="68D841E5" w14:textId="6E4A8595">
      <w:pPr>
        <w:pStyle w:val="ListParagraph"/>
        <w:ind w:left="360"/>
        <w:rPr>
          <w:rFonts w:ascii="Times New Roman" w:hAnsi="Times New Roman" w:cs="Times New Roman"/>
          <w:color w:val="0000FF"/>
        </w:rPr>
      </w:pPr>
      <w:r>
        <w:rPr>
          <w:rFonts w:ascii="Times New Roman" w:hAnsi="Times New Roman" w:cs="Times New Roman"/>
          <w:color w:val="0000FF"/>
        </w:rPr>
        <w:t xml:space="preserve">Due to legal, regulatory, and contracting issues, we are unable </w:t>
      </w:r>
      <w:r w:rsidRPr="00A55FB8" w:rsidR="00FA653E">
        <w:rPr>
          <w:rFonts w:ascii="Times New Roman" w:hAnsi="Times New Roman" w:cs="Times New Roman"/>
          <w:color w:val="0000FF"/>
        </w:rPr>
        <w:t xml:space="preserve">to leverage AFI for Medicare </w:t>
      </w:r>
      <w:r>
        <w:rPr>
          <w:rFonts w:ascii="Times New Roman" w:hAnsi="Times New Roman" w:cs="Times New Roman"/>
          <w:color w:val="0000FF"/>
        </w:rPr>
        <w:t>Low-Income Subsidy</w:t>
      </w:r>
      <w:r w:rsidRPr="00A55FB8" w:rsidR="00FA653E">
        <w:rPr>
          <w:rFonts w:ascii="Times New Roman" w:hAnsi="Times New Roman" w:cs="Times New Roman"/>
          <w:color w:val="0000FF"/>
        </w:rPr>
        <w:t xml:space="preserve"> </w:t>
      </w:r>
      <w:r>
        <w:rPr>
          <w:rFonts w:ascii="Times New Roman" w:hAnsi="Times New Roman" w:cs="Times New Roman"/>
          <w:color w:val="0000FF"/>
        </w:rPr>
        <w:t xml:space="preserve">(LIS) </w:t>
      </w:r>
      <w:r w:rsidRPr="00A55FB8" w:rsidR="00FA653E">
        <w:rPr>
          <w:rFonts w:ascii="Times New Roman" w:hAnsi="Times New Roman" w:cs="Times New Roman"/>
          <w:color w:val="0000FF"/>
        </w:rPr>
        <w:t xml:space="preserve">determinations. </w:t>
      </w:r>
      <w:r>
        <w:rPr>
          <w:rFonts w:ascii="Times New Roman" w:hAnsi="Times New Roman" w:cs="Times New Roman"/>
          <w:color w:val="0000FF"/>
        </w:rPr>
        <w:t xml:space="preserve"> Currently, we contract </w:t>
      </w:r>
      <w:r w:rsidRPr="00A55FB8" w:rsidR="00FA653E">
        <w:rPr>
          <w:rFonts w:ascii="Times New Roman" w:hAnsi="Times New Roman" w:cs="Times New Roman"/>
          <w:color w:val="0000FF"/>
        </w:rPr>
        <w:t xml:space="preserve">AFI only for use in SSI </w:t>
      </w:r>
      <w:r w:rsidRPr="00A55FB8" w:rsidR="00B849A9">
        <w:rPr>
          <w:rFonts w:ascii="Times New Roman" w:hAnsi="Times New Roman" w:cs="Times New Roman"/>
          <w:color w:val="0000FF"/>
        </w:rPr>
        <w:t xml:space="preserve">claims </w:t>
      </w:r>
      <w:r w:rsidRPr="00A55FB8" w:rsidR="00FA653E">
        <w:rPr>
          <w:rFonts w:ascii="Times New Roman" w:hAnsi="Times New Roman" w:cs="Times New Roman"/>
          <w:color w:val="0000FF"/>
        </w:rPr>
        <w:t>and T</w:t>
      </w:r>
      <w:r>
        <w:rPr>
          <w:rFonts w:ascii="Times New Roman" w:hAnsi="Times New Roman" w:cs="Times New Roman"/>
          <w:color w:val="0000FF"/>
        </w:rPr>
        <w:t>itle II</w:t>
      </w:r>
      <w:r w:rsidRPr="00A55FB8" w:rsidR="00FA653E">
        <w:rPr>
          <w:rFonts w:ascii="Times New Roman" w:hAnsi="Times New Roman" w:cs="Times New Roman"/>
          <w:color w:val="0000FF"/>
        </w:rPr>
        <w:t>/T</w:t>
      </w:r>
      <w:r>
        <w:rPr>
          <w:rFonts w:ascii="Times New Roman" w:hAnsi="Times New Roman" w:cs="Times New Roman"/>
          <w:color w:val="0000FF"/>
        </w:rPr>
        <w:t>itle XVI</w:t>
      </w:r>
      <w:r w:rsidRPr="00A55FB8" w:rsidR="00FA653E">
        <w:rPr>
          <w:rFonts w:ascii="Times New Roman" w:hAnsi="Times New Roman" w:cs="Times New Roman"/>
          <w:color w:val="0000FF"/>
        </w:rPr>
        <w:t xml:space="preserve"> waiver decisions.</w:t>
      </w:r>
      <w:r>
        <w:rPr>
          <w:rFonts w:ascii="Times New Roman" w:hAnsi="Times New Roman" w:cs="Times New Roman"/>
          <w:color w:val="0000FF"/>
        </w:rPr>
        <w:t xml:space="preserve">  We cannot apply t</w:t>
      </w:r>
      <w:r w:rsidRPr="00A55FB8" w:rsidR="00B849A9">
        <w:rPr>
          <w:rFonts w:ascii="Times New Roman" w:hAnsi="Times New Roman" w:cs="Times New Roman"/>
          <w:color w:val="0000FF"/>
        </w:rPr>
        <w:t>he AFI pro</w:t>
      </w:r>
      <w:r w:rsidRPr="00A55FB8" w:rsidR="0085248D">
        <w:rPr>
          <w:rFonts w:ascii="Times New Roman" w:hAnsi="Times New Roman" w:cs="Times New Roman"/>
          <w:color w:val="0000FF"/>
        </w:rPr>
        <w:t xml:space="preserve">gram to LIS determinations </w:t>
      </w:r>
      <w:r>
        <w:rPr>
          <w:rFonts w:ascii="Times New Roman" w:hAnsi="Times New Roman" w:cs="Times New Roman"/>
          <w:color w:val="0000FF"/>
        </w:rPr>
        <w:t>unless we make</w:t>
      </w:r>
      <w:r w:rsidRPr="00A55FB8" w:rsidR="0085248D">
        <w:rPr>
          <w:rFonts w:ascii="Times New Roman" w:hAnsi="Times New Roman" w:cs="Times New Roman"/>
          <w:color w:val="0000FF"/>
        </w:rPr>
        <w:t xml:space="preserve"> change</w:t>
      </w:r>
      <w:r>
        <w:rPr>
          <w:rFonts w:ascii="Times New Roman" w:hAnsi="Times New Roman" w:cs="Times New Roman"/>
          <w:color w:val="0000FF"/>
        </w:rPr>
        <w:t>s to</w:t>
      </w:r>
      <w:r w:rsidRPr="00A55FB8" w:rsidR="0085248D">
        <w:rPr>
          <w:rFonts w:ascii="Times New Roman" w:hAnsi="Times New Roman" w:cs="Times New Roman"/>
          <w:color w:val="0000FF"/>
        </w:rPr>
        <w:t xml:space="preserve"> the law expanding the program to LIS applications and </w:t>
      </w:r>
      <w:r>
        <w:rPr>
          <w:rFonts w:ascii="Times New Roman" w:hAnsi="Times New Roman" w:cs="Times New Roman"/>
          <w:color w:val="0000FF"/>
        </w:rPr>
        <w:t>revise</w:t>
      </w:r>
      <w:r w:rsidRPr="00A55FB8" w:rsidR="0085248D">
        <w:rPr>
          <w:rFonts w:ascii="Times New Roman" w:hAnsi="Times New Roman" w:cs="Times New Roman"/>
          <w:color w:val="0000FF"/>
        </w:rPr>
        <w:t xml:space="preserve"> the agency’s regulations, POMS and application forms. </w:t>
      </w:r>
      <w:r>
        <w:rPr>
          <w:rFonts w:ascii="Times New Roman" w:hAnsi="Times New Roman" w:cs="Times New Roman"/>
          <w:color w:val="0000FF"/>
        </w:rPr>
        <w:t xml:space="preserve"> Finally, t</w:t>
      </w:r>
      <w:r w:rsidRPr="00A55FB8" w:rsidR="0085248D">
        <w:rPr>
          <w:rFonts w:ascii="Times New Roman" w:hAnsi="Times New Roman" w:cs="Times New Roman"/>
          <w:color w:val="0000FF"/>
        </w:rPr>
        <w:t xml:space="preserve">he current AFI contract also has a projected maximum volume of requests that does not include LIS applications and </w:t>
      </w:r>
      <w:r>
        <w:rPr>
          <w:rFonts w:ascii="Times New Roman" w:hAnsi="Times New Roman" w:cs="Times New Roman"/>
          <w:color w:val="0000FF"/>
        </w:rPr>
        <w:t xml:space="preserve">adding the LIS applications </w:t>
      </w:r>
      <w:r w:rsidRPr="00A55FB8" w:rsidR="0085248D">
        <w:rPr>
          <w:rFonts w:ascii="Times New Roman" w:hAnsi="Times New Roman" w:cs="Times New Roman"/>
          <w:color w:val="0000FF"/>
        </w:rPr>
        <w:t>would cause the volume to exceed the contract maximum</w:t>
      </w:r>
      <w:r>
        <w:rPr>
          <w:rFonts w:ascii="Times New Roman" w:hAnsi="Times New Roman" w:cs="Times New Roman"/>
          <w:color w:val="0000FF"/>
        </w:rPr>
        <w:t>, invalidating the contract</w:t>
      </w:r>
      <w:r w:rsidRPr="00A55FB8" w:rsidR="0085248D">
        <w:rPr>
          <w:rFonts w:ascii="Times New Roman" w:hAnsi="Times New Roman" w:cs="Times New Roman"/>
          <w:color w:val="0000FF"/>
        </w:rPr>
        <w:t>.</w:t>
      </w:r>
      <w:r>
        <w:rPr>
          <w:rFonts w:ascii="Times New Roman" w:hAnsi="Times New Roman" w:cs="Times New Roman"/>
          <w:color w:val="0000FF"/>
        </w:rPr>
        <w:t xml:space="preserve">  </w:t>
      </w:r>
    </w:p>
    <w:p w:rsidR="00C43627" w:rsidRPr="00C43627" w:rsidP="00C43627" w14:paraId="4B64E0FB" w14:textId="77777777">
      <w:pPr>
        <w:pStyle w:val="ListParagraph"/>
        <w:rPr>
          <w:rFonts w:ascii="Times New Roman" w:hAnsi="Times New Roman" w:cs="Times New Roman"/>
          <w:b/>
          <w:bCs/>
          <w:i/>
          <w:iCs/>
        </w:rPr>
      </w:pPr>
    </w:p>
    <w:p w:rsidR="0058086A" w:rsidRPr="004E576D" w:rsidP="0058086A" w14:paraId="6E6ED289" w14:textId="77777777">
      <w:pPr>
        <w:rPr>
          <w:rFonts w:ascii="Times New Roman" w:hAnsi="Times New Roman" w:cs="Times New Roman"/>
          <w:b/>
          <w:bCs/>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1441791"/>
      <w:docPartObj>
        <w:docPartGallery w:val="Page Numbers (Bottom of Page)"/>
        <w:docPartUnique/>
      </w:docPartObj>
    </w:sdtPr>
    <w:sdtEndPr>
      <w:rPr>
        <w:noProof/>
      </w:rPr>
    </w:sdtEndPr>
    <w:sdtContent>
      <w:p w:rsidR="008B37EC" w14:paraId="39EFCA62" w14:textId="47772D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B37EC" w14:paraId="07883EE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6F0A7A"/>
    <w:multiLevelType w:val="hybridMultilevel"/>
    <w:tmpl w:val="4CD6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753AE9"/>
    <w:multiLevelType w:val="hybridMultilevel"/>
    <w:tmpl w:val="793ECA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967EBD"/>
    <w:multiLevelType w:val="hybridMultilevel"/>
    <w:tmpl w:val="B5E248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89D1276"/>
    <w:multiLevelType w:val="hybridMultilevel"/>
    <w:tmpl w:val="7924C7E0"/>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A87761"/>
    <w:multiLevelType w:val="hybridMultilevel"/>
    <w:tmpl w:val="ADF2BC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87F4874"/>
    <w:multiLevelType w:val="hybridMultilevel"/>
    <w:tmpl w:val="8F08BAF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71188800">
    <w:abstractNumId w:val="0"/>
  </w:num>
  <w:num w:numId="2" w16cid:durableId="1583182693">
    <w:abstractNumId w:val="3"/>
  </w:num>
  <w:num w:numId="3" w16cid:durableId="449278559">
    <w:abstractNumId w:val="2"/>
  </w:num>
  <w:num w:numId="4" w16cid:durableId="530611319">
    <w:abstractNumId w:val="1"/>
  </w:num>
  <w:num w:numId="5" w16cid:durableId="1719012651">
    <w:abstractNumId w:val="4"/>
  </w:num>
  <w:num w:numId="6" w16cid:durableId="1248231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6A"/>
    <w:rsid w:val="00002D04"/>
    <w:rsid w:val="00022DE1"/>
    <w:rsid w:val="00025ACF"/>
    <w:rsid w:val="0006791D"/>
    <w:rsid w:val="00071A41"/>
    <w:rsid w:val="00082FE9"/>
    <w:rsid w:val="000B6A68"/>
    <w:rsid w:val="000C74D0"/>
    <w:rsid w:val="000F6A2B"/>
    <w:rsid w:val="001003FC"/>
    <w:rsid w:val="0010476A"/>
    <w:rsid w:val="00132B36"/>
    <w:rsid w:val="00177822"/>
    <w:rsid w:val="001B6A18"/>
    <w:rsid w:val="001D521B"/>
    <w:rsid w:val="001E0E25"/>
    <w:rsid w:val="001F02BB"/>
    <w:rsid w:val="001F2E8B"/>
    <w:rsid w:val="001F6BC2"/>
    <w:rsid w:val="00230AF4"/>
    <w:rsid w:val="0023316F"/>
    <w:rsid w:val="002431DD"/>
    <w:rsid w:val="00252F5E"/>
    <w:rsid w:val="00254B5B"/>
    <w:rsid w:val="0026051A"/>
    <w:rsid w:val="002609FA"/>
    <w:rsid w:val="00295989"/>
    <w:rsid w:val="00295AE4"/>
    <w:rsid w:val="002C1D8C"/>
    <w:rsid w:val="002E781C"/>
    <w:rsid w:val="00315B50"/>
    <w:rsid w:val="003431AD"/>
    <w:rsid w:val="0035078C"/>
    <w:rsid w:val="00360B69"/>
    <w:rsid w:val="003669A1"/>
    <w:rsid w:val="0037153C"/>
    <w:rsid w:val="003A1136"/>
    <w:rsid w:val="003B6FB0"/>
    <w:rsid w:val="003C4142"/>
    <w:rsid w:val="003E42EC"/>
    <w:rsid w:val="003F0424"/>
    <w:rsid w:val="0040277B"/>
    <w:rsid w:val="00403E0C"/>
    <w:rsid w:val="00426A7A"/>
    <w:rsid w:val="004500D2"/>
    <w:rsid w:val="00473997"/>
    <w:rsid w:val="004A55E7"/>
    <w:rsid w:val="004B6BB8"/>
    <w:rsid w:val="004B75F9"/>
    <w:rsid w:val="004D57FC"/>
    <w:rsid w:val="004E48FE"/>
    <w:rsid w:val="004E576D"/>
    <w:rsid w:val="00516C33"/>
    <w:rsid w:val="005273E8"/>
    <w:rsid w:val="00531F5B"/>
    <w:rsid w:val="0054039C"/>
    <w:rsid w:val="0058086A"/>
    <w:rsid w:val="0058141B"/>
    <w:rsid w:val="005838C0"/>
    <w:rsid w:val="005B449B"/>
    <w:rsid w:val="005C1833"/>
    <w:rsid w:val="00607018"/>
    <w:rsid w:val="00625858"/>
    <w:rsid w:val="00630306"/>
    <w:rsid w:val="00656A39"/>
    <w:rsid w:val="0068133A"/>
    <w:rsid w:val="006D3AE9"/>
    <w:rsid w:val="006E5BCF"/>
    <w:rsid w:val="006E6695"/>
    <w:rsid w:val="00710E71"/>
    <w:rsid w:val="00712BB4"/>
    <w:rsid w:val="0071694D"/>
    <w:rsid w:val="00740B00"/>
    <w:rsid w:val="007802E8"/>
    <w:rsid w:val="00785D62"/>
    <w:rsid w:val="007A373D"/>
    <w:rsid w:val="007C61F1"/>
    <w:rsid w:val="007D71F5"/>
    <w:rsid w:val="007F0F77"/>
    <w:rsid w:val="007F12A3"/>
    <w:rsid w:val="007F6CD9"/>
    <w:rsid w:val="008142E2"/>
    <w:rsid w:val="008436EF"/>
    <w:rsid w:val="0085248D"/>
    <w:rsid w:val="00854BFD"/>
    <w:rsid w:val="00873184"/>
    <w:rsid w:val="008900BA"/>
    <w:rsid w:val="008B37EC"/>
    <w:rsid w:val="008D58C4"/>
    <w:rsid w:val="008F6EE0"/>
    <w:rsid w:val="00922216"/>
    <w:rsid w:val="00944A07"/>
    <w:rsid w:val="00955B57"/>
    <w:rsid w:val="00965682"/>
    <w:rsid w:val="0098160D"/>
    <w:rsid w:val="0099011A"/>
    <w:rsid w:val="009C5D25"/>
    <w:rsid w:val="009C7CCA"/>
    <w:rsid w:val="00A00887"/>
    <w:rsid w:val="00A2388B"/>
    <w:rsid w:val="00A3097F"/>
    <w:rsid w:val="00A31664"/>
    <w:rsid w:val="00A342BC"/>
    <w:rsid w:val="00A46B21"/>
    <w:rsid w:val="00A512D6"/>
    <w:rsid w:val="00A54F43"/>
    <w:rsid w:val="00A55FB8"/>
    <w:rsid w:val="00A80EC6"/>
    <w:rsid w:val="00AB04FD"/>
    <w:rsid w:val="00AB0C46"/>
    <w:rsid w:val="00AD54A9"/>
    <w:rsid w:val="00AF1D47"/>
    <w:rsid w:val="00B103DD"/>
    <w:rsid w:val="00B23393"/>
    <w:rsid w:val="00B60E4F"/>
    <w:rsid w:val="00B816F8"/>
    <w:rsid w:val="00B849A9"/>
    <w:rsid w:val="00B9575F"/>
    <w:rsid w:val="00BD701D"/>
    <w:rsid w:val="00BE50FE"/>
    <w:rsid w:val="00BE6B8D"/>
    <w:rsid w:val="00BF0554"/>
    <w:rsid w:val="00C26DE9"/>
    <w:rsid w:val="00C433EB"/>
    <w:rsid w:val="00C43627"/>
    <w:rsid w:val="00C553B5"/>
    <w:rsid w:val="00C621E2"/>
    <w:rsid w:val="00C71772"/>
    <w:rsid w:val="00C838CA"/>
    <w:rsid w:val="00C902EF"/>
    <w:rsid w:val="00CB1A6E"/>
    <w:rsid w:val="00CC0D85"/>
    <w:rsid w:val="00CC71C7"/>
    <w:rsid w:val="00CE7C37"/>
    <w:rsid w:val="00CF1C68"/>
    <w:rsid w:val="00D015B8"/>
    <w:rsid w:val="00D02946"/>
    <w:rsid w:val="00D02F01"/>
    <w:rsid w:val="00D55D50"/>
    <w:rsid w:val="00D57F66"/>
    <w:rsid w:val="00D72DB2"/>
    <w:rsid w:val="00D80435"/>
    <w:rsid w:val="00D8276A"/>
    <w:rsid w:val="00DB13D5"/>
    <w:rsid w:val="00DB29E0"/>
    <w:rsid w:val="00DD2A46"/>
    <w:rsid w:val="00DF32BC"/>
    <w:rsid w:val="00E1351C"/>
    <w:rsid w:val="00E13BBD"/>
    <w:rsid w:val="00E374B2"/>
    <w:rsid w:val="00ED5E9D"/>
    <w:rsid w:val="00F05237"/>
    <w:rsid w:val="00F07942"/>
    <w:rsid w:val="00F24389"/>
    <w:rsid w:val="00F53177"/>
    <w:rsid w:val="00F65740"/>
    <w:rsid w:val="00F717AC"/>
    <w:rsid w:val="00FA653E"/>
    <w:rsid w:val="00FB11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C0EFC3"/>
  <w15:chartTrackingRefBased/>
  <w15:docId w15:val="{52B7DBA9-6299-4ACB-AF8C-13A7315B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86A"/>
  </w:style>
  <w:style w:type="paragraph" w:styleId="Heading1">
    <w:name w:val="heading 1"/>
    <w:basedOn w:val="Normal"/>
    <w:next w:val="Normal"/>
    <w:link w:val="Heading1Char"/>
    <w:uiPriority w:val="9"/>
    <w:qFormat/>
    <w:rsid w:val="005C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33"/>
    <w:rPr>
      <w:rFonts w:eastAsiaTheme="majorEastAsia" w:cstheme="majorBidi"/>
      <w:color w:val="272727" w:themeColor="text1" w:themeTint="D8"/>
    </w:rPr>
  </w:style>
  <w:style w:type="paragraph" w:styleId="Title">
    <w:name w:val="Title"/>
    <w:basedOn w:val="Normal"/>
    <w:next w:val="Normal"/>
    <w:link w:val="TitleChar"/>
    <w:uiPriority w:val="10"/>
    <w:qFormat/>
    <w:rsid w:val="005C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33"/>
    <w:pPr>
      <w:spacing w:before="160"/>
      <w:jc w:val="center"/>
    </w:pPr>
    <w:rPr>
      <w:i/>
      <w:iCs/>
      <w:color w:val="404040" w:themeColor="text1" w:themeTint="BF"/>
    </w:rPr>
  </w:style>
  <w:style w:type="character" w:customStyle="1" w:styleId="QuoteChar">
    <w:name w:val="Quote Char"/>
    <w:basedOn w:val="DefaultParagraphFont"/>
    <w:link w:val="Quote"/>
    <w:uiPriority w:val="29"/>
    <w:rsid w:val="005C1833"/>
    <w:rPr>
      <w:i/>
      <w:iCs/>
      <w:color w:val="404040" w:themeColor="text1" w:themeTint="BF"/>
    </w:rPr>
  </w:style>
  <w:style w:type="paragraph" w:styleId="ListParagraph">
    <w:name w:val="List Paragraph"/>
    <w:basedOn w:val="Normal"/>
    <w:uiPriority w:val="34"/>
    <w:qFormat/>
    <w:rsid w:val="005C1833"/>
    <w:pPr>
      <w:ind w:left="720"/>
      <w:contextualSpacing/>
    </w:pPr>
  </w:style>
  <w:style w:type="character" w:styleId="IntenseEmphasis">
    <w:name w:val="Intense Emphasis"/>
    <w:basedOn w:val="DefaultParagraphFont"/>
    <w:uiPriority w:val="21"/>
    <w:qFormat/>
    <w:rsid w:val="005C1833"/>
    <w:rPr>
      <w:i/>
      <w:iCs/>
      <w:color w:val="0F4761" w:themeColor="accent1" w:themeShade="BF"/>
    </w:rPr>
  </w:style>
  <w:style w:type="paragraph" w:styleId="IntenseQuote">
    <w:name w:val="Intense Quote"/>
    <w:basedOn w:val="Normal"/>
    <w:next w:val="Normal"/>
    <w:link w:val="IntenseQuoteChar"/>
    <w:uiPriority w:val="30"/>
    <w:qFormat/>
    <w:rsid w:val="005C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33"/>
    <w:rPr>
      <w:i/>
      <w:iCs/>
      <w:color w:val="0F4761" w:themeColor="accent1" w:themeShade="BF"/>
    </w:rPr>
  </w:style>
  <w:style w:type="character" w:styleId="IntenseReference">
    <w:name w:val="Intense Reference"/>
    <w:basedOn w:val="DefaultParagraphFont"/>
    <w:uiPriority w:val="32"/>
    <w:qFormat/>
    <w:rsid w:val="005C1833"/>
    <w:rPr>
      <w:b/>
      <w:bCs/>
      <w:smallCaps/>
      <w:color w:val="0F4761" w:themeColor="accent1" w:themeShade="BF"/>
      <w:spacing w:val="5"/>
    </w:rPr>
  </w:style>
  <w:style w:type="paragraph" w:styleId="Revision">
    <w:name w:val="Revision"/>
    <w:hidden/>
    <w:uiPriority w:val="99"/>
    <w:semiHidden/>
    <w:rsid w:val="00426A7A"/>
    <w:pPr>
      <w:spacing w:after="0" w:line="240" w:lineRule="auto"/>
    </w:pPr>
  </w:style>
  <w:style w:type="character" w:styleId="CommentReference">
    <w:name w:val="annotation reference"/>
    <w:basedOn w:val="DefaultParagraphFont"/>
    <w:uiPriority w:val="99"/>
    <w:semiHidden/>
    <w:unhideWhenUsed/>
    <w:rsid w:val="002C1D8C"/>
    <w:rPr>
      <w:sz w:val="16"/>
      <w:szCs w:val="16"/>
    </w:rPr>
  </w:style>
  <w:style w:type="paragraph" w:styleId="CommentText">
    <w:name w:val="annotation text"/>
    <w:basedOn w:val="Normal"/>
    <w:link w:val="CommentTextChar"/>
    <w:uiPriority w:val="99"/>
    <w:unhideWhenUsed/>
    <w:rsid w:val="002C1D8C"/>
    <w:pPr>
      <w:spacing w:line="240" w:lineRule="auto"/>
    </w:pPr>
    <w:rPr>
      <w:sz w:val="20"/>
      <w:szCs w:val="20"/>
    </w:rPr>
  </w:style>
  <w:style w:type="character" w:customStyle="1" w:styleId="CommentTextChar">
    <w:name w:val="Comment Text Char"/>
    <w:basedOn w:val="DefaultParagraphFont"/>
    <w:link w:val="CommentText"/>
    <w:uiPriority w:val="99"/>
    <w:rsid w:val="002C1D8C"/>
    <w:rPr>
      <w:sz w:val="20"/>
      <w:szCs w:val="20"/>
    </w:rPr>
  </w:style>
  <w:style w:type="paragraph" w:styleId="CommentSubject">
    <w:name w:val="annotation subject"/>
    <w:basedOn w:val="CommentText"/>
    <w:next w:val="CommentText"/>
    <w:link w:val="CommentSubjectChar"/>
    <w:uiPriority w:val="99"/>
    <w:semiHidden/>
    <w:unhideWhenUsed/>
    <w:rsid w:val="002C1D8C"/>
    <w:rPr>
      <w:b/>
      <w:bCs/>
    </w:rPr>
  </w:style>
  <w:style w:type="character" w:customStyle="1" w:styleId="CommentSubjectChar">
    <w:name w:val="Comment Subject Char"/>
    <w:basedOn w:val="CommentTextChar"/>
    <w:link w:val="CommentSubject"/>
    <w:uiPriority w:val="99"/>
    <w:semiHidden/>
    <w:rsid w:val="002C1D8C"/>
    <w:rPr>
      <w:b/>
      <w:bCs/>
      <w:sz w:val="20"/>
      <w:szCs w:val="20"/>
    </w:rPr>
  </w:style>
  <w:style w:type="paragraph" w:styleId="Header">
    <w:name w:val="header"/>
    <w:basedOn w:val="Normal"/>
    <w:link w:val="HeaderChar"/>
    <w:uiPriority w:val="99"/>
    <w:unhideWhenUsed/>
    <w:rsid w:val="008B3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7EC"/>
  </w:style>
  <w:style w:type="paragraph" w:styleId="Footer">
    <w:name w:val="footer"/>
    <w:basedOn w:val="Normal"/>
    <w:link w:val="FooterChar"/>
    <w:uiPriority w:val="99"/>
    <w:unhideWhenUsed/>
    <w:rsid w:val="008B3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L:\Procedures\Clearance%20Packages\Clearance%20Package%20Templates\Revised%20CRC%20Supporting%20Statement%20-%202-8-23%20(M-22-10)\Templates%20for%20ICR%20Documents%20-%20Using%20New%20Formatting%20-%206-4-26\Addendum%20Template%20Using%20New%20Formatting%20(Per%20Mona%20Request)%20-%206-4-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Template Using New Formatting (Per Mona Request) - 6-4-26</Template>
  <TotalTime>1</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LP/RRC</cp:lastModifiedBy>
  <cp:revision>2</cp:revision>
  <dcterms:created xsi:type="dcterms:W3CDTF">2026-06-22T12:03:00Z</dcterms:created>
  <dcterms:modified xsi:type="dcterms:W3CDTF">2026-06-22T12:03:00Z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1394875957</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FOR YOUR REVIEW - OMB Expiration Notice: 0960-0729, SSA-4640</vt:lpwstr>
  </property>
  <property fmtid="{D5CDD505-2E9C-101B-9397-08002B2CF9AE}" pid="6" name="_NewReviewCycle">
    <vt:lpwstr/>
  </property>
  <property fmtid="{D5CDD505-2E9C-101B-9397-08002B2CF9AE}" pid="7" name="_PreviousAdHocReviewCycleID">
    <vt:i4>1906191452</vt:i4>
  </property>
  <property fmtid="{D5CDD505-2E9C-101B-9397-08002B2CF9AE}" pid="8" name="_ReviewingToolsShownOnce">
    <vt:lpwstr/>
  </property>
</Properties>
</file>