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3EDF" w:rsidP="00C03EDF" w14:paraId="0F953555"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8F35D1">
        <w:rPr>
          <w:rFonts w:ascii="Times New Roman" w:hAnsi="Times New Roman"/>
          <w:b/>
        </w:rPr>
        <w:t>SSA-</w:t>
      </w:r>
      <w:r w:rsidR="00591B98">
        <w:rPr>
          <w:rFonts w:ascii="Times New Roman" w:hAnsi="Times New Roman"/>
          <w:b/>
        </w:rPr>
        <w:t>2490-BK</w:t>
      </w:r>
    </w:p>
    <w:p w:rsidR="00855A2B" w:rsidP="00C03EDF" w14:paraId="6A2BA703" w14:textId="77777777">
      <w:pPr>
        <w:jc w:val="center"/>
        <w:rPr>
          <w:rFonts w:ascii="Times New Roman" w:hAnsi="Times New Roman"/>
          <w:b/>
        </w:rPr>
      </w:pPr>
      <w:r>
        <w:rPr>
          <w:rFonts w:ascii="Times New Roman" w:hAnsi="Times New Roman"/>
          <w:b/>
        </w:rPr>
        <w:t>Application for Benefits Under A U.S. International Social Security Agreement</w:t>
      </w:r>
    </w:p>
    <w:p w:rsidR="00330A53" w:rsidP="00C03EDF" w14:paraId="27B31394" w14:textId="77777777">
      <w:pPr>
        <w:jc w:val="center"/>
        <w:rPr>
          <w:rFonts w:ascii="Times New Roman" w:hAnsi="Times New Roman"/>
          <w:b/>
        </w:rPr>
      </w:pPr>
      <w:r>
        <w:rPr>
          <w:rFonts w:ascii="Times New Roman" w:hAnsi="Times New Roman"/>
          <w:b/>
        </w:rPr>
        <w:t>CFR Citation</w:t>
      </w:r>
      <w:r w:rsidR="005C4386">
        <w:rPr>
          <w:rFonts w:ascii="Times New Roman" w:hAnsi="Times New Roman"/>
          <w:b/>
        </w:rPr>
        <w:t>s</w:t>
      </w:r>
    </w:p>
    <w:p w:rsidR="00855A2B" w:rsidP="00C03EDF" w14:paraId="1C02E76A" w14:textId="77777777">
      <w:pPr>
        <w:jc w:val="center"/>
        <w:rPr>
          <w:rFonts w:ascii="Times New Roman" w:hAnsi="Times New Roman"/>
          <w:b/>
        </w:rPr>
      </w:pPr>
      <w:r>
        <w:rPr>
          <w:rFonts w:ascii="Times New Roman" w:hAnsi="Times New Roman"/>
          <w:b/>
        </w:rPr>
        <w:t>OMB No. 0960-</w:t>
      </w:r>
      <w:r w:rsidR="008F35D1">
        <w:rPr>
          <w:rFonts w:ascii="Times New Roman" w:hAnsi="Times New Roman"/>
          <w:b/>
        </w:rPr>
        <w:t>0</w:t>
      </w:r>
      <w:r w:rsidR="00591B98">
        <w:rPr>
          <w:rFonts w:ascii="Times New Roman" w:hAnsi="Times New Roman"/>
          <w:b/>
        </w:rPr>
        <w:t>448</w:t>
      </w:r>
    </w:p>
    <w:p w:rsidR="00C03EDF" w:rsidP="00C03EDF" w14:paraId="36748E66" w14:textId="77777777">
      <w:pPr>
        <w:rPr>
          <w:rFonts w:ascii="Times New Roman" w:hAnsi="Times New Roman"/>
        </w:rPr>
      </w:pPr>
    </w:p>
    <w:p w:rsidR="00C224A2" w:rsidP="00C224A2" w14:paraId="30879E12" w14:textId="77777777">
      <w:pPr>
        <w:rPr>
          <w:rFonts w:ascii="Times New Roman" w:hAnsi="Times New Roman"/>
          <w:b/>
          <w:snapToGrid w:val="0"/>
          <w:u w:val="single"/>
        </w:rPr>
      </w:pPr>
      <w:r>
        <w:rPr>
          <w:rFonts w:ascii="Times New Roman" w:hAnsi="Times New Roman"/>
          <w:b/>
          <w:snapToGrid w:val="0"/>
          <w:u w:val="single"/>
        </w:rPr>
        <w:t>Background</w:t>
      </w:r>
    </w:p>
    <w:p w:rsidR="00C224A2" w:rsidP="00C224A2" w14:paraId="5DC7E929" w14:textId="77777777">
      <w:pPr>
        <w:rPr>
          <w:rFonts w:ascii="Times New Roman" w:hAnsi="Times New Roman"/>
          <w:bCs/>
          <w:snapToGrid w:val="0"/>
        </w:rPr>
      </w:pPr>
    </w:p>
    <w:p w:rsidR="00C224A2" w:rsidP="00C224A2" w14:paraId="5948B4D1" w14:textId="77777777">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val="0"/>
        </w:rPr>
      </w:pPr>
      <w:r w:rsidRPr="00773B60">
        <w:rPr>
          <w:rFonts w:ascii="Times New Roman" w:hAnsi="Times New Roman"/>
          <w:snapToGrid w:val="0"/>
        </w:rPr>
        <w:t xml:space="preserve">SSA collects </w:t>
      </w:r>
      <w:r>
        <w:rPr>
          <w:rFonts w:ascii="Times New Roman" w:hAnsi="Times New Roman"/>
          <w:snapToGrid w:val="0"/>
        </w:rPr>
        <w:t xml:space="preserve">this </w:t>
      </w:r>
      <w:r w:rsidRPr="00773B60">
        <w:rPr>
          <w:rFonts w:ascii="Times New Roman" w:hAnsi="Times New Roman"/>
          <w:snapToGrid w:val="0"/>
        </w:rPr>
        <w:t xml:space="preserve">information using Form SSA-2490-BK to determine entitlement to Social Security benefits from the United States or from a country that enters into a Totalization agreement with the United States.  </w:t>
      </w:r>
      <w:r>
        <w:rPr>
          <w:rFonts w:ascii="Times New Roman" w:hAnsi="Times New Roman"/>
          <w:snapToGrid w:val="0"/>
        </w:rPr>
        <w:t xml:space="preserve">The United States signs new agreements whenever necessary, and we may create Totalization agreements with several new countries in any given year, and we update this information collection accordingly.  </w:t>
      </w:r>
      <w:r>
        <w:rPr>
          <w:rFonts w:ascii="Times New Roman" w:hAnsi="Times New Roman"/>
          <w:snapToGrid w:val="0"/>
        </w:rPr>
        <w:br/>
      </w:r>
    </w:p>
    <w:p w:rsidR="00262B15" w:rsidRPr="00A106B5" w:rsidP="00C03EDF" w14:paraId="554D977B" w14:textId="77777777">
      <w:pPr>
        <w:rPr>
          <w:rFonts w:ascii="Times New Roman" w:hAnsi="Times New Roman"/>
          <w:b/>
          <w:snapToGrid w:val="0"/>
          <w:u w:val="single"/>
        </w:rPr>
      </w:pPr>
      <w:r>
        <w:rPr>
          <w:rFonts w:ascii="Times New Roman" w:hAnsi="Times New Roman"/>
          <w:b/>
          <w:snapToGrid w:val="0"/>
          <w:u w:val="single"/>
        </w:rPr>
        <w:t>Revisions to the Collection</w:t>
      </w:r>
    </w:p>
    <w:p w:rsidR="00084F5F" w:rsidRPr="00084F5F" w:rsidP="00084F5F" w14:paraId="1CB9368F" w14:textId="77777777">
      <w:pPr>
        <w:ind w:left="360"/>
        <w:rPr>
          <w:rFonts w:ascii="Times New Roman" w:hAnsi="Times New Roman"/>
          <w:snapToGrid w:val="0"/>
        </w:rPr>
      </w:pPr>
    </w:p>
    <w:p w:rsidR="00262B15" w:rsidP="00262B15" w14:paraId="086EBC82" w14:textId="2AC7C771">
      <w:pPr>
        <w:numPr>
          <w:ilvl w:val="0"/>
          <w:numId w:val="1"/>
        </w:numPr>
        <w:rPr>
          <w:rFonts w:ascii="Times New Roman" w:hAnsi="Times New Roman"/>
          <w:snapToGrid w:val="0"/>
        </w:rPr>
      </w:pPr>
      <w:r w:rsidRPr="009D7998">
        <w:rPr>
          <w:rFonts w:ascii="Times New Roman" w:hAnsi="Times New Roman"/>
          <w:b/>
          <w:snapToGrid w:val="0"/>
          <w:u w:val="single"/>
        </w:rPr>
        <w:t>Change #1:</w:t>
      </w:r>
      <w:r>
        <w:rPr>
          <w:rFonts w:ascii="Times New Roman" w:hAnsi="Times New Roman"/>
          <w:snapToGrid w:val="0"/>
        </w:rPr>
        <w:t xml:space="preserve">  </w:t>
      </w:r>
      <w:r w:rsidR="009D7998">
        <w:rPr>
          <w:rFonts w:ascii="Times New Roman" w:hAnsi="Times New Roman"/>
          <w:snapToGrid w:val="0"/>
        </w:rPr>
        <w:t>Due to</w:t>
      </w:r>
      <w:r w:rsidR="00975414">
        <w:rPr>
          <w:rFonts w:ascii="Times New Roman" w:hAnsi="Times New Roman"/>
          <w:snapToGrid w:val="0"/>
        </w:rPr>
        <w:t xml:space="preserve"> the new agreement</w:t>
      </w:r>
      <w:r w:rsidR="00CF3F93">
        <w:rPr>
          <w:rFonts w:ascii="Times New Roman" w:hAnsi="Times New Roman"/>
          <w:snapToGrid w:val="0"/>
        </w:rPr>
        <w:t>s</w:t>
      </w:r>
      <w:r w:rsidR="00975414">
        <w:rPr>
          <w:rFonts w:ascii="Times New Roman" w:hAnsi="Times New Roman"/>
          <w:snapToGrid w:val="0"/>
        </w:rPr>
        <w:t xml:space="preserve"> the United States </w:t>
      </w:r>
      <w:r w:rsidR="00B83D9A">
        <w:rPr>
          <w:rFonts w:ascii="Times New Roman" w:hAnsi="Times New Roman"/>
          <w:snapToGrid w:val="0"/>
        </w:rPr>
        <w:t>signed</w:t>
      </w:r>
      <w:r w:rsidR="00CF3F93">
        <w:rPr>
          <w:rFonts w:ascii="Times New Roman" w:hAnsi="Times New Roman"/>
          <w:snapToGrid w:val="0"/>
        </w:rPr>
        <w:t xml:space="preserve"> with </w:t>
      </w:r>
      <w:r w:rsidR="00215957">
        <w:rPr>
          <w:rFonts w:ascii="Times New Roman" w:hAnsi="Times New Roman"/>
          <w:snapToGrid w:val="0"/>
        </w:rPr>
        <w:t>Romania</w:t>
      </w:r>
      <w:r w:rsidR="003739E2">
        <w:rPr>
          <w:rFonts w:ascii="Times New Roman" w:hAnsi="Times New Roman"/>
          <w:snapToGrid w:val="0"/>
        </w:rPr>
        <w:t>, we are adding Romania under OMB</w:t>
      </w:r>
      <w:r w:rsidR="00C764DA">
        <w:rPr>
          <w:rFonts w:ascii="Times New Roman" w:hAnsi="Times New Roman"/>
          <w:snapToGrid w:val="0"/>
        </w:rPr>
        <w:t xml:space="preserve">. </w:t>
      </w:r>
      <w:r w:rsidR="008F35D1">
        <w:rPr>
          <w:rFonts w:ascii="Times New Roman" w:hAnsi="Times New Roman"/>
          <w:snapToGrid w:val="0"/>
        </w:rPr>
        <w:t>0960-0</w:t>
      </w:r>
      <w:r w:rsidR="003A36EA">
        <w:rPr>
          <w:rFonts w:ascii="Times New Roman" w:hAnsi="Times New Roman"/>
          <w:snapToGrid w:val="0"/>
        </w:rPr>
        <w:t>448</w:t>
      </w:r>
      <w:r w:rsidR="008F35D1">
        <w:rPr>
          <w:rFonts w:ascii="Times New Roman" w:hAnsi="Times New Roman"/>
          <w:snapToGrid w:val="0"/>
        </w:rPr>
        <w:t>.</w:t>
      </w:r>
    </w:p>
    <w:p w:rsidR="00C224A2" w:rsidP="003739E2" w14:paraId="1B426F51" w14:textId="77777777">
      <w:pPr>
        <w:ind w:left="360"/>
        <w:rPr>
          <w:rFonts w:ascii="Times New Roman" w:hAnsi="Times New Roman"/>
          <w:snapToGrid w:val="0"/>
        </w:rPr>
      </w:pPr>
    </w:p>
    <w:p w:rsidR="00084F5F" w:rsidP="00215957" w14:paraId="5EB530B8" w14:textId="77777777">
      <w:pPr>
        <w:ind w:left="360"/>
        <w:rPr>
          <w:rFonts w:ascii="Times New Roman" w:hAnsi="Times New Roman"/>
          <w:snapToGrid w:val="0"/>
        </w:rPr>
      </w:pPr>
      <w:r w:rsidRPr="009D7998">
        <w:rPr>
          <w:rFonts w:ascii="Times New Roman" w:hAnsi="Times New Roman"/>
          <w:b/>
          <w:snapToGrid w:val="0"/>
          <w:u w:val="single"/>
        </w:rPr>
        <w:t>Justification #1:</w:t>
      </w:r>
      <w:r>
        <w:rPr>
          <w:rFonts w:ascii="Times New Roman" w:hAnsi="Times New Roman"/>
          <w:snapToGrid w:val="0"/>
        </w:rPr>
        <w:t xml:space="preserve">  </w:t>
      </w:r>
      <w:r w:rsidR="00F305CB">
        <w:rPr>
          <w:rFonts w:ascii="Times New Roman" w:hAnsi="Times New Roman"/>
          <w:snapToGrid w:val="0"/>
        </w:rPr>
        <w:t xml:space="preserve">Section </w:t>
      </w:r>
      <w:r w:rsidRPr="00F305CB" w:rsidR="00F305CB">
        <w:rPr>
          <w:rFonts w:ascii="Times New Roman" w:hAnsi="Times New Roman"/>
          <w:i/>
          <w:snapToGrid w:val="0"/>
        </w:rPr>
        <w:t xml:space="preserve">233 of the Social Security Act (Act) </w:t>
      </w:r>
      <w:r w:rsidRPr="00F305CB" w:rsidR="00F305CB">
        <w:rPr>
          <w:rFonts w:ascii="Times New Roman" w:hAnsi="Times New Roman"/>
          <w:snapToGrid w:val="0"/>
        </w:rPr>
        <w:t xml:space="preserve">authorizes the President to enter into bilateral social security agreements </w:t>
      </w:r>
      <w:r w:rsidR="003A36EA">
        <w:rPr>
          <w:rFonts w:ascii="Times New Roman" w:hAnsi="Times New Roman"/>
          <w:snapToGrid w:val="0"/>
        </w:rPr>
        <w:t xml:space="preserve">between the United States and foreign countries.  Under such agreements, called Totalization agreements, </w:t>
      </w:r>
      <w:r w:rsidR="009D7998">
        <w:rPr>
          <w:rFonts w:ascii="Times New Roman" w:hAnsi="Times New Roman"/>
          <w:snapToGrid w:val="0"/>
        </w:rPr>
        <w:t xml:space="preserve">SSA may base </w:t>
      </w:r>
      <w:r w:rsidR="003A36EA">
        <w:rPr>
          <w:rFonts w:ascii="Times New Roman" w:hAnsi="Times New Roman"/>
          <w:snapToGrid w:val="0"/>
        </w:rPr>
        <w:t xml:space="preserve">retirement, survivors, </w:t>
      </w:r>
      <w:r w:rsidR="009D7998">
        <w:rPr>
          <w:rFonts w:ascii="Times New Roman" w:hAnsi="Times New Roman"/>
          <w:snapToGrid w:val="0"/>
        </w:rPr>
        <w:t>disability,</w:t>
      </w:r>
      <w:r w:rsidR="003A36EA">
        <w:rPr>
          <w:rFonts w:ascii="Times New Roman" w:hAnsi="Times New Roman"/>
          <w:snapToGrid w:val="0"/>
        </w:rPr>
        <w:t xml:space="preserve"> an</w:t>
      </w:r>
      <w:r w:rsidR="009D7998">
        <w:rPr>
          <w:rFonts w:ascii="Times New Roman" w:hAnsi="Times New Roman"/>
          <w:snapToGrid w:val="0"/>
        </w:rPr>
        <w:t xml:space="preserve">d derivative benefits </w:t>
      </w:r>
      <w:r w:rsidR="003A36EA">
        <w:rPr>
          <w:rFonts w:ascii="Times New Roman" w:hAnsi="Times New Roman"/>
          <w:snapToGrid w:val="0"/>
        </w:rPr>
        <w:t xml:space="preserve">on combined periods of coverage from the two countries.  </w:t>
      </w:r>
      <w:r w:rsidR="001D3A27">
        <w:rPr>
          <w:rFonts w:ascii="Times New Roman" w:hAnsi="Times New Roman"/>
          <w:snapToGrid w:val="0"/>
        </w:rPr>
        <w:t>The United Sta</w:t>
      </w:r>
      <w:r w:rsidR="00330310">
        <w:rPr>
          <w:rFonts w:ascii="Times New Roman" w:hAnsi="Times New Roman"/>
          <w:snapToGrid w:val="0"/>
        </w:rPr>
        <w:t xml:space="preserve">tes signed an agreement with </w:t>
      </w:r>
      <w:r w:rsidR="00215957">
        <w:rPr>
          <w:rFonts w:ascii="Times New Roman" w:hAnsi="Times New Roman"/>
          <w:snapToGrid w:val="0"/>
        </w:rPr>
        <w:t xml:space="preserve">Romania </w:t>
      </w:r>
      <w:r w:rsidR="00C23C80">
        <w:rPr>
          <w:rFonts w:ascii="Times New Roman" w:hAnsi="Times New Roman"/>
          <w:snapToGrid w:val="0"/>
        </w:rPr>
        <w:t xml:space="preserve">on </w:t>
      </w:r>
    </w:p>
    <w:p w:rsidR="00330A53" w:rsidP="00215957" w14:paraId="681AE8D2" w14:textId="77777777">
      <w:pPr>
        <w:ind w:left="360"/>
        <w:rPr>
          <w:rFonts w:ascii="Times New Roman" w:hAnsi="Times New Roman"/>
          <w:snapToGrid w:val="0"/>
        </w:rPr>
      </w:pPr>
      <w:r>
        <w:rPr>
          <w:rFonts w:ascii="Times New Roman" w:hAnsi="Times New Roman"/>
          <w:snapToGrid w:val="0"/>
        </w:rPr>
        <w:t>March 23, 2023.</w:t>
      </w:r>
      <w:r w:rsidR="00C23C80">
        <w:rPr>
          <w:rFonts w:ascii="Times New Roman" w:hAnsi="Times New Roman"/>
          <w:snapToGrid w:val="0"/>
        </w:rPr>
        <w:t xml:space="preserve">  </w:t>
      </w:r>
      <w:r w:rsidRPr="00F305CB" w:rsidR="00F305CB">
        <w:rPr>
          <w:rFonts w:ascii="Times New Roman" w:hAnsi="Times New Roman"/>
          <w:i/>
          <w:snapToGrid w:val="0"/>
        </w:rPr>
        <w:t>20 CFR 404.19</w:t>
      </w:r>
      <w:r w:rsidR="003A36EA">
        <w:rPr>
          <w:rFonts w:ascii="Times New Roman" w:hAnsi="Times New Roman"/>
          <w:i/>
          <w:snapToGrid w:val="0"/>
        </w:rPr>
        <w:t>25</w:t>
      </w:r>
      <w:r w:rsidR="00F305CB">
        <w:rPr>
          <w:rFonts w:ascii="Times New Roman" w:hAnsi="Times New Roman"/>
          <w:snapToGrid w:val="0"/>
        </w:rPr>
        <w:t xml:space="preserve"> of the </w:t>
      </w:r>
      <w:r w:rsidRPr="00F305CB" w:rsidR="00F305CB">
        <w:rPr>
          <w:rFonts w:ascii="Times New Roman" w:hAnsi="Times New Roman"/>
          <w:i/>
          <w:snapToGrid w:val="0"/>
        </w:rPr>
        <w:t xml:space="preserve">Code of Federal Regulations </w:t>
      </w:r>
      <w:r w:rsidRPr="003A36EA" w:rsidR="003A36EA">
        <w:rPr>
          <w:rFonts w:ascii="Times New Roman" w:hAnsi="Times New Roman"/>
          <w:snapToGrid w:val="0"/>
        </w:rPr>
        <w:t xml:space="preserve">provides that if an applicant </w:t>
      </w:r>
      <w:r w:rsidR="003A36EA">
        <w:rPr>
          <w:rFonts w:ascii="Times New Roman" w:hAnsi="Times New Roman"/>
          <w:snapToGrid w:val="0"/>
        </w:rPr>
        <w:t xml:space="preserve">files for benefits from one country, that application can constitute an application for benefits from the other country, provided the applicant express the intent to claim benefits from the other country.  </w:t>
      </w:r>
      <w:r w:rsidR="009D7998">
        <w:rPr>
          <w:rFonts w:ascii="Times New Roman" w:hAnsi="Times New Roman"/>
          <w:snapToGrid w:val="0"/>
        </w:rPr>
        <w:t>T</w:t>
      </w:r>
      <w:r w:rsidR="003A36EA">
        <w:rPr>
          <w:rFonts w:ascii="Times New Roman" w:hAnsi="Times New Roman"/>
          <w:snapToGrid w:val="0"/>
        </w:rPr>
        <w:t>o assist the other country in determining the right to benefits under its laws, or in identifying coverage under its social insurance system, each country obtains certain information from the applicant and exchanges that informatio</w:t>
      </w:r>
      <w:r w:rsidR="009D7998">
        <w:rPr>
          <w:rFonts w:ascii="Times New Roman" w:hAnsi="Times New Roman"/>
          <w:snapToGrid w:val="0"/>
        </w:rPr>
        <w:t xml:space="preserve">n with the other country.  </w:t>
      </w:r>
      <w:r w:rsidR="00234139">
        <w:rPr>
          <w:rFonts w:ascii="Times New Roman" w:hAnsi="Times New Roman"/>
          <w:snapToGrid w:val="0"/>
        </w:rPr>
        <w:t xml:space="preserve">The United States uses </w:t>
      </w:r>
      <w:r w:rsidR="009D7998">
        <w:rPr>
          <w:rFonts w:ascii="Times New Roman" w:hAnsi="Times New Roman"/>
          <w:snapToGrid w:val="0"/>
        </w:rPr>
        <w:t>F</w:t>
      </w:r>
      <w:r w:rsidR="003A36EA">
        <w:rPr>
          <w:rFonts w:ascii="Times New Roman" w:hAnsi="Times New Roman"/>
          <w:snapToGrid w:val="0"/>
        </w:rPr>
        <w:t>orm SSA-2490-BK to obtain information needed to process claims for U.S. benefits under the existing and any future Social Security agreemen</w:t>
      </w:r>
      <w:r w:rsidR="00CF3F93">
        <w:rPr>
          <w:rFonts w:ascii="Times New Roman" w:hAnsi="Times New Roman"/>
          <w:snapToGrid w:val="0"/>
        </w:rPr>
        <w:t xml:space="preserve">ts.  We </w:t>
      </w:r>
      <w:r w:rsidR="00AD6466">
        <w:rPr>
          <w:rFonts w:ascii="Times New Roman" w:hAnsi="Times New Roman"/>
          <w:snapToGrid w:val="0"/>
        </w:rPr>
        <w:t xml:space="preserve"> are including </w:t>
      </w:r>
      <w:r w:rsidR="00CF3F93">
        <w:rPr>
          <w:rFonts w:ascii="Times New Roman" w:hAnsi="Times New Roman"/>
          <w:snapToGrid w:val="0"/>
        </w:rPr>
        <w:t xml:space="preserve">include </w:t>
      </w:r>
      <w:r>
        <w:rPr>
          <w:rFonts w:ascii="Times New Roman" w:hAnsi="Times New Roman"/>
          <w:snapToGrid w:val="0"/>
        </w:rPr>
        <w:t xml:space="preserve">Romania </w:t>
      </w:r>
      <w:r w:rsidR="006B48F0">
        <w:rPr>
          <w:rFonts w:ascii="Times New Roman" w:hAnsi="Times New Roman"/>
          <w:snapToGrid w:val="0"/>
        </w:rPr>
        <w:t xml:space="preserve">under </w:t>
      </w:r>
      <w:r w:rsidR="003A36EA">
        <w:rPr>
          <w:rFonts w:ascii="Times New Roman" w:hAnsi="Times New Roman"/>
          <w:snapToGrid w:val="0"/>
        </w:rPr>
        <w:t>OMB</w:t>
      </w:r>
      <w:r w:rsidR="009D7998">
        <w:rPr>
          <w:rFonts w:ascii="Times New Roman" w:hAnsi="Times New Roman"/>
          <w:snapToGrid w:val="0"/>
        </w:rPr>
        <w:t xml:space="preserve"> 0960</w:t>
      </w:r>
      <w:r w:rsidR="009D7998">
        <w:rPr>
          <w:rFonts w:ascii="Times New Roman" w:hAnsi="Times New Roman"/>
          <w:snapToGrid w:val="0"/>
        </w:rPr>
        <w:noBreakHyphen/>
      </w:r>
      <w:r w:rsidR="00862FD2">
        <w:rPr>
          <w:rFonts w:ascii="Times New Roman" w:hAnsi="Times New Roman"/>
          <w:snapToGrid w:val="0"/>
        </w:rPr>
        <w:t>0448</w:t>
      </w:r>
      <w:r w:rsidR="00C80540">
        <w:rPr>
          <w:rFonts w:ascii="Times New Roman" w:hAnsi="Times New Roman"/>
          <w:snapToGrid w:val="0"/>
        </w:rPr>
        <w:t xml:space="preserve"> </w:t>
      </w:r>
      <w:r w:rsidR="00862FD2">
        <w:rPr>
          <w:rFonts w:ascii="Times New Roman" w:hAnsi="Times New Roman"/>
          <w:snapToGrid w:val="0"/>
        </w:rPr>
        <w:t>so SSA field office personnel can collect the required information from individuals applyin</w:t>
      </w:r>
      <w:r w:rsidR="00AD6466">
        <w:rPr>
          <w:rFonts w:ascii="Times New Roman" w:hAnsi="Times New Roman"/>
          <w:snapToGrid w:val="0"/>
        </w:rPr>
        <w:t>g for benefits under the U.S.-</w:t>
      </w:r>
      <w:r w:rsidR="006B48F0">
        <w:rPr>
          <w:rFonts w:ascii="Times New Roman" w:hAnsi="Times New Roman"/>
          <w:snapToGrid w:val="0"/>
        </w:rPr>
        <w:t xml:space="preserve">Romania </w:t>
      </w:r>
      <w:r w:rsidR="00CF3F93">
        <w:rPr>
          <w:rFonts w:ascii="Times New Roman" w:hAnsi="Times New Roman"/>
          <w:snapToGrid w:val="0"/>
        </w:rPr>
        <w:t>agreement</w:t>
      </w:r>
      <w:r w:rsidR="00862FD2">
        <w:rPr>
          <w:rFonts w:ascii="Times New Roman" w:hAnsi="Times New Roman"/>
          <w:snapToGrid w:val="0"/>
        </w:rPr>
        <w:t>.</w:t>
      </w:r>
      <w:r w:rsidR="003A36EA">
        <w:rPr>
          <w:rFonts w:ascii="Times New Roman" w:hAnsi="Times New Roman"/>
          <w:snapToGrid w:val="0"/>
        </w:rPr>
        <w:t xml:space="preserve">  </w:t>
      </w:r>
      <w:r w:rsidR="009D7998">
        <w:rPr>
          <w:rFonts w:ascii="Times New Roman" w:hAnsi="Times New Roman"/>
          <w:snapToGrid w:val="0"/>
        </w:rPr>
        <w:t>T</w:t>
      </w:r>
      <w:r w:rsidR="001D3A27">
        <w:rPr>
          <w:rFonts w:ascii="Times New Roman" w:hAnsi="Times New Roman"/>
          <w:snapToGrid w:val="0"/>
        </w:rPr>
        <w:t xml:space="preserve">he entry into force date </w:t>
      </w:r>
      <w:r w:rsidR="00AD6466">
        <w:rPr>
          <w:rFonts w:ascii="Times New Roman" w:hAnsi="Times New Roman"/>
          <w:snapToGrid w:val="0"/>
        </w:rPr>
        <w:t>for the U.S.-</w:t>
      </w:r>
      <w:r w:rsidR="006B48F0">
        <w:rPr>
          <w:rFonts w:ascii="Times New Roman" w:hAnsi="Times New Roman"/>
          <w:snapToGrid w:val="0"/>
        </w:rPr>
        <w:t xml:space="preserve"> Romania</w:t>
      </w:r>
      <w:r w:rsidR="0020644E">
        <w:rPr>
          <w:rFonts w:ascii="Times New Roman" w:hAnsi="Times New Roman"/>
          <w:snapToGrid w:val="0"/>
        </w:rPr>
        <w:t xml:space="preserve"> </w:t>
      </w:r>
      <w:r w:rsidR="00862FD2">
        <w:rPr>
          <w:rFonts w:ascii="Times New Roman" w:hAnsi="Times New Roman"/>
          <w:snapToGrid w:val="0"/>
        </w:rPr>
        <w:t xml:space="preserve">agreement </w:t>
      </w:r>
      <w:r w:rsidR="001D3A27">
        <w:rPr>
          <w:rFonts w:ascii="Times New Roman" w:hAnsi="Times New Roman"/>
          <w:snapToGrid w:val="0"/>
        </w:rPr>
        <w:t xml:space="preserve">is </w:t>
      </w:r>
      <w:r w:rsidR="006B48F0">
        <w:rPr>
          <w:rFonts w:ascii="Times New Roman" w:hAnsi="Times New Roman"/>
          <w:snapToGrid w:val="0"/>
        </w:rPr>
        <w:t xml:space="preserve">September </w:t>
      </w:r>
      <w:r w:rsidR="00CF3F93">
        <w:rPr>
          <w:rFonts w:ascii="Times New Roman" w:hAnsi="Times New Roman"/>
          <w:snapToGrid w:val="0"/>
        </w:rPr>
        <w:t>1, 20</w:t>
      </w:r>
      <w:r w:rsidR="006B48F0">
        <w:rPr>
          <w:rFonts w:ascii="Times New Roman" w:hAnsi="Times New Roman"/>
          <w:snapToGrid w:val="0"/>
        </w:rPr>
        <w:t>26</w:t>
      </w:r>
      <w:r w:rsidR="001D3A27">
        <w:rPr>
          <w:rFonts w:ascii="Times New Roman" w:hAnsi="Times New Roman"/>
          <w:snapToGrid w:val="0"/>
        </w:rPr>
        <w:t xml:space="preserve">.  </w:t>
      </w:r>
    </w:p>
    <w:p w:rsidR="009D7998" w:rsidP="009D7998" w14:paraId="6B62A24B" w14:textId="77777777">
      <w:pPr>
        <w:rPr>
          <w:rFonts w:ascii="Times New Roman" w:hAnsi="Times New Roman"/>
          <w:snapToGrid w:val="0"/>
        </w:rPr>
      </w:pPr>
    </w:p>
    <w:p w:rsidR="00A106B5" w:rsidRPr="00A106B5" w:rsidP="009D7998" w14:paraId="41F90790" w14:textId="77777777">
      <w:pPr>
        <w:rPr>
          <w:rFonts w:ascii="Times New Roman" w:hAnsi="Times New Roman"/>
          <w:b/>
          <w:snapToGrid w:val="0"/>
          <w:u w:val="single"/>
        </w:rPr>
      </w:pPr>
      <w:r w:rsidRPr="009D7998">
        <w:rPr>
          <w:rFonts w:ascii="Times New Roman" w:hAnsi="Times New Roman"/>
          <w:b/>
          <w:snapToGrid w:val="0"/>
          <w:u w:val="single"/>
        </w:rPr>
        <w:t>Revisions to the Burden</w:t>
      </w:r>
    </w:p>
    <w:p w:rsidR="00AD6466" w:rsidP="009D7998" w14:paraId="09A403F2" w14:textId="77777777">
      <w:pPr>
        <w:rPr>
          <w:rFonts w:ascii="Times New Roman" w:hAnsi="Times New Roman"/>
          <w:snapToGrid w:val="0"/>
        </w:rPr>
      </w:pPr>
      <w:r w:rsidRPr="00496FEB">
        <w:rPr>
          <w:rFonts w:ascii="Times New Roman" w:hAnsi="Times New Roman"/>
          <w:snapToGrid w:val="0"/>
        </w:rPr>
        <w:t>We anticipate a slight increase in the total burden hours for this new collection, as we estimate that the number of respondents will initially increase by 1</w:t>
      </w:r>
      <w:r>
        <w:rPr>
          <w:rFonts w:ascii="Times New Roman" w:hAnsi="Times New Roman"/>
          <w:snapToGrid w:val="0"/>
        </w:rPr>
        <w:t>00</w:t>
      </w:r>
      <w:r w:rsidR="00D73F9E">
        <w:rPr>
          <w:rFonts w:ascii="Times New Roman" w:hAnsi="Times New Roman"/>
          <w:snapToGrid w:val="0"/>
        </w:rPr>
        <w:t xml:space="preserve">; 50 for each </w:t>
      </w:r>
      <w:r w:rsidR="00ED2D80">
        <w:rPr>
          <w:rFonts w:ascii="Times New Roman" w:hAnsi="Times New Roman"/>
          <w:snapToGrid w:val="0"/>
        </w:rPr>
        <w:t>category.</w:t>
      </w:r>
      <w:r w:rsidR="00C23C80">
        <w:rPr>
          <w:rFonts w:ascii="Times New Roman" w:hAnsi="Times New Roman"/>
          <w:snapToGrid w:val="0"/>
        </w:rPr>
        <w:t xml:space="preserve"> </w:t>
      </w:r>
    </w:p>
    <w:p w:rsidR="00026CBD" w:rsidP="009D7998" w14:paraId="00DEAAE1" w14:textId="77777777">
      <w:pPr>
        <w:rPr>
          <w:rFonts w:ascii="Times New Roman" w:hAnsi="Times New Roman"/>
          <w:snapToGrid w:val="0"/>
        </w:rPr>
      </w:pPr>
    </w:p>
    <w:tbl>
      <w:tblPr>
        <w:tblW w:w="11560"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1523"/>
        <w:gridCol w:w="1429"/>
        <w:gridCol w:w="1190"/>
        <w:gridCol w:w="1256"/>
        <w:gridCol w:w="1389"/>
        <w:gridCol w:w="1556"/>
        <w:gridCol w:w="1523"/>
      </w:tblGrid>
      <w:tr w14:paraId="2827B698" w14:textId="77777777" w:rsidTr="006A155A">
        <w:tblPrEx>
          <w:tblW w:w="11560"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84"/>
        </w:trPr>
        <w:tc>
          <w:tcPr>
            <w:tcW w:w="1694" w:type="dxa"/>
          </w:tcPr>
          <w:p w:rsidR="00026CBD" w:rsidRPr="00026CBD" w:rsidP="00026CBD" w14:paraId="23940EDF"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Method of Completion</w:t>
            </w:r>
          </w:p>
        </w:tc>
        <w:tc>
          <w:tcPr>
            <w:tcW w:w="1523" w:type="dxa"/>
          </w:tcPr>
          <w:p w:rsidR="00026CBD" w:rsidRPr="00026CBD" w:rsidP="00026CBD" w14:paraId="020B51DD"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Number of Respondents</w:t>
            </w:r>
          </w:p>
        </w:tc>
        <w:tc>
          <w:tcPr>
            <w:tcW w:w="1429" w:type="dxa"/>
          </w:tcPr>
          <w:p w:rsidR="00026CBD" w:rsidRPr="00026CBD" w:rsidP="00026CBD" w14:paraId="07503E64"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Frequency of Response</w:t>
            </w:r>
          </w:p>
        </w:tc>
        <w:tc>
          <w:tcPr>
            <w:tcW w:w="1190" w:type="dxa"/>
          </w:tcPr>
          <w:p w:rsidR="00026CBD" w:rsidRPr="00026CBD" w:rsidP="00026CBD" w14:paraId="2C76312A"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Average Burden Per Response (minutes)</w:t>
            </w:r>
          </w:p>
        </w:tc>
        <w:tc>
          <w:tcPr>
            <w:tcW w:w="1256" w:type="dxa"/>
          </w:tcPr>
          <w:p w:rsidR="00026CBD" w:rsidRPr="00026CBD" w:rsidP="00026CBD" w14:paraId="4D48D085"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Estimated Total Annual Burden (hours)</w:t>
            </w:r>
          </w:p>
        </w:tc>
        <w:tc>
          <w:tcPr>
            <w:tcW w:w="1389" w:type="dxa"/>
          </w:tcPr>
          <w:p w:rsidR="00026CBD" w:rsidRPr="00026CBD" w:rsidP="00026CBD" w14:paraId="7D7458B7"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eastAsia="ar-SA"/>
              </w:rPr>
              <w:t>Average Theoretical Hourly Cost Amount (dollars)*</w:t>
            </w:r>
          </w:p>
        </w:tc>
        <w:tc>
          <w:tcPr>
            <w:tcW w:w="1556" w:type="dxa"/>
          </w:tcPr>
          <w:p w:rsidR="00026CBD" w:rsidRPr="00026CBD" w:rsidP="00026CBD" w14:paraId="737C5745" w14:textId="77777777">
            <w:pPr>
              <w:widowControl/>
              <w:suppressAutoHyphens/>
              <w:autoSpaceDE w:val="0"/>
              <w:autoSpaceDN w:val="0"/>
              <w:adjustRightInd w:val="0"/>
              <w:snapToGrid/>
              <w:rPr>
                <w:rFonts w:ascii="Times New Roman" w:eastAsia="Calibri" w:hAnsi="Times New Roman"/>
                <w:b/>
                <w:lang w:eastAsia="ar-SA"/>
              </w:rPr>
            </w:pPr>
            <w:r w:rsidRPr="00026CBD">
              <w:rPr>
                <w:rFonts w:ascii="Times New Roman" w:eastAsia="Calibri" w:hAnsi="Times New Roman"/>
                <w:b/>
                <w:lang w:eastAsia="ar-SA"/>
              </w:rPr>
              <w:t xml:space="preserve">Average Wait Time in Field Office or Teleservice Centers </w:t>
            </w:r>
          </w:p>
          <w:p w:rsidR="00026CBD" w:rsidRPr="00026CBD" w:rsidP="00026CBD" w14:paraId="042CD666" w14:textId="77777777">
            <w:pPr>
              <w:widowControl/>
              <w:suppressAutoHyphens/>
              <w:snapToGrid/>
              <w:rPr>
                <w:rFonts w:ascii="Times New Roman" w:eastAsia="Calibri" w:hAnsi="Times New Roman"/>
                <w:b/>
                <w:lang w:eastAsia="ar-SA"/>
              </w:rPr>
            </w:pPr>
            <w:r w:rsidRPr="00026CBD">
              <w:rPr>
                <w:rFonts w:ascii="Times New Roman" w:eastAsia="Calibri" w:hAnsi="Times New Roman"/>
                <w:b/>
                <w:lang w:val="x-none" w:eastAsia="ar-SA"/>
              </w:rPr>
              <w:t>(minutes) **</w:t>
            </w:r>
          </w:p>
        </w:tc>
        <w:tc>
          <w:tcPr>
            <w:tcW w:w="1523" w:type="dxa"/>
          </w:tcPr>
          <w:p w:rsidR="00026CBD" w:rsidRPr="00026CBD" w:rsidP="00026CBD" w14:paraId="4729C2EC" w14:textId="77777777">
            <w:pPr>
              <w:widowControl/>
              <w:suppressAutoHyphens/>
              <w:snapToGrid/>
              <w:rPr>
                <w:rFonts w:ascii="Times New Roman" w:eastAsia="Calibri" w:hAnsi="Times New Roman"/>
                <w:b/>
                <w:lang w:eastAsia="ar-SA"/>
              </w:rPr>
            </w:pPr>
            <w:r w:rsidRPr="00026CBD">
              <w:rPr>
                <w:rFonts w:ascii="Times New Roman" w:eastAsia="Calibri" w:hAnsi="Times New Roman"/>
                <w:b/>
                <w:bCs/>
                <w:snapToGrid w:val="0"/>
                <w:lang w:eastAsia="ar-SA"/>
              </w:rPr>
              <w:t>Total Annual Opportunity Cost (dollars)***</w:t>
            </w:r>
          </w:p>
        </w:tc>
      </w:tr>
      <w:tr w14:paraId="4809B52D" w14:textId="77777777" w:rsidTr="006A155A">
        <w:tblPrEx>
          <w:tblW w:w="11560" w:type="dxa"/>
          <w:tblInd w:w="-1109" w:type="dxa"/>
          <w:tblLook w:val="01E0"/>
        </w:tblPrEx>
        <w:trPr>
          <w:trHeight w:val="252"/>
        </w:trPr>
        <w:tc>
          <w:tcPr>
            <w:tcW w:w="1694" w:type="dxa"/>
          </w:tcPr>
          <w:p w:rsidR="00026CBD" w:rsidRPr="00026CBD" w:rsidP="00026CBD" w14:paraId="1694BD6A" w14:textId="01DEA3B4">
            <w:pPr>
              <w:widowControl/>
              <w:suppressAutoHyphens/>
              <w:snapToGrid/>
              <w:rPr>
                <w:rFonts w:ascii="Times New Roman" w:eastAsia="Calibri" w:hAnsi="Times New Roman"/>
                <w:lang w:eastAsia="ar-SA"/>
              </w:rPr>
            </w:pPr>
            <w:r w:rsidRPr="00A106B5">
              <w:rPr>
                <w:rFonts w:ascii="Times New Roman" w:hAnsi="Times New Roman"/>
                <w:snapToGrid w:val="0"/>
              </w:rPr>
              <w:t>SSA-2490-BK (MCS)</w:t>
            </w:r>
          </w:p>
        </w:tc>
        <w:tc>
          <w:tcPr>
            <w:tcW w:w="1523" w:type="dxa"/>
          </w:tcPr>
          <w:p w:rsidR="00026CBD" w:rsidRPr="00026CBD" w:rsidP="00026CBD" w14:paraId="633336F7" w14:textId="4FE58614">
            <w:pPr>
              <w:widowControl/>
              <w:suppressAutoHyphens/>
              <w:snapToGrid/>
              <w:jc w:val="right"/>
              <w:rPr>
                <w:rFonts w:ascii="Times New Roman" w:eastAsia="Calibri" w:hAnsi="Times New Roman"/>
                <w:lang w:eastAsia="ar-SA"/>
              </w:rPr>
            </w:pPr>
            <w:r w:rsidRPr="008E76B4">
              <w:rPr>
                <w:rFonts w:ascii="Times New Roman" w:eastAsia="SimSun" w:hAnsi="Times New Roman"/>
                <w:lang w:eastAsia="zh-CN"/>
              </w:rPr>
              <w:t>16,</w:t>
            </w:r>
            <w:r>
              <w:rPr>
                <w:rFonts w:ascii="Times New Roman" w:eastAsia="SimSun" w:hAnsi="Times New Roman"/>
                <w:lang w:eastAsia="zh-CN"/>
              </w:rPr>
              <w:t>245</w:t>
            </w:r>
          </w:p>
        </w:tc>
        <w:tc>
          <w:tcPr>
            <w:tcW w:w="1429" w:type="dxa"/>
          </w:tcPr>
          <w:p w:rsidR="00026CBD" w:rsidRPr="00026CBD" w:rsidP="00026CBD" w14:paraId="3ED0890F" w14:textId="76772296">
            <w:pPr>
              <w:widowControl/>
              <w:suppressAutoHyphens/>
              <w:snapToGrid/>
              <w:jc w:val="right"/>
              <w:rPr>
                <w:rFonts w:ascii="Times New Roman" w:eastAsia="Calibri" w:hAnsi="Times New Roman"/>
                <w:lang w:eastAsia="ar-SA"/>
              </w:rPr>
            </w:pPr>
            <w:r w:rsidRPr="00A106B5">
              <w:rPr>
                <w:rFonts w:ascii="Times New Roman" w:hAnsi="Times New Roman"/>
                <w:snapToGrid w:val="0"/>
              </w:rPr>
              <w:t>1</w:t>
            </w:r>
          </w:p>
        </w:tc>
        <w:tc>
          <w:tcPr>
            <w:tcW w:w="1190" w:type="dxa"/>
          </w:tcPr>
          <w:p w:rsidR="00026CBD" w:rsidRPr="00026CBD" w:rsidP="00026CBD" w14:paraId="6126CA6E" w14:textId="0DFEC2B1">
            <w:pPr>
              <w:widowControl/>
              <w:suppressAutoHyphens/>
              <w:snapToGrid/>
              <w:jc w:val="right"/>
              <w:rPr>
                <w:rFonts w:ascii="Times New Roman" w:eastAsia="Calibri" w:hAnsi="Times New Roman"/>
                <w:lang w:eastAsia="ar-SA"/>
              </w:rPr>
            </w:pPr>
            <w:r>
              <w:rPr>
                <w:rFonts w:ascii="Times New Roman" w:hAnsi="Times New Roman"/>
                <w:snapToGrid w:val="0"/>
              </w:rPr>
              <w:t>24</w:t>
            </w:r>
          </w:p>
        </w:tc>
        <w:tc>
          <w:tcPr>
            <w:tcW w:w="1256" w:type="dxa"/>
          </w:tcPr>
          <w:p w:rsidR="00026CBD" w:rsidRPr="00026CBD" w:rsidP="00026CBD" w14:paraId="2830D0D4" w14:textId="3ADBA7C5">
            <w:pPr>
              <w:widowControl/>
              <w:suppressAutoHyphens/>
              <w:snapToGrid/>
              <w:jc w:val="right"/>
              <w:rPr>
                <w:rFonts w:ascii="Times New Roman" w:eastAsia="Calibri" w:hAnsi="Times New Roman"/>
                <w:lang w:eastAsia="ar-SA"/>
              </w:rPr>
            </w:pPr>
            <w:r>
              <w:rPr>
                <w:rFonts w:ascii="Times New Roman" w:eastAsia="Calibri" w:hAnsi="Times New Roman"/>
              </w:rPr>
              <w:t>6,498</w:t>
            </w:r>
          </w:p>
        </w:tc>
        <w:tc>
          <w:tcPr>
            <w:tcW w:w="1389" w:type="dxa"/>
          </w:tcPr>
          <w:p w:rsidR="00026CBD" w:rsidRPr="00026CBD" w:rsidP="00026CBD" w14:paraId="73C819F2" w14:textId="77777777">
            <w:pPr>
              <w:widowControl/>
              <w:suppressAutoHyphens/>
              <w:snapToGrid/>
              <w:jc w:val="right"/>
              <w:rPr>
                <w:rFonts w:ascii="Times New Roman" w:eastAsia="Calibri" w:hAnsi="Times New Roman"/>
                <w:lang w:eastAsia="ar-SA"/>
              </w:rPr>
            </w:pPr>
            <w:r w:rsidRPr="00026CBD">
              <w:rPr>
                <w:rFonts w:ascii="Times New Roman" w:eastAsia="Calibri" w:hAnsi="Times New Roman"/>
                <w:lang w:eastAsia="ar-SA"/>
              </w:rPr>
              <w:t>$14.27*</w:t>
            </w:r>
          </w:p>
        </w:tc>
        <w:tc>
          <w:tcPr>
            <w:tcW w:w="1556" w:type="dxa"/>
          </w:tcPr>
          <w:p w:rsidR="00026CBD" w:rsidRPr="00026CBD" w:rsidP="00026CBD" w14:paraId="5E985D50" w14:textId="77777777">
            <w:pPr>
              <w:widowControl/>
              <w:suppressAutoHyphens/>
              <w:snapToGrid/>
              <w:jc w:val="right"/>
              <w:rPr>
                <w:rFonts w:ascii="Times New Roman" w:eastAsia="Calibri" w:hAnsi="Times New Roman"/>
                <w:lang w:eastAsia="ar-SA"/>
              </w:rPr>
            </w:pPr>
            <w:r w:rsidRPr="00026CBD">
              <w:rPr>
                <w:rFonts w:ascii="Times New Roman" w:eastAsia="Calibri" w:hAnsi="Times New Roman"/>
                <w:lang w:eastAsia="ar-SA"/>
              </w:rPr>
              <w:t>35**</w:t>
            </w:r>
          </w:p>
        </w:tc>
        <w:tc>
          <w:tcPr>
            <w:tcW w:w="1523" w:type="dxa"/>
          </w:tcPr>
          <w:p w:rsidR="00026CBD" w:rsidRPr="00026CBD" w:rsidP="00026CBD" w14:paraId="16409E68" w14:textId="1E2B4375">
            <w:pPr>
              <w:widowControl/>
              <w:suppressAutoHyphens/>
              <w:snapToGrid/>
              <w:jc w:val="right"/>
              <w:rPr>
                <w:rFonts w:ascii="Times New Roman" w:eastAsia="Calibri" w:hAnsi="Times New Roman"/>
                <w:lang w:eastAsia="ar-SA"/>
              </w:rPr>
            </w:pPr>
            <w:r w:rsidRPr="00026CBD">
              <w:rPr>
                <w:rFonts w:ascii="Times New Roman" w:eastAsia="Calibri" w:hAnsi="Times New Roman"/>
                <w:lang w:eastAsia="ar-SA"/>
              </w:rPr>
              <w:t>$</w:t>
            </w:r>
            <w:r>
              <w:rPr>
                <w:rFonts w:ascii="Times New Roman" w:eastAsia="Calibri" w:hAnsi="Times New Roman"/>
                <w:lang w:eastAsia="ar-SA"/>
              </w:rPr>
              <w:t>227,949</w:t>
            </w:r>
            <w:r w:rsidRPr="00026CBD">
              <w:rPr>
                <w:rFonts w:ascii="Times New Roman" w:eastAsia="Calibri" w:hAnsi="Times New Roman"/>
                <w:lang w:eastAsia="ar-SA"/>
              </w:rPr>
              <w:t>***</w:t>
            </w:r>
          </w:p>
        </w:tc>
      </w:tr>
      <w:tr w14:paraId="250FB219" w14:textId="77777777" w:rsidTr="006A155A">
        <w:tblPrEx>
          <w:tblW w:w="11560" w:type="dxa"/>
          <w:tblInd w:w="-1109" w:type="dxa"/>
          <w:tblLook w:val="01E0"/>
        </w:tblPrEx>
        <w:trPr>
          <w:trHeight w:val="252"/>
        </w:trPr>
        <w:tc>
          <w:tcPr>
            <w:tcW w:w="1694" w:type="dxa"/>
          </w:tcPr>
          <w:p w:rsidR="00026CBD" w:rsidRPr="00026CBD" w:rsidP="00026CBD" w14:paraId="140C0046" w14:textId="017FB79A">
            <w:pPr>
              <w:widowControl/>
              <w:suppressAutoHyphens/>
              <w:snapToGrid/>
              <w:rPr>
                <w:rFonts w:ascii="Times New Roman" w:eastAsia="Calibri" w:hAnsi="Times New Roman"/>
                <w:lang w:eastAsia="ar-SA"/>
              </w:rPr>
            </w:pPr>
            <w:r w:rsidRPr="00A106B5">
              <w:rPr>
                <w:rFonts w:ascii="Times New Roman" w:hAnsi="Times New Roman"/>
                <w:snapToGrid w:val="0"/>
              </w:rPr>
              <w:t>SSA-2490-BK (paper)</w:t>
            </w:r>
          </w:p>
        </w:tc>
        <w:tc>
          <w:tcPr>
            <w:tcW w:w="1523" w:type="dxa"/>
          </w:tcPr>
          <w:p w:rsidR="00026CBD" w:rsidRPr="00026CBD" w:rsidP="00026CBD" w14:paraId="2B7349C8" w14:textId="1BB3445F">
            <w:pPr>
              <w:widowControl/>
              <w:suppressAutoHyphens/>
              <w:snapToGrid/>
              <w:jc w:val="right"/>
              <w:rPr>
                <w:rFonts w:ascii="Times New Roman" w:eastAsia="Calibri" w:hAnsi="Times New Roman"/>
              </w:rPr>
            </w:pPr>
            <w:r w:rsidRPr="008E76B4">
              <w:rPr>
                <w:rFonts w:ascii="Times New Roman" w:eastAsia="SimSun" w:hAnsi="Times New Roman"/>
                <w:lang w:eastAsia="zh-CN"/>
              </w:rPr>
              <w:t>2,1</w:t>
            </w:r>
            <w:r>
              <w:rPr>
                <w:rFonts w:ascii="Times New Roman" w:eastAsia="SimSun" w:hAnsi="Times New Roman"/>
                <w:lang w:eastAsia="zh-CN"/>
              </w:rPr>
              <w:t>70</w:t>
            </w:r>
          </w:p>
        </w:tc>
        <w:tc>
          <w:tcPr>
            <w:tcW w:w="1429" w:type="dxa"/>
          </w:tcPr>
          <w:p w:rsidR="00026CBD" w:rsidRPr="00026CBD" w:rsidP="00026CBD" w14:paraId="00E25B05" w14:textId="4752B78B">
            <w:pPr>
              <w:widowControl/>
              <w:suppressAutoHyphens/>
              <w:snapToGrid/>
              <w:jc w:val="right"/>
              <w:rPr>
                <w:rFonts w:ascii="Times New Roman" w:eastAsia="Calibri" w:hAnsi="Times New Roman"/>
              </w:rPr>
            </w:pPr>
            <w:r w:rsidRPr="00A106B5">
              <w:rPr>
                <w:rFonts w:ascii="Times New Roman" w:hAnsi="Times New Roman"/>
                <w:snapToGrid w:val="0"/>
              </w:rPr>
              <w:t>1</w:t>
            </w:r>
          </w:p>
        </w:tc>
        <w:tc>
          <w:tcPr>
            <w:tcW w:w="1190" w:type="dxa"/>
          </w:tcPr>
          <w:p w:rsidR="00026CBD" w:rsidRPr="00026CBD" w:rsidP="00026CBD" w14:paraId="06CA8EBC" w14:textId="4B583C54">
            <w:pPr>
              <w:widowControl/>
              <w:suppressAutoHyphens/>
              <w:snapToGrid/>
              <w:jc w:val="right"/>
              <w:rPr>
                <w:rFonts w:ascii="Times New Roman" w:eastAsia="Calibri" w:hAnsi="Times New Roman"/>
              </w:rPr>
            </w:pPr>
            <w:r>
              <w:rPr>
                <w:rFonts w:ascii="Times New Roman" w:hAnsi="Times New Roman"/>
                <w:snapToGrid w:val="0"/>
              </w:rPr>
              <w:t>24</w:t>
            </w:r>
          </w:p>
        </w:tc>
        <w:tc>
          <w:tcPr>
            <w:tcW w:w="1256" w:type="dxa"/>
          </w:tcPr>
          <w:p w:rsidR="00026CBD" w:rsidRPr="00026CBD" w:rsidP="00026CBD" w14:paraId="23D27374" w14:textId="6BCDABA1">
            <w:pPr>
              <w:widowControl/>
              <w:suppressAutoHyphens/>
              <w:snapToGrid/>
              <w:jc w:val="right"/>
              <w:rPr>
                <w:rFonts w:ascii="Times New Roman" w:eastAsia="Calibri" w:hAnsi="Times New Roman"/>
              </w:rPr>
            </w:pPr>
            <w:r>
              <w:rPr>
                <w:rFonts w:ascii="Times New Roman" w:eastAsia="Calibri" w:hAnsi="Times New Roman"/>
              </w:rPr>
              <w:t>868</w:t>
            </w:r>
          </w:p>
        </w:tc>
        <w:tc>
          <w:tcPr>
            <w:tcW w:w="1389" w:type="dxa"/>
          </w:tcPr>
          <w:p w:rsidR="00026CBD" w:rsidRPr="00026CBD" w:rsidP="00026CBD" w14:paraId="5BA3EE1C" w14:textId="1E08480E">
            <w:pPr>
              <w:widowControl/>
              <w:suppressAutoHyphens/>
              <w:snapToGrid/>
              <w:jc w:val="right"/>
              <w:rPr>
                <w:rFonts w:ascii="Times New Roman" w:eastAsia="Calibri" w:hAnsi="Times New Roman"/>
                <w:lang w:eastAsia="ar-SA"/>
              </w:rPr>
            </w:pPr>
            <w:r w:rsidRPr="00026CBD">
              <w:rPr>
                <w:rFonts w:ascii="Times New Roman" w:eastAsia="Calibri" w:hAnsi="Times New Roman"/>
                <w:lang w:eastAsia="ar-SA"/>
              </w:rPr>
              <w:t>$14.27*</w:t>
            </w:r>
          </w:p>
        </w:tc>
        <w:tc>
          <w:tcPr>
            <w:tcW w:w="1556" w:type="dxa"/>
          </w:tcPr>
          <w:p w:rsidR="00026CBD" w:rsidRPr="00026CBD" w:rsidP="00026CBD" w14:paraId="3AF29CE0" w14:textId="3EC0FA08">
            <w:pPr>
              <w:widowControl/>
              <w:suppressAutoHyphens/>
              <w:snapToGrid/>
              <w:jc w:val="right"/>
              <w:rPr>
                <w:rFonts w:ascii="Times New Roman" w:eastAsia="Calibri" w:hAnsi="Times New Roman"/>
                <w:lang w:eastAsia="ar-SA"/>
              </w:rPr>
            </w:pPr>
            <w:r w:rsidRPr="00026CBD">
              <w:rPr>
                <w:rFonts w:ascii="Times New Roman" w:eastAsia="Calibri" w:hAnsi="Times New Roman"/>
                <w:lang w:eastAsia="ar-SA"/>
              </w:rPr>
              <w:t>35**</w:t>
            </w:r>
          </w:p>
        </w:tc>
        <w:tc>
          <w:tcPr>
            <w:tcW w:w="1523" w:type="dxa"/>
          </w:tcPr>
          <w:p w:rsidR="00026CBD" w:rsidRPr="00026CBD" w:rsidP="00026CBD" w14:paraId="0879005D" w14:textId="3B79A17E">
            <w:pPr>
              <w:widowControl/>
              <w:suppressAutoHyphens/>
              <w:snapToGrid/>
              <w:jc w:val="right"/>
              <w:rPr>
                <w:rFonts w:ascii="Times New Roman" w:eastAsia="Calibri" w:hAnsi="Times New Roman"/>
                <w:lang w:eastAsia="ar-SA"/>
              </w:rPr>
            </w:pPr>
            <w:r>
              <w:rPr>
                <w:rFonts w:ascii="Times New Roman" w:eastAsia="Calibri" w:hAnsi="Times New Roman"/>
                <w:lang w:eastAsia="ar-SA"/>
              </w:rPr>
              <w:t>$30,452***</w:t>
            </w:r>
          </w:p>
        </w:tc>
      </w:tr>
      <w:tr w14:paraId="4105FCE7" w14:textId="77777777" w:rsidTr="006A155A">
        <w:tblPrEx>
          <w:tblW w:w="11560" w:type="dxa"/>
          <w:tblInd w:w="-1109" w:type="dxa"/>
          <w:tblLook w:val="01E0"/>
        </w:tblPrEx>
        <w:trPr>
          <w:trHeight w:val="252"/>
        </w:trPr>
        <w:tc>
          <w:tcPr>
            <w:tcW w:w="1694" w:type="dxa"/>
          </w:tcPr>
          <w:p w:rsidR="00026CBD" w:rsidRPr="00026CBD" w:rsidP="00026CBD" w14:paraId="40FF7BDC" w14:textId="06008D38">
            <w:pPr>
              <w:widowControl/>
              <w:suppressAutoHyphens/>
              <w:snapToGrid/>
              <w:rPr>
                <w:rFonts w:ascii="Times New Roman" w:hAnsi="Times New Roman"/>
                <w:b/>
                <w:bCs/>
                <w:snapToGrid w:val="0"/>
              </w:rPr>
            </w:pPr>
            <w:r w:rsidRPr="00026CBD">
              <w:rPr>
                <w:rFonts w:ascii="Times New Roman" w:hAnsi="Times New Roman"/>
                <w:b/>
                <w:bCs/>
                <w:snapToGrid w:val="0"/>
              </w:rPr>
              <w:t>Totals</w:t>
            </w:r>
          </w:p>
        </w:tc>
        <w:tc>
          <w:tcPr>
            <w:tcW w:w="1523" w:type="dxa"/>
          </w:tcPr>
          <w:p w:rsidR="00026CBD" w:rsidRPr="00026CBD" w:rsidP="00026CBD" w14:paraId="243F7287" w14:textId="2A1E7C75">
            <w:pPr>
              <w:widowControl/>
              <w:suppressAutoHyphens/>
              <w:snapToGrid/>
              <w:jc w:val="right"/>
              <w:rPr>
                <w:rFonts w:ascii="Times New Roman" w:eastAsia="SimSun" w:hAnsi="Times New Roman"/>
                <w:b/>
                <w:bCs/>
                <w:lang w:eastAsia="zh-CN"/>
              </w:rPr>
            </w:pPr>
            <w:r w:rsidRPr="00026CBD">
              <w:rPr>
                <w:rFonts w:ascii="Times New Roman" w:eastAsia="SimSun" w:hAnsi="Times New Roman"/>
                <w:b/>
                <w:bCs/>
                <w:lang w:eastAsia="zh-CN"/>
              </w:rPr>
              <w:t>18,415</w:t>
            </w:r>
          </w:p>
        </w:tc>
        <w:tc>
          <w:tcPr>
            <w:tcW w:w="1429" w:type="dxa"/>
          </w:tcPr>
          <w:p w:rsidR="00026CBD" w:rsidRPr="00026CBD" w:rsidP="00026CBD" w14:paraId="31196316" w14:textId="77777777">
            <w:pPr>
              <w:widowControl/>
              <w:suppressAutoHyphens/>
              <w:snapToGrid/>
              <w:jc w:val="right"/>
              <w:rPr>
                <w:rFonts w:ascii="Times New Roman" w:hAnsi="Times New Roman"/>
                <w:b/>
                <w:bCs/>
                <w:snapToGrid w:val="0"/>
              </w:rPr>
            </w:pPr>
          </w:p>
        </w:tc>
        <w:tc>
          <w:tcPr>
            <w:tcW w:w="1190" w:type="dxa"/>
          </w:tcPr>
          <w:p w:rsidR="00026CBD" w:rsidRPr="00026CBD" w:rsidP="00026CBD" w14:paraId="35FB05C1" w14:textId="77777777">
            <w:pPr>
              <w:widowControl/>
              <w:suppressAutoHyphens/>
              <w:snapToGrid/>
              <w:jc w:val="right"/>
              <w:rPr>
                <w:rFonts w:ascii="Times New Roman" w:hAnsi="Times New Roman"/>
                <w:b/>
                <w:bCs/>
                <w:snapToGrid w:val="0"/>
              </w:rPr>
            </w:pPr>
          </w:p>
        </w:tc>
        <w:tc>
          <w:tcPr>
            <w:tcW w:w="1256" w:type="dxa"/>
          </w:tcPr>
          <w:p w:rsidR="00026CBD" w:rsidRPr="00026CBD" w:rsidP="00026CBD" w14:paraId="7A1890E1" w14:textId="4FCE7DFD">
            <w:pPr>
              <w:widowControl/>
              <w:suppressAutoHyphens/>
              <w:snapToGrid/>
              <w:jc w:val="right"/>
              <w:rPr>
                <w:rFonts w:ascii="Times New Roman" w:eastAsia="Calibri" w:hAnsi="Times New Roman"/>
                <w:b/>
                <w:bCs/>
              </w:rPr>
            </w:pPr>
            <w:r w:rsidRPr="00026CBD">
              <w:rPr>
                <w:rFonts w:ascii="Times New Roman" w:eastAsia="Calibri" w:hAnsi="Times New Roman"/>
                <w:b/>
                <w:bCs/>
              </w:rPr>
              <w:t>7,366</w:t>
            </w:r>
          </w:p>
        </w:tc>
        <w:tc>
          <w:tcPr>
            <w:tcW w:w="1389" w:type="dxa"/>
          </w:tcPr>
          <w:p w:rsidR="00026CBD" w:rsidRPr="00026CBD" w:rsidP="00026CBD" w14:paraId="1B7B0ACA" w14:textId="77777777">
            <w:pPr>
              <w:widowControl/>
              <w:suppressAutoHyphens/>
              <w:snapToGrid/>
              <w:jc w:val="right"/>
              <w:rPr>
                <w:rFonts w:ascii="Times New Roman" w:eastAsia="Calibri" w:hAnsi="Times New Roman"/>
                <w:b/>
                <w:bCs/>
                <w:lang w:eastAsia="ar-SA"/>
              </w:rPr>
            </w:pPr>
          </w:p>
        </w:tc>
        <w:tc>
          <w:tcPr>
            <w:tcW w:w="1556" w:type="dxa"/>
          </w:tcPr>
          <w:p w:rsidR="00026CBD" w:rsidRPr="00026CBD" w:rsidP="00026CBD" w14:paraId="5A59B562" w14:textId="77777777">
            <w:pPr>
              <w:widowControl/>
              <w:suppressAutoHyphens/>
              <w:snapToGrid/>
              <w:jc w:val="right"/>
              <w:rPr>
                <w:rFonts w:ascii="Times New Roman" w:eastAsia="Calibri" w:hAnsi="Times New Roman"/>
                <w:b/>
                <w:bCs/>
                <w:lang w:eastAsia="ar-SA"/>
              </w:rPr>
            </w:pPr>
          </w:p>
        </w:tc>
        <w:tc>
          <w:tcPr>
            <w:tcW w:w="1523" w:type="dxa"/>
          </w:tcPr>
          <w:p w:rsidR="00026CBD" w:rsidRPr="00026CBD" w:rsidP="00026CBD" w14:paraId="3E904DD0" w14:textId="6A91827B">
            <w:pPr>
              <w:widowControl/>
              <w:suppressAutoHyphens/>
              <w:snapToGrid/>
              <w:jc w:val="right"/>
              <w:rPr>
                <w:rFonts w:ascii="Times New Roman" w:eastAsia="Calibri" w:hAnsi="Times New Roman"/>
                <w:b/>
                <w:bCs/>
                <w:lang w:eastAsia="ar-SA"/>
              </w:rPr>
            </w:pPr>
            <w:r>
              <w:rPr>
                <w:rFonts w:ascii="Times New Roman" w:eastAsia="Calibri" w:hAnsi="Times New Roman"/>
                <w:b/>
                <w:bCs/>
                <w:lang w:eastAsia="ar-SA"/>
              </w:rPr>
              <w:t>258,401***</w:t>
            </w:r>
          </w:p>
        </w:tc>
      </w:tr>
    </w:tbl>
    <w:p w:rsidR="00026CBD" w:rsidP="009D7998" w14:paraId="46A819F9" w14:textId="77777777">
      <w:pPr>
        <w:rPr>
          <w:rFonts w:ascii="Times New Roman" w:hAnsi="Times New Roman"/>
          <w:snapToGrid w:val="0"/>
        </w:rPr>
      </w:pPr>
    </w:p>
    <w:p w:rsidR="00437AAC" w:rsidP="00437AAC" w14:paraId="3F793705" w14:textId="77777777">
      <w:pPr>
        <w:rPr>
          <w:rFonts w:ascii="Times New Roman" w:hAnsi="Times New Roman"/>
        </w:rPr>
      </w:pPr>
      <w:r w:rsidRPr="00424B49">
        <w:rPr>
          <w:rFonts w:ascii="Times New Roman" w:hAnsi="Times New Roman"/>
        </w:rPr>
        <w:t>**We based this figure on the average combined FY 2026 wait times for field offices (2</w:t>
      </w:r>
      <w:r>
        <w:rPr>
          <w:rFonts w:ascii="Times New Roman" w:hAnsi="Times New Roman"/>
        </w:rPr>
        <w:t>2</w:t>
      </w:r>
      <w:r w:rsidRPr="00424B49">
        <w:rPr>
          <w:rFonts w:ascii="Times New Roman" w:hAnsi="Times New Roman"/>
        </w:rPr>
        <w:t xml:space="preserve"> minutes) and for teleservice centers (</w:t>
      </w:r>
      <w:r>
        <w:rPr>
          <w:rFonts w:ascii="Times New Roman" w:hAnsi="Times New Roman"/>
        </w:rPr>
        <w:t>48</w:t>
      </w:r>
      <w:r w:rsidRPr="00424B49">
        <w:rPr>
          <w:rFonts w:ascii="Times New Roman" w:hAnsi="Times New Roman"/>
        </w:rPr>
        <w:t xml:space="preserve"> minutes which includes the average speed of answer of </w:t>
      </w:r>
      <w:r>
        <w:rPr>
          <w:rFonts w:ascii="Times New Roman" w:hAnsi="Times New Roman"/>
        </w:rPr>
        <w:t>7</w:t>
      </w:r>
      <w:r w:rsidRPr="00424B49">
        <w:rPr>
          <w:rFonts w:ascii="Times New Roman" w:hAnsi="Times New Roman"/>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4" w:history="1">
        <w:r w:rsidRPr="00424B49">
          <w:rPr>
            <w:rStyle w:val="Hyperlink"/>
            <w:rFonts w:ascii="Times New Roman" w:hAnsi="Times New Roman"/>
          </w:rPr>
          <w:t>Social Security performance | SSA</w:t>
        </w:r>
      </w:hyperlink>
      <w:r w:rsidRPr="00424B49">
        <w:rPr>
          <w:rFonts w:ascii="Times New Roman" w:hAnsi="Times New Roman"/>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p>
    <w:p w:rsidR="00437AAC" w:rsidP="00437AAC" w14:paraId="28407F3A" w14:textId="77777777">
      <w:pPr>
        <w:rPr>
          <w:rFonts w:ascii="Times New Roman" w:hAnsi="Times New Roman"/>
          <w:b/>
          <w:bCs/>
        </w:rPr>
      </w:pPr>
    </w:p>
    <w:p w:rsidR="00437AAC" w:rsidRPr="00A04E61" w:rsidP="00437AAC" w14:paraId="4D5DA7B1" w14:textId="27154492">
      <w:pPr>
        <w:rPr>
          <w:rFonts w:ascii="Times New Roman" w:hAnsi="Times New Roman"/>
          <w:b/>
          <w:bCs/>
        </w:rPr>
      </w:pPr>
      <w:r w:rsidRPr="00A04E61">
        <w:rPr>
          <w:rFonts w:ascii="Times New Roman" w:hAnsi="Times New Roman"/>
          <w:lang w:val="x-none"/>
        </w:rPr>
        <w:t>*** This figure does not represent actual costs that SSA is imposing on recipients of Social Security payments to complete this application; rather, these are theoretical opportunity costs for the additional time respondents will spend to complete the application</w:t>
      </w:r>
      <w:r>
        <w:rPr>
          <w:rFonts w:ascii="Times New Roman" w:hAnsi="Times New Roman"/>
          <w:lang w:val="x-none"/>
        </w:rPr>
        <w:t xml:space="preserve">.  </w:t>
      </w:r>
      <w:r w:rsidRPr="00A04E61">
        <w:rPr>
          <w:rFonts w:ascii="Times New Roman" w:hAnsi="Times New Roman"/>
          <w:b/>
          <w:bCs/>
          <w:u w:val="single"/>
          <w:lang w:val="x-none"/>
        </w:rPr>
        <w:t xml:space="preserve">There is no actual charge to respondents to complete the </w:t>
      </w:r>
      <w:r w:rsidRPr="00A04E61">
        <w:rPr>
          <w:rFonts w:ascii="Times New Roman" w:hAnsi="Times New Roman"/>
          <w:b/>
          <w:bCs/>
          <w:u w:val="single"/>
          <w:lang w:val="x-none"/>
        </w:rPr>
        <w:t>applicatio</w:t>
      </w:r>
    </w:p>
    <w:sectPr w:rsidSect="0008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309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0B1D"/>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6CBD"/>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4A1A"/>
    <w:rsid w:val="00067D14"/>
    <w:rsid w:val="0007367B"/>
    <w:rsid w:val="00075924"/>
    <w:rsid w:val="000762D5"/>
    <w:rsid w:val="0007722E"/>
    <w:rsid w:val="00077872"/>
    <w:rsid w:val="00077D42"/>
    <w:rsid w:val="000814A4"/>
    <w:rsid w:val="00082BC9"/>
    <w:rsid w:val="00082F1F"/>
    <w:rsid w:val="00084F5F"/>
    <w:rsid w:val="00085001"/>
    <w:rsid w:val="000910C1"/>
    <w:rsid w:val="00093C2F"/>
    <w:rsid w:val="000976FC"/>
    <w:rsid w:val="000A07E2"/>
    <w:rsid w:val="000A685D"/>
    <w:rsid w:val="000B09B5"/>
    <w:rsid w:val="000B186D"/>
    <w:rsid w:val="000B3D1D"/>
    <w:rsid w:val="000B75A5"/>
    <w:rsid w:val="000B7DD8"/>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6A96"/>
    <w:rsid w:val="00117A12"/>
    <w:rsid w:val="00117A16"/>
    <w:rsid w:val="00120601"/>
    <w:rsid w:val="0012259C"/>
    <w:rsid w:val="001254B7"/>
    <w:rsid w:val="0012773E"/>
    <w:rsid w:val="001301C6"/>
    <w:rsid w:val="00132EDF"/>
    <w:rsid w:val="0013493F"/>
    <w:rsid w:val="001374CB"/>
    <w:rsid w:val="00141C47"/>
    <w:rsid w:val="00141CFE"/>
    <w:rsid w:val="00142238"/>
    <w:rsid w:val="001453B3"/>
    <w:rsid w:val="00145518"/>
    <w:rsid w:val="00145DD3"/>
    <w:rsid w:val="001460FF"/>
    <w:rsid w:val="001515C3"/>
    <w:rsid w:val="0015505C"/>
    <w:rsid w:val="00156B07"/>
    <w:rsid w:val="001609CA"/>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3A27"/>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644E"/>
    <w:rsid w:val="002076F0"/>
    <w:rsid w:val="00212E07"/>
    <w:rsid w:val="00214A4F"/>
    <w:rsid w:val="00215957"/>
    <w:rsid w:val="0021729F"/>
    <w:rsid w:val="00217B79"/>
    <w:rsid w:val="002201A7"/>
    <w:rsid w:val="0022530B"/>
    <w:rsid w:val="0022695A"/>
    <w:rsid w:val="002272E0"/>
    <w:rsid w:val="00231521"/>
    <w:rsid w:val="002325AF"/>
    <w:rsid w:val="00234139"/>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310"/>
    <w:rsid w:val="00330A53"/>
    <w:rsid w:val="00331C4F"/>
    <w:rsid w:val="003322E1"/>
    <w:rsid w:val="00332828"/>
    <w:rsid w:val="00333DAD"/>
    <w:rsid w:val="00334BDE"/>
    <w:rsid w:val="003360C6"/>
    <w:rsid w:val="00337885"/>
    <w:rsid w:val="003417BB"/>
    <w:rsid w:val="003419E6"/>
    <w:rsid w:val="0034232B"/>
    <w:rsid w:val="00342505"/>
    <w:rsid w:val="00342838"/>
    <w:rsid w:val="00343CA4"/>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739E2"/>
    <w:rsid w:val="003762CB"/>
    <w:rsid w:val="003815DA"/>
    <w:rsid w:val="00382189"/>
    <w:rsid w:val="00386B03"/>
    <w:rsid w:val="00390B36"/>
    <w:rsid w:val="00392418"/>
    <w:rsid w:val="0039296B"/>
    <w:rsid w:val="003958A1"/>
    <w:rsid w:val="003A36EA"/>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07369"/>
    <w:rsid w:val="00412FD3"/>
    <w:rsid w:val="004133B9"/>
    <w:rsid w:val="00413F47"/>
    <w:rsid w:val="004203D2"/>
    <w:rsid w:val="0042044C"/>
    <w:rsid w:val="00421380"/>
    <w:rsid w:val="00422A98"/>
    <w:rsid w:val="004246A8"/>
    <w:rsid w:val="00424AE3"/>
    <w:rsid w:val="00424B49"/>
    <w:rsid w:val="0042513C"/>
    <w:rsid w:val="00425A2B"/>
    <w:rsid w:val="00435966"/>
    <w:rsid w:val="00435E2E"/>
    <w:rsid w:val="0043688D"/>
    <w:rsid w:val="004378C3"/>
    <w:rsid w:val="00437AAC"/>
    <w:rsid w:val="00441630"/>
    <w:rsid w:val="00441B8F"/>
    <w:rsid w:val="00441BC2"/>
    <w:rsid w:val="0044264E"/>
    <w:rsid w:val="00447287"/>
    <w:rsid w:val="004502AA"/>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13D9"/>
    <w:rsid w:val="00496783"/>
    <w:rsid w:val="00496FEB"/>
    <w:rsid w:val="0049723B"/>
    <w:rsid w:val="004A05B1"/>
    <w:rsid w:val="004A0DC7"/>
    <w:rsid w:val="004A2EC0"/>
    <w:rsid w:val="004A32A6"/>
    <w:rsid w:val="004A4544"/>
    <w:rsid w:val="004A5840"/>
    <w:rsid w:val="004A63DA"/>
    <w:rsid w:val="004A687F"/>
    <w:rsid w:val="004B43F7"/>
    <w:rsid w:val="004B7C44"/>
    <w:rsid w:val="004C00B8"/>
    <w:rsid w:val="004C03D2"/>
    <w:rsid w:val="004C2453"/>
    <w:rsid w:val="004C5BDD"/>
    <w:rsid w:val="004C5CEB"/>
    <w:rsid w:val="004C763B"/>
    <w:rsid w:val="004C7B0B"/>
    <w:rsid w:val="004D3D26"/>
    <w:rsid w:val="004D4C19"/>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5269"/>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1B98"/>
    <w:rsid w:val="005926A0"/>
    <w:rsid w:val="005A1663"/>
    <w:rsid w:val="005A2F60"/>
    <w:rsid w:val="005A34FB"/>
    <w:rsid w:val="005A517F"/>
    <w:rsid w:val="005A7A50"/>
    <w:rsid w:val="005B1196"/>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0C0E"/>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058D"/>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55A"/>
    <w:rsid w:val="006A1AB0"/>
    <w:rsid w:val="006A2367"/>
    <w:rsid w:val="006A2EA1"/>
    <w:rsid w:val="006A3616"/>
    <w:rsid w:val="006A593B"/>
    <w:rsid w:val="006A7D35"/>
    <w:rsid w:val="006B18F7"/>
    <w:rsid w:val="006B34BF"/>
    <w:rsid w:val="006B48F0"/>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0C43"/>
    <w:rsid w:val="007277AD"/>
    <w:rsid w:val="00732F0F"/>
    <w:rsid w:val="007335DA"/>
    <w:rsid w:val="00734713"/>
    <w:rsid w:val="00734750"/>
    <w:rsid w:val="00741CEC"/>
    <w:rsid w:val="0074435B"/>
    <w:rsid w:val="0074660D"/>
    <w:rsid w:val="00746647"/>
    <w:rsid w:val="00751BEA"/>
    <w:rsid w:val="00753BA5"/>
    <w:rsid w:val="00754899"/>
    <w:rsid w:val="0075748A"/>
    <w:rsid w:val="00763277"/>
    <w:rsid w:val="007674A8"/>
    <w:rsid w:val="007676CE"/>
    <w:rsid w:val="00771360"/>
    <w:rsid w:val="00771E65"/>
    <w:rsid w:val="007731CB"/>
    <w:rsid w:val="00773B60"/>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7F6783"/>
    <w:rsid w:val="00800722"/>
    <w:rsid w:val="008047C2"/>
    <w:rsid w:val="00806043"/>
    <w:rsid w:val="0081204B"/>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2FD2"/>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5E02"/>
    <w:rsid w:val="008C7966"/>
    <w:rsid w:val="008D327C"/>
    <w:rsid w:val="008D4419"/>
    <w:rsid w:val="008E2B29"/>
    <w:rsid w:val="008E33D0"/>
    <w:rsid w:val="008E5809"/>
    <w:rsid w:val="008E76B4"/>
    <w:rsid w:val="008E7B0D"/>
    <w:rsid w:val="008F177D"/>
    <w:rsid w:val="008F1BF3"/>
    <w:rsid w:val="008F35D1"/>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593D"/>
    <w:rsid w:val="00950C77"/>
    <w:rsid w:val="009545B6"/>
    <w:rsid w:val="00954B07"/>
    <w:rsid w:val="009606C1"/>
    <w:rsid w:val="00962099"/>
    <w:rsid w:val="009711C4"/>
    <w:rsid w:val="00973205"/>
    <w:rsid w:val="009749F5"/>
    <w:rsid w:val="00975414"/>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13E3"/>
    <w:rsid w:val="009C462A"/>
    <w:rsid w:val="009C4AA7"/>
    <w:rsid w:val="009C4ADC"/>
    <w:rsid w:val="009C7AAE"/>
    <w:rsid w:val="009D1E89"/>
    <w:rsid w:val="009D33EA"/>
    <w:rsid w:val="009D7903"/>
    <w:rsid w:val="009D7998"/>
    <w:rsid w:val="009E0612"/>
    <w:rsid w:val="009E06A0"/>
    <w:rsid w:val="009E2371"/>
    <w:rsid w:val="009E290A"/>
    <w:rsid w:val="009E7924"/>
    <w:rsid w:val="009F020E"/>
    <w:rsid w:val="009F0852"/>
    <w:rsid w:val="009F2050"/>
    <w:rsid w:val="009F48B7"/>
    <w:rsid w:val="009F60E4"/>
    <w:rsid w:val="009F678C"/>
    <w:rsid w:val="00A02E8F"/>
    <w:rsid w:val="00A04E61"/>
    <w:rsid w:val="00A0587D"/>
    <w:rsid w:val="00A106B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13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6466"/>
    <w:rsid w:val="00AD70F5"/>
    <w:rsid w:val="00AE0805"/>
    <w:rsid w:val="00AE4EDF"/>
    <w:rsid w:val="00AE5577"/>
    <w:rsid w:val="00AE55DE"/>
    <w:rsid w:val="00AE7BDE"/>
    <w:rsid w:val="00AF5264"/>
    <w:rsid w:val="00AF7989"/>
    <w:rsid w:val="00B0068A"/>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218"/>
    <w:rsid w:val="00B444F5"/>
    <w:rsid w:val="00B45A06"/>
    <w:rsid w:val="00B5465D"/>
    <w:rsid w:val="00B56E7B"/>
    <w:rsid w:val="00B6087F"/>
    <w:rsid w:val="00B6383B"/>
    <w:rsid w:val="00B67763"/>
    <w:rsid w:val="00B76768"/>
    <w:rsid w:val="00B77AA8"/>
    <w:rsid w:val="00B836E0"/>
    <w:rsid w:val="00B83A4E"/>
    <w:rsid w:val="00B83D9A"/>
    <w:rsid w:val="00B846D2"/>
    <w:rsid w:val="00B87743"/>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3196"/>
    <w:rsid w:val="00BE49E3"/>
    <w:rsid w:val="00BE6963"/>
    <w:rsid w:val="00BE7BC2"/>
    <w:rsid w:val="00BF243E"/>
    <w:rsid w:val="00BF5943"/>
    <w:rsid w:val="00C0015C"/>
    <w:rsid w:val="00C004AE"/>
    <w:rsid w:val="00C03171"/>
    <w:rsid w:val="00C03EDF"/>
    <w:rsid w:val="00C043F3"/>
    <w:rsid w:val="00C0701C"/>
    <w:rsid w:val="00C10536"/>
    <w:rsid w:val="00C108E1"/>
    <w:rsid w:val="00C10A16"/>
    <w:rsid w:val="00C10BB9"/>
    <w:rsid w:val="00C1184E"/>
    <w:rsid w:val="00C13CB4"/>
    <w:rsid w:val="00C13F1C"/>
    <w:rsid w:val="00C224A2"/>
    <w:rsid w:val="00C231B1"/>
    <w:rsid w:val="00C23C80"/>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764DA"/>
    <w:rsid w:val="00C80540"/>
    <w:rsid w:val="00C828B5"/>
    <w:rsid w:val="00C85AB3"/>
    <w:rsid w:val="00C876D7"/>
    <w:rsid w:val="00C87901"/>
    <w:rsid w:val="00C87E00"/>
    <w:rsid w:val="00C910E3"/>
    <w:rsid w:val="00C918C5"/>
    <w:rsid w:val="00C92338"/>
    <w:rsid w:val="00C96C7F"/>
    <w:rsid w:val="00CA1705"/>
    <w:rsid w:val="00CA45DA"/>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1851"/>
    <w:rsid w:val="00CE2540"/>
    <w:rsid w:val="00CE4FF9"/>
    <w:rsid w:val="00CE521D"/>
    <w:rsid w:val="00CE5CB1"/>
    <w:rsid w:val="00CF3F93"/>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73F9E"/>
    <w:rsid w:val="00D82125"/>
    <w:rsid w:val="00D82FD0"/>
    <w:rsid w:val="00D835AD"/>
    <w:rsid w:val="00D90130"/>
    <w:rsid w:val="00D92F06"/>
    <w:rsid w:val="00D94C84"/>
    <w:rsid w:val="00D95814"/>
    <w:rsid w:val="00D96C76"/>
    <w:rsid w:val="00D97DCA"/>
    <w:rsid w:val="00D97E88"/>
    <w:rsid w:val="00DA0824"/>
    <w:rsid w:val="00DA1B56"/>
    <w:rsid w:val="00DA3B8B"/>
    <w:rsid w:val="00DA3C80"/>
    <w:rsid w:val="00DA6E46"/>
    <w:rsid w:val="00DB3C8E"/>
    <w:rsid w:val="00DC44E9"/>
    <w:rsid w:val="00DC44EB"/>
    <w:rsid w:val="00DC53FF"/>
    <w:rsid w:val="00DC5443"/>
    <w:rsid w:val="00DC5766"/>
    <w:rsid w:val="00DC5D45"/>
    <w:rsid w:val="00DD35DB"/>
    <w:rsid w:val="00DD3A3E"/>
    <w:rsid w:val="00DD55EE"/>
    <w:rsid w:val="00DD7945"/>
    <w:rsid w:val="00DE0483"/>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3E1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2D80"/>
    <w:rsid w:val="00ED3F8C"/>
    <w:rsid w:val="00EE4833"/>
    <w:rsid w:val="00EF2106"/>
    <w:rsid w:val="00F005C8"/>
    <w:rsid w:val="00F01B7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5CB"/>
    <w:rsid w:val="00F31595"/>
    <w:rsid w:val="00F32257"/>
    <w:rsid w:val="00F33DF9"/>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5D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E29CA4"/>
  <w15:chartTrackingRefBased/>
  <w15:docId w15:val="{81A1E54C-9409-4E38-A220-E578D3E1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lang w:val="x-none" w:eastAsia="x-none"/>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A1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37A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ssa-performanc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3359</Characters>
  <Application>Microsoft Office Word</Application>
  <DocSecurity>0</DocSecurity>
  <Lines>305</Lines>
  <Paragraphs>210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cp:lastPrinted>2015-10-01T14:40:00Z</cp:lastPrinted>
  <dcterms:created xsi:type="dcterms:W3CDTF">2026-06-18T15:37:00Z</dcterms:created>
  <dcterms:modified xsi:type="dcterms:W3CDTF">2026-06-18T15:37:00Z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1782335908</vt:i4>
  </property>
  <property fmtid="{D5CDD505-2E9C-101B-9397-08002B2CF9AE}" pid="3" name="_AuthorEmail">
    <vt:lpwstr>Marta.Swierdzewska@ssa.gov</vt:lpwstr>
  </property>
  <property fmtid="{D5CDD505-2E9C-101B-9397-08002B2CF9AE}" pid="4" name="_AuthorEmailDisplayName">
    <vt:lpwstr>Swierdzewska, Marta   LP</vt:lpwstr>
  </property>
  <property fmtid="{D5CDD505-2E9C-101B-9397-08002B2CF9AE}" pid="5" name="_EmailSubject">
    <vt:lpwstr>OMB 0960-0448 - Justification for Non-Substantive Changes for (SSA-2490-BK)</vt:lpwstr>
  </property>
  <property fmtid="{D5CDD505-2E9C-101B-9397-08002B2CF9AE}" pid="6" name="_NewReviewCycle">
    <vt:lpwstr/>
  </property>
  <property fmtid="{D5CDD505-2E9C-101B-9397-08002B2CF9AE}" pid="7" name="_ReviewingToolsShownOnce">
    <vt:lpwstr/>
  </property>
</Properties>
</file>